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E7C2A" w14:textId="77777777" w:rsidR="0071670A" w:rsidRPr="00682C93" w:rsidRDefault="0071670A" w:rsidP="0071670A">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35EE33CC" w14:textId="77777777" w:rsidR="0071670A" w:rsidRDefault="0071670A" w:rsidP="0071670A">
      <w:pPr>
        <w:spacing w:after="0" w:line="240" w:lineRule="auto"/>
        <w:jc w:val="both"/>
        <w:rPr>
          <w:rFonts w:ascii="Verdana" w:hAnsi="Verdana" w:cs="Arial"/>
          <w:b/>
          <w:lang w:val="es-MX" w:eastAsia="es-ES_tradnl"/>
        </w:rPr>
      </w:pPr>
    </w:p>
    <w:p w14:paraId="0E45D91A" w14:textId="77777777" w:rsidR="0071670A" w:rsidRDefault="0071670A" w:rsidP="0071670A">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8A67291" w14:textId="77777777" w:rsidR="0071670A" w:rsidRPr="00682C93" w:rsidRDefault="0071670A" w:rsidP="0071670A">
      <w:pPr>
        <w:spacing w:after="0" w:line="240" w:lineRule="auto"/>
        <w:jc w:val="both"/>
        <w:rPr>
          <w:rFonts w:ascii="Verdana" w:hAnsi="Verdana" w:cs="Arial"/>
          <w:b/>
          <w:sz w:val="20"/>
          <w:lang w:val="es-MX" w:eastAsia="es-ES_tradnl"/>
        </w:rPr>
      </w:pPr>
    </w:p>
    <w:p w14:paraId="14860064" w14:textId="77777777" w:rsidR="0071670A" w:rsidRPr="00682C93" w:rsidRDefault="0071670A" w:rsidP="0071670A">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73C9BC64" w14:textId="77777777" w:rsidR="0071670A" w:rsidRDefault="0071670A" w:rsidP="0071670A">
      <w:pPr>
        <w:spacing w:after="0" w:line="240" w:lineRule="auto"/>
        <w:jc w:val="both"/>
        <w:rPr>
          <w:rFonts w:ascii="Verdana" w:hAnsi="Verdana" w:cs="Arial"/>
          <w:b/>
          <w:lang w:val="es-MX" w:eastAsia="es-ES_tradnl"/>
        </w:rPr>
      </w:pPr>
    </w:p>
    <w:p w14:paraId="1D4D2DC9" w14:textId="77777777" w:rsidR="0071670A" w:rsidRPr="00E41F23" w:rsidRDefault="0071670A" w:rsidP="0071670A">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4E22966" w14:textId="77777777" w:rsidR="0071670A" w:rsidRPr="00E41F23" w:rsidRDefault="0071670A" w:rsidP="0071670A">
      <w:pPr>
        <w:spacing w:after="0" w:line="240" w:lineRule="auto"/>
        <w:jc w:val="both"/>
        <w:rPr>
          <w:rFonts w:ascii="Verdana" w:eastAsia="Calibri" w:hAnsi="Verdana" w:cs="Arial"/>
          <w:sz w:val="20"/>
        </w:rPr>
      </w:pPr>
    </w:p>
    <w:p w14:paraId="635AFC6E" w14:textId="77777777" w:rsidR="0071670A" w:rsidRDefault="0071670A" w:rsidP="0071670A">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3492E1A7" w14:textId="77777777" w:rsidR="0071670A" w:rsidRPr="00E41F23" w:rsidRDefault="0071670A" w:rsidP="0071670A">
      <w:pPr>
        <w:widowControl w:val="0"/>
        <w:autoSpaceDE w:val="0"/>
        <w:autoSpaceDN w:val="0"/>
        <w:spacing w:after="0" w:line="240" w:lineRule="auto"/>
        <w:ind w:right="113"/>
        <w:jc w:val="both"/>
        <w:rPr>
          <w:rFonts w:ascii="Verdana" w:eastAsia="Arial" w:hAnsi="Verdana" w:cs="Arial"/>
          <w:sz w:val="20"/>
          <w:lang w:val="es-ES" w:eastAsia="es-ES" w:bidi="es-ES"/>
        </w:rPr>
      </w:pPr>
    </w:p>
    <w:p w14:paraId="01E78768" w14:textId="77777777" w:rsidR="0071670A" w:rsidRPr="00E41F23" w:rsidRDefault="0071670A" w:rsidP="0071670A">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A425C0D" w14:textId="77777777" w:rsidR="0071670A" w:rsidRPr="003F2A9C" w:rsidRDefault="0071670A" w:rsidP="0071670A">
      <w:pPr>
        <w:spacing w:after="0" w:line="240" w:lineRule="auto"/>
        <w:jc w:val="both"/>
        <w:rPr>
          <w:rFonts w:ascii="Verdana" w:hAnsi="Verdana" w:cs="Arial"/>
          <w:b/>
          <w:sz w:val="20"/>
          <w:lang w:val="es-MX" w:eastAsia="es-ES_tradnl"/>
        </w:rPr>
      </w:pPr>
    </w:p>
    <w:p w14:paraId="4ED22C33" w14:textId="77777777" w:rsidR="0071670A" w:rsidRPr="00682C93" w:rsidRDefault="0071670A" w:rsidP="0071670A">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6FF68A53" w14:textId="77777777" w:rsidR="0071670A" w:rsidRDefault="0071670A" w:rsidP="0071670A">
      <w:pPr>
        <w:spacing w:after="0" w:line="240" w:lineRule="auto"/>
        <w:jc w:val="both"/>
        <w:rPr>
          <w:rFonts w:ascii="Verdana" w:hAnsi="Verdana" w:cs="Arial"/>
          <w:b/>
          <w:lang w:val="es-MX" w:eastAsia="es-ES_tradnl"/>
        </w:rPr>
      </w:pPr>
    </w:p>
    <w:p w14:paraId="60257E46" w14:textId="77777777" w:rsidR="0071670A" w:rsidRPr="00E41F23" w:rsidRDefault="0071670A" w:rsidP="0071670A">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96A2178" w14:textId="77777777" w:rsidR="0071670A" w:rsidRPr="00E41F23" w:rsidRDefault="0071670A" w:rsidP="0071670A">
      <w:pPr>
        <w:spacing w:after="0" w:line="240" w:lineRule="auto"/>
        <w:jc w:val="both"/>
        <w:rPr>
          <w:rFonts w:ascii="Verdana" w:hAnsi="Verdana" w:cs="Arial"/>
          <w:b/>
          <w:lang w:eastAsia="es-ES_tradnl"/>
        </w:rPr>
      </w:pPr>
    </w:p>
    <w:p w14:paraId="1792AA80" w14:textId="77777777" w:rsidR="0071670A" w:rsidRPr="00682C93" w:rsidRDefault="0071670A" w:rsidP="0071670A">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70A3A2ED" w14:textId="77777777" w:rsidR="0071670A" w:rsidRPr="00E41F23" w:rsidRDefault="0071670A" w:rsidP="0071670A">
      <w:pPr>
        <w:spacing w:after="0" w:line="240" w:lineRule="auto"/>
        <w:jc w:val="both"/>
        <w:rPr>
          <w:rFonts w:ascii="Verdana" w:hAnsi="Verdana" w:cs="Arial"/>
          <w:b/>
          <w:sz w:val="20"/>
          <w:lang w:val="es-MX" w:eastAsia="es-ES_tradnl"/>
        </w:rPr>
      </w:pPr>
    </w:p>
    <w:p w14:paraId="50AE414D" w14:textId="77777777" w:rsidR="0071670A" w:rsidRPr="00E41F23" w:rsidRDefault="0071670A" w:rsidP="0071670A">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58DAEA5" w14:textId="18987E1E" w:rsidR="0071670A" w:rsidRDefault="0071670A" w:rsidP="00B53AAB">
      <w:pPr>
        <w:spacing w:after="0"/>
        <w:rPr>
          <w:rFonts w:ascii="Verdana" w:hAnsi="Verdana"/>
          <w:lang w:val="es-MX"/>
        </w:rPr>
      </w:pPr>
    </w:p>
    <w:p w14:paraId="62AC536C" w14:textId="6D60BD5C" w:rsidR="0071670A" w:rsidRDefault="0071670A" w:rsidP="0071670A">
      <w:pPr>
        <w:spacing w:after="0" w:line="240" w:lineRule="auto"/>
        <w:rPr>
          <w:rFonts w:ascii="Verdana" w:hAnsi="Verdana" w:cs="Arial"/>
          <w:b/>
          <w:lang w:val="es-MX" w:eastAsia="es-ES_tradnl"/>
        </w:rPr>
      </w:pPr>
      <w:r w:rsidRPr="0071670A">
        <w:rPr>
          <w:rFonts w:ascii="Verdana" w:hAnsi="Verdana" w:cs="Arial"/>
          <w:b/>
          <w:lang w:val="es-MX" w:eastAsia="es-ES_tradnl"/>
        </w:rPr>
        <w:t>LEY DE GARANTÍAS – Contratación Directa –. Excepciones – Crédito Público</w:t>
      </w:r>
    </w:p>
    <w:p w14:paraId="334D5A59" w14:textId="2E03707A" w:rsidR="0071670A" w:rsidRDefault="0071670A" w:rsidP="0071670A">
      <w:pPr>
        <w:spacing w:after="0" w:line="240" w:lineRule="auto"/>
        <w:rPr>
          <w:rFonts w:ascii="Verdana" w:hAnsi="Verdana" w:cs="Arial"/>
          <w:b/>
          <w:lang w:val="es-MX" w:eastAsia="es-ES_tradnl"/>
        </w:rPr>
      </w:pPr>
    </w:p>
    <w:p w14:paraId="7605960B" w14:textId="1AC76474" w:rsidR="0071670A" w:rsidRDefault="0071670A" w:rsidP="0071670A">
      <w:pPr>
        <w:spacing w:after="0" w:line="240" w:lineRule="auto"/>
        <w:jc w:val="both"/>
        <w:rPr>
          <w:rFonts w:ascii="Verdana" w:hAnsi="Verdana" w:cs="Arial"/>
          <w:bCs/>
          <w:sz w:val="20"/>
          <w:szCs w:val="20"/>
          <w:lang w:val="es-ES" w:eastAsia="es-ES_tradnl"/>
        </w:rPr>
      </w:pPr>
      <w:r w:rsidRPr="0071670A">
        <w:rPr>
          <w:rFonts w:ascii="Verdana" w:hAnsi="Verdana" w:cs="Arial"/>
          <w:bCs/>
          <w:sz w:val="20"/>
          <w:szCs w:val="20"/>
          <w:lang w:val="es-ES" w:eastAsia="es-ES_tradnl"/>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6E656C50" w14:textId="77777777" w:rsidR="0071670A" w:rsidRPr="0071670A" w:rsidRDefault="0071670A" w:rsidP="0071670A">
      <w:pPr>
        <w:spacing w:after="0" w:line="240" w:lineRule="auto"/>
        <w:jc w:val="both"/>
        <w:rPr>
          <w:rFonts w:ascii="Verdana" w:hAnsi="Verdana" w:cs="Arial"/>
          <w:bCs/>
          <w:sz w:val="20"/>
          <w:szCs w:val="20"/>
          <w:lang w:val="es-ES" w:eastAsia="es-ES_tradnl"/>
        </w:rPr>
      </w:pPr>
    </w:p>
    <w:p w14:paraId="54FED6CE" w14:textId="6E4E68F5" w:rsidR="0071670A" w:rsidRPr="0071670A" w:rsidRDefault="0071670A" w:rsidP="0071670A">
      <w:pPr>
        <w:spacing w:after="0" w:line="240" w:lineRule="auto"/>
        <w:jc w:val="both"/>
        <w:rPr>
          <w:rFonts w:ascii="Verdana" w:hAnsi="Verdana" w:cs="Arial"/>
          <w:sz w:val="20"/>
          <w:szCs w:val="20"/>
          <w:lang w:val="es-MX" w:eastAsia="es-ES_tradnl"/>
        </w:rPr>
      </w:pPr>
      <w:r w:rsidRPr="0071670A">
        <w:rPr>
          <w:rFonts w:ascii="Verdana" w:hAnsi="Verdana" w:cs="Arial"/>
          <w:bCs/>
          <w:sz w:val="20"/>
          <w:szCs w:val="20"/>
          <w:lang w:val="es-ES" w:eastAsia="es-ES_tradnl"/>
        </w:rPr>
        <w:lastRenderedPageBreak/>
        <w:t xml:space="preserve">En ejercicio de sus facultades reglamentarias, el Gobierno Nacional recogió la definición legal de este tipo de operaciones y la amplió mediante el Decreto 2681 de 1993, norma compilada, a su vez, en el artículo 2.2.1.1.1. del Decreto 1068 de 2015. Este último dispuso que </w:t>
      </w:r>
      <w:r w:rsidRPr="0071670A">
        <w:rPr>
          <w:rFonts w:ascii="Verdana" w:hAnsi="Verdana" w:cs="Arial"/>
          <w:bCs/>
          <w:sz w:val="20"/>
          <w:szCs w:val="20"/>
          <w:lang w:eastAsia="es-ES_tradnl"/>
        </w:rPr>
        <w:t>“[s]on operaciones de crédito público los actos o contratos que tienen por objeto dotar a la entidad estatal de recursos, bienes o servicios con plazo para su pago o aquellas mediante las cuales la entidad actúa como deudor solidario o garante de obligaciones de pago”.</w:t>
      </w:r>
    </w:p>
    <w:p w14:paraId="118C9188" w14:textId="77777777" w:rsidR="0071670A" w:rsidRDefault="0071670A" w:rsidP="0071670A">
      <w:pPr>
        <w:spacing w:after="0" w:line="240" w:lineRule="auto"/>
        <w:rPr>
          <w:rFonts w:ascii="Verdana" w:hAnsi="Verdana" w:cs="Arial"/>
          <w:lang w:val="es-MX" w:eastAsia="es-ES_tradnl"/>
        </w:rPr>
      </w:pPr>
    </w:p>
    <w:p w14:paraId="655655E3" w14:textId="77777777" w:rsidR="0071670A" w:rsidRPr="0071670A" w:rsidRDefault="0071670A" w:rsidP="0071670A">
      <w:pPr>
        <w:spacing w:after="0" w:line="240" w:lineRule="auto"/>
        <w:jc w:val="both"/>
        <w:rPr>
          <w:rFonts w:ascii="Verdana" w:hAnsi="Verdana" w:cs="Arial"/>
          <w:b/>
          <w:lang w:val="es-MX" w:eastAsia="es-ES_tradnl"/>
        </w:rPr>
      </w:pPr>
      <w:r w:rsidRPr="0071670A">
        <w:rPr>
          <w:rFonts w:ascii="Verdana" w:hAnsi="Verdana" w:cs="Arial"/>
          <w:b/>
          <w:lang w:val="es-MX" w:eastAsia="es-ES_tradnl"/>
        </w:rPr>
        <w:t xml:space="preserve">LEY DE GARANTÍAS ELECTORALES – Aplicación – Restricción – Sociedades Calificadoras de Riesgo </w:t>
      </w:r>
    </w:p>
    <w:p w14:paraId="309F5F18" w14:textId="1AC61A4D" w:rsidR="0071670A" w:rsidRDefault="0071670A" w:rsidP="0071670A">
      <w:pPr>
        <w:spacing w:after="0" w:line="240" w:lineRule="auto"/>
        <w:rPr>
          <w:rFonts w:ascii="Verdana" w:hAnsi="Verdana" w:cs="Arial"/>
          <w:lang w:val="es-MX" w:eastAsia="es-ES_tradnl"/>
        </w:rPr>
      </w:pPr>
    </w:p>
    <w:p w14:paraId="134C3B9C" w14:textId="5229B1E3" w:rsidR="00830DA0" w:rsidRPr="00830DA0" w:rsidRDefault="00830DA0" w:rsidP="00830DA0">
      <w:pPr>
        <w:spacing w:after="0" w:line="240" w:lineRule="auto"/>
        <w:jc w:val="both"/>
        <w:rPr>
          <w:rFonts w:ascii="Verdana" w:hAnsi="Verdana" w:cs="Arial"/>
          <w:bCs/>
          <w:sz w:val="20"/>
          <w:lang w:eastAsia="es-ES_tradnl"/>
        </w:rPr>
      </w:pPr>
      <w:r w:rsidRPr="00830DA0">
        <w:rPr>
          <w:rFonts w:ascii="Verdana" w:hAnsi="Verdana" w:cs="Arial"/>
          <w:bCs/>
          <w:sz w:val="20"/>
          <w:lang w:eastAsia="es-ES_tradnl"/>
        </w:rPr>
        <w:t xml:space="preserve">Teniendo en cuenta lo expuesto, la celebración de contratos de prestación de servicios profesionales de calificación de riesgo, suscritos por entidades estatales con sociedades calificadoras, no están contemplados dentro las excepciones a la restricción de contratación directa prevista en el artículo 33 de la Ley 996 de 2005, es decir, no pueden concebirse como contratos de crédito público. En este aspecto, se precisa que, si bien la calificación de riesgo puede ser un insumo técnico utilizado por los inversionistas o por las entidades financieras para evaluar la solvencia de un emisor, su contratación no constituye en sí misma un contrato de crédito público, ni se enmarca en la gestión directa de endeudamiento del Estado. </w:t>
      </w:r>
    </w:p>
    <w:p w14:paraId="249A277C" w14:textId="77777777" w:rsidR="00830DA0" w:rsidRPr="00830DA0" w:rsidRDefault="00830DA0" w:rsidP="00830DA0">
      <w:pPr>
        <w:spacing w:after="0" w:line="240" w:lineRule="auto"/>
        <w:jc w:val="both"/>
        <w:rPr>
          <w:rFonts w:ascii="Verdana" w:hAnsi="Verdana" w:cs="Arial"/>
          <w:bCs/>
          <w:sz w:val="20"/>
          <w:lang w:eastAsia="es-ES_tradnl"/>
        </w:rPr>
      </w:pPr>
    </w:p>
    <w:p w14:paraId="6E97992D" w14:textId="77777777" w:rsidR="00830DA0" w:rsidRPr="00830DA0" w:rsidRDefault="00830DA0" w:rsidP="00830DA0">
      <w:pPr>
        <w:spacing w:after="0" w:line="240" w:lineRule="auto"/>
        <w:jc w:val="both"/>
        <w:rPr>
          <w:rFonts w:ascii="Verdana" w:hAnsi="Verdana" w:cs="Arial"/>
          <w:bCs/>
          <w:sz w:val="20"/>
          <w:lang w:eastAsia="es-ES_tradnl"/>
        </w:rPr>
      </w:pPr>
      <w:r w:rsidRPr="00830DA0">
        <w:rPr>
          <w:rFonts w:ascii="Verdana" w:hAnsi="Verdana" w:cs="Arial"/>
          <w:bCs/>
          <w:sz w:val="20"/>
          <w:lang w:eastAsia="es-ES_tradnl"/>
        </w:rPr>
        <w:t>En otras palabras, se trata de un servicio de carácter consultivo y de análisis especializado, pero no de una actividad inherente a la contratación, colocación o administración de créditos públicos. Por tanto, la suscripción de contratos con sociedades calificadoras de riesgo debe observar las reglas generales de contratación estatal y no puede ampararse en la excepción prevista en el artículo 33 de la Ley 996 de 2005.</w:t>
      </w:r>
    </w:p>
    <w:p w14:paraId="3CEBBBE3" w14:textId="77777777" w:rsidR="00830DA0" w:rsidRPr="00830DA0" w:rsidRDefault="00830DA0" w:rsidP="0071670A">
      <w:pPr>
        <w:spacing w:after="0" w:line="240" w:lineRule="auto"/>
        <w:rPr>
          <w:rFonts w:ascii="Verdana" w:hAnsi="Verdana" w:cs="Arial"/>
          <w:lang w:eastAsia="es-ES_tradnl"/>
        </w:rPr>
      </w:pPr>
    </w:p>
    <w:p w14:paraId="2D2B0676" w14:textId="3593C7C2" w:rsidR="0071670A" w:rsidRPr="00830DA0" w:rsidRDefault="0071670A" w:rsidP="00830DA0">
      <w:pPr>
        <w:spacing w:after="0" w:line="240" w:lineRule="auto"/>
        <w:jc w:val="both"/>
        <w:rPr>
          <w:rFonts w:ascii="Verdana" w:hAnsi="Verdana" w:cs="Arial"/>
          <w:b/>
          <w:lang w:val="es-MX" w:eastAsia="es-ES_tradnl"/>
        </w:rPr>
      </w:pPr>
      <w:r w:rsidRPr="00830DA0">
        <w:rPr>
          <w:rFonts w:ascii="Verdana" w:hAnsi="Verdana" w:cs="Arial"/>
          <w:b/>
          <w:lang w:val="es-MX" w:eastAsia="es-ES_tradnl"/>
        </w:rPr>
        <w:t xml:space="preserve">LEY DE GARANTÍAS ELECTORALES – Prohibición </w:t>
      </w:r>
      <w:r w:rsidR="00830DA0">
        <w:rPr>
          <w:rFonts w:ascii="Verdana" w:hAnsi="Verdana" w:cs="Arial"/>
          <w:b/>
          <w:lang w:val="es-MX" w:eastAsia="es-ES_tradnl"/>
        </w:rPr>
        <w:t>del artículo 33 – Destinatarios</w:t>
      </w:r>
    </w:p>
    <w:p w14:paraId="28915DB5" w14:textId="716BF4A4" w:rsidR="0071670A" w:rsidRDefault="0071670A" w:rsidP="0071670A">
      <w:pPr>
        <w:spacing w:after="0" w:line="240" w:lineRule="auto"/>
        <w:rPr>
          <w:rFonts w:ascii="Verdana" w:hAnsi="Verdana" w:cs="Arial"/>
          <w:lang w:val="es-MX" w:eastAsia="es-ES_tradnl"/>
        </w:rPr>
      </w:pPr>
    </w:p>
    <w:p w14:paraId="55953AA0" w14:textId="1BC1A0AD" w:rsidR="0071670A" w:rsidRDefault="00830DA0" w:rsidP="00830DA0">
      <w:pPr>
        <w:spacing w:after="0" w:line="240" w:lineRule="auto"/>
        <w:jc w:val="both"/>
        <w:rPr>
          <w:rFonts w:ascii="Verdana" w:hAnsi="Verdana"/>
          <w:sz w:val="20"/>
          <w:lang w:val="es-MX"/>
        </w:rPr>
      </w:pPr>
      <w:r w:rsidRPr="00830DA0">
        <w:rPr>
          <w:rFonts w:ascii="Verdana" w:hAnsi="Verdana"/>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830DA0">
        <w:rPr>
          <w:rFonts w:ascii="Verdana" w:hAnsi="Verdana"/>
          <w:bCs/>
          <w:sz w:val="20"/>
          <w:lang w:val="es-MX"/>
        </w:rPr>
        <w:t>establecimientos de crédito, las sociedades de servicios financieros y las entidades aseguradoras</w:t>
      </w:r>
      <w:r w:rsidRPr="00830DA0">
        <w:rPr>
          <w:rFonts w:ascii="Verdana" w:hAnsi="Verdana"/>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hAnsi="Verdana"/>
          <w:sz w:val="20"/>
          <w:lang w:val="es-MX"/>
        </w:rPr>
        <w:t>.</w:t>
      </w:r>
    </w:p>
    <w:p w14:paraId="6E3DDD18" w14:textId="77777777" w:rsidR="00830DA0" w:rsidRPr="00830DA0" w:rsidRDefault="00830DA0" w:rsidP="00830DA0">
      <w:pPr>
        <w:spacing w:after="0" w:line="240" w:lineRule="auto"/>
        <w:jc w:val="both"/>
        <w:rPr>
          <w:rFonts w:ascii="Verdana" w:hAnsi="Verdana"/>
          <w:sz w:val="20"/>
          <w:lang w:val="es-MX"/>
        </w:rPr>
      </w:pPr>
    </w:p>
    <w:p w14:paraId="27D56BA2" w14:textId="31D0B5D8" w:rsidR="00B53AAB" w:rsidRPr="00B53AAB" w:rsidRDefault="00830DA0" w:rsidP="00B53AAB">
      <w:pPr>
        <w:spacing w:after="0"/>
        <w:rPr>
          <w:rFonts w:ascii="Verdana" w:eastAsia="Calibri" w:hAnsi="Verdana" w:cs="Arial"/>
          <w:color w:val="000000"/>
          <w:lang w:val="es-MX"/>
        </w:rPr>
      </w:pPr>
      <w:r w:rsidRPr="00830DA0">
        <w:rPr>
          <w:rFonts w:ascii="Verdana" w:eastAsia="Calibri" w:hAnsi="Verdana" w:cs="Arial"/>
          <w:noProof/>
          <w:color w:val="000000"/>
          <w:lang w:val="en-US"/>
        </w:rPr>
        <w:lastRenderedPageBreak/>
        <w:drawing>
          <wp:anchor distT="0" distB="0" distL="114300" distR="114300" simplePos="0" relativeHeight="251658240" behindDoc="0" locked="0" layoutInCell="1" allowOverlap="1" wp14:anchorId="4DD6CCE7" wp14:editId="3CE63E6C">
            <wp:simplePos x="0" y="0"/>
            <wp:positionH relativeFrom="column">
              <wp:posOffset>2829560</wp:posOffset>
            </wp:positionH>
            <wp:positionV relativeFrom="paragraph">
              <wp:posOffset>193040</wp:posOffset>
            </wp:positionV>
            <wp:extent cx="2900680" cy="84074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0680" cy="840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1670A">
        <w:rPr>
          <w:rFonts w:ascii="Verdana" w:hAnsi="Verdana"/>
        </w:rPr>
        <w:t>Bogotá D.C., 30 de enero de 2026</w:t>
      </w:r>
      <w:r w:rsidR="00B53AAB" w:rsidRPr="00B53AAB">
        <w:rPr>
          <w:rFonts w:ascii="Verdana" w:hAnsi="Verdana"/>
        </w:rPr>
        <w:tab/>
      </w:r>
      <w:r w:rsidR="00B53AAB" w:rsidRPr="00B53AAB">
        <w:rPr>
          <w:rFonts w:ascii="Verdana" w:hAnsi="Verdana"/>
        </w:rPr>
        <w:br/>
      </w:r>
    </w:p>
    <w:p w14:paraId="418EFE31" w14:textId="2492E10F" w:rsidR="00B53AAB" w:rsidRPr="00B53AAB" w:rsidRDefault="00B53AAB" w:rsidP="00B53AAB">
      <w:pPr>
        <w:spacing w:after="0" w:line="240" w:lineRule="auto"/>
        <w:jc w:val="both"/>
        <w:rPr>
          <w:rFonts w:ascii="Verdana" w:eastAsia="Calibri" w:hAnsi="Verdana" w:cs="Arial"/>
          <w:color w:val="000000"/>
          <w:lang w:val="es-ES"/>
        </w:rPr>
      </w:pPr>
    </w:p>
    <w:p w14:paraId="25BA7D90" w14:textId="77777777" w:rsidR="00B53AAB" w:rsidRPr="00B53AAB" w:rsidRDefault="00B53AAB" w:rsidP="00B53AAB">
      <w:pPr>
        <w:spacing w:after="0" w:line="240" w:lineRule="auto"/>
        <w:jc w:val="both"/>
        <w:rPr>
          <w:rFonts w:ascii="Verdana" w:eastAsia="Calibri" w:hAnsi="Verdana" w:cs="Arial"/>
          <w:lang w:val="es-ES" w:eastAsia="es-ES"/>
        </w:rPr>
      </w:pPr>
      <w:r w:rsidRPr="00B53AAB">
        <w:rPr>
          <w:rFonts w:ascii="Verdana" w:eastAsia="Calibri" w:hAnsi="Verdana" w:cs="Arial"/>
          <w:lang w:val="es-ES" w:eastAsia="es-ES"/>
        </w:rPr>
        <w:t>Señora</w:t>
      </w:r>
    </w:p>
    <w:p w14:paraId="7E6FB608" w14:textId="77777777" w:rsidR="00B53AAB" w:rsidRPr="00B53AAB" w:rsidRDefault="00B53AAB" w:rsidP="00B53AAB">
      <w:pPr>
        <w:spacing w:after="0" w:line="240" w:lineRule="auto"/>
        <w:rPr>
          <w:rFonts w:ascii="Verdana" w:eastAsia="Calibri" w:hAnsi="Verdana" w:cs="Arial"/>
          <w:b/>
          <w:bCs/>
          <w:color w:val="000000"/>
          <w:lang w:val="es-ES" w:eastAsia="es-ES"/>
        </w:rPr>
      </w:pPr>
      <w:r w:rsidRPr="00B53AAB">
        <w:rPr>
          <w:rFonts w:ascii="Verdana" w:eastAsia="Calibri" w:hAnsi="Verdana" w:cs="Arial"/>
          <w:b/>
          <w:bCs/>
          <w:color w:val="000000" w:themeColor="text1"/>
          <w:lang w:val="es-ES" w:eastAsia="es-ES"/>
        </w:rPr>
        <w:t>Carla Alejandra Virviescas Pineda</w:t>
      </w:r>
    </w:p>
    <w:p w14:paraId="1EA73E01" w14:textId="77777777" w:rsidR="00B53AAB" w:rsidRPr="00B53AAB" w:rsidRDefault="00B53AAB" w:rsidP="00B53AAB">
      <w:pPr>
        <w:spacing w:after="0" w:line="240" w:lineRule="auto"/>
        <w:rPr>
          <w:rFonts w:ascii="Verdana" w:eastAsia="Calibri" w:hAnsi="Verdana" w:cs="Times New Roman"/>
        </w:rPr>
      </w:pPr>
      <w:hyperlink r:id="rId12" w:history="1">
        <w:r w:rsidRPr="00B53AAB">
          <w:rPr>
            <w:rFonts w:ascii="Verdana" w:eastAsia="Calibri" w:hAnsi="Verdana" w:cs="Times New Roman"/>
            <w:color w:val="0000FF"/>
            <w:u w:val="single"/>
          </w:rPr>
          <w:t>carla.virviescas@fitchratings.com</w:t>
        </w:r>
      </w:hyperlink>
    </w:p>
    <w:p w14:paraId="110271D3" w14:textId="77777777" w:rsidR="00B53AAB" w:rsidRPr="00B53AAB" w:rsidRDefault="00B53AAB" w:rsidP="00B53AAB">
      <w:pPr>
        <w:spacing w:after="0" w:line="240" w:lineRule="auto"/>
        <w:rPr>
          <w:rFonts w:ascii="Verdana" w:eastAsia="Calibri" w:hAnsi="Verdana" w:cs="Times New Roman"/>
        </w:rPr>
      </w:pPr>
      <w:r w:rsidRPr="00B53AAB">
        <w:rPr>
          <w:rFonts w:ascii="Verdana" w:eastAsia="Calibri" w:hAnsi="Verdana" w:cs="Times New Roman"/>
        </w:rPr>
        <w:t>Bogotá D.C.</w:t>
      </w:r>
    </w:p>
    <w:p w14:paraId="25D56DBE" w14:textId="77777777" w:rsidR="00B53AAB" w:rsidRPr="00B53AAB" w:rsidRDefault="00B53AAB" w:rsidP="00B53AAB">
      <w:pPr>
        <w:spacing w:after="0" w:line="240" w:lineRule="auto"/>
        <w:rPr>
          <w:rFonts w:ascii="Verdana" w:eastAsia="Calibri" w:hAnsi="Verdana" w:cs="Times New Roman"/>
        </w:rPr>
      </w:pPr>
    </w:p>
    <w:p w14:paraId="07DFCD72" w14:textId="77777777" w:rsidR="00B53AAB" w:rsidRPr="00B53AAB" w:rsidRDefault="00B53AAB" w:rsidP="00B53AAB">
      <w:pPr>
        <w:spacing w:after="0" w:line="240" w:lineRule="auto"/>
        <w:rPr>
          <w:rFonts w:ascii="Verdana" w:eastAsia="Calibri" w:hAnsi="Verdana" w:cs="Times New Roman"/>
        </w:rPr>
      </w:pPr>
    </w:p>
    <w:p w14:paraId="2FD94377" w14:textId="77777777" w:rsidR="00B53AAB" w:rsidRPr="00B53AAB" w:rsidRDefault="00B53AAB" w:rsidP="00B53AAB">
      <w:pPr>
        <w:spacing w:after="0" w:line="256" w:lineRule="auto"/>
        <w:rPr>
          <w:rFonts w:ascii="Verdana" w:eastAsia="Calibri" w:hAnsi="Verdana" w:cs="Times New Roman"/>
          <w:b/>
          <w:bCs/>
          <w:lang w:val="es-ES"/>
        </w:rPr>
      </w:pPr>
      <w:r w:rsidRPr="00B53AAB">
        <w:rPr>
          <w:rFonts w:ascii="Verdana" w:eastAsia="Calibri" w:hAnsi="Verdana" w:cs="Times New Roman"/>
          <w:b/>
          <w:bCs/>
          <w:lang w:val="es-ES"/>
        </w:rPr>
        <w:t xml:space="preserve">                                    Concepto C- 042 de 2026</w:t>
      </w:r>
    </w:p>
    <w:p w14:paraId="3CFDF6C9" w14:textId="77777777" w:rsidR="00B53AAB" w:rsidRPr="00B53AAB" w:rsidRDefault="00B53AAB" w:rsidP="00B53AAB">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53AAB" w:rsidRPr="00B53AAB" w14:paraId="533FC1FD" w14:textId="77777777" w:rsidTr="00B7019D">
        <w:trPr>
          <w:trHeight w:val="645"/>
        </w:trPr>
        <w:tc>
          <w:tcPr>
            <w:tcW w:w="2685" w:type="dxa"/>
            <w:hideMark/>
          </w:tcPr>
          <w:p w14:paraId="75F14C97" w14:textId="77777777" w:rsidR="00B53AAB" w:rsidRPr="0071670A" w:rsidRDefault="00B53AAB" w:rsidP="00B53AAB">
            <w:pPr>
              <w:spacing w:line="256" w:lineRule="auto"/>
              <w:rPr>
                <w:rFonts w:ascii="Verdana" w:hAnsi="Verdana"/>
                <w:b/>
                <w:bCs/>
                <w:lang w:val="es-ES_tradnl"/>
              </w:rPr>
            </w:pPr>
            <w:r w:rsidRPr="0071670A">
              <w:rPr>
                <w:rFonts w:ascii="Verdana" w:hAnsi="Verdana"/>
                <w:b/>
                <w:bCs/>
                <w:lang w:val="es-ES_tradnl"/>
              </w:rPr>
              <w:t xml:space="preserve">Temas:                   </w:t>
            </w:r>
          </w:p>
        </w:tc>
        <w:tc>
          <w:tcPr>
            <w:tcW w:w="6241" w:type="dxa"/>
            <w:hideMark/>
          </w:tcPr>
          <w:p w14:paraId="45143950" w14:textId="26247718" w:rsidR="00B53AAB" w:rsidRPr="0071670A" w:rsidRDefault="00B53AAB" w:rsidP="00B53AAB">
            <w:pPr>
              <w:spacing w:line="276" w:lineRule="auto"/>
              <w:jc w:val="both"/>
              <w:rPr>
                <w:rFonts w:ascii="Verdana" w:hAnsi="Verdana" w:cs="Arial"/>
                <w:lang w:val="es-MX" w:eastAsia="es-ES_tradnl"/>
              </w:rPr>
            </w:pPr>
            <w:r w:rsidRPr="0071670A">
              <w:rPr>
                <w:rFonts w:ascii="Verdana" w:hAnsi="Verdana" w:cs="Arial"/>
                <w:lang w:val="es-MX" w:eastAsia="es-ES_tradnl"/>
              </w:rPr>
              <w:t xml:space="preserve">LEY DE GARANTÍAS ELECTORALES </w:t>
            </w:r>
            <w:r w:rsidRPr="0071670A">
              <w:rPr>
                <w:rFonts w:ascii="Verdana" w:hAnsi="Verdana" w:cs="Arial"/>
                <w:bCs/>
                <w:lang w:val="es-MX" w:eastAsia="es-ES_tradnl"/>
              </w:rPr>
              <w:t>‒</w:t>
            </w:r>
            <w:r w:rsidRPr="0071670A">
              <w:rPr>
                <w:rFonts w:ascii="Verdana" w:hAnsi="Verdana" w:cs="Arial"/>
                <w:lang w:val="es-MX" w:eastAsia="es-ES_tradnl"/>
              </w:rPr>
              <w:t xml:space="preserve"> Finalidad / LEY DE GARANTÍAS ELECTORALES </w:t>
            </w:r>
            <w:r w:rsidRPr="0071670A">
              <w:rPr>
                <w:rFonts w:ascii="Verdana" w:hAnsi="Verdana" w:cs="Arial"/>
                <w:bCs/>
                <w:lang w:val="es-MX" w:eastAsia="es-ES_tradnl"/>
              </w:rPr>
              <w:t>‒</w:t>
            </w:r>
            <w:r w:rsidRPr="0071670A">
              <w:rPr>
                <w:rFonts w:ascii="Verdana" w:hAnsi="Verdana" w:cs="Arial"/>
                <w:lang w:val="es-MX" w:eastAsia="es-ES_tradnl"/>
              </w:rPr>
              <w:t xml:space="preserve"> Tipos de restricciones </w:t>
            </w:r>
            <w:r w:rsidRPr="0071670A">
              <w:rPr>
                <w:rFonts w:ascii="Verdana" w:hAnsi="Verdana" w:cs="Arial"/>
                <w:bCs/>
                <w:lang w:val="es-MX" w:eastAsia="es-ES_tradnl"/>
              </w:rPr>
              <w:t>‒</w:t>
            </w:r>
            <w:r w:rsidRPr="0071670A">
              <w:rPr>
                <w:rFonts w:ascii="Verdana" w:hAnsi="Verdana" w:cs="Arial"/>
                <w:lang w:val="es-MX" w:eastAsia="es-ES_tradnl"/>
              </w:rPr>
              <w:t xml:space="preserve"> Ámbito temporal – celebración- límite / LEY DE GARANTÍAS ELECTORALES – Prohibición artículo 33 – Contratación directa – Alcance / LEY DE GARANTÍAS ELECTORALES – Excepciones / LEY DE GARANTÍAS – Contratación Directa – Excepciones – Crédito Público – / LEY DE GARANTÍAS ELECTORALES – Aplicación – Restricción – Sociedades Calificadoras de Riesgo / LEY DE GARANTÍAS ELECTORALES – Prohibición del artículo 33 – Destinatarios</w:t>
            </w:r>
          </w:p>
        </w:tc>
        <w:tc>
          <w:tcPr>
            <w:tcW w:w="6237" w:type="dxa"/>
          </w:tcPr>
          <w:p w14:paraId="33E780AA" w14:textId="77777777" w:rsidR="00B53AAB" w:rsidRPr="00B53AAB" w:rsidRDefault="00B53AAB" w:rsidP="00B53AAB">
            <w:pPr>
              <w:spacing w:line="256" w:lineRule="auto"/>
            </w:pPr>
          </w:p>
        </w:tc>
      </w:tr>
    </w:tbl>
    <w:p w14:paraId="5001E4A5" w14:textId="77777777" w:rsidR="00B53AAB" w:rsidRPr="00B53AAB" w:rsidRDefault="00B53AAB" w:rsidP="00B53AAB">
      <w:pPr>
        <w:spacing w:after="0" w:line="240" w:lineRule="auto"/>
        <w:rPr>
          <w:rFonts w:ascii="Verdana" w:eastAsia="Calibri" w:hAnsi="Verdana" w:cs="Arial"/>
          <w:b/>
          <w:bCs/>
          <w:color w:val="000000"/>
          <w:lang w:eastAsia="es-ES_tradnl"/>
        </w:rPr>
      </w:pPr>
    </w:p>
    <w:p w14:paraId="73AD70B2" w14:textId="77777777" w:rsidR="00B53AAB" w:rsidRPr="00B53AAB" w:rsidRDefault="00B53AAB" w:rsidP="00B53AAB">
      <w:pPr>
        <w:spacing w:after="0" w:line="240" w:lineRule="auto"/>
        <w:rPr>
          <w:rFonts w:ascii="Verdana" w:eastAsia="Calibri" w:hAnsi="Verdana" w:cs="Arial"/>
          <w:b/>
          <w:bCs/>
          <w:color w:val="000000"/>
          <w:lang w:val="es-ES_tradnl" w:eastAsia="es-ES_tradnl"/>
        </w:rPr>
      </w:pPr>
    </w:p>
    <w:tbl>
      <w:tblPr>
        <w:tblStyle w:val="Tablaconcuadrcula1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53AAB" w:rsidRPr="00B53AAB" w14:paraId="03F8AA83" w14:textId="77777777" w:rsidTr="00B7019D">
        <w:tc>
          <w:tcPr>
            <w:tcW w:w="2689" w:type="dxa"/>
          </w:tcPr>
          <w:p w14:paraId="5FC945F0" w14:textId="77777777" w:rsidR="00B53AAB" w:rsidRPr="00B53AAB" w:rsidRDefault="00B53AAB" w:rsidP="00B53AAB">
            <w:pPr>
              <w:jc w:val="both"/>
              <w:rPr>
                <w:rFonts w:ascii="Verdana" w:eastAsia="Calibri" w:hAnsi="Verdana" w:cs="Arial"/>
                <w:b/>
                <w:lang w:val="es-ES_tradnl" w:eastAsia="es-ES_tradnl"/>
              </w:rPr>
            </w:pPr>
            <w:r w:rsidRPr="00B53AAB">
              <w:rPr>
                <w:rFonts w:ascii="Verdana" w:eastAsia="Calibri" w:hAnsi="Verdana" w:cs="Arial"/>
                <w:b/>
                <w:lang w:val="es-ES_tradnl" w:eastAsia="es-ES_tradnl"/>
              </w:rPr>
              <w:t>Radicación:</w:t>
            </w:r>
            <w:r w:rsidRPr="00B53AAB">
              <w:rPr>
                <w:rFonts w:ascii="Verdana" w:eastAsia="Calibri" w:hAnsi="Verdana" w:cs="Arial"/>
                <w:lang w:val="es-ES_tradnl" w:eastAsia="es-ES_tradnl"/>
              </w:rPr>
              <w:t xml:space="preserve">               </w:t>
            </w:r>
          </w:p>
        </w:tc>
        <w:tc>
          <w:tcPr>
            <w:tcW w:w="6100" w:type="dxa"/>
          </w:tcPr>
          <w:p w14:paraId="478CE9F8" w14:textId="77777777" w:rsidR="00B53AAB" w:rsidRPr="00B53AAB" w:rsidRDefault="00B53AAB" w:rsidP="00B53AAB">
            <w:pPr>
              <w:spacing w:line="276" w:lineRule="auto"/>
              <w:jc w:val="both"/>
              <w:rPr>
                <w:rFonts w:ascii="Verdana" w:eastAsia="Calibri" w:hAnsi="Verdana" w:cs="Arial"/>
                <w:lang w:val="es-ES_tradnl" w:eastAsia="es-ES_tradnl"/>
              </w:rPr>
            </w:pPr>
            <w:r w:rsidRPr="00B53AAB">
              <w:rPr>
                <w:rFonts w:ascii="Verdana" w:eastAsia="Calibri" w:hAnsi="Verdana" w:cs="Arial"/>
                <w:lang w:val="es-ES_tradnl" w:eastAsia="es-ES_tradnl"/>
              </w:rPr>
              <w:t xml:space="preserve">Respuesta a la consulta con radicado No. </w:t>
            </w:r>
            <w:r w:rsidRPr="00B53AAB">
              <w:rPr>
                <w:rFonts w:ascii="Verdana" w:eastAsia="Calibri" w:hAnsi="Verdana" w:cs="Arial"/>
                <w:lang w:eastAsia="es-ES_tradnl"/>
              </w:rPr>
              <w:t>1_2026_01_13_000286</w:t>
            </w:r>
          </w:p>
        </w:tc>
      </w:tr>
    </w:tbl>
    <w:p w14:paraId="75B207C7" w14:textId="77777777" w:rsidR="00B53AAB" w:rsidRPr="00B53AAB" w:rsidRDefault="00B53AAB" w:rsidP="00B53AAB">
      <w:pPr>
        <w:spacing w:after="0" w:line="240" w:lineRule="auto"/>
        <w:jc w:val="both"/>
        <w:rPr>
          <w:rFonts w:ascii="Verdana" w:eastAsia="Calibri" w:hAnsi="Verdana" w:cs="Arial"/>
          <w:color w:val="000000"/>
          <w:lang w:val="es-ES_tradnl" w:eastAsia="es-ES_tradnl"/>
        </w:rPr>
      </w:pPr>
    </w:p>
    <w:p w14:paraId="49E1533B" w14:textId="77777777" w:rsidR="00B53AAB" w:rsidRPr="00B53AAB" w:rsidRDefault="00B53AAB" w:rsidP="00B53AAB">
      <w:pPr>
        <w:spacing w:after="0" w:line="240" w:lineRule="auto"/>
        <w:jc w:val="both"/>
        <w:rPr>
          <w:rFonts w:ascii="Verdana" w:eastAsia="Calibri" w:hAnsi="Verdana" w:cs="Arial"/>
          <w:color w:val="000000"/>
          <w:lang w:val="es-ES_tradnl" w:eastAsia="es-ES_tradnl"/>
        </w:rPr>
      </w:pPr>
    </w:p>
    <w:p w14:paraId="6442D4AD" w14:textId="77777777" w:rsidR="00B53AAB" w:rsidRPr="00B53AAB" w:rsidRDefault="00B53AAB" w:rsidP="00B53AAB">
      <w:pPr>
        <w:spacing w:after="0" w:line="276" w:lineRule="auto"/>
        <w:jc w:val="both"/>
        <w:rPr>
          <w:rFonts w:ascii="Verdana" w:eastAsia="Calibri" w:hAnsi="Verdana" w:cs="Arial"/>
          <w:lang w:val="es-ES" w:eastAsia="es-ES"/>
        </w:rPr>
      </w:pPr>
      <w:r w:rsidRPr="00B53AAB">
        <w:rPr>
          <w:rFonts w:ascii="Verdana" w:eastAsia="Calibri" w:hAnsi="Verdana" w:cs="Arial"/>
          <w:lang w:val="es-ES" w:eastAsia="es-ES"/>
        </w:rPr>
        <w:t xml:space="preserve">Estimada Señora Virviescas: </w:t>
      </w:r>
    </w:p>
    <w:p w14:paraId="72E5CD4E" w14:textId="77777777" w:rsidR="00B53AAB" w:rsidRPr="00B53AAB" w:rsidRDefault="00B53AAB" w:rsidP="00B53AAB">
      <w:pPr>
        <w:tabs>
          <w:tab w:val="left" w:pos="3768"/>
        </w:tabs>
        <w:spacing w:after="0" w:line="276" w:lineRule="auto"/>
        <w:jc w:val="both"/>
        <w:rPr>
          <w:rFonts w:ascii="Verdana" w:eastAsia="Calibri" w:hAnsi="Verdana" w:cs="Arial"/>
          <w:color w:val="000000" w:themeColor="text1"/>
          <w:lang w:val="es-ES" w:eastAsia="es-ES"/>
        </w:rPr>
      </w:pPr>
      <w:r w:rsidRPr="00B53AAB">
        <w:rPr>
          <w:rFonts w:ascii="Verdana" w:eastAsia="Calibri" w:hAnsi="Verdana" w:cs="Arial"/>
          <w:color w:val="000000" w:themeColor="text1"/>
          <w:lang w:val="es-ES" w:eastAsia="es-ES"/>
        </w:rPr>
        <w:tab/>
      </w:r>
    </w:p>
    <w:p w14:paraId="75022F14" w14:textId="77777777" w:rsidR="00B53AAB" w:rsidRPr="00B53AAB" w:rsidRDefault="00B53AAB" w:rsidP="00B53AAB">
      <w:pPr>
        <w:spacing w:after="0" w:line="276" w:lineRule="auto"/>
        <w:jc w:val="both"/>
        <w:rPr>
          <w:rFonts w:ascii="Verdana" w:eastAsia="Calibri" w:hAnsi="Verdana" w:cs="Arial"/>
          <w:bCs/>
          <w:color w:val="000000" w:themeColor="text1"/>
          <w:lang w:val="es-ES" w:eastAsia="es-ES" w:bidi="es-ES"/>
        </w:rPr>
      </w:pPr>
      <w:r w:rsidRPr="00B53AAB">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B53AAB">
        <w:rPr>
          <w:rFonts w:ascii="Verdana" w:eastAsia="Calibri" w:hAnsi="Verdana" w:cs="Arial"/>
          <w:bCs/>
          <w:color w:val="000000" w:themeColor="text1"/>
          <w:lang w:eastAsia="es-ES"/>
        </w:rPr>
        <w:t xml:space="preserve">así como lo establecido por la Resolución 469 de 2025 expedida por esta Entidad, </w:t>
      </w:r>
      <w:r w:rsidRPr="00B53AAB">
        <w:rPr>
          <w:rFonts w:ascii="Verdana" w:eastAsia="Calibri" w:hAnsi="Verdana" w:cs="Arial"/>
          <w:bCs/>
          <w:color w:val="000000" w:themeColor="text1"/>
          <w:lang w:val="es-ES" w:eastAsia="es-ES" w:bidi="es-ES"/>
        </w:rPr>
        <w:t xml:space="preserve">la Agencia Nacional de Contratación Pública – Colombia Compra Eficiente– responde la solicitud de consulta remitida el 13 de enero de 2026, en la cual manifiesta: </w:t>
      </w:r>
    </w:p>
    <w:p w14:paraId="6FD51B4F" w14:textId="77777777" w:rsidR="00B53AAB" w:rsidRPr="00B53AAB" w:rsidRDefault="00B53AAB" w:rsidP="00B53AAB">
      <w:pPr>
        <w:tabs>
          <w:tab w:val="left" w:pos="142"/>
          <w:tab w:val="left" w:pos="284"/>
        </w:tabs>
        <w:spacing w:after="0" w:line="240" w:lineRule="auto"/>
        <w:contextualSpacing/>
        <w:jc w:val="both"/>
        <w:rPr>
          <w:rFonts w:ascii="Verdana" w:eastAsia="Century Gothic" w:hAnsi="Verdana" w:cs="Century Gothic"/>
          <w:b/>
          <w:bCs/>
          <w:lang w:val="es-ES"/>
        </w:rPr>
      </w:pPr>
    </w:p>
    <w:p w14:paraId="5D858814" w14:textId="77777777" w:rsidR="00B53AAB" w:rsidRPr="00B53AAB" w:rsidRDefault="00B53AAB" w:rsidP="00B53AAB">
      <w:pPr>
        <w:spacing w:after="0" w:line="240" w:lineRule="auto"/>
        <w:ind w:left="709" w:right="709"/>
        <w:jc w:val="both"/>
        <w:rPr>
          <w:rFonts w:ascii="Verdana" w:eastAsia="Century Gothic" w:hAnsi="Verdana" w:cs="Century Gothic"/>
          <w:sz w:val="20"/>
          <w:szCs w:val="20"/>
        </w:rPr>
      </w:pPr>
      <w:bookmarkStart w:id="0" w:name="_Hlk95313578"/>
      <w:r w:rsidRPr="00B53AAB">
        <w:rPr>
          <w:rFonts w:ascii="Verdana" w:eastAsia="Century Gothic" w:hAnsi="Verdana" w:cs="Century Gothic"/>
          <w:sz w:val="20"/>
          <w:szCs w:val="20"/>
          <w:lang w:val="es-ES"/>
        </w:rPr>
        <w:t>“</w:t>
      </w:r>
      <w:bookmarkEnd w:id="0"/>
      <w:r w:rsidRPr="00B53AAB">
        <w:rPr>
          <w:rFonts w:ascii="Verdana" w:eastAsia="Century Gothic" w:hAnsi="Verdana" w:cs="Century Gothic"/>
          <w:sz w:val="20"/>
          <w:szCs w:val="20"/>
        </w:rPr>
        <w:t xml:space="preserve">En nombre de Fitch Ratings Colombia S.A. solicitamos el favor de informar de manera clara y explícita en un concepto si, bajo el marco de la ley, los contratos de prestación de servicios profesionales de calificación </w:t>
      </w:r>
      <w:r w:rsidRPr="00B53AAB">
        <w:rPr>
          <w:rFonts w:ascii="Verdana" w:eastAsia="Century Gothic" w:hAnsi="Verdana" w:cs="Century Gothic"/>
          <w:sz w:val="20"/>
          <w:szCs w:val="20"/>
        </w:rPr>
        <w:lastRenderedPageBreak/>
        <w:t>se encuentran exentos de la ley de garantías, teniendo en cuenta que esta actividad hace parte de las operaciones conexas a las de crédito público previstas en el Decreto 2681 de 1993, compilado hoy en el Decreto 1068 de 2015”.</w:t>
      </w:r>
    </w:p>
    <w:p w14:paraId="66C25422" w14:textId="77777777" w:rsidR="00B53AAB" w:rsidRPr="00B53AAB" w:rsidRDefault="00B53AAB" w:rsidP="00B53AAB">
      <w:pPr>
        <w:tabs>
          <w:tab w:val="left" w:pos="142"/>
          <w:tab w:val="left" w:pos="284"/>
        </w:tabs>
        <w:spacing w:after="0" w:line="276" w:lineRule="auto"/>
        <w:contextualSpacing/>
        <w:jc w:val="both"/>
        <w:rPr>
          <w:rFonts w:ascii="Verdana" w:eastAsia="Century Gothic" w:hAnsi="Verdana" w:cs="Century Gothic"/>
          <w:b/>
          <w:bCs/>
          <w:lang w:val="es-ES"/>
        </w:rPr>
      </w:pPr>
    </w:p>
    <w:p w14:paraId="482299A2" w14:textId="77777777" w:rsidR="00B53AAB" w:rsidRPr="00B53AAB" w:rsidRDefault="00B53AAB" w:rsidP="00B53AAB">
      <w:pPr>
        <w:spacing w:after="120" w:line="276" w:lineRule="auto"/>
        <w:ind w:firstLine="709"/>
        <w:jc w:val="both"/>
        <w:rPr>
          <w:rFonts w:ascii="Verdana" w:eastAsia="Calibri" w:hAnsi="Verdana" w:cs="Arial"/>
          <w:color w:val="000000"/>
          <w:lang w:val="es-ES" w:eastAsia="es-ES"/>
        </w:rPr>
      </w:pPr>
      <w:r w:rsidRPr="00B53AAB">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3AAB">
        <w:rPr>
          <w:rFonts w:ascii="Verdana" w:eastAsia="Calibri" w:hAnsi="Verdana" w:cs="Arial"/>
          <w:color w:val="000000"/>
          <w:szCs w:val="24"/>
          <w:lang w:val="es-ES_tradnl" w:eastAsia="es-ES_tradnl"/>
        </w:rPr>
        <w:tab/>
      </w:r>
    </w:p>
    <w:p w14:paraId="726CAA4C" w14:textId="77777777" w:rsidR="00B53AAB" w:rsidRPr="00B53AAB" w:rsidRDefault="00B53AAB" w:rsidP="00B53AAB">
      <w:pPr>
        <w:spacing w:after="0" w:line="276" w:lineRule="auto"/>
        <w:ind w:firstLine="708"/>
        <w:jc w:val="both"/>
        <w:rPr>
          <w:rFonts w:ascii="Verdana" w:eastAsia="Calibri" w:hAnsi="Verdana" w:cs="Arial"/>
          <w:lang w:val="es-ES" w:eastAsia="es-ES"/>
        </w:rPr>
      </w:pPr>
      <w:r w:rsidRPr="00B53AA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4DCE2CA1" w14:textId="77777777" w:rsidR="00B53AAB" w:rsidRPr="00B53AAB" w:rsidRDefault="00B53AAB" w:rsidP="00B53AAB">
      <w:pPr>
        <w:spacing w:after="0" w:line="276" w:lineRule="auto"/>
        <w:ind w:firstLine="709"/>
        <w:jc w:val="both"/>
        <w:rPr>
          <w:rFonts w:ascii="Verdana" w:eastAsia="Calibri" w:hAnsi="Verdana" w:cs="Arial"/>
          <w:color w:val="000000"/>
          <w:lang w:val="es-ES" w:eastAsia="es-ES"/>
        </w:rPr>
      </w:pPr>
    </w:p>
    <w:p w14:paraId="7993029D" w14:textId="77777777" w:rsidR="00B53AAB" w:rsidRPr="00B53AAB" w:rsidRDefault="00B53AAB" w:rsidP="00B53AAB">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3AAB">
        <w:rPr>
          <w:rFonts w:ascii="Verdana" w:eastAsia="Century Gothic" w:hAnsi="Verdana" w:cs="Century Gothic"/>
          <w:b/>
          <w:bCs/>
          <w:lang w:val="es-ES"/>
        </w:rPr>
        <w:t>Problema planteado:</w:t>
      </w:r>
    </w:p>
    <w:p w14:paraId="17D830FB" w14:textId="77777777" w:rsidR="00B53AAB" w:rsidRPr="00B53AAB" w:rsidRDefault="00B53AAB" w:rsidP="00B53AAB">
      <w:pPr>
        <w:tabs>
          <w:tab w:val="left" w:pos="426"/>
        </w:tabs>
        <w:spacing w:after="0" w:line="276" w:lineRule="auto"/>
        <w:jc w:val="both"/>
        <w:rPr>
          <w:rFonts w:ascii="Verdana" w:eastAsia="Century Gothic" w:hAnsi="Verdana" w:cs="Century Gothic"/>
          <w:lang w:val="es-ES"/>
        </w:rPr>
      </w:pPr>
    </w:p>
    <w:p w14:paraId="5BDBCF0B" w14:textId="77777777" w:rsidR="00B53AAB" w:rsidRPr="00B53AAB" w:rsidRDefault="00B53AAB" w:rsidP="00B53AAB">
      <w:pPr>
        <w:spacing w:after="0" w:line="276" w:lineRule="auto"/>
        <w:jc w:val="both"/>
        <w:rPr>
          <w:rFonts w:ascii="Verdana" w:eastAsia="Century Gothic" w:hAnsi="Verdana" w:cs="Century Gothic"/>
        </w:rPr>
      </w:pPr>
      <w:r w:rsidRPr="00B53AAB">
        <w:rPr>
          <w:rFonts w:ascii="Verdana" w:eastAsia="Century Gothic" w:hAnsi="Verdana" w:cs="Century Gothic"/>
        </w:rPr>
        <w:t>De acuerdo con el contenido de su solicitud, esta Agencia resolverá el siguiente problema jurídico: ¿Los contratos de prestación de servicios profesionales de calificación de riesgo, suscritos por entidades estatales con sociedades calificadoras, se encuentran exceptuados de la restricción de contratación directa prevista en el artículo 33 de la Ley 996 de 2005, al tratarse de servicios vinculados a operaciones de crédito público?</w:t>
      </w:r>
    </w:p>
    <w:p w14:paraId="1AA2CC3D" w14:textId="77777777" w:rsidR="00B53AAB" w:rsidRPr="00B53AAB" w:rsidRDefault="00B53AAB" w:rsidP="00B53AAB">
      <w:pPr>
        <w:spacing w:after="0" w:line="276" w:lineRule="auto"/>
        <w:jc w:val="both"/>
        <w:rPr>
          <w:rFonts w:ascii="Verdana" w:eastAsia="Calibri" w:hAnsi="Verdana" w:cs="Arial"/>
          <w:color w:val="7030A0"/>
        </w:rPr>
      </w:pPr>
    </w:p>
    <w:p w14:paraId="72820192" w14:textId="77777777" w:rsidR="00B53AAB" w:rsidRPr="00B53AAB" w:rsidRDefault="00B53AAB" w:rsidP="00B53A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Respuesta:</w:t>
      </w:r>
    </w:p>
    <w:p w14:paraId="00832DD6" w14:textId="77777777" w:rsidR="00B53AAB" w:rsidRPr="00B53AAB" w:rsidRDefault="00B53AAB" w:rsidP="00B53AAB">
      <w:pPr>
        <w:tabs>
          <w:tab w:val="left" w:pos="142"/>
          <w:tab w:val="left" w:pos="284"/>
        </w:tabs>
        <w:spacing w:after="0" w:line="276" w:lineRule="auto"/>
        <w:jc w:val="both"/>
        <w:rPr>
          <w:rFonts w:ascii="Verdana" w:eastAsia="Century Gothic" w:hAnsi="Verdana" w:cs="Century Gothic"/>
          <w:b/>
          <w:bCs/>
          <w:lang w:val="es-ES"/>
        </w:rPr>
      </w:pPr>
    </w:p>
    <w:tbl>
      <w:tblPr>
        <w:tblStyle w:val="Tablaconcuadrcula1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53AAB" w:rsidRPr="00B53AAB" w14:paraId="3839D432" w14:textId="77777777" w:rsidTr="00B7019D">
        <w:trPr>
          <w:jc w:val="center"/>
        </w:trPr>
        <w:tc>
          <w:tcPr>
            <w:tcW w:w="8828" w:type="dxa"/>
          </w:tcPr>
          <w:p w14:paraId="43821E85" w14:textId="77777777" w:rsidR="00B53AAB" w:rsidRPr="00B53AAB" w:rsidRDefault="00B53AAB" w:rsidP="00B53AAB">
            <w:pPr>
              <w:spacing w:after="120" w:line="276" w:lineRule="auto"/>
              <w:jc w:val="both"/>
              <w:rPr>
                <w:rFonts w:ascii="Verdana" w:hAnsi="Verdana" w:cs="Arial"/>
                <w:bCs/>
                <w:lang w:val="es-ES"/>
              </w:rPr>
            </w:pPr>
            <w:bookmarkStart w:id="1" w:name="_Hlk171694685"/>
            <w:r w:rsidRPr="00B53AAB">
              <w:rPr>
                <w:rFonts w:ascii="Verdana" w:eastAsia="Calibri" w:hAnsi="Verdana" w:cs="Arial"/>
                <w:lang w:val="es-MX"/>
              </w:rPr>
              <w:t>De acuerdo con el problema jurídico, objeto de consulta, se señala que</w:t>
            </w:r>
            <w:r w:rsidRPr="00B53AAB">
              <w:rPr>
                <w:rFonts w:ascii="Verdana" w:eastAsia="Times New Roman" w:hAnsi="Verdana" w:cs="Arial"/>
                <w:bCs/>
                <w:lang w:val="es-MX" w:eastAsia="x-none"/>
              </w:rPr>
              <w:t xml:space="preserve"> las excepciones a la restricción prevista en la Ley de Garantías, con fundamento </w:t>
            </w:r>
            <w:r w:rsidRPr="00B53AAB">
              <w:rPr>
                <w:rFonts w:ascii="Verdana" w:eastAsia="Times New Roman" w:hAnsi="Verdana" w:cs="Arial"/>
                <w:bCs/>
                <w:lang w:val="es-MX" w:eastAsia="x-none"/>
              </w:rPr>
              <w:lastRenderedPageBreak/>
              <w:t>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53AA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71D99B7F" w14:textId="77777777" w:rsidR="00B53AAB" w:rsidRPr="00B53AAB" w:rsidRDefault="00B53AAB" w:rsidP="00B53AAB">
            <w:pPr>
              <w:tabs>
                <w:tab w:val="left" w:pos="1843"/>
              </w:tabs>
              <w:spacing w:after="120" w:line="276" w:lineRule="auto"/>
              <w:ind w:firstLine="709"/>
              <w:jc w:val="both"/>
              <w:rPr>
                <w:rFonts w:ascii="Verdana" w:eastAsia="Calibri" w:hAnsi="Verdana" w:cs="Arial"/>
                <w:bCs/>
                <w:lang w:val="es-ES"/>
              </w:rPr>
            </w:pPr>
            <w:r w:rsidRPr="00B53AAB">
              <w:rPr>
                <w:rFonts w:ascii="Verdana" w:eastAsia="Calibri" w:hAnsi="Verdana" w:cs="Arial"/>
                <w:bCs/>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442F51DF" w14:textId="77777777" w:rsidR="00B53AAB" w:rsidRPr="00B53AAB" w:rsidRDefault="00B53AAB" w:rsidP="00B53AAB">
            <w:pPr>
              <w:tabs>
                <w:tab w:val="left" w:pos="1843"/>
              </w:tabs>
              <w:spacing w:after="120" w:line="276" w:lineRule="auto"/>
              <w:ind w:firstLine="709"/>
              <w:jc w:val="both"/>
              <w:rPr>
                <w:rFonts w:ascii="Verdana" w:eastAsia="Calibri" w:hAnsi="Verdana" w:cs="Arial"/>
                <w:bCs/>
                <w:sz w:val="20"/>
                <w:szCs w:val="20"/>
              </w:rPr>
            </w:pPr>
            <w:r w:rsidRPr="00B53AAB">
              <w:rPr>
                <w:rFonts w:ascii="Verdana" w:eastAsia="Calibri" w:hAnsi="Verdana" w:cs="Arial"/>
                <w:bCs/>
                <w:lang w:val="es-ES"/>
              </w:rPr>
              <w:t xml:space="preserve">En ejercicio de sus facultades reglamentarias, el Gobierno Nacional recogió la definición legal de este tipo de operaciones y la amplió mediante el Decreto 2681 de 1993, norma compilada, a su vez, en el artículo 2.2.1.1.1. del Decreto 1068 de 2015. Este último dispuso que </w:t>
            </w:r>
            <w:r w:rsidRPr="00B53AAB">
              <w:rPr>
                <w:rFonts w:ascii="Verdana" w:eastAsia="Calibri" w:hAnsi="Verdana" w:cs="Arial"/>
                <w:bCs/>
              </w:rPr>
              <w:t xml:space="preserve">“[s]on operaciones de crédito público los actos o contratos que tienen por objeto dotar a la entidad estatal de recursos, bienes o servicios con plazo para su pago o aquellas mediante las cuales la entidad actúa como deudor solidario o garante de obligaciones de pago”. Dentro de este Decreto 1068 de 2015 puede encontrarse como ejemplo de operaciones de crédito público: </w:t>
            </w:r>
            <w:r w:rsidRPr="00B53AAB">
              <w:rPr>
                <w:rFonts w:ascii="Verdana" w:eastAsia="Calibri" w:hAnsi="Verdana" w:cs="Arial"/>
                <w:bCs/>
                <w:iCs/>
              </w:rPr>
              <w:t>la contratación de empréstitos</w:t>
            </w:r>
            <w:r w:rsidRPr="00B53AAB">
              <w:rPr>
                <w:rFonts w:ascii="Verdana" w:eastAsia="Calibri" w:hAnsi="Verdana" w:cs="Arial"/>
                <w:bCs/>
              </w:rPr>
              <w:t xml:space="preserve">, celebración de operaciones de crédito público externas y sus asimiladas a nombre de la Nación, celebración de operaciones de crédito público internas y sus asimiladas a nombre de la Nación, operaciones de </w:t>
            </w:r>
            <w:r w:rsidRPr="00B53AAB">
              <w:rPr>
                <w:rFonts w:ascii="Verdana" w:eastAsia="Calibri" w:hAnsi="Verdana" w:cs="Arial"/>
                <w:bCs/>
              </w:rPr>
              <w:lastRenderedPageBreak/>
              <w:t xml:space="preserve">crédito público externas y sus asimiladas de Entidades Estatales diferentes de la Nación, operaciones de crédito público internas y sus asimiladas de entidades estatales del orden nacional diferentes a la Nación, celebración de operaciones de crédito público internas y sus asimiladas de entidades territoriales y sus descentralizadas, créditos de corto plazo, crédito de gobierno a gobierno, entre otros. </w:t>
            </w:r>
            <w:r w:rsidRPr="00B53AAB">
              <w:rPr>
                <w:rFonts w:ascii="Verdana" w:eastAsia="Calibri" w:hAnsi="Verdana" w:cs="Arial"/>
                <w:b/>
                <w:bCs/>
              </w:rPr>
              <w:t> </w:t>
            </w:r>
          </w:p>
          <w:p w14:paraId="66649FDE" w14:textId="77777777" w:rsidR="00B53AAB" w:rsidRPr="00B53AAB" w:rsidRDefault="00B53AAB" w:rsidP="00B53AAB">
            <w:pPr>
              <w:tabs>
                <w:tab w:val="left" w:pos="1843"/>
              </w:tabs>
              <w:spacing w:after="120" w:line="276" w:lineRule="auto"/>
              <w:ind w:firstLine="709"/>
              <w:jc w:val="both"/>
              <w:rPr>
                <w:rFonts w:ascii="Verdana" w:eastAsia="Calibri" w:hAnsi="Verdana" w:cs="Arial"/>
                <w:bCs/>
                <w:sz w:val="20"/>
                <w:szCs w:val="20"/>
              </w:rPr>
            </w:pPr>
            <w:r w:rsidRPr="00B53AAB">
              <w:rPr>
                <w:rFonts w:ascii="Verdana" w:eastAsia="Calibri" w:hAnsi="Verdana" w:cs="Arial"/>
                <w:bCs/>
              </w:rPr>
              <w:t>Ahora bien, con respecto a la contratación de calificadoras de riesgo, es pertinente señalar que el artículo  2.22.1.1.2 del Decreto 2555 de 2010, “por el cual se recogen y reexpiden las normas en materia del sector financiero, asegurador y del mercado de valores y se dictan otras disposiciones”, las define como: “[…] sociedades anónimas cuyo objeto social exclusivo es la calificación de valores o riesgos relacionados con la actividad financiera, aseguradora, bursátil y cualquier otra relativa al manejo, aprovechamiento e inversión de recursos captados del público”.</w:t>
            </w:r>
            <w:r w:rsidRPr="00B53AAB">
              <w:rPr>
                <w:rFonts w:ascii="Arial" w:eastAsia="Times New Roman" w:hAnsi="Arial" w:cs="Arial"/>
                <w:color w:val="000000"/>
                <w:sz w:val="21"/>
                <w:szCs w:val="21"/>
              </w:rPr>
              <w:t xml:space="preserve"> </w:t>
            </w:r>
            <w:r w:rsidRPr="00B53AAB">
              <w:rPr>
                <w:rFonts w:ascii="Verdana" w:eastAsia="Calibri" w:hAnsi="Verdana" w:cs="Arial"/>
                <w:bCs/>
              </w:rPr>
              <w:t>En este aspecto, la calificación de valores es una opinión profesional emitida por una sociedad calificadora de riesgos -SCR- acerca de la capacidad de un emisor para cumplir, de manera puntual, con el pago del capital y los intereses de sus obligaciones. Para brindar su opinión, las SCR efectúan estudios, análisis y evaluaciones exhaustivas de los emisores, aplicando metodologías que aseguren la objetividad e independencia del proceso. Estas metodologías se fundamentan en un análisis técnico riguroso de la información relevante, garantizando que las calificaciones reflejen de forma precisa la situación financiera y el nivel de riesgo asociado.</w:t>
            </w:r>
          </w:p>
          <w:p w14:paraId="3D55E8E8" w14:textId="77777777" w:rsidR="00B53AAB" w:rsidRPr="00B53AAB" w:rsidRDefault="00B53AAB" w:rsidP="00B53AAB">
            <w:pPr>
              <w:tabs>
                <w:tab w:val="left" w:pos="1843"/>
              </w:tabs>
              <w:spacing w:after="120" w:line="276" w:lineRule="auto"/>
              <w:ind w:firstLine="709"/>
              <w:jc w:val="both"/>
              <w:rPr>
                <w:rFonts w:ascii="Verdana" w:eastAsia="Calibri" w:hAnsi="Verdana" w:cs="Arial"/>
                <w:bCs/>
              </w:rPr>
            </w:pPr>
            <w:r w:rsidRPr="00B53AAB">
              <w:rPr>
                <w:rFonts w:ascii="Verdana" w:eastAsia="Calibri" w:hAnsi="Verdana" w:cs="Arial"/>
                <w:bCs/>
              </w:rPr>
              <w:t xml:space="preserve">Así las cosas, la celebración de contratos de prestación de servicios profesionales de calificación de riesgo, suscritos por entidades estatales con sociedades calificadoras, no están contemplados dentro las excepciones a la restricción de contratación directa prevista en el artículo 33 de la Ley 996 de 2005, es decir, no pueden concebirse como contratos de crédito público. En este aspecto, se precisa que, si bien la calificación de riesgo puede ser un insumo técnico utilizado por los inversionistas o por las entidades financieras para evaluar la solvencia de un emisor, su contratación no constituye en sí misma un contrato de crédito público, ni se enmarca en la gestión directa de endeudamiento del Estado. En otras palabras, se trata de un servicio de carácter consultivo y de análisis especializado, pero no de una actividad inherente a la contratación, colocación o administración de créditos públicos. </w:t>
            </w:r>
            <w:r w:rsidRPr="00B53AAB">
              <w:rPr>
                <w:rFonts w:ascii="Verdana" w:eastAsia="Calibri" w:hAnsi="Verdana" w:cs="Arial"/>
                <w:bCs/>
              </w:rPr>
              <w:lastRenderedPageBreak/>
              <w:t>Por tanto, la suscripción de contratos con sociedades calificadoras de riesgo debe observar las reglas generales de contratación estatal y no puede ampararse en la excepción prevista en el artículo 33 de la Ley 996 de 2005.</w:t>
            </w:r>
          </w:p>
          <w:p w14:paraId="23D4DD48" w14:textId="77777777" w:rsidR="00B53AAB" w:rsidRPr="00B53AAB" w:rsidRDefault="00B53AAB" w:rsidP="00B53AAB">
            <w:pPr>
              <w:spacing w:after="120" w:line="276" w:lineRule="auto"/>
              <w:ind w:firstLine="709"/>
              <w:jc w:val="both"/>
              <w:rPr>
                <w:rFonts w:ascii="Verdana" w:eastAsia="Times New Roman" w:hAnsi="Verdana" w:cs="Arial"/>
                <w:bCs/>
                <w:lang w:val="es-MX" w:eastAsia="x-none"/>
              </w:rPr>
            </w:pPr>
            <w:r w:rsidRPr="00B53AAB">
              <w:rPr>
                <w:rFonts w:ascii="Verdana" w:eastAsia="Times New Roman" w:hAnsi="Verdana" w:cs="Arial"/>
                <w:bCs/>
                <w:lang w:val="es-MX" w:eastAsia="x-none"/>
              </w:rPr>
              <w:t>Finalmente, se reitera, c</w:t>
            </w:r>
            <w:r w:rsidRPr="00B53AA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71670A">
              <w:rPr>
                <w:rFonts w:ascii="Verdana" w:eastAsia="Times New Roman" w:hAnsi="Verdana" w:cs="Arial"/>
                <w:bCs/>
                <w:vertAlign w:val="superscript"/>
                <w:lang w:val="es-MX" w:eastAsia="es-CO"/>
              </w:rPr>
              <w:footnoteReference w:id="2"/>
            </w:r>
            <w:r w:rsidRPr="00B53AAB">
              <w:rPr>
                <w:rFonts w:ascii="Verdana" w:eastAsia="Times New Roman" w:hAnsi="Verdana" w:cs="Arial"/>
                <w:bCs/>
                <w:lang w:val="es-MX" w:eastAsia="es-CO"/>
              </w:rPr>
              <w:t>. Además, también es posible que contratos celebrados previamente se continúen ejecutando con normalidad.</w:t>
            </w:r>
          </w:p>
        </w:tc>
      </w:tr>
    </w:tbl>
    <w:p w14:paraId="1D8E4F1E" w14:textId="77777777" w:rsidR="00B53AAB" w:rsidRPr="00B53AAB" w:rsidRDefault="00B53AAB" w:rsidP="00B53AAB">
      <w:pPr>
        <w:tabs>
          <w:tab w:val="left" w:pos="142"/>
          <w:tab w:val="left" w:pos="284"/>
        </w:tabs>
        <w:spacing w:after="0" w:line="276" w:lineRule="auto"/>
        <w:jc w:val="both"/>
        <w:rPr>
          <w:rFonts w:ascii="Verdana" w:eastAsia="Century Gothic" w:hAnsi="Verdana" w:cs="Century Gothic"/>
          <w:b/>
          <w:bCs/>
          <w:lang w:val="es-ES"/>
        </w:rPr>
      </w:pPr>
    </w:p>
    <w:bookmarkEnd w:id="1"/>
    <w:p w14:paraId="777DFA47" w14:textId="77777777" w:rsidR="00B53AAB" w:rsidRPr="00B53AAB" w:rsidRDefault="00B53AAB" w:rsidP="00B53A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Razones de la respuesta:</w:t>
      </w:r>
    </w:p>
    <w:p w14:paraId="36F76177" w14:textId="77777777" w:rsidR="00B53AAB" w:rsidRPr="00B53AAB" w:rsidRDefault="00B53AAB" w:rsidP="00B53AAB">
      <w:pPr>
        <w:spacing w:after="0" w:line="276" w:lineRule="auto"/>
        <w:jc w:val="both"/>
        <w:rPr>
          <w:rFonts w:ascii="Verdana" w:eastAsia="Calibri" w:hAnsi="Verdana" w:cs="Arial"/>
          <w:color w:val="7030A0"/>
          <w:lang w:val="es-ES"/>
        </w:rPr>
      </w:pPr>
    </w:p>
    <w:p w14:paraId="4B62ECD2" w14:textId="77777777" w:rsidR="00B53AAB" w:rsidRPr="00B53AAB" w:rsidRDefault="00B53AAB" w:rsidP="00B53AAB">
      <w:pPr>
        <w:spacing w:after="0" w:line="276" w:lineRule="auto"/>
        <w:jc w:val="both"/>
        <w:rPr>
          <w:rFonts w:ascii="Verdana" w:eastAsia="Calibri" w:hAnsi="Verdana" w:cs="Arial"/>
          <w:lang w:val="es-ES"/>
        </w:rPr>
      </w:pPr>
      <w:r w:rsidRPr="00B53AAB">
        <w:rPr>
          <w:rFonts w:ascii="Verdana" w:eastAsia="Calibri" w:hAnsi="Verdana" w:cs="Arial"/>
          <w:lang w:val="es-ES"/>
        </w:rPr>
        <w:t>Lo anterior se sustenta en las siguientes consideraciones:</w:t>
      </w:r>
    </w:p>
    <w:p w14:paraId="2D23FEEB" w14:textId="77777777" w:rsidR="00B53AAB" w:rsidRPr="00B53AAB" w:rsidRDefault="00B53AAB" w:rsidP="00B53AAB">
      <w:pPr>
        <w:spacing w:after="0" w:line="276" w:lineRule="auto"/>
        <w:jc w:val="both"/>
        <w:rPr>
          <w:rFonts w:ascii="Verdana" w:eastAsia="Calibri" w:hAnsi="Verdana" w:cs="Arial"/>
          <w:lang w:val="es-ES"/>
        </w:rPr>
      </w:pPr>
    </w:p>
    <w:p w14:paraId="58F753E9" w14:textId="77777777" w:rsidR="00B53AAB" w:rsidRPr="00B53AAB" w:rsidRDefault="00B53AAB" w:rsidP="00B53AAB">
      <w:pPr>
        <w:tabs>
          <w:tab w:val="left" w:pos="426"/>
        </w:tabs>
        <w:spacing w:after="120" w:line="276" w:lineRule="auto"/>
        <w:jc w:val="both"/>
        <w:rPr>
          <w:rFonts w:ascii="Verdana" w:eastAsia="Times New Roman" w:hAnsi="Verdana" w:cs="Arial"/>
          <w:lang w:eastAsia="es-CO"/>
        </w:rPr>
      </w:pPr>
      <w:r w:rsidRPr="00B53AAB">
        <w:rPr>
          <w:rFonts w:ascii="Verdana" w:eastAsia="Calibri" w:hAnsi="Verdana" w:cs="Arial"/>
        </w:rPr>
        <w:t>i. El ordenamiento jurídico colombiano contempla previsiones claras para evitar la obtención de beneficios personales en asuntos propios de la administración pública</w:t>
      </w:r>
      <w:r w:rsidRPr="00B53AAB">
        <w:rPr>
          <w:rFonts w:ascii="Verdana" w:eastAsia="Calibri" w:hAnsi="Verdana" w:cs="Arial"/>
          <w:i/>
        </w:rPr>
        <w:t xml:space="preserve">. </w:t>
      </w:r>
      <w:r w:rsidRPr="00B53AAB">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B53AAB">
        <w:rPr>
          <w:rFonts w:ascii="Verdana" w:hAnsi="Verdana"/>
          <w:vertAlign w:val="superscript"/>
        </w:rPr>
        <w:footnoteReference w:id="3"/>
      </w:r>
      <w:r w:rsidRPr="00B53AAB">
        <w:rPr>
          <w:rFonts w:ascii="Verdana" w:eastAsia="Calibri" w:hAnsi="Verdana" w:cs="Arial"/>
        </w:rPr>
        <w:t xml:space="preserve">. </w:t>
      </w:r>
    </w:p>
    <w:p w14:paraId="235B09FB" w14:textId="77777777" w:rsidR="00B53AAB" w:rsidRPr="00B53AAB" w:rsidRDefault="00B53AAB" w:rsidP="00B53AAB">
      <w:pPr>
        <w:tabs>
          <w:tab w:val="left" w:pos="426"/>
        </w:tabs>
        <w:spacing w:after="0" w:line="276" w:lineRule="auto"/>
        <w:ind w:firstLine="709"/>
        <w:jc w:val="both"/>
        <w:rPr>
          <w:rFonts w:ascii="Verdana" w:eastAsia="Calibri" w:hAnsi="Verdana" w:cs="Arial"/>
          <w:lang w:val="es-ES_tradnl"/>
        </w:rPr>
      </w:pPr>
      <w:r w:rsidRPr="00B53AAB">
        <w:rPr>
          <w:rFonts w:ascii="Verdana" w:eastAsia="Times New Roman" w:hAnsi="Verdana" w:cs="Arial"/>
          <w:lang w:eastAsia="es-CO"/>
        </w:rPr>
        <w:t>En el mismo sentido</w:t>
      </w:r>
      <w:r w:rsidRPr="00B53AAB">
        <w:rPr>
          <w:rFonts w:ascii="Verdana" w:eastAsia="Times New Roman" w:hAnsi="Verdana" w:cs="Arial"/>
          <w:lang w:val="es-MX" w:eastAsia="es-CO"/>
        </w:rPr>
        <w:t xml:space="preserve">, </w:t>
      </w:r>
      <w:bookmarkStart w:id="2" w:name="_Hlk99576829"/>
      <w:r w:rsidRPr="00B53AAB">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w:t>
      </w:r>
      <w:r w:rsidRPr="00B53AAB">
        <w:rPr>
          <w:rFonts w:ascii="Verdana" w:eastAsia="Times New Roman" w:hAnsi="Verdana" w:cs="Arial"/>
          <w:lang w:val="es-MX" w:eastAsia="es-CO"/>
        </w:rPr>
        <w:lastRenderedPageBreak/>
        <w:t>del Estado en las campañas o falta de garantías en la elección presidencial</w:t>
      </w:r>
      <w:r w:rsidRPr="00B53AAB">
        <w:rPr>
          <w:rFonts w:ascii="Verdana" w:eastAsia="Times New Roman" w:hAnsi="Verdana" w:cs="Arial"/>
          <w:vertAlign w:val="superscript"/>
          <w:lang w:val="es-MX" w:eastAsia="es-CO"/>
        </w:rPr>
        <w:footnoteReference w:id="4"/>
      </w:r>
      <w:r w:rsidRPr="00B53AAB">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B53AAB">
        <w:rPr>
          <w:rFonts w:ascii="Verdana" w:eastAsia="Calibri" w:hAnsi="Verdana" w:cs="Arial"/>
          <w:lang w:val="es-ES_tradnl"/>
        </w:rPr>
        <w:t xml:space="preserve"> </w:t>
      </w:r>
      <w:bookmarkEnd w:id="2"/>
      <w:r w:rsidRPr="00B53AAB">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69AB115" w14:textId="77777777" w:rsidR="00B53AAB" w:rsidRPr="00B53AAB" w:rsidRDefault="00B53AAB" w:rsidP="00B53AAB">
      <w:pPr>
        <w:spacing w:after="0" w:line="276" w:lineRule="auto"/>
        <w:ind w:right="709"/>
        <w:contextualSpacing/>
        <w:jc w:val="both"/>
        <w:rPr>
          <w:rFonts w:ascii="Verdana" w:eastAsia="Times New Roman" w:hAnsi="Verdana" w:cs="Arial"/>
          <w:lang w:val="es-ES" w:eastAsia="es-CO"/>
        </w:rPr>
      </w:pPr>
    </w:p>
    <w:p w14:paraId="278856BC" w14:textId="77777777" w:rsidR="00B53AAB" w:rsidRPr="00B53AAB" w:rsidRDefault="00B53AAB" w:rsidP="00B53A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ES" w:eastAsia="es-CO"/>
        </w:rPr>
        <w:t xml:space="preserve">“[…] </w:t>
      </w:r>
      <w:r w:rsidRPr="00B53AAB">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474378D" w14:textId="77777777" w:rsidR="00B53AAB" w:rsidRPr="00B53AAB" w:rsidRDefault="00B53AAB" w:rsidP="00B53A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 xml:space="preserve">[…] </w:t>
      </w:r>
    </w:p>
    <w:p w14:paraId="6983DA1C" w14:textId="77777777" w:rsidR="00B53AAB" w:rsidRPr="00B53AAB" w:rsidRDefault="00B53AAB" w:rsidP="00B53AAB">
      <w:pPr>
        <w:spacing w:after="0" w:line="240" w:lineRule="auto"/>
        <w:ind w:left="709" w:right="709"/>
        <w:contextualSpacing/>
        <w:jc w:val="both"/>
        <w:rPr>
          <w:rFonts w:ascii="Verdana" w:eastAsia="Times New Roman" w:hAnsi="Verdana" w:cs="Arial"/>
          <w:sz w:val="12"/>
          <w:szCs w:val="12"/>
          <w:lang w:val="es-MX" w:eastAsia="es-CO"/>
        </w:rPr>
      </w:pPr>
    </w:p>
    <w:p w14:paraId="025365BA" w14:textId="77777777" w:rsidR="00B53AAB" w:rsidRPr="00B53AAB" w:rsidRDefault="00B53AAB" w:rsidP="00B53A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53AAB">
        <w:rPr>
          <w:rFonts w:ascii="Verdana" w:eastAsia="Calibri" w:hAnsi="Verdana" w:cs="Arial"/>
          <w:sz w:val="20"/>
          <w:szCs w:val="20"/>
          <w:vertAlign w:val="superscript"/>
          <w:lang w:val="es-MX"/>
        </w:rPr>
        <w:footnoteReference w:id="5"/>
      </w:r>
    </w:p>
    <w:p w14:paraId="54724638" w14:textId="77777777" w:rsidR="00B53AAB" w:rsidRPr="00B53AAB" w:rsidRDefault="00B53AAB" w:rsidP="00B53AAB">
      <w:pPr>
        <w:spacing w:after="0" w:line="276" w:lineRule="auto"/>
        <w:ind w:firstLine="709"/>
        <w:jc w:val="both"/>
        <w:rPr>
          <w:rFonts w:ascii="Verdana" w:eastAsia="Times New Roman" w:hAnsi="Verdana" w:cs="Arial"/>
          <w:lang w:val="es-MX" w:eastAsia="es-CO"/>
        </w:rPr>
      </w:pPr>
      <w:bookmarkStart w:id="3" w:name="_Hlk78818186"/>
    </w:p>
    <w:p w14:paraId="3EFCAE49" w14:textId="77777777" w:rsidR="00B53AAB" w:rsidRPr="00B53AAB" w:rsidRDefault="00B53AAB" w:rsidP="00B53AAB">
      <w:pPr>
        <w:spacing w:after="0" w:line="276" w:lineRule="auto"/>
        <w:ind w:firstLine="709"/>
        <w:jc w:val="both"/>
        <w:rPr>
          <w:rFonts w:ascii="Verdana" w:eastAsia="Times New Roman" w:hAnsi="Verdana" w:cs="Arial"/>
          <w:lang w:val="es-MX" w:eastAsia="es-CO"/>
        </w:rPr>
      </w:pPr>
      <w:r w:rsidRPr="00B53AAB">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3"/>
      <w:r w:rsidRPr="00B53AAB">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7EB6EC20" w14:textId="77777777" w:rsidR="00B53AAB" w:rsidRPr="00B53AAB" w:rsidRDefault="00B53AAB" w:rsidP="00B53AAB">
      <w:pPr>
        <w:spacing w:after="0" w:line="276" w:lineRule="auto"/>
        <w:ind w:firstLine="709"/>
        <w:jc w:val="both"/>
        <w:rPr>
          <w:rFonts w:ascii="Verdana" w:eastAsia="Times New Roman" w:hAnsi="Verdana" w:cs="Arial"/>
          <w:lang w:val="es-MX" w:eastAsia="es-CO"/>
        </w:rPr>
      </w:pPr>
    </w:p>
    <w:p w14:paraId="4A8D7E03" w14:textId="77777777" w:rsidR="00B53AAB" w:rsidRPr="00B53AAB" w:rsidRDefault="00B53AAB" w:rsidP="00B53A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w:t>
      </w:r>
      <w:r w:rsidRPr="00B53AAB">
        <w:rPr>
          <w:rFonts w:ascii="Verdana" w:eastAsia="Times New Roman" w:hAnsi="Verdana" w:cs="Arial"/>
          <w:sz w:val="20"/>
          <w:szCs w:val="20"/>
          <w:lang w:val="es-MX" w:eastAsia="es-CO"/>
        </w:rPr>
        <w:lastRenderedPageBreak/>
        <w:t>régimen jurídico imperativo y de orden público, razón por la cual no son disponibles ni pueden ser derogadas, modificadas, ampliadas o adicionadas por acuerdo o convenio o acto unilateral.</w:t>
      </w:r>
    </w:p>
    <w:p w14:paraId="312812A1" w14:textId="77777777" w:rsidR="00B53AAB" w:rsidRPr="00B53AAB" w:rsidRDefault="00B53AAB" w:rsidP="00B53AAB">
      <w:pPr>
        <w:spacing w:after="0" w:line="240" w:lineRule="auto"/>
        <w:ind w:right="709"/>
        <w:contextualSpacing/>
        <w:jc w:val="both"/>
        <w:rPr>
          <w:rFonts w:ascii="Verdana" w:eastAsia="Times New Roman" w:hAnsi="Verdana" w:cs="Arial"/>
          <w:sz w:val="12"/>
          <w:szCs w:val="12"/>
          <w:lang w:val="es-MX" w:eastAsia="es-CO"/>
        </w:rPr>
      </w:pPr>
    </w:p>
    <w:p w14:paraId="695F86A6" w14:textId="77777777" w:rsidR="00B53AAB" w:rsidRPr="00B53AAB" w:rsidRDefault="00B53AAB" w:rsidP="00B53AAB">
      <w:pPr>
        <w:spacing w:after="0" w:line="240" w:lineRule="auto"/>
        <w:ind w:left="709" w:right="709"/>
        <w:contextualSpacing/>
        <w:jc w:val="both"/>
        <w:rPr>
          <w:rFonts w:ascii="Verdana" w:eastAsia="Times New Roman" w:hAnsi="Verdana" w:cs="Arial"/>
          <w:sz w:val="20"/>
          <w:szCs w:val="20"/>
          <w:lang w:val="es-MX" w:eastAsia="es-CO"/>
        </w:rPr>
      </w:pPr>
      <w:r w:rsidRPr="00B53AAB">
        <w:rPr>
          <w:rFonts w:ascii="Verdana" w:eastAsia="Times New Roman" w:hAnsi="Verdana" w:cs="Arial"/>
          <w:sz w:val="20"/>
          <w:szCs w:val="20"/>
          <w:lang w:val="es-MX" w:eastAsia="es-CO"/>
        </w:rPr>
        <w:t>La jurisprudencia de la Corte Constitucional</w:t>
      </w:r>
      <w:r w:rsidRPr="00B53AAB">
        <w:rPr>
          <w:rFonts w:ascii="Verdana" w:eastAsia="Times New Roman" w:hAnsi="Verdana" w:cs="Arial"/>
          <w:sz w:val="20"/>
          <w:szCs w:val="20"/>
          <w:vertAlign w:val="superscript"/>
          <w:lang w:val="es-MX" w:eastAsia="es-CO"/>
        </w:rPr>
        <w:footnoteReference w:id="6"/>
      </w:r>
      <w:r w:rsidRPr="00B53AAB">
        <w:rPr>
          <w:rFonts w:ascii="Verdana" w:eastAsia="Times New Roman" w:hAnsi="Verdana" w:cs="Arial"/>
          <w:sz w:val="20"/>
          <w:szCs w:val="20"/>
          <w:lang w:val="es-MX" w:eastAsia="es-CO"/>
        </w:rPr>
        <w:t> y del Consejo de Estado</w:t>
      </w:r>
      <w:r w:rsidRPr="00B53AAB">
        <w:rPr>
          <w:rFonts w:ascii="Verdana" w:eastAsia="Times New Roman" w:hAnsi="Verdana" w:cs="Arial"/>
          <w:sz w:val="20"/>
          <w:szCs w:val="20"/>
          <w:vertAlign w:val="superscript"/>
          <w:lang w:val="es-MX" w:eastAsia="es-CO"/>
        </w:rPr>
        <w:footnoteReference w:id="7"/>
      </w:r>
      <w:r w:rsidRPr="00B53AAB">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53AAB">
        <w:rPr>
          <w:rFonts w:ascii="Verdana" w:eastAsia="Times New Roman" w:hAnsi="Verdana" w:cs="Arial"/>
          <w:sz w:val="20"/>
          <w:szCs w:val="20"/>
          <w:vertAlign w:val="superscript"/>
          <w:lang w:val="es-MX" w:eastAsia="es-CO"/>
        </w:rPr>
        <w:footnoteReference w:id="8"/>
      </w:r>
      <w:r w:rsidRPr="00B53AAB">
        <w:rPr>
          <w:rFonts w:ascii="Verdana" w:eastAsia="Times New Roman" w:hAnsi="Verdana" w:cs="Arial"/>
          <w:sz w:val="20"/>
          <w:szCs w:val="20"/>
          <w:lang w:val="es-MX" w:eastAsia="es-CO"/>
        </w:rPr>
        <w:t>.</w:t>
      </w:r>
    </w:p>
    <w:p w14:paraId="10BD782E" w14:textId="77777777" w:rsidR="00B53AAB" w:rsidRPr="00B53AAB" w:rsidRDefault="00B53AAB" w:rsidP="00B53AAB">
      <w:pPr>
        <w:spacing w:after="0" w:line="276" w:lineRule="auto"/>
        <w:jc w:val="both"/>
        <w:rPr>
          <w:rFonts w:ascii="Verdana" w:eastAsia="Calibri" w:hAnsi="Verdana" w:cs="Arial"/>
          <w:bCs/>
          <w:lang w:val="es-ES_tradnl"/>
        </w:rPr>
      </w:pPr>
    </w:p>
    <w:p w14:paraId="4FB84970" w14:textId="77777777" w:rsidR="00B53AAB" w:rsidRPr="00B53AAB" w:rsidRDefault="00B53AAB" w:rsidP="00B53AAB">
      <w:pPr>
        <w:spacing w:after="0" w:line="276" w:lineRule="auto"/>
        <w:ind w:firstLine="709"/>
        <w:jc w:val="both"/>
        <w:rPr>
          <w:rFonts w:ascii="Verdana" w:eastAsia="Arial" w:hAnsi="Verdana" w:cs="Arial"/>
          <w:lang w:val="es-ES" w:eastAsia="es-ES" w:bidi="es-ES"/>
        </w:rPr>
      </w:pPr>
      <w:r w:rsidRPr="00B53AAB">
        <w:rPr>
          <w:rFonts w:ascii="Verdana" w:eastAsia="Times New Roman" w:hAnsi="Verdana" w:cs="Arial"/>
          <w:lang w:val="es-MX" w:eastAsia="es-CO"/>
        </w:rPr>
        <w:t>De</w:t>
      </w:r>
      <w:r w:rsidRPr="00B53AAB">
        <w:rPr>
          <w:rFonts w:ascii="Verdana" w:eastAsia="Arial" w:hAnsi="Verdana" w:cs="Arial"/>
          <w:lang w:val="es-ES" w:eastAsia="es-ES" w:bidi="es-ES"/>
        </w:rPr>
        <w:t xml:space="preserve"> conformidad con lo anterior, </w:t>
      </w:r>
      <w:bookmarkStart w:id="4" w:name="_Hlk77236098"/>
      <w:bookmarkStart w:id="5" w:name="_Hlk100679383"/>
      <w:r w:rsidRPr="00B53AAB">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BE62786" w14:textId="77777777" w:rsidR="00B53AAB" w:rsidRPr="00B53AAB" w:rsidRDefault="00B53AAB" w:rsidP="00B53AAB">
      <w:pPr>
        <w:spacing w:after="0" w:line="276" w:lineRule="auto"/>
        <w:ind w:firstLine="709"/>
        <w:jc w:val="both"/>
        <w:rPr>
          <w:rFonts w:ascii="Verdana" w:eastAsia="Arial" w:hAnsi="Verdana" w:cs="Arial"/>
          <w:lang w:val="es-ES" w:eastAsia="es-ES" w:bidi="es-ES"/>
        </w:rPr>
      </w:pPr>
    </w:p>
    <w:p w14:paraId="778737B6" w14:textId="77777777" w:rsidR="00B53AAB" w:rsidRPr="00B53AAB" w:rsidRDefault="00B53AAB" w:rsidP="00B53AAB">
      <w:pPr>
        <w:spacing w:after="120" w:line="276" w:lineRule="auto"/>
        <w:jc w:val="both"/>
        <w:rPr>
          <w:rFonts w:ascii="Verdana" w:eastAsia="Arial" w:hAnsi="Verdana" w:cs="Arial"/>
          <w:lang w:val="es-ES" w:eastAsia="es-ES" w:bidi="es-ES"/>
        </w:rPr>
      </w:pPr>
      <w:r w:rsidRPr="00B53AAB">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19714106" w14:textId="77777777" w:rsidR="00B53AAB" w:rsidRPr="00B53AAB" w:rsidRDefault="00B53AAB" w:rsidP="00B53AAB">
      <w:pPr>
        <w:spacing w:after="120" w:line="276" w:lineRule="auto"/>
        <w:ind w:firstLine="708"/>
        <w:jc w:val="both"/>
        <w:rPr>
          <w:rFonts w:ascii="Verdana" w:eastAsia="Calibri" w:hAnsi="Verdana" w:cs="Arial"/>
        </w:rPr>
      </w:pPr>
      <w:r w:rsidRPr="00B53AAB">
        <w:rPr>
          <w:rFonts w:ascii="Verdana" w:eastAsia="Calibri" w:hAnsi="Verdana" w:cs="Arial"/>
        </w:rPr>
        <w:t xml:space="preserve">Por un lado, el </w:t>
      </w:r>
      <w:r w:rsidRPr="00B53AAB">
        <w:rPr>
          <w:rFonts w:ascii="Verdana" w:eastAsia="Calibri" w:hAnsi="Verdana" w:cs="Arial"/>
          <w:i/>
          <w:iCs/>
        </w:rPr>
        <w:t>artículo 33 de la Ley 996 de 2005</w:t>
      </w:r>
      <w:r w:rsidRPr="00B53AAB">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w:t>
      </w:r>
      <w:r w:rsidRPr="00B53AAB">
        <w:rPr>
          <w:rFonts w:ascii="Verdana" w:eastAsia="Calibri" w:hAnsi="Verdana" w:cs="Arial"/>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53AAB">
        <w:rPr>
          <w:rFonts w:ascii="Verdana" w:eastAsia="Calibri" w:hAnsi="Verdana" w:cs="Arial"/>
          <w:vertAlign w:val="superscript"/>
        </w:rPr>
        <w:footnoteReference w:id="9"/>
      </w:r>
      <w:r w:rsidRPr="00B53AAB">
        <w:rPr>
          <w:rFonts w:ascii="Verdana" w:eastAsia="Calibri" w:hAnsi="Verdana" w:cs="Arial"/>
        </w:rPr>
        <w:t>.</w:t>
      </w:r>
    </w:p>
    <w:p w14:paraId="28D8390E" w14:textId="77777777" w:rsidR="00B53AAB" w:rsidRPr="00B53AAB" w:rsidRDefault="00B53AAB" w:rsidP="00B53AAB">
      <w:pPr>
        <w:widowControl w:val="0"/>
        <w:autoSpaceDE w:val="0"/>
        <w:autoSpaceDN w:val="0"/>
        <w:spacing w:after="120" w:line="276" w:lineRule="auto"/>
        <w:ind w:right="113" w:firstLine="709"/>
        <w:jc w:val="both"/>
        <w:rPr>
          <w:rFonts w:ascii="Verdana" w:eastAsia="Arial" w:hAnsi="Verdana" w:cs="Arial"/>
          <w:lang w:val="es-ES" w:eastAsia="es-ES" w:bidi="es-ES"/>
        </w:rPr>
      </w:pPr>
      <w:r w:rsidRPr="00B53AAB">
        <w:rPr>
          <w:rFonts w:ascii="Verdana" w:eastAsia="Calibri" w:hAnsi="Verdana" w:cs="Arial"/>
        </w:rPr>
        <w:t xml:space="preserve">Por otro lado, </w:t>
      </w:r>
      <w:r w:rsidRPr="00B53AAB">
        <w:rPr>
          <w:rFonts w:ascii="Verdana" w:eastAsia="Calibri" w:hAnsi="Verdana" w:cs="Arial"/>
          <w:i/>
          <w:iCs/>
        </w:rPr>
        <w:t>el parágrafo del artículo 38 de la Ley 996 de 2005</w:t>
      </w:r>
      <w:r w:rsidRPr="00B53AAB">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53AAB">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53AAB">
        <w:rPr>
          <w:rFonts w:ascii="Verdana" w:eastAsia="Calibri" w:hAnsi="Verdana" w:cs="Arial"/>
        </w:rPr>
        <w:t>”</w:t>
      </w:r>
      <w:bookmarkEnd w:id="5"/>
      <w:r w:rsidRPr="00B53AAB">
        <w:rPr>
          <w:rFonts w:ascii="Verdana" w:eastAsia="Calibri" w:hAnsi="Verdana" w:cs="Arial"/>
          <w:vertAlign w:val="superscript"/>
        </w:rPr>
        <w:footnoteReference w:id="10"/>
      </w:r>
      <w:r w:rsidRPr="00B53AAB">
        <w:rPr>
          <w:rFonts w:ascii="Verdana" w:eastAsia="Calibri" w:hAnsi="Verdana" w:cs="Arial"/>
          <w:lang w:val="es-MX"/>
        </w:rPr>
        <w:t>.</w:t>
      </w:r>
      <w:r w:rsidRPr="00B53AAB">
        <w:rPr>
          <w:rFonts w:ascii="Verdana" w:eastAsia="Arial" w:hAnsi="Verdana" w:cs="Arial"/>
          <w:lang w:val="es-ES" w:eastAsia="es-ES" w:bidi="es-ES"/>
        </w:rPr>
        <w:t xml:space="preserve"> </w:t>
      </w:r>
    </w:p>
    <w:p w14:paraId="0A119891" w14:textId="77777777" w:rsidR="00B53AAB" w:rsidRPr="00B53AAB" w:rsidRDefault="00B53AAB" w:rsidP="00B53AAB">
      <w:pPr>
        <w:spacing w:after="120" w:line="276" w:lineRule="auto"/>
        <w:ind w:firstLine="708"/>
        <w:jc w:val="both"/>
        <w:rPr>
          <w:rFonts w:ascii="Verdana" w:eastAsia="Times New Roman" w:hAnsi="Verdana" w:cs="Arial"/>
          <w:bCs/>
          <w:lang w:eastAsia="es-CO"/>
        </w:rPr>
      </w:pPr>
      <w:r w:rsidRPr="00B53AAB">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B53AAB">
        <w:rPr>
          <w:rFonts w:ascii="Verdana" w:eastAsia="Times New Roman" w:hAnsi="Verdana" w:cs="Arial"/>
          <w:bCs/>
          <w:lang w:eastAsia="es-CO"/>
        </w:rPr>
        <w:t>1. </w:t>
      </w:r>
      <w:r w:rsidRPr="00B53AAB">
        <w:rPr>
          <w:rFonts w:ascii="Verdana" w:eastAsia="Times New Roman" w:hAnsi="Verdana" w:cs="Arial"/>
          <w:bCs/>
          <w:i/>
          <w:iCs/>
          <w:lang w:eastAsia="es-CO"/>
        </w:rPr>
        <w:t>Gral.</w:t>
      </w:r>
      <w:r w:rsidRPr="00B53AAB">
        <w:rPr>
          <w:rFonts w:ascii="Verdana" w:eastAsia="Times New Roman" w:hAnsi="Verdana" w:cs="Arial"/>
          <w:bCs/>
          <w:lang w:eastAsia="es-CO"/>
        </w:rPr>
        <w:t xml:space="preserve"> Otorgar o firmar un contrato. 2. </w:t>
      </w:r>
      <w:r w:rsidRPr="00B53AAB">
        <w:rPr>
          <w:rFonts w:ascii="Verdana" w:eastAsia="Times New Roman" w:hAnsi="Verdana" w:cs="Arial"/>
          <w:bCs/>
          <w:i/>
          <w:iCs/>
          <w:lang w:eastAsia="es-CO"/>
        </w:rPr>
        <w:t>Proc.</w:t>
      </w:r>
      <w:r w:rsidRPr="00B53AAB">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6016BB48" w14:textId="77777777" w:rsidR="00B53AAB" w:rsidRPr="00B53AAB" w:rsidRDefault="00B53AAB" w:rsidP="00B53AAB">
      <w:pPr>
        <w:spacing w:after="120" w:line="276" w:lineRule="auto"/>
        <w:ind w:firstLine="708"/>
        <w:jc w:val="both"/>
        <w:rPr>
          <w:rFonts w:ascii="Verdana" w:eastAsia="Times New Roman" w:hAnsi="Verdana" w:cs="Arial"/>
          <w:bCs/>
          <w:lang w:val="es-ES" w:eastAsia="es-CO"/>
        </w:rPr>
      </w:pPr>
      <w:r w:rsidRPr="00B53AAB">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B53AAB">
        <w:rPr>
          <w:rFonts w:ascii="Verdana" w:eastAsia="Times New Roman" w:hAnsi="Verdana" w:cs="Arial"/>
          <w:bCs/>
          <w:lang w:val="es-ES" w:eastAsia="es-CO"/>
        </w:rPr>
        <w:t xml:space="preserve">la existencia de los contratos estatales, es decir, la producción de efectos jurídicos </w:t>
      </w:r>
      <w:r w:rsidRPr="00B53AAB">
        <w:rPr>
          <w:rFonts w:ascii="Verdana" w:eastAsia="Times New Roman" w:hAnsi="Verdana" w:cs="Arial"/>
          <w:bCs/>
          <w:lang w:val="es-ES" w:eastAsia="es-CO"/>
        </w:rPr>
        <w:lastRenderedPageBreak/>
        <w:t xml:space="preserve">en los términos del artículo 1501 </w:t>
      </w:r>
      <w:r w:rsidRPr="00B53AAB">
        <w:rPr>
          <w:rFonts w:ascii="Verdana" w:eastAsia="Times New Roman" w:hAnsi="Verdana" w:cs="Arial"/>
          <w:bCs/>
          <w:i/>
          <w:lang w:val="es-ES" w:eastAsia="es-CO"/>
        </w:rPr>
        <w:t>ibidem</w:t>
      </w:r>
      <w:r w:rsidRPr="00B53AAB">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31B935E" w14:textId="77777777" w:rsidR="00B53AAB" w:rsidRPr="00B53AAB" w:rsidRDefault="00B53AAB" w:rsidP="00B53AAB">
      <w:pPr>
        <w:spacing w:after="120" w:line="276" w:lineRule="auto"/>
        <w:ind w:firstLine="708"/>
        <w:jc w:val="both"/>
        <w:rPr>
          <w:rFonts w:ascii="Verdana" w:eastAsia="Times New Roman" w:hAnsi="Verdana" w:cs="Arial"/>
          <w:bCs/>
          <w:lang w:val="es-ES" w:eastAsia="es-CO"/>
        </w:rPr>
      </w:pPr>
      <w:r w:rsidRPr="00B53AAB">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3F171AA" w14:textId="77777777" w:rsidR="00B53AAB" w:rsidRPr="00B53AAB" w:rsidRDefault="00B53AAB" w:rsidP="00B53AAB">
      <w:pPr>
        <w:spacing w:after="120" w:line="276" w:lineRule="auto"/>
        <w:ind w:firstLine="708"/>
        <w:jc w:val="both"/>
        <w:rPr>
          <w:rFonts w:ascii="Verdana" w:eastAsia="Times New Roman" w:hAnsi="Verdana" w:cs="Arial"/>
          <w:bCs/>
          <w:lang w:val="es-ES" w:eastAsia="es-CO"/>
        </w:rPr>
      </w:pPr>
      <w:r w:rsidRPr="00B53AAB">
        <w:rPr>
          <w:rFonts w:ascii="Verdana" w:eastAsia="Times New Roman" w:hAnsi="Verdana" w:cs="Arial"/>
          <w:bCs/>
          <w:lang w:val="es-ES" w:eastAsia="es-CO"/>
        </w:rPr>
        <w:t xml:space="preserve">Asimismo, </w:t>
      </w:r>
      <w:r w:rsidRPr="00B53AA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B53AAB">
        <w:rPr>
          <w:rFonts w:ascii="Verdana" w:eastAsia="Times New Roman" w:hAnsi="Verdana" w:cs="Arial"/>
          <w:bCs/>
          <w:vertAlign w:val="superscript"/>
          <w:lang w:val="es-MX" w:eastAsia="es-CO"/>
        </w:rPr>
        <w:footnoteReference w:id="11"/>
      </w:r>
      <w:r w:rsidRPr="00B53AAB">
        <w:rPr>
          <w:rFonts w:ascii="Verdana" w:eastAsia="Times New Roman" w:hAnsi="Verdana" w:cs="Arial"/>
          <w:bCs/>
          <w:lang w:val="es-MX" w:eastAsia="es-CO"/>
        </w:rPr>
        <w:t xml:space="preserve">. </w:t>
      </w:r>
    </w:p>
    <w:p w14:paraId="50A24B8B" w14:textId="77777777" w:rsidR="00B53AAB" w:rsidRPr="00B53AAB" w:rsidRDefault="00B53AAB" w:rsidP="00B53AA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53AAB">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D38E397" w14:textId="77777777" w:rsidR="00B53AAB" w:rsidRPr="00B53AAB" w:rsidRDefault="00B53AAB" w:rsidP="00B53AAB">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A801EBB" w14:textId="77777777" w:rsidR="00B53AAB" w:rsidRPr="00B53AAB" w:rsidRDefault="00B53AAB" w:rsidP="00B53AA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B53AAB">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B53AAB">
        <w:rPr>
          <w:rFonts w:ascii="Verdana" w:eastAsia="Arial" w:hAnsi="Verdana" w:cs="Arial"/>
          <w:sz w:val="20"/>
          <w:szCs w:val="20"/>
          <w:lang w:eastAsia="es-ES" w:bidi="es-ES"/>
        </w:rPr>
        <w:t>se integran parcialmente</w:t>
      </w:r>
      <w:bookmarkEnd w:id="8"/>
      <w:r w:rsidRPr="00B53AAB">
        <w:rPr>
          <w:rFonts w:ascii="Verdana" w:eastAsia="Arial" w:hAnsi="Verdana" w:cs="Arial"/>
          <w:sz w:val="20"/>
          <w:szCs w:val="20"/>
          <w:lang w:eastAsia="es-ES" w:bidi="es-ES"/>
        </w:rPr>
        <w:t xml:space="preserve">, lo que permite concluir que </w:t>
      </w:r>
      <w:r w:rsidRPr="00B53AAB">
        <w:rPr>
          <w:rFonts w:ascii="Verdana" w:eastAsia="Arial" w:hAnsi="Verdana" w:cs="Arial"/>
          <w:sz w:val="20"/>
          <w:szCs w:val="20"/>
          <w:lang w:eastAsia="es-ES" w:bidi="es-ES"/>
        </w:rPr>
        <w:lastRenderedPageBreak/>
        <w:t>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53AAB">
        <w:rPr>
          <w:rFonts w:ascii="Verdana" w:eastAsia="Arial" w:hAnsi="Verdana" w:cs="Arial"/>
          <w:sz w:val="20"/>
          <w:szCs w:val="20"/>
          <w:vertAlign w:val="superscript"/>
          <w:lang w:eastAsia="es-ES" w:bidi="es-ES"/>
        </w:rPr>
        <w:footnoteReference w:id="12"/>
      </w:r>
    </w:p>
    <w:p w14:paraId="70279D9C" w14:textId="77777777" w:rsidR="00B53AAB" w:rsidRPr="00B53AAB" w:rsidRDefault="00B53AAB" w:rsidP="00B53AAB">
      <w:pPr>
        <w:widowControl w:val="0"/>
        <w:autoSpaceDE w:val="0"/>
        <w:autoSpaceDN w:val="0"/>
        <w:spacing w:after="0" w:line="276" w:lineRule="auto"/>
        <w:contextualSpacing/>
        <w:rPr>
          <w:rFonts w:ascii="Verdana" w:eastAsia="Arial" w:hAnsi="Verdana" w:cs="Arial"/>
          <w:lang w:val="es-ES" w:eastAsia="es-ES" w:bidi="es-ES"/>
        </w:rPr>
      </w:pPr>
    </w:p>
    <w:p w14:paraId="3AD653EC" w14:textId="77777777" w:rsidR="00B53AAB" w:rsidRPr="00B53AAB" w:rsidRDefault="00B53AAB" w:rsidP="00B53AAB">
      <w:pPr>
        <w:spacing w:after="120" w:line="276" w:lineRule="auto"/>
        <w:ind w:firstLine="709"/>
        <w:jc w:val="both"/>
        <w:rPr>
          <w:rFonts w:ascii="Verdana" w:eastAsia="Arial" w:hAnsi="Verdana" w:cs="Arial"/>
          <w:lang w:val="es-ES" w:eastAsia="es-ES" w:bidi="es-ES"/>
        </w:rPr>
      </w:pPr>
      <w:r w:rsidRPr="00B53AAB">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B53AAB">
        <w:rPr>
          <w:rFonts w:ascii="Verdana" w:eastAsia="Arial" w:hAnsi="Verdana" w:cs="Arial"/>
          <w:lang w:val="es-ES" w:eastAsia="es-ES" w:bidi="es-ES"/>
        </w:rPr>
        <w:t xml:space="preserve">la Ley 996 de 2005 establece dos (2) tipos de restricciones en materia de contratación, las cuales coinciden parcialmente. </w:t>
      </w:r>
      <w:r w:rsidRPr="00B53AAB">
        <w:rPr>
          <w:rFonts w:ascii="Verdana" w:eastAsia="Arial" w:hAnsi="Verdana" w:cs="Arial"/>
          <w:i/>
          <w:lang w:val="es-ES" w:eastAsia="es-ES" w:bidi="es-ES"/>
        </w:rPr>
        <w:t>En primer lugar</w:t>
      </w:r>
      <w:r w:rsidRPr="00B53AAB">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53AAB">
        <w:rPr>
          <w:rFonts w:ascii="Verdana" w:eastAsia="Arial" w:hAnsi="Verdana" w:cs="Arial"/>
          <w:i/>
          <w:lang w:val="es-ES" w:eastAsia="es-ES" w:bidi="es-ES"/>
        </w:rPr>
        <w:t>En segundo lugar</w:t>
      </w:r>
      <w:r w:rsidRPr="00B53AAB">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4B5E4E17" w14:textId="77777777" w:rsidR="00B53AAB" w:rsidRPr="00B53AAB" w:rsidRDefault="00B53AAB" w:rsidP="00B53AAB">
      <w:pPr>
        <w:spacing w:after="120" w:line="276" w:lineRule="auto"/>
        <w:ind w:firstLine="709"/>
        <w:jc w:val="both"/>
        <w:rPr>
          <w:rFonts w:ascii="Verdana" w:eastAsia="Arial" w:hAnsi="Verdana" w:cs="Arial"/>
          <w:lang w:val="es-ES" w:eastAsia="es-ES" w:bidi="es-ES"/>
        </w:rPr>
      </w:pPr>
      <w:r w:rsidRPr="00B53AAB">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7BE69B86" w14:textId="77777777" w:rsidR="00B53AAB" w:rsidRPr="00B53AAB" w:rsidRDefault="00B53AAB" w:rsidP="00B53AAB">
      <w:pPr>
        <w:spacing w:after="0" w:line="276" w:lineRule="auto"/>
        <w:ind w:firstLine="709"/>
        <w:jc w:val="both"/>
        <w:rPr>
          <w:rFonts w:ascii="Verdana" w:eastAsia="Arial" w:hAnsi="Verdana" w:cs="Arial"/>
          <w:lang w:val="es-ES" w:eastAsia="es-ES" w:bidi="es-ES"/>
        </w:rPr>
      </w:pPr>
      <w:r w:rsidRPr="00B53AAB">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w:t>
      </w:r>
      <w:r w:rsidRPr="00B53AAB">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8E95558" w14:textId="77777777" w:rsidR="00B53AAB" w:rsidRPr="00B53AAB" w:rsidRDefault="00B53AAB" w:rsidP="00B53AAB">
      <w:pPr>
        <w:spacing w:after="0" w:line="276" w:lineRule="auto"/>
        <w:ind w:firstLine="708"/>
        <w:jc w:val="both"/>
        <w:rPr>
          <w:rFonts w:ascii="Verdana" w:eastAsia="Arial" w:hAnsi="Verdana" w:cs="Arial"/>
          <w:lang w:val="es-ES" w:eastAsia="es-ES" w:bidi="es-ES"/>
        </w:rPr>
      </w:pPr>
      <w:r w:rsidRPr="00B53AAB">
        <w:rPr>
          <w:rFonts w:ascii="Verdana" w:eastAsia="Arial" w:hAnsi="Verdana" w:cs="Arial"/>
          <w:lang w:val="es-ES" w:eastAsia="es-ES" w:bidi="es-ES"/>
        </w:rPr>
        <w:t xml:space="preserve"> </w:t>
      </w:r>
      <w:bookmarkStart w:id="12" w:name="_Hlk78820161"/>
    </w:p>
    <w:p w14:paraId="0A7BFFF1" w14:textId="77777777" w:rsidR="00B53AAB" w:rsidRPr="00B53AAB" w:rsidRDefault="00B53AAB" w:rsidP="00B53AAB">
      <w:pPr>
        <w:spacing w:line="276" w:lineRule="auto"/>
        <w:jc w:val="both"/>
        <w:rPr>
          <w:rFonts w:ascii="Verdana" w:eastAsia="Times New Roman" w:hAnsi="Verdana" w:cs="Arial"/>
          <w:bCs/>
          <w:lang w:val="es-MX" w:eastAsia="es-CO"/>
        </w:rPr>
      </w:pPr>
      <w:r w:rsidRPr="00B53AAB">
        <w:rPr>
          <w:rFonts w:ascii="Verdana" w:eastAsia="Arial" w:hAnsi="Verdana" w:cs="Arial"/>
          <w:lang w:val="es-ES" w:eastAsia="es-ES" w:bidi="es-ES"/>
        </w:rPr>
        <w:t xml:space="preserve">iii. </w:t>
      </w:r>
      <w:bookmarkEnd w:id="12"/>
      <w:r w:rsidRPr="00B53AAB">
        <w:rPr>
          <w:rFonts w:ascii="Verdana" w:eastAsia="Times New Roman" w:hAnsi="Verdana" w:cs="Arial"/>
          <w:bCs/>
          <w:lang w:val="es-MX" w:eastAsia="x-none"/>
        </w:rPr>
        <w:t xml:space="preserve">El ámbito material de la prohibición contenida en el artículo 33 de la ley 996 de 2005 está delimitado por la expresión </w:t>
      </w:r>
      <w:r w:rsidRPr="00B53AAB">
        <w:rPr>
          <w:rFonts w:ascii="Verdana" w:eastAsia="Calibri" w:hAnsi="Verdana" w:cs="Arial"/>
          <w:bCs/>
          <w:sz w:val="20"/>
          <w:szCs w:val="20"/>
          <w:lang w:val="es-MX"/>
        </w:rPr>
        <w:t>“</w:t>
      </w:r>
      <w:r w:rsidRPr="00B53AAB">
        <w:rPr>
          <w:rFonts w:ascii="Verdana" w:eastAsia="Times New Roman" w:hAnsi="Verdana" w:cs="Arial"/>
          <w:bCs/>
          <w:lang w:val="es-MX" w:eastAsia="x-none"/>
        </w:rPr>
        <w:t>queda prohibida la contratación directa</w:t>
      </w:r>
      <w:r w:rsidRPr="00B53AAB">
        <w:rPr>
          <w:rFonts w:ascii="Verdana" w:eastAsia="Calibri" w:hAnsi="Verdana" w:cs="Arial"/>
          <w:sz w:val="20"/>
          <w:szCs w:val="20"/>
          <w:lang w:val="es-MX"/>
        </w:rPr>
        <w:t>”</w:t>
      </w:r>
      <w:r w:rsidRPr="00B53AAB">
        <w:rPr>
          <w:rFonts w:ascii="Verdana" w:eastAsia="Times New Roman" w:hAnsi="Verdana" w:cs="Arial"/>
          <w:bCs/>
          <w:lang w:val="es-MX" w:eastAsia="x-none"/>
        </w:rPr>
        <w:t xml:space="preserve">. </w:t>
      </w:r>
      <w:r w:rsidRPr="00B53AAB">
        <w:rPr>
          <w:rFonts w:ascii="Verdana" w:eastAsia="Times New Roman" w:hAnsi="Verdana" w:cs="Arial"/>
          <w:lang w:val="es-MX" w:eastAsia="es-CO"/>
        </w:rPr>
        <w:t xml:space="preserve"> A propósito de </w:t>
      </w:r>
      <w:r w:rsidRPr="00B53AAB">
        <w:rPr>
          <w:rFonts w:ascii="Verdana" w:eastAsia="Times New Roman" w:hAnsi="Verdana" w:cs="Arial"/>
          <w:lang w:eastAsia="es-CO"/>
        </w:rPr>
        <w:t>esta restricción de la Ley de Garantías Electorales, la Sala de Consulta y Servicio Civil del Consejo de Estado ha considerado que:</w:t>
      </w:r>
    </w:p>
    <w:p w14:paraId="52167466" w14:textId="77777777" w:rsidR="00B53AAB" w:rsidRPr="00B53AAB" w:rsidRDefault="00B53AAB" w:rsidP="00B53AAB">
      <w:pPr>
        <w:spacing w:after="0" w:line="240" w:lineRule="auto"/>
        <w:ind w:left="708" w:right="709"/>
        <w:jc w:val="both"/>
        <w:rPr>
          <w:rFonts w:ascii="Verdana" w:eastAsia="Calibri" w:hAnsi="Verdana" w:cs="Arial"/>
          <w:sz w:val="20"/>
          <w:szCs w:val="20"/>
          <w:lang w:val="es-MX"/>
        </w:rPr>
      </w:pPr>
    </w:p>
    <w:p w14:paraId="427C6191" w14:textId="77777777" w:rsidR="00B53AAB" w:rsidRPr="00B53AAB" w:rsidRDefault="00B53AAB" w:rsidP="00B53AAB">
      <w:pPr>
        <w:spacing w:after="120" w:line="240" w:lineRule="auto"/>
        <w:ind w:left="709" w:right="709"/>
        <w:jc w:val="both"/>
        <w:rPr>
          <w:rFonts w:ascii="Verdana" w:eastAsia="Calibri" w:hAnsi="Verdana" w:cs="Arial"/>
          <w:sz w:val="20"/>
          <w:szCs w:val="20"/>
          <w:lang w:val="es-MX"/>
        </w:rPr>
      </w:pPr>
      <w:r w:rsidRPr="00B53AAB">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53AAB">
        <w:rPr>
          <w:rFonts w:ascii="Verdana" w:eastAsia="Times New Roman" w:hAnsi="Verdana" w:cs="Arial"/>
          <w:sz w:val="20"/>
          <w:szCs w:val="20"/>
          <w:vertAlign w:val="superscript"/>
          <w:lang w:eastAsia="es-CO"/>
        </w:rPr>
        <w:footnoteReference w:id="13"/>
      </w:r>
      <w:r w:rsidRPr="00B53AAB">
        <w:rPr>
          <w:rFonts w:ascii="Verdana" w:eastAsia="Calibri" w:hAnsi="Verdana" w:cs="Arial"/>
          <w:sz w:val="20"/>
          <w:szCs w:val="20"/>
          <w:lang w:val="es-MX"/>
        </w:rPr>
        <w:t>.</w:t>
      </w:r>
    </w:p>
    <w:p w14:paraId="38B7E2D3" w14:textId="77777777" w:rsidR="00B53AAB" w:rsidRPr="00B53AAB" w:rsidRDefault="00B53AAB" w:rsidP="00B53AAB">
      <w:pPr>
        <w:spacing w:after="0" w:line="240" w:lineRule="auto"/>
        <w:ind w:left="708" w:right="709"/>
        <w:jc w:val="both"/>
        <w:rPr>
          <w:rFonts w:ascii="Verdana" w:eastAsia="Calibri" w:hAnsi="Verdana" w:cs="Arial"/>
          <w:sz w:val="20"/>
          <w:szCs w:val="20"/>
          <w:lang w:val="es-MX"/>
        </w:rPr>
      </w:pPr>
      <w:r w:rsidRPr="00B53AAB">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53AAB">
        <w:rPr>
          <w:rFonts w:ascii="Verdana" w:eastAsia="Times New Roman" w:hAnsi="Verdana" w:cs="Arial"/>
          <w:sz w:val="20"/>
          <w:szCs w:val="20"/>
          <w:vertAlign w:val="superscript"/>
          <w:lang w:val="es-MX"/>
        </w:rPr>
        <w:footnoteReference w:id="14"/>
      </w:r>
      <w:r w:rsidRPr="00B53AAB">
        <w:rPr>
          <w:rFonts w:ascii="Verdana" w:eastAsia="Times New Roman" w:hAnsi="Verdana" w:cs="Arial"/>
          <w:sz w:val="20"/>
          <w:szCs w:val="20"/>
          <w:vertAlign w:val="superscript"/>
          <w:lang w:val="es-MX"/>
        </w:rPr>
        <w:t>.</w:t>
      </w:r>
      <w:r w:rsidRPr="00B53AAB">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53AAB">
        <w:rPr>
          <w:rFonts w:ascii="Verdana" w:eastAsia="Times New Roman" w:hAnsi="Verdana" w:cs="Arial"/>
          <w:sz w:val="20"/>
          <w:szCs w:val="20"/>
          <w:vertAlign w:val="superscript"/>
          <w:lang w:eastAsia="es-CO"/>
        </w:rPr>
        <w:footnoteReference w:id="15"/>
      </w:r>
      <w:r w:rsidRPr="00B53AAB">
        <w:rPr>
          <w:rFonts w:ascii="Verdana" w:eastAsia="Calibri" w:hAnsi="Verdana" w:cs="Arial"/>
          <w:sz w:val="20"/>
          <w:szCs w:val="20"/>
          <w:lang w:val="es-MX"/>
        </w:rPr>
        <w:t xml:space="preserve"> .</w:t>
      </w:r>
    </w:p>
    <w:p w14:paraId="018588C1" w14:textId="77777777" w:rsidR="00B53AAB" w:rsidRPr="00B53AAB" w:rsidRDefault="00B53AAB" w:rsidP="00B53AAB">
      <w:pPr>
        <w:shd w:val="clear" w:color="auto" w:fill="FFFFFF"/>
        <w:spacing w:after="0" w:line="276" w:lineRule="auto"/>
        <w:ind w:firstLine="709"/>
        <w:jc w:val="both"/>
        <w:rPr>
          <w:rFonts w:ascii="Verdana" w:eastAsia="Times New Roman" w:hAnsi="Verdana" w:cs="Arial"/>
          <w:lang w:eastAsia="x-none"/>
        </w:rPr>
      </w:pPr>
    </w:p>
    <w:p w14:paraId="7ADC0E41" w14:textId="77777777" w:rsidR="00B53AAB" w:rsidRPr="00B53AAB" w:rsidRDefault="00B53AAB" w:rsidP="00B53AAB">
      <w:pPr>
        <w:spacing w:after="120" w:line="276" w:lineRule="auto"/>
        <w:ind w:firstLine="708"/>
        <w:jc w:val="both"/>
        <w:rPr>
          <w:rFonts w:ascii="Verdana" w:eastAsia="Times New Roman" w:hAnsi="Verdana" w:cs="Arial"/>
          <w:bCs/>
          <w:lang w:eastAsia="x-none"/>
        </w:rPr>
      </w:pPr>
      <w:r w:rsidRPr="00B53AAB">
        <w:rPr>
          <w:rFonts w:ascii="Verdana" w:eastAsia="Times New Roman" w:hAnsi="Verdana" w:cs="Arial"/>
          <w:lang w:eastAsia="x-none"/>
        </w:rPr>
        <w:t xml:space="preserve">De acuerdo con el citado concepto, la prohibición del artículo 33 de la Ley de Garantías Electorales se refiere a </w:t>
      </w:r>
      <w:r w:rsidRPr="00B53AAB">
        <w:rPr>
          <w:rFonts w:ascii="Verdana" w:eastAsia="Times New Roman" w:hAnsi="Verdana" w:cs="Arial"/>
          <w:sz w:val="19"/>
          <w:szCs w:val="19"/>
          <w:lang w:eastAsia="en-GB"/>
        </w:rPr>
        <w:t>“</w:t>
      </w:r>
      <w:r w:rsidRPr="00B53AAB">
        <w:rPr>
          <w:rFonts w:ascii="Verdana" w:eastAsia="Times New Roman" w:hAnsi="Verdana" w:cs="Arial"/>
          <w:lang w:eastAsia="x-none"/>
        </w:rPr>
        <w:t>cualquier sistema que no implique convocatoria pública y posibilidad de pluralidad de oferentes</w:t>
      </w:r>
      <w:r w:rsidRPr="00B53AAB">
        <w:rPr>
          <w:rFonts w:ascii="Verdana" w:eastAsia="Times New Roman" w:hAnsi="Verdana" w:cs="Arial"/>
          <w:lang w:eastAsia="en-GB"/>
        </w:rPr>
        <w:t>”</w:t>
      </w:r>
      <w:r w:rsidRPr="00B53AA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B53AAB">
        <w:rPr>
          <w:rFonts w:ascii="Verdana" w:eastAsia="Times New Roman" w:hAnsi="Verdana" w:cs="Arial"/>
          <w:lang w:val="es-ES_tradnl" w:eastAsia="x-none"/>
        </w:rPr>
        <w:t>y la mínima cuantía</w:t>
      </w:r>
      <w:r w:rsidRPr="00B53AAB" w:rsidDel="00A85D9F">
        <w:rPr>
          <w:rFonts w:ascii="Verdana" w:eastAsia="Times New Roman" w:hAnsi="Verdana" w:cs="Arial"/>
          <w:lang w:eastAsia="x-none"/>
        </w:rPr>
        <w:t xml:space="preserve"> </w:t>
      </w:r>
      <w:r w:rsidRPr="00B53AA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B53AAB">
        <w:rPr>
          <w:rFonts w:ascii="Verdana" w:eastAsia="Times New Roman" w:hAnsi="Verdana" w:cs="Arial"/>
          <w:vertAlign w:val="superscript"/>
          <w:lang w:val="en-GB" w:eastAsia="x-none"/>
        </w:rPr>
        <w:footnoteReference w:id="16"/>
      </w:r>
      <w:r w:rsidRPr="00B53AAB">
        <w:rPr>
          <w:rFonts w:ascii="Verdana" w:eastAsia="Times New Roman" w:hAnsi="Verdana" w:cs="Arial"/>
          <w:lang w:eastAsia="x-none"/>
        </w:rPr>
        <w:t xml:space="preserve"> y sistematizó las causales de contratación directa</w:t>
      </w:r>
      <w:r w:rsidRPr="00B53AAB">
        <w:rPr>
          <w:rFonts w:ascii="Verdana" w:eastAsia="Times New Roman" w:hAnsi="Verdana" w:cs="Arial"/>
          <w:vertAlign w:val="superscript"/>
          <w:lang w:val="en-GB" w:eastAsia="x-none"/>
        </w:rPr>
        <w:footnoteReference w:id="17"/>
      </w:r>
      <w:r w:rsidRPr="00B53AAB">
        <w:rPr>
          <w:rFonts w:ascii="Verdana" w:eastAsia="Times New Roman" w:hAnsi="Verdana" w:cs="Arial"/>
          <w:lang w:eastAsia="x-none"/>
        </w:rPr>
        <w:t xml:space="preserve">, </w:t>
      </w:r>
      <w:r w:rsidRPr="00B53AA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71BD204" w14:textId="77777777" w:rsidR="00B53AAB" w:rsidRPr="00B53AAB" w:rsidRDefault="00B53AAB" w:rsidP="00B53AAB">
      <w:pPr>
        <w:spacing w:after="120" w:line="276" w:lineRule="auto"/>
        <w:ind w:firstLine="708"/>
        <w:jc w:val="both"/>
        <w:rPr>
          <w:rFonts w:ascii="Verdana" w:eastAsia="Times New Roman" w:hAnsi="Verdana" w:cs="Arial"/>
          <w:lang w:val="es-MX" w:eastAsia="x-none"/>
        </w:rPr>
      </w:pPr>
      <w:r w:rsidRPr="00B53AAB">
        <w:rPr>
          <w:rFonts w:ascii="Verdana" w:eastAsia="Times New Roman" w:hAnsi="Verdana" w:cs="Arial"/>
          <w:lang w:eastAsia="x-none"/>
        </w:rPr>
        <w:t xml:space="preserve">De esta forma, con fundamento en la evolución de la normativa sobre la contratación pública, se ha depurado la noción de </w:t>
      </w:r>
      <w:r w:rsidRPr="00B53AAB">
        <w:rPr>
          <w:rFonts w:ascii="Verdana" w:eastAsia="Times New Roman" w:hAnsi="Verdana" w:cs="Arial"/>
          <w:sz w:val="19"/>
          <w:szCs w:val="19"/>
          <w:lang w:eastAsia="en-GB"/>
        </w:rPr>
        <w:t>“</w:t>
      </w:r>
      <w:r w:rsidRPr="00B53AAB">
        <w:rPr>
          <w:rFonts w:ascii="Verdana" w:eastAsia="Times New Roman" w:hAnsi="Verdana" w:cs="Arial"/>
          <w:lang w:eastAsia="x-none"/>
        </w:rPr>
        <w:t>contratación directa</w:t>
      </w:r>
      <w:r w:rsidRPr="00B53AAB">
        <w:rPr>
          <w:rFonts w:ascii="Verdana" w:eastAsia="Times New Roman" w:hAnsi="Verdana" w:cs="Arial"/>
          <w:lang w:eastAsia="en-GB"/>
        </w:rPr>
        <w:t>”</w:t>
      </w:r>
      <w:r w:rsidRPr="00B53AAB">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B53AAB">
        <w:rPr>
          <w:rFonts w:ascii="Verdana" w:eastAsia="Times New Roman" w:hAnsi="Verdana" w:cs="Arial"/>
          <w:vertAlign w:val="superscript"/>
          <w:lang w:val="en-GB" w:eastAsia="x-none"/>
        </w:rPr>
        <w:footnoteReference w:id="18"/>
      </w:r>
      <w:r w:rsidRPr="00B53AAB">
        <w:rPr>
          <w:rFonts w:ascii="Verdana" w:eastAsia="Times New Roman" w:hAnsi="Verdana" w:cs="Arial"/>
          <w:lang w:eastAsia="x-none"/>
        </w:rPr>
        <w:t>, han establecido sistemas de contratación que implican convocatoria pública y participación de varios oferentes</w:t>
      </w:r>
      <w:r w:rsidRPr="00B53AAB">
        <w:rPr>
          <w:rFonts w:ascii="Verdana" w:eastAsia="Times New Roman" w:hAnsi="Verdana" w:cs="Arial"/>
          <w:lang w:eastAsia="en-GB"/>
        </w:rPr>
        <w:t>”</w:t>
      </w:r>
      <w:r w:rsidRPr="00B53AAB">
        <w:rPr>
          <w:rFonts w:ascii="Verdana" w:eastAsia="Times New Roman" w:hAnsi="Verdana" w:cs="Arial"/>
          <w:lang w:eastAsia="x-none"/>
        </w:rPr>
        <w:t xml:space="preserve">. </w:t>
      </w:r>
    </w:p>
    <w:p w14:paraId="3154D951" w14:textId="77777777" w:rsidR="00B53AAB" w:rsidRPr="00B53AAB" w:rsidRDefault="00B53AAB" w:rsidP="00B53AAB">
      <w:pPr>
        <w:spacing w:after="120" w:line="276" w:lineRule="auto"/>
        <w:ind w:firstLine="708"/>
        <w:jc w:val="both"/>
        <w:rPr>
          <w:rFonts w:ascii="Verdana" w:eastAsia="Times New Roman" w:hAnsi="Verdana" w:cs="Arial"/>
          <w:lang w:eastAsia="x-none"/>
        </w:rPr>
      </w:pPr>
      <w:r w:rsidRPr="00B53AAB">
        <w:rPr>
          <w:rFonts w:ascii="Verdana" w:eastAsia="Times New Roman" w:hAnsi="Verdana" w:cs="Arial"/>
          <w:bCs/>
          <w:lang w:val="es-MX" w:eastAsia="x-none"/>
        </w:rPr>
        <w:t>E</w:t>
      </w:r>
      <w:r w:rsidRPr="00B53AA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B53AAB">
        <w:rPr>
          <w:rFonts w:ascii="Verdana" w:eastAsia="Times New Roman" w:hAnsi="Verdana" w:cs="Arial"/>
          <w:lang w:eastAsia="x-none"/>
        </w:rPr>
        <w:lastRenderedPageBreak/>
        <w:t>inscribirse en forma previa se haga de manera pública, y que se permita la participación de una pluralidad de oferentes</w:t>
      </w:r>
      <w:r w:rsidRPr="00B53AAB">
        <w:rPr>
          <w:rFonts w:ascii="Verdana" w:eastAsia="Times New Roman" w:hAnsi="Verdana" w:cs="Arial"/>
          <w:vertAlign w:val="superscript"/>
          <w:lang w:eastAsia="x-none"/>
        </w:rPr>
        <w:footnoteReference w:id="19"/>
      </w:r>
      <w:r w:rsidRPr="00B53AAB">
        <w:rPr>
          <w:rFonts w:ascii="Verdana" w:eastAsia="Times New Roman" w:hAnsi="Verdana" w:cs="Arial"/>
          <w:lang w:eastAsia="x-none"/>
        </w:rPr>
        <w:t xml:space="preserve">. </w:t>
      </w:r>
    </w:p>
    <w:p w14:paraId="1F21C78D" w14:textId="77777777" w:rsidR="00B53AAB" w:rsidRPr="00B53AAB" w:rsidRDefault="00B53AAB" w:rsidP="00B53AAB">
      <w:pPr>
        <w:spacing w:after="120" w:line="276" w:lineRule="auto"/>
        <w:ind w:firstLine="708"/>
        <w:jc w:val="both"/>
        <w:rPr>
          <w:rFonts w:ascii="Verdana" w:eastAsia="Times New Roman" w:hAnsi="Verdana" w:cs="Arial"/>
          <w:bCs/>
          <w:lang w:val="es-MX" w:eastAsia="es-CO"/>
        </w:rPr>
      </w:pPr>
      <w:r w:rsidRPr="00B53AA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 En esta línea</w:t>
      </w:r>
      <w:r w:rsidRPr="00B53AAB">
        <w:rPr>
          <w:rFonts w:ascii="Verdana" w:eastAsia="Times New Roman" w:hAnsi="Verdana" w:cs="Arial"/>
          <w:bCs/>
          <w:lang w:val="es-MX" w:eastAsia="x-none"/>
        </w:rPr>
        <w:t>,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B53AAB">
        <w:rPr>
          <w:rFonts w:ascii="Verdana" w:eastAsia="Times New Roman" w:hAnsi="Verdana" w:cs="Arial"/>
          <w:vertAlign w:val="superscript"/>
          <w:lang w:eastAsia="x-none"/>
        </w:rPr>
        <w:footnoteReference w:id="20"/>
      </w:r>
      <w:r w:rsidRPr="00B53AAB">
        <w:rPr>
          <w:rFonts w:ascii="Verdana" w:eastAsia="Times New Roman" w:hAnsi="Verdana" w:cs="Arial"/>
          <w:bCs/>
          <w:lang w:val="es-MX" w:eastAsia="x-none"/>
        </w:rPr>
        <w:t>.</w:t>
      </w:r>
      <w:r w:rsidRPr="00B53AAB">
        <w:rPr>
          <w:rFonts w:ascii="Verdana" w:eastAsia="Times New Roman" w:hAnsi="Verdana" w:cs="Arial"/>
          <w:vertAlign w:val="superscript"/>
          <w:lang w:eastAsia="x-none"/>
        </w:rPr>
        <w:t xml:space="preserve"> </w:t>
      </w:r>
    </w:p>
    <w:p w14:paraId="6DF13EDE" w14:textId="77777777" w:rsidR="00B53AAB" w:rsidRPr="00B53AAB" w:rsidRDefault="00B53AAB" w:rsidP="00B53AAB">
      <w:pPr>
        <w:spacing w:after="120" w:line="276" w:lineRule="auto"/>
        <w:ind w:firstLine="708"/>
        <w:jc w:val="both"/>
        <w:rPr>
          <w:rFonts w:ascii="Verdana" w:eastAsia="Times New Roman" w:hAnsi="Verdana" w:cs="Arial"/>
          <w:lang w:eastAsia="x-none"/>
        </w:rPr>
      </w:pPr>
      <w:r w:rsidRPr="00B53AA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B53AA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B05B1E6" w14:textId="77777777" w:rsidR="00B53AAB" w:rsidRPr="00B53AAB" w:rsidRDefault="00B53AAB" w:rsidP="00B53AAB">
      <w:pPr>
        <w:spacing w:after="120" w:line="276" w:lineRule="auto"/>
        <w:ind w:firstLine="708"/>
        <w:jc w:val="both"/>
        <w:rPr>
          <w:rFonts w:ascii="Verdana" w:eastAsia="Times New Roman" w:hAnsi="Verdana" w:cs="Arial"/>
          <w:bCs/>
          <w:lang w:val="es-MX" w:eastAsia="es-CO"/>
        </w:rPr>
      </w:pPr>
      <w:r w:rsidRPr="00B53AA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w:t>
      </w:r>
      <w:r w:rsidRPr="00B53AAB">
        <w:rPr>
          <w:rFonts w:ascii="Verdana" w:eastAsia="Times New Roman" w:hAnsi="Verdana" w:cs="Arial"/>
          <w:bCs/>
          <w:lang w:val="es-MX" w:eastAsia="x-none"/>
        </w:rPr>
        <w:lastRenderedPageBreak/>
        <w:t>comunicaciones, en caso de que hayan sido objeto de atentados, acciones terroristas, desastres naturales o casos de fuerza mayor; y, v) los que deban realizar las entidades sanitarias y hospitalarias.</w:t>
      </w:r>
      <w:r w:rsidRPr="00B53AA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Al respecto, l</w:t>
      </w:r>
      <w:r w:rsidRPr="00B53AAB">
        <w:rPr>
          <w:rFonts w:ascii="Verdana" w:hAnsi="Verdana" w:cs="Arial"/>
          <w:bCs/>
          <w:lang w:val="es-ES"/>
        </w:rPr>
        <w:t xml:space="preserve">a Sala de Consulta y Servicio Civil del Consejo de Estado, en concepto del 4 de febrero de 2010, se pronunció frente a las razones por las que el legislador consagró excepciones al artículo 33 de la Ley de Garantías Electorales en los siguientes términos: </w:t>
      </w:r>
      <w:r w:rsidRPr="00B53AAB">
        <w:rPr>
          <w:rFonts w:ascii="Verdana" w:hAnsi="Verdana" w:cs="Arial"/>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B53AAB">
        <w:rPr>
          <w:rFonts w:ascii="Verdana" w:hAnsi="Verdana" w:cs="Arial"/>
          <w:vertAlign w:val="superscript"/>
          <w:lang w:val="es-ES" w:eastAsia="es-CO"/>
        </w:rPr>
        <w:footnoteReference w:id="21"/>
      </w:r>
      <w:r w:rsidRPr="00B53AAB">
        <w:rPr>
          <w:rFonts w:ascii="Verdana" w:hAnsi="Verdana" w:cs="Arial"/>
          <w:lang w:val="es-ES" w:eastAsia="es-CO"/>
        </w:rPr>
        <w:t xml:space="preserve">”. </w:t>
      </w:r>
    </w:p>
    <w:p w14:paraId="0486AA16" w14:textId="77777777" w:rsidR="00B53AAB" w:rsidRPr="00B53AAB" w:rsidRDefault="00B53AAB" w:rsidP="00B53AAB">
      <w:pPr>
        <w:tabs>
          <w:tab w:val="left" w:pos="426"/>
          <w:tab w:val="left" w:pos="1843"/>
        </w:tabs>
        <w:spacing w:before="120" w:after="120" w:line="276" w:lineRule="auto"/>
        <w:ind w:firstLine="709"/>
        <w:jc w:val="both"/>
        <w:rPr>
          <w:rFonts w:ascii="Verdana" w:hAnsi="Verdana" w:cs="Arial"/>
          <w:shd w:val="clear" w:color="auto" w:fill="FFFFFF"/>
          <w:lang w:val="es-ES"/>
        </w:rPr>
      </w:pPr>
      <w:r w:rsidRPr="00B53AAB">
        <w:rPr>
          <w:rFonts w:ascii="Verdana" w:hAnsi="Verdana" w:cs="Arial"/>
          <w:bCs/>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B53AAB">
        <w:rPr>
          <w:rFonts w:ascii="Verdana" w:hAnsi="Verdana" w:cs="Arial"/>
          <w:lang w:val="es-ES"/>
        </w:rPr>
        <w:t xml:space="preserve">, mencionó las excepciones a la prohibición del artículo 33 de la Ley de Garantías Electorales, resaltando su carácter taxativo, y señalando la independencia de los supuestos, así: “[…] </w:t>
      </w:r>
      <w:r w:rsidRPr="00B53AAB">
        <w:rPr>
          <w:rFonts w:ascii="Verdana" w:hAnsi="Verdana" w:cs="Arial"/>
          <w:i/>
          <w:lang w:val="es-ES"/>
        </w:rPr>
        <w:t xml:space="preserve">Las excepciones aplicables a la restricción de contratación pública. </w:t>
      </w:r>
      <w:r w:rsidRPr="00B53AAB">
        <w:rPr>
          <w:rFonts w:ascii="Verdana" w:hAnsi="Verdana" w:cs="Arial"/>
          <w:shd w:val="clear" w:color="auto" w:fill="FFFFFF"/>
          <w:lang w:val="es-ES"/>
        </w:rPr>
        <w:t>Ahora bien, las únicas excepciones a las disposiciones previstas en la Ley de Garantías se encuentran numeradas taxativamente en el último inciso del artículo 33 de la ley 996 de 2005 […]”</w:t>
      </w:r>
      <w:r w:rsidRPr="00B53AAB">
        <w:rPr>
          <w:rFonts w:ascii="Verdana" w:hAnsi="Verdana" w:cs="Arial"/>
          <w:shd w:val="clear" w:color="auto" w:fill="FFFFFF"/>
          <w:vertAlign w:val="superscript"/>
          <w:lang w:val="es-ES"/>
        </w:rPr>
        <w:footnoteReference w:id="22"/>
      </w:r>
      <w:r w:rsidRPr="00B53AAB">
        <w:rPr>
          <w:rFonts w:ascii="Verdana" w:hAnsi="Verdana" w:cs="Arial"/>
          <w:shd w:val="clear" w:color="auto" w:fill="FFFFFF"/>
          <w:lang w:val="es-ES"/>
        </w:rPr>
        <w:t>.</w:t>
      </w:r>
    </w:p>
    <w:p w14:paraId="3D37C630" w14:textId="77777777" w:rsidR="00B53AAB" w:rsidRPr="00B53AAB" w:rsidRDefault="00B53AAB" w:rsidP="00B53AAB">
      <w:pPr>
        <w:tabs>
          <w:tab w:val="left" w:pos="426"/>
          <w:tab w:val="left" w:pos="1843"/>
        </w:tabs>
        <w:spacing w:after="120" w:line="276" w:lineRule="auto"/>
        <w:ind w:firstLine="709"/>
        <w:jc w:val="both"/>
        <w:rPr>
          <w:rFonts w:ascii="Verdana" w:hAnsi="Verdana" w:cs="Arial"/>
          <w:bCs/>
          <w:lang w:val="es-ES"/>
        </w:rPr>
      </w:pPr>
      <w:r w:rsidRPr="00B53AAB">
        <w:rPr>
          <w:rFonts w:ascii="Verdana" w:hAnsi="Verdana" w:cs="Arial"/>
          <w:bCs/>
          <w:lang w:val="es-ES"/>
        </w:rPr>
        <w:t xml:space="preserve">Lo anterior implica que las excepciones al artículo 33 en comento deben interpretarse y aplicarse de manera </w:t>
      </w:r>
      <w:r w:rsidRPr="00B53AAB">
        <w:rPr>
          <w:rFonts w:ascii="Verdana" w:hAnsi="Verdana" w:cs="Arial"/>
          <w:bCs/>
          <w:i/>
          <w:iCs/>
          <w:lang w:val="es-ES"/>
        </w:rPr>
        <w:t>estricta</w:t>
      </w:r>
      <w:r w:rsidRPr="00B53AAB">
        <w:rPr>
          <w:rFonts w:ascii="Verdana" w:hAnsi="Verdana" w:cs="Arial"/>
          <w:bCs/>
          <w:lang w:val="es-ES"/>
        </w:rPr>
        <w:t>. En otros términos, no es factible hacer interpretaciones extensivas</w:t>
      </w:r>
      <w:r w:rsidRPr="00B53AAB">
        <w:rPr>
          <w:rFonts w:ascii="Verdana" w:hAnsi="Verdana" w:cs="Arial"/>
          <w:bCs/>
          <w:i/>
          <w:iCs/>
          <w:lang w:val="es-ES"/>
        </w:rPr>
        <w:t xml:space="preserve"> </w:t>
      </w:r>
      <w:r w:rsidRPr="00B53AAB">
        <w:rPr>
          <w:rFonts w:ascii="Verdana" w:hAnsi="Verdana" w:cs="Arial"/>
          <w:bCs/>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FBB021F" w14:textId="77777777" w:rsidR="00B53AAB" w:rsidRPr="00B53AAB" w:rsidRDefault="00B53AAB" w:rsidP="00B53AAB">
      <w:pPr>
        <w:tabs>
          <w:tab w:val="left" w:pos="1843"/>
        </w:tabs>
        <w:spacing w:after="120" w:line="276" w:lineRule="auto"/>
        <w:ind w:firstLine="709"/>
        <w:jc w:val="both"/>
        <w:rPr>
          <w:rFonts w:ascii="Verdana" w:eastAsia="Calibri" w:hAnsi="Verdana" w:cs="Arial"/>
          <w:bCs/>
          <w:lang w:val="es-ES"/>
        </w:rPr>
      </w:pPr>
      <w:r w:rsidRPr="00B53AAB">
        <w:rPr>
          <w:rFonts w:ascii="Verdana" w:eastAsia="Calibri" w:hAnsi="Verdana" w:cs="Arial"/>
          <w:bCs/>
          <w:lang w:val="es-ES"/>
        </w:rPr>
        <w:lastRenderedPageBreak/>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644D1B34" w14:textId="77777777" w:rsidR="00B53AAB" w:rsidRPr="00B53AAB" w:rsidRDefault="00B53AAB" w:rsidP="00B53AAB">
      <w:pPr>
        <w:tabs>
          <w:tab w:val="left" w:pos="1843"/>
        </w:tabs>
        <w:spacing w:after="0" w:line="276" w:lineRule="auto"/>
        <w:ind w:firstLine="709"/>
        <w:jc w:val="both"/>
        <w:rPr>
          <w:rFonts w:ascii="Verdana" w:eastAsia="Calibri" w:hAnsi="Verdana" w:cs="Arial"/>
          <w:bCs/>
        </w:rPr>
      </w:pPr>
      <w:r w:rsidRPr="00B53AAB">
        <w:rPr>
          <w:rFonts w:ascii="Verdana" w:eastAsia="Calibri" w:hAnsi="Verdana" w:cs="Arial"/>
          <w:bCs/>
          <w:lang w:val="es-ES"/>
        </w:rPr>
        <w:t>En ejercicio de sus facultades reglamentarias, el Gobierno Nacional recogió la definición legal de este tipo de operaciones y la amplió mediante el Decreto 2681 de 1993</w:t>
      </w:r>
      <w:r w:rsidRPr="00B53AAB">
        <w:rPr>
          <w:rFonts w:ascii="Verdana" w:eastAsia="Calibri" w:hAnsi="Verdana" w:cs="Arial"/>
          <w:bCs/>
          <w:vertAlign w:val="superscript"/>
          <w:lang w:val="es-ES"/>
        </w:rPr>
        <w:footnoteReference w:id="23"/>
      </w:r>
      <w:r w:rsidRPr="00B53AAB">
        <w:rPr>
          <w:rFonts w:ascii="Verdana" w:eastAsia="Calibri" w:hAnsi="Verdana" w:cs="Arial"/>
          <w:bCs/>
          <w:lang w:val="es-ES"/>
        </w:rPr>
        <w:t>, norma compilada, a su vez, en el artículo 2.2.1.1.1. del Decreto 1068 de 2015</w:t>
      </w:r>
      <w:r w:rsidRPr="00B53AAB">
        <w:rPr>
          <w:rFonts w:ascii="Verdana" w:eastAsia="Calibri" w:hAnsi="Verdana" w:cs="Arial"/>
          <w:bCs/>
          <w:vertAlign w:val="superscript"/>
          <w:lang w:val="es-ES"/>
        </w:rPr>
        <w:footnoteReference w:id="24"/>
      </w:r>
      <w:r w:rsidRPr="00B53AAB">
        <w:rPr>
          <w:rFonts w:ascii="Verdana" w:eastAsia="Calibri" w:hAnsi="Verdana" w:cs="Arial"/>
          <w:bCs/>
          <w:lang w:val="es-ES"/>
        </w:rPr>
        <w:t xml:space="preserve">. Este último dispuso que </w:t>
      </w:r>
      <w:r w:rsidRPr="00B53AAB">
        <w:rPr>
          <w:rFonts w:ascii="Verdana" w:eastAsia="Calibri" w:hAnsi="Verdana" w:cs="Arial"/>
          <w:bCs/>
        </w:rPr>
        <w:t>“[s]on operaciones de crédito público los actos o contratos que tienen por objeto dotar a la entidad estatal de recursos, bienes o servicios con plazo para su pago o aquellas mediante las cuales la entidad actúa como deudor solidario o garante de obligaciones de pago”. Así mismo, en el inciso segundo en el artículo en mención prescribe:</w:t>
      </w:r>
    </w:p>
    <w:p w14:paraId="7D197FB7" w14:textId="77777777" w:rsidR="00B53AAB" w:rsidRPr="00B53AAB" w:rsidRDefault="00B53AAB" w:rsidP="00B53AAB">
      <w:pPr>
        <w:tabs>
          <w:tab w:val="left" w:pos="1843"/>
        </w:tabs>
        <w:spacing w:after="0" w:line="276" w:lineRule="auto"/>
        <w:ind w:firstLine="709"/>
        <w:jc w:val="both"/>
        <w:rPr>
          <w:rFonts w:ascii="Verdana" w:eastAsia="Calibri" w:hAnsi="Verdana" w:cs="Arial"/>
          <w:bCs/>
        </w:rPr>
      </w:pPr>
      <w:r w:rsidRPr="00B53AAB">
        <w:rPr>
          <w:rFonts w:ascii="Verdana" w:eastAsia="Calibri" w:hAnsi="Verdana" w:cs="Arial"/>
          <w:bCs/>
        </w:rPr>
        <w:t xml:space="preserve"> </w:t>
      </w:r>
    </w:p>
    <w:p w14:paraId="564589EA" w14:textId="77777777" w:rsidR="00B53AAB" w:rsidRPr="00B53AAB" w:rsidRDefault="00B53AAB" w:rsidP="00B53AAB">
      <w:pPr>
        <w:tabs>
          <w:tab w:val="left" w:pos="1843"/>
        </w:tabs>
        <w:spacing w:after="0" w:line="276"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Son operaciones asimiladas a las operaciones de crédito público, aquellas en virtud de las cuales la entidad estatal contrae obligaciones dinerarias con plazo para el pago sin que se dote de recursos, bienes o servicios. Dentro de estas operaciones se encuentran los contratos de leasing financiero, el factoring con recurso, los créditos documentarios cuando el banco emisor de la carta de crédito otorgue un plazo para cubrir el valor de su utilización y la novación o modificación de obligaciones, cuando la nueva obligación implique el otorgamiento de un plazo para el pago. Las operaciones asimiladas que tengan un plazo para el pago igual o menor a un (1) año están autorizadas por vía general y no requerirán los conceptos mencionados en el parágrafo 2° del artículo 41 de la Ley 80 de 1993. </w:t>
      </w:r>
    </w:p>
    <w:p w14:paraId="44C8A85B" w14:textId="77777777" w:rsidR="00B53AAB" w:rsidRPr="00B53AAB" w:rsidRDefault="00B53AAB" w:rsidP="00B53AAB">
      <w:pPr>
        <w:tabs>
          <w:tab w:val="left" w:pos="1843"/>
        </w:tabs>
        <w:spacing w:after="0" w:line="276"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 </w:t>
      </w:r>
    </w:p>
    <w:p w14:paraId="60EF766F" w14:textId="77777777" w:rsidR="00B53AAB" w:rsidRPr="00B53AAB" w:rsidRDefault="00B53AAB" w:rsidP="00B53AAB">
      <w:pPr>
        <w:tabs>
          <w:tab w:val="left" w:pos="1843"/>
        </w:tabs>
        <w:spacing w:after="120" w:line="276" w:lineRule="auto"/>
        <w:ind w:firstLine="709"/>
        <w:jc w:val="both"/>
        <w:rPr>
          <w:rFonts w:ascii="Verdana" w:eastAsia="Calibri" w:hAnsi="Verdana" w:cs="Arial"/>
          <w:b/>
          <w:bCs/>
        </w:rPr>
      </w:pPr>
      <w:r w:rsidRPr="00B53AAB">
        <w:rPr>
          <w:rFonts w:ascii="Verdana" w:eastAsia="Calibri" w:hAnsi="Verdana" w:cs="Arial"/>
          <w:bCs/>
        </w:rPr>
        <w:t xml:space="preserve">Dentro de este Decreto 1068 de 2015 puede encontrarse como ejemplo de operaciones de crédito público: </w:t>
      </w:r>
      <w:r w:rsidRPr="00B53AAB">
        <w:rPr>
          <w:rFonts w:ascii="Verdana" w:eastAsia="Calibri" w:hAnsi="Verdana" w:cs="Arial"/>
          <w:bCs/>
          <w:iCs/>
        </w:rPr>
        <w:t>la contratación de empréstitos</w:t>
      </w:r>
      <w:r w:rsidRPr="00B53AAB">
        <w:rPr>
          <w:rFonts w:ascii="Verdana" w:eastAsia="Calibri" w:hAnsi="Verdana" w:cs="Arial"/>
          <w:bCs/>
        </w:rPr>
        <w:t xml:space="preserve">, celebración de operaciones de crédito público externas y sus asimiladas a nombre de la </w:t>
      </w:r>
      <w:r w:rsidRPr="00B53AAB">
        <w:rPr>
          <w:rFonts w:ascii="Verdana" w:eastAsia="Calibri" w:hAnsi="Verdana" w:cs="Arial"/>
          <w:bCs/>
        </w:rPr>
        <w:lastRenderedPageBreak/>
        <w:t xml:space="preserve">Nación, celebración de operaciones de crédito público internas y sus asimiladas a nombre de la Nación, operaciones de crédito público externas y sus asimiladas de Entidades Estatales diferentes de la Nación, operaciones de crédito público internas y sus asimiladas de entidades estatales del orden nacional diferentes a la Nación, celebración de operaciones de crédito público internas y sus asimiladas de entidades territoriales y sus descentralizadas, créditos de corto plazo, crédito de gobierno a gobierno, entre otros. </w:t>
      </w:r>
      <w:r w:rsidRPr="00B53AAB">
        <w:rPr>
          <w:rFonts w:ascii="Verdana" w:eastAsia="Calibri" w:hAnsi="Verdana" w:cs="Arial"/>
          <w:b/>
          <w:bCs/>
        </w:rPr>
        <w:t> </w:t>
      </w:r>
    </w:p>
    <w:p w14:paraId="5D9F762F" w14:textId="77777777" w:rsidR="00B53AAB" w:rsidRPr="00B53AAB" w:rsidRDefault="00B53AAB" w:rsidP="00B53AAB">
      <w:pPr>
        <w:tabs>
          <w:tab w:val="left" w:pos="1843"/>
        </w:tabs>
        <w:spacing w:after="120" w:line="276" w:lineRule="auto"/>
        <w:ind w:firstLine="709"/>
        <w:jc w:val="both"/>
        <w:rPr>
          <w:rFonts w:ascii="Verdana" w:eastAsia="Calibri" w:hAnsi="Verdana" w:cs="Arial"/>
          <w:bCs/>
        </w:rPr>
      </w:pPr>
      <w:r w:rsidRPr="00B53AAB">
        <w:rPr>
          <w:rFonts w:ascii="Verdana" w:eastAsia="Calibri" w:hAnsi="Verdana" w:cs="Arial"/>
          <w:bCs/>
        </w:rPr>
        <w:t>Ahora bien, con respecto a la contratación de calificadoras de riesgo, es pertinente señalar que el artículo  2.22.1.1.2 del Decreto 2555 de 2010, “por el cual se recogen y reexpiden las normas en materia del sector financiero, asegurador y del mercado de valores y se dictan otras disposiciones”, las define como: “[…] sociedades anónimas cuyo objeto social exclusivo es la calificación de valores o riesgos relacionados con la actividad financiera, aseguradora, bursátil y cualquier otra relativa al manejo, aprovechamiento e inversión de recursos captados del público”.</w:t>
      </w:r>
      <w:r w:rsidRPr="00B53AAB">
        <w:rPr>
          <w:rFonts w:ascii="Arial" w:eastAsia="Times New Roman" w:hAnsi="Arial" w:cs="Arial"/>
          <w:color w:val="000000"/>
          <w:sz w:val="21"/>
          <w:szCs w:val="21"/>
        </w:rPr>
        <w:t xml:space="preserve"> </w:t>
      </w:r>
      <w:r w:rsidRPr="00B53AAB">
        <w:rPr>
          <w:rFonts w:ascii="Verdana" w:eastAsia="Calibri" w:hAnsi="Verdana" w:cs="Arial"/>
          <w:bCs/>
        </w:rPr>
        <w:t>En este aspecto, la calificación de valores es una opinión profesional emitida por una sociedad calificadora de riesgos -SCR- acerca de la capacidad de un emisor para cumplir, de manera puntual, con el pago del capital y los intereses de sus obligaciones</w:t>
      </w:r>
      <w:r w:rsidRPr="00B53AAB">
        <w:rPr>
          <w:rFonts w:ascii="Verdana" w:eastAsia="Calibri" w:hAnsi="Verdana" w:cs="Arial"/>
          <w:bCs/>
          <w:vertAlign w:val="superscript"/>
        </w:rPr>
        <w:footnoteReference w:id="25"/>
      </w:r>
      <w:r w:rsidRPr="00B53AAB">
        <w:rPr>
          <w:rFonts w:ascii="Verdana" w:eastAsia="Calibri" w:hAnsi="Verdana" w:cs="Arial"/>
          <w:bCs/>
        </w:rPr>
        <w:t>. Para brindar su opinión, las SCR efectúan estudios, análisis y evaluaciones exhaustivas de los emisores, aplicando metodologías que aseguren la objetividad e independencia del proceso. Estas metodologías se fundamentan en un análisis técnico riguroso de la información relevante, garantizando que las calificaciones reflejen de forma precisa la situación financiera y el nivel de riesgo asociado</w:t>
      </w:r>
      <w:r w:rsidRPr="00B53AAB">
        <w:rPr>
          <w:rFonts w:ascii="Verdana" w:eastAsia="Calibri" w:hAnsi="Verdana" w:cs="Arial"/>
          <w:bCs/>
          <w:vertAlign w:val="superscript"/>
        </w:rPr>
        <w:footnoteReference w:id="26"/>
      </w:r>
      <w:r w:rsidRPr="00B53AAB">
        <w:rPr>
          <w:rFonts w:ascii="Verdana" w:eastAsia="Calibri" w:hAnsi="Verdana" w:cs="Arial"/>
          <w:bCs/>
        </w:rPr>
        <w:t>. Dentro de las actividades de calificadoras de riesgos se entienden, el artículo 2.22.1.1.3. del Decreto 2555 de 2010, dispone:</w:t>
      </w:r>
    </w:p>
    <w:p w14:paraId="4985DE90" w14:textId="77777777" w:rsidR="00B53AAB" w:rsidRPr="00B53AAB" w:rsidRDefault="00B53AAB" w:rsidP="00B53AAB">
      <w:pPr>
        <w:tabs>
          <w:tab w:val="left" w:pos="1843"/>
        </w:tabs>
        <w:spacing w:after="0" w:line="276" w:lineRule="auto"/>
        <w:ind w:firstLine="709"/>
        <w:jc w:val="both"/>
        <w:rPr>
          <w:rFonts w:ascii="Verdana" w:eastAsia="Calibri" w:hAnsi="Verdana" w:cs="Arial"/>
          <w:bCs/>
        </w:rPr>
      </w:pPr>
    </w:p>
    <w:p w14:paraId="2FB80CF6"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 xml:space="preserve">Artículo 2.22.1.1.3. </w:t>
      </w:r>
      <w:r w:rsidRPr="00B53AAB">
        <w:rPr>
          <w:rFonts w:ascii="Verdana" w:eastAsia="Calibri" w:hAnsi="Verdana" w:cs="Arial"/>
          <w:bCs/>
          <w:i/>
          <w:iCs/>
          <w:sz w:val="20"/>
          <w:szCs w:val="20"/>
        </w:rPr>
        <w:t>Actividades de calificación.</w:t>
      </w:r>
      <w:r w:rsidRPr="00B53AAB">
        <w:rPr>
          <w:rFonts w:ascii="Verdana" w:eastAsia="Calibri" w:hAnsi="Verdana" w:cs="Arial"/>
          <w:bCs/>
          <w:sz w:val="20"/>
          <w:szCs w:val="20"/>
        </w:rPr>
        <w:t> </w:t>
      </w:r>
    </w:p>
    <w:p w14:paraId="42D5FA41"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Dentro de las actividades autorizadas a las sociedades calificadoras de riesgo se entenderán comprendidas, entre otras, las siguientes: </w:t>
      </w:r>
    </w:p>
    <w:p w14:paraId="25EE74FE"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1. Calificación de emisor o contraparte. </w:t>
      </w:r>
    </w:p>
    <w:p w14:paraId="480B04E5"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2. Calificación de emisión de deuda. </w:t>
      </w:r>
    </w:p>
    <w:p w14:paraId="69C7B01D"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lastRenderedPageBreak/>
        <w:t>3. Calificación sobre la capacidad de cumplir oportunamente con flujos futuros estimados en proyectos de inversión. </w:t>
      </w:r>
    </w:p>
    <w:p w14:paraId="2CBC2A18"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4. Calificación de riesgos de portafolios de inversión colectiva. </w:t>
      </w:r>
    </w:p>
    <w:p w14:paraId="49A7A13A"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5. Calificación de capacidad de pago de siniestros de las compañías de seguros.</w:t>
      </w:r>
    </w:p>
    <w:p w14:paraId="3EE104FD"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6. Calificación sobre la habilidad para administrar inversiones o portafolios de terceros.</w:t>
      </w:r>
    </w:p>
    <w:p w14:paraId="59892C5C"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7. Homologación de calificaciones otorgadas por agencias calificadoras de riesgos o valores extranjeras reconocidas por la Superintendencia Financiera de Colombia, que no cuenten con presencia comercial en Colombia, y solo para aquellos casos en los cuales se acepte la calificación por entidades del exterior. </w:t>
      </w:r>
    </w:p>
    <w:p w14:paraId="7E77A613"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8. Las calificaciones que se exijan mediante normas especiales. </w:t>
      </w:r>
    </w:p>
    <w:p w14:paraId="4F2B333E" w14:textId="77777777" w:rsidR="00B53AAB" w:rsidRPr="00B53AAB" w:rsidRDefault="00B53AAB" w:rsidP="00B53AAB">
      <w:pPr>
        <w:tabs>
          <w:tab w:val="left" w:pos="1843"/>
        </w:tabs>
        <w:spacing w:after="0" w:line="240" w:lineRule="auto"/>
        <w:ind w:left="709" w:right="709"/>
        <w:jc w:val="both"/>
        <w:rPr>
          <w:rFonts w:ascii="Verdana" w:eastAsia="Calibri" w:hAnsi="Verdana" w:cs="Arial"/>
          <w:bCs/>
          <w:sz w:val="20"/>
          <w:szCs w:val="20"/>
        </w:rPr>
      </w:pPr>
      <w:r w:rsidRPr="00B53AAB">
        <w:rPr>
          <w:rFonts w:ascii="Verdana" w:eastAsia="Calibri" w:hAnsi="Verdana" w:cs="Arial"/>
          <w:bCs/>
          <w:sz w:val="20"/>
          <w:szCs w:val="20"/>
        </w:rPr>
        <w:t>9. Las demás que se establezcan en el reglamento de la calificadora. </w:t>
      </w:r>
    </w:p>
    <w:p w14:paraId="4759B39B" w14:textId="77777777" w:rsidR="00B53AAB" w:rsidRPr="00B53AAB" w:rsidRDefault="00B53AAB" w:rsidP="00B53AAB">
      <w:pPr>
        <w:tabs>
          <w:tab w:val="left" w:pos="1843"/>
        </w:tabs>
        <w:spacing w:after="0" w:line="240" w:lineRule="auto"/>
        <w:ind w:firstLine="709"/>
        <w:jc w:val="both"/>
        <w:rPr>
          <w:rFonts w:ascii="Verdana" w:eastAsia="Calibri" w:hAnsi="Verdana" w:cs="Arial"/>
          <w:bCs/>
        </w:rPr>
      </w:pPr>
    </w:p>
    <w:p w14:paraId="574C123B" w14:textId="77777777" w:rsidR="00B53AAB" w:rsidRPr="00B53AAB" w:rsidRDefault="00B53AAB" w:rsidP="00B53AAB">
      <w:pPr>
        <w:tabs>
          <w:tab w:val="left" w:pos="1843"/>
        </w:tabs>
        <w:spacing w:after="120" w:line="276" w:lineRule="auto"/>
        <w:ind w:firstLine="709"/>
        <w:jc w:val="both"/>
        <w:rPr>
          <w:rFonts w:ascii="Verdana" w:eastAsia="Calibri" w:hAnsi="Verdana" w:cs="Arial"/>
          <w:bCs/>
        </w:rPr>
      </w:pPr>
      <w:r w:rsidRPr="00B53AAB">
        <w:rPr>
          <w:rFonts w:ascii="Verdana" w:eastAsia="Calibri" w:hAnsi="Verdana" w:cs="Arial"/>
          <w:bCs/>
        </w:rPr>
        <w:t xml:space="preserve">Teniendo en cuenta lo expuesto, la celebración de contratos de prestación de servicios profesionales de calificación de riesgo, suscritos por entidades estatales con sociedades calificadoras, no están contemplados dentro las excepciones a la restricción de contratación directa prevista en el artículo 33 de la Ley 996 de 2005, es decir, no pueden concebirse como contratos de crédito público. En este aspecto, se precisa que, si bien la calificación de riesgo puede ser un insumo técnico utilizado por los inversionistas o por las entidades financieras para evaluar la solvencia de un emisor, su contratación no constituye en sí misma un contrato de crédito público, ni se enmarca en la gestión directa de endeudamiento del Estado. </w:t>
      </w:r>
    </w:p>
    <w:p w14:paraId="1C6441DE" w14:textId="77777777" w:rsidR="00B53AAB" w:rsidRPr="00B53AAB" w:rsidRDefault="00B53AAB" w:rsidP="00B53AAB">
      <w:pPr>
        <w:tabs>
          <w:tab w:val="left" w:pos="1843"/>
        </w:tabs>
        <w:spacing w:after="120" w:line="276" w:lineRule="auto"/>
        <w:ind w:firstLine="709"/>
        <w:jc w:val="both"/>
        <w:rPr>
          <w:rFonts w:ascii="Verdana" w:eastAsia="Calibri" w:hAnsi="Verdana" w:cs="Arial"/>
          <w:bCs/>
        </w:rPr>
      </w:pPr>
      <w:r w:rsidRPr="00B53AAB">
        <w:rPr>
          <w:rFonts w:ascii="Verdana" w:eastAsia="Calibri" w:hAnsi="Verdana" w:cs="Arial"/>
          <w:bCs/>
        </w:rPr>
        <w:t>En otras palabras, se trata de un servicio de carácter consultivo y de análisis especializado, pero no de una actividad inherente a la contratación, colocación o administración de créditos públicos. Por tanto, la suscripción de contratos con sociedades calificadoras de riesgo debe observar las reglas generales de contratación estatal y no puede ampararse en la excepción prevista en el artículo 33 de la Ley 996 de 2005.</w:t>
      </w:r>
    </w:p>
    <w:p w14:paraId="4D3FB2B8" w14:textId="77777777" w:rsidR="00B53AAB" w:rsidRPr="00B53AAB" w:rsidRDefault="00B53AAB" w:rsidP="00B53AAB">
      <w:pPr>
        <w:spacing w:after="0" w:line="276" w:lineRule="auto"/>
        <w:ind w:firstLine="708"/>
        <w:jc w:val="both"/>
        <w:rPr>
          <w:rFonts w:ascii="Verdana" w:eastAsia="Times New Roman" w:hAnsi="Verdana" w:cs="Arial"/>
          <w:bCs/>
          <w:lang w:val="es-MX" w:eastAsia="x-none"/>
        </w:rPr>
      </w:pPr>
      <w:r w:rsidRPr="00B53AAB">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B53AAB">
        <w:rPr>
          <w:rFonts w:ascii="Verdana" w:eastAsia="Calibri" w:hAnsi="Verdana" w:cs="Arial"/>
          <w:sz w:val="24"/>
          <w:lang w:val="es-MX"/>
        </w:rPr>
        <w:t xml:space="preserve"> </w:t>
      </w:r>
      <w:r w:rsidRPr="00B53AAB">
        <w:rPr>
          <w:rFonts w:ascii="Verdana" w:eastAsia="Times New Roman" w:hAnsi="Verdana" w:cs="Arial"/>
          <w:bCs/>
          <w:lang w:val="es-MX" w:eastAsia="x-none"/>
        </w:rPr>
        <w:t>En efecto, tal como lo ha sostenido el Consejo de Estado, el vocablo “todos” utilizado por el legislador comprende</w:t>
      </w:r>
      <w:r w:rsidRPr="00B53AAB">
        <w:rPr>
          <w:rFonts w:ascii="Verdana" w:eastAsia="Calibri" w:hAnsi="Verdana" w:cs="Arial"/>
          <w:sz w:val="24"/>
          <w:lang w:val="es-MX"/>
        </w:rPr>
        <w:t xml:space="preserve"> </w:t>
      </w:r>
      <w:r w:rsidRPr="00B53AA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w:t>
      </w:r>
      <w:r w:rsidRPr="00B53AAB">
        <w:rPr>
          <w:rFonts w:ascii="Verdana" w:eastAsia="Times New Roman" w:hAnsi="Verdana" w:cs="Arial"/>
          <w:bCs/>
          <w:lang w:val="es-MX" w:eastAsia="x-none"/>
        </w:rPr>
        <w:lastRenderedPageBreak/>
        <w:t xml:space="preserve">del poder público o su autonomía, e incluso si las entidades estatales tienen régimen especial de contratación y están exceptuadas del ámbito de aplicación del Estatuto General de Contratación de la Administración Pública. </w:t>
      </w:r>
      <w:r w:rsidRPr="00B53AA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1FB82B37" w14:textId="77777777" w:rsidR="00B53AAB" w:rsidRPr="00B53AAB" w:rsidRDefault="00B53AAB" w:rsidP="00B53AAB">
      <w:pPr>
        <w:spacing w:after="0" w:line="276" w:lineRule="auto"/>
        <w:jc w:val="both"/>
        <w:rPr>
          <w:rFonts w:ascii="Verdana" w:eastAsia="Times New Roman" w:hAnsi="Verdana" w:cs="Arial"/>
          <w:bCs/>
          <w:lang w:val="es-MX" w:eastAsia="x-none"/>
        </w:rPr>
      </w:pPr>
    </w:p>
    <w:p w14:paraId="775EA5CF" w14:textId="77777777" w:rsidR="00B53AAB" w:rsidRPr="00B53AAB" w:rsidRDefault="00B53AAB" w:rsidP="00B53AAB">
      <w:pPr>
        <w:spacing w:after="0" w:line="240" w:lineRule="auto"/>
        <w:ind w:left="708" w:right="709"/>
        <w:jc w:val="both"/>
        <w:rPr>
          <w:rFonts w:ascii="Verdana" w:eastAsia="Times New Roman" w:hAnsi="Verdana" w:cs="Arial"/>
          <w:bCs/>
          <w:sz w:val="21"/>
          <w:szCs w:val="21"/>
          <w:lang w:val="es-MX" w:eastAsia="es-CO"/>
        </w:rPr>
      </w:pPr>
      <w:r w:rsidRPr="00B53AA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B53AAB">
        <w:rPr>
          <w:rFonts w:ascii="Verdana" w:eastAsia="Times New Roman" w:hAnsi="Verdana" w:cs="Arial"/>
          <w:bCs/>
          <w:sz w:val="21"/>
          <w:szCs w:val="21"/>
          <w:vertAlign w:val="superscript"/>
          <w:lang w:val="es-MX" w:eastAsia="x-none"/>
        </w:rPr>
        <w:footnoteReference w:id="27"/>
      </w:r>
      <w:r w:rsidRPr="00B53AAB">
        <w:rPr>
          <w:rFonts w:ascii="Verdana" w:eastAsia="Times New Roman" w:hAnsi="Verdana" w:cs="Arial"/>
          <w:bCs/>
          <w:sz w:val="21"/>
          <w:szCs w:val="21"/>
          <w:lang w:val="es-MX" w:eastAsia="x-none"/>
        </w:rPr>
        <w:t>.</w:t>
      </w:r>
      <w:r w:rsidRPr="00B53AAB">
        <w:rPr>
          <w:rFonts w:ascii="Verdana" w:eastAsia="Times New Roman" w:hAnsi="Verdana" w:cs="Arial"/>
          <w:bCs/>
          <w:sz w:val="21"/>
          <w:szCs w:val="21"/>
          <w:lang w:val="es-MX" w:eastAsia="es-CO"/>
        </w:rPr>
        <w:t xml:space="preserve"> </w:t>
      </w:r>
    </w:p>
    <w:p w14:paraId="050BE552" w14:textId="77777777" w:rsidR="00B53AAB" w:rsidRPr="00B53AAB" w:rsidRDefault="00B53AAB" w:rsidP="00B53AAB">
      <w:pPr>
        <w:spacing w:after="0" w:line="276" w:lineRule="auto"/>
        <w:ind w:firstLine="708"/>
        <w:jc w:val="both"/>
        <w:rPr>
          <w:rFonts w:ascii="Verdana" w:eastAsia="Times New Roman" w:hAnsi="Verdana" w:cs="Arial"/>
          <w:bCs/>
          <w:lang w:val="es-MX" w:eastAsia="es-CO"/>
        </w:rPr>
      </w:pPr>
    </w:p>
    <w:p w14:paraId="34693CA7" w14:textId="77777777" w:rsidR="00B53AAB" w:rsidRPr="00B53AAB" w:rsidRDefault="00B53AAB" w:rsidP="00B53AAB">
      <w:pPr>
        <w:spacing w:after="0" w:line="276" w:lineRule="auto"/>
        <w:ind w:firstLine="708"/>
        <w:jc w:val="both"/>
        <w:rPr>
          <w:rFonts w:ascii="Verdana" w:eastAsia="Calibri" w:hAnsi="Verdana" w:cs="Arial"/>
          <w:lang w:val="es-MX"/>
        </w:rPr>
      </w:pPr>
      <w:r w:rsidRPr="00B53AAB">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B53AAB">
        <w:rPr>
          <w:rFonts w:ascii="Verdana" w:eastAsia="Calibri" w:hAnsi="Verdana" w:cs="Arial"/>
          <w:sz w:val="24"/>
          <w:vertAlign w:val="superscript"/>
          <w:lang w:val="es-MX"/>
        </w:rPr>
        <w:footnoteReference w:id="28"/>
      </w:r>
      <w:r w:rsidRPr="00B53AAB">
        <w:rPr>
          <w:rFonts w:ascii="Verdana" w:eastAsia="Times New Roman" w:hAnsi="Verdana" w:cs="Arial"/>
          <w:bCs/>
          <w:lang w:val="es-MX" w:eastAsia="x-none"/>
        </w:rPr>
        <w:t>.</w:t>
      </w:r>
      <w:r w:rsidRPr="00B53AA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4489F8B" w14:textId="77777777" w:rsidR="00B53AAB" w:rsidRPr="00B53AAB" w:rsidRDefault="00B53AAB" w:rsidP="00B53AAB">
      <w:pPr>
        <w:spacing w:after="0" w:line="276" w:lineRule="auto"/>
        <w:jc w:val="both"/>
        <w:rPr>
          <w:rFonts w:ascii="Verdana" w:eastAsia="Calibri" w:hAnsi="Verdana" w:cs="Arial"/>
          <w:lang w:val="es-MX"/>
        </w:rPr>
      </w:pPr>
    </w:p>
    <w:p w14:paraId="311D7F46" w14:textId="77777777" w:rsidR="00B53AAB" w:rsidRPr="00B53AAB" w:rsidRDefault="00B53AAB" w:rsidP="00B53AAB">
      <w:pPr>
        <w:spacing w:after="0" w:line="240" w:lineRule="auto"/>
        <w:ind w:left="708" w:right="709"/>
        <w:jc w:val="both"/>
        <w:rPr>
          <w:rFonts w:ascii="Verdana" w:eastAsia="Calibri" w:hAnsi="Verdana" w:cs="Arial"/>
          <w:sz w:val="20"/>
          <w:szCs w:val="20"/>
          <w:lang w:val="es-MX"/>
        </w:rPr>
      </w:pPr>
      <w:r w:rsidRPr="00B53AAB">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B53AAB">
        <w:rPr>
          <w:rFonts w:ascii="Verdana" w:eastAsia="Calibri"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3A869DC" w14:textId="77777777" w:rsidR="00B53AAB" w:rsidRPr="00B53AAB" w:rsidRDefault="00B53AAB" w:rsidP="00B53AAB">
      <w:pPr>
        <w:spacing w:after="0" w:line="240" w:lineRule="auto"/>
        <w:ind w:left="708" w:right="709"/>
        <w:jc w:val="both"/>
        <w:rPr>
          <w:rFonts w:ascii="Verdana" w:eastAsia="Calibri" w:hAnsi="Verdana" w:cs="Arial"/>
          <w:sz w:val="20"/>
          <w:szCs w:val="20"/>
          <w:lang w:val="es-MX"/>
        </w:rPr>
      </w:pPr>
    </w:p>
    <w:p w14:paraId="7EF1F70F" w14:textId="77777777" w:rsidR="00B53AAB" w:rsidRPr="00B53AAB" w:rsidRDefault="00B53AAB" w:rsidP="00B53AAB">
      <w:pPr>
        <w:spacing w:after="0" w:line="240" w:lineRule="auto"/>
        <w:ind w:left="708" w:right="709"/>
        <w:jc w:val="both"/>
        <w:rPr>
          <w:rFonts w:ascii="Verdana" w:eastAsia="Calibri" w:hAnsi="Verdana" w:cs="Arial"/>
          <w:sz w:val="20"/>
          <w:szCs w:val="20"/>
          <w:lang w:val="es-MX"/>
        </w:rPr>
      </w:pPr>
      <w:r w:rsidRPr="00B53AAB">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B53AAB">
        <w:rPr>
          <w:rFonts w:ascii="Verdana" w:eastAsia="Calibri" w:hAnsi="Verdana" w:cs="Arial"/>
          <w:sz w:val="20"/>
          <w:szCs w:val="20"/>
          <w:vertAlign w:val="superscript"/>
          <w:lang w:val="es-MX"/>
        </w:rPr>
        <w:footnoteReference w:id="29"/>
      </w:r>
      <w:r w:rsidRPr="00B53AAB">
        <w:rPr>
          <w:rFonts w:ascii="Verdana" w:eastAsia="Times New Roman" w:hAnsi="Verdana" w:cs="Arial"/>
          <w:bCs/>
          <w:sz w:val="20"/>
          <w:szCs w:val="20"/>
          <w:lang w:val="es-MX" w:eastAsia="x-none"/>
        </w:rPr>
        <w:t>.</w:t>
      </w:r>
    </w:p>
    <w:p w14:paraId="239FE7FF" w14:textId="77777777" w:rsidR="00B53AAB" w:rsidRPr="00B53AAB" w:rsidRDefault="00B53AAB" w:rsidP="00B53AAB">
      <w:pPr>
        <w:spacing w:after="0" w:line="276" w:lineRule="auto"/>
        <w:jc w:val="both"/>
        <w:rPr>
          <w:rFonts w:ascii="Verdana" w:eastAsia="Calibri" w:hAnsi="Verdana" w:cs="Arial"/>
          <w:lang w:val="es-MX"/>
        </w:rPr>
      </w:pPr>
    </w:p>
    <w:p w14:paraId="4893EAB1" w14:textId="77777777" w:rsidR="00B53AAB" w:rsidRPr="00B53AAB" w:rsidRDefault="00B53AAB" w:rsidP="00B53AAB">
      <w:pPr>
        <w:spacing w:after="120" w:line="276" w:lineRule="auto"/>
        <w:ind w:firstLine="709"/>
        <w:jc w:val="both"/>
        <w:rPr>
          <w:rFonts w:ascii="Verdana" w:eastAsia="Times New Roman" w:hAnsi="Verdana" w:cs="Arial"/>
          <w:lang w:eastAsia="es-CO"/>
        </w:rPr>
      </w:pPr>
      <w:r w:rsidRPr="00B53AA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B53AAB">
        <w:rPr>
          <w:rFonts w:ascii="Verdana" w:eastAsia="Times New Roman" w:hAnsi="Verdana" w:cs="Arial"/>
          <w:bCs/>
          <w:lang w:val="es-MX" w:eastAsia="x-none"/>
        </w:rPr>
        <w:t>establecimientos de crédito, las sociedades de servicios financieros y las entidades aseguradoras</w:t>
      </w:r>
      <w:r w:rsidRPr="00B53AA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B53AAB">
        <w:rPr>
          <w:rFonts w:ascii="Verdana" w:eastAsia="Calibri" w:hAnsi="Verdana" w:cs="Arial"/>
          <w:vertAlign w:val="superscript"/>
          <w:lang w:val="es-MX"/>
        </w:rPr>
        <w:footnoteReference w:id="30"/>
      </w:r>
      <w:r w:rsidRPr="00B53AAB">
        <w:rPr>
          <w:rFonts w:ascii="Verdana" w:eastAsia="Calibri" w:hAnsi="Verdana" w:cs="Arial"/>
          <w:lang w:val="es-MX"/>
        </w:rPr>
        <w:t>.</w:t>
      </w:r>
      <w:r w:rsidRPr="00B53AAB">
        <w:rPr>
          <w:rFonts w:ascii="Verdana" w:eastAsia="Times New Roman" w:hAnsi="Verdana" w:cs="Arial"/>
          <w:lang w:eastAsia="es-CO"/>
        </w:rPr>
        <w:t xml:space="preserve"> </w:t>
      </w:r>
    </w:p>
    <w:p w14:paraId="6D9F65F5" w14:textId="77777777" w:rsidR="00B53AAB" w:rsidRPr="00B53AAB" w:rsidRDefault="00B53AAB" w:rsidP="00B53AAB">
      <w:pPr>
        <w:spacing w:after="120" w:line="276" w:lineRule="auto"/>
        <w:ind w:firstLine="709"/>
        <w:jc w:val="both"/>
        <w:rPr>
          <w:rFonts w:ascii="Verdana" w:eastAsia="Times New Roman" w:hAnsi="Verdana" w:cs="Arial"/>
          <w:bCs/>
          <w:lang w:val="es-MX" w:eastAsia="x-none"/>
        </w:rPr>
      </w:pPr>
      <w:r w:rsidRPr="00B53AAB">
        <w:rPr>
          <w:rFonts w:ascii="Verdana" w:eastAsia="Times New Roman" w:hAnsi="Verdana" w:cs="Arial"/>
          <w:lang w:eastAsia="es-CO"/>
        </w:rPr>
        <w:lastRenderedPageBreak/>
        <w:t>Sin perjuicio de estos pronunciamientos de la Sala de Consulta y Servicio Civil</w:t>
      </w:r>
      <w:r w:rsidRPr="00B53AAB">
        <w:rPr>
          <w:rFonts w:ascii="Verdana" w:eastAsia="Calibri" w:hAnsi="Verdana" w:cs="Arial"/>
          <w:lang w:val="es-MX"/>
        </w:rPr>
        <w:t xml:space="preserve">, como la ha señalado esa misma Corporación, la restricción prevista en la Ley 996 de 2005 </w:t>
      </w:r>
      <w:r w:rsidRPr="00B53AA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17176A28" w14:textId="77777777" w:rsidR="00B53AAB" w:rsidRPr="00B53AAB" w:rsidRDefault="00B53AAB" w:rsidP="00B53AAB">
      <w:pPr>
        <w:spacing w:after="120" w:line="276" w:lineRule="auto"/>
        <w:ind w:firstLine="709"/>
        <w:jc w:val="both"/>
        <w:rPr>
          <w:rFonts w:ascii="Verdana" w:eastAsia="Times New Roman" w:hAnsi="Verdana" w:cs="Arial"/>
          <w:bCs/>
          <w:lang w:val="es-MX" w:eastAsia="x-none" w:bidi="es-ES"/>
        </w:rPr>
      </w:pPr>
      <w:r w:rsidRPr="00B53AAB">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B53AAB">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B53AAB">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785047A3" w14:textId="77777777" w:rsidR="00B53AAB" w:rsidRPr="00B53AAB" w:rsidRDefault="00B53AAB" w:rsidP="00B53AAB">
      <w:pPr>
        <w:spacing w:after="120" w:line="276" w:lineRule="auto"/>
        <w:ind w:firstLine="709"/>
        <w:jc w:val="both"/>
        <w:rPr>
          <w:rFonts w:ascii="Verdana" w:eastAsia="Times New Roman" w:hAnsi="Verdana" w:cs="Arial"/>
          <w:bCs/>
          <w:lang w:val="es-MX" w:eastAsia="x-none"/>
        </w:rPr>
      </w:pPr>
      <w:r w:rsidRPr="00B53AAB">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que, de acuerdo con lo expuesto, se celebraría el 21 de junio de 2026.</w:t>
      </w:r>
    </w:p>
    <w:p w14:paraId="3AD92084" w14:textId="77777777" w:rsidR="00B53AAB" w:rsidRPr="00B53AAB" w:rsidRDefault="00B53AAB" w:rsidP="00B53AAB">
      <w:pPr>
        <w:spacing w:after="120" w:line="276" w:lineRule="auto"/>
        <w:ind w:firstLine="709"/>
        <w:jc w:val="both"/>
        <w:rPr>
          <w:rFonts w:ascii="Verdana" w:eastAsia="Times New Roman" w:hAnsi="Verdana" w:cs="Arial"/>
          <w:bCs/>
          <w:lang w:val="es-MX" w:eastAsia="x-none"/>
        </w:rPr>
      </w:pPr>
      <w:r w:rsidRPr="00B53AAB">
        <w:rPr>
          <w:rFonts w:ascii="Verdana" w:eastAsia="Times New Roman" w:hAnsi="Verdana" w:cs="Arial"/>
          <w:bCs/>
          <w:lang w:val="es-MX" w:eastAsia="x-none"/>
        </w:rPr>
        <w:t>Finalmente, se reitera, c</w:t>
      </w:r>
      <w:r w:rsidRPr="00B53AA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de Garantías, sin que ello haga nugatoria la restricción de la contratación directa y siempre que cumplan los principios de planeación, transparencia y </w:t>
      </w:r>
      <w:r w:rsidRPr="00B53AAB">
        <w:rPr>
          <w:rFonts w:ascii="Verdana" w:eastAsia="Times New Roman" w:hAnsi="Verdana" w:cs="Arial"/>
          <w:bCs/>
          <w:lang w:val="es-MX" w:eastAsia="es-CO"/>
        </w:rPr>
        <w:lastRenderedPageBreak/>
        <w:t>responsabilidad</w:t>
      </w:r>
      <w:r w:rsidRPr="00B53AAB">
        <w:rPr>
          <w:rFonts w:ascii="Verdana" w:eastAsia="Times New Roman" w:hAnsi="Verdana" w:cs="Arial"/>
          <w:bCs/>
          <w:vertAlign w:val="superscript"/>
          <w:lang w:val="es-MX" w:eastAsia="es-CO"/>
        </w:rPr>
        <w:footnoteReference w:id="31"/>
      </w:r>
      <w:r w:rsidRPr="00B53AAB">
        <w:rPr>
          <w:rFonts w:ascii="Verdana" w:eastAsia="Times New Roman" w:hAnsi="Verdana" w:cs="Arial"/>
          <w:bCs/>
          <w:lang w:val="es-MX" w:eastAsia="es-CO"/>
        </w:rPr>
        <w:t>. Además, también es posible que contratos celebrados previamente se continúen ejecutando con normalidad.</w:t>
      </w:r>
    </w:p>
    <w:p w14:paraId="36C13BCC" w14:textId="77777777" w:rsidR="00B53AAB" w:rsidRPr="00B53AAB" w:rsidRDefault="00B53AAB" w:rsidP="00B53AAB">
      <w:pPr>
        <w:spacing w:after="120" w:line="276" w:lineRule="auto"/>
        <w:jc w:val="both"/>
        <w:rPr>
          <w:rFonts w:ascii="Verdana" w:eastAsia="Arial" w:hAnsi="Verdana" w:cs="Arial"/>
          <w:lang w:val="es-ES" w:eastAsia="es-ES" w:bidi="es-ES"/>
        </w:rPr>
      </w:pPr>
    </w:p>
    <w:p w14:paraId="2E1FE4C4" w14:textId="77777777" w:rsidR="00B53AAB" w:rsidRPr="00B53AAB" w:rsidRDefault="00B53AAB" w:rsidP="00B53AAB">
      <w:pPr>
        <w:spacing w:after="120" w:line="276" w:lineRule="auto"/>
        <w:jc w:val="both"/>
        <w:rPr>
          <w:rFonts w:ascii="Verdana" w:eastAsia="Arial" w:hAnsi="Verdana" w:cs="Arial"/>
          <w:bCs/>
          <w:color w:val="000000" w:themeColor="text1"/>
        </w:rPr>
      </w:pPr>
      <w:r w:rsidRPr="00B53AAB">
        <w:rPr>
          <w:rFonts w:ascii="Verdana" w:eastAsia="Arial" w:hAnsi="Verdana" w:cs="Arial"/>
          <w:lang w:val="es-ES" w:eastAsia="es-ES" w:bidi="es-ES"/>
        </w:rPr>
        <w:t xml:space="preserve">iv. </w:t>
      </w:r>
      <w:r w:rsidRPr="00B53AAB">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897FD03" w14:textId="77777777" w:rsidR="00B53AAB" w:rsidRPr="00B53AAB" w:rsidRDefault="00B53AAB" w:rsidP="00B53AAB">
      <w:pPr>
        <w:spacing w:after="0" w:line="276" w:lineRule="auto"/>
        <w:ind w:firstLine="708"/>
        <w:jc w:val="both"/>
        <w:rPr>
          <w:rFonts w:ascii="Verdana" w:hAnsi="Verdana" w:cs="Arial"/>
          <w:color w:val="000000" w:themeColor="text1"/>
        </w:rPr>
      </w:pPr>
      <w:r w:rsidRPr="00B53AAB">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9D20C59" w14:textId="77777777" w:rsidR="00B53AAB" w:rsidRPr="00B53AAB" w:rsidRDefault="00B53AAB" w:rsidP="00B53AAB">
      <w:pPr>
        <w:spacing w:after="0" w:line="276" w:lineRule="auto"/>
        <w:jc w:val="both"/>
        <w:rPr>
          <w:rFonts w:ascii="Verdana" w:eastAsia="Calibri" w:hAnsi="Verdana" w:cs="Arial"/>
          <w:bCs/>
          <w:color w:val="000000" w:themeColor="text1"/>
        </w:rPr>
      </w:pPr>
      <w:r w:rsidRPr="00B53AAB">
        <w:rPr>
          <w:rFonts w:ascii="Verdana" w:eastAsia="Calibri" w:hAnsi="Verdana" w:cs="Arial"/>
          <w:bCs/>
          <w:color w:val="000000" w:themeColor="text1"/>
        </w:rPr>
        <w:t xml:space="preserve"> </w:t>
      </w:r>
    </w:p>
    <w:p w14:paraId="2A3064E9" w14:textId="77777777" w:rsidR="00B53AAB" w:rsidRPr="00B53AAB" w:rsidRDefault="00B53AAB" w:rsidP="00B53A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Referencias normativas:</w:t>
      </w:r>
    </w:p>
    <w:p w14:paraId="1D9C096D" w14:textId="77777777" w:rsidR="00B53AAB" w:rsidRPr="00B53AAB" w:rsidRDefault="00B53AAB" w:rsidP="00B53AAB">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3AAB" w:rsidRPr="00B53AAB" w14:paraId="7906A092" w14:textId="77777777" w:rsidTr="00B7019D">
        <w:trPr>
          <w:trHeight w:val="311"/>
          <w:jc w:val="center"/>
        </w:trPr>
        <w:tc>
          <w:tcPr>
            <w:tcW w:w="8647" w:type="dxa"/>
          </w:tcPr>
          <w:p w14:paraId="062258B8" w14:textId="77777777" w:rsidR="00B53AAB" w:rsidRPr="00B53AAB" w:rsidRDefault="00B53AAB" w:rsidP="00B53AAB">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Constitución Política de 1991, artículos 69, 127, 190, 197 y 286.</w:t>
            </w:r>
          </w:p>
          <w:p w14:paraId="6EB22E35" w14:textId="77777777" w:rsidR="00B53AAB" w:rsidRPr="00B53AAB" w:rsidRDefault="00B53AAB" w:rsidP="00B53AAB">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80 de 1993, artículos 2, 39 y 41.</w:t>
            </w:r>
          </w:p>
          <w:p w14:paraId="44A39D44" w14:textId="77777777" w:rsidR="00B53AAB" w:rsidRPr="00B53AAB" w:rsidRDefault="00B53AAB" w:rsidP="00B53AAB">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996 de 2005, artículos 33 y 38.</w:t>
            </w:r>
          </w:p>
          <w:p w14:paraId="53D516D7" w14:textId="77777777" w:rsidR="00B53AAB" w:rsidRPr="00B53AAB" w:rsidRDefault="00B53AAB" w:rsidP="00B53AAB">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Ley 1150 de 2007, artículo 2.</w:t>
            </w:r>
          </w:p>
          <w:p w14:paraId="30DA077B" w14:textId="77777777" w:rsidR="00B53AAB" w:rsidRPr="00B53AAB" w:rsidRDefault="00B53AAB" w:rsidP="00B53AAB">
            <w:pPr>
              <w:widowControl w:val="0"/>
              <w:numPr>
                <w:ilvl w:val="0"/>
                <w:numId w:val="17"/>
              </w:numPr>
              <w:autoSpaceDE w:val="0"/>
              <w:autoSpaceDN w:val="0"/>
              <w:spacing w:before="120" w:after="120" w:line="276" w:lineRule="auto"/>
              <w:ind w:left="714" w:hanging="357"/>
              <w:jc w:val="both"/>
              <w:rPr>
                <w:rFonts w:ascii="Verdana" w:hAnsi="Verdana" w:cs="Arial"/>
                <w:lang w:val="es-ES"/>
              </w:rPr>
            </w:pPr>
            <w:r w:rsidRPr="00B53AAB">
              <w:rPr>
                <w:rFonts w:ascii="Verdana" w:hAnsi="Verdana" w:cs="Arial"/>
                <w:lang w:val="es-ES"/>
              </w:rPr>
              <w:t>Código Civil, artículos 31 y 1501.</w:t>
            </w:r>
            <w:r w:rsidRPr="00B53AAB">
              <w:rPr>
                <w:rFonts w:ascii="Verdana" w:eastAsia="Calibri" w:hAnsi="Verdana" w:cs="Arial"/>
                <w:bCs/>
                <w:color w:val="FF0000"/>
                <w:lang w:val="es-ES"/>
              </w:rPr>
              <w:t xml:space="preserve"> </w:t>
            </w:r>
          </w:p>
          <w:p w14:paraId="375DB733" w14:textId="77777777" w:rsidR="00B53AAB" w:rsidRPr="00B53AAB" w:rsidRDefault="00B53AAB" w:rsidP="00B53AAB">
            <w:pPr>
              <w:numPr>
                <w:ilvl w:val="0"/>
                <w:numId w:val="17"/>
              </w:numPr>
              <w:spacing w:after="120" w:line="276" w:lineRule="auto"/>
              <w:rPr>
                <w:rFonts w:ascii="Verdana" w:hAnsi="Verdana" w:cs="Arial"/>
                <w:lang w:val="es-ES"/>
              </w:rPr>
            </w:pPr>
            <w:r w:rsidRPr="00B53AAB">
              <w:rPr>
                <w:rFonts w:ascii="Verdana" w:hAnsi="Verdana" w:cs="Arial"/>
                <w:lang w:val="es-ES"/>
              </w:rPr>
              <w:t>Decreto 1068 de 2015, artículo 2.2.1.1.1.</w:t>
            </w:r>
          </w:p>
          <w:p w14:paraId="2149FE3D" w14:textId="77777777" w:rsidR="00B53AAB" w:rsidRPr="00B53AAB" w:rsidRDefault="00B53AAB" w:rsidP="00B53AAB">
            <w:pPr>
              <w:numPr>
                <w:ilvl w:val="0"/>
                <w:numId w:val="17"/>
              </w:numPr>
              <w:spacing w:after="120" w:line="276" w:lineRule="auto"/>
              <w:rPr>
                <w:rFonts w:ascii="Verdana" w:hAnsi="Verdana" w:cs="Arial"/>
                <w:lang w:val="es-ES"/>
              </w:rPr>
            </w:pPr>
            <w:r w:rsidRPr="00B53AAB">
              <w:rPr>
                <w:rFonts w:ascii="Verdana" w:hAnsi="Verdana" w:cs="Arial"/>
                <w:lang w:val="es-ES"/>
              </w:rPr>
              <w:lastRenderedPageBreak/>
              <w:t xml:space="preserve">Decreto 2555 de 2010, </w:t>
            </w:r>
            <w:r w:rsidRPr="00B53AAB">
              <w:rPr>
                <w:rFonts w:ascii="Verdana" w:hAnsi="Verdana" w:cs="Arial"/>
                <w:bCs/>
              </w:rPr>
              <w:t xml:space="preserve">artículos 2.22.1.1.2. y 2.22.1.1.3. </w:t>
            </w:r>
          </w:p>
          <w:p w14:paraId="2EAB346A" w14:textId="77777777" w:rsidR="00B53AAB" w:rsidRPr="00B53AAB" w:rsidRDefault="00B53AAB" w:rsidP="00B53AAB">
            <w:pPr>
              <w:ind w:left="360"/>
              <w:rPr>
                <w:rFonts w:ascii="Verdana" w:hAnsi="Verdana" w:cs="Arial"/>
              </w:rPr>
            </w:pPr>
          </w:p>
        </w:tc>
      </w:tr>
    </w:tbl>
    <w:p w14:paraId="0E4AE79F" w14:textId="77777777" w:rsidR="00B53AAB" w:rsidRPr="00B53AAB" w:rsidRDefault="00B53AAB" w:rsidP="00B53AAB">
      <w:pPr>
        <w:widowControl w:val="0"/>
        <w:autoSpaceDE w:val="0"/>
        <w:autoSpaceDN w:val="0"/>
        <w:spacing w:after="0" w:line="276" w:lineRule="auto"/>
        <w:jc w:val="both"/>
        <w:rPr>
          <w:rFonts w:ascii="Verdana" w:hAnsi="Verdana" w:cs="Arial"/>
        </w:rPr>
      </w:pPr>
    </w:p>
    <w:p w14:paraId="6AA4657F" w14:textId="77777777" w:rsidR="00B53AAB" w:rsidRPr="00B53AAB" w:rsidRDefault="00B53AAB" w:rsidP="00B53AAB">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B53AAB">
        <w:rPr>
          <w:rFonts w:ascii="Verdana" w:eastAsia="Century Gothic" w:hAnsi="Verdana" w:cs="Century Gothic"/>
          <w:b/>
          <w:bCs/>
          <w:lang w:val="es-ES"/>
        </w:rPr>
        <w:t>Doctrina de la Agencia Nacional de Contratación Pública:</w:t>
      </w:r>
    </w:p>
    <w:p w14:paraId="3FD6B5D1" w14:textId="77777777" w:rsidR="00B53AAB" w:rsidRPr="00B53AAB" w:rsidRDefault="00B53AAB" w:rsidP="00B53AAB">
      <w:pPr>
        <w:widowControl w:val="0"/>
        <w:autoSpaceDE w:val="0"/>
        <w:autoSpaceDN w:val="0"/>
        <w:spacing w:after="0" w:line="276" w:lineRule="auto"/>
        <w:jc w:val="both"/>
        <w:rPr>
          <w:rFonts w:ascii="Verdana" w:hAnsi="Verdana" w:cs="Arial"/>
        </w:rPr>
      </w:pPr>
    </w:p>
    <w:p w14:paraId="2B09F65B" w14:textId="77777777" w:rsidR="00B53AAB" w:rsidRPr="00B53AAB" w:rsidRDefault="00B53AAB" w:rsidP="00B53AAB">
      <w:pPr>
        <w:widowControl w:val="0"/>
        <w:autoSpaceDE w:val="0"/>
        <w:autoSpaceDN w:val="0"/>
        <w:spacing w:after="0" w:line="276" w:lineRule="auto"/>
        <w:jc w:val="both"/>
        <w:rPr>
          <w:rFonts w:ascii="Verdana" w:hAnsi="Verdana" w:cs="Arial"/>
          <w:shd w:val="clear" w:color="auto" w:fill="FFFFFF"/>
        </w:rPr>
      </w:pPr>
      <w:r w:rsidRPr="00B53AAB">
        <w:rPr>
          <w:rFonts w:ascii="Verdana" w:hAnsi="Verdana" w:cs="Arial"/>
          <w:shd w:val="clear" w:color="auto" w:fill="FFFFFF"/>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C- 068 del 27 de enero de 2026, entre otros</w:t>
      </w:r>
      <w:r w:rsidRPr="00B53AAB">
        <w:rPr>
          <w:rFonts w:ascii="Verdana" w:hAnsi="Verdana"/>
        </w:rPr>
        <w:t>.</w:t>
      </w:r>
      <w:r w:rsidRPr="00B53AAB">
        <w:rPr>
          <w:rFonts w:ascii="Verdana" w:hAnsi="Verdana" w:cs="Arial"/>
          <w:shd w:val="clear" w:color="auto" w:fill="FFFFFF"/>
        </w:rPr>
        <w:t xml:space="preserve"> </w:t>
      </w:r>
      <w:r w:rsidRPr="00B53AA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83CDC52" w14:textId="77777777" w:rsidR="00B53AAB" w:rsidRPr="00B53AAB" w:rsidRDefault="00B53AAB" w:rsidP="00B53AAB">
      <w:pPr>
        <w:spacing w:after="0" w:line="256" w:lineRule="auto"/>
        <w:jc w:val="both"/>
        <w:rPr>
          <w:rFonts w:ascii="Verdana" w:eastAsia="Calibri" w:hAnsi="Verdana" w:cs="Times New Roman"/>
        </w:rPr>
      </w:pPr>
      <w:hyperlink r:id="rId13" w:history="1">
        <w:r w:rsidRPr="00B53AAB">
          <w:rPr>
            <w:rFonts w:ascii="Verdana" w:eastAsia="Calibri" w:hAnsi="Verdana" w:cs="Times New Roman"/>
            <w:color w:val="0000FF"/>
            <w:u w:val="single"/>
            <w:lang w:val="es-ES"/>
          </w:rPr>
          <w:t>https://relatoria.colombiacompra.gov.co/busqueda/conceptos</w:t>
        </w:r>
      </w:hyperlink>
      <w:r w:rsidRPr="00B53AAB">
        <w:rPr>
          <w:rFonts w:ascii="Verdana" w:eastAsia="Calibri" w:hAnsi="Verdana" w:cs="Times New Roman"/>
        </w:rPr>
        <w:t xml:space="preserve">. </w:t>
      </w:r>
    </w:p>
    <w:p w14:paraId="11DD18C6" w14:textId="77777777" w:rsidR="00B53AAB" w:rsidRPr="00B53AAB" w:rsidRDefault="00B53AAB" w:rsidP="00B53AAB">
      <w:pPr>
        <w:widowControl w:val="0"/>
        <w:autoSpaceDE w:val="0"/>
        <w:autoSpaceDN w:val="0"/>
        <w:spacing w:after="0" w:line="276" w:lineRule="auto"/>
        <w:jc w:val="both"/>
        <w:rPr>
          <w:rFonts w:ascii="Verdana" w:hAnsi="Verdana" w:cs="Arial"/>
          <w:color w:val="000000" w:themeColor="text1"/>
          <w:shd w:val="clear" w:color="auto" w:fill="FFFFFF"/>
        </w:rPr>
      </w:pPr>
    </w:p>
    <w:p w14:paraId="6A0C1561" w14:textId="77777777" w:rsidR="00B53AAB" w:rsidRPr="00B53AAB" w:rsidRDefault="00B53AAB" w:rsidP="00B53AAB">
      <w:pPr>
        <w:shd w:val="clear" w:color="auto" w:fill="FFFFFF"/>
        <w:spacing w:after="0" w:line="276" w:lineRule="auto"/>
        <w:jc w:val="both"/>
        <w:rPr>
          <w:rFonts w:ascii="Verdana" w:hAnsi="Verdana"/>
          <w:color w:val="000000"/>
          <w:u w:val="single"/>
        </w:rPr>
      </w:pPr>
      <w:r w:rsidRPr="00B53AAB">
        <w:rPr>
          <w:rFonts w:ascii="Verdana" w:hAnsi="Verdana"/>
          <w:color w:val="000000"/>
        </w:rPr>
        <w:t>Te informamos que ya se encuentra disponible la </w:t>
      </w:r>
      <w:r w:rsidRPr="00B53AAB">
        <w:rPr>
          <w:rFonts w:ascii="Verdana" w:hAnsi="Verdana"/>
          <w:b/>
          <w:bCs/>
          <w:color w:val="000000"/>
        </w:rPr>
        <w:t xml:space="preserve">Guía de lineamientos de transparencia y selección objetiva para el departamento de La Guajira – </w:t>
      </w:r>
      <w:r w:rsidRPr="00B53AAB">
        <w:rPr>
          <w:rFonts w:ascii="Verdana" w:hAnsi="Verdana"/>
          <w:b/>
          <w:bCs/>
          <w:color w:val="000000"/>
        </w:rPr>
        <w:lastRenderedPageBreak/>
        <w:t>Objetivo sexto constitucional de la Sentencia T-302 del 2017. </w:t>
      </w:r>
      <w:r w:rsidRPr="00B53AAB">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53AAB">
          <w:rPr>
            <w:rFonts w:ascii="Verdana" w:hAnsi="Verdana"/>
            <w:color w:val="0000FF"/>
            <w:u w:val="single"/>
          </w:rPr>
          <w:t>Guía de lineamientos de transparencia y selección objetiva para el departamento de La Guajira – Objetivo sexto constitucional de la Sentencia T-302 del 2017</w:t>
        </w:r>
      </w:hyperlink>
      <w:r w:rsidRPr="00B53AAB">
        <w:rPr>
          <w:rFonts w:ascii="Verdana" w:hAnsi="Verdana"/>
          <w:color w:val="000000"/>
          <w:u w:val="single"/>
        </w:rPr>
        <w:t>".</w:t>
      </w:r>
    </w:p>
    <w:p w14:paraId="6C9D25F1" w14:textId="77777777" w:rsidR="00B53AAB" w:rsidRPr="00B53AAB" w:rsidRDefault="00B53AAB" w:rsidP="00B53AAB">
      <w:pPr>
        <w:shd w:val="clear" w:color="auto" w:fill="FFFFFF"/>
        <w:spacing w:after="0" w:line="276" w:lineRule="auto"/>
        <w:jc w:val="both"/>
        <w:rPr>
          <w:rFonts w:ascii="Verdana" w:hAnsi="Verdana"/>
          <w:color w:val="000000"/>
          <w:u w:val="single"/>
        </w:rPr>
      </w:pPr>
    </w:p>
    <w:p w14:paraId="63C58A7B" w14:textId="77777777" w:rsidR="00B53AAB" w:rsidRPr="00B53AAB" w:rsidRDefault="00B53AAB" w:rsidP="00B53AAB">
      <w:pPr>
        <w:spacing w:after="0"/>
        <w:jc w:val="both"/>
        <w:rPr>
          <w:rFonts w:ascii="Verdana" w:hAnsi="Verdana"/>
        </w:rPr>
      </w:pPr>
      <w:r w:rsidRPr="00B53AA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C5E7B4F" w14:textId="77777777" w:rsidR="00B53AAB" w:rsidRPr="00B53AAB" w:rsidRDefault="00B53AAB" w:rsidP="00B53AAB">
      <w:pPr>
        <w:spacing w:after="0"/>
        <w:jc w:val="both"/>
        <w:rPr>
          <w:rFonts w:ascii="Verdana" w:hAnsi="Verdana"/>
        </w:rPr>
      </w:pPr>
    </w:p>
    <w:p w14:paraId="3FAD4B62" w14:textId="77777777" w:rsidR="00B53AAB" w:rsidRPr="00B53AAB" w:rsidRDefault="00B53AAB" w:rsidP="00B53AAB">
      <w:pPr>
        <w:numPr>
          <w:ilvl w:val="0"/>
          <w:numId w:val="15"/>
        </w:numPr>
        <w:spacing w:after="0" w:line="240" w:lineRule="auto"/>
        <w:contextualSpacing/>
        <w:jc w:val="both"/>
        <w:rPr>
          <w:rFonts w:ascii="Verdana" w:eastAsia="Verdana" w:hAnsi="Verdana" w:cs="Verdana"/>
          <w:color w:val="4472C4" w:themeColor="accent1"/>
          <w:u w:val="single"/>
          <w:lang w:val="es-MX"/>
        </w:rPr>
      </w:pPr>
      <w:r w:rsidRPr="00B53AAB">
        <w:rPr>
          <w:rFonts w:ascii="Verdana" w:eastAsia="Verdana" w:hAnsi="Verdana" w:cs="Verdana"/>
          <w:lang w:val="es-MX"/>
        </w:rPr>
        <w:t xml:space="preserve">Línea nacional gratuita o servicio a la ciudadanía (Mesa de servicio): </w:t>
      </w:r>
      <w:r w:rsidRPr="00B53AAB">
        <w:rPr>
          <w:rFonts w:ascii="Verdana" w:hAnsi="Verdana"/>
          <w:color w:val="0000FF"/>
          <w:u w:val="single"/>
          <w:lang w:val="es-ES"/>
        </w:rPr>
        <w:t>01800 0520808</w:t>
      </w:r>
    </w:p>
    <w:p w14:paraId="7631C597" w14:textId="77777777" w:rsidR="00B53AAB" w:rsidRPr="00B53AAB" w:rsidRDefault="00B53AAB" w:rsidP="00B53AAB">
      <w:pPr>
        <w:numPr>
          <w:ilvl w:val="0"/>
          <w:numId w:val="15"/>
        </w:numPr>
        <w:spacing w:after="0"/>
        <w:contextualSpacing/>
        <w:rPr>
          <w:rFonts w:ascii="Verdana" w:eastAsia="Verdana" w:hAnsi="Verdana" w:cs="Verdana"/>
          <w:color w:val="4472C4" w:themeColor="accent1"/>
          <w:u w:val="single"/>
          <w:lang w:val="es-MX"/>
        </w:rPr>
      </w:pPr>
      <w:r w:rsidRPr="00B53AAB">
        <w:rPr>
          <w:rFonts w:ascii="Verdana" w:eastAsia="Verdana" w:hAnsi="Verdana" w:cs="Verdana"/>
          <w:lang w:val="es-MX"/>
        </w:rPr>
        <w:t>Línea en Bogotá (Mesa de servicio):</w:t>
      </w:r>
      <w:r w:rsidRPr="00B53AAB">
        <w:rPr>
          <w:rFonts w:ascii="Verdana" w:hAnsi="Verdana"/>
          <w:color w:val="0000FF"/>
          <w:u w:val="single"/>
          <w:lang w:val="es-ES"/>
        </w:rPr>
        <w:t>+57 601 7456788</w:t>
      </w:r>
    </w:p>
    <w:p w14:paraId="6E762DA2" w14:textId="77777777" w:rsidR="00B53AAB" w:rsidRPr="00B53AAB" w:rsidRDefault="00B53AAB" w:rsidP="00B53AAB">
      <w:pPr>
        <w:numPr>
          <w:ilvl w:val="0"/>
          <w:numId w:val="15"/>
        </w:numPr>
        <w:spacing w:after="0"/>
        <w:contextualSpacing/>
        <w:rPr>
          <w:rFonts w:ascii="Verdana" w:eastAsia="Verdana" w:hAnsi="Verdana" w:cs="Verdana"/>
          <w:color w:val="0000FF"/>
          <w:u w:val="single"/>
          <w:lang w:val="es-MX"/>
        </w:rPr>
      </w:pPr>
      <w:r w:rsidRPr="00B53AAB">
        <w:rPr>
          <w:rFonts w:ascii="Verdana" w:eastAsia="Verdana" w:hAnsi="Verdana" w:cs="Verdana"/>
          <w:lang w:val="es-MX"/>
        </w:rPr>
        <w:t xml:space="preserve">Correo de radicación de correspondencia: </w:t>
      </w:r>
      <w:hyperlink r:id="rId15">
        <w:r w:rsidRPr="00B53AAB">
          <w:rPr>
            <w:rFonts w:ascii="Verdana" w:eastAsia="Verdana" w:hAnsi="Verdana" w:cs="Verdana"/>
            <w:color w:val="0000FF"/>
            <w:u w:val="single"/>
            <w:lang w:val="es-MX"/>
          </w:rPr>
          <w:t>ventanilladeradicacion@colombiacompra.gov.co</w:t>
        </w:r>
      </w:hyperlink>
    </w:p>
    <w:p w14:paraId="46C1A2C0" w14:textId="77777777" w:rsidR="00B53AAB" w:rsidRPr="00B53AAB" w:rsidRDefault="00B53AAB" w:rsidP="00B53AAB">
      <w:pPr>
        <w:numPr>
          <w:ilvl w:val="0"/>
          <w:numId w:val="15"/>
        </w:numPr>
        <w:spacing w:after="0"/>
        <w:contextualSpacing/>
        <w:rPr>
          <w:rFonts w:ascii="Verdana" w:eastAsia="Verdana" w:hAnsi="Verdana" w:cs="Verdana"/>
          <w:color w:val="0000FF"/>
          <w:u w:val="single"/>
          <w:lang w:val="es-MX"/>
        </w:rPr>
      </w:pPr>
      <w:r w:rsidRPr="00B53AAB">
        <w:rPr>
          <w:rFonts w:ascii="Verdana" w:eastAsia="Verdana" w:hAnsi="Verdana" w:cs="Verdana"/>
          <w:lang w:val="es-ES"/>
        </w:rPr>
        <w:t>Formulario web para</w:t>
      </w:r>
      <w:r w:rsidRPr="00B53AAB">
        <w:rPr>
          <w:rFonts w:ascii="Verdana" w:eastAsia="Verdana" w:hAnsi="Verdana" w:cs="Verdana"/>
          <w:lang w:val="es"/>
        </w:rPr>
        <w:t xml:space="preserve"> PQRSD: </w:t>
      </w:r>
      <w:hyperlink r:id="rId16">
        <w:r w:rsidRPr="00B53AAB">
          <w:rPr>
            <w:rFonts w:ascii="Verdana" w:eastAsia="Verdana" w:hAnsi="Verdana" w:cs="Verdana"/>
            <w:color w:val="0000FF"/>
            <w:u w:val="single"/>
            <w:lang w:val="es-MX"/>
          </w:rPr>
          <w:t>https://www.colombiacompra.gov.co/pqrsd/informacion-importante-antes-de-formular-una-pqrsd</w:t>
        </w:r>
      </w:hyperlink>
    </w:p>
    <w:p w14:paraId="0D8D862E" w14:textId="77777777" w:rsidR="00B53AAB" w:rsidRPr="00B53AAB" w:rsidRDefault="00B53AAB" w:rsidP="00B53AAB">
      <w:pPr>
        <w:spacing w:after="0" w:line="240" w:lineRule="auto"/>
        <w:ind w:left="720"/>
        <w:jc w:val="both"/>
        <w:rPr>
          <w:rFonts w:ascii="Verdana" w:hAnsi="Verdana"/>
        </w:rPr>
      </w:pPr>
    </w:p>
    <w:p w14:paraId="096151CE" w14:textId="77777777" w:rsidR="00B53AAB" w:rsidRPr="00B53AAB" w:rsidRDefault="00B53AAB" w:rsidP="00B53AAB">
      <w:pPr>
        <w:spacing w:after="0" w:line="240" w:lineRule="auto"/>
        <w:rPr>
          <w:rFonts w:ascii="Verdana" w:hAnsi="Verdana"/>
        </w:rPr>
      </w:pPr>
      <w:r w:rsidRPr="00B53AAB">
        <w:rPr>
          <w:rFonts w:ascii="Verdana" w:hAnsi="Verdana"/>
        </w:rPr>
        <w:t>Evalúa el servicio que ofrece la Agencia por el canal de atención de PQRSD en el siguiente enlace :</w:t>
      </w:r>
      <w:hyperlink r:id="rId17" w:tgtFrame="_blank" w:tooltip="https://forms.office.com/r/pphywvs2sz" w:history="1">
        <w:r w:rsidRPr="00B53AAB">
          <w:rPr>
            <w:rFonts w:ascii="Verdana" w:hAnsi="Verdana"/>
            <w:color w:val="0000FF"/>
            <w:u w:val="single"/>
          </w:rPr>
          <w:t>https://forms.office.com/r/pPHyWVs2SZ</w:t>
        </w:r>
      </w:hyperlink>
      <w:r w:rsidRPr="00B53AAB">
        <w:rPr>
          <w:rFonts w:ascii="Verdana" w:hAnsi="Verdana"/>
        </w:rPr>
        <w:t xml:space="preserve"> .¡Ayúdanos a mejorar porque el compromiso es de todos!</w:t>
      </w:r>
    </w:p>
    <w:p w14:paraId="758BFD10" w14:textId="77777777" w:rsidR="00B53AAB" w:rsidRPr="00B53AAB" w:rsidRDefault="00B53AAB" w:rsidP="00B53AAB">
      <w:pPr>
        <w:spacing w:after="0" w:line="240" w:lineRule="auto"/>
        <w:rPr>
          <w:rFonts w:ascii="Verdana" w:hAnsi="Verdana"/>
        </w:rPr>
      </w:pPr>
    </w:p>
    <w:p w14:paraId="1678359E" w14:textId="77777777" w:rsidR="00B53AAB" w:rsidRPr="00B53AAB" w:rsidRDefault="00B53AAB" w:rsidP="00B53AAB">
      <w:pPr>
        <w:spacing w:after="0" w:line="240" w:lineRule="auto"/>
        <w:jc w:val="both"/>
        <w:rPr>
          <w:rFonts w:ascii="Verdana" w:hAnsi="Verdana"/>
        </w:rPr>
      </w:pPr>
      <w:r w:rsidRPr="00B53AAB">
        <w:rPr>
          <w:rFonts w:ascii="Verdana" w:hAnsi="Verdana"/>
        </w:rPr>
        <w:t xml:space="preserve">Por último, lo invitamos a seguirnos en las redes sociales en las cuales se difunde información institucional: </w:t>
      </w:r>
    </w:p>
    <w:p w14:paraId="1CADA9F8" w14:textId="77777777" w:rsidR="00B53AAB" w:rsidRPr="00B53AAB" w:rsidRDefault="00B53AAB" w:rsidP="00B53AAB">
      <w:pPr>
        <w:spacing w:after="0" w:line="240" w:lineRule="auto"/>
        <w:jc w:val="both"/>
        <w:rPr>
          <w:rFonts w:ascii="Verdana" w:hAnsi="Verdana"/>
        </w:rPr>
      </w:pPr>
    </w:p>
    <w:p w14:paraId="4D5E5214" w14:textId="77777777" w:rsidR="00B53AAB" w:rsidRPr="00B53AAB" w:rsidRDefault="00B53AAB" w:rsidP="00B53AAB">
      <w:pPr>
        <w:spacing w:after="0" w:line="240" w:lineRule="auto"/>
        <w:jc w:val="both"/>
        <w:rPr>
          <w:rFonts w:ascii="Verdana" w:hAnsi="Verdana"/>
        </w:rPr>
      </w:pPr>
      <w:r w:rsidRPr="00B53AAB">
        <w:rPr>
          <w:rFonts w:ascii="Verdana" w:hAnsi="Verdana"/>
        </w:rPr>
        <w:t xml:space="preserve">Twitter: </w:t>
      </w:r>
      <w:r w:rsidRPr="00B53AAB">
        <w:rPr>
          <w:rFonts w:ascii="Verdana" w:hAnsi="Verdana"/>
          <w:color w:val="0000FF"/>
          <w:u w:val="single"/>
        </w:rPr>
        <w:t>@colombiacompra</w:t>
      </w:r>
      <w:r w:rsidRPr="00B53AAB">
        <w:rPr>
          <w:rFonts w:ascii="Verdana" w:hAnsi="Verdana"/>
        </w:rPr>
        <w:t xml:space="preserve"> </w:t>
      </w:r>
    </w:p>
    <w:p w14:paraId="367FB1F1" w14:textId="77777777" w:rsidR="00B53AAB" w:rsidRPr="00B53AAB" w:rsidRDefault="00B53AAB" w:rsidP="00B53AAB">
      <w:pPr>
        <w:spacing w:after="0" w:line="240" w:lineRule="auto"/>
        <w:jc w:val="both"/>
        <w:rPr>
          <w:rFonts w:ascii="Verdana" w:hAnsi="Verdana"/>
        </w:rPr>
      </w:pPr>
      <w:r w:rsidRPr="00B53AAB">
        <w:rPr>
          <w:rFonts w:ascii="Verdana" w:hAnsi="Verdana"/>
        </w:rPr>
        <w:t xml:space="preserve">Facebook: </w:t>
      </w:r>
      <w:r w:rsidRPr="00B53AAB">
        <w:rPr>
          <w:rFonts w:ascii="Verdana" w:hAnsi="Verdana"/>
          <w:color w:val="0000FF"/>
          <w:u w:val="single"/>
        </w:rPr>
        <w:t>ColombiaCompraEficiente</w:t>
      </w:r>
    </w:p>
    <w:p w14:paraId="5BDA3ADF" w14:textId="77777777" w:rsidR="00B53AAB" w:rsidRPr="00B53AAB" w:rsidRDefault="00B53AAB" w:rsidP="00B53AAB">
      <w:pPr>
        <w:spacing w:after="0" w:line="240" w:lineRule="auto"/>
        <w:jc w:val="both"/>
        <w:rPr>
          <w:rFonts w:ascii="Verdana" w:hAnsi="Verdana"/>
        </w:rPr>
      </w:pPr>
      <w:r w:rsidRPr="00B53AAB">
        <w:rPr>
          <w:rFonts w:ascii="Verdana" w:hAnsi="Verdana"/>
        </w:rPr>
        <w:t xml:space="preserve">LinkedIn: </w:t>
      </w:r>
      <w:r w:rsidRPr="00B53AAB">
        <w:rPr>
          <w:rFonts w:ascii="Verdana" w:hAnsi="Verdana"/>
          <w:color w:val="0000FF"/>
          <w:u w:val="single"/>
        </w:rPr>
        <w:t>Agencia Nacional de Contratación Pública - Colombia Compra Eficiente</w:t>
      </w:r>
      <w:r w:rsidRPr="00B53AAB">
        <w:rPr>
          <w:rFonts w:ascii="Verdana" w:hAnsi="Verdana"/>
        </w:rPr>
        <w:t xml:space="preserve"> Instagram: </w:t>
      </w:r>
      <w:r w:rsidRPr="00B53AAB">
        <w:rPr>
          <w:rFonts w:ascii="Verdana" w:hAnsi="Verdana"/>
          <w:color w:val="0000FF"/>
          <w:u w:val="single"/>
        </w:rPr>
        <w:t>@colombiacompraeficiente_cce</w:t>
      </w:r>
    </w:p>
    <w:p w14:paraId="5E11726C" w14:textId="77777777" w:rsidR="00B53AAB" w:rsidRPr="00B53AAB" w:rsidRDefault="00B53AAB" w:rsidP="00B53AAB">
      <w:pPr>
        <w:spacing w:after="0" w:line="240" w:lineRule="auto"/>
        <w:jc w:val="both"/>
        <w:rPr>
          <w:rFonts w:ascii="Verdana" w:hAnsi="Verdana"/>
        </w:rPr>
      </w:pPr>
    </w:p>
    <w:p w14:paraId="5E5F8B46" w14:textId="77777777" w:rsidR="00B53AAB" w:rsidRPr="00B53AAB" w:rsidRDefault="00B53AAB" w:rsidP="00B53AAB">
      <w:pPr>
        <w:spacing w:after="0" w:line="256" w:lineRule="auto"/>
        <w:jc w:val="both"/>
        <w:rPr>
          <w:rFonts w:ascii="Verdana" w:eastAsia="Calibri" w:hAnsi="Verdana" w:cs="Times New Roman"/>
          <w:bCs/>
          <w:lang w:val="es-ES_tradnl"/>
        </w:rPr>
      </w:pPr>
      <w:r w:rsidRPr="00B53AAB">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53AAB">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126EE7CE" w14:textId="77777777" w:rsidR="00B53AAB" w:rsidRPr="00B53AAB" w:rsidRDefault="00B53AAB" w:rsidP="00B53AAB">
      <w:pPr>
        <w:spacing w:after="0" w:line="256" w:lineRule="auto"/>
        <w:jc w:val="both"/>
        <w:rPr>
          <w:rFonts w:ascii="Verdana" w:eastAsia="Calibri" w:hAnsi="Verdana" w:cs="Times New Roman"/>
          <w:lang w:val="es-ES_tradnl"/>
        </w:rPr>
      </w:pPr>
    </w:p>
    <w:p w14:paraId="43BF887A" w14:textId="77777777" w:rsidR="00B53AAB" w:rsidRPr="00B53AAB" w:rsidRDefault="00B53AAB" w:rsidP="00B53AAB">
      <w:pPr>
        <w:spacing w:after="0" w:line="256" w:lineRule="auto"/>
        <w:jc w:val="both"/>
        <w:rPr>
          <w:rFonts w:ascii="Verdana" w:eastAsia="Calibri" w:hAnsi="Verdana" w:cs="Times New Roman"/>
        </w:rPr>
      </w:pPr>
      <w:r w:rsidRPr="00B53AAB">
        <w:rPr>
          <w:rFonts w:ascii="Verdana" w:eastAsia="Calibri" w:hAnsi="Verdana" w:cs="Times New Roman"/>
        </w:rPr>
        <w:t>Atentamente,</w:t>
      </w:r>
    </w:p>
    <w:p w14:paraId="25E38477" w14:textId="77777777" w:rsidR="00B53AAB" w:rsidRPr="00B53AAB" w:rsidRDefault="00B53AAB" w:rsidP="00B53AAB">
      <w:pPr>
        <w:spacing w:after="0" w:line="256" w:lineRule="auto"/>
        <w:jc w:val="both"/>
        <w:rPr>
          <w:rFonts w:ascii="Verdana" w:eastAsia="Calibri" w:hAnsi="Verdana" w:cs="Times New Roman"/>
        </w:rPr>
      </w:pPr>
    </w:p>
    <w:p w14:paraId="245DA266" w14:textId="7248B432" w:rsidR="00B53AAB" w:rsidRPr="00B53AAB" w:rsidRDefault="00830DA0" w:rsidP="00B53AAB">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A35CFB5" wp14:editId="50E77D39">
            <wp:extent cx="3058510" cy="1135356"/>
            <wp:effectExtent l="0" t="0" r="0" b="825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101538" cy="1151329"/>
                    </a:xfrm>
                    <a:prstGeom prst="rect">
                      <a:avLst/>
                    </a:prstGeom>
                  </pic:spPr>
                </pic:pic>
              </a:graphicData>
            </a:graphic>
          </wp:inline>
        </w:drawing>
      </w:r>
      <w:r w:rsidR="00B53AAB" w:rsidRPr="00B53AAB">
        <w:rPr>
          <w:rFonts w:ascii="Verdana" w:hAnsi="Verdana"/>
          <w:sz w:val="16"/>
          <w:szCs w:val="16"/>
        </w:rPr>
        <w:t xml:space="preserve"> </w:t>
      </w:r>
    </w:p>
    <w:p w14:paraId="372BDC60" w14:textId="77777777" w:rsidR="00B53AAB" w:rsidRPr="00B53AAB" w:rsidRDefault="00B53AAB" w:rsidP="00B53AAB">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53AAB" w:rsidRPr="00B53AAB" w14:paraId="2870CA83" w14:textId="77777777" w:rsidTr="00B7019D">
        <w:trPr>
          <w:trHeight w:val="409"/>
        </w:trPr>
        <w:tc>
          <w:tcPr>
            <w:tcW w:w="817" w:type="dxa"/>
            <w:tcBorders>
              <w:top w:val="nil"/>
              <w:left w:val="nil"/>
              <w:bottom w:val="nil"/>
              <w:right w:val="nil"/>
            </w:tcBorders>
            <w:vAlign w:val="center"/>
            <w:hideMark/>
          </w:tcPr>
          <w:p w14:paraId="28B226FE"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58EA920"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José Luis Sánchez Cardona</w:t>
            </w:r>
          </w:p>
          <w:p w14:paraId="5CFB1C12"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Contratista de la Subdirección de Gestión Contractual</w:t>
            </w:r>
          </w:p>
        </w:tc>
      </w:tr>
      <w:tr w:rsidR="00B53AAB" w:rsidRPr="00B53AAB" w14:paraId="17357431" w14:textId="77777777" w:rsidTr="00B7019D">
        <w:trPr>
          <w:trHeight w:val="409"/>
        </w:trPr>
        <w:tc>
          <w:tcPr>
            <w:tcW w:w="817" w:type="dxa"/>
            <w:tcBorders>
              <w:top w:val="nil"/>
              <w:left w:val="nil"/>
              <w:bottom w:val="nil"/>
              <w:right w:val="nil"/>
            </w:tcBorders>
            <w:vAlign w:val="center"/>
            <w:hideMark/>
          </w:tcPr>
          <w:p w14:paraId="0A15D39E"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2640794"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Alejandro R. Sarmiento Cantillo</w:t>
            </w:r>
          </w:p>
          <w:p w14:paraId="52836E90"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Gestor T1-15 de la Subdirección de Gestión Contractual </w:t>
            </w:r>
          </w:p>
        </w:tc>
      </w:tr>
      <w:tr w:rsidR="00B53AAB" w:rsidRPr="00B53AAB" w14:paraId="4D94BA7E" w14:textId="77777777" w:rsidTr="00B7019D">
        <w:trPr>
          <w:trHeight w:val="389"/>
        </w:trPr>
        <w:tc>
          <w:tcPr>
            <w:tcW w:w="817" w:type="dxa"/>
            <w:tcBorders>
              <w:top w:val="nil"/>
              <w:left w:val="nil"/>
              <w:bottom w:val="nil"/>
              <w:right w:val="nil"/>
            </w:tcBorders>
            <w:vAlign w:val="center"/>
            <w:hideMark/>
          </w:tcPr>
          <w:p w14:paraId="78B7392A"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818F765"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Carolina Quintero Gacharná</w:t>
            </w:r>
          </w:p>
          <w:p w14:paraId="60D7B056" w14:textId="77777777" w:rsidR="00B53AAB" w:rsidRPr="00B53AAB" w:rsidRDefault="00B53AAB" w:rsidP="00B53AAB">
            <w:pPr>
              <w:spacing w:after="0" w:line="256" w:lineRule="auto"/>
              <w:rPr>
                <w:rFonts w:ascii="Verdana" w:eastAsia="Calibri" w:hAnsi="Verdana" w:cs="Times New Roman"/>
                <w:sz w:val="16"/>
                <w:szCs w:val="16"/>
              </w:rPr>
            </w:pPr>
            <w:r w:rsidRPr="00B53AAB">
              <w:rPr>
                <w:rFonts w:ascii="Verdana" w:eastAsia="Calibri" w:hAnsi="Verdana" w:cs="Times New Roman"/>
                <w:sz w:val="16"/>
                <w:szCs w:val="16"/>
              </w:rPr>
              <w:t>Subdirectora de Gestión Contractual ANCP – CCE</w:t>
            </w:r>
          </w:p>
        </w:tc>
      </w:tr>
    </w:tbl>
    <w:p w14:paraId="5DC35926" w14:textId="77777777" w:rsidR="00B53AAB" w:rsidRPr="00B53AAB" w:rsidRDefault="00B53AAB" w:rsidP="00B53AAB">
      <w:pPr>
        <w:spacing w:after="0"/>
        <w:rPr>
          <w:rFonts w:ascii="Verdana" w:hAnsi="Verdana"/>
        </w:rPr>
      </w:pPr>
      <w:bookmarkStart w:id="13" w:name="_Hlk143780582"/>
      <w:bookmarkEnd w:id="13"/>
    </w:p>
    <w:p w14:paraId="41FD1E17" w14:textId="77777777" w:rsidR="004674CF" w:rsidRPr="00B53AAB" w:rsidRDefault="004674CF" w:rsidP="00B53AAB"/>
    <w:sectPr w:rsidR="004674CF" w:rsidRPr="00B53AA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05788" w14:textId="77777777" w:rsidR="00FD4121" w:rsidRDefault="00FD4121" w:rsidP="004A1847">
      <w:pPr>
        <w:spacing w:after="0" w:line="240" w:lineRule="auto"/>
      </w:pPr>
      <w:r>
        <w:separator/>
      </w:r>
    </w:p>
  </w:endnote>
  <w:endnote w:type="continuationSeparator" w:id="0">
    <w:p w14:paraId="326C29E3" w14:textId="77777777" w:rsidR="00FD4121" w:rsidRDefault="00FD4121" w:rsidP="004A1847">
      <w:pPr>
        <w:spacing w:after="0" w:line="240" w:lineRule="auto"/>
      </w:pPr>
      <w:r>
        <w:continuationSeparator/>
      </w:r>
    </w:p>
  </w:endnote>
  <w:endnote w:type="continuationNotice" w:id="1">
    <w:p w14:paraId="77ABFFDC" w14:textId="77777777" w:rsidR="00FD4121" w:rsidRDefault="00FD41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5D980604"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30DA0" w:rsidRPr="00830DA0">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A1607" w14:textId="77777777" w:rsidR="00FD4121" w:rsidRDefault="00FD4121" w:rsidP="004A1847">
      <w:pPr>
        <w:spacing w:after="0" w:line="240" w:lineRule="auto"/>
      </w:pPr>
      <w:r>
        <w:separator/>
      </w:r>
    </w:p>
  </w:footnote>
  <w:footnote w:type="continuationSeparator" w:id="0">
    <w:p w14:paraId="6CACAB42" w14:textId="77777777" w:rsidR="00FD4121" w:rsidRDefault="00FD4121" w:rsidP="004A1847">
      <w:pPr>
        <w:spacing w:after="0" w:line="240" w:lineRule="auto"/>
      </w:pPr>
      <w:r>
        <w:continuationSeparator/>
      </w:r>
    </w:p>
  </w:footnote>
  <w:footnote w:type="continuationNotice" w:id="1">
    <w:p w14:paraId="36BDFF1F" w14:textId="77777777" w:rsidR="00FD4121" w:rsidRDefault="00FD4121">
      <w:pPr>
        <w:spacing w:after="0" w:line="240" w:lineRule="auto"/>
      </w:pPr>
    </w:p>
  </w:footnote>
  <w:footnote w:id="2">
    <w:p w14:paraId="0FEFA6E5" w14:textId="77777777" w:rsidR="00B53AAB" w:rsidRPr="004674CF" w:rsidRDefault="00B53AAB" w:rsidP="00B53AAB">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 w:id="3">
    <w:p w14:paraId="77E265D8" w14:textId="77777777" w:rsidR="00B53AAB" w:rsidRPr="004674CF" w:rsidRDefault="00B53AAB" w:rsidP="00B53A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36A1AB0" w14:textId="77777777" w:rsidR="00B53AAB" w:rsidRPr="004674CF" w:rsidRDefault="00B53AAB" w:rsidP="00B53AAB">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588E984B" w14:textId="77777777" w:rsidR="00B53AAB" w:rsidRPr="004674CF" w:rsidRDefault="00B53AAB" w:rsidP="00B53A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5">
    <w:p w14:paraId="71756496" w14:textId="77777777" w:rsidR="00B53AAB" w:rsidRPr="004674CF" w:rsidRDefault="00B53AAB" w:rsidP="00B53AAB">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 C- 1153 de 2005, M.P. Marco Gerardo Monroy Cabra.</w:t>
      </w:r>
    </w:p>
  </w:footnote>
  <w:footnote w:id="6">
    <w:p w14:paraId="3FA0CB8C" w14:textId="77777777" w:rsidR="00B53AAB" w:rsidRPr="004674CF" w:rsidRDefault="00B53AAB" w:rsidP="00B53AAB">
      <w:pPr>
        <w:pStyle w:val="Textonotapie"/>
        <w:ind w:firstLine="709"/>
        <w:jc w:val="both"/>
        <w:rPr>
          <w:rFonts w:ascii="Verdana" w:hAnsi="Verdana" w:cs="Arial"/>
          <w:sz w:val="16"/>
          <w:szCs w:val="16"/>
          <w:lang w:val="pt-BR"/>
        </w:rPr>
      </w:pPr>
      <w:r w:rsidRPr="004674CF">
        <w:rPr>
          <w:rStyle w:val="Refdenotaalpie"/>
          <w:rFonts w:ascii="Verdana" w:hAnsi="Verdana" w:cs="Arial"/>
          <w:sz w:val="16"/>
          <w:szCs w:val="16"/>
        </w:rPr>
        <w:footnoteRef/>
      </w:r>
      <w:r w:rsidRPr="004674CF">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16AD99D8" w14:textId="77777777" w:rsidR="00B53AAB" w:rsidRPr="004674CF" w:rsidRDefault="00B53AAB" w:rsidP="00B53AAB">
      <w:pPr>
        <w:pStyle w:val="Textonotapie"/>
        <w:ind w:firstLine="709"/>
        <w:jc w:val="both"/>
        <w:rPr>
          <w:rFonts w:ascii="Verdana" w:hAnsi="Verdana" w:cs="Arial"/>
          <w:sz w:val="16"/>
          <w:szCs w:val="16"/>
          <w:lang w:val="es-CO"/>
        </w:rPr>
      </w:pPr>
      <w:r w:rsidRPr="004674CF">
        <w:rPr>
          <w:rStyle w:val="Refdenotaalpie"/>
          <w:rFonts w:ascii="Verdana" w:hAnsi="Verdana" w:cs="Arial"/>
          <w:sz w:val="16"/>
          <w:szCs w:val="16"/>
        </w:rPr>
        <w:footnoteRef/>
      </w:r>
      <w:r w:rsidRPr="004674C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1CF3C119" w14:textId="77777777" w:rsidR="00B53AAB" w:rsidRPr="004674CF" w:rsidRDefault="00B53AAB" w:rsidP="00B53A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de fecha 24 de julio de 2013, radicado 2166, C. P. Álvaro Namén Vargas.  </w:t>
      </w:r>
    </w:p>
  </w:footnote>
  <w:footnote w:id="9">
    <w:p w14:paraId="4E439673" w14:textId="77777777" w:rsidR="00B53AAB" w:rsidRPr="004674CF" w:rsidRDefault="00B53AAB" w:rsidP="00B53AAB">
      <w:pPr>
        <w:spacing w:after="0" w:line="240" w:lineRule="auto"/>
        <w:ind w:firstLine="709"/>
        <w:jc w:val="both"/>
        <w:rPr>
          <w:rFonts w:ascii="Verdana" w:eastAsia="Times New Roman"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6" w:name="33"/>
      <w:r w:rsidRPr="004674CF">
        <w:rPr>
          <w:rFonts w:ascii="Verdana" w:eastAsia="Calibri" w:hAnsi="Verdana" w:cs="Arial"/>
          <w:color w:val="000000"/>
          <w:sz w:val="16"/>
          <w:szCs w:val="16"/>
        </w:rPr>
        <w:t>“</w:t>
      </w:r>
      <w:r w:rsidRPr="004674CF">
        <w:rPr>
          <w:rFonts w:ascii="Verdana" w:eastAsia="Times New Roman" w:hAnsi="Verdana" w:cs="Arial"/>
          <w:sz w:val="16"/>
          <w:szCs w:val="16"/>
        </w:rPr>
        <w:t>Artículo 33. Restricciones a la contratación pública.</w:t>
      </w:r>
      <w:bookmarkEnd w:id="6"/>
      <w:r w:rsidRPr="004674C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1EFA6BA" w14:textId="77777777" w:rsidR="00B53AAB" w:rsidRPr="004674CF" w:rsidRDefault="00B53AAB" w:rsidP="00B53AAB">
      <w:pPr>
        <w:spacing w:after="0" w:line="240" w:lineRule="auto"/>
        <w:ind w:firstLine="709"/>
        <w:jc w:val="both"/>
        <w:rPr>
          <w:rFonts w:ascii="Verdana" w:eastAsia="Times New Roman" w:hAnsi="Verdana" w:cs="Arial"/>
          <w:sz w:val="16"/>
          <w:szCs w:val="16"/>
        </w:rPr>
      </w:pPr>
      <w:r w:rsidRPr="004674C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74CF">
        <w:rPr>
          <w:rFonts w:ascii="Verdana" w:eastAsia="Calibri" w:hAnsi="Verdana" w:cs="Arial"/>
          <w:color w:val="000000"/>
          <w:sz w:val="16"/>
          <w:szCs w:val="16"/>
        </w:rPr>
        <w:t>”</w:t>
      </w:r>
      <w:r w:rsidRPr="004674CF">
        <w:rPr>
          <w:rFonts w:ascii="Verdana" w:eastAsia="Times New Roman" w:hAnsi="Verdana" w:cs="Arial"/>
          <w:sz w:val="16"/>
          <w:szCs w:val="16"/>
        </w:rPr>
        <w:t>.</w:t>
      </w:r>
    </w:p>
  </w:footnote>
  <w:footnote w:id="10">
    <w:p w14:paraId="31DBE518" w14:textId="77777777" w:rsidR="00B53AAB" w:rsidRPr="004674CF" w:rsidRDefault="00B53AAB" w:rsidP="00B53AAB">
      <w:pPr>
        <w:pStyle w:val="NormalWeb"/>
        <w:spacing w:before="0" w:beforeAutospacing="0" w:after="0" w:afterAutospacing="0"/>
        <w:ind w:firstLine="709"/>
        <w:jc w:val="both"/>
        <w:rPr>
          <w:rFonts w:ascii="Verdana" w:hAnsi="Verdana" w:cs="Arial"/>
          <w:sz w:val="16"/>
          <w:szCs w:val="16"/>
          <w:lang w:val="es-MX"/>
        </w:rPr>
      </w:pPr>
      <w:r w:rsidRPr="004674CF">
        <w:rPr>
          <w:rStyle w:val="Refdenotaalpie"/>
          <w:rFonts w:ascii="Verdana" w:hAnsi="Verdana" w:cs="Arial"/>
          <w:sz w:val="16"/>
          <w:szCs w:val="16"/>
        </w:rPr>
        <w:footnoteRef/>
      </w:r>
      <w:r w:rsidRPr="004674CF">
        <w:rPr>
          <w:rFonts w:ascii="Verdana" w:hAnsi="Verdana" w:cs="Arial"/>
          <w:sz w:val="16"/>
          <w:szCs w:val="16"/>
        </w:rPr>
        <w:t xml:space="preserve"> </w:t>
      </w:r>
      <w:bookmarkStart w:id="7" w:name="38"/>
      <w:r w:rsidRPr="004674CF">
        <w:rPr>
          <w:rFonts w:ascii="Verdana" w:eastAsia="Calibri" w:hAnsi="Verdana" w:cs="Arial"/>
          <w:color w:val="000000"/>
          <w:sz w:val="16"/>
          <w:szCs w:val="16"/>
        </w:rPr>
        <w:t>“</w:t>
      </w:r>
      <w:r w:rsidRPr="004674CF">
        <w:rPr>
          <w:rFonts w:ascii="Verdana" w:hAnsi="Verdana" w:cs="Arial"/>
          <w:sz w:val="16"/>
          <w:szCs w:val="16"/>
          <w:lang w:val="es-MX"/>
        </w:rPr>
        <w:t>Artículo 38. Prohibiciones para los servidores públicos. A los empleados del Estado les está prohibido:</w:t>
      </w:r>
      <w:bookmarkEnd w:id="7"/>
      <w:r w:rsidRPr="004674CF">
        <w:rPr>
          <w:rFonts w:ascii="Verdana" w:hAnsi="Verdana" w:cs="Arial"/>
          <w:sz w:val="16"/>
          <w:szCs w:val="16"/>
          <w:lang w:val="es-MX"/>
        </w:rPr>
        <w:t xml:space="preserve"> […]</w:t>
      </w:r>
    </w:p>
    <w:p w14:paraId="5BF0940C" w14:textId="77777777" w:rsidR="00B53AAB" w:rsidRPr="004674CF" w:rsidRDefault="00B53AAB" w:rsidP="00B53AAB">
      <w:pPr>
        <w:pStyle w:val="NormalWeb"/>
        <w:spacing w:before="0" w:beforeAutospacing="0" w:after="0" w:afterAutospacing="0"/>
        <w:ind w:firstLine="709"/>
        <w:jc w:val="both"/>
        <w:rPr>
          <w:rFonts w:ascii="Verdana" w:hAnsi="Verdana" w:cs="Arial"/>
          <w:sz w:val="16"/>
          <w:szCs w:val="16"/>
          <w:lang w:val="es-MX"/>
        </w:rPr>
      </w:pPr>
      <w:r w:rsidRPr="004674CF">
        <w:rPr>
          <w:rStyle w:val="baj"/>
          <w:rFonts w:ascii="Verdana" w:hAnsi="Verdana" w:cs="Arial"/>
          <w:sz w:val="16"/>
          <w:szCs w:val="16"/>
          <w:lang w:val="es-MX"/>
        </w:rPr>
        <w:t>Parágrafo.</w:t>
      </w:r>
      <w:r w:rsidRPr="004674C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74CF">
        <w:rPr>
          <w:rFonts w:ascii="Verdana" w:eastAsia="Calibri" w:hAnsi="Verdana" w:cs="Arial"/>
          <w:color w:val="000000"/>
          <w:sz w:val="16"/>
          <w:szCs w:val="16"/>
        </w:rPr>
        <w:t>”</w:t>
      </w:r>
      <w:r w:rsidRPr="004674CF">
        <w:rPr>
          <w:rFonts w:ascii="Verdana" w:hAnsi="Verdana" w:cs="Arial"/>
          <w:sz w:val="16"/>
          <w:szCs w:val="16"/>
          <w:lang w:val="es-MX"/>
        </w:rPr>
        <w:t>.</w:t>
      </w:r>
    </w:p>
  </w:footnote>
  <w:footnote w:id="11">
    <w:p w14:paraId="376C7164" w14:textId="77777777" w:rsidR="00B53AAB" w:rsidRPr="004674CF" w:rsidRDefault="00B53AAB" w:rsidP="00B53AAB">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footnote>
  <w:footnote w:id="12">
    <w:p w14:paraId="5646EBC8" w14:textId="77777777" w:rsidR="00B53AAB" w:rsidRPr="004674CF" w:rsidRDefault="00B53AAB" w:rsidP="00B53AAB">
      <w:pPr>
        <w:spacing w:after="0" w:line="240" w:lineRule="auto"/>
        <w:ind w:left="100" w:right="244" w:firstLine="608"/>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79D04B6B" w14:textId="77777777" w:rsidR="00B53AAB" w:rsidRPr="004674CF" w:rsidRDefault="00B53AAB" w:rsidP="00B53AAB">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[25] </w:t>
      </w:r>
      <w:r w:rsidRPr="004674CF">
        <w:rPr>
          <w:rFonts w:ascii="Verdana" w:hAnsi="Verdana" w:cs="Arial"/>
          <w:sz w:val="16"/>
          <w:szCs w:val="16"/>
        </w:rPr>
        <w:t>Cfr. Consejo de Estado. Sección Tercera. Sentencia de 3 de diciembre de 2007. Radicados: 24.715, 25.206, 25.409, 24.524, 27.834, 25.410, 26.105, 28.244, 31.447 -acumulados-“.</w:t>
      </w:r>
    </w:p>
  </w:footnote>
  <w:footnote w:id="14">
    <w:p w14:paraId="46EA3A10" w14:textId="77777777" w:rsidR="00B53AAB" w:rsidRPr="004674CF" w:rsidRDefault="00B53AAB" w:rsidP="00B53AAB">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[26] </w:t>
      </w:r>
      <w:r w:rsidRPr="004674CF">
        <w:rPr>
          <w:rFonts w:ascii="Verdana" w:hAnsi="Verdana" w:cs="Arial"/>
          <w:sz w:val="16"/>
          <w:szCs w:val="16"/>
        </w:rPr>
        <w:t>Al respecto ver el concepto 1712 de 2 de febrero de 2006. Consejo de Estado Sala de Consulta y Servicio Civil”.</w:t>
      </w:r>
    </w:p>
  </w:footnote>
  <w:footnote w:id="15">
    <w:p w14:paraId="22C24AC3" w14:textId="77777777" w:rsidR="00B53AAB" w:rsidRPr="004674CF" w:rsidRDefault="00B53AAB" w:rsidP="00B53A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12BAD13E" w14:textId="77777777" w:rsidR="00B53AAB" w:rsidRPr="004674CF" w:rsidRDefault="00B53AAB" w:rsidP="00B53AAB">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sz w:val="16"/>
          <w:szCs w:val="16"/>
          <w:lang w:val="es-ES"/>
        </w:rPr>
        <w:t xml:space="preserve">Artículo 2. </w:t>
      </w:r>
    </w:p>
  </w:footnote>
  <w:footnote w:id="17">
    <w:p w14:paraId="23F9E60E" w14:textId="77777777" w:rsidR="00B53AAB" w:rsidRPr="004674CF" w:rsidRDefault="00B53AAB" w:rsidP="00B53AAB">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Fonts w:ascii="Verdana" w:hAnsi="Verdana" w:cs="Arial"/>
          <w:sz w:val="16"/>
          <w:szCs w:val="16"/>
        </w:rPr>
        <w:t xml:space="preserve"> </w:t>
      </w:r>
      <w:r w:rsidRPr="004674CF">
        <w:rPr>
          <w:rFonts w:ascii="Verdana" w:hAnsi="Verdana" w:cs="Arial"/>
          <w:i/>
          <w:sz w:val="16"/>
          <w:szCs w:val="16"/>
          <w:lang w:val="es-ES"/>
        </w:rPr>
        <w:t>Ídem</w:t>
      </w:r>
      <w:r w:rsidRPr="004674CF">
        <w:rPr>
          <w:rFonts w:ascii="Verdana" w:hAnsi="Verdana" w:cs="Arial"/>
          <w:sz w:val="16"/>
          <w:szCs w:val="16"/>
          <w:lang w:val="es-ES"/>
        </w:rPr>
        <w:t>.</w:t>
      </w:r>
    </w:p>
  </w:footnote>
  <w:footnote w:id="18">
    <w:p w14:paraId="44FB7935" w14:textId="77777777" w:rsidR="00B53AAB" w:rsidRPr="004674CF" w:rsidRDefault="00B53AAB" w:rsidP="00B53AAB">
      <w:pPr>
        <w:pStyle w:val="Textonotapie"/>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 xml:space="preserve">“[…] A este respecto, cabe recordar que el artículo 860 del Código de Comercio regula la licitación en el derecho privado”. </w:t>
      </w:r>
    </w:p>
  </w:footnote>
  <w:footnote w:id="19">
    <w:p w14:paraId="7E65C316" w14:textId="77777777" w:rsidR="00B53AAB" w:rsidRPr="004674CF" w:rsidRDefault="00B53AAB" w:rsidP="00B53AAB">
      <w:pPr>
        <w:shd w:val="clear" w:color="auto" w:fill="FFFFFF"/>
        <w:spacing w:after="0" w:line="240" w:lineRule="auto"/>
        <w:ind w:firstLine="709"/>
        <w:jc w:val="both"/>
        <w:rPr>
          <w:rFonts w:ascii="Verdana" w:hAnsi="Verdana" w:cs="Arial"/>
          <w:sz w:val="16"/>
          <w:szCs w:val="16"/>
          <w:lang w:val="es-ES"/>
        </w:rPr>
      </w:pPr>
      <w:r w:rsidRPr="004674CF">
        <w:rPr>
          <w:rStyle w:val="Refdenotaalpie"/>
          <w:rFonts w:ascii="Verdana" w:hAnsi="Verdana" w:cs="Arial"/>
          <w:sz w:val="16"/>
          <w:szCs w:val="16"/>
        </w:rPr>
        <w:footnoteRef/>
      </w:r>
      <w:r w:rsidRPr="004674CF">
        <w:rPr>
          <w:rStyle w:val="Refdenotaalpie"/>
          <w:rFonts w:ascii="Verdana" w:hAnsi="Verdana" w:cs="Arial"/>
          <w:sz w:val="16"/>
          <w:szCs w:val="16"/>
        </w:rPr>
        <w:t xml:space="preserve"> </w:t>
      </w:r>
      <w:r w:rsidRPr="004674CF">
        <w:rPr>
          <w:rFonts w:ascii="Verdana" w:hAnsi="Verdana" w:cs="Arial"/>
          <w:sz w:val="16"/>
          <w:szCs w:val="16"/>
          <w:lang w:val="es-ES"/>
        </w:rPr>
        <w:t>Consejo de Estado. Sala de Consulta y Servicio Civil, Concepto de 8 de mayo de 2018. C.P. Álvaro Namén Vargas. Rad. 2382.</w:t>
      </w:r>
    </w:p>
  </w:footnote>
  <w:footnote w:id="20">
    <w:p w14:paraId="20FA2538" w14:textId="77777777" w:rsidR="00B53AAB" w:rsidRPr="004674CF" w:rsidRDefault="00B53AAB" w:rsidP="00B53AAB">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del 08 de mayo de 2018.</w:t>
      </w:r>
      <w:r w:rsidRPr="004674CF">
        <w:rPr>
          <w:rFonts w:ascii="Verdana" w:hAnsi="Verdana" w:cs="Arial"/>
          <w:sz w:val="16"/>
          <w:szCs w:val="16"/>
          <w:lang w:val="es-CO"/>
        </w:rPr>
        <w:t xml:space="preserve"> C.P. Álvaro Namén Vargas.</w:t>
      </w:r>
      <w:r w:rsidRPr="004674CF">
        <w:rPr>
          <w:rFonts w:ascii="Verdana" w:hAnsi="Verdana" w:cs="Arial"/>
          <w:sz w:val="16"/>
          <w:szCs w:val="16"/>
        </w:rPr>
        <w:t xml:space="preserve"> Exp. 2.382.</w:t>
      </w:r>
    </w:p>
  </w:footnote>
  <w:footnote w:id="21">
    <w:p w14:paraId="3772A37F" w14:textId="77777777" w:rsidR="00B53AAB" w:rsidRPr="00E657A2" w:rsidRDefault="00B53AAB" w:rsidP="00B53AAB">
      <w:pPr>
        <w:pStyle w:val="Textonotapie"/>
        <w:ind w:firstLine="708"/>
        <w:contextualSpacing/>
        <w:jc w:val="both"/>
        <w:rPr>
          <w:rFonts w:ascii="Verdana" w:hAnsi="Verdana" w:cs="Arial"/>
          <w:color w:val="000000" w:themeColor="text1"/>
          <w:sz w:val="16"/>
          <w:szCs w:val="16"/>
        </w:rPr>
      </w:pPr>
      <w:r w:rsidRPr="00E657A2">
        <w:rPr>
          <w:rStyle w:val="Refdenotaalpie"/>
          <w:rFonts w:ascii="Verdana" w:hAnsi="Verdana" w:cs="Arial"/>
          <w:color w:val="000000" w:themeColor="text1"/>
          <w:sz w:val="16"/>
          <w:szCs w:val="16"/>
        </w:rPr>
        <w:footnoteRef/>
      </w:r>
      <w:r w:rsidRPr="00E657A2">
        <w:rPr>
          <w:rFonts w:ascii="Verdana" w:hAnsi="Verdana" w:cs="Arial"/>
          <w:color w:val="000000" w:themeColor="text1"/>
          <w:sz w:val="16"/>
          <w:szCs w:val="16"/>
        </w:rPr>
        <w:t xml:space="preserve"> </w:t>
      </w:r>
      <w:r>
        <w:rPr>
          <w:rFonts w:ascii="Verdana" w:hAnsi="Verdana" w:cs="Arial"/>
          <w:color w:val="000000" w:themeColor="text1"/>
          <w:sz w:val="16"/>
          <w:szCs w:val="16"/>
        </w:rPr>
        <w:t>Consejo d</w:t>
      </w:r>
      <w:r w:rsidRPr="00E657A2">
        <w:rPr>
          <w:rFonts w:ascii="Verdana" w:hAnsi="Verdana" w:cs="Arial"/>
          <w:color w:val="000000" w:themeColor="text1"/>
          <w:sz w:val="16"/>
          <w:szCs w:val="16"/>
        </w:rPr>
        <w:t>e Estado. Sala de Consulta y Servicio Civil. Concepto del 18 de febrero 2010. Rad. 11001-03-06-000-2010-00006-00 (1985). C.P. Enrique José Arboleda Perdomo.</w:t>
      </w:r>
    </w:p>
  </w:footnote>
  <w:footnote w:id="22">
    <w:p w14:paraId="43F703EC" w14:textId="77777777" w:rsidR="00B53AAB" w:rsidRPr="00E657A2" w:rsidRDefault="00B53AAB" w:rsidP="00B53AAB">
      <w:pPr>
        <w:pStyle w:val="Textonotapie"/>
        <w:ind w:firstLine="708"/>
        <w:contextualSpacing/>
        <w:jc w:val="both"/>
        <w:rPr>
          <w:rFonts w:ascii="Verdana" w:hAnsi="Verdana" w:cs="Arial"/>
          <w:color w:val="000000" w:themeColor="text1"/>
          <w:sz w:val="16"/>
          <w:szCs w:val="16"/>
        </w:rPr>
      </w:pPr>
      <w:r w:rsidRPr="00E657A2">
        <w:rPr>
          <w:rStyle w:val="Refdenotaalpie"/>
          <w:rFonts w:ascii="Verdana" w:hAnsi="Verdana" w:cs="Arial"/>
          <w:color w:val="000000" w:themeColor="text1"/>
          <w:sz w:val="16"/>
          <w:szCs w:val="16"/>
        </w:rPr>
        <w:footnoteRef/>
      </w:r>
      <w:r w:rsidRPr="00E657A2">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3">
    <w:p w14:paraId="765E44D4" w14:textId="77777777" w:rsidR="00B53AAB" w:rsidRPr="00E657A2" w:rsidRDefault="00B53AAB" w:rsidP="00B53AAB">
      <w:pPr>
        <w:pStyle w:val="Textonotapie"/>
        <w:ind w:firstLine="709"/>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Por medio del cual se reglamentan parcialmente las operaciones de crédito público, las de manejo de la deuda pública, sus asimiladas y conexas y la contratación directa de las mismas.</w:t>
      </w:r>
    </w:p>
    <w:p w14:paraId="19837FE4" w14:textId="77777777" w:rsidR="00B53AAB" w:rsidRPr="00E657A2" w:rsidRDefault="00B53AAB" w:rsidP="00B53AAB">
      <w:pPr>
        <w:pStyle w:val="Textonotapie"/>
        <w:ind w:firstLine="709"/>
        <w:rPr>
          <w:rFonts w:ascii="Verdana" w:hAnsi="Verdana" w:cs="Arial"/>
          <w:sz w:val="16"/>
          <w:szCs w:val="16"/>
        </w:rPr>
      </w:pPr>
    </w:p>
  </w:footnote>
  <w:footnote w:id="24">
    <w:p w14:paraId="64CDFF81" w14:textId="77777777" w:rsidR="00B53AAB" w:rsidRPr="00E657A2" w:rsidRDefault="00B53AAB" w:rsidP="00B53AAB">
      <w:pPr>
        <w:pStyle w:val="Textonotapie"/>
        <w:ind w:firstLine="709"/>
        <w:rPr>
          <w:rFonts w:ascii="Verdana" w:hAnsi="Verdana" w:cs="Arial"/>
          <w:sz w:val="16"/>
          <w:szCs w:val="16"/>
          <w:lang w:val="es-ES"/>
        </w:rPr>
      </w:pPr>
      <w:r w:rsidRPr="00E657A2">
        <w:rPr>
          <w:rStyle w:val="Refdenotaalpie"/>
          <w:rFonts w:ascii="Verdana" w:hAnsi="Verdana" w:cs="Arial"/>
          <w:sz w:val="16"/>
          <w:szCs w:val="16"/>
        </w:rPr>
        <w:footnoteRef/>
      </w:r>
      <w:r w:rsidRPr="00E657A2">
        <w:rPr>
          <w:rFonts w:ascii="Verdana" w:hAnsi="Verdana" w:cs="Arial"/>
          <w:sz w:val="16"/>
          <w:szCs w:val="16"/>
        </w:rPr>
        <w:t xml:space="preserve"> </w:t>
      </w:r>
      <w:r w:rsidRPr="00E657A2">
        <w:rPr>
          <w:rFonts w:ascii="Verdana" w:hAnsi="Verdana" w:cs="Arial"/>
          <w:sz w:val="16"/>
          <w:szCs w:val="16"/>
          <w:lang w:val="es-ES"/>
        </w:rPr>
        <w:t>Por medio del cual se expide el Decreto Único Reglamentario del Sector Hacienda y Crédito Público.</w:t>
      </w:r>
    </w:p>
  </w:footnote>
  <w:footnote w:id="25">
    <w:p w14:paraId="4DCFE21C" w14:textId="77777777" w:rsidR="00B53AAB" w:rsidRPr="00226CFA" w:rsidRDefault="00B53AAB" w:rsidP="00B53AAB">
      <w:pPr>
        <w:pStyle w:val="Textonotapie"/>
        <w:ind w:firstLine="708"/>
        <w:jc w:val="both"/>
        <w:rPr>
          <w:lang w:val="es-ES"/>
        </w:rPr>
      </w:pPr>
      <w:r>
        <w:rPr>
          <w:rStyle w:val="Refdenotaalpie"/>
        </w:rPr>
        <w:footnoteRef/>
      </w:r>
      <w:r>
        <w:t xml:space="preserve"> </w:t>
      </w:r>
      <w:r w:rsidRPr="00226CFA">
        <w:t xml:space="preserve">Superintendencia Financiera de Colombia. Disponible en línea: </w:t>
      </w:r>
      <w:hyperlink r:id="rId1" w:history="1">
        <w:r w:rsidRPr="00226CFA">
          <w:rPr>
            <w:rStyle w:val="Hipervnculo"/>
          </w:rPr>
          <w:t>https://www.superfinanciera.gov.co/publicaciones/11188/consumidor-financierohistorico-informacion-generalinformacion-y-educacion-al-consumidor-financieroacerca-del-mercado-de-valoreslo-que-usted-debe-saber-sobrecalificacion-de-riesgo-11188/</w:t>
        </w:r>
      </w:hyperlink>
      <w:r w:rsidRPr="00226CFA">
        <w:t>.</w:t>
      </w:r>
    </w:p>
  </w:footnote>
  <w:footnote w:id="26">
    <w:p w14:paraId="3B223BBE" w14:textId="77777777" w:rsidR="00B53AAB" w:rsidRPr="00511C3A" w:rsidRDefault="00B53AAB" w:rsidP="00B53AAB">
      <w:pPr>
        <w:pStyle w:val="Textonotapie"/>
        <w:ind w:firstLine="708"/>
        <w:jc w:val="both"/>
      </w:pPr>
      <w:r>
        <w:rPr>
          <w:rStyle w:val="Refdenotaalpie"/>
        </w:rPr>
        <w:footnoteRef/>
      </w:r>
      <w:r>
        <w:t xml:space="preserve"> Ibídem. </w:t>
      </w:r>
    </w:p>
  </w:footnote>
  <w:footnote w:id="27">
    <w:p w14:paraId="2B5AAD42" w14:textId="77777777" w:rsidR="00B53AAB" w:rsidRPr="004674CF" w:rsidRDefault="00B53AAB" w:rsidP="00B53AAB">
      <w:pPr>
        <w:spacing w:after="0" w:line="240" w:lineRule="auto"/>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8">
    <w:p w14:paraId="50B59085" w14:textId="77777777" w:rsidR="00B53AAB" w:rsidRPr="004674CF" w:rsidRDefault="00B53AAB" w:rsidP="00B53AAB">
      <w:pPr>
        <w:pStyle w:val="Textonotapie"/>
        <w:ind w:right="51" w:firstLine="709"/>
        <w:jc w:val="both"/>
        <w:rPr>
          <w:rFonts w:ascii="Verdana" w:eastAsia="Times New Roman" w:hAnsi="Verdana" w:cs="Arial"/>
          <w:bCs/>
          <w:sz w:val="16"/>
          <w:szCs w:val="16"/>
          <w:lang w:eastAsia="x-none"/>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2006.C.P. Enrique José Arboleda Perdomo. </w:t>
      </w:r>
      <w:r w:rsidRPr="004674CF">
        <w:rPr>
          <w:rFonts w:ascii="Verdana" w:hAnsi="Verdana" w:cs="Arial"/>
          <w:sz w:val="16"/>
          <w:szCs w:val="16"/>
          <w:lang w:val="es-CO"/>
        </w:rPr>
        <w:t>Rad. 1738</w:t>
      </w:r>
      <w:r w:rsidRPr="004674CF">
        <w:rPr>
          <w:rFonts w:ascii="Verdana" w:eastAsia="Times New Roman" w:hAnsi="Verdana" w:cs="Arial"/>
          <w:bCs/>
          <w:sz w:val="16"/>
          <w:szCs w:val="16"/>
          <w:lang w:eastAsia="x-none"/>
        </w:rPr>
        <w:t xml:space="preserve"> “</w:t>
      </w:r>
      <w:r w:rsidRPr="004674C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674CF">
        <w:rPr>
          <w:rFonts w:ascii="Verdana" w:eastAsia="Times New Roman" w:hAnsi="Verdana" w:cs="Arial"/>
          <w:bCs/>
          <w:sz w:val="16"/>
          <w:szCs w:val="16"/>
          <w:lang w:eastAsia="x-none"/>
        </w:rPr>
        <w:t>”.</w:t>
      </w:r>
    </w:p>
  </w:footnote>
  <w:footnote w:id="29">
    <w:p w14:paraId="60762C76" w14:textId="77777777" w:rsidR="00B53AAB" w:rsidRPr="004674CF" w:rsidRDefault="00B53AAB" w:rsidP="00B53AAB">
      <w:pPr>
        <w:spacing w:after="0" w:line="240" w:lineRule="auto"/>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Concepto de 6 de abril de 2006. C.P. Enrique José Arboleda Perdomo. Rad. 1738. </w:t>
      </w:r>
    </w:p>
  </w:footnote>
  <w:footnote w:id="30">
    <w:p w14:paraId="30948528" w14:textId="77777777" w:rsidR="00B53AAB" w:rsidRPr="004674CF" w:rsidRDefault="00B53AAB" w:rsidP="00B53AAB">
      <w:pPr>
        <w:pStyle w:val="Textonotapie"/>
        <w:ind w:right="51"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Consejo de Estado. Sala de Consulta y Servicio Civil, ídem.</w:t>
      </w:r>
    </w:p>
  </w:footnote>
  <w:footnote w:id="31">
    <w:p w14:paraId="4CC524A6" w14:textId="77777777" w:rsidR="00B53AAB" w:rsidRPr="004674CF" w:rsidRDefault="00B53AAB" w:rsidP="00B53AAB">
      <w:pPr>
        <w:pStyle w:val="Textonotapie"/>
        <w:ind w:firstLine="708"/>
        <w:jc w:val="both"/>
        <w:rPr>
          <w:rFonts w:ascii="Arial" w:hAnsi="Arial"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1336229">
    <w:abstractNumId w:val="7"/>
  </w:num>
  <w:num w:numId="2" w16cid:durableId="943615000">
    <w:abstractNumId w:val="2"/>
  </w:num>
  <w:num w:numId="3" w16cid:durableId="1365523143">
    <w:abstractNumId w:val="5"/>
  </w:num>
  <w:num w:numId="4" w16cid:durableId="17643792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32802708">
    <w:abstractNumId w:val="2"/>
  </w:num>
  <w:num w:numId="6" w16cid:durableId="1719813209">
    <w:abstractNumId w:val="15"/>
  </w:num>
  <w:num w:numId="7" w16cid:durableId="2060744615">
    <w:abstractNumId w:val="6"/>
  </w:num>
  <w:num w:numId="8" w16cid:durableId="301932442">
    <w:abstractNumId w:val="14"/>
  </w:num>
  <w:num w:numId="9" w16cid:durableId="164978570">
    <w:abstractNumId w:val="8"/>
  </w:num>
  <w:num w:numId="10" w16cid:durableId="1811239343">
    <w:abstractNumId w:val="13"/>
  </w:num>
  <w:num w:numId="11" w16cid:durableId="1448430768">
    <w:abstractNumId w:val="9"/>
  </w:num>
  <w:num w:numId="12" w16cid:durableId="2031488598">
    <w:abstractNumId w:val="1"/>
  </w:num>
  <w:num w:numId="13" w16cid:durableId="843741675">
    <w:abstractNumId w:val="4"/>
  </w:num>
  <w:num w:numId="14" w16cid:durableId="1565722211">
    <w:abstractNumId w:val="16"/>
  </w:num>
  <w:num w:numId="15" w16cid:durableId="1244293637">
    <w:abstractNumId w:val="12"/>
  </w:num>
  <w:num w:numId="16" w16cid:durableId="2122334716">
    <w:abstractNumId w:val="0"/>
  </w:num>
  <w:num w:numId="17" w16cid:durableId="685253986">
    <w:abstractNumId w:val="10"/>
  </w:num>
  <w:num w:numId="18" w16cid:durableId="322437481">
    <w:abstractNumId w:val="11"/>
  </w:num>
  <w:num w:numId="19" w16cid:durableId="8144170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46945"/>
    <w:rsid w:val="00055FE8"/>
    <w:rsid w:val="00061B2A"/>
    <w:rsid w:val="00081367"/>
    <w:rsid w:val="00082362"/>
    <w:rsid w:val="000825A6"/>
    <w:rsid w:val="00095DAE"/>
    <w:rsid w:val="000A683E"/>
    <w:rsid w:val="000B19B9"/>
    <w:rsid w:val="000B38A6"/>
    <w:rsid w:val="000D0334"/>
    <w:rsid w:val="000D5040"/>
    <w:rsid w:val="000D5DA7"/>
    <w:rsid w:val="000F4BC5"/>
    <w:rsid w:val="000F6486"/>
    <w:rsid w:val="00102203"/>
    <w:rsid w:val="00116940"/>
    <w:rsid w:val="00125105"/>
    <w:rsid w:val="00127233"/>
    <w:rsid w:val="00127474"/>
    <w:rsid w:val="0015699B"/>
    <w:rsid w:val="00186DE9"/>
    <w:rsid w:val="001967FD"/>
    <w:rsid w:val="001A33BF"/>
    <w:rsid w:val="001D1478"/>
    <w:rsid w:val="001D68FA"/>
    <w:rsid w:val="001E194B"/>
    <w:rsid w:val="001E4177"/>
    <w:rsid w:val="001E5EA0"/>
    <w:rsid w:val="001F0B24"/>
    <w:rsid w:val="001F7DC6"/>
    <w:rsid w:val="0020079E"/>
    <w:rsid w:val="0022400B"/>
    <w:rsid w:val="00226CFA"/>
    <w:rsid w:val="002421BB"/>
    <w:rsid w:val="0024692A"/>
    <w:rsid w:val="0025796E"/>
    <w:rsid w:val="00261121"/>
    <w:rsid w:val="002619C9"/>
    <w:rsid w:val="002707A2"/>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E60E4"/>
    <w:rsid w:val="002F3CDF"/>
    <w:rsid w:val="0030657A"/>
    <w:rsid w:val="00322A85"/>
    <w:rsid w:val="00324168"/>
    <w:rsid w:val="00330834"/>
    <w:rsid w:val="003318AB"/>
    <w:rsid w:val="003448F4"/>
    <w:rsid w:val="00355EA0"/>
    <w:rsid w:val="003604F5"/>
    <w:rsid w:val="00374F5E"/>
    <w:rsid w:val="00377E3E"/>
    <w:rsid w:val="003A4305"/>
    <w:rsid w:val="003A779E"/>
    <w:rsid w:val="003C5B9E"/>
    <w:rsid w:val="003C64B8"/>
    <w:rsid w:val="003D0F4D"/>
    <w:rsid w:val="003D1CF9"/>
    <w:rsid w:val="003D5B0D"/>
    <w:rsid w:val="003E0499"/>
    <w:rsid w:val="003E4F06"/>
    <w:rsid w:val="003E4F80"/>
    <w:rsid w:val="003E6439"/>
    <w:rsid w:val="003E6646"/>
    <w:rsid w:val="003F3941"/>
    <w:rsid w:val="00406575"/>
    <w:rsid w:val="00414C74"/>
    <w:rsid w:val="00417B5B"/>
    <w:rsid w:val="0042722E"/>
    <w:rsid w:val="00437377"/>
    <w:rsid w:val="0044528D"/>
    <w:rsid w:val="00447D22"/>
    <w:rsid w:val="00466302"/>
    <w:rsid w:val="00466E39"/>
    <w:rsid w:val="004674CF"/>
    <w:rsid w:val="00473BEB"/>
    <w:rsid w:val="00494C69"/>
    <w:rsid w:val="004A1847"/>
    <w:rsid w:val="004A305D"/>
    <w:rsid w:val="004B3A1C"/>
    <w:rsid w:val="004B7D74"/>
    <w:rsid w:val="004D420F"/>
    <w:rsid w:val="004F1C0A"/>
    <w:rsid w:val="004F21C4"/>
    <w:rsid w:val="004F685F"/>
    <w:rsid w:val="00511C3A"/>
    <w:rsid w:val="005154AE"/>
    <w:rsid w:val="0053199F"/>
    <w:rsid w:val="005461C4"/>
    <w:rsid w:val="005566E8"/>
    <w:rsid w:val="00574867"/>
    <w:rsid w:val="00580BC6"/>
    <w:rsid w:val="00585673"/>
    <w:rsid w:val="00591460"/>
    <w:rsid w:val="00597A19"/>
    <w:rsid w:val="005A65E0"/>
    <w:rsid w:val="005B0452"/>
    <w:rsid w:val="005B52B5"/>
    <w:rsid w:val="005C3777"/>
    <w:rsid w:val="005C5CDC"/>
    <w:rsid w:val="005C6BC8"/>
    <w:rsid w:val="005D476C"/>
    <w:rsid w:val="005E6B20"/>
    <w:rsid w:val="005F181C"/>
    <w:rsid w:val="00611171"/>
    <w:rsid w:val="00614323"/>
    <w:rsid w:val="006200BF"/>
    <w:rsid w:val="00621017"/>
    <w:rsid w:val="006219F8"/>
    <w:rsid w:val="006229C7"/>
    <w:rsid w:val="006302F7"/>
    <w:rsid w:val="00631161"/>
    <w:rsid w:val="00646B9F"/>
    <w:rsid w:val="00656F96"/>
    <w:rsid w:val="00662D62"/>
    <w:rsid w:val="00665485"/>
    <w:rsid w:val="00665D70"/>
    <w:rsid w:val="0068637A"/>
    <w:rsid w:val="00686C01"/>
    <w:rsid w:val="006900D9"/>
    <w:rsid w:val="006C04F1"/>
    <w:rsid w:val="006D76F7"/>
    <w:rsid w:val="006E2BF4"/>
    <w:rsid w:val="00706C16"/>
    <w:rsid w:val="0071670A"/>
    <w:rsid w:val="00721364"/>
    <w:rsid w:val="007317FA"/>
    <w:rsid w:val="007340C3"/>
    <w:rsid w:val="00737DF0"/>
    <w:rsid w:val="0075235A"/>
    <w:rsid w:val="00752490"/>
    <w:rsid w:val="00756841"/>
    <w:rsid w:val="007649AB"/>
    <w:rsid w:val="00765CFF"/>
    <w:rsid w:val="00771D0C"/>
    <w:rsid w:val="007744FB"/>
    <w:rsid w:val="007818C5"/>
    <w:rsid w:val="007829E1"/>
    <w:rsid w:val="007833AC"/>
    <w:rsid w:val="0078433B"/>
    <w:rsid w:val="00795653"/>
    <w:rsid w:val="007A153F"/>
    <w:rsid w:val="007B268C"/>
    <w:rsid w:val="007B7171"/>
    <w:rsid w:val="007C0C0F"/>
    <w:rsid w:val="007C3DC2"/>
    <w:rsid w:val="007D3968"/>
    <w:rsid w:val="007E5497"/>
    <w:rsid w:val="00806F5F"/>
    <w:rsid w:val="00815B83"/>
    <w:rsid w:val="00816363"/>
    <w:rsid w:val="00817856"/>
    <w:rsid w:val="00820169"/>
    <w:rsid w:val="00820278"/>
    <w:rsid w:val="00824114"/>
    <w:rsid w:val="008258C9"/>
    <w:rsid w:val="00826EE8"/>
    <w:rsid w:val="00830DA0"/>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18F"/>
    <w:rsid w:val="008F327E"/>
    <w:rsid w:val="00923EEF"/>
    <w:rsid w:val="009305DC"/>
    <w:rsid w:val="009419F9"/>
    <w:rsid w:val="0095685E"/>
    <w:rsid w:val="00961B09"/>
    <w:rsid w:val="00965334"/>
    <w:rsid w:val="0097093E"/>
    <w:rsid w:val="00990BF1"/>
    <w:rsid w:val="009A027F"/>
    <w:rsid w:val="009A0DFA"/>
    <w:rsid w:val="009A1C6F"/>
    <w:rsid w:val="009A45D3"/>
    <w:rsid w:val="009B2D26"/>
    <w:rsid w:val="009B7652"/>
    <w:rsid w:val="009C71FA"/>
    <w:rsid w:val="009C72E7"/>
    <w:rsid w:val="009C7F7E"/>
    <w:rsid w:val="009D3058"/>
    <w:rsid w:val="009E6333"/>
    <w:rsid w:val="009F3A13"/>
    <w:rsid w:val="00A07EBF"/>
    <w:rsid w:val="00A1025E"/>
    <w:rsid w:val="00A122D3"/>
    <w:rsid w:val="00A14468"/>
    <w:rsid w:val="00A17F13"/>
    <w:rsid w:val="00A20739"/>
    <w:rsid w:val="00A23AF9"/>
    <w:rsid w:val="00A33C78"/>
    <w:rsid w:val="00A526DD"/>
    <w:rsid w:val="00A63F17"/>
    <w:rsid w:val="00A83161"/>
    <w:rsid w:val="00A86E5C"/>
    <w:rsid w:val="00AB0ADB"/>
    <w:rsid w:val="00AB735A"/>
    <w:rsid w:val="00AD3D85"/>
    <w:rsid w:val="00AD67E7"/>
    <w:rsid w:val="00B00C0E"/>
    <w:rsid w:val="00B01B1A"/>
    <w:rsid w:val="00B0381D"/>
    <w:rsid w:val="00B0480D"/>
    <w:rsid w:val="00B13882"/>
    <w:rsid w:val="00B14F11"/>
    <w:rsid w:val="00B14F36"/>
    <w:rsid w:val="00B44A47"/>
    <w:rsid w:val="00B53AAB"/>
    <w:rsid w:val="00B72CD3"/>
    <w:rsid w:val="00B72FFF"/>
    <w:rsid w:val="00B7443D"/>
    <w:rsid w:val="00B944AA"/>
    <w:rsid w:val="00B95ED8"/>
    <w:rsid w:val="00BA15D8"/>
    <w:rsid w:val="00BA7A2E"/>
    <w:rsid w:val="00BC3D36"/>
    <w:rsid w:val="00BD54A6"/>
    <w:rsid w:val="00BD7F72"/>
    <w:rsid w:val="00BE0FC4"/>
    <w:rsid w:val="00BF58CD"/>
    <w:rsid w:val="00BF6651"/>
    <w:rsid w:val="00BF7425"/>
    <w:rsid w:val="00C04FB3"/>
    <w:rsid w:val="00C11D8B"/>
    <w:rsid w:val="00C15139"/>
    <w:rsid w:val="00C22BA0"/>
    <w:rsid w:val="00C330EB"/>
    <w:rsid w:val="00C50D69"/>
    <w:rsid w:val="00C5365C"/>
    <w:rsid w:val="00C67C8B"/>
    <w:rsid w:val="00C729D3"/>
    <w:rsid w:val="00C754BE"/>
    <w:rsid w:val="00C76B1C"/>
    <w:rsid w:val="00C925AC"/>
    <w:rsid w:val="00C93002"/>
    <w:rsid w:val="00C946BF"/>
    <w:rsid w:val="00C958D1"/>
    <w:rsid w:val="00CA0E68"/>
    <w:rsid w:val="00CA5E10"/>
    <w:rsid w:val="00CB6357"/>
    <w:rsid w:val="00CC1B26"/>
    <w:rsid w:val="00CC2065"/>
    <w:rsid w:val="00CD6067"/>
    <w:rsid w:val="00CE4589"/>
    <w:rsid w:val="00CE72C3"/>
    <w:rsid w:val="00CF4861"/>
    <w:rsid w:val="00D13C5D"/>
    <w:rsid w:val="00D14E75"/>
    <w:rsid w:val="00D31EC6"/>
    <w:rsid w:val="00D350D3"/>
    <w:rsid w:val="00D361FD"/>
    <w:rsid w:val="00D417C8"/>
    <w:rsid w:val="00D423A2"/>
    <w:rsid w:val="00D439FC"/>
    <w:rsid w:val="00D44E26"/>
    <w:rsid w:val="00D520D8"/>
    <w:rsid w:val="00D53F94"/>
    <w:rsid w:val="00D63AC2"/>
    <w:rsid w:val="00D7383B"/>
    <w:rsid w:val="00D76E06"/>
    <w:rsid w:val="00D7788A"/>
    <w:rsid w:val="00DA231B"/>
    <w:rsid w:val="00DC39FC"/>
    <w:rsid w:val="00DD0992"/>
    <w:rsid w:val="00DF3F1B"/>
    <w:rsid w:val="00DF468D"/>
    <w:rsid w:val="00DF5254"/>
    <w:rsid w:val="00E02524"/>
    <w:rsid w:val="00E14BAD"/>
    <w:rsid w:val="00E16408"/>
    <w:rsid w:val="00E20894"/>
    <w:rsid w:val="00E22A1A"/>
    <w:rsid w:val="00E245AB"/>
    <w:rsid w:val="00E275AE"/>
    <w:rsid w:val="00E2764C"/>
    <w:rsid w:val="00E27F2E"/>
    <w:rsid w:val="00E30DFF"/>
    <w:rsid w:val="00E5016B"/>
    <w:rsid w:val="00E50AFE"/>
    <w:rsid w:val="00E54809"/>
    <w:rsid w:val="00E56EE8"/>
    <w:rsid w:val="00E60AD8"/>
    <w:rsid w:val="00E745A4"/>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A3E17"/>
    <w:rsid w:val="00FA47C0"/>
    <w:rsid w:val="00FB2271"/>
    <w:rsid w:val="00FB5DD1"/>
    <w:rsid w:val="00FC2B5D"/>
    <w:rsid w:val="00FD4121"/>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2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table" w:customStyle="1" w:styleId="Tablaconcuadrcula11">
    <w:name w:val="Tabla con cuadrícula11"/>
    <w:basedOn w:val="Tablanormal"/>
    <w:next w:val="Tablaconcuadrcula"/>
    <w:uiPriority w:val="39"/>
    <w:qFormat/>
    <w:rsid w:val="00B53A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B53AA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899065">
      <w:bodyDiv w:val="1"/>
      <w:marLeft w:val="0"/>
      <w:marRight w:val="0"/>
      <w:marTop w:val="0"/>
      <w:marBottom w:val="0"/>
      <w:divBdr>
        <w:top w:val="none" w:sz="0" w:space="0" w:color="auto"/>
        <w:left w:val="none" w:sz="0" w:space="0" w:color="auto"/>
        <w:bottom w:val="none" w:sz="0" w:space="0" w:color="auto"/>
        <w:right w:val="none" w:sz="0" w:space="0" w:color="auto"/>
      </w:divBdr>
    </w:div>
    <w:div w:id="45595032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86415246">
      <w:bodyDiv w:val="1"/>
      <w:marLeft w:val="0"/>
      <w:marRight w:val="0"/>
      <w:marTop w:val="0"/>
      <w:marBottom w:val="0"/>
      <w:divBdr>
        <w:top w:val="none" w:sz="0" w:space="0" w:color="auto"/>
        <w:left w:val="none" w:sz="0" w:space="0" w:color="auto"/>
        <w:bottom w:val="none" w:sz="0" w:space="0" w:color="auto"/>
        <w:right w:val="none" w:sz="0" w:space="0" w:color="auto"/>
      </w:divBdr>
    </w:div>
    <w:div w:id="111289934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6982050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 w:id="2136867137">
      <w:bodyDiv w:val="1"/>
      <w:marLeft w:val="0"/>
      <w:marRight w:val="0"/>
      <w:marTop w:val="0"/>
      <w:marBottom w:val="0"/>
      <w:divBdr>
        <w:top w:val="none" w:sz="0" w:space="0" w:color="auto"/>
        <w:left w:val="none" w:sz="0" w:space="0" w:color="auto"/>
        <w:bottom w:val="none" w:sz="0" w:space="0" w:color="auto"/>
        <w:right w:val="none" w:sz="0" w:space="0" w:color="auto"/>
      </w:divBdr>
      <w:divsChild>
        <w:div w:id="822551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arla.virviescas@fitchratings.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superfinanciera.gov.co/publicaciones/11188/consumidor-financierohistorico-informacion-generalinformacion-y-educacion-al-consumidor-financieroacerca-del-mercado-de-valoreslo-que-usted-debe-saber-sobrecalificacion-de-riesgo-1118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1448A0-0D7F-4AD1-8B2C-64A09C086CAF}">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CEAB9580-3AFC-496D-8EA5-BEF47CE6F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27</Pages>
  <Words>9556</Words>
  <Characters>51797</Characters>
  <Application>Microsoft Office Word</Application>
  <DocSecurity>0</DocSecurity>
  <Lines>959</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2026-01-30T15:54:00Z</dcterms:created>
  <dcterms:modified xsi:type="dcterms:W3CDTF">2026-01-31T00:09:00Z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