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1F425D" w14:textId="77777777" w:rsidR="002E7EDF" w:rsidRPr="00682C93" w:rsidRDefault="002E7EDF" w:rsidP="002E7EDF">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61419E75" w14:textId="77777777" w:rsidR="002E7EDF" w:rsidRDefault="002E7EDF" w:rsidP="002E7EDF">
      <w:pPr>
        <w:spacing w:after="0" w:line="240" w:lineRule="auto"/>
        <w:jc w:val="both"/>
        <w:rPr>
          <w:rFonts w:ascii="Verdana" w:hAnsi="Verdana" w:cs="Arial"/>
          <w:b/>
          <w:lang w:val="es-MX" w:eastAsia="es-ES_tradnl"/>
        </w:rPr>
      </w:pPr>
    </w:p>
    <w:p w14:paraId="2D68E2F2" w14:textId="77777777" w:rsidR="002E7EDF" w:rsidRDefault="002E7EDF" w:rsidP="002E7EDF">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2BD732BC" w14:textId="77777777" w:rsidR="002E7EDF" w:rsidRPr="00FE39ED" w:rsidRDefault="002E7EDF" w:rsidP="002E7EDF">
      <w:pPr>
        <w:pStyle w:val="Default"/>
        <w:jc w:val="both"/>
        <w:rPr>
          <w:rFonts w:ascii="Verdana" w:hAnsi="Verdana"/>
          <w:color w:val="auto"/>
          <w:sz w:val="20"/>
          <w:szCs w:val="20"/>
          <w:lang w:val="es-MX"/>
        </w:rPr>
      </w:pPr>
    </w:p>
    <w:p w14:paraId="79C22172" w14:textId="77777777" w:rsidR="002E7EDF" w:rsidRPr="00FE39ED" w:rsidRDefault="002E7EDF" w:rsidP="002E7EDF">
      <w:pPr>
        <w:spacing w:after="0" w:line="240" w:lineRule="auto"/>
        <w:jc w:val="both"/>
        <w:rPr>
          <w:rFonts w:ascii="Verdana" w:eastAsia="Calibri" w:hAnsi="Verdana" w:cs="Arial"/>
          <w:b/>
        </w:rPr>
      </w:pPr>
      <w:r w:rsidRPr="00FE39ED">
        <w:rPr>
          <w:rFonts w:ascii="Verdana" w:eastAsia="Calibri" w:hAnsi="Verdana" w:cs="Arial"/>
          <w:b/>
        </w:rPr>
        <w:t xml:space="preserve">LEY DE GARANTÍAS ELECTORALES – Ley 996 de 2005 – Articulo 33 – Restricciones – Elecciones presidenciales </w:t>
      </w:r>
    </w:p>
    <w:p w14:paraId="278A19BD" w14:textId="77777777" w:rsidR="002E7EDF" w:rsidRPr="00FE39ED" w:rsidRDefault="002E7EDF" w:rsidP="002E7EDF">
      <w:pPr>
        <w:spacing w:after="0" w:line="240" w:lineRule="auto"/>
        <w:jc w:val="both"/>
        <w:rPr>
          <w:rFonts w:ascii="Verdana" w:eastAsia="Calibri" w:hAnsi="Verdana" w:cs="Arial"/>
          <w:b/>
          <w:sz w:val="20"/>
          <w:szCs w:val="20"/>
        </w:rPr>
      </w:pPr>
    </w:p>
    <w:p w14:paraId="780A1CC8" w14:textId="77777777" w:rsidR="002E7EDF" w:rsidRPr="00FE39ED" w:rsidRDefault="002E7EDF" w:rsidP="002E7EDF">
      <w:pPr>
        <w:spacing w:after="0" w:line="240" w:lineRule="auto"/>
        <w:jc w:val="both"/>
        <w:rPr>
          <w:rFonts w:ascii="Verdana" w:hAnsi="Verdana" w:cs="Arial"/>
          <w:sz w:val="20"/>
          <w:szCs w:val="20"/>
          <w:lang w:eastAsia="x-none"/>
        </w:rPr>
      </w:pPr>
      <w:r w:rsidRPr="00FE39ED">
        <w:rPr>
          <w:rFonts w:ascii="Verdana" w:hAnsi="Verdana" w:cs="Arial"/>
          <w:sz w:val="20"/>
          <w:szCs w:val="20"/>
          <w:lang w:eastAsia="x-none"/>
        </w:rPr>
        <w:t xml:space="preserve">[…] la prohibición del artículo 33 de la Ley de Garantías Electorales se refiere a </w:t>
      </w:r>
      <w:r>
        <w:rPr>
          <w:rFonts w:ascii="Verdana" w:hAnsi="Verdana" w:cs="Arial"/>
          <w:sz w:val="20"/>
          <w:szCs w:val="20"/>
          <w:lang w:eastAsia="en-GB"/>
        </w:rPr>
        <w:t>“</w:t>
      </w:r>
      <w:r w:rsidRPr="00FE39ED">
        <w:rPr>
          <w:rFonts w:ascii="Verdana" w:hAnsi="Verdana" w:cs="Arial"/>
          <w:sz w:val="20"/>
          <w:szCs w:val="20"/>
          <w:lang w:eastAsia="x-none"/>
        </w:rPr>
        <w:t>cualquier sistema que no implique convocatoria pública y posibilidad de pluralidad de oferentes</w:t>
      </w:r>
      <w:r>
        <w:rPr>
          <w:rFonts w:ascii="Verdana" w:hAnsi="Verdana" w:cs="Arial"/>
          <w:sz w:val="20"/>
          <w:szCs w:val="20"/>
          <w:lang w:eastAsia="en-GB"/>
        </w:rPr>
        <w:t>”</w:t>
      </w:r>
      <w:r w:rsidRPr="00FE39ED">
        <w:rPr>
          <w:rFonts w:ascii="Verdana" w:hAnsi="Verdana" w:cs="Arial"/>
          <w:sz w:val="20"/>
          <w:szCs w:val="20"/>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 y sistematizó las causales de contratación directa.</w:t>
      </w:r>
    </w:p>
    <w:p w14:paraId="36FF1C8B" w14:textId="77777777" w:rsidR="002E7EDF" w:rsidRDefault="002E7EDF" w:rsidP="002E7EDF">
      <w:pPr>
        <w:spacing w:after="0" w:line="240" w:lineRule="auto"/>
        <w:jc w:val="both"/>
        <w:rPr>
          <w:rFonts w:ascii="Verdana" w:hAnsi="Verdana" w:cs="Arial"/>
          <w:sz w:val="20"/>
          <w:szCs w:val="20"/>
          <w:lang w:eastAsia="x-none"/>
        </w:rPr>
      </w:pPr>
      <w:r w:rsidRPr="00FE39ED">
        <w:rPr>
          <w:rFonts w:ascii="Verdana" w:hAnsi="Verdana" w:cs="Arial"/>
          <w:sz w:val="20"/>
          <w:szCs w:val="20"/>
          <w:lang w:eastAsia="x-none"/>
        </w:rPr>
        <w:t>[…]</w:t>
      </w:r>
    </w:p>
    <w:p w14:paraId="73F6CBF2" w14:textId="77777777" w:rsidR="002E7EDF" w:rsidRPr="00FE39ED" w:rsidRDefault="002E7EDF" w:rsidP="002E7EDF">
      <w:pPr>
        <w:spacing w:after="0" w:line="240" w:lineRule="auto"/>
        <w:jc w:val="both"/>
        <w:rPr>
          <w:rFonts w:ascii="Verdana" w:eastAsia="Calibri" w:hAnsi="Verdana" w:cs="Arial"/>
          <w:b/>
          <w:sz w:val="20"/>
          <w:szCs w:val="20"/>
        </w:rPr>
      </w:pPr>
    </w:p>
    <w:p w14:paraId="5DFAFFBE" w14:textId="77777777" w:rsidR="002E7EDF" w:rsidRPr="00FE39ED" w:rsidRDefault="002E7EDF" w:rsidP="002E7EDF">
      <w:pPr>
        <w:pStyle w:val="Textoindependiente"/>
        <w:spacing w:after="0" w:line="240" w:lineRule="auto"/>
        <w:jc w:val="both"/>
        <w:rPr>
          <w:rFonts w:ascii="Verdana" w:hAnsi="Verdana"/>
          <w:bCs/>
          <w:sz w:val="20"/>
          <w:szCs w:val="20"/>
          <w:lang w:eastAsia="x-none"/>
        </w:rPr>
      </w:pPr>
      <w:r w:rsidRPr="00FE39ED">
        <w:rPr>
          <w:rFonts w:ascii="Verdana" w:hAnsi="Verdana"/>
          <w:bCs/>
          <w:sz w:val="20"/>
          <w:szCs w:val="20"/>
          <w:lang w:eastAsia="x-none"/>
        </w:rPr>
        <w:t xml:space="preserve">El artículo 33 de la Ley 996 de 2005 señala expresamente a los destinatarios de la prohibición, en el sentido de que son </w:t>
      </w:r>
      <w:r>
        <w:rPr>
          <w:rFonts w:ascii="Verdana" w:hAnsi="Verdana"/>
          <w:bCs/>
          <w:sz w:val="20"/>
          <w:szCs w:val="20"/>
          <w:lang w:eastAsia="x-none"/>
        </w:rPr>
        <w:t>“</w:t>
      </w:r>
      <w:r w:rsidRPr="00FE39ED">
        <w:rPr>
          <w:rFonts w:ascii="Verdana" w:hAnsi="Verdana"/>
          <w:bCs/>
          <w:sz w:val="20"/>
          <w:szCs w:val="20"/>
          <w:lang w:eastAsia="x-none"/>
        </w:rPr>
        <w:t>todos los entes del Estado</w:t>
      </w:r>
      <w:r>
        <w:rPr>
          <w:rFonts w:ascii="Verdana" w:hAnsi="Verdana"/>
          <w:bCs/>
          <w:sz w:val="20"/>
          <w:szCs w:val="20"/>
          <w:lang w:eastAsia="x-none"/>
        </w:rPr>
        <w:t>”</w:t>
      </w:r>
      <w:r w:rsidRPr="00FE39ED">
        <w:rPr>
          <w:rFonts w:ascii="Verdana" w:hAnsi="Verdana"/>
          <w:bCs/>
          <w:sz w:val="20"/>
          <w:szCs w:val="20"/>
          <w:lang w:eastAsia="x-none"/>
        </w:rPr>
        <w:t>, expresión que contempla a los diferentes organismos o entidades autorizadas por la ley para suscribir contratos.</w:t>
      </w:r>
      <w:r w:rsidRPr="00FE39ED">
        <w:rPr>
          <w:rFonts w:ascii="Verdana" w:hAnsi="Verdana"/>
          <w:sz w:val="20"/>
          <w:szCs w:val="20"/>
        </w:rPr>
        <w:t xml:space="preserve"> </w:t>
      </w:r>
      <w:r w:rsidRPr="00FE39ED">
        <w:rPr>
          <w:rFonts w:ascii="Verdana" w:hAnsi="Verdana"/>
          <w:bCs/>
          <w:sz w:val="20"/>
          <w:szCs w:val="20"/>
          <w:lang w:eastAsia="x-none"/>
        </w:rPr>
        <w:t xml:space="preserve">En efecto, tal como lo ha sostenido el Consejo de Estado, el vocablo </w:t>
      </w:r>
      <w:r>
        <w:rPr>
          <w:rFonts w:ascii="Verdana" w:hAnsi="Verdana"/>
          <w:bCs/>
          <w:sz w:val="20"/>
          <w:szCs w:val="20"/>
          <w:lang w:eastAsia="x-none"/>
        </w:rPr>
        <w:t>“</w:t>
      </w:r>
      <w:r w:rsidRPr="00FE39ED">
        <w:rPr>
          <w:rFonts w:ascii="Verdana" w:hAnsi="Verdana"/>
          <w:bCs/>
          <w:sz w:val="20"/>
          <w:szCs w:val="20"/>
          <w:lang w:eastAsia="x-none"/>
        </w:rPr>
        <w:t>todos</w:t>
      </w:r>
      <w:r>
        <w:rPr>
          <w:rFonts w:ascii="Verdana" w:hAnsi="Verdana"/>
          <w:bCs/>
          <w:sz w:val="20"/>
          <w:szCs w:val="20"/>
          <w:lang w:eastAsia="x-none"/>
        </w:rPr>
        <w:t>”</w:t>
      </w:r>
      <w:r w:rsidRPr="00FE39ED">
        <w:rPr>
          <w:rFonts w:ascii="Verdana" w:hAnsi="Verdana"/>
          <w:bCs/>
          <w:sz w:val="20"/>
          <w:szCs w:val="20"/>
          <w:lang w:eastAsia="x-none"/>
        </w:rPr>
        <w:t xml:space="preserve"> utilizado por el legislador comprende</w:t>
      </w:r>
      <w:r w:rsidRPr="00FE39ED">
        <w:rPr>
          <w:rFonts w:ascii="Verdana" w:hAnsi="Verdana"/>
          <w:sz w:val="20"/>
          <w:szCs w:val="20"/>
        </w:rPr>
        <w:t xml:space="preserve"> </w:t>
      </w:r>
      <w:r w:rsidRPr="00FE39ED">
        <w:rPr>
          <w:rFonts w:ascii="Verdana" w:hAnsi="Verdana"/>
          <w:bCs/>
          <w:sz w:val="20"/>
          <w:szCs w:val="20"/>
          <w:lang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01320D65" w14:textId="77777777" w:rsidR="002E7EDF" w:rsidRPr="00FE39ED" w:rsidRDefault="002E7EDF" w:rsidP="002E7EDF">
      <w:pPr>
        <w:pStyle w:val="Textoindependiente"/>
        <w:spacing w:after="0" w:line="240" w:lineRule="auto"/>
        <w:jc w:val="both"/>
        <w:rPr>
          <w:rFonts w:ascii="Verdana" w:hAnsi="Verdana"/>
          <w:sz w:val="20"/>
          <w:szCs w:val="20"/>
        </w:rPr>
      </w:pPr>
    </w:p>
    <w:p w14:paraId="78388858" w14:textId="39D1CDC8" w:rsidR="002E7EDF" w:rsidRPr="00FE39ED" w:rsidRDefault="002E7EDF" w:rsidP="002E7EDF">
      <w:pPr>
        <w:pStyle w:val="Textoindependiente"/>
        <w:spacing w:after="0" w:line="240" w:lineRule="auto"/>
        <w:jc w:val="both"/>
        <w:rPr>
          <w:rFonts w:ascii="Verdana" w:eastAsia="Calibri" w:hAnsi="Verdana"/>
          <w:b/>
        </w:rPr>
      </w:pPr>
      <w:r w:rsidRPr="00FE39ED">
        <w:rPr>
          <w:rFonts w:ascii="Verdana" w:eastAsia="Calibri" w:hAnsi="Verdana"/>
          <w:b/>
        </w:rPr>
        <w:t xml:space="preserve">LEY DE GARANTÍAS ELECTORALES – Ley 996 de 2005 – Destinatarios </w:t>
      </w:r>
      <w:r w:rsidR="00D131BC">
        <w:rPr>
          <w:rFonts w:ascii="Verdana" w:eastAsia="Calibri" w:hAnsi="Verdana" w:cs="Arial"/>
          <w:lang w:val="es-ES" w:eastAsia="es-ES"/>
        </w:rPr>
        <w:t xml:space="preserve">– </w:t>
      </w:r>
      <w:r w:rsidR="00D131BC" w:rsidRPr="00D131BC">
        <w:rPr>
          <w:rFonts w:ascii="Verdana" w:eastAsia="Calibri" w:hAnsi="Verdana" w:cs="Arial"/>
          <w:b/>
          <w:bCs/>
          <w:lang w:val="es-ES" w:eastAsia="es-ES"/>
        </w:rPr>
        <w:t>Lista de precalificación</w:t>
      </w:r>
    </w:p>
    <w:p w14:paraId="2BD3A210" w14:textId="77777777" w:rsidR="002E7EDF" w:rsidRPr="00FE39ED" w:rsidRDefault="002E7EDF" w:rsidP="002E7EDF">
      <w:pPr>
        <w:pStyle w:val="Textoindependiente"/>
        <w:spacing w:after="0" w:line="240" w:lineRule="auto"/>
        <w:jc w:val="both"/>
        <w:rPr>
          <w:rFonts w:ascii="Verdana" w:eastAsia="Calibri" w:hAnsi="Verdana"/>
          <w:b/>
          <w:sz w:val="20"/>
          <w:szCs w:val="20"/>
        </w:rPr>
      </w:pPr>
    </w:p>
    <w:p w14:paraId="70FD1C0C" w14:textId="77777777" w:rsidR="002E7EDF" w:rsidRPr="00FE39ED" w:rsidRDefault="002E7EDF" w:rsidP="002E7EDF">
      <w:pPr>
        <w:pStyle w:val="Textoindependiente"/>
        <w:spacing w:after="0" w:line="240" w:lineRule="auto"/>
        <w:jc w:val="both"/>
        <w:rPr>
          <w:rFonts w:ascii="Verdana" w:eastAsia="Calibri" w:hAnsi="Verdana"/>
          <w:bCs/>
          <w:sz w:val="20"/>
          <w:szCs w:val="20"/>
        </w:rPr>
      </w:pPr>
      <w:r w:rsidRPr="00FE39ED">
        <w:rPr>
          <w:rFonts w:ascii="Verdana" w:eastAsia="Calibri" w:hAnsi="Verdana"/>
          <w:bCs/>
          <w:sz w:val="20"/>
          <w:szCs w:val="20"/>
        </w:rPr>
        <w:t>Por lo tanto, la restricción prevista en la Ley 996 de 2005, 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131FEE87" w14:textId="77777777" w:rsidR="00D131BC" w:rsidRDefault="00D131BC" w:rsidP="00D131BC">
      <w:pPr>
        <w:spacing w:after="0" w:line="240" w:lineRule="auto"/>
        <w:jc w:val="both"/>
        <w:rPr>
          <w:rFonts w:ascii="Verdana" w:hAnsi="Verdana" w:cs="Arial"/>
          <w:sz w:val="20"/>
          <w:szCs w:val="20"/>
          <w:lang w:eastAsia="x-none"/>
        </w:rPr>
      </w:pPr>
      <w:r w:rsidRPr="00FE39ED">
        <w:rPr>
          <w:rFonts w:ascii="Verdana" w:hAnsi="Verdana" w:cs="Arial"/>
          <w:sz w:val="20"/>
          <w:szCs w:val="20"/>
          <w:lang w:eastAsia="x-none"/>
        </w:rPr>
        <w:t>[…]</w:t>
      </w:r>
    </w:p>
    <w:p w14:paraId="3929E934" w14:textId="77777777" w:rsidR="002E7EDF" w:rsidRDefault="002E7EDF" w:rsidP="002E7EDF">
      <w:pPr>
        <w:pStyle w:val="Textoindependiente"/>
        <w:spacing w:after="0" w:line="240" w:lineRule="auto"/>
        <w:jc w:val="both"/>
        <w:rPr>
          <w:rFonts w:ascii="Verdana" w:eastAsia="Calibri" w:hAnsi="Verdana"/>
          <w:b/>
          <w:sz w:val="20"/>
          <w:szCs w:val="20"/>
        </w:rPr>
      </w:pPr>
    </w:p>
    <w:p w14:paraId="0BC9CAD0" w14:textId="56382582" w:rsidR="00D131BC" w:rsidRPr="00085A6F" w:rsidRDefault="00085A6F" w:rsidP="002E7EDF">
      <w:pPr>
        <w:pStyle w:val="Textoindependiente"/>
        <w:spacing w:after="0" w:line="240" w:lineRule="auto"/>
        <w:jc w:val="both"/>
        <w:rPr>
          <w:rFonts w:ascii="Verdana" w:eastAsia="Calibri" w:hAnsi="Verdana"/>
          <w:bCs/>
          <w:sz w:val="20"/>
          <w:szCs w:val="20"/>
        </w:rPr>
      </w:pPr>
      <w:r>
        <w:rPr>
          <w:rFonts w:ascii="Verdana" w:eastAsia="Calibri" w:hAnsi="Verdana"/>
          <w:bCs/>
          <w:sz w:val="20"/>
          <w:szCs w:val="20"/>
        </w:rPr>
        <w:t>P</w:t>
      </w:r>
      <w:r w:rsidRPr="00085A6F">
        <w:rPr>
          <w:rFonts w:ascii="Verdana" w:eastAsia="Calibri" w:hAnsi="Verdana"/>
          <w:bCs/>
          <w:sz w:val="20"/>
          <w:szCs w:val="20"/>
        </w:rPr>
        <w:t>ara determinar la aplicación de la restricción prevista en el artículo 33 de la Ley de Garantías Electorales en aquellos sistemas de contratación en los cuales se invita a presentar propuesta a proveedores seleccionados de un banco de proveedores, resulta fundamental que se cumplan los dos criterios señalados. De un lado, es indispensable que tanto la inscripción en la lista de precalificados o en el banco de proveedores como el acceso a la etapa de presentación de ofertas se encuentren precedidos de mecanismos de convocatoria pública que garanticen la participación real de una pluralidad de oferentes, en condiciones de igualdad y transparencia. De otro lado, la selección del contratista debe estar sometida a criterios objetivos de tal manera que la escogencia del contratista sea el resultado de un ejercicio de comparación de propuestas en competencia y no de decisiones discrecionales de la entidad.</w:t>
      </w:r>
    </w:p>
    <w:p w14:paraId="2E7426DC" w14:textId="77777777" w:rsidR="00085A6F" w:rsidRPr="00FE39ED" w:rsidRDefault="00085A6F" w:rsidP="002E7EDF">
      <w:pPr>
        <w:pStyle w:val="Textoindependiente"/>
        <w:spacing w:after="0" w:line="240" w:lineRule="auto"/>
        <w:jc w:val="both"/>
        <w:rPr>
          <w:rFonts w:ascii="Verdana" w:eastAsia="Calibri" w:hAnsi="Verdana"/>
          <w:b/>
          <w:sz w:val="20"/>
          <w:szCs w:val="20"/>
        </w:rPr>
      </w:pPr>
    </w:p>
    <w:p w14:paraId="17E43880" w14:textId="77777777" w:rsidR="002E7EDF" w:rsidRPr="00FE39ED" w:rsidRDefault="002E7EDF" w:rsidP="002E7EDF">
      <w:pPr>
        <w:pStyle w:val="Textoindependiente"/>
        <w:spacing w:after="0" w:line="240" w:lineRule="auto"/>
        <w:jc w:val="both"/>
        <w:rPr>
          <w:rFonts w:ascii="Verdana" w:eastAsia="Calibri" w:hAnsi="Verdana"/>
          <w:b/>
        </w:rPr>
      </w:pPr>
      <w:r w:rsidRPr="00FE39ED">
        <w:rPr>
          <w:rFonts w:ascii="Verdana" w:eastAsia="Calibri" w:hAnsi="Verdana"/>
          <w:b/>
        </w:rPr>
        <w:t xml:space="preserve">LEY DE GARANTÍAS ELECTORALES – Artículo 33 - Patrimonios autónomos </w:t>
      </w:r>
    </w:p>
    <w:p w14:paraId="29583A5A" w14:textId="77777777" w:rsidR="002E7EDF" w:rsidRPr="00FE39ED" w:rsidRDefault="002E7EDF" w:rsidP="002E7EDF">
      <w:pPr>
        <w:pStyle w:val="Textoindependiente"/>
        <w:spacing w:after="0" w:line="240" w:lineRule="auto"/>
        <w:jc w:val="both"/>
        <w:rPr>
          <w:rFonts w:ascii="Verdana" w:eastAsia="Calibri" w:hAnsi="Verdana"/>
          <w:b/>
          <w:sz w:val="20"/>
          <w:szCs w:val="20"/>
        </w:rPr>
      </w:pPr>
    </w:p>
    <w:p w14:paraId="38C35CD9" w14:textId="77777777" w:rsidR="002E7EDF" w:rsidRPr="00FE39ED" w:rsidRDefault="002E7EDF" w:rsidP="002E7EDF">
      <w:pPr>
        <w:pStyle w:val="Textoindependiente"/>
        <w:spacing w:after="0" w:line="240" w:lineRule="auto"/>
        <w:jc w:val="both"/>
        <w:rPr>
          <w:rFonts w:ascii="Verdana" w:eastAsia="Calibri" w:hAnsi="Verdana"/>
          <w:bCs/>
          <w:sz w:val="20"/>
          <w:szCs w:val="20"/>
        </w:rPr>
      </w:pPr>
      <w:r w:rsidRPr="00FE39ED">
        <w:rPr>
          <w:rFonts w:ascii="Verdana" w:eastAsia="Calibri" w:hAnsi="Verdana"/>
          <w:bCs/>
          <w:sz w:val="20"/>
          <w:szCs w:val="20"/>
        </w:rPr>
        <w:t xml:space="preserve">De acuerdo el artículo 32.5, inciso quinto, de la Ley 80 de 1993 y el artículo 2.5.2.1.1 del Decreto 2555 de 2010, la prohibición también se extiende a las sociedades fiduciarias, frente a los actos y contratos que realicen en desarrollo del negocio fiduciario, con independencia del régimen jurídico de la entidad fideicomitente, razón por la cual no se podría inaplicar la prohibición establecida en el artículo 33 de la Ley de Garantías Electorales, con la constitución de patrimonios autónomos. […] </w:t>
      </w:r>
    </w:p>
    <w:p w14:paraId="39CDB59E" w14:textId="77777777" w:rsidR="002E7EDF" w:rsidRPr="00FE39ED" w:rsidRDefault="002E7EDF" w:rsidP="002E7EDF">
      <w:pPr>
        <w:pStyle w:val="Textoindependiente"/>
        <w:spacing w:after="0" w:line="240" w:lineRule="auto"/>
        <w:jc w:val="both"/>
        <w:rPr>
          <w:rFonts w:ascii="Verdana" w:eastAsia="Calibri" w:hAnsi="Verdana"/>
          <w:bCs/>
          <w:sz w:val="20"/>
          <w:szCs w:val="20"/>
        </w:rPr>
      </w:pPr>
    </w:p>
    <w:p w14:paraId="2E136EA5" w14:textId="67687E39" w:rsidR="002E7EDF" w:rsidRPr="002B5736" w:rsidRDefault="002E7EDF" w:rsidP="0025102C">
      <w:pPr>
        <w:pStyle w:val="Textoindependiente"/>
        <w:spacing w:after="0" w:line="240" w:lineRule="auto"/>
        <w:jc w:val="both"/>
        <w:rPr>
          <w:rFonts w:ascii="Verdana" w:eastAsia="Calibri" w:hAnsi="Verdana" w:cs="Arial"/>
          <w:bCs/>
          <w:color w:val="000000" w:themeColor="text1"/>
          <w:sz w:val="20"/>
          <w:szCs w:val="20"/>
        </w:rPr>
      </w:pPr>
      <w:r w:rsidRPr="00FE39ED">
        <w:rPr>
          <w:rFonts w:ascii="Verdana" w:eastAsia="Calibri" w:hAnsi="Verdana"/>
          <w:bCs/>
          <w:sz w:val="20"/>
          <w:szCs w:val="20"/>
        </w:rPr>
        <w:t xml:space="preserve">El artículo 33 de la Ley de Garantías se extiende a las sociedades fiduciarias en virtud del artículo 32.5, inciso quinto, de la Ley 80 de 1993. Con las diferencias en el alcance, de acuerdo con el inciso noveno </w:t>
      </w:r>
      <w:proofErr w:type="spellStart"/>
      <w:r w:rsidRPr="00FE39ED">
        <w:rPr>
          <w:rFonts w:ascii="Verdana" w:eastAsia="Calibri" w:hAnsi="Verdana"/>
          <w:bCs/>
          <w:sz w:val="20"/>
          <w:szCs w:val="20"/>
        </w:rPr>
        <w:t>ibídem</w:t>
      </w:r>
      <w:proofErr w:type="spellEnd"/>
      <w:r w:rsidRPr="00FE39ED">
        <w:rPr>
          <w:rFonts w:ascii="Verdana" w:eastAsia="Calibri" w:hAnsi="Verdana"/>
          <w:bCs/>
          <w:sz w:val="20"/>
          <w:szCs w:val="20"/>
        </w:rPr>
        <w:t>, la misma es congruente con el artículo 2.5.2.1.1 del Decreto 2555 de 2010, el cual rige también en los negocios fiduciarios de las entidades exceptuadas de la aplicación del EGCAP. Por tanto, con independencia del régimen jurídico de la entidad fideicomitente, la prohibición de contratación directa durante la vigencia de la Ley de Garantías también les aplica a las fiduciarias que administran los recursos públicos de los entes del Estado. En este contexto, se reitera que las sociedades fiduciarias no pueden celebrar los contratos en los que las entidades constituyentes tengan alguna restricción, por lo que no son un instrumento para eludir el artículo 33 de la Ley de Garantías.</w:t>
      </w:r>
      <w:r>
        <w:rPr>
          <w:rFonts w:ascii="Verdana" w:eastAsia="Calibri" w:hAnsi="Verdana"/>
          <w:bCs/>
          <w:sz w:val="20"/>
          <w:szCs w:val="20"/>
        </w:rPr>
        <w:t xml:space="preserve"> </w:t>
      </w:r>
      <w:r w:rsidR="008173B6" w:rsidRPr="008173B6">
        <w:rPr>
          <w:rFonts w:ascii="Verdana" w:eastAsia="Calibri" w:hAnsi="Verdana"/>
          <w:bCs/>
          <w:sz w:val="20"/>
          <w:szCs w:val="20"/>
        </w:rPr>
        <w:t>Esto último rige para el contrato de fiducia que suscriba el Ministerio de Igualdad y Equidad con una Sociedad Fiduciaria Pública, en los términos del artículo 72 de la Ley 2294 de 2023.</w:t>
      </w:r>
    </w:p>
    <w:p w14:paraId="3A8887FC" w14:textId="77777777" w:rsidR="002E7EDF" w:rsidRPr="00D83C22" w:rsidRDefault="002E7EDF" w:rsidP="002E7EDF">
      <w:pPr>
        <w:tabs>
          <w:tab w:val="left" w:pos="709"/>
        </w:tabs>
        <w:spacing w:after="0" w:line="240" w:lineRule="auto"/>
        <w:jc w:val="both"/>
        <w:rPr>
          <w:rFonts w:ascii="Verdana" w:eastAsia="Calibri" w:hAnsi="Verdana" w:cs="Arial"/>
          <w:color w:val="000000" w:themeColor="text1"/>
          <w:sz w:val="20"/>
          <w:szCs w:val="20"/>
          <w:lang w:val="es-ES_tradnl"/>
        </w:rPr>
      </w:pPr>
    </w:p>
    <w:p w14:paraId="22D5926F" w14:textId="77777777" w:rsidR="002E7EDF" w:rsidRPr="00DE2AC7" w:rsidRDefault="002E7EDF" w:rsidP="002E7EDF">
      <w:pPr>
        <w:spacing w:after="0" w:line="240" w:lineRule="auto"/>
        <w:rPr>
          <w:rFonts w:ascii="Verdana" w:eastAsia="Geomanist Light" w:hAnsi="Verdana" w:cs="Arial"/>
          <w:color w:val="000000" w:themeColor="text1"/>
        </w:rPr>
      </w:pPr>
    </w:p>
    <w:p w14:paraId="765F7587" w14:textId="77777777" w:rsidR="002E7EDF" w:rsidRDefault="002E7EDF" w:rsidP="002E7EDF">
      <w:pPr>
        <w:spacing w:after="0" w:line="240" w:lineRule="auto"/>
        <w:rPr>
          <w:rFonts w:ascii="Verdana" w:eastAsia="Geomanist Light" w:hAnsi="Verdana" w:cs="Arial"/>
          <w:color w:val="000000" w:themeColor="text1"/>
        </w:rPr>
      </w:pPr>
    </w:p>
    <w:p w14:paraId="472CA7A4" w14:textId="77777777" w:rsidR="002E7EDF" w:rsidRDefault="002E7EDF" w:rsidP="002E7EDF">
      <w:pPr>
        <w:spacing w:after="0" w:line="240" w:lineRule="auto"/>
        <w:rPr>
          <w:rFonts w:ascii="Verdana" w:eastAsia="Geomanist Light" w:hAnsi="Verdana" w:cs="Arial"/>
          <w:color w:val="000000" w:themeColor="text1"/>
          <w:lang w:val="es-MX"/>
        </w:rPr>
      </w:pPr>
    </w:p>
    <w:p w14:paraId="577C2489" w14:textId="77777777" w:rsidR="002E7EDF" w:rsidRDefault="002E7EDF" w:rsidP="00DF5234">
      <w:pPr>
        <w:spacing w:after="0" w:line="240" w:lineRule="auto"/>
        <w:rPr>
          <w:rFonts w:ascii="Verdana" w:eastAsia="Geomanist Light" w:hAnsi="Verdana" w:cs="Arial"/>
          <w:color w:val="000000" w:themeColor="text1"/>
          <w:lang w:val="es-MX"/>
        </w:rPr>
      </w:pPr>
    </w:p>
    <w:p w14:paraId="68FB8F57" w14:textId="77777777" w:rsidR="00441B18" w:rsidRDefault="00441B18" w:rsidP="00DF5234">
      <w:pPr>
        <w:spacing w:after="0" w:line="240" w:lineRule="auto"/>
        <w:rPr>
          <w:rFonts w:ascii="Verdana" w:eastAsia="Geomanist Light" w:hAnsi="Verdana" w:cs="Arial"/>
          <w:color w:val="000000" w:themeColor="text1"/>
          <w:lang w:val="es-MX"/>
        </w:rPr>
      </w:pPr>
    </w:p>
    <w:p w14:paraId="3AF6B677" w14:textId="77777777" w:rsidR="00FB598B" w:rsidRDefault="00FB598B" w:rsidP="00B159EB">
      <w:pPr>
        <w:spacing w:after="0" w:line="240" w:lineRule="auto"/>
        <w:rPr>
          <w:rFonts w:ascii="Verdana" w:hAnsi="Verdana"/>
        </w:rPr>
      </w:pPr>
    </w:p>
    <w:p w14:paraId="628274A9" w14:textId="77777777" w:rsidR="00432DF4" w:rsidRDefault="00432DF4" w:rsidP="00B51755">
      <w:pPr>
        <w:spacing w:after="0" w:line="240" w:lineRule="auto"/>
        <w:rPr>
          <w:rFonts w:ascii="Verdana" w:hAnsi="Verdana"/>
        </w:rPr>
      </w:pPr>
    </w:p>
    <w:p w14:paraId="5B5946ED" w14:textId="77777777" w:rsidR="00432DF4" w:rsidRDefault="00432DF4" w:rsidP="00B51755">
      <w:pPr>
        <w:spacing w:after="0" w:line="240" w:lineRule="auto"/>
        <w:rPr>
          <w:rFonts w:ascii="Verdana" w:hAnsi="Verdana"/>
        </w:rPr>
      </w:pPr>
    </w:p>
    <w:p w14:paraId="1C8BA4B6" w14:textId="673C56C3" w:rsidR="00B51755" w:rsidRDefault="00B51755" w:rsidP="00B51755">
      <w:pPr>
        <w:spacing w:after="0" w:line="240" w:lineRule="auto"/>
        <w:rPr>
          <w:rFonts w:ascii="Verdana" w:hAnsi="Verdana"/>
        </w:rPr>
      </w:pPr>
      <w:r w:rsidRPr="006F42F9">
        <w:rPr>
          <w:rFonts w:ascii="Verdana" w:hAnsi="Verdana"/>
        </w:rPr>
        <w:lastRenderedPageBreak/>
        <w:t>Bogotá D.C.,</w:t>
      </w:r>
      <w:r w:rsidR="00973D53">
        <w:rPr>
          <w:rFonts w:ascii="Verdana" w:hAnsi="Verdana"/>
        </w:rPr>
        <w:t xml:space="preserve"> 23 de enero de 2026</w:t>
      </w:r>
    </w:p>
    <w:p w14:paraId="7C607039" w14:textId="77777777" w:rsidR="00973D53" w:rsidRPr="006F42F9" w:rsidRDefault="00973D53" w:rsidP="00B51755">
      <w:pPr>
        <w:spacing w:after="0" w:line="240" w:lineRule="auto"/>
        <w:rPr>
          <w:rFonts w:ascii="Verdana" w:eastAsia="Calibri" w:hAnsi="Verdana" w:cs="Arial"/>
          <w:color w:val="000000"/>
          <w:lang w:val="es-ES"/>
        </w:rPr>
      </w:pPr>
    </w:p>
    <w:p w14:paraId="343AA0A0" w14:textId="339A73EA" w:rsidR="00B51755" w:rsidRPr="006F42F9" w:rsidRDefault="00973D53" w:rsidP="00B51755">
      <w:pPr>
        <w:spacing w:after="0" w:line="240" w:lineRule="auto"/>
        <w:jc w:val="right"/>
        <w:rPr>
          <w:rFonts w:ascii="Verdana" w:eastAsia="Calibri" w:hAnsi="Verdana" w:cs="Arial"/>
          <w:color w:val="000000"/>
          <w:lang w:val="es-ES"/>
        </w:rPr>
      </w:pPr>
      <w:r w:rsidRPr="00973D53">
        <w:rPr>
          <w:rFonts w:ascii="Verdana" w:eastAsia="Calibri" w:hAnsi="Verdana" w:cs="Arial"/>
          <w:noProof/>
          <w:color w:val="000000"/>
          <w:lang w:val="es-ES"/>
        </w:rPr>
        <w:drawing>
          <wp:inline distT="0" distB="0" distL="0" distR="0" wp14:anchorId="4199758E" wp14:editId="2927EEC2">
            <wp:extent cx="2796540" cy="914400"/>
            <wp:effectExtent l="0" t="0" r="3810" b="0"/>
            <wp:docPr id="11520443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96540" cy="914400"/>
                    </a:xfrm>
                    <a:prstGeom prst="rect">
                      <a:avLst/>
                    </a:prstGeom>
                    <a:noFill/>
                    <a:ln>
                      <a:noFill/>
                    </a:ln>
                  </pic:spPr>
                </pic:pic>
              </a:graphicData>
            </a:graphic>
          </wp:inline>
        </w:drawing>
      </w:r>
    </w:p>
    <w:p w14:paraId="4830F10B" w14:textId="77777777" w:rsidR="00B51755" w:rsidRPr="006F42F9" w:rsidRDefault="00B51755" w:rsidP="00B51755">
      <w:pPr>
        <w:spacing w:after="0" w:line="240" w:lineRule="auto"/>
        <w:jc w:val="both"/>
        <w:rPr>
          <w:rFonts w:ascii="Verdana" w:eastAsia="Calibri" w:hAnsi="Verdana" w:cs="Arial"/>
          <w:color w:val="000000"/>
          <w:lang w:val="es-ES"/>
        </w:rPr>
      </w:pPr>
    </w:p>
    <w:p w14:paraId="189C0173" w14:textId="77777777" w:rsidR="00B51755" w:rsidRPr="006F42F9" w:rsidRDefault="00B51755" w:rsidP="00B51755">
      <w:pPr>
        <w:spacing w:after="0" w:line="240" w:lineRule="auto"/>
        <w:jc w:val="both"/>
        <w:rPr>
          <w:rFonts w:ascii="Verdana" w:eastAsia="Calibri" w:hAnsi="Verdana" w:cs="Arial"/>
          <w:lang w:val="es-ES" w:eastAsia="es-ES"/>
        </w:rPr>
      </w:pPr>
      <w:r w:rsidRPr="006F42F9">
        <w:rPr>
          <w:rFonts w:ascii="Verdana" w:eastAsia="Calibri" w:hAnsi="Verdana" w:cs="Arial"/>
          <w:lang w:val="es-ES" w:eastAsia="es-ES"/>
        </w:rPr>
        <w:t>Señora</w:t>
      </w:r>
    </w:p>
    <w:p w14:paraId="33F05313" w14:textId="77777777" w:rsidR="00B51755" w:rsidRPr="006F42F9" w:rsidRDefault="00B51755" w:rsidP="00B51755">
      <w:pPr>
        <w:spacing w:after="0" w:line="240" w:lineRule="auto"/>
        <w:rPr>
          <w:rFonts w:ascii="Verdana" w:hAnsi="Verdana"/>
          <w:b/>
          <w:bCs/>
        </w:rPr>
      </w:pPr>
      <w:r w:rsidRPr="006F42F9">
        <w:rPr>
          <w:rFonts w:ascii="Verdana" w:hAnsi="Verdana"/>
          <w:b/>
          <w:bCs/>
        </w:rPr>
        <w:t>Daniela Estaffani Navarro Montano</w:t>
      </w:r>
    </w:p>
    <w:p w14:paraId="25AFBF85" w14:textId="77777777" w:rsidR="00B51755" w:rsidRPr="006F42F9" w:rsidRDefault="00B51755" w:rsidP="00B51755">
      <w:pPr>
        <w:spacing w:after="0" w:line="240" w:lineRule="auto"/>
        <w:rPr>
          <w:rFonts w:ascii="Verdana" w:eastAsia="Calibri" w:hAnsi="Verdana" w:cs="Arial"/>
          <w:lang w:val="es-ES" w:eastAsia="es-ES"/>
        </w:rPr>
      </w:pPr>
      <w:hyperlink r:id="rId11" w:history="1">
        <w:r w:rsidRPr="006F42F9">
          <w:rPr>
            <w:rFonts w:ascii="Verdana" w:hAnsi="Verdana"/>
            <w:color w:val="0000FF"/>
            <w:u w:val="single"/>
          </w:rPr>
          <w:t>dnavarro@fonigualdad.gov.co</w:t>
        </w:r>
      </w:hyperlink>
      <w:r w:rsidRPr="006F42F9">
        <w:rPr>
          <w:rFonts w:ascii="Verdana" w:hAnsi="Verdana"/>
        </w:rPr>
        <w:t xml:space="preserve">            </w:t>
      </w:r>
      <w:r w:rsidRPr="006F42F9">
        <w:rPr>
          <w:rFonts w:ascii="Verdana" w:eastAsia="Calibri" w:hAnsi="Verdana" w:cs="Arial"/>
          <w:lang w:val="es-ES" w:eastAsia="es-ES"/>
        </w:rPr>
        <w:t xml:space="preserve">    </w:t>
      </w:r>
    </w:p>
    <w:p w14:paraId="62530CF5" w14:textId="77777777" w:rsidR="00B51755" w:rsidRPr="006F42F9" w:rsidRDefault="00B51755" w:rsidP="00B51755">
      <w:pPr>
        <w:spacing w:after="0" w:line="240" w:lineRule="auto"/>
        <w:rPr>
          <w:rFonts w:ascii="Verdana" w:eastAsia="Calibri" w:hAnsi="Verdana" w:cs="Arial"/>
          <w:lang w:val="es-ES" w:eastAsia="es-ES"/>
        </w:rPr>
      </w:pPr>
      <w:r w:rsidRPr="006F42F9">
        <w:rPr>
          <w:rFonts w:ascii="Verdana" w:eastAsia="Calibri" w:hAnsi="Verdana" w:cs="Arial"/>
          <w:lang w:val="es-ES" w:eastAsia="es-ES"/>
        </w:rPr>
        <w:t xml:space="preserve">Bogotá D.C. </w:t>
      </w:r>
    </w:p>
    <w:p w14:paraId="27250353" w14:textId="77777777" w:rsidR="00B51755" w:rsidRPr="006F42F9" w:rsidRDefault="00B51755" w:rsidP="00B51755">
      <w:pPr>
        <w:spacing w:after="0" w:line="240" w:lineRule="auto"/>
        <w:rPr>
          <w:rFonts w:ascii="Verdana" w:eastAsia="Calibri" w:hAnsi="Verdana" w:cs="Arial"/>
          <w:b/>
          <w:bCs/>
          <w:color w:val="000000"/>
          <w:lang w:val="es-ES_tradnl" w:eastAsia="es-ES_tradnl"/>
        </w:rPr>
      </w:pPr>
    </w:p>
    <w:p w14:paraId="51FD4558" w14:textId="77777777" w:rsidR="00B51755" w:rsidRPr="006F42F9" w:rsidRDefault="00B51755" w:rsidP="00B51755">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51755" w:rsidRPr="006F42F9" w14:paraId="7C40F5BD" w14:textId="77777777" w:rsidTr="00432DF4">
        <w:trPr>
          <w:trHeight w:val="884"/>
        </w:trPr>
        <w:tc>
          <w:tcPr>
            <w:tcW w:w="2689" w:type="dxa"/>
          </w:tcPr>
          <w:p w14:paraId="7C5A11AA" w14:textId="77777777" w:rsidR="00B51755" w:rsidRPr="006F42F9" w:rsidRDefault="00B51755" w:rsidP="004A1678">
            <w:pPr>
              <w:jc w:val="both"/>
              <w:rPr>
                <w:rFonts w:ascii="Verdana" w:eastAsia="Calibri" w:hAnsi="Verdana" w:cs="Arial"/>
                <w:b/>
                <w:bCs/>
                <w:color w:val="7030A0"/>
                <w:lang w:val="es-ES_tradnl" w:eastAsia="es-ES_tradnl"/>
              </w:rPr>
            </w:pPr>
          </w:p>
        </w:tc>
        <w:tc>
          <w:tcPr>
            <w:tcW w:w="6100" w:type="dxa"/>
          </w:tcPr>
          <w:p w14:paraId="266498A7" w14:textId="77777777" w:rsidR="00B51755" w:rsidRPr="006F42F9" w:rsidRDefault="00B51755" w:rsidP="004A1678">
            <w:pPr>
              <w:jc w:val="both"/>
              <w:rPr>
                <w:rFonts w:ascii="Verdana" w:eastAsia="Calibri" w:hAnsi="Verdana" w:cs="Arial"/>
                <w:b/>
                <w:bCs/>
                <w:color w:val="7030A0"/>
                <w:lang w:val="es-ES" w:eastAsia="es-ES"/>
              </w:rPr>
            </w:pPr>
            <w:r w:rsidRPr="006F42F9">
              <w:rPr>
                <w:rFonts w:ascii="Verdana" w:eastAsia="Calibri" w:hAnsi="Verdana" w:cs="Arial"/>
                <w:b/>
                <w:bCs/>
                <w:lang w:val="es-ES" w:eastAsia="es-ES"/>
              </w:rPr>
              <w:t>Concepto C – 048 de 2026</w:t>
            </w:r>
          </w:p>
        </w:tc>
      </w:tr>
      <w:tr w:rsidR="00B51755" w:rsidRPr="006F42F9" w14:paraId="1C9C1767" w14:textId="77777777" w:rsidTr="00432DF4">
        <w:trPr>
          <w:trHeight w:val="884"/>
        </w:trPr>
        <w:tc>
          <w:tcPr>
            <w:tcW w:w="2689" w:type="dxa"/>
          </w:tcPr>
          <w:p w14:paraId="632040E7" w14:textId="77777777" w:rsidR="00B51755" w:rsidRPr="006F42F9" w:rsidRDefault="00B51755" w:rsidP="004A1678">
            <w:pPr>
              <w:jc w:val="both"/>
              <w:rPr>
                <w:rFonts w:ascii="Verdana" w:eastAsia="Calibri" w:hAnsi="Verdana" w:cs="Arial"/>
                <w:color w:val="000000"/>
                <w:lang w:val="es-ES_tradnl" w:eastAsia="es-ES_tradnl"/>
              </w:rPr>
            </w:pPr>
            <w:r w:rsidRPr="006F42F9">
              <w:rPr>
                <w:rFonts w:ascii="Verdana" w:eastAsia="Calibri" w:hAnsi="Verdana" w:cs="Arial"/>
                <w:b/>
                <w:color w:val="000000"/>
                <w:lang w:val="es-ES_tradnl" w:eastAsia="es-ES_tradnl"/>
              </w:rPr>
              <w:t>Temas:</w:t>
            </w:r>
            <w:r w:rsidRPr="006F42F9">
              <w:rPr>
                <w:rFonts w:ascii="Verdana" w:eastAsia="Calibri" w:hAnsi="Verdana" w:cs="Arial"/>
                <w:color w:val="000000"/>
                <w:lang w:val="es-ES_tradnl" w:eastAsia="es-ES_tradnl"/>
              </w:rPr>
              <w:t xml:space="preserve">                   </w:t>
            </w:r>
          </w:p>
        </w:tc>
        <w:tc>
          <w:tcPr>
            <w:tcW w:w="6100" w:type="dxa"/>
          </w:tcPr>
          <w:p w14:paraId="6766D7D3" w14:textId="77777777" w:rsidR="00B51755" w:rsidRPr="006F42F9" w:rsidRDefault="00B51755" w:rsidP="004A1678">
            <w:pPr>
              <w:spacing w:line="276" w:lineRule="auto"/>
              <w:jc w:val="both"/>
              <w:rPr>
                <w:rFonts w:ascii="Verdana" w:eastAsia="Calibri" w:hAnsi="Verdana" w:cs="Arial"/>
                <w:lang w:val="es-ES" w:eastAsia="es-ES"/>
              </w:rPr>
            </w:pPr>
            <w:r w:rsidRPr="006F42F9">
              <w:rPr>
                <w:rFonts w:ascii="Verdana" w:eastAsia="Calibri" w:hAnsi="Verdana" w:cs="Arial"/>
                <w:lang w:val="es-ES" w:eastAsia="es-ES"/>
              </w:rPr>
              <w:t xml:space="preserve">LEY DE GARANTÍAS ELECTORALES ‒ Finalidad / LEY DE GARANTÍAS ELECTORALES – Ley 996 de 2005 – Articulo 33 – Restricciones – Elecciones presidenciales / LEY DE GARANTÍAS ELECTORALES – Ley 996 de 2005 – Destinatarios – Lista de precalificados / LEY DE GARANTÍAS ELECTORALES – Artículo 33 - Patrimonios autónomos                     </w:t>
            </w:r>
          </w:p>
          <w:p w14:paraId="6F72A7CB" w14:textId="77777777" w:rsidR="00B51755" w:rsidRPr="006F42F9" w:rsidRDefault="00B51755" w:rsidP="004A1678">
            <w:pPr>
              <w:spacing w:line="276" w:lineRule="auto"/>
              <w:jc w:val="both"/>
              <w:rPr>
                <w:rFonts w:ascii="Verdana" w:eastAsia="Calibri" w:hAnsi="Verdana" w:cs="Arial"/>
                <w:lang w:val="es-ES" w:eastAsia="es-ES"/>
              </w:rPr>
            </w:pPr>
            <w:r w:rsidRPr="006F42F9">
              <w:rPr>
                <w:rFonts w:ascii="Verdana" w:eastAsia="Calibri" w:hAnsi="Verdana" w:cs="Arial"/>
                <w:lang w:val="es-ES" w:eastAsia="es-ES"/>
              </w:rPr>
              <w:t xml:space="preserve">  </w:t>
            </w:r>
          </w:p>
        </w:tc>
      </w:tr>
      <w:tr w:rsidR="00B51755" w:rsidRPr="006F42F9" w14:paraId="2780D175" w14:textId="77777777" w:rsidTr="00432DF4">
        <w:tc>
          <w:tcPr>
            <w:tcW w:w="2689" w:type="dxa"/>
          </w:tcPr>
          <w:p w14:paraId="2B3A7940" w14:textId="77777777" w:rsidR="00B51755" w:rsidRPr="006F42F9" w:rsidRDefault="00B51755" w:rsidP="004A1678">
            <w:pPr>
              <w:jc w:val="both"/>
              <w:rPr>
                <w:rFonts w:ascii="Verdana" w:eastAsia="Calibri" w:hAnsi="Verdana" w:cs="Arial"/>
                <w:b/>
                <w:lang w:val="es-ES_tradnl" w:eastAsia="es-ES_tradnl"/>
              </w:rPr>
            </w:pPr>
            <w:r w:rsidRPr="006F42F9">
              <w:rPr>
                <w:rFonts w:ascii="Verdana" w:eastAsia="Calibri" w:hAnsi="Verdana" w:cs="Arial"/>
                <w:b/>
                <w:lang w:val="es-ES_tradnl" w:eastAsia="es-ES_tradnl"/>
              </w:rPr>
              <w:t>Radicación:</w:t>
            </w:r>
            <w:r w:rsidRPr="006F42F9">
              <w:rPr>
                <w:rFonts w:ascii="Verdana" w:eastAsia="Calibri" w:hAnsi="Verdana" w:cs="Arial"/>
                <w:lang w:val="es-ES_tradnl" w:eastAsia="es-ES_tradnl"/>
              </w:rPr>
              <w:t xml:space="preserve">               </w:t>
            </w:r>
          </w:p>
        </w:tc>
        <w:tc>
          <w:tcPr>
            <w:tcW w:w="6100" w:type="dxa"/>
          </w:tcPr>
          <w:p w14:paraId="7D4A53E1" w14:textId="77777777" w:rsidR="00B51755" w:rsidRPr="006F42F9" w:rsidRDefault="00B51755" w:rsidP="004A1678">
            <w:pPr>
              <w:spacing w:line="276" w:lineRule="auto"/>
              <w:jc w:val="both"/>
              <w:rPr>
                <w:rFonts w:ascii="Verdana" w:eastAsia="Calibri" w:hAnsi="Verdana" w:cs="Arial"/>
                <w:lang w:val="es-ES_tradnl" w:eastAsia="es-ES_tradnl"/>
              </w:rPr>
            </w:pPr>
            <w:r w:rsidRPr="006F42F9">
              <w:rPr>
                <w:rFonts w:ascii="Verdana" w:eastAsia="Calibri" w:hAnsi="Verdana" w:cs="Arial"/>
                <w:lang w:val="es-ES_tradnl" w:eastAsia="es-ES_tradnl"/>
              </w:rPr>
              <w:t xml:space="preserve">Respuesta a la consulta con radicado No. 1_2026_01_14_000349                                    </w:t>
            </w:r>
          </w:p>
        </w:tc>
      </w:tr>
    </w:tbl>
    <w:p w14:paraId="13F02C94" w14:textId="77777777" w:rsidR="00B51755" w:rsidRPr="006F42F9" w:rsidRDefault="00B51755" w:rsidP="00B51755">
      <w:pPr>
        <w:spacing w:after="0" w:line="240" w:lineRule="auto"/>
        <w:jc w:val="both"/>
        <w:rPr>
          <w:rFonts w:ascii="Verdana" w:eastAsia="Calibri" w:hAnsi="Verdana" w:cs="Arial"/>
          <w:color w:val="000000"/>
          <w:lang w:val="es-ES_tradnl" w:eastAsia="es-ES_tradnl"/>
        </w:rPr>
      </w:pPr>
    </w:p>
    <w:p w14:paraId="7FEAF0A5" w14:textId="77777777" w:rsidR="00B51755" w:rsidRPr="006F42F9" w:rsidRDefault="00B51755" w:rsidP="00B51755">
      <w:pPr>
        <w:spacing w:after="0" w:line="240" w:lineRule="auto"/>
        <w:jc w:val="both"/>
        <w:rPr>
          <w:rFonts w:ascii="Verdana" w:eastAsia="Calibri" w:hAnsi="Verdana" w:cs="Arial"/>
          <w:color w:val="000000"/>
          <w:lang w:val="es-ES_tradnl" w:eastAsia="es-ES_tradnl"/>
        </w:rPr>
      </w:pPr>
    </w:p>
    <w:p w14:paraId="731EE3B2" w14:textId="77777777" w:rsidR="00B51755" w:rsidRPr="006F42F9" w:rsidRDefault="00B51755" w:rsidP="00B51755">
      <w:pPr>
        <w:spacing w:after="0" w:line="276" w:lineRule="auto"/>
        <w:jc w:val="both"/>
        <w:rPr>
          <w:rFonts w:ascii="Verdana" w:eastAsia="Calibri" w:hAnsi="Verdana" w:cs="Arial"/>
          <w:lang w:val="es-ES" w:eastAsia="es-ES"/>
        </w:rPr>
      </w:pPr>
      <w:r w:rsidRPr="006F42F9">
        <w:rPr>
          <w:rFonts w:ascii="Verdana" w:eastAsia="Calibri" w:hAnsi="Verdana" w:cs="Arial"/>
          <w:lang w:val="es-ES" w:eastAsia="es-ES"/>
        </w:rPr>
        <w:t xml:space="preserve">Estimada señora Navarro: </w:t>
      </w:r>
    </w:p>
    <w:p w14:paraId="03122A50" w14:textId="77777777" w:rsidR="00B51755" w:rsidRPr="006F42F9" w:rsidRDefault="00B51755" w:rsidP="00B51755">
      <w:pPr>
        <w:tabs>
          <w:tab w:val="left" w:pos="3768"/>
        </w:tabs>
        <w:spacing w:after="0" w:line="276" w:lineRule="auto"/>
        <w:jc w:val="both"/>
        <w:rPr>
          <w:rFonts w:ascii="Verdana" w:eastAsia="Calibri" w:hAnsi="Verdana" w:cs="Arial"/>
          <w:color w:val="000000" w:themeColor="text1"/>
          <w:lang w:val="es-ES" w:eastAsia="es-ES"/>
        </w:rPr>
      </w:pPr>
      <w:r w:rsidRPr="006F42F9">
        <w:rPr>
          <w:rFonts w:ascii="Verdana" w:eastAsia="Calibri" w:hAnsi="Verdana" w:cs="Arial"/>
          <w:color w:val="000000" w:themeColor="text1"/>
          <w:lang w:val="es-ES" w:eastAsia="es-ES"/>
        </w:rPr>
        <w:tab/>
      </w:r>
    </w:p>
    <w:p w14:paraId="6AEE0245" w14:textId="77777777" w:rsidR="00B51755" w:rsidRPr="006F42F9" w:rsidRDefault="00B51755" w:rsidP="00B51755">
      <w:pPr>
        <w:spacing w:after="0" w:line="276" w:lineRule="auto"/>
        <w:jc w:val="both"/>
        <w:rPr>
          <w:rFonts w:ascii="Verdana" w:eastAsia="Calibri" w:hAnsi="Verdana" w:cs="Arial"/>
          <w:color w:val="7030A0"/>
          <w:lang w:val="es-ES" w:eastAsia="es-ES"/>
        </w:rPr>
      </w:pPr>
      <w:r w:rsidRPr="006F42F9">
        <w:rPr>
          <w:rFonts w:ascii="Verdana" w:eastAsia="Calibri" w:hAnsi="Verdana" w:cs="Arial"/>
          <w:color w:val="000000" w:themeColor="text1"/>
          <w:lang w:val="es-ES" w:eastAsia="es-ES"/>
        </w:rPr>
        <w:t>En ejercicio de la competencia otorgada por los artículos 3, numeral 5º, y 11, numeral 8º, del Decreto Ley 4170 de 2011,</w:t>
      </w:r>
      <w:r w:rsidRPr="006F42F9">
        <w:rPr>
          <w:rFonts w:ascii="Verdana" w:eastAsia="Arial MT" w:hAnsi="Verdana" w:cs="Arial MT"/>
          <w:lang w:val="es-ES" w:eastAsia="es-ES"/>
        </w:rPr>
        <w:t xml:space="preserve"> </w:t>
      </w:r>
      <w:r w:rsidRPr="006F42F9">
        <w:rPr>
          <w:rFonts w:ascii="Verdana" w:eastAsia="Calibri" w:hAnsi="Verdana" w:cs="Times New Roman"/>
          <w:bCs/>
        </w:rPr>
        <w:t>así como lo establecido por la Resolución 469 de 2025 expedida por esta Entidad</w:t>
      </w:r>
      <w:r w:rsidRPr="006F42F9">
        <w:rPr>
          <w:rFonts w:ascii="Verdana" w:hAnsi="Verdana" w:cs="Arial"/>
        </w:rPr>
        <w:t xml:space="preserve">, </w:t>
      </w:r>
      <w:r w:rsidRPr="006F42F9">
        <w:rPr>
          <w:rFonts w:ascii="Verdana" w:eastAsia="Calibri" w:hAnsi="Verdana" w:cs="Arial"/>
          <w:color w:val="000000" w:themeColor="text1"/>
          <w:lang w:val="es-ES" w:eastAsia="es-ES"/>
        </w:rPr>
        <w:t xml:space="preserve">la Agencia Nacional de Contratación Pública – Colombia Compra Eficiente responde su solicitud de consulta de </w:t>
      </w:r>
      <w:r w:rsidRPr="006F42F9">
        <w:rPr>
          <w:rFonts w:ascii="Verdana" w:eastAsia="Calibri" w:hAnsi="Verdana" w:cs="Arial"/>
          <w:lang w:val="es-ES" w:eastAsia="es-ES"/>
        </w:rPr>
        <w:t xml:space="preserve">fecha 14 de enero de 2026, en la cual pregunta lo siguiente: </w:t>
      </w:r>
    </w:p>
    <w:p w14:paraId="47DA0EA6" w14:textId="77777777" w:rsidR="00B51755" w:rsidRPr="006F42F9" w:rsidRDefault="00B51755" w:rsidP="00B51755">
      <w:pPr>
        <w:tabs>
          <w:tab w:val="left" w:pos="142"/>
          <w:tab w:val="left" w:pos="284"/>
        </w:tabs>
        <w:spacing w:after="0" w:line="276" w:lineRule="auto"/>
        <w:contextualSpacing/>
        <w:jc w:val="both"/>
        <w:rPr>
          <w:rFonts w:ascii="Verdana" w:eastAsia="Century Gothic" w:hAnsi="Verdana" w:cs="Century Gothic"/>
          <w:b/>
          <w:bCs/>
          <w:lang w:val="es-ES"/>
        </w:rPr>
      </w:pPr>
    </w:p>
    <w:p w14:paraId="1370D158" w14:textId="77777777" w:rsidR="00B51755" w:rsidRPr="006F42F9" w:rsidRDefault="00B51755" w:rsidP="00B51755">
      <w:pPr>
        <w:spacing w:after="120" w:line="240" w:lineRule="auto"/>
        <w:ind w:left="709" w:right="709"/>
        <w:jc w:val="both"/>
        <w:rPr>
          <w:rFonts w:ascii="Verdana" w:eastAsia="Century Gothic" w:hAnsi="Verdana" w:cs="Century Gothic"/>
          <w:sz w:val="20"/>
          <w:szCs w:val="20"/>
        </w:rPr>
      </w:pPr>
      <w:bookmarkStart w:id="0" w:name="_Hlk95313578"/>
      <w:r w:rsidRPr="006F42F9">
        <w:rPr>
          <w:rFonts w:ascii="Verdana" w:eastAsia="Century Gothic" w:hAnsi="Verdana" w:cs="Century Gothic"/>
          <w:sz w:val="20"/>
          <w:szCs w:val="20"/>
          <w:lang w:val="es-ES"/>
        </w:rPr>
        <w:lastRenderedPageBreak/>
        <w:t>“</w:t>
      </w:r>
      <w:bookmarkEnd w:id="0"/>
      <w:r w:rsidRPr="006F42F9">
        <w:rPr>
          <w:rFonts w:ascii="Verdana" w:eastAsia="Century Gothic" w:hAnsi="Verdana" w:cs="Century Gothic"/>
          <w:sz w:val="20"/>
          <w:szCs w:val="20"/>
        </w:rPr>
        <w:t xml:space="preserve">1. ¿A los patrimonios autónomo les resultan aplicables las restricciones en materia de contratación estatal previstas en la Ley 996 de 2005 (Ley de Garantías Electorales) con ocasión de las elecciones de </w:t>
      </w:r>
      <w:proofErr w:type="gramStart"/>
      <w:r w:rsidRPr="006F42F9">
        <w:rPr>
          <w:rFonts w:ascii="Verdana" w:eastAsia="Century Gothic" w:hAnsi="Verdana" w:cs="Century Gothic"/>
          <w:sz w:val="20"/>
          <w:szCs w:val="20"/>
        </w:rPr>
        <w:t>Presidente</w:t>
      </w:r>
      <w:proofErr w:type="gramEnd"/>
      <w:r w:rsidRPr="006F42F9">
        <w:rPr>
          <w:rFonts w:ascii="Verdana" w:eastAsia="Century Gothic" w:hAnsi="Verdana" w:cs="Century Gothic"/>
          <w:sz w:val="20"/>
          <w:szCs w:val="20"/>
        </w:rPr>
        <w:t xml:space="preserve">(a) y </w:t>
      </w:r>
      <w:proofErr w:type="gramStart"/>
      <w:r w:rsidRPr="006F42F9">
        <w:rPr>
          <w:rFonts w:ascii="Verdana" w:eastAsia="Century Gothic" w:hAnsi="Verdana" w:cs="Century Gothic"/>
          <w:sz w:val="20"/>
          <w:szCs w:val="20"/>
        </w:rPr>
        <w:t>Vicepresidente</w:t>
      </w:r>
      <w:proofErr w:type="gramEnd"/>
      <w:r w:rsidRPr="006F42F9">
        <w:rPr>
          <w:rFonts w:ascii="Verdana" w:eastAsia="Century Gothic" w:hAnsi="Verdana" w:cs="Century Gothic"/>
          <w:sz w:val="20"/>
          <w:szCs w:val="20"/>
        </w:rPr>
        <w:t xml:space="preserve">(a) de la República programadas para el año 2026? </w:t>
      </w:r>
    </w:p>
    <w:p w14:paraId="6A1BEB0B" w14:textId="77777777" w:rsidR="00B51755" w:rsidRPr="006F42F9" w:rsidRDefault="00B51755" w:rsidP="00B51755">
      <w:pPr>
        <w:spacing w:after="120" w:line="240" w:lineRule="auto"/>
        <w:ind w:left="709" w:right="709"/>
        <w:jc w:val="both"/>
        <w:rPr>
          <w:rFonts w:ascii="Verdana" w:eastAsia="Century Gothic" w:hAnsi="Verdana" w:cs="Century Gothic"/>
          <w:sz w:val="20"/>
          <w:szCs w:val="20"/>
          <w:lang w:val="es-ES"/>
        </w:rPr>
      </w:pPr>
      <w:r w:rsidRPr="006F42F9">
        <w:rPr>
          <w:rFonts w:ascii="Verdana" w:eastAsia="Century Gothic" w:hAnsi="Verdana" w:cs="Century Gothic"/>
          <w:sz w:val="20"/>
          <w:szCs w:val="20"/>
        </w:rPr>
        <w:t>2. ¿La prohibición de celebrar contratos de forma directa aplica a aquellos sistemas de contratación a través de los cuales se invita a presentar propuesta a mínimo dos (2) proveedores seleccionados de un banco de proveedores previamente conformado al interior del Ente que llevara a cabo el proceso de contratación?”</w:t>
      </w:r>
    </w:p>
    <w:p w14:paraId="4C14E92D" w14:textId="77777777" w:rsidR="00B51755" w:rsidRPr="006F42F9" w:rsidRDefault="00B51755" w:rsidP="00B51755">
      <w:pPr>
        <w:tabs>
          <w:tab w:val="left" w:pos="142"/>
          <w:tab w:val="left" w:pos="284"/>
        </w:tabs>
        <w:spacing w:after="0" w:line="276" w:lineRule="auto"/>
        <w:contextualSpacing/>
        <w:jc w:val="both"/>
        <w:rPr>
          <w:rFonts w:ascii="Verdana" w:eastAsia="Century Gothic" w:hAnsi="Verdana" w:cs="Century Gothic"/>
          <w:b/>
          <w:bCs/>
          <w:lang w:val="es-ES"/>
        </w:rPr>
      </w:pPr>
    </w:p>
    <w:p w14:paraId="59423791" w14:textId="77777777" w:rsidR="00B51755" w:rsidRPr="006F42F9" w:rsidRDefault="00B51755" w:rsidP="00B51755">
      <w:pPr>
        <w:spacing w:after="120" w:line="276" w:lineRule="auto"/>
        <w:ind w:firstLine="709"/>
        <w:jc w:val="both"/>
        <w:rPr>
          <w:rFonts w:ascii="Verdana" w:eastAsia="Calibri" w:hAnsi="Verdana" w:cs="Arial"/>
          <w:color w:val="000000"/>
          <w:lang w:val="es-ES" w:eastAsia="es-ES"/>
        </w:rPr>
      </w:pPr>
      <w:r w:rsidRPr="006F42F9">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F42F9">
        <w:rPr>
          <w:rFonts w:ascii="Verdana" w:eastAsia="Calibri" w:hAnsi="Verdana" w:cs="Arial"/>
          <w:color w:val="000000"/>
          <w:szCs w:val="24"/>
          <w:lang w:val="es-ES_tradnl" w:eastAsia="es-ES_tradnl"/>
        </w:rPr>
        <w:tab/>
      </w:r>
    </w:p>
    <w:p w14:paraId="5C5A95CF" w14:textId="77777777" w:rsidR="00B51755" w:rsidRPr="006F42F9" w:rsidRDefault="00B51755" w:rsidP="00B51755">
      <w:pPr>
        <w:spacing w:after="0" w:line="276" w:lineRule="auto"/>
        <w:ind w:firstLine="709"/>
        <w:jc w:val="both"/>
        <w:rPr>
          <w:rFonts w:ascii="Verdana" w:eastAsia="Calibri" w:hAnsi="Verdana" w:cs="Arial"/>
          <w:color w:val="000000"/>
          <w:lang w:val="es-ES" w:eastAsia="es-ES"/>
        </w:rPr>
      </w:pPr>
      <w:r w:rsidRPr="006F42F9">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específicas que la hayan motivado, pero haciendo unas consideraciones sobre las normas generales relacionadas con el</w:t>
      </w:r>
      <w:r w:rsidRPr="006F42F9">
        <w:rPr>
          <w:rFonts w:ascii="Verdana" w:eastAsia="Calibri" w:hAnsi="Verdana" w:cs="Arial"/>
          <w:color w:val="7030A0"/>
          <w:lang w:val="es-ES" w:eastAsia="es-ES"/>
        </w:rPr>
        <w:t xml:space="preserve"> </w:t>
      </w:r>
      <w:r w:rsidRPr="006F42F9">
        <w:rPr>
          <w:rFonts w:ascii="Verdana" w:eastAsia="Calibri" w:hAnsi="Verdana" w:cs="Arial"/>
          <w:color w:val="000000"/>
          <w:lang w:val="es-ES" w:eastAsia="es-ES"/>
        </w:rPr>
        <w:t>problema</w:t>
      </w:r>
      <w:r w:rsidRPr="006F42F9">
        <w:rPr>
          <w:rFonts w:ascii="Verdana" w:eastAsia="Calibri" w:hAnsi="Verdana" w:cs="Arial"/>
          <w:color w:val="7030A0"/>
          <w:lang w:val="es-ES" w:eastAsia="es-ES"/>
        </w:rPr>
        <w:t xml:space="preserve"> </w:t>
      </w:r>
      <w:r w:rsidRPr="006F42F9">
        <w:rPr>
          <w:rFonts w:ascii="Verdana" w:eastAsia="Calibri" w:hAnsi="Verdana" w:cs="Arial"/>
          <w:color w:val="000000"/>
          <w:lang w:val="es-ES" w:eastAsia="es-ES"/>
        </w:rPr>
        <w:t>jurídico</w:t>
      </w:r>
      <w:r w:rsidRPr="006F42F9">
        <w:rPr>
          <w:rFonts w:ascii="Verdana" w:eastAsia="Calibri" w:hAnsi="Verdana" w:cs="Arial"/>
          <w:color w:val="7030A0"/>
          <w:lang w:val="es-ES" w:eastAsia="es-ES"/>
        </w:rPr>
        <w:t xml:space="preserve"> </w:t>
      </w:r>
      <w:r w:rsidRPr="006F42F9">
        <w:rPr>
          <w:rFonts w:ascii="Verdana" w:eastAsia="Calibri" w:hAnsi="Verdana" w:cs="Arial"/>
          <w:color w:val="000000"/>
          <w:lang w:val="es-ES" w:eastAsia="es-ES"/>
        </w:rPr>
        <w:t xml:space="preserve">de su consulta.  </w:t>
      </w:r>
    </w:p>
    <w:p w14:paraId="1A3201C4" w14:textId="77777777" w:rsidR="00B51755" w:rsidRPr="006F42F9" w:rsidRDefault="00B51755" w:rsidP="00B51755">
      <w:pPr>
        <w:spacing w:after="0" w:line="276" w:lineRule="auto"/>
        <w:ind w:firstLine="709"/>
        <w:jc w:val="both"/>
        <w:rPr>
          <w:rFonts w:ascii="Verdana" w:eastAsia="Calibri" w:hAnsi="Verdana" w:cs="Arial"/>
          <w:color w:val="000000"/>
          <w:lang w:val="es-ES" w:eastAsia="es-ES"/>
        </w:rPr>
      </w:pPr>
    </w:p>
    <w:p w14:paraId="0B7A6E55" w14:textId="77777777" w:rsidR="00B51755" w:rsidRPr="006F42F9" w:rsidRDefault="00B51755" w:rsidP="00B51755">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6F42F9">
        <w:rPr>
          <w:rFonts w:ascii="Verdana" w:eastAsia="Century Gothic" w:hAnsi="Verdana" w:cs="Century Gothic"/>
          <w:b/>
          <w:bCs/>
          <w:lang w:val="es-ES"/>
        </w:rPr>
        <w:t>Problemas planteados:</w:t>
      </w:r>
    </w:p>
    <w:p w14:paraId="72E77A35" w14:textId="77777777" w:rsidR="00B51755" w:rsidRPr="006F42F9" w:rsidRDefault="00B51755" w:rsidP="00B51755">
      <w:pPr>
        <w:tabs>
          <w:tab w:val="left" w:pos="426"/>
        </w:tabs>
        <w:spacing w:after="0" w:line="276" w:lineRule="auto"/>
        <w:jc w:val="both"/>
        <w:rPr>
          <w:rFonts w:ascii="Verdana" w:eastAsia="Century Gothic" w:hAnsi="Verdana" w:cs="Century Gothic"/>
          <w:lang w:val="es-ES"/>
        </w:rPr>
      </w:pPr>
    </w:p>
    <w:p w14:paraId="35484076" w14:textId="77777777" w:rsidR="00B51755" w:rsidRPr="006F42F9" w:rsidRDefault="00B51755" w:rsidP="00B51755">
      <w:pPr>
        <w:spacing w:after="0" w:line="276" w:lineRule="auto"/>
        <w:jc w:val="both"/>
        <w:rPr>
          <w:rFonts w:ascii="Verdana" w:eastAsia="Century Gothic" w:hAnsi="Verdana" w:cs="Century Gothic"/>
        </w:rPr>
      </w:pPr>
      <w:r w:rsidRPr="006F42F9">
        <w:rPr>
          <w:rFonts w:ascii="Verdana" w:eastAsia="Century Gothic" w:hAnsi="Verdana" w:cs="Century Gothic"/>
        </w:rPr>
        <w:t xml:space="preserve">De acuerdo con el contenido de su solicitud, esta Agencia resolverá </w:t>
      </w:r>
      <w:r>
        <w:rPr>
          <w:rFonts w:ascii="Verdana" w:eastAsia="Century Gothic" w:hAnsi="Verdana" w:cs="Century Gothic"/>
        </w:rPr>
        <w:t>los</w:t>
      </w:r>
      <w:r w:rsidRPr="006F42F9">
        <w:rPr>
          <w:rFonts w:ascii="Verdana" w:eastAsia="Century Gothic" w:hAnsi="Verdana" w:cs="Century Gothic"/>
        </w:rPr>
        <w:t xml:space="preserve"> siguiente</w:t>
      </w:r>
      <w:r>
        <w:rPr>
          <w:rFonts w:ascii="Verdana" w:eastAsia="Century Gothic" w:hAnsi="Verdana" w:cs="Century Gothic"/>
        </w:rPr>
        <w:t>s</w:t>
      </w:r>
      <w:r w:rsidRPr="006F42F9">
        <w:rPr>
          <w:rFonts w:ascii="Verdana" w:eastAsia="Century Gothic" w:hAnsi="Verdana" w:cs="Century Gothic"/>
        </w:rPr>
        <w:t xml:space="preserve"> problema</w:t>
      </w:r>
      <w:r>
        <w:rPr>
          <w:rFonts w:ascii="Verdana" w:eastAsia="Century Gothic" w:hAnsi="Verdana" w:cs="Century Gothic"/>
        </w:rPr>
        <w:t>s</w:t>
      </w:r>
      <w:r w:rsidRPr="006F42F9">
        <w:rPr>
          <w:rFonts w:ascii="Verdana" w:eastAsia="Century Gothic" w:hAnsi="Verdana" w:cs="Century Gothic"/>
        </w:rPr>
        <w:t xml:space="preserve"> jurídico</w:t>
      </w:r>
      <w:r>
        <w:rPr>
          <w:rFonts w:ascii="Verdana" w:eastAsia="Century Gothic" w:hAnsi="Verdana" w:cs="Century Gothic"/>
        </w:rPr>
        <w:t>s</w:t>
      </w:r>
      <w:r w:rsidRPr="006F42F9">
        <w:rPr>
          <w:rFonts w:ascii="Verdana" w:eastAsia="Century Gothic" w:hAnsi="Verdana" w:cs="Century Gothic"/>
        </w:rPr>
        <w:t xml:space="preserve">: i) ¿cuál es el ámbito de aplicación del artículo 33 de la Ley de Garantías?, </w:t>
      </w:r>
      <w:proofErr w:type="spellStart"/>
      <w:r w:rsidRPr="006F42F9">
        <w:rPr>
          <w:rFonts w:ascii="Verdana" w:eastAsia="Century Gothic" w:hAnsi="Verdana" w:cs="Century Gothic"/>
        </w:rPr>
        <w:t>ii</w:t>
      </w:r>
      <w:proofErr w:type="spellEnd"/>
      <w:r w:rsidRPr="006F42F9">
        <w:rPr>
          <w:rFonts w:ascii="Verdana" w:eastAsia="Century Gothic" w:hAnsi="Verdana" w:cs="Century Gothic"/>
        </w:rPr>
        <w:t xml:space="preserve">) ¿dicha prohibición se extiende a los patrimonios autónomos constituidos por entidades estatales?, y </w:t>
      </w:r>
      <w:proofErr w:type="spellStart"/>
      <w:r w:rsidRPr="006F42F9">
        <w:rPr>
          <w:rFonts w:ascii="Verdana" w:eastAsia="Century Gothic" w:hAnsi="Verdana" w:cs="Century Gothic"/>
        </w:rPr>
        <w:t>iii</w:t>
      </w:r>
      <w:proofErr w:type="spellEnd"/>
      <w:r w:rsidRPr="006F42F9">
        <w:rPr>
          <w:rFonts w:ascii="Verdana" w:eastAsia="Century Gothic" w:hAnsi="Verdana" w:cs="Century Gothic"/>
        </w:rPr>
        <w:t xml:space="preserve">) ¿dicha prohibición aplica para las convocatorias que se realizan con base en una lista de precalificados o de simples interesados, o en un determinado registro o banco de datos de proveedores?          </w:t>
      </w:r>
      <w:r w:rsidRPr="006F42F9">
        <w:rPr>
          <w:rFonts w:ascii="Verdana" w:eastAsia="Century Gothic" w:hAnsi="Verdana" w:cs="Century Gothic"/>
          <w:color w:val="7030A0"/>
        </w:rPr>
        <w:t xml:space="preserve"> </w:t>
      </w:r>
    </w:p>
    <w:p w14:paraId="2FDDB66D" w14:textId="77777777" w:rsidR="00B51755" w:rsidRPr="006F42F9" w:rsidRDefault="00B51755" w:rsidP="00B51755">
      <w:pPr>
        <w:spacing w:after="0" w:line="276" w:lineRule="auto"/>
        <w:jc w:val="both"/>
        <w:rPr>
          <w:rFonts w:ascii="Verdana" w:eastAsia="Calibri" w:hAnsi="Verdana" w:cs="Arial"/>
          <w:color w:val="7030A0"/>
        </w:rPr>
      </w:pPr>
    </w:p>
    <w:p w14:paraId="67AC38FB" w14:textId="77777777" w:rsidR="00B51755" w:rsidRPr="006F42F9" w:rsidRDefault="00B51755" w:rsidP="00B51755">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6F42F9">
        <w:rPr>
          <w:rFonts w:ascii="Verdana" w:eastAsia="Century Gothic" w:hAnsi="Verdana" w:cs="Century Gothic"/>
          <w:b/>
          <w:bCs/>
          <w:lang w:val="es-ES"/>
        </w:rPr>
        <w:lastRenderedPageBreak/>
        <w:t>Respuestas:</w:t>
      </w:r>
    </w:p>
    <w:p w14:paraId="5512D6AA" w14:textId="77777777" w:rsidR="00B51755" w:rsidRPr="006F42F9" w:rsidRDefault="00B51755" w:rsidP="00B5175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51755" w:rsidRPr="006F42F9" w14:paraId="38F1E6C8" w14:textId="77777777" w:rsidTr="004A1678">
        <w:trPr>
          <w:jc w:val="center"/>
        </w:trPr>
        <w:tc>
          <w:tcPr>
            <w:tcW w:w="8828" w:type="dxa"/>
          </w:tcPr>
          <w:p w14:paraId="4EC21DA9" w14:textId="77777777" w:rsidR="00B51755" w:rsidRPr="006F42F9" w:rsidRDefault="00B51755" w:rsidP="004A1678">
            <w:pPr>
              <w:spacing w:after="120" w:line="276" w:lineRule="auto"/>
              <w:ind w:right="51"/>
              <w:jc w:val="both"/>
              <w:rPr>
                <w:rFonts w:ascii="Verdana" w:eastAsia="Arial" w:hAnsi="Verdana" w:cs="Arial"/>
                <w:lang w:val="es-MX" w:eastAsia="es-ES" w:bidi="es-ES"/>
              </w:rPr>
            </w:pPr>
            <w:bookmarkStart w:id="1" w:name="_Hlk171694685"/>
            <w:r w:rsidRPr="006F42F9">
              <w:rPr>
                <w:rFonts w:ascii="Verdana" w:eastAsia="Calibri" w:hAnsi="Verdana" w:cs="Arial"/>
                <w:bCs/>
                <w:color w:val="000000" w:themeColor="text1"/>
              </w:rPr>
              <w:t>i. Conforme a la interpretación general de las normas del sistema de compras públicas</w:t>
            </w:r>
            <w:r w:rsidRPr="006F42F9">
              <w:rPr>
                <w:rFonts w:ascii="Verdana" w:eastAsia="Arial" w:hAnsi="Verdana" w:cs="Arial"/>
                <w:lang w:val="es-MX" w:eastAsia="es-ES" w:bidi="es-ES"/>
              </w:rPr>
              <w:t xml:space="preserve">, el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07F8B770" w14:textId="77777777" w:rsidR="00B51755" w:rsidRPr="006F42F9" w:rsidRDefault="00B51755" w:rsidP="004A1678">
            <w:pPr>
              <w:spacing w:after="120" w:line="276" w:lineRule="auto"/>
              <w:ind w:right="51"/>
              <w:jc w:val="both"/>
              <w:rPr>
                <w:rFonts w:ascii="Verdana" w:eastAsia="Arial" w:hAnsi="Verdana" w:cs="Arial"/>
                <w:lang w:val="es-MX" w:eastAsia="es-ES" w:bidi="es-ES"/>
              </w:rPr>
            </w:pPr>
            <w:proofErr w:type="spellStart"/>
            <w:r w:rsidRPr="006F42F9">
              <w:rPr>
                <w:rFonts w:ascii="Verdana" w:eastAsia="Arial" w:hAnsi="Verdana" w:cs="Arial"/>
                <w:lang w:val="es-MX" w:eastAsia="es-ES" w:bidi="es-ES"/>
              </w:rPr>
              <w:t>ii</w:t>
            </w:r>
            <w:proofErr w:type="spellEnd"/>
            <w:r w:rsidRPr="006F42F9">
              <w:rPr>
                <w:rFonts w:ascii="Verdana" w:eastAsia="Arial" w:hAnsi="Verdana" w:cs="Arial"/>
                <w:lang w:val="es-MX" w:eastAsia="es-ES" w:bidi="es-ES"/>
              </w:rPr>
              <w:t xml:space="preserve">. La restricción prevista en la Ley 996 de 2005, 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Incluso, de acuerdo el artículo 32.5, inciso quinto, de la Ley 80 de 1993 y el artículo 2.5.2.1.1 del Decreto 2555 de 2010, la prohibición también se extiende a las sociedades fiduciarias, frente a los actos y contratos que realicen en desarrollo del negocio fiduciario, con independencia del régimen jurídico de la entidad fideicomitente, razón por la cual no se podría inaplicar la prohibición establecida en el artículo 33 de la Ley de Garantías Electorales, con la constitución de patrimonios autónomos. </w:t>
            </w:r>
            <w:bookmarkStart w:id="2" w:name="_Hlk219840731"/>
          </w:p>
          <w:bookmarkEnd w:id="2"/>
          <w:p w14:paraId="6BA1EB66" w14:textId="77777777" w:rsidR="00B51755" w:rsidRPr="006F42F9" w:rsidRDefault="00B51755" w:rsidP="004A1678">
            <w:pPr>
              <w:spacing w:after="120" w:line="276" w:lineRule="auto"/>
              <w:jc w:val="both"/>
              <w:rPr>
                <w:rFonts w:ascii="Verdana" w:hAnsi="Verdana" w:cs="Arial"/>
                <w:lang w:eastAsia="x-none"/>
              </w:rPr>
            </w:pPr>
            <w:proofErr w:type="spellStart"/>
            <w:r w:rsidRPr="006F42F9">
              <w:rPr>
                <w:rFonts w:ascii="Verdana" w:eastAsia="Calibri" w:hAnsi="Verdana" w:cs="Arial"/>
                <w:bCs/>
                <w:color w:val="000000" w:themeColor="text1"/>
              </w:rPr>
              <w:t>iii</w:t>
            </w:r>
            <w:proofErr w:type="spellEnd"/>
            <w:r w:rsidRPr="006F42F9">
              <w:rPr>
                <w:rFonts w:ascii="Verdana" w:eastAsia="Calibri" w:hAnsi="Verdana" w:cs="Arial"/>
                <w:bCs/>
                <w:color w:val="000000" w:themeColor="text1"/>
              </w:rPr>
              <w:t>. E</w:t>
            </w:r>
            <w:r w:rsidRPr="006F42F9">
              <w:rPr>
                <w:rFonts w:ascii="Verdana" w:hAnsi="Verdana" w:cs="Arial"/>
                <w:lang w:eastAsia="x-none"/>
              </w:rPr>
              <w:t xml:space="preserv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w:t>
            </w:r>
            <w:r w:rsidRPr="006F42F9">
              <w:rPr>
                <w:rFonts w:ascii="Verdana" w:hAnsi="Verdana" w:cs="Arial"/>
                <w:lang w:eastAsia="x-none"/>
              </w:rPr>
              <w:lastRenderedPageBreak/>
              <w:t>directa”, es que la convocatoria para inscribirse en forma previa se haga de manera pública, y que se permita la participación de una pluralidad de oferente</w:t>
            </w:r>
            <w:r>
              <w:rPr>
                <w:rFonts w:ascii="Verdana" w:hAnsi="Verdana" w:cs="Arial"/>
                <w:lang w:eastAsia="x-none"/>
              </w:rPr>
              <w:t>s</w:t>
            </w:r>
            <w:r w:rsidRPr="006F42F9">
              <w:rPr>
                <w:rFonts w:ascii="Verdana" w:hAnsi="Verdana" w:cs="Arial"/>
                <w:lang w:eastAsia="x-none"/>
              </w:rPr>
              <w:t xml:space="preserve">. </w:t>
            </w:r>
          </w:p>
          <w:p w14:paraId="3DD08C3C" w14:textId="77777777" w:rsidR="00B51755" w:rsidRPr="006F42F9" w:rsidRDefault="00B51755" w:rsidP="004A1678">
            <w:pPr>
              <w:spacing w:after="120" w:line="276" w:lineRule="auto"/>
              <w:ind w:firstLine="708"/>
              <w:jc w:val="both"/>
              <w:rPr>
                <w:rFonts w:ascii="Verdana" w:eastAsia="Times New Roman" w:hAnsi="Verdana" w:cs="Arial"/>
                <w:bCs/>
                <w:lang w:eastAsia="x-none"/>
              </w:rPr>
            </w:pPr>
            <w:r w:rsidRPr="006F42F9">
              <w:rPr>
                <w:rFonts w:ascii="Verdana" w:hAnsi="Verdana" w:cs="Arial"/>
                <w:bCs/>
                <w:lang w:val="es-MX" w:eastAsia="es-CO"/>
              </w:rPr>
              <w:t>Sobre el particular, la</w:t>
            </w:r>
            <w:r w:rsidRPr="006F42F9">
              <w:rPr>
                <w:rFonts w:ascii="Verdana" w:eastAsia="Times New Roman" w:hAnsi="Verdana" w:cs="Arial"/>
                <w:bCs/>
                <w:lang w:val="es-MX" w:eastAsia="x-none"/>
              </w:rPr>
              <w:t xml:space="preserve"> Circular Externa No. 006 de 2025 expedida por la ANCP – CCE, señaló en el literal </w:t>
            </w:r>
            <w:proofErr w:type="spellStart"/>
            <w:r w:rsidRPr="006F42F9">
              <w:rPr>
                <w:rFonts w:ascii="Verdana" w:eastAsia="Times New Roman" w:hAnsi="Verdana" w:cs="Arial"/>
                <w:bCs/>
                <w:lang w:val="es-MX" w:eastAsia="x-none"/>
              </w:rPr>
              <w:t>ii</w:t>
            </w:r>
            <w:proofErr w:type="spellEnd"/>
            <w:r w:rsidRPr="006F42F9">
              <w:rPr>
                <w:rFonts w:ascii="Verdana" w:eastAsia="Times New Roman" w:hAnsi="Verdana" w:cs="Arial"/>
                <w:bCs/>
                <w:lang w:val="es-MX" w:eastAsia="x-none"/>
              </w:rPr>
              <w:t>) del numeral 1 que “</w:t>
            </w:r>
            <w:r w:rsidRPr="006F42F9">
              <w:rPr>
                <w:rFonts w:ascii="Verdana" w:eastAsia="Times New Roman" w:hAnsi="Verdana" w:cs="Arial"/>
                <w:bCs/>
                <w:lang w:eastAsia="x-none"/>
              </w:rPr>
              <w:t>Esta circunstancia no se extiende a la contratación directa aplicable en algunos regímenes especiales con listas de precalificados, ya que a efecto de que no se configure la contratación directa, la selección del futuro contratista debe darse en términos de competencia”.</w:t>
            </w:r>
          </w:p>
          <w:p w14:paraId="04A0AE18" w14:textId="77777777" w:rsidR="00B51755" w:rsidRPr="006F42F9" w:rsidRDefault="00B51755" w:rsidP="004A1678">
            <w:pPr>
              <w:spacing w:after="120" w:line="276" w:lineRule="auto"/>
              <w:ind w:firstLine="708"/>
              <w:jc w:val="both"/>
              <w:rPr>
                <w:rFonts w:ascii="Verdana" w:eastAsia="Times New Roman" w:hAnsi="Verdana" w:cs="Arial"/>
                <w:bCs/>
                <w:lang w:eastAsia="x-none"/>
              </w:rPr>
            </w:pPr>
            <w:r w:rsidRPr="006F42F9">
              <w:rPr>
                <w:rFonts w:ascii="Verdana" w:eastAsia="Times New Roman" w:hAnsi="Verdana" w:cs="Arial"/>
                <w:bCs/>
                <w:lang w:eastAsia="x-none"/>
              </w:rPr>
              <w:t>Lo anterior implica que, en este tipo de sistemas, lo relevante para poder determinar que no se está frente a una contratación directa radica en que la conformación de la lista de precalificados o del registro de banco de proveedores se haya efectuado mediante una convocatoria pública, que garantice la participación de pluralidad de oferentes,</w:t>
            </w:r>
            <w:r w:rsidRPr="006F42F9">
              <w:t xml:space="preserve"> </w:t>
            </w:r>
            <w:r w:rsidRPr="006F42F9">
              <w:rPr>
                <w:rFonts w:ascii="Verdana" w:eastAsia="Times New Roman" w:hAnsi="Verdana" w:cs="Arial"/>
                <w:bCs/>
                <w:lang w:eastAsia="x-none"/>
              </w:rPr>
              <w:t>evitando así decisiones discrecionales. Asimismo, resulta indispensable que la selección del contratista se encuentre sometida a criterios objetivos, previamente definidos, que permitan identificar la oferta más favorable a partir de un escenario de competencia real.</w:t>
            </w:r>
          </w:p>
          <w:p w14:paraId="23438F75" w14:textId="77777777" w:rsidR="00B51755" w:rsidRPr="006F42F9" w:rsidRDefault="00B51755" w:rsidP="004A1678">
            <w:pPr>
              <w:spacing w:after="120" w:line="276" w:lineRule="auto"/>
              <w:ind w:firstLine="708"/>
              <w:jc w:val="both"/>
              <w:rPr>
                <w:rFonts w:ascii="Verdana" w:eastAsia="Times New Roman" w:hAnsi="Verdana" w:cs="Arial"/>
                <w:bCs/>
                <w:lang w:eastAsia="x-none"/>
              </w:rPr>
            </w:pPr>
            <w:r w:rsidRPr="006F42F9">
              <w:rPr>
                <w:rFonts w:ascii="Verdana" w:eastAsia="Times New Roman" w:hAnsi="Verdana" w:cs="Arial"/>
                <w:bCs/>
                <w:lang w:eastAsia="x-none"/>
              </w:rPr>
              <w:t xml:space="preserve">Por tanto, frente a la consulta planteada, es preciso señalar que para determinar la aplicación de la restricción prevista en el artículo 33 de la Ley de Garantías Electorales en aquellos sistemas de contratación en los cuales se invita a presentar propuesta a proveedores seleccionados de un banco de proveedores, resulta fundamental que se cumplan los dos criterios señalados. De un lado, es indispensable que tanto la inscripción en la lista de precalificados o en el banco de proveedores como el acceso a la etapa de presentación de ofertas se encuentren precedidos de mecanismos de convocatoria pública que garanticen la participación real de una pluralidad de oferentes, en condiciones de igualdad y transparencia. De otro lado, la selección del contratista debe estar sometida a criterios objetivos de tal manera que la escogencia del contratista sea el resultado de un ejercicio de comparación de propuestas en competencia y no de decisiones discrecionales de la entidad. </w:t>
            </w:r>
          </w:p>
          <w:p w14:paraId="71E352F1" w14:textId="77777777" w:rsidR="00B51755" w:rsidRPr="006F42F9" w:rsidRDefault="00B51755" w:rsidP="004A1678">
            <w:pPr>
              <w:spacing w:after="120" w:line="276" w:lineRule="auto"/>
              <w:ind w:firstLine="708"/>
              <w:jc w:val="both"/>
              <w:rPr>
                <w:rFonts w:ascii="Verdana" w:eastAsia="Calibri" w:hAnsi="Verdana" w:cs="Arial"/>
                <w:bCs/>
                <w:color w:val="000000" w:themeColor="text1"/>
              </w:rPr>
            </w:pPr>
            <w:r w:rsidRPr="006F42F9">
              <w:rPr>
                <w:rFonts w:ascii="Verdana" w:eastAsia="Times New Roman" w:hAnsi="Verdana" w:cs="Arial"/>
                <w:bCs/>
                <w:lang w:eastAsia="x-none"/>
              </w:rPr>
              <w:t xml:space="preserve">En todo caso, las entidades sometidas a regímenes especiales o al derecho privado son responsables de evaluar, en cada caso concreto, si la </w:t>
            </w:r>
            <w:r w:rsidRPr="006F42F9">
              <w:rPr>
                <w:rFonts w:ascii="Verdana" w:eastAsia="Times New Roman" w:hAnsi="Verdana" w:cs="Arial"/>
                <w:bCs/>
                <w:lang w:eastAsia="x-none"/>
              </w:rPr>
              <w:lastRenderedPageBreak/>
              <w:t xml:space="preserve">implementación de sistemas como listas de precalificados, bancos de proveedores o esquemas de invitación cerrada comporta efectivamente la realización de una convocatoria pública y asegura la participación real de una pluralidad de oferentes. Dicha valoración debe efectuarse a la luz de las reglas previstas en sus respectivos manuales de contratación, lo cual exige un análisis del procedimiento adoptado, de manera que se garantice que la selección del contratista se derive de un escenario de competencia efectiva y no de mecanismos que, bajo una apariencia de pluralidad de oferentes, habiliten contrataciones que se encuentra bajo el ámbito de aplicación del artículo 33 de la Ley de Garantías Electorales.  </w:t>
            </w:r>
          </w:p>
        </w:tc>
      </w:tr>
    </w:tbl>
    <w:p w14:paraId="332F4A9E" w14:textId="77777777" w:rsidR="00B51755" w:rsidRPr="006F42F9" w:rsidRDefault="00B51755" w:rsidP="00B51755">
      <w:pPr>
        <w:tabs>
          <w:tab w:val="left" w:pos="142"/>
          <w:tab w:val="left" w:pos="284"/>
        </w:tabs>
        <w:spacing w:after="0" w:line="276" w:lineRule="auto"/>
        <w:jc w:val="both"/>
        <w:rPr>
          <w:rFonts w:ascii="Verdana" w:eastAsia="Century Gothic" w:hAnsi="Verdana" w:cs="Century Gothic"/>
          <w:b/>
          <w:bCs/>
          <w:lang w:val="es-ES"/>
        </w:rPr>
      </w:pPr>
    </w:p>
    <w:bookmarkEnd w:id="1"/>
    <w:p w14:paraId="384E5F93" w14:textId="77777777" w:rsidR="00B51755" w:rsidRPr="006F42F9" w:rsidRDefault="00B51755" w:rsidP="00B51755">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6F42F9">
        <w:rPr>
          <w:rFonts w:ascii="Verdana" w:eastAsia="Century Gothic" w:hAnsi="Verdana" w:cs="Century Gothic"/>
          <w:b/>
          <w:bCs/>
          <w:lang w:val="es-ES"/>
        </w:rPr>
        <w:t>Razones de las respuestas:</w:t>
      </w:r>
    </w:p>
    <w:p w14:paraId="31B54B84" w14:textId="77777777" w:rsidR="00B51755" w:rsidRPr="006F42F9" w:rsidRDefault="00B51755" w:rsidP="00B51755">
      <w:pPr>
        <w:spacing w:after="0" w:line="276" w:lineRule="auto"/>
        <w:jc w:val="both"/>
        <w:rPr>
          <w:rFonts w:ascii="Verdana" w:eastAsia="Calibri" w:hAnsi="Verdana" w:cs="Arial"/>
          <w:color w:val="7030A0"/>
          <w:lang w:val="es-ES"/>
        </w:rPr>
      </w:pPr>
    </w:p>
    <w:p w14:paraId="131EDAE0" w14:textId="77777777" w:rsidR="00B51755" w:rsidRPr="006F42F9" w:rsidRDefault="00B51755" w:rsidP="00B51755">
      <w:pPr>
        <w:spacing w:after="0" w:line="276" w:lineRule="auto"/>
        <w:jc w:val="both"/>
        <w:rPr>
          <w:rFonts w:ascii="Verdana" w:eastAsia="Calibri" w:hAnsi="Verdana" w:cs="Arial"/>
          <w:lang w:val="es-ES"/>
        </w:rPr>
      </w:pPr>
      <w:r w:rsidRPr="006F42F9">
        <w:rPr>
          <w:rFonts w:ascii="Verdana" w:eastAsia="Calibri" w:hAnsi="Verdana" w:cs="Arial"/>
          <w:lang w:val="es-ES"/>
        </w:rPr>
        <w:t>Lo anterior se sustenta en las siguientes consideraciones:</w:t>
      </w:r>
    </w:p>
    <w:p w14:paraId="21BF87A3" w14:textId="77777777" w:rsidR="00B51755" w:rsidRPr="006F42F9" w:rsidRDefault="00B51755" w:rsidP="00B51755">
      <w:pPr>
        <w:spacing w:after="0" w:line="276" w:lineRule="auto"/>
        <w:jc w:val="both"/>
        <w:rPr>
          <w:rFonts w:ascii="Verdana" w:eastAsia="Calibri" w:hAnsi="Verdana" w:cs="Arial"/>
          <w:lang w:val="es-ES"/>
        </w:rPr>
      </w:pPr>
    </w:p>
    <w:p w14:paraId="4BC33DE6" w14:textId="77777777" w:rsidR="00B51755" w:rsidRPr="006F42F9" w:rsidRDefault="00B51755" w:rsidP="00B51755">
      <w:pPr>
        <w:tabs>
          <w:tab w:val="left" w:pos="426"/>
        </w:tabs>
        <w:spacing w:after="120" w:line="276" w:lineRule="auto"/>
        <w:jc w:val="both"/>
        <w:rPr>
          <w:rFonts w:ascii="Verdana" w:eastAsia="Times New Roman" w:hAnsi="Verdana" w:cs="Arial"/>
          <w:lang w:eastAsia="es-CO"/>
        </w:rPr>
      </w:pPr>
      <w:r w:rsidRPr="006F42F9">
        <w:rPr>
          <w:rFonts w:ascii="Verdana" w:eastAsia="Calibri" w:hAnsi="Verdana" w:cs="Arial"/>
          <w:color w:val="000000" w:themeColor="text1"/>
        </w:rPr>
        <w:t xml:space="preserve">i. </w:t>
      </w:r>
      <w:r w:rsidRPr="006F42F9">
        <w:rPr>
          <w:rFonts w:ascii="Verdana" w:eastAsia="Calibri" w:hAnsi="Verdana" w:cs="Arial"/>
        </w:rPr>
        <w:t>El ordenamiento jurídico colombiano contempla previsiones claras para evitar la obtención de beneficios personales en asuntos propios de la administración pública</w:t>
      </w:r>
      <w:r w:rsidRPr="006F42F9">
        <w:rPr>
          <w:rFonts w:ascii="Verdana" w:eastAsia="Calibri" w:hAnsi="Verdana" w:cs="Arial"/>
          <w:i/>
        </w:rPr>
        <w:t xml:space="preserve">. </w:t>
      </w:r>
      <w:r w:rsidRPr="006F42F9">
        <w:rPr>
          <w:rFonts w:ascii="Verdana" w:eastAsia="Calibri" w:hAnsi="Verdana" w:cs="Arial"/>
        </w:rPr>
        <w:t>Por ejemplo, el artículo 127 de la Constitución Política establece una prohibición contractual a los servidores públicos y en cuanto a aspectos políticos consagra restricciones a ciertos empleados del Estado, incluso en época no electoral</w:t>
      </w:r>
      <w:r w:rsidRPr="006F42F9">
        <w:rPr>
          <w:rFonts w:ascii="Verdana" w:eastAsia="Calibri" w:hAnsi="Verdana" w:cs="Arial"/>
          <w:vertAlign w:val="superscript"/>
        </w:rPr>
        <w:footnoteReference w:id="2"/>
      </w:r>
      <w:r w:rsidRPr="006F42F9">
        <w:rPr>
          <w:rFonts w:ascii="Verdana" w:eastAsia="Calibri" w:hAnsi="Verdana" w:cs="Arial"/>
        </w:rPr>
        <w:t xml:space="preserve">. </w:t>
      </w:r>
    </w:p>
    <w:p w14:paraId="1C2A778D" w14:textId="77777777" w:rsidR="00B51755" w:rsidRPr="006F42F9" w:rsidRDefault="00B51755" w:rsidP="00B51755">
      <w:pPr>
        <w:tabs>
          <w:tab w:val="left" w:pos="426"/>
        </w:tabs>
        <w:spacing w:after="0" w:line="276" w:lineRule="auto"/>
        <w:ind w:firstLine="709"/>
        <w:jc w:val="both"/>
        <w:rPr>
          <w:rFonts w:ascii="Verdana" w:eastAsia="Times New Roman" w:hAnsi="Verdana" w:cs="Arial"/>
          <w:lang w:val="es-MX" w:eastAsia="es-CO"/>
        </w:rPr>
      </w:pPr>
      <w:r w:rsidRPr="006F42F9">
        <w:rPr>
          <w:rFonts w:ascii="Verdana" w:eastAsia="Times New Roman" w:hAnsi="Verdana" w:cs="Arial"/>
          <w:lang w:eastAsia="es-CO"/>
        </w:rPr>
        <w:t>En el mismo sentido</w:t>
      </w:r>
      <w:r w:rsidRPr="006F42F9">
        <w:rPr>
          <w:rFonts w:ascii="Verdana" w:eastAsia="Times New Roman" w:hAnsi="Verdana" w:cs="Arial"/>
          <w:lang w:val="es-MX" w:eastAsia="es-CO"/>
        </w:rPr>
        <w:t xml:space="preserve">, </w:t>
      </w:r>
      <w:bookmarkStart w:id="3" w:name="_Hlk99576829"/>
      <w:r w:rsidRPr="006F42F9">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6F42F9">
        <w:rPr>
          <w:rFonts w:ascii="Verdana" w:eastAsia="Times New Roman" w:hAnsi="Verdana" w:cs="Arial"/>
          <w:vertAlign w:val="superscript"/>
          <w:lang w:val="es-MX" w:eastAsia="es-CO"/>
        </w:rPr>
        <w:footnoteReference w:id="3"/>
      </w:r>
      <w:r w:rsidRPr="006F42F9">
        <w:rPr>
          <w:rFonts w:ascii="Verdana" w:eastAsia="Times New Roman" w:hAnsi="Verdana" w:cs="Arial"/>
          <w:lang w:val="es-MX" w:eastAsia="es-CO"/>
        </w:rPr>
        <w:t xml:space="preserve">. En esta medida, introduce limitaciones para realizar nombramientos, postulaciones, </w:t>
      </w:r>
      <w:r w:rsidRPr="006F42F9">
        <w:rPr>
          <w:rFonts w:ascii="Verdana" w:eastAsia="Times New Roman" w:hAnsi="Verdana" w:cs="Arial"/>
          <w:lang w:val="es-MX" w:eastAsia="es-CO"/>
        </w:rPr>
        <w:lastRenderedPageBreak/>
        <w:t>contrataciones o cualquier otro tipo de actividad que implique destinación de recursos públicos bajo el devenir propio de las entidades estatales.</w:t>
      </w:r>
      <w:r w:rsidRPr="006F42F9">
        <w:rPr>
          <w:rFonts w:ascii="Verdana" w:eastAsia="Calibri" w:hAnsi="Verdana" w:cs="Arial"/>
          <w:lang w:val="es-ES_tradnl"/>
        </w:rPr>
        <w:t xml:space="preserve"> </w:t>
      </w:r>
      <w:bookmarkEnd w:id="3"/>
      <w:r w:rsidRPr="006F42F9">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24390B48" w14:textId="77777777" w:rsidR="00B51755" w:rsidRPr="006F42F9" w:rsidRDefault="00B51755" w:rsidP="00B51755">
      <w:pPr>
        <w:spacing w:after="0" w:line="276" w:lineRule="auto"/>
        <w:ind w:right="709"/>
        <w:contextualSpacing/>
        <w:jc w:val="both"/>
        <w:rPr>
          <w:rFonts w:ascii="Verdana" w:eastAsia="Times New Roman" w:hAnsi="Verdana" w:cs="Arial"/>
          <w:sz w:val="21"/>
          <w:szCs w:val="21"/>
          <w:lang w:val="es-ES" w:eastAsia="es-CO"/>
        </w:rPr>
      </w:pPr>
    </w:p>
    <w:p w14:paraId="3B727F54" w14:textId="77777777" w:rsidR="00B51755" w:rsidRPr="006F42F9" w:rsidRDefault="00B51755" w:rsidP="00B51755">
      <w:pPr>
        <w:spacing w:after="0" w:line="240" w:lineRule="auto"/>
        <w:ind w:left="709" w:right="709"/>
        <w:contextualSpacing/>
        <w:jc w:val="both"/>
        <w:rPr>
          <w:rFonts w:ascii="Verdana" w:eastAsia="Times New Roman" w:hAnsi="Verdana" w:cs="Arial"/>
          <w:sz w:val="20"/>
          <w:szCs w:val="20"/>
          <w:lang w:val="es-MX" w:eastAsia="es-CO"/>
        </w:rPr>
      </w:pPr>
      <w:r w:rsidRPr="006F42F9">
        <w:rPr>
          <w:rFonts w:ascii="Verdana" w:eastAsia="Times New Roman" w:hAnsi="Verdana" w:cs="Arial"/>
          <w:sz w:val="20"/>
          <w:szCs w:val="20"/>
          <w:lang w:val="es-ES" w:eastAsia="es-CO"/>
        </w:rPr>
        <w:t xml:space="preserve">“[…] </w:t>
      </w:r>
      <w:r w:rsidRPr="006F42F9">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328B9FDE" w14:textId="77777777" w:rsidR="00B51755" w:rsidRPr="006F42F9" w:rsidRDefault="00B51755" w:rsidP="00B51755">
      <w:pPr>
        <w:spacing w:after="120" w:line="240" w:lineRule="auto"/>
        <w:ind w:left="709" w:right="709"/>
        <w:contextualSpacing/>
        <w:jc w:val="both"/>
        <w:rPr>
          <w:rFonts w:ascii="Verdana" w:eastAsia="Times New Roman" w:hAnsi="Verdana" w:cs="Arial"/>
          <w:sz w:val="20"/>
          <w:szCs w:val="20"/>
          <w:lang w:val="es-MX" w:eastAsia="es-CO"/>
        </w:rPr>
      </w:pPr>
      <w:r w:rsidRPr="006F42F9">
        <w:rPr>
          <w:rFonts w:ascii="Verdana" w:eastAsia="Times New Roman" w:hAnsi="Verdana" w:cs="Arial"/>
          <w:sz w:val="20"/>
          <w:szCs w:val="20"/>
          <w:lang w:val="es-MX" w:eastAsia="es-CO"/>
        </w:rPr>
        <w:t xml:space="preserve">[…] </w:t>
      </w:r>
    </w:p>
    <w:p w14:paraId="3180E622" w14:textId="77777777" w:rsidR="00B51755" w:rsidRPr="006F42F9" w:rsidRDefault="00B51755" w:rsidP="00B51755">
      <w:pPr>
        <w:spacing w:after="120" w:line="240" w:lineRule="auto"/>
        <w:ind w:left="709" w:right="709"/>
        <w:contextualSpacing/>
        <w:jc w:val="both"/>
        <w:rPr>
          <w:rFonts w:ascii="Verdana" w:eastAsia="Times New Roman" w:hAnsi="Verdana" w:cs="Arial"/>
          <w:sz w:val="12"/>
          <w:szCs w:val="12"/>
          <w:lang w:val="es-MX" w:eastAsia="es-CO"/>
        </w:rPr>
      </w:pPr>
    </w:p>
    <w:p w14:paraId="39098211" w14:textId="77777777" w:rsidR="00B51755" w:rsidRPr="006F42F9" w:rsidRDefault="00B51755" w:rsidP="00B51755">
      <w:pPr>
        <w:spacing w:after="0" w:line="240" w:lineRule="auto"/>
        <w:ind w:left="709" w:right="709"/>
        <w:contextualSpacing/>
        <w:jc w:val="both"/>
        <w:rPr>
          <w:rFonts w:ascii="Verdana" w:eastAsia="Times New Roman" w:hAnsi="Verdana" w:cs="Arial"/>
          <w:sz w:val="20"/>
          <w:szCs w:val="20"/>
          <w:lang w:val="es-MX" w:eastAsia="es-CO"/>
        </w:rPr>
      </w:pPr>
      <w:r w:rsidRPr="006F42F9">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6F42F9">
        <w:rPr>
          <w:rFonts w:ascii="Verdana" w:eastAsia="Calibri" w:hAnsi="Verdana" w:cs="Arial"/>
          <w:sz w:val="20"/>
          <w:szCs w:val="20"/>
          <w:vertAlign w:val="superscript"/>
          <w:lang w:val="es-MX"/>
        </w:rPr>
        <w:footnoteReference w:id="4"/>
      </w:r>
      <w:r w:rsidRPr="006F42F9">
        <w:rPr>
          <w:rFonts w:ascii="Verdana" w:eastAsia="Times New Roman" w:hAnsi="Verdana" w:cs="Arial"/>
          <w:sz w:val="20"/>
          <w:szCs w:val="20"/>
          <w:lang w:val="es-MX" w:eastAsia="es-CO"/>
        </w:rPr>
        <w:t>.</w:t>
      </w:r>
    </w:p>
    <w:p w14:paraId="3CCF863D" w14:textId="77777777" w:rsidR="00B51755" w:rsidRPr="006F42F9" w:rsidRDefault="00B51755" w:rsidP="00B51755">
      <w:pPr>
        <w:spacing w:after="0" w:line="276" w:lineRule="auto"/>
        <w:ind w:left="709" w:right="709"/>
        <w:contextualSpacing/>
        <w:jc w:val="both"/>
        <w:rPr>
          <w:rFonts w:ascii="Verdana" w:eastAsia="Times New Roman" w:hAnsi="Verdana" w:cs="Arial"/>
          <w:sz w:val="21"/>
          <w:szCs w:val="21"/>
          <w:lang w:val="es-MX" w:eastAsia="es-CO"/>
        </w:rPr>
      </w:pPr>
    </w:p>
    <w:p w14:paraId="005DB79E" w14:textId="77777777" w:rsidR="00B51755" w:rsidRPr="006F42F9" w:rsidRDefault="00B51755" w:rsidP="00B51755">
      <w:pPr>
        <w:spacing w:after="0" w:line="276" w:lineRule="auto"/>
        <w:ind w:firstLine="709"/>
        <w:jc w:val="both"/>
        <w:rPr>
          <w:rFonts w:ascii="Verdana" w:eastAsia="Times New Roman" w:hAnsi="Verdana" w:cs="Arial"/>
          <w:lang w:val="es-MX" w:eastAsia="es-CO"/>
        </w:rPr>
      </w:pPr>
      <w:bookmarkStart w:id="4" w:name="_Hlk78818186"/>
      <w:r w:rsidRPr="006F42F9">
        <w:rPr>
          <w:rFonts w:ascii="Verdana" w:eastAsia="Times New Roman" w:hAnsi="Verdana" w:cs="Arial"/>
          <w:lang w:val="es-MX" w:eastAsia="es-CO"/>
        </w:rPr>
        <w:t xml:space="preserve">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4"/>
      <w:r w:rsidRPr="006F42F9">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2659D9A1" w14:textId="77777777" w:rsidR="00B51755" w:rsidRPr="006F42F9" w:rsidRDefault="00B51755" w:rsidP="00B51755">
      <w:pPr>
        <w:spacing w:after="0" w:line="276" w:lineRule="auto"/>
        <w:ind w:firstLine="709"/>
        <w:contextualSpacing/>
        <w:jc w:val="both"/>
        <w:rPr>
          <w:rFonts w:ascii="Verdana" w:eastAsia="Times New Roman" w:hAnsi="Verdana" w:cs="Arial"/>
          <w:lang w:val="es-MX" w:eastAsia="es-CO"/>
        </w:rPr>
      </w:pPr>
    </w:p>
    <w:p w14:paraId="5FFEB5ED" w14:textId="77777777" w:rsidR="00B51755" w:rsidRPr="006F42F9" w:rsidRDefault="00B51755" w:rsidP="00B51755">
      <w:pPr>
        <w:spacing w:after="0" w:line="240" w:lineRule="auto"/>
        <w:ind w:left="709" w:right="709"/>
        <w:contextualSpacing/>
        <w:jc w:val="both"/>
        <w:rPr>
          <w:rFonts w:ascii="Verdana" w:eastAsia="Times New Roman" w:hAnsi="Verdana" w:cs="Arial"/>
          <w:sz w:val="20"/>
          <w:szCs w:val="20"/>
          <w:lang w:val="es-MX" w:eastAsia="es-CO"/>
        </w:rPr>
      </w:pPr>
      <w:r w:rsidRPr="006F42F9">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6F42F9">
        <w:rPr>
          <w:rFonts w:ascii="Verdana" w:eastAsia="Times New Roman" w:hAnsi="Verdana" w:cs="Arial"/>
          <w:sz w:val="20"/>
          <w:szCs w:val="20"/>
          <w:lang w:val="es-MX" w:eastAsia="es-CO"/>
        </w:rPr>
        <w:t>legis</w:t>
      </w:r>
      <w:proofErr w:type="spellEnd"/>
      <w:r w:rsidRPr="006F42F9">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996356A" w14:textId="77777777" w:rsidR="00B51755" w:rsidRPr="006F42F9" w:rsidRDefault="00B51755" w:rsidP="00B51755">
      <w:pPr>
        <w:spacing w:after="0" w:line="240" w:lineRule="auto"/>
        <w:ind w:right="709"/>
        <w:contextualSpacing/>
        <w:jc w:val="both"/>
        <w:rPr>
          <w:rFonts w:ascii="Verdana" w:eastAsia="Times New Roman" w:hAnsi="Verdana" w:cs="Arial"/>
          <w:sz w:val="12"/>
          <w:szCs w:val="12"/>
          <w:lang w:val="es-MX" w:eastAsia="es-CO"/>
        </w:rPr>
      </w:pPr>
    </w:p>
    <w:p w14:paraId="228C0810" w14:textId="77777777" w:rsidR="00B51755" w:rsidRPr="006F42F9" w:rsidRDefault="00B51755" w:rsidP="00B51755">
      <w:pPr>
        <w:spacing w:after="0" w:line="240" w:lineRule="auto"/>
        <w:ind w:left="709" w:right="709"/>
        <w:contextualSpacing/>
        <w:jc w:val="both"/>
        <w:rPr>
          <w:rFonts w:ascii="Verdana" w:eastAsia="Times New Roman" w:hAnsi="Verdana" w:cs="Arial"/>
          <w:sz w:val="20"/>
          <w:szCs w:val="20"/>
          <w:lang w:val="es-MX" w:eastAsia="es-CO"/>
        </w:rPr>
      </w:pPr>
      <w:r w:rsidRPr="006F42F9">
        <w:rPr>
          <w:rFonts w:ascii="Verdana" w:eastAsia="Times New Roman" w:hAnsi="Verdana" w:cs="Arial"/>
          <w:sz w:val="20"/>
          <w:szCs w:val="20"/>
          <w:lang w:val="es-MX" w:eastAsia="es-CO"/>
        </w:rPr>
        <w:lastRenderedPageBreak/>
        <w:t>La jurisprudencia de la Corte Constitucional</w:t>
      </w:r>
      <w:r w:rsidRPr="006F42F9">
        <w:rPr>
          <w:rFonts w:ascii="Verdana" w:eastAsia="Times New Roman" w:hAnsi="Verdana" w:cs="Arial"/>
          <w:sz w:val="20"/>
          <w:szCs w:val="20"/>
          <w:vertAlign w:val="superscript"/>
          <w:lang w:val="es-MX" w:eastAsia="es-CO"/>
        </w:rPr>
        <w:footnoteReference w:id="5"/>
      </w:r>
      <w:r w:rsidRPr="006F42F9">
        <w:rPr>
          <w:rFonts w:ascii="Verdana" w:eastAsia="Times New Roman" w:hAnsi="Verdana" w:cs="Arial"/>
          <w:sz w:val="20"/>
          <w:szCs w:val="20"/>
          <w:lang w:val="es-MX" w:eastAsia="es-CO"/>
        </w:rPr>
        <w:t> y del Consejo de Estado</w:t>
      </w:r>
      <w:r w:rsidRPr="006F42F9">
        <w:rPr>
          <w:rFonts w:ascii="Verdana" w:eastAsia="Times New Roman" w:hAnsi="Verdana" w:cs="Arial"/>
          <w:sz w:val="20"/>
          <w:szCs w:val="20"/>
          <w:vertAlign w:val="superscript"/>
          <w:lang w:val="es-MX" w:eastAsia="es-CO"/>
        </w:rPr>
        <w:footnoteReference w:id="6"/>
      </w:r>
      <w:r w:rsidRPr="006F42F9">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6F42F9">
        <w:rPr>
          <w:rFonts w:ascii="Verdana" w:eastAsia="Times New Roman" w:hAnsi="Verdana" w:cs="Arial"/>
          <w:sz w:val="20"/>
          <w:szCs w:val="20"/>
          <w:vertAlign w:val="superscript"/>
          <w:lang w:val="es-MX" w:eastAsia="es-CO"/>
        </w:rPr>
        <w:footnoteReference w:id="7"/>
      </w:r>
      <w:r w:rsidRPr="006F42F9">
        <w:rPr>
          <w:rFonts w:ascii="Verdana" w:eastAsia="Times New Roman" w:hAnsi="Verdana" w:cs="Arial"/>
          <w:sz w:val="20"/>
          <w:szCs w:val="20"/>
          <w:lang w:val="es-MX" w:eastAsia="es-CO"/>
        </w:rPr>
        <w:t>.</w:t>
      </w:r>
    </w:p>
    <w:p w14:paraId="711E1E82" w14:textId="77777777" w:rsidR="00B51755" w:rsidRPr="006F42F9" w:rsidRDefault="00B51755" w:rsidP="00B51755">
      <w:pPr>
        <w:spacing w:after="0" w:line="276" w:lineRule="auto"/>
        <w:ind w:right="709"/>
        <w:contextualSpacing/>
        <w:jc w:val="both"/>
        <w:rPr>
          <w:rFonts w:ascii="Verdana" w:eastAsia="Times New Roman" w:hAnsi="Verdana" w:cs="Arial"/>
          <w:sz w:val="21"/>
          <w:szCs w:val="21"/>
          <w:lang w:val="es-MX" w:eastAsia="es-CO"/>
        </w:rPr>
      </w:pPr>
    </w:p>
    <w:p w14:paraId="2B85531E" w14:textId="77777777" w:rsidR="00B51755" w:rsidRPr="006F42F9" w:rsidRDefault="00B51755" w:rsidP="00B51755">
      <w:pPr>
        <w:spacing w:after="120" w:line="276" w:lineRule="auto"/>
        <w:jc w:val="both"/>
        <w:rPr>
          <w:rFonts w:ascii="Verdana" w:eastAsia="Arial" w:hAnsi="Verdana" w:cs="Arial"/>
          <w:lang w:val="es-ES" w:eastAsia="es-ES" w:bidi="es-ES"/>
        </w:rPr>
      </w:pPr>
      <w:r w:rsidRPr="006F42F9">
        <w:rPr>
          <w:rFonts w:ascii="Verdana" w:eastAsia="Times New Roman" w:hAnsi="Verdana" w:cs="Arial"/>
          <w:lang w:val="es-MX" w:eastAsia="es-CO"/>
        </w:rPr>
        <w:tab/>
        <w:t>De</w:t>
      </w:r>
      <w:r w:rsidRPr="006F42F9">
        <w:rPr>
          <w:rFonts w:ascii="Verdana" w:eastAsia="Arial" w:hAnsi="Verdana" w:cs="Arial"/>
          <w:lang w:val="es-ES" w:eastAsia="es-ES" w:bidi="es-ES"/>
        </w:rPr>
        <w:t xml:space="preserve"> conformidad con lo anterior, </w:t>
      </w:r>
      <w:bookmarkStart w:id="5" w:name="_Hlk77236098"/>
      <w:bookmarkStart w:id="6" w:name="_Hlk100679383"/>
      <w:r w:rsidRPr="006F42F9">
        <w:rPr>
          <w:rFonts w:ascii="Verdana" w:eastAsia="Arial" w:hAnsi="Verdana" w:cs="Arial"/>
          <w:lang w:val="es-ES" w:eastAsia="es-ES" w:bidi="es-ES"/>
        </w:rPr>
        <w:t>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5"/>
    </w:p>
    <w:p w14:paraId="34D28356" w14:textId="77777777" w:rsidR="00B51755" w:rsidRPr="006F42F9" w:rsidRDefault="00B51755" w:rsidP="00B51755">
      <w:pPr>
        <w:spacing w:after="120" w:line="276" w:lineRule="auto"/>
        <w:ind w:firstLine="708"/>
        <w:jc w:val="both"/>
        <w:rPr>
          <w:rFonts w:ascii="Verdana" w:eastAsia="Calibri" w:hAnsi="Verdana" w:cs="Arial"/>
        </w:rPr>
      </w:pPr>
      <w:r w:rsidRPr="006F42F9">
        <w:rPr>
          <w:rFonts w:ascii="Verdana" w:eastAsia="Calibri" w:hAnsi="Verdana" w:cs="Arial"/>
          <w:i/>
          <w:iCs/>
        </w:rPr>
        <w:t>Por un lado</w:t>
      </w:r>
      <w:r w:rsidRPr="006F42F9">
        <w:rPr>
          <w:rFonts w:ascii="Verdana" w:eastAsia="Calibri" w:hAnsi="Verdana" w:cs="Arial"/>
        </w:rPr>
        <w:t xml:space="preserve">,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6F42F9">
        <w:rPr>
          <w:rFonts w:ascii="Verdana" w:eastAsia="Calibri" w:hAnsi="Verdana" w:cs="Arial"/>
        </w:rPr>
        <w:lastRenderedPageBreak/>
        <w:t>acciones terroristas, desastres naturales o casos de fuerza mayor, y los que deban realizar las entidades sanitarias y hospitalarias”</w:t>
      </w:r>
      <w:r w:rsidRPr="006F42F9">
        <w:rPr>
          <w:rFonts w:ascii="Verdana" w:eastAsia="Calibri" w:hAnsi="Verdana" w:cs="Arial"/>
          <w:vertAlign w:val="superscript"/>
        </w:rPr>
        <w:footnoteReference w:id="8"/>
      </w:r>
      <w:r w:rsidRPr="006F42F9">
        <w:rPr>
          <w:rFonts w:ascii="Verdana" w:eastAsia="Calibri" w:hAnsi="Verdana" w:cs="Arial"/>
        </w:rPr>
        <w:t>.</w:t>
      </w:r>
    </w:p>
    <w:p w14:paraId="0B054121" w14:textId="77777777" w:rsidR="00B51755" w:rsidRPr="006F42F9" w:rsidRDefault="00B51755" w:rsidP="00B51755">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6F42F9">
        <w:rPr>
          <w:rFonts w:ascii="Verdana" w:eastAsia="Calibri" w:hAnsi="Verdana" w:cs="Arial"/>
          <w:i/>
          <w:iCs/>
        </w:rPr>
        <w:t>Por otro</w:t>
      </w:r>
      <w:r w:rsidRPr="006F42F9">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6F42F9">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F42F9">
        <w:rPr>
          <w:rFonts w:ascii="Verdana" w:eastAsia="Calibri" w:hAnsi="Verdana" w:cs="Arial"/>
          <w:sz w:val="19"/>
          <w:szCs w:val="19"/>
        </w:rPr>
        <w:t>”</w:t>
      </w:r>
      <w:bookmarkEnd w:id="6"/>
      <w:r w:rsidRPr="006F42F9">
        <w:rPr>
          <w:rFonts w:ascii="Verdana" w:eastAsia="Calibri" w:hAnsi="Verdana" w:cs="Arial"/>
          <w:sz w:val="19"/>
          <w:szCs w:val="19"/>
          <w:vertAlign w:val="superscript"/>
        </w:rPr>
        <w:footnoteReference w:id="9"/>
      </w:r>
      <w:r w:rsidRPr="006F42F9">
        <w:rPr>
          <w:rFonts w:ascii="Verdana" w:eastAsia="Calibri" w:hAnsi="Verdana" w:cs="Arial"/>
          <w:lang w:val="es-MX"/>
        </w:rPr>
        <w:t>.</w:t>
      </w:r>
      <w:r w:rsidRPr="006F42F9">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63A03C05" w14:textId="77777777" w:rsidR="00B51755" w:rsidRPr="006F42F9" w:rsidRDefault="00B51755" w:rsidP="00B51755">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152B6C07" w14:textId="77777777" w:rsidR="00B51755" w:rsidRPr="006F42F9" w:rsidRDefault="00B51755" w:rsidP="00B51755">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6F42F9">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9" w:name="_Hlk76109421"/>
      <w:r w:rsidRPr="006F42F9">
        <w:rPr>
          <w:rFonts w:ascii="Verdana" w:eastAsia="Arial" w:hAnsi="Verdana" w:cs="Arial"/>
          <w:sz w:val="20"/>
          <w:szCs w:val="20"/>
          <w:lang w:val="es-ES" w:eastAsia="es-ES" w:bidi="es-ES"/>
        </w:rPr>
        <w:t>se integran parcialmente</w:t>
      </w:r>
      <w:bookmarkEnd w:id="9"/>
      <w:r w:rsidRPr="006F42F9">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w:t>
      </w:r>
      <w:r w:rsidRPr="006F42F9">
        <w:rPr>
          <w:rFonts w:ascii="Verdana" w:eastAsia="Arial" w:hAnsi="Verdana" w:cs="Arial"/>
          <w:sz w:val="20"/>
          <w:szCs w:val="20"/>
          <w:lang w:val="es-ES" w:eastAsia="es-ES" w:bidi="es-ES"/>
        </w:rPr>
        <w:lastRenderedPageBreak/>
        <w:t xml:space="preserve">del parágrafo del artículo 38. En cambio, para elecciones en general, excluyendo las correspondientes a </w:t>
      </w:r>
      <w:proofErr w:type="gramStart"/>
      <w:r w:rsidRPr="006F42F9">
        <w:rPr>
          <w:rFonts w:ascii="Verdana" w:eastAsia="Arial" w:hAnsi="Verdana" w:cs="Arial"/>
          <w:sz w:val="20"/>
          <w:szCs w:val="20"/>
          <w:lang w:val="es-ES" w:eastAsia="es-ES" w:bidi="es-ES"/>
        </w:rPr>
        <w:t>Presidente</w:t>
      </w:r>
      <w:proofErr w:type="gramEnd"/>
      <w:r w:rsidRPr="006F42F9">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6F42F9">
        <w:rPr>
          <w:rFonts w:ascii="Verdana" w:eastAsia="Arial" w:hAnsi="Verdana" w:cs="Arial"/>
          <w:sz w:val="20"/>
          <w:szCs w:val="20"/>
          <w:vertAlign w:val="superscript"/>
          <w:lang w:val="es-ES" w:eastAsia="es-ES" w:bidi="es-ES"/>
        </w:rPr>
        <w:footnoteReference w:id="10"/>
      </w:r>
      <w:r w:rsidRPr="006F42F9">
        <w:rPr>
          <w:rFonts w:ascii="Verdana" w:eastAsia="Arial" w:hAnsi="Verdana" w:cs="Arial"/>
          <w:sz w:val="20"/>
          <w:szCs w:val="20"/>
          <w:lang w:val="es-ES" w:eastAsia="es-ES" w:bidi="es-ES"/>
        </w:rPr>
        <w:t>.</w:t>
      </w:r>
    </w:p>
    <w:p w14:paraId="3DDC04B6" w14:textId="77777777" w:rsidR="00B51755" w:rsidRPr="006F42F9" w:rsidRDefault="00B51755" w:rsidP="00B51755">
      <w:pPr>
        <w:widowControl w:val="0"/>
        <w:autoSpaceDE w:val="0"/>
        <w:autoSpaceDN w:val="0"/>
        <w:spacing w:after="0" w:line="276" w:lineRule="auto"/>
        <w:contextualSpacing/>
        <w:rPr>
          <w:rFonts w:ascii="Verdana" w:eastAsia="Arial" w:hAnsi="Verdana" w:cs="Arial"/>
          <w:lang w:val="es-ES" w:eastAsia="es-ES" w:bidi="es-ES"/>
        </w:rPr>
      </w:pPr>
    </w:p>
    <w:p w14:paraId="3CAD8E7D" w14:textId="77777777" w:rsidR="00B51755" w:rsidRPr="006F42F9" w:rsidRDefault="00B51755" w:rsidP="00B51755">
      <w:pPr>
        <w:spacing w:after="120" w:line="276" w:lineRule="auto"/>
        <w:ind w:firstLine="709"/>
        <w:jc w:val="both"/>
        <w:rPr>
          <w:rFonts w:ascii="Verdana" w:eastAsia="Arial" w:hAnsi="Verdana" w:cs="Arial"/>
          <w:lang w:val="es-ES" w:eastAsia="es-ES" w:bidi="es-ES"/>
        </w:rPr>
      </w:pPr>
      <w:r w:rsidRPr="006F42F9">
        <w:rPr>
          <w:rFonts w:ascii="Verdana" w:eastAsia="Arial" w:hAnsi="Verdana" w:cs="Arial"/>
          <w:lang w:val="es-ES" w:eastAsia="es-ES" w:bidi="es-ES"/>
        </w:rPr>
        <w:t xml:space="preserve">De conformidad con lo anterior, </w:t>
      </w:r>
      <w:bookmarkStart w:id="10" w:name="_Hlk77236420"/>
      <w:bookmarkStart w:id="11" w:name="_Hlk78818435"/>
      <w:bookmarkStart w:id="12" w:name="_Hlk75780333"/>
      <w:r w:rsidRPr="006F42F9">
        <w:rPr>
          <w:rFonts w:ascii="Verdana" w:eastAsia="Arial" w:hAnsi="Verdana" w:cs="Arial"/>
          <w:lang w:val="es-ES" w:eastAsia="es-ES" w:bidi="es-ES"/>
        </w:rPr>
        <w:t xml:space="preserve">la Ley 996 de 2005 establece dos (2) tipos de restricciones en materia de contratación, las cuales coinciden parcialmente. </w:t>
      </w:r>
      <w:r w:rsidRPr="006F42F9">
        <w:rPr>
          <w:rFonts w:ascii="Verdana" w:eastAsia="Arial" w:hAnsi="Verdana" w:cs="Arial"/>
          <w:i/>
          <w:lang w:val="es-ES" w:eastAsia="es-ES" w:bidi="es-ES"/>
        </w:rPr>
        <w:t>En primer lugar</w:t>
      </w:r>
      <w:r w:rsidRPr="006F42F9">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6F42F9">
        <w:rPr>
          <w:rFonts w:ascii="Verdana" w:eastAsia="Arial" w:hAnsi="Verdana" w:cs="Arial"/>
          <w:i/>
          <w:lang w:val="es-ES" w:eastAsia="es-ES" w:bidi="es-ES"/>
        </w:rPr>
        <w:t>En segundo lugar</w:t>
      </w:r>
      <w:r w:rsidRPr="006F42F9">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0"/>
    </w:p>
    <w:bookmarkEnd w:id="11"/>
    <w:p w14:paraId="6940191D" w14:textId="77777777" w:rsidR="00B51755" w:rsidRPr="006F42F9" w:rsidRDefault="00B51755" w:rsidP="00B51755">
      <w:pPr>
        <w:spacing w:after="120" w:line="276" w:lineRule="auto"/>
        <w:ind w:firstLine="709"/>
        <w:jc w:val="both"/>
        <w:rPr>
          <w:rFonts w:ascii="Verdana" w:eastAsia="Arial" w:hAnsi="Verdana" w:cs="Arial"/>
          <w:lang w:val="es-ES" w:eastAsia="es-ES" w:bidi="es-ES"/>
        </w:rPr>
      </w:pPr>
      <w:r w:rsidRPr="006F42F9">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6F42F9">
        <w:rPr>
          <w:rFonts w:ascii="Verdana" w:eastAsia="Arial" w:hAnsi="Verdana" w:cs="Arial"/>
          <w:lang w:val="es-ES" w:eastAsia="es-ES" w:bidi="es-ES"/>
        </w:rPr>
        <w:t>Presidente</w:t>
      </w:r>
      <w:proofErr w:type="gramEnd"/>
      <w:r w:rsidRPr="006F42F9">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6F42F9">
        <w:rPr>
          <w:rFonts w:ascii="Verdana" w:eastAsia="Arial" w:hAnsi="Verdana" w:cs="Arial"/>
          <w:lang w:val="es-ES" w:eastAsia="es-ES" w:bidi="es-ES"/>
        </w:rPr>
        <w:t>Presidente</w:t>
      </w:r>
      <w:proofErr w:type="gramEnd"/>
      <w:r w:rsidRPr="006F42F9">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2"/>
    <w:p w14:paraId="5B106738" w14:textId="77777777" w:rsidR="00B51755" w:rsidRPr="006F42F9" w:rsidRDefault="00B51755" w:rsidP="00B51755">
      <w:pPr>
        <w:spacing w:after="0" w:line="276" w:lineRule="auto"/>
        <w:ind w:firstLine="708"/>
        <w:jc w:val="both"/>
        <w:rPr>
          <w:rFonts w:ascii="Verdana" w:eastAsia="Arial" w:hAnsi="Verdana" w:cs="Arial"/>
          <w:lang w:val="es-ES" w:eastAsia="es-ES" w:bidi="es-ES"/>
        </w:rPr>
      </w:pPr>
      <w:r w:rsidRPr="006F42F9">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6F42F9">
        <w:rPr>
          <w:rFonts w:ascii="Verdana" w:eastAsia="Arial" w:hAnsi="Verdana" w:cs="Arial"/>
          <w:lang w:val="es-ES" w:eastAsia="es-ES" w:bidi="es-ES"/>
        </w:rPr>
        <w:t>Presidente</w:t>
      </w:r>
      <w:proofErr w:type="gramEnd"/>
      <w:r w:rsidRPr="006F42F9">
        <w:rPr>
          <w:rFonts w:ascii="Verdana" w:eastAsia="Arial" w:hAnsi="Verdana" w:cs="Arial"/>
          <w:lang w:val="es-ES" w:eastAsia="es-ES" w:bidi="es-ES"/>
        </w:rPr>
        <w:t xml:space="preserve"> o el </w:t>
      </w:r>
      <w:proofErr w:type="gramStart"/>
      <w:r w:rsidRPr="006F42F9">
        <w:rPr>
          <w:rFonts w:ascii="Verdana" w:eastAsia="Arial" w:hAnsi="Verdana" w:cs="Arial"/>
          <w:lang w:val="es-ES" w:eastAsia="es-ES" w:bidi="es-ES"/>
        </w:rPr>
        <w:t>Vicepresidente</w:t>
      </w:r>
      <w:proofErr w:type="gramEnd"/>
      <w:r w:rsidRPr="006F42F9">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w:t>
      </w:r>
      <w:r w:rsidRPr="006F42F9">
        <w:rPr>
          <w:rFonts w:ascii="Verdana" w:eastAsia="Arial" w:hAnsi="Verdana" w:cs="Arial"/>
          <w:lang w:val="es-ES" w:eastAsia="es-ES" w:bidi="es-ES"/>
        </w:rPr>
        <w:lastRenderedPageBreak/>
        <w:t>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1F54A896" w14:textId="77777777" w:rsidR="00B51755" w:rsidRPr="006F42F9" w:rsidRDefault="00B51755" w:rsidP="00B51755">
      <w:pPr>
        <w:spacing w:after="0" w:line="276" w:lineRule="auto"/>
        <w:jc w:val="both"/>
        <w:rPr>
          <w:rFonts w:ascii="Verdana" w:eastAsia="Arial" w:hAnsi="Verdana" w:cs="Arial"/>
          <w:lang w:val="es-ES" w:eastAsia="es-ES" w:bidi="es-ES"/>
        </w:rPr>
      </w:pPr>
    </w:p>
    <w:p w14:paraId="0DD442C9" w14:textId="77777777" w:rsidR="00B51755" w:rsidRPr="006F42F9" w:rsidRDefault="00B51755" w:rsidP="00B51755">
      <w:pPr>
        <w:spacing w:after="0" w:line="276" w:lineRule="auto"/>
        <w:jc w:val="both"/>
        <w:rPr>
          <w:rFonts w:ascii="Verdana" w:hAnsi="Verdana" w:cs="Arial"/>
          <w:bCs/>
          <w:lang w:val="es-MX" w:eastAsia="es-CO"/>
        </w:rPr>
      </w:pPr>
      <w:proofErr w:type="spellStart"/>
      <w:r w:rsidRPr="006F42F9">
        <w:rPr>
          <w:rFonts w:ascii="Verdana" w:eastAsia="Arial" w:hAnsi="Verdana" w:cs="Arial"/>
          <w:lang w:val="es-ES" w:eastAsia="es-ES" w:bidi="es-ES"/>
        </w:rPr>
        <w:t>ii</w:t>
      </w:r>
      <w:proofErr w:type="spellEnd"/>
      <w:r w:rsidRPr="006F42F9">
        <w:rPr>
          <w:rFonts w:ascii="Verdana" w:eastAsia="Arial" w:hAnsi="Verdana" w:cs="Arial"/>
          <w:lang w:val="es-ES" w:eastAsia="es-ES" w:bidi="es-ES"/>
        </w:rPr>
        <w:t xml:space="preserve">. </w:t>
      </w:r>
      <w:r w:rsidRPr="006F42F9">
        <w:rPr>
          <w:rFonts w:ascii="Verdana" w:hAnsi="Verdana" w:cs="Arial"/>
          <w:bCs/>
          <w:lang w:val="es-MX" w:eastAsia="x-none"/>
        </w:rPr>
        <w:t xml:space="preserve">El ámbito material de la prohibición contenida en el artículo 33 de la ley 996 de 2005 está delimitado por la expresión </w:t>
      </w:r>
      <w:r w:rsidRPr="006F42F9">
        <w:rPr>
          <w:rFonts w:ascii="Verdana" w:eastAsia="Calibri" w:hAnsi="Verdana" w:cs="Arial"/>
          <w:bCs/>
          <w:sz w:val="20"/>
          <w:szCs w:val="20"/>
          <w:lang w:val="es-MX"/>
        </w:rPr>
        <w:t>“</w:t>
      </w:r>
      <w:r w:rsidRPr="006F42F9">
        <w:rPr>
          <w:rFonts w:ascii="Verdana" w:hAnsi="Verdana" w:cs="Arial"/>
          <w:bCs/>
          <w:lang w:val="es-MX" w:eastAsia="x-none"/>
        </w:rPr>
        <w:t>queda prohibida la contratación directa</w:t>
      </w:r>
      <w:r w:rsidRPr="006F42F9">
        <w:rPr>
          <w:rFonts w:ascii="Verdana" w:hAnsi="Verdana" w:cs="Arial"/>
          <w:sz w:val="20"/>
          <w:szCs w:val="20"/>
          <w:lang w:val="es-MX"/>
        </w:rPr>
        <w:t>”</w:t>
      </w:r>
      <w:r w:rsidRPr="006F42F9">
        <w:rPr>
          <w:rFonts w:ascii="Verdana" w:hAnsi="Verdana" w:cs="Arial"/>
          <w:bCs/>
          <w:lang w:val="es-MX" w:eastAsia="x-none"/>
        </w:rPr>
        <w:t xml:space="preserve">. </w:t>
      </w:r>
      <w:r w:rsidRPr="006F42F9">
        <w:rPr>
          <w:rFonts w:ascii="Verdana" w:hAnsi="Verdana" w:cs="Arial"/>
          <w:lang w:val="es-MX" w:eastAsia="es-CO"/>
        </w:rPr>
        <w:t xml:space="preserve"> A propósito de </w:t>
      </w:r>
      <w:r w:rsidRPr="006F42F9">
        <w:rPr>
          <w:rFonts w:ascii="Verdana" w:hAnsi="Verdana" w:cs="Arial"/>
          <w:lang w:eastAsia="es-CO"/>
        </w:rPr>
        <w:t>esta restricción de la Ley de Garantías Electorales, la Sala de Consulta y Servicio Civil del Consejo de Estado ha considerado que:</w:t>
      </w:r>
    </w:p>
    <w:p w14:paraId="2312C6A7" w14:textId="77777777" w:rsidR="00B51755" w:rsidRPr="006F42F9" w:rsidRDefault="00B51755" w:rsidP="00B51755">
      <w:pPr>
        <w:spacing w:after="0" w:line="276" w:lineRule="auto"/>
        <w:ind w:left="708" w:right="709"/>
        <w:jc w:val="both"/>
        <w:rPr>
          <w:rFonts w:ascii="Verdana" w:hAnsi="Verdana" w:cs="Arial"/>
          <w:lang w:val="es-MX"/>
        </w:rPr>
      </w:pPr>
    </w:p>
    <w:p w14:paraId="225BBFE6" w14:textId="77777777" w:rsidR="00B51755" w:rsidRPr="006F42F9" w:rsidRDefault="00B51755" w:rsidP="00B51755">
      <w:pPr>
        <w:spacing w:after="120"/>
        <w:ind w:left="709" w:right="709"/>
        <w:jc w:val="both"/>
        <w:rPr>
          <w:rFonts w:ascii="Verdana" w:hAnsi="Verdana" w:cs="Arial"/>
          <w:sz w:val="20"/>
          <w:szCs w:val="20"/>
          <w:lang w:val="es-MX"/>
        </w:rPr>
      </w:pPr>
      <w:r w:rsidRPr="006F42F9">
        <w:rPr>
          <w:rFonts w:ascii="Verdana" w:hAnsi="Verdana" w:cs="Arial"/>
          <w:sz w:val="18"/>
          <w:szCs w:val="18"/>
          <w:lang w:val="es-MX"/>
        </w:rPr>
        <w:t>“</w:t>
      </w:r>
      <w:r w:rsidRPr="006F42F9">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6F42F9">
        <w:rPr>
          <w:rFonts w:ascii="Verdana" w:hAnsi="Verdana" w:cs="Arial"/>
          <w:sz w:val="20"/>
          <w:szCs w:val="20"/>
          <w:vertAlign w:val="superscript"/>
          <w:lang w:eastAsia="es-CO"/>
        </w:rPr>
        <w:footnoteReference w:id="11"/>
      </w:r>
      <w:r w:rsidRPr="006F42F9">
        <w:rPr>
          <w:rFonts w:ascii="Verdana" w:hAnsi="Verdana" w:cs="Arial"/>
          <w:sz w:val="20"/>
          <w:szCs w:val="20"/>
          <w:lang w:val="es-MX"/>
        </w:rPr>
        <w:t>.</w:t>
      </w:r>
    </w:p>
    <w:p w14:paraId="34DD9C1E" w14:textId="77777777" w:rsidR="00B51755" w:rsidRPr="006F42F9" w:rsidRDefault="00B51755" w:rsidP="00B51755">
      <w:pPr>
        <w:spacing w:after="0"/>
        <w:ind w:left="708" w:right="709"/>
        <w:jc w:val="both"/>
        <w:rPr>
          <w:rFonts w:ascii="Verdana" w:hAnsi="Verdana" w:cs="Arial"/>
          <w:sz w:val="20"/>
          <w:szCs w:val="20"/>
          <w:lang w:val="es-MX"/>
        </w:rPr>
      </w:pPr>
      <w:r w:rsidRPr="006F42F9">
        <w:rPr>
          <w:rFonts w:ascii="Verdana"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6F42F9">
        <w:rPr>
          <w:rFonts w:ascii="Verdana" w:hAnsi="Verdana" w:cs="Arial"/>
          <w:sz w:val="20"/>
          <w:szCs w:val="20"/>
          <w:vertAlign w:val="superscript"/>
          <w:lang w:val="es-MX"/>
        </w:rPr>
        <w:footnoteReference w:id="12"/>
      </w:r>
      <w:r w:rsidRPr="006F42F9">
        <w:rPr>
          <w:rFonts w:ascii="Verdana" w:hAnsi="Verdana" w:cs="Arial"/>
          <w:sz w:val="20"/>
          <w:szCs w:val="20"/>
          <w:vertAlign w:val="superscript"/>
          <w:lang w:val="es-MX"/>
        </w:rPr>
        <w:t>.</w:t>
      </w:r>
      <w:r w:rsidRPr="006F42F9">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6F42F9">
        <w:rPr>
          <w:rFonts w:ascii="Verdana" w:hAnsi="Verdana" w:cs="Arial"/>
          <w:sz w:val="20"/>
          <w:szCs w:val="20"/>
          <w:vertAlign w:val="superscript"/>
          <w:lang w:eastAsia="es-CO"/>
        </w:rPr>
        <w:footnoteReference w:id="13"/>
      </w:r>
      <w:r w:rsidRPr="006F42F9">
        <w:rPr>
          <w:rFonts w:ascii="Verdana" w:hAnsi="Verdana" w:cs="Arial"/>
          <w:sz w:val="20"/>
          <w:szCs w:val="20"/>
          <w:lang w:val="es-MX"/>
        </w:rPr>
        <w:t>.</w:t>
      </w:r>
    </w:p>
    <w:p w14:paraId="34BB0244" w14:textId="77777777" w:rsidR="00B51755" w:rsidRPr="006F42F9" w:rsidRDefault="00B51755" w:rsidP="00B51755">
      <w:pPr>
        <w:shd w:val="clear" w:color="auto" w:fill="FFFFFF"/>
        <w:spacing w:after="0" w:line="276" w:lineRule="auto"/>
        <w:ind w:firstLine="709"/>
        <w:jc w:val="both"/>
        <w:rPr>
          <w:rFonts w:ascii="Verdana" w:hAnsi="Verdana" w:cs="Arial"/>
          <w:lang w:eastAsia="x-none"/>
        </w:rPr>
      </w:pPr>
    </w:p>
    <w:p w14:paraId="0552BC9B" w14:textId="77777777" w:rsidR="00B51755" w:rsidRPr="006F42F9" w:rsidRDefault="00B51755" w:rsidP="00B51755">
      <w:pPr>
        <w:spacing w:after="120" w:line="276" w:lineRule="auto"/>
        <w:ind w:firstLine="708"/>
        <w:jc w:val="both"/>
        <w:rPr>
          <w:rFonts w:ascii="Verdana" w:hAnsi="Verdana" w:cs="Arial"/>
          <w:bCs/>
          <w:lang w:eastAsia="x-none"/>
        </w:rPr>
      </w:pPr>
      <w:r w:rsidRPr="006F42F9">
        <w:rPr>
          <w:rFonts w:ascii="Verdana" w:hAnsi="Verdana" w:cs="Arial"/>
          <w:lang w:eastAsia="x-none"/>
        </w:rPr>
        <w:t xml:space="preserve">De acuerdo con el citado concepto, la prohibición del artículo 33 de la Ley de Garantías Electorales se refiere a </w:t>
      </w:r>
      <w:r w:rsidRPr="006F42F9">
        <w:rPr>
          <w:rFonts w:ascii="Verdana" w:hAnsi="Verdana" w:cs="Arial"/>
          <w:sz w:val="19"/>
          <w:szCs w:val="19"/>
          <w:lang w:eastAsia="en-GB"/>
        </w:rPr>
        <w:t>“</w:t>
      </w:r>
      <w:r w:rsidRPr="006F42F9">
        <w:rPr>
          <w:rFonts w:ascii="Verdana" w:hAnsi="Verdana" w:cs="Arial"/>
          <w:lang w:eastAsia="x-none"/>
        </w:rPr>
        <w:t xml:space="preserve">cualquier sistema que no implique </w:t>
      </w:r>
      <w:r w:rsidRPr="006F42F9">
        <w:rPr>
          <w:rFonts w:ascii="Verdana" w:hAnsi="Verdana" w:cs="Arial"/>
          <w:lang w:eastAsia="x-none"/>
        </w:rPr>
        <w:lastRenderedPageBreak/>
        <w:t>convocatoria pública y posibilidad de pluralidad de oferentes</w:t>
      </w:r>
      <w:r w:rsidRPr="006F42F9">
        <w:rPr>
          <w:rFonts w:ascii="Verdana" w:hAnsi="Verdana" w:cs="Arial"/>
          <w:lang w:eastAsia="en-GB"/>
        </w:rPr>
        <w:t>”</w:t>
      </w:r>
      <w:r w:rsidRPr="006F42F9">
        <w:rPr>
          <w:rFonts w:ascii="Verdana" w:hAnsi="Verdana" w:cs="Arial"/>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w:t>
      </w:r>
      <w:r w:rsidRPr="006F42F9">
        <w:rPr>
          <w:rFonts w:ascii="Verdana" w:hAnsi="Verdana" w:cs="Arial"/>
          <w:vertAlign w:val="superscript"/>
          <w:lang w:val="en-GB" w:eastAsia="x-none"/>
        </w:rPr>
        <w:footnoteReference w:id="14"/>
      </w:r>
      <w:r w:rsidRPr="006F42F9">
        <w:rPr>
          <w:rFonts w:ascii="Verdana" w:hAnsi="Verdana" w:cs="Arial"/>
          <w:lang w:eastAsia="x-none"/>
        </w:rPr>
        <w:t xml:space="preserve"> y sistematizó las causales de contratación directa</w:t>
      </w:r>
      <w:r w:rsidRPr="006F42F9">
        <w:rPr>
          <w:rFonts w:ascii="Verdana" w:hAnsi="Verdana" w:cs="Arial"/>
          <w:vertAlign w:val="superscript"/>
          <w:lang w:val="en-GB" w:eastAsia="x-none"/>
        </w:rPr>
        <w:footnoteReference w:id="15"/>
      </w:r>
      <w:r w:rsidRPr="006F42F9">
        <w:rPr>
          <w:rFonts w:ascii="Verdana" w:hAnsi="Verdana" w:cs="Arial"/>
          <w:lang w:eastAsia="x-none"/>
        </w:rPr>
        <w:t xml:space="preserve">. </w:t>
      </w:r>
    </w:p>
    <w:p w14:paraId="521A27E0" w14:textId="77777777" w:rsidR="00B51755" w:rsidRPr="006F42F9" w:rsidRDefault="00B51755" w:rsidP="00B51755">
      <w:pPr>
        <w:spacing w:after="120" w:line="276" w:lineRule="auto"/>
        <w:ind w:firstLine="708"/>
        <w:jc w:val="both"/>
        <w:rPr>
          <w:rFonts w:ascii="Verdana" w:hAnsi="Verdana" w:cs="Arial"/>
          <w:lang w:val="es-MX" w:eastAsia="x-none"/>
        </w:rPr>
      </w:pPr>
      <w:r w:rsidRPr="006F42F9">
        <w:rPr>
          <w:rFonts w:ascii="Verdana" w:hAnsi="Verdana" w:cs="Arial"/>
          <w:lang w:eastAsia="x-none"/>
        </w:rPr>
        <w:t xml:space="preserve">De esta forma, con fundamento en la evolución de la normativa sobre la contratación pública, se ha depurado la noción de </w:t>
      </w:r>
      <w:r w:rsidRPr="006F42F9">
        <w:rPr>
          <w:rFonts w:ascii="Verdana" w:hAnsi="Verdana" w:cs="Arial"/>
          <w:sz w:val="19"/>
          <w:szCs w:val="19"/>
          <w:lang w:eastAsia="en-GB"/>
        </w:rPr>
        <w:t>“</w:t>
      </w:r>
      <w:r w:rsidRPr="006F42F9">
        <w:rPr>
          <w:rFonts w:ascii="Verdana" w:hAnsi="Verdana" w:cs="Arial"/>
          <w:lang w:eastAsia="x-none"/>
        </w:rPr>
        <w:t>contratación directa</w:t>
      </w:r>
      <w:r w:rsidRPr="006F42F9">
        <w:rPr>
          <w:rFonts w:ascii="Verdana" w:hAnsi="Verdana" w:cs="Arial"/>
          <w:lang w:eastAsia="en-GB"/>
        </w:rPr>
        <w:t>”</w:t>
      </w:r>
      <w:r w:rsidRPr="006F42F9">
        <w:rPr>
          <w:rFonts w:ascii="Verdana"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6F42F9">
        <w:rPr>
          <w:rFonts w:ascii="Verdana" w:hAnsi="Verdana" w:cs="Arial"/>
          <w:vertAlign w:val="superscript"/>
          <w:lang w:val="en-GB" w:eastAsia="x-none"/>
        </w:rPr>
        <w:footnoteReference w:id="16"/>
      </w:r>
      <w:r w:rsidRPr="006F42F9">
        <w:rPr>
          <w:rFonts w:ascii="Verdana" w:hAnsi="Verdana" w:cs="Arial"/>
          <w:lang w:eastAsia="x-none"/>
        </w:rPr>
        <w:t>, han establecido sistemas de contratación que implican convocatoria pública y participación de varios oferentes</w:t>
      </w:r>
      <w:r w:rsidRPr="006F42F9">
        <w:rPr>
          <w:rFonts w:ascii="Verdana" w:hAnsi="Verdana" w:cs="Arial"/>
          <w:lang w:eastAsia="en-GB"/>
        </w:rPr>
        <w:t>”</w:t>
      </w:r>
      <w:r w:rsidRPr="006F42F9">
        <w:rPr>
          <w:rFonts w:ascii="Verdana" w:hAnsi="Verdana" w:cs="Arial"/>
          <w:lang w:eastAsia="x-none"/>
        </w:rPr>
        <w:t xml:space="preserve">. </w:t>
      </w:r>
    </w:p>
    <w:p w14:paraId="5078A499" w14:textId="77777777" w:rsidR="00B51755" w:rsidRPr="006F42F9" w:rsidRDefault="00B51755" w:rsidP="00B51755">
      <w:pPr>
        <w:spacing w:after="120" w:line="276" w:lineRule="auto"/>
        <w:ind w:firstLine="708"/>
        <w:jc w:val="both"/>
        <w:rPr>
          <w:rFonts w:ascii="Verdana" w:hAnsi="Verdana" w:cs="Arial"/>
          <w:lang w:eastAsia="x-none"/>
        </w:rPr>
      </w:pPr>
      <w:r w:rsidRPr="006F42F9">
        <w:rPr>
          <w:rFonts w:ascii="Verdana" w:hAnsi="Verdana" w:cs="Arial"/>
          <w:bCs/>
          <w:lang w:val="es-MX" w:eastAsia="x-none"/>
        </w:rPr>
        <w:t>E</w:t>
      </w:r>
      <w:r w:rsidRPr="006F42F9">
        <w:rPr>
          <w:rFonts w:ascii="Verdana"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6F42F9">
        <w:rPr>
          <w:rFonts w:ascii="Verdana" w:hAnsi="Verdana" w:cs="Arial"/>
          <w:vertAlign w:val="superscript"/>
          <w:lang w:eastAsia="x-none"/>
        </w:rPr>
        <w:footnoteReference w:id="17"/>
      </w:r>
      <w:r w:rsidRPr="006F42F9">
        <w:rPr>
          <w:rFonts w:ascii="Verdana" w:hAnsi="Verdana" w:cs="Arial"/>
          <w:lang w:eastAsia="x-none"/>
        </w:rPr>
        <w:t xml:space="preserve">. </w:t>
      </w:r>
    </w:p>
    <w:p w14:paraId="3F4F74D2" w14:textId="77777777" w:rsidR="00B51755" w:rsidRPr="006F42F9" w:rsidRDefault="00B51755" w:rsidP="00B51755">
      <w:pPr>
        <w:spacing w:after="120" w:line="276" w:lineRule="auto"/>
        <w:ind w:firstLine="708"/>
        <w:jc w:val="both"/>
        <w:rPr>
          <w:rFonts w:ascii="Verdana" w:eastAsia="Times New Roman" w:hAnsi="Verdana" w:cs="Arial"/>
          <w:bCs/>
          <w:lang w:eastAsia="x-none"/>
        </w:rPr>
      </w:pPr>
      <w:r w:rsidRPr="006F42F9">
        <w:rPr>
          <w:rFonts w:ascii="Verdana" w:hAnsi="Verdana" w:cs="Arial"/>
          <w:bCs/>
          <w:lang w:val="es-MX" w:eastAsia="es-CO"/>
        </w:rPr>
        <w:t>Sobre el particular, la</w:t>
      </w:r>
      <w:r w:rsidRPr="006F42F9">
        <w:rPr>
          <w:rFonts w:ascii="Verdana" w:eastAsia="Times New Roman" w:hAnsi="Verdana" w:cs="Arial"/>
          <w:bCs/>
          <w:lang w:val="es-MX" w:eastAsia="x-none"/>
        </w:rPr>
        <w:t xml:space="preserve"> Circular Externa No. 006 de 2025 expedida por la ANCP – CCE, señaló en el literal </w:t>
      </w:r>
      <w:proofErr w:type="spellStart"/>
      <w:r w:rsidRPr="006F42F9">
        <w:rPr>
          <w:rFonts w:ascii="Verdana" w:eastAsia="Times New Roman" w:hAnsi="Verdana" w:cs="Arial"/>
          <w:bCs/>
          <w:lang w:val="es-MX" w:eastAsia="x-none"/>
        </w:rPr>
        <w:t>ii</w:t>
      </w:r>
      <w:proofErr w:type="spellEnd"/>
      <w:r w:rsidRPr="006F42F9">
        <w:rPr>
          <w:rFonts w:ascii="Verdana" w:eastAsia="Times New Roman" w:hAnsi="Verdana" w:cs="Arial"/>
          <w:bCs/>
          <w:lang w:val="es-MX" w:eastAsia="x-none"/>
        </w:rPr>
        <w:t>) del numeral 1 que “</w:t>
      </w:r>
      <w:r w:rsidRPr="006F42F9">
        <w:rPr>
          <w:rFonts w:ascii="Verdana" w:eastAsia="Times New Roman" w:hAnsi="Verdana" w:cs="Arial"/>
          <w:bCs/>
          <w:lang w:eastAsia="x-none"/>
        </w:rPr>
        <w:t xml:space="preserve">Esta circunstancia no se extiende a la contratación directa aplicable en algunos regímenes especiales con </w:t>
      </w:r>
      <w:r w:rsidRPr="006F42F9">
        <w:rPr>
          <w:rFonts w:ascii="Verdana" w:eastAsia="Times New Roman" w:hAnsi="Verdana" w:cs="Arial"/>
          <w:bCs/>
          <w:lang w:eastAsia="x-none"/>
        </w:rPr>
        <w:lastRenderedPageBreak/>
        <w:t>listas de precalificados, ya que a efecto de que no se configure la contratación directa, la selección del futuro contratista debe darse en términos de competencia”.</w:t>
      </w:r>
    </w:p>
    <w:p w14:paraId="66418410" w14:textId="77777777" w:rsidR="00B51755" w:rsidRPr="006F42F9" w:rsidRDefault="00B51755" w:rsidP="00B51755">
      <w:pPr>
        <w:spacing w:after="120" w:line="276" w:lineRule="auto"/>
        <w:ind w:firstLine="708"/>
        <w:jc w:val="both"/>
        <w:rPr>
          <w:rFonts w:ascii="Verdana" w:eastAsia="Times New Roman" w:hAnsi="Verdana" w:cs="Arial"/>
          <w:bCs/>
          <w:lang w:eastAsia="x-none"/>
        </w:rPr>
      </w:pPr>
      <w:r w:rsidRPr="006F42F9">
        <w:rPr>
          <w:rFonts w:ascii="Verdana" w:eastAsia="Times New Roman" w:hAnsi="Verdana" w:cs="Arial"/>
          <w:bCs/>
          <w:lang w:eastAsia="x-none"/>
        </w:rPr>
        <w:t>Lo anterior implica que, en este tipo de sistemas, lo relevante para poder determinar que no se está frente a una contratación directa radica en que la conformación de la lista de precalificados o del registro de banco de proveedores se haya efectuado mediante una convocatoria pública, que garantice la participación de pluralidad de oferentes,</w:t>
      </w:r>
      <w:r w:rsidRPr="006F42F9">
        <w:t xml:space="preserve"> </w:t>
      </w:r>
      <w:r w:rsidRPr="006F42F9">
        <w:rPr>
          <w:rFonts w:ascii="Verdana" w:eastAsia="Times New Roman" w:hAnsi="Verdana" w:cs="Arial"/>
          <w:bCs/>
          <w:lang w:eastAsia="x-none"/>
        </w:rPr>
        <w:t>evitando así decisiones discrecionales. Asimismo, resulta indispensable que la selección del contratista se encuentre sometida a criterios objetivos, previamente definidos, que permitan identificar la oferta más favorable a partir de un escenario de competencia real.</w:t>
      </w:r>
    </w:p>
    <w:p w14:paraId="7A74499A" w14:textId="77777777" w:rsidR="00B51755" w:rsidRPr="006F42F9" w:rsidRDefault="00B51755" w:rsidP="00B51755">
      <w:pPr>
        <w:spacing w:after="120" w:line="276" w:lineRule="auto"/>
        <w:ind w:firstLine="708"/>
        <w:jc w:val="both"/>
        <w:rPr>
          <w:rFonts w:ascii="Verdana" w:eastAsia="Times New Roman" w:hAnsi="Verdana" w:cs="Arial"/>
          <w:bCs/>
          <w:lang w:eastAsia="x-none"/>
        </w:rPr>
      </w:pPr>
      <w:r w:rsidRPr="006F42F9">
        <w:rPr>
          <w:rFonts w:ascii="Verdana" w:eastAsia="Times New Roman" w:hAnsi="Verdana" w:cs="Arial"/>
          <w:bCs/>
          <w:lang w:eastAsia="x-none"/>
        </w:rPr>
        <w:t xml:space="preserve">Por tanto, frente a la consulta planteada, es preciso señalar que para determinar la aplicación de la restricción prevista en el artículo 33 de la Ley de Garantías Electorales en aquellos sistemas de contratación en los cuales se invita a presentar propuesta a proveedores seleccionados de un banco de proveedores, resulta fundamental que se cumplan los dos criterios señalados. De un lado, es indispensable que tanto la inscripción en la lista de precalificados o en el banco de proveedores como el acceso a la etapa de presentación de ofertas se encuentren precedidos de mecanismos de convocatoria pública que garanticen la participación real de una pluralidad de oferentes, en condiciones de igualdad y transparencia. De otro lado, la selección del contratista debe estar sometida a criterios objetivos de tal manera que la escogencia del contratista sea el resultado de un ejercicio de comparación de propuestas en competencia y no de decisiones discrecionales de la entidad. </w:t>
      </w:r>
    </w:p>
    <w:p w14:paraId="5A389972" w14:textId="77777777" w:rsidR="00B51755" w:rsidRPr="006F42F9" w:rsidRDefault="00B51755" w:rsidP="00B51755">
      <w:pPr>
        <w:spacing w:after="120" w:line="276" w:lineRule="auto"/>
        <w:ind w:firstLine="708"/>
        <w:jc w:val="both"/>
        <w:rPr>
          <w:rFonts w:ascii="Verdana" w:eastAsia="Times New Roman" w:hAnsi="Verdana" w:cs="Arial"/>
          <w:bCs/>
          <w:lang w:eastAsia="x-none"/>
        </w:rPr>
      </w:pPr>
      <w:r w:rsidRPr="006F42F9">
        <w:rPr>
          <w:rFonts w:ascii="Verdana" w:eastAsia="Times New Roman" w:hAnsi="Verdana" w:cs="Arial"/>
          <w:bCs/>
          <w:lang w:eastAsia="x-none"/>
        </w:rPr>
        <w:t xml:space="preserve">Bajo este contexto, cuando los sistemas de listas de precalificados, bancos de proveedores o invitaciones cerradas no cumplan con los criterios señalados, resulta aplicable la restricción prevista en el artículo 33 </w:t>
      </w:r>
      <w:r w:rsidRPr="006F42F9">
        <w:rPr>
          <w:rFonts w:ascii="Verdana" w:eastAsia="Times New Roman" w:hAnsi="Verdana" w:cs="Arial"/>
          <w:bCs/>
          <w:i/>
          <w:iCs/>
          <w:lang w:eastAsia="x-none"/>
        </w:rPr>
        <w:t>ibidem</w:t>
      </w:r>
      <w:r w:rsidRPr="006F42F9">
        <w:rPr>
          <w:rFonts w:ascii="Verdana" w:eastAsia="Times New Roman" w:hAnsi="Verdana" w:cs="Arial"/>
          <w:bCs/>
          <w:lang w:eastAsia="x-none"/>
        </w:rPr>
        <w:t xml:space="preserve">, en la medida en que tales esquemas se asimilan materialmente a eventos de contratación directa. Ello, por cuanto permiten la escogencia del contratista de manera directa y discrecional por parte de la entidad estatal, sin una convocatoria pública que garantice la participación de otros oferentes ni un escenario de competencia que asegure la selección objetiva, bajo el aparente cumplimiento del requisito de pluralidad derivado exclusivamente de la existencia de una lista de precalificados. Esta interpretación resulta coherente con la finalidad de la Ley que tiene como </w:t>
      </w:r>
      <w:r w:rsidRPr="006F42F9">
        <w:rPr>
          <w:rFonts w:ascii="Verdana" w:eastAsia="Times New Roman" w:hAnsi="Verdana" w:cs="Arial"/>
          <w:lang w:val="es-MX" w:eastAsia="es-CO"/>
        </w:rPr>
        <w:t xml:space="preserve">propósito evitar cualquier tipo de arbitrariedad de los recursos </w:t>
      </w:r>
      <w:r w:rsidRPr="006F42F9">
        <w:rPr>
          <w:rFonts w:ascii="Verdana" w:eastAsia="Times New Roman" w:hAnsi="Verdana" w:cs="Arial"/>
          <w:lang w:val="es-MX" w:eastAsia="es-CO"/>
        </w:rPr>
        <w:lastRenderedPageBreak/>
        <w:t>del Estado que pueda incidir en el desarrollo de las campañas o afectar las garantías en la elección presidencial, en la medida en que este tipo de procedimientos contractuales pueden ser instrumentalizados para obtener ventajas indebidas en los procesos electorales.</w:t>
      </w:r>
    </w:p>
    <w:p w14:paraId="48639809" w14:textId="77777777" w:rsidR="00B51755" w:rsidRPr="006F42F9" w:rsidRDefault="00B51755" w:rsidP="00B51755">
      <w:pPr>
        <w:spacing w:after="120" w:line="276" w:lineRule="auto"/>
        <w:ind w:firstLine="708"/>
        <w:jc w:val="both"/>
        <w:rPr>
          <w:rFonts w:ascii="Verdana" w:eastAsia="Times New Roman" w:hAnsi="Verdana" w:cs="Arial"/>
          <w:bCs/>
          <w:lang w:eastAsia="x-none"/>
        </w:rPr>
      </w:pPr>
      <w:r w:rsidRPr="006F42F9">
        <w:rPr>
          <w:rFonts w:ascii="Verdana" w:eastAsia="Times New Roman" w:hAnsi="Verdana" w:cs="Arial"/>
          <w:bCs/>
          <w:lang w:eastAsia="x-none"/>
        </w:rPr>
        <w:t xml:space="preserve">En todo caso, las entidades sometidas a regímenes especiales o al derecho privado son responsables de evaluar, en cada caso concreto, si la implementación de sistemas como listas de precalificados, bancos de proveedores o esquemas de invitación cerrada comporta efectivamente la realización de una convocatoria pública y asegura la participación real de una pluralidad de oferentes. Dicha valoración debe efectuarse a la luz de las reglas previstas en sus respectivos manuales de contratación, lo cual exige un análisis del procedimiento adoptado, de manera que se garantice que la selección del contratista se derive de un escenario de competencia efectiva y no de mecanismos que, bajo una apariencia de pluralidad de oferentes, habiliten contrataciones que se encuentra bajo el ámbito de aplicación del artículo 33 de la Ley de Garantías Electorales.  </w:t>
      </w:r>
    </w:p>
    <w:p w14:paraId="2FCC6125" w14:textId="77777777" w:rsidR="00B51755" w:rsidRPr="006F42F9" w:rsidRDefault="00B51755" w:rsidP="00B51755">
      <w:pPr>
        <w:spacing w:after="120" w:line="276" w:lineRule="auto"/>
        <w:ind w:firstLine="708"/>
        <w:jc w:val="both"/>
        <w:rPr>
          <w:rFonts w:ascii="Verdana" w:hAnsi="Verdana" w:cs="Arial"/>
          <w:bCs/>
          <w:lang w:val="es-MX" w:eastAsia="x-none"/>
        </w:rPr>
      </w:pPr>
      <w:r w:rsidRPr="006F42F9">
        <w:rPr>
          <w:rFonts w:ascii="Verdana" w:hAnsi="Verdana" w:cs="Arial"/>
          <w:bCs/>
          <w:lang w:val="es-MX" w:eastAsia="es-CO"/>
        </w:rPr>
        <w:t xml:space="preserve">Asi las cosas, conforme a lo expuesto por el Consejo de Estado, </w:t>
      </w:r>
      <w:r w:rsidRPr="006F42F9">
        <w:rPr>
          <w:rFonts w:ascii="Verdana" w:hAnsi="Verdana" w:cs="Arial"/>
          <w:bCs/>
          <w:lang w:val="es-MX" w:eastAsia="x-none"/>
        </w:rPr>
        <w:t>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6F42F9">
        <w:rPr>
          <w:rFonts w:ascii="Verdana" w:hAnsi="Verdana" w:cs="Arial"/>
          <w:vertAlign w:val="superscript"/>
          <w:lang w:eastAsia="x-none"/>
        </w:rPr>
        <w:footnoteReference w:id="18"/>
      </w:r>
      <w:r w:rsidRPr="006F42F9">
        <w:rPr>
          <w:rFonts w:ascii="Verdana" w:hAnsi="Verdana" w:cs="Arial"/>
          <w:bCs/>
          <w:lang w:val="es-MX" w:eastAsia="x-none"/>
        </w:rPr>
        <w:t>.</w:t>
      </w:r>
      <w:r w:rsidRPr="006F42F9">
        <w:rPr>
          <w:rFonts w:ascii="Verdana" w:hAnsi="Verdana" w:cs="Arial"/>
          <w:vertAlign w:val="superscript"/>
          <w:lang w:eastAsia="x-none"/>
        </w:rPr>
        <w:t xml:space="preserve"> </w:t>
      </w:r>
    </w:p>
    <w:p w14:paraId="4EB7940B" w14:textId="77777777" w:rsidR="00B51755" w:rsidRPr="006F42F9" w:rsidRDefault="00B51755" w:rsidP="00B51755">
      <w:pPr>
        <w:spacing w:after="120" w:line="276" w:lineRule="auto"/>
        <w:ind w:firstLine="708"/>
        <w:jc w:val="both"/>
        <w:rPr>
          <w:rFonts w:ascii="Verdana" w:hAnsi="Verdana" w:cs="Arial"/>
          <w:lang w:eastAsia="x-none"/>
        </w:rPr>
      </w:pPr>
      <w:r w:rsidRPr="006F42F9">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6F42F9">
        <w:rPr>
          <w:rFonts w:ascii="Verdana"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73B74E66" w14:textId="77777777" w:rsidR="00B51755" w:rsidRPr="006F42F9" w:rsidRDefault="00B51755" w:rsidP="00B51755">
      <w:pPr>
        <w:spacing w:after="120" w:line="276" w:lineRule="auto"/>
        <w:ind w:firstLine="708"/>
        <w:jc w:val="both"/>
        <w:rPr>
          <w:rFonts w:ascii="Verdana" w:hAnsi="Verdana" w:cs="Arial"/>
          <w:bCs/>
          <w:lang w:val="es-MX" w:eastAsia="x-none"/>
        </w:rPr>
      </w:pPr>
      <w:bookmarkStart w:id="13" w:name="_Hlk77237094"/>
      <w:r w:rsidRPr="006F42F9">
        <w:rPr>
          <w:rFonts w:ascii="Verdana" w:hAnsi="Verdana" w:cs="Arial"/>
          <w:bCs/>
          <w:lang w:val="es-MX" w:eastAsia="es-CO"/>
        </w:rPr>
        <w:lastRenderedPageBreak/>
        <w:t xml:space="preserve">Como en otras oportunidades lo ha manifestado esta Agencia, las prórrogas, modificaciones o adiciones de los contratos suscritos antes de la </w:t>
      </w:r>
      <w:proofErr w:type="gramStart"/>
      <w:r w:rsidRPr="006F42F9">
        <w:rPr>
          <w:rFonts w:ascii="Verdana" w:hAnsi="Verdana" w:cs="Arial"/>
          <w:bCs/>
          <w:lang w:val="es-MX" w:eastAsia="es-CO"/>
        </w:rPr>
        <w:t>entrada en vigencia</w:t>
      </w:r>
      <w:proofErr w:type="gramEnd"/>
      <w:r w:rsidRPr="006F42F9">
        <w:rPr>
          <w:rFonts w:ascii="Verdana" w:hAnsi="Verdana" w:cs="Arial"/>
          <w:bCs/>
          <w:lang w:val="es-MX" w:eastAsia="es-CO"/>
        </w:rPr>
        <w:t xml:space="preserve"> de las prohibiciones anotadas, así como la cesión de </w:t>
      </w:r>
      <w:proofErr w:type="gramStart"/>
      <w:r w:rsidRPr="006F42F9">
        <w:rPr>
          <w:rFonts w:ascii="Verdana" w:hAnsi="Verdana" w:cs="Arial"/>
          <w:bCs/>
          <w:lang w:val="es-MX" w:eastAsia="es-CO"/>
        </w:rPr>
        <w:t>los mismos</w:t>
      </w:r>
      <w:proofErr w:type="gramEnd"/>
      <w:r w:rsidRPr="006F42F9">
        <w:rPr>
          <w:rFonts w:ascii="Verdana"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bookmarkEnd w:id="13"/>
    </w:p>
    <w:p w14:paraId="5A47882E" w14:textId="77777777" w:rsidR="00B51755" w:rsidRPr="006F42F9" w:rsidRDefault="00B51755" w:rsidP="00B51755">
      <w:pPr>
        <w:spacing w:after="120" w:line="276" w:lineRule="auto"/>
        <w:ind w:firstLine="708"/>
        <w:jc w:val="both"/>
        <w:rPr>
          <w:rFonts w:ascii="Verdana" w:hAnsi="Verdana" w:cs="Arial"/>
          <w:bCs/>
          <w:lang w:val="es-MX" w:eastAsia="es-CO"/>
        </w:rPr>
      </w:pPr>
      <w:r w:rsidRPr="006F42F9">
        <w:rPr>
          <w:rFonts w:ascii="Verdana"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6F42F9">
        <w:rPr>
          <w:rFonts w:ascii="Verdana" w:hAnsi="Verdana" w:cs="Arial"/>
          <w:bCs/>
          <w:lang w:val="es-MX" w:eastAsia="x-none"/>
        </w:rPr>
        <w:t>ii</w:t>
      </w:r>
      <w:proofErr w:type="spellEnd"/>
      <w:r w:rsidRPr="006F42F9">
        <w:rPr>
          <w:rFonts w:ascii="Verdana" w:hAnsi="Verdana" w:cs="Arial"/>
          <w:bCs/>
          <w:lang w:val="es-MX" w:eastAsia="x-none"/>
        </w:rPr>
        <w:t xml:space="preserve">) los contratos de crédito público; </w:t>
      </w:r>
      <w:proofErr w:type="spellStart"/>
      <w:r w:rsidRPr="006F42F9">
        <w:rPr>
          <w:rFonts w:ascii="Verdana" w:hAnsi="Verdana" w:cs="Arial"/>
          <w:bCs/>
          <w:lang w:val="es-MX" w:eastAsia="x-none"/>
        </w:rPr>
        <w:t>iii</w:t>
      </w:r>
      <w:proofErr w:type="spellEnd"/>
      <w:r w:rsidRPr="006F42F9">
        <w:rPr>
          <w:rFonts w:ascii="Verdana" w:hAnsi="Verdana" w:cs="Arial"/>
          <w:bCs/>
          <w:lang w:val="es-MX" w:eastAsia="x-none"/>
        </w:rPr>
        <w:t xml:space="preserve">) los requeridos para cubrir las emergencias educativas, sanitarias y desastres; </w:t>
      </w:r>
      <w:proofErr w:type="spellStart"/>
      <w:r w:rsidRPr="006F42F9">
        <w:rPr>
          <w:rFonts w:ascii="Verdana" w:hAnsi="Verdana" w:cs="Arial"/>
          <w:bCs/>
          <w:lang w:val="es-MX" w:eastAsia="x-none"/>
        </w:rPr>
        <w:t>iv</w:t>
      </w:r>
      <w:proofErr w:type="spellEnd"/>
      <w:r w:rsidRPr="006F42F9">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F42F9">
        <w:rPr>
          <w:rFonts w:ascii="Verdana"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540208F" w14:textId="77777777" w:rsidR="00B51755" w:rsidRPr="006F42F9" w:rsidRDefault="00B51755" w:rsidP="00B51755">
      <w:pPr>
        <w:spacing w:after="0" w:line="276" w:lineRule="auto"/>
        <w:ind w:firstLine="708"/>
        <w:jc w:val="both"/>
        <w:rPr>
          <w:rFonts w:ascii="Verdana" w:hAnsi="Verdana" w:cs="Arial"/>
          <w:bCs/>
          <w:lang w:val="es-MX" w:eastAsia="x-none"/>
        </w:rPr>
      </w:pPr>
      <w:r w:rsidRPr="006F42F9">
        <w:rPr>
          <w:rFonts w:ascii="Verdana" w:hAnsi="Verdana" w:cs="Arial"/>
          <w:bCs/>
          <w:lang w:val="es-MX" w:eastAsia="x-none"/>
        </w:rPr>
        <w:t xml:space="preserve">En esta labor es importante tener en cuenta, como lo anotó la Corte Constitucional, en Sentencia C-1153 de noviembre 11 de 2005 </w:t>
      </w:r>
      <w:bookmarkStart w:id="14" w:name="_Hlk74309042"/>
      <w:r w:rsidRPr="006F42F9">
        <w:rPr>
          <w:rFonts w:ascii="Verdana" w:hAnsi="Verdana" w:cs="Arial"/>
          <w:bCs/>
          <w:lang w:val="es-MX" w:eastAsia="x-none"/>
        </w:rPr>
        <w:t>que “</w:t>
      </w:r>
      <w:bookmarkEnd w:id="14"/>
      <w:r w:rsidRPr="006F42F9">
        <w:rPr>
          <w:rFonts w:ascii="Verdana" w:hAnsi="Verdana" w:cs="Arial"/>
          <w:bCs/>
          <w:lang w:val="es-MX" w:eastAsia="x-none"/>
        </w:rPr>
        <w:t xml:space="preserve">si bien la limitación garantiza la igualdad de condiciones, también es necesario que tal limitación que pretende la igualdad </w:t>
      </w:r>
      <w:bookmarkStart w:id="15" w:name="_Hlk75768308"/>
      <w:r w:rsidRPr="006F42F9">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sidRPr="006F42F9">
        <w:rPr>
          <w:rFonts w:ascii="Verdana" w:hAnsi="Verdana" w:cs="Arial"/>
          <w:vertAlign w:val="superscript"/>
          <w:lang w:val="es-MX"/>
        </w:rPr>
        <w:footnoteReference w:id="19"/>
      </w:r>
      <w:r w:rsidRPr="006F42F9">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5"/>
    </w:p>
    <w:p w14:paraId="082DCB3F" w14:textId="77777777" w:rsidR="00B51755" w:rsidRPr="006F42F9" w:rsidRDefault="00B51755" w:rsidP="00B51755">
      <w:pPr>
        <w:spacing w:after="0" w:line="276" w:lineRule="auto"/>
        <w:ind w:firstLine="708"/>
        <w:jc w:val="both"/>
        <w:rPr>
          <w:rFonts w:ascii="Verdana" w:hAnsi="Verdana" w:cs="Arial"/>
          <w:bCs/>
          <w:lang w:val="es-MX" w:eastAsia="x-none"/>
        </w:rPr>
      </w:pPr>
    </w:p>
    <w:p w14:paraId="5FDAD354" w14:textId="77777777" w:rsidR="00B51755" w:rsidRPr="006F42F9" w:rsidRDefault="00B51755" w:rsidP="00B51755">
      <w:pPr>
        <w:spacing w:after="0" w:line="276" w:lineRule="auto"/>
        <w:jc w:val="both"/>
        <w:rPr>
          <w:rFonts w:ascii="Verdana" w:hAnsi="Verdana" w:cs="Arial"/>
          <w:bCs/>
          <w:lang w:val="es-MX" w:eastAsia="x-none"/>
        </w:rPr>
      </w:pPr>
      <w:proofErr w:type="spellStart"/>
      <w:r w:rsidRPr="006F42F9">
        <w:rPr>
          <w:rFonts w:ascii="Verdana" w:eastAsia="Arial" w:hAnsi="Verdana" w:cs="Arial"/>
          <w:lang w:val="es-MX" w:eastAsia="es-ES" w:bidi="es-ES"/>
        </w:rPr>
        <w:lastRenderedPageBreak/>
        <w:t>iii</w:t>
      </w:r>
      <w:proofErr w:type="spellEnd"/>
      <w:r w:rsidRPr="006F42F9">
        <w:rPr>
          <w:rFonts w:ascii="Verdana" w:eastAsia="Arial" w:hAnsi="Verdana" w:cs="Arial"/>
          <w:lang w:val="es-MX" w:eastAsia="es-ES" w:bidi="es-ES"/>
        </w:rPr>
        <w:t xml:space="preserve">. </w:t>
      </w:r>
      <w:r w:rsidRPr="006F42F9">
        <w:rPr>
          <w:rFonts w:ascii="Verdana" w:hAnsi="Verdana" w:cs="Arial"/>
          <w:bCs/>
          <w:lang w:val="es-MX" w:eastAsia="x-none"/>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6F42F9">
        <w:rPr>
          <w:rFonts w:ascii="Verdana" w:hAnsi="Verdana" w:cs="Arial"/>
          <w:lang w:val="es-MX"/>
        </w:rPr>
        <w:t xml:space="preserve"> </w:t>
      </w:r>
      <w:r w:rsidRPr="006F42F9">
        <w:rPr>
          <w:rFonts w:ascii="Verdana" w:hAnsi="Verdana" w:cs="Arial"/>
          <w:bCs/>
          <w:lang w:val="es-MX" w:eastAsia="x-none"/>
        </w:rPr>
        <w:t>En efecto, tal como lo ha sostenido el Consejo de Estado, el vocablo “todos” utilizado por el legislador comprende</w:t>
      </w:r>
      <w:r w:rsidRPr="006F42F9">
        <w:rPr>
          <w:rFonts w:ascii="Verdana" w:hAnsi="Verdana" w:cs="Arial"/>
          <w:lang w:val="es-MX"/>
        </w:rPr>
        <w:t xml:space="preserve"> </w:t>
      </w:r>
      <w:r w:rsidRPr="006F42F9">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El Consejo de Estado, en Concepto con radicado 1727 de fecha 20 de febrero de 2006, consideró que: </w:t>
      </w:r>
    </w:p>
    <w:p w14:paraId="68EA1421" w14:textId="77777777" w:rsidR="00B51755" w:rsidRPr="006F42F9" w:rsidRDefault="00B51755" w:rsidP="00B51755">
      <w:pPr>
        <w:spacing w:after="0" w:line="276" w:lineRule="auto"/>
        <w:ind w:firstLine="708"/>
        <w:jc w:val="both"/>
        <w:rPr>
          <w:rFonts w:ascii="Verdana" w:hAnsi="Verdana" w:cs="Arial"/>
          <w:bCs/>
          <w:lang w:val="es-MX" w:eastAsia="x-none"/>
        </w:rPr>
      </w:pPr>
    </w:p>
    <w:p w14:paraId="7713354A" w14:textId="77777777" w:rsidR="00B51755" w:rsidRPr="006F42F9" w:rsidRDefault="00B51755" w:rsidP="00B51755">
      <w:pPr>
        <w:spacing w:after="0" w:line="240" w:lineRule="auto"/>
        <w:ind w:left="708" w:right="709"/>
        <w:jc w:val="both"/>
        <w:rPr>
          <w:rFonts w:ascii="Verdana" w:hAnsi="Verdana" w:cs="Arial"/>
          <w:bCs/>
          <w:sz w:val="20"/>
          <w:szCs w:val="20"/>
          <w:lang w:val="es-MX" w:eastAsia="es-CO"/>
        </w:rPr>
      </w:pPr>
      <w:r w:rsidRPr="006F42F9">
        <w:rPr>
          <w:rFonts w:ascii="Verdana" w:hAnsi="Verdana" w:cs="Arial"/>
          <w:bCs/>
          <w:sz w:val="20"/>
          <w:szCs w:val="20"/>
          <w:lang w:val="es-MX" w:eastAsia="x-none"/>
        </w:rPr>
        <w:t xml:space="preserve">“El artículo 33 de la ley 996 de 2005, </w:t>
      </w:r>
      <w:bookmarkStart w:id="16" w:name="_Hlk75787147"/>
      <w:r w:rsidRPr="006F42F9">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6F42F9">
        <w:rPr>
          <w:rFonts w:ascii="Verdana" w:hAnsi="Verdana" w:cs="Arial"/>
          <w:bCs/>
          <w:sz w:val="20"/>
          <w:szCs w:val="20"/>
          <w:vertAlign w:val="superscript"/>
          <w:lang w:val="es-MX" w:eastAsia="x-none"/>
        </w:rPr>
        <w:footnoteReference w:id="20"/>
      </w:r>
      <w:r w:rsidRPr="006F42F9">
        <w:rPr>
          <w:rFonts w:ascii="Verdana" w:hAnsi="Verdana" w:cs="Arial"/>
          <w:bCs/>
          <w:sz w:val="20"/>
          <w:szCs w:val="20"/>
          <w:lang w:val="es-MX" w:eastAsia="x-none"/>
        </w:rPr>
        <w:t>.</w:t>
      </w:r>
      <w:r w:rsidRPr="006F42F9">
        <w:rPr>
          <w:rFonts w:ascii="Verdana" w:hAnsi="Verdana" w:cs="Arial"/>
          <w:bCs/>
          <w:sz w:val="20"/>
          <w:szCs w:val="20"/>
          <w:lang w:val="es-MX" w:eastAsia="es-CO"/>
        </w:rPr>
        <w:t xml:space="preserve"> </w:t>
      </w:r>
    </w:p>
    <w:p w14:paraId="36F04907" w14:textId="77777777" w:rsidR="00B51755" w:rsidRPr="006F42F9" w:rsidRDefault="00B51755" w:rsidP="00B51755">
      <w:pPr>
        <w:spacing w:after="0" w:line="276" w:lineRule="auto"/>
        <w:ind w:firstLine="708"/>
        <w:jc w:val="both"/>
        <w:rPr>
          <w:rFonts w:ascii="Verdana" w:hAnsi="Verdana" w:cs="Arial"/>
          <w:bCs/>
          <w:lang w:val="es-MX" w:eastAsia="es-CO"/>
        </w:rPr>
      </w:pPr>
    </w:p>
    <w:p w14:paraId="3B2E4FCF" w14:textId="77777777" w:rsidR="00B51755" w:rsidRPr="006F42F9" w:rsidRDefault="00B51755" w:rsidP="00B51755">
      <w:pPr>
        <w:spacing w:after="0" w:line="276" w:lineRule="auto"/>
        <w:ind w:firstLine="708"/>
        <w:jc w:val="both"/>
        <w:rPr>
          <w:rFonts w:ascii="Verdana" w:hAnsi="Verdana" w:cs="Arial"/>
          <w:lang w:val="es-MX"/>
        </w:rPr>
      </w:pPr>
      <w:r w:rsidRPr="006F42F9">
        <w:rPr>
          <w:rFonts w:ascii="Verdana" w:hAnsi="Verdana" w:cs="Arial"/>
          <w:bCs/>
          <w:lang w:val="es-MX" w:eastAsia="x-none"/>
        </w:rPr>
        <w:t>De igual forma, en Concepto con radicado 1738 de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bookmarkStart w:id="17" w:name="_Hlk75758868"/>
      <w:bookmarkStart w:id="18" w:name="_Hlk75741220"/>
      <w:r w:rsidRPr="006F42F9">
        <w:rPr>
          <w:rFonts w:ascii="Verdana" w:hAnsi="Verdana" w:cs="Arial"/>
          <w:vertAlign w:val="superscript"/>
          <w:lang w:val="es-MX"/>
        </w:rPr>
        <w:footnoteReference w:id="21"/>
      </w:r>
      <w:bookmarkEnd w:id="17"/>
      <w:bookmarkEnd w:id="18"/>
      <w:r w:rsidRPr="006F42F9">
        <w:rPr>
          <w:rFonts w:ascii="Verdana" w:hAnsi="Verdana" w:cs="Arial"/>
          <w:bCs/>
          <w:lang w:val="es-MX" w:eastAsia="x-none"/>
        </w:rPr>
        <w:t>.</w:t>
      </w:r>
      <w:r w:rsidRPr="006F42F9">
        <w:rPr>
          <w:rFonts w:ascii="Verdana" w:hAnsi="Verdana" w:cs="Arial"/>
          <w:lang w:val="es-MX"/>
        </w:rPr>
        <w:t xml:space="preserve"> Sin </w:t>
      </w:r>
      <w:r w:rsidRPr="006F42F9">
        <w:rPr>
          <w:rFonts w:ascii="Verdana" w:hAnsi="Verdana" w:cs="Arial"/>
          <w:lang w:val="es-MX"/>
        </w:rPr>
        <w:lastRenderedPageBreak/>
        <w:t>embargo, debe precisarse el siguiente aspecto que distinguió la Sala de Consulta y Servicio Civil:</w:t>
      </w:r>
    </w:p>
    <w:p w14:paraId="7AB88FDD" w14:textId="77777777" w:rsidR="00B51755" w:rsidRPr="006F42F9" w:rsidRDefault="00B51755" w:rsidP="00B51755">
      <w:pPr>
        <w:spacing w:after="0" w:line="276" w:lineRule="auto"/>
        <w:jc w:val="both"/>
        <w:rPr>
          <w:rFonts w:ascii="Verdana" w:hAnsi="Verdana" w:cs="Arial"/>
          <w:lang w:val="es-MX"/>
        </w:rPr>
      </w:pPr>
    </w:p>
    <w:p w14:paraId="1573FF0F" w14:textId="77777777" w:rsidR="00B51755" w:rsidRPr="006F42F9" w:rsidRDefault="00B51755" w:rsidP="00B51755">
      <w:pPr>
        <w:spacing w:after="0" w:line="240" w:lineRule="auto"/>
        <w:ind w:left="708" w:right="709"/>
        <w:jc w:val="both"/>
        <w:rPr>
          <w:rFonts w:ascii="Verdana" w:hAnsi="Verdana" w:cs="Arial"/>
          <w:sz w:val="20"/>
          <w:szCs w:val="20"/>
          <w:lang w:val="es-MX"/>
        </w:rPr>
      </w:pPr>
      <w:bookmarkStart w:id="20" w:name="_Hlk75811446"/>
      <w:r w:rsidRPr="006F42F9">
        <w:rPr>
          <w:rFonts w:ascii="Verdana"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20"/>
    </w:p>
    <w:p w14:paraId="1E0C99F9" w14:textId="77777777" w:rsidR="00B51755" w:rsidRPr="006F42F9" w:rsidRDefault="00B51755" w:rsidP="00B51755">
      <w:pPr>
        <w:spacing w:after="0" w:line="240" w:lineRule="auto"/>
        <w:ind w:left="708" w:right="709"/>
        <w:jc w:val="both"/>
        <w:rPr>
          <w:rFonts w:ascii="Verdana" w:hAnsi="Verdana" w:cs="Arial"/>
          <w:sz w:val="20"/>
          <w:szCs w:val="20"/>
          <w:lang w:val="es-MX"/>
        </w:rPr>
      </w:pPr>
    </w:p>
    <w:p w14:paraId="647BAFC9" w14:textId="77777777" w:rsidR="00B51755" w:rsidRPr="006F42F9" w:rsidRDefault="00B51755" w:rsidP="00B51755">
      <w:pPr>
        <w:spacing w:after="0" w:line="240" w:lineRule="auto"/>
        <w:ind w:left="708" w:right="709"/>
        <w:jc w:val="both"/>
        <w:rPr>
          <w:rFonts w:ascii="Verdana" w:eastAsia="Calibri" w:hAnsi="Verdana" w:cs="Arial"/>
          <w:sz w:val="20"/>
          <w:szCs w:val="20"/>
          <w:lang w:val="es-MX"/>
        </w:rPr>
      </w:pPr>
      <w:r w:rsidRPr="006F42F9">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6F42F9">
        <w:rPr>
          <w:rFonts w:ascii="Verdana" w:eastAsia="Calibri" w:hAnsi="Verdana" w:cs="Arial"/>
          <w:sz w:val="20"/>
          <w:szCs w:val="20"/>
          <w:vertAlign w:val="superscript"/>
          <w:lang w:val="es-MX"/>
        </w:rPr>
        <w:footnoteReference w:id="22"/>
      </w:r>
      <w:r w:rsidRPr="006F42F9">
        <w:rPr>
          <w:rFonts w:ascii="Verdana" w:eastAsia="Times New Roman" w:hAnsi="Verdana" w:cs="Arial"/>
          <w:bCs/>
          <w:sz w:val="20"/>
          <w:szCs w:val="20"/>
          <w:lang w:val="es-MX" w:eastAsia="x-none"/>
        </w:rPr>
        <w:t>.</w:t>
      </w:r>
    </w:p>
    <w:p w14:paraId="7813930C" w14:textId="77777777" w:rsidR="00B51755" w:rsidRPr="006F42F9" w:rsidRDefault="00B51755" w:rsidP="00B51755">
      <w:pPr>
        <w:spacing w:after="120" w:line="276" w:lineRule="auto"/>
        <w:ind w:firstLine="709"/>
        <w:jc w:val="both"/>
        <w:rPr>
          <w:rFonts w:ascii="Verdana" w:hAnsi="Verdana" w:cs="Arial"/>
          <w:lang w:val="es-MX"/>
        </w:rPr>
      </w:pPr>
    </w:p>
    <w:p w14:paraId="21FD3C2E" w14:textId="77777777" w:rsidR="00B51755" w:rsidRPr="006F42F9" w:rsidRDefault="00B51755" w:rsidP="00B51755">
      <w:pPr>
        <w:spacing w:after="120" w:line="276" w:lineRule="auto"/>
        <w:ind w:firstLine="709"/>
        <w:jc w:val="both"/>
        <w:rPr>
          <w:rFonts w:ascii="Verdana" w:eastAsia="Times New Roman" w:hAnsi="Verdana" w:cs="Arial"/>
          <w:lang w:eastAsia="es-CO"/>
        </w:rPr>
      </w:pPr>
      <w:r w:rsidRPr="006F42F9">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6F42F9">
        <w:rPr>
          <w:rFonts w:ascii="Verdana" w:eastAsia="Times New Roman" w:hAnsi="Verdana" w:cs="Arial"/>
          <w:bCs/>
          <w:lang w:val="es-MX" w:eastAsia="x-none"/>
        </w:rPr>
        <w:t>establecimientos de crédito, las sociedades de servicios financieros y las entidades aseguradoras</w:t>
      </w:r>
      <w:r w:rsidRPr="006F42F9">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w:t>
      </w:r>
      <w:r w:rsidRPr="006F42F9">
        <w:rPr>
          <w:rFonts w:ascii="Verdana" w:eastAsia="Calibri" w:hAnsi="Verdana" w:cs="Arial"/>
          <w:lang w:val="es-MX"/>
        </w:rPr>
        <w:lastRenderedPageBreak/>
        <w:t>su cargo a nuevas personas, ni dejar de renovar los contratos existentes, pues significaría la parálisis de una actividad propia de la administración, que incluso podría desconocer los derechos fundamentales”</w:t>
      </w:r>
      <w:r w:rsidRPr="006F42F9">
        <w:rPr>
          <w:rFonts w:ascii="Verdana" w:eastAsia="Calibri" w:hAnsi="Verdana" w:cs="Arial"/>
          <w:vertAlign w:val="superscript"/>
          <w:lang w:val="es-MX"/>
        </w:rPr>
        <w:footnoteReference w:id="23"/>
      </w:r>
      <w:r w:rsidRPr="006F42F9">
        <w:rPr>
          <w:rFonts w:ascii="Verdana" w:eastAsia="Calibri" w:hAnsi="Verdana" w:cs="Arial"/>
          <w:lang w:val="es-MX"/>
        </w:rPr>
        <w:t>.</w:t>
      </w:r>
      <w:r w:rsidRPr="006F42F9">
        <w:rPr>
          <w:rFonts w:ascii="Verdana" w:eastAsia="Times New Roman" w:hAnsi="Verdana" w:cs="Arial"/>
          <w:lang w:eastAsia="es-CO"/>
        </w:rPr>
        <w:t xml:space="preserve"> </w:t>
      </w:r>
    </w:p>
    <w:p w14:paraId="0AFA7E44" w14:textId="77777777" w:rsidR="00B51755" w:rsidRPr="006F42F9" w:rsidRDefault="00B51755" w:rsidP="00B51755">
      <w:pPr>
        <w:spacing w:after="120" w:line="276" w:lineRule="auto"/>
        <w:ind w:firstLine="709"/>
        <w:jc w:val="both"/>
        <w:rPr>
          <w:rFonts w:ascii="Verdana" w:eastAsia="Times New Roman" w:hAnsi="Verdana" w:cs="Arial"/>
          <w:bCs/>
          <w:lang w:eastAsia="x-none"/>
        </w:rPr>
      </w:pPr>
      <w:r w:rsidRPr="006F42F9">
        <w:rPr>
          <w:rFonts w:ascii="Verdana" w:eastAsia="Times New Roman" w:hAnsi="Verdana" w:cs="Arial"/>
          <w:bCs/>
          <w:lang w:val="es-MX" w:eastAsia="x-none"/>
        </w:rPr>
        <w:t xml:space="preserve">Así las cosas, como lo señala la Circular Externa No. 006 de 2025 en el literal i) del numeral 1, </w:t>
      </w:r>
      <w:bookmarkEnd w:id="16"/>
      <w:r w:rsidRPr="006F42F9">
        <w:rPr>
          <w:rFonts w:ascii="Verdana" w:eastAsia="Times New Roman" w:hAnsi="Verdana" w:cs="Arial"/>
          <w:bCs/>
          <w:lang w:eastAsia="x-none"/>
        </w:rPr>
        <w:t>algunos ejemplos de los sujetos que tienen prohibido contratar directamente durante el periodo señalado en el artículo 33 son: las Entidades Estatales establecidas en el artículo 2 de la Ley 80 de 1993; las entidades descentralizadas indirectas, es decir, las que surgen por la voluntad asociativa de los entes públicos entre sí o con la intervención de particulares, como las derivadas de los artículos 95 y 96 de la Ley 489 de 1998; las empresas industriales y comerciales del Estado y las Sociedades de Economía Mixta, salvo cuando la celebración de un convenio interadministrativo sea ordenada, para ambas partes, por el Legislador; las Empresas de Servicios Públicos oficiales y mixtas; las Empresas Sociales del Estado; los entes universitarios autónomos, entre otros.</w:t>
      </w:r>
    </w:p>
    <w:p w14:paraId="46CAAA1B" w14:textId="77777777" w:rsidR="00B51755" w:rsidRPr="006F42F9" w:rsidRDefault="00B51755" w:rsidP="00B51755">
      <w:pPr>
        <w:spacing w:after="120" w:line="276" w:lineRule="auto"/>
        <w:jc w:val="both"/>
        <w:rPr>
          <w:rFonts w:ascii="Verdana" w:hAnsi="Verdana" w:cs="Arial"/>
        </w:rPr>
      </w:pPr>
      <w:proofErr w:type="spellStart"/>
      <w:r w:rsidRPr="006F42F9">
        <w:rPr>
          <w:rFonts w:ascii="Verdana" w:hAnsi="Verdana" w:cs="Arial"/>
          <w:bCs/>
          <w:lang w:val="es-MX" w:eastAsia="x-none"/>
        </w:rPr>
        <w:t>iv</w:t>
      </w:r>
      <w:proofErr w:type="spellEnd"/>
      <w:r w:rsidRPr="006F42F9">
        <w:rPr>
          <w:rFonts w:ascii="Verdana" w:hAnsi="Verdana" w:cs="Arial"/>
          <w:bCs/>
          <w:lang w:val="es-MX" w:eastAsia="x-none"/>
        </w:rPr>
        <w:t xml:space="preserve">. </w:t>
      </w:r>
      <w:r w:rsidRPr="006F42F9">
        <w:rPr>
          <w:rFonts w:ascii="Verdana" w:hAnsi="Verdana" w:cs="Arial"/>
        </w:rPr>
        <w:t xml:space="preserve">Tratándose de los patrimonios autónomos constituidos por entidades estatales, es necesario tener en cuenta que la naturaleza jurídica del fideicomitente no se traslada </w:t>
      </w:r>
      <w:r w:rsidRPr="006F42F9">
        <w:rPr>
          <w:rFonts w:ascii="Verdana" w:hAnsi="Verdana" w:cs="Arial"/>
          <w:i/>
          <w:iCs/>
        </w:rPr>
        <w:t>ipso iure</w:t>
      </w:r>
      <w:r w:rsidRPr="006F42F9">
        <w:rPr>
          <w:rFonts w:ascii="Verdana" w:hAnsi="Verdana" w:cs="Arial"/>
        </w:rPr>
        <w:t xml:space="preserve"> a los bienes fideicomitidos que administra la sociedad fiduciaria. Por ello, el inciso primero del artículo 2.5.2.1.1 del Decreto 2555 de 2010 dispone que “[…] aun cuando no son personas jurídicas, se constituyen en receptores de los derechos y obligaciones legales y convencionalmente derivados de los actos y contratos celebrados y ejecutados por el fiduciario en cumplimiento del contrato de fiducia”.</w:t>
      </w:r>
    </w:p>
    <w:p w14:paraId="67EC9883" w14:textId="77777777" w:rsidR="00B51755" w:rsidRPr="006F42F9" w:rsidRDefault="00B51755" w:rsidP="00B51755">
      <w:pPr>
        <w:spacing w:after="0" w:line="276" w:lineRule="auto"/>
        <w:ind w:firstLine="709"/>
        <w:jc w:val="both"/>
        <w:rPr>
          <w:rFonts w:ascii="Verdana" w:hAnsi="Verdana" w:cs="Arial"/>
        </w:rPr>
      </w:pPr>
      <w:r w:rsidRPr="006F42F9">
        <w:rPr>
          <w:rFonts w:ascii="Verdana" w:hAnsi="Verdana" w:cs="Arial"/>
        </w:rPr>
        <w:t>En esta medida, conforme a los artículos 1226 y 1233 del Código de Comercio, el patrimonio autónomo es un centro de imputación de derechos y obligaciones afecto a la finalidad contemplada en el acto constitutivo, de carácter temporal y totalmente diferente a la persona que lo origina –fiduciante, fideicomitente o constituyente–, quien lo administra –fiduciario– y quien habrá de recibirlo –fideicomisario o beneficiario–. Al respecto, la Superintendencia Financiera considera que:</w:t>
      </w:r>
    </w:p>
    <w:p w14:paraId="7AA3B719" w14:textId="77777777" w:rsidR="00B51755" w:rsidRPr="006F42F9" w:rsidRDefault="00B51755" w:rsidP="00B51755">
      <w:pPr>
        <w:spacing w:after="0" w:line="276" w:lineRule="auto"/>
        <w:ind w:firstLine="709"/>
        <w:jc w:val="both"/>
        <w:rPr>
          <w:rFonts w:ascii="Verdana" w:hAnsi="Verdana" w:cs="Arial"/>
        </w:rPr>
      </w:pPr>
    </w:p>
    <w:p w14:paraId="75B42E4B" w14:textId="77777777" w:rsidR="00B51755" w:rsidRPr="006F42F9" w:rsidRDefault="00B51755" w:rsidP="00B51755">
      <w:pPr>
        <w:spacing w:after="120" w:line="240" w:lineRule="auto"/>
        <w:ind w:left="709" w:right="709"/>
        <w:jc w:val="both"/>
        <w:rPr>
          <w:rFonts w:ascii="Verdana" w:hAnsi="Verdana" w:cs="Arial"/>
          <w:sz w:val="20"/>
          <w:szCs w:val="20"/>
        </w:rPr>
      </w:pPr>
      <w:r w:rsidRPr="006F42F9">
        <w:rPr>
          <w:rFonts w:ascii="Verdana" w:hAnsi="Verdana" w:cs="Arial"/>
          <w:sz w:val="20"/>
          <w:szCs w:val="20"/>
        </w:rPr>
        <w:t xml:space="preserve">“[…] el negocio fiduciario […] supone una transferencia de bienes por parte de un constituyente para que con ellos se cumpla una finalidad. Ese conjunto de bienes transferidos a una fiduciaria es lo que conforma o se </w:t>
      </w:r>
      <w:r w:rsidRPr="006F42F9">
        <w:rPr>
          <w:rFonts w:ascii="Verdana" w:hAnsi="Verdana" w:cs="Arial"/>
          <w:sz w:val="20"/>
          <w:szCs w:val="20"/>
        </w:rPr>
        <w:lastRenderedPageBreak/>
        <w:t xml:space="preserve">denomina patrimonio autónomo. Dichos bienes salen real y jurídicamente del patrimonio del fideicomitente (titular del dominio) y están afectos al cumplimiento de las finalidades señaladas en el acto constitutivo. (artículos 1226 a 1244 del C. Co). </w:t>
      </w:r>
    </w:p>
    <w:p w14:paraId="1C60E8F6" w14:textId="77777777" w:rsidR="00B51755" w:rsidRPr="006F42F9" w:rsidRDefault="00B51755" w:rsidP="00B51755">
      <w:pPr>
        <w:spacing w:after="0" w:line="240" w:lineRule="auto"/>
        <w:ind w:left="709" w:right="709"/>
        <w:jc w:val="both"/>
        <w:rPr>
          <w:rFonts w:ascii="Verdana" w:hAnsi="Verdana" w:cs="Arial"/>
          <w:sz w:val="21"/>
          <w:szCs w:val="21"/>
        </w:rPr>
      </w:pPr>
      <w:r w:rsidRPr="006F42F9">
        <w:rPr>
          <w:rFonts w:ascii="Verdana" w:hAnsi="Verdana" w:cs="Arial"/>
          <w:sz w:val="20"/>
          <w:szCs w:val="20"/>
        </w:rPr>
        <w:t>Los bienes recibidos en fideicomiso, es decir que conforman el patrimonio autónomo no pueden confundirse con los bienes del fiduciario, luego deben estar separados de los que integran los activos de la fiduciaria, son excluidos de la garantía general de los acreedores del fiduciario y fideicomitente y garantizan las obligaciones que contraiga el patrimonio autónomo en el logro de la finalidad de la fiducia”</w:t>
      </w:r>
      <w:r w:rsidRPr="006F42F9">
        <w:rPr>
          <w:rFonts w:ascii="Verdana" w:hAnsi="Verdana" w:cs="Arial"/>
          <w:sz w:val="20"/>
          <w:szCs w:val="20"/>
          <w:vertAlign w:val="superscript"/>
        </w:rPr>
        <w:footnoteReference w:id="24"/>
      </w:r>
      <w:r w:rsidRPr="006F42F9">
        <w:rPr>
          <w:rFonts w:ascii="Verdana" w:hAnsi="Verdana" w:cs="Arial"/>
          <w:sz w:val="20"/>
          <w:szCs w:val="20"/>
        </w:rPr>
        <w:t>.</w:t>
      </w:r>
      <w:r w:rsidRPr="006F42F9">
        <w:rPr>
          <w:rFonts w:ascii="Verdana" w:hAnsi="Verdana" w:cs="Arial"/>
          <w:sz w:val="21"/>
          <w:szCs w:val="21"/>
        </w:rPr>
        <w:t xml:space="preserve"> </w:t>
      </w:r>
    </w:p>
    <w:p w14:paraId="4CD5E6A1" w14:textId="77777777" w:rsidR="00B51755" w:rsidRPr="006F42F9" w:rsidRDefault="00B51755" w:rsidP="00B51755">
      <w:pPr>
        <w:spacing w:after="0" w:line="276" w:lineRule="auto"/>
        <w:ind w:left="709" w:right="709"/>
        <w:jc w:val="both"/>
        <w:rPr>
          <w:rFonts w:ascii="Verdana" w:hAnsi="Verdana" w:cs="Arial"/>
        </w:rPr>
      </w:pPr>
      <w:r w:rsidRPr="006F42F9">
        <w:rPr>
          <w:rFonts w:ascii="Verdana" w:hAnsi="Verdana" w:cs="Arial"/>
        </w:rPr>
        <w:t xml:space="preserve">   </w:t>
      </w:r>
    </w:p>
    <w:p w14:paraId="44FD9058" w14:textId="77777777" w:rsidR="00B51755" w:rsidRPr="006F42F9" w:rsidRDefault="00B51755" w:rsidP="00B51755">
      <w:pPr>
        <w:spacing w:after="120" w:line="276" w:lineRule="auto"/>
        <w:ind w:firstLine="708"/>
        <w:jc w:val="both"/>
        <w:rPr>
          <w:rFonts w:ascii="Verdana" w:hAnsi="Verdana" w:cs="Arial"/>
        </w:rPr>
      </w:pPr>
      <w:r w:rsidRPr="006F42F9">
        <w:rPr>
          <w:rFonts w:ascii="Verdana" w:hAnsi="Verdana" w:cs="Arial"/>
        </w:rPr>
        <w:t>De acuerdo con lo anterior, es importante separar los patrimonios del fiduciante y la fiduciaria del patrimonio autónomo constituido con ocasión del contrato de fiducia, puesto que cada uno de ellos deberá responder por sus propias obligaciones. Por tanto, el patrimonio autónomo solo será responsable por las obligaciones que se contraigan por el logro de la finalidad para la cual fue entregado en administración y nunca por las obligaciones derivadas del cumplimiento del objeto social de la entidad fiduciaria ni por las que haya adquirido el fiduciante. En esta medida, los patrimonios autónomos no pueden considerarse como entidades del Estado, pues derivan de negocios fiduciarios conformados por un conjunto de bienes para el cumplimiento de un objetivo específico que se expresa en el acto de constitución.</w:t>
      </w:r>
    </w:p>
    <w:p w14:paraId="4E976259" w14:textId="77777777" w:rsidR="00B51755" w:rsidRPr="006F42F9" w:rsidRDefault="00B51755" w:rsidP="00B51755">
      <w:pPr>
        <w:spacing w:after="0" w:line="276" w:lineRule="auto"/>
        <w:ind w:firstLine="708"/>
        <w:jc w:val="both"/>
        <w:rPr>
          <w:rFonts w:ascii="Verdana" w:hAnsi="Verdana" w:cs="Arial"/>
        </w:rPr>
      </w:pPr>
      <w:proofErr w:type="gramStart"/>
      <w:r w:rsidRPr="006F42F9">
        <w:rPr>
          <w:rFonts w:ascii="Verdana" w:hAnsi="Verdana" w:cs="Arial"/>
        </w:rPr>
        <w:t>A pesar que</w:t>
      </w:r>
      <w:proofErr w:type="gramEnd"/>
      <w:r w:rsidRPr="006F42F9">
        <w:rPr>
          <w:rFonts w:ascii="Verdana" w:hAnsi="Verdana" w:cs="Arial"/>
        </w:rPr>
        <w:t xml:space="preserve"> el patrimonio autónomo no es una entidad estatal, ello no justifica por sí solo inaplicar la prohibición del artículo 33 de la Ley de Garantías. Entender lo contrario implicaría que, con el objetivo de eludir la restricción, sería posible celebrar negocios fiduciarios para que el representante del patrimonio autónomo suscribiera los contratos que no pueda adelantar por sí misma la entidad fideicomitente. Esta consecuencia es inaceptable, pues es contraria la finalidad de la Ley de Garantías, razón por la cual la Agencia –en el Concepto 4201713000006681 de 2018– consideró que:</w:t>
      </w:r>
    </w:p>
    <w:p w14:paraId="20A4DD21" w14:textId="77777777" w:rsidR="00B51755" w:rsidRPr="006F42F9" w:rsidRDefault="00B51755" w:rsidP="00B51755">
      <w:pPr>
        <w:spacing w:after="0" w:line="276" w:lineRule="auto"/>
        <w:ind w:firstLine="708"/>
        <w:jc w:val="both"/>
        <w:rPr>
          <w:rFonts w:ascii="Verdana" w:hAnsi="Verdana" w:cs="Arial"/>
        </w:rPr>
      </w:pPr>
    </w:p>
    <w:p w14:paraId="6FC40AEF" w14:textId="77777777" w:rsidR="00B51755" w:rsidRPr="006F42F9" w:rsidRDefault="00B51755" w:rsidP="00B51755">
      <w:pPr>
        <w:spacing w:after="0" w:line="240" w:lineRule="auto"/>
        <w:ind w:left="709" w:right="709"/>
        <w:jc w:val="both"/>
        <w:rPr>
          <w:rFonts w:ascii="Verdana" w:hAnsi="Verdana" w:cs="Arial"/>
          <w:sz w:val="20"/>
          <w:szCs w:val="20"/>
        </w:rPr>
      </w:pPr>
      <w:r w:rsidRPr="006F42F9">
        <w:rPr>
          <w:rFonts w:ascii="Verdana" w:hAnsi="Verdana" w:cs="Arial"/>
          <w:sz w:val="20"/>
          <w:szCs w:val="20"/>
        </w:rPr>
        <w:t xml:space="preserve">“La constitución de patrimonios autónomos en virtud de una fiducia mercantil no podrá transgredir preceptos legales ni podrán ser instrumentos con los cuales se omitan las restricciones para celebrar contratos a las que se encuentren sujetas las Entidades fideicomitentes, ya que con su constitución no se desnaturalizan los recursos con los cuales se conforma el patrimonio autónomo ni se desvincula el poder de </w:t>
      </w:r>
      <w:r w:rsidRPr="006F42F9">
        <w:rPr>
          <w:rFonts w:ascii="Verdana" w:hAnsi="Verdana" w:cs="Arial"/>
          <w:sz w:val="20"/>
          <w:szCs w:val="20"/>
        </w:rPr>
        <w:lastRenderedPageBreak/>
        <w:t>direccionamiento y decisión que podría ejercer el Ente del Estado en la contratación derivada de dicho patrimonio, capaz de influir en la voluntad del electorado […]”.</w:t>
      </w:r>
    </w:p>
    <w:p w14:paraId="4EE46BC2" w14:textId="77777777" w:rsidR="00B51755" w:rsidRPr="006F42F9" w:rsidRDefault="00B51755" w:rsidP="00B51755">
      <w:pPr>
        <w:spacing w:after="0" w:line="276" w:lineRule="auto"/>
        <w:jc w:val="both"/>
        <w:rPr>
          <w:rFonts w:ascii="Verdana" w:hAnsi="Verdana" w:cs="Arial"/>
        </w:rPr>
      </w:pPr>
    </w:p>
    <w:p w14:paraId="2C06D1E9" w14:textId="77777777" w:rsidR="00B51755" w:rsidRPr="006F42F9" w:rsidRDefault="00B51755" w:rsidP="00B51755">
      <w:pPr>
        <w:spacing w:after="120" w:line="276" w:lineRule="auto"/>
        <w:ind w:firstLine="708"/>
        <w:jc w:val="both"/>
        <w:rPr>
          <w:rFonts w:ascii="Verdana" w:hAnsi="Verdana" w:cs="Arial"/>
        </w:rPr>
      </w:pPr>
      <w:r w:rsidRPr="006F42F9">
        <w:rPr>
          <w:rFonts w:ascii="Verdana" w:hAnsi="Verdana" w:cs="Arial"/>
        </w:rPr>
        <w:t xml:space="preserve">Teniendo en cuenta las preguntas planteadas en la consulta, es necesario recoger esta postura con el fin de ampliar la fundamentación correspondiente. Así, considerando que las restricciones de la Ley de Garantías son de interpretación estricta, la aplicación a otro tipo de sujetos –como las entidades fiduciarias que administran recursos públicos de entidades estatales– debe fundamentarse en las disposiciones que conforman el bloque de legalidad. Esto en la medida que, conforme a las exigencias del debido proceso, no puede existir prohibición sin norma previa.  </w:t>
      </w:r>
    </w:p>
    <w:p w14:paraId="1CAFA8B8" w14:textId="77777777" w:rsidR="00B51755" w:rsidRPr="006F42F9" w:rsidRDefault="00B51755" w:rsidP="00B51755">
      <w:pPr>
        <w:spacing w:after="120" w:line="276" w:lineRule="auto"/>
        <w:ind w:firstLine="708"/>
        <w:jc w:val="both"/>
        <w:rPr>
          <w:rFonts w:ascii="Verdana" w:hAnsi="Verdana" w:cs="Arial"/>
        </w:rPr>
      </w:pPr>
      <w:r w:rsidRPr="006F42F9">
        <w:rPr>
          <w:rFonts w:ascii="Verdana" w:hAnsi="Verdana" w:cs="Arial"/>
        </w:rPr>
        <w:t xml:space="preserve">Para estos efectos, tratándose de las entidades sometidas al Estatuto General de Contratación de la Administración Pública, el artículo 32.5, inciso octavo, de la Ley 80 de 1993 dispone lo siguiente: “La fiducia que se autoriza para el sector público en esta ley, nunca implicará transferencia de dominio sobre bienes o recursos estatales, ni constituirá patrimonio autónomo del propio de la respectiva entidad oficial, sin perjuicio de las responsabilidades propias del ordenador del gasto”. Dado que los bienes fideicomitidos no salen del patrimonio de la entidad estatal, la ley exige que la fiduciaria los administre bajo el mismo régimen jurídico del constituyente. </w:t>
      </w:r>
    </w:p>
    <w:p w14:paraId="19E862DA" w14:textId="77777777" w:rsidR="00B51755" w:rsidRPr="006F42F9" w:rsidRDefault="00B51755" w:rsidP="00B51755">
      <w:pPr>
        <w:spacing w:after="120" w:line="276" w:lineRule="auto"/>
        <w:ind w:firstLine="708"/>
        <w:jc w:val="both"/>
        <w:rPr>
          <w:rFonts w:ascii="Verdana" w:hAnsi="Verdana" w:cs="Arial"/>
        </w:rPr>
      </w:pPr>
      <w:r w:rsidRPr="006F42F9">
        <w:rPr>
          <w:rFonts w:ascii="Verdana" w:hAnsi="Verdana" w:cs="Arial"/>
        </w:rPr>
        <w:t xml:space="preserve">Por ello, el inciso quinto </w:t>
      </w:r>
      <w:r w:rsidRPr="006F42F9">
        <w:rPr>
          <w:rFonts w:ascii="Verdana" w:hAnsi="Verdana" w:cs="Arial"/>
          <w:i/>
          <w:iCs/>
        </w:rPr>
        <w:t>ibidem</w:t>
      </w:r>
      <w:r w:rsidRPr="006F42F9">
        <w:rPr>
          <w:rFonts w:ascii="Verdana" w:hAnsi="Verdana" w:cs="Arial"/>
        </w:rPr>
        <w:t xml:space="preserve"> también prescribe que “Los actos y contratos que se realicen en desarrollo de un contrato de fiducia pública o encargo fiduciario cumplirán estrictamente con las normas previstas en este estatuto, así como con las disposiciones fiscales, presupuestales, de interventoría y de control a las cuales esté sujeta la entidad estatal fideicomitente”. De esta manera, teniendo en cuenta que la prohibición establecida en el artículo 33 de la Ley de Garantías es una norma a la cual están sujetos los contratos que puede celebrar la entidad fideicomitente, la restricción también se extendería a la sociedad fiduciaria en virtud de la disposición indicada, que precisamente extiende distintas disposiciones jurídicas para que resulten aplicables a los actos y contratos que se realicen en desarrollo del contrato de fiducia pública o encargo fiduciario, sin que esta extensión del régimen jurídico se limite a las normas previstas en el EGCAP, sino a las demás señaladas en el inciso citado.  </w:t>
      </w:r>
    </w:p>
    <w:p w14:paraId="03250E08" w14:textId="77777777" w:rsidR="00B51755" w:rsidRPr="006F42F9" w:rsidRDefault="00B51755" w:rsidP="00B51755">
      <w:pPr>
        <w:spacing w:after="120" w:line="276" w:lineRule="auto"/>
        <w:ind w:firstLine="708"/>
        <w:jc w:val="both"/>
        <w:rPr>
          <w:rFonts w:ascii="Verdana" w:hAnsi="Verdana" w:cs="Arial"/>
        </w:rPr>
      </w:pPr>
      <w:r w:rsidRPr="006F42F9">
        <w:rPr>
          <w:rFonts w:ascii="Verdana" w:hAnsi="Verdana" w:cs="Arial"/>
        </w:rPr>
        <w:lastRenderedPageBreak/>
        <w:t>Lo anterior no significa que los patrimonios autónomos constituidos a través de contratos de fiducia mercantil no se rijan por la misma prohibición. En estos casos, especialmente para las entidades exceptuadas de la aplicación del EGCAP que actúen en calidad de constituyentes, es necesario tener en cuenta que el parágrafo d</w:t>
      </w:r>
      <w:bookmarkStart w:id="21" w:name="_Hlk86322055"/>
      <w:r w:rsidRPr="006F42F9">
        <w:rPr>
          <w:rFonts w:ascii="Verdana" w:hAnsi="Verdana" w:cs="Arial"/>
        </w:rPr>
        <w:t>el artículo 2.5.2.1.1 del Decreto 2555 de 2010</w:t>
      </w:r>
      <w:bookmarkEnd w:id="21"/>
      <w:r w:rsidRPr="006F42F9">
        <w:rPr>
          <w:rFonts w:ascii="Verdana" w:hAnsi="Verdana" w:cs="Arial"/>
        </w:rPr>
        <w:t>, “Por el cual se recogen y reexpiden las normas en materia del sector financiero, asegurador y del mercado de valores y se dictan otras disposiciones”, establece que “El negocio fiduciario no podrá servir de instrumento para realizar actos o contratos que no pueda celebrar directamente el fideicomitente de acuerdo con las disposiciones legales”. Como se deduce del apartado normativo, esta disposición regula el régimen aplicable a las sociedades fiduciarias, especialmente, los derechos y obligaciones de los actos y contratos celebrados y ejecutados por el fiduciario, por lo que es transversal al ordenamiento jurídico, es decir, aplica en todos los contratos de fiducia con independencia de que el constituyente sea o no una entidad sometida a la Ley 80 de 1993.</w:t>
      </w:r>
    </w:p>
    <w:p w14:paraId="3F97EB4C" w14:textId="77777777" w:rsidR="00B51755" w:rsidRPr="006F42F9" w:rsidRDefault="00B51755" w:rsidP="00B51755">
      <w:pPr>
        <w:spacing w:after="120" w:line="276" w:lineRule="auto"/>
        <w:ind w:firstLine="708"/>
        <w:jc w:val="both"/>
        <w:rPr>
          <w:rFonts w:ascii="Verdana" w:hAnsi="Verdana" w:cs="Arial"/>
        </w:rPr>
      </w:pPr>
      <w:r w:rsidRPr="006F42F9">
        <w:rPr>
          <w:rFonts w:ascii="Verdana" w:hAnsi="Verdana" w:cs="Arial"/>
        </w:rPr>
        <w:t xml:space="preserve">Esto último se confirma en el inciso noveno del artículo 32.5 de la Ley 80 de 1993, ya que “A la fiducia pública le serán aplicables las normas del Código de Comercio sobre fiducia mercantil, en cuanto sean compatibles con lo dispuesto en esta ley”. Por lo demás, aunque los encargos fiduciarios no den lugar a un patrimonio autónomo, el citado artículo 2.5.2.1.1 del Decreto 2555 de 2010 también regula esta clase de negocios, pues –conforme al artículo 146.1 del Estatuto Orgánico del Sistema Financiero– “[…] En relación con los encargos fiduciarios  se aplicarán las disposiciones que regulan el contrato de fiducia mercantil, y subsidiariamente las disposiciones del Código de Comercio que regulan el contrato de mandato, en cuanto unas y otras sean compatibles con la naturaleza propia de estos negocios y no se opongan a las reglas especiales previstas en el presente Estatuto”. </w:t>
      </w:r>
    </w:p>
    <w:p w14:paraId="422AAAC3" w14:textId="77777777" w:rsidR="00B51755" w:rsidRPr="006F42F9" w:rsidRDefault="00B51755" w:rsidP="00B51755">
      <w:pPr>
        <w:spacing w:after="0" w:line="276" w:lineRule="auto"/>
        <w:ind w:firstLine="708"/>
        <w:jc w:val="both"/>
        <w:rPr>
          <w:rFonts w:ascii="Verdana" w:hAnsi="Verdana" w:cs="Arial"/>
        </w:rPr>
      </w:pPr>
      <w:r w:rsidRPr="006F42F9">
        <w:rPr>
          <w:rFonts w:ascii="Verdana" w:hAnsi="Verdana" w:cs="Arial"/>
        </w:rPr>
        <w:t xml:space="preserve">De esta manera, el artículo 33 de la Ley de Garantías se extiende a las sociedades fiduciarias en virtud del artículo 32.5, inciso quinto, de la Ley 80 de 1993. Con las diferencias en el alcance, de acuerdo con el inciso noveno </w:t>
      </w:r>
      <w:r w:rsidRPr="006F42F9">
        <w:rPr>
          <w:rFonts w:ascii="Verdana" w:hAnsi="Verdana" w:cs="Arial"/>
          <w:i/>
          <w:iCs/>
        </w:rPr>
        <w:t>ibidem</w:t>
      </w:r>
      <w:r w:rsidRPr="006F42F9">
        <w:rPr>
          <w:rFonts w:ascii="Verdana" w:hAnsi="Verdana" w:cs="Arial"/>
        </w:rPr>
        <w:t xml:space="preserve">, la misma es congruente con el artículo 2.5.2.1.1 del Decreto 2555 de 2010, el cual rige también en los negocios fiduciarios de las entidades exceptuadas de la aplicación del EGCAP. Por tanto, con independencia del régimen jurídico de la entidad fideicomitente, la prohibición de contratación directa durante la vigencia de la Ley de Garantías también les aplica a las fiduciarias que administran los </w:t>
      </w:r>
      <w:r w:rsidRPr="006F42F9">
        <w:rPr>
          <w:rFonts w:ascii="Verdana" w:hAnsi="Verdana" w:cs="Arial"/>
        </w:rPr>
        <w:lastRenderedPageBreak/>
        <w:t>recursos públicos de los entes del Estado. En este contexto, se reitera que las sociedades fiduciarias no pueden celebrar los contratos en los que las entidades constituyentes tengan alguna restricción, por lo que no son un instrumento para eludir el artículo 33 de la Ley de Garantías. Como explica la doctrina, dado que están prohibidos los negocios fiduciarios realizados en fraude a la ley, la libertad para suscribirlos:</w:t>
      </w:r>
    </w:p>
    <w:p w14:paraId="79E5D7BF" w14:textId="77777777" w:rsidR="00B51755" w:rsidRPr="006F42F9" w:rsidRDefault="00B51755" w:rsidP="00B51755">
      <w:pPr>
        <w:spacing w:after="0" w:line="276" w:lineRule="auto"/>
        <w:ind w:firstLine="708"/>
        <w:jc w:val="both"/>
        <w:rPr>
          <w:rFonts w:ascii="Verdana" w:hAnsi="Verdana" w:cs="Arial"/>
        </w:rPr>
      </w:pPr>
      <w:r w:rsidRPr="006F42F9">
        <w:rPr>
          <w:rFonts w:ascii="Verdana" w:hAnsi="Verdana" w:cs="Arial"/>
        </w:rPr>
        <w:t xml:space="preserve"> </w:t>
      </w:r>
    </w:p>
    <w:p w14:paraId="0192C396" w14:textId="77777777" w:rsidR="00B51755" w:rsidRPr="006F42F9" w:rsidRDefault="00B51755" w:rsidP="00B51755">
      <w:pPr>
        <w:spacing w:after="0" w:line="240" w:lineRule="auto"/>
        <w:ind w:left="709" w:right="709"/>
        <w:jc w:val="both"/>
        <w:rPr>
          <w:rFonts w:ascii="Verdana" w:hAnsi="Verdana" w:cs="Arial"/>
          <w:sz w:val="20"/>
          <w:szCs w:val="20"/>
        </w:rPr>
      </w:pPr>
      <w:r w:rsidRPr="006F42F9">
        <w:rPr>
          <w:rFonts w:ascii="Verdana" w:hAnsi="Verdana" w:cs="Arial"/>
          <w:sz w:val="20"/>
          <w:szCs w:val="20"/>
        </w:rPr>
        <w:t>“[…] debe entenderse limitada, de manera natural, por la imposibilidad de buscar a través de un mecanismo oblicuo, la obtención de una finalidad que no sería lícito obtener al fideicomitente, si actuara en forma directa. Y naturalmente, ello implica un análisis teleológico del contrato para saber qué es lo que realmente se busca con él, si la obtención de la finalidad económica que aparentemente se establece como objeto de contrato y carga para el fiduciario o la eliminación, por esa vía, de restricciones o requisitos que vinculados al cumplimiento de normas de tipo imperativo, en las cuales se encuentren ínsitas el orden público o las buenas costumbres, podrían conducir a la celebración de un contrato nulo por objeto ilícito”</w:t>
      </w:r>
      <w:r w:rsidRPr="006F42F9">
        <w:rPr>
          <w:rFonts w:ascii="Verdana" w:hAnsi="Verdana" w:cs="Arial"/>
          <w:sz w:val="20"/>
          <w:szCs w:val="20"/>
          <w:vertAlign w:val="superscript"/>
        </w:rPr>
        <w:footnoteReference w:id="25"/>
      </w:r>
      <w:r w:rsidRPr="006F42F9">
        <w:rPr>
          <w:rFonts w:ascii="Verdana" w:hAnsi="Verdana" w:cs="Arial"/>
          <w:sz w:val="20"/>
          <w:szCs w:val="20"/>
        </w:rPr>
        <w:t xml:space="preserve">.  </w:t>
      </w:r>
    </w:p>
    <w:p w14:paraId="7665F515" w14:textId="77777777" w:rsidR="00B51755" w:rsidRPr="006F42F9" w:rsidRDefault="00B51755" w:rsidP="00B51755">
      <w:pPr>
        <w:spacing w:after="0" w:line="276" w:lineRule="auto"/>
        <w:jc w:val="both"/>
        <w:rPr>
          <w:rFonts w:ascii="Verdana" w:hAnsi="Verdana" w:cs="Arial"/>
        </w:rPr>
      </w:pPr>
    </w:p>
    <w:p w14:paraId="40780B2F" w14:textId="77777777" w:rsidR="00B51755" w:rsidRPr="006F42F9" w:rsidRDefault="00B51755" w:rsidP="00B51755">
      <w:pPr>
        <w:spacing w:after="0" w:line="276" w:lineRule="auto"/>
        <w:ind w:firstLine="708"/>
        <w:jc w:val="both"/>
        <w:rPr>
          <w:rFonts w:ascii="Verdana" w:hAnsi="Verdana" w:cs="Arial"/>
        </w:rPr>
      </w:pPr>
      <w:bookmarkStart w:id="22" w:name="_Hlk77237229"/>
      <w:r w:rsidRPr="006F42F9">
        <w:rPr>
          <w:rFonts w:ascii="Verdana" w:hAnsi="Verdana" w:cs="Arial"/>
        </w:rPr>
        <w:t>En resumen, la restricción prevista en la Ley 996 de 200</w:t>
      </w:r>
      <w:bookmarkStart w:id="23" w:name="_Hlk75741539"/>
      <w:r w:rsidRPr="006F42F9">
        <w:rPr>
          <w:rFonts w:ascii="Verdana" w:hAnsi="Verdana" w:cs="Arial"/>
        </w:rPr>
        <w:t xml:space="preserve">5, </w:t>
      </w:r>
      <w:r w:rsidRPr="006F42F9">
        <w:rPr>
          <w:rFonts w:ascii="Verdana" w:hAnsi="Verdana" w:cs="Arial"/>
          <w:bCs/>
          <w:lang w:eastAsia="x-none"/>
        </w:rPr>
        <w:t>teniendo en cuenta la finalidad de la ley de garantías electorales, cobija a cualquier ente del Estado que, a través de la contratación directa, pueda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bookmarkEnd w:id="22"/>
      <w:bookmarkEnd w:id="23"/>
      <w:r w:rsidRPr="006F42F9">
        <w:rPr>
          <w:rFonts w:ascii="Verdana" w:hAnsi="Verdana" w:cs="Arial"/>
          <w:bCs/>
          <w:lang w:eastAsia="x-none"/>
        </w:rPr>
        <w:t xml:space="preserve"> Incluso, de acuerdo con </w:t>
      </w:r>
      <w:r w:rsidRPr="006F42F9">
        <w:rPr>
          <w:rFonts w:ascii="Verdana" w:hAnsi="Verdana" w:cs="Arial"/>
        </w:rPr>
        <w:t xml:space="preserve">el artículo 32.5, inciso quinto, de la Ley 80 de 1993 y el artículo 2.5.2.1.1 del Decreto 2555 de 2010, la prohibición también se extiende a las sociedades fiduciarias, frente a los actos y contratos que realicen en desarrollo del negocio fiduciario, con independencia del régimen jurídico de la entidad fideicomitente, razón por la cual no  podría </w:t>
      </w:r>
      <w:proofErr w:type="spellStart"/>
      <w:r w:rsidRPr="006F42F9">
        <w:rPr>
          <w:rFonts w:ascii="Verdana" w:hAnsi="Verdana" w:cs="Arial"/>
        </w:rPr>
        <w:t>inaplicarse</w:t>
      </w:r>
      <w:proofErr w:type="spellEnd"/>
      <w:r w:rsidRPr="006F42F9">
        <w:rPr>
          <w:rFonts w:ascii="Verdana" w:hAnsi="Verdana" w:cs="Arial"/>
        </w:rPr>
        <w:t xml:space="preserve"> la prohibición establecida en el artículo 33 de la Ley de Garantías Electorales, con la constitución de patrimonios autónomos. Esto último rige para el contrato de </w:t>
      </w:r>
      <w:r w:rsidRPr="006F42F9">
        <w:rPr>
          <w:rFonts w:ascii="Verdana" w:hAnsi="Verdana" w:cs="Arial"/>
        </w:rPr>
        <w:lastRenderedPageBreak/>
        <w:t>fiducia que suscriba el Ministerio de Igualdad y Equidad con una Sociedad Fiduciaria Pública, en los términos del artículo 72 de la Ley 2294 de 2023</w:t>
      </w:r>
      <w:r w:rsidRPr="006F42F9">
        <w:rPr>
          <w:rFonts w:ascii="Verdana" w:hAnsi="Verdana" w:cs="Arial"/>
          <w:vertAlign w:val="superscript"/>
        </w:rPr>
        <w:footnoteReference w:id="26"/>
      </w:r>
      <w:r w:rsidRPr="006F42F9">
        <w:rPr>
          <w:rFonts w:ascii="Verdana" w:hAnsi="Verdana" w:cs="Arial"/>
        </w:rPr>
        <w:t>.</w:t>
      </w:r>
    </w:p>
    <w:p w14:paraId="5851E64F" w14:textId="77777777" w:rsidR="00B51755" w:rsidRPr="006F42F9" w:rsidRDefault="00B51755" w:rsidP="00B51755">
      <w:pPr>
        <w:spacing w:after="0" w:line="276" w:lineRule="auto"/>
        <w:ind w:firstLine="708"/>
        <w:jc w:val="both"/>
        <w:rPr>
          <w:rFonts w:ascii="Verdana" w:hAnsi="Verdana" w:cs="Arial"/>
          <w:bCs/>
          <w:lang w:val="es-MX" w:eastAsia="x-none"/>
        </w:rPr>
      </w:pPr>
    </w:p>
    <w:p w14:paraId="58FD558A" w14:textId="77777777" w:rsidR="00B51755" w:rsidRPr="006F42F9" w:rsidRDefault="00B51755" w:rsidP="00B51755">
      <w:pPr>
        <w:spacing w:after="120" w:line="276" w:lineRule="auto"/>
        <w:jc w:val="both"/>
        <w:rPr>
          <w:rFonts w:ascii="Verdana" w:eastAsia="Calibri" w:hAnsi="Verdana" w:cs="Arial"/>
          <w:bCs/>
          <w:color w:val="000000" w:themeColor="text1"/>
        </w:rPr>
      </w:pPr>
      <w:r w:rsidRPr="006F42F9">
        <w:rPr>
          <w:rFonts w:ascii="Verdana" w:eastAsia="Calibri" w:hAnsi="Verdana" w:cs="Arial"/>
          <w:bCs/>
          <w:color w:val="000000" w:themeColor="text1"/>
        </w:rPr>
        <w:t>v. 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9C77E1B" w14:textId="77777777" w:rsidR="00B51755" w:rsidRPr="006F42F9" w:rsidRDefault="00B51755" w:rsidP="00B51755">
      <w:pPr>
        <w:spacing w:after="0" w:line="276" w:lineRule="auto"/>
        <w:ind w:firstLine="708"/>
        <w:jc w:val="both"/>
        <w:rPr>
          <w:rFonts w:ascii="Verdana" w:eastAsia="Calibri" w:hAnsi="Verdana" w:cs="Arial"/>
          <w:bCs/>
          <w:color w:val="000000" w:themeColor="text1"/>
        </w:rPr>
      </w:pPr>
      <w:r w:rsidRPr="006F42F9">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53D85A9" w14:textId="77777777" w:rsidR="00B51755" w:rsidRPr="006F42F9" w:rsidRDefault="00B51755" w:rsidP="00B51755">
      <w:pPr>
        <w:tabs>
          <w:tab w:val="left" w:pos="709"/>
        </w:tabs>
        <w:spacing w:after="0" w:line="276" w:lineRule="auto"/>
        <w:jc w:val="both"/>
        <w:rPr>
          <w:rFonts w:ascii="Verdana" w:eastAsia="Calibri" w:hAnsi="Verdana" w:cs="Arial"/>
          <w:color w:val="000000" w:themeColor="text1"/>
        </w:rPr>
      </w:pPr>
    </w:p>
    <w:p w14:paraId="643D728B" w14:textId="77777777" w:rsidR="00B51755" w:rsidRPr="006F42F9" w:rsidRDefault="00B51755" w:rsidP="00B51755">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6F42F9">
        <w:rPr>
          <w:rFonts w:ascii="Verdana" w:eastAsia="Century Gothic" w:hAnsi="Verdana" w:cs="Century Gothic"/>
          <w:b/>
          <w:bCs/>
          <w:lang w:val="es-ES"/>
        </w:rPr>
        <w:t>Referencias normativas:</w:t>
      </w:r>
    </w:p>
    <w:p w14:paraId="246029A5" w14:textId="77777777" w:rsidR="00B51755" w:rsidRPr="006F42F9" w:rsidRDefault="00B51755" w:rsidP="00B5175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51755" w:rsidRPr="006F42F9" w14:paraId="4D04C87D" w14:textId="77777777" w:rsidTr="004A1678">
        <w:trPr>
          <w:trHeight w:val="870"/>
          <w:jc w:val="center"/>
        </w:trPr>
        <w:tc>
          <w:tcPr>
            <w:tcW w:w="8647" w:type="dxa"/>
          </w:tcPr>
          <w:p w14:paraId="182A6F0B" w14:textId="77777777" w:rsidR="00B51755" w:rsidRPr="006F42F9" w:rsidRDefault="00B51755" w:rsidP="004A1678">
            <w:pPr>
              <w:widowControl w:val="0"/>
              <w:numPr>
                <w:ilvl w:val="0"/>
                <w:numId w:val="17"/>
              </w:numPr>
              <w:autoSpaceDE w:val="0"/>
              <w:autoSpaceDN w:val="0"/>
              <w:spacing w:after="120" w:line="276" w:lineRule="auto"/>
              <w:ind w:left="714" w:hanging="357"/>
              <w:jc w:val="both"/>
              <w:rPr>
                <w:rFonts w:ascii="Verdana" w:hAnsi="Verdana" w:cs="Arial"/>
                <w:lang w:val="es-ES"/>
              </w:rPr>
            </w:pPr>
            <w:r w:rsidRPr="006F42F9">
              <w:rPr>
                <w:rFonts w:ascii="Verdana" w:hAnsi="Verdana" w:cs="Arial"/>
                <w:lang w:val="es-ES"/>
              </w:rPr>
              <w:t>Constitución Política de Colombia, artículos 127 y 197.</w:t>
            </w:r>
          </w:p>
          <w:p w14:paraId="2EF2B324" w14:textId="77777777" w:rsidR="00B51755" w:rsidRPr="006F42F9" w:rsidRDefault="00B51755" w:rsidP="004A1678">
            <w:pPr>
              <w:widowControl w:val="0"/>
              <w:numPr>
                <w:ilvl w:val="0"/>
                <w:numId w:val="17"/>
              </w:numPr>
              <w:autoSpaceDE w:val="0"/>
              <w:autoSpaceDN w:val="0"/>
              <w:spacing w:after="120" w:line="276" w:lineRule="auto"/>
              <w:ind w:left="714" w:hanging="357"/>
              <w:jc w:val="both"/>
              <w:rPr>
                <w:rFonts w:ascii="Verdana" w:hAnsi="Verdana" w:cs="Arial"/>
                <w:lang w:val="es-ES"/>
              </w:rPr>
            </w:pPr>
            <w:r w:rsidRPr="006F42F9">
              <w:rPr>
                <w:rFonts w:ascii="Verdana" w:hAnsi="Verdana" w:cs="Arial"/>
                <w:lang w:val="es-ES"/>
              </w:rPr>
              <w:t>Ley 80 de 1993, artículo 32.</w:t>
            </w:r>
          </w:p>
          <w:p w14:paraId="2FCF441F" w14:textId="77777777" w:rsidR="00B51755" w:rsidRPr="006F42F9" w:rsidRDefault="00B51755" w:rsidP="004A1678">
            <w:pPr>
              <w:widowControl w:val="0"/>
              <w:numPr>
                <w:ilvl w:val="0"/>
                <w:numId w:val="17"/>
              </w:numPr>
              <w:autoSpaceDE w:val="0"/>
              <w:autoSpaceDN w:val="0"/>
              <w:spacing w:after="120" w:line="276" w:lineRule="auto"/>
              <w:ind w:left="714" w:hanging="357"/>
              <w:jc w:val="both"/>
              <w:rPr>
                <w:rFonts w:ascii="Verdana" w:hAnsi="Verdana" w:cs="Arial"/>
                <w:lang w:val="es-ES"/>
              </w:rPr>
            </w:pPr>
            <w:r w:rsidRPr="006F42F9">
              <w:rPr>
                <w:rFonts w:ascii="Verdana" w:hAnsi="Verdana" w:cs="Arial"/>
                <w:lang w:val="es-ES"/>
              </w:rPr>
              <w:t>Ley 996 de 2005, artículos 9, 33 y 38.</w:t>
            </w:r>
          </w:p>
          <w:p w14:paraId="3D751D26" w14:textId="77777777" w:rsidR="00B51755" w:rsidRPr="006F42F9" w:rsidRDefault="00B51755" w:rsidP="004A1678">
            <w:pPr>
              <w:widowControl w:val="0"/>
              <w:numPr>
                <w:ilvl w:val="0"/>
                <w:numId w:val="17"/>
              </w:numPr>
              <w:autoSpaceDE w:val="0"/>
              <w:autoSpaceDN w:val="0"/>
              <w:spacing w:after="120" w:line="276" w:lineRule="auto"/>
              <w:ind w:left="714" w:hanging="357"/>
              <w:jc w:val="both"/>
              <w:rPr>
                <w:rFonts w:ascii="Verdana" w:hAnsi="Verdana" w:cs="Arial"/>
                <w:lang w:val="es-ES"/>
              </w:rPr>
            </w:pPr>
            <w:r w:rsidRPr="006F42F9">
              <w:rPr>
                <w:rFonts w:ascii="Verdana" w:hAnsi="Verdana" w:cs="Arial"/>
                <w:lang w:val="es-ES"/>
              </w:rPr>
              <w:t>Ley 1150 de 2007, artículo 2.</w:t>
            </w:r>
          </w:p>
          <w:p w14:paraId="50EC0402" w14:textId="77777777" w:rsidR="00B51755" w:rsidRPr="006F42F9" w:rsidRDefault="00B51755" w:rsidP="004A1678">
            <w:pPr>
              <w:widowControl w:val="0"/>
              <w:numPr>
                <w:ilvl w:val="0"/>
                <w:numId w:val="17"/>
              </w:numPr>
              <w:autoSpaceDE w:val="0"/>
              <w:autoSpaceDN w:val="0"/>
              <w:spacing w:after="120" w:line="276" w:lineRule="auto"/>
              <w:ind w:left="714" w:hanging="357"/>
              <w:jc w:val="both"/>
              <w:rPr>
                <w:rFonts w:ascii="Verdana" w:hAnsi="Verdana" w:cs="Arial"/>
                <w:lang w:val="es-ES"/>
              </w:rPr>
            </w:pPr>
            <w:r w:rsidRPr="006F42F9">
              <w:rPr>
                <w:rFonts w:ascii="Verdana" w:hAnsi="Verdana" w:cs="Arial"/>
                <w:lang w:val="es-ES"/>
              </w:rPr>
              <w:t>Decreto Ley 663 de 1993, artículo 146.</w:t>
            </w:r>
          </w:p>
          <w:p w14:paraId="0962AC54" w14:textId="77777777" w:rsidR="00B51755" w:rsidRPr="006F42F9" w:rsidRDefault="00B51755" w:rsidP="004A1678">
            <w:pPr>
              <w:widowControl w:val="0"/>
              <w:numPr>
                <w:ilvl w:val="0"/>
                <w:numId w:val="17"/>
              </w:numPr>
              <w:autoSpaceDE w:val="0"/>
              <w:autoSpaceDN w:val="0"/>
              <w:spacing w:after="120" w:line="276" w:lineRule="auto"/>
              <w:ind w:left="714" w:hanging="357"/>
              <w:jc w:val="both"/>
              <w:rPr>
                <w:rFonts w:ascii="Verdana" w:hAnsi="Verdana" w:cs="Arial"/>
                <w:color w:val="000000" w:themeColor="text1"/>
                <w:lang w:val="es-ES_tradnl"/>
              </w:rPr>
            </w:pPr>
            <w:r w:rsidRPr="006F42F9">
              <w:rPr>
                <w:rFonts w:ascii="Verdana" w:hAnsi="Verdana" w:cs="Arial"/>
                <w:color w:val="000000" w:themeColor="text1"/>
                <w:lang w:val="es-ES_tradnl"/>
              </w:rPr>
              <w:lastRenderedPageBreak/>
              <w:t>Decreto 2555 de 2010, artículo 2.5.2.1.1.</w:t>
            </w:r>
          </w:p>
          <w:p w14:paraId="2979BFB3" w14:textId="77777777" w:rsidR="00B51755" w:rsidRPr="006F42F9" w:rsidRDefault="00B51755" w:rsidP="004A1678">
            <w:pPr>
              <w:widowControl w:val="0"/>
              <w:numPr>
                <w:ilvl w:val="0"/>
                <w:numId w:val="17"/>
              </w:numPr>
              <w:autoSpaceDE w:val="0"/>
              <w:autoSpaceDN w:val="0"/>
              <w:spacing w:after="120" w:line="276" w:lineRule="auto"/>
              <w:ind w:left="714" w:hanging="357"/>
              <w:jc w:val="both"/>
              <w:rPr>
                <w:rFonts w:ascii="Verdana" w:hAnsi="Verdana" w:cs="Arial"/>
                <w:color w:val="000000" w:themeColor="text1"/>
                <w:lang w:val="es-ES_tradnl"/>
              </w:rPr>
            </w:pPr>
            <w:r w:rsidRPr="006F42F9">
              <w:rPr>
                <w:rFonts w:ascii="Verdana" w:hAnsi="Verdana" w:cs="Arial"/>
                <w:color w:val="000000" w:themeColor="text1"/>
                <w:lang w:val="es-ES_tradnl"/>
              </w:rPr>
              <w:t>Ley 2294 de 2023, artículo 72</w:t>
            </w:r>
          </w:p>
          <w:p w14:paraId="3EBBFDCF" w14:textId="77777777" w:rsidR="00B51755" w:rsidRPr="006F42F9" w:rsidRDefault="00B51755" w:rsidP="004A1678">
            <w:pPr>
              <w:widowControl w:val="0"/>
              <w:numPr>
                <w:ilvl w:val="0"/>
                <w:numId w:val="17"/>
              </w:numPr>
              <w:autoSpaceDE w:val="0"/>
              <w:autoSpaceDN w:val="0"/>
              <w:spacing w:line="276" w:lineRule="auto"/>
              <w:ind w:left="714" w:hanging="357"/>
              <w:jc w:val="both"/>
              <w:rPr>
                <w:rFonts w:ascii="Verdana" w:hAnsi="Verdana" w:cs="Arial"/>
                <w:color w:val="000000" w:themeColor="text1"/>
                <w:lang w:val="es-ES_tradnl"/>
              </w:rPr>
            </w:pPr>
            <w:r w:rsidRPr="006F42F9">
              <w:rPr>
                <w:rFonts w:ascii="Verdana" w:hAnsi="Verdana" w:cs="Arial"/>
                <w:color w:val="000000" w:themeColor="text1"/>
                <w:lang w:val="es-ES_tradnl"/>
              </w:rPr>
              <w:t>Código de Comercio, artículo 1226 y 1233.</w:t>
            </w:r>
          </w:p>
        </w:tc>
      </w:tr>
    </w:tbl>
    <w:p w14:paraId="4B8C3887" w14:textId="77777777" w:rsidR="00B51755" w:rsidRPr="006F42F9" w:rsidRDefault="00B51755" w:rsidP="00B51755">
      <w:pPr>
        <w:widowControl w:val="0"/>
        <w:autoSpaceDE w:val="0"/>
        <w:autoSpaceDN w:val="0"/>
        <w:spacing w:after="0" w:line="276" w:lineRule="auto"/>
        <w:jc w:val="both"/>
        <w:rPr>
          <w:rFonts w:ascii="Verdana" w:hAnsi="Verdana" w:cs="Arial"/>
        </w:rPr>
      </w:pPr>
    </w:p>
    <w:p w14:paraId="5D617A11" w14:textId="77777777" w:rsidR="00B51755" w:rsidRPr="006F42F9" w:rsidRDefault="00B51755" w:rsidP="00B51755">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6F42F9">
        <w:rPr>
          <w:rFonts w:ascii="Verdana" w:eastAsia="Century Gothic" w:hAnsi="Verdana" w:cs="Century Gothic"/>
          <w:b/>
          <w:bCs/>
          <w:lang w:val="es-ES"/>
        </w:rPr>
        <w:t>Doctrina de la Agencia Nacional de Contratación Pública:</w:t>
      </w:r>
    </w:p>
    <w:p w14:paraId="7F94D502" w14:textId="77777777" w:rsidR="00B51755" w:rsidRPr="006F42F9" w:rsidRDefault="00B51755" w:rsidP="00B51755">
      <w:pPr>
        <w:widowControl w:val="0"/>
        <w:autoSpaceDE w:val="0"/>
        <w:autoSpaceDN w:val="0"/>
        <w:spacing w:after="0" w:line="276" w:lineRule="auto"/>
        <w:jc w:val="both"/>
        <w:rPr>
          <w:rFonts w:ascii="Verdana" w:hAnsi="Verdana" w:cs="Arial"/>
        </w:rPr>
      </w:pPr>
    </w:p>
    <w:p w14:paraId="0BBCB114" w14:textId="77777777" w:rsidR="00B51755" w:rsidRPr="006F42F9" w:rsidRDefault="00B51755" w:rsidP="00B51755">
      <w:pPr>
        <w:widowControl w:val="0"/>
        <w:autoSpaceDE w:val="0"/>
        <w:autoSpaceDN w:val="0"/>
        <w:spacing w:after="0" w:line="276" w:lineRule="auto"/>
        <w:jc w:val="both"/>
        <w:rPr>
          <w:rFonts w:ascii="Verdana" w:hAnsi="Verdana" w:cs="Arial"/>
          <w:shd w:val="clear" w:color="auto" w:fill="FFFFFF"/>
        </w:rPr>
      </w:pPr>
      <w:r w:rsidRPr="006F42F9">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y C-1596 de 2025</w:t>
      </w:r>
      <w:r w:rsidRPr="006F42F9">
        <w:rPr>
          <w:rFonts w:ascii="Verdana" w:hAnsi="Verdana"/>
        </w:rPr>
        <w:t>.</w:t>
      </w:r>
      <w:r w:rsidRPr="006F42F9">
        <w:rPr>
          <w:rFonts w:ascii="Verdana" w:hAnsi="Verdana" w:cs="Arial"/>
          <w:shd w:val="clear" w:color="auto" w:fill="FFFFFF"/>
        </w:rPr>
        <w:t xml:space="preserve"> Estos y otros se encuentran disponibles para consulta en el Sistema de relatoría de la Agencia, al cual puede accederse a través del siguiente enlace: </w:t>
      </w:r>
      <w:hyperlink r:id="rId12" w:history="1">
        <w:r w:rsidRPr="006F42F9">
          <w:rPr>
            <w:rFonts w:ascii="Verdana" w:hAnsi="Verdana" w:cs="Arial"/>
            <w:color w:val="0000FF"/>
            <w:u w:val="single"/>
            <w:shd w:val="clear" w:color="auto" w:fill="FFFFFF"/>
          </w:rPr>
          <w:t>https://relatoria.colombiacompra.gov.co/busqueda/conceptos</w:t>
        </w:r>
      </w:hyperlink>
      <w:r w:rsidRPr="006F42F9">
        <w:rPr>
          <w:rFonts w:ascii="Verdana" w:hAnsi="Verdana" w:cs="Arial"/>
          <w:shd w:val="clear" w:color="auto" w:fill="FFFFFF"/>
        </w:rPr>
        <w:t xml:space="preserve">. </w:t>
      </w:r>
      <w:r w:rsidRPr="006F42F9">
        <w:rPr>
          <w:rFonts w:ascii="Verdana" w:hAnsi="Verdana" w:cs="Arial"/>
          <w:color w:val="FF0000"/>
          <w:shd w:val="clear" w:color="auto" w:fill="FFFFFF"/>
          <w:lang w:val="es-ES"/>
        </w:rPr>
        <w:t xml:space="preserve"> </w:t>
      </w:r>
    </w:p>
    <w:p w14:paraId="60E20FC6" w14:textId="77777777" w:rsidR="00B51755" w:rsidRPr="006F42F9" w:rsidRDefault="00B51755" w:rsidP="00B51755">
      <w:pPr>
        <w:widowControl w:val="0"/>
        <w:autoSpaceDE w:val="0"/>
        <w:autoSpaceDN w:val="0"/>
        <w:spacing w:after="0" w:line="276" w:lineRule="auto"/>
        <w:jc w:val="both"/>
        <w:rPr>
          <w:rFonts w:ascii="Verdana" w:hAnsi="Verdana" w:cs="Arial"/>
          <w:color w:val="000000" w:themeColor="text1"/>
          <w:shd w:val="clear" w:color="auto" w:fill="FFFFFF"/>
        </w:rPr>
      </w:pPr>
    </w:p>
    <w:p w14:paraId="5B841205" w14:textId="77777777" w:rsidR="00B51755" w:rsidRPr="006F42F9" w:rsidRDefault="00B51755" w:rsidP="00B51755">
      <w:pPr>
        <w:shd w:val="clear" w:color="auto" w:fill="FFFFFF"/>
        <w:spacing w:after="0" w:line="276" w:lineRule="auto"/>
        <w:jc w:val="both"/>
        <w:rPr>
          <w:rFonts w:ascii="Verdana" w:hAnsi="Verdana"/>
          <w:color w:val="467886"/>
          <w:u w:val="single"/>
        </w:rPr>
      </w:pPr>
      <w:r w:rsidRPr="006F42F9">
        <w:rPr>
          <w:rFonts w:ascii="Verdana" w:hAnsi="Verdana"/>
          <w:color w:val="000000"/>
        </w:rPr>
        <w:t>Te informamos que ya se encuentra disponible la </w:t>
      </w:r>
      <w:r w:rsidRPr="006F42F9">
        <w:rPr>
          <w:rFonts w:ascii="Verdana" w:hAnsi="Verdana"/>
          <w:b/>
          <w:bCs/>
          <w:color w:val="000000"/>
        </w:rPr>
        <w:t>Guía de lineamientos de transparencia y selección objetiva para el departamento de La Guajira – Objetivo sexto constitucional de la Sentencia T-302 del 2017. </w:t>
      </w:r>
      <w:r w:rsidRPr="006F42F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6F42F9">
        <w:rPr>
          <w:rFonts w:ascii="Verdana" w:hAnsi="Verdana"/>
          <w:color w:val="000000"/>
        </w:rPr>
        <w:t>Wayúu</w:t>
      </w:r>
      <w:proofErr w:type="spellEnd"/>
      <w:r w:rsidRPr="006F42F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6F42F9">
          <w:rPr>
            <w:rFonts w:ascii="Verdana" w:hAnsi="Verdana"/>
            <w:color w:val="0000FF"/>
            <w:u w:val="single"/>
          </w:rPr>
          <w:t>Guía de lineamientos de transparencia y selección objetiva para el departamento de La Guajira – Objetivo sexto constitucional de la Sentencia T-302 del 2017</w:t>
        </w:r>
      </w:hyperlink>
      <w:r w:rsidRPr="006F42F9">
        <w:rPr>
          <w:rFonts w:ascii="Verdana" w:hAnsi="Verdana"/>
          <w:color w:val="000000"/>
          <w:u w:val="single"/>
        </w:rPr>
        <w:t>.</w:t>
      </w:r>
    </w:p>
    <w:p w14:paraId="74B423A7" w14:textId="77777777" w:rsidR="00B51755" w:rsidRPr="006F42F9" w:rsidRDefault="00B51755" w:rsidP="00B51755">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6F42F9">
        <w:rPr>
          <w:rFonts w:ascii="Verdana" w:hAnsi="Verdana" w:cs="Arial"/>
          <w:color w:val="000000" w:themeColor="text1"/>
          <w:shd w:val="clear" w:color="auto" w:fill="FFFFFF"/>
          <w:lang w:val="es-ES_tradnl"/>
        </w:rPr>
        <w:t xml:space="preserve"> </w:t>
      </w:r>
    </w:p>
    <w:p w14:paraId="3DC8B5B4" w14:textId="77777777" w:rsidR="00B51755" w:rsidRPr="006F42F9" w:rsidRDefault="00B51755" w:rsidP="00B51755">
      <w:pPr>
        <w:spacing w:after="0"/>
        <w:jc w:val="both"/>
        <w:rPr>
          <w:rFonts w:ascii="Verdana" w:hAnsi="Verdana"/>
        </w:rPr>
      </w:pPr>
      <w:r w:rsidRPr="006F42F9">
        <w:rPr>
          <w:rFonts w:ascii="Verdana" w:hAnsi="Verdana"/>
        </w:rPr>
        <w:t xml:space="preserve">Aprovechamos la oportunidad de manifestar la entera disposición de la Agencia Nacional de Contratación Pública –Colombia Compra Eficiente– para atender las </w:t>
      </w:r>
      <w:r w:rsidRPr="006F42F9">
        <w:rPr>
          <w:rFonts w:ascii="Verdana" w:hAnsi="Verdana"/>
        </w:rPr>
        <w:lastRenderedPageBreak/>
        <w:t xml:space="preserve">peticiones o solicitudes, así como para brindar el apoyo que se requiera en el marco de nuestras funciones a través de nuestros diferentes canales de atención: </w:t>
      </w:r>
    </w:p>
    <w:p w14:paraId="57EF93EE" w14:textId="77777777" w:rsidR="00B51755" w:rsidRPr="006F42F9" w:rsidRDefault="00B51755" w:rsidP="00B51755">
      <w:pPr>
        <w:spacing w:after="0"/>
        <w:jc w:val="both"/>
        <w:rPr>
          <w:rFonts w:ascii="Verdana" w:hAnsi="Verdana"/>
        </w:rPr>
      </w:pPr>
    </w:p>
    <w:p w14:paraId="1D0AEDA0" w14:textId="77777777" w:rsidR="00B51755" w:rsidRPr="006F42F9" w:rsidRDefault="00B51755" w:rsidP="00B51755">
      <w:pPr>
        <w:numPr>
          <w:ilvl w:val="0"/>
          <w:numId w:val="15"/>
        </w:numPr>
        <w:spacing w:after="0" w:line="240" w:lineRule="auto"/>
        <w:contextualSpacing/>
        <w:jc w:val="both"/>
        <w:rPr>
          <w:rFonts w:ascii="Verdana" w:eastAsia="Verdana" w:hAnsi="Verdana" w:cs="Verdana"/>
          <w:color w:val="4472C4" w:themeColor="accent1"/>
          <w:u w:val="single"/>
          <w:lang w:val="es-MX"/>
        </w:rPr>
      </w:pPr>
      <w:r w:rsidRPr="006F42F9">
        <w:rPr>
          <w:rFonts w:ascii="Verdana" w:eastAsia="Verdana" w:hAnsi="Verdana" w:cs="Verdana"/>
          <w:lang w:val="es-MX"/>
        </w:rPr>
        <w:t xml:space="preserve">Línea nacional gratuita o servicio a la ciudadanía (Mesa de servicio): </w:t>
      </w:r>
      <w:r w:rsidRPr="006F42F9">
        <w:rPr>
          <w:rFonts w:ascii="Verdana" w:hAnsi="Verdana"/>
          <w:color w:val="0000FF"/>
          <w:u w:val="single"/>
          <w:lang w:val="es-ES"/>
        </w:rPr>
        <w:t>01800 0520808</w:t>
      </w:r>
    </w:p>
    <w:p w14:paraId="474AD6A3" w14:textId="77777777" w:rsidR="00B51755" w:rsidRPr="006F42F9" w:rsidRDefault="00B51755" w:rsidP="00B51755">
      <w:pPr>
        <w:numPr>
          <w:ilvl w:val="0"/>
          <w:numId w:val="15"/>
        </w:numPr>
        <w:spacing w:after="0"/>
        <w:contextualSpacing/>
        <w:rPr>
          <w:rFonts w:ascii="Verdana" w:eastAsia="Verdana" w:hAnsi="Verdana" w:cs="Verdana"/>
          <w:color w:val="4472C4" w:themeColor="accent1"/>
          <w:u w:val="single"/>
          <w:lang w:val="es-MX"/>
        </w:rPr>
      </w:pPr>
      <w:r w:rsidRPr="006F42F9">
        <w:rPr>
          <w:rFonts w:ascii="Verdana" w:eastAsia="Verdana" w:hAnsi="Verdana" w:cs="Verdana"/>
          <w:lang w:val="es-MX"/>
        </w:rPr>
        <w:t>Línea en Bogotá (Mesa de servicio</w:t>
      </w:r>
      <w:proofErr w:type="gramStart"/>
      <w:r w:rsidRPr="006F42F9">
        <w:rPr>
          <w:rFonts w:ascii="Verdana" w:eastAsia="Verdana" w:hAnsi="Verdana" w:cs="Verdana"/>
          <w:lang w:val="es-MX"/>
        </w:rPr>
        <w:t>):</w:t>
      </w:r>
      <w:r w:rsidRPr="006F42F9">
        <w:rPr>
          <w:rFonts w:ascii="Verdana" w:hAnsi="Verdana"/>
          <w:color w:val="0000FF"/>
          <w:u w:val="single"/>
          <w:lang w:val="es-ES"/>
        </w:rPr>
        <w:t>+</w:t>
      </w:r>
      <w:proofErr w:type="gramEnd"/>
      <w:r w:rsidRPr="006F42F9">
        <w:rPr>
          <w:rFonts w:ascii="Verdana" w:hAnsi="Verdana"/>
          <w:color w:val="0000FF"/>
          <w:u w:val="single"/>
          <w:lang w:val="es-ES"/>
        </w:rPr>
        <w:t>57 601 7456788</w:t>
      </w:r>
    </w:p>
    <w:p w14:paraId="1D18F7F2" w14:textId="77777777" w:rsidR="00B51755" w:rsidRPr="006F42F9" w:rsidRDefault="00B51755" w:rsidP="00B51755">
      <w:pPr>
        <w:numPr>
          <w:ilvl w:val="0"/>
          <w:numId w:val="15"/>
        </w:numPr>
        <w:spacing w:after="0"/>
        <w:contextualSpacing/>
        <w:rPr>
          <w:rFonts w:ascii="Verdana" w:eastAsia="Verdana" w:hAnsi="Verdana" w:cs="Verdana"/>
          <w:color w:val="0000FF"/>
          <w:u w:val="single"/>
          <w:lang w:val="es-MX"/>
        </w:rPr>
      </w:pPr>
      <w:r w:rsidRPr="006F42F9">
        <w:rPr>
          <w:rFonts w:ascii="Verdana" w:eastAsia="Verdana" w:hAnsi="Verdana" w:cs="Verdana"/>
          <w:lang w:val="es-MX"/>
        </w:rPr>
        <w:t xml:space="preserve">Correo de radicación de correspondencia: </w:t>
      </w:r>
      <w:hyperlink r:id="rId14">
        <w:r w:rsidRPr="006F42F9">
          <w:rPr>
            <w:rFonts w:ascii="Verdana" w:eastAsia="Verdana" w:hAnsi="Verdana" w:cs="Verdana"/>
            <w:color w:val="0000FF"/>
            <w:u w:val="single"/>
            <w:lang w:val="es-MX"/>
          </w:rPr>
          <w:t>ventanilladeradicacion@colombiacompra.gov.co</w:t>
        </w:r>
      </w:hyperlink>
    </w:p>
    <w:p w14:paraId="61ECB263" w14:textId="77777777" w:rsidR="00B51755" w:rsidRPr="006F42F9" w:rsidRDefault="00B51755" w:rsidP="00B51755">
      <w:pPr>
        <w:numPr>
          <w:ilvl w:val="0"/>
          <w:numId w:val="15"/>
        </w:numPr>
        <w:spacing w:after="0"/>
        <w:contextualSpacing/>
        <w:rPr>
          <w:rFonts w:ascii="Verdana" w:eastAsia="Verdana" w:hAnsi="Verdana" w:cs="Verdana"/>
          <w:color w:val="0000FF"/>
          <w:u w:val="single"/>
          <w:lang w:val="es-MX"/>
        </w:rPr>
      </w:pPr>
      <w:r w:rsidRPr="006F42F9">
        <w:rPr>
          <w:rFonts w:ascii="Verdana" w:eastAsia="Verdana" w:hAnsi="Verdana" w:cs="Verdana"/>
          <w:lang w:val="es-ES"/>
        </w:rPr>
        <w:t>Formulario web para</w:t>
      </w:r>
      <w:r w:rsidRPr="006F42F9">
        <w:rPr>
          <w:rFonts w:ascii="Verdana" w:eastAsia="Verdana" w:hAnsi="Verdana" w:cs="Verdana"/>
          <w:lang w:val="es"/>
        </w:rPr>
        <w:t xml:space="preserve"> PQRSD: </w:t>
      </w:r>
      <w:hyperlink r:id="rId15">
        <w:r w:rsidRPr="006F42F9">
          <w:rPr>
            <w:rFonts w:ascii="Verdana" w:eastAsia="Verdana" w:hAnsi="Verdana" w:cs="Verdana"/>
            <w:color w:val="0000FF"/>
            <w:u w:val="single"/>
            <w:lang w:val="es-MX"/>
          </w:rPr>
          <w:t>https://www.colombiacompra.gov.co/pqrsd/informacion-importante-antes-de-formular-una-pqrsd</w:t>
        </w:r>
      </w:hyperlink>
    </w:p>
    <w:p w14:paraId="50847800" w14:textId="77777777" w:rsidR="00B51755" w:rsidRPr="006F42F9" w:rsidRDefault="00B51755" w:rsidP="00B51755">
      <w:pPr>
        <w:spacing w:after="0" w:line="240" w:lineRule="auto"/>
        <w:ind w:left="720"/>
        <w:jc w:val="both"/>
        <w:rPr>
          <w:rFonts w:ascii="Verdana" w:hAnsi="Verdana"/>
        </w:rPr>
      </w:pPr>
    </w:p>
    <w:p w14:paraId="04FC7165" w14:textId="77777777" w:rsidR="00B51755" w:rsidRPr="006F42F9" w:rsidRDefault="00B51755" w:rsidP="00B51755">
      <w:pPr>
        <w:spacing w:after="0" w:line="240" w:lineRule="auto"/>
        <w:rPr>
          <w:rFonts w:ascii="Verdana" w:hAnsi="Verdana"/>
        </w:rPr>
      </w:pPr>
      <w:r w:rsidRPr="006F42F9">
        <w:rPr>
          <w:rFonts w:ascii="Verdana" w:hAnsi="Verdana"/>
        </w:rPr>
        <w:t xml:space="preserve">Evalúa el servicio que ofrece la Agencia por el canal de atención de PQRSD en el siguiente </w:t>
      </w:r>
      <w:proofErr w:type="gramStart"/>
      <w:r w:rsidRPr="006F42F9">
        <w:rPr>
          <w:rFonts w:ascii="Verdana" w:hAnsi="Verdana"/>
        </w:rPr>
        <w:t>enlace :</w:t>
      </w:r>
      <w:proofErr w:type="gramEnd"/>
      <w:hyperlink r:id="rId16" w:tgtFrame="_blank" w:tooltip="https://forms.office.com/r/pphywvs2sz" w:history="1">
        <w:r w:rsidRPr="006F42F9">
          <w:rPr>
            <w:rFonts w:ascii="Verdana" w:hAnsi="Verdana"/>
            <w:color w:val="0000FF"/>
            <w:u w:val="single"/>
          </w:rPr>
          <w:t>https://forms.office.com/r/pPHyWVs2SZ</w:t>
        </w:r>
      </w:hyperlink>
      <w:r w:rsidRPr="006F42F9">
        <w:rPr>
          <w:rFonts w:ascii="Verdana" w:hAnsi="Verdana"/>
        </w:rPr>
        <w:t xml:space="preserve"> .¡Ayúdanos a mejorar porque el compromiso es de todos!</w:t>
      </w:r>
    </w:p>
    <w:p w14:paraId="6396D78D" w14:textId="77777777" w:rsidR="00B51755" w:rsidRPr="006F42F9" w:rsidRDefault="00B51755" w:rsidP="00B51755">
      <w:pPr>
        <w:spacing w:after="0" w:line="240" w:lineRule="auto"/>
        <w:rPr>
          <w:rFonts w:ascii="Verdana" w:hAnsi="Verdana"/>
        </w:rPr>
      </w:pPr>
    </w:p>
    <w:p w14:paraId="2CD82E57" w14:textId="77777777" w:rsidR="00B51755" w:rsidRPr="006F42F9" w:rsidRDefault="00B51755" w:rsidP="00B51755">
      <w:pPr>
        <w:spacing w:after="0" w:line="240" w:lineRule="auto"/>
        <w:jc w:val="both"/>
        <w:rPr>
          <w:rFonts w:ascii="Verdana" w:hAnsi="Verdana"/>
        </w:rPr>
      </w:pPr>
      <w:r w:rsidRPr="006F42F9">
        <w:rPr>
          <w:rFonts w:ascii="Verdana" w:hAnsi="Verdana"/>
        </w:rPr>
        <w:t xml:space="preserve">Por último, lo invitamos a seguirnos en las redes sociales en las cuales se difunde información institucional: </w:t>
      </w:r>
    </w:p>
    <w:p w14:paraId="7C768B94" w14:textId="77777777" w:rsidR="00B51755" w:rsidRPr="006F42F9" w:rsidRDefault="00B51755" w:rsidP="00B51755">
      <w:pPr>
        <w:spacing w:after="0" w:line="240" w:lineRule="auto"/>
        <w:jc w:val="both"/>
        <w:rPr>
          <w:rFonts w:ascii="Verdana" w:hAnsi="Verdana"/>
        </w:rPr>
      </w:pPr>
    </w:p>
    <w:p w14:paraId="6AD5B402" w14:textId="77777777" w:rsidR="00B51755" w:rsidRPr="006F42F9" w:rsidRDefault="00B51755" w:rsidP="00B51755">
      <w:pPr>
        <w:spacing w:after="0" w:line="240" w:lineRule="auto"/>
        <w:jc w:val="both"/>
        <w:rPr>
          <w:rFonts w:ascii="Verdana" w:hAnsi="Verdana"/>
        </w:rPr>
      </w:pPr>
      <w:r w:rsidRPr="006F42F9">
        <w:rPr>
          <w:rFonts w:ascii="Verdana" w:hAnsi="Verdana"/>
        </w:rPr>
        <w:t xml:space="preserve">Twitter: </w:t>
      </w:r>
      <w:r w:rsidRPr="006F42F9">
        <w:rPr>
          <w:rFonts w:ascii="Verdana" w:hAnsi="Verdana"/>
          <w:color w:val="0000FF"/>
          <w:u w:val="single"/>
        </w:rPr>
        <w:t>@colombiacompra</w:t>
      </w:r>
      <w:r w:rsidRPr="006F42F9">
        <w:rPr>
          <w:rFonts w:ascii="Verdana" w:hAnsi="Verdana"/>
        </w:rPr>
        <w:t xml:space="preserve"> </w:t>
      </w:r>
    </w:p>
    <w:p w14:paraId="2367ABB0" w14:textId="77777777" w:rsidR="00B51755" w:rsidRPr="006F42F9" w:rsidRDefault="00B51755" w:rsidP="00B51755">
      <w:pPr>
        <w:spacing w:after="0" w:line="240" w:lineRule="auto"/>
        <w:jc w:val="both"/>
        <w:rPr>
          <w:rFonts w:ascii="Verdana" w:hAnsi="Verdana"/>
        </w:rPr>
      </w:pPr>
      <w:r w:rsidRPr="006F42F9">
        <w:rPr>
          <w:rFonts w:ascii="Verdana" w:hAnsi="Verdana"/>
        </w:rPr>
        <w:t xml:space="preserve">Facebook: </w:t>
      </w:r>
      <w:proofErr w:type="spellStart"/>
      <w:r w:rsidRPr="006F42F9">
        <w:rPr>
          <w:rFonts w:ascii="Verdana" w:hAnsi="Verdana"/>
          <w:color w:val="0000FF"/>
          <w:u w:val="single"/>
        </w:rPr>
        <w:t>ColombiaCompraEficiente</w:t>
      </w:r>
      <w:proofErr w:type="spellEnd"/>
    </w:p>
    <w:p w14:paraId="5B323542" w14:textId="77777777" w:rsidR="00B51755" w:rsidRPr="006F42F9" w:rsidRDefault="00B51755" w:rsidP="00B51755">
      <w:pPr>
        <w:spacing w:after="0" w:line="240" w:lineRule="auto"/>
        <w:jc w:val="both"/>
        <w:rPr>
          <w:rFonts w:ascii="Verdana" w:hAnsi="Verdana"/>
        </w:rPr>
      </w:pPr>
      <w:r w:rsidRPr="006F42F9">
        <w:rPr>
          <w:rFonts w:ascii="Verdana" w:hAnsi="Verdana"/>
        </w:rPr>
        <w:t xml:space="preserve">LinkedIn: </w:t>
      </w:r>
      <w:r w:rsidRPr="006F42F9">
        <w:rPr>
          <w:rFonts w:ascii="Verdana" w:hAnsi="Verdana"/>
          <w:color w:val="0000FF"/>
          <w:u w:val="single"/>
        </w:rPr>
        <w:t>Agencia Nacional de Contratación Pública - Colombia Compra Eficiente</w:t>
      </w:r>
      <w:r w:rsidRPr="006F42F9">
        <w:rPr>
          <w:rFonts w:ascii="Verdana" w:hAnsi="Verdana"/>
        </w:rPr>
        <w:t xml:space="preserve"> Instagram: </w:t>
      </w:r>
      <w:r w:rsidRPr="006F42F9">
        <w:rPr>
          <w:rFonts w:ascii="Verdana" w:hAnsi="Verdana"/>
          <w:color w:val="0000FF"/>
          <w:u w:val="single"/>
        </w:rPr>
        <w:t>@colombiacompraeficiente_cce</w:t>
      </w:r>
    </w:p>
    <w:p w14:paraId="30321944" w14:textId="77777777" w:rsidR="00B51755" w:rsidRPr="006F42F9" w:rsidRDefault="00B51755" w:rsidP="00B51755">
      <w:pPr>
        <w:widowControl w:val="0"/>
        <w:autoSpaceDE w:val="0"/>
        <w:autoSpaceDN w:val="0"/>
        <w:spacing w:after="120" w:line="276" w:lineRule="auto"/>
        <w:jc w:val="both"/>
        <w:rPr>
          <w:rFonts w:ascii="Verdana" w:hAnsi="Verdana" w:cs="Arial"/>
          <w:color w:val="FF0000"/>
          <w:shd w:val="clear" w:color="auto" w:fill="FFFFFF"/>
          <w:lang w:val="es-ES_tradnl"/>
        </w:rPr>
      </w:pPr>
      <w:r w:rsidRPr="006F42F9">
        <w:rPr>
          <w:rFonts w:ascii="Verdana" w:hAnsi="Verdana" w:cs="Arial"/>
          <w:color w:val="FF0000"/>
          <w:shd w:val="clear" w:color="auto" w:fill="FFFFFF"/>
          <w:lang w:val="es-ES_tradnl"/>
        </w:rPr>
        <w:t xml:space="preserve">        </w:t>
      </w:r>
    </w:p>
    <w:p w14:paraId="0D001BF3" w14:textId="77777777" w:rsidR="00B51755" w:rsidRPr="006F42F9" w:rsidRDefault="00B51755" w:rsidP="00B51755">
      <w:pPr>
        <w:widowControl w:val="0"/>
        <w:autoSpaceDE w:val="0"/>
        <w:autoSpaceDN w:val="0"/>
        <w:spacing w:after="0" w:line="276" w:lineRule="auto"/>
        <w:jc w:val="both"/>
        <w:rPr>
          <w:rFonts w:ascii="Verdana" w:hAnsi="Verdana" w:cs="Arial"/>
          <w:lang w:val="es-ES_tradnl"/>
        </w:rPr>
      </w:pPr>
      <w:r w:rsidRPr="006F42F9">
        <w:rPr>
          <w:rFonts w:ascii="Verdana" w:hAnsi="Verdana" w:cs="Arial"/>
        </w:rPr>
        <w:t xml:space="preserve">Este concepto tiene el alcance previsto en el artículo 28 del Código de Procedimiento Administrativo y de lo Contencioso Administrativo </w:t>
      </w:r>
      <w:r w:rsidRPr="006F42F9">
        <w:rPr>
          <w:rFonts w:ascii="Verdana" w:hAnsi="Verdana" w:cs="Arial"/>
          <w:lang w:val="es-ES_tradnl"/>
        </w:rPr>
        <w:t>y las expresiones aquí utilizadas con mayúscula inicial deben ser entendidas con el significado que les otorga el artículo 2.2.1.1.1.3.1. del Decreto 1082 de 2015.</w:t>
      </w:r>
    </w:p>
    <w:p w14:paraId="583CEF60" w14:textId="77777777" w:rsidR="00B51755" w:rsidRPr="006F42F9" w:rsidRDefault="00B51755" w:rsidP="00B51755">
      <w:pPr>
        <w:widowControl w:val="0"/>
        <w:autoSpaceDE w:val="0"/>
        <w:autoSpaceDN w:val="0"/>
        <w:spacing w:after="0" w:line="276" w:lineRule="auto"/>
        <w:jc w:val="both"/>
        <w:rPr>
          <w:rFonts w:ascii="Verdana" w:hAnsi="Verdana" w:cs="Arial"/>
        </w:rPr>
      </w:pPr>
    </w:p>
    <w:p w14:paraId="34B81542" w14:textId="77777777" w:rsidR="00B51755" w:rsidRPr="006F42F9" w:rsidRDefault="00B51755" w:rsidP="00B51755">
      <w:pPr>
        <w:spacing w:after="0" w:line="240" w:lineRule="auto"/>
        <w:rPr>
          <w:rFonts w:ascii="Verdana" w:hAnsi="Verdana" w:cs="Arial"/>
          <w:lang w:eastAsia="es-CO"/>
        </w:rPr>
      </w:pPr>
      <w:r w:rsidRPr="006F42F9">
        <w:rPr>
          <w:rFonts w:ascii="Verdana" w:eastAsia="Times New Roman" w:hAnsi="Verdana" w:cs="Arial"/>
          <w:lang w:eastAsia="es-CO"/>
        </w:rPr>
        <w:t>Atentamente,</w:t>
      </w:r>
      <w:r w:rsidRPr="006F42F9">
        <w:rPr>
          <w:rFonts w:ascii="Verdana" w:hAnsi="Verdana" w:cs="Arial"/>
          <w:lang w:eastAsia="es-CO"/>
        </w:rPr>
        <w:t xml:space="preserve"> </w:t>
      </w:r>
    </w:p>
    <w:p w14:paraId="15146796" w14:textId="091977A4" w:rsidR="00B51755" w:rsidRPr="006F42F9" w:rsidRDefault="00F654FC" w:rsidP="00B51755">
      <w:pPr>
        <w:spacing w:line="276" w:lineRule="auto"/>
        <w:jc w:val="center"/>
        <w:rPr>
          <w:rFonts w:ascii="Verdana" w:hAnsi="Verdana" w:cs="Arial"/>
          <w:color w:val="000000"/>
          <w:lang w:val="es-ES_tradnl" w:eastAsia="es-CO"/>
        </w:rPr>
      </w:pPr>
      <w:r>
        <w:rPr>
          <w:noProof/>
        </w:rPr>
        <w:drawing>
          <wp:inline distT="0" distB="0" distL="0" distR="0" wp14:anchorId="310F8580" wp14:editId="3B815ECF">
            <wp:extent cx="3360420" cy="1135380"/>
            <wp:effectExtent l="0" t="0" r="0" b="762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360420" cy="113538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51755" w:rsidRPr="006F42F9" w14:paraId="6A3E3C7F" w14:textId="77777777" w:rsidTr="004A1678">
        <w:trPr>
          <w:trHeight w:val="315"/>
        </w:trPr>
        <w:tc>
          <w:tcPr>
            <w:tcW w:w="893" w:type="dxa"/>
            <w:vAlign w:val="center"/>
            <w:hideMark/>
          </w:tcPr>
          <w:p w14:paraId="4AD69A77" w14:textId="77777777" w:rsidR="00B51755" w:rsidRPr="006F42F9" w:rsidRDefault="00B51755" w:rsidP="004A1678">
            <w:pPr>
              <w:contextualSpacing/>
              <w:rPr>
                <w:rFonts w:ascii="Verdana" w:hAnsi="Verdana" w:cs="Arial"/>
                <w:sz w:val="16"/>
                <w:szCs w:val="16"/>
                <w:lang w:val="es-ES" w:eastAsia="es-ES"/>
              </w:rPr>
            </w:pPr>
            <w:r w:rsidRPr="006F42F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5F0B12E" w14:textId="77777777" w:rsidR="00B51755" w:rsidRPr="006F42F9" w:rsidRDefault="00B51755" w:rsidP="004A1678">
            <w:pPr>
              <w:contextualSpacing/>
              <w:rPr>
                <w:rFonts w:ascii="Verdana" w:hAnsi="Verdana"/>
                <w:sz w:val="16"/>
                <w:szCs w:val="16"/>
              </w:rPr>
            </w:pPr>
            <w:r w:rsidRPr="006F42F9">
              <w:rPr>
                <w:rFonts w:ascii="Verdana" w:hAnsi="Verdana"/>
                <w:sz w:val="16"/>
                <w:szCs w:val="16"/>
              </w:rPr>
              <w:t>Tatiana Baquero Iguarán</w:t>
            </w:r>
          </w:p>
          <w:p w14:paraId="1DCA0569" w14:textId="77777777" w:rsidR="00B51755" w:rsidRPr="006F42F9" w:rsidRDefault="00B51755" w:rsidP="004A1678">
            <w:pPr>
              <w:contextualSpacing/>
              <w:rPr>
                <w:rFonts w:ascii="Verdana" w:eastAsia="Arial" w:hAnsi="Verdana" w:cs="Arial"/>
                <w:sz w:val="16"/>
                <w:szCs w:val="16"/>
              </w:rPr>
            </w:pPr>
            <w:r w:rsidRPr="006F42F9">
              <w:rPr>
                <w:rFonts w:ascii="Verdana" w:hAnsi="Verdana"/>
                <w:sz w:val="16"/>
                <w:szCs w:val="16"/>
              </w:rPr>
              <w:lastRenderedPageBreak/>
              <w:t>Contratista de la Subdirección de Gestión Contractual</w:t>
            </w:r>
          </w:p>
        </w:tc>
      </w:tr>
      <w:tr w:rsidR="00B51755" w:rsidRPr="006F42F9" w14:paraId="47FE83F4" w14:textId="77777777" w:rsidTr="004A1678">
        <w:trPr>
          <w:trHeight w:val="330"/>
        </w:trPr>
        <w:tc>
          <w:tcPr>
            <w:tcW w:w="893" w:type="dxa"/>
            <w:vAlign w:val="center"/>
            <w:hideMark/>
          </w:tcPr>
          <w:p w14:paraId="70A3CC8B" w14:textId="77777777" w:rsidR="00B51755" w:rsidRPr="006F42F9" w:rsidRDefault="00B51755" w:rsidP="004A1678">
            <w:pPr>
              <w:contextualSpacing/>
              <w:rPr>
                <w:rFonts w:ascii="Verdana" w:hAnsi="Verdana" w:cs="Arial"/>
                <w:sz w:val="16"/>
                <w:szCs w:val="16"/>
                <w:lang w:val="es-ES" w:eastAsia="es-ES"/>
              </w:rPr>
            </w:pPr>
            <w:r w:rsidRPr="006F42F9">
              <w:rPr>
                <w:rFonts w:ascii="Verdana" w:hAnsi="Verdana" w:cs="Arial"/>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6EAECBA" w14:textId="77777777" w:rsidR="00B51755" w:rsidRPr="006F42F9" w:rsidRDefault="00B51755" w:rsidP="004A1678">
            <w:pPr>
              <w:spacing w:before="100" w:beforeAutospacing="1" w:afterAutospacing="1"/>
              <w:contextualSpacing/>
              <w:textAlignment w:val="baseline"/>
              <w:rPr>
                <w:rFonts w:ascii="Verdana" w:eastAsia="Times New Roman" w:hAnsi="Verdana" w:cs="Arial"/>
                <w:sz w:val="16"/>
                <w:szCs w:val="16"/>
                <w:lang w:val="es-ES" w:eastAsia="es-ES_tradnl"/>
              </w:rPr>
            </w:pPr>
            <w:r w:rsidRPr="006F42F9">
              <w:rPr>
                <w:rFonts w:ascii="Verdana" w:eastAsia="Times New Roman" w:hAnsi="Verdana" w:cs="Arial"/>
                <w:sz w:val="16"/>
                <w:szCs w:val="16"/>
                <w:lang w:val="es-ES" w:eastAsia="es-ES_tradnl"/>
              </w:rPr>
              <w:t>Alejandro Sarmiento Cantillo</w:t>
            </w:r>
          </w:p>
          <w:p w14:paraId="0D887BB5" w14:textId="77777777" w:rsidR="00B51755" w:rsidRPr="006F42F9" w:rsidRDefault="00B51755" w:rsidP="004A1678">
            <w:pPr>
              <w:contextualSpacing/>
              <w:textAlignment w:val="baseline"/>
              <w:rPr>
                <w:rFonts w:ascii="Verdana" w:eastAsia="Times New Roman" w:hAnsi="Verdana" w:cs="Segoe UI"/>
                <w:sz w:val="16"/>
                <w:szCs w:val="16"/>
                <w:lang w:eastAsia="es-ES_tradnl"/>
              </w:rPr>
            </w:pPr>
            <w:r w:rsidRPr="006F42F9">
              <w:rPr>
                <w:rFonts w:ascii="Verdana" w:eastAsia="Times New Roman" w:hAnsi="Verdana" w:cs="Arial"/>
                <w:sz w:val="16"/>
                <w:szCs w:val="16"/>
                <w:lang w:val="es-ES" w:eastAsia="es-ES_tradnl"/>
              </w:rPr>
              <w:t>Gestor T1 ‒ 15 de la Subdirección de Gestión Contractual</w:t>
            </w:r>
            <w:r w:rsidRPr="006F42F9">
              <w:rPr>
                <w:rFonts w:ascii="Verdana" w:eastAsia="Times New Roman" w:hAnsi="Verdana" w:cs="Arial"/>
                <w:sz w:val="16"/>
                <w:szCs w:val="16"/>
                <w:lang w:eastAsia="es-ES_tradnl"/>
              </w:rPr>
              <w:t> </w:t>
            </w:r>
          </w:p>
        </w:tc>
      </w:tr>
      <w:tr w:rsidR="00B51755" w:rsidRPr="006F42F9" w14:paraId="52D5B76D" w14:textId="77777777" w:rsidTr="004A1678">
        <w:trPr>
          <w:trHeight w:val="300"/>
        </w:trPr>
        <w:tc>
          <w:tcPr>
            <w:tcW w:w="893" w:type="dxa"/>
            <w:vAlign w:val="center"/>
          </w:tcPr>
          <w:p w14:paraId="0A190022" w14:textId="77777777" w:rsidR="00B51755" w:rsidRPr="006F42F9" w:rsidRDefault="00B51755" w:rsidP="004A1678">
            <w:pPr>
              <w:contextualSpacing/>
              <w:rPr>
                <w:rFonts w:ascii="Verdana" w:hAnsi="Verdana" w:cs="Arial"/>
                <w:sz w:val="16"/>
                <w:szCs w:val="16"/>
                <w:lang w:val="es-ES" w:eastAsia="es-ES"/>
              </w:rPr>
            </w:pPr>
            <w:r w:rsidRPr="006F42F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C26DFAE" w14:textId="77777777" w:rsidR="00B51755" w:rsidRPr="006F42F9" w:rsidRDefault="00B51755" w:rsidP="004A1678">
            <w:pPr>
              <w:contextualSpacing/>
              <w:rPr>
                <w:rFonts w:ascii="Verdana" w:eastAsia="Calibri" w:hAnsi="Verdana" w:cs="Arial"/>
                <w:sz w:val="16"/>
                <w:szCs w:val="16"/>
                <w:lang w:val="pt-BR" w:eastAsia="es-ES"/>
              </w:rPr>
            </w:pPr>
            <w:r w:rsidRPr="006F42F9">
              <w:rPr>
                <w:rFonts w:ascii="Verdana" w:eastAsia="Calibri" w:hAnsi="Verdana" w:cs="Arial"/>
                <w:sz w:val="16"/>
                <w:szCs w:val="16"/>
                <w:lang w:val="pt-BR" w:eastAsia="es-ES"/>
              </w:rPr>
              <w:t xml:space="preserve">Carolina Quintero </w:t>
            </w:r>
            <w:proofErr w:type="spellStart"/>
            <w:r w:rsidRPr="006F42F9">
              <w:rPr>
                <w:rFonts w:ascii="Verdana" w:eastAsia="Calibri" w:hAnsi="Verdana" w:cs="Arial"/>
                <w:sz w:val="16"/>
                <w:szCs w:val="16"/>
                <w:lang w:val="pt-BR" w:eastAsia="es-ES"/>
              </w:rPr>
              <w:t>Gacharná</w:t>
            </w:r>
            <w:proofErr w:type="spellEnd"/>
          </w:p>
          <w:p w14:paraId="7A60136A" w14:textId="77777777" w:rsidR="00B51755" w:rsidRPr="006F42F9" w:rsidRDefault="00B51755" w:rsidP="004A1678">
            <w:pPr>
              <w:contextualSpacing/>
              <w:rPr>
                <w:rFonts w:ascii="Verdana" w:eastAsia="Calibri" w:hAnsi="Verdana" w:cs="Arial"/>
                <w:sz w:val="16"/>
                <w:szCs w:val="16"/>
                <w:lang w:val="pt-BR" w:eastAsia="es-ES"/>
              </w:rPr>
            </w:pPr>
            <w:r w:rsidRPr="006F42F9">
              <w:rPr>
                <w:rFonts w:ascii="Verdana" w:eastAsia="Calibri" w:hAnsi="Verdana" w:cs="Arial"/>
                <w:sz w:val="16"/>
                <w:szCs w:val="16"/>
                <w:lang w:eastAsia="es-ES"/>
              </w:rPr>
              <w:t>Subdirectora</w:t>
            </w:r>
            <w:r w:rsidRPr="006F42F9">
              <w:rPr>
                <w:rFonts w:ascii="Verdana" w:eastAsia="Calibri" w:hAnsi="Verdana" w:cs="Arial"/>
                <w:sz w:val="16"/>
                <w:szCs w:val="16"/>
                <w:lang w:val="pt-BR" w:eastAsia="es-ES"/>
              </w:rPr>
              <w:t xml:space="preserve"> de Gestión Contratual ANCP – CCE</w:t>
            </w:r>
          </w:p>
        </w:tc>
      </w:tr>
    </w:tbl>
    <w:p w14:paraId="6BEABC6B" w14:textId="77777777" w:rsidR="00B51755" w:rsidRPr="006F42F9" w:rsidRDefault="00B51755" w:rsidP="00B51755">
      <w:r w:rsidRPr="006F42F9">
        <w:t xml:space="preserve"> </w:t>
      </w:r>
    </w:p>
    <w:p w14:paraId="274B3D53" w14:textId="77777777" w:rsidR="00B51755" w:rsidRPr="006F42F9" w:rsidRDefault="00B51755" w:rsidP="00B51755"/>
    <w:p w14:paraId="0C7C54B9" w14:textId="77777777" w:rsidR="00B51755" w:rsidRPr="006F42F9" w:rsidRDefault="00B51755" w:rsidP="00B51755"/>
    <w:p w14:paraId="3B64D2AE" w14:textId="77777777" w:rsidR="00FB598B" w:rsidRDefault="00FB598B" w:rsidP="00B159EB">
      <w:pPr>
        <w:spacing w:after="0" w:line="240" w:lineRule="auto"/>
        <w:rPr>
          <w:rFonts w:ascii="Verdana" w:hAnsi="Verdana"/>
        </w:rPr>
      </w:pPr>
    </w:p>
    <w:sectPr w:rsidR="00FB598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7A6D10" w14:textId="77777777" w:rsidR="008A4456" w:rsidRDefault="008A4456" w:rsidP="004A1847">
      <w:pPr>
        <w:spacing w:after="0" w:line="240" w:lineRule="auto"/>
      </w:pPr>
      <w:r>
        <w:separator/>
      </w:r>
    </w:p>
  </w:endnote>
  <w:endnote w:type="continuationSeparator" w:id="0">
    <w:p w14:paraId="1C6F97BB" w14:textId="77777777" w:rsidR="008A4456" w:rsidRDefault="008A4456" w:rsidP="004A1847">
      <w:pPr>
        <w:spacing w:after="0" w:line="240" w:lineRule="auto"/>
      </w:pPr>
      <w:r>
        <w:continuationSeparator/>
      </w:r>
    </w:p>
  </w:endnote>
  <w:endnote w:type="continuationNotice" w:id="1">
    <w:p w14:paraId="6519FEEF" w14:textId="77777777" w:rsidR="008A4456" w:rsidRDefault="008A44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581740" w14:textId="77777777" w:rsidR="008A4456" w:rsidRDefault="008A4456" w:rsidP="004A1847">
      <w:pPr>
        <w:spacing w:after="0" w:line="240" w:lineRule="auto"/>
      </w:pPr>
      <w:r>
        <w:separator/>
      </w:r>
    </w:p>
  </w:footnote>
  <w:footnote w:type="continuationSeparator" w:id="0">
    <w:p w14:paraId="33C358C9" w14:textId="77777777" w:rsidR="008A4456" w:rsidRDefault="008A4456" w:rsidP="004A1847">
      <w:pPr>
        <w:spacing w:after="0" w:line="240" w:lineRule="auto"/>
      </w:pPr>
      <w:r>
        <w:continuationSeparator/>
      </w:r>
    </w:p>
  </w:footnote>
  <w:footnote w:type="continuationNotice" w:id="1">
    <w:p w14:paraId="5EC9BB67" w14:textId="77777777" w:rsidR="008A4456" w:rsidRDefault="008A4456">
      <w:pPr>
        <w:spacing w:after="0" w:line="240" w:lineRule="auto"/>
      </w:pPr>
    </w:p>
  </w:footnote>
  <w:footnote w:id="2">
    <w:p w14:paraId="495D58A5" w14:textId="77777777" w:rsidR="00B51755" w:rsidRPr="00B05796" w:rsidRDefault="00B51755" w:rsidP="00B51755">
      <w:pPr>
        <w:pStyle w:val="Textonotapie"/>
        <w:ind w:firstLine="709"/>
        <w:contextualSpacing/>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D1E80FE" w14:textId="77777777" w:rsidR="00B51755" w:rsidRPr="00B05796" w:rsidRDefault="00B51755" w:rsidP="00B51755">
      <w:pPr>
        <w:pStyle w:val="Textonotapie"/>
        <w:ind w:firstLine="709"/>
        <w:contextualSpacing/>
        <w:jc w:val="both"/>
        <w:rPr>
          <w:rFonts w:ascii="Verdana" w:hAnsi="Verdana" w:cs="Arial"/>
          <w:sz w:val="16"/>
          <w:szCs w:val="16"/>
        </w:rPr>
      </w:pPr>
      <w:r w:rsidRPr="00B05796">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36475BF4" w14:textId="77777777" w:rsidR="00B51755" w:rsidRPr="00B05796" w:rsidRDefault="00B51755" w:rsidP="00B51755">
      <w:pPr>
        <w:pStyle w:val="Textonotapie"/>
        <w:ind w:firstLine="709"/>
        <w:contextualSpacing/>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Gaceta del Congreso de la República No. 71 del 2005.</w:t>
      </w:r>
    </w:p>
  </w:footnote>
  <w:footnote w:id="4">
    <w:p w14:paraId="6A9F64A6" w14:textId="77777777" w:rsidR="00B51755" w:rsidRPr="0043584A" w:rsidRDefault="00B51755" w:rsidP="00B51755">
      <w:pPr>
        <w:pStyle w:val="Textonotapie"/>
        <w:ind w:firstLine="709"/>
        <w:contextualSpacing/>
        <w:jc w:val="both"/>
        <w:rPr>
          <w:rFonts w:ascii="Verdana" w:hAnsi="Verdana" w:cs="Arial"/>
          <w:sz w:val="16"/>
          <w:szCs w:val="16"/>
          <w:lang w:val="pt-BR"/>
        </w:rPr>
      </w:pPr>
      <w:r w:rsidRPr="00B05796">
        <w:rPr>
          <w:rStyle w:val="Refdenotaalpie"/>
          <w:rFonts w:ascii="Verdana" w:hAnsi="Verdana" w:cs="Arial"/>
          <w:sz w:val="16"/>
          <w:szCs w:val="16"/>
        </w:rPr>
        <w:footnoteRef/>
      </w:r>
      <w:r w:rsidRPr="0043584A">
        <w:rPr>
          <w:rFonts w:ascii="Verdana" w:hAnsi="Verdana" w:cs="Arial"/>
          <w:sz w:val="16"/>
          <w:szCs w:val="16"/>
          <w:lang w:val="pt-BR"/>
        </w:rPr>
        <w:t xml:space="preserve"> Corte Constitucional, Sentencia C- 1153 de 2005, M.P. Marco Gerardo </w:t>
      </w:r>
      <w:r w:rsidRPr="0043584A">
        <w:rPr>
          <w:rFonts w:ascii="Verdana" w:hAnsi="Verdana" w:cs="Arial"/>
          <w:sz w:val="16"/>
          <w:szCs w:val="16"/>
          <w:lang w:val="pt-BR"/>
        </w:rPr>
        <w:t>Monroy Cabra.</w:t>
      </w:r>
    </w:p>
  </w:footnote>
  <w:footnote w:id="5">
    <w:p w14:paraId="7FE5194E" w14:textId="77777777" w:rsidR="00B51755" w:rsidRPr="0043584A" w:rsidRDefault="00B51755" w:rsidP="00B51755">
      <w:pPr>
        <w:pStyle w:val="Textonotapie"/>
        <w:ind w:firstLine="709"/>
        <w:contextualSpacing/>
        <w:jc w:val="both"/>
        <w:rPr>
          <w:rFonts w:ascii="Verdana" w:hAnsi="Verdana" w:cs="Arial"/>
          <w:sz w:val="16"/>
          <w:szCs w:val="16"/>
          <w:lang w:val="pt-BR"/>
        </w:rPr>
      </w:pPr>
      <w:r w:rsidRPr="00B05796">
        <w:rPr>
          <w:rStyle w:val="Refdenotaalpie"/>
          <w:rFonts w:ascii="Verdana" w:hAnsi="Verdana" w:cs="Arial"/>
          <w:sz w:val="16"/>
          <w:szCs w:val="16"/>
        </w:rPr>
        <w:footnoteRef/>
      </w:r>
      <w:r w:rsidRPr="0043584A">
        <w:rPr>
          <w:rFonts w:ascii="Verdana" w:hAnsi="Verdana" w:cs="Arial"/>
          <w:sz w:val="16"/>
          <w:szCs w:val="16"/>
          <w:lang w:val="pt-BR"/>
        </w:rPr>
        <w:t xml:space="preserve"> Corte Constitucional. Sentencias: C-233 de 4 de abril de 2002, expediente: D-3704; C-551 de 9 de </w:t>
      </w:r>
      <w:r w:rsidRPr="0043584A">
        <w:rPr>
          <w:rFonts w:ascii="Verdana" w:hAnsi="Verdana" w:cs="Arial"/>
          <w:sz w:val="16"/>
          <w:szCs w:val="16"/>
          <w:lang w:val="pt-BR"/>
        </w:rPr>
        <w:t>julio de 2003, expediente: CRF-001 de 9 de julio de 2003; C-652 de 5 de agosto de 2003, expediente: D-4330; C-353 de 20 de mayo de 2009, expediente: D-7518, C-541 de 30 de junio de 2010, expediente: DD7966; entre otras.</w:t>
      </w:r>
    </w:p>
  </w:footnote>
  <w:footnote w:id="6">
    <w:p w14:paraId="1308BFD9" w14:textId="77777777" w:rsidR="00B51755" w:rsidRPr="00B05796" w:rsidRDefault="00B51755" w:rsidP="00B51755">
      <w:pPr>
        <w:pStyle w:val="Textonotapie"/>
        <w:ind w:firstLine="709"/>
        <w:contextualSpacing/>
        <w:jc w:val="both"/>
        <w:rPr>
          <w:rFonts w:ascii="Verdana" w:hAnsi="Verdana" w:cs="Arial"/>
          <w:sz w:val="16"/>
          <w:szCs w:val="16"/>
          <w:lang w:val="es-CO"/>
        </w:rPr>
      </w:pPr>
      <w:r w:rsidRPr="00B05796">
        <w:rPr>
          <w:rStyle w:val="Refdenotaalpie"/>
          <w:rFonts w:ascii="Verdana" w:hAnsi="Verdana" w:cs="Arial"/>
          <w:sz w:val="16"/>
          <w:szCs w:val="16"/>
        </w:rPr>
        <w:footnoteRef/>
      </w:r>
      <w:r w:rsidRPr="00B05796">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51B49AB5" w14:textId="77777777" w:rsidR="00B51755" w:rsidRPr="00B05796" w:rsidRDefault="00B51755" w:rsidP="00B51755">
      <w:pPr>
        <w:pStyle w:val="Textonotapie"/>
        <w:ind w:firstLine="709"/>
        <w:contextualSpacing/>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Consejo de Estado, Sala de Consulta y Servicio Civil de fecha 24 de julio de 2013, radicado 2166, </w:t>
      </w:r>
      <w:r w:rsidRPr="00B05796">
        <w:rPr>
          <w:rFonts w:ascii="Verdana" w:hAnsi="Verdana" w:cs="Arial"/>
          <w:sz w:val="16"/>
          <w:szCs w:val="16"/>
        </w:rPr>
        <w:t xml:space="preserve">Consejero Ponente: Álvaro Namén Vargas.  </w:t>
      </w:r>
    </w:p>
  </w:footnote>
  <w:footnote w:id="8">
    <w:p w14:paraId="189FF869" w14:textId="77777777" w:rsidR="00B51755" w:rsidRPr="00B05796" w:rsidRDefault="00B51755" w:rsidP="00B51755">
      <w:pPr>
        <w:spacing w:after="0" w:line="240" w:lineRule="auto"/>
        <w:ind w:firstLine="709"/>
        <w:contextualSpacing/>
        <w:jc w:val="both"/>
        <w:rPr>
          <w:rFonts w:ascii="Verdana" w:eastAsia="Times New Roman"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w:t>
      </w:r>
      <w:bookmarkStart w:id="7" w:name="33"/>
      <w:r w:rsidRPr="00B05796">
        <w:rPr>
          <w:rFonts w:ascii="Verdana" w:eastAsia="Calibri" w:hAnsi="Verdana" w:cs="Arial"/>
          <w:color w:val="000000"/>
          <w:sz w:val="16"/>
          <w:szCs w:val="16"/>
        </w:rPr>
        <w:t>“</w:t>
      </w:r>
      <w:r w:rsidRPr="00B05796">
        <w:rPr>
          <w:rFonts w:ascii="Verdana" w:eastAsia="Times New Roman" w:hAnsi="Verdana" w:cs="Arial"/>
          <w:sz w:val="16"/>
          <w:szCs w:val="16"/>
        </w:rPr>
        <w:t>Artículo 33. Restricciones a la contratación pública.</w:t>
      </w:r>
      <w:bookmarkEnd w:id="7"/>
      <w:r w:rsidRPr="00B05796">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4C0981C7" w14:textId="77777777" w:rsidR="00B51755" w:rsidRPr="00B05796" w:rsidRDefault="00B51755" w:rsidP="00B51755">
      <w:pPr>
        <w:spacing w:after="0" w:line="240" w:lineRule="auto"/>
        <w:ind w:firstLine="709"/>
        <w:contextualSpacing/>
        <w:jc w:val="both"/>
        <w:rPr>
          <w:rFonts w:ascii="Verdana" w:eastAsia="Times New Roman" w:hAnsi="Verdana" w:cs="Arial"/>
          <w:sz w:val="16"/>
          <w:szCs w:val="16"/>
        </w:rPr>
      </w:pPr>
      <w:r w:rsidRPr="00B05796">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05796">
        <w:rPr>
          <w:rFonts w:ascii="Verdana" w:eastAsia="Calibri" w:hAnsi="Verdana" w:cs="Arial"/>
          <w:color w:val="000000"/>
          <w:sz w:val="16"/>
          <w:szCs w:val="16"/>
        </w:rPr>
        <w:t>”</w:t>
      </w:r>
      <w:r w:rsidRPr="00B05796">
        <w:rPr>
          <w:rFonts w:ascii="Verdana" w:eastAsia="Times New Roman" w:hAnsi="Verdana" w:cs="Arial"/>
          <w:sz w:val="16"/>
          <w:szCs w:val="16"/>
        </w:rPr>
        <w:t>.</w:t>
      </w:r>
    </w:p>
  </w:footnote>
  <w:footnote w:id="9">
    <w:p w14:paraId="23C47A86" w14:textId="77777777" w:rsidR="00B51755" w:rsidRPr="00B05796" w:rsidRDefault="00B51755" w:rsidP="00B51755">
      <w:pPr>
        <w:pStyle w:val="NormalWeb"/>
        <w:spacing w:before="0" w:beforeAutospacing="0" w:after="0" w:afterAutospacing="0"/>
        <w:ind w:firstLine="709"/>
        <w:contextualSpacing/>
        <w:jc w:val="both"/>
        <w:rPr>
          <w:rFonts w:ascii="Verdana" w:hAnsi="Verdana" w:cs="Arial"/>
          <w:sz w:val="16"/>
          <w:szCs w:val="16"/>
          <w:lang w:val="es-MX"/>
        </w:rPr>
      </w:pPr>
      <w:r w:rsidRPr="00B05796">
        <w:rPr>
          <w:rStyle w:val="Refdenotaalpie"/>
          <w:rFonts w:ascii="Verdana" w:hAnsi="Verdana" w:cs="Arial"/>
          <w:sz w:val="16"/>
          <w:szCs w:val="16"/>
        </w:rPr>
        <w:footnoteRef/>
      </w:r>
      <w:r w:rsidRPr="00B05796">
        <w:rPr>
          <w:rFonts w:ascii="Verdana" w:hAnsi="Verdana" w:cs="Arial"/>
          <w:sz w:val="16"/>
          <w:szCs w:val="16"/>
        </w:rPr>
        <w:t xml:space="preserve"> </w:t>
      </w:r>
      <w:bookmarkStart w:id="8" w:name="38"/>
      <w:r w:rsidRPr="00B05796">
        <w:rPr>
          <w:rFonts w:ascii="Verdana" w:eastAsia="Calibri" w:hAnsi="Verdana" w:cs="Arial"/>
          <w:color w:val="000000"/>
          <w:sz w:val="16"/>
          <w:szCs w:val="16"/>
        </w:rPr>
        <w:t>“</w:t>
      </w:r>
      <w:r w:rsidRPr="00B05796">
        <w:rPr>
          <w:rFonts w:ascii="Verdana" w:hAnsi="Verdana" w:cs="Arial"/>
          <w:sz w:val="16"/>
          <w:szCs w:val="16"/>
          <w:lang w:val="es-MX"/>
        </w:rPr>
        <w:t>Artículo 38. Prohibiciones para los servidores públicos. A los empleados del Estado les está prohibido:</w:t>
      </w:r>
      <w:bookmarkEnd w:id="8"/>
    </w:p>
    <w:p w14:paraId="439D283E" w14:textId="77777777" w:rsidR="00B51755" w:rsidRPr="00B05796" w:rsidRDefault="00B51755" w:rsidP="00B51755">
      <w:pPr>
        <w:pStyle w:val="NormalWeb"/>
        <w:spacing w:before="0" w:beforeAutospacing="0" w:after="0" w:afterAutospacing="0"/>
        <w:ind w:firstLine="709"/>
        <w:contextualSpacing/>
        <w:jc w:val="both"/>
        <w:rPr>
          <w:rFonts w:ascii="Verdana" w:hAnsi="Verdana" w:cs="Arial"/>
          <w:sz w:val="16"/>
          <w:szCs w:val="16"/>
          <w:lang w:val="es-MX"/>
        </w:rPr>
      </w:pPr>
      <w:r w:rsidRPr="00B05796">
        <w:rPr>
          <w:rFonts w:ascii="Verdana" w:hAnsi="Verdana" w:cs="Arial"/>
          <w:sz w:val="16"/>
          <w:szCs w:val="16"/>
          <w:lang w:val="es-MX"/>
        </w:rPr>
        <w:t>[…]</w:t>
      </w:r>
    </w:p>
    <w:p w14:paraId="7F1DA9E3" w14:textId="77777777" w:rsidR="00B51755" w:rsidRPr="00B05796" w:rsidRDefault="00B51755" w:rsidP="00B51755">
      <w:pPr>
        <w:pStyle w:val="NormalWeb"/>
        <w:spacing w:before="0" w:beforeAutospacing="0" w:after="0" w:afterAutospacing="0"/>
        <w:ind w:firstLine="709"/>
        <w:contextualSpacing/>
        <w:jc w:val="both"/>
        <w:rPr>
          <w:rFonts w:ascii="Verdana" w:hAnsi="Verdana" w:cs="Arial"/>
          <w:sz w:val="16"/>
          <w:szCs w:val="16"/>
          <w:lang w:val="es-MX"/>
        </w:rPr>
      </w:pPr>
      <w:r w:rsidRPr="00B05796">
        <w:rPr>
          <w:rStyle w:val="baj"/>
          <w:rFonts w:ascii="Verdana" w:eastAsiaTheme="minorEastAsia" w:hAnsi="Verdana" w:cs="Arial"/>
          <w:sz w:val="16"/>
          <w:szCs w:val="16"/>
          <w:lang w:val="es-MX"/>
        </w:rPr>
        <w:t>Parágrafo.</w:t>
      </w:r>
      <w:r w:rsidRPr="00B05796">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05796">
        <w:rPr>
          <w:rFonts w:ascii="Verdana" w:eastAsia="Calibri" w:hAnsi="Verdana" w:cs="Arial"/>
          <w:color w:val="000000"/>
          <w:sz w:val="16"/>
          <w:szCs w:val="16"/>
        </w:rPr>
        <w:t>”</w:t>
      </w:r>
      <w:r w:rsidRPr="00B05796">
        <w:rPr>
          <w:rFonts w:ascii="Verdana" w:hAnsi="Verdana" w:cs="Arial"/>
          <w:sz w:val="16"/>
          <w:szCs w:val="16"/>
          <w:lang w:val="es-MX"/>
        </w:rPr>
        <w:t>.</w:t>
      </w:r>
    </w:p>
  </w:footnote>
  <w:footnote w:id="10">
    <w:p w14:paraId="300B61BA" w14:textId="77777777" w:rsidR="00B51755" w:rsidRPr="00B05796" w:rsidRDefault="00B51755" w:rsidP="00B51755">
      <w:pPr>
        <w:spacing w:after="0" w:line="240" w:lineRule="auto"/>
        <w:ind w:left="100" w:right="244" w:firstLine="709"/>
        <w:contextualSpacing/>
        <w:jc w:val="both"/>
        <w:rPr>
          <w:rFonts w:ascii="Verdana" w:hAnsi="Verdana" w:cs="Arial"/>
          <w:sz w:val="16"/>
          <w:szCs w:val="16"/>
          <w:lang w:val="es-ES"/>
        </w:rPr>
      </w:pPr>
      <w:r w:rsidRPr="00B05796">
        <w:rPr>
          <w:rStyle w:val="Refdenotaalpie"/>
          <w:rFonts w:ascii="Verdana" w:hAnsi="Verdana" w:cs="Arial"/>
          <w:sz w:val="16"/>
          <w:szCs w:val="16"/>
        </w:rPr>
        <w:footnoteRef/>
      </w:r>
      <w:r w:rsidRPr="00B05796">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3FB0E494" w14:textId="77777777" w:rsidR="00B51755" w:rsidRPr="00B05796" w:rsidRDefault="00B51755" w:rsidP="00B51755">
      <w:pPr>
        <w:pStyle w:val="Textonotapie"/>
        <w:ind w:right="51"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w:t>
      </w:r>
      <w:r w:rsidRPr="00B05796">
        <w:rPr>
          <w:rFonts w:ascii="Verdana" w:hAnsi="Verdana" w:cs="Arial"/>
          <w:sz w:val="16"/>
          <w:szCs w:val="16"/>
          <w:lang w:val="es-ES"/>
        </w:rPr>
        <w:t xml:space="preserve">[25] </w:t>
      </w:r>
      <w:r w:rsidRPr="00B05796">
        <w:rPr>
          <w:rFonts w:ascii="Verdana" w:hAnsi="Verdana" w:cs="Arial"/>
          <w:sz w:val="16"/>
          <w:szCs w:val="16"/>
        </w:rPr>
        <w:t>Cfr. Consejo de Estado. Sección Tercera. Sentencia de 3 de diciembre de 2007. Radicados: 24.715, 25.206, 25.409, 24.524, 27.834, 25.410, 26.105, 28.244, 31.447 -acumulados-”.</w:t>
      </w:r>
    </w:p>
  </w:footnote>
  <w:footnote w:id="12">
    <w:p w14:paraId="003DCA9A" w14:textId="77777777" w:rsidR="00B51755" w:rsidRPr="00B05796" w:rsidRDefault="00B51755" w:rsidP="00B51755">
      <w:pPr>
        <w:pStyle w:val="Textonotapie"/>
        <w:ind w:right="51"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w:t>
      </w:r>
      <w:r w:rsidRPr="00B05796">
        <w:rPr>
          <w:rFonts w:ascii="Verdana" w:hAnsi="Verdana" w:cs="Arial"/>
          <w:sz w:val="16"/>
          <w:szCs w:val="16"/>
          <w:lang w:val="es-ES"/>
        </w:rPr>
        <w:t xml:space="preserve">[26] </w:t>
      </w:r>
      <w:r w:rsidRPr="00B05796">
        <w:rPr>
          <w:rFonts w:ascii="Verdana" w:hAnsi="Verdana" w:cs="Arial"/>
          <w:sz w:val="16"/>
          <w:szCs w:val="16"/>
        </w:rPr>
        <w:t>Al respecto ver el concepto 1712 de 2 de febrero de 2006. Consejo de Estado Sala de Consulta y Servicio Civil”.</w:t>
      </w:r>
    </w:p>
  </w:footnote>
  <w:footnote w:id="13">
    <w:p w14:paraId="5D921856" w14:textId="77777777" w:rsidR="00B51755" w:rsidRPr="00B05796" w:rsidRDefault="00B51755" w:rsidP="00B51755">
      <w:pPr>
        <w:pStyle w:val="Textonotapie"/>
        <w:ind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4">
    <w:p w14:paraId="48BC8365" w14:textId="77777777" w:rsidR="00B51755" w:rsidRPr="00B05796" w:rsidRDefault="00B51755" w:rsidP="00B51755">
      <w:pPr>
        <w:pStyle w:val="Textonotapie"/>
        <w:ind w:firstLine="709"/>
        <w:jc w:val="both"/>
        <w:rPr>
          <w:rFonts w:ascii="Verdana" w:hAnsi="Verdana" w:cs="Arial"/>
          <w:sz w:val="16"/>
          <w:szCs w:val="16"/>
          <w:lang w:val="es-ES"/>
        </w:rPr>
      </w:pPr>
      <w:r w:rsidRPr="00B05796">
        <w:rPr>
          <w:rStyle w:val="Refdenotaalpie"/>
          <w:rFonts w:ascii="Verdana" w:hAnsi="Verdana" w:cs="Arial"/>
          <w:sz w:val="16"/>
          <w:szCs w:val="16"/>
        </w:rPr>
        <w:footnoteRef/>
      </w:r>
      <w:r w:rsidRPr="00B05796">
        <w:rPr>
          <w:rFonts w:ascii="Verdana" w:hAnsi="Verdana" w:cs="Arial"/>
          <w:sz w:val="16"/>
          <w:szCs w:val="16"/>
        </w:rPr>
        <w:t xml:space="preserve"> </w:t>
      </w:r>
      <w:r w:rsidRPr="00B05796">
        <w:rPr>
          <w:rFonts w:ascii="Verdana" w:hAnsi="Verdana" w:cs="Arial"/>
          <w:sz w:val="16"/>
          <w:szCs w:val="16"/>
          <w:lang w:val="es-ES"/>
        </w:rPr>
        <w:t xml:space="preserve">Artículo 2. </w:t>
      </w:r>
    </w:p>
  </w:footnote>
  <w:footnote w:id="15">
    <w:p w14:paraId="03098DFD" w14:textId="77777777" w:rsidR="00B51755" w:rsidRPr="00B05796" w:rsidRDefault="00B51755" w:rsidP="00B51755">
      <w:pPr>
        <w:pStyle w:val="Textonotapie"/>
        <w:ind w:firstLine="709"/>
        <w:jc w:val="both"/>
        <w:rPr>
          <w:rFonts w:ascii="Verdana" w:hAnsi="Verdana" w:cs="Arial"/>
          <w:sz w:val="16"/>
          <w:szCs w:val="16"/>
          <w:lang w:val="es-ES"/>
        </w:rPr>
      </w:pPr>
      <w:r w:rsidRPr="00B05796">
        <w:rPr>
          <w:rStyle w:val="Refdenotaalpie"/>
          <w:rFonts w:ascii="Verdana" w:hAnsi="Verdana" w:cs="Arial"/>
          <w:sz w:val="16"/>
          <w:szCs w:val="16"/>
        </w:rPr>
        <w:footnoteRef/>
      </w:r>
      <w:r w:rsidRPr="00B05796">
        <w:rPr>
          <w:rFonts w:ascii="Verdana" w:hAnsi="Verdana" w:cs="Arial"/>
          <w:sz w:val="16"/>
          <w:szCs w:val="16"/>
        </w:rPr>
        <w:t xml:space="preserve"> </w:t>
      </w:r>
      <w:r w:rsidRPr="00B05796">
        <w:rPr>
          <w:rFonts w:ascii="Verdana" w:hAnsi="Verdana" w:cs="Arial"/>
          <w:i/>
          <w:sz w:val="16"/>
          <w:szCs w:val="16"/>
          <w:lang w:val="es-ES"/>
        </w:rPr>
        <w:t>Ibidem</w:t>
      </w:r>
      <w:r w:rsidRPr="00B05796">
        <w:rPr>
          <w:rFonts w:ascii="Verdana" w:hAnsi="Verdana" w:cs="Arial"/>
          <w:sz w:val="16"/>
          <w:szCs w:val="16"/>
          <w:lang w:val="es-ES"/>
        </w:rPr>
        <w:t>.</w:t>
      </w:r>
    </w:p>
  </w:footnote>
  <w:footnote w:id="16">
    <w:p w14:paraId="2098E3A7" w14:textId="77777777" w:rsidR="00B51755" w:rsidRPr="00B05796" w:rsidRDefault="00B51755" w:rsidP="00B51755">
      <w:pPr>
        <w:pStyle w:val="Textonotapie"/>
        <w:ind w:firstLine="709"/>
        <w:jc w:val="both"/>
        <w:rPr>
          <w:rFonts w:ascii="Verdana" w:hAnsi="Verdana" w:cs="Arial"/>
          <w:sz w:val="16"/>
          <w:szCs w:val="16"/>
          <w:lang w:val="es-ES"/>
        </w:rPr>
      </w:pPr>
      <w:r w:rsidRPr="00B05796">
        <w:rPr>
          <w:rStyle w:val="Refdenotaalpie"/>
          <w:rFonts w:ascii="Verdana" w:hAnsi="Verdana" w:cs="Arial"/>
          <w:sz w:val="16"/>
          <w:szCs w:val="16"/>
        </w:rPr>
        <w:footnoteRef/>
      </w:r>
      <w:r w:rsidRPr="00B05796">
        <w:rPr>
          <w:rStyle w:val="Refdenotaalpie"/>
          <w:rFonts w:ascii="Verdana" w:hAnsi="Verdana" w:cs="Arial"/>
          <w:sz w:val="16"/>
          <w:szCs w:val="16"/>
        </w:rPr>
        <w:t xml:space="preserve"> </w:t>
      </w:r>
      <w:r w:rsidRPr="00B05796">
        <w:rPr>
          <w:rFonts w:ascii="Verdana" w:hAnsi="Verdana" w:cs="Arial"/>
          <w:sz w:val="16"/>
          <w:szCs w:val="16"/>
          <w:lang w:val="es-ES"/>
        </w:rPr>
        <w:t xml:space="preserve">“[…] A este respecto, cabe recordar que el artículo 860 del Código de Comercio regula la licitación en el derecho privado”. </w:t>
      </w:r>
    </w:p>
  </w:footnote>
  <w:footnote w:id="17">
    <w:p w14:paraId="24622EC0" w14:textId="77777777" w:rsidR="00B51755" w:rsidRPr="00B05796" w:rsidRDefault="00B51755" w:rsidP="00B51755">
      <w:pPr>
        <w:shd w:val="clear" w:color="auto" w:fill="FFFFFF"/>
        <w:spacing w:after="0"/>
        <w:ind w:firstLine="709"/>
        <w:jc w:val="both"/>
        <w:rPr>
          <w:rFonts w:ascii="Verdana" w:hAnsi="Verdana" w:cs="Arial"/>
          <w:sz w:val="16"/>
          <w:szCs w:val="16"/>
          <w:lang w:val="es-ES"/>
        </w:rPr>
      </w:pPr>
      <w:r w:rsidRPr="00B05796">
        <w:rPr>
          <w:rStyle w:val="Refdenotaalpie"/>
          <w:rFonts w:ascii="Verdana" w:hAnsi="Verdana" w:cs="Arial"/>
          <w:sz w:val="16"/>
          <w:szCs w:val="16"/>
        </w:rPr>
        <w:footnoteRef/>
      </w:r>
      <w:r w:rsidRPr="00B05796">
        <w:rPr>
          <w:rStyle w:val="Refdenotaalpie"/>
          <w:rFonts w:ascii="Verdana" w:hAnsi="Verdana" w:cs="Arial"/>
          <w:sz w:val="16"/>
          <w:szCs w:val="16"/>
        </w:rPr>
        <w:t xml:space="preserve"> </w:t>
      </w:r>
      <w:r w:rsidRPr="00B05796">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8">
    <w:p w14:paraId="65A84541" w14:textId="77777777" w:rsidR="00B51755" w:rsidRPr="00B05796" w:rsidRDefault="00B51755" w:rsidP="00B51755">
      <w:pPr>
        <w:pStyle w:val="Textonotapie"/>
        <w:ind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Consejo de Estado. Sala de Consulta y Servicio Civil. Concepto del 08 de mayo de 2018. </w:t>
      </w:r>
      <w:r w:rsidRPr="00B05796">
        <w:rPr>
          <w:rFonts w:ascii="Verdana" w:hAnsi="Verdana" w:cs="Arial"/>
          <w:sz w:val="16"/>
          <w:szCs w:val="16"/>
        </w:rPr>
        <w:t>Exp. 2.382. C.P. Álvaro Namén Vargas.</w:t>
      </w:r>
    </w:p>
  </w:footnote>
  <w:footnote w:id="19">
    <w:p w14:paraId="0375AFB9" w14:textId="77777777" w:rsidR="00B51755" w:rsidRPr="00B05796" w:rsidRDefault="00B51755" w:rsidP="00B51755">
      <w:pPr>
        <w:pStyle w:val="Textonotapie"/>
        <w:ind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w:t>
      </w:r>
      <w:r w:rsidRPr="00B05796">
        <w:rPr>
          <w:rFonts w:ascii="Verdana" w:hAnsi="Verdana" w:cs="Arial"/>
          <w:sz w:val="16"/>
          <w:szCs w:val="16"/>
        </w:rPr>
        <w:t>N° 216/05 Senado, N° 235-Cámara que dio lugar a la Ley de Garantías Electorales.</w:t>
      </w:r>
    </w:p>
  </w:footnote>
  <w:footnote w:id="20">
    <w:p w14:paraId="54E30F44" w14:textId="77777777" w:rsidR="00B51755" w:rsidRPr="00B05796" w:rsidRDefault="00B51755" w:rsidP="00B51755">
      <w:pPr>
        <w:spacing w:after="0"/>
        <w:ind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1">
    <w:p w14:paraId="25CD9359" w14:textId="77777777" w:rsidR="00B51755" w:rsidRPr="00B05796" w:rsidRDefault="00B51755" w:rsidP="00B51755">
      <w:pPr>
        <w:pStyle w:val="Textonotapie"/>
        <w:ind w:right="51"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w:t>
      </w:r>
      <w:bookmarkStart w:id="19" w:name="_Hlk75633115"/>
      <w:r w:rsidRPr="00B05796">
        <w:rPr>
          <w:rFonts w:ascii="Verdana" w:hAnsi="Verdana" w:cs="Arial"/>
          <w:sz w:val="16"/>
          <w:szCs w:val="16"/>
        </w:rPr>
        <w:t xml:space="preserve">Consejo de Estado. Sala de Consulta y Servicio Civil. Concepto </w:t>
      </w:r>
      <w:bookmarkEnd w:id="19"/>
      <w:r w:rsidRPr="00B05796">
        <w:rPr>
          <w:rFonts w:ascii="Verdana" w:hAnsi="Verdana" w:cs="Arial"/>
          <w:sz w:val="16"/>
          <w:szCs w:val="16"/>
        </w:rPr>
        <w:t>de 6 de abril de 2006. Radicación Número: 11001-03-06-000-2006-00038-00(1738). Consejero Ponente: Enrique José Arboleda Perdomo:</w:t>
      </w:r>
      <w:r w:rsidRPr="00B05796">
        <w:rPr>
          <w:rFonts w:ascii="Verdana" w:eastAsia="Times New Roman" w:hAnsi="Verdana" w:cs="Arial"/>
          <w:bCs/>
          <w:sz w:val="16"/>
          <w:szCs w:val="16"/>
          <w:lang w:eastAsia="x-none"/>
        </w:rPr>
        <w:t xml:space="preserve"> “</w:t>
      </w:r>
      <w:r w:rsidRPr="00B05796">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B05796">
        <w:rPr>
          <w:rFonts w:ascii="Verdana" w:eastAsia="Times New Roman" w:hAnsi="Verdana" w:cs="Arial"/>
          <w:bCs/>
          <w:sz w:val="16"/>
          <w:szCs w:val="16"/>
          <w:lang w:eastAsia="x-none"/>
        </w:rPr>
        <w:t>”.</w:t>
      </w:r>
    </w:p>
  </w:footnote>
  <w:footnote w:id="22">
    <w:p w14:paraId="5A9A8988" w14:textId="77777777" w:rsidR="00B51755" w:rsidRPr="00F95083" w:rsidRDefault="00B51755" w:rsidP="00B51755">
      <w:pPr>
        <w:spacing w:after="0" w:line="240" w:lineRule="auto"/>
        <w:ind w:firstLine="708"/>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 6 de abril de 2006. Radicación Número: 11001-03-06-000-2006-00038-00(1738). Consejero Ponente: Enrique José Arboleda Perdomo. </w:t>
      </w:r>
    </w:p>
  </w:footnote>
  <w:footnote w:id="23">
    <w:p w14:paraId="759B1C31" w14:textId="77777777" w:rsidR="00B51755" w:rsidRPr="00F95083" w:rsidRDefault="00B51755" w:rsidP="00B51755">
      <w:pPr>
        <w:pStyle w:val="Textonotapie"/>
        <w:ind w:right="51"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ídem.</w:t>
      </w:r>
    </w:p>
  </w:footnote>
  <w:footnote w:id="24">
    <w:p w14:paraId="5A957252" w14:textId="77777777" w:rsidR="00B51755" w:rsidRPr="00B05796" w:rsidRDefault="00B51755" w:rsidP="00B51755">
      <w:pPr>
        <w:pStyle w:val="Textonotapie"/>
        <w:ind w:firstLine="708"/>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Concepto 2013010362-001 del 18 de marzo de 2013. </w:t>
      </w:r>
      <w:hyperlink r:id="rId1" w:history="1">
        <w:r w:rsidRPr="00B05796">
          <w:rPr>
            <w:rStyle w:val="Hipervnculo"/>
            <w:rFonts w:ascii="Verdana" w:hAnsi="Verdana" w:cs="Arial"/>
            <w:color w:val="44546A" w:themeColor="text2"/>
            <w:sz w:val="16"/>
            <w:szCs w:val="16"/>
          </w:rPr>
          <w:t>https://actualicese.com/concepto-2013010362-001-de-18-03-2013</w:t>
        </w:r>
        <w:r w:rsidRPr="00B05796">
          <w:rPr>
            <w:rStyle w:val="Hipervnculo"/>
            <w:rFonts w:ascii="Verdana" w:hAnsi="Verdana" w:cs="Arial"/>
            <w:sz w:val="16"/>
            <w:szCs w:val="16"/>
          </w:rPr>
          <w:t>/</w:t>
        </w:r>
      </w:hyperlink>
      <w:r w:rsidRPr="00B05796">
        <w:rPr>
          <w:rFonts w:ascii="Verdana" w:hAnsi="Verdana" w:cs="Arial"/>
          <w:sz w:val="16"/>
          <w:szCs w:val="16"/>
        </w:rPr>
        <w:t xml:space="preserve">. </w:t>
      </w:r>
    </w:p>
  </w:footnote>
  <w:footnote w:id="25">
    <w:p w14:paraId="324F8AA2" w14:textId="77777777" w:rsidR="00B51755" w:rsidRPr="00B05796" w:rsidRDefault="00B51755" w:rsidP="00B51755">
      <w:pPr>
        <w:pStyle w:val="Textonotapie"/>
        <w:ind w:firstLine="708"/>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RODRÍGUEZ AZUERO, Sergio. Negocios fiduciarios: su significación en América Latina. Segunda edición. Bogotá: Legis, 2017. p. 227.</w:t>
      </w:r>
    </w:p>
  </w:footnote>
  <w:footnote w:id="26">
    <w:p w14:paraId="30863056" w14:textId="77777777" w:rsidR="00B51755" w:rsidRPr="00472BB2" w:rsidRDefault="00B51755" w:rsidP="00B51755">
      <w:pPr>
        <w:pStyle w:val="Textonotapie"/>
        <w:ind w:firstLine="708"/>
        <w:jc w:val="both"/>
        <w:rPr>
          <w:rFonts w:ascii="Verdana" w:hAnsi="Verdana"/>
          <w:sz w:val="16"/>
          <w:szCs w:val="16"/>
          <w:lang w:val="es-CO"/>
        </w:rPr>
      </w:pPr>
      <w:r w:rsidRPr="00472BB2">
        <w:rPr>
          <w:rStyle w:val="Refdenotaalpie"/>
          <w:rFonts w:ascii="Verdana" w:hAnsi="Verdana"/>
          <w:sz w:val="16"/>
          <w:szCs w:val="16"/>
        </w:rPr>
        <w:footnoteRef/>
      </w:r>
      <w:r w:rsidRPr="00472BB2">
        <w:rPr>
          <w:rFonts w:ascii="Verdana" w:hAnsi="Verdana"/>
          <w:sz w:val="16"/>
          <w:szCs w:val="16"/>
        </w:rPr>
        <w:t xml:space="preserve"> </w:t>
      </w:r>
      <w:r>
        <w:rPr>
          <w:rFonts w:ascii="Verdana" w:hAnsi="Verdana"/>
          <w:sz w:val="16"/>
          <w:szCs w:val="16"/>
        </w:rPr>
        <w:t>En lo pertinente, la norma dispone que “</w:t>
      </w:r>
      <w:r w:rsidRPr="00162E9F">
        <w:rPr>
          <w:rFonts w:ascii="Verdana" w:hAnsi="Verdana"/>
          <w:sz w:val="16"/>
          <w:szCs w:val="16"/>
          <w:lang w:val="es-CO"/>
        </w:rPr>
        <w:t xml:space="preserve">Créese el Fondo para la Superación de Brechas de Desigualdad Poblacional e Inequidad Territorial como un patrimonio autónomo constituido mediante la celebración de un contrato de fiducia mercantil entre el Ministerio de Igualdad y Equidad y una sociedad fiduciaria pública. </w:t>
      </w:r>
      <w:r>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pt;height:7.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B11"/>
    <w:rsid w:val="00007981"/>
    <w:rsid w:val="00016F78"/>
    <w:rsid w:val="000210A4"/>
    <w:rsid w:val="00027635"/>
    <w:rsid w:val="00046945"/>
    <w:rsid w:val="00061B2A"/>
    <w:rsid w:val="000746B0"/>
    <w:rsid w:val="00082362"/>
    <w:rsid w:val="00085A6F"/>
    <w:rsid w:val="00097C9F"/>
    <w:rsid w:val="000A08C8"/>
    <w:rsid w:val="000A10B1"/>
    <w:rsid w:val="000A340E"/>
    <w:rsid w:val="000A683E"/>
    <w:rsid w:val="000A7657"/>
    <w:rsid w:val="000B19B9"/>
    <w:rsid w:val="000D0334"/>
    <w:rsid w:val="000D5DA7"/>
    <w:rsid w:val="000E6737"/>
    <w:rsid w:val="000F3FFE"/>
    <w:rsid w:val="000F6486"/>
    <w:rsid w:val="00116940"/>
    <w:rsid w:val="00125105"/>
    <w:rsid w:val="00127233"/>
    <w:rsid w:val="001274C5"/>
    <w:rsid w:val="0015699B"/>
    <w:rsid w:val="00162E9F"/>
    <w:rsid w:val="0018312D"/>
    <w:rsid w:val="001860FC"/>
    <w:rsid w:val="00191743"/>
    <w:rsid w:val="00196289"/>
    <w:rsid w:val="001970CC"/>
    <w:rsid w:val="001A1653"/>
    <w:rsid w:val="001A33BF"/>
    <w:rsid w:val="001A6226"/>
    <w:rsid w:val="001B2830"/>
    <w:rsid w:val="001B3C8B"/>
    <w:rsid w:val="001E4177"/>
    <w:rsid w:val="001F0B24"/>
    <w:rsid w:val="001F7DC6"/>
    <w:rsid w:val="00202C5B"/>
    <w:rsid w:val="00212EF8"/>
    <w:rsid w:val="0022400B"/>
    <w:rsid w:val="00225408"/>
    <w:rsid w:val="002421BB"/>
    <w:rsid w:val="0024362E"/>
    <w:rsid w:val="0025102C"/>
    <w:rsid w:val="002577E0"/>
    <w:rsid w:val="0025796E"/>
    <w:rsid w:val="0026007D"/>
    <w:rsid w:val="002707A2"/>
    <w:rsid w:val="002951A0"/>
    <w:rsid w:val="002962BC"/>
    <w:rsid w:val="002A06C9"/>
    <w:rsid w:val="002A093D"/>
    <w:rsid w:val="002A0DD0"/>
    <w:rsid w:val="002A49AC"/>
    <w:rsid w:val="002A64FD"/>
    <w:rsid w:val="002C7A84"/>
    <w:rsid w:val="002E2BF8"/>
    <w:rsid w:val="002E4F32"/>
    <w:rsid w:val="002E4FD9"/>
    <w:rsid w:val="002E7EDF"/>
    <w:rsid w:val="002F447A"/>
    <w:rsid w:val="0030657A"/>
    <w:rsid w:val="00311E44"/>
    <w:rsid w:val="00321768"/>
    <w:rsid w:val="00322A85"/>
    <w:rsid w:val="00324168"/>
    <w:rsid w:val="00330834"/>
    <w:rsid w:val="003448F4"/>
    <w:rsid w:val="0035584B"/>
    <w:rsid w:val="00356D37"/>
    <w:rsid w:val="00360A88"/>
    <w:rsid w:val="00362499"/>
    <w:rsid w:val="00363662"/>
    <w:rsid w:val="00373C6A"/>
    <w:rsid w:val="00374F5E"/>
    <w:rsid w:val="0037773D"/>
    <w:rsid w:val="00377E3E"/>
    <w:rsid w:val="00384114"/>
    <w:rsid w:val="003A4BFC"/>
    <w:rsid w:val="003A779E"/>
    <w:rsid w:val="003D0F4D"/>
    <w:rsid w:val="003D5B0D"/>
    <w:rsid w:val="003E0499"/>
    <w:rsid w:val="003E4F80"/>
    <w:rsid w:val="003E6439"/>
    <w:rsid w:val="003F3941"/>
    <w:rsid w:val="00406575"/>
    <w:rsid w:val="00414C74"/>
    <w:rsid w:val="00416E05"/>
    <w:rsid w:val="0042722E"/>
    <w:rsid w:val="00432DF4"/>
    <w:rsid w:val="00441B18"/>
    <w:rsid w:val="0044528D"/>
    <w:rsid w:val="004461E6"/>
    <w:rsid w:val="0045139E"/>
    <w:rsid w:val="00455707"/>
    <w:rsid w:val="00456559"/>
    <w:rsid w:val="00463DAD"/>
    <w:rsid w:val="00466E39"/>
    <w:rsid w:val="004957D6"/>
    <w:rsid w:val="00497C19"/>
    <w:rsid w:val="004A1847"/>
    <w:rsid w:val="004A26D5"/>
    <w:rsid w:val="004A305D"/>
    <w:rsid w:val="004B6B14"/>
    <w:rsid w:val="004C3364"/>
    <w:rsid w:val="004C3C7E"/>
    <w:rsid w:val="004D1879"/>
    <w:rsid w:val="004D6489"/>
    <w:rsid w:val="004D6793"/>
    <w:rsid w:val="004F21C4"/>
    <w:rsid w:val="004F685F"/>
    <w:rsid w:val="005025FD"/>
    <w:rsid w:val="0050381F"/>
    <w:rsid w:val="00521278"/>
    <w:rsid w:val="00545838"/>
    <w:rsid w:val="00552210"/>
    <w:rsid w:val="005566E8"/>
    <w:rsid w:val="00573737"/>
    <w:rsid w:val="00574867"/>
    <w:rsid w:val="0057753C"/>
    <w:rsid w:val="00591460"/>
    <w:rsid w:val="005A65E0"/>
    <w:rsid w:val="005A660E"/>
    <w:rsid w:val="005A70D3"/>
    <w:rsid w:val="005B76CF"/>
    <w:rsid w:val="005C3777"/>
    <w:rsid w:val="005C5CDC"/>
    <w:rsid w:val="005D476C"/>
    <w:rsid w:val="0061713F"/>
    <w:rsid w:val="00617B7F"/>
    <w:rsid w:val="006200BF"/>
    <w:rsid w:val="006219F8"/>
    <w:rsid w:val="006302F7"/>
    <w:rsid w:val="006359A5"/>
    <w:rsid w:val="00636749"/>
    <w:rsid w:val="00646B9F"/>
    <w:rsid w:val="00662289"/>
    <w:rsid w:val="00665D70"/>
    <w:rsid w:val="00682D86"/>
    <w:rsid w:val="006900D9"/>
    <w:rsid w:val="006B31FC"/>
    <w:rsid w:val="006C7695"/>
    <w:rsid w:val="006D7928"/>
    <w:rsid w:val="006E0573"/>
    <w:rsid w:val="006F3246"/>
    <w:rsid w:val="006F4A0A"/>
    <w:rsid w:val="006F655A"/>
    <w:rsid w:val="00706C16"/>
    <w:rsid w:val="00710922"/>
    <w:rsid w:val="007152E2"/>
    <w:rsid w:val="0072154F"/>
    <w:rsid w:val="007340C3"/>
    <w:rsid w:val="00741639"/>
    <w:rsid w:val="007465AF"/>
    <w:rsid w:val="0075235A"/>
    <w:rsid w:val="00756841"/>
    <w:rsid w:val="007649AB"/>
    <w:rsid w:val="00771D0C"/>
    <w:rsid w:val="00780867"/>
    <w:rsid w:val="007833AC"/>
    <w:rsid w:val="007B268C"/>
    <w:rsid w:val="007B44C1"/>
    <w:rsid w:val="007B7171"/>
    <w:rsid w:val="007C0C0F"/>
    <w:rsid w:val="007C3DC2"/>
    <w:rsid w:val="007E5497"/>
    <w:rsid w:val="00801164"/>
    <w:rsid w:val="00806F5F"/>
    <w:rsid w:val="008173B6"/>
    <w:rsid w:val="00820278"/>
    <w:rsid w:val="00822976"/>
    <w:rsid w:val="008258C9"/>
    <w:rsid w:val="00827EFC"/>
    <w:rsid w:val="00833D69"/>
    <w:rsid w:val="00834197"/>
    <w:rsid w:val="0084163B"/>
    <w:rsid w:val="00844AE9"/>
    <w:rsid w:val="00845339"/>
    <w:rsid w:val="00861B9F"/>
    <w:rsid w:val="00867F95"/>
    <w:rsid w:val="008843B6"/>
    <w:rsid w:val="00891928"/>
    <w:rsid w:val="008922AC"/>
    <w:rsid w:val="008A10CD"/>
    <w:rsid w:val="008A4456"/>
    <w:rsid w:val="008A446D"/>
    <w:rsid w:val="008A4F29"/>
    <w:rsid w:val="008B25F1"/>
    <w:rsid w:val="008D180B"/>
    <w:rsid w:val="008D44B9"/>
    <w:rsid w:val="008E7530"/>
    <w:rsid w:val="008F0EA7"/>
    <w:rsid w:val="008F3849"/>
    <w:rsid w:val="008F52DB"/>
    <w:rsid w:val="008F77B9"/>
    <w:rsid w:val="009043B6"/>
    <w:rsid w:val="0092001B"/>
    <w:rsid w:val="00923EEF"/>
    <w:rsid w:val="0093714D"/>
    <w:rsid w:val="009419F9"/>
    <w:rsid w:val="0095685E"/>
    <w:rsid w:val="00961B09"/>
    <w:rsid w:val="00965334"/>
    <w:rsid w:val="0097093E"/>
    <w:rsid w:val="00973A7A"/>
    <w:rsid w:val="00973D53"/>
    <w:rsid w:val="009854B1"/>
    <w:rsid w:val="009A0DFA"/>
    <w:rsid w:val="009A1C6F"/>
    <w:rsid w:val="009B2371"/>
    <w:rsid w:val="009B2D26"/>
    <w:rsid w:val="009C71FA"/>
    <w:rsid w:val="009C72E7"/>
    <w:rsid w:val="009C7F7E"/>
    <w:rsid w:val="009D3058"/>
    <w:rsid w:val="009E687A"/>
    <w:rsid w:val="009F3A13"/>
    <w:rsid w:val="009F6DEA"/>
    <w:rsid w:val="00A0211F"/>
    <w:rsid w:val="00A021FD"/>
    <w:rsid w:val="00A122D3"/>
    <w:rsid w:val="00A14468"/>
    <w:rsid w:val="00A17F13"/>
    <w:rsid w:val="00A20739"/>
    <w:rsid w:val="00A23AF9"/>
    <w:rsid w:val="00A25B18"/>
    <w:rsid w:val="00A33C78"/>
    <w:rsid w:val="00A34FEF"/>
    <w:rsid w:val="00A53798"/>
    <w:rsid w:val="00A9193D"/>
    <w:rsid w:val="00AA0496"/>
    <w:rsid w:val="00AA7EFE"/>
    <w:rsid w:val="00AB0ADB"/>
    <w:rsid w:val="00AB5E4F"/>
    <w:rsid w:val="00AB73FD"/>
    <w:rsid w:val="00AD0F84"/>
    <w:rsid w:val="00B00C0E"/>
    <w:rsid w:val="00B01B1A"/>
    <w:rsid w:val="00B0381D"/>
    <w:rsid w:val="00B14EB1"/>
    <w:rsid w:val="00B159EB"/>
    <w:rsid w:val="00B2090A"/>
    <w:rsid w:val="00B44A47"/>
    <w:rsid w:val="00B45720"/>
    <w:rsid w:val="00B51755"/>
    <w:rsid w:val="00B56347"/>
    <w:rsid w:val="00B67AC4"/>
    <w:rsid w:val="00B72CD3"/>
    <w:rsid w:val="00B72FFF"/>
    <w:rsid w:val="00B765DB"/>
    <w:rsid w:val="00B822F0"/>
    <w:rsid w:val="00B863D4"/>
    <w:rsid w:val="00B9048D"/>
    <w:rsid w:val="00BA07E8"/>
    <w:rsid w:val="00BA096A"/>
    <w:rsid w:val="00BC3D36"/>
    <w:rsid w:val="00BD1423"/>
    <w:rsid w:val="00BD54A6"/>
    <w:rsid w:val="00BD7F72"/>
    <w:rsid w:val="00BE424F"/>
    <w:rsid w:val="00BF6CF9"/>
    <w:rsid w:val="00BF7425"/>
    <w:rsid w:val="00C04FB3"/>
    <w:rsid w:val="00C11D8B"/>
    <w:rsid w:val="00C15139"/>
    <w:rsid w:val="00C15E30"/>
    <w:rsid w:val="00C171FC"/>
    <w:rsid w:val="00C330EB"/>
    <w:rsid w:val="00C36580"/>
    <w:rsid w:val="00C369FB"/>
    <w:rsid w:val="00C43956"/>
    <w:rsid w:val="00C43D0F"/>
    <w:rsid w:val="00C50D69"/>
    <w:rsid w:val="00C5365C"/>
    <w:rsid w:val="00C754BE"/>
    <w:rsid w:val="00C76B1C"/>
    <w:rsid w:val="00C863CC"/>
    <w:rsid w:val="00C925AC"/>
    <w:rsid w:val="00CB5F18"/>
    <w:rsid w:val="00CB6357"/>
    <w:rsid w:val="00CC032F"/>
    <w:rsid w:val="00CC1B26"/>
    <w:rsid w:val="00CF09CC"/>
    <w:rsid w:val="00CF1563"/>
    <w:rsid w:val="00D131BC"/>
    <w:rsid w:val="00D361FD"/>
    <w:rsid w:val="00D423A2"/>
    <w:rsid w:val="00D44E26"/>
    <w:rsid w:val="00D520D8"/>
    <w:rsid w:val="00D52C6F"/>
    <w:rsid w:val="00D57C97"/>
    <w:rsid w:val="00D63AC2"/>
    <w:rsid w:val="00D643A0"/>
    <w:rsid w:val="00D66878"/>
    <w:rsid w:val="00D7383B"/>
    <w:rsid w:val="00D7788A"/>
    <w:rsid w:val="00D875B0"/>
    <w:rsid w:val="00D94147"/>
    <w:rsid w:val="00DA116F"/>
    <w:rsid w:val="00DA231B"/>
    <w:rsid w:val="00DB7D78"/>
    <w:rsid w:val="00DC39FC"/>
    <w:rsid w:val="00DF5234"/>
    <w:rsid w:val="00DF5254"/>
    <w:rsid w:val="00DF7DDA"/>
    <w:rsid w:val="00E02524"/>
    <w:rsid w:val="00E15582"/>
    <w:rsid w:val="00E16408"/>
    <w:rsid w:val="00E172F1"/>
    <w:rsid w:val="00E20894"/>
    <w:rsid w:val="00E245AB"/>
    <w:rsid w:val="00E2764C"/>
    <w:rsid w:val="00E27F2E"/>
    <w:rsid w:val="00E33F03"/>
    <w:rsid w:val="00E41E1E"/>
    <w:rsid w:val="00E50AFE"/>
    <w:rsid w:val="00E57352"/>
    <w:rsid w:val="00E6216A"/>
    <w:rsid w:val="00E70299"/>
    <w:rsid w:val="00E70904"/>
    <w:rsid w:val="00E75C92"/>
    <w:rsid w:val="00E771DC"/>
    <w:rsid w:val="00E8772A"/>
    <w:rsid w:val="00E90F6B"/>
    <w:rsid w:val="00E92C27"/>
    <w:rsid w:val="00E95716"/>
    <w:rsid w:val="00EA0E3D"/>
    <w:rsid w:val="00EB0646"/>
    <w:rsid w:val="00EB4F40"/>
    <w:rsid w:val="00EB660C"/>
    <w:rsid w:val="00EC32EE"/>
    <w:rsid w:val="00EC38A7"/>
    <w:rsid w:val="00EC41DD"/>
    <w:rsid w:val="00EE1AA8"/>
    <w:rsid w:val="00EF2C97"/>
    <w:rsid w:val="00F2082C"/>
    <w:rsid w:val="00F23FEA"/>
    <w:rsid w:val="00F24F59"/>
    <w:rsid w:val="00F269E1"/>
    <w:rsid w:val="00F31EDC"/>
    <w:rsid w:val="00F37358"/>
    <w:rsid w:val="00F462B3"/>
    <w:rsid w:val="00F5664F"/>
    <w:rsid w:val="00F6103E"/>
    <w:rsid w:val="00F654FC"/>
    <w:rsid w:val="00F666C4"/>
    <w:rsid w:val="00F76AFC"/>
    <w:rsid w:val="00FA47C0"/>
    <w:rsid w:val="00FB598B"/>
    <w:rsid w:val="00FB5DD1"/>
    <w:rsid w:val="00FC2B5D"/>
    <w:rsid w:val="00FF0A43"/>
    <w:rsid w:val="00FF1449"/>
    <w:rsid w:val="00FF2B20"/>
    <w:rsid w:val="00FF7963"/>
    <w:rsid w:val="09908A09"/>
    <w:rsid w:val="13CFC91B"/>
    <w:rsid w:val="19A2EC2C"/>
    <w:rsid w:val="1C6686D3"/>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F523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F5234"/>
    <w:rPr>
      <w:rFonts w:ascii="Geomanist Light" w:hAnsi="Geomanist Light"/>
      <w:lang w:val="es-ES"/>
    </w:rPr>
  </w:style>
  <w:style w:type="paragraph" w:styleId="Textoindependiente">
    <w:name w:val="Body Text"/>
    <w:basedOn w:val="Normal"/>
    <w:link w:val="TextoindependienteCar"/>
    <w:uiPriority w:val="99"/>
    <w:unhideWhenUsed/>
    <w:rsid w:val="00DF5234"/>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DF5234"/>
    <w:rPr>
      <w:rFonts w:eastAsiaTheme="minorEastAsia"/>
      <w:lang w:eastAsia="es-CO"/>
    </w:rPr>
  </w:style>
  <w:style w:type="character" w:customStyle="1" w:styleId="s15">
    <w:name w:val="s15"/>
    <w:basedOn w:val="Fuentedeprrafopredeter"/>
    <w:rsid w:val="00DF5234"/>
  </w:style>
  <w:style w:type="character" w:customStyle="1" w:styleId="NormalWebCar">
    <w:name w:val="Normal (Web) Car"/>
    <w:link w:val="NormalWeb"/>
    <w:uiPriority w:val="99"/>
    <w:rsid w:val="00DF5234"/>
    <w:rPr>
      <w:rFonts w:ascii="Times New Roman" w:eastAsia="Times New Roman" w:hAnsi="Times New Roman" w:cs="Times New Roman"/>
      <w:sz w:val="24"/>
      <w:szCs w:val="24"/>
      <w:lang w:eastAsia="es-CO"/>
    </w:rPr>
  </w:style>
  <w:style w:type="character" w:customStyle="1" w:styleId="baj">
    <w:name w:val="b_aj"/>
    <w:basedOn w:val="Fuentedeprrafopredeter"/>
    <w:rsid w:val="00DF52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navarro@fonigualdad.gov.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emf"/><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actualicese.com/concepto-2013010362-001-de-18-03-201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FFC5E8A1-6FC1-47B8-8DC3-07C411234B5A}"/>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27</Pages>
  <Words>9179</Words>
  <Characters>50485</Characters>
  <Application>Microsoft Office Word</Application>
  <DocSecurity>0</DocSecurity>
  <Lines>420</Lines>
  <Paragraphs>119</Paragraphs>
  <ScaleCrop>false</ScaleCrop>
  <Company/>
  <LinksUpToDate>false</LinksUpToDate>
  <CharactersWithSpaces>59545</CharactersWithSpaces>
  <SharedDoc>false</SharedDoc>
  <HLinks>
    <vt:vector size="42" baseType="variant">
      <vt:variant>
        <vt:i4>4456513</vt:i4>
      </vt:variant>
      <vt:variant>
        <vt:i4>15</vt:i4>
      </vt:variant>
      <vt:variant>
        <vt:i4>0</vt:i4>
      </vt:variant>
      <vt:variant>
        <vt:i4>5</vt:i4>
      </vt:variant>
      <vt:variant>
        <vt:lpwstr>https://forms.office.com/r/pPHyWVs2SZ</vt:lpwstr>
      </vt:variant>
      <vt:variant>
        <vt:lpwstr/>
      </vt:variant>
      <vt:variant>
        <vt:i4>3407926</vt:i4>
      </vt:variant>
      <vt:variant>
        <vt:i4>12</vt:i4>
      </vt:variant>
      <vt:variant>
        <vt:i4>0</vt:i4>
      </vt:variant>
      <vt:variant>
        <vt:i4>5</vt:i4>
      </vt:variant>
      <vt:variant>
        <vt:lpwstr>https://www.colombiacompra.gov.co/pqrsd/informacion-importante-antes-de-formular-una-pqrsd</vt:lpwstr>
      </vt:variant>
      <vt:variant>
        <vt:lpwstr/>
      </vt:variant>
      <vt:variant>
        <vt:i4>4980779</vt:i4>
      </vt:variant>
      <vt:variant>
        <vt:i4>9</vt:i4>
      </vt:variant>
      <vt:variant>
        <vt:i4>0</vt:i4>
      </vt:variant>
      <vt:variant>
        <vt:i4>5</vt:i4>
      </vt:variant>
      <vt:variant>
        <vt:lpwstr>mailto:ventanilladeradicacion@colombiacompra.gov.co</vt:lpwstr>
      </vt:variant>
      <vt:variant>
        <vt:lpwstr/>
      </vt:variant>
      <vt:variant>
        <vt:i4>7995518</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5570608</vt:i4>
      </vt:variant>
      <vt:variant>
        <vt:i4>0</vt:i4>
      </vt:variant>
      <vt:variant>
        <vt:i4>0</vt:i4>
      </vt:variant>
      <vt:variant>
        <vt:i4>5</vt:i4>
      </vt:variant>
      <vt:variant>
        <vt:lpwstr>mailto:deisy.villamizar@colombiaproductiva.com</vt:lpwstr>
      </vt:variant>
      <vt:variant>
        <vt:lpwstr/>
      </vt:variant>
      <vt:variant>
        <vt:i4>6619199</vt:i4>
      </vt:variant>
      <vt:variant>
        <vt:i4>0</vt:i4>
      </vt:variant>
      <vt:variant>
        <vt:i4>0</vt:i4>
      </vt:variant>
      <vt:variant>
        <vt:i4>5</vt:i4>
      </vt:variant>
      <vt:variant>
        <vt:lpwstr>https://actualicese.com/concepto-2013010362-001-de-18-03-2013/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cp:lastModifiedBy>
  <cp:revision>2</cp:revision>
  <cp:lastPrinted>2023-01-10T21:18:00Z</cp:lastPrinted>
  <dcterms:created xsi:type="dcterms:W3CDTF">2026-01-26T21:06:00Z</dcterms:created>
  <dcterms:modified xsi:type="dcterms:W3CDTF">2026-01-26T21:06:00Z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