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C7E87" w14:textId="77777777" w:rsidR="002E73A6" w:rsidRPr="006556B1" w:rsidRDefault="002E73A6" w:rsidP="006556B1">
      <w:pPr>
        <w:spacing w:after="0" w:line="240" w:lineRule="auto"/>
        <w:rPr>
          <w:rFonts w:ascii="Verdana" w:hAnsi="Verdana"/>
          <w:b/>
        </w:rPr>
      </w:pPr>
      <w:bookmarkStart w:id="0" w:name="_Hlk143780582"/>
      <w:r w:rsidRPr="006556B1">
        <w:rPr>
          <w:rFonts w:ascii="Verdana" w:hAnsi="Verdana"/>
          <w:b/>
        </w:rPr>
        <w:t xml:space="preserve">CONTRATACIÓN DIRECTA – Características </w:t>
      </w:r>
    </w:p>
    <w:p w14:paraId="74FCB062" w14:textId="10066763" w:rsidR="002E73A6" w:rsidRDefault="002E73A6" w:rsidP="006556B1">
      <w:pPr>
        <w:spacing w:after="0" w:line="240" w:lineRule="auto"/>
        <w:rPr>
          <w:rFonts w:ascii="Verdana" w:hAnsi="Verdana"/>
        </w:rPr>
      </w:pPr>
    </w:p>
    <w:p w14:paraId="3875B41D" w14:textId="06FB419A" w:rsidR="006556B1" w:rsidRDefault="006556B1" w:rsidP="006556B1">
      <w:pPr>
        <w:spacing w:after="0" w:line="240" w:lineRule="auto"/>
        <w:jc w:val="both"/>
        <w:rPr>
          <w:rFonts w:ascii="Verdana" w:hAnsi="Verdana"/>
          <w:sz w:val="20"/>
        </w:rPr>
      </w:pPr>
      <w:r w:rsidRPr="006556B1">
        <w:rPr>
          <w:rFonts w:ascii="Verdana" w:hAnsi="Verdana"/>
          <w:sz w:val="20"/>
        </w:rPr>
        <w:t xml:space="preserve">Debe señalarse sobre la contratación directa, que esta modalidad de contratación es de aplicación restrictiva, esto es, solo procede por las causales prescritas taxativamente en el numeral 4 del artículo 2 de la Ley 1150 de 2007. Además, es una excepción al principio de libre concurrencia y competencia que aplica a los procesos de contratación, para que cualquier persona interesada en satisfacer la necesidad de una entidad pueda presentar una oferta. </w:t>
      </w:r>
    </w:p>
    <w:p w14:paraId="7010616C" w14:textId="77777777" w:rsidR="006556B1" w:rsidRPr="006556B1" w:rsidRDefault="006556B1" w:rsidP="006556B1">
      <w:pPr>
        <w:spacing w:after="0" w:line="240" w:lineRule="auto"/>
        <w:jc w:val="both"/>
        <w:rPr>
          <w:rFonts w:ascii="Verdana" w:hAnsi="Verdana"/>
          <w:sz w:val="20"/>
        </w:rPr>
      </w:pPr>
    </w:p>
    <w:p w14:paraId="168B9853" w14:textId="77777777" w:rsidR="006556B1" w:rsidRPr="006556B1" w:rsidRDefault="006556B1" w:rsidP="006556B1">
      <w:pPr>
        <w:spacing w:after="0" w:line="240" w:lineRule="auto"/>
        <w:jc w:val="both"/>
        <w:rPr>
          <w:rFonts w:ascii="Verdana" w:hAnsi="Verdana"/>
          <w:sz w:val="20"/>
        </w:rPr>
      </w:pPr>
      <w:r w:rsidRPr="006556B1">
        <w:rPr>
          <w:rFonts w:ascii="Verdana" w:hAnsi="Verdana"/>
          <w:sz w:val="20"/>
        </w:rPr>
        <w:t xml:space="preserve">En la contratación directa no es necesario que la entidad reciba más de una oferta, la cual proviene de la persona que la entidad escoge directamente, </w:t>
      </w:r>
      <w:proofErr w:type="gramStart"/>
      <w:r w:rsidRPr="006556B1">
        <w:rPr>
          <w:rFonts w:ascii="Verdana" w:hAnsi="Verdana"/>
          <w:sz w:val="20"/>
        </w:rPr>
        <w:t>y</w:t>
      </w:r>
      <w:proofErr w:type="gramEnd"/>
      <w:r w:rsidRPr="006556B1">
        <w:rPr>
          <w:rFonts w:ascii="Verdana" w:hAnsi="Verdana"/>
          <w:sz w:val="20"/>
        </w:rPr>
        <w:t xml:space="preserve"> por ende, invita a ofertar el bien o servicio que se requiere. Lo anterior puede estar basado en que el proponente es único, o en que el legislador privilegió algunos objetos contractuales u oferentes para contratarlos de manera directa. De igual forma, esto implica que el proceso será simplificado, corto, ágil y expedito, por no exigir el agotamiento de una convocatoria pública o la realización de un proceso competitivo. Lo anterior no exime a las entidades estatales de garantizar los principios rectores de la contratación pública.</w:t>
      </w:r>
    </w:p>
    <w:p w14:paraId="60B8F723" w14:textId="77777777" w:rsidR="006556B1" w:rsidRDefault="006556B1" w:rsidP="006556B1">
      <w:pPr>
        <w:spacing w:after="0" w:line="240" w:lineRule="auto"/>
        <w:rPr>
          <w:rFonts w:ascii="Verdana" w:hAnsi="Verdana"/>
        </w:rPr>
      </w:pPr>
    </w:p>
    <w:p w14:paraId="20F6BA30" w14:textId="77777777" w:rsidR="002E73A6" w:rsidRPr="006556B1" w:rsidRDefault="002E73A6" w:rsidP="006556B1">
      <w:pPr>
        <w:spacing w:after="0" w:line="240" w:lineRule="auto"/>
        <w:jc w:val="both"/>
        <w:rPr>
          <w:rFonts w:ascii="Verdana" w:hAnsi="Verdana"/>
          <w:b/>
        </w:rPr>
      </w:pPr>
      <w:r w:rsidRPr="006556B1">
        <w:rPr>
          <w:rFonts w:ascii="Verdana" w:hAnsi="Verdana"/>
          <w:b/>
        </w:rPr>
        <w:t xml:space="preserve">PRINCIPIOS DE LA CONTRATACIÓN PÚBLICA – Contratación directa – Transparencia – Selección objetiva – Aplicación </w:t>
      </w:r>
    </w:p>
    <w:p w14:paraId="66F442B5" w14:textId="71F0283C" w:rsidR="006556B1" w:rsidRPr="00E02087" w:rsidRDefault="006556B1" w:rsidP="006556B1">
      <w:pPr>
        <w:widowControl w:val="0"/>
        <w:autoSpaceDE w:val="0"/>
        <w:autoSpaceDN w:val="0"/>
        <w:spacing w:after="0" w:line="240" w:lineRule="auto"/>
        <w:jc w:val="both"/>
        <w:rPr>
          <w:rFonts w:ascii="Verdana" w:eastAsia="Arial" w:hAnsi="Verdana" w:cs="Arial"/>
          <w:sz w:val="20"/>
          <w:lang w:val="es-ES" w:eastAsia="es-ES" w:bidi="es-ES"/>
        </w:rPr>
      </w:pPr>
    </w:p>
    <w:p w14:paraId="3BF76C40" w14:textId="30BD3DAF" w:rsidR="006556B1" w:rsidRPr="00E02087" w:rsidRDefault="006556B1" w:rsidP="006556B1">
      <w:pPr>
        <w:widowControl w:val="0"/>
        <w:autoSpaceDE w:val="0"/>
        <w:autoSpaceDN w:val="0"/>
        <w:spacing w:after="0" w:line="240" w:lineRule="auto"/>
        <w:jc w:val="both"/>
        <w:rPr>
          <w:rFonts w:ascii="Verdana" w:eastAsia="Arial" w:hAnsi="Verdana" w:cs="Arial"/>
          <w:sz w:val="20"/>
          <w:lang w:val="es-ES" w:eastAsia="es-ES" w:bidi="es-ES"/>
        </w:rPr>
      </w:pPr>
      <w:r w:rsidRPr="00E02087">
        <w:rPr>
          <w:rFonts w:ascii="Verdana" w:eastAsia="Arial" w:hAnsi="Verdana" w:cs="Arial"/>
          <w:sz w:val="20"/>
          <w:lang w:val="es-ES" w:eastAsia="es-ES" w:bidi="es-ES"/>
        </w:rPr>
        <w:t>Los principios que rigen la actividad contractual de las entidades estatales están orientados a preservar la objetividad en la selección del contratista, para garantizar el interés general y la realización de los fines del Estado. De igual forma, dichos principios buscan hacer eficaz la participación, en igualdad de condiciones, de quienes reúnan los requisitos que sean exigidos en los documentos del proceso de contratación.</w:t>
      </w:r>
    </w:p>
    <w:p w14:paraId="3F7912BF" w14:textId="77777777" w:rsidR="006556B1" w:rsidRPr="00E02087" w:rsidRDefault="006556B1" w:rsidP="006556B1">
      <w:pPr>
        <w:widowControl w:val="0"/>
        <w:autoSpaceDE w:val="0"/>
        <w:autoSpaceDN w:val="0"/>
        <w:spacing w:after="0" w:line="240" w:lineRule="auto"/>
        <w:ind w:right="108"/>
        <w:jc w:val="both"/>
        <w:rPr>
          <w:rFonts w:ascii="Verdana" w:eastAsia="Arial" w:hAnsi="Verdana" w:cs="Arial"/>
          <w:sz w:val="20"/>
          <w:lang w:val="es-ES" w:eastAsia="es-ES" w:bidi="es-ES"/>
        </w:rPr>
      </w:pPr>
    </w:p>
    <w:p w14:paraId="5B9E212F" w14:textId="77777777" w:rsidR="00E02087" w:rsidRDefault="006556B1" w:rsidP="00E02087">
      <w:pPr>
        <w:widowControl w:val="0"/>
        <w:autoSpaceDE w:val="0"/>
        <w:autoSpaceDN w:val="0"/>
        <w:spacing w:after="0" w:line="240" w:lineRule="auto"/>
        <w:ind w:right="108"/>
        <w:jc w:val="both"/>
        <w:rPr>
          <w:rFonts w:ascii="Verdana" w:eastAsia="Arial" w:hAnsi="Verdana" w:cs="Arial"/>
          <w:sz w:val="20"/>
          <w:lang w:val="es-ES" w:eastAsia="es-ES" w:bidi="es-ES"/>
        </w:rPr>
      </w:pPr>
      <w:r w:rsidRPr="00E02087">
        <w:rPr>
          <w:rFonts w:ascii="Verdana" w:eastAsia="Arial" w:hAnsi="Verdana" w:cs="Arial"/>
          <w:sz w:val="20"/>
          <w:lang w:val="es-ES" w:eastAsia="es-ES" w:bidi="es-ES"/>
        </w:rPr>
        <w:t xml:space="preserve">El principio de transparencia dispone que la selección de los contratistas debe “edificarse sobre las bases de i) la igualdad y respeto a todos los interesados; </w:t>
      </w:r>
      <w:proofErr w:type="spellStart"/>
      <w:r w:rsidRPr="00E02087">
        <w:rPr>
          <w:rFonts w:ascii="Verdana" w:eastAsia="Arial" w:hAnsi="Verdana" w:cs="Arial"/>
          <w:sz w:val="20"/>
          <w:lang w:val="es-ES" w:eastAsia="es-ES" w:bidi="es-ES"/>
        </w:rPr>
        <w:t>ii</w:t>
      </w:r>
      <w:proofErr w:type="spellEnd"/>
      <w:r w:rsidRPr="00E02087">
        <w:rPr>
          <w:rFonts w:ascii="Verdana" w:eastAsia="Arial" w:hAnsi="Verdana" w:cs="Arial"/>
          <w:sz w:val="20"/>
          <w:lang w:val="es-ES" w:eastAsia="es-ES" w:bidi="es-ES"/>
        </w:rPr>
        <w:t xml:space="preserve">) la objetividad, neutralidad y claridad de la reglas o condiciones impuestas para la presentación de las ofertas; </w:t>
      </w:r>
      <w:proofErr w:type="spellStart"/>
      <w:r w:rsidRPr="00E02087">
        <w:rPr>
          <w:rFonts w:ascii="Verdana" w:eastAsia="Arial" w:hAnsi="Verdana" w:cs="Arial"/>
          <w:sz w:val="20"/>
          <w:lang w:val="es-ES" w:eastAsia="es-ES" w:bidi="es-ES"/>
        </w:rPr>
        <w:t>iii</w:t>
      </w:r>
      <w:proofErr w:type="spellEnd"/>
      <w:r w:rsidRPr="00E02087">
        <w:rPr>
          <w:rFonts w:ascii="Verdana" w:eastAsia="Arial" w:hAnsi="Verdana" w:cs="Arial"/>
          <w:sz w:val="20"/>
          <w:lang w:val="es-ES" w:eastAsia="es-ES" w:bidi="es-ES"/>
        </w:rPr>
        <w:t xml:space="preserve">) la garantía del derecho de contradicción; </w:t>
      </w:r>
      <w:proofErr w:type="spellStart"/>
      <w:r w:rsidRPr="00E02087">
        <w:rPr>
          <w:rFonts w:ascii="Verdana" w:eastAsia="Arial" w:hAnsi="Verdana" w:cs="Arial"/>
          <w:sz w:val="20"/>
          <w:lang w:val="es-ES" w:eastAsia="es-ES" w:bidi="es-ES"/>
        </w:rPr>
        <w:t>iv</w:t>
      </w:r>
      <w:proofErr w:type="spellEnd"/>
      <w:r w:rsidRPr="00E02087">
        <w:rPr>
          <w:rFonts w:ascii="Verdana" w:eastAsia="Arial" w:hAnsi="Verdana" w:cs="Arial"/>
          <w:sz w:val="20"/>
          <w:lang w:val="es-ES" w:eastAsia="es-ES" w:bidi="es-ES"/>
        </w:rPr>
        <w:t>) la publicidad de las actuaciones de la administración; v) la motivación expresa, precisa y detallada del informe de evaluación, del acto de adjudicación o de la declaratoria de desierta; vi) la escogencia objetiva del contratista idóneo que ofrezca la oferta más favorable para los intereses de la administración”.</w:t>
      </w:r>
    </w:p>
    <w:p w14:paraId="2970ECAF" w14:textId="77777777" w:rsidR="00E02087" w:rsidRDefault="00E02087" w:rsidP="00E02087">
      <w:pPr>
        <w:widowControl w:val="0"/>
        <w:autoSpaceDE w:val="0"/>
        <w:autoSpaceDN w:val="0"/>
        <w:spacing w:after="0" w:line="240" w:lineRule="auto"/>
        <w:ind w:right="108"/>
        <w:jc w:val="both"/>
        <w:rPr>
          <w:rFonts w:ascii="Verdana" w:eastAsia="Arial" w:hAnsi="Verdana" w:cs="Arial"/>
          <w:sz w:val="20"/>
          <w:lang w:val="es-ES" w:eastAsia="es-ES" w:bidi="es-ES"/>
        </w:rPr>
      </w:pPr>
    </w:p>
    <w:p w14:paraId="1AB54043" w14:textId="381F724E" w:rsidR="006556B1" w:rsidRPr="00E02087" w:rsidRDefault="006556B1" w:rsidP="00E02087">
      <w:pPr>
        <w:widowControl w:val="0"/>
        <w:autoSpaceDE w:val="0"/>
        <w:autoSpaceDN w:val="0"/>
        <w:spacing w:after="0" w:line="240" w:lineRule="auto"/>
        <w:ind w:right="108"/>
        <w:jc w:val="both"/>
        <w:rPr>
          <w:rFonts w:ascii="Verdana" w:eastAsia="Arial" w:hAnsi="Verdana" w:cs="Arial"/>
          <w:sz w:val="20"/>
          <w:lang w:val="es-ES" w:eastAsia="es-ES" w:bidi="es-ES"/>
        </w:rPr>
      </w:pPr>
      <w:r w:rsidRPr="00E02087">
        <w:rPr>
          <w:rFonts w:ascii="Verdana" w:eastAsia="Calibri" w:hAnsi="Verdana" w:cs="Arial"/>
          <w:color w:val="000000"/>
          <w:sz w:val="20"/>
          <w:lang w:val="es-ES_tradnl" w:eastAsia="es-ES_tradnl"/>
        </w:rPr>
        <w:t xml:space="preserve">Otro de los principios transversales a todos los procedimientos de selección es el de </w:t>
      </w:r>
      <w:r w:rsidRPr="00E02087">
        <w:rPr>
          <w:rFonts w:ascii="Verdana" w:eastAsia="Calibri" w:hAnsi="Verdana" w:cs="Arial"/>
          <w:i/>
          <w:iCs/>
          <w:color w:val="000000"/>
          <w:sz w:val="20"/>
          <w:lang w:val="es-ES_tradnl" w:eastAsia="es-ES_tradnl"/>
        </w:rPr>
        <w:t>selección objetiva</w:t>
      </w:r>
      <w:r w:rsidRPr="00E02087">
        <w:rPr>
          <w:rFonts w:ascii="Verdana" w:eastAsia="Calibri" w:hAnsi="Verdana" w:cs="Arial"/>
          <w:color w:val="000000"/>
          <w:sz w:val="20"/>
          <w:lang w:val="es-ES_tradnl" w:eastAsia="es-ES_tradnl"/>
        </w:rPr>
        <w:t xml:space="preserve">. Se trata del postulado que exige que la escogencia de la oferta ganadora debe fundamentarse en factores objetivos, de carácter técnico, jurídico y financiero, y no en criterios subjetivos, como el afecto, la amistad, el ánimo de ayuda, el interés personal, entre otros. </w:t>
      </w:r>
    </w:p>
    <w:p w14:paraId="741FE0FC" w14:textId="77777777" w:rsidR="006556B1" w:rsidRPr="006556B1" w:rsidRDefault="006556B1" w:rsidP="006556B1">
      <w:pPr>
        <w:spacing w:after="0" w:line="240" w:lineRule="auto"/>
        <w:rPr>
          <w:rFonts w:ascii="Verdana" w:hAnsi="Verdana"/>
          <w:lang w:val="es-ES_tradnl"/>
        </w:rPr>
      </w:pPr>
    </w:p>
    <w:p w14:paraId="60DB52B4" w14:textId="77777777" w:rsidR="006556B1" w:rsidRPr="006556B1" w:rsidRDefault="002E73A6" w:rsidP="006556B1">
      <w:pPr>
        <w:spacing w:after="0" w:line="240" w:lineRule="auto"/>
        <w:rPr>
          <w:rFonts w:ascii="Verdana" w:hAnsi="Verdana"/>
          <w:b/>
        </w:rPr>
      </w:pPr>
      <w:r w:rsidRPr="006556B1">
        <w:rPr>
          <w:rFonts w:ascii="Verdana" w:hAnsi="Verdana"/>
          <w:b/>
        </w:rPr>
        <w:t xml:space="preserve">CONTRATACIÓN DIRECTA – </w:t>
      </w:r>
      <w:r w:rsidR="006556B1" w:rsidRPr="006556B1">
        <w:rPr>
          <w:rFonts w:ascii="Verdana" w:hAnsi="Verdana"/>
          <w:b/>
        </w:rPr>
        <w:t xml:space="preserve">Planeación – Estudios previos </w:t>
      </w:r>
    </w:p>
    <w:p w14:paraId="0CB7F322" w14:textId="02CE2B4C" w:rsidR="006556B1" w:rsidRDefault="006556B1" w:rsidP="006556B1">
      <w:pPr>
        <w:spacing w:after="0" w:line="240" w:lineRule="auto"/>
        <w:jc w:val="both"/>
        <w:rPr>
          <w:rFonts w:ascii="Verdana" w:hAnsi="Verdana"/>
        </w:rPr>
      </w:pPr>
    </w:p>
    <w:p w14:paraId="08A79318" w14:textId="77777777" w:rsidR="006556B1" w:rsidRPr="00E02087" w:rsidRDefault="006556B1" w:rsidP="006556B1">
      <w:pPr>
        <w:spacing w:after="0" w:line="240" w:lineRule="auto"/>
        <w:jc w:val="both"/>
        <w:rPr>
          <w:rFonts w:ascii="Verdana" w:hAnsi="Verdana"/>
          <w:bCs/>
          <w:sz w:val="20"/>
          <w:szCs w:val="20"/>
          <w:lang w:val="es-ES_tradnl"/>
        </w:rPr>
      </w:pPr>
      <w:r w:rsidRPr="00E02087">
        <w:rPr>
          <w:rFonts w:ascii="Verdana" w:hAnsi="Verdana"/>
          <w:sz w:val="20"/>
          <w:szCs w:val="20"/>
          <w:lang w:val="es-ES"/>
        </w:rPr>
        <w:lastRenderedPageBreak/>
        <w:t>En este aspecto, la</w:t>
      </w:r>
      <w:r w:rsidRPr="00E02087">
        <w:rPr>
          <w:rFonts w:ascii="Verdana" w:hAnsi="Verdana"/>
          <w:bCs/>
          <w:sz w:val="20"/>
          <w:szCs w:val="20"/>
          <w:lang w:val="es-ES_tradnl"/>
        </w:rPr>
        <w:t xml:space="preserve"> planeación contractual adquiere relevancia como herramienta de gerencia pública, que exige estructurar el proceso contractual dedicando tiempo y esfuerzos para elaborar estudios previos, los cuales deberán ser adecuados a su alcance y complejidad. Lo anterior, con la finalidad de determinar la necesidad que pretende satisfacer la entidad estatal, consultando el tipo de bienes y servicios que ofrece el mercado y sus características, especificaciones, precios, costos, riesgos, garantías, disponibilidad, oferentes, entre otros. Así, una debida planeación debe conducir a una escogencia diligente de la mejor oferta, para beneficiar los intereses y fines públicos inmersos en la contratación de las entidades estatales, buscando siempre la correcta ejecución del contrato.</w:t>
      </w:r>
    </w:p>
    <w:p w14:paraId="5722A9D3" w14:textId="418E3C2E" w:rsidR="006556B1" w:rsidRPr="00E02087" w:rsidRDefault="006556B1" w:rsidP="006556B1">
      <w:pPr>
        <w:spacing w:after="0" w:line="240" w:lineRule="auto"/>
        <w:jc w:val="both"/>
        <w:rPr>
          <w:rFonts w:ascii="Verdana" w:hAnsi="Verdana"/>
          <w:sz w:val="20"/>
          <w:szCs w:val="20"/>
        </w:rPr>
      </w:pPr>
      <w:r w:rsidRPr="00E02087">
        <w:rPr>
          <w:rFonts w:ascii="Verdana" w:hAnsi="Verdana"/>
          <w:sz w:val="20"/>
          <w:szCs w:val="20"/>
        </w:rPr>
        <w:t xml:space="preserve"> </w:t>
      </w:r>
    </w:p>
    <w:p w14:paraId="3A5FA899" w14:textId="4E515461" w:rsidR="006556B1" w:rsidRPr="00E02087" w:rsidRDefault="006556B1" w:rsidP="006556B1">
      <w:pPr>
        <w:spacing w:after="0" w:line="240" w:lineRule="auto"/>
        <w:jc w:val="both"/>
        <w:rPr>
          <w:rFonts w:ascii="Verdana" w:hAnsi="Verdana"/>
          <w:bCs/>
          <w:sz w:val="20"/>
          <w:szCs w:val="20"/>
        </w:rPr>
      </w:pPr>
      <w:r w:rsidRPr="00E02087">
        <w:rPr>
          <w:rFonts w:ascii="Verdana" w:hAnsi="Verdana"/>
          <w:bCs/>
          <w:sz w:val="20"/>
          <w:szCs w:val="20"/>
        </w:rPr>
        <w:t xml:space="preserve">En armonía con lo anterior, el Estatuto General de Contratación de la Administración Pública contiene disposiciones que demandan de las entidades estatales el deber de planeación en la etapa precontractual. Esto con la finalidad de que los procesos de contratación satisfagan las necesidades de la Administración, cumplan sus fines, logren la continua y eficiente prestación de los servicios públicos y permitan la efectividad de los derechos e intereses de los administrados que </w:t>
      </w:r>
      <w:r w:rsidRPr="00E02087">
        <w:rPr>
          <w:rFonts w:ascii="Verdana" w:hAnsi="Verdana"/>
          <w:bCs/>
          <w:sz w:val="20"/>
          <w:szCs w:val="20"/>
          <w:lang w:val="es-ES_tradnl"/>
        </w:rPr>
        <w:t>colaboran</w:t>
      </w:r>
      <w:r w:rsidRPr="00E02087">
        <w:rPr>
          <w:rFonts w:ascii="Verdana" w:hAnsi="Verdana"/>
          <w:bCs/>
          <w:sz w:val="20"/>
          <w:szCs w:val="20"/>
        </w:rPr>
        <w:t xml:space="preserve"> en su consecución.</w:t>
      </w:r>
    </w:p>
    <w:p w14:paraId="211EDCAA" w14:textId="77777777" w:rsidR="006556B1" w:rsidRPr="006556B1" w:rsidRDefault="006556B1" w:rsidP="006556B1">
      <w:pPr>
        <w:spacing w:after="0" w:line="240" w:lineRule="auto"/>
        <w:rPr>
          <w:rFonts w:ascii="Verdana" w:hAnsi="Verdana"/>
        </w:rPr>
      </w:pPr>
    </w:p>
    <w:p w14:paraId="67B84E31" w14:textId="77777777" w:rsidR="006556B1" w:rsidRPr="00EB73BF" w:rsidRDefault="006556B1" w:rsidP="006556B1">
      <w:pPr>
        <w:spacing w:after="0" w:line="240" w:lineRule="auto"/>
        <w:jc w:val="both"/>
        <w:rPr>
          <w:rFonts w:ascii="Verdana" w:eastAsia="Times New Roman" w:hAnsi="Verdana" w:cs="Arial"/>
          <w:b/>
          <w:lang w:eastAsia="es-ES"/>
        </w:rPr>
      </w:pPr>
      <w:r w:rsidRPr="00EB73BF">
        <w:rPr>
          <w:rFonts w:ascii="Verdana" w:eastAsia="Times New Roman" w:hAnsi="Verdana" w:cs="Arial"/>
          <w:b/>
          <w:lang w:eastAsia="es-ES"/>
        </w:rPr>
        <w:t xml:space="preserve">CONTRATO DE PRESTACIÓN DE SERVICIOS – Concepto </w:t>
      </w:r>
    </w:p>
    <w:p w14:paraId="249CA35E" w14:textId="77777777" w:rsidR="006556B1" w:rsidRPr="00133A58" w:rsidRDefault="006556B1" w:rsidP="006556B1">
      <w:pPr>
        <w:spacing w:after="0" w:line="240" w:lineRule="auto"/>
        <w:jc w:val="both"/>
        <w:rPr>
          <w:rFonts w:ascii="Verdana" w:eastAsia="Times New Roman" w:hAnsi="Verdana" w:cs="Arial"/>
          <w:sz w:val="20"/>
          <w:lang w:eastAsia="es-ES"/>
        </w:rPr>
      </w:pPr>
    </w:p>
    <w:p w14:paraId="28340067" w14:textId="77777777" w:rsidR="006556B1" w:rsidRPr="00133A58" w:rsidRDefault="006556B1" w:rsidP="006556B1">
      <w:pPr>
        <w:spacing w:after="0" w:line="240" w:lineRule="auto"/>
        <w:jc w:val="both"/>
        <w:rPr>
          <w:rFonts w:ascii="Verdana" w:eastAsia="Times New Roman" w:hAnsi="Verdana" w:cs="Arial"/>
          <w:sz w:val="20"/>
          <w:lang w:eastAsia="es-ES"/>
        </w:rPr>
      </w:pPr>
      <w:r w:rsidRPr="00133A58">
        <w:rPr>
          <w:rFonts w:ascii="Verdana" w:eastAsia="Times New Roman" w:hAnsi="Verdana" w:cs="Arial"/>
          <w:sz w:val="20"/>
          <w:lang w:eastAsia="es-ES"/>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14:paraId="6E002C2F" w14:textId="77777777" w:rsidR="006556B1" w:rsidRPr="00EB73BF" w:rsidRDefault="006556B1" w:rsidP="006556B1">
      <w:pPr>
        <w:spacing w:after="0" w:line="240" w:lineRule="auto"/>
        <w:jc w:val="both"/>
        <w:rPr>
          <w:rFonts w:ascii="Verdana" w:eastAsia="Times New Roman" w:hAnsi="Verdana" w:cs="Arial"/>
          <w:b/>
          <w:lang w:eastAsia="es-ES"/>
        </w:rPr>
      </w:pPr>
    </w:p>
    <w:p w14:paraId="17ABECD4" w14:textId="77777777" w:rsidR="006556B1" w:rsidRPr="00EB73BF" w:rsidRDefault="006556B1" w:rsidP="006556B1">
      <w:pPr>
        <w:spacing w:after="0" w:line="240" w:lineRule="auto"/>
        <w:jc w:val="both"/>
        <w:rPr>
          <w:rFonts w:ascii="Verdana" w:eastAsia="Times New Roman" w:hAnsi="Verdana" w:cs="Arial"/>
          <w:b/>
          <w:lang w:eastAsia="es-ES"/>
        </w:rPr>
      </w:pPr>
      <w:r w:rsidRPr="00EB73BF">
        <w:rPr>
          <w:rFonts w:ascii="Verdana" w:eastAsia="Times New Roman" w:hAnsi="Verdana" w:cs="Arial"/>
          <w:b/>
          <w:lang w:eastAsia="es-ES"/>
        </w:rPr>
        <w:t>CONTRATO DE PRESTACIÓN DE SERVICIOS – Características</w:t>
      </w:r>
    </w:p>
    <w:p w14:paraId="39A94E44" w14:textId="77777777" w:rsidR="006556B1" w:rsidRDefault="006556B1" w:rsidP="006556B1">
      <w:pPr>
        <w:spacing w:after="0" w:line="240" w:lineRule="auto"/>
        <w:jc w:val="both"/>
        <w:rPr>
          <w:rFonts w:ascii="Verdana" w:eastAsia="Times New Roman" w:hAnsi="Verdana" w:cs="Arial"/>
          <w:b/>
          <w:lang w:eastAsia="es-ES"/>
        </w:rPr>
      </w:pPr>
    </w:p>
    <w:p w14:paraId="0A65CBA5" w14:textId="4D6F9AF5" w:rsidR="002E73A6" w:rsidRPr="006556B1" w:rsidRDefault="006556B1" w:rsidP="006556B1">
      <w:pPr>
        <w:spacing w:after="0" w:line="240" w:lineRule="auto"/>
        <w:jc w:val="both"/>
        <w:rPr>
          <w:rFonts w:ascii="Verdana" w:eastAsia="Times New Roman" w:hAnsi="Verdana" w:cs="Arial"/>
          <w:sz w:val="20"/>
          <w:lang w:val="es-ES" w:eastAsia="es-ES"/>
        </w:rPr>
      </w:pPr>
      <w:r w:rsidRPr="00133A58">
        <w:rPr>
          <w:rFonts w:ascii="Verdana" w:eastAsia="Times New Roman" w:hAnsi="Verdana" w:cs="Arial"/>
          <w:sz w:val="20"/>
          <w:lang w:eastAsia="es-ES"/>
        </w:rPr>
        <w:t xml:space="preserve">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 profesionales: a) Solo puede celebrarse para realizar “actividades relacionadas con la administración o funcionamiento de la entidad”, es decir, que hagan parte de su giro ordinario o quehacer cotidiano. 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c) Si bien se celebran para obtener la prestación personal de un servicio, se diferencian del contrato de trabajo en que quien celebra el contrato de prestación de servicios </w:t>
      </w:r>
      <w:r w:rsidRPr="00133A58">
        <w:rPr>
          <w:rFonts w:ascii="Verdana" w:eastAsia="Times New Roman" w:hAnsi="Verdana" w:cs="Arial"/>
          <w:sz w:val="20"/>
          <w:lang w:eastAsia="es-ES"/>
        </w:rPr>
        <w:lastRenderedPageBreak/>
        <w:t xml:space="preserve">profesionales debe mantener autonomía e independencia en la ejecución de la labor, lo que significa que no puede existir la </w:t>
      </w:r>
      <w:r w:rsidRPr="00133A58">
        <w:rPr>
          <w:rFonts w:ascii="Verdana" w:eastAsia="Times New Roman" w:hAnsi="Verdana" w:cs="Arial"/>
          <w:i/>
          <w:iCs/>
          <w:sz w:val="20"/>
          <w:lang w:eastAsia="es-ES"/>
        </w:rPr>
        <w:t>subordinación y dependencia</w:t>
      </w:r>
      <w:r w:rsidRPr="00133A58">
        <w:rPr>
          <w:rFonts w:ascii="Verdana" w:eastAsia="Times New Roman" w:hAnsi="Verdana" w:cs="Arial"/>
          <w:sz w:val="20"/>
          <w:lang w:eastAsia="es-ES"/>
        </w:rPr>
        <w:t>, que es uno de los elementos constitutivos del vínculo laboral. d) Deben ser temporales. e</w:t>
      </w:r>
      <w:r w:rsidRPr="00133A58">
        <w:rPr>
          <w:rFonts w:ascii="Verdana" w:eastAsia="Times New Roman" w:hAnsi="Verdana" w:cs="Arial"/>
          <w:sz w:val="20"/>
          <w:lang w:val="es-ES" w:eastAsia="es-ES"/>
        </w:rPr>
        <w:t xml:space="preserve">) Los contratos de prestación de servicios constituyen un </w:t>
      </w:r>
      <w:r w:rsidRPr="00133A58">
        <w:rPr>
          <w:rFonts w:ascii="Verdana" w:eastAsia="Times New Roman" w:hAnsi="Verdana" w:cs="Arial"/>
          <w:i/>
          <w:iCs/>
          <w:sz w:val="20"/>
          <w:lang w:val="es-ES" w:eastAsia="es-ES"/>
        </w:rPr>
        <w:t>género</w:t>
      </w:r>
      <w:r w:rsidRPr="00133A58">
        <w:rPr>
          <w:rFonts w:ascii="Verdana" w:eastAsia="Times New Roman" w:hAnsi="Verdana" w:cs="Arial"/>
          <w:sz w:val="20"/>
          <w:lang w:val="es-ES" w:eastAsia="es-ES"/>
        </w:rPr>
        <w:t xml:space="preserve"> que incluye, como </w:t>
      </w:r>
      <w:r w:rsidRPr="00133A58">
        <w:rPr>
          <w:rFonts w:ascii="Verdana" w:eastAsia="Times New Roman" w:hAnsi="Verdana" w:cs="Arial"/>
          <w:i/>
          <w:iCs/>
          <w:sz w:val="20"/>
          <w:lang w:val="es-ES" w:eastAsia="es-ES"/>
        </w:rPr>
        <w:t>especies</w:t>
      </w:r>
      <w:r w:rsidRPr="00133A58">
        <w:rPr>
          <w:rFonts w:ascii="Verdana" w:eastAsia="Times New Roman" w:hAnsi="Verdana" w:cs="Arial"/>
          <w:sz w:val="20"/>
          <w:lang w:val="es-ES" w:eastAsia="es-ES"/>
        </w:rPr>
        <w:t xml:space="preserve">, los contratos de prestación de servicios profesionales, los contratos de prestación de servicios de apoyo a la gestión y los contratos de prestación de servicios artísticos que solo pueden encomendarse a determinadas personas naturales. La diferencia entre el contrato de prestación de servicios </w:t>
      </w:r>
      <w:r w:rsidRPr="00133A58">
        <w:rPr>
          <w:rFonts w:ascii="Verdana" w:eastAsia="Times New Roman" w:hAnsi="Verdana" w:cs="Arial"/>
          <w:i/>
          <w:iCs/>
          <w:sz w:val="20"/>
          <w:lang w:val="es-ES" w:eastAsia="es-ES"/>
        </w:rPr>
        <w:t>profesionales</w:t>
      </w:r>
      <w:r w:rsidRPr="00133A58">
        <w:rPr>
          <w:rFonts w:ascii="Verdana" w:eastAsia="Times New Roman" w:hAnsi="Verdana" w:cs="Arial"/>
          <w:sz w:val="20"/>
          <w:lang w:val="es-ES" w:eastAsia="es-ES"/>
        </w:rPr>
        <w:t xml:space="preserve"> con las otras dos especies del género en el cual se ubican radica en su contenido intelectual intangible y, al mismo tiempo, en la formación profesional que se exige para desempeñar la labor</w:t>
      </w:r>
      <w:r w:rsidRPr="00133A58">
        <w:rPr>
          <w:rFonts w:ascii="Verdana" w:eastAsia="Times New Roman" w:hAnsi="Verdana" w:cs="Arial"/>
          <w:sz w:val="20"/>
          <w:vertAlign w:val="superscript"/>
          <w:lang w:val="es-ES" w:eastAsia="es-ES"/>
        </w:rPr>
        <w:t xml:space="preserve">. </w:t>
      </w:r>
      <w:r w:rsidRPr="00133A58">
        <w:rPr>
          <w:rFonts w:ascii="Verdana" w:eastAsia="Times New Roman" w:hAnsi="Verdana" w:cs="Arial"/>
          <w:sz w:val="20"/>
          <w:lang w:val="es-ES" w:eastAsia="es-ES"/>
        </w:rPr>
        <w:t xml:space="preserve">f)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si bien en ambos existe un componente intelectual intangible, el objeto del contrato de consultoría es especial y debe celebrarse, por regla general, precedido de un concurso de méritos. Pero, tampoco puede suscribirse un contrato de prestación de servicios profesionales para que el contratista ejecute labores que </w:t>
      </w:r>
      <w:proofErr w:type="gramStart"/>
      <w:r w:rsidRPr="00133A58">
        <w:rPr>
          <w:rFonts w:ascii="Verdana" w:eastAsia="Times New Roman" w:hAnsi="Verdana" w:cs="Arial"/>
          <w:sz w:val="20"/>
          <w:lang w:val="es-ES" w:eastAsia="es-ES"/>
        </w:rPr>
        <w:t>se enmarcan dentro de</w:t>
      </w:r>
      <w:proofErr w:type="gramEnd"/>
      <w:r w:rsidRPr="00133A58">
        <w:rPr>
          <w:rFonts w:ascii="Verdana" w:eastAsia="Times New Roman" w:hAnsi="Verdana" w:cs="Arial"/>
          <w:sz w:val="20"/>
          <w:lang w:val="es-ES" w:eastAsia="es-ES"/>
        </w:rPr>
        <w:t xml:space="preserve"> los otros contratos tipificados en el artículo 32 de la Ley 80 de 1993, como, por ejemplo, para que el contratista de prestación de servicios construya una obra.</w:t>
      </w:r>
      <w:r w:rsidRPr="00133A58">
        <w:rPr>
          <w:rFonts w:ascii="Verdana" w:eastAsia="Times New Roman" w:hAnsi="Verdana" w:cs="Arial"/>
          <w:sz w:val="20"/>
          <w:lang w:eastAsia="es-ES"/>
        </w:rPr>
        <w:t xml:space="preserve"> </w:t>
      </w:r>
      <w:r w:rsidRPr="00133A58">
        <w:rPr>
          <w:rFonts w:ascii="Verdana" w:eastAsia="Times New Roman" w:hAnsi="Verdana" w:cs="Arial"/>
          <w:sz w:val="20"/>
          <w:lang w:val="es-ES" w:eastAsia="es-ES"/>
        </w:rPr>
        <w:t xml:space="preserve">g) Para su celebración no se requiere en algunos casos la expedición del acto administrativo de justificación de la contratación directa. h) Admiten el pacto de cláusulas excepcionales. </w:t>
      </w:r>
    </w:p>
    <w:p w14:paraId="494B7051" w14:textId="77777777" w:rsidR="002E73A6" w:rsidRPr="006556B1" w:rsidRDefault="002E73A6" w:rsidP="006556B1">
      <w:pPr>
        <w:spacing w:after="0"/>
        <w:jc w:val="both"/>
        <w:rPr>
          <w:rFonts w:ascii="Verdana" w:hAnsi="Verdana"/>
          <w:b/>
        </w:rPr>
      </w:pPr>
    </w:p>
    <w:p w14:paraId="53D1CACF" w14:textId="46FDA66C" w:rsidR="002E73A6" w:rsidRPr="006556B1" w:rsidRDefault="002E73A6" w:rsidP="006556B1">
      <w:pPr>
        <w:spacing w:after="0"/>
        <w:jc w:val="both"/>
        <w:rPr>
          <w:rFonts w:ascii="Verdana" w:hAnsi="Verdana"/>
          <w:b/>
        </w:rPr>
      </w:pPr>
      <w:r w:rsidRPr="006556B1">
        <w:rPr>
          <w:rFonts w:ascii="Verdana" w:hAnsi="Verdana"/>
          <w:b/>
        </w:rPr>
        <w:t>CONTRATACIÓN DIRECTA – Contrato de Prestación de Servicios – Idoneidad – Justificación Jurídica y Técnica</w:t>
      </w:r>
    </w:p>
    <w:p w14:paraId="271C3E29" w14:textId="77777777" w:rsidR="002E73A6" w:rsidRDefault="002E73A6" w:rsidP="00FA31C3">
      <w:pPr>
        <w:spacing w:after="0"/>
        <w:rPr>
          <w:rFonts w:ascii="Verdana" w:hAnsi="Verdana"/>
        </w:rPr>
      </w:pPr>
    </w:p>
    <w:p w14:paraId="64E69C1E" w14:textId="77777777" w:rsidR="00E02087" w:rsidRPr="00E02087" w:rsidRDefault="00E02087" w:rsidP="00E02087">
      <w:pPr>
        <w:spacing w:after="0"/>
        <w:jc w:val="both"/>
        <w:rPr>
          <w:rFonts w:ascii="Verdana" w:hAnsi="Verdana"/>
          <w:sz w:val="20"/>
          <w:szCs w:val="20"/>
          <w:lang w:val="es-ES"/>
        </w:rPr>
      </w:pPr>
      <w:r w:rsidRPr="00E02087">
        <w:rPr>
          <w:rFonts w:ascii="Verdana" w:hAnsi="Verdana"/>
          <w:sz w:val="20"/>
          <w:szCs w:val="20"/>
          <w:lang w:val="es-ES_tradnl"/>
        </w:rPr>
        <w:t xml:space="preserve">Teniendo en cuenta las características de los contratos de prestación de servicios y a partir de las consideraciones sobre la aplicación de los principios de la contratación pública en la modalidad de contratación directa, se precisa que la nominación de una persona determinada en los estudios previos de prestación de servicios no </w:t>
      </w:r>
      <w:r w:rsidRPr="00E02087">
        <w:rPr>
          <w:rFonts w:ascii="Verdana" w:hAnsi="Verdana"/>
          <w:sz w:val="20"/>
          <w:szCs w:val="20"/>
          <w:lang w:val="es-ES"/>
        </w:rPr>
        <w:t xml:space="preserve">vulnera per se los principios de transparencia ni de selección objetiva, con la condición de que la decisión de la entidad se fundamenta en criterios previamente definidos y verificables. La transparencia se garantiza porque la entidad debe justificar la contratación de prestación de servicios en estudios previos, lo que permite que la motivación quede registrada y pueda ser revisada. De esta manera, se evita que la escogencia se base en factores subjetivos como afinidades personales o intereses particulares. </w:t>
      </w:r>
    </w:p>
    <w:p w14:paraId="5DD54CA0" w14:textId="77777777" w:rsidR="00E02087" w:rsidRDefault="00E02087" w:rsidP="00E02087">
      <w:pPr>
        <w:spacing w:after="0"/>
        <w:jc w:val="both"/>
        <w:rPr>
          <w:rFonts w:ascii="Verdana" w:hAnsi="Verdana"/>
          <w:sz w:val="20"/>
          <w:szCs w:val="20"/>
          <w:lang w:val="es-ES"/>
        </w:rPr>
      </w:pPr>
    </w:p>
    <w:p w14:paraId="1A2FC2DE" w14:textId="3AC3CD4D" w:rsidR="002E73A6" w:rsidRPr="00E02087" w:rsidRDefault="00E02087" w:rsidP="00E02087">
      <w:pPr>
        <w:spacing w:after="0"/>
        <w:jc w:val="both"/>
        <w:rPr>
          <w:rFonts w:ascii="Verdana" w:hAnsi="Verdana"/>
          <w:sz w:val="20"/>
          <w:szCs w:val="20"/>
          <w:lang w:val="es-ES"/>
        </w:rPr>
      </w:pPr>
      <w:r w:rsidRPr="00E02087">
        <w:rPr>
          <w:rFonts w:ascii="Verdana" w:hAnsi="Verdana"/>
          <w:sz w:val="20"/>
          <w:szCs w:val="20"/>
          <w:lang w:val="es-ES"/>
        </w:rPr>
        <w:t xml:space="preserve">Asimismo, la selección objetiva se mantiene porque la persona contratada es aquella que cumple con los requisitos de idoneidad, experiencia y capacidad para ejecutar el objeto contractual. La entidad debe basarse y justificar la contratación de determinada persona en criterios técnicos y jurídicos, que ese contratista es el más adecuado para satisfacer la necesidad pública. Esto asegura que la decisión esté alineada con el principio de planeación y con la finalidad de garantizar la correcta ejecución del contrato. </w:t>
      </w:r>
    </w:p>
    <w:p w14:paraId="5D52336A" w14:textId="0E0969E2" w:rsidR="00FA31C3" w:rsidRDefault="00FA31C3" w:rsidP="00FA31C3">
      <w:pPr>
        <w:spacing w:after="0"/>
        <w:rPr>
          <w:rFonts w:ascii="Verdana" w:hAnsi="Verdana"/>
        </w:rPr>
      </w:pPr>
      <w:r w:rsidRPr="0024624F">
        <w:rPr>
          <w:rFonts w:ascii="Verdana" w:hAnsi="Verdana"/>
        </w:rPr>
        <w:lastRenderedPageBreak/>
        <w:t xml:space="preserve">Bogotá D.C., </w:t>
      </w:r>
      <w:r w:rsidR="00033B58">
        <w:rPr>
          <w:rFonts w:ascii="Verdana" w:hAnsi="Verdana"/>
        </w:rPr>
        <w:t>23 de enero de 2026</w:t>
      </w:r>
      <w:r>
        <w:rPr>
          <w:rFonts w:ascii="Verdana" w:hAnsi="Verdana"/>
        </w:rPr>
        <w:tab/>
      </w:r>
    </w:p>
    <w:p w14:paraId="358B4C30" w14:textId="606457A7" w:rsidR="00FA31C3" w:rsidRDefault="00E02087" w:rsidP="00FA31C3">
      <w:pPr>
        <w:spacing w:after="0" w:line="240" w:lineRule="auto"/>
        <w:rPr>
          <w:rFonts w:ascii="Verdana" w:hAnsi="Verdana"/>
        </w:rPr>
      </w:pPr>
      <w:r w:rsidRPr="002E73A6">
        <w:rPr>
          <w:rFonts w:ascii="Verdana" w:hAnsi="Verdana"/>
          <w:noProof/>
          <w:lang w:val="en-US"/>
        </w:rPr>
        <w:drawing>
          <wp:anchor distT="0" distB="0" distL="114300" distR="114300" simplePos="0" relativeHeight="251658240" behindDoc="0" locked="0" layoutInCell="1" allowOverlap="1" wp14:anchorId="40C99D0D" wp14:editId="0D359F0C">
            <wp:simplePos x="0" y="0"/>
            <wp:positionH relativeFrom="margin">
              <wp:posOffset>2661920</wp:posOffset>
            </wp:positionH>
            <wp:positionV relativeFrom="paragraph">
              <wp:posOffset>114935</wp:posOffset>
            </wp:positionV>
            <wp:extent cx="2891155" cy="831850"/>
            <wp:effectExtent l="0" t="0" r="4445" b="635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91155" cy="8318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F6AFBE" w14:textId="4A23F46A" w:rsidR="00FA31C3" w:rsidRPr="002B4BE9" w:rsidRDefault="00FA31C3" w:rsidP="00FA31C3">
      <w:pPr>
        <w:spacing w:after="0" w:line="240" w:lineRule="auto"/>
        <w:rPr>
          <w:rFonts w:ascii="Verdana" w:hAnsi="Verdana"/>
        </w:rPr>
      </w:pPr>
    </w:p>
    <w:p w14:paraId="01C0F1DB" w14:textId="77777777" w:rsidR="00FA31C3" w:rsidRPr="00F60F65" w:rsidRDefault="00FA31C3" w:rsidP="00FA31C3">
      <w:pPr>
        <w:spacing w:after="0" w:line="240" w:lineRule="auto"/>
        <w:rPr>
          <w:rFonts w:ascii="Verdana" w:eastAsia="Calibri" w:hAnsi="Verdana" w:cs="Times New Roman"/>
          <w:lang w:val="es-MX"/>
        </w:rPr>
      </w:pPr>
      <w:r w:rsidRPr="00F60F65">
        <w:rPr>
          <w:rFonts w:ascii="Verdana" w:eastAsia="Calibri" w:hAnsi="Verdana" w:cs="Times New Roman"/>
          <w:lang w:val="es-MX"/>
        </w:rPr>
        <w:t>Señor</w:t>
      </w:r>
    </w:p>
    <w:p w14:paraId="620B0C43" w14:textId="77777777" w:rsidR="00FA31C3" w:rsidRDefault="00FA31C3" w:rsidP="00FA31C3">
      <w:pPr>
        <w:spacing w:after="0" w:line="240" w:lineRule="auto"/>
        <w:rPr>
          <w:rFonts w:ascii="Verdana" w:eastAsia="Calibri" w:hAnsi="Verdana" w:cs="Times New Roman"/>
          <w:b/>
          <w:lang w:val="es-MX"/>
        </w:rPr>
      </w:pPr>
      <w:r>
        <w:rPr>
          <w:rFonts w:ascii="Verdana" w:eastAsia="Calibri" w:hAnsi="Verdana" w:cs="Times New Roman"/>
          <w:b/>
          <w:lang w:val="es-MX"/>
        </w:rPr>
        <w:t>Ciudadano</w:t>
      </w:r>
    </w:p>
    <w:p w14:paraId="5CE25EE6" w14:textId="77777777" w:rsidR="00FA31C3" w:rsidRPr="00F60F65" w:rsidRDefault="00FA31C3" w:rsidP="00FA31C3">
      <w:pPr>
        <w:spacing w:after="0" w:line="240" w:lineRule="auto"/>
        <w:rPr>
          <w:rFonts w:ascii="Verdana" w:eastAsia="Calibri" w:hAnsi="Verdana" w:cs="Times New Roman"/>
          <w:bCs/>
        </w:rPr>
      </w:pPr>
      <w:r w:rsidRPr="00F60F65">
        <w:rPr>
          <w:rFonts w:ascii="Verdana" w:eastAsia="Calibri" w:hAnsi="Verdana" w:cs="Times New Roman"/>
          <w:bCs/>
        </w:rPr>
        <w:t xml:space="preserve">Bogotá D.C.  </w:t>
      </w:r>
    </w:p>
    <w:p w14:paraId="735F985C" w14:textId="77777777" w:rsidR="00FA31C3" w:rsidRPr="002B4BE9" w:rsidRDefault="00FA31C3" w:rsidP="00FA31C3">
      <w:pPr>
        <w:spacing w:after="0" w:line="240" w:lineRule="auto"/>
        <w:rPr>
          <w:rFonts w:ascii="Verdana" w:eastAsia="Calibri" w:hAnsi="Verdana" w:cs="Times New Roman"/>
        </w:rPr>
      </w:pPr>
    </w:p>
    <w:p w14:paraId="3564F676" w14:textId="77777777" w:rsidR="00FA31C3" w:rsidRPr="002B4BE9" w:rsidRDefault="00FA31C3" w:rsidP="00FA31C3">
      <w:pPr>
        <w:spacing w:after="0" w:line="240" w:lineRule="auto"/>
        <w:rPr>
          <w:rFonts w:ascii="Verdana" w:eastAsia="Calibri" w:hAnsi="Verdana" w:cs="Times New Roman"/>
        </w:rPr>
      </w:pPr>
    </w:p>
    <w:p w14:paraId="7D4FDC36" w14:textId="6E1BA03D" w:rsidR="00FA31C3" w:rsidRPr="002B4BE9" w:rsidRDefault="00FA31C3" w:rsidP="00FA31C3">
      <w:pPr>
        <w:spacing w:after="0" w:line="240" w:lineRule="auto"/>
        <w:rPr>
          <w:rFonts w:ascii="Verdana" w:eastAsia="Calibri" w:hAnsi="Verdana" w:cs="Times New Roman"/>
          <w:b/>
          <w:bCs/>
          <w:lang w:val="es-ES"/>
        </w:rPr>
      </w:pPr>
      <w:r w:rsidRPr="002B4BE9">
        <w:rPr>
          <w:rFonts w:ascii="Verdana" w:eastAsia="Calibri" w:hAnsi="Verdana" w:cs="Times New Roman"/>
          <w:b/>
          <w:bCs/>
          <w:lang w:val="es-ES"/>
        </w:rPr>
        <w:t xml:space="preserve">                   </w:t>
      </w:r>
      <w:r>
        <w:rPr>
          <w:rFonts w:ascii="Verdana" w:eastAsia="Calibri" w:hAnsi="Verdana" w:cs="Times New Roman"/>
          <w:b/>
          <w:bCs/>
          <w:lang w:val="es-ES"/>
        </w:rPr>
        <w:t xml:space="preserve">                 Concepto C–</w:t>
      </w:r>
      <w:r w:rsidR="00033B58">
        <w:rPr>
          <w:rFonts w:ascii="Verdana" w:eastAsia="Calibri" w:hAnsi="Verdana" w:cs="Times New Roman"/>
          <w:b/>
          <w:bCs/>
          <w:lang w:val="es-ES"/>
        </w:rPr>
        <w:t>054 de 2026</w:t>
      </w:r>
    </w:p>
    <w:p w14:paraId="7BC01187" w14:textId="77777777" w:rsidR="00FA31C3" w:rsidRPr="002B4BE9" w:rsidRDefault="00FA31C3" w:rsidP="00FA31C3">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FA31C3" w:rsidRPr="002B4BE9" w14:paraId="2EB9E9F8" w14:textId="77777777" w:rsidTr="00024BFE">
        <w:trPr>
          <w:trHeight w:val="645"/>
        </w:trPr>
        <w:tc>
          <w:tcPr>
            <w:tcW w:w="2685" w:type="dxa"/>
            <w:hideMark/>
          </w:tcPr>
          <w:p w14:paraId="126D6972" w14:textId="77777777" w:rsidR="00FA31C3" w:rsidRPr="002B4BE9" w:rsidRDefault="00FA31C3" w:rsidP="00024BFE">
            <w:pPr>
              <w:rPr>
                <w:rFonts w:ascii="Verdana" w:hAnsi="Verdana"/>
                <w:b/>
                <w:bCs/>
                <w:lang w:val="es-ES_tradnl"/>
              </w:rPr>
            </w:pPr>
            <w:r w:rsidRPr="002B4BE9">
              <w:rPr>
                <w:rFonts w:ascii="Verdana" w:hAnsi="Verdana"/>
                <w:b/>
                <w:bCs/>
                <w:lang w:val="es-ES_tradnl"/>
              </w:rPr>
              <w:t xml:space="preserve">Temas:                  </w:t>
            </w:r>
          </w:p>
        </w:tc>
        <w:tc>
          <w:tcPr>
            <w:tcW w:w="6241" w:type="dxa"/>
            <w:hideMark/>
          </w:tcPr>
          <w:p w14:paraId="0A730891" w14:textId="77777777" w:rsidR="00FA31C3" w:rsidRPr="00917FBF" w:rsidRDefault="00FA31C3" w:rsidP="00024BFE">
            <w:pPr>
              <w:snapToGrid w:val="0"/>
              <w:spacing w:line="276" w:lineRule="auto"/>
              <w:jc w:val="both"/>
              <w:rPr>
                <w:rFonts w:ascii="Verdana" w:hAnsi="Verdana" w:cs="Arial"/>
                <w:bCs/>
                <w:highlight w:val="yellow"/>
                <w:lang w:eastAsia="es-ES"/>
              </w:rPr>
            </w:pPr>
            <w:r w:rsidRPr="006A0F21">
              <w:rPr>
                <w:rFonts w:ascii="Verdana" w:eastAsia="Times New Roman" w:hAnsi="Verdana" w:cs="Arial"/>
                <w:noProof/>
                <w:color w:val="000000"/>
                <w:lang w:val="es-ES_tradnl" w:eastAsia="es-ES_tradnl"/>
              </w:rPr>
              <w:t>CONTRATACIÓN DIRECTA – Características / PRINCIPIOS DE LA CONTRATACIÓN PÚBLICA – Contratación directa – Transparencia – Selección objetiva – Aplicación</w:t>
            </w:r>
            <w:r>
              <w:rPr>
                <w:rFonts w:ascii="Verdana" w:eastAsia="Times New Roman" w:hAnsi="Verdana" w:cs="Arial"/>
                <w:noProof/>
                <w:color w:val="000000"/>
                <w:lang w:val="es-ES_tradnl" w:eastAsia="es-ES_tradnl"/>
              </w:rPr>
              <w:t xml:space="preserve"> / CONTRATACIÓN DIRECTA – Planeación – Estudios previos / CONTRATOS DE PRESTACIÓN DE SERVICIOS – Concepto / CONTRATOS DE PRESTACIÓN DE SERVICIOS – Características / CONTRATACIÓN DIRECTA – Contrato de Prestación de Servicios – Idoneidad – Justificación Jurídica y Técnica.  </w:t>
            </w:r>
          </w:p>
        </w:tc>
        <w:tc>
          <w:tcPr>
            <w:tcW w:w="6237" w:type="dxa"/>
          </w:tcPr>
          <w:p w14:paraId="7A1C6775" w14:textId="77777777" w:rsidR="00FA31C3" w:rsidRPr="002B4BE9" w:rsidRDefault="00FA31C3" w:rsidP="00024BFE">
            <w:pPr>
              <w:rPr>
                <w:rFonts w:ascii="Verdana" w:hAnsi="Verdana"/>
                <w:lang w:val="es-ES"/>
              </w:rPr>
            </w:pPr>
          </w:p>
        </w:tc>
      </w:tr>
      <w:tr w:rsidR="00FA31C3" w:rsidRPr="002B4BE9" w14:paraId="49C412A4" w14:textId="77777777" w:rsidTr="00024BFE">
        <w:tc>
          <w:tcPr>
            <w:tcW w:w="2685" w:type="dxa"/>
          </w:tcPr>
          <w:p w14:paraId="2D518951" w14:textId="77777777" w:rsidR="00FA31C3" w:rsidRPr="002B4BE9" w:rsidRDefault="00FA31C3" w:rsidP="00024BFE">
            <w:pPr>
              <w:rPr>
                <w:rFonts w:ascii="Verdana" w:hAnsi="Verdana"/>
                <w:b/>
                <w:bCs/>
                <w:lang w:val="es-ES_tradnl"/>
              </w:rPr>
            </w:pPr>
          </w:p>
          <w:p w14:paraId="2C0DA113" w14:textId="77777777" w:rsidR="00FA31C3" w:rsidRPr="002B4BE9" w:rsidRDefault="00FA31C3" w:rsidP="00024BFE">
            <w:pPr>
              <w:rPr>
                <w:rFonts w:ascii="Verdana" w:hAnsi="Verdana"/>
                <w:b/>
                <w:bCs/>
                <w:lang w:val="es-ES_tradnl"/>
              </w:rPr>
            </w:pPr>
          </w:p>
          <w:p w14:paraId="21E915AB" w14:textId="77777777" w:rsidR="00FA31C3" w:rsidRPr="00995618" w:rsidRDefault="00FA31C3" w:rsidP="00024BFE">
            <w:pPr>
              <w:rPr>
                <w:rFonts w:ascii="Verdana" w:hAnsi="Verdana"/>
                <w:b/>
                <w:bCs/>
                <w:lang w:val="es-ES_tradnl"/>
              </w:rPr>
            </w:pPr>
            <w:r w:rsidRPr="002B4BE9">
              <w:rPr>
                <w:rFonts w:ascii="Verdana" w:hAnsi="Verdana"/>
                <w:b/>
                <w:bCs/>
                <w:lang w:val="es-ES_tradnl"/>
              </w:rPr>
              <w:t xml:space="preserve">Radicación:               </w:t>
            </w:r>
          </w:p>
        </w:tc>
        <w:tc>
          <w:tcPr>
            <w:tcW w:w="6241" w:type="dxa"/>
          </w:tcPr>
          <w:p w14:paraId="05F10AB4" w14:textId="77777777" w:rsidR="00FA31C3" w:rsidRDefault="00FA31C3" w:rsidP="00024BFE">
            <w:pPr>
              <w:jc w:val="both"/>
              <w:rPr>
                <w:rFonts w:ascii="Verdana" w:hAnsi="Verdana"/>
                <w:lang w:val="es-ES_tradnl"/>
              </w:rPr>
            </w:pPr>
          </w:p>
          <w:p w14:paraId="0B345D1B" w14:textId="77777777" w:rsidR="00FA31C3" w:rsidRPr="002B4BE9" w:rsidRDefault="00FA31C3" w:rsidP="00024BFE">
            <w:pPr>
              <w:jc w:val="both"/>
              <w:rPr>
                <w:rFonts w:ascii="Verdana" w:hAnsi="Verdana"/>
                <w:lang w:val="es-ES_tradnl"/>
              </w:rPr>
            </w:pPr>
          </w:p>
          <w:p w14:paraId="72E493BF" w14:textId="77777777" w:rsidR="00FA31C3" w:rsidRPr="002B4BE9" w:rsidRDefault="00FA31C3" w:rsidP="00024BFE">
            <w:pPr>
              <w:jc w:val="both"/>
              <w:rPr>
                <w:rFonts w:ascii="Verdana" w:hAnsi="Verdana"/>
                <w:lang w:val="es-ES_tradnl"/>
              </w:rPr>
            </w:pPr>
            <w:r w:rsidRPr="002B4BE9">
              <w:rPr>
                <w:rFonts w:ascii="Verdana" w:hAnsi="Verdana"/>
                <w:lang w:val="es-ES_tradnl"/>
              </w:rPr>
              <w:t>Res</w:t>
            </w:r>
            <w:r>
              <w:rPr>
                <w:rFonts w:ascii="Verdana" w:hAnsi="Verdana"/>
                <w:lang w:val="es-ES_tradnl"/>
              </w:rPr>
              <w:t xml:space="preserve">puesta a consulta con radicado </w:t>
            </w:r>
            <w:r w:rsidRPr="00982DD4">
              <w:rPr>
                <w:rFonts w:ascii="Verdana" w:hAnsi="Verdana"/>
              </w:rPr>
              <w:t>1_2026_01_16_000419</w:t>
            </w:r>
          </w:p>
          <w:p w14:paraId="4604F668" w14:textId="77777777" w:rsidR="00FA31C3" w:rsidRPr="002B4BE9" w:rsidRDefault="00FA31C3" w:rsidP="00024BFE">
            <w:pPr>
              <w:jc w:val="both"/>
              <w:rPr>
                <w:rFonts w:ascii="Verdana" w:hAnsi="Verdana"/>
              </w:rPr>
            </w:pPr>
          </w:p>
          <w:p w14:paraId="476DBC89" w14:textId="77777777" w:rsidR="00FA31C3" w:rsidRPr="002B4BE9" w:rsidRDefault="00FA31C3" w:rsidP="00024BFE">
            <w:pPr>
              <w:jc w:val="both"/>
              <w:rPr>
                <w:rFonts w:ascii="Verdana" w:hAnsi="Verdana"/>
              </w:rPr>
            </w:pPr>
          </w:p>
        </w:tc>
        <w:tc>
          <w:tcPr>
            <w:tcW w:w="6237" w:type="dxa"/>
          </w:tcPr>
          <w:p w14:paraId="57E6BBEB" w14:textId="77777777" w:rsidR="00FA31C3" w:rsidRPr="002B4BE9" w:rsidRDefault="00FA31C3" w:rsidP="00024BFE">
            <w:pPr>
              <w:rPr>
                <w:rFonts w:ascii="Verdana" w:hAnsi="Verdana"/>
              </w:rPr>
            </w:pPr>
          </w:p>
        </w:tc>
      </w:tr>
    </w:tbl>
    <w:p w14:paraId="020C097B" w14:textId="77777777" w:rsidR="00FA31C3" w:rsidRPr="009037F6" w:rsidRDefault="00FA31C3" w:rsidP="00FA31C3">
      <w:pPr>
        <w:spacing w:after="0" w:line="256" w:lineRule="auto"/>
        <w:rPr>
          <w:rFonts w:ascii="Verdana" w:eastAsia="Calibri" w:hAnsi="Verdana" w:cs="Times New Roman"/>
          <w:lang w:val="es-ES"/>
        </w:rPr>
      </w:pPr>
      <w:r>
        <w:rPr>
          <w:rFonts w:ascii="Verdana" w:eastAsia="Calibri" w:hAnsi="Verdana" w:cs="Times New Roman"/>
          <w:lang w:val="es-ES"/>
        </w:rPr>
        <w:t>Estimado Ciudadano</w:t>
      </w:r>
      <w:r w:rsidRPr="009037F6">
        <w:rPr>
          <w:rFonts w:ascii="Verdana" w:eastAsia="Calibri" w:hAnsi="Verdana" w:cs="Times New Roman"/>
          <w:lang w:val="es-ES"/>
        </w:rPr>
        <w:t xml:space="preserve">: </w:t>
      </w:r>
    </w:p>
    <w:p w14:paraId="22D45661" w14:textId="77777777" w:rsidR="00FA31C3" w:rsidRPr="009037F6" w:rsidRDefault="00FA31C3" w:rsidP="00FA31C3">
      <w:pPr>
        <w:spacing w:after="0" w:line="276" w:lineRule="auto"/>
        <w:rPr>
          <w:rFonts w:ascii="Verdana" w:eastAsia="Calibri" w:hAnsi="Verdana" w:cs="Times New Roman"/>
          <w:lang w:val="es-ES"/>
        </w:rPr>
      </w:pPr>
    </w:p>
    <w:p w14:paraId="47027E8A" w14:textId="77777777" w:rsidR="00FA31C3" w:rsidRPr="00982DD4" w:rsidRDefault="00FA31C3" w:rsidP="00FA31C3">
      <w:pPr>
        <w:spacing w:after="12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w:t>
      </w:r>
      <w:proofErr w:type="spellStart"/>
      <w:r w:rsidRPr="009037F6">
        <w:rPr>
          <w:rFonts w:ascii="Verdana" w:eastAsia="Calibri" w:hAnsi="Verdana" w:cs="Times New Roman"/>
          <w:bCs/>
          <w:lang w:bidi="es-ES"/>
        </w:rPr>
        <w:t>N°</w:t>
      </w:r>
      <w:proofErr w:type="spellEnd"/>
      <w:r w:rsidRPr="009037F6">
        <w:rPr>
          <w:rFonts w:ascii="Verdana" w:eastAsia="Calibri" w:hAnsi="Verdana" w:cs="Times New Roman"/>
          <w:bCs/>
          <w:lang w:bidi="es-ES"/>
        </w:rPr>
        <w:t xml:space="preserve">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 solicitud de consulta del 16 de enero de 2025</w:t>
      </w:r>
      <w:r w:rsidRPr="009037F6">
        <w:rPr>
          <w:rFonts w:ascii="Verdana" w:eastAsia="Calibri" w:hAnsi="Verdana" w:cs="Times New Roman"/>
          <w:bCs/>
          <w:lang w:val="es-ES" w:bidi="es-ES"/>
        </w:rPr>
        <w:t xml:space="preserve">, en la cual manifiesta: </w:t>
      </w:r>
      <w:r>
        <w:rPr>
          <w:rFonts w:ascii="Verdana" w:eastAsia="Calibri" w:hAnsi="Verdana" w:cs="Times New Roman"/>
          <w:bCs/>
          <w:lang w:val="es-ES" w:bidi="es-ES"/>
        </w:rPr>
        <w:t>“</w:t>
      </w:r>
      <w:r w:rsidRPr="00982DD4">
        <w:rPr>
          <w:rFonts w:ascii="Verdana" w:eastAsia="Calibri" w:hAnsi="Verdana" w:cs="Times New Roman"/>
          <w:bCs/>
          <w:lang w:bidi="es-ES"/>
        </w:rPr>
        <w:t>¿es jurídicamente procedente identificar de manera nominativa a</w:t>
      </w:r>
      <w:r>
        <w:rPr>
          <w:rFonts w:ascii="Verdana" w:eastAsia="Calibri" w:hAnsi="Verdana" w:cs="Times New Roman"/>
          <w:bCs/>
          <w:lang w:val="es-ES" w:bidi="es-ES"/>
        </w:rPr>
        <w:t xml:space="preserve"> </w:t>
      </w:r>
      <w:r w:rsidRPr="00982DD4">
        <w:rPr>
          <w:rFonts w:ascii="Verdana" w:eastAsia="Calibri" w:hAnsi="Verdana" w:cs="Times New Roman"/>
          <w:bCs/>
          <w:lang w:bidi="es-ES"/>
        </w:rPr>
        <w:t>un eventual contratista para un contrato de prestación de servicios profesionales y</w:t>
      </w:r>
      <w:r>
        <w:rPr>
          <w:rFonts w:ascii="Verdana" w:eastAsia="Calibri" w:hAnsi="Verdana" w:cs="Times New Roman"/>
          <w:bCs/>
          <w:lang w:val="es-ES" w:bidi="es-ES"/>
        </w:rPr>
        <w:t xml:space="preserve"> </w:t>
      </w:r>
      <w:r w:rsidRPr="00982DD4">
        <w:rPr>
          <w:rFonts w:ascii="Verdana" w:eastAsia="Calibri" w:hAnsi="Verdana" w:cs="Times New Roman"/>
          <w:bCs/>
          <w:lang w:bidi="es-ES"/>
        </w:rPr>
        <w:t>de apoyo a la gestión, aun cuando dicha etapa tiene por objeto la definición de la</w:t>
      </w:r>
      <w:r>
        <w:rPr>
          <w:rFonts w:ascii="Verdana" w:eastAsia="Calibri" w:hAnsi="Verdana" w:cs="Times New Roman"/>
          <w:bCs/>
          <w:lang w:val="es-ES" w:bidi="es-ES"/>
        </w:rPr>
        <w:t xml:space="preserve"> </w:t>
      </w:r>
      <w:r w:rsidRPr="00982DD4">
        <w:rPr>
          <w:rFonts w:ascii="Verdana" w:eastAsia="Calibri" w:hAnsi="Verdana" w:cs="Times New Roman"/>
          <w:bCs/>
          <w:lang w:bidi="es-ES"/>
        </w:rPr>
        <w:t>necesidad institucional y no la selección del ejecutor del contrato?</w:t>
      </w:r>
      <w:r>
        <w:rPr>
          <w:rFonts w:ascii="Verdana" w:eastAsia="Calibri" w:hAnsi="Verdana" w:cs="Times New Roman"/>
          <w:bCs/>
          <w:lang w:bidi="es-ES"/>
        </w:rPr>
        <w:t>”.</w:t>
      </w:r>
    </w:p>
    <w:p w14:paraId="45BD408F" w14:textId="77777777" w:rsidR="00FA31C3" w:rsidRPr="009037F6" w:rsidRDefault="00FA31C3" w:rsidP="00FA31C3">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8629248" w14:textId="77777777" w:rsidR="00FA31C3" w:rsidRPr="009037F6" w:rsidRDefault="00FA31C3" w:rsidP="00FA31C3">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el problema jurídico de su consulta. </w:t>
      </w:r>
    </w:p>
    <w:p w14:paraId="48928FF3" w14:textId="77777777" w:rsidR="00FA31C3" w:rsidRPr="009037F6" w:rsidRDefault="00FA31C3" w:rsidP="00FA31C3">
      <w:pPr>
        <w:spacing w:after="0" w:line="276" w:lineRule="auto"/>
        <w:rPr>
          <w:rFonts w:ascii="Verdana" w:eastAsia="Calibri" w:hAnsi="Verdana" w:cs="Times New Roman"/>
          <w:lang w:val="es-ES"/>
        </w:rPr>
      </w:pPr>
    </w:p>
    <w:p w14:paraId="39A9352B" w14:textId="77777777" w:rsidR="00FA31C3" w:rsidRPr="009037F6" w:rsidRDefault="00FA31C3" w:rsidP="00FA31C3">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Problema planteado:</w:t>
      </w:r>
    </w:p>
    <w:p w14:paraId="2B698EEF" w14:textId="77777777" w:rsidR="00FA31C3" w:rsidRPr="009037F6" w:rsidRDefault="00FA31C3" w:rsidP="00FA31C3">
      <w:pPr>
        <w:spacing w:after="0" w:line="276" w:lineRule="auto"/>
        <w:rPr>
          <w:rFonts w:ascii="Verdana" w:eastAsia="Calibri" w:hAnsi="Verdana" w:cs="Times New Roman"/>
        </w:rPr>
      </w:pPr>
    </w:p>
    <w:p w14:paraId="0B9D3846" w14:textId="77777777" w:rsidR="00FA31C3" w:rsidRPr="00D1210B" w:rsidRDefault="00FA31C3" w:rsidP="00FA31C3">
      <w:pPr>
        <w:spacing w:after="0" w:line="276" w:lineRule="auto"/>
        <w:jc w:val="both"/>
        <w:rPr>
          <w:rFonts w:ascii="Verdana" w:eastAsia="Calibri" w:hAnsi="Verdana" w:cs="Times New Roman"/>
        </w:rPr>
      </w:pPr>
      <w:r w:rsidRPr="009037F6">
        <w:rPr>
          <w:rFonts w:ascii="Verdana" w:eastAsia="Calibri" w:hAnsi="Verdana" w:cs="Times New Roman"/>
        </w:rPr>
        <w:t>De acuerdo con</w:t>
      </w:r>
      <w:r>
        <w:rPr>
          <w:rFonts w:ascii="Verdana" w:eastAsia="Calibri" w:hAnsi="Verdana" w:cs="Times New Roman"/>
        </w:rPr>
        <w:t xml:space="preserve"> el contenido de sus solicitudes, la Agencia procede a resolver el siguiente problema jurídico: </w:t>
      </w:r>
      <w:r w:rsidRPr="00D1532C">
        <w:rPr>
          <w:rFonts w:ascii="Verdana" w:eastAsia="Calibri" w:hAnsi="Verdana" w:cs="Times New Roman"/>
        </w:rPr>
        <w:t xml:space="preserve">¿Vulnera el principio de planeación y de selección objetiva en la contratación estatal la identificación nominativa de un eventual contratista durante la etapa </w:t>
      </w:r>
      <w:r>
        <w:rPr>
          <w:rFonts w:ascii="Verdana" w:eastAsia="Calibri" w:hAnsi="Verdana" w:cs="Times New Roman"/>
        </w:rPr>
        <w:t>precontractual para la suscripción de un contrato de prestación de servicios</w:t>
      </w:r>
      <w:r w:rsidRPr="00D1532C">
        <w:rPr>
          <w:rFonts w:ascii="Verdana" w:eastAsia="Calibri" w:hAnsi="Verdana" w:cs="Times New Roman"/>
        </w:rPr>
        <w:t>?</w:t>
      </w:r>
    </w:p>
    <w:p w14:paraId="298499EA" w14:textId="77777777" w:rsidR="00FA31C3" w:rsidRPr="00917FBF" w:rsidRDefault="00FA31C3" w:rsidP="00FA31C3">
      <w:pPr>
        <w:spacing w:after="0" w:line="276" w:lineRule="auto"/>
        <w:jc w:val="both"/>
        <w:rPr>
          <w:rFonts w:ascii="Verdana" w:eastAsia="Calibri" w:hAnsi="Verdana" w:cs="Times New Roman"/>
          <w:i/>
          <w:iCs/>
        </w:rPr>
      </w:pPr>
    </w:p>
    <w:p w14:paraId="5F118098" w14:textId="77777777" w:rsidR="00FA31C3" w:rsidRPr="009037F6" w:rsidRDefault="00FA31C3" w:rsidP="00FA31C3">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Respuesta:</w:t>
      </w:r>
    </w:p>
    <w:p w14:paraId="3D7F3836" w14:textId="77777777" w:rsidR="00FA31C3" w:rsidRPr="009037F6" w:rsidRDefault="00FA31C3" w:rsidP="00FA31C3">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FA31C3" w:rsidRPr="009037F6" w14:paraId="52F555FB" w14:textId="77777777" w:rsidTr="00024BFE">
        <w:trPr>
          <w:trHeight w:val="345"/>
          <w:jc w:val="center"/>
        </w:trPr>
        <w:tc>
          <w:tcPr>
            <w:tcW w:w="8784" w:type="dxa"/>
            <w:tcBorders>
              <w:bottom w:val="single" w:sz="4" w:space="0" w:color="auto"/>
            </w:tcBorders>
          </w:tcPr>
          <w:p w14:paraId="549C4629" w14:textId="77777777" w:rsidR="00FA31C3" w:rsidRPr="00062688" w:rsidRDefault="00FA31C3" w:rsidP="00024BFE">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Para resolver el problema jurídico, objeto de consulta, se expresa que t</w:t>
            </w:r>
            <w:proofErr w:type="spellStart"/>
            <w:r>
              <w:rPr>
                <w:rFonts w:ascii="Verdana" w:eastAsia="Calibri" w:hAnsi="Verdana" w:cs="Arial"/>
                <w:color w:val="000000" w:themeColor="text1"/>
                <w:lang w:val="es-ES_tradnl"/>
              </w:rPr>
              <w:t>eniendo</w:t>
            </w:r>
            <w:proofErr w:type="spellEnd"/>
            <w:r>
              <w:rPr>
                <w:rFonts w:ascii="Verdana" w:eastAsia="Calibri" w:hAnsi="Verdana" w:cs="Arial"/>
                <w:color w:val="000000" w:themeColor="text1"/>
                <w:lang w:val="es-ES_tradnl"/>
              </w:rPr>
              <w:t xml:space="preserve"> en cuenta las características de los contratos de prestación de servicios y a partir de las consideraciones sobre la aplicación de los principios de la contratación pública en la modalidad de contratación directa, se precisa que la nominación de una persona determinada en los estudios previos de </w:t>
            </w:r>
            <w:r>
              <w:rPr>
                <w:rFonts w:ascii="Verdana" w:eastAsia="Calibri" w:hAnsi="Verdana" w:cs="Arial"/>
                <w:color w:val="000000" w:themeColor="text1"/>
                <w:lang w:val="es-ES_tradnl"/>
              </w:rPr>
              <w:lastRenderedPageBreak/>
              <w:t xml:space="preserve">prestación de servicios no </w:t>
            </w:r>
            <w:r w:rsidRPr="006443FE">
              <w:rPr>
                <w:rFonts w:ascii="Verdana" w:eastAsia="Calibri" w:hAnsi="Verdana" w:cs="Arial"/>
                <w:color w:val="000000" w:themeColor="text1"/>
                <w:lang w:val="es-ES"/>
              </w:rPr>
              <w:t xml:space="preserve">vulnera </w:t>
            </w:r>
            <w:r>
              <w:rPr>
                <w:rFonts w:ascii="Verdana" w:eastAsia="Calibri" w:hAnsi="Verdana" w:cs="Arial"/>
                <w:color w:val="000000" w:themeColor="text1"/>
                <w:lang w:val="es-ES"/>
              </w:rPr>
              <w:t xml:space="preserve">per se </w:t>
            </w:r>
            <w:r w:rsidRPr="006443FE">
              <w:rPr>
                <w:rFonts w:ascii="Verdana" w:eastAsia="Calibri" w:hAnsi="Verdana" w:cs="Arial"/>
                <w:color w:val="000000" w:themeColor="text1"/>
                <w:lang w:val="es-ES"/>
              </w:rPr>
              <w:t xml:space="preserve">los principios de transparencia ni de selección objetiva, </w:t>
            </w:r>
            <w:r>
              <w:rPr>
                <w:rFonts w:ascii="Verdana" w:eastAsia="Calibri" w:hAnsi="Verdana" w:cs="Arial"/>
                <w:color w:val="000000" w:themeColor="text1"/>
                <w:lang w:val="es-ES"/>
              </w:rPr>
              <w:t xml:space="preserve">con la condición de que </w:t>
            </w:r>
            <w:r w:rsidRPr="006443FE">
              <w:rPr>
                <w:rFonts w:ascii="Verdana" w:eastAsia="Calibri" w:hAnsi="Verdana" w:cs="Arial"/>
                <w:color w:val="000000" w:themeColor="text1"/>
                <w:lang w:val="es-ES"/>
              </w:rPr>
              <w:t>la decisión de la entidad se fundamenta en criterios previamente definidos y verificables. La transparencia se garantiza porque la entidad debe justificar la contratación</w:t>
            </w:r>
            <w:r>
              <w:rPr>
                <w:rFonts w:ascii="Verdana" w:eastAsia="Calibri" w:hAnsi="Verdana" w:cs="Arial"/>
                <w:color w:val="000000" w:themeColor="text1"/>
                <w:lang w:val="es-ES"/>
              </w:rPr>
              <w:t xml:space="preserve"> de prestación de servicios</w:t>
            </w:r>
            <w:r w:rsidRPr="006443FE">
              <w:rPr>
                <w:rFonts w:ascii="Verdana" w:eastAsia="Calibri" w:hAnsi="Verdana" w:cs="Arial"/>
                <w:color w:val="000000" w:themeColor="text1"/>
                <w:lang w:val="es-ES"/>
              </w:rPr>
              <w:t xml:space="preserve"> en estudios previos, lo que permite que la motivación quede registrada y pueda ser revisada. De esta manera, se evita que la escogencia se base en factores subjetivos como afinidades personales o intereses particulares.</w:t>
            </w:r>
            <w:r w:rsidRPr="00F449F4">
              <w:rPr>
                <w:rFonts w:ascii="Verdana" w:eastAsia="Calibri" w:hAnsi="Verdana" w:cs="Arial"/>
                <w:color w:val="000000" w:themeColor="text1"/>
                <w:lang w:val="es-ES"/>
              </w:rPr>
              <w:t xml:space="preserve"> </w:t>
            </w:r>
          </w:p>
          <w:p w14:paraId="0A3C64DF" w14:textId="77777777" w:rsidR="00FA31C3" w:rsidRDefault="00FA31C3" w:rsidP="00024BFE">
            <w:pPr>
              <w:spacing w:after="120" w:line="276" w:lineRule="auto"/>
              <w:ind w:firstLine="709"/>
              <w:jc w:val="both"/>
              <w:rPr>
                <w:rFonts w:ascii="Verdana" w:eastAsia="Calibri" w:hAnsi="Verdana" w:cs="Arial"/>
                <w:color w:val="000000" w:themeColor="text1"/>
                <w:lang w:val="es-ES"/>
              </w:rPr>
            </w:pPr>
            <w:r w:rsidRPr="006443FE">
              <w:rPr>
                <w:rFonts w:ascii="Verdana" w:eastAsia="Calibri" w:hAnsi="Verdana" w:cs="Arial"/>
                <w:color w:val="000000" w:themeColor="text1"/>
                <w:lang w:val="es-ES"/>
              </w:rPr>
              <w:t xml:space="preserve">Asimismo, la selección objetiva se mantiene porque la persona contratada es aquella que cumple con los requisitos de idoneidad, experiencia y capacidad para ejecutar el objeto contractual. La entidad </w:t>
            </w:r>
            <w:r>
              <w:rPr>
                <w:rFonts w:ascii="Verdana" w:eastAsia="Calibri" w:hAnsi="Verdana" w:cs="Arial"/>
                <w:color w:val="000000" w:themeColor="text1"/>
                <w:lang w:val="es-ES"/>
              </w:rPr>
              <w:t>debe basarse y justificar la contratación de determinada persona</w:t>
            </w:r>
            <w:r w:rsidRPr="006443FE">
              <w:rPr>
                <w:rFonts w:ascii="Verdana" w:eastAsia="Calibri" w:hAnsi="Verdana" w:cs="Arial"/>
                <w:color w:val="000000" w:themeColor="text1"/>
                <w:lang w:val="es-ES"/>
              </w:rPr>
              <w:t xml:space="preserve"> en criterios técnicos y jurídicos, que ese contratista es el más adecuado para satisfacer la necesidad pública. Esto asegura que la decisión esté alineada con el principio de planeación y con la finalidad de garantizar la correcta ejecución del contrato.</w:t>
            </w:r>
            <w:r>
              <w:rPr>
                <w:rFonts w:ascii="Verdana" w:eastAsia="Calibri" w:hAnsi="Verdana" w:cs="Arial"/>
                <w:color w:val="000000" w:themeColor="text1"/>
                <w:lang w:val="es-ES"/>
              </w:rPr>
              <w:t xml:space="preserve"> Es decir</w:t>
            </w:r>
            <w:r w:rsidRPr="006443FE">
              <w:rPr>
                <w:rFonts w:ascii="Verdana" w:eastAsia="Calibri" w:hAnsi="Verdana" w:cs="Arial"/>
                <w:color w:val="000000" w:themeColor="text1"/>
                <w:lang w:val="es-ES"/>
              </w:rPr>
              <w:t xml:space="preserve">, la </w:t>
            </w:r>
            <w:r w:rsidRPr="00F449F4">
              <w:rPr>
                <w:rFonts w:ascii="Verdana" w:eastAsia="Calibri" w:hAnsi="Verdana" w:cs="Arial"/>
                <w:color w:val="000000" w:themeColor="text1"/>
                <w:lang w:val="es-ES"/>
              </w:rPr>
              <w:t xml:space="preserve">contratación de una persona por parte de una entidad debe fundamentarse en las calidades y condiciones que resulten necesarias para satisfacer de manera adecuada la necesidad institucional, </w:t>
            </w:r>
            <w:r>
              <w:rPr>
                <w:rFonts w:ascii="Verdana" w:eastAsia="Calibri" w:hAnsi="Verdana" w:cs="Arial"/>
                <w:color w:val="000000" w:themeColor="text1"/>
                <w:lang w:val="es-ES"/>
              </w:rPr>
              <w:t xml:space="preserve">que responda </w:t>
            </w:r>
            <w:r w:rsidRPr="00F449F4">
              <w:rPr>
                <w:rFonts w:ascii="Verdana" w:eastAsia="Calibri" w:hAnsi="Verdana" w:cs="Arial"/>
                <w:color w:val="000000" w:themeColor="text1"/>
                <w:lang w:val="es-ES"/>
              </w:rPr>
              <w:t xml:space="preserve">a la verificación objetiva de la idoneidad, experiencia y capacidad del contratista para cumplir con el objeto contractual. </w:t>
            </w:r>
          </w:p>
          <w:p w14:paraId="49F6678C" w14:textId="77777777" w:rsidR="00FA31C3" w:rsidRDefault="00FA31C3" w:rsidP="00024BFE">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Por último</w:t>
            </w:r>
            <w:r w:rsidRPr="006443FE">
              <w:rPr>
                <w:rFonts w:ascii="Verdana" w:eastAsia="Calibri" w:hAnsi="Verdana" w:cs="Arial"/>
                <w:color w:val="000000" w:themeColor="text1"/>
                <w:lang w:val="es-ES"/>
              </w:rPr>
              <w:t xml:space="preserve">, el hecho de que la contratación sea directa </w:t>
            </w:r>
            <w:r>
              <w:rPr>
                <w:rFonts w:ascii="Verdana" w:eastAsia="Calibri" w:hAnsi="Verdana" w:cs="Arial"/>
                <w:color w:val="000000" w:themeColor="text1"/>
                <w:lang w:val="es-ES"/>
              </w:rPr>
              <w:t xml:space="preserve">y que dentro del estudio previo se señale la persona a contratar, </w:t>
            </w:r>
            <w:r w:rsidRPr="006443FE">
              <w:rPr>
                <w:rFonts w:ascii="Verdana" w:eastAsia="Calibri" w:hAnsi="Verdana" w:cs="Arial"/>
                <w:color w:val="000000" w:themeColor="text1"/>
                <w:lang w:val="es-ES"/>
              </w:rPr>
              <w:t xml:space="preserve">no significa que se eliminen las condiciones de escogencia del contratista. Por el contrario, la entidad debe definirlas con claridad, incluso si invita a una sola persona a presentar oferta. La diferencia con las modalidades competitivas radica en que las causales de contratación directa responden a situaciones específicas previstas por el legislador, como la escasez de proveedores o la necesidad de conocimientos especializados. </w:t>
            </w:r>
          </w:p>
          <w:p w14:paraId="0CEF49F8" w14:textId="77777777" w:rsidR="00FA31C3" w:rsidRPr="004A6649" w:rsidRDefault="00FA31C3" w:rsidP="00024BFE">
            <w:pPr>
              <w:spacing w:after="120" w:line="276" w:lineRule="auto"/>
              <w:ind w:firstLine="709"/>
              <w:jc w:val="both"/>
              <w:rPr>
                <w:rFonts w:ascii="Verdana" w:hAnsi="Verdana" w:cs="Arial"/>
                <w:lang w:val="es-ES" w:eastAsia="es-ES"/>
              </w:rPr>
            </w:pPr>
            <w:r w:rsidRPr="009037F6">
              <w:rPr>
                <w:rFonts w:ascii="Verdana" w:hAnsi="Verdana" w:cs="Arial"/>
                <w:lang w:val="es-ES" w:eastAsia="es-ES"/>
              </w:rPr>
              <w:t xml:space="preserve">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w:t>
            </w:r>
            <w:r w:rsidRPr="009037F6">
              <w:rPr>
                <w:rFonts w:ascii="Verdana" w:hAnsi="Verdana" w:cs="Arial"/>
                <w:lang w:val="es-ES" w:eastAsia="es-ES"/>
              </w:rPr>
              <w:lastRenderedPageBreak/>
              <w:t>es acorde con el principio de juridicidad. Así, cada entidad definirá la forma de adelantar su gestión contractual, sin que sea atribución de Colombia Compra Eficiente validar sus actuaciones.</w:t>
            </w:r>
          </w:p>
        </w:tc>
      </w:tr>
    </w:tbl>
    <w:p w14:paraId="28F06270" w14:textId="77777777" w:rsidR="00FA31C3" w:rsidRPr="00B57A1B" w:rsidRDefault="00FA31C3" w:rsidP="00FA31C3">
      <w:pPr>
        <w:spacing w:after="0" w:line="276" w:lineRule="auto"/>
        <w:jc w:val="both"/>
        <w:rPr>
          <w:rFonts w:ascii="Verdana" w:eastAsia="Calibri" w:hAnsi="Verdana" w:cs="Arial"/>
          <w:bCs/>
          <w:color w:val="000000" w:themeColor="text1"/>
        </w:rPr>
      </w:pPr>
      <w:bookmarkStart w:id="1" w:name="_Hlk78820161"/>
      <w:bookmarkStart w:id="2" w:name="_Hlk37703813"/>
    </w:p>
    <w:p w14:paraId="28FD3DE1" w14:textId="77777777" w:rsidR="00FA31C3" w:rsidRPr="00B57A1B" w:rsidRDefault="00FA31C3" w:rsidP="00FA31C3">
      <w:pPr>
        <w:numPr>
          <w:ilvl w:val="0"/>
          <w:numId w:val="16"/>
        </w:numPr>
        <w:tabs>
          <w:tab w:val="left" w:pos="2268"/>
        </w:tabs>
        <w:spacing w:after="0" w:line="27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163B9664" w14:textId="77777777" w:rsidR="00FA31C3" w:rsidRPr="00B57A1B" w:rsidRDefault="00FA31C3" w:rsidP="00FA31C3">
      <w:pPr>
        <w:spacing w:after="0" w:line="276" w:lineRule="auto"/>
        <w:rPr>
          <w:rFonts w:ascii="Verdana" w:eastAsia="Calibri" w:hAnsi="Verdana" w:cs="Times New Roman"/>
          <w:b/>
          <w:bCs/>
          <w:lang w:val="es-ES"/>
        </w:rPr>
      </w:pPr>
    </w:p>
    <w:p w14:paraId="07052FE8" w14:textId="77777777" w:rsidR="00FA31C3" w:rsidRDefault="00FA31C3" w:rsidP="00FA31C3">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6D0B85E2" w14:textId="77777777" w:rsidR="00FA31C3" w:rsidRPr="003C0ED7" w:rsidRDefault="00FA31C3" w:rsidP="00FA31C3">
      <w:pPr>
        <w:spacing w:after="0" w:line="276" w:lineRule="auto"/>
        <w:jc w:val="both"/>
        <w:rPr>
          <w:rFonts w:ascii="Verdana" w:eastAsia="Calibri" w:hAnsi="Verdana" w:cs="Arial"/>
          <w:lang w:val="es-ES"/>
        </w:rPr>
      </w:pPr>
    </w:p>
    <w:p w14:paraId="6E1C2E8D" w14:textId="77777777" w:rsidR="00FA31C3" w:rsidRPr="006A0F21" w:rsidRDefault="00FA31C3" w:rsidP="00FA31C3">
      <w:pPr>
        <w:spacing w:after="120" w:line="276" w:lineRule="auto"/>
        <w:jc w:val="both"/>
        <w:rPr>
          <w:rFonts w:ascii="Verdana" w:eastAsia="Calibri" w:hAnsi="Verdana" w:cs="Arial"/>
          <w:lang w:val="es-ES" w:eastAsia="es-ES_tradnl"/>
        </w:rPr>
      </w:pPr>
      <w:r w:rsidRPr="00E7254D">
        <w:rPr>
          <w:rFonts w:ascii="Verdana" w:eastAsia="Calibri" w:hAnsi="Verdana" w:cs="Arial"/>
          <w:color w:val="000000"/>
          <w:lang w:val="es-ES"/>
        </w:rPr>
        <w:t>i.</w:t>
      </w:r>
      <w:bookmarkEnd w:id="1"/>
      <w:bookmarkEnd w:id="2"/>
      <w:r w:rsidRPr="006A0F21">
        <w:rPr>
          <w:rFonts w:ascii="Verdana" w:eastAsia="Calibri" w:hAnsi="Verdana" w:cs="Arial"/>
          <w:b/>
          <w:bCs/>
          <w:noProof/>
          <w:color w:val="000000"/>
          <w:lang w:val="es-ES_tradnl" w:eastAsia="es-ES_tradnl"/>
        </w:rPr>
        <w:t xml:space="preserve"> </w:t>
      </w:r>
      <w:r w:rsidRPr="006A0F21">
        <w:rPr>
          <w:rFonts w:ascii="Verdana" w:eastAsia="Calibri" w:hAnsi="Verdana" w:cs="Arial"/>
          <w:lang w:eastAsia="es-ES_tradnl"/>
        </w:rPr>
        <w:t xml:space="preserve">La Ley 1150 de 2007, en el artículo 2, establece 5 modalidades de selección para la escogencia del contratista, y fija las reglas de cada modalidad: licitación pública, selección abreviada, concurso de méritos, mínima cuantía y contratación directa. Por su parte, la exposición de motivos de la Ley 1150 de 2007 señala las razones por las cuales se establecieron las modalidades de selección del artículo 2: “A ese respecto es claro que las experiencias exitosas a nivel internacional demuestran que el criterio de distinción que debe gobernar un esquema contractual </w:t>
      </w:r>
      <w:proofErr w:type="gramStart"/>
      <w:r w:rsidRPr="006A0F21">
        <w:rPr>
          <w:rFonts w:ascii="Verdana" w:eastAsia="Calibri" w:hAnsi="Verdana" w:cs="Arial"/>
          <w:lang w:eastAsia="es-ES_tradnl"/>
        </w:rPr>
        <w:t>eficiente,</w:t>
      </w:r>
      <w:proofErr w:type="gramEnd"/>
      <w:r w:rsidRPr="006A0F21">
        <w:rPr>
          <w:rFonts w:ascii="Verdana" w:eastAsia="Calibri" w:hAnsi="Verdana" w:cs="Arial"/>
          <w:lang w:eastAsia="es-ES_tradnl"/>
        </w:rPr>
        <w:t xml:space="preserve"> es el de modular las modalidades de selección en razón a las características del objeto”.</w:t>
      </w:r>
    </w:p>
    <w:p w14:paraId="4A32D660" w14:textId="77777777" w:rsidR="00FA31C3" w:rsidRPr="006A0F21" w:rsidRDefault="00FA31C3" w:rsidP="00FA31C3">
      <w:pPr>
        <w:spacing w:after="120" w:line="276" w:lineRule="auto"/>
        <w:ind w:firstLine="709"/>
        <w:jc w:val="both"/>
        <w:rPr>
          <w:rFonts w:ascii="Verdana" w:eastAsia="Calibri" w:hAnsi="Verdana" w:cs="Arial"/>
          <w:lang w:eastAsia="es-ES_tradnl"/>
        </w:rPr>
      </w:pPr>
      <w:r w:rsidRPr="006A0F21">
        <w:rPr>
          <w:rFonts w:ascii="Verdana" w:eastAsia="Calibri" w:hAnsi="Verdana" w:cs="Arial"/>
          <w:lang w:eastAsia="es-ES_tradnl"/>
        </w:rPr>
        <w:t xml:space="preserve">Ahora bien, las modalidades de selección pueden dividirse doctrinariamente en i) competitivas y </w:t>
      </w:r>
      <w:proofErr w:type="spellStart"/>
      <w:r w:rsidRPr="006A0F21">
        <w:rPr>
          <w:rFonts w:ascii="Verdana" w:eastAsia="Calibri" w:hAnsi="Verdana" w:cs="Arial"/>
          <w:lang w:eastAsia="es-ES_tradnl"/>
        </w:rPr>
        <w:t>ii</w:t>
      </w:r>
      <w:proofErr w:type="spellEnd"/>
      <w:r w:rsidRPr="006A0F21">
        <w:rPr>
          <w:rFonts w:ascii="Verdana" w:eastAsia="Calibri" w:hAnsi="Verdana" w:cs="Arial"/>
          <w:lang w:eastAsia="es-ES_tradnl"/>
        </w:rPr>
        <w:t>) no competitivas.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6A0F21">
        <w:rPr>
          <w:rFonts w:ascii="Verdana" w:eastAsia="Calibri" w:hAnsi="Verdana" w:cs="Arial"/>
          <w:vertAlign w:val="superscript"/>
          <w:lang w:eastAsia="es-ES_tradnl"/>
        </w:rPr>
        <w:footnoteReference w:id="1"/>
      </w:r>
      <w:r w:rsidRPr="006A0F21">
        <w:rPr>
          <w:rFonts w:ascii="Verdana" w:eastAsia="Calibri" w:hAnsi="Verdana" w:cs="Arial"/>
          <w:lang w:eastAsia="es-ES_tradnl"/>
        </w:rPr>
        <w:t xml:space="preserve">. </w:t>
      </w:r>
    </w:p>
    <w:p w14:paraId="1B570428" w14:textId="77777777" w:rsidR="00FA31C3" w:rsidRPr="006A0F21" w:rsidRDefault="00FA31C3" w:rsidP="00FA31C3">
      <w:pPr>
        <w:spacing w:after="120" w:line="276" w:lineRule="auto"/>
        <w:ind w:firstLine="709"/>
        <w:jc w:val="both"/>
        <w:rPr>
          <w:rFonts w:ascii="Verdana" w:eastAsia="Calibri" w:hAnsi="Verdana" w:cs="Arial"/>
          <w:lang w:eastAsia="es-ES_tradnl"/>
        </w:rPr>
      </w:pPr>
      <w:r w:rsidRPr="006A0F21">
        <w:rPr>
          <w:rFonts w:ascii="Verdana" w:eastAsia="Calibri" w:hAnsi="Verdana" w:cs="Arial"/>
          <w:lang w:eastAsia="es-ES_tradnl"/>
        </w:rPr>
        <w:t xml:space="preserve">Por tanto, modalidades como la licitación pública, la selección abreviada, el concurso de méritos y la mínima cuantía son modalidades de selección competitivas o abiertas a competencia, ya que en ellas tiene lugar la participación de varios proponentes en una fase pública de presentación de ofertas. Esto permite que todas las personas interesadas concurran al proceso en igualdad de condiciones y compitan en el mismo. </w:t>
      </w:r>
    </w:p>
    <w:p w14:paraId="74473FDB" w14:textId="77777777" w:rsidR="00FA31C3" w:rsidRPr="006A0F21" w:rsidRDefault="00FA31C3" w:rsidP="00FA31C3">
      <w:pPr>
        <w:spacing w:after="120" w:line="276" w:lineRule="auto"/>
        <w:ind w:firstLine="709"/>
        <w:jc w:val="both"/>
        <w:rPr>
          <w:rFonts w:ascii="Verdana" w:eastAsia="Calibri" w:hAnsi="Verdana" w:cs="Arial"/>
          <w:lang w:eastAsia="es-ES_tradnl"/>
        </w:rPr>
      </w:pPr>
      <w:r w:rsidRPr="006A0F21">
        <w:rPr>
          <w:rFonts w:ascii="Verdana" w:eastAsia="Calibri" w:hAnsi="Verdana" w:cs="Arial"/>
          <w:lang w:eastAsia="es-ES_tradnl"/>
        </w:rPr>
        <w:lastRenderedPageBreak/>
        <w:t>Lo contrario ocurre con la modalidad de selección de contratación directa que no es competitiva, es decir, que no es abierta a los proponentes para que los interesados presenten sus ofertas. En esta, es la entidad la que determina, de forma directa, la persona que puede participar y que será seleccionada.</w:t>
      </w:r>
    </w:p>
    <w:p w14:paraId="6C699FC7" w14:textId="77777777" w:rsidR="00FA31C3" w:rsidRPr="006A0F21" w:rsidRDefault="00FA31C3" w:rsidP="00FA31C3">
      <w:pPr>
        <w:spacing w:after="120" w:line="276" w:lineRule="auto"/>
        <w:ind w:firstLine="708"/>
        <w:jc w:val="both"/>
        <w:rPr>
          <w:rFonts w:ascii="Verdana" w:eastAsia="Calibri" w:hAnsi="Verdana" w:cs="Arial"/>
          <w:lang w:eastAsia="es-ES_tradnl"/>
        </w:rPr>
      </w:pPr>
      <w:r w:rsidRPr="006A0F21">
        <w:rPr>
          <w:rFonts w:ascii="Verdana" w:eastAsia="Calibri" w:hAnsi="Verdana" w:cs="Arial"/>
          <w:lang w:eastAsia="es-ES_tradnl"/>
        </w:rPr>
        <w:t xml:space="preserve">Lo anterior se complementa con lo expuesto por la Corte Constitucional, en Sentencia C-713 de 2009, que estudió la constitucionalidad de los artículos 2 –parcial– y 5 –parcial– de la Ley 1150 de 2007. En la decisión judicial mencionada analizó los principios de libre concurrencia y selección objetiva en la contratación pública, como expresiones del derecho a la igualdad de oportunidades para quienes tengan interés en participar en la contratación estatal. </w:t>
      </w:r>
    </w:p>
    <w:p w14:paraId="2B2392CD" w14:textId="77777777" w:rsidR="00FA31C3" w:rsidRPr="006A0F21" w:rsidRDefault="00FA31C3" w:rsidP="00FA31C3">
      <w:pPr>
        <w:spacing w:after="120" w:line="276" w:lineRule="auto"/>
        <w:ind w:firstLine="708"/>
        <w:jc w:val="both"/>
        <w:rPr>
          <w:rFonts w:ascii="Verdana" w:eastAsia="Calibri" w:hAnsi="Verdana" w:cs="Arial"/>
          <w:lang w:eastAsia="es-ES_tradnl"/>
        </w:rPr>
      </w:pPr>
      <w:r w:rsidRPr="006A0F21">
        <w:rPr>
          <w:rFonts w:ascii="Verdana" w:eastAsia="Calibri" w:hAnsi="Verdana" w:cs="Arial"/>
          <w:lang w:eastAsia="es-ES_tradnl"/>
        </w:rPr>
        <w:t>Esos principios se manifiestan en que no exista discriminación y en que las entidades no impongan limitaciones mediante reglas que impidan la concurrencia para obtener mejores condiciones de contratación. Esto permite excepciones que busquen condiciones del contratista que sean favorables a los intereses del Estado y aseguren la transparencia del procedimiento como, por ejemplo, la inexistencia de las inhabilidades e incompatibilidades que también aplican en los supuestos de contratación directa</w:t>
      </w:r>
      <w:r w:rsidRPr="006A0F21">
        <w:rPr>
          <w:rFonts w:ascii="Verdana" w:eastAsia="Calibri" w:hAnsi="Verdana" w:cs="Arial"/>
          <w:vertAlign w:val="superscript"/>
          <w:lang w:eastAsia="es-ES_tradnl"/>
        </w:rPr>
        <w:footnoteReference w:id="2"/>
      </w:r>
      <w:r w:rsidRPr="006A0F21">
        <w:rPr>
          <w:rFonts w:ascii="Verdana" w:eastAsia="Calibri" w:hAnsi="Verdana" w:cs="Arial"/>
          <w:lang w:eastAsia="es-ES_tradnl"/>
        </w:rPr>
        <w:t>.</w:t>
      </w:r>
    </w:p>
    <w:p w14:paraId="0EC37F8B" w14:textId="77777777" w:rsidR="00FA31C3" w:rsidRPr="006A0F21" w:rsidRDefault="00FA31C3" w:rsidP="00FA31C3">
      <w:pPr>
        <w:spacing w:after="120" w:line="276" w:lineRule="auto"/>
        <w:ind w:firstLine="708"/>
        <w:jc w:val="both"/>
        <w:rPr>
          <w:rFonts w:ascii="Verdana" w:eastAsia="Calibri" w:hAnsi="Verdana" w:cs="Arial"/>
          <w:lang w:eastAsia="es-ES_tradnl"/>
        </w:rPr>
      </w:pPr>
      <w:r w:rsidRPr="006A0F21">
        <w:rPr>
          <w:rFonts w:ascii="Verdana" w:eastAsia="Calibri" w:hAnsi="Verdana" w:cs="Arial"/>
          <w:lang w:eastAsia="es-ES_tradnl"/>
        </w:rPr>
        <w:t xml:space="preserve">Debe señalarse sobre la contratación directa, que esta modalidad de contratación es de aplicación restrictiva, esto es, solo procede por las causales prescritas taxativamente en el numeral 4 del artículo 2 de la Ley 1150 de 2007. Además, es una excepción al principio de libre concurrencia y competencia que aplica a los procesos de contratación, para que cualquier persona interesada en satisfacer la necesidad de una entidad pueda presentar una oferta. </w:t>
      </w:r>
    </w:p>
    <w:p w14:paraId="7D00AC64" w14:textId="77777777" w:rsidR="00FA31C3" w:rsidRPr="006A0F21" w:rsidRDefault="00FA31C3" w:rsidP="00FA31C3">
      <w:pPr>
        <w:spacing w:after="120" w:line="276" w:lineRule="auto"/>
        <w:ind w:firstLine="708"/>
        <w:jc w:val="both"/>
        <w:rPr>
          <w:rFonts w:ascii="Verdana" w:eastAsia="Calibri" w:hAnsi="Verdana" w:cs="Arial"/>
          <w:lang w:eastAsia="es-ES_tradnl"/>
        </w:rPr>
      </w:pPr>
      <w:r w:rsidRPr="006A0F21">
        <w:rPr>
          <w:rFonts w:ascii="Verdana" w:eastAsia="Calibri" w:hAnsi="Verdana" w:cs="Arial"/>
          <w:lang w:eastAsia="es-ES_tradnl"/>
        </w:rPr>
        <w:t xml:space="preserve">En la contratación directa no es necesario que la entidad reciba más de una oferta, la cual proviene de la persona que la entidad escoge directamente, </w:t>
      </w:r>
      <w:proofErr w:type="gramStart"/>
      <w:r w:rsidRPr="006A0F21">
        <w:rPr>
          <w:rFonts w:ascii="Verdana" w:eastAsia="Calibri" w:hAnsi="Verdana" w:cs="Arial"/>
          <w:lang w:eastAsia="es-ES_tradnl"/>
        </w:rPr>
        <w:t>y</w:t>
      </w:r>
      <w:proofErr w:type="gramEnd"/>
      <w:r w:rsidRPr="006A0F21">
        <w:rPr>
          <w:rFonts w:ascii="Verdana" w:eastAsia="Calibri" w:hAnsi="Verdana" w:cs="Arial"/>
          <w:lang w:eastAsia="es-ES_tradnl"/>
        </w:rPr>
        <w:t xml:space="preserve"> por ende, invita a ofertar el bien o servicio que se requiere. Lo anterior puede estar basado en que el proponente es único, o en que el legislador privilegió algunos objetos contractuales u oferentes para contratarlos de manera directa. De igual forma, esto implica que el proceso será simplificado, corto, ágil y expedito, por no exigir el agotamiento de una convocatoria pública o la </w:t>
      </w:r>
      <w:r w:rsidRPr="006A0F21">
        <w:rPr>
          <w:rFonts w:ascii="Verdana" w:eastAsia="Calibri" w:hAnsi="Verdana" w:cs="Arial"/>
          <w:lang w:eastAsia="es-ES_tradnl"/>
        </w:rPr>
        <w:lastRenderedPageBreak/>
        <w:t>realización de un proceso competitivo. Lo anterior no exime a las entidades estatales de garantizar los principios rectores de la contratación pública.</w:t>
      </w:r>
    </w:p>
    <w:p w14:paraId="1DE281AD" w14:textId="77777777" w:rsidR="00FA31C3" w:rsidRPr="006A0F21" w:rsidRDefault="00FA31C3" w:rsidP="00FA31C3">
      <w:pPr>
        <w:spacing w:after="0" w:line="276" w:lineRule="auto"/>
        <w:ind w:firstLine="708"/>
        <w:jc w:val="both"/>
        <w:rPr>
          <w:rFonts w:ascii="Verdana" w:eastAsia="Calibri" w:hAnsi="Verdana" w:cs="Arial"/>
          <w:lang w:eastAsia="es-ES_tradnl"/>
        </w:rPr>
      </w:pPr>
      <w:r w:rsidRPr="006A0F21">
        <w:rPr>
          <w:rFonts w:ascii="Verdana" w:eastAsia="Calibri" w:hAnsi="Verdana" w:cs="Arial"/>
          <w:lang w:eastAsia="es-ES_tradnl"/>
        </w:rPr>
        <w:t xml:space="preserve">Debe destacarse que existe otra diferencia fundamental con las modalidades de selección competitivas mencionadas: en la contratación directa no se otorga puntaje a las ofertas para ponderarlas y elegir el ofrecimiento más favorable, pues la entidad recibe solo una oferta. Lo anterior es explicado por el Consejo de Estado, en los siguientes términos: </w:t>
      </w:r>
    </w:p>
    <w:p w14:paraId="15957B61" w14:textId="77777777" w:rsidR="00FA31C3" w:rsidRPr="006A0F21" w:rsidRDefault="00FA31C3" w:rsidP="00FA31C3">
      <w:pPr>
        <w:spacing w:after="0" w:line="276" w:lineRule="auto"/>
        <w:jc w:val="both"/>
        <w:rPr>
          <w:rFonts w:ascii="Verdana" w:eastAsia="Calibri" w:hAnsi="Verdana" w:cs="Arial"/>
          <w:lang w:eastAsia="es-ES_tradnl"/>
        </w:rPr>
      </w:pPr>
    </w:p>
    <w:p w14:paraId="22AAEE30" w14:textId="77777777" w:rsidR="00FA31C3" w:rsidRPr="006A0F21" w:rsidRDefault="00FA31C3" w:rsidP="00FA31C3">
      <w:pPr>
        <w:spacing w:after="0" w:line="240" w:lineRule="auto"/>
        <w:ind w:left="708" w:right="709"/>
        <w:jc w:val="both"/>
        <w:rPr>
          <w:rFonts w:ascii="Verdana" w:eastAsia="Calibri" w:hAnsi="Verdana" w:cs="Arial"/>
          <w:sz w:val="21"/>
          <w:szCs w:val="21"/>
          <w:lang w:eastAsia="es-ES_tradnl"/>
        </w:rPr>
      </w:pPr>
      <w:r w:rsidRPr="006A0F21">
        <w:rPr>
          <w:rFonts w:ascii="Verdana" w:eastAsia="Calibri" w:hAnsi="Verdana" w:cs="Arial"/>
          <w:sz w:val="21"/>
          <w:szCs w:val="21"/>
          <w:lang w:eastAsia="es-ES_tradnl"/>
        </w:rPr>
        <w:t xml:space="preserve">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w:t>
      </w:r>
      <w:proofErr w:type="gramStart"/>
      <w:r w:rsidRPr="006A0F21">
        <w:rPr>
          <w:rFonts w:ascii="Verdana" w:eastAsia="Calibri" w:hAnsi="Verdana" w:cs="Arial"/>
          <w:sz w:val="21"/>
          <w:szCs w:val="21"/>
          <w:lang w:eastAsia="es-ES_tradnl"/>
        </w:rPr>
        <w:t>en razón del</w:t>
      </w:r>
      <w:proofErr w:type="gramEnd"/>
      <w:r w:rsidRPr="006A0F21">
        <w:rPr>
          <w:rFonts w:ascii="Verdana" w:eastAsia="Calibri" w:hAnsi="Verdana" w:cs="Arial"/>
          <w:sz w:val="21"/>
          <w:szCs w:val="21"/>
          <w:lang w:eastAsia="es-ES_tradnl"/>
        </w:rPr>
        <w:t xml:space="preserve"> objeto del contrato o del órgano que contrata</w:t>
      </w:r>
      <w:r w:rsidRPr="006A0F21">
        <w:rPr>
          <w:rFonts w:ascii="Verdana" w:eastAsia="Calibri" w:hAnsi="Verdana" w:cs="Arial"/>
          <w:sz w:val="21"/>
          <w:szCs w:val="21"/>
          <w:vertAlign w:val="superscript"/>
          <w:lang w:eastAsia="es-ES_tradnl"/>
        </w:rPr>
        <w:footnoteReference w:id="3"/>
      </w:r>
      <w:r w:rsidRPr="006A0F21">
        <w:rPr>
          <w:rFonts w:ascii="Verdana" w:eastAsia="Calibri" w:hAnsi="Verdana" w:cs="Arial"/>
          <w:sz w:val="21"/>
          <w:szCs w:val="21"/>
          <w:lang w:eastAsia="es-ES_tradnl"/>
        </w:rPr>
        <w:t>.</w:t>
      </w:r>
    </w:p>
    <w:p w14:paraId="128078E3" w14:textId="77777777" w:rsidR="00FA31C3" w:rsidRPr="006A0F21" w:rsidRDefault="00FA31C3" w:rsidP="00FA31C3">
      <w:pPr>
        <w:spacing w:after="0" w:line="276" w:lineRule="auto"/>
        <w:jc w:val="both"/>
        <w:rPr>
          <w:rFonts w:ascii="Verdana" w:eastAsia="Calibri" w:hAnsi="Verdana" w:cs="Arial"/>
          <w:lang w:val="es-ES" w:eastAsia="es-ES_tradnl"/>
        </w:rPr>
      </w:pPr>
    </w:p>
    <w:p w14:paraId="65AA60F3" w14:textId="77777777" w:rsidR="00FA31C3" w:rsidRPr="006A0F21" w:rsidRDefault="00FA31C3" w:rsidP="00FA31C3">
      <w:pPr>
        <w:spacing w:after="120" w:line="276" w:lineRule="auto"/>
        <w:ind w:firstLine="709"/>
        <w:jc w:val="both"/>
        <w:rPr>
          <w:rFonts w:ascii="Verdana" w:eastAsia="Times New Roman" w:hAnsi="Verdana" w:cs="Arial"/>
          <w:lang w:eastAsia="es-ES_tradnl"/>
        </w:rPr>
      </w:pPr>
      <w:r w:rsidRPr="006A0F21">
        <w:rPr>
          <w:rFonts w:ascii="Verdana" w:eastAsia="Times New Roman" w:hAnsi="Verdana" w:cs="Arial"/>
          <w:lang w:eastAsia="es-ES_tradnl"/>
        </w:rPr>
        <w:t xml:space="preserve">Por consiguiente, en la contratación directa la entidad no establece puntaje para ponderar ofertas, porque se presenta una sola, que corresponde a la de la persona a quien la entidad invitó y seleccionó en forma directa, teniendo en todo caso que garantizar el cumplimiento de los principios de la función administrativa y la gestión fiscal. En este sentido, la potestad discrecional de la Administración pública para la elección de un proveedor en la contratación directa se relaciona con los principios de moralidad administrativa y transparencia. </w:t>
      </w:r>
    </w:p>
    <w:p w14:paraId="545624DD" w14:textId="77777777" w:rsidR="00FA31C3" w:rsidRPr="006A0F21" w:rsidRDefault="00FA31C3" w:rsidP="00FA31C3">
      <w:pPr>
        <w:spacing w:after="120" w:line="276" w:lineRule="auto"/>
        <w:ind w:firstLine="709"/>
        <w:jc w:val="both"/>
        <w:rPr>
          <w:rFonts w:ascii="Verdana" w:eastAsia="Times New Roman" w:hAnsi="Verdana" w:cs="Arial"/>
          <w:lang w:eastAsia="es-ES_tradnl"/>
        </w:rPr>
      </w:pPr>
      <w:r w:rsidRPr="006A0F21">
        <w:rPr>
          <w:rFonts w:ascii="Verdana" w:eastAsia="Times New Roman" w:hAnsi="Verdana" w:cs="Arial"/>
          <w:lang w:eastAsia="es-ES_tradnl"/>
        </w:rPr>
        <w:t xml:space="preserve">Así las cosas, la contratación directa no es asimilable a los procesos de selección públicos y abiertos, como la licitación pública, selección abreviada, concurso de méritos y mínima cuantía, pero no significa que no se sujetan a las reglas para el cumplimiento de los principios de la contratación estatal y de la función administrativa. </w:t>
      </w:r>
    </w:p>
    <w:p w14:paraId="07D12348" w14:textId="77777777" w:rsidR="00FA31C3" w:rsidRPr="006A0F21" w:rsidRDefault="00FA31C3" w:rsidP="00FA31C3">
      <w:pPr>
        <w:widowControl w:val="0"/>
        <w:autoSpaceDE w:val="0"/>
        <w:autoSpaceDN w:val="0"/>
        <w:spacing w:before="7" w:after="0" w:line="240" w:lineRule="auto"/>
        <w:jc w:val="both"/>
        <w:rPr>
          <w:rFonts w:ascii="Verdana" w:eastAsia="Arial" w:hAnsi="Verdana" w:cs="Arial"/>
          <w:b/>
          <w:lang w:val="es-ES" w:eastAsia="es-ES" w:bidi="es-ES"/>
        </w:rPr>
      </w:pPr>
    </w:p>
    <w:p w14:paraId="7D433155" w14:textId="77777777" w:rsidR="00FA31C3" w:rsidRPr="006A0F21" w:rsidRDefault="00FA31C3" w:rsidP="00FA31C3">
      <w:pPr>
        <w:widowControl w:val="0"/>
        <w:autoSpaceDE w:val="0"/>
        <w:autoSpaceDN w:val="0"/>
        <w:spacing w:after="120" w:line="276" w:lineRule="auto"/>
        <w:jc w:val="both"/>
        <w:rPr>
          <w:rFonts w:ascii="Verdana" w:eastAsia="Arial" w:hAnsi="Verdana" w:cs="Arial"/>
          <w:lang w:val="es-ES" w:eastAsia="es-ES" w:bidi="es-ES"/>
        </w:rPr>
      </w:pPr>
      <w:proofErr w:type="spellStart"/>
      <w:r w:rsidRPr="006A0F21">
        <w:rPr>
          <w:rFonts w:ascii="Verdana" w:eastAsia="Arial" w:hAnsi="Verdana" w:cs="Arial"/>
          <w:lang w:val="es-ES" w:eastAsia="es-ES" w:bidi="es-ES"/>
        </w:rPr>
        <w:t>ii</w:t>
      </w:r>
      <w:proofErr w:type="spellEnd"/>
      <w:r w:rsidRPr="006A0F21">
        <w:rPr>
          <w:rFonts w:ascii="Verdana" w:eastAsia="Arial" w:hAnsi="Verdana" w:cs="Arial"/>
          <w:lang w:val="es-ES" w:eastAsia="es-ES" w:bidi="es-ES"/>
        </w:rPr>
        <w:t xml:space="preserve">. El artículo 23 de la Ley 80 de 1993 dispone que: “Las actuaciones de quienes intervengan en la contratación estatal se desarrollarán con arreglo a los principios de transparencia, economía y responsabilidad y de conformidad con </w:t>
      </w:r>
      <w:r w:rsidRPr="006A0F21">
        <w:rPr>
          <w:rFonts w:ascii="Verdana" w:eastAsia="Arial" w:hAnsi="Verdana" w:cs="Arial"/>
          <w:lang w:val="es-ES" w:eastAsia="es-ES" w:bidi="es-ES"/>
        </w:rPr>
        <w:lastRenderedPageBreak/>
        <w:t xml:space="preserve">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 Por su parte, el artículo 2 de la Ley 1150 del 2007 ordena que, en el procedimiento aplicable a cada una de las modalidades de selección de contratistas, “deberá observarse los principios de transparencia, economía, responsabilidad”. </w:t>
      </w:r>
    </w:p>
    <w:p w14:paraId="15C88237" w14:textId="77777777" w:rsidR="00FA31C3" w:rsidRPr="006A0F21" w:rsidRDefault="00FA31C3" w:rsidP="00FA31C3">
      <w:pPr>
        <w:widowControl w:val="0"/>
        <w:autoSpaceDE w:val="0"/>
        <w:autoSpaceDN w:val="0"/>
        <w:spacing w:after="120" w:line="276" w:lineRule="auto"/>
        <w:ind w:firstLine="708"/>
        <w:jc w:val="both"/>
        <w:rPr>
          <w:rFonts w:ascii="Verdana" w:eastAsia="Arial" w:hAnsi="Verdana" w:cs="Arial"/>
          <w:lang w:val="es-ES" w:eastAsia="es-ES" w:bidi="es-ES"/>
        </w:rPr>
      </w:pPr>
      <w:r w:rsidRPr="006A0F21">
        <w:rPr>
          <w:rFonts w:ascii="Verdana" w:eastAsia="Arial" w:hAnsi="Verdana" w:cs="Arial"/>
          <w:lang w:val="es-ES" w:eastAsia="es-ES" w:bidi="es-ES"/>
        </w:rPr>
        <w:t>Los principios que rigen la actividad contractual de las entidades estatales están orientados a preservar la objetividad en la selección del contratista, para garantizar el interés general y la realización de los fines del Estado. De igual forma, dichos principios buscan hacer eficaz la participación, en igualdad de condiciones, de quienes reúnan los requisitos que sean exigidos en los documentos del proceso de contratación.</w:t>
      </w:r>
    </w:p>
    <w:p w14:paraId="48384708" w14:textId="77777777" w:rsidR="00FA31C3" w:rsidRPr="006A0F21" w:rsidRDefault="00FA31C3" w:rsidP="00FA31C3">
      <w:pPr>
        <w:widowControl w:val="0"/>
        <w:autoSpaceDE w:val="0"/>
        <w:autoSpaceDN w:val="0"/>
        <w:spacing w:after="120" w:line="276" w:lineRule="auto"/>
        <w:ind w:right="108" w:firstLine="709"/>
        <w:jc w:val="both"/>
        <w:rPr>
          <w:rFonts w:ascii="Verdana" w:eastAsia="Arial" w:hAnsi="Verdana" w:cs="Arial"/>
          <w:lang w:val="es-ES" w:eastAsia="es-ES" w:bidi="es-ES"/>
        </w:rPr>
      </w:pPr>
      <w:r w:rsidRPr="006A0F21">
        <w:rPr>
          <w:rFonts w:ascii="Verdana" w:eastAsia="Arial" w:hAnsi="Verdana" w:cs="Arial"/>
          <w:lang w:val="es-ES" w:eastAsia="es-ES" w:bidi="es-ES"/>
        </w:rPr>
        <w:t xml:space="preserve">El principio de transparencia dispone que la selección de los contratistas debe “edificarse sobre las bases de i) la igualdad y respeto a todos los interesados; </w:t>
      </w:r>
      <w:proofErr w:type="spellStart"/>
      <w:r w:rsidRPr="006A0F21">
        <w:rPr>
          <w:rFonts w:ascii="Verdana" w:eastAsia="Arial" w:hAnsi="Verdana" w:cs="Arial"/>
          <w:lang w:val="es-ES" w:eastAsia="es-ES" w:bidi="es-ES"/>
        </w:rPr>
        <w:t>ii</w:t>
      </w:r>
      <w:proofErr w:type="spellEnd"/>
      <w:r w:rsidRPr="006A0F21">
        <w:rPr>
          <w:rFonts w:ascii="Verdana" w:eastAsia="Arial" w:hAnsi="Verdana" w:cs="Arial"/>
          <w:lang w:val="es-ES" w:eastAsia="es-ES" w:bidi="es-ES"/>
        </w:rPr>
        <w:t xml:space="preserve">) la objetividad, neutralidad y claridad de la reglas o condiciones impuestas para la presentación de las ofertas; </w:t>
      </w:r>
      <w:proofErr w:type="spellStart"/>
      <w:r w:rsidRPr="006A0F21">
        <w:rPr>
          <w:rFonts w:ascii="Verdana" w:eastAsia="Arial" w:hAnsi="Verdana" w:cs="Arial"/>
          <w:lang w:val="es-ES" w:eastAsia="es-ES" w:bidi="es-ES"/>
        </w:rPr>
        <w:t>iii</w:t>
      </w:r>
      <w:proofErr w:type="spellEnd"/>
      <w:r w:rsidRPr="006A0F21">
        <w:rPr>
          <w:rFonts w:ascii="Verdana" w:eastAsia="Arial" w:hAnsi="Verdana" w:cs="Arial"/>
          <w:lang w:val="es-ES" w:eastAsia="es-ES" w:bidi="es-ES"/>
        </w:rPr>
        <w:t xml:space="preserve">) la garantía del derecho de contradicción; </w:t>
      </w:r>
      <w:proofErr w:type="spellStart"/>
      <w:r w:rsidRPr="006A0F21">
        <w:rPr>
          <w:rFonts w:ascii="Verdana" w:eastAsia="Arial" w:hAnsi="Verdana" w:cs="Arial"/>
          <w:lang w:val="es-ES" w:eastAsia="es-ES" w:bidi="es-ES"/>
        </w:rPr>
        <w:t>iv</w:t>
      </w:r>
      <w:proofErr w:type="spellEnd"/>
      <w:r w:rsidRPr="006A0F21">
        <w:rPr>
          <w:rFonts w:ascii="Verdana" w:eastAsia="Arial" w:hAnsi="Verdana" w:cs="Arial"/>
          <w:lang w:val="es-ES" w:eastAsia="es-ES" w:bidi="es-ES"/>
        </w:rPr>
        <w:t>) la publicidad de las actuaciones de la administración; v) la motivación expresa, precisa y detallada del informe de evaluación, del acto de adjudicación o de la declaratoria de desierta; vi) la escogencia objetiva del contratista idóneo que ofrezca la oferta más favorable para los intereses de la administración”</w:t>
      </w:r>
      <w:r w:rsidRPr="006A0F21">
        <w:rPr>
          <w:rFonts w:ascii="Verdana" w:eastAsia="Arial" w:hAnsi="Verdana" w:cs="Arial"/>
          <w:vertAlign w:val="superscript"/>
          <w:lang w:val="es-ES" w:eastAsia="es-ES" w:bidi="es-ES"/>
        </w:rPr>
        <w:footnoteReference w:id="4"/>
      </w:r>
      <w:r w:rsidRPr="006A0F21">
        <w:rPr>
          <w:rFonts w:ascii="Verdana" w:eastAsia="Arial" w:hAnsi="Verdana" w:cs="Arial"/>
          <w:lang w:val="es-ES" w:eastAsia="es-ES" w:bidi="es-ES"/>
        </w:rPr>
        <w:t>.</w:t>
      </w:r>
    </w:p>
    <w:p w14:paraId="3209C996" w14:textId="77777777" w:rsidR="00FA31C3" w:rsidRPr="006A0F21" w:rsidRDefault="00FA31C3" w:rsidP="00FA31C3">
      <w:pPr>
        <w:spacing w:after="120" w:line="276" w:lineRule="auto"/>
        <w:ind w:firstLine="709"/>
        <w:jc w:val="both"/>
        <w:rPr>
          <w:rFonts w:ascii="Verdana" w:eastAsia="Calibri" w:hAnsi="Verdana" w:cs="Arial"/>
          <w:color w:val="000000"/>
          <w:lang w:val="es-ES_tradnl" w:eastAsia="es-ES_tradnl"/>
        </w:rPr>
      </w:pPr>
      <w:r w:rsidRPr="006A0F21">
        <w:rPr>
          <w:rFonts w:ascii="Verdana" w:eastAsia="Calibri" w:hAnsi="Verdana" w:cs="Arial"/>
          <w:color w:val="000000"/>
          <w:lang w:val="es-ES_tradnl" w:eastAsia="es-ES_tradnl"/>
        </w:rPr>
        <w:t xml:space="preserve">Otro de los principios transversales a todos los procedimientos de selección es el de </w:t>
      </w:r>
      <w:r w:rsidRPr="006A0F21">
        <w:rPr>
          <w:rFonts w:ascii="Verdana" w:eastAsia="Calibri" w:hAnsi="Verdana" w:cs="Arial"/>
          <w:i/>
          <w:iCs/>
          <w:color w:val="000000"/>
          <w:lang w:val="es-ES_tradnl" w:eastAsia="es-ES_tradnl"/>
        </w:rPr>
        <w:t>selección objetiva</w:t>
      </w:r>
      <w:r w:rsidRPr="006A0F21">
        <w:rPr>
          <w:rFonts w:ascii="Verdana" w:eastAsia="Calibri" w:hAnsi="Verdana" w:cs="Arial"/>
          <w:color w:val="000000"/>
          <w:lang w:val="es-ES_tradnl" w:eastAsia="es-ES_tradnl"/>
        </w:rPr>
        <w:t xml:space="preserve">. Se trata del postulado que exige que la escogencia de la oferta ganadora debe fundamentarse en factores objetivos, de carácter técnico, jurídico y financiero, y no en criterios subjetivos, como el afecto, la amistad, el ánimo de ayuda, el interés personal, entre otros. </w:t>
      </w:r>
    </w:p>
    <w:p w14:paraId="3C874480" w14:textId="77777777" w:rsidR="00FA31C3" w:rsidRPr="006A0F21" w:rsidRDefault="00FA31C3" w:rsidP="00FA31C3">
      <w:pPr>
        <w:spacing w:after="120" w:line="276" w:lineRule="auto"/>
        <w:ind w:firstLine="709"/>
        <w:jc w:val="both"/>
        <w:rPr>
          <w:rFonts w:ascii="Verdana" w:eastAsia="Calibri" w:hAnsi="Verdana" w:cs="Arial"/>
          <w:color w:val="000000"/>
          <w:lang w:val="es-ES_tradnl" w:eastAsia="es-ES_tradnl"/>
        </w:rPr>
      </w:pPr>
      <w:r w:rsidRPr="006A0F21">
        <w:rPr>
          <w:rFonts w:ascii="Verdana" w:eastAsia="Calibri" w:hAnsi="Verdana" w:cs="Arial"/>
          <w:color w:val="000000"/>
          <w:lang w:val="es-ES_tradnl" w:eastAsia="es-ES_tradnl"/>
        </w:rPr>
        <w:t>Si bien dentro de la historia de la contratación pública en Colombia se vislumbran antecedentes normativos que consagraban dicho principio</w:t>
      </w:r>
      <w:r w:rsidRPr="006A0F21">
        <w:rPr>
          <w:rFonts w:ascii="Verdana" w:eastAsia="Calibri" w:hAnsi="Verdana" w:cs="Arial"/>
          <w:color w:val="000000"/>
          <w:vertAlign w:val="superscript"/>
          <w:lang w:val="es-ES_tradnl" w:eastAsia="es-ES_tradnl"/>
        </w:rPr>
        <w:footnoteReference w:id="5"/>
      </w:r>
      <w:r w:rsidRPr="006A0F21">
        <w:rPr>
          <w:rFonts w:ascii="Verdana" w:eastAsia="Calibri" w:hAnsi="Verdana" w:cs="Arial"/>
          <w:color w:val="000000"/>
          <w:lang w:val="es-ES_tradnl" w:eastAsia="es-ES_tradnl"/>
        </w:rPr>
        <w:t xml:space="preserve">, en la </w:t>
      </w:r>
      <w:r w:rsidRPr="006A0F21">
        <w:rPr>
          <w:rFonts w:ascii="Verdana" w:eastAsia="Calibri" w:hAnsi="Verdana" w:cs="Arial"/>
          <w:color w:val="000000"/>
          <w:lang w:val="es-ES_tradnl" w:eastAsia="es-ES_tradnl"/>
        </w:rPr>
        <w:lastRenderedPageBreak/>
        <w:t>actualidad la disposición legal que lo prevé de manera más clara y contundente es el artículo 5 de la Ley 1150 de 2007, modificado por el artículo 88 de la Ley 1474 de 2011 y por el artículo 5 de la Ley 1882 de 2018</w:t>
      </w:r>
      <w:r w:rsidRPr="006A0F21">
        <w:rPr>
          <w:rFonts w:ascii="Verdana" w:eastAsia="Calibri" w:hAnsi="Verdana" w:cs="Arial"/>
          <w:color w:val="000000"/>
          <w:vertAlign w:val="superscript"/>
          <w:lang w:val="es-ES_tradnl" w:eastAsia="es-ES_tradnl"/>
        </w:rPr>
        <w:footnoteReference w:id="6"/>
      </w:r>
      <w:r w:rsidRPr="006A0F21">
        <w:rPr>
          <w:rFonts w:ascii="Verdana" w:eastAsia="Calibri" w:hAnsi="Verdana" w:cs="Arial"/>
          <w:color w:val="000000"/>
          <w:lang w:val="es-ES_tradnl" w:eastAsia="es-ES_tradnl"/>
        </w:rPr>
        <w:t>.</w:t>
      </w:r>
    </w:p>
    <w:p w14:paraId="2C5BC781" w14:textId="77777777" w:rsidR="00FA31C3" w:rsidRPr="006A0F21" w:rsidRDefault="00FA31C3" w:rsidP="00FA31C3">
      <w:pPr>
        <w:spacing w:after="120" w:line="276" w:lineRule="auto"/>
        <w:ind w:firstLine="709"/>
        <w:jc w:val="both"/>
        <w:rPr>
          <w:rFonts w:ascii="Verdana" w:eastAsia="Calibri" w:hAnsi="Verdana" w:cs="Arial"/>
          <w:color w:val="000000"/>
          <w:lang w:val="es-ES" w:eastAsia="es-ES"/>
        </w:rPr>
      </w:pPr>
      <w:r w:rsidRPr="006A0F21">
        <w:rPr>
          <w:rFonts w:ascii="Verdana" w:eastAsia="Calibri" w:hAnsi="Verdana" w:cs="Arial"/>
          <w:color w:val="000000" w:themeColor="text1"/>
          <w:lang w:val="es-ES" w:eastAsia="es-ES"/>
        </w:rPr>
        <w:t xml:space="preserve">Así mismo, la Ley 80 de 1993 se refiere a la </w:t>
      </w:r>
      <w:r w:rsidRPr="006A0F21">
        <w:rPr>
          <w:rFonts w:ascii="Verdana" w:eastAsia="Calibri" w:hAnsi="Verdana" w:cs="Arial"/>
          <w:i/>
          <w:iCs/>
          <w:color w:val="000000" w:themeColor="text1"/>
          <w:lang w:val="es-ES" w:eastAsia="es-ES"/>
        </w:rPr>
        <w:t>selección objetiva</w:t>
      </w:r>
      <w:r w:rsidRPr="006A0F21">
        <w:rPr>
          <w:rFonts w:ascii="Verdana" w:eastAsia="Calibri" w:hAnsi="Verdana" w:cs="Arial"/>
          <w:color w:val="000000" w:themeColor="text1"/>
          <w:lang w:val="es-ES" w:eastAsia="es-ES"/>
        </w:rPr>
        <w:t xml:space="preserve"> en varios apartados, como: i) el primer inciso del artículo 21, que obliga a las entidades estatales a tener en cuenta la selección objetiva, al garantizar la participación de los oferentes de bienes y servicios de origen nacional, </w:t>
      </w:r>
      <w:proofErr w:type="spellStart"/>
      <w:r w:rsidRPr="006A0F21">
        <w:rPr>
          <w:rFonts w:ascii="Verdana" w:eastAsia="Calibri" w:hAnsi="Verdana" w:cs="Arial"/>
          <w:color w:val="000000" w:themeColor="text1"/>
          <w:lang w:val="es-ES" w:eastAsia="es-ES"/>
        </w:rPr>
        <w:t>ii</w:t>
      </w:r>
      <w:proofErr w:type="spellEnd"/>
      <w:r w:rsidRPr="006A0F21">
        <w:rPr>
          <w:rFonts w:ascii="Verdana" w:eastAsia="Calibri" w:hAnsi="Verdana" w:cs="Arial"/>
          <w:color w:val="000000" w:themeColor="text1"/>
          <w:lang w:val="es-ES" w:eastAsia="es-ES"/>
        </w:rPr>
        <w:t xml:space="preserve">) el artículo 24, numeral 5º, literal a), que exige se indiquen en los pliegos de condiciones “[…] los requisitos objetivos necesarios para participar en el correspondiente proceso de selección”, </w:t>
      </w:r>
      <w:proofErr w:type="spellStart"/>
      <w:r w:rsidRPr="006A0F21">
        <w:rPr>
          <w:rFonts w:ascii="Verdana" w:eastAsia="Calibri" w:hAnsi="Verdana" w:cs="Arial"/>
          <w:color w:val="000000" w:themeColor="text1"/>
          <w:lang w:val="es-ES" w:eastAsia="es-ES"/>
        </w:rPr>
        <w:t>iii</w:t>
      </w:r>
      <w:proofErr w:type="spellEnd"/>
      <w:r w:rsidRPr="006A0F21">
        <w:rPr>
          <w:rFonts w:ascii="Verdana" w:eastAsia="Calibri" w:hAnsi="Verdana" w:cs="Arial"/>
          <w:color w:val="000000" w:themeColor="text1"/>
          <w:lang w:val="es-ES" w:eastAsia="es-ES"/>
        </w:rPr>
        <w:t xml:space="preserve">) el artículo 24, numeral 5º, literal b), que establece que en los pliegos de condiciones se deben definir “[…] reglas objetivas, justas, claras y completas que permitan la confección de ofrecimientos de la misma índole, aseguren una escogencia objetiva y eviten la declaratoria de desierta de la licitación”. </w:t>
      </w:r>
    </w:p>
    <w:p w14:paraId="58017402" w14:textId="77777777" w:rsidR="00FA31C3" w:rsidRPr="006A0F21" w:rsidRDefault="00FA31C3" w:rsidP="00FA31C3">
      <w:pPr>
        <w:spacing w:after="120" w:line="276" w:lineRule="auto"/>
        <w:ind w:firstLine="709"/>
        <w:jc w:val="both"/>
        <w:rPr>
          <w:rFonts w:ascii="Verdana" w:eastAsia="Calibri" w:hAnsi="Verdana" w:cs="Arial"/>
          <w:color w:val="000000"/>
          <w:lang w:val="es-ES" w:eastAsia="es-ES"/>
        </w:rPr>
      </w:pPr>
      <w:r w:rsidRPr="006A0F21">
        <w:rPr>
          <w:rFonts w:ascii="Verdana" w:eastAsia="Calibri" w:hAnsi="Verdana" w:cs="Arial"/>
          <w:color w:val="000000" w:themeColor="text1"/>
          <w:lang w:val="es-ES" w:eastAsia="es-ES"/>
        </w:rPr>
        <w:t xml:space="preserve">De igual forma, </w:t>
      </w:r>
      <w:proofErr w:type="spellStart"/>
      <w:r w:rsidRPr="006A0F21">
        <w:rPr>
          <w:rFonts w:ascii="Verdana" w:eastAsia="Calibri" w:hAnsi="Verdana" w:cs="Arial"/>
          <w:color w:val="000000" w:themeColor="text1"/>
          <w:lang w:val="es-ES" w:eastAsia="es-ES"/>
        </w:rPr>
        <w:t>iv</w:t>
      </w:r>
      <w:proofErr w:type="spellEnd"/>
      <w:r w:rsidRPr="006A0F21">
        <w:rPr>
          <w:rFonts w:ascii="Verdana" w:eastAsia="Calibri" w:hAnsi="Verdana" w:cs="Arial"/>
          <w:color w:val="000000" w:themeColor="text1"/>
          <w:lang w:val="es-ES" w:eastAsia="es-ES"/>
        </w:rPr>
        <w:t xml:space="preserve">) el artículo 24, numeral 8º, según el cual “Las autoridades no actuarán con desviación o abuso de poder y ejercerán sus </w:t>
      </w:r>
      <w:r w:rsidRPr="006A0F21">
        <w:rPr>
          <w:rFonts w:ascii="Verdana" w:eastAsia="Calibri" w:hAnsi="Verdana" w:cs="Arial"/>
          <w:color w:val="000000" w:themeColor="text1"/>
          <w:lang w:val="es-ES" w:eastAsia="es-ES"/>
        </w:rPr>
        <w:lastRenderedPageBreak/>
        <w:t>competencias exclusivamente para los fines previstos en la ley. Igualmente, les será prohibido eludir los procedimientos de selección objetiva y los demás requisitos previstos en el presente estatuto”, v) el segundo inciso del parágrafo 3º del artículo 24, que exige tener en cuenta la selección objetiva de la entidad veedora para el procedimiento de venta de bienes de las entidades estatales por el sistema de martillo; vi) el numeral 18 del artículo 25, el cual señala que “La declaratoria de desierta de la licitación únicamente procederá por motivos o causas que impidan la escogencia objetiva”.</w:t>
      </w:r>
    </w:p>
    <w:p w14:paraId="4ACC49E4" w14:textId="77777777" w:rsidR="00FA31C3" w:rsidRPr="006A0F21" w:rsidRDefault="00FA31C3" w:rsidP="00FA31C3">
      <w:pPr>
        <w:spacing w:after="0" w:line="276" w:lineRule="auto"/>
        <w:ind w:firstLine="709"/>
        <w:jc w:val="both"/>
        <w:rPr>
          <w:rFonts w:ascii="Verdana" w:eastAsia="Calibri" w:hAnsi="Verdana" w:cs="Arial"/>
          <w:color w:val="000000"/>
          <w:lang w:val="es-ES" w:eastAsia="es-ES"/>
        </w:rPr>
      </w:pPr>
      <w:r w:rsidRPr="006A0F21">
        <w:rPr>
          <w:rFonts w:ascii="Verdana" w:eastAsia="Calibri" w:hAnsi="Verdana" w:cs="Arial"/>
          <w:color w:val="000000" w:themeColor="text1"/>
          <w:lang w:val="es-ES" w:eastAsia="es-ES"/>
        </w:rPr>
        <w:t xml:space="preserve">Finalmente, se manifiesta </w:t>
      </w:r>
      <w:proofErr w:type="spellStart"/>
      <w:r w:rsidRPr="006A0F21">
        <w:rPr>
          <w:rFonts w:ascii="Verdana" w:eastAsia="Calibri" w:hAnsi="Verdana" w:cs="Arial"/>
          <w:color w:val="000000" w:themeColor="text1"/>
          <w:lang w:val="es-ES" w:eastAsia="es-ES"/>
        </w:rPr>
        <w:t>vii</w:t>
      </w:r>
      <w:proofErr w:type="spellEnd"/>
      <w:r w:rsidRPr="006A0F21">
        <w:rPr>
          <w:rFonts w:ascii="Verdana" w:eastAsia="Calibri" w:hAnsi="Verdana" w:cs="Arial"/>
          <w:color w:val="000000" w:themeColor="text1"/>
          <w:lang w:val="es-ES" w:eastAsia="es-ES"/>
        </w:rPr>
        <w:t xml:space="preserve">) en el numeral 2 del artículo 30, que dispone que “La entidad interesada elaborará los correspondientes pliegos de condiciones, […], en los cuales se detallarán especialmente los aspectos relativos al objeto del contrato, su regulación jurídica, los derechos y obligaciones de las partes, la determinación y ponderación de los factores objetivos de selección y todas las demás circunstancias de tiempo, modo y lugar que se consideren necesarias para garantizar reglas objetivas, claras y completas”, </w:t>
      </w:r>
      <w:proofErr w:type="spellStart"/>
      <w:r w:rsidRPr="006A0F21">
        <w:rPr>
          <w:rFonts w:ascii="Verdana" w:eastAsia="Calibri" w:hAnsi="Verdana" w:cs="Arial"/>
          <w:color w:val="000000" w:themeColor="text1"/>
          <w:lang w:val="es-ES" w:eastAsia="es-ES"/>
        </w:rPr>
        <w:t>viii</w:t>
      </w:r>
      <w:proofErr w:type="spellEnd"/>
      <w:r w:rsidRPr="006A0F21">
        <w:rPr>
          <w:rFonts w:ascii="Verdana" w:eastAsia="Calibri" w:hAnsi="Verdana" w:cs="Arial"/>
          <w:color w:val="000000" w:themeColor="text1"/>
          <w:lang w:val="es-ES" w:eastAsia="es-ES"/>
        </w:rPr>
        <w:t xml:space="preserve">) el inciso final del artículo 38, que obliga a las entidades estatales que tengan como objeto la prestación de servicios y actividades de telecomunicaciones a respetar el principio de selección objetiva, y </w:t>
      </w:r>
      <w:proofErr w:type="spellStart"/>
      <w:r w:rsidRPr="006A0F21">
        <w:rPr>
          <w:rFonts w:ascii="Verdana" w:eastAsia="Calibri" w:hAnsi="Verdana" w:cs="Arial"/>
          <w:color w:val="000000" w:themeColor="text1"/>
          <w:lang w:val="es-ES" w:eastAsia="es-ES"/>
        </w:rPr>
        <w:t>ix</w:t>
      </w:r>
      <w:proofErr w:type="spellEnd"/>
      <w:r w:rsidRPr="006A0F21">
        <w:rPr>
          <w:rFonts w:ascii="Verdana" w:eastAsia="Calibri" w:hAnsi="Verdana" w:cs="Arial"/>
          <w:color w:val="000000" w:themeColor="text1"/>
          <w:lang w:val="es-ES" w:eastAsia="es-ES"/>
        </w:rPr>
        <w:t xml:space="preserve">) el segundo inciso del artículo 76, que ordena cumplir también con dicho principio a las entidades que tengan por objeto la exploración, explotación y comercialización de recursos naturales renovables y no renovables. </w:t>
      </w:r>
    </w:p>
    <w:p w14:paraId="1A3B8F84" w14:textId="77777777" w:rsidR="00FA31C3" w:rsidRPr="006A0F21" w:rsidRDefault="00FA31C3" w:rsidP="00FA31C3">
      <w:pPr>
        <w:spacing w:before="120" w:after="120" w:line="276" w:lineRule="auto"/>
        <w:ind w:firstLine="709"/>
        <w:jc w:val="both"/>
        <w:rPr>
          <w:rFonts w:ascii="Verdana" w:eastAsia="Calibri" w:hAnsi="Verdana" w:cs="Arial"/>
          <w:color w:val="000000"/>
          <w:lang w:val="es-ES" w:eastAsia="es-ES"/>
        </w:rPr>
      </w:pPr>
      <w:r w:rsidRPr="006A0F21">
        <w:rPr>
          <w:rFonts w:ascii="Verdana" w:eastAsia="Calibri" w:hAnsi="Verdana" w:cs="Arial"/>
          <w:color w:val="000000" w:themeColor="text1"/>
          <w:lang w:val="es-ES" w:eastAsia="es-ES"/>
        </w:rPr>
        <w:t>Por su parte, a nivel reglamentario, el Decreto 1082 de 2015 también se refiere a la selección objetiva como postulado esencial al interior de los procedimientos de selección. Así se infiere, por ejemplo, del numeral 4º del artículo 2.2.1.1.2.1.3., que indica que dentro de la información del pliego de condiciones se deben definir “Las condiciones de costo y/o calidad que la Entidad Estatal debe tener en cuenta para la selección objetiva, de acuerdo con la modalidad de selección del contratista”, entre otros.</w:t>
      </w:r>
    </w:p>
    <w:p w14:paraId="79FD6CB4" w14:textId="77777777" w:rsidR="00FA31C3" w:rsidRPr="006A0F21" w:rsidRDefault="00FA31C3" w:rsidP="00FA31C3">
      <w:pPr>
        <w:spacing w:before="120" w:after="120" w:line="276" w:lineRule="auto"/>
        <w:ind w:firstLine="709"/>
        <w:jc w:val="both"/>
        <w:rPr>
          <w:rFonts w:ascii="Verdana" w:eastAsia="Calibri" w:hAnsi="Verdana" w:cs="Arial"/>
          <w:color w:val="000000"/>
          <w:lang w:val="es-ES_tradnl" w:eastAsia="es-ES_tradnl"/>
        </w:rPr>
      </w:pPr>
      <w:r w:rsidRPr="006A0F21">
        <w:rPr>
          <w:rFonts w:ascii="Verdana" w:eastAsia="Calibri" w:hAnsi="Verdana" w:cs="Arial"/>
          <w:color w:val="000000"/>
          <w:lang w:val="es-ES_tradnl" w:eastAsia="es-ES_tradnl"/>
        </w:rPr>
        <w:t xml:space="preserve">La jurisprudencia también ha reconocido la preponderancia de este deber en la etapa precontractual, indicando que su garantía es imprescindible para satisfacer adecuadamente las necesidades de la sociedad mediante la celebración del contrato. Al respecto, la Sección Tercera del Consejo de Estado ha dicho que la objetividad en la selección de los contratistas se relaciona, principalmente, con evitar criterios subjetivos, lo que significa reglas que </w:t>
      </w:r>
      <w:r w:rsidRPr="006A0F21">
        <w:rPr>
          <w:rFonts w:ascii="Verdana" w:eastAsia="Calibri" w:hAnsi="Verdana" w:cs="Arial"/>
          <w:color w:val="000000"/>
          <w:lang w:val="es-ES_tradnl" w:eastAsia="es-ES_tradnl"/>
        </w:rPr>
        <w:lastRenderedPageBreak/>
        <w:t>evalúen factores comparables, dándole un valor a cada uno que permita una adjudicación objetiva</w:t>
      </w:r>
      <w:r w:rsidRPr="006A0F21">
        <w:rPr>
          <w:rFonts w:ascii="Verdana" w:eastAsia="Calibri" w:hAnsi="Verdana" w:cs="Arial"/>
          <w:color w:val="000000"/>
          <w:vertAlign w:val="superscript"/>
          <w:lang w:val="es-ES_tradnl" w:eastAsia="es-ES_tradnl"/>
        </w:rPr>
        <w:footnoteReference w:id="7"/>
      </w:r>
      <w:r w:rsidRPr="006A0F21">
        <w:rPr>
          <w:rFonts w:ascii="Verdana" w:eastAsia="Calibri" w:hAnsi="Verdana" w:cs="Arial"/>
          <w:color w:val="000000"/>
          <w:lang w:val="es-ES_tradnl" w:eastAsia="es-ES_tradnl"/>
        </w:rPr>
        <w:t xml:space="preserve">. </w:t>
      </w:r>
    </w:p>
    <w:p w14:paraId="0A40269C" w14:textId="77777777" w:rsidR="00FA31C3" w:rsidRPr="006A0F21" w:rsidRDefault="00FA31C3" w:rsidP="00FA31C3">
      <w:pPr>
        <w:spacing w:before="120" w:after="120" w:line="276" w:lineRule="auto"/>
        <w:ind w:firstLine="709"/>
        <w:jc w:val="both"/>
        <w:rPr>
          <w:rFonts w:ascii="Verdana" w:eastAsia="Calibri" w:hAnsi="Verdana" w:cs="Arial"/>
          <w:color w:val="000000"/>
          <w:lang w:val="es-ES_tradnl" w:eastAsia="es-ES_tradnl"/>
        </w:rPr>
      </w:pPr>
      <w:r w:rsidRPr="006A0F21">
        <w:rPr>
          <w:rFonts w:ascii="Verdana" w:eastAsia="Calibri" w:hAnsi="Verdana" w:cs="Arial"/>
          <w:color w:val="000000"/>
          <w:lang w:val="es-ES_tradnl" w:eastAsia="es-ES_tradnl"/>
        </w:rPr>
        <w:t>Igualmente, ha señalado que la selección objetiva “fundamenta uno de los principales deberes de todos los responsables de la contratación estatal en el derecho colombiano, cual es el de mantener intacta la institucionalidad por encima de los intereses personales, individuales o subjetivos”</w:t>
      </w:r>
      <w:r w:rsidRPr="006A0F21">
        <w:rPr>
          <w:rFonts w:ascii="Verdana" w:eastAsia="Calibri" w:hAnsi="Verdana" w:cs="Arial"/>
          <w:color w:val="000000"/>
          <w:vertAlign w:val="superscript"/>
          <w:lang w:val="es-ES_tradnl" w:eastAsia="es-ES_tradnl"/>
        </w:rPr>
        <w:footnoteReference w:id="8"/>
      </w:r>
      <w:r w:rsidRPr="006A0F21">
        <w:rPr>
          <w:rFonts w:ascii="Verdana" w:eastAsia="Calibri" w:hAnsi="Verdana" w:cs="Arial"/>
          <w:color w:val="000000"/>
          <w:lang w:val="es-ES_tradnl" w:eastAsia="es-ES_tradnl"/>
        </w:rPr>
        <w:t>.</w:t>
      </w:r>
    </w:p>
    <w:p w14:paraId="5A15F3D4" w14:textId="77777777" w:rsidR="00FA31C3" w:rsidRPr="006A0F21" w:rsidRDefault="00FA31C3" w:rsidP="00FA31C3">
      <w:pPr>
        <w:spacing w:before="120" w:after="120" w:line="276" w:lineRule="auto"/>
        <w:ind w:firstLine="709"/>
        <w:jc w:val="both"/>
        <w:rPr>
          <w:rFonts w:ascii="Verdana" w:eastAsia="Calibri" w:hAnsi="Verdana" w:cs="Arial"/>
          <w:color w:val="000000"/>
          <w:lang w:val="es-ES" w:eastAsia="es-ES"/>
        </w:rPr>
      </w:pPr>
      <w:r w:rsidRPr="006A0F21">
        <w:rPr>
          <w:rFonts w:ascii="Verdana" w:eastAsia="Calibri" w:hAnsi="Verdana" w:cs="Arial"/>
          <w:color w:val="000000" w:themeColor="text1"/>
          <w:lang w:val="es-ES" w:eastAsia="es-ES"/>
        </w:rPr>
        <w:t xml:space="preserve">Ahora bien, para garantizar los principios de la contratación pública en la contratación directa, particularmente, la transparencia y la selección objetiva, cuyos elementos se asemejan, como explicaremos enseguida. En ese aparte de este concepto se explicó, que en la sentencia C-713 de 2009 se analizaron las normas de la Ley 1150 de 2007, y en dicha decisión judicial se estableció que la contratación directa es una excepción, de las que puede hacer el legislador, a los principios de </w:t>
      </w:r>
      <w:proofErr w:type="gramStart"/>
      <w:r w:rsidRPr="006A0F21">
        <w:rPr>
          <w:rFonts w:ascii="Verdana" w:eastAsia="Calibri" w:hAnsi="Verdana" w:cs="Arial"/>
          <w:color w:val="000000" w:themeColor="text1"/>
          <w:lang w:val="es-ES" w:eastAsia="es-ES"/>
        </w:rPr>
        <w:t>libre competencia y libre concurrencia</w:t>
      </w:r>
      <w:proofErr w:type="gramEnd"/>
      <w:r w:rsidRPr="006A0F21">
        <w:rPr>
          <w:rFonts w:ascii="Verdana" w:eastAsia="Calibri" w:hAnsi="Verdana" w:cs="Arial"/>
          <w:color w:val="000000" w:themeColor="text1"/>
          <w:lang w:val="es-ES" w:eastAsia="es-ES"/>
        </w:rPr>
        <w:t xml:space="preserve">. </w:t>
      </w:r>
    </w:p>
    <w:p w14:paraId="1737FEF5" w14:textId="77777777" w:rsidR="00FA31C3" w:rsidRPr="006A0F21" w:rsidRDefault="00FA31C3" w:rsidP="00FA31C3">
      <w:pPr>
        <w:spacing w:before="120" w:after="120" w:line="276" w:lineRule="auto"/>
        <w:ind w:firstLine="709"/>
        <w:jc w:val="both"/>
        <w:rPr>
          <w:rFonts w:ascii="Verdana" w:eastAsia="Calibri" w:hAnsi="Verdana" w:cs="Arial"/>
          <w:color w:val="000000"/>
          <w:lang w:val="es-ES_tradnl" w:eastAsia="es-ES_tradnl"/>
        </w:rPr>
      </w:pPr>
      <w:r w:rsidRPr="006A0F21">
        <w:rPr>
          <w:rFonts w:ascii="Verdana" w:eastAsia="Calibri" w:hAnsi="Verdana" w:cs="Arial"/>
          <w:color w:val="000000"/>
          <w:lang w:val="es-ES_tradnl" w:eastAsia="es-ES_tradnl"/>
        </w:rPr>
        <w:t xml:space="preserve">Lo anterior puesto que no existe competencia, </w:t>
      </w:r>
      <w:r w:rsidRPr="006A0F21">
        <w:rPr>
          <w:rFonts w:ascii="Verdana" w:eastAsia="Calibri" w:hAnsi="Verdana" w:cs="Arial"/>
          <w:lang w:eastAsia="es-ES_tradnl"/>
        </w:rPr>
        <w:t xml:space="preserve">y por ello, no hay rivalidad entre los posibles proveedores del bien o servicio que requiere la entidad, teniendo en cuenta que al proceso solo concurre la persona que la entidad invita directamente. Esta persona es la única autorizada y, por ende, no hay libre concurrencia, porque así lo permiten las características de la modalidad de contratación directa analizadas, que dispuso el legislador. </w:t>
      </w:r>
    </w:p>
    <w:p w14:paraId="5A3CC8E8" w14:textId="77777777" w:rsidR="00FA31C3" w:rsidRPr="006A0F21" w:rsidRDefault="00FA31C3" w:rsidP="00FA31C3">
      <w:pPr>
        <w:spacing w:before="120" w:after="120" w:line="276" w:lineRule="auto"/>
        <w:ind w:firstLine="709"/>
        <w:jc w:val="both"/>
        <w:rPr>
          <w:rFonts w:ascii="Verdana" w:eastAsia="Calibri" w:hAnsi="Verdana" w:cs="Arial"/>
          <w:color w:val="000000"/>
          <w:lang w:val="es-ES" w:eastAsia="es-ES"/>
        </w:rPr>
      </w:pPr>
      <w:r w:rsidRPr="006A0F21">
        <w:rPr>
          <w:rFonts w:ascii="Verdana" w:eastAsia="Calibri" w:hAnsi="Verdana" w:cs="Arial"/>
          <w:color w:val="000000" w:themeColor="text1"/>
          <w:lang w:val="es-ES" w:eastAsia="es-ES"/>
        </w:rPr>
        <w:t xml:space="preserve">Sin embargo, la contratación directa no está exceptuada del cumplimiento de los principios de transparencia y selección objetiva, los cuales tienen como elemento común la objetividad en la selección del contratista. La evidencia son las definiciones expuestas en párrafos anteriores, ya que a pesar de que la entidad dirija la invitación a ofertar solamente a una persona, esto no significa que puede elegirla con base en criterios subjetivos, como el afecto, la amistad, el ánimo de ayuda, el interés personal, entre otros. </w:t>
      </w:r>
    </w:p>
    <w:p w14:paraId="68F44631" w14:textId="77777777" w:rsidR="00FA31C3" w:rsidRPr="006A0F21" w:rsidRDefault="00FA31C3" w:rsidP="00FA31C3">
      <w:pPr>
        <w:spacing w:before="120" w:after="120" w:line="276" w:lineRule="auto"/>
        <w:ind w:firstLine="709"/>
        <w:jc w:val="both"/>
        <w:rPr>
          <w:rFonts w:ascii="Verdana" w:eastAsia="Calibri" w:hAnsi="Verdana" w:cs="Arial"/>
          <w:color w:val="000000"/>
          <w:lang w:val="es-ES_tradnl" w:eastAsia="es-ES_tradnl"/>
        </w:rPr>
      </w:pPr>
      <w:r w:rsidRPr="006A0F21">
        <w:rPr>
          <w:rFonts w:ascii="Verdana" w:eastAsia="Calibri" w:hAnsi="Verdana" w:cs="Arial"/>
          <w:color w:val="000000"/>
          <w:lang w:val="es-ES_tradnl" w:eastAsia="es-ES_tradnl"/>
        </w:rPr>
        <w:lastRenderedPageBreak/>
        <w:t xml:space="preserve">En efecto, la persona a la que la entidad contrata de forma </w:t>
      </w:r>
      <w:proofErr w:type="gramStart"/>
      <w:r w:rsidRPr="006A0F21">
        <w:rPr>
          <w:rFonts w:ascii="Verdana" w:eastAsia="Calibri" w:hAnsi="Verdana" w:cs="Arial"/>
          <w:color w:val="000000"/>
          <w:lang w:val="es-ES_tradnl" w:eastAsia="es-ES_tradnl"/>
        </w:rPr>
        <w:t>directa,</w:t>
      </w:r>
      <w:proofErr w:type="gramEnd"/>
      <w:r w:rsidRPr="006A0F21">
        <w:rPr>
          <w:rFonts w:ascii="Verdana" w:eastAsia="Calibri" w:hAnsi="Verdana" w:cs="Arial"/>
          <w:color w:val="000000"/>
          <w:lang w:val="es-ES_tradnl" w:eastAsia="es-ES_tradnl"/>
        </w:rPr>
        <w:t xml:space="preserve"> es aquella que se considera que cumple con lo requerido para satisfacer la necesidad </w:t>
      </w:r>
      <w:r w:rsidRPr="006A0F21">
        <w:rPr>
          <w:rFonts w:ascii="Verdana" w:eastAsia="Calibri" w:hAnsi="Verdana" w:cs="Arial"/>
          <w:lang w:eastAsia="es-ES_tradnl"/>
        </w:rPr>
        <w:t>contractual</w:t>
      </w:r>
      <w:r w:rsidRPr="006A0F21">
        <w:rPr>
          <w:rFonts w:ascii="Verdana" w:eastAsia="Calibri" w:hAnsi="Verdana" w:cs="Arial"/>
          <w:color w:val="000000"/>
          <w:lang w:val="es-ES_tradnl" w:eastAsia="es-ES_tradnl"/>
        </w:rPr>
        <w:t xml:space="preserve">. Esa consideración de la entidad contratante será objetiva en la medida en que se cumpla con el principio de planeación, que se refleja principalmente en los estudios previos y en el acto administrativo que justifica la contratación directa, en los casos en que aplica. De esta manera, aunque la contratación sea directa, como ya se explicó, esto no implica que la entidad no deba definir las condiciones del contratista que está en capacidad de cumplir el contrato, lo cual es un elemento común entre las modalidades de selección competitivas y no competitivas. </w:t>
      </w:r>
    </w:p>
    <w:p w14:paraId="7E35C4CD" w14:textId="77777777" w:rsidR="00FA31C3" w:rsidRPr="006A0F21" w:rsidRDefault="00FA31C3" w:rsidP="00FA31C3">
      <w:pPr>
        <w:spacing w:before="120" w:after="0" w:line="276" w:lineRule="auto"/>
        <w:ind w:firstLine="709"/>
        <w:jc w:val="both"/>
        <w:rPr>
          <w:rFonts w:ascii="Verdana" w:eastAsia="Calibri" w:hAnsi="Verdana" w:cs="Arial"/>
          <w:color w:val="000000"/>
          <w:lang w:val="es-ES" w:eastAsia="es-ES"/>
        </w:rPr>
      </w:pPr>
      <w:r w:rsidRPr="006A0F21">
        <w:rPr>
          <w:rFonts w:ascii="Verdana" w:eastAsia="Calibri" w:hAnsi="Verdana" w:cs="Arial"/>
          <w:color w:val="000000" w:themeColor="text1"/>
          <w:lang w:val="es-ES" w:eastAsia="es-ES"/>
        </w:rPr>
        <w:t>En todo caso, siempre deben definirse los criterios de escogencia del contratista, pero la diferencia de las modalidades de selección radica en que las causales de contratación directa fueron dispuestas por el legislador en atención a que en el mercado no se encuentra una gran cantidad de proveedores que ofrezcan lo que la entidad requiere. O que, existiendo muchos proveedores, la entidad los puede diferenciar a partir del nivel de conocimientos o experiencia que estos poseen para elegir entre ellos a uno que la entidad, objetivamente, considera como el que puede desarrollar de mejor forma el objeto contractual y demás elementos materiales que justifican la existencia de las demás causales de contratación directa.</w:t>
      </w:r>
    </w:p>
    <w:p w14:paraId="6FCBE81A" w14:textId="77777777" w:rsidR="00FA31C3" w:rsidRDefault="00FA31C3" w:rsidP="00FA31C3">
      <w:pPr>
        <w:spacing w:before="120" w:after="120" w:line="276" w:lineRule="auto"/>
        <w:ind w:firstLine="709"/>
        <w:jc w:val="both"/>
        <w:rPr>
          <w:rFonts w:ascii="Verdana" w:eastAsia="Calibri" w:hAnsi="Verdana" w:cs="Arial"/>
          <w:color w:val="000000" w:themeColor="text1"/>
          <w:lang w:val="es-ES" w:eastAsia="es-ES"/>
        </w:rPr>
      </w:pPr>
      <w:r w:rsidRPr="006A0F21">
        <w:rPr>
          <w:rFonts w:ascii="Verdana" w:eastAsia="Calibri" w:hAnsi="Verdana" w:cs="Arial"/>
          <w:color w:val="000000" w:themeColor="text1"/>
          <w:lang w:val="es-ES" w:eastAsia="es-ES"/>
        </w:rPr>
        <w:t>De esta manera, a ese sujeto que la entidad selecciona puede invitarlo directamente a que presente oferta, sin que exista una indebida decisión arbitraria, esto es, una decisión caprichosa y basada en criterios subjetivos por parte de la entidad. La razón de esto es que, como se señaló, la objetividad está dada por la definición de criterios de escogencia que reflejen una justificación fundamentada en lo que requiere la entidad.</w:t>
      </w:r>
    </w:p>
    <w:p w14:paraId="7C94228E" w14:textId="77777777" w:rsidR="00FA31C3" w:rsidRPr="006A0F21" w:rsidRDefault="00FA31C3" w:rsidP="00FA31C3">
      <w:pPr>
        <w:spacing w:after="120" w:line="276" w:lineRule="auto"/>
        <w:ind w:firstLine="709"/>
        <w:jc w:val="both"/>
        <w:rPr>
          <w:rFonts w:ascii="Verdana" w:eastAsia="Calibri" w:hAnsi="Verdana" w:cs="Arial"/>
          <w:lang w:eastAsia="es-CO"/>
        </w:rPr>
      </w:pPr>
      <w:r>
        <w:rPr>
          <w:rFonts w:ascii="Verdana" w:eastAsia="Times New Roman" w:hAnsi="Verdana" w:cs="Arial"/>
          <w:color w:val="000000"/>
          <w:bdr w:val="none" w:sz="0" w:space="0" w:color="auto" w:frame="1"/>
          <w:lang w:val="es-ES" w:eastAsia="es-ES_tradnl"/>
        </w:rPr>
        <w:t>En este aspecto, la</w:t>
      </w:r>
      <w:r w:rsidRPr="006A0F21">
        <w:rPr>
          <w:rFonts w:ascii="Verdana" w:eastAsia="Times New Roman" w:hAnsi="Verdana" w:cs="Arial"/>
          <w:bCs/>
          <w:lang w:val="es-ES_tradnl" w:eastAsia="es-ES_tradnl"/>
        </w:rPr>
        <w:t xml:space="preserve"> planeación contractual </w:t>
      </w:r>
      <w:r>
        <w:rPr>
          <w:rFonts w:ascii="Verdana" w:eastAsia="Times New Roman" w:hAnsi="Verdana" w:cs="Arial"/>
          <w:bCs/>
          <w:lang w:val="es-ES_tradnl" w:eastAsia="es-ES_tradnl"/>
        </w:rPr>
        <w:t xml:space="preserve">adquiere relevancia como </w:t>
      </w:r>
      <w:r w:rsidRPr="006A0F21">
        <w:rPr>
          <w:rFonts w:ascii="Verdana" w:eastAsia="Times New Roman" w:hAnsi="Verdana" w:cs="Arial"/>
          <w:bCs/>
          <w:lang w:val="es-ES_tradnl" w:eastAsia="es-ES_tradnl"/>
        </w:rPr>
        <w:t xml:space="preserve">herramienta de gerencia pública, que exige estructurar el proceso contractual dedicando tiempo y esfuerzos para elaborar estudios previos, los cuales deberán ser adecuados a su alcance y complejidad. Lo anterior, con la finalidad de determinar la necesidad que pretende satisfacer la entidad estatal, consultando el tipo de bienes y servicios que ofrece el mercado y sus características, especificaciones, precios, costos, riesgos, garantías, disponibilidad, oferentes, entre otros. Así, una debida planeación debe conducir a una escogencia diligente </w:t>
      </w:r>
      <w:r w:rsidRPr="006A0F21">
        <w:rPr>
          <w:rFonts w:ascii="Verdana" w:eastAsia="Times New Roman" w:hAnsi="Verdana" w:cs="Arial"/>
          <w:bCs/>
          <w:lang w:val="es-ES_tradnl" w:eastAsia="es-ES_tradnl"/>
        </w:rPr>
        <w:lastRenderedPageBreak/>
        <w:t>de la mejor oferta, para beneficiar los intereses y fines públicos inmersos en la contratación de las entidades estatales, buscando siempre la correcta ejecución del contrato</w:t>
      </w:r>
      <w:r w:rsidRPr="006A0F21">
        <w:rPr>
          <w:rFonts w:ascii="Verdana" w:eastAsia="Times New Roman" w:hAnsi="Verdana" w:cs="Arial"/>
          <w:vertAlign w:val="superscript"/>
          <w:lang w:eastAsia="es-ES_tradnl"/>
        </w:rPr>
        <w:footnoteReference w:id="9"/>
      </w:r>
      <w:r w:rsidRPr="006A0F21">
        <w:rPr>
          <w:rFonts w:ascii="Verdana" w:eastAsia="Times New Roman" w:hAnsi="Verdana" w:cs="Arial"/>
          <w:bCs/>
          <w:lang w:val="es-ES_tradnl" w:eastAsia="es-ES_tradnl"/>
        </w:rPr>
        <w:t>.</w:t>
      </w:r>
      <w:r w:rsidRPr="006A0F21">
        <w:rPr>
          <w:rFonts w:ascii="Verdana" w:eastAsia="Calibri" w:hAnsi="Verdana" w:cs="Arial"/>
          <w:lang w:eastAsia="es-CO"/>
        </w:rPr>
        <w:t xml:space="preserve"> </w:t>
      </w:r>
    </w:p>
    <w:p w14:paraId="59FE9E31" w14:textId="77777777" w:rsidR="00FA31C3" w:rsidRPr="006A0F21" w:rsidRDefault="00FA31C3" w:rsidP="00FA31C3">
      <w:pPr>
        <w:spacing w:after="120" w:line="276" w:lineRule="auto"/>
        <w:ind w:firstLine="708"/>
        <w:jc w:val="both"/>
        <w:rPr>
          <w:rFonts w:ascii="Verdana" w:eastAsia="Times New Roman" w:hAnsi="Verdana" w:cs="Arial"/>
          <w:bCs/>
          <w:lang w:val="es-ES" w:eastAsia="es-ES_tradnl"/>
        </w:rPr>
      </w:pPr>
      <w:r w:rsidRPr="006A0F21">
        <w:rPr>
          <w:rFonts w:ascii="Verdana" w:eastAsia="Times New Roman" w:hAnsi="Verdana" w:cs="Arial"/>
          <w:bCs/>
          <w:lang w:eastAsia="es-ES_tradnl"/>
        </w:rPr>
        <w:t xml:space="preserve">En armonía con lo anterior, el Estatuto General de Contratación de la Administración Pública contiene disposiciones que demandan de las entidades estatales el deber de planeación en la etapa precontractual. Esto con la finalidad de que los procesos de contratación satisfagan las necesidades de la Administración, cumplan sus fines, logren la continua y eficiente prestación de los servicios públicos y permitan la efectividad de los derechos e intereses de los administrados que </w:t>
      </w:r>
      <w:r w:rsidRPr="006A0F21">
        <w:rPr>
          <w:rFonts w:ascii="Verdana" w:eastAsia="Times New Roman" w:hAnsi="Verdana" w:cs="Arial"/>
          <w:bCs/>
          <w:lang w:val="es-ES_tradnl" w:eastAsia="es-ES_tradnl"/>
        </w:rPr>
        <w:t>colaboran</w:t>
      </w:r>
      <w:r w:rsidRPr="006A0F21">
        <w:rPr>
          <w:rFonts w:ascii="Verdana" w:eastAsia="Times New Roman" w:hAnsi="Verdana" w:cs="Arial"/>
          <w:bCs/>
          <w:lang w:eastAsia="es-ES_tradnl"/>
        </w:rPr>
        <w:t xml:space="preserve"> en su consecución. En relación con el principio de economía, se tienen las siguientes reglas derivadas de su aplicación, lo cual está previsto en el artículo 25 de la Ley 80 de 1993: </w:t>
      </w:r>
    </w:p>
    <w:p w14:paraId="18079A57" w14:textId="77777777" w:rsidR="00FA31C3" w:rsidRPr="006A0F21" w:rsidRDefault="00FA31C3" w:rsidP="00FA31C3">
      <w:pPr>
        <w:spacing w:after="0" w:line="276" w:lineRule="auto"/>
        <w:ind w:firstLine="708"/>
        <w:jc w:val="both"/>
        <w:rPr>
          <w:rFonts w:ascii="Verdana" w:eastAsia="Calibri" w:hAnsi="Verdana" w:cs="Arial"/>
          <w:bCs/>
          <w:lang w:val="es-ES"/>
        </w:rPr>
      </w:pPr>
    </w:p>
    <w:p w14:paraId="76B8BB97" w14:textId="77777777" w:rsidR="00FA31C3" w:rsidRPr="006A0F21" w:rsidRDefault="00FA31C3" w:rsidP="00FA31C3">
      <w:pPr>
        <w:spacing w:after="0" w:line="240" w:lineRule="auto"/>
        <w:ind w:left="709" w:right="709"/>
        <w:jc w:val="both"/>
        <w:rPr>
          <w:rFonts w:ascii="Verdana" w:eastAsia="Calibri" w:hAnsi="Verdana" w:cs="Arial"/>
          <w:sz w:val="21"/>
          <w:szCs w:val="21"/>
          <w:lang w:val="es-MX"/>
        </w:rPr>
      </w:pPr>
      <w:r w:rsidRPr="006A0F21">
        <w:rPr>
          <w:rFonts w:ascii="Verdana" w:eastAsia="Calibri" w:hAnsi="Verdana" w:cs="Arial"/>
          <w:sz w:val="21"/>
          <w:szCs w:val="21"/>
          <w:lang w:val="es-MX"/>
        </w:rPr>
        <w:lastRenderedPageBreak/>
        <w:t>7o. La conveniencia o inconveniencia del objeto a contratar y las autorizaciones y aprobaciones para ello, se analizarán o impartirán con antelación al inicio del proceso de selección del contratista o al de la firma del contrato, según el caso.</w:t>
      </w:r>
    </w:p>
    <w:p w14:paraId="280194B5" w14:textId="77777777" w:rsidR="00FA31C3" w:rsidRPr="006A0F21" w:rsidRDefault="00FA31C3" w:rsidP="00FA31C3">
      <w:pPr>
        <w:spacing w:after="0" w:line="240" w:lineRule="auto"/>
        <w:ind w:left="709" w:right="709"/>
        <w:jc w:val="both"/>
        <w:rPr>
          <w:rFonts w:ascii="Verdana" w:eastAsia="Calibri" w:hAnsi="Verdana" w:cs="Arial"/>
          <w:sz w:val="21"/>
          <w:szCs w:val="21"/>
          <w:lang w:val="es-MX"/>
        </w:rPr>
      </w:pPr>
      <w:r w:rsidRPr="006A0F21">
        <w:rPr>
          <w:rFonts w:ascii="Verdana" w:eastAsia="Calibri" w:hAnsi="Verdana" w:cs="Arial"/>
          <w:sz w:val="21"/>
          <w:szCs w:val="21"/>
          <w:lang w:val="es-MX"/>
        </w:rPr>
        <w:t>[…]</w:t>
      </w:r>
    </w:p>
    <w:p w14:paraId="5FB2992D" w14:textId="77777777" w:rsidR="00FA31C3" w:rsidRPr="006A0F21" w:rsidRDefault="00FA31C3" w:rsidP="00FA31C3">
      <w:pPr>
        <w:spacing w:after="0" w:line="240" w:lineRule="auto"/>
        <w:ind w:left="709" w:right="709"/>
        <w:jc w:val="both"/>
        <w:rPr>
          <w:rFonts w:ascii="Verdana" w:eastAsia="Calibri" w:hAnsi="Verdana" w:cs="Arial"/>
          <w:sz w:val="21"/>
          <w:szCs w:val="21"/>
          <w:lang w:val="es-MX"/>
        </w:rPr>
      </w:pPr>
    </w:p>
    <w:p w14:paraId="61AB40BE" w14:textId="77777777" w:rsidR="00FA31C3" w:rsidRPr="006A0F21" w:rsidRDefault="00FA31C3" w:rsidP="00FA31C3">
      <w:pPr>
        <w:spacing w:after="0" w:line="240" w:lineRule="auto"/>
        <w:ind w:left="709" w:right="709"/>
        <w:jc w:val="both"/>
        <w:rPr>
          <w:rFonts w:ascii="Verdana" w:eastAsia="Calibri" w:hAnsi="Verdana" w:cs="Arial"/>
          <w:sz w:val="21"/>
          <w:szCs w:val="21"/>
          <w:lang w:val="es-MX"/>
        </w:rPr>
      </w:pPr>
      <w:r w:rsidRPr="006A0F21">
        <w:rPr>
          <w:rFonts w:ascii="Verdana" w:eastAsia="Calibri" w:hAnsi="Verdana" w:cs="Arial"/>
          <w:sz w:val="21"/>
          <w:szCs w:val="21"/>
          <w:lang w:val="es-MX"/>
        </w:rPr>
        <w:t xml:space="preserve">12. Previo a la apertura de un proceso de selección, o a la firma del contrato en el caso en que la </w:t>
      </w:r>
      <w:r w:rsidRPr="006A0F21">
        <w:rPr>
          <w:rFonts w:ascii="Verdana" w:eastAsia="Calibri" w:hAnsi="Verdana" w:cs="Arial"/>
          <w:i/>
          <w:iCs/>
          <w:sz w:val="21"/>
          <w:szCs w:val="21"/>
          <w:lang w:val="es-MX"/>
        </w:rPr>
        <w:t>modalidad de selección sea contratación directa</w:t>
      </w:r>
      <w:r w:rsidRPr="006A0F21">
        <w:rPr>
          <w:rFonts w:ascii="Verdana" w:eastAsia="Calibri" w:hAnsi="Verdana" w:cs="Arial"/>
          <w:sz w:val="21"/>
          <w:szCs w:val="21"/>
          <w:lang w:val="es-MX"/>
        </w:rPr>
        <w:t>, deberán elaborarse los estudios, diseños y proyectos requeridos, y los pliegos de condiciones, según corresponda.</w:t>
      </w:r>
    </w:p>
    <w:p w14:paraId="01DF9A5C" w14:textId="77777777" w:rsidR="00FA31C3" w:rsidRPr="006A0F21" w:rsidRDefault="00FA31C3" w:rsidP="00FA31C3">
      <w:pPr>
        <w:spacing w:after="0" w:line="240" w:lineRule="auto"/>
        <w:ind w:left="709" w:right="709"/>
        <w:jc w:val="both"/>
        <w:rPr>
          <w:rFonts w:ascii="Verdana" w:eastAsia="Times New Roman" w:hAnsi="Verdana" w:cs="Arial"/>
          <w:sz w:val="21"/>
          <w:szCs w:val="21"/>
          <w:lang w:eastAsia="es-ES_tradnl"/>
        </w:rPr>
      </w:pPr>
    </w:p>
    <w:p w14:paraId="7A316D05" w14:textId="77777777" w:rsidR="00FA31C3" w:rsidRPr="006A0F21" w:rsidRDefault="00FA31C3" w:rsidP="00FA31C3">
      <w:pPr>
        <w:spacing w:after="0" w:line="240" w:lineRule="auto"/>
        <w:ind w:left="709" w:right="709"/>
        <w:jc w:val="both"/>
        <w:rPr>
          <w:rFonts w:ascii="Verdana" w:eastAsia="Times New Roman" w:hAnsi="Verdana" w:cs="Arial"/>
          <w:sz w:val="21"/>
          <w:szCs w:val="21"/>
          <w:lang w:eastAsia="es-ES_tradnl"/>
        </w:rPr>
      </w:pPr>
      <w:r w:rsidRPr="006A0F21">
        <w:rPr>
          <w:rFonts w:ascii="Verdana" w:eastAsia="Times New Roman" w:hAnsi="Verdana" w:cs="Arial"/>
          <w:sz w:val="21"/>
          <w:szCs w:val="21"/>
          <w:lang w:eastAsia="es-ES_tradnl"/>
        </w:rPr>
        <w:t>[…]. (Cursivas propias)</w:t>
      </w:r>
    </w:p>
    <w:p w14:paraId="55306276" w14:textId="77777777" w:rsidR="00FA31C3" w:rsidRPr="006A0F21" w:rsidRDefault="00FA31C3" w:rsidP="00FA31C3">
      <w:pPr>
        <w:spacing w:after="0" w:line="240" w:lineRule="auto"/>
        <w:ind w:left="709" w:right="709"/>
        <w:jc w:val="both"/>
        <w:rPr>
          <w:rFonts w:ascii="Verdana" w:eastAsia="Times New Roman" w:hAnsi="Verdana" w:cs="Arial"/>
          <w:lang w:eastAsia="es-ES_tradnl"/>
        </w:rPr>
      </w:pPr>
    </w:p>
    <w:p w14:paraId="3C3E2D32" w14:textId="77777777" w:rsidR="00FA31C3" w:rsidRPr="006A0F21" w:rsidRDefault="00FA31C3" w:rsidP="00FA31C3">
      <w:pPr>
        <w:spacing w:after="120" w:line="276" w:lineRule="auto"/>
        <w:ind w:firstLine="709"/>
        <w:jc w:val="both"/>
        <w:rPr>
          <w:rFonts w:ascii="Verdana" w:eastAsia="Calibri" w:hAnsi="Verdana" w:cs="Arial"/>
          <w:lang w:val="es-MX"/>
        </w:rPr>
      </w:pPr>
      <w:r w:rsidRPr="006A0F21">
        <w:rPr>
          <w:rFonts w:ascii="Verdana" w:eastAsia="Calibri" w:hAnsi="Verdana" w:cs="Arial"/>
          <w:lang w:val="es-MX"/>
        </w:rPr>
        <w:t xml:space="preserve">De las normas precitadas se resalta que, en virtud del principio de economía, para iniciar un proceso de contratación, </w:t>
      </w:r>
      <w:r w:rsidRPr="006A0F21">
        <w:rPr>
          <w:rFonts w:ascii="Verdana" w:eastAsia="Calibri" w:hAnsi="Verdana" w:cs="Arial"/>
          <w:i/>
          <w:iCs/>
          <w:lang w:val="es-MX"/>
        </w:rPr>
        <w:t>inclusive de contratación directa</w:t>
      </w:r>
      <w:r w:rsidRPr="006A0F21">
        <w:rPr>
          <w:rFonts w:ascii="Verdana" w:eastAsia="Calibri" w:hAnsi="Verdana" w:cs="Arial"/>
          <w:lang w:val="es-MX"/>
        </w:rPr>
        <w:t xml:space="preserve">, se requieren unos estudios previos.  Con ellos, se estructuran, concretan y viabilizan los aspectos esenciales del futuro contrato, dentro de los cuales se encuentran su objeto y valor estimado, entre otros elementos. </w:t>
      </w:r>
    </w:p>
    <w:p w14:paraId="3858B952" w14:textId="77777777" w:rsidR="00FA31C3" w:rsidRPr="006A0F21" w:rsidRDefault="00FA31C3" w:rsidP="00FA31C3">
      <w:pPr>
        <w:spacing w:after="0" w:line="276" w:lineRule="auto"/>
        <w:ind w:firstLine="708"/>
        <w:jc w:val="both"/>
        <w:rPr>
          <w:rFonts w:ascii="Verdana" w:eastAsia="Calibri" w:hAnsi="Verdana" w:cs="Arial"/>
          <w:lang w:val="es-MX"/>
        </w:rPr>
      </w:pPr>
      <w:r w:rsidRPr="006A0F21">
        <w:rPr>
          <w:rFonts w:ascii="Verdana" w:eastAsia="Calibri" w:hAnsi="Verdana" w:cs="Arial"/>
          <w:lang w:val="es-MX"/>
        </w:rPr>
        <w:t xml:space="preserve">Los componentes de los estudios previos que sirven de soporte para elaborar el proyecto de pliego, los pliegos de condiciones y el contrato, están previstos en el artículo 2.2.1.1.2.1.1 del Decreto 1082 de 2015. La norma exige que se determine la necesidad, el objeto a contratar con sus especificaciones y se estime el costo que implica la celebración del contrato de la siguiente manera: </w:t>
      </w:r>
    </w:p>
    <w:p w14:paraId="3ECA56AE" w14:textId="77777777" w:rsidR="00FA31C3" w:rsidRPr="006A0F21" w:rsidRDefault="00FA31C3" w:rsidP="00FA31C3">
      <w:pPr>
        <w:spacing w:after="0" w:line="240" w:lineRule="auto"/>
        <w:jc w:val="both"/>
        <w:rPr>
          <w:rFonts w:ascii="Verdana" w:eastAsia="Calibri" w:hAnsi="Verdana" w:cs="Arial"/>
          <w:lang w:val="es-MX"/>
        </w:rPr>
      </w:pPr>
    </w:p>
    <w:p w14:paraId="736C2D85" w14:textId="77777777" w:rsidR="00FA31C3" w:rsidRPr="006A0F21" w:rsidRDefault="00FA31C3" w:rsidP="00FA31C3">
      <w:pPr>
        <w:spacing w:after="0" w:line="240" w:lineRule="auto"/>
        <w:ind w:left="709" w:right="709"/>
        <w:jc w:val="both"/>
        <w:rPr>
          <w:rFonts w:ascii="Verdana" w:eastAsia="Calibri" w:hAnsi="Verdana" w:cs="Arial"/>
          <w:sz w:val="21"/>
          <w:szCs w:val="21"/>
          <w:lang w:val="es-MX"/>
        </w:rPr>
      </w:pPr>
      <w:r w:rsidRPr="006A0F21">
        <w:rPr>
          <w:rFonts w:ascii="Verdana" w:eastAsia="Calibri" w:hAnsi="Verdana" w:cs="Arial"/>
          <w:sz w:val="21"/>
          <w:szCs w:val="21"/>
          <w:lang w:val="es-MX"/>
        </w:rPr>
        <w:t xml:space="preserve">1.    La descripción de la necesidad que la Entidad Estatal pretende satisfacer con el Proceso de Contratación. </w:t>
      </w:r>
    </w:p>
    <w:p w14:paraId="181B3F21" w14:textId="77777777" w:rsidR="00FA31C3" w:rsidRPr="006A0F21" w:rsidRDefault="00FA31C3" w:rsidP="00FA31C3">
      <w:pPr>
        <w:spacing w:after="0" w:line="240" w:lineRule="auto"/>
        <w:ind w:left="709" w:right="709"/>
        <w:jc w:val="both"/>
        <w:rPr>
          <w:rFonts w:ascii="Verdana" w:eastAsia="Calibri" w:hAnsi="Verdana" w:cs="Arial"/>
          <w:sz w:val="21"/>
          <w:szCs w:val="21"/>
          <w:lang w:val="es-MX"/>
        </w:rPr>
      </w:pPr>
    </w:p>
    <w:p w14:paraId="6851998C" w14:textId="77777777" w:rsidR="00FA31C3" w:rsidRPr="006A0F21" w:rsidRDefault="00FA31C3" w:rsidP="00FA31C3">
      <w:pPr>
        <w:spacing w:after="0" w:line="240" w:lineRule="auto"/>
        <w:ind w:left="709" w:right="709"/>
        <w:jc w:val="both"/>
        <w:rPr>
          <w:rFonts w:ascii="Verdana" w:eastAsia="Calibri" w:hAnsi="Verdana" w:cs="Arial"/>
          <w:sz w:val="21"/>
          <w:szCs w:val="21"/>
          <w:lang w:val="es-MX"/>
        </w:rPr>
      </w:pPr>
      <w:r w:rsidRPr="006A0F21">
        <w:rPr>
          <w:rFonts w:ascii="Verdana" w:eastAsia="Calibri" w:hAnsi="Verdana" w:cs="Arial"/>
          <w:sz w:val="21"/>
          <w:szCs w:val="21"/>
          <w:lang w:val="es-MX"/>
        </w:rPr>
        <w:t>2. El objeto a contratar, con sus especificaciones, las autorizaciones, permisos y licencias requeridos para su ejecución, y cuando el contrato incluye diseño y construcción, los documentos técnicos para el desarrollo del proyecto.</w:t>
      </w:r>
    </w:p>
    <w:p w14:paraId="1D7C716B" w14:textId="77777777" w:rsidR="00FA31C3" w:rsidRPr="006A0F21" w:rsidRDefault="00FA31C3" w:rsidP="00FA31C3">
      <w:pPr>
        <w:spacing w:after="0" w:line="240" w:lineRule="auto"/>
        <w:jc w:val="both"/>
        <w:rPr>
          <w:rFonts w:ascii="Verdana" w:eastAsia="Times New Roman" w:hAnsi="Verdana" w:cs="Arial"/>
          <w:bCs/>
          <w:sz w:val="21"/>
          <w:szCs w:val="21"/>
          <w:lang w:val="es-ES_tradnl" w:eastAsia="es-ES_tradnl"/>
        </w:rPr>
      </w:pPr>
      <w:r w:rsidRPr="006A0F21">
        <w:rPr>
          <w:rFonts w:ascii="Verdana" w:eastAsia="Times New Roman" w:hAnsi="Verdana" w:cs="Arial"/>
          <w:bCs/>
          <w:sz w:val="21"/>
          <w:szCs w:val="21"/>
          <w:lang w:val="es-ES_tradnl" w:eastAsia="es-ES_tradnl"/>
        </w:rPr>
        <w:tab/>
        <w:t>[…]</w:t>
      </w:r>
    </w:p>
    <w:p w14:paraId="4A17DC61" w14:textId="77777777" w:rsidR="00FA31C3" w:rsidRPr="006A0F21" w:rsidRDefault="00FA31C3" w:rsidP="00FA31C3">
      <w:pPr>
        <w:spacing w:after="0" w:line="276" w:lineRule="auto"/>
        <w:jc w:val="both"/>
        <w:rPr>
          <w:rFonts w:ascii="Verdana" w:eastAsia="Times New Roman" w:hAnsi="Verdana" w:cs="Arial"/>
          <w:bCs/>
          <w:lang w:val="es-ES_tradnl" w:eastAsia="es-ES_tradnl"/>
        </w:rPr>
      </w:pPr>
    </w:p>
    <w:p w14:paraId="106E4C29" w14:textId="77777777" w:rsidR="00FA31C3" w:rsidRPr="006A0F21" w:rsidRDefault="00FA31C3" w:rsidP="00FA31C3">
      <w:pPr>
        <w:spacing w:after="120" w:line="276" w:lineRule="auto"/>
        <w:ind w:firstLine="709"/>
        <w:jc w:val="both"/>
        <w:rPr>
          <w:rFonts w:ascii="Verdana" w:eastAsia="Times New Roman" w:hAnsi="Verdana" w:cs="Arial"/>
          <w:bCs/>
          <w:lang w:val="es-ES_tradnl" w:eastAsia="es-ES_tradnl"/>
        </w:rPr>
      </w:pPr>
      <w:r w:rsidRPr="006A0F21">
        <w:rPr>
          <w:rFonts w:ascii="Verdana" w:eastAsia="Times New Roman" w:hAnsi="Verdana" w:cs="Arial"/>
          <w:bCs/>
          <w:lang w:val="es-ES_tradnl" w:eastAsia="es-ES_tradnl"/>
        </w:rPr>
        <w:t xml:space="preserve">Para cumplir este objetivo es necesario el estudio del mercado y el análisis del sector económico y de los oferentes, actividad de planeación previa que sirve para identificar aspectos concretos del mercado. De esta manera, lo que se identifique en dicho análisis puede afectar el proceso de selección o las condiciones del negocio a realizar a través del proceso de contratación de bienes, obras o servicios. </w:t>
      </w:r>
      <w:r w:rsidRPr="006A0F21">
        <w:rPr>
          <w:rFonts w:ascii="Verdana" w:eastAsia="Times New Roman" w:hAnsi="Verdana" w:cs="Arial"/>
          <w:color w:val="000000"/>
          <w:bdr w:val="none" w:sz="0" w:space="0" w:color="auto" w:frame="1"/>
          <w:lang w:val="es-MX" w:eastAsia="es-ES_tradnl"/>
        </w:rPr>
        <w:t> </w:t>
      </w:r>
    </w:p>
    <w:p w14:paraId="726C68FA" w14:textId="77777777" w:rsidR="00FA31C3" w:rsidRPr="006A0F21" w:rsidRDefault="00FA31C3" w:rsidP="00FA31C3">
      <w:pPr>
        <w:spacing w:before="120" w:after="120" w:line="276" w:lineRule="auto"/>
        <w:ind w:firstLine="709"/>
        <w:jc w:val="both"/>
        <w:rPr>
          <w:rFonts w:ascii="Verdana" w:eastAsia="Calibri" w:hAnsi="Verdana" w:cs="Arial"/>
          <w:color w:val="000000"/>
          <w:lang w:val="es-ES" w:eastAsia="es-ES"/>
        </w:rPr>
      </w:pPr>
      <w:r w:rsidRPr="006A0F21">
        <w:rPr>
          <w:rFonts w:ascii="Verdana" w:eastAsia="Times New Roman" w:hAnsi="Verdana" w:cs="Arial"/>
          <w:color w:val="000000"/>
          <w:bdr w:val="none" w:sz="0" w:space="0" w:color="auto" w:frame="1"/>
          <w:lang w:val="es-MX" w:eastAsia="es-CO"/>
        </w:rPr>
        <w:lastRenderedPageBreak/>
        <w:t>Un análisis de los principios de planeación y de economía busca comprobar que su aplicación se extiende también a los procesos de contratación directa, en la medida en que la entidad debe tener seguridad sobre el mercado en el cual contratará el bien o servicio y, hecha esa verificación, podría seleccionar la mejor opción para cumplir con la necesidad de la entidad pública.</w:t>
      </w:r>
    </w:p>
    <w:p w14:paraId="440445D7" w14:textId="77777777" w:rsidR="00FA31C3" w:rsidRDefault="00FA31C3" w:rsidP="00FA31C3">
      <w:pPr>
        <w:tabs>
          <w:tab w:val="left" w:pos="426"/>
        </w:tabs>
        <w:spacing w:after="120" w:line="276" w:lineRule="auto"/>
        <w:jc w:val="both"/>
        <w:rPr>
          <w:rFonts w:ascii="Verdana" w:eastAsia="Times New Roman" w:hAnsi="Verdana" w:cs="Arial"/>
          <w:lang w:eastAsia="es-ES_tradnl"/>
        </w:rPr>
      </w:pPr>
      <w:r w:rsidRPr="006A0F21">
        <w:rPr>
          <w:rFonts w:ascii="Verdana" w:eastAsia="Times New Roman" w:hAnsi="Verdana" w:cs="Arial"/>
          <w:lang w:eastAsia="es-ES_tradnl"/>
        </w:rPr>
        <w:tab/>
      </w:r>
      <w:r w:rsidRPr="006A0F21">
        <w:rPr>
          <w:rFonts w:ascii="Verdana" w:eastAsia="Times New Roman" w:hAnsi="Verdana" w:cs="Arial"/>
          <w:lang w:eastAsia="es-ES_tradnl"/>
        </w:rPr>
        <w:tab/>
        <w:t xml:space="preserve">Los fines públicos establecen un contenido diferente a las entidades públicas, a pesar de su posibilidad de contratar en forma directa, teniendo en cuenta las causales reguladas en el EGCAP. A partir de estos contenidos y principios, es donde la contratación directa de las entidades no es asimilable a la autonomía de la voluntad regulada en el derecho privado, pues deben garantizarse principios como la planeación, la transparencia, la economía, entre otros, para celebrar este tipo de contratos. </w:t>
      </w:r>
    </w:p>
    <w:p w14:paraId="72F82F3B" w14:textId="77777777" w:rsidR="00FA31C3" w:rsidRDefault="00FA31C3" w:rsidP="00FA31C3">
      <w:pPr>
        <w:tabs>
          <w:tab w:val="left" w:pos="426"/>
        </w:tabs>
        <w:spacing w:after="120" w:line="276" w:lineRule="auto"/>
        <w:jc w:val="both"/>
        <w:rPr>
          <w:rFonts w:ascii="Verdana" w:eastAsia="Times New Roman" w:hAnsi="Verdana" w:cs="Arial"/>
          <w:lang w:eastAsia="es-ES_tradnl"/>
        </w:rPr>
      </w:pPr>
    </w:p>
    <w:p w14:paraId="3638DA61" w14:textId="77777777" w:rsidR="00FA31C3" w:rsidRPr="006443FE" w:rsidRDefault="00FA31C3" w:rsidP="00FA31C3">
      <w:pPr>
        <w:tabs>
          <w:tab w:val="left" w:pos="426"/>
        </w:tabs>
        <w:spacing w:after="120" w:line="276" w:lineRule="auto"/>
        <w:jc w:val="both"/>
        <w:rPr>
          <w:rFonts w:ascii="Verdana" w:eastAsia="Times New Roman" w:hAnsi="Verdana" w:cs="Arial"/>
          <w:lang w:eastAsia="es-ES_tradnl"/>
        </w:rPr>
      </w:pPr>
      <w:proofErr w:type="spellStart"/>
      <w:r>
        <w:rPr>
          <w:rFonts w:ascii="Verdana" w:eastAsia="Times New Roman" w:hAnsi="Verdana" w:cs="Arial"/>
          <w:lang w:eastAsia="es-ES_tradnl"/>
        </w:rPr>
        <w:t>iii</w:t>
      </w:r>
      <w:proofErr w:type="spellEnd"/>
      <w:r>
        <w:rPr>
          <w:rFonts w:ascii="Verdana" w:eastAsia="Times New Roman" w:hAnsi="Verdana" w:cs="Arial"/>
          <w:lang w:eastAsia="es-ES_tradnl"/>
        </w:rPr>
        <w:t xml:space="preserve">. </w:t>
      </w:r>
      <w:proofErr w:type="gramStart"/>
      <w:r>
        <w:rPr>
          <w:rFonts w:ascii="Verdana" w:eastAsia="Times New Roman" w:hAnsi="Verdana" w:cs="Arial"/>
          <w:lang w:eastAsia="es-ES_tradnl"/>
        </w:rPr>
        <w:t>De acuerdo a</w:t>
      </w:r>
      <w:proofErr w:type="gramEnd"/>
      <w:r>
        <w:rPr>
          <w:rFonts w:ascii="Verdana" w:eastAsia="Times New Roman" w:hAnsi="Verdana" w:cs="Arial"/>
          <w:lang w:eastAsia="es-ES_tradnl"/>
        </w:rPr>
        <w:t xml:space="preserve"> lo expuesto, en el caso de los contratos de prestación de servicios profesionales y de apoyo a la gestión, se precisa que </w:t>
      </w:r>
      <w:r w:rsidRPr="00342512">
        <w:rPr>
          <w:rFonts w:ascii="Verdana" w:eastAsia="Calibri" w:hAnsi="Verdana" w:cs="Arial"/>
          <w:color w:val="000000"/>
        </w:rPr>
        <w:t>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3E1E7D1A" w14:textId="77777777" w:rsidR="00FA31C3" w:rsidRPr="00917FBF" w:rsidRDefault="00FA31C3" w:rsidP="00FA31C3">
      <w:pPr>
        <w:tabs>
          <w:tab w:val="left" w:pos="3276"/>
        </w:tabs>
        <w:spacing w:after="0" w:line="276" w:lineRule="auto"/>
        <w:jc w:val="both"/>
        <w:rPr>
          <w:rFonts w:ascii="Verdana" w:eastAsia="Calibri" w:hAnsi="Verdana" w:cs="Arial"/>
          <w:color w:val="000000"/>
          <w:sz w:val="20"/>
          <w:szCs w:val="20"/>
        </w:rPr>
      </w:pPr>
    </w:p>
    <w:p w14:paraId="32B21B53" w14:textId="77777777" w:rsidR="00FA31C3" w:rsidRPr="00917FBF" w:rsidRDefault="00FA31C3" w:rsidP="00FA31C3">
      <w:pPr>
        <w:tabs>
          <w:tab w:val="left" w:pos="3276"/>
        </w:tabs>
        <w:spacing w:after="0" w:line="240" w:lineRule="auto"/>
        <w:ind w:left="709" w:right="709"/>
        <w:jc w:val="both"/>
        <w:rPr>
          <w:rFonts w:ascii="Verdana" w:eastAsia="Calibri" w:hAnsi="Verdana" w:cs="Arial"/>
          <w:color w:val="000000"/>
          <w:sz w:val="20"/>
          <w:szCs w:val="20"/>
        </w:rPr>
      </w:pPr>
      <w:r w:rsidRPr="00917FBF">
        <w:rPr>
          <w:rFonts w:ascii="Verdana" w:eastAsia="Calibri" w:hAnsi="Verdana" w:cs="Arial"/>
          <w:color w:val="000000" w:themeColor="text1"/>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75CF0090" w14:textId="77777777" w:rsidR="00FA31C3" w:rsidRPr="00917FBF" w:rsidRDefault="00FA31C3" w:rsidP="00FA31C3">
      <w:pPr>
        <w:tabs>
          <w:tab w:val="left" w:pos="3276"/>
        </w:tabs>
        <w:spacing w:after="0" w:line="240" w:lineRule="auto"/>
        <w:ind w:left="709" w:right="709"/>
        <w:jc w:val="both"/>
        <w:rPr>
          <w:rFonts w:ascii="Verdana" w:eastAsia="Calibri" w:hAnsi="Verdana" w:cs="Arial"/>
          <w:color w:val="000000"/>
          <w:sz w:val="20"/>
          <w:szCs w:val="20"/>
        </w:rPr>
      </w:pPr>
    </w:p>
    <w:p w14:paraId="2155841C" w14:textId="77777777" w:rsidR="00FA31C3" w:rsidRPr="00917FBF" w:rsidRDefault="00FA31C3" w:rsidP="00FA31C3">
      <w:pPr>
        <w:tabs>
          <w:tab w:val="left" w:pos="3276"/>
        </w:tabs>
        <w:spacing w:after="0" w:line="240" w:lineRule="auto"/>
        <w:ind w:left="709" w:right="709"/>
        <w:jc w:val="both"/>
        <w:rPr>
          <w:rFonts w:ascii="Verdana" w:eastAsia="Calibri" w:hAnsi="Verdana" w:cs="Arial"/>
          <w:color w:val="000000"/>
          <w:sz w:val="20"/>
          <w:szCs w:val="20"/>
        </w:rPr>
      </w:pPr>
      <w:r w:rsidRPr="00917FBF">
        <w:rPr>
          <w:rFonts w:ascii="Verdana" w:eastAsia="Calibri" w:hAnsi="Verdana" w:cs="Arial"/>
          <w:color w:val="000000" w:themeColor="text1"/>
          <w:sz w:val="20"/>
          <w:szCs w:val="20"/>
        </w:rPr>
        <w:t>En ningún caso estos contratos generan relación laboral ni prestaciones sociales y se celebrarán por el término estrictamente indispensable”.</w:t>
      </w:r>
    </w:p>
    <w:p w14:paraId="68B9D9F2" w14:textId="77777777" w:rsidR="00FA31C3" w:rsidRPr="00342512" w:rsidRDefault="00FA31C3" w:rsidP="00FA31C3">
      <w:pPr>
        <w:tabs>
          <w:tab w:val="left" w:pos="284"/>
          <w:tab w:val="left" w:pos="3276"/>
        </w:tabs>
        <w:spacing w:after="0" w:line="276" w:lineRule="auto"/>
        <w:contextualSpacing/>
        <w:jc w:val="both"/>
        <w:rPr>
          <w:rFonts w:ascii="Verdana" w:eastAsia="Calibri" w:hAnsi="Verdana" w:cs="Arial"/>
          <w:b/>
          <w:color w:val="000000"/>
        </w:rPr>
      </w:pPr>
    </w:p>
    <w:p w14:paraId="3CEB0676" w14:textId="77777777" w:rsidR="00FA31C3" w:rsidRPr="00342512" w:rsidRDefault="00FA31C3" w:rsidP="00FA31C3">
      <w:pPr>
        <w:tabs>
          <w:tab w:val="left" w:pos="3276"/>
        </w:tabs>
        <w:spacing w:after="0" w:line="276" w:lineRule="auto"/>
        <w:ind w:firstLine="709"/>
        <w:jc w:val="both"/>
        <w:rPr>
          <w:rFonts w:ascii="Verdana" w:eastAsia="Calibri" w:hAnsi="Verdana" w:cs="Arial"/>
          <w:color w:val="000000"/>
        </w:rPr>
      </w:pPr>
      <w:r w:rsidRPr="00342512">
        <w:rPr>
          <w:rFonts w:ascii="Verdana" w:eastAsia="Calibri" w:hAnsi="Verdana" w:cs="Arial"/>
          <w:color w:val="000000"/>
        </w:rPr>
        <w:t>De otro lado, la celebración de dicho contrato debe efectuar</w:t>
      </w:r>
      <w:r>
        <w:rPr>
          <w:rFonts w:ascii="Verdana" w:eastAsia="Calibri" w:hAnsi="Verdana" w:cs="Arial"/>
          <w:color w:val="000000"/>
        </w:rPr>
        <w:t xml:space="preserve">se mediante </w:t>
      </w:r>
      <w:r w:rsidRPr="00342512">
        <w:rPr>
          <w:rFonts w:ascii="Verdana" w:eastAsia="Calibri" w:hAnsi="Verdana" w:cs="Arial"/>
          <w:color w:val="000000"/>
        </w:rPr>
        <w:t>la modalidad de la contratación directa. Así lo prevé el artículo 2, numeral 4º, literal h) de la Ley 1150 de 2007, que dispone:</w:t>
      </w:r>
    </w:p>
    <w:p w14:paraId="1F63A5C6" w14:textId="77777777" w:rsidR="00FA31C3" w:rsidRPr="00342512" w:rsidRDefault="00FA31C3" w:rsidP="00FA31C3">
      <w:pPr>
        <w:tabs>
          <w:tab w:val="left" w:pos="3276"/>
        </w:tabs>
        <w:spacing w:after="0" w:line="240" w:lineRule="auto"/>
        <w:ind w:firstLine="709"/>
        <w:jc w:val="both"/>
        <w:rPr>
          <w:rFonts w:ascii="Verdana" w:eastAsia="Calibri" w:hAnsi="Verdana" w:cs="Arial"/>
          <w:color w:val="000000"/>
        </w:rPr>
      </w:pPr>
    </w:p>
    <w:p w14:paraId="4CDB6CA7" w14:textId="77777777" w:rsidR="00FA31C3" w:rsidRPr="00EE4799" w:rsidRDefault="00FA31C3" w:rsidP="00FA31C3">
      <w:pPr>
        <w:tabs>
          <w:tab w:val="left" w:pos="3276"/>
        </w:tabs>
        <w:spacing w:after="0" w:line="240" w:lineRule="auto"/>
        <w:ind w:left="709" w:right="709"/>
        <w:jc w:val="both"/>
        <w:rPr>
          <w:rFonts w:ascii="Verdana" w:eastAsia="Calibri" w:hAnsi="Verdana" w:cs="Arial"/>
          <w:color w:val="000000"/>
          <w:sz w:val="20"/>
          <w:szCs w:val="20"/>
        </w:rPr>
      </w:pPr>
      <w:r w:rsidRPr="328AD567">
        <w:rPr>
          <w:rFonts w:ascii="Verdana" w:eastAsia="Calibri" w:hAnsi="Verdana" w:cs="Arial"/>
          <w:color w:val="000000" w:themeColor="text1"/>
          <w:sz w:val="20"/>
          <w:szCs w:val="20"/>
        </w:rPr>
        <w:t xml:space="preserve">“[…]Contratación directa. La modalidad de selección de contratación </w:t>
      </w:r>
      <w:proofErr w:type="gramStart"/>
      <w:r w:rsidRPr="328AD567">
        <w:rPr>
          <w:rFonts w:ascii="Verdana" w:eastAsia="Calibri" w:hAnsi="Verdana" w:cs="Arial"/>
          <w:color w:val="000000" w:themeColor="text1"/>
          <w:sz w:val="20"/>
          <w:szCs w:val="20"/>
        </w:rPr>
        <w:t>directa,</w:t>
      </w:r>
      <w:proofErr w:type="gramEnd"/>
      <w:r w:rsidRPr="328AD567">
        <w:rPr>
          <w:rFonts w:ascii="Verdana" w:eastAsia="Calibri" w:hAnsi="Verdana" w:cs="Arial"/>
          <w:color w:val="000000" w:themeColor="text1"/>
          <w:sz w:val="20"/>
          <w:szCs w:val="20"/>
        </w:rPr>
        <w:t xml:space="preserve"> solamente procederá en los siguientes casos:</w:t>
      </w:r>
    </w:p>
    <w:p w14:paraId="18E426B3" w14:textId="77777777" w:rsidR="00FA31C3" w:rsidRPr="00EE4799" w:rsidRDefault="00FA31C3" w:rsidP="00FA31C3">
      <w:pPr>
        <w:tabs>
          <w:tab w:val="left" w:pos="3276"/>
        </w:tabs>
        <w:spacing w:after="0" w:line="240" w:lineRule="auto"/>
        <w:ind w:left="709" w:right="709"/>
        <w:jc w:val="both"/>
        <w:rPr>
          <w:rFonts w:ascii="Verdana" w:eastAsia="Calibri" w:hAnsi="Verdana" w:cs="Arial"/>
          <w:color w:val="000000"/>
          <w:sz w:val="20"/>
          <w:szCs w:val="20"/>
        </w:rPr>
      </w:pPr>
    </w:p>
    <w:p w14:paraId="03AD6750" w14:textId="77777777" w:rsidR="00FA31C3" w:rsidRPr="00EE4799" w:rsidRDefault="00FA31C3" w:rsidP="00FA31C3">
      <w:pPr>
        <w:tabs>
          <w:tab w:val="left" w:pos="3276"/>
        </w:tabs>
        <w:spacing w:after="0" w:line="240" w:lineRule="auto"/>
        <w:ind w:left="709" w:right="709"/>
        <w:jc w:val="both"/>
        <w:rPr>
          <w:rFonts w:ascii="Verdana" w:eastAsia="Calibri" w:hAnsi="Verdana" w:cs="Arial"/>
          <w:color w:val="000000"/>
          <w:sz w:val="20"/>
          <w:szCs w:val="20"/>
        </w:rPr>
      </w:pPr>
      <w:r w:rsidRPr="328AD567">
        <w:rPr>
          <w:rFonts w:ascii="Verdana" w:eastAsia="Calibri" w:hAnsi="Verdana" w:cs="Arial"/>
          <w:color w:val="000000" w:themeColor="text1"/>
          <w:sz w:val="20"/>
          <w:szCs w:val="20"/>
        </w:rPr>
        <w:t>[…]</w:t>
      </w:r>
    </w:p>
    <w:p w14:paraId="2E612A13" w14:textId="77777777" w:rsidR="00FA31C3" w:rsidRPr="00EE4799" w:rsidRDefault="00FA31C3" w:rsidP="00FA31C3">
      <w:pPr>
        <w:tabs>
          <w:tab w:val="left" w:pos="3276"/>
        </w:tabs>
        <w:spacing w:after="0" w:line="240" w:lineRule="auto"/>
        <w:ind w:left="709" w:right="709"/>
        <w:jc w:val="both"/>
        <w:rPr>
          <w:rFonts w:ascii="Verdana" w:eastAsia="Calibri" w:hAnsi="Verdana" w:cs="Arial"/>
          <w:color w:val="000000"/>
          <w:sz w:val="20"/>
          <w:szCs w:val="20"/>
        </w:rPr>
      </w:pPr>
      <w:r w:rsidRPr="328AD567">
        <w:rPr>
          <w:rFonts w:ascii="Verdana" w:eastAsia="Calibri" w:hAnsi="Verdana" w:cs="Arial"/>
          <w:color w:val="000000" w:themeColor="text1"/>
          <w:sz w:val="20"/>
          <w:szCs w:val="20"/>
        </w:rPr>
        <w:lastRenderedPageBreak/>
        <w:t>h) Para la prestación de servicios profesionales y de apoyo a la gestión, o para la ejecución de trabajos artísticos que sólo puedan encomendarse a determinadas personas naturales;”</w:t>
      </w:r>
    </w:p>
    <w:p w14:paraId="6097F5B7" w14:textId="77777777" w:rsidR="00FA31C3" w:rsidRPr="00342512" w:rsidRDefault="00FA31C3" w:rsidP="00FA31C3">
      <w:pPr>
        <w:tabs>
          <w:tab w:val="left" w:pos="3276"/>
        </w:tabs>
        <w:spacing w:after="0" w:line="240" w:lineRule="auto"/>
        <w:ind w:right="709"/>
        <w:jc w:val="both"/>
        <w:rPr>
          <w:rFonts w:ascii="Verdana" w:eastAsia="Calibri" w:hAnsi="Verdana" w:cs="Arial"/>
          <w:color w:val="000000"/>
        </w:rPr>
      </w:pPr>
    </w:p>
    <w:p w14:paraId="40BA4D04" w14:textId="77777777" w:rsidR="00FA31C3" w:rsidRPr="00342512" w:rsidRDefault="00FA31C3" w:rsidP="00FA31C3">
      <w:pPr>
        <w:tabs>
          <w:tab w:val="left" w:pos="3276"/>
        </w:tabs>
        <w:spacing w:after="0" w:line="276" w:lineRule="auto"/>
        <w:ind w:firstLine="709"/>
        <w:jc w:val="both"/>
        <w:rPr>
          <w:rFonts w:ascii="Verdana" w:eastAsia="Calibri" w:hAnsi="Verdana" w:cs="Arial"/>
          <w:color w:val="000000"/>
        </w:rPr>
      </w:pPr>
      <w:r w:rsidRPr="00342512">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 profesionales:</w:t>
      </w:r>
    </w:p>
    <w:p w14:paraId="46295CA2" w14:textId="77777777" w:rsidR="00FA31C3" w:rsidRPr="00342512" w:rsidRDefault="00FA31C3" w:rsidP="00FA31C3">
      <w:pPr>
        <w:tabs>
          <w:tab w:val="left" w:pos="3276"/>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a</w:t>
      </w:r>
      <w:r w:rsidRPr="00342512">
        <w:rPr>
          <w:rFonts w:ascii="Verdana" w:eastAsia="Calibri" w:hAnsi="Verdana" w:cs="Arial"/>
          <w:color w:val="000000"/>
        </w:rPr>
        <w:t xml:space="preserve">) Solo puede celebrarse para realizar </w:t>
      </w:r>
      <w:r>
        <w:rPr>
          <w:rFonts w:ascii="Verdana" w:eastAsia="Calibri" w:hAnsi="Verdana" w:cs="Arial"/>
          <w:color w:val="000000"/>
        </w:rPr>
        <w:t>“</w:t>
      </w:r>
      <w:r w:rsidRPr="00342512">
        <w:rPr>
          <w:rFonts w:ascii="Verdana" w:eastAsia="Calibri" w:hAnsi="Verdana" w:cs="Arial"/>
          <w:color w:val="000000"/>
        </w:rPr>
        <w:t>actividades relacionadas con la administración o funcionamiento de la entidad</w:t>
      </w:r>
      <w:r>
        <w:rPr>
          <w:rFonts w:ascii="Verdana" w:eastAsia="Calibri" w:hAnsi="Verdana" w:cs="Arial"/>
          <w:color w:val="000000"/>
        </w:rPr>
        <w:t>”</w:t>
      </w:r>
      <w:r w:rsidRPr="00342512">
        <w:rPr>
          <w:rFonts w:ascii="Verdana" w:eastAsia="Calibri" w:hAnsi="Verdana" w:cs="Arial"/>
          <w:color w:val="000000"/>
        </w:rPr>
        <w:t>, es decir, que hagan parte de su giro ordinario o quehacer cotidiano.</w:t>
      </w:r>
    </w:p>
    <w:p w14:paraId="3BD385F3" w14:textId="77777777" w:rsidR="00FA31C3" w:rsidRPr="00342512" w:rsidRDefault="00FA31C3" w:rsidP="00FA31C3">
      <w:pPr>
        <w:tabs>
          <w:tab w:val="left" w:pos="3276"/>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b</w:t>
      </w:r>
      <w:r w:rsidRPr="00342512">
        <w:rPr>
          <w:rFonts w:ascii="Verdana" w:eastAsia="Calibri" w:hAnsi="Verdana" w:cs="Arial"/>
          <w:color w:val="000000"/>
        </w:rPr>
        <w:t>) Admite que se suscriba tanto con personas naturales, como con personas jurídicas. Sin embargo, cuando pretenda celebrarse con una persona natural, la entidad estatal debe justificar en los estudios previos que las actividades que</w:t>
      </w:r>
      <w:r>
        <w:rPr>
          <w:rFonts w:ascii="Verdana" w:eastAsia="Calibri" w:hAnsi="Verdana" w:cs="Arial"/>
          <w:color w:val="000000"/>
        </w:rPr>
        <w:t xml:space="preserve"> buscan encomendarse a aquella “</w:t>
      </w:r>
      <w:r w:rsidRPr="00342512">
        <w:rPr>
          <w:rFonts w:ascii="Verdana" w:eastAsia="Calibri" w:hAnsi="Verdana" w:cs="Arial"/>
          <w:color w:val="000000"/>
        </w:rPr>
        <w:t>no puedan realizarse con personal de planta o requier</w:t>
      </w:r>
      <w:r>
        <w:rPr>
          <w:rFonts w:ascii="Verdana" w:eastAsia="Calibri" w:hAnsi="Verdana" w:cs="Arial"/>
          <w:color w:val="000000"/>
        </w:rPr>
        <w:t>an conocimientos especializados”</w:t>
      </w:r>
      <w:r w:rsidRPr="00342512">
        <w:rPr>
          <w:rFonts w:ascii="Verdana" w:eastAsia="Calibri" w:hAnsi="Verdana" w:cs="Arial"/>
          <w:color w:val="000000"/>
        </w:rPr>
        <w:t>.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3CC67F9D" w14:textId="77777777" w:rsidR="00FA31C3" w:rsidRPr="00342512" w:rsidRDefault="00FA31C3" w:rsidP="00FA31C3">
      <w:pPr>
        <w:tabs>
          <w:tab w:val="left" w:pos="3276"/>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c</w:t>
      </w:r>
      <w:r w:rsidRPr="00342512">
        <w:rPr>
          <w:rFonts w:ascii="Verdana" w:eastAsia="Calibri" w:hAnsi="Verdana" w:cs="Arial"/>
          <w:color w:val="000000"/>
        </w:rPr>
        <w:t>) Si bien se celebran para obtener la prestación personal de un servicio, se diferencian del contrato de trabajo</w:t>
      </w:r>
      <w:r>
        <w:rPr>
          <w:rStyle w:val="Refdenotaalpie"/>
          <w:rFonts w:ascii="Verdana" w:eastAsia="Calibri" w:hAnsi="Verdana" w:cs="Arial"/>
          <w:color w:val="000000"/>
        </w:rPr>
        <w:footnoteReference w:id="10"/>
      </w:r>
      <w:r w:rsidRPr="00342512">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328AD567">
        <w:rPr>
          <w:rFonts w:ascii="Verdana" w:eastAsia="Calibri" w:hAnsi="Verdana" w:cs="Arial"/>
          <w:i/>
          <w:iCs/>
          <w:color w:val="000000"/>
        </w:rPr>
        <w:t>subordinación y dependencia</w:t>
      </w:r>
      <w:r w:rsidRPr="328AD567">
        <w:rPr>
          <w:rFonts w:ascii="Verdana" w:eastAsia="Calibri" w:hAnsi="Verdana" w:cs="Arial"/>
          <w:color w:val="000000"/>
        </w:rPr>
        <w:t>,</w:t>
      </w:r>
      <w:r w:rsidRPr="00342512">
        <w:rPr>
          <w:rFonts w:ascii="Verdana" w:eastAsia="Calibri" w:hAnsi="Verdana" w:cs="Arial"/>
          <w:color w:val="000000"/>
        </w:rPr>
        <w:t xml:space="preserve"> que es uno de los elementos constitutivos del vínculo laboral. Por ello el artículo 32, numeral 3º, de l</w:t>
      </w:r>
      <w:r>
        <w:rPr>
          <w:rFonts w:ascii="Verdana" w:eastAsia="Calibri" w:hAnsi="Verdana" w:cs="Arial"/>
          <w:color w:val="000000"/>
        </w:rPr>
        <w:t>a Ley 80 de 1993 establece que “</w:t>
      </w:r>
      <w:r w:rsidRPr="00342512">
        <w:rPr>
          <w:rFonts w:ascii="Verdana" w:eastAsia="Calibri" w:hAnsi="Verdana" w:cs="Arial"/>
          <w:color w:val="000000"/>
        </w:rPr>
        <w:t>En ningún caso estos contratos generan relación laboral ni prestaciones sociales</w:t>
      </w:r>
      <w:r>
        <w:rPr>
          <w:rFonts w:ascii="Verdana" w:eastAsia="Calibri" w:hAnsi="Verdana" w:cs="Arial"/>
          <w:color w:val="000000"/>
        </w:rPr>
        <w:t>”</w:t>
      </w:r>
      <w:r w:rsidRPr="00342512">
        <w:rPr>
          <w:rFonts w:ascii="Verdana" w:eastAsia="Calibri" w:hAnsi="Verdana" w:cs="Arial"/>
          <w:color w:val="000000"/>
        </w:rPr>
        <w:t xml:space="preserve">, </w:t>
      </w:r>
      <w:r w:rsidRPr="00342512">
        <w:rPr>
          <w:rFonts w:ascii="Verdana" w:eastAsia="Calibri" w:hAnsi="Verdana" w:cs="Arial"/>
          <w:color w:val="000000"/>
        </w:rPr>
        <w:lastRenderedPageBreak/>
        <w:t xml:space="preserve">inciso que más que un enunciado que aluda al </w:t>
      </w:r>
      <w:r>
        <w:rPr>
          <w:rFonts w:ascii="Verdana" w:eastAsia="Calibri" w:hAnsi="Verdana" w:cs="Arial"/>
          <w:color w:val="000000"/>
        </w:rPr>
        <w:t>“ser”</w:t>
      </w:r>
      <w:r w:rsidRPr="00342512">
        <w:rPr>
          <w:rFonts w:ascii="Verdana" w:eastAsia="Calibri" w:hAnsi="Verdana" w:cs="Arial"/>
          <w:color w:val="000000"/>
        </w:rPr>
        <w:t xml:space="preserve"> se refiere al </w:t>
      </w:r>
      <w:r>
        <w:rPr>
          <w:rFonts w:ascii="Verdana" w:eastAsia="Calibri" w:hAnsi="Verdana" w:cs="Arial"/>
          <w:color w:val="000000"/>
        </w:rPr>
        <w:t>“deber ser”</w:t>
      </w:r>
      <w:r w:rsidRPr="00342512">
        <w:rPr>
          <w:rFonts w:ascii="Verdana" w:eastAsia="Calibri" w:hAnsi="Verdana" w:cs="Arial"/>
          <w:color w:val="000000"/>
        </w:rPr>
        <w:t xml:space="preserve">, pues debe interpretarse en el sentido de que los contratos de prestación de servicios profesionales </w:t>
      </w:r>
      <w:r w:rsidRPr="328AD567">
        <w:rPr>
          <w:rFonts w:ascii="Verdana" w:eastAsia="Calibri" w:hAnsi="Verdana" w:cs="Arial"/>
          <w:i/>
          <w:iCs/>
          <w:color w:val="000000"/>
        </w:rPr>
        <w:t>no pueden</w:t>
      </w:r>
      <w:r w:rsidRPr="00342512">
        <w:rPr>
          <w:rFonts w:ascii="Verdana" w:eastAsia="Calibri" w:hAnsi="Verdana" w:cs="Arial"/>
          <w:color w:val="000000"/>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w:t>
      </w:r>
      <w:r>
        <w:rPr>
          <w:rFonts w:ascii="Verdana" w:eastAsia="Calibri" w:hAnsi="Verdana" w:cs="Arial"/>
          <w:color w:val="000000"/>
        </w:rPr>
        <w:t xml:space="preserve"> es el contratista quien, como “</w:t>
      </w:r>
      <w:r w:rsidRPr="00342512">
        <w:rPr>
          <w:rFonts w:ascii="Verdana" w:eastAsia="Calibri" w:hAnsi="Verdana" w:cs="Arial"/>
          <w:color w:val="000000"/>
        </w:rPr>
        <w:t>trabajador independiente</w:t>
      </w:r>
      <w:r>
        <w:rPr>
          <w:rFonts w:ascii="Verdana" w:eastAsia="Calibri" w:hAnsi="Verdana" w:cs="Arial"/>
          <w:color w:val="000000"/>
        </w:rPr>
        <w:t xml:space="preserve">” </w:t>
      </w:r>
      <w:r w:rsidRPr="00342512">
        <w:rPr>
          <w:rFonts w:ascii="Verdana" w:eastAsia="Calibri" w:hAnsi="Verdana" w:cs="Arial"/>
          <w:color w:val="000000"/>
        </w:rPr>
        <w:t xml:space="preserve">–como lo califican las normas en materia de seguridad social– debe cotizar por </w:t>
      </w:r>
      <w:r w:rsidRPr="00BC1DCC">
        <w:rPr>
          <w:rFonts w:ascii="Verdana" w:eastAsia="Calibri" w:hAnsi="Verdana" w:cs="Arial"/>
          <w:color w:val="000000"/>
        </w:rPr>
        <w:t xml:space="preserve">su cuenta y riesgo al Sistema de Seguridad Social Integral. Pero es posible que, a pesar de este mandato deontológico, en la práctica surja la relación laboral, pues, como se sabe, el contrato de trabajo es un </w:t>
      </w:r>
      <w:r w:rsidRPr="328AD567">
        <w:rPr>
          <w:rFonts w:ascii="Verdana" w:eastAsia="Calibri" w:hAnsi="Verdana" w:cs="Arial"/>
          <w:i/>
          <w:iCs/>
          <w:color w:val="000000"/>
        </w:rPr>
        <w:t>contrato realidad</w:t>
      </w:r>
      <w:r w:rsidRPr="00BC1DCC">
        <w:rPr>
          <w:rFonts w:ascii="Verdana" w:eastAsia="Calibri" w:hAnsi="Verdana" w:cs="Arial"/>
          <w:color w:val="000000"/>
        </w:rPr>
        <w:t>, ya que para su perfeccionamiento rige el principio de la prevalencia de la realidad sobre las formalidades. 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Pr>
          <w:rStyle w:val="Refdenotaalpie"/>
          <w:rFonts w:ascii="Verdana" w:eastAsia="Calibri" w:hAnsi="Verdana" w:cs="Arial"/>
          <w:color w:val="000000"/>
        </w:rPr>
        <w:footnoteReference w:id="11"/>
      </w:r>
      <w:r w:rsidRPr="00BC1DCC">
        <w:rPr>
          <w:rFonts w:ascii="Verdana" w:eastAsia="Calibri" w:hAnsi="Verdana" w:cs="Arial"/>
          <w:color w:val="000000"/>
        </w:rPr>
        <w:t>.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BC1DCC">
        <w:rPr>
          <w:rFonts w:ascii="Verdana" w:eastAsia="Calibri" w:hAnsi="Verdana" w:cs="Arial"/>
          <w:color w:val="000000"/>
          <w:vertAlign w:val="superscript"/>
        </w:rPr>
        <w:footnoteReference w:id="12"/>
      </w:r>
      <w:r w:rsidRPr="00BC1DCC">
        <w:rPr>
          <w:rFonts w:ascii="Verdana" w:eastAsia="Calibri" w:hAnsi="Verdana" w:cs="Arial"/>
          <w:color w:val="000000"/>
        </w:rPr>
        <w:t>. De modo que, bajo la perspectiva indicada, se podría invocar la presunción de la existencia de una relación laboral; siendo contrario a uno de los aspectos más relevantes del contrato de prestación de servicio, la autonomía e independe</w:t>
      </w:r>
      <w:r>
        <w:rPr>
          <w:rFonts w:ascii="Verdana" w:eastAsia="Calibri" w:hAnsi="Verdana" w:cs="Arial"/>
          <w:color w:val="000000"/>
        </w:rPr>
        <w:t xml:space="preserve">ncia en la ejecución </w:t>
      </w:r>
      <w:proofErr w:type="gramStart"/>
      <w:r>
        <w:rPr>
          <w:rFonts w:ascii="Verdana" w:eastAsia="Calibri" w:hAnsi="Verdana" w:cs="Arial"/>
          <w:color w:val="000000"/>
        </w:rPr>
        <w:t>del mismo</w:t>
      </w:r>
      <w:proofErr w:type="gramEnd"/>
      <w:r>
        <w:rPr>
          <w:rFonts w:ascii="Verdana" w:eastAsia="Calibri" w:hAnsi="Verdana" w:cs="Arial"/>
          <w:color w:val="000000"/>
        </w:rPr>
        <w:t>.</w:t>
      </w:r>
    </w:p>
    <w:p w14:paraId="261A76B0" w14:textId="77777777" w:rsidR="00FA31C3" w:rsidRPr="00342512" w:rsidRDefault="00FA31C3" w:rsidP="00FA31C3">
      <w:pPr>
        <w:tabs>
          <w:tab w:val="left" w:pos="3276"/>
        </w:tabs>
        <w:spacing w:after="0" w:line="276" w:lineRule="auto"/>
        <w:ind w:firstLine="709"/>
        <w:jc w:val="both"/>
        <w:rPr>
          <w:rFonts w:ascii="Verdana" w:eastAsia="Calibri" w:hAnsi="Verdana" w:cs="Arial"/>
          <w:color w:val="000000"/>
        </w:rPr>
      </w:pPr>
      <w:r>
        <w:rPr>
          <w:rFonts w:ascii="Verdana" w:eastAsia="Calibri" w:hAnsi="Verdana" w:cs="Arial"/>
          <w:color w:val="000000"/>
        </w:rPr>
        <w:t>d</w:t>
      </w:r>
      <w:r w:rsidRPr="00342512">
        <w:rPr>
          <w:rFonts w:ascii="Verdana" w:eastAsia="Calibri" w:hAnsi="Verdana" w:cs="Arial"/>
          <w:color w:val="000000"/>
        </w:rPr>
        <w:t>) Deben ser temporales. Así lo señaló la Corte Constitucional en la misma providencia a la que se aludió previamente, expresando que:</w:t>
      </w:r>
    </w:p>
    <w:p w14:paraId="604810CE" w14:textId="77777777" w:rsidR="00FA31C3" w:rsidRPr="00342512" w:rsidRDefault="00FA31C3" w:rsidP="00FA31C3">
      <w:pPr>
        <w:tabs>
          <w:tab w:val="left" w:pos="3276"/>
        </w:tabs>
        <w:spacing w:after="0" w:line="276" w:lineRule="auto"/>
        <w:ind w:firstLine="709"/>
        <w:jc w:val="both"/>
        <w:rPr>
          <w:rFonts w:ascii="Verdana" w:eastAsia="Calibri" w:hAnsi="Verdana" w:cs="Arial"/>
          <w:color w:val="000000"/>
        </w:rPr>
      </w:pPr>
    </w:p>
    <w:p w14:paraId="47B9AAFE" w14:textId="77777777" w:rsidR="00FA31C3" w:rsidRPr="00917FBF" w:rsidRDefault="00FA31C3" w:rsidP="00FA31C3">
      <w:pPr>
        <w:tabs>
          <w:tab w:val="left" w:pos="3276"/>
        </w:tabs>
        <w:spacing w:after="0" w:line="240" w:lineRule="auto"/>
        <w:ind w:left="709" w:right="709"/>
        <w:jc w:val="both"/>
        <w:rPr>
          <w:rFonts w:ascii="Verdana" w:eastAsia="Calibri" w:hAnsi="Verdana" w:cs="Arial"/>
          <w:color w:val="000000"/>
          <w:sz w:val="20"/>
          <w:szCs w:val="20"/>
        </w:rPr>
      </w:pPr>
      <w:r w:rsidRPr="00917FBF">
        <w:rPr>
          <w:rFonts w:ascii="Verdana" w:eastAsia="Calibri" w:hAnsi="Verdana" w:cs="Arial"/>
          <w:color w:val="000000"/>
          <w:sz w:val="20"/>
          <w:szCs w:val="20"/>
        </w:rPr>
        <w:lastRenderedPageBreak/>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917FBF">
        <w:rPr>
          <w:rStyle w:val="Refdenotaalpie"/>
          <w:rFonts w:ascii="Verdana" w:eastAsia="Calibri" w:hAnsi="Verdana" w:cs="Arial"/>
          <w:color w:val="000000"/>
          <w:sz w:val="20"/>
          <w:szCs w:val="20"/>
        </w:rPr>
        <w:footnoteReference w:id="13"/>
      </w:r>
      <w:r w:rsidRPr="00917FBF">
        <w:rPr>
          <w:rFonts w:ascii="Verdana" w:eastAsia="Calibri" w:hAnsi="Verdana" w:cs="Arial"/>
          <w:color w:val="000000"/>
          <w:sz w:val="20"/>
          <w:szCs w:val="20"/>
        </w:rPr>
        <w:t>.</w:t>
      </w:r>
    </w:p>
    <w:p w14:paraId="38E1AB4A" w14:textId="77777777" w:rsidR="00FA31C3" w:rsidRPr="009E0E25" w:rsidRDefault="00FA31C3" w:rsidP="00FA31C3">
      <w:pPr>
        <w:widowControl w:val="0"/>
        <w:tabs>
          <w:tab w:val="left" w:pos="3276"/>
        </w:tabs>
        <w:autoSpaceDE w:val="0"/>
        <w:autoSpaceDN w:val="0"/>
        <w:spacing w:after="120" w:line="276" w:lineRule="auto"/>
        <w:jc w:val="both"/>
        <w:rPr>
          <w:rFonts w:ascii="Verdana" w:eastAsia="Arial" w:hAnsi="Verdana" w:cs="Arial"/>
        </w:rPr>
      </w:pPr>
    </w:p>
    <w:p w14:paraId="447507A1" w14:textId="77777777" w:rsidR="00FA31C3" w:rsidRPr="009E0E25" w:rsidRDefault="00FA31C3" w:rsidP="00FA31C3">
      <w:pPr>
        <w:tabs>
          <w:tab w:val="left" w:pos="3276"/>
        </w:tabs>
        <w:spacing w:after="120" w:line="276" w:lineRule="auto"/>
        <w:ind w:firstLine="709"/>
        <w:jc w:val="both"/>
        <w:rPr>
          <w:rFonts w:ascii="Verdana" w:eastAsia="Calibri" w:hAnsi="Verdana" w:cs="Arial"/>
          <w:color w:val="000000"/>
          <w:lang w:val="es-ES_tradnl" w:eastAsia="es-ES_tradnl"/>
        </w:rPr>
      </w:pPr>
      <w:r w:rsidRPr="328AD567">
        <w:rPr>
          <w:rFonts w:ascii="Verdana" w:eastAsia="Calibri" w:hAnsi="Verdana" w:cs="Arial"/>
          <w:color w:val="000000"/>
          <w:lang w:eastAsia="es-ES"/>
        </w:rPr>
        <w:t>e</w:t>
      </w:r>
      <w:r w:rsidRPr="328AD567">
        <w:rPr>
          <w:rFonts w:ascii="Verdana" w:eastAsia="Calibri" w:hAnsi="Verdana" w:cs="Arial"/>
          <w:color w:val="000000"/>
          <w:lang w:val="es-ES" w:eastAsia="es-ES"/>
        </w:rPr>
        <w:t xml:space="preserve">) Los contratos de prestación de servicios constituyen un </w:t>
      </w:r>
      <w:r w:rsidRPr="328AD567">
        <w:rPr>
          <w:rFonts w:ascii="Verdana" w:eastAsia="Calibri" w:hAnsi="Verdana" w:cs="Arial"/>
          <w:i/>
          <w:iCs/>
          <w:color w:val="000000"/>
          <w:lang w:val="es-ES" w:eastAsia="es-ES"/>
        </w:rPr>
        <w:t>género</w:t>
      </w:r>
      <w:r w:rsidRPr="328AD567">
        <w:rPr>
          <w:rFonts w:ascii="Verdana" w:eastAsia="Calibri" w:hAnsi="Verdana" w:cs="Arial"/>
          <w:color w:val="000000"/>
          <w:lang w:val="es-ES" w:eastAsia="es-ES"/>
        </w:rPr>
        <w:t xml:space="preserve"> que incluye, como </w:t>
      </w:r>
      <w:r w:rsidRPr="328AD567">
        <w:rPr>
          <w:rFonts w:ascii="Verdana" w:eastAsia="Calibri" w:hAnsi="Verdana" w:cs="Arial"/>
          <w:i/>
          <w:iCs/>
          <w:color w:val="000000"/>
          <w:lang w:val="es-ES" w:eastAsia="es-ES"/>
        </w:rPr>
        <w:t>especies</w:t>
      </w:r>
      <w:r w:rsidRPr="328AD567">
        <w:rPr>
          <w:rFonts w:ascii="Verdana" w:eastAsia="Calibri" w:hAnsi="Verdana" w:cs="Arial"/>
          <w:color w:val="000000"/>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328AD567">
        <w:rPr>
          <w:rFonts w:ascii="Verdana" w:eastAsia="Calibri" w:hAnsi="Verdana" w:cs="Arial"/>
          <w:color w:val="000000"/>
          <w:vertAlign w:val="superscript"/>
          <w:lang w:val="es-ES" w:eastAsia="es-ES"/>
        </w:rPr>
        <w:footnoteReference w:id="14"/>
      </w:r>
      <w:r w:rsidRPr="328AD567">
        <w:rPr>
          <w:rFonts w:ascii="Verdana" w:eastAsia="Calibri" w:hAnsi="Verdana" w:cs="Arial"/>
          <w:color w:val="000000"/>
          <w:lang w:val="es-ES" w:eastAsia="es-ES"/>
        </w:rPr>
        <w:t xml:space="preserve">. La diferencia entre el contrato de prestación de servicios </w:t>
      </w:r>
      <w:r w:rsidRPr="328AD567">
        <w:rPr>
          <w:rFonts w:ascii="Verdana" w:eastAsia="Calibri" w:hAnsi="Verdana" w:cs="Arial"/>
          <w:i/>
          <w:iCs/>
          <w:color w:val="000000"/>
          <w:lang w:val="es-ES" w:eastAsia="es-ES"/>
        </w:rPr>
        <w:t>profesionales</w:t>
      </w:r>
      <w:r w:rsidRPr="328AD567">
        <w:rPr>
          <w:rFonts w:ascii="Verdana" w:eastAsia="Calibri" w:hAnsi="Verdana" w:cs="Arial"/>
          <w:color w:val="000000"/>
          <w:lang w:val="es-ES" w:eastAsia="es-ES"/>
        </w:rPr>
        <w:t xml:space="preserve"> con las otras dos especies del género en el cual se ubican radica en su contenido intelectual intangible y, al mismo tiempo, en la formación profesional que se exige para desempeñar la labor</w:t>
      </w:r>
      <w:r w:rsidRPr="328AD567">
        <w:rPr>
          <w:rFonts w:ascii="Verdana" w:eastAsia="Calibri" w:hAnsi="Verdana" w:cs="Arial"/>
          <w:color w:val="000000"/>
          <w:vertAlign w:val="superscript"/>
          <w:lang w:val="es-ES" w:eastAsia="es-ES"/>
        </w:rPr>
        <w:footnoteReference w:id="15"/>
      </w:r>
      <w:r w:rsidRPr="328AD567">
        <w:rPr>
          <w:rFonts w:ascii="Verdana" w:eastAsia="Calibri" w:hAnsi="Verdana" w:cs="Arial"/>
          <w:color w:val="000000"/>
          <w:lang w:val="es-ES" w:eastAsia="es-ES"/>
        </w:rPr>
        <w:t>.</w:t>
      </w:r>
    </w:p>
    <w:p w14:paraId="58B28BD8" w14:textId="77777777" w:rsidR="00FA31C3" w:rsidRPr="009E0E25" w:rsidRDefault="00FA31C3" w:rsidP="00FA31C3">
      <w:pPr>
        <w:tabs>
          <w:tab w:val="left" w:pos="3276"/>
        </w:tabs>
        <w:spacing w:after="120" w:line="276" w:lineRule="auto"/>
        <w:ind w:firstLine="709"/>
        <w:jc w:val="both"/>
        <w:rPr>
          <w:rFonts w:ascii="Verdana" w:eastAsia="Calibri" w:hAnsi="Verdana" w:cs="Arial"/>
          <w:color w:val="000000"/>
          <w:lang w:val="es-ES" w:eastAsia="es-ES"/>
        </w:rPr>
      </w:pPr>
      <w:r w:rsidRPr="328AD567">
        <w:rPr>
          <w:rFonts w:ascii="Verdana" w:eastAsia="Calibri" w:hAnsi="Verdana" w:cs="Arial"/>
          <w:color w:val="000000"/>
          <w:lang w:val="es-ES" w:eastAsia="es-ES"/>
        </w:rPr>
        <w:t>f</w:t>
      </w:r>
      <w:r w:rsidRPr="009E0E25">
        <w:rPr>
          <w:rFonts w:ascii="Verdana" w:eastAsia="Calibri" w:hAnsi="Verdana" w:cs="Arial"/>
          <w:color w:val="000000"/>
          <w:lang w:val="es-ES" w:eastAsia="es-ES"/>
        </w:rPr>
        <w:t xml:space="preserve">)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si bien en ambos existe un componente intelectual intangible, el objeto del contrato de consultoría es especial y debe celebrarse, por regla general, precedido de un </w:t>
      </w:r>
      <w:r w:rsidRPr="009E0E25">
        <w:rPr>
          <w:rFonts w:ascii="Verdana" w:eastAsia="Calibri" w:hAnsi="Verdana" w:cs="Arial"/>
          <w:color w:val="000000"/>
          <w:lang w:val="es-ES" w:eastAsia="es-ES"/>
        </w:rPr>
        <w:lastRenderedPageBreak/>
        <w:t>concurso de méritos</w:t>
      </w:r>
      <w:r w:rsidRPr="009E0E25">
        <w:rPr>
          <w:rFonts w:ascii="Verdana" w:eastAsia="Calibri" w:hAnsi="Verdana" w:cs="Arial"/>
          <w:color w:val="000000"/>
          <w:vertAlign w:val="superscript"/>
          <w:lang w:val="es-ES" w:eastAsia="es-ES"/>
        </w:rPr>
        <w:footnoteReference w:id="16"/>
      </w:r>
      <w:r w:rsidRPr="009E0E25">
        <w:rPr>
          <w:rFonts w:ascii="Verdana" w:eastAsia="Calibri" w:hAnsi="Verdana" w:cs="Arial"/>
          <w:color w:val="000000"/>
          <w:lang w:val="es-ES" w:eastAsia="es-ES"/>
        </w:rPr>
        <w:t xml:space="preserve">. Pero, tampoco puede suscribirse un contrato de prestación de servicios profesionales para que el contratista ejecute labores que </w:t>
      </w:r>
      <w:proofErr w:type="gramStart"/>
      <w:r w:rsidRPr="009E0E25">
        <w:rPr>
          <w:rFonts w:ascii="Verdana" w:eastAsia="Calibri" w:hAnsi="Verdana" w:cs="Arial"/>
          <w:color w:val="000000"/>
          <w:lang w:val="es-ES" w:eastAsia="es-ES"/>
        </w:rPr>
        <w:t>se enmarcan dentro de</w:t>
      </w:r>
      <w:proofErr w:type="gramEnd"/>
      <w:r w:rsidRPr="009E0E25">
        <w:rPr>
          <w:rFonts w:ascii="Verdana" w:eastAsia="Calibri" w:hAnsi="Verdana" w:cs="Arial"/>
          <w:color w:val="000000"/>
          <w:lang w:val="es-ES" w:eastAsia="es-ES"/>
        </w:rPr>
        <w:t xml:space="preserve"> los otros contratos tipificados en el artículo 32 de la Ley 80 de 1993, como, por ejemplo, para que el contratista de prestación de servicios construya una obra.</w:t>
      </w:r>
    </w:p>
    <w:p w14:paraId="54ABCDEF" w14:textId="77777777" w:rsidR="00FA31C3" w:rsidRPr="009E0E25" w:rsidRDefault="00FA31C3" w:rsidP="00FA31C3">
      <w:pPr>
        <w:tabs>
          <w:tab w:val="left" w:pos="3276"/>
        </w:tabs>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g</w:t>
      </w:r>
      <w:r w:rsidRPr="009E0E25">
        <w:rPr>
          <w:rFonts w:ascii="Verdana" w:eastAsia="Calibri" w:hAnsi="Verdana" w:cs="Arial"/>
          <w:color w:val="000000"/>
          <w:lang w:val="es-ES" w:eastAsia="es-ES"/>
        </w:rPr>
        <w:t>) Para su celebración no se requiere en algunos casos la expedición del acto administrativo de justificación de la contratación directa</w:t>
      </w:r>
      <w:r w:rsidRPr="009E0E25">
        <w:rPr>
          <w:rFonts w:ascii="Verdana" w:eastAsia="Calibri" w:hAnsi="Verdana" w:cs="Arial"/>
          <w:color w:val="000000"/>
          <w:vertAlign w:val="superscript"/>
          <w:lang w:val="es-ES" w:eastAsia="es-ES"/>
        </w:rPr>
        <w:footnoteReference w:id="17"/>
      </w:r>
      <w:r w:rsidRPr="009E0E25">
        <w:rPr>
          <w:rFonts w:ascii="Verdana" w:eastAsia="Calibri" w:hAnsi="Verdana" w:cs="Arial"/>
          <w:color w:val="000000"/>
          <w:lang w:val="es-ES" w:eastAsia="es-ES"/>
        </w:rPr>
        <w:t xml:space="preserve">. </w:t>
      </w:r>
    </w:p>
    <w:p w14:paraId="5E083C50" w14:textId="77777777" w:rsidR="00FA31C3" w:rsidRPr="009E0E25" w:rsidRDefault="00FA31C3" w:rsidP="00FA31C3">
      <w:pPr>
        <w:tabs>
          <w:tab w:val="left" w:pos="3276"/>
        </w:tabs>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h</w:t>
      </w:r>
      <w:r w:rsidRPr="009E0E25">
        <w:rPr>
          <w:rFonts w:ascii="Verdana" w:eastAsia="Calibri" w:hAnsi="Verdana" w:cs="Arial"/>
          <w:color w:val="000000"/>
          <w:lang w:val="es-ES" w:eastAsia="es-ES"/>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9E0E25">
        <w:rPr>
          <w:rFonts w:ascii="Verdana" w:eastAsia="Calibri" w:hAnsi="Verdana" w:cs="Arial"/>
          <w:color w:val="000000"/>
          <w:vertAlign w:val="superscript"/>
          <w:lang w:val="es-ES" w:eastAsia="es-ES"/>
        </w:rPr>
        <w:footnoteReference w:id="18"/>
      </w:r>
      <w:r w:rsidRPr="009E0E25">
        <w:rPr>
          <w:rFonts w:ascii="Verdana" w:eastAsia="Calibri" w:hAnsi="Verdana" w:cs="Arial"/>
          <w:color w:val="000000"/>
          <w:lang w:val="es-ES" w:eastAsia="es-ES"/>
        </w:rPr>
        <w:t>.</w:t>
      </w:r>
    </w:p>
    <w:p w14:paraId="7CFEB7E1" w14:textId="77777777" w:rsidR="00FA31C3" w:rsidRPr="009E0E25" w:rsidRDefault="00FA31C3" w:rsidP="00FA31C3">
      <w:pPr>
        <w:tabs>
          <w:tab w:val="left" w:pos="3276"/>
        </w:tabs>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lastRenderedPageBreak/>
        <w:t>i</w:t>
      </w:r>
      <w:r w:rsidRPr="009E0E25">
        <w:rPr>
          <w:rFonts w:ascii="Verdana" w:eastAsia="Calibri" w:hAnsi="Verdana" w:cs="Arial"/>
          <w:color w:val="000000"/>
          <w:lang w:val="es-ES" w:eastAsia="es-ES"/>
        </w:rPr>
        <w:t>) En algunos casos no es obligatoria la liquidación, pues así lo estableció el artículo 217 del Decreto 019 de 2012, que modificó el artículo 60 de la Ley 80 de 1993</w:t>
      </w:r>
      <w:r w:rsidRPr="009E0E25">
        <w:rPr>
          <w:rFonts w:ascii="Verdana" w:eastAsia="Calibri" w:hAnsi="Verdana" w:cs="Arial"/>
          <w:color w:val="000000"/>
          <w:vertAlign w:val="superscript"/>
          <w:lang w:val="es-ES" w:eastAsia="es-ES"/>
        </w:rPr>
        <w:footnoteReference w:id="19"/>
      </w:r>
      <w:r w:rsidRPr="009E0E25">
        <w:rPr>
          <w:rFonts w:ascii="Verdana" w:eastAsia="Calibri" w:hAnsi="Verdana" w:cs="Arial"/>
          <w:color w:val="000000"/>
          <w:lang w:val="es-ES" w:eastAsia="es-ES"/>
        </w:rPr>
        <w:t>, refiriéndose a los contratos de prestación de servicios profesionales y de apoyo a la gestión.</w:t>
      </w:r>
    </w:p>
    <w:p w14:paraId="52E12561" w14:textId="77777777" w:rsidR="00FA31C3" w:rsidRPr="009E0E25" w:rsidRDefault="00FA31C3" w:rsidP="00FA31C3">
      <w:pPr>
        <w:tabs>
          <w:tab w:val="left" w:pos="3276"/>
        </w:tabs>
        <w:spacing w:after="120" w:line="276" w:lineRule="auto"/>
        <w:ind w:firstLine="709"/>
        <w:jc w:val="both"/>
        <w:rPr>
          <w:rFonts w:ascii="Verdana" w:eastAsia="Calibri" w:hAnsi="Verdana" w:cs="Arial"/>
          <w:color w:val="000000"/>
          <w:lang w:val="es-ES_tradnl" w:eastAsia="es-ES_tradnl"/>
        </w:rPr>
      </w:pPr>
      <w:r w:rsidRPr="328AD567">
        <w:rPr>
          <w:rFonts w:ascii="Verdana" w:eastAsia="Calibri" w:hAnsi="Verdana" w:cs="Arial"/>
          <w:color w:val="000000"/>
          <w:lang w:val="es-ES" w:eastAsia="es-ES"/>
        </w:rPr>
        <w:t>j) Para su celebración no se requiere inscripción en el Registro Único de Proponentes (RUP), según lo prevé el artículo 6 de la Ley 1150 de 2007</w:t>
      </w:r>
      <w:r w:rsidRPr="328AD567">
        <w:rPr>
          <w:rFonts w:ascii="Verdana" w:eastAsia="Calibri" w:hAnsi="Verdana" w:cs="Arial"/>
          <w:color w:val="000000"/>
          <w:vertAlign w:val="superscript"/>
          <w:lang w:val="es-ES" w:eastAsia="es-ES"/>
        </w:rPr>
        <w:footnoteReference w:id="20"/>
      </w:r>
      <w:r w:rsidRPr="328AD567">
        <w:rPr>
          <w:rFonts w:ascii="Verdana" w:eastAsia="Calibri" w:hAnsi="Verdana" w:cs="Arial"/>
          <w:color w:val="000000"/>
          <w:lang w:val="es-ES" w:eastAsia="es-ES"/>
        </w:rPr>
        <w:t>.</w:t>
      </w:r>
    </w:p>
    <w:p w14:paraId="2263D0C8" w14:textId="77777777" w:rsidR="00FA31C3" w:rsidRPr="009E0E25" w:rsidRDefault="00FA31C3" w:rsidP="00FA31C3">
      <w:pPr>
        <w:tabs>
          <w:tab w:val="left" w:pos="3276"/>
        </w:tabs>
        <w:spacing w:after="120" w:line="276" w:lineRule="auto"/>
        <w:ind w:firstLine="709"/>
        <w:jc w:val="both"/>
        <w:rPr>
          <w:rFonts w:ascii="Verdana" w:eastAsia="Calibri" w:hAnsi="Verdana" w:cs="Arial"/>
          <w:color w:val="000000"/>
          <w:lang w:val="es-ES_tradnl" w:eastAsia="es-ES_tradnl"/>
        </w:rPr>
      </w:pPr>
      <w:r w:rsidRPr="328AD567">
        <w:rPr>
          <w:rFonts w:ascii="Verdana" w:eastAsia="Calibri" w:hAnsi="Verdana" w:cs="Arial"/>
          <w:color w:val="000000"/>
          <w:lang w:val="es-ES" w:eastAsia="es-ES"/>
        </w:rPr>
        <w:t>xi) En ellos no son necesarias las garantías</w:t>
      </w:r>
      <w:r w:rsidRPr="328AD567">
        <w:rPr>
          <w:rFonts w:ascii="Verdana" w:eastAsia="Calibri" w:hAnsi="Verdana" w:cs="Arial"/>
          <w:color w:val="000000"/>
          <w:vertAlign w:val="superscript"/>
          <w:lang w:val="es-ES" w:eastAsia="es-ES"/>
        </w:rPr>
        <w:footnoteReference w:id="21"/>
      </w:r>
      <w:r w:rsidRPr="328AD567">
        <w:rPr>
          <w:rFonts w:ascii="Verdana" w:eastAsia="Calibri" w:hAnsi="Verdana" w:cs="Arial"/>
          <w:color w:val="000000"/>
          <w:lang w:val="es-ES" w:eastAsia="es-ES"/>
        </w:rPr>
        <w:t>.</w:t>
      </w:r>
    </w:p>
    <w:p w14:paraId="6A4D5AA0" w14:textId="77777777" w:rsidR="00FA31C3" w:rsidRPr="00F449F4" w:rsidRDefault="00FA31C3" w:rsidP="00FA31C3">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_tradnl"/>
        </w:rPr>
        <w:t xml:space="preserve">Teniendo en cuenta las características de los contratos de prestación de servicios y a partir de las consideraciones sobre la aplicación de los principios de la contratación pública en la modalidad de contratación directa, se precisa que la nominación de una persona determinada en los estudios previos de prestación de servicios no </w:t>
      </w:r>
      <w:r w:rsidRPr="006443FE">
        <w:rPr>
          <w:rFonts w:ascii="Verdana" w:eastAsia="Calibri" w:hAnsi="Verdana" w:cs="Arial"/>
          <w:color w:val="000000" w:themeColor="text1"/>
          <w:lang w:val="es-ES"/>
        </w:rPr>
        <w:t xml:space="preserve">vulnera </w:t>
      </w:r>
      <w:r>
        <w:rPr>
          <w:rFonts w:ascii="Verdana" w:eastAsia="Calibri" w:hAnsi="Verdana" w:cs="Arial"/>
          <w:color w:val="000000" w:themeColor="text1"/>
          <w:lang w:val="es-ES"/>
        </w:rPr>
        <w:t xml:space="preserve">per se </w:t>
      </w:r>
      <w:r w:rsidRPr="006443FE">
        <w:rPr>
          <w:rFonts w:ascii="Verdana" w:eastAsia="Calibri" w:hAnsi="Verdana" w:cs="Arial"/>
          <w:color w:val="000000" w:themeColor="text1"/>
          <w:lang w:val="es-ES"/>
        </w:rPr>
        <w:t xml:space="preserve">los principios de transparencia ni de selección objetiva, </w:t>
      </w:r>
      <w:r>
        <w:rPr>
          <w:rFonts w:ascii="Verdana" w:eastAsia="Calibri" w:hAnsi="Verdana" w:cs="Arial"/>
          <w:color w:val="000000" w:themeColor="text1"/>
          <w:lang w:val="es-ES"/>
        </w:rPr>
        <w:t xml:space="preserve">con la condición de que </w:t>
      </w:r>
      <w:r w:rsidRPr="006443FE">
        <w:rPr>
          <w:rFonts w:ascii="Verdana" w:eastAsia="Calibri" w:hAnsi="Verdana" w:cs="Arial"/>
          <w:color w:val="000000" w:themeColor="text1"/>
          <w:lang w:val="es-ES"/>
        </w:rPr>
        <w:t>la decisión de la entidad se fundamenta en criterios previamente definidos y verificables. La transparencia se garantiza porque la entidad debe justificar la contratación</w:t>
      </w:r>
      <w:r>
        <w:rPr>
          <w:rFonts w:ascii="Verdana" w:eastAsia="Calibri" w:hAnsi="Verdana" w:cs="Arial"/>
          <w:color w:val="000000" w:themeColor="text1"/>
          <w:lang w:val="es-ES"/>
        </w:rPr>
        <w:t xml:space="preserve"> de prestación de servicios</w:t>
      </w:r>
      <w:r w:rsidRPr="006443FE">
        <w:rPr>
          <w:rFonts w:ascii="Verdana" w:eastAsia="Calibri" w:hAnsi="Verdana" w:cs="Arial"/>
          <w:color w:val="000000" w:themeColor="text1"/>
          <w:lang w:val="es-ES"/>
        </w:rPr>
        <w:t xml:space="preserve"> en estudios previos, lo que permite que la motivación quede registrada y pueda ser revisada. De esta manera, se evita que la escogencia se base en factores subjetivos como afinidades personales o intereses particulares.</w:t>
      </w:r>
      <w:r w:rsidRPr="00F449F4">
        <w:rPr>
          <w:rFonts w:ascii="Verdana" w:eastAsia="Calibri" w:hAnsi="Verdana" w:cs="Arial"/>
          <w:color w:val="000000" w:themeColor="text1"/>
          <w:lang w:val="es-ES"/>
        </w:rPr>
        <w:t xml:space="preserve"> </w:t>
      </w:r>
    </w:p>
    <w:p w14:paraId="349AA164" w14:textId="77777777" w:rsidR="00FA31C3" w:rsidRDefault="00FA31C3" w:rsidP="00FA31C3">
      <w:pPr>
        <w:spacing w:after="120" w:line="276" w:lineRule="auto"/>
        <w:ind w:firstLine="709"/>
        <w:jc w:val="both"/>
        <w:rPr>
          <w:rFonts w:ascii="Verdana" w:eastAsia="Calibri" w:hAnsi="Verdana" w:cs="Arial"/>
          <w:color w:val="000000" w:themeColor="text1"/>
          <w:lang w:val="es-ES"/>
        </w:rPr>
      </w:pPr>
      <w:r w:rsidRPr="006443FE">
        <w:rPr>
          <w:rFonts w:ascii="Verdana" w:eastAsia="Calibri" w:hAnsi="Verdana" w:cs="Arial"/>
          <w:color w:val="000000" w:themeColor="text1"/>
          <w:lang w:val="es-ES"/>
        </w:rPr>
        <w:t xml:space="preserve">Asimismo, la selección objetiva se mantiene porque la persona contratada es aquella que cumple con los requisitos de idoneidad, experiencia y capacidad para ejecutar el objeto contractual. La entidad </w:t>
      </w:r>
      <w:r>
        <w:rPr>
          <w:rFonts w:ascii="Verdana" w:eastAsia="Calibri" w:hAnsi="Verdana" w:cs="Arial"/>
          <w:color w:val="000000" w:themeColor="text1"/>
          <w:lang w:val="es-ES"/>
        </w:rPr>
        <w:t>debe basarse y justificar la contratación de determinada persona</w:t>
      </w:r>
      <w:r w:rsidRPr="006443FE">
        <w:rPr>
          <w:rFonts w:ascii="Verdana" w:eastAsia="Calibri" w:hAnsi="Verdana" w:cs="Arial"/>
          <w:color w:val="000000" w:themeColor="text1"/>
          <w:lang w:val="es-ES"/>
        </w:rPr>
        <w:t xml:space="preserve"> en criterios técnicos y jurídicos, que ese contratista es el más adecuado para satisfacer la necesidad pública. Esto asegura </w:t>
      </w:r>
      <w:r w:rsidRPr="006443FE">
        <w:rPr>
          <w:rFonts w:ascii="Verdana" w:eastAsia="Calibri" w:hAnsi="Verdana" w:cs="Arial"/>
          <w:color w:val="000000" w:themeColor="text1"/>
          <w:lang w:val="es-ES"/>
        </w:rPr>
        <w:lastRenderedPageBreak/>
        <w:t>que la decisión esté alineada con el principio de planeación y con la finalidad de garantizar la correcta ejecución del contrato.</w:t>
      </w:r>
      <w:r>
        <w:rPr>
          <w:rFonts w:ascii="Verdana" w:eastAsia="Calibri" w:hAnsi="Verdana" w:cs="Arial"/>
          <w:color w:val="000000" w:themeColor="text1"/>
          <w:lang w:val="es-ES"/>
        </w:rPr>
        <w:t xml:space="preserve"> Es decir</w:t>
      </w:r>
      <w:r w:rsidRPr="006443FE">
        <w:rPr>
          <w:rFonts w:ascii="Verdana" w:eastAsia="Calibri" w:hAnsi="Verdana" w:cs="Arial"/>
          <w:color w:val="000000" w:themeColor="text1"/>
          <w:lang w:val="es-ES"/>
        </w:rPr>
        <w:t xml:space="preserve">, la </w:t>
      </w:r>
      <w:r w:rsidRPr="00F449F4">
        <w:rPr>
          <w:rFonts w:ascii="Verdana" w:eastAsia="Calibri" w:hAnsi="Verdana" w:cs="Arial"/>
          <w:color w:val="000000" w:themeColor="text1"/>
          <w:lang w:val="es-ES"/>
        </w:rPr>
        <w:t xml:space="preserve">contratación de una persona por parte de una entidad debe fundamentarse en las calidades y condiciones que resulten necesarias para satisfacer de manera adecuada la necesidad institucional, </w:t>
      </w:r>
      <w:r>
        <w:rPr>
          <w:rFonts w:ascii="Verdana" w:eastAsia="Calibri" w:hAnsi="Verdana" w:cs="Arial"/>
          <w:color w:val="000000" w:themeColor="text1"/>
          <w:lang w:val="es-ES"/>
        </w:rPr>
        <w:t xml:space="preserve">que responda </w:t>
      </w:r>
      <w:r w:rsidRPr="00F449F4">
        <w:rPr>
          <w:rFonts w:ascii="Verdana" w:eastAsia="Calibri" w:hAnsi="Verdana" w:cs="Arial"/>
          <w:color w:val="000000" w:themeColor="text1"/>
          <w:lang w:val="es-ES"/>
        </w:rPr>
        <w:t xml:space="preserve">a la verificación objetiva de la idoneidad, experiencia y capacidad del contratista para cumplir con el objeto contractual. </w:t>
      </w:r>
    </w:p>
    <w:p w14:paraId="2B2E3712" w14:textId="77777777" w:rsidR="00FA31C3" w:rsidRDefault="00FA31C3" w:rsidP="00FA31C3">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Por último</w:t>
      </w:r>
      <w:r w:rsidRPr="006443FE">
        <w:rPr>
          <w:rFonts w:ascii="Verdana" w:eastAsia="Calibri" w:hAnsi="Verdana" w:cs="Arial"/>
          <w:color w:val="000000" w:themeColor="text1"/>
          <w:lang w:val="es-ES"/>
        </w:rPr>
        <w:t xml:space="preserve">, el hecho de que la contratación sea directa </w:t>
      </w:r>
      <w:r>
        <w:rPr>
          <w:rFonts w:ascii="Verdana" w:eastAsia="Calibri" w:hAnsi="Verdana" w:cs="Arial"/>
          <w:color w:val="000000" w:themeColor="text1"/>
          <w:lang w:val="es-ES"/>
        </w:rPr>
        <w:t xml:space="preserve">y que dentro del estudio previo se señale la persona a contratar, </w:t>
      </w:r>
      <w:r w:rsidRPr="006443FE">
        <w:rPr>
          <w:rFonts w:ascii="Verdana" w:eastAsia="Calibri" w:hAnsi="Verdana" w:cs="Arial"/>
          <w:color w:val="000000" w:themeColor="text1"/>
          <w:lang w:val="es-ES"/>
        </w:rPr>
        <w:t xml:space="preserve">no significa que se eliminen las condiciones de escogencia del contratista. Por el contrario, la entidad debe definirlas con claridad, incluso si invita a una sola persona a presentar oferta. La diferencia con las modalidades competitivas radica en que las causales de contratación directa responden a situaciones específicas previstas por el legislador, como la escasez de proveedores o la necesidad de conocimientos especializados. </w:t>
      </w:r>
    </w:p>
    <w:p w14:paraId="27037ACB" w14:textId="77777777" w:rsidR="00FA31C3" w:rsidRPr="002F43E6" w:rsidRDefault="00FA31C3" w:rsidP="00FA31C3">
      <w:pPr>
        <w:spacing w:after="0" w:line="276" w:lineRule="auto"/>
        <w:jc w:val="both"/>
        <w:rPr>
          <w:rFonts w:ascii="Verdana" w:eastAsia="Calibri" w:hAnsi="Verdana" w:cs="Arial"/>
          <w:color w:val="000000" w:themeColor="text1"/>
          <w:lang w:val="es-MX"/>
        </w:rPr>
      </w:pPr>
    </w:p>
    <w:p w14:paraId="4B8A7BA3" w14:textId="77777777" w:rsidR="00FA31C3" w:rsidRPr="009037F6" w:rsidRDefault="00FA31C3" w:rsidP="00FA31C3">
      <w:pPr>
        <w:spacing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iv</w:t>
      </w:r>
      <w:proofErr w:type="spellEnd"/>
      <w:r>
        <w:rPr>
          <w:rFonts w:ascii="Verdana" w:eastAsia="Calibri" w:hAnsi="Verdana" w:cs="Arial"/>
          <w:color w:val="000000" w:themeColor="text1"/>
          <w:lang w:val="es-ES"/>
        </w:rPr>
        <w:t xml:space="preserve">. </w:t>
      </w: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margen de la explicación precedente debe advertirse que el análisis requerido para resolver problemas específicos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AB5F768" w14:textId="77777777" w:rsidR="00FA31C3" w:rsidRPr="009037F6" w:rsidRDefault="00FA31C3" w:rsidP="00FA31C3">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1E1066E" w14:textId="77777777" w:rsidR="00FA31C3" w:rsidRPr="009037F6" w:rsidRDefault="00FA31C3" w:rsidP="00FA31C3">
      <w:pPr>
        <w:spacing w:after="0" w:line="276" w:lineRule="auto"/>
        <w:jc w:val="both"/>
        <w:rPr>
          <w:rFonts w:ascii="Verdana" w:eastAsia="Calibri" w:hAnsi="Verdana" w:cs="Arial"/>
          <w:lang w:val="es-ES" w:eastAsia="es-MX"/>
        </w:rPr>
      </w:pPr>
    </w:p>
    <w:p w14:paraId="40C085E6" w14:textId="77777777" w:rsidR="00FA31C3" w:rsidRPr="009037F6" w:rsidRDefault="00FA31C3" w:rsidP="00FA31C3">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Pr>
          <w:rFonts w:ascii="Verdana" w:eastAsia="Century Gothic" w:hAnsi="Verdana" w:cs="Century Gothic"/>
          <w:b/>
          <w:bCs/>
          <w:lang w:val="es-ES"/>
        </w:rPr>
        <w:lastRenderedPageBreak/>
        <w:t>Referencias normativas</w:t>
      </w:r>
    </w:p>
    <w:p w14:paraId="34DD9D86" w14:textId="77777777" w:rsidR="00FA31C3" w:rsidRPr="009037F6" w:rsidRDefault="00FA31C3" w:rsidP="00FA31C3">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A31C3" w:rsidRPr="009037F6" w14:paraId="2C0D81C4" w14:textId="77777777" w:rsidTr="00024BFE">
        <w:trPr>
          <w:trHeight w:val="487"/>
          <w:jc w:val="center"/>
        </w:trPr>
        <w:tc>
          <w:tcPr>
            <w:tcW w:w="8647" w:type="dxa"/>
          </w:tcPr>
          <w:p w14:paraId="34F0F6C5" w14:textId="77777777" w:rsidR="00FA31C3" w:rsidRPr="00C3284D" w:rsidRDefault="00FA31C3" w:rsidP="00024BF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bookmarkStart w:id="3" w:name="_Hlk215586792"/>
            <w:r>
              <w:rPr>
                <w:rFonts w:ascii="Verdana" w:eastAsia="Arial MT" w:hAnsi="Verdana" w:cs="Arial"/>
                <w:lang w:val="es-ES" w:eastAsia="es-ES" w:bidi="es-ES"/>
              </w:rPr>
              <w:t>Ley 80 de 1993, artículos 23, 24, 25, 30 y 32</w:t>
            </w:r>
            <w:r w:rsidRPr="00C3284D">
              <w:rPr>
                <w:rFonts w:ascii="Verdana" w:eastAsia="Arial MT" w:hAnsi="Verdana" w:cs="Arial"/>
                <w:lang w:val="es-ES" w:eastAsia="es-ES" w:bidi="es-ES"/>
              </w:rPr>
              <w:t xml:space="preserve">. </w:t>
            </w:r>
          </w:p>
          <w:bookmarkEnd w:id="3"/>
          <w:p w14:paraId="1B37BC49" w14:textId="77777777" w:rsidR="00FA31C3" w:rsidRPr="00AC694F" w:rsidRDefault="00FA31C3" w:rsidP="00024BF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AC694F">
              <w:rPr>
                <w:rFonts w:ascii="Verdana" w:eastAsia="Arial MT" w:hAnsi="Verdana" w:cs="Arial"/>
                <w:lang w:val="es-ES" w:eastAsia="es-ES" w:bidi="es-ES"/>
              </w:rPr>
              <w:t xml:space="preserve">Ley 1150 de 2007. Artículo 2 numeral 4 literal h). </w:t>
            </w:r>
          </w:p>
          <w:p w14:paraId="443EF265" w14:textId="77777777" w:rsidR="00FA31C3" w:rsidRDefault="00FA31C3" w:rsidP="00024BF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AC694F">
              <w:rPr>
                <w:rFonts w:ascii="Verdana" w:eastAsia="Arial MT" w:hAnsi="Verdana" w:cs="Arial"/>
                <w:lang w:val="es-ES" w:eastAsia="es-ES" w:bidi="es-ES"/>
              </w:rPr>
              <w:t>Decreto 1082 de 2015. Artículo 2.2.1.2.1.4.9.</w:t>
            </w:r>
          </w:p>
          <w:p w14:paraId="3DE5D72C" w14:textId="77777777" w:rsidR="00FA31C3" w:rsidRPr="00AC694F" w:rsidRDefault="00FA31C3" w:rsidP="00024BF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Código Sustantivo del Trabajo, artículo 22. </w:t>
            </w:r>
          </w:p>
          <w:p w14:paraId="357C7B97" w14:textId="77777777" w:rsidR="00FA31C3" w:rsidRPr="005B2A46" w:rsidRDefault="00FA31C3" w:rsidP="00024BF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AC694F">
              <w:rPr>
                <w:rFonts w:ascii="Verdana" w:eastAsia="Arial MT" w:hAnsi="Verdana" w:cs="Arial"/>
                <w:lang w:val="es-ES" w:eastAsia="es-ES" w:bidi="es-ES"/>
              </w:rPr>
              <w:t xml:space="preserve"> </w:t>
            </w:r>
            <w:r w:rsidRPr="005B2A46">
              <w:rPr>
                <w:rFonts w:ascii="Verdana" w:eastAsia="Arial MT" w:hAnsi="Verdana" w:cs="Arial"/>
                <w:lang w:val="es-MX" w:eastAsia="es-ES" w:bidi="es-ES"/>
              </w:rPr>
              <w:t xml:space="preserve">Agencia Nacional de Contratación Pública –Colombia Compra Eficiente. Guía de competencia en las compras públicas, 2018. Disponible en línea: </w:t>
            </w:r>
            <w:hyperlink r:id="rId12" w:history="1">
              <w:r w:rsidRPr="005B2A46">
                <w:rPr>
                  <w:rStyle w:val="Hipervnculo"/>
                  <w:rFonts w:ascii="Verdana" w:eastAsia="Arial MT" w:hAnsi="Verdana" w:cs="Arial"/>
                  <w:lang w:val="es-MX" w:eastAsia="es-ES" w:bidi="es-ES"/>
                </w:rPr>
                <w:t>https://www.colombiacompra.gov.co/archivos/manual/guia-de-competencia-en-las-compras-publicas</w:t>
              </w:r>
            </w:hyperlink>
            <w:r w:rsidRPr="005B2A46">
              <w:rPr>
                <w:rFonts w:ascii="Verdana" w:eastAsia="Arial MT" w:hAnsi="Verdana" w:cs="Arial"/>
                <w:lang w:val="es-MX" w:eastAsia="es-ES" w:bidi="es-ES"/>
              </w:rPr>
              <w:t xml:space="preserve"> </w:t>
            </w:r>
          </w:p>
          <w:p w14:paraId="039E2A13" w14:textId="77777777" w:rsidR="00FA31C3" w:rsidRPr="005B2A46" w:rsidRDefault="00FA31C3" w:rsidP="00024BFE">
            <w:pPr>
              <w:widowControl w:val="0"/>
              <w:numPr>
                <w:ilvl w:val="0"/>
                <w:numId w:val="17"/>
              </w:numPr>
              <w:autoSpaceDE w:val="0"/>
              <w:autoSpaceDN w:val="0"/>
              <w:spacing w:before="120" w:after="120" w:line="276" w:lineRule="auto"/>
              <w:ind w:left="714" w:hanging="357"/>
              <w:jc w:val="both"/>
              <w:rPr>
                <w:rFonts w:ascii="Verdana" w:eastAsia="Arial MT" w:hAnsi="Verdana" w:cs="Arial"/>
                <w:lang w:eastAsia="es-ES" w:bidi="es-ES"/>
              </w:rPr>
            </w:pPr>
            <w:r w:rsidRPr="005B2A46">
              <w:rPr>
                <w:rFonts w:ascii="Verdana" w:eastAsia="Arial MT" w:hAnsi="Verdana" w:cs="Arial"/>
                <w:lang w:val="es-MX" w:eastAsia="es-ES" w:bidi="es-ES"/>
              </w:rPr>
              <w:t xml:space="preserve">Consejo de Estado. Sala de consulta y servicio civil. Sentencia del 20 de febrero de 2006. </w:t>
            </w:r>
            <w:proofErr w:type="spellStart"/>
            <w:r w:rsidRPr="005B2A46">
              <w:rPr>
                <w:rFonts w:ascii="Verdana" w:eastAsia="Arial MT" w:hAnsi="Verdana" w:cs="Arial"/>
                <w:lang w:val="es-MX" w:eastAsia="es-ES" w:bidi="es-ES"/>
              </w:rPr>
              <w:t>Exp</w:t>
            </w:r>
            <w:proofErr w:type="spellEnd"/>
            <w:r w:rsidRPr="005B2A46">
              <w:rPr>
                <w:rFonts w:ascii="Verdana" w:eastAsia="Arial MT" w:hAnsi="Verdana" w:cs="Arial"/>
                <w:lang w:val="es-MX" w:eastAsia="es-ES" w:bidi="es-ES"/>
              </w:rPr>
              <w:t>. 1.727. C.P. Enrique José Arboleda Perdomo.</w:t>
            </w:r>
          </w:p>
          <w:p w14:paraId="65C0C2B0" w14:textId="77777777" w:rsidR="00FA31C3" w:rsidRPr="005B2A46" w:rsidDel="00A37FEF" w:rsidRDefault="00FA31C3" w:rsidP="00024BF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5B2A46">
              <w:rPr>
                <w:rFonts w:ascii="Verdana" w:eastAsia="Arial MT" w:hAnsi="Verdana" w:cs="Arial"/>
                <w:lang w:val="es-ES" w:eastAsia="es-ES" w:bidi="es-ES"/>
              </w:rPr>
              <w:t xml:space="preserve">Consejo de Estado. Sección Tercera. Subsección C. Sentencia del 2 de diciembre de 2013. </w:t>
            </w:r>
            <w:proofErr w:type="spellStart"/>
            <w:r w:rsidRPr="005B2A46">
              <w:rPr>
                <w:rFonts w:ascii="Verdana" w:eastAsia="Arial MT" w:hAnsi="Verdana" w:cs="Arial"/>
                <w:lang w:val="es-ES" w:eastAsia="es-ES" w:bidi="es-ES"/>
              </w:rPr>
              <w:t>Exp</w:t>
            </w:r>
            <w:proofErr w:type="spellEnd"/>
            <w:r w:rsidRPr="005B2A46">
              <w:rPr>
                <w:rFonts w:ascii="Verdana" w:eastAsia="Arial MT" w:hAnsi="Verdana" w:cs="Arial"/>
                <w:lang w:val="es-ES" w:eastAsia="es-ES" w:bidi="es-ES"/>
              </w:rPr>
              <w:t>. 41719. C.P. Jaime Orlando Santofimio Gamboa.</w:t>
            </w:r>
          </w:p>
          <w:p w14:paraId="2EF9C516" w14:textId="77777777" w:rsidR="00FA31C3" w:rsidRPr="005B2A46" w:rsidRDefault="00FA31C3" w:rsidP="00024BFE">
            <w:pPr>
              <w:widowControl w:val="0"/>
              <w:numPr>
                <w:ilvl w:val="0"/>
                <w:numId w:val="17"/>
              </w:numPr>
              <w:autoSpaceDE w:val="0"/>
              <w:autoSpaceDN w:val="0"/>
              <w:spacing w:before="120" w:after="120" w:line="276" w:lineRule="auto"/>
              <w:ind w:left="714" w:hanging="357"/>
              <w:jc w:val="both"/>
              <w:rPr>
                <w:rFonts w:ascii="Verdana" w:eastAsia="Arial MT" w:hAnsi="Verdana" w:cs="Arial"/>
                <w:lang w:eastAsia="es-ES" w:bidi="es-ES"/>
              </w:rPr>
            </w:pPr>
            <w:r w:rsidRPr="005B2A46">
              <w:rPr>
                <w:rFonts w:ascii="Verdana" w:eastAsia="Arial MT" w:hAnsi="Verdana" w:cs="Arial"/>
                <w:lang w:eastAsia="es-ES" w:bidi="es-ES"/>
              </w:rPr>
              <w:t xml:space="preserve">Consejo de Estado. Sección Tercera. Sentencia del 29 de abril de 2015. </w:t>
            </w:r>
            <w:proofErr w:type="spellStart"/>
            <w:r w:rsidRPr="005B2A46">
              <w:rPr>
                <w:rFonts w:ascii="Verdana" w:eastAsia="Arial MT" w:hAnsi="Verdana" w:cs="Arial"/>
                <w:lang w:eastAsia="es-ES" w:bidi="es-ES"/>
              </w:rPr>
              <w:t>Exp</w:t>
            </w:r>
            <w:proofErr w:type="spellEnd"/>
            <w:r w:rsidRPr="005B2A46">
              <w:rPr>
                <w:rFonts w:ascii="Verdana" w:eastAsia="Arial MT" w:hAnsi="Verdana" w:cs="Arial"/>
                <w:lang w:eastAsia="es-ES" w:bidi="es-ES"/>
              </w:rPr>
              <w:t xml:space="preserve">. 29.201. C.P. Olga Melida Valle de </w:t>
            </w:r>
            <w:proofErr w:type="spellStart"/>
            <w:r w:rsidRPr="005B2A46">
              <w:rPr>
                <w:rFonts w:ascii="Verdana" w:eastAsia="Arial MT" w:hAnsi="Verdana" w:cs="Arial"/>
                <w:lang w:eastAsia="es-ES" w:bidi="es-ES"/>
              </w:rPr>
              <w:t>De</w:t>
            </w:r>
            <w:proofErr w:type="spellEnd"/>
            <w:r w:rsidRPr="005B2A46">
              <w:rPr>
                <w:rFonts w:ascii="Verdana" w:eastAsia="Arial MT" w:hAnsi="Verdana" w:cs="Arial"/>
                <w:lang w:eastAsia="es-ES" w:bidi="es-ES"/>
              </w:rPr>
              <w:t xml:space="preserve"> La Hoz.</w:t>
            </w:r>
          </w:p>
          <w:p w14:paraId="3F0AAD17" w14:textId="77777777" w:rsidR="00FA31C3" w:rsidRPr="005B2A46" w:rsidRDefault="00FA31C3" w:rsidP="00024BF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5B2A46">
              <w:rPr>
                <w:rFonts w:ascii="Verdana" w:eastAsia="Arial MT" w:hAnsi="Verdana" w:cs="Arial"/>
                <w:lang w:val="es-MX" w:eastAsia="es-ES" w:bidi="es-ES"/>
              </w:rPr>
              <w:t xml:space="preserve">Consejo de Estado. Sección Tercera. Subsección A. Sentencia del 5 de julio de 2018. </w:t>
            </w:r>
            <w:proofErr w:type="spellStart"/>
            <w:r w:rsidRPr="005B2A46">
              <w:rPr>
                <w:rFonts w:ascii="Verdana" w:eastAsia="Arial MT" w:hAnsi="Verdana" w:cs="Arial"/>
                <w:lang w:val="es-MX" w:eastAsia="es-ES" w:bidi="es-ES"/>
              </w:rPr>
              <w:t>Exp</w:t>
            </w:r>
            <w:proofErr w:type="spellEnd"/>
            <w:r w:rsidRPr="005B2A46">
              <w:rPr>
                <w:rFonts w:ascii="Verdana" w:eastAsia="Arial MT" w:hAnsi="Verdana" w:cs="Arial"/>
                <w:lang w:val="es-MX" w:eastAsia="es-ES" w:bidi="es-ES"/>
              </w:rPr>
              <w:t>. 37.834. C.P.: Carlos Alberto Zambrano Barrera.</w:t>
            </w:r>
          </w:p>
          <w:p w14:paraId="179F2BDE" w14:textId="77777777" w:rsidR="00FA31C3" w:rsidRPr="005B2A46" w:rsidRDefault="00FA31C3" w:rsidP="00024BFE">
            <w:pPr>
              <w:widowControl w:val="0"/>
              <w:numPr>
                <w:ilvl w:val="0"/>
                <w:numId w:val="17"/>
              </w:numPr>
              <w:autoSpaceDE w:val="0"/>
              <w:autoSpaceDN w:val="0"/>
              <w:spacing w:before="120" w:after="120" w:line="276" w:lineRule="auto"/>
              <w:ind w:left="714" w:hanging="357"/>
              <w:jc w:val="both"/>
              <w:rPr>
                <w:rFonts w:ascii="Verdana" w:eastAsia="Arial MT" w:hAnsi="Verdana" w:cs="Arial"/>
                <w:lang w:val="es-MX" w:eastAsia="es-ES" w:bidi="es-ES"/>
              </w:rPr>
            </w:pPr>
            <w:r w:rsidRPr="005B2A46">
              <w:rPr>
                <w:rFonts w:ascii="Verdana" w:eastAsia="Arial MT" w:hAnsi="Verdana" w:cs="Arial"/>
                <w:lang w:val="es-MX" w:eastAsia="es-ES" w:bidi="es-ES"/>
              </w:rPr>
              <w:t xml:space="preserve">Consejo de Estado. Sección Tercera. Subsección A. Sentencia del 25 de octubre de 2019. </w:t>
            </w:r>
            <w:proofErr w:type="spellStart"/>
            <w:r w:rsidRPr="005B2A46">
              <w:rPr>
                <w:rFonts w:ascii="Verdana" w:eastAsia="Arial MT" w:hAnsi="Verdana" w:cs="Arial"/>
                <w:lang w:val="es-MX" w:eastAsia="es-ES" w:bidi="es-ES"/>
              </w:rPr>
              <w:t>Exp</w:t>
            </w:r>
            <w:proofErr w:type="spellEnd"/>
            <w:r w:rsidRPr="005B2A46">
              <w:rPr>
                <w:rFonts w:ascii="Verdana" w:eastAsia="Arial MT" w:hAnsi="Verdana" w:cs="Arial"/>
                <w:lang w:val="es-MX" w:eastAsia="es-ES" w:bidi="es-ES"/>
              </w:rPr>
              <w:t>. 39.945. C.P. María Adriana Marín.</w:t>
            </w:r>
          </w:p>
          <w:p w14:paraId="50629553" w14:textId="77777777" w:rsidR="00FA31C3" w:rsidRPr="005B2A46" w:rsidRDefault="00FA31C3" w:rsidP="00024BFE">
            <w:pPr>
              <w:widowControl w:val="0"/>
              <w:numPr>
                <w:ilvl w:val="0"/>
                <w:numId w:val="17"/>
              </w:numPr>
              <w:autoSpaceDE w:val="0"/>
              <w:autoSpaceDN w:val="0"/>
              <w:spacing w:before="120" w:after="120" w:line="276" w:lineRule="auto"/>
              <w:ind w:left="714" w:hanging="357"/>
              <w:jc w:val="both"/>
              <w:rPr>
                <w:rFonts w:ascii="Verdana" w:eastAsia="Arial MT" w:hAnsi="Verdana" w:cs="Arial"/>
                <w:lang w:val="pt-BR" w:eastAsia="es-ES" w:bidi="es-ES"/>
              </w:rPr>
            </w:pPr>
            <w:r w:rsidRPr="005B2A46">
              <w:rPr>
                <w:rFonts w:ascii="Verdana" w:eastAsia="Arial MT" w:hAnsi="Verdana" w:cs="Arial"/>
                <w:lang w:val="pt-BR" w:eastAsia="es-ES" w:bidi="es-ES"/>
              </w:rPr>
              <w:t>Corte Constitucional. Sentencia C-154 de 1997. M.P. Hernando Herrera Vergara.</w:t>
            </w:r>
          </w:p>
          <w:p w14:paraId="71077B66" w14:textId="77777777" w:rsidR="00FA31C3" w:rsidRPr="005B2A46" w:rsidDel="00A37FEF" w:rsidRDefault="00FA31C3" w:rsidP="00024BF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5B2A46">
              <w:rPr>
                <w:rFonts w:ascii="Verdana" w:eastAsia="Arial MT" w:hAnsi="Verdana" w:cs="Arial"/>
                <w:lang w:val="pt-BR" w:eastAsia="es-ES" w:bidi="es-ES"/>
              </w:rPr>
              <w:t xml:space="preserve">Corte Constitucional. Sentencia C-154 de 1997. </w:t>
            </w:r>
            <w:r w:rsidRPr="005B2A46">
              <w:rPr>
                <w:rFonts w:ascii="Verdana" w:eastAsia="Arial MT" w:hAnsi="Verdana" w:cs="Arial"/>
                <w:lang w:val="es-ES" w:eastAsia="es-ES" w:bidi="es-ES"/>
              </w:rPr>
              <w:t>M.P. Hernando Herrera Vergara.</w:t>
            </w:r>
          </w:p>
          <w:p w14:paraId="4715E79F" w14:textId="77777777" w:rsidR="00FA31C3" w:rsidRPr="005B2A46" w:rsidRDefault="00FA31C3" w:rsidP="00024BFE">
            <w:pPr>
              <w:widowControl w:val="0"/>
              <w:numPr>
                <w:ilvl w:val="0"/>
                <w:numId w:val="17"/>
              </w:numPr>
              <w:autoSpaceDE w:val="0"/>
              <w:autoSpaceDN w:val="0"/>
              <w:spacing w:before="120" w:after="120" w:line="276" w:lineRule="auto"/>
              <w:ind w:left="714" w:hanging="357"/>
              <w:jc w:val="both"/>
              <w:rPr>
                <w:rFonts w:ascii="Verdana" w:eastAsia="Arial MT" w:hAnsi="Verdana" w:cs="Arial"/>
                <w:lang w:eastAsia="es-ES" w:bidi="es-ES"/>
              </w:rPr>
            </w:pPr>
            <w:r w:rsidRPr="005B2A46">
              <w:rPr>
                <w:rFonts w:ascii="Verdana" w:eastAsia="Arial MT" w:hAnsi="Verdana" w:cs="Arial"/>
                <w:lang w:eastAsia="es-ES" w:bidi="es-ES"/>
              </w:rPr>
              <w:t xml:space="preserve">Corte Constitucional. Sentencia C-300 de 2012 M.P. Jorge Ignacio Pretel Chaljub, </w:t>
            </w:r>
          </w:p>
          <w:p w14:paraId="2E63AA6F" w14:textId="77777777" w:rsidR="00FA31C3" w:rsidRPr="005B2A46" w:rsidDel="00A37FEF" w:rsidRDefault="00FA31C3" w:rsidP="00024BFE">
            <w:pPr>
              <w:widowControl w:val="0"/>
              <w:numPr>
                <w:ilvl w:val="0"/>
                <w:numId w:val="17"/>
              </w:numPr>
              <w:autoSpaceDE w:val="0"/>
              <w:autoSpaceDN w:val="0"/>
              <w:spacing w:before="120" w:after="120" w:line="276" w:lineRule="auto"/>
              <w:ind w:left="714" w:hanging="357"/>
              <w:jc w:val="both"/>
              <w:rPr>
                <w:rFonts w:ascii="Verdana" w:eastAsia="Arial MT" w:hAnsi="Verdana" w:cs="Arial"/>
                <w:lang w:val="pt-BR" w:eastAsia="es-ES" w:bidi="es-ES"/>
              </w:rPr>
            </w:pPr>
            <w:r w:rsidRPr="005B2A46">
              <w:rPr>
                <w:rFonts w:ascii="Verdana" w:eastAsia="Arial MT" w:hAnsi="Verdana" w:cs="Arial"/>
                <w:lang w:val="pt-BR" w:eastAsia="es-ES" w:bidi="es-ES"/>
              </w:rPr>
              <w:t xml:space="preserve">Corte Constitucional. Sentencia C-614 de 2009. M.P. Jorge Ignacio </w:t>
            </w:r>
            <w:proofErr w:type="spellStart"/>
            <w:r w:rsidRPr="005B2A46">
              <w:rPr>
                <w:rFonts w:ascii="Verdana" w:eastAsia="Arial MT" w:hAnsi="Verdana" w:cs="Arial"/>
                <w:lang w:val="pt-BR" w:eastAsia="es-ES" w:bidi="es-ES"/>
              </w:rPr>
              <w:t>Pretelt</w:t>
            </w:r>
            <w:proofErr w:type="spellEnd"/>
            <w:r w:rsidRPr="005B2A46">
              <w:rPr>
                <w:rFonts w:ascii="Verdana" w:eastAsia="Arial MT" w:hAnsi="Verdana" w:cs="Arial"/>
                <w:lang w:val="pt-BR" w:eastAsia="es-ES" w:bidi="es-ES"/>
              </w:rPr>
              <w:t xml:space="preserve"> </w:t>
            </w:r>
            <w:proofErr w:type="spellStart"/>
            <w:r w:rsidRPr="005B2A46">
              <w:rPr>
                <w:rFonts w:ascii="Verdana" w:eastAsia="Arial MT" w:hAnsi="Verdana" w:cs="Arial"/>
                <w:lang w:val="pt-BR" w:eastAsia="es-ES" w:bidi="es-ES"/>
              </w:rPr>
              <w:t>Chaljub</w:t>
            </w:r>
            <w:proofErr w:type="spellEnd"/>
            <w:r w:rsidRPr="005B2A46">
              <w:rPr>
                <w:rFonts w:ascii="Verdana" w:eastAsia="Arial MT" w:hAnsi="Verdana" w:cs="Arial"/>
                <w:lang w:val="pt-BR" w:eastAsia="es-ES" w:bidi="es-ES"/>
              </w:rPr>
              <w:t xml:space="preserve">. </w:t>
            </w:r>
          </w:p>
          <w:p w14:paraId="408E3ED6" w14:textId="77777777" w:rsidR="00FA31C3" w:rsidRPr="005B2A46" w:rsidRDefault="00FA31C3" w:rsidP="00024BFE">
            <w:pPr>
              <w:widowControl w:val="0"/>
              <w:numPr>
                <w:ilvl w:val="0"/>
                <w:numId w:val="17"/>
              </w:numPr>
              <w:autoSpaceDE w:val="0"/>
              <w:autoSpaceDN w:val="0"/>
              <w:spacing w:before="120" w:after="120" w:line="276" w:lineRule="auto"/>
              <w:ind w:left="714" w:hanging="357"/>
              <w:jc w:val="both"/>
              <w:rPr>
                <w:rFonts w:ascii="Verdana" w:eastAsia="Arial MT" w:hAnsi="Verdana" w:cs="Arial"/>
                <w:lang w:val="es-MX" w:eastAsia="es-ES" w:bidi="es-ES"/>
              </w:rPr>
            </w:pPr>
            <w:r w:rsidRPr="005B2A46">
              <w:rPr>
                <w:rFonts w:ascii="Verdana" w:eastAsia="Arial MT" w:hAnsi="Verdana" w:cs="Arial"/>
                <w:lang w:val="pt-BR" w:eastAsia="es-ES" w:bidi="es-ES"/>
              </w:rPr>
              <w:lastRenderedPageBreak/>
              <w:t xml:space="preserve">Corte Constitucional. Sentencia C-713 de 2009. </w:t>
            </w:r>
            <w:r w:rsidRPr="005B2A46">
              <w:rPr>
                <w:rFonts w:ascii="Verdana" w:eastAsia="Arial MT" w:hAnsi="Verdana" w:cs="Arial"/>
                <w:lang w:val="es-MX" w:eastAsia="es-ES" w:bidi="es-ES"/>
              </w:rPr>
              <w:t>M.P. María Victoria Calle Correa.</w:t>
            </w:r>
          </w:p>
        </w:tc>
      </w:tr>
    </w:tbl>
    <w:p w14:paraId="1D3816DE" w14:textId="77777777" w:rsidR="00FA31C3" w:rsidRPr="009037F6" w:rsidRDefault="00FA31C3" w:rsidP="00FA31C3">
      <w:pPr>
        <w:widowControl w:val="0"/>
        <w:autoSpaceDE w:val="0"/>
        <w:autoSpaceDN w:val="0"/>
        <w:spacing w:after="0" w:line="276" w:lineRule="auto"/>
        <w:jc w:val="both"/>
        <w:rPr>
          <w:rFonts w:ascii="Verdana" w:hAnsi="Verdana" w:cs="Arial"/>
        </w:rPr>
      </w:pPr>
    </w:p>
    <w:p w14:paraId="0BD21440" w14:textId="77777777" w:rsidR="00FA31C3" w:rsidRPr="009037F6" w:rsidRDefault="00FA31C3" w:rsidP="00FA31C3">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155F8750" w14:textId="77777777" w:rsidR="00FA31C3" w:rsidRDefault="00FA31C3" w:rsidP="00FA31C3">
      <w:pPr>
        <w:widowControl w:val="0"/>
        <w:autoSpaceDE w:val="0"/>
        <w:autoSpaceDN w:val="0"/>
        <w:spacing w:after="0" w:line="276" w:lineRule="auto"/>
        <w:jc w:val="both"/>
        <w:rPr>
          <w:rFonts w:ascii="Verdana" w:hAnsi="Verdana" w:cs="Arial"/>
          <w:bCs/>
          <w:shd w:val="clear" w:color="auto" w:fill="FFFFFF"/>
        </w:rPr>
      </w:pPr>
    </w:p>
    <w:p w14:paraId="0CD6B40D" w14:textId="77777777" w:rsidR="00FA31C3" w:rsidRPr="004A6649" w:rsidRDefault="00FA31C3" w:rsidP="00FA31C3">
      <w:pPr>
        <w:widowControl w:val="0"/>
        <w:autoSpaceDE w:val="0"/>
        <w:autoSpaceDN w:val="0"/>
        <w:spacing w:after="0" w:line="276" w:lineRule="auto"/>
        <w:jc w:val="both"/>
        <w:rPr>
          <w:rFonts w:ascii="Verdana" w:hAnsi="Verdana" w:cs="Arial"/>
          <w:bCs/>
          <w:shd w:val="clear" w:color="auto" w:fill="FFFFFF"/>
        </w:rPr>
      </w:pPr>
      <w:r w:rsidRPr="00A74C36">
        <w:rPr>
          <w:rFonts w:ascii="Verdana" w:hAnsi="Verdana" w:cs="Arial"/>
          <w:shd w:val="clear" w:color="auto" w:fill="FFFFFF"/>
          <w:lang w:val="es-ES"/>
        </w:rPr>
        <w:t>La Subdirección de Gestión Contractual de la Agencia Nacional de Contratación Pública – Colombia Compra Eficiente ha analizado los contratos de prestación de servicios, así como los requisitos para su celebración, entre otros, en los conceptos con radicado: 4201913000006452 del 07 de octubre de 2019, 4201912000006434 del 30 de octubre de 2019, 4201913000006444 del 01 de noviembre de 2019, 4201913000006331 del 07 de noviembre de 2019, 4201912000006692 del 12 de noviembre de 2019 de noviembre de 2019, 4201912000006692 del 12 de noviembre  de 20194201912000007378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w:t>
      </w:r>
      <w:r>
        <w:rPr>
          <w:rFonts w:ascii="Verdana" w:hAnsi="Verdana" w:cs="Arial"/>
          <w:shd w:val="clear" w:color="auto" w:fill="FFFFFF"/>
          <w:lang w:val="es-ES"/>
        </w:rPr>
        <w:t xml:space="preserve"> </w:t>
      </w:r>
      <w:r w:rsidRPr="00A74C36">
        <w:rPr>
          <w:rFonts w:ascii="Verdana" w:hAnsi="Verdana" w:cs="Arial"/>
          <w:shd w:val="clear" w:color="auto" w:fill="FFFFFF"/>
          <w:lang w:val="es-ES"/>
        </w:rPr>
        <w:t>del 12 de mayo de 2020, C−238 del 18 de mayo de 2020, C−260 del 18 de mayo de 2020, C−288 del 21 de mayo de 2020, C−293 del 12 de mayo de 2020, C−313 del 21 de mayo de 2020, C−345 del 21 de mayo de 2020, C−359 del 04 de junio de 2020, C−379 del 30 de junio de 2020, C−414 del 30 de junio de 2020,C-661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y C-372 del 26 de Agosto 2024, C-904 del 9 de diciembre de 2024, C-227 del 27 de marzo de 2025, C-411 del 13 de mayo de 2025, C-800 del 23 de julio de 2025, C-935 del 1 de a</w:t>
      </w:r>
      <w:r>
        <w:rPr>
          <w:rFonts w:ascii="Verdana" w:hAnsi="Verdana" w:cs="Arial"/>
          <w:shd w:val="clear" w:color="auto" w:fill="FFFFFF"/>
          <w:lang w:val="es-ES"/>
        </w:rPr>
        <w:t>gosto de 2025, C-1098 del 8 de septiembre de 2025, entre otros</w:t>
      </w:r>
      <w:r w:rsidRPr="00A74C36">
        <w:rPr>
          <w:rFonts w:ascii="Verdana" w:hAnsi="Verdana" w:cs="Arial"/>
          <w:shd w:val="clear" w:color="auto" w:fill="FFFFFF"/>
        </w:rPr>
        <w:t>.</w:t>
      </w:r>
      <w:r>
        <w:rPr>
          <w:rFonts w:ascii="Verdana" w:hAnsi="Verdana" w:cs="Arial"/>
          <w:shd w:val="clear" w:color="auto" w:fill="FFFFFF"/>
        </w:rPr>
        <w:t xml:space="preserve"> Así mismo, </w:t>
      </w:r>
      <w:r w:rsidRPr="006A0F21">
        <w:rPr>
          <w:rFonts w:ascii="Verdana" w:hAnsi="Verdana" w:cs="Arial"/>
          <w:shd w:val="clear" w:color="auto" w:fill="FFFFFF"/>
          <w:lang w:val="es-ES_tradnl"/>
        </w:rPr>
        <w:t xml:space="preserve">se pronunció sobre la modalidad de selección del contratista por contratación directa y los principios de la contratación estatal en los conceptos No. 4201912000006310 del 9 de octubre de 2019, C-223 del 29 de abril de 2020, C-443 del 7 de julio de 2020 y, en particular, en los conceptos C-701 de 7 de diciembre de 2020, C-726 de 14 de </w:t>
      </w:r>
      <w:r w:rsidRPr="006A0F21">
        <w:rPr>
          <w:rFonts w:ascii="Verdana" w:hAnsi="Verdana" w:cs="Arial"/>
          <w:shd w:val="clear" w:color="auto" w:fill="FFFFFF"/>
          <w:lang w:val="es-ES_tradnl"/>
        </w:rPr>
        <w:lastRenderedPageBreak/>
        <w:t>diciembre de 2020</w:t>
      </w:r>
      <w:r w:rsidRPr="006A0F21">
        <w:rPr>
          <w:rFonts w:ascii="Verdana" w:hAnsi="Verdana" w:cs="Arial"/>
          <w:shd w:val="clear" w:color="auto" w:fill="FFFFFF"/>
        </w:rPr>
        <w:t xml:space="preserve"> y C-150 del 9 de abril de 2021, C-418 del 18 de agosto de 2021, C-561 del 8 de octubre de 2021</w:t>
      </w:r>
      <w:r>
        <w:rPr>
          <w:rFonts w:ascii="Verdana" w:hAnsi="Verdana" w:cs="Arial"/>
          <w:shd w:val="clear" w:color="auto" w:fill="FFFFFF"/>
        </w:rPr>
        <w:t>, C-572 del 14 de septiembre de 2022, C-564 del 30 de mayo de 2025, entre otros</w:t>
      </w:r>
      <w:r w:rsidRPr="001715C8">
        <w:rPr>
          <w:rFonts w:ascii="Verdana" w:hAnsi="Verdana" w:cs="Arial"/>
          <w:shd w:val="clear" w:color="auto" w:fill="FFFFFF"/>
          <w:lang w:val="es-ES"/>
        </w:rPr>
        <w:t>.</w:t>
      </w:r>
      <w:r w:rsidRPr="001715C8">
        <w:rPr>
          <w:rStyle w:val="normaltextrun"/>
          <w:rFonts w:ascii="Verdana" w:hAnsi="Verdana" w:cs="Arial"/>
          <w:shd w:val="clear" w:color="auto" w:fill="FFFFFF"/>
          <w:lang w:val="es-ES"/>
        </w:rPr>
        <w:t xml:space="preserve">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3C5FBBD" w14:textId="77777777" w:rsidR="00FA31C3" w:rsidRPr="009037F6" w:rsidRDefault="00FA31C3" w:rsidP="00FA31C3">
      <w:pPr>
        <w:spacing w:after="0" w:line="256" w:lineRule="auto"/>
        <w:jc w:val="both"/>
        <w:rPr>
          <w:rFonts w:ascii="Verdana" w:eastAsia="Calibri" w:hAnsi="Verdana" w:cs="Times New Roman"/>
        </w:rPr>
      </w:pPr>
      <w:hyperlink r:id="rId13" w:history="1">
        <w:r w:rsidRPr="009037F6">
          <w:rPr>
            <w:rFonts w:ascii="Verdana" w:eastAsia="Calibri" w:hAnsi="Verdana" w:cs="Times New Roman"/>
            <w:color w:val="0000FF"/>
            <w:u w:val="single"/>
            <w:lang w:val="es-ES"/>
          </w:rPr>
          <w:t>https://relatoria.colombiacompra.gov.co/busqueda/conceptos</w:t>
        </w:r>
      </w:hyperlink>
      <w:r w:rsidRPr="009037F6">
        <w:rPr>
          <w:rFonts w:ascii="Verdana" w:eastAsia="Calibri" w:hAnsi="Verdana" w:cs="Times New Roman"/>
        </w:rPr>
        <w:t xml:space="preserve">. </w:t>
      </w:r>
    </w:p>
    <w:p w14:paraId="7D575128" w14:textId="77777777" w:rsidR="00FA31C3" w:rsidRPr="009037F6" w:rsidRDefault="00FA31C3" w:rsidP="00FA31C3">
      <w:pPr>
        <w:spacing w:after="0"/>
        <w:jc w:val="both"/>
        <w:rPr>
          <w:rFonts w:ascii="Verdana" w:hAnsi="Verdana"/>
        </w:rPr>
      </w:pPr>
    </w:p>
    <w:p w14:paraId="19D16105" w14:textId="77777777" w:rsidR="00FA31C3" w:rsidRPr="009037F6" w:rsidRDefault="00FA31C3" w:rsidP="00FA31C3">
      <w:pPr>
        <w:spacing w:after="0" w:line="256" w:lineRule="auto"/>
        <w:jc w:val="both"/>
        <w:rPr>
          <w:rFonts w:ascii="Verdana" w:eastAsia="Calibri" w:hAnsi="Verdana" w:cs="Times New Roman"/>
        </w:rPr>
      </w:pPr>
      <w:r w:rsidRPr="009037F6">
        <w:rPr>
          <w:rFonts w:ascii="Verdana" w:eastAsia="Calibri" w:hAnsi="Verdana" w:cs="Times New Roman"/>
        </w:rPr>
        <w:t xml:space="preserve">Te informamos que ya se encuentra disponible la </w:t>
      </w:r>
      <w:r w:rsidRPr="009037F6">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9037F6">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037F6">
        <w:rPr>
          <w:rFonts w:ascii="Verdana" w:eastAsia="Calibri" w:hAnsi="Verdana" w:cs="Times New Roman"/>
        </w:rPr>
        <w:t>Wayúu</w:t>
      </w:r>
      <w:proofErr w:type="spellEnd"/>
      <w:r w:rsidRPr="009037F6">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1083CF77" w14:textId="77777777" w:rsidR="00FA31C3" w:rsidRPr="0024624F" w:rsidRDefault="00FA31C3" w:rsidP="00FA31C3">
      <w:pPr>
        <w:spacing w:after="0"/>
        <w:rPr>
          <w:rFonts w:ascii="Verdana" w:hAnsi="Verdana"/>
        </w:rPr>
      </w:pPr>
    </w:p>
    <w:p w14:paraId="2BBAC91F" w14:textId="77777777" w:rsidR="00FA31C3" w:rsidRPr="00116940" w:rsidRDefault="00FA31C3" w:rsidP="00FA31C3">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37C26947" w14:textId="77777777" w:rsidR="00FA31C3" w:rsidRPr="00116940" w:rsidRDefault="00FA31C3" w:rsidP="00FA31C3">
      <w:pPr>
        <w:spacing w:after="0"/>
        <w:jc w:val="both"/>
        <w:rPr>
          <w:rFonts w:ascii="Verdana" w:hAnsi="Verdana"/>
        </w:rPr>
      </w:pPr>
    </w:p>
    <w:p w14:paraId="384D996B" w14:textId="77777777" w:rsidR="00FA31C3" w:rsidRPr="00116940" w:rsidRDefault="00FA31C3" w:rsidP="00FA31C3">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403626F" w14:textId="77777777" w:rsidR="00FA31C3" w:rsidRPr="00116940" w:rsidRDefault="00FA31C3" w:rsidP="00FA31C3">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60E3F784" w14:textId="77777777" w:rsidR="00FA31C3" w:rsidRPr="00116940" w:rsidRDefault="00FA31C3" w:rsidP="00FA31C3">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249B6FD3" w14:textId="77777777" w:rsidR="00FA31C3" w:rsidRPr="00116940" w:rsidRDefault="00FA31C3" w:rsidP="00FA31C3">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7A1DC891" w14:textId="77777777" w:rsidR="00FA31C3" w:rsidRPr="00116940" w:rsidRDefault="00FA31C3" w:rsidP="00FA31C3">
      <w:pPr>
        <w:spacing w:after="0" w:line="240" w:lineRule="auto"/>
        <w:ind w:left="720"/>
        <w:jc w:val="both"/>
        <w:rPr>
          <w:rFonts w:ascii="Verdana" w:hAnsi="Verdana"/>
        </w:rPr>
      </w:pPr>
    </w:p>
    <w:p w14:paraId="63A4577D" w14:textId="77777777" w:rsidR="00FA31C3" w:rsidRPr="00116940" w:rsidRDefault="00FA31C3" w:rsidP="00FA31C3">
      <w:pPr>
        <w:spacing w:after="0" w:line="240" w:lineRule="auto"/>
        <w:rPr>
          <w:rFonts w:ascii="Verdana" w:hAnsi="Verdana"/>
        </w:rPr>
      </w:pPr>
      <w:r w:rsidRPr="00116940">
        <w:rPr>
          <w:rFonts w:ascii="Verdana" w:hAnsi="Verdana"/>
        </w:rPr>
        <w:lastRenderedPageBreak/>
        <w:t xml:space="preserve">Evalúa el servicio que ofrece la Agencia por el canal de atención de PQRSD en el siguiente </w:t>
      </w:r>
      <w:proofErr w:type="gramStart"/>
      <w:r w:rsidRPr="00116940">
        <w:rPr>
          <w:rFonts w:ascii="Verdana" w:hAnsi="Verdana"/>
        </w:rPr>
        <w:t>enlace :</w:t>
      </w:r>
      <w:proofErr w:type="gramEnd"/>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32BD3725" w14:textId="77777777" w:rsidR="00FA31C3" w:rsidRPr="00116940" w:rsidRDefault="00FA31C3" w:rsidP="00FA31C3">
      <w:pPr>
        <w:spacing w:after="0" w:line="240" w:lineRule="auto"/>
        <w:rPr>
          <w:rFonts w:ascii="Verdana" w:hAnsi="Verdana"/>
        </w:rPr>
      </w:pPr>
    </w:p>
    <w:p w14:paraId="1FF94D07" w14:textId="77777777" w:rsidR="00FA31C3" w:rsidRPr="00116940" w:rsidRDefault="00FA31C3" w:rsidP="00FA31C3">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A0CBD11" w14:textId="77777777" w:rsidR="00FA31C3" w:rsidRPr="00116940" w:rsidRDefault="00FA31C3" w:rsidP="00FA31C3">
      <w:pPr>
        <w:spacing w:after="0" w:line="240" w:lineRule="auto"/>
        <w:jc w:val="both"/>
        <w:rPr>
          <w:rFonts w:ascii="Verdana" w:hAnsi="Verdana"/>
        </w:rPr>
      </w:pPr>
    </w:p>
    <w:p w14:paraId="15BDFF82" w14:textId="77777777" w:rsidR="00FA31C3" w:rsidRPr="00116940" w:rsidRDefault="00FA31C3" w:rsidP="00FA31C3">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4FFD8E5" w14:textId="77777777" w:rsidR="00FA31C3" w:rsidRPr="00116940" w:rsidRDefault="00FA31C3" w:rsidP="00FA31C3">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630ABA5" w14:textId="77777777" w:rsidR="00FA31C3" w:rsidRPr="00116940" w:rsidRDefault="00FA31C3" w:rsidP="00FA31C3">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435CCB5" w14:textId="77777777" w:rsidR="00FA31C3" w:rsidRPr="00116940" w:rsidRDefault="00FA31C3" w:rsidP="00FA31C3">
      <w:pPr>
        <w:spacing w:after="0" w:line="240" w:lineRule="auto"/>
        <w:jc w:val="both"/>
        <w:rPr>
          <w:rFonts w:ascii="Verdana" w:hAnsi="Verdana"/>
        </w:rPr>
      </w:pPr>
    </w:p>
    <w:p w14:paraId="3EFB0795" w14:textId="77777777" w:rsidR="00FA31C3" w:rsidRPr="009037F6" w:rsidRDefault="00FA31C3" w:rsidP="00FA31C3">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F5EB213" w14:textId="77777777" w:rsidR="00FA31C3" w:rsidRPr="009037F6" w:rsidRDefault="00FA31C3" w:rsidP="00FA31C3">
      <w:pPr>
        <w:spacing w:after="0" w:line="256" w:lineRule="auto"/>
        <w:jc w:val="both"/>
        <w:rPr>
          <w:rFonts w:ascii="Verdana" w:eastAsia="Calibri" w:hAnsi="Verdana" w:cs="Times New Roman"/>
        </w:rPr>
      </w:pPr>
    </w:p>
    <w:p w14:paraId="2EE25FAA" w14:textId="77777777" w:rsidR="00FA31C3" w:rsidRDefault="00FA31C3" w:rsidP="00FA31C3">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3D7CD1A7" w14:textId="77777777" w:rsidR="00FA31C3" w:rsidRDefault="00FA31C3" w:rsidP="00FA31C3">
      <w:pPr>
        <w:spacing w:after="0" w:line="256" w:lineRule="auto"/>
        <w:jc w:val="both"/>
        <w:rPr>
          <w:rFonts w:ascii="Verdana" w:eastAsia="Calibri" w:hAnsi="Verdana" w:cs="Times New Roman"/>
        </w:rPr>
      </w:pPr>
    </w:p>
    <w:p w14:paraId="7883C5C9" w14:textId="2A6E35B4" w:rsidR="00FA31C3" w:rsidRDefault="006556B1" w:rsidP="00FA31C3">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610EF26F" wp14:editId="1577876F">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312722" cy="1229722"/>
                    </a:xfrm>
                    <a:prstGeom prst="rect">
                      <a:avLst/>
                    </a:prstGeom>
                  </pic:spPr>
                </pic:pic>
              </a:graphicData>
            </a:graphic>
          </wp:inline>
        </w:drawing>
      </w:r>
    </w:p>
    <w:p w14:paraId="7247B337" w14:textId="77777777" w:rsidR="00FA31C3" w:rsidRDefault="00FA31C3" w:rsidP="00FA31C3">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FA31C3" w:rsidRPr="00D81E8E" w14:paraId="3B167D16" w14:textId="77777777" w:rsidTr="00024BFE">
        <w:trPr>
          <w:trHeight w:val="409"/>
        </w:trPr>
        <w:tc>
          <w:tcPr>
            <w:tcW w:w="817" w:type="dxa"/>
            <w:tcBorders>
              <w:top w:val="nil"/>
              <w:left w:val="nil"/>
              <w:bottom w:val="nil"/>
              <w:right w:val="nil"/>
            </w:tcBorders>
            <w:vAlign w:val="center"/>
            <w:hideMark/>
          </w:tcPr>
          <w:p w14:paraId="43B34748" w14:textId="77777777" w:rsidR="00FA31C3" w:rsidRPr="00D81E8E" w:rsidRDefault="00FA31C3" w:rsidP="00024BFE">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4FC26A33" w14:textId="77777777" w:rsidR="00FA31C3" w:rsidRPr="00D81E8E" w:rsidRDefault="00FA31C3" w:rsidP="00024BFE">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José Luis Sánchez Cardona</w:t>
            </w:r>
          </w:p>
          <w:p w14:paraId="70710695" w14:textId="77777777" w:rsidR="00FA31C3" w:rsidRPr="00D81E8E" w:rsidRDefault="00FA31C3" w:rsidP="00024BFE">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Contratista de la Subdirección de Gestión Contractual</w:t>
            </w:r>
          </w:p>
        </w:tc>
      </w:tr>
      <w:tr w:rsidR="00FA31C3" w:rsidRPr="00D81E8E" w14:paraId="0C965578" w14:textId="77777777" w:rsidTr="00024BFE">
        <w:trPr>
          <w:trHeight w:val="409"/>
        </w:trPr>
        <w:tc>
          <w:tcPr>
            <w:tcW w:w="817" w:type="dxa"/>
            <w:tcBorders>
              <w:top w:val="nil"/>
              <w:left w:val="nil"/>
              <w:bottom w:val="nil"/>
              <w:right w:val="nil"/>
            </w:tcBorders>
            <w:vAlign w:val="center"/>
            <w:hideMark/>
          </w:tcPr>
          <w:p w14:paraId="68C991AD" w14:textId="77777777" w:rsidR="00FA31C3" w:rsidRPr="00D81E8E" w:rsidRDefault="00FA31C3" w:rsidP="00024BFE">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7E68E24" w14:textId="77777777" w:rsidR="00FA31C3" w:rsidRPr="00D81E8E" w:rsidRDefault="00FA31C3" w:rsidP="00024BFE">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 xml:space="preserve">Alejandro </w:t>
            </w:r>
            <w:r>
              <w:rPr>
                <w:rFonts w:ascii="Verdana" w:eastAsia="Calibri" w:hAnsi="Verdana" w:cs="Times New Roman"/>
                <w:sz w:val="16"/>
                <w:szCs w:val="16"/>
              </w:rPr>
              <w:t xml:space="preserve">R. </w:t>
            </w:r>
            <w:r w:rsidRPr="00D81E8E">
              <w:rPr>
                <w:rFonts w:ascii="Verdana" w:eastAsia="Calibri" w:hAnsi="Verdana" w:cs="Times New Roman"/>
                <w:sz w:val="16"/>
                <w:szCs w:val="16"/>
              </w:rPr>
              <w:t>Sarmiento Cantillo</w:t>
            </w:r>
          </w:p>
          <w:p w14:paraId="02E7AAF6" w14:textId="77777777" w:rsidR="00FA31C3" w:rsidRPr="00D81E8E" w:rsidRDefault="00FA31C3" w:rsidP="00024BFE">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Gestor T1-15 de la Subdirección de Gestión Contractual </w:t>
            </w:r>
          </w:p>
        </w:tc>
      </w:tr>
      <w:tr w:rsidR="00FA31C3" w:rsidRPr="00D81E8E" w14:paraId="020A4614" w14:textId="77777777" w:rsidTr="00024BFE">
        <w:trPr>
          <w:trHeight w:val="389"/>
        </w:trPr>
        <w:tc>
          <w:tcPr>
            <w:tcW w:w="817" w:type="dxa"/>
            <w:tcBorders>
              <w:top w:val="nil"/>
              <w:left w:val="nil"/>
              <w:bottom w:val="nil"/>
              <w:right w:val="nil"/>
            </w:tcBorders>
            <w:vAlign w:val="center"/>
            <w:hideMark/>
          </w:tcPr>
          <w:p w14:paraId="7E59959D" w14:textId="77777777" w:rsidR="00FA31C3" w:rsidRPr="00D81E8E" w:rsidRDefault="00FA31C3" w:rsidP="00024BFE">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DCDA1A2" w14:textId="77777777" w:rsidR="00FA31C3" w:rsidRPr="00D81E8E" w:rsidRDefault="00FA31C3" w:rsidP="00024BFE">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Carolina Quintero Gacharná</w:t>
            </w:r>
          </w:p>
          <w:p w14:paraId="64BEAD46" w14:textId="77777777" w:rsidR="00FA31C3" w:rsidRPr="00D81E8E" w:rsidRDefault="00FA31C3" w:rsidP="00024BFE">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Subdirectora de Gestión Contractual ANCP – CCE</w:t>
            </w:r>
          </w:p>
        </w:tc>
      </w:tr>
      <w:bookmarkEnd w:id="0"/>
    </w:tbl>
    <w:p w14:paraId="73C61EC8" w14:textId="60E72C6F" w:rsidR="00EB224C" w:rsidRPr="00FA31C3" w:rsidRDefault="00EB224C" w:rsidP="00FA31C3">
      <w:pPr>
        <w:rPr>
          <w:lang w:val="es-ES"/>
        </w:rPr>
      </w:pPr>
    </w:p>
    <w:sectPr w:rsidR="00EB224C" w:rsidRPr="00FA31C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82B8D2" w14:textId="77777777" w:rsidR="00FD7954" w:rsidRDefault="00FD7954" w:rsidP="004A1847">
      <w:pPr>
        <w:spacing w:after="0" w:line="240" w:lineRule="auto"/>
      </w:pPr>
      <w:r>
        <w:separator/>
      </w:r>
    </w:p>
  </w:endnote>
  <w:endnote w:type="continuationSeparator" w:id="0">
    <w:p w14:paraId="455EB3D0" w14:textId="77777777" w:rsidR="00FD7954" w:rsidRDefault="00FD795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Nova">
    <w:altName w:val="Arial"/>
    <w:charset w:val="00"/>
    <w:family w:val="swiss"/>
    <w:pitch w:val="variable"/>
    <w:sig w:usb0="0000028F" w:usb1="00000002"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9B3C20" w:rsidRDefault="009B3C20">
    <w:pPr>
      <w:pStyle w:val="Piedepgina"/>
    </w:pPr>
  </w:p>
  <w:p w14:paraId="594D6D9F" w14:textId="693B2EC7" w:rsidR="009B3C20" w:rsidRPr="00174B77" w:rsidRDefault="009B3C2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566E6F" w:rsidRPr="00566E6F">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9B3C20" w:rsidRDefault="009B3C2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9B3C20" w:rsidRPr="00E41027" w:rsidRDefault="009B3C20"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9B3C20" w:rsidRDefault="009B3C20">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693841" w14:textId="77777777" w:rsidR="00FD7954" w:rsidRDefault="00FD7954" w:rsidP="004A1847">
      <w:pPr>
        <w:spacing w:after="0" w:line="240" w:lineRule="auto"/>
      </w:pPr>
      <w:r>
        <w:separator/>
      </w:r>
    </w:p>
  </w:footnote>
  <w:footnote w:type="continuationSeparator" w:id="0">
    <w:p w14:paraId="305AC5B5" w14:textId="77777777" w:rsidR="00FD7954" w:rsidRDefault="00FD7954" w:rsidP="004A1847">
      <w:pPr>
        <w:spacing w:after="0" w:line="240" w:lineRule="auto"/>
      </w:pPr>
      <w:r>
        <w:continuationSeparator/>
      </w:r>
    </w:p>
  </w:footnote>
  <w:footnote w:id="1">
    <w:p w14:paraId="1378C2B5" w14:textId="77777777" w:rsidR="00FA31C3" w:rsidRPr="00F45A82" w:rsidRDefault="00FA31C3" w:rsidP="00FA31C3">
      <w:pPr>
        <w:pStyle w:val="Textonotapie"/>
        <w:ind w:firstLine="708"/>
        <w:rPr>
          <w:rFonts w:ascii="Verdana" w:hAnsi="Verdana"/>
          <w:sz w:val="16"/>
          <w:szCs w:val="16"/>
          <w:lang w:val="es-ES"/>
        </w:rPr>
      </w:pPr>
      <w:r w:rsidRPr="00F45A82">
        <w:rPr>
          <w:rStyle w:val="Refdenotaalpie"/>
          <w:rFonts w:ascii="Verdana" w:hAnsi="Verdana"/>
          <w:sz w:val="16"/>
          <w:szCs w:val="16"/>
        </w:rPr>
        <w:footnoteRef/>
      </w:r>
      <w:r w:rsidRPr="00F45A82">
        <w:rPr>
          <w:rFonts w:ascii="Verdana" w:hAnsi="Verdana"/>
          <w:sz w:val="16"/>
          <w:szCs w:val="16"/>
        </w:rPr>
        <w:t xml:space="preserve"> Agencia Nacional de Contratación Pública –Colombia Compra Eficiente. Guía de competencia en las compras públicas, 2018. p. 4. Disponible en línea: </w:t>
      </w:r>
      <w:hyperlink r:id="rId1" w:history="1">
        <w:r w:rsidRPr="00F45A82">
          <w:rPr>
            <w:rStyle w:val="Hipervnculo"/>
            <w:rFonts w:ascii="Verdana" w:hAnsi="Verdana"/>
            <w:sz w:val="16"/>
            <w:szCs w:val="16"/>
          </w:rPr>
          <w:t>https://www.colombiacompra.gov.co/archivos/manual/guia-de-competencia-en-las-compras-publicas</w:t>
        </w:r>
      </w:hyperlink>
      <w:r w:rsidRPr="00F45A82">
        <w:rPr>
          <w:rFonts w:ascii="Verdana" w:hAnsi="Verdana"/>
          <w:sz w:val="16"/>
          <w:szCs w:val="16"/>
        </w:rPr>
        <w:t xml:space="preserve"> </w:t>
      </w:r>
    </w:p>
  </w:footnote>
  <w:footnote w:id="2">
    <w:p w14:paraId="1AD25B18" w14:textId="77777777" w:rsidR="00FA31C3" w:rsidRPr="00F45A82" w:rsidRDefault="00FA31C3" w:rsidP="00FA31C3">
      <w:pPr>
        <w:pStyle w:val="Textonotapie"/>
        <w:ind w:firstLine="708"/>
        <w:jc w:val="both"/>
        <w:rPr>
          <w:rFonts w:ascii="Verdana" w:hAnsi="Verdana" w:cs="Arial"/>
          <w:sz w:val="16"/>
          <w:szCs w:val="16"/>
        </w:rPr>
      </w:pPr>
      <w:r w:rsidRPr="00F45A82">
        <w:rPr>
          <w:rStyle w:val="Refdenotaalpie"/>
          <w:rFonts w:ascii="Verdana" w:hAnsi="Verdana" w:cs="Arial"/>
          <w:sz w:val="16"/>
          <w:szCs w:val="16"/>
        </w:rPr>
        <w:footnoteRef/>
      </w:r>
      <w:r w:rsidRPr="00F45A82">
        <w:rPr>
          <w:rFonts w:ascii="Verdana" w:hAnsi="Verdana" w:cs="Arial"/>
          <w:sz w:val="16"/>
          <w:szCs w:val="16"/>
          <w:lang w:val="pt-BR"/>
        </w:rPr>
        <w:t xml:space="preserve"> Corte Constitucional. Sentencia C-713 de 2009. </w:t>
      </w:r>
      <w:r w:rsidRPr="00F45A82">
        <w:rPr>
          <w:rFonts w:ascii="Verdana" w:hAnsi="Verdana" w:cs="Arial"/>
          <w:sz w:val="16"/>
          <w:szCs w:val="16"/>
        </w:rPr>
        <w:t>M.P. María Victoria Calle Correa.</w:t>
      </w:r>
    </w:p>
    <w:p w14:paraId="12FD6A2F" w14:textId="77777777" w:rsidR="00FA31C3" w:rsidRPr="00F45A82" w:rsidRDefault="00FA31C3" w:rsidP="00FA31C3">
      <w:pPr>
        <w:pStyle w:val="Textonotapie"/>
        <w:ind w:firstLine="708"/>
        <w:jc w:val="both"/>
        <w:rPr>
          <w:rFonts w:ascii="Verdana" w:hAnsi="Verdana" w:cs="Arial"/>
          <w:sz w:val="16"/>
          <w:szCs w:val="16"/>
          <w:lang w:val="es-CO"/>
        </w:rPr>
      </w:pPr>
    </w:p>
  </w:footnote>
  <w:footnote w:id="3">
    <w:p w14:paraId="1EDF44F9" w14:textId="77777777" w:rsidR="00FA31C3" w:rsidRPr="00F45A82" w:rsidRDefault="00FA31C3" w:rsidP="00FA31C3">
      <w:pPr>
        <w:pStyle w:val="Textonotapie"/>
        <w:ind w:firstLine="708"/>
        <w:jc w:val="both"/>
        <w:rPr>
          <w:rFonts w:ascii="Verdana" w:hAnsi="Verdana" w:cs="Arial"/>
          <w:sz w:val="16"/>
          <w:szCs w:val="16"/>
          <w:lang w:val="es-CO"/>
        </w:rPr>
      </w:pPr>
      <w:r w:rsidRPr="00F45A82">
        <w:rPr>
          <w:rStyle w:val="Refdenotaalpie"/>
          <w:rFonts w:ascii="Verdana" w:hAnsi="Verdana" w:cs="Arial"/>
          <w:sz w:val="16"/>
          <w:szCs w:val="16"/>
        </w:rPr>
        <w:footnoteRef/>
      </w:r>
      <w:r w:rsidRPr="00F45A82">
        <w:rPr>
          <w:rFonts w:ascii="Verdana" w:hAnsi="Verdana" w:cs="Arial"/>
          <w:sz w:val="16"/>
          <w:szCs w:val="16"/>
        </w:rPr>
        <w:t xml:space="preserve"> Consejo de Estado. Sala de consulta y servicio civil. Sentencia del 20 de febrero de 2006. Exp. 1.727. C.P. Enrique José Arboleda Perdomo.</w:t>
      </w:r>
    </w:p>
  </w:footnote>
  <w:footnote w:id="4">
    <w:p w14:paraId="7665CB43" w14:textId="77777777" w:rsidR="00FA31C3" w:rsidRPr="00F45A82" w:rsidRDefault="00FA31C3" w:rsidP="00FA31C3">
      <w:pPr>
        <w:spacing w:after="0" w:line="240" w:lineRule="auto"/>
        <w:ind w:firstLine="680"/>
        <w:jc w:val="both"/>
        <w:rPr>
          <w:rFonts w:ascii="Verdana" w:hAnsi="Verdana" w:cs="Arial"/>
          <w:sz w:val="16"/>
          <w:szCs w:val="16"/>
        </w:rPr>
      </w:pPr>
      <w:r w:rsidRPr="00F45A82">
        <w:rPr>
          <w:rStyle w:val="Refdenotaalpie"/>
          <w:rFonts w:ascii="Verdana" w:hAnsi="Verdana" w:cs="Arial"/>
          <w:sz w:val="16"/>
          <w:szCs w:val="16"/>
        </w:rPr>
        <w:footnoteRef/>
      </w:r>
      <w:r w:rsidRPr="00F45A82">
        <w:rPr>
          <w:rFonts w:ascii="Verdana" w:hAnsi="Verdana" w:cs="Arial"/>
          <w:sz w:val="16"/>
          <w:szCs w:val="16"/>
        </w:rPr>
        <w:t xml:space="preserve"> Consejo de Estado. Sección Tercera. Sentencia del 29 de abril de 2015. Exp. 29.201. C.P. Olga Melida Valle de De La Hoz.</w:t>
      </w:r>
    </w:p>
  </w:footnote>
  <w:footnote w:id="5">
    <w:p w14:paraId="3A33BC21" w14:textId="77777777" w:rsidR="00FA31C3" w:rsidRPr="00F45A82" w:rsidRDefault="00FA31C3" w:rsidP="00FA31C3">
      <w:pPr>
        <w:pStyle w:val="Textonotapie"/>
        <w:ind w:firstLine="709"/>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Al respecto, conviene recordar el artículo 29 de la Ley 80 de 1993, derogado por el artículo 32 de la Ley 1150 de 2007, que establecía: “La selección de contratistas será objetiva.</w:t>
      </w:r>
    </w:p>
    <w:p w14:paraId="6DC52251" w14:textId="77777777" w:rsidR="00FA31C3" w:rsidRPr="00F45A82" w:rsidRDefault="00FA31C3" w:rsidP="00FA31C3">
      <w:pPr>
        <w:pStyle w:val="Textonotapie"/>
        <w:ind w:firstLine="709"/>
        <w:jc w:val="both"/>
        <w:rPr>
          <w:rFonts w:ascii="Verdana" w:hAnsi="Verdana" w:cs="Arial"/>
          <w:color w:val="000000"/>
          <w:sz w:val="16"/>
          <w:szCs w:val="16"/>
          <w:lang w:val="es-ES"/>
        </w:rPr>
      </w:pPr>
      <w:r w:rsidRPr="00F45A82">
        <w:rPr>
          <w:rFonts w:ascii="Verdana" w:hAnsi="Verdana" w:cs="Arial"/>
          <w:color w:val="000000"/>
          <w:sz w:val="16"/>
          <w:szCs w:val="16"/>
          <w:lang w:val="es-ES"/>
        </w:rPr>
        <w:t>Es objetiva la selección en la cual la escogencia se hace al ofrecimiento más favorable a la entidad y a los fines que ella busca, sin tener en consideración factores de afecto o de interés y, en general, cualquier clase de motivación subjetiva.</w:t>
      </w:r>
    </w:p>
    <w:p w14:paraId="3EC25F95" w14:textId="77777777" w:rsidR="00FA31C3" w:rsidRPr="00F45A82" w:rsidRDefault="00FA31C3" w:rsidP="00FA31C3">
      <w:pPr>
        <w:pStyle w:val="Textonotapie"/>
        <w:ind w:firstLine="709"/>
        <w:jc w:val="both"/>
        <w:rPr>
          <w:rFonts w:ascii="Verdana" w:hAnsi="Verdana" w:cs="Arial"/>
          <w:color w:val="000000"/>
          <w:sz w:val="16"/>
          <w:szCs w:val="16"/>
          <w:lang w:val="es-ES"/>
        </w:rPr>
      </w:pPr>
      <w:r w:rsidRPr="00F45A82">
        <w:rPr>
          <w:rFonts w:ascii="Verdana" w:hAnsi="Verdana" w:cs="Arial"/>
          <w:color w:val="000000"/>
          <w:sz w:val="16"/>
          <w:szCs w:val="16"/>
          <w:lang w:val="es-ES"/>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41D9AF2B" w14:textId="77777777" w:rsidR="00FA31C3" w:rsidRPr="00F45A82" w:rsidRDefault="00FA31C3" w:rsidP="00FA31C3">
      <w:pPr>
        <w:pStyle w:val="Textonotapie"/>
        <w:ind w:firstLine="709"/>
        <w:jc w:val="both"/>
        <w:rPr>
          <w:rFonts w:ascii="Verdana" w:hAnsi="Verdana" w:cs="Arial"/>
          <w:color w:val="000000"/>
          <w:sz w:val="16"/>
          <w:szCs w:val="16"/>
          <w:lang w:val="es-ES"/>
        </w:rPr>
      </w:pPr>
      <w:r w:rsidRPr="00F45A82">
        <w:rPr>
          <w:rFonts w:ascii="Verdana" w:hAnsi="Verdana" w:cs="Arial"/>
          <w:color w:val="000000"/>
          <w:sz w:val="16"/>
          <w:szCs w:val="16"/>
          <w:lang w:val="es-ES"/>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5721EEDE" w14:textId="77777777" w:rsidR="00FA31C3" w:rsidRPr="00F45A82" w:rsidRDefault="00FA31C3" w:rsidP="00FA31C3">
      <w:pPr>
        <w:pStyle w:val="Textonotapie"/>
        <w:ind w:firstLine="709"/>
        <w:jc w:val="both"/>
        <w:rPr>
          <w:rFonts w:ascii="Verdana" w:hAnsi="Verdana" w:cs="Arial"/>
          <w:color w:val="000000"/>
          <w:sz w:val="16"/>
          <w:szCs w:val="16"/>
          <w:lang w:val="es-ES"/>
        </w:rPr>
      </w:pPr>
      <w:r w:rsidRPr="00F45A82">
        <w:rPr>
          <w:rFonts w:ascii="Verdana" w:hAnsi="Verdana" w:cs="Arial"/>
          <w:color w:val="000000"/>
          <w:sz w:val="16"/>
          <w:szCs w:val="16"/>
          <w:lang w:val="es-ES"/>
        </w:rPr>
        <w:t>En caso de comparación de propuestas nacionales y extranjeras, se incluirán los costos necesarios para la entrega del producto terminado en el lugar de su utilización”.</w:t>
      </w:r>
    </w:p>
  </w:footnote>
  <w:footnote w:id="6">
    <w:p w14:paraId="4BD5AA37" w14:textId="77777777" w:rsidR="00FA31C3" w:rsidRPr="00F45A82" w:rsidRDefault="00FA31C3" w:rsidP="00FA31C3">
      <w:pPr>
        <w:pStyle w:val="Textonotapie"/>
        <w:ind w:firstLine="709"/>
        <w:jc w:val="both"/>
        <w:rPr>
          <w:rFonts w:ascii="Verdana" w:hAnsi="Verdana" w:cs="Arial"/>
          <w:color w:val="000000"/>
          <w:sz w:val="16"/>
          <w:szCs w:val="16"/>
          <w:lang w:val="es-ES"/>
        </w:rPr>
      </w:pPr>
      <w:r w:rsidRPr="00F45A82">
        <w:rPr>
          <w:rStyle w:val="Refdenotaalpie"/>
          <w:rFonts w:ascii="Verdana" w:hAnsi="Verdana" w:cs="Arial"/>
          <w:sz w:val="16"/>
          <w:szCs w:val="16"/>
        </w:rPr>
        <w:footnoteRef/>
      </w:r>
      <w:r w:rsidRPr="00F45A82">
        <w:rPr>
          <w:rFonts w:ascii="Verdana" w:hAnsi="Verdana" w:cs="Arial"/>
          <w:sz w:val="16"/>
          <w:szCs w:val="16"/>
        </w:rPr>
        <w:t xml:space="preserve"> “</w:t>
      </w:r>
      <w:r w:rsidRPr="00F45A82">
        <w:rPr>
          <w:rFonts w:ascii="Verdana" w:hAnsi="Verdana" w:cs="Arial"/>
          <w:color w:val="000000"/>
          <w:sz w:val="16"/>
          <w:szCs w:val="16"/>
          <w:lang w:val="es-ES"/>
        </w:rPr>
        <w:t>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5EEFEB93" w14:textId="77777777" w:rsidR="00FA31C3" w:rsidRPr="00F45A82" w:rsidRDefault="00FA31C3" w:rsidP="00FA31C3">
      <w:pPr>
        <w:pStyle w:val="Textonotapie"/>
        <w:ind w:firstLine="709"/>
        <w:jc w:val="both"/>
        <w:rPr>
          <w:rFonts w:ascii="Verdana" w:hAnsi="Verdana" w:cs="Arial"/>
          <w:color w:val="000000"/>
          <w:sz w:val="16"/>
          <w:szCs w:val="16"/>
          <w:lang w:val="es-ES"/>
        </w:rPr>
      </w:pPr>
      <w:r w:rsidRPr="00F45A82">
        <w:rPr>
          <w:rFonts w:ascii="Verdana" w:hAnsi="Verdana" w:cs="Arial"/>
          <w:color w:val="000000"/>
          <w:sz w:val="16"/>
          <w:szCs w:val="16"/>
          <w:lang w:val="es-ES"/>
        </w:rPr>
        <w:t>[…]</w:t>
      </w:r>
    </w:p>
    <w:p w14:paraId="352D6050" w14:textId="77777777" w:rsidR="00FA31C3" w:rsidRPr="00F45A82" w:rsidRDefault="00FA31C3" w:rsidP="00FA31C3">
      <w:pPr>
        <w:pStyle w:val="Textonotapie"/>
        <w:ind w:firstLine="709"/>
        <w:jc w:val="both"/>
        <w:rPr>
          <w:rFonts w:ascii="Verdana" w:hAnsi="Verdana" w:cs="Arial"/>
          <w:color w:val="000000"/>
          <w:sz w:val="16"/>
          <w:szCs w:val="16"/>
          <w:lang w:val="es-ES"/>
        </w:rPr>
      </w:pPr>
      <w:r w:rsidRPr="00F45A82">
        <w:rPr>
          <w:rFonts w:ascii="Verdana" w:hAnsi="Verdana" w:cs="Arial"/>
          <w:color w:val="000000"/>
          <w:sz w:val="16"/>
          <w:szCs w:val="16"/>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28D4A4D8" w14:textId="77777777" w:rsidR="00FA31C3" w:rsidRPr="00F45A82" w:rsidRDefault="00FA31C3" w:rsidP="00FA31C3">
      <w:pPr>
        <w:pStyle w:val="Textonotapie"/>
        <w:ind w:firstLine="709"/>
        <w:jc w:val="both"/>
        <w:rPr>
          <w:rFonts w:ascii="Verdana" w:hAnsi="Verdana" w:cs="Arial"/>
          <w:color w:val="000000"/>
          <w:sz w:val="16"/>
          <w:szCs w:val="16"/>
          <w:lang w:val="es-ES"/>
        </w:rPr>
      </w:pPr>
      <w:r w:rsidRPr="00F45A82">
        <w:rPr>
          <w:rFonts w:ascii="Verdana" w:hAnsi="Verdana" w:cs="Arial"/>
          <w:color w:val="000000"/>
          <w:sz w:val="16"/>
          <w:szCs w:val="16"/>
          <w:lang w:val="es-ES"/>
        </w:rPr>
        <w:t>[…]</w:t>
      </w:r>
    </w:p>
    <w:p w14:paraId="00C4CCC3" w14:textId="77777777" w:rsidR="00FA31C3" w:rsidRPr="00F45A82" w:rsidRDefault="00FA31C3" w:rsidP="00FA31C3">
      <w:pPr>
        <w:pStyle w:val="Textonotapie"/>
        <w:jc w:val="both"/>
        <w:rPr>
          <w:rFonts w:ascii="Verdana" w:hAnsi="Verdana" w:cs="Arial"/>
          <w:sz w:val="16"/>
          <w:szCs w:val="16"/>
          <w:lang w:val="es-CO"/>
        </w:rPr>
      </w:pPr>
    </w:p>
  </w:footnote>
  <w:footnote w:id="7">
    <w:p w14:paraId="18F00399" w14:textId="77777777" w:rsidR="00FA31C3" w:rsidRPr="00F45A82" w:rsidRDefault="00FA31C3" w:rsidP="00FA31C3">
      <w:pPr>
        <w:pStyle w:val="Textonotapie"/>
        <w:ind w:firstLine="709"/>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Consejo de Estado. Sección Tercera. Subsección A. Sentencia del 25 de octubre de 2019. Exp. 39.945. C.P. María Adriana Marín: La selección de contratistas, para cumplir con el requisito de objetividad, debe caracterizarse: 1. Ausencia total de subjetividad; 2. Estar determinada por la comparación de distintos factores, establecidos con anterioridad por la Administración en el pliego de condiciones; 3. Estar determinada la forma como los factores de selección serán evaluados y el valor que corresponde a cada uno de ellos en el pliego de condiciones y 4. Estar determinada la adjudicación y celebración del negocio jurídico por un análisis, comparación y evaluación objetiva de las propuestas presentadas.</w:t>
      </w:r>
    </w:p>
  </w:footnote>
  <w:footnote w:id="8">
    <w:p w14:paraId="4AC6C53F" w14:textId="77777777" w:rsidR="00FA31C3" w:rsidRPr="00F45A82" w:rsidRDefault="00FA31C3" w:rsidP="00FA31C3">
      <w:pPr>
        <w:pStyle w:val="Textonotapie"/>
        <w:ind w:firstLine="709"/>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Style w:val="Refdenotaalpie"/>
          <w:rFonts w:ascii="Verdana" w:hAnsi="Verdana" w:cs="Arial"/>
          <w:color w:val="000000"/>
          <w:sz w:val="16"/>
          <w:szCs w:val="16"/>
        </w:rPr>
        <w:t xml:space="preserve"> </w:t>
      </w:r>
      <w:r w:rsidRPr="00F45A82">
        <w:rPr>
          <w:rFonts w:ascii="Verdana" w:hAnsi="Verdana" w:cs="Arial"/>
          <w:color w:val="000000"/>
          <w:sz w:val="16"/>
          <w:szCs w:val="16"/>
        </w:rPr>
        <w:t>Consejo de Estado. Sección Tercera. Subsección A. Sentencia del 5 de julio de 2018. Exp. 37.834. C.P. Carlos Alberto Zambrano Barrera.</w:t>
      </w:r>
    </w:p>
  </w:footnote>
  <w:footnote w:id="9">
    <w:p w14:paraId="4689DDDC" w14:textId="77777777" w:rsidR="00FA31C3" w:rsidRPr="00F45A82" w:rsidRDefault="00FA31C3" w:rsidP="00FA31C3">
      <w:pPr>
        <w:pStyle w:val="Textoindependiente"/>
        <w:spacing w:line="240" w:lineRule="auto"/>
        <w:ind w:firstLine="707"/>
        <w:jc w:val="both"/>
        <w:rPr>
          <w:rFonts w:ascii="Verdana" w:hAnsi="Verdana"/>
          <w:sz w:val="16"/>
          <w:szCs w:val="16"/>
        </w:rPr>
      </w:pPr>
      <w:r w:rsidRPr="00F45A82">
        <w:rPr>
          <w:rStyle w:val="Refdenotaalpie"/>
          <w:rFonts w:ascii="Verdana" w:hAnsi="Verdana"/>
          <w:sz w:val="16"/>
          <w:szCs w:val="16"/>
        </w:rPr>
        <w:footnoteRef/>
      </w:r>
      <w:r w:rsidRPr="00F45A82">
        <w:rPr>
          <w:rFonts w:ascii="Verdana" w:hAnsi="Verdana"/>
          <w:sz w:val="16"/>
          <w:szCs w:val="16"/>
        </w:rPr>
        <w:t xml:space="preserve"> La Corte Constitucional, en Sentencia C-300 de 2012 M.P. Jorge Ignacio Pretel Chaljub, consideró al respecto: “El principio de planeación hace referencia al deber de la entidad contratante de realizar estudios previos adecuados (estudios de prefactibilidad, factibilidad, ingeniería, suelos, etc.), con el fin de precisar el objeto del contrato, las obligaciones mutuas de las partes, la distribución de los riesgos y el precio, estructurar debidamente su financiación y permitir a los interesados diseñar sus ofertas y buscar diferentes fuentes de recursos.</w:t>
      </w:r>
    </w:p>
    <w:p w14:paraId="32112C85" w14:textId="77777777" w:rsidR="00FA31C3" w:rsidRPr="00F45A82" w:rsidRDefault="00FA31C3" w:rsidP="00FA31C3">
      <w:pPr>
        <w:pStyle w:val="Textoindependiente"/>
        <w:spacing w:line="240" w:lineRule="auto"/>
        <w:ind w:firstLine="608"/>
        <w:jc w:val="both"/>
        <w:rPr>
          <w:rFonts w:ascii="Verdana" w:hAnsi="Verdana"/>
          <w:sz w:val="16"/>
          <w:szCs w:val="16"/>
        </w:rPr>
      </w:pPr>
      <w:r w:rsidRPr="00F45A82">
        <w:rPr>
          <w:rFonts w:ascii="Verdana" w:hAnsi="Verdana"/>
          <w:sz w:val="16"/>
          <w:szCs w:val="16"/>
        </w:rPr>
        <w:t>Este principio está entonces directamente relacionado con los de economía, eficacia, racionalidad de la intervención estatal y libre concurrencia. De un lado, se relaciona con los principios de economía y eficacia (artículo 209 superior) y racionalidad de la intervención estatal (artículo 334 superior), pues los estudios previos no son solamente necesarios para la adecuada ejecución del contrato -en términos de calidad y tiempo, sino también para evitar mayores costos a la administración fruto de modificaciones sobrevinientes imputables a la entidad y que redunden en una obligación de restablecer el equilibrio económico del contrato sin posibilidad de negociación de los precios. Ciertamente, los estudios previos determinan el retorno que pueden esperar los inversionistas, el cual, si no es obtenido por causas imputables al Estado en el marco del esquema de distribución de riesgos, puede llevar a condenas judiciales o a la necesidad de renegociaciones a favor del contratista.</w:t>
      </w:r>
    </w:p>
    <w:p w14:paraId="57E5BDDC" w14:textId="77777777" w:rsidR="00FA31C3" w:rsidRPr="00F45A82" w:rsidRDefault="00FA31C3" w:rsidP="00FA31C3">
      <w:pPr>
        <w:pStyle w:val="Textoindependiente"/>
        <w:spacing w:line="240" w:lineRule="auto"/>
        <w:ind w:firstLine="608"/>
        <w:jc w:val="both"/>
        <w:rPr>
          <w:rFonts w:ascii="Verdana" w:hAnsi="Verdana"/>
          <w:sz w:val="16"/>
          <w:szCs w:val="16"/>
        </w:rPr>
      </w:pPr>
      <w:r w:rsidRPr="00F45A82">
        <w:rPr>
          <w:rFonts w:ascii="Verdana" w:hAnsi="Verdana"/>
          <w:sz w:val="16"/>
          <w:szCs w:val="16"/>
        </w:rPr>
        <w:t>De otro lado, se relaciona con el principio de libre concurrencia –manifestación de los principios constitucionales de libre competencia e igualdad, ya que permite que cualquier interesado con posibilidad de presentar una buena oferta según la información disponible, pueda participar en el respectivo proceso de selección; si la información fruto de la etapa precontractual es lejana a la realidad del negocio, posibles oferentes se abstendrán de presentar propuestas, en perjuicio de la libre competencia, y de la posibilidad de la entidad de acceder a ofertas más favorables. En este punto, vale la pena recordar que en los contratos de concesión, usualmente el concesionario acude a la financiación de terceros (por medio de créditos, venta de títulos, etc.), razón por la cual es indispensable contar con una imagen lo más cercana a la realidad de las dimensiones del negocio, con el fin de que los inversionistas lleven a cabo el respectivo análisis costo-beneficio y tomen decisiones sobre si participan o no en el proyecto. Sin esta información, las decisiones de financiación no podrán basarse en una previsión real de cómo obtener la mayor cantidad de servicios por el dinero invertido, elemento determinante de las decisiones de participación”.</w:t>
      </w:r>
    </w:p>
    <w:p w14:paraId="23B18F12" w14:textId="77777777" w:rsidR="00FA31C3" w:rsidRPr="00F45A82" w:rsidRDefault="00FA31C3" w:rsidP="00FA31C3">
      <w:pPr>
        <w:pStyle w:val="Textoindependiente"/>
        <w:spacing w:line="240" w:lineRule="auto"/>
        <w:jc w:val="both"/>
        <w:rPr>
          <w:sz w:val="16"/>
          <w:szCs w:val="16"/>
        </w:rPr>
      </w:pPr>
    </w:p>
    <w:p w14:paraId="6DCA5976" w14:textId="77777777" w:rsidR="00FA31C3" w:rsidRPr="00F45A82" w:rsidRDefault="00FA31C3" w:rsidP="00FA31C3">
      <w:pPr>
        <w:pStyle w:val="Textonotapie"/>
        <w:jc w:val="both"/>
        <w:rPr>
          <w:rFonts w:ascii="Arial" w:hAnsi="Arial" w:cs="Arial"/>
          <w:sz w:val="16"/>
          <w:szCs w:val="16"/>
        </w:rPr>
      </w:pPr>
    </w:p>
  </w:footnote>
  <w:footnote w:id="10">
    <w:p w14:paraId="06D6FF5A" w14:textId="77777777" w:rsidR="00FA31C3" w:rsidRPr="00F45A82" w:rsidRDefault="00FA31C3" w:rsidP="00FA31C3">
      <w:pPr>
        <w:pStyle w:val="Textonotapie"/>
        <w:ind w:firstLine="709"/>
        <w:jc w:val="both"/>
        <w:rPr>
          <w:rFonts w:ascii="Verdana" w:hAnsi="Verdana" w:cs="Arial"/>
          <w:color w:val="000000"/>
          <w:sz w:val="16"/>
          <w:szCs w:val="16"/>
          <w:lang w:val="es-ES"/>
        </w:rPr>
      </w:pPr>
      <w:r w:rsidRPr="00F45A82">
        <w:rPr>
          <w:rStyle w:val="Refdenotaalpie"/>
          <w:rFonts w:ascii="Verdana" w:hAnsi="Verdana"/>
          <w:sz w:val="16"/>
          <w:szCs w:val="16"/>
        </w:rPr>
        <w:footnoteRef/>
      </w:r>
      <w:r w:rsidRPr="00F45A82">
        <w:rPr>
          <w:rFonts w:ascii="Verdana" w:hAnsi="Verdana"/>
          <w:sz w:val="16"/>
          <w:szCs w:val="16"/>
        </w:rPr>
        <w:t xml:space="preserve"> </w:t>
      </w:r>
      <w:r w:rsidRPr="00F45A82">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010EE05D" w14:textId="77777777" w:rsidR="00FA31C3" w:rsidRPr="00F45A82" w:rsidRDefault="00FA31C3" w:rsidP="00FA31C3">
      <w:pPr>
        <w:pStyle w:val="Textonotapie"/>
        <w:ind w:firstLine="709"/>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2. Quien presta el servicio se denomina trabajador, quien lo recibe y remunera, empleador, y la remuneración, cualquiera que sea su forma, salario”.</w:t>
      </w:r>
    </w:p>
  </w:footnote>
  <w:footnote w:id="11">
    <w:p w14:paraId="32C1F9E5" w14:textId="77777777" w:rsidR="00FA31C3" w:rsidRPr="00F45A82" w:rsidRDefault="00FA31C3" w:rsidP="00FA31C3">
      <w:pPr>
        <w:pStyle w:val="Textonotapie"/>
        <w:ind w:firstLine="708"/>
        <w:rPr>
          <w:rFonts w:ascii="Verdana" w:hAnsi="Verdana"/>
          <w:sz w:val="16"/>
          <w:szCs w:val="16"/>
          <w:lang w:val="pt-BR"/>
        </w:rPr>
      </w:pPr>
      <w:r w:rsidRPr="00F45A82">
        <w:rPr>
          <w:rStyle w:val="Refdenotaalpie"/>
          <w:rFonts w:ascii="Verdana" w:hAnsi="Verdana"/>
          <w:sz w:val="16"/>
          <w:szCs w:val="16"/>
        </w:rPr>
        <w:footnoteRef/>
      </w:r>
      <w:r w:rsidRPr="00F45A82">
        <w:rPr>
          <w:rFonts w:ascii="Verdana" w:hAnsi="Verdana"/>
          <w:sz w:val="16"/>
          <w:szCs w:val="16"/>
          <w:lang w:val="pt-BR"/>
        </w:rPr>
        <w:t xml:space="preserve"> </w:t>
      </w:r>
      <w:r w:rsidRPr="00F45A82">
        <w:rPr>
          <w:rFonts w:ascii="Verdana" w:hAnsi="Verdana" w:cs="Arial"/>
          <w:color w:val="000000"/>
          <w:sz w:val="16"/>
          <w:szCs w:val="16"/>
          <w:lang w:val="pt-BR"/>
        </w:rPr>
        <w:t>Corte Constitucional. Sentencia C-154 de 1997. M.P. Hernando Herrera Vergara.</w:t>
      </w:r>
    </w:p>
  </w:footnote>
  <w:footnote w:id="12">
    <w:p w14:paraId="569CA32D" w14:textId="77777777" w:rsidR="00FA31C3" w:rsidRPr="00F45A82" w:rsidDel="00A37FEF" w:rsidRDefault="00FA31C3" w:rsidP="00FA31C3">
      <w:pPr>
        <w:spacing w:after="0" w:line="240" w:lineRule="auto"/>
        <w:ind w:firstLine="708"/>
        <w:jc w:val="both"/>
        <w:rPr>
          <w:rFonts w:ascii="Verdana" w:eastAsia="Arial Nova" w:hAnsi="Verdana" w:cs="Arial"/>
          <w:sz w:val="16"/>
          <w:szCs w:val="16"/>
          <w:lang w:val="pt-BR"/>
        </w:rPr>
      </w:pPr>
      <w:r w:rsidRPr="00F45A82">
        <w:rPr>
          <w:rStyle w:val="Refdenotaalpie"/>
          <w:rFonts w:ascii="Verdana" w:hAnsi="Verdana" w:cs="Arial"/>
          <w:sz w:val="16"/>
          <w:szCs w:val="16"/>
        </w:rPr>
        <w:footnoteRef/>
      </w:r>
      <w:r w:rsidRPr="00F45A82">
        <w:rPr>
          <w:rFonts w:ascii="Verdana" w:hAnsi="Verdana" w:cs="Arial"/>
          <w:sz w:val="16"/>
          <w:szCs w:val="16"/>
          <w:lang w:val="pt-BR"/>
        </w:rPr>
        <w:t xml:space="preserve"> </w:t>
      </w:r>
      <w:r w:rsidRPr="00F45A82">
        <w:rPr>
          <w:rFonts w:ascii="Verdana" w:eastAsia="Arial Nova" w:hAnsi="Verdana" w:cs="Arial"/>
          <w:sz w:val="16"/>
          <w:szCs w:val="16"/>
          <w:lang w:val="pt-BR"/>
        </w:rPr>
        <w:t xml:space="preserve">Corte Constitucional. Sentencia C-614 de 2009. M.P. Jorge Ignacio Pretelt Chaljub. </w:t>
      </w:r>
    </w:p>
  </w:footnote>
  <w:footnote w:id="13">
    <w:p w14:paraId="522CEAA6" w14:textId="77777777" w:rsidR="00FA31C3" w:rsidRPr="00F45A82" w:rsidDel="00A37FEF" w:rsidRDefault="00FA31C3" w:rsidP="00FA31C3">
      <w:pPr>
        <w:pStyle w:val="Textonotapie"/>
        <w:ind w:firstLine="708"/>
        <w:rPr>
          <w:rFonts w:ascii="Verdana" w:hAnsi="Verdana" w:cs="Arial"/>
          <w:color w:val="000000" w:themeColor="text1"/>
          <w:sz w:val="16"/>
          <w:szCs w:val="16"/>
          <w:lang w:val="es-ES"/>
        </w:rPr>
      </w:pPr>
      <w:r w:rsidRPr="00F45A82">
        <w:rPr>
          <w:rStyle w:val="Refdenotaalpie"/>
          <w:rFonts w:ascii="Verdana" w:hAnsi="Verdana"/>
          <w:sz w:val="16"/>
          <w:szCs w:val="16"/>
        </w:rPr>
        <w:footnoteRef/>
      </w:r>
      <w:r w:rsidRPr="00F45A82">
        <w:rPr>
          <w:rFonts w:ascii="Verdana" w:hAnsi="Verdana"/>
          <w:sz w:val="16"/>
          <w:szCs w:val="16"/>
          <w:lang w:val="pt-BR"/>
        </w:rPr>
        <w:t xml:space="preserve"> </w:t>
      </w:r>
      <w:r w:rsidRPr="00F45A82">
        <w:rPr>
          <w:rFonts w:ascii="Verdana" w:hAnsi="Verdana" w:cs="Arial"/>
          <w:color w:val="000000"/>
          <w:sz w:val="16"/>
          <w:szCs w:val="16"/>
          <w:lang w:val="pt-BR"/>
        </w:rPr>
        <w:t xml:space="preserve">Corte Constitucional. Sentencia C-154 de 1997. </w:t>
      </w:r>
      <w:r w:rsidRPr="00F45A82">
        <w:rPr>
          <w:rFonts w:ascii="Verdana" w:hAnsi="Verdana" w:cs="Arial"/>
          <w:color w:val="000000"/>
          <w:sz w:val="16"/>
          <w:szCs w:val="16"/>
          <w:lang w:val="es-ES"/>
        </w:rPr>
        <w:t>M.P. Hernando Herrera Vergara.</w:t>
      </w:r>
    </w:p>
  </w:footnote>
  <w:footnote w:id="14">
    <w:p w14:paraId="2032B6AD"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496D28E"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391864E8"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footnote>
  <w:footnote w:id="15">
    <w:p w14:paraId="77E3F185" w14:textId="77777777" w:rsidR="00FA31C3" w:rsidRPr="00F45A82" w:rsidDel="00A37FEF" w:rsidRDefault="00FA31C3" w:rsidP="00FA31C3">
      <w:pPr>
        <w:pStyle w:val="Textonotapie"/>
        <w:ind w:firstLine="709"/>
        <w:contextualSpacing/>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Consejo de Estado. Sección Tercera. Subsección C. Sentencia del 2 de diciembre de 2013. Exp. 41719. C.P. Jaime Orlando Santofimio Gamboa.</w:t>
      </w:r>
    </w:p>
  </w:footnote>
  <w:footnote w:id="16">
    <w:p w14:paraId="7EB561F7"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F7C3B3E"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Son también contratos de consultoría los que tienen por objeto la interventoría, asesoría, gerencia de obra o de proyectos, dirección, programación y la ejecución de diseños, planos, anteproyectos y proyectos.</w:t>
      </w:r>
    </w:p>
    <w:p w14:paraId="2BF96C67"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footnote>
  <w:footnote w:id="17">
    <w:p w14:paraId="1AC06BB6"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62F0D2BF"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1. La causal que invoca para contratar directamente.</w:t>
      </w:r>
    </w:p>
    <w:p w14:paraId="4BD1DAFA"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2. El objeto del contrato.</w:t>
      </w:r>
    </w:p>
    <w:p w14:paraId="4CCA90BF"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3. El presupuesto para la contratación y las condiciones que exigirá al contratista.</w:t>
      </w:r>
    </w:p>
    <w:p w14:paraId="121FC6C2"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4. El lugar en el cual los interesados pueden consultar los estudios y documentos previos.</w:t>
      </w:r>
    </w:p>
    <w:p w14:paraId="6818AC02"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8">
    <w:p w14:paraId="158BB706"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Esta norma expresa: “</w:t>
      </w:r>
      <w:r w:rsidRPr="00F45A82">
        <w:rPr>
          <w:rFonts w:ascii="Verdana" w:hAnsi="Verdana" w:cs="Arial"/>
          <w:color w:val="000000"/>
          <w:sz w:val="16"/>
          <w:szCs w:val="16"/>
        </w:rPr>
        <w:t>P</w:t>
      </w:r>
      <w:r w:rsidRPr="00F45A82">
        <w:rPr>
          <w:rFonts w:ascii="Verdana" w:hAnsi="Verdana" w:cs="Arial"/>
          <w:color w:val="000000"/>
          <w:sz w:val="16"/>
          <w:szCs w:val="16"/>
          <w:lang w:val="es-ES"/>
        </w:rPr>
        <w:t>ara el cumplimiento de los fines de la contratación, las entidades estatales al celebrar un contrato:</w:t>
      </w:r>
    </w:p>
    <w:p w14:paraId="2BF9230B"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w:t>
      </w:r>
    </w:p>
    <w:p w14:paraId="0FC229E0"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26CD37CA"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lang w:val="es-ES"/>
        </w:rPr>
        <w:t>Las entidades estatales podrán pactar estas cláusulas en los contratos de suministro y de prestación de servicios.[…]”.</w:t>
      </w:r>
    </w:p>
  </w:footnote>
  <w:footnote w:id="19">
    <w:p w14:paraId="29E209D0"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footnote>
  <w:footnote w:id="20">
    <w:p w14:paraId="5F9F4AB3" w14:textId="77777777" w:rsidR="00FA31C3" w:rsidRPr="00F45A82" w:rsidRDefault="00FA31C3" w:rsidP="00FA31C3">
      <w:pPr>
        <w:pStyle w:val="Textonotapie"/>
        <w:ind w:firstLine="709"/>
        <w:contextualSpacing/>
        <w:jc w:val="both"/>
        <w:rPr>
          <w:rFonts w:ascii="Verdana" w:hAnsi="Verdana" w:cs="Arial"/>
          <w:color w:val="000000"/>
          <w:sz w:val="16"/>
          <w:szCs w:val="16"/>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D01A292" w14:textId="77777777" w:rsidR="00FA31C3" w:rsidRPr="00F45A82" w:rsidRDefault="00FA31C3" w:rsidP="00FA31C3">
      <w:pPr>
        <w:pStyle w:val="Textonotapie"/>
        <w:ind w:firstLine="709"/>
        <w:contextualSpacing/>
        <w:jc w:val="both"/>
        <w:rPr>
          <w:rFonts w:ascii="Verdana" w:hAnsi="Verdana" w:cs="Arial"/>
          <w:color w:val="000000"/>
          <w:sz w:val="16"/>
          <w:szCs w:val="16"/>
          <w:lang w:val="es-ES"/>
        </w:rPr>
      </w:pPr>
      <w:r w:rsidRPr="00F45A82">
        <w:rPr>
          <w:rFonts w:ascii="Verdana" w:hAnsi="Verdana" w:cs="Arial"/>
          <w:color w:val="000000" w:themeColor="text1"/>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footnote>
  <w:footnote w:id="21">
    <w:p w14:paraId="42C6AA4F" w14:textId="77777777" w:rsidR="00FA31C3" w:rsidRPr="00144A14" w:rsidDel="00A37FEF" w:rsidRDefault="00FA31C3" w:rsidP="00FA31C3">
      <w:pPr>
        <w:pStyle w:val="Textonotapie"/>
        <w:ind w:firstLine="709"/>
        <w:contextualSpacing/>
        <w:jc w:val="both"/>
        <w:rPr>
          <w:rFonts w:ascii="Verdana" w:hAnsi="Verdana" w:cs="Arial"/>
          <w:color w:val="000000"/>
          <w:sz w:val="16"/>
          <w:szCs w:val="16"/>
          <w:lang w:val="es-ES"/>
        </w:rPr>
      </w:pPr>
      <w:r w:rsidRPr="00F45A82">
        <w:rPr>
          <w:rStyle w:val="Refdenotaalpie"/>
          <w:rFonts w:ascii="Verdana" w:hAnsi="Verdana" w:cs="Arial"/>
          <w:color w:val="000000"/>
          <w:sz w:val="16"/>
          <w:szCs w:val="16"/>
        </w:rPr>
        <w:footnoteRef/>
      </w:r>
      <w:r w:rsidRPr="00F45A82">
        <w:rPr>
          <w:rFonts w:ascii="Verdana" w:hAnsi="Verdana" w:cs="Arial"/>
          <w:color w:val="000000"/>
          <w:sz w:val="16"/>
          <w:szCs w:val="16"/>
        </w:rPr>
        <w:t xml:space="preserve"> </w:t>
      </w:r>
      <w:r w:rsidRPr="00F45A82">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w:t>
      </w:r>
      <w:r w:rsidRPr="008E7D7B">
        <w:rPr>
          <w:rFonts w:ascii="Verdana" w:hAnsi="Verdana" w:cs="Arial"/>
          <w:color w:val="000000"/>
          <w:sz w:val="9"/>
          <w:szCs w:val="9"/>
          <w:lang w:val="es-ES"/>
        </w:rPr>
        <w:t xml:space="preserve"> Sección 3, que comprende los artículos 2.2.1.2.3.1.1 al 2.2.1.2.3.5.1.del presente decreto no es obligatoria y la justificación para exigirlas o no debe estar en los estudios y documentos previos”.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9B3C20" w:rsidRDefault="009B3C20"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9B3C20" w:rsidRDefault="009B3C20">
    <w:pPr>
      <w:pStyle w:val="Encabezado"/>
    </w:pPr>
  </w:p>
  <w:p w14:paraId="5E18350A" w14:textId="705F7B76" w:rsidR="009B3C20" w:rsidRPr="004A305D" w:rsidRDefault="009B3C20" w:rsidP="00B01B1A">
    <w:pPr>
      <w:spacing w:after="0" w:line="120" w:lineRule="auto"/>
      <w:rPr>
        <w:rFonts w:ascii="Century Gothic" w:eastAsia="Geo" w:hAnsi="Century Gothic" w:cs="Geo"/>
        <w:sz w:val="16"/>
        <w:szCs w:val="16"/>
        <w:lang w:eastAsia="es-CO"/>
      </w:rPr>
    </w:pPr>
  </w:p>
  <w:p w14:paraId="211B7F5D" w14:textId="77777777" w:rsidR="009B3C20" w:rsidRDefault="009B3C20" w:rsidP="00844AE9">
    <w:pPr>
      <w:spacing w:after="0" w:line="240" w:lineRule="auto"/>
      <w:rPr>
        <w:rFonts w:ascii="Verdana" w:hAnsi="Verdana"/>
        <w:sz w:val="24"/>
        <w:szCs w:val="24"/>
      </w:rPr>
    </w:pPr>
  </w:p>
  <w:p w14:paraId="5A0054B1" w14:textId="77777777" w:rsidR="009B3C20" w:rsidRPr="00C925AC" w:rsidRDefault="009B3C20" w:rsidP="00844AE9">
    <w:pPr>
      <w:spacing w:after="0" w:line="240" w:lineRule="auto"/>
      <w:rPr>
        <w:rFonts w:ascii="Verdana" w:hAnsi="Verdana"/>
        <w:sz w:val="24"/>
        <w:szCs w:val="24"/>
      </w:rPr>
    </w:pPr>
  </w:p>
  <w:p w14:paraId="1FD1C243" w14:textId="37C5500A" w:rsidR="009B3C20" w:rsidRPr="00C925AC" w:rsidRDefault="009B3C20"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874E1E31"/>
    <w:multiLevelType w:val="hybridMultilevel"/>
    <w:tmpl w:val="15B440BB"/>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FF1201"/>
    <w:multiLevelType w:val="hybridMultilevel"/>
    <w:tmpl w:val="03B2583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7" w15:restartNumberingAfterBreak="0">
    <w:nsid w:val="21BD4E30"/>
    <w:multiLevelType w:val="hybridMultilevel"/>
    <w:tmpl w:val="3A0F72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14"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9"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2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1602952139">
    <w:abstractNumId w:val="14"/>
  </w:num>
  <w:num w:numId="2" w16cid:durableId="1174295399">
    <w:abstractNumId w:val="4"/>
  </w:num>
  <w:num w:numId="3" w16cid:durableId="275412809">
    <w:abstractNumId w:val="11"/>
  </w:num>
  <w:num w:numId="4" w16cid:durableId="119422480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46989536">
    <w:abstractNumId w:val="4"/>
  </w:num>
  <w:num w:numId="6" w16cid:durableId="73675157">
    <w:abstractNumId w:val="23"/>
  </w:num>
  <w:num w:numId="7" w16cid:durableId="382797315">
    <w:abstractNumId w:val="12"/>
  </w:num>
  <w:num w:numId="8" w16cid:durableId="159583043">
    <w:abstractNumId w:val="22"/>
  </w:num>
  <w:num w:numId="9" w16cid:durableId="1808206630">
    <w:abstractNumId w:val="15"/>
  </w:num>
  <w:num w:numId="10" w16cid:durableId="502628229">
    <w:abstractNumId w:val="21"/>
  </w:num>
  <w:num w:numId="11" w16cid:durableId="1583561368">
    <w:abstractNumId w:val="16"/>
  </w:num>
  <w:num w:numId="12" w16cid:durableId="266238378">
    <w:abstractNumId w:val="2"/>
  </w:num>
  <w:num w:numId="13" w16cid:durableId="2106612459">
    <w:abstractNumId w:val="8"/>
  </w:num>
  <w:num w:numId="14" w16cid:durableId="299000037">
    <w:abstractNumId w:val="24"/>
  </w:num>
  <w:num w:numId="15" w16cid:durableId="260913109">
    <w:abstractNumId w:val="20"/>
  </w:num>
  <w:num w:numId="16" w16cid:durableId="1328826493">
    <w:abstractNumId w:val="9"/>
  </w:num>
  <w:num w:numId="17" w16cid:durableId="1054740551">
    <w:abstractNumId w:val="17"/>
  </w:num>
  <w:num w:numId="18" w16cid:durableId="2710404">
    <w:abstractNumId w:val="27"/>
  </w:num>
  <w:num w:numId="19" w16cid:durableId="407389360">
    <w:abstractNumId w:val="26"/>
  </w:num>
  <w:num w:numId="20" w16cid:durableId="1908343037">
    <w:abstractNumId w:val="3"/>
  </w:num>
  <w:num w:numId="21" w16cid:durableId="1320310381">
    <w:abstractNumId w:val="6"/>
  </w:num>
  <w:num w:numId="22" w16cid:durableId="1760515483">
    <w:abstractNumId w:val="10"/>
  </w:num>
  <w:num w:numId="23" w16cid:durableId="1959676984">
    <w:abstractNumId w:val="5"/>
  </w:num>
  <w:num w:numId="24" w16cid:durableId="1158039972">
    <w:abstractNumId w:val="25"/>
  </w:num>
  <w:num w:numId="25" w16cid:durableId="60376114">
    <w:abstractNumId w:val="1"/>
  </w:num>
  <w:num w:numId="26" w16cid:durableId="1207524325">
    <w:abstractNumId w:val="0"/>
  </w:num>
  <w:num w:numId="27" w16cid:durableId="2121874235">
    <w:abstractNumId w:val="7"/>
  </w:num>
  <w:num w:numId="28" w16cid:durableId="761218994">
    <w:abstractNumId w:val="13"/>
  </w:num>
  <w:num w:numId="29" w16cid:durableId="433869370">
    <w:abstractNumId w:val="28"/>
  </w:num>
  <w:num w:numId="30" w16cid:durableId="865679170">
    <w:abstractNumId w:val="18"/>
  </w:num>
  <w:num w:numId="31" w16cid:durableId="52068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4D5"/>
    <w:rsid w:val="00016F78"/>
    <w:rsid w:val="00033B58"/>
    <w:rsid w:val="000353BD"/>
    <w:rsid w:val="00046945"/>
    <w:rsid w:val="000520BE"/>
    <w:rsid w:val="00055901"/>
    <w:rsid w:val="00061B2A"/>
    <w:rsid w:val="00062688"/>
    <w:rsid w:val="000711CF"/>
    <w:rsid w:val="0007149E"/>
    <w:rsid w:val="00076D52"/>
    <w:rsid w:val="00080B1D"/>
    <w:rsid w:val="00082362"/>
    <w:rsid w:val="0009079C"/>
    <w:rsid w:val="000A66E5"/>
    <w:rsid w:val="000A683E"/>
    <w:rsid w:val="000B19B9"/>
    <w:rsid w:val="000B27F0"/>
    <w:rsid w:val="000B70B5"/>
    <w:rsid w:val="000C5A9E"/>
    <w:rsid w:val="000D0334"/>
    <w:rsid w:val="000D1DC8"/>
    <w:rsid w:val="000D4734"/>
    <w:rsid w:val="000D5DA7"/>
    <w:rsid w:val="000E6E2C"/>
    <w:rsid w:val="000F078F"/>
    <w:rsid w:val="000F3444"/>
    <w:rsid w:val="000F512E"/>
    <w:rsid w:val="000F6486"/>
    <w:rsid w:val="00105C57"/>
    <w:rsid w:val="001161CA"/>
    <w:rsid w:val="001168F2"/>
    <w:rsid w:val="00116940"/>
    <w:rsid w:val="00125105"/>
    <w:rsid w:val="00127233"/>
    <w:rsid w:val="001328F3"/>
    <w:rsid w:val="001428DC"/>
    <w:rsid w:val="00144A14"/>
    <w:rsid w:val="0015699B"/>
    <w:rsid w:val="00171640"/>
    <w:rsid w:val="00174D6E"/>
    <w:rsid w:val="00186A6A"/>
    <w:rsid w:val="001A10B6"/>
    <w:rsid w:val="001A33BF"/>
    <w:rsid w:val="001A3A16"/>
    <w:rsid w:val="001C5AE4"/>
    <w:rsid w:val="001C61B3"/>
    <w:rsid w:val="001D02CC"/>
    <w:rsid w:val="001E2E05"/>
    <w:rsid w:val="001E4177"/>
    <w:rsid w:val="001F0B24"/>
    <w:rsid w:val="001F7DC6"/>
    <w:rsid w:val="00207466"/>
    <w:rsid w:val="00212AD1"/>
    <w:rsid w:val="00216522"/>
    <w:rsid w:val="002209DE"/>
    <w:rsid w:val="0022400B"/>
    <w:rsid w:val="002421BB"/>
    <w:rsid w:val="00253436"/>
    <w:rsid w:val="0025796E"/>
    <w:rsid w:val="002707A2"/>
    <w:rsid w:val="00275482"/>
    <w:rsid w:val="0028778F"/>
    <w:rsid w:val="002951A0"/>
    <w:rsid w:val="002962BC"/>
    <w:rsid w:val="002A093D"/>
    <w:rsid w:val="002A0DD0"/>
    <w:rsid w:val="002A49AC"/>
    <w:rsid w:val="002A64FD"/>
    <w:rsid w:val="002B730F"/>
    <w:rsid w:val="002C7A84"/>
    <w:rsid w:val="002E05EF"/>
    <w:rsid w:val="002E2BF8"/>
    <w:rsid w:val="002E4FD9"/>
    <w:rsid w:val="002E73A6"/>
    <w:rsid w:val="002F0847"/>
    <w:rsid w:val="002F43E6"/>
    <w:rsid w:val="002F7AD4"/>
    <w:rsid w:val="0030657A"/>
    <w:rsid w:val="003136DC"/>
    <w:rsid w:val="00316053"/>
    <w:rsid w:val="00322A85"/>
    <w:rsid w:val="00322C00"/>
    <w:rsid w:val="00322D77"/>
    <w:rsid w:val="00324168"/>
    <w:rsid w:val="00327F61"/>
    <w:rsid w:val="00330834"/>
    <w:rsid w:val="003332A8"/>
    <w:rsid w:val="003448F4"/>
    <w:rsid w:val="00374F5E"/>
    <w:rsid w:val="003769E1"/>
    <w:rsid w:val="00377E3E"/>
    <w:rsid w:val="00381BAB"/>
    <w:rsid w:val="003A779E"/>
    <w:rsid w:val="003B0DFC"/>
    <w:rsid w:val="003C0ED7"/>
    <w:rsid w:val="003D0F4D"/>
    <w:rsid w:val="003D5B0D"/>
    <w:rsid w:val="003E0499"/>
    <w:rsid w:val="003E4F80"/>
    <w:rsid w:val="003E6439"/>
    <w:rsid w:val="003F1FD8"/>
    <w:rsid w:val="003F3941"/>
    <w:rsid w:val="00403EFA"/>
    <w:rsid w:val="00406575"/>
    <w:rsid w:val="004140B3"/>
    <w:rsid w:val="00414C74"/>
    <w:rsid w:val="0042722E"/>
    <w:rsid w:val="0044528D"/>
    <w:rsid w:val="00450B8A"/>
    <w:rsid w:val="00451137"/>
    <w:rsid w:val="004555EA"/>
    <w:rsid w:val="0045785F"/>
    <w:rsid w:val="00466E39"/>
    <w:rsid w:val="00476D7D"/>
    <w:rsid w:val="00484E40"/>
    <w:rsid w:val="00486E52"/>
    <w:rsid w:val="0048787A"/>
    <w:rsid w:val="00494F04"/>
    <w:rsid w:val="004A0A0B"/>
    <w:rsid w:val="004A0E5C"/>
    <w:rsid w:val="004A1847"/>
    <w:rsid w:val="004A305D"/>
    <w:rsid w:val="004A6649"/>
    <w:rsid w:val="004B3DAC"/>
    <w:rsid w:val="004B73B9"/>
    <w:rsid w:val="004C0DBB"/>
    <w:rsid w:val="004E2B92"/>
    <w:rsid w:val="004F21C4"/>
    <w:rsid w:val="004F685F"/>
    <w:rsid w:val="00513BF7"/>
    <w:rsid w:val="00517955"/>
    <w:rsid w:val="005229DB"/>
    <w:rsid w:val="00534886"/>
    <w:rsid w:val="00536A0E"/>
    <w:rsid w:val="00553040"/>
    <w:rsid w:val="005566E8"/>
    <w:rsid w:val="00560892"/>
    <w:rsid w:val="00566E6F"/>
    <w:rsid w:val="00570B00"/>
    <w:rsid w:val="00572622"/>
    <w:rsid w:val="00573280"/>
    <w:rsid w:val="00574867"/>
    <w:rsid w:val="00591460"/>
    <w:rsid w:val="00592C94"/>
    <w:rsid w:val="005A2CAB"/>
    <w:rsid w:val="005A52A7"/>
    <w:rsid w:val="005A65E0"/>
    <w:rsid w:val="005B2A46"/>
    <w:rsid w:val="005C0881"/>
    <w:rsid w:val="005C3777"/>
    <w:rsid w:val="005C5CDC"/>
    <w:rsid w:val="005C674F"/>
    <w:rsid w:val="005D2566"/>
    <w:rsid w:val="005D476C"/>
    <w:rsid w:val="005F20A4"/>
    <w:rsid w:val="00600D92"/>
    <w:rsid w:val="00603C5B"/>
    <w:rsid w:val="00611CE6"/>
    <w:rsid w:val="006137E1"/>
    <w:rsid w:val="00617E91"/>
    <w:rsid w:val="006200BF"/>
    <w:rsid w:val="0062143E"/>
    <w:rsid w:val="006219F8"/>
    <w:rsid w:val="00624A89"/>
    <w:rsid w:val="00624EEC"/>
    <w:rsid w:val="006302F7"/>
    <w:rsid w:val="006443FE"/>
    <w:rsid w:val="00646B9F"/>
    <w:rsid w:val="00646F24"/>
    <w:rsid w:val="006547C3"/>
    <w:rsid w:val="006556B1"/>
    <w:rsid w:val="00663A04"/>
    <w:rsid w:val="00665D70"/>
    <w:rsid w:val="00684F67"/>
    <w:rsid w:val="006900D9"/>
    <w:rsid w:val="0069741A"/>
    <w:rsid w:val="006A2BE4"/>
    <w:rsid w:val="006B4707"/>
    <w:rsid w:val="006D13BA"/>
    <w:rsid w:val="006D591D"/>
    <w:rsid w:val="006F2238"/>
    <w:rsid w:val="006F4199"/>
    <w:rsid w:val="007009D7"/>
    <w:rsid w:val="007025D7"/>
    <w:rsid w:val="00706C16"/>
    <w:rsid w:val="00714355"/>
    <w:rsid w:val="00715444"/>
    <w:rsid w:val="0071557C"/>
    <w:rsid w:val="00731F30"/>
    <w:rsid w:val="007340C3"/>
    <w:rsid w:val="0073510E"/>
    <w:rsid w:val="007458D3"/>
    <w:rsid w:val="0075235A"/>
    <w:rsid w:val="00752CDB"/>
    <w:rsid w:val="0075557D"/>
    <w:rsid w:val="00756841"/>
    <w:rsid w:val="007576BA"/>
    <w:rsid w:val="007649AB"/>
    <w:rsid w:val="00771AEF"/>
    <w:rsid w:val="00771D0C"/>
    <w:rsid w:val="00782ED2"/>
    <w:rsid w:val="007833AC"/>
    <w:rsid w:val="00795086"/>
    <w:rsid w:val="007A037B"/>
    <w:rsid w:val="007A1830"/>
    <w:rsid w:val="007B268C"/>
    <w:rsid w:val="007B7171"/>
    <w:rsid w:val="007C0C0F"/>
    <w:rsid w:val="007C3DC2"/>
    <w:rsid w:val="007C4353"/>
    <w:rsid w:val="007C6A9F"/>
    <w:rsid w:val="007D3058"/>
    <w:rsid w:val="007D4B12"/>
    <w:rsid w:val="007E43AC"/>
    <w:rsid w:val="007E5497"/>
    <w:rsid w:val="00806F5F"/>
    <w:rsid w:val="00820278"/>
    <w:rsid w:val="00822A37"/>
    <w:rsid w:val="008236EF"/>
    <w:rsid w:val="008258C9"/>
    <w:rsid w:val="00830893"/>
    <w:rsid w:val="00833286"/>
    <w:rsid w:val="00836232"/>
    <w:rsid w:val="00841E29"/>
    <w:rsid w:val="00844AE9"/>
    <w:rsid w:val="0085545E"/>
    <w:rsid w:val="00867F95"/>
    <w:rsid w:val="00871AAC"/>
    <w:rsid w:val="008843B6"/>
    <w:rsid w:val="00886410"/>
    <w:rsid w:val="00891928"/>
    <w:rsid w:val="008A446D"/>
    <w:rsid w:val="008B0D0F"/>
    <w:rsid w:val="008B25F1"/>
    <w:rsid w:val="008C11FD"/>
    <w:rsid w:val="008C4DD5"/>
    <w:rsid w:val="008C517A"/>
    <w:rsid w:val="008C6AE5"/>
    <w:rsid w:val="008D1660"/>
    <w:rsid w:val="008D180B"/>
    <w:rsid w:val="008F0EA7"/>
    <w:rsid w:val="008F17DC"/>
    <w:rsid w:val="008F207E"/>
    <w:rsid w:val="008F4334"/>
    <w:rsid w:val="008F6705"/>
    <w:rsid w:val="009037F6"/>
    <w:rsid w:val="0091143C"/>
    <w:rsid w:val="00915A51"/>
    <w:rsid w:val="00917FBF"/>
    <w:rsid w:val="0092018D"/>
    <w:rsid w:val="00920817"/>
    <w:rsid w:val="00923EEF"/>
    <w:rsid w:val="009419F9"/>
    <w:rsid w:val="00954E28"/>
    <w:rsid w:val="0095685E"/>
    <w:rsid w:val="00961B09"/>
    <w:rsid w:val="00963E12"/>
    <w:rsid w:val="00964321"/>
    <w:rsid w:val="00965334"/>
    <w:rsid w:val="0097093E"/>
    <w:rsid w:val="009722DE"/>
    <w:rsid w:val="009736BF"/>
    <w:rsid w:val="00982DD4"/>
    <w:rsid w:val="00984DB3"/>
    <w:rsid w:val="00992E19"/>
    <w:rsid w:val="009A0486"/>
    <w:rsid w:val="009A0DFA"/>
    <w:rsid w:val="009A4368"/>
    <w:rsid w:val="009B28B9"/>
    <w:rsid w:val="009B2D26"/>
    <w:rsid w:val="009B3C20"/>
    <w:rsid w:val="009C71FA"/>
    <w:rsid w:val="009C72E7"/>
    <w:rsid w:val="009C7F7E"/>
    <w:rsid w:val="009D23F2"/>
    <w:rsid w:val="009D3058"/>
    <w:rsid w:val="009E1F28"/>
    <w:rsid w:val="009E6924"/>
    <w:rsid w:val="009E7AED"/>
    <w:rsid w:val="009F3A13"/>
    <w:rsid w:val="009F5BD5"/>
    <w:rsid w:val="009F7A6E"/>
    <w:rsid w:val="00A0334B"/>
    <w:rsid w:val="00A0526C"/>
    <w:rsid w:val="00A122D3"/>
    <w:rsid w:val="00A13FAB"/>
    <w:rsid w:val="00A14468"/>
    <w:rsid w:val="00A160DC"/>
    <w:rsid w:val="00A17F13"/>
    <w:rsid w:val="00A2014A"/>
    <w:rsid w:val="00A20739"/>
    <w:rsid w:val="00A23AF9"/>
    <w:rsid w:val="00A31A76"/>
    <w:rsid w:val="00A33C78"/>
    <w:rsid w:val="00A53338"/>
    <w:rsid w:val="00A73F45"/>
    <w:rsid w:val="00AA1E47"/>
    <w:rsid w:val="00AB0ADB"/>
    <w:rsid w:val="00AB436E"/>
    <w:rsid w:val="00AB5BE5"/>
    <w:rsid w:val="00AC694F"/>
    <w:rsid w:val="00AD173A"/>
    <w:rsid w:val="00AD7D5F"/>
    <w:rsid w:val="00AE3513"/>
    <w:rsid w:val="00AF5A10"/>
    <w:rsid w:val="00B00C0E"/>
    <w:rsid w:val="00B01B1A"/>
    <w:rsid w:val="00B0459C"/>
    <w:rsid w:val="00B04DA1"/>
    <w:rsid w:val="00B11075"/>
    <w:rsid w:val="00B30A05"/>
    <w:rsid w:val="00B3633C"/>
    <w:rsid w:val="00B37EB5"/>
    <w:rsid w:val="00B44A47"/>
    <w:rsid w:val="00B51CEB"/>
    <w:rsid w:val="00B54271"/>
    <w:rsid w:val="00B5550F"/>
    <w:rsid w:val="00B6149C"/>
    <w:rsid w:val="00B64484"/>
    <w:rsid w:val="00B71FD5"/>
    <w:rsid w:val="00B72CD3"/>
    <w:rsid w:val="00B72FFF"/>
    <w:rsid w:val="00B74092"/>
    <w:rsid w:val="00B95DAC"/>
    <w:rsid w:val="00BA2EB9"/>
    <w:rsid w:val="00BA703D"/>
    <w:rsid w:val="00BC3D36"/>
    <w:rsid w:val="00BC70CB"/>
    <w:rsid w:val="00BD125A"/>
    <w:rsid w:val="00BD13AC"/>
    <w:rsid w:val="00BD54A6"/>
    <w:rsid w:val="00BD7F72"/>
    <w:rsid w:val="00BF056C"/>
    <w:rsid w:val="00BF3B66"/>
    <w:rsid w:val="00BF5C08"/>
    <w:rsid w:val="00BF7425"/>
    <w:rsid w:val="00C04FB3"/>
    <w:rsid w:val="00C11D8B"/>
    <w:rsid w:val="00C251B0"/>
    <w:rsid w:val="00C3284D"/>
    <w:rsid w:val="00C330EB"/>
    <w:rsid w:val="00C419DF"/>
    <w:rsid w:val="00C50D69"/>
    <w:rsid w:val="00C5365C"/>
    <w:rsid w:val="00C619D4"/>
    <w:rsid w:val="00C61D93"/>
    <w:rsid w:val="00C661E0"/>
    <w:rsid w:val="00C754BE"/>
    <w:rsid w:val="00C76B1C"/>
    <w:rsid w:val="00C82667"/>
    <w:rsid w:val="00C90C96"/>
    <w:rsid w:val="00C925AC"/>
    <w:rsid w:val="00C94828"/>
    <w:rsid w:val="00C963BE"/>
    <w:rsid w:val="00C96B64"/>
    <w:rsid w:val="00CA2858"/>
    <w:rsid w:val="00CB02F1"/>
    <w:rsid w:val="00CB6357"/>
    <w:rsid w:val="00CB7596"/>
    <w:rsid w:val="00CC1B26"/>
    <w:rsid w:val="00CD4C85"/>
    <w:rsid w:val="00CE3C1C"/>
    <w:rsid w:val="00CE4026"/>
    <w:rsid w:val="00D06146"/>
    <w:rsid w:val="00D0699E"/>
    <w:rsid w:val="00D1210B"/>
    <w:rsid w:val="00D1532C"/>
    <w:rsid w:val="00D22D2B"/>
    <w:rsid w:val="00D334DD"/>
    <w:rsid w:val="00D34EA3"/>
    <w:rsid w:val="00D361FD"/>
    <w:rsid w:val="00D4214E"/>
    <w:rsid w:val="00D423A2"/>
    <w:rsid w:val="00D44E26"/>
    <w:rsid w:val="00D51A5D"/>
    <w:rsid w:val="00D520D8"/>
    <w:rsid w:val="00D532D4"/>
    <w:rsid w:val="00D62B9C"/>
    <w:rsid w:val="00D63AC2"/>
    <w:rsid w:val="00D7383B"/>
    <w:rsid w:val="00D73DBD"/>
    <w:rsid w:val="00D7788A"/>
    <w:rsid w:val="00D85F06"/>
    <w:rsid w:val="00D936A2"/>
    <w:rsid w:val="00DA231B"/>
    <w:rsid w:val="00DA6CAC"/>
    <w:rsid w:val="00DB13F4"/>
    <w:rsid w:val="00DB55DA"/>
    <w:rsid w:val="00DC39FC"/>
    <w:rsid w:val="00DC7CCB"/>
    <w:rsid w:val="00DE6EC3"/>
    <w:rsid w:val="00DF5254"/>
    <w:rsid w:val="00E02087"/>
    <w:rsid w:val="00E02524"/>
    <w:rsid w:val="00E1159D"/>
    <w:rsid w:val="00E1451E"/>
    <w:rsid w:val="00E16408"/>
    <w:rsid w:val="00E20894"/>
    <w:rsid w:val="00E245AB"/>
    <w:rsid w:val="00E24891"/>
    <w:rsid w:val="00E27341"/>
    <w:rsid w:val="00E2764C"/>
    <w:rsid w:val="00E27F2E"/>
    <w:rsid w:val="00E31225"/>
    <w:rsid w:val="00E501E7"/>
    <w:rsid w:val="00E50AFE"/>
    <w:rsid w:val="00E577E2"/>
    <w:rsid w:val="00E615C4"/>
    <w:rsid w:val="00E75C92"/>
    <w:rsid w:val="00E771DC"/>
    <w:rsid w:val="00E8772A"/>
    <w:rsid w:val="00E90F6B"/>
    <w:rsid w:val="00E91AED"/>
    <w:rsid w:val="00E92C27"/>
    <w:rsid w:val="00E96B5C"/>
    <w:rsid w:val="00EA0E3D"/>
    <w:rsid w:val="00EA426C"/>
    <w:rsid w:val="00EB224C"/>
    <w:rsid w:val="00EC006D"/>
    <w:rsid w:val="00EC297F"/>
    <w:rsid w:val="00EC38A7"/>
    <w:rsid w:val="00ED4980"/>
    <w:rsid w:val="00EE1AA8"/>
    <w:rsid w:val="00EE265D"/>
    <w:rsid w:val="00EE3D99"/>
    <w:rsid w:val="00EF0C91"/>
    <w:rsid w:val="00EF1D4F"/>
    <w:rsid w:val="00EF5E13"/>
    <w:rsid w:val="00EF647F"/>
    <w:rsid w:val="00F03314"/>
    <w:rsid w:val="00F0580C"/>
    <w:rsid w:val="00F23FEA"/>
    <w:rsid w:val="00F27B7B"/>
    <w:rsid w:val="00F31EDC"/>
    <w:rsid w:val="00F34294"/>
    <w:rsid w:val="00F449F4"/>
    <w:rsid w:val="00F45A82"/>
    <w:rsid w:val="00F462B3"/>
    <w:rsid w:val="00F5664F"/>
    <w:rsid w:val="00F60F65"/>
    <w:rsid w:val="00F666C4"/>
    <w:rsid w:val="00F7218F"/>
    <w:rsid w:val="00F76AFC"/>
    <w:rsid w:val="00F81BF0"/>
    <w:rsid w:val="00F82E88"/>
    <w:rsid w:val="00F86E11"/>
    <w:rsid w:val="00F86E3E"/>
    <w:rsid w:val="00F95C74"/>
    <w:rsid w:val="00F9721B"/>
    <w:rsid w:val="00FA31C3"/>
    <w:rsid w:val="00FA47C0"/>
    <w:rsid w:val="00FA5FFD"/>
    <w:rsid w:val="00FB5DD1"/>
    <w:rsid w:val="00FC2B5D"/>
    <w:rsid w:val="00FD1DDC"/>
    <w:rsid w:val="00FD3AD2"/>
    <w:rsid w:val="00FD5BCD"/>
    <w:rsid w:val="00FD7954"/>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31C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DB13F4"/>
    <w:rPr>
      <w:color w:val="605E5C"/>
      <w:shd w:val="clear" w:color="auto" w:fill="E1DFDD"/>
    </w:rPr>
  </w:style>
  <w:style w:type="table" w:customStyle="1" w:styleId="TableNormal1">
    <w:name w:val="Table Normal1"/>
    <w:uiPriority w:val="2"/>
    <w:semiHidden/>
    <w:unhideWhenUsed/>
    <w:qFormat/>
    <w:rsid w:val="009B3C2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NormalWebCar">
    <w:name w:val="Normal (Web) Car"/>
    <w:link w:val="NormalWeb"/>
    <w:uiPriority w:val="99"/>
    <w:rsid w:val="008236EF"/>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semiHidden/>
    <w:unhideWhenUsed/>
    <w:rsid w:val="00714355"/>
    <w:pPr>
      <w:spacing w:after="120"/>
    </w:pPr>
  </w:style>
  <w:style w:type="character" w:customStyle="1" w:styleId="TextoindependienteCar">
    <w:name w:val="Texto independiente Car"/>
    <w:basedOn w:val="Fuentedeprrafopredeter"/>
    <w:link w:val="Textoindependiente"/>
    <w:uiPriority w:val="99"/>
    <w:semiHidden/>
    <w:rsid w:val="007143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62535293">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colombiacompra.gov.co/archivos/manual/guia-de-competencia-en-las-compras-publica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de-competencia-en-las-compras-public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6FBD14-C658-4FBA-914A-D575449EE515}">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5A68DD27-9534-4663-B481-E0850FEBE4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27</Pages>
  <Words>8582</Words>
  <Characters>46949</Characters>
  <Application>Microsoft Office Word</Application>
  <DocSecurity>0</DocSecurity>
  <Lines>869</Lines>
  <Paragraphs>176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10</cp:revision>
  <cp:lastPrinted>2023-01-10T21:18:00Z</cp:lastPrinted>
  <dcterms:created xsi:type="dcterms:W3CDTF">2026-01-22T03:26:00Z</dcterms:created>
  <dcterms:modified xsi:type="dcterms:W3CDTF">2026-01-30T19:32:00Z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