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EBB9D" w14:textId="77777777" w:rsidR="009C5B9D" w:rsidRPr="000239A6" w:rsidRDefault="009C5B9D" w:rsidP="009C5B9D">
      <w:pPr>
        <w:spacing w:after="0" w:line="240" w:lineRule="auto"/>
        <w:contextualSpacing/>
        <w:jc w:val="both"/>
        <w:rPr>
          <w:rFonts w:ascii="Verdana" w:eastAsia="Calibri" w:hAnsi="Verdana" w:cs="Arial"/>
          <w:b/>
          <w:bCs/>
          <w:sz w:val="20"/>
          <w:szCs w:val="20"/>
          <w:lang w:val="es-MX" w:eastAsia="es-ES_tradnl"/>
          <w14:ligatures w14:val="standardContextual"/>
        </w:rPr>
      </w:pPr>
    </w:p>
    <w:p w14:paraId="3B5050D9" w14:textId="77777777" w:rsidR="009C5B9D" w:rsidRPr="000239A6" w:rsidRDefault="009C5B9D" w:rsidP="009C5B9D">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DETERMINACIÓN DEL VALOR DEL CONTRATO – Etapa de planeación – Metodologías – Factores que inciden</w:t>
      </w:r>
    </w:p>
    <w:p w14:paraId="133A745E" w14:textId="77777777" w:rsidR="009C5B9D" w:rsidRPr="000239A6" w:rsidRDefault="009C5B9D" w:rsidP="009C5B9D">
      <w:pPr>
        <w:spacing w:after="0" w:line="240" w:lineRule="auto"/>
        <w:contextualSpacing/>
        <w:jc w:val="both"/>
        <w:rPr>
          <w:rFonts w:ascii="Verdana" w:eastAsia="Calibri" w:hAnsi="Verdana" w:cs="Arial"/>
          <w:b/>
          <w:bCs/>
          <w:sz w:val="20"/>
          <w:szCs w:val="20"/>
          <w:lang w:val="es-MX" w:eastAsia="es-ES_tradnl"/>
          <w14:ligatures w14:val="standardContextual"/>
        </w:rPr>
      </w:pPr>
    </w:p>
    <w:p w14:paraId="448F0454" w14:textId="77777777" w:rsidR="009C5B9D" w:rsidRPr="000239A6" w:rsidRDefault="009C5B9D" w:rsidP="009C5B9D">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0239A6">
        <w:rPr>
          <w:rFonts w:ascii="Verdana" w:eastAsia="Times New Roman" w:hAnsi="Verdana" w:cs="Arial"/>
          <w:noProof/>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3DA5DD9D" w14:textId="77777777" w:rsidR="009C5B9D" w:rsidRPr="00AF1555" w:rsidRDefault="009C5B9D" w:rsidP="009C5B9D">
      <w:pPr>
        <w:spacing w:after="0" w:line="240" w:lineRule="auto"/>
        <w:rPr>
          <w:rFonts w:ascii="Verdana" w:eastAsia="Geomanist Light" w:hAnsi="Verdana" w:cs="Arial"/>
          <w:color w:val="000000" w:themeColor="text1"/>
          <w:sz w:val="20"/>
          <w:szCs w:val="20"/>
          <w:lang w:val="es-ES_tradnl"/>
        </w:rPr>
      </w:pPr>
    </w:p>
    <w:p w14:paraId="1F33945F" w14:textId="77777777" w:rsidR="009C5B9D" w:rsidRPr="00AF1555" w:rsidRDefault="009C5B9D" w:rsidP="009C5B9D">
      <w:pPr>
        <w:spacing w:after="0" w:line="240" w:lineRule="auto"/>
        <w:jc w:val="both"/>
        <w:rPr>
          <w:rFonts w:ascii="Verdana" w:eastAsia="Calibri" w:hAnsi="Verdana" w:cs="Arial"/>
          <w:b/>
          <w:lang w:val="es-ES"/>
        </w:rPr>
      </w:pPr>
      <w:r>
        <w:rPr>
          <w:rFonts w:ascii="Verdana" w:eastAsia="Calibri" w:hAnsi="Verdana" w:cs="Arial"/>
          <w:b/>
          <w:lang w:val="es-ES"/>
        </w:rPr>
        <w:t>VALOR ESTIMADO DEL CONTRATO</w:t>
      </w:r>
      <w:r w:rsidRPr="00AF1555">
        <w:rPr>
          <w:rFonts w:ascii="Verdana" w:eastAsia="Calibri" w:hAnsi="Verdana" w:cs="Arial"/>
          <w:b/>
          <w:lang w:val="es-ES"/>
        </w:rPr>
        <w:t xml:space="preserve"> – </w:t>
      </w:r>
      <w:r>
        <w:rPr>
          <w:rFonts w:ascii="Verdana" w:eastAsia="Calibri" w:hAnsi="Verdana" w:cs="Arial"/>
          <w:b/>
          <w:lang w:val="es-ES"/>
        </w:rPr>
        <w:t>Precios unitarios</w:t>
      </w:r>
      <w:r w:rsidRPr="00AF1555">
        <w:rPr>
          <w:rFonts w:ascii="Verdana" w:eastAsia="Calibri" w:hAnsi="Verdana" w:cs="Arial"/>
          <w:b/>
          <w:lang w:val="es-ES"/>
        </w:rPr>
        <w:t xml:space="preserve"> – </w:t>
      </w:r>
      <w:r>
        <w:rPr>
          <w:rFonts w:ascii="Verdana" w:eastAsia="Calibri" w:hAnsi="Verdana" w:cs="Arial"/>
          <w:b/>
          <w:lang w:val="es-ES"/>
        </w:rPr>
        <w:t>Precio global</w:t>
      </w:r>
    </w:p>
    <w:p w14:paraId="18CFCD2B" w14:textId="77777777" w:rsidR="009C5B9D" w:rsidRPr="00AF1555" w:rsidRDefault="009C5B9D" w:rsidP="009C5B9D">
      <w:pPr>
        <w:spacing w:after="0" w:line="240" w:lineRule="auto"/>
        <w:jc w:val="both"/>
        <w:rPr>
          <w:rFonts w:ascii="Verdana" w:eastAsia="Calibri" w:hAnsi="Verdana" w:cs="Arial"/>
          <w:b/>
          <w:sz w:val="20"/>
          <w:szCs w:val="20"/>
          <w:lang w:val="es-ES"/>
        </w:rPr>
      </w:pPr>
    </w:p>
    <w:p w14:paraId="76FE9720" w14:textId="77777777" w:rsidR="009C5B9D" w:rsidRDefault="009C5B9D" w:rsidP="009C5B9D">
      <w:pPr>
        <w:spacing w:after="0" w:line="240" w:lineRule="auto"/>
        <w:jc w:val="both"/>
        <w:rPr>
          <w:rFonts w:ascii="Verdana" w:eastAsia="Calibri" w:hAnsi="Verdana" w:cs="Arial"/>
          <w:bCs/>
          <w:sz w:val="20"/>
          <w:szCs w:val="20"/>
          <w:lang w:val="es-ES_tradnl"/>
        </w:rPr>
      </w:pPr>
      <w:r>
        <w:rPr>
          <w:rFonts w:ascii="Verdana" w:eastAsia="Calibri" w:hAnsi="Verdana" w:cs="Arial"/>
          <w:bCs/>
          <w:sz w:val="20"/>
          <w:szCs w:val="20"/>
        </w:rPr>
        <w:t>E</w:t>
      </w:r>
      <w:r w:rsidRPr="00F319D3">
        <w:rPr>
          <w:rFonts w:ascii="Verdana" w:eastAsia="Calibri" w:hAnsi="Verdana" w:cs="Arial"/>
          <w:bCs/>
          <w:sz w:val="20"/>
          <w:szCs w:val="20"/>
        </w:rPr>
        <w:t xml:space="preserve">l </w:t>
      </w:r>
      <w:r w:rsidRPr="00F319D3">
        <w:rPr>
          <w:rFonts w:ascii="Verdana" w:eastAsia="Calibri" w:hAnsi="Verdana" w:cs="Arial"/>
          <w:bCs/>
          <w:sz w:val="20"/>
          <w:szCs w:val="20"/>
          <w:lang w:val="es-ES"/>
        </w:rPr>
        <w:t xml:space="preserve">numeral 4 del artículo 2.2.1.1.2.1.1 del Decreto 1082 de 2015, modificado por el artículo 1 del Decreto 399 de 2021, </w:t>
      </w:r>
      <w:r w:rsidRPr="00346161">
        <w:rPr>
          <w:rFonts w:ascii="Verdana" w:eastAsia="Calibri" w:hAnsi="Verdana" w:cs="Arial"/>
          <w:bCs/>
          <w:sz w:val="20"/>
          <w:szCs w:val="20"/>
          <w:lang w:val="es-ES_tradnl"/>
        </w:rPr>
        <w:t xml:space="preserve">no establece de manera expresa que se deban incluir en los estudios y documentos previos la forma y el soporte de los cálculos en los contratos por precio global. No obstante, las Entidades sí están obligadas a presentar el valor de la contratación y la justificación de este, para lo cual deberá informar los factores relevantes y metodología para la determinación del valor del contrato, obligación predicable respecto de toda la contratación –no sometida a reserva–, de la que no están exentos los contratos con precio global. </w:t>
      </w:r>
    </w:p>
    <w:p w14:paraId="1FF8A2C9" w14:textId="77777777" w:rsidR="009C5B9D" w:rsidRDefault="009C5B9D" w:rsidP="009C5B9D">
      <w:pPr>
        <w:spacing w:after="0" w:line="240" w:lineRule="auto"/>
        <w:jc w:val="both"/>
        <w:rPr>
          <w:rFonts w:ascii="Verdana" w:eastAsia="Calibri" w:hAnsi="Verdana" w:cs="Arial"/>
          <w:bCs/>
          <w:sz w:val="20"/>
          <w:szCs w:val="20"/>
          <w:lang w:val="es-ES_tradnl"/>
        </w:rPr>
      </w:pPr>
    </w:p>
    <w:p w14:paraId="2089ABC0" w14:textId="77777777" w:rsidR="009C5B9D" w:rsidRPr="00F319D3" w:rsidRDefault="009C5B9D" w:rsidP="009C5B9D">
      <w:pPr>
        <w:spacing w:after="0" w:line="240" w:lineRule="auto"/>
        <w:jc w:val="both"/>
        <w:rPr>
          <w:rFonts w:ascii="Verdana" w:eastAsia="Calibri" w:hAnsi="Verdana" w:cs="Arial"/>
          <w:color w:val="000000"/>
          <w:sz w:val="20"/>
          <w:szCs w:val="20"/>
          <w:lang w:val="es-ES"/>
        </w:rPr>
      </w:pPr>
      <w:r w:rsidRPr="00346161">
        <w:rPr>
          <w:rFonts w:ascii="Verdana" w:eastAsia="Calibri" w:hAnsi="Verdana" w:cs="Arial"/>
          <w:bCs/>
          <w:sz w:val="20"/>
          <w:szCs w:val="20"/>
          <w:lang w:val="es-ES_tradnl"/>
        </w:rPr>
        <w:t xml:space="preserve">La exigencia existe para los contratos a precios unitarios, </w:t>
      </w:r>
      <w:r w:rsidRPr="00346161">
        <w:rPr>
          <w:rFonts w:ascii="Verdana" w:eastAsia="Calibri" w:hAnsi="Verdana" w:cs="Arial"/>
          <w:bCs/>
          <w:sz w:val="20"/>
          <w:szCs w:val="20"/>
          <w:lang w:val="es-ES"/>
        </w:rPr>
        <w:t xml:space="preserve">pues lo usual es discriminar los </w:t>
      </w:r>
      <w:r w:rsidRPr="00346161">
        <w:rPr>
          <w:rFonts w:ascii="Verdana" w:eastAsia="Calibri" w:hAnsi="Verdana" w:cs="Arial"/>
          <w:bCs/>
          <w:i/>
          <w:iCs/>
          <w:sz w:val="20"/>
          <w:szCs w:val="20"/>
          <w:lang w:val="es-ES"/>
        </w:rPr>
        <w:t>costos directos</w:t>
      </w:r>
      <w:r w:rsidRPr="00346161">
        <w:rPr>
          <w:rFonts w:ascii="Verdana" w:eastAsia="Calibri" w:hAnsi="Verdana" w:cs="Arial"/>
          <w:bCs/>
          <w:sz w:val="20"/>
          <w:szCs w:val="20"/>
          <w:lang w:val="es-ES"/>
        </w:rPr>
        <w:t xml:space="preserve"> –es decir, los que están directamente implicados en la ejecución del objeto– de los </w:t>
      </w:r>
      <w:r w:rsidRPr="00346161">
        <w:rPr>
          <w:rFonts w:ascii="Verdana" w:eastAsia="Calibri" w:hAnsi="Verdana" w:cs="Arial"/>
          <w:bCs/>
          <w:i/>
          <w:iCs/>
          <w:sz w:val="20"/>
          <w:szCs w:val="20"/>
          <w:lang w:val="es-ES"/>
        </w:rPr>
        <w:t>costos indirectos</w:t>
      </w:r>
      <w:r w:rsidRPr="00346161">
        <w:rPr>
          <w:rFonts w:ascii="Verdana" w:eastAsia="Calibri" w:hAnsi="Verdana" w:cs="Arial"/>
          <w:bCs/>
          <w:sz w:val="20"/>
          <w:szCs w:val="20"/>
          <w:lang w:val="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346161">
        <w:rPr>
          <w:rFonts w:ascii="Verdana" w:eastAsia="Calibri" w:hAnsi="Verdana" w:cs="Arial"/>
          <w:bCs/>
          <w:i/>
          <w:iCs/>
          <w:sz w:val="20"/>
          <w:szCs w:val="20"/>
          <w:lang w:val="es-ES"/>
        </w:rPr>
        <w:t>costos directos</w:t>
      </w:r>
      <w:r w:rsidRPr="00346161">
        <w:rPr>
          <w:rFonts w:ascii="Verdana" w:eastAsia="Calibri" w:hAnsi="Verdana" w:cs="Arial"/>
          <w:bCs/>
          <w:sz w:val="20"/>
          <w:szCs w:val="20"/>
          <w:lang w:val="es-ES"/>
        </w:rPr>
        <w:t xml:space="preserve"> se evidencian en el análisis de precios unitarios –APU–, como la sumatoria de los valores de los </w:t>
      </w:r>
      <w:r w:rsidRPr="00346161">
        <w:rPr>
          <w:rFonts w:ascii="Verdana" w:eastAsia="Calibri" w:hAnsi="Verdana" w:cs="Arial"/>
          <w:bCs/>
          <w:i/>
          <w:iCs/>
          <w:sz w:val="20"/>
          <w:szCs w:val="20"/>
          <w:lang w:val="es-ES"/>
        </w:rPr>
        <w:t>ítems</w:t>
      </w:r>
      <w:r w:rsidRPr="00346161">
        <w:rPr>
          <w:rFonts w:ascii="Verdana" w:eastAsia="Calibri" w:hAnsi="Verdana" w:cs="Arial"/>
          <w:bCs/>
          <w:sz w:val="20"/>
          <w:szCs w:val="20"/>
          <w:lang w:val="es-ES"/>
        </w:rPr>
        <w:t xml:space="preserve"> según su unidad de medida, los </w:t>
      </w:r>
      <w:r w:rsidRPr="00346161">
        <w:rPr>
          <w:rFonts w:ascii="Verdana" w:eastAsia="Calibri" w:hAnsi="Verdana" w:cs="Arial"/>
          <w:bCs/>
          <w:i/>
          <w:iCs/>
          <w:sz w:val="20"/>
          <w:szCs w:val="20"/>
          <w:lang w:val="es-ES"/>
        </w:rPr>
        <w:t>costos indirectos</w:t>
      </w:r>
      <w:r w:rsidRPr="00346161">
        <w:rPr>
          <w:rFonts w:ascii="Verdana" w:eastAsia="Calibri" w:hAnsi="Verdana" w:cs="Arial"/>
          <w:bCs/>
          <w:sz w:val="20"/>
          <w:szCs w:val="20"/>
          <w:lang w:val="es-ES"/>
        </w:rPr>
        <w:t xml:space="preserve"> se suelen abreviar en las variables que integran el acrónimo AIU –Administración, Imprevistos y Utilidad–</w:t>
      </w:r>
      <w:r w:rsidRPr="00F319D3">
        <w:rPr>
          <w:rFonts w:ascii="Verdana" w:eastAsia="Calibri" w:hAnsi="Verdana" w:cs="Arial"/>
          <w:color w:val="000000"/>
          <w:sz w:val="20"/>
          <w:szCs w:val="20"/>
          <w:lang w:val="es-ES"/>
        </w:rPr>
        <w:t xml:space="preserve">. </w:t>
      </w:r>
    </w:p>
    <w:p w14:paraId="5C8E971A" w14:textId="77777777" w:rsidR="009C5B9D" w:rsidRPr="00AF1555" w:rsidRDefault="009C5B9D" w:rsidP="009C5B9D">
      <w:pPr>
        <w:spacing w:after="0" w:line="240" w:lineRule="auto"/>
        <w:rPr>
          <w:rFonts w:ascii="Verdana" w:eastAsia="Geomanist Light" w:hAnsi="Verdana" w:cs="Arial"/>
          <w:color w:val="000000" w:themeColor="text1"/>
          <w:sz w:val="20"/>
          <w:szCs w:val="20"/>
          <w:lang w:val="es-ES_tradnl"/>
        </w:rPr>
      </w:pPr>
    </w:p>
    <w:p w14:paraId="65479CAE" w14:textId="77777777" w:rsidR="009C5B9D" w:rsidRPr="00647611" w:rsidRDefault="009C5B9D" w:rsidP="009C5B9D">
      <w:pPr>
        <w:spacing w:after="0" w:line="240" w:lineRule="auto"/>
        <w:jc w:val="both"/>
        <w:rPr>
          <w:rFonts w:ascii="Verdana" w:hAnsi="Verdana" w:cs="Arial"/>
          <w:b/>
          <w:lang w:val="es-MX" w:eastAsia="es-ES_tradnl"/>
        </w:rPr>
      </w:pPr>
      <w:r>
        <w:rPr>
          <w:rFonts w:ascii="Verdana" w:hAnsi="Verdana" w:cs="Arial"/>
          <w:b/>
          <w:lang w:val="es-MX" w:eastAsia="es-ES_tradnl"/>
        </w:rPr>
        <w:lastRenderedPageBreak/>
        <w:t>PRECIOS UNITARIOS</w:t>
      </w:r>
      <w:r w:rsidRPr="00647611">
        <w:rPr>
          <w:rFonts w:ascii="Verdana" w:hAnsi="Verdana" w:cs="Arial"/>
          <w:b/>
          <w:lang w:val="es-MX" w:eastAsia="es-ES_tradnl"/>
        </w:rPr>
        <w:t xml:space="preserve"> – </w:t>
      </w:r>
      <w:r>
        <w:rPr>
          <w:rFonts w:ascii="Verdana" w:hAnsi="Verdana" w:cs="Arial"/>
          <w:b/>
          <w:lang w:val="es-MX" w:eastAsia="es-ES_tradnl"/>
        </w:rPr>
        <w:t>Cantidades de obra</w:t>
      </w:r>
      <w:r w:rsidRPr="00647611">
        <w:rPr>
          <w:rFonts w:ascii="Verdana" w:hAnsi="Verdana" w:cs="Arial"/>
          <w:b/>
          <w:lang w:val="es-MX" w:eastAsia="es-ES_tradnl"/>
        </w:rPr>
        <w:t xml:space="preserve"> – </w:t>
      </w:r>
      <w:r>
        <w:rPr>
          <w:rFonts w:ascii="Verdana" w:hAnsi="Verdana" w:cs="Arial"/>
          <w:b/>
          <w:lang w:val="es-MX" w:eastAsia="es-ES_tradnl"/>
        </w:rPr>
        <w:t>Carácter estimativo – Precio global – Exclusión</w:t>
      </w:r>
    </w:p>
    <w:p w14:paraId="0752B00F" w14:textId="77777777" w:rsidR="009C5B9D" w:rsidRPr="00647611" w:rsidRDefault="009C5B9D" w:rsidP="009C5B9D">
      <w:pPr>
        <w:spacing w:after="0" w:line="240" w:lineRule="auto"/>
        <w:jc w:val="both"/>
        <w:rPr>
          <w:rFonts w:ascii="Verdana" w:hAnsi="Verdana" w:cs="Arial"/>
          <w:b/>
          <w:sz w:val="20"/>
          <w:szCs w:val="20"/>
          <w:lang w:val="es-MX" w:eastAsia="es-ES_tradnl"/>
        </w:rPr>
      </w:pPr>
    </w:p>
    <w:p w14:paraId="0A38D1B2" w14:textId="77777777" w:rsidR="009C5B9D" w:rsidRDefault="009C5B9D" w:rsidP="009C5B9D">
      <w:pPr>
        <w:spacing w:after="0" w:line="240" w:lineRule="auto"/>
        <w:jc w:val="both"/>
        <w:rPr>
          <w:rFonts w:ascii="Verdana" w:eastAsia="Times New Roman" w:hAnsi="Verdana" w:cs="Arial"/>
          <w:bCs/>
          <w:sz w:val="20"/>
          <w:szCs w:val="20"/>
          <w:lang w:eastAsia="x-none"/>
        </w:rPr>
      </w:pPr>
      <w:r>
        <w:rPr>
          <w:rFonts w:ascii="Verdana" w:eastAsia="Times New Roman" w:hAnsi="Verdana" w:cs="Arial"/>
          <w:bCs/>
          <w:sz w:val="20"/>
          <w:szCs w:val="20"/>
          <w:lang w:eastAsia="x-none"/>
        </w:rPr>
        <w:t>P</w:t>
      </w:r>
      <w:r w:rsidRPr="00803CDD">
        <w:rPr>
          <w:rFonts w:ascii="Verdana" w:eastAsia="Times New Roman" w:hAnsi="Verdana" w:cs="Arial"/>
          <w:bCs/>
          <w:sz w:val="20"/>
          <w:szCs w:val="20"/>
          <w:lang w:eastAsia="x-none"/>
        </w:rPr>
        <w:t>ara los contratos que se ejecutan a precios unitarios, es posible determinar o no las cantidades requeridas para el cumplimiento de objeto contractual. Si éstas son indeterminadas, el valor total del contrato será el resultado multiplicar las cantidades ejecutadas por el precio de cada una de ellas. Este sistema puede ser riesgoso para la entidad, porque genera incentivos en el contratista para ejecutar más unidades aunque no sean necesarias: de allí la importancia del cumplimiento de las obligaciones de control y vigilancia a través de la supervisión o la interventoría, según corresponda. Como medida de mitigación, también es posible determinar las cantidades necesarias, la cual será referencial y surtirá efectos en función de lo que hayan pactado las partes.</w:t>
      </w:r>
    </w:p>
    <w:p w14:paraId="40D14D84" w14:textId="77777777" w:rsidR="009C5B9D" w:rsidRPr="00803CDD" w:rsidRDefault="009C5B9D" w:rsidP="009C5B9D">
      <w:pPr>
        <w:spacing w:after="0" w:line="240" w:lineRule="auto"/>
        <w:jc w:val="both"/>
        <w:rPr>
          <w:rFonts w:ascii="Verdana" w:eastAsia="Times New Roman" w:hAnsi="Verdana" w:cs="Arial"/>
          <w:bCs/>
          <w:sz w:val="20"/>
          <w:szCs w:val="20"/>
          <w:lang w:eastAsia="x-none"/>
        </w:rPr>
      </w:pPr>
    </w:p>
    <w:p w14:paraId="38978F1B" w14:textId="77777777" w:rsidR="009C5B9D" w:rsidRPr="00647611" w:rsidRDefault="009C5B9D" w:rsidP="009C5B9D">
      <w:pPr>
        <w:spacing w:after="0" w:line="240" w:lineRule="auto"/>
        <w:jc w:val="both"/>
        <w:rPr>
          <w:rFonts w:ascii="Verdana" w:eastAsia="Times New Roman" w:hAnsi="Verdana" w:cs="Arial"/>
          <w:bCs/>
          <w:sz w:val="20"/>
          <w:szCs w:val="20"/>
          <w:lang w:eastAsia="x-none"/>
        </w:rPr>
      </w:pPr>
      <w:r w:rsidRPr="00803CDD">
        <w:rPr>
          <w:rFonts w:ascii="Verdana" w:eastAsia="Times New Roman" w:hAnsi="Verdana" w:cs="Arial"/>
          <w:bCs/>
          <w:sz w:val="20"/>
          <w:szCs w:val="20"/>
          <w:lang w:eastAsia="x-none"/>
        </w:rPr>
        <w:t>En todo caso, el hecho de que estas cantidades de obra tengan carácter estimativo, no convierte un contrato a precios unitarios en uno a precio global. Mientras en el primero el precio se define por cada ítem que conforma el objeto, en el segundo existe un único valor total para la ejecución de las obligaciones. De esta manera, si en un contrato a precios unitarios se termina tanto el monto por unidad de medida como la cantidad que el constructor ejecutará, la doctrina señala que “[…] a pesar de tener las partes anticipadamente una noción del precio final, esto no implicaría que se trate de una modalidad de sistema de precio alzado, pues aquella estimación se realiza a modo de referencia, ya que sólo se han determinado los precios de los ítems específicos a ejecutar y el valor total de la construcción de la obra sólo podrá saberse a ciencia cierta, una vez concluidas […]”.</w:t>
      </w:r>
    </w:p>
    <w:p w14:paraId="2959C398" w14:textId="77777777" w:rsidR="009C5B9D" w:rsidRPr="00647611" w:rsidRDefault="009C5B9D" w:rsidP="009C5B9D">
      <w:pPr>
        <w:spacing w:after="0" w:line="240" w:lineRule="auto"/>
        <w:jc w:val="both"/>
        <w:rPr>
          <w:rFonts w:ascii="Verdana" w:eastAsia="Times New Roman" w:hAnsi="Verdana" w:cs="Arial"/>
          <w:bCs/>
          <w:sz w:val="20"/>
          <w:szCs w:val="20"/>
          <w:lang w:eastAsia="x-none"/>
        </w:rPr>
      </w:pPr>
    </w:p>
    <w:p w14:paraId="73B16E50" w14:textId="77777777" w:rsidR="009C5B9D" w:rsidRDefault="009C5B9D" w:rsidP="009C5B9D">
      <w:pPr>
        <w:spacing w:after="0" w:line="240" w:lineRule="auto"/>
        <w:jc w:val="both"/>
        <w:rPr>
          <w:rFonts w:ascii="Verdana" w:eastAsia="Geomanist Light" w:hAnsi="Verdana" w:cs="Arial"/>
          <w:color w:val="000000" w:themeColor="text1"/>
          <w:lang w:val="es-MX"/>
        </w:rPr>
      </w:pPr>
    </w:p>
    <w:p w14:paraId="78E1F9EE" w14:textId="77777777" w:rsidR="009C5B9D" w:rsidRDefault="009C5B9D" w:rsidP="009C5B9D">
      <w:pPr>
        <w:spacing w:after="0" w:line="240" w:lineRule="auto"/>
        <w:jc w:val="both"/>
        <w:rPr>
          <w:rFonts w:ascii="Verdana" w:eastAsia="Geomanist Light" w:hAnsi="Verdana" w:cs="Arial"/>
          <w:color w:val="000000" w:themeColor="text1"/>
          <w:lang w:val="es-MX"/>
        </w:rPr>
      </w:pPr>
    </w:p>
    <w:p w14:paraId="103E1DDE" w14:textId="77777777" w:rsidR="009C5B9D" w:rsidRDefault="009C5B9D" w:rsidP="009C5B9D">
      <w:pPr>
        <w:spacing w:after="0" w:line="240" w:lineRule="auto"/>
        <w:jc w:val="both"/>
        <w:rPr>
          <w:rFonts w:ascii="Verdana" w:eastAsia="Geomanist Light" w:hAnsi="Verdana" w:cs="Arial"/>
          <w:color w:val="000000" w:themeColor="text1"/>
          <w:lang w:val="es-MX"/>
        </w:rPr>
      </w:pPr>
    </w:p>
    <w:p w14:paraId="3A0C919C" w14:textId="77777777" w:rsidR="009C5B9D" w:rsidRDefault="009C5B9D" w:rsidP="009C5B9D">
      <w:pPr>
        <w:spacing w:after="0" w:line="240" w:lineRule="auto"/>
        <w:jc w:val="both"/>
        <w:rPr>
          <w:rFonts w:ascii="Verdana" w:eastAsia="Geomanist Light" w:hAnsi="Verdana" w:cs="Arial"/>
          <w:color w:val="000000" w:themeColor="text1"/>
          <w:lang w:val="es-MX"/>
        </w:rPr>
      </w:pPr>
    </w:p>
    <w:p w14:paraId="0F3ADDD9" w14:textId="77777777" w:rsidR="009C5B9D" w:rsidRDefault="009C5B9D" w:rsidP="009C5B9D">
      <w:pPr>
        <w:spacing w:after="0" w:line="240" w:lineRule="auto"/>
        <w:jc w:val="both"/>
        <w:rPr>
          <w:rFonts w:ascii="Verdana" w:eastAsia="Geomanist Light" w:hAnsi="Verdana" w:cs="Arial"/>
          <w:color w:val="000000" w:themeColor="text1"/>
          <w:lang w:val="es-MX"/>
        </w:rPr>
      </w:pPr>
    </w:p>
    <w:p w14:paraId="605D8EF1" w14:textId="77777777" w:rsidR="009C5B9D" w:rsidRDefault="009C5B9D" w:rsidP="009C5B9D">
      <w:pPr>
        <w:spacing w:after="0" w:line="240" w:lineRule="auto"/>
        <w:jc w:val="both"/>
        <w:rPr>
          <w:rFonts w:ascii="Verdana" w:eastAsia="Geomanist Light" w:hAnsi="Verdana" w:cs="Arial"/>
          <w:color w:val="000000" w:themeColor="text1"/>
          <w:lang w:val="es-MX"/>
        </w:rPr>
      </w:pPr>
    </w:p>
    <w:p w14:paraId="0041ADD7" w14:textId="77777777" w:rsidR="009C5B9D" w:rsidRDefault="009C5B9D" w:rsidP="009C5B9D">
      <w:pPr>
        <w:spacing w:after="0" w:line="240" w:lineRule="auto"/>
        <w:jc w:val="both"/>
        <w:rPr>
          <w:rFonts w:ascii="Verdana" w:eastAsia="Geomanist Light" w:hAnsi="Verdana" w:cs="Arial"/>
          <w:color w:val="000000" w:themeColor="text1"/>
          <w:lang w:val="es-MX"/>
        </w:rPr>
      </w:pPr>
    </w:p>
    <w:p w14:paraId="72B6AF00" w14:textId="77777777" w:rsidR="009C5B9D" w:rsidRDefault="009C5B9D" w:rsidP="009C5B9D">
      <w:pPr>
        <w:spacing w:after="0" w:line="240" w:lineRule="auto"/>
        <w:jc w:val="both"/>
        <w:rPr>
          <w:rFonts w:ascii="Verdana" w:eastAsia="Geomanist Light" w:hAnsi="Verdana" w:cs="Arial"/>
          <w:color w:val="000000" w:themeColor="text1"/>
          <w:lang w:val="es-MX"/>
        </w:rPr>
      </w:pPr>
    </w:p>
    <w:p w14:paraId="65647F0C" w14:textId="77777777" w:rsidR="009C5B9D" w:rsidRDefault="009C5B9D" w:rsidP="009C5B9D">
      <w:pPr>
        <w:spacing w:after="0" w:line="240" w:lineRule="auto"/>
        <w:jc w:val="both"/>
        <w:rPr>
          <w:rFonts w:ascii="Verdana" w:eastAsia="Geomanist Light" w:hAnsi="Verdana" w:cs="Arial"/>
          <w:color w:val="000000" w:themeColor="text1"/>
          <w:lang w:val="es-MX"/>
        </w:rPr>
      </w:pPr>
    </w:p>
    <w:p w14:paraId="5B6AD4BC" w14:textId="77777777" w:rsidR="009C5B9D" w:rsidRDefault="009C5B9D" w:rsidP="009C5B9D">
      <w:pPr>
        <w:spacing w:after="0" w:line="240" w:lineRule="auto"/>
        <w:jc w:val="both"/>
        <w:rPr>
          <w:rFonts w:ascii="Verdana" w:eastAsia="Geomanist Light" w:hAnsi="Verdana" w:cs="Arial"/>
          <w:color w:val="000000" w:themeColor="text1"/>
          <w:lang w:val="es-MX"/>
        </w:rPr>
      </w:pPr>
    </w:p>
    <w:p w14:paraId="2C702749" w14:textId="77777777" w:rsidR="009C5B9D" w:rsidRDefault="009C5B9D" w:rsidP="009C5B9D">
      <w:pPr>
        <w:spacing w:after="0" w:line="240" w:lineRule="auto"/>
        <w:jc w:val="both"/>
        <w:rPr>
          <w:rFonts w:ascii="Verdana" w:eastAsia="Geomanist Light" w:hAnsi="Verdana" w:cs="Arial"/>
          <w:color w:val="000000" w:themeColor="text1"/>
          <w:lang w:val="es-MX"/>
        </w:rPr>
      </w:pPr>
    </w:p>
    <w:p w14:paraId="659FE014" w14:textId="77777777" w:rsidR="009C5B9D" w:rsidRDefault="009C5B9D" w:rsidP="009C5B9D">
      <w:pPr>
        <w:spacing w:after="0" w:line="240" w:lineRule="auto"/>
        <w:jc w:val="both"/>
        <w:rPr>
          <w:rFonts w:ascii="Verdana" w:eastAsia="Geomanist Light" w:hAnsi="Verdana" w:cs="Arial"/>
          <w:color w:val="000000" w:themeColor="text1"/>
          <w:lang w:val="es-MX"/>
        </w:rPr>
      </w:pPr>
    </w:p>
    <w:p w14:paraId="416440D3" w14:textId="77777777" w:rsidR="009C5B9D" w:rsidRDefault="009C5B9D" w:rsidP="009C5B9D">
      <w:pPr>
        <w:spacing w:after="0" w:line="240" w:lineRule="auto"/>
        <w:jc w:val="both"/>
        <w:rPr>
          <w:rFonts w:ascii="Verdana" w:eastAsia="Geomanist Light" w:hAnsi="Verdana" w:cs="Arial"/>
          <w:color w:val="000000" w:themeColor="text1"/>
          <w:lang w:val="es-MX"/>
        </w:rPr>
      </w:pPr>
    </w:p>
    <w:p w14:paraId="3E17A529" w14:textId="77777777" w:rsidR="009C5B9D" w:rsidRDefault="009C5B9D" w:rsidP="009C5B9D">
      <w:pPr>
        <w:spacing w:after="0" w:line="240" w:lineRule="auto"/>
        <w:jc w:val="both"/>
        <w:rPr>
          <w:rFonts w:ascii="Verdana" w:eastAsia="Geomanist Light" w:hAnsi="Verdana" w:cs="Arial"/>
          <w:color w:val="000000" w:themeColor="text1"/>
          <w:lang w:val="es-MX"/>
        </w:rPr>
      </w:pPr>
    </w:p>
    <w:p w14:paraId="2C27ECD0" w14:textId="77777777" w:rsidR="009C5B9D" w:rsidRDefault="009C5B9D" w:rsidP="009C5B9D">
      <w:pPr>
        <w:spacing w:after="0" w:line="240" w:lineRule="auto"/>
        <w:jc w:val="both"/>
        <w:rPr>
          <w:rFonts w:ascii="Verdana" w:eastAsia="Geomanist Light" w:hAnsi="Verdana" w:cs="Arial"/>
          <w:color w:val="000000" w:themeColor="text1"/>
          <w:lang w:val="es-MX"/>
        </w:rPr>
      </w:pPr>
    </w:p>
    <w:p w14:paraId="12B4B604" w14:textId="77777777" w:rsidR="009C5B9D" w:rsidRDefault="009C5B9D" w:rsidP="009C5B9D">
      <w:pPr>
        <w:spacing w:after="0" w:line="240" w:lineRule="auto"/>
        <w:jc w:val="both"/>
        <w:rPr>
          <w:rFonts w:ascii="Verdana" w:eastAsia="Geomanist Light" w:hAnsi="Verdana" w:cs="Arial"/>
          <w:color w:val="000000" w:themeColor="text1"/>
          <w:lang w:val="es-MX"/>
        </w:rPr>
      </w:pPr>
    </w:p>
    <w:p w14:paraId="39B771C0" w14:textId="77777777" w:rsidR="009C5B9D" w:rsidRDefault="009C5B9D" w:rsidP="009C5B9D">
      <w:pPr>
        <w:spacing w:after="0" w:line="240" w:lineRule="auto"/>
        <w:jc w:val="both"/>
        <w:rPr>
          <w:rFonts w:ascii="Verdana" w:eastAsia="Geomanist Light" w:hAnsi="Verdana" w:cs="Arial"/>
          <w:color w:val="000000" w:themeColor="text1"/>
          <w:lang w:val="es-MX"/>
        </w:rPr>
      </w:pPr>
    </w:p>
    <w:p w14:paraId="4D93925D" w14:textId="77777777" w:rsidR="009C5B9D" w:rsidRDefault="009C5B9D" w:rsidP="009C5B9D">
      <w:pPr>
        <w:spacing w:after="0" w:line="240" w:lineRule="auto"/>
        <w:jc w:val="both"/>
        <w:rPr>
          <w:rFonts w:ascii="Verdana" w:eastAsia="Geomanist Light" w:hAnsi="Verdana" w:cs="Arial"/>
          <w:color w:val="000000" w:themeColor="text1"/>
          <w:lang w:val="es-MX"/>
        </w:rPr>
      </w:pPr>
    </w:p>
    <w:p w14:paraId="73AAC73D" w14:textId="77777777" w:rsidR="009C5B9D" w:rsidRDefault="009C5B9D" w:rsidP="00186979">
      <w:pPr>
        <w:spacing w:after="0" w:line="240" w:lineRule="auto"/>
        <w:jc w:val="both"/>
        <w:rPr>
          <w:rFonts w:ascii="Verdana" w:eastAsia="Geomanist Light" w:hAnsi="Verdana" w:cs="Arial"/>
          <w:color w:val="000000" w:themeColor="text1"/>
          <w:lang w:val="es-MX"/>
        </w:rPr>
      </w:pPr>
    </w:p>
    <w:p w14:paraId="4B42CE2C" w14:textId="7D5CFEE0" w:rsidR="00186979" w:rsidRPr="009C7241" w:rsidRDefault="00186979" w:rsidP="00186979">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1D7877" w:rsidRPr="001D7877">
        <w:rPr>
          <w:rFonts w:ascii="Verdana" w:eastAsia="Geomanist Light" w:hAnsi="Verdana" w:cs="Arial"/>
          <w:color w:val="000000" w:themeColor="text1"/>
          <w:lang w:val="es-MX"/>
        </w:rPr>
        <w:t>27 de Enero de 2026</w:t>
      </w:r>
    </w:p>
    <w:p w14:paraId="5CEC492C" w14:textId="77777777" w:rsidR="00186979" w:rsidRDefault="00186979" w:rsidP="00186979">
      <w:pPr>
        <w:spacing w:after="0" w:line="240" w:lineRule="auto"/>
        <w:jc w:val="both"/>
        <w:rPr>
          <w:rFonts w:ascii="Verdana" w:eastAsia="Calibri" w:hAnsi="Verdana" w:cs="Arial"/>
          <w:color w:val="000000"/>
          <w:lang w:val="es-ES"/>
        </w:rPr>
      </w:pPr>
    </w:p>
    <w:p w14:paraId="75CEB421" w14:textId="3E53A405" w:rsidR="001D7877" w:rsidRDefault="007017D3" w:rsidP="007017D3">
      <w:pPr>
        <w:spacing w:after="0" w:line="240" w:lineRule="auto"/>
        <w:jc w:val="right"/>
        <w:rPr>
          <w:rFonts w:ascii="Verdana" w:eastAsia="Calibri" w:hAnsi="Verdana" w:cs="Arial"/>
          <w:color w:val="000000"/>
          <w:lang w:val="es-ES"/>
        </w:rPr>
      </w:pPr>
      <w:r w:rsidRPr="007017D3">
        <w:rPr>
          <w:rFonts w:ascii="Verdana" w:eastAsia="Calibri" w:hAnsi="Verdana" w:cs="Arial"/>
          <w:noProof/>
          <w:color w:val="000000"/>
          <w:lang w:val="es-ES"/>
        </w:rPr>
        <w:drawing>
          <wp:inline distT="0" distB="0" distL="0" distR="0" wp14:anchorId="29C826EA" wp14:editId="7E89A357">
            <wp:extent cx="3238500" cy="901700"/>
            <wp:effectExtent l="0" t="0" r="0" b="0"/>
            <wp:docPr id="3419784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78417" name=""/>
                    <pic:cNvPicPr/>
                  </pic:nvPicPr>
                  <pic:blipFill>
                    <a:blip r:embed="rId10"/>
                    <a:stretch>
                      <a:fillRect/>
                    </a:stretch>
                  </pic:blipFill>
                  <pic:spPr>
                    <a:xfrm>
                      <a:off x="0" y="0"/>
                      <a:ext cx="3238500" cy="901700"/>
                    </a:xfrm>
                    <a:prstGeom prst="rect">
                      <a:avLst/>
                    </a:prstGeom>
                  </pic:spPr>
                </pic:pic>
              </a:graphicData>
            </a:graphic>
          </wp:inline>
        </w:drawing>
      </w:r>
    </w:p>
    <w:p w14:paraId="6FBFF8FE" w14:textId="77777777" w:rsidR="00186979" w:rsidRPr="00593A5F" w:rsidRDefault="00186979" w:rsidP="00186979">
      <w:pPr>
        <w:spacing w:after="0" w:line="240" w:lineRule="auto"/>
        <w:jc w:val="both"/>
        <w:rPr>
          <w:rFonts w:ascii="Verdana" w:eastAsia="Calibri" w:hAnsi="Verdana" w:cs="Arial"/>
          <w:color w:val="000000"/>
          <w:lang w:val="es-ES"/>
        </w:rPr>
      </w:pPr>
    </w:p>
    <w:p w14:paraId="32C02A93" w14:textId="77777777" w:rsidR="00186979" w:rsidRPr="000C555D" w:rsidRDefault="00186979" w:rsidP="00186979">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12E1E73" w14:textId="77777777" w:rsidR="00186979" w:rsidRDefault="00186979" w:rsidP="00186979">
      <w:pPr>
        <w:spacing w:after="0" w:line="240" w:lineRule="auto"/>
        <w:rPr>
          <w:rFonts w:ascii="Verdana" w:eastAsia="Calibri" w:hAnsi="Verdana" w:cs="Arial"/>
          <w:b/>
          <w:lang w:eastAsia="es-ES"/>
        </w:rPr>
      </w:pPr>
      <w:proofErr w:type="spellStart"/>
      <w:r w:rsidRPr="004252DF">
        <w:rPr>
          <w:rFonts w:ascii="Verdana" w:eastAsia="Calibri" w:hAnsi="Verdana" w:cs="Arial"/>
          <w:b/>
          <w:lang w:eastAsia="es-ES"/>
        </w:rPr>
        <w:t>Laudy</w:t>
      </w:r>
      <w:proofErr w:type="spellEnd"/>
      <w:r w:rsidRPr="004252DF">
        <w:rPr>
          <w:rFonts w:ascii="Verdana" w:eastAsia="Calibri" w:hAnsi="Verdana" w:cs="Arial"/>
          <w:b/>
          <w:lang w:eastAsia="es-ES"/>
        </w:rPr>
        <w:t xml:space="preserve"> </w:t>
      </w:r>
      <w:proofErr w:type="spellStart"/>
      <w:r w:rsidRPr="004252DF">
        <w:rPr>
          <w:rFonts w:ascii="Verdana" w:eastAsia="Calibri" w:hAnsi="Verdana" w:cs="Arial"/>
          <w:b/>
          <w:lang w:eastAsia="es-ES"/>
        </w:rPr>
        <w:t>Hemilse</w:t>
      </w:r>
      <w:proofErr w:type="spellEnd"/>
      <w:r w:rsidRPr="004252DF">
        <w:rPr>
          <w:rFonts w:ascii="Verdana" w:eastAsia="Calibri" w:hAnsi="Verdana" w:cs="Arial"/>
          <w:b/>
          <w:lang w:eastAsia="es-ES"/>
        </w:rPr>
        <w:t xml:space="preserve"> García Muñoz</w:t>
      </w:r>
    </w:p>
    <w:p w14:paraId="3152DB79" w14:textId="77777777" w:rsidR="00186979" w:rsidRPr="004252DF" w:rsidRDefault="00186979" w:rsidP="00186979">
      <w:pPr>
        <w:spacing w:after="0" w:line="240" w:lineRule="auto"/>
        <w:rPr>
          <w:rFonts w:ascii="Verdana" w:eastAsia="Calibri" w:hAnsi="Verdana" w:cs="Arial"/>
          <w:lang w:eastAsia="es-ES"/>
        </w:rPr>
      </w:pPr>
      <w:hyperlink r:id="rId11" w:history="1">
        <w:r w:rsidRPr="002F298A">
          <w:rPr>
            <w:rStyle w:val="Hipervnculo"/>
            <w:rFonts w:ascii="Verdana" w:hAnsi="Verdana"/>
          </w:rPr>
          <w:t>santilau85@gmail.com</w:t>
        </w:r>
      </w:hyperlink>
      <w:r>
        <w:rPr>
          <w:rFonts w:ascii="Verdana" w:hAnsi="Verdana"/>
        </w:rPr>
        <w:t xml:space="preserve"> </w:t>
      </w:r>
      <w:r w:rsidRPr="004252DF">
        <w:rPr>
          <w:rFonts w:ascii="Verdana" w:hAnsi="Verdana"/>
        </w:rPr>
        <w:t xml:space="preserve">   </w:t>
      </w:r>
      <w:r w:rsidRPr="004252DF">
        <w:rPr>
          <w:rFonts w:ascii="Verdana" w:eastAsia="Calibri" w:hAnsi="Verdana" w:cs="Arial"/>
          <w:lang w:eastAsia="es-ES"/>
        </w:rPr>
        <w:t xml:space="preserve">  </w:t>
      </w:r>
    </w:p>
    <w:p w14:paraId="52BA858D" w14:textId="77777777" w:rsidR="00186979" w:rsidRDefault="00186979" w:rsidP="00186979">
      <w:pPr>
        <w:spacing w:after="0" w:line="240" w:lineRule="auto"/>
        <w:rPr>
          <w:rFonts w:ascii="Verdana" w:eastAsia="Calibri" w:hAnsi="Verdana" w:cs="Arial"/>
          <w:lang w:val="es-ES" w:eastAsia="es-ES"/>
        </w:rPr>
      </w:pPr>
      <w:r w:rsidRPr="004252DF">
        <w:rPr>
          <w:rFonts w:ascii="Verdana" w:eastAsia="Calibri" w:hAnsi="Verdana" w:cs="Arial"/>
          <w:lang w:val="es-ES" w:eastAsia="es-ES"/>
        </w:rPr>
        <w:t>Bogotá D.C.</w:t>
      </w:r>
      <w:r>
        <w:rPr>
          <w:rFonts w:ascii="Verdana" w:eastAsia="Calibri" w:hAnsi="Verdana" w:cs="Arial"/>
          <w:lang w:val="es-ES" w:eastAsia="es-ES"/>
        </w:rPr>
        <w:t xml:space="preserve"> </w:t>
      </w:r>
    </w:p>
    <w:p w14:paraId="58A24ED5" w14:textId="77777777" w:rsidR="00186979" w:rsidRPr="00593A5F" w:rsidRDefault="00186979" w:rsidP="00186979">
      <w:pPr>
        <w:spacing w:after="0" w:line="240" w:lineRule="auto"/>
        <w:rPr>
          <w:rFonts w:ascii="Verdana" w:eastAsia="Calibri" w:hAnsi="Verdana" w:cs="Arial"/>
          <w:b/>
          <w:bCs/>
          <w:color w:val="000000"/>
          <w:lang w:val="es-ES_tradnl" w:eastAsia="es-ES_tradnl"/>
        </w:rPr>
      </w:pPr>
    </w:p>
    <w:p w14:paraId="65B72EB3" w14:textId="77777777" w:rsidR="00186979" w:rsidRPr="00593A5F" w:rsidRDefault="00186979" w:rsidP="0018697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86979" w:rsidRPr="00593A5F" w14:paraId="48ADF86A" w14:textId="77777777" w:rsidTr="00AA71B9">
        <w:trPr>
          <w:trHeight w:val="884"/>
        </w:trPr>
        <w:tc>
          <w:tcPr>
            <w:tcW w:w="2689" w:type="dxa"/>
          </w:tcPr>
          <w:p w14:paraId="3F876364" w14:textId="77777777" w:rsidR="00186979" w:rsidRPr="00C00976" w:rsidRDefault="00186979" w:rsidP="00AA71B9">
            <w:pPr>
              <w:jc w:val="both"/>
              <w:rPr>
                <w:rFonts w:ascii="Verdana" w:eastAsia="Calibri" w:hAnsi="Verdana" w:cs="Arial"/>
                <w:b/>
                <w:bCs/>
                <w:color w:val="7030A0"/>
                <w:lang w:val="es-ES_tradnl" w:eastAsia="es-ES_tradnl"/>
              </w:rPr>
            </w:pPr>
          </w:p>
        </w:tc>
        <w:tc>
          <w:tcPr>
            <w:tcW w:w="6100" w:type="dxa"/>
          </w:tcPr>
          <w:p w14:paraId="47FCCF6A" w14:textId="77777777" w:rsidR="00186979" w:rsidRPr="00C00976" w:rsidRDefault="00186979" w:rsidP="00AA71B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059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186979" w:rsidRPr="00593A5F" w14:paraId="03475103" w14:textId="77777777" w:rsidTr="00AA71B9">
        <w:trPr>
          <w:trHeight w:val="884"/>
        </w:trPr>
        <w:tc>
          <w:tcPr>
            <w:tcW w:w="2689" w:type="dxa"/>
          </w:tcPr>
          <w:p w14:paraId="551FCB5B" w14:textId="77777777" w:rsidR="00186979" w:rsidRPr="00593A5F" w:rsidRDefault="00186979" w:rsidP="00AA71B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FC93B86" w14:textId="77777777" w:rsidR="00186979" w:rsidRPr="00A11406" w:rsidRDefault="00186979" w:rsidP="00AA71B9">
            <w:pPr>
              <w:spacing w:line="276" w:lineRule="auto"/>
              <w:jc w:val="both"/>
              <w:rPr>
                <w:rFonts w:ascii="Verdana" w:eastAsia="Calibri" w:hAnsi="Verdana" w:cs="Arial"/>
                <w:lang w:val="es-ES" w:eastAsia="es-ES"/>
              </w:rPr>
            </w:pPr>
            <w:r w:rsidRPr="00803CDD">
              <w:rPr>
                <w:rFonts w:ascii="Verdana" w:eastAsia="Calibri" w:hAnsi="Verdana" w:cs="Arial"/>
                <w:lang w:val="es-ES" w:eastAsia="es-ES"/>
              </w:rPr>
              <w:t>DETERMINACIÓN DEL VALOR DEL CONTRATO – Etapa de planeación – Metodologías – Factores que inciden</w:t>
            </w:r>
            <w:r>
              <w:rPr>
                <w:rFonts w:ascii="Verdana" w:eastAsia="Calibri" w:hAnsi="Verdana" w:cs="Arial"/>
                <w:lang w:val="es-ES" w:eastAsia="es-ES"/>
              </w:rPr>
              <w:t xml:space="preserve"> / </w:t>
            </w:r>
            <w:r w:rsidRPr="00803CDD">
              <w:rPr>
                <w:rFonts w:ascii="Verdana" w:eastAsia="Calibri" w:hAnsi="Verdana" w:cs="Arial"/>
                <w:lang w:val="es-ES" w:eastAsia="es-ES"/>
              </w:rPr>
              <w:t>VALOR ESTIMADO DEL CONTRATO – Precios unitarios – Precio global</w:t>
            </w:r>
            <w:r>
              <w:rPr>
                <w:rFonts w:ascii="Verdana" w:eastAsia="Calibri" w:hAnsi="Verdana" w:cs="Arial"/>
                <w:lang w:val="es-ES" w:eastAsia="es-ES"/>
              </w:rPr>
              <w:t xml:space="preserve"> / </w:t>
            </w:r>
            <w:r w:rsidRPr="00803CDD">
              <w:rPr>
                <w:rFonts w:ascii="Verdana" w:eastAsia="Calibri" w:hAnsi="Verdana" w:cs="Arial"/>
                <w:lang w:val="es-ES" w:eastAsia="es-ES"/>
              </w:rPr>
              <w:t>PRECIOS UNITARIOS – Cantidades de obra – Carácter estimativo – Precio global – Exclusión</w:t>
            </w:r>
          </w:p>
          <w:p w14:paraId="25FD58E0" w14:textId="77777777" w:rsidR="00186979" w:rsidRPr="00593A5F" w:rsidRDefault="00186979" w:rsidP="00AA71B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86979" w:rsidRPr="008E6AD9" w14:paraId="64FA1967" w14:textId="77777777" w:rsidTr="00AA71B9">
        <w:tc>
          <w:tcPr>
            <w:tcW w:w="2689" w:type="dxa"/>
          </w:tcPr>
          <w:p w14:paraId="61FB8614" w14:textId="77777777" w:rsidR="00186979" w:rsidRPr="008E6AD9" w:rsidRDefault="00186979" w:rsidP="00AA71B9">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9538AA2" w14:textId="77777777" w:rsidR="00186979" w:rsidRPr="00B92340" w:rsidRDefault="00186979" w:rsidP="00AA71B9">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4252DF">
              <w:rPr>
                <w:rFonts w:ascii="Verdana" w:eastAsia="Calibri" w:hAnsi="Verdana" w:cs="Arial"/>
                <w:lang w:val="es-ES_tradnl" w:eastAsia="es-ES_tradnl"/>
              </w:rPr>
              <w:t>1_2026_01_16_000443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9AD793B" w14:textId="77777777" w:rsidR="00186979" w:rsidRPr="00593A5F" w:rsidRDefault="00186979" w:rsidP="00186979">
      <w:pPr>
        <w:spacing w:after="0" w:line="240" w:lineRule="auto"/>
        <w:jc w:val="both"/>
        <w:rPr>
          <w:rFonts w:ascii="Verdana" w:eastAsia="Calibri" w:hAnsi="Verdana" w:cs="Arial"/>
          <w:color w:val="000000"/>
          <w:lang w:val="es-ES_tradnl" w:eastAsia="es-ES_tradnl"/>
        </w:rPr>
      </w:pPr>
    </w:p>
    <w:p w14:paraId="3F10AD17" w14:textId="77777777" w:rsidR="00186979" w:rsidRPr="00593A5F" w:rsidRDefault="00186979" w:rsidP="00186979">
      <w:pPr>
        <w:spacing w:after="0" w:line="240" w:lineRule="auto"/>
        <w:jc w:val="both"/>
        <w:rPr>
          <w:rFonts w:ascii="Verdana" w:eastAsia="Calibri" w:hAnsi="Verdana" w:cs="Arial"/>
          <w:color w:val="000000"/>
          <w:lang w:val="es-ES_tradnl" w:eastAsia="es-ES_tradnl"/>
        </w:rPr>
      </w:pPr>
    </w:p>
    <w:p w14:paraId="7DCD3154" w14:textId="77777777" w:rsidR="00186979" w:rsidRPr="008E6AD9" w:rsidRDefault="00186979" w:rsidP="0018697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4252DF">
        <w:rPr>
          <w:rFonts w:ascii="Verdana" w:eastAsia="Calibri" w:hAnsi="Verdana" w:cs="Arial"/>
          <w:lang w:val="es-ES" w:eastAsia="es-ES"/>
        </w:rPr>
        <w:t>García Muñoz</w:t>
      </w:r>
      <w:r w:rsidRPr="008E6AD9">
        <w:rPr>
          <w:rFonts w:ascii="Verdana" w:eastAsia="Calibri" w:hAnsi="Verdana" w:cs="Arial"/>
          <w:lang w:val="es-ES" w:eastAsia="es-ES"/>
        </w:rPr>
        <w:t xml:space="preserve">: </w:t>
      </w:r>
    </w:p>
    <w:p w14:paraId="43EA6BE3" w14:textId="77777777" w:rsidR="00186979" w:rsidRDefault="00186979" w:rsidP="0018697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339AD6C" w14:textId="77777777" w:rsidR="00186979" w:rsidRPr="00593A5F" w:rsidRDefault="00186979" w:rsidP="0018697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16 de enero de 2026, en la cual pregunta lo siguiente:</w:t>
      </w:r>
      <w:r w:rsidRPr="008E6AD9">
        <w:rPr>
          <w:rFonts w:ascii="Verdana" w:eastAsia="Calibri" w:hAnsi="Verdana" w:cs="Arial"/>
          <w:lang w:val="es-ES" w:eastAsia="es-ES"/>
        </w:rPr>
        <w:t xml:space="preserve"> </w:t>
      </w:r>
    </w:p>
    <w:p w14:paraId="26BEC66D" w14:textId="77777777" w:rsidR="00186979" w:rsidRPr="00272A7B" w:rsidRDefault="00186979" w:rsidP="00186979">
      <w:pPr>
        <w:pStyle w:val="Prrafodelista"/>
        <w:tabs>
          <w:tab w:val="left" w:pos="142"/>
          <w:tab w:val="left" w:pos="284"/>
        </w:tabs>
        <w:spacing w:after="0" w:line="276" w:lineRule="auto"/>
        <w:ind w:left="0"/>
        <w:jc w:val="both"/>
        <w:rPr>
          <w:rFonts w:ascii="Verdana" w:eastAsia="Century Gothic" w:hAnsi="Verdana" w:cs="Century Gothic"/>
          <w:b/>
          <w:bCs/>
        </w:rPr>
      </w:pPr>
    </w:p>
    <w:p w14:paraId="7FCF144B" w14:textId="77777777" w:rsidR="00186979" w:rsidRPr="004252DF" w:rsidRDefault="00186979" w:rsidP="00186979">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4252DF">
        <w:rPr>
          <w:rFonts w:ascii="Verdana" w:eastAsia="Century Gothic" w:hAnsi="Verdana" w:cs="Century Gothic"/>
          <w:sz w:val="20"/>
          <w:szCs w:val="20"/>
          <w:lang w:val="es-ES"/>
        </w:rPr>
        <w:t>¿Es jurídicamente procedente pactar un contrato a precio global cuando, aunque en los estudios previos o en el contrato se identifiquen unidades de costo, las cantidades necesarias para la ejecución del objeto no pueden determinarse de manera previa y cierta?</w:t>
      </w:r>
    </w:p>
    <w:p w14:paraId="464A7323" w14:textId="77777777" w:rsidR="00186979" w:rsidRPr="004252DF" w:rsidRDefault="00186979" w:rsidP="00186979">
      <w:pPr>
        <w:spacing w:after="120" w:line="240" w:lineRule="auto"/>
        <w:ind w:left="709" w:right="709"/>
        <w:jc w:val="both"/>
        <w:rPr>
          <w:rFonts w:ascii="Verdana" w:eastAsia="Century Gothic" w:hAnsi="Verdana" w:cs="Century Gothic"/>
          <w:sz w:val="20"/>
          <w:szCs w:val="20"/>
          <w:lang w:val="es-ES"/>
        </w:rPr>
      </w:pPr>
      <w:r w:rsidRPr="004252DF">
        <w:rPr>
          <w:rFonts w:ascii="Verdana" w:eastAsia="Century Gothic" w:hAnsi="Verdana" w:cs="Century Gothic"/>
          <w:sz w:val="20"/>
          <w:szCs w:val="20"/>
          <w:lang w:val="es-ES"/>
        </w:rPr>
        <w:lastRenderedPageBreak/>
        <w:t>En particular, se solicita precisar:</w:t>
      </w:r>
    </w:p>
    <w:p w14:paraId="312FE327" w14:textId="77777777" w:rsidR="00186979" w:rsidRPr="004252DF" w:rsidRDefault="00186979" w:rsidP="00186979">
      <w:pPr>
        <w:spacing w:after="120" w:line="240" w:lineRule="auto"/>
        <w:ind w:left="709" w:right="709"/>
        <w:jc w:val="both"/>
        <w:rPr>
          <w:rFonts w:ascii="Verdana" w:eastAsia="Century Gothic" w:hAnsi="Verdana" w:cs="Century Gothic"/>
          <w:sz w:val="20"/>
          <w:szCs w:val="20"/>
          <w:lang w:val="es-ES"/>
        </w:rPr>
      </w:pPr>
      <w:r w:rsidRPr="004252DF">
        <w:rPr>
          <w:rFonts w:ascii="Verdana" w:eastAsia="Century Gothic" w:hAnsi="Verdana" w:cs="Century Gothic"/>
          <w:sz w:val="20"/>
          <w:szCs w:val="20"/>
          <w:lang w:val="es-ES"/>
        </w:rPr>
        <w:t>El alcance del principio de planeación frente a la definición previa del objeto y de las cantidades en contratos a precio global.</w:t>
      </w:r>
    </w:p>
    <w:p w14:paraId="152A160E" w14:textId="77777777" w:rsidR="00186979" w:rsidRPr="004B35AC" w:rsidRDefault="00186979" w:rsidP="00186979">
      <w:pPr>
        <w:spacing w:after="0" w:line="240" w:lineRule="auto"/>
        <w:ind w:left="709" w:right="709"/>
        <w:jc w:val="both"/>
        <w:rPr>
          <w:rFonts w:ascii="Verdana" w:eastAsia="Century Gothic" w:hAnsi="Verdana" w:cs="Century Gothic"/>
          <w:sz w:val="20"/>
          <w:szCs w:val="20"/>
          <w:lang w:val="es-ES"/>
        </w:rPr>
      </w:pPr>
      <w:r w:rsidRPr="004252DF">
        <w:rPr>
          <w:rFonts w:ascii="Verdana" w:eastAsia="Century Gothic" w:hAnsi="Verdana" w:cs="Century Gothic"/>
          <w:sz w:val="20"/>
          <w:szCs w:val="20"/>
          <w:lang w:val="es-ES"/>
        </w:rPr>
        <w:t xml:space="preserve">Los criterios generales para diferenciar cuándo la identificación de unidades de costo es meramente referencial y cuándo resulta incompatible con la modalidad de precio global por la imposibilidad de determinar cantidades </w:t>
      </w:r>
      <w:r w:rsidRPr="004252DF">
        <w:rPr>
          <w:rFonts w:ascii="Verdana" w:eastAsia="Century Gothic" w:hAnsi="Verdana" w:cs="Century Gothic"/>
          <w:i/>
          <w:iCs/>
          <w:sz w:val="20"/>
          <w:szCs w:val="20"/>
          <w:lang w:val="es-ES"/>
        </w:rPr>
        <w:t>ex ante</w:t>
      </w:r>
      <w:r w:rsidRPr="00D10E3B">
        <w:rPr>
          <w:rFonts w:ascii="Verdana" w:eastAsia="Century Gothic" w:hAnsi="Verdana" w:cs="Century Gothic"/>
          <w:sz w:val="20"/>
          <w:szCs w:val="20"/>
        </w:rPr>
        <w:t>”.</w:t>
      </w:r>
    </w:p>
    <w:p w14:paraId="0A9CC41F" w14:textId="77777777" w:rsidR="00186979" w:rsidRPr="008E6AD9" w:rsidRDefault="00186979" w:rsidP="00186979">
      <w:pPr>
        <w:pStyle w:val="Prrafodelista"/>
        <w:tabs>
          <w:tab w:val="left" w:pos="142"/>
          <w:tab w:val="left" w:pos="284"/>
        </w:tabs>
        <w:spacing w:after="0" w:line="276" w:lineRule="auto"/>
        <w:ind w:left="0"/>
        <w:jc w:val="both"/>
        <w:rPr>
          <w:rFonts w:ascii="Verdana" w:eastAsia="Century Gothic" w:hAnsi="Verdana" w:cs="Century Gothic"/>
          <w:b/>
          <w:bCs/>
        </w:rPr>
      </w:pPr>
    </w:p>
    <w:p w14:paraId="3B1C931B" w14:textId="77777777" w:rsidR="00186979" w:rsidRPr="00A652FF" w:rsidRDefault="00186979" w:rsidP="0018697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2445557" w14:textId="77777777" w:rsidR="00186979" w:rsidRPr="00423BE7" w:rsidRDefault="00186979" w:rsidP="00186979">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28ABEFA" w14:textId="77777777" w:rsidR="00186979" w:rsidRPr="00593A5F" w:rsidRDefault="00186979" w:rsidP="00186979">
      <w:pPr>
        <w:spacing w:after="0" w:line="276" w:lineRule="auto"/>
        <w:ind w:firstLine="709"/>
        <w:jc w:val="both"/>
        <w:rPr>
          <w:rFonts w:ascii="Verdana" w:eastAsia="Calibri" w:hAnsi="Verdana" w:cs="Arial"/>
          <w:color w:val="000000"/>
          <w:lang w:val="es-ES" w:eastAsia="es-ES"/>
        </w:rPr>
      </w:pPr>
    </w:p>
    <w:p w14:paraId="3FCD4487" w14:textId="77777777" w:rsidR="00186979" w:rsidRPr="00593A5F" w:rsidRDefault="00186979" w:rsidP="0018697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0CAC25D" w14:textId="77777777" w:rsidR="00186979" w:rsidRPr="00593A5F" w:rsidRDefault="00186979" w:rsidP="00186979">
      <w:pPr>
        <w:tabs>
          <w:tab w:val="left" w:pos="426"/>
        </w:tabs>
        <w:spacing w:after="0" w:line="276" w:lineRule="auto"/>
        <w:jc w:val="both"/>
        <w:rPr>
          <w:rFonts w:ascii="Verdana" w:eastAsia="Century Gothic" w:hAnsi="Verdana" w:cs="Century Gothic"/>
          <w:lang w:val="es-ES"/>
        </w:rPr>
      </w:pPr>
    </w:p>
    <w:p w14:paraId="3D8F4306" w14:textId="77777777" w:rsidR="00186979" w:rsidRPr="00593A5F" w:rsidRDefault="00186979" w:rsidP="00186979">
      <w:pPr>
        <w:spacing w:after="0" w:line="276" w:lineRule="auto"/>
        <w:jc w:val="both"/>
        <w:rPr>
          <w:rFonts w:ascii="Verdana" w:eastAsia="Century Gothic" w:hAnsi="Verdana" w:cs="Century Gothic"/>
        </w:rPr>
      </w:pPr>
      <w:r w:rsidRPr="00601220">
        <w:rPr>
          <w:rFonts w:ascii="Verdana" w:eastAsia="Century Gothic" w:hAnsi="Verdana" w:cs="Century Gothic"/>
        </w:rPr>
        <w:t xml:space="preserve">De acuerdo con el contenido de su solicitud, esta Agencia resolverá el siguiente problema jurídico: </w:t>
      </w:r>
      <w:r w:rsidRPr="00DE5E97">
        <w:rPr>
          <w:rFonts w:ascii="Verdana" w:eastAsia="Century Gothic" w:hAnsi="Verdana" w:cs="Century Gothic"/>
        </w:rPr>
        <w:t>¿</w:t>
      </w:r>
      <w:r>
        <w:rPr>
          <w:rFonts w:ascii="Verdana" w:eastAsia="Calibri" w:hAnsi="Verdana" w:cs="Arial"/>
          <w:bCs/>
          <w:color w:val="000000" w:themeColor="text1"/>
        </w:rPr>
        <w:t>si</w:t>
      </w:r>
      <w:r>
        <w:rPr>
          <w:rFonts w:ascii="Verdana" w:eastAsia="Calibri" w:hAnsi="Verdana" w:cs="Arial"/>
          <w:bCs/>
          <w:color w:val="000000" w:themeColor="text1"/>
          <w:lang w:val="es-ES_tradnl"/>
        </w:rPr>
        <w:t xml:space="preserve"> en un contrato a precios unitarios se termina tanto el monto por unidad de medida como la cantidad que el constructor ejecutará, dichas cantidades son referenciales o hacen que el contrato tenga un precio global</w:t>
      </w:r>
      <w:r w:rsidRPr="00DE5E97">
        <w:rPr>
          <w:rFonts w:ascii="Verdana" w:eastAsia="Times New Roman" w:hAnsi="Verdana" w:cs="Arial"/>
          <w:lang w:eastAsia="es-MX"/>
        </w:rPr>
        <w:t>?</w:t>
      </w:r>
    </w:p>
    <w:p w14:paraId="3C0B23D5" w14:textId="77777777" w:rsidR="00186979" w:rsidRPr="004B140F" w:rsidRDefault="00186979" w:rsidP="00186979">
      <w:pPr>
        <w:spacing w:after="0" w:line="276" w:lineRule="auto"/>
        <w:jc w:val="both"/>
        <w:rPr>
          <w:rFonts w:ascii="Verdana" w:eastAsia="Calibri" w:hAnsi="Verdana" w:cs="Arial"/>
          <w:color w:val="7030A0"/>
        </w:rPr>
      </w:pPr>
    </w:p>
    <w:p w14:paraId="126A7660" w14:textId="77777777" w:rsidR="00186979" w:rsidRPr="00593A5F" w:rsidRDefault="00186979" w:rsidP="001869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94C0C1B" w14:textId="77777777" w:rsidR="00186979" w:rsidRPr="00593A5F" w:rsidRDefault="00186979" w:rsidP="0018697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6979" w:rsidRPr="00593A5F" w14:paraId="25EC1DAB" w14:textId="77777777" w:rsidTr="00AA71B9">
        <w:trPr>
          <w:jc w:val="center"/>
        </w:trPr>
        <w:tc>
          <w:tcPr>
            <w:tcW w:w="8828" w:type="dxa"/>
            <w:shd w:val="clear" w:color="auto" w:fill="auto"/>
          </w:tcPr>
          <w:p w14:paraId="15792960" w14:textId="77777777" w:rsidR="00186979" w:rsidRPr="00F57151" w:rsidRDefault="00186979" w:rsidP="00AA71B9">
            <w:pPr>
              <w:spacing w:after="120" w:line="276" w:lineRule="auto"/>
              <w:jc w:val="both"/>
              <w:rPr>
                <w:rFonts w:ascii="Verdana" w:eastAsia="Times New Roman" w:hAnsi="Verdana" w:cs="Arial"/>
                <w:lang w:eastAsia="x-none"/>
              </w:rPr>
            </w:pPr>
            <w:bookmarkStart w:id="0" w:name="_Hlk171694685"/>
            <w:r w:rsidRPr="00C53E3E">
              <w:rPr>
                <w:rFonts w:ascii="Verdana" w:eastAsia="Calibri" w:hAnsi="Verdana" w:cs="Arial"/>
                <w:lang w:val="es-MX"/>
              </w:rPr>
              <w:lastRenderedPageBreak/>
              <w:t xml:space="preserve">Conforme a la interpretación general de las normas del sistema de compras públicas, </w:t>
            </w:r>
            <w:r>
              <w:rPr>
                <w:rFonts w:ascii="Verdana" w:eastAsia="Calibri" w:hAnsi="Verdana" w:cs="Arial"/>
                <w:bCs/>
                <w:color w:val="000000" w:themeColor="text1"/>
                <w:lang w:val="es-ES_tradnl"/>
              </w:rPr>
              <w:t>la regla general es que el valor del contrato se cuantifica por el método de precio global o de precios unitarios, sin que ambas confluyan en una misma prestación contractual. Aunque es posible la celebración de contratos mixtos –por ejemplo, como sucede en la contratación de diseños y ejecución de la obra– o adjudicar contratos por lotes –caso en el cual, cada lote puede tener reglas distintas para el cálculo del precio–, lo usual es que sobre un mismo objeto el precio global excluya los precios unitarios y viceversa. Esto se debe a que ambas metodologías implican una distribución de riesgos entre las partes, pues mientras los precios unitarios tienden a beneficiar al contratista, el precio global usualmente otorga mayor seguridad al contratante.</w:t>
            </w:r>
          </w:p>
          <w:p w14:paraId="6434F8E0" w14:textId="77777777" w:rsidR="00186979" w:rsidRDefault="00186979" w:rsidP="00AA71B9">
            <w:pPr>
              <w:spacing w:after="120" w:line="276" w:lineRule="auto"/>
              <w:ind w:firstLine="737"/>
              <w:jc w:val="both"/>
              <w:rPr>
                <w:rFonts w:ascii="Verdana" w:eastAsia="Calibri" w:hAnsi="Verdana" w:cs="Arial"/>
                <w:bCs/>
                <w:color w:val="000000" w:themeColor="text1"/>
                <w:lang w:val="es-ES_tradnl"/>
              </w:rPr>
            </w:pPr>
            <w:r>
              <w:rPr>
                <w:rFonts w:ascii="Verdana" w:hAnsi="Verdana" w:cs="Arial"/>
                <w:lang w:val="es-ES" w:eastAsia="es-ES"/>
              </w:rPr>
              <w:t xml:space="preserve">Asimismo, para los contratos que se ejecutan a precios unitarios, es posible determinar o no las cantidades requeridas para el cumplimiento de objeto contractual. Si éstas son indeterminadas, el valor total del contrato será el resultado multiplicar </w:t>
            </w:r>
            <w:r w:rsidRPr="00042EA7">
              <w:rPr>
                <w:rFonts w:ascii="Verdana" w:eastAsia="Calibri" w:hAnsi="Verdana" w:cs="Arial"/>
                <w:bCs/>
                <w:color w:val="000000" w:themeColor="text1"/>
                <w:lang w:val="es-ES_tradnl"/>
              </w:rPr>
              <w:t>las cantidades ejecutadas por el precio de cada una de ellas</w:t>
            </w:r>
            <w:r>
              <w:rPr>
                <w:rFonts w:ascii="Verdana" w:eastAsia="Calibri" w:hAnsi="Verdana" w:cs="Arial"/>
                <w:bCs/>
                <w:color w:val="000000" w:themeColor="text1"/>
                <w:lang w:val="es-ES_tradnl"/>
              </w:rPr>
              <w:t>. Este sistema puede ser riesgoso para la entidad, porque genera incentivos en el contratista para ejecutar más unidades aunque no sean necesarias: de allí la importancia del cumplimiento de las obligaciones de control y vigilancia a través de la supervisión o la interventoría, según corresponda. Como medida de mitigación, también es posible determinar las cantidades necesarias, la cual será referencial y surtirá efectos en función de lo que hayan pactado las partes.</w:t>
            </w:r>
          </w:p>
          <w:p w14:paraId="5F3CA1A2" w14:textId="77777777" w:rsidR="00186979" w:rsidRPr="00F57151" w:rsidRDefault="00186979" w:rsidP="00AA71B9">
            <w:pPr>
              <w:spacing w:after="120" w:line="276" w:lineRule="auto"/>
              <w:ind w:firstLine="737"/>
              <w:jc w:val="both"/>
              <w:rPr>
                <w:rFonts w:ascii="Verdana" w:eastAsia="Times New Roman" w:hAnsi="Verdana" w:cs="Arial"/>
                <w:lang w:eastAsia="x-none"/>
              </w:rPr>
            </w:pPr>
            <w:r>
              <w:rPr>
                <w:rFonts w:ascii="Verdana" w:eastAsia="Calibri" w:hAnsi="Verdana" w:cs="Arial"/>
                <w:bCs/>
                <w:color w:val="000000" w:themeColor="text1"/>
                <w:lang w:val="es-ES_tradnl"/>
              </w:rPr>
              <w:t xml:space="preserve">En todo caso, el hecho de que estas cantidades de obra tengan carácter estimativo, no convierte un contrato a precios unitarios en uno a precio global. Mientras en el primero el precio se define por cada ítem que conforma el objeto, en el segundo existe un único valor total para la ejecución de las obligaciones. De esta manera, si en un contrato a precios unitarios se termina tanto el monto por unidad de medida como la cantidad que el constructor ejecutará, la doctrina señala que “[…] </w:t>
            </w:r>
            <w:r w:rsidRPr="00630117">
              <w:rPr>
                <w:rFonts w:ascii="Verdana" w:eastAsia="Calibri" w:hAnsi="Verdana" w:cs="Arial"/>
                <w:bCs/>
                <w:color w:val="000000" w:themeColor="text1"/>
                <w:lang w:val="es-ES_tradnl"/>
              </w:rPr>
              <w:t>a pesar de tener las partes anticipadamente una</w:t>
            </w:r>
            <w:r>
              <w:rPr>
                <w:rFonts w:ascii="Verdana" w:eastAsia="Calibri" w:hAnsi="Verdana" w:cs="Arial"/>
                <w:bCs/>
                <w:color w:val="000000" w:themeColor="text1"/>
                <w:lang w:val="es-ES_tradnl"/>
              </w:rPr>
              <w:t xml:space="preserve"> </w:t>
            </w:r>
            <w:r w:rsidRPr="00630117">
              <w:rPr>
                <w:rFonts w:ascii="Verdana" w:eastAsia="Calibri" w:hAnsi="Verdana" w:cs="Arial"/>
                <w:bCs/>
                <w:color w:val="000000" w:themeColor="text1"/>
                <w:lang w:val="es-ES_tradnl"/>
              </w:rPr>
              <w:t>noción del precio final, esto no implicaría que se trate de una modalidad</w:t>
            </w:r>
            <w:r>
              <w:rPr>
                <w:rFonts w:ascii="Verdana" w:eastAsia="Calibri" w:hAnsi="Verdana" w:cs="Arial"/>
                <w:bCs/>
                <w:color w:val="000000" w:themeColor="text1"/>
                <w:lang w:val="es-ES_tradnl"/>
              </w:rPr>
              <w:t xml:space="preserve"> </w:t>
            </w:r>
            <w:r w:rsidRPr="00630117">
              <w:rPr>
                <w:rFonts w:ascii="Verdana" w:eastAsia="Calibri" w:hAnsi="Verdana" w:cs="Arial"/>
                <w:bCs/>
                <w:color w:val="000000" w:themeColor="text1"/>
                <w:lang w:val="es-ES_tradnl"/>
              </w:rPr>
              <w:t>de sistema de precio alzado, pues aquella estimación se realiza a modo</w:t>
            </w:r>
            <w:r>
              <w:rPr>
                <w:rFonts w:ascii="Verdana" w:eastAsia="Calibri" w:hAnsi="Verdana" w:cs="Arial"/>
                <w:bCs/>
                <w:color w:val="000000" w:themeColor="text1"/>
                <w:lang w:val="es-ES_tradnl"/>
              </w:rPr>
              <w:t xml:space="preserve"> </w:t>
            </w:r>
            <w:r w:rsidRPr="00630117">
              <w:rPr>
                <w:rFonts w:ascii="Verdana" w:eastAsia="Calibri" w:hAnsi="Verdana" w:cs="Arial"/>
                <w:bCs/>
                <w:color w:val="000000" w:themeColor="text1"/>
                <w:lang w:val="es-ES_tradnl"/>
              </w:rPr>
              <w:t>de referencia, ya que sólo se han determinado los precios de los ítems</w:t>
            </w:r>
            <w:r>
              <w:rPr>
                <w:rFonts w:ascii="Verdana" w:eastAsia="Calibri" w:hAnsi="Verdana" w:cs="Arial"/>
                <w:bCs/>
                <w:color w:val="000000" w:themeColor="text1"/>
                <w:lang w:val="es-ES_tradnl"/>
              </w:rPr>
              <w:t xml:space="preserve"> </w:t>
            </w:r>
            <w:r w:rsidRPr="00630117">
              <w:rPr>
                <w:rFonts w:ascii="Verdana" w:eastAsia="Calibri" w:hAnsi="Verdana" w:cs="Arial"/>
                <w:bCs/>
                <w:color w:val="000000" w:themeColor="text1"/>
                <w:lang w:val="es-ES_tradnl"/>
              </w:rPr>
              <w:t>específicos a ejecutar y el valor total de la construcción de la obra</w:t>
            </w:r>
            <w:r>
              <w:rPr>
                <w:rFonts w:ascii="Verdana" w:eastAsia="Calibri" w:hAnsi="Verdana" w:cs="Arial"/>
                <w:bCs/>
                <w:color w:val="000000" w:themeColor="text1"/>
                <w:lang w:val="es-ES_tradnl"/>
              </w:rPr>
              <w:t xml:space="preserve"> </w:t>
            </w:r>
            <w:r w:rsidRPr="00630117">
              <w:rPr>
                <w:rFonts w:ascii="Verdana" w:eastAsia="Calibri" w:hAnsi="Verdana" w:cs="Arial"/>
                <w:bCs/>
                <w:color w:val="000000" w:themeColor="text1"/>
                <w:lang w:val="es-ES_tradnl"/>
              </w:rPr>
              <w:t>sólo podrá saberse a ciencia cierta, una vez concluidas</w:t>
            </w:r>
            <w:r>
              <w:rPr>
                <w:rFonts w:ascii="Verdana" w:eastAsia="Calibri" w:hAnsi="Verdana" w:cs="Arial"/>
                <w:bCs/>
                <w:color w:val="000000" w:themeColor="text1"/>
                <w:lang w:val="es-ES_tradnl"/>
              </w:rPr>
              <w:t xml:space="preserve"> […]”.</w:t>
            </w:r>
          </w:p>
          <w:p w14:paraId="3411B226" w14:textId="77777777" w:rsidR="00186979" w:rsidRPr="001941FD" w:rsidRDefault="00186979" w:rsidP="00AA71B9">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E3AF5FF" w14:textId="77777777" w:rsidR="00186979" w:rsidRPr="00593A5F" w:rsidRDefault="00186979" w:rsidP="00186979">
      <w:pPr>
        <w:tabs>
          <w:tab w:val="left" w:pos="142"/>
          <w:tab w:val="left" w:pos="284"/>
        </w:tabs>
        <w:spacing w:after="0" w:line="276" w:lineRule="auto"/>
        <w:jc w:val="both"/>
        <w:rPr>
          <w:rFonts w:ascii="Verdana" w:eastAsia="Century Gothic" w:hAnsi="Verdana" w:cs="Century Gothic"/>
          <w:b/>
          <w:bCs/>
          <w:lang w:val="es-ES"/>
        </w:rPr>
      </w:pPr>
    </w:p>
    <w:bookmarkEnd w:id="0"/>
    <w:p w14:paraId="66FC1F69" w14:textId="77777777" w:rsidR="00186979" w:rsidRPr="00593A5F" w:rsidRDefault="00186979" w:rsidP="001869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14DEF03" w14:textId="77777777" w:rsidR="00186979" w:rsidRPr="00593A5F" w:rsidRDefault="00186979" w:rsidP="00186979">
      <w:pPr>
        <w:spacing w:after="0" w:line="276" w:lineRule="auto"/>
        <w:jc w:val="both"/>
        <w:rPr>
          <w:rFonts w:ascii="Verdana" w:eastAsia="Calibri" w:hAnsi="Verdana" w:cs="Arial"/>
          <w:color w:val="7030A0"/>
          <w:lang w:val="es-ES"/>
        </w:rPr>
      </w:pPr>
    </w:p>
    <w:p w14:paraId="55D72732" w14:textId="77777777" w:rsidR="00186979" w:rsidRDefault="00186979" w:rsidP="0018697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A079297" w14:textId="77777777" w:rsidR="00186979" w:rsidRDefault="00186979" w:rsidP="00186979">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2"/>
          <w:szCs w:val="22"/>
        </w:rPr>
      </w:pPr>
    </w:p>
    <w:p w14:paraId="4F8F7422" w14:textId="77777777" w:rsidR="00186979" w:rsidRPr="000D4C3B" w:rsidRDefault="00186979" w:rsidP="00186979">
      <w:pPr>
        <w:spacing w:after="120" w:line="276" w:lineRule="auto"/>
        <w:jc w:val="both"/>
        <w:rPr>
          <w:rFonts w:ascii="Verdana" w:hAnsi="Verdana" w:cs="Arial"/>
          <w:bCs/>
          <w:lang w:val="es-ES_tradnl"/>
        </w:rPr>
      </w:pPr>
      <w:r w:rsidRPr="000D4C3B">
        <w:rPr>
          <w:rFonts w:ascii="Verdana" w:hAnsi="Verdana" w:cs="Arial"/>
          <w:bCs/>
          <w:lang w:val="es-ES_tradnl"/>
        </w:rPr>
        <w:t xml:space="preserve">Como es sabido, uno de los elementos más comunes en los contratos estatales es el </w:t>
      </w:r>
      <w:r w:rsidRPr="000D4C3B">
        <w:rPr>
          <w:rFonts w:ascii="Verdana" w:hAnsi="Verdana" w:cs="Arial"/>
          <w:bCs/>
          <w:i/>
          <w:iCs/>
          <w:lang w:val="es-ES_tradnl"/>
        </w:rPr>
        <w:t>precio</w:t>
      </w:r>
      <w:r w:rsidRPr="000D4C3B">
        <w:rPr>
          <w:rFonts w:ascii="Verdana" w:hAnsi="Verdana" w:cs="Arial"/>
          <w:bCs/>
          <w:lang w:val="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D672EEB" w14:textId="77777777" w:rsidR="00186979" w:rsidRPr="000D4C3B" w:rsidRDefault="00186979" w:rsidP="00186979">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0D4C3B">
        <w:rPr>
          <w:rStyle w:val="Refdenotaalpie"/>
          <w:rFonts w:ascii="Verdana" w:hAnsi="Verdana" w:cs="Arial"/>
          <w:bCs/>
          <w:lang w:val="es-ES_tradnl"/>
        </w:rPr>
        <w:footnoteReference w:id="2"/>
      </w:r>
      <w:r w:rsidRPr="000D4C3B">
        <w:rPr>
          <w:rFonts w:ascii="Verdana" w:hAnsi="Verdana" w:cs="Arial"/>
          <w:bCs/>
          <w:lang w:val="es-ES_tradnl"/>
        </w:rPr>
        <w:t>.</w:t>
      </w:r>
    </w:p>
    <w:p w14:paraId="0A7FBCCC" w14:textId="77777777" w:rsidR="00186979" w:rsidRPr="000D4C3B" w:rsidRDefault="00186979" w:rsidP="00186979">
      <w:pPr>
        <w:spacing w:before="120" w:after="120" w:line="276" w:lineRule="auto"/>
        <w:ind w:firstLine="709"/>
        <w:jc w:val="both"/>
        <w:rPr>
          <w:rFonts w:ascii="Verdana" w:hAnsi="Verdana" w:cs="Arial"/>
          <w:lang w:val="es-ES"/>
        </w:rPr>
      </w:pPr>
      <w:r w:rsidRPr="6F0C0C87">
        <w:rPr>
          <w:rFonts w:ascii="Verdana" w:hAnsi="Verdana" w:cs="Arial"/>
          <w:lang w:val="es-ES"/>
        </w:rPr>
        <w:lastRenderedPageBreak/>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6F0C0C87">
        <w:rPr>
          <w:rFonts w:ascii="Verdana" w:hAnsi="Verdana" w:cs="Arial"/>
          <w:lang w:val="es-ES"/>
        </w:rPr>
        <w:t>ii</w:t>
      </w:r>
      <w:proofErr w:type="spellEnd"/>
      <w:r w:rsidRPr="6F0C0C87">
        <w:rPr>
          <w:rFonts w:ascii="Verdana" w:hAnsi="Verdana" w:cs="Arial"/>
          <w:lang w:val="es-ES"/>
        </w:rPr>
        <w:t xml:space="preserve">) el precio global –que equivale al monto total, sin discriminar unidades–, y </w:t>
      </w:r>
      <w:proofErr w:type="spellStart"/>
      <w:r w:rsidRPr="6F0C0C87">
        <w:rPr>
          <w:rFonts w:ascii="Verdana" w:hAnsi="Verdana" w:cs="Arial"/>
          <w:lang w:val="es-ES"/>
        </w:rPr>
        <w:t>iii</w:t>
      </w:r>
      <w:proofErr w:type="spellEnd"/>
      <w:r w:rsidRPr="6F0C0C87">
        <w:rPr>
          <w:rFonts w:ascii="Verdana" w:hAnsi="Verdana" w:cs="Arial"/>
          <w:lang w:val="es-ES"/>
        </w:rPr>
        <w:t>) la administración delegada de recursos –en la que se distinguen los costos de inversión de los honorarios del administrador–.</w:t>
      </w:r>
    </w:p>
    <w:p w14:paraId="617AA643" w14:textId="77777777" w:rsidR="00186979" w:rsidRDefault="00186979" w:rsidP="00186979">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lang w:val="es-ES_tradnl"/>
        </w:rPr>
      </w:pPr>
      <w:r>
        <w:rPr>
          <w:rFonts w:ascii="Verdana" w:eastAsia="Calibri" w:hAnsi="Verdana" w:cs="Arial"/>
          <w:bCs/>
          <w:color w:val="000000" w:themeColor="text1"/>
          <w:sz w:val="22"/>
          <w:szCs w:val="22"/>
          <w:lang w:val="es-ES_tradnl"/>
        </w:rPr>
        <w:tab/>
        <w:t>Por ejemplo, los artículos 88 y 89 del derogado Decreto Ley 222 de 1983 definían los sistemas del precio global y unitarios. Por un lado, “L</w:t>
      </w:r>
      <w:r w:rsidRPr="00042EA7">
        <w:rPr>
          <w:rFonts w:ascii="Verdana" w:eastAsia="Calibri" w:hAnsi="Verdana" w:cs="Arial"/>
          <w:bCs/>
          <w:color w:val="000000" w:themeColor="text1"/>
          <w:sz w:val="22"/>
          <w:szCs w:val="22"/>
          <w:lang w:val="es-ES_tradnl"/>
        </w:rPr>
        <w:t>os contratos a precio global son aquellos en los que el contratista, a cambio de las prestaciones a que se compromete, obtiene como remuneración una suma global fija en la cual están incluidos sus honorarios</w:t>
      </w:r>
      <w:r>
        <w:rPr>
          <w:rFonts w:ascii="Verdana" w:eastAsia="Calibri" w:hAnsi="Verdana" w:cs="Arial"/>
          <w:bCs/>
          <w:color w:val="000000" w:themeColor="text1"/>
          <w:sz w:val="22"/>
          <w:szCs w:val="22"/>
          <w:lang w:val="es-ES_tradnl"/>
        </w:rPr>
        <w:t xml:space="preserve"> […]. Por otra parte, “</w:t>
      </w:r>
      <w:r w:rsidRPr="00042EA7">
        <w:rPr>
          <w:rFonts w:ascii="Verdana" w:eastAsia="Calibri" w:hAnsi="Verdana" w:cs="Arial"/>
          <w:bCs/>
          <w:color w:val="000000" w:themeColor="text1"/>
          <w:sz w:val="22"/>
          <w:szCs w:val="22"/>
          <w:lang w:val="es-ES_tradnl"/>
        </w:rPr>
        <w:t>Los contratos a precios unitarios son aquellos en los cuales se pacta el precio por unidades o cantidades de obra y su valor total es la suma de los productos que resulten de multiplicar las cantidades de obras ejecutadas por el precio de cada una de ellas, dentro de los límites que el mismo convenio fije</w:t>
      </w:r>
      <w:r>
        <w:rPr>
          <w:rFonts w:ascii="Verdana" w:eastAsia="Calibri" w:hAnsi="Verdana" w:cs="Arial"/>
          <w:bCs/>
          <w:color w:val="000000" w:themeColor="text1"/>
          <w:sz w:val="22"/>
          <w:szCs w:val="22"/>
          <w:lang w:val="es-ES_tradnl"/>
        </w:rPr>
        <w:t>”</w:t>
      </w:r>
      <w:r w:rsidRPr="00042EA7">
        <w:rPr>
          <w:rFonts w:ascii="Verdana" w:eastAsia="Calibri" w:hAnsi="Verdana" w:cs="Arial"/>
          <w:bCs/>
          <w:color w:val="000000" w:themeColor="text1"/>
          <w:sz w:val="22"/>
          <w:szCs w:val="22"/>
          <w:lang w:val="es-ES_tradnl"/>
        </w:rPr>
        <w:t>.</w:t>
      </w:r>
      <w:r>
        <w:rPr>
          <w:rFonts w:ascii="Verdana" w:eastAsia="Calibri" w:hAnsi="Verdana" w:cs="Arial"/>
          <w:bCs/>
          <w:color w:val="000000" w:themeColor="text1"/>
          <w:sz w:val="22"/>
          <w:szCs w:val="22"/>
          <w:lang w:val="es-ES_tradnl"/>
        </w:rPr>
        <w:t xml:space="preserve"> Aunque estas definiciones no están vigentes, son de gran relevancia técnica, pues su alcance delimita la forma en que se estructuran algunos contratos estatales. </w:t>
      </w:r>
    </w:p>
    <w:p w14:paraId="39495579" w14:textId="77777777" w:rsidR="00186979" w:rsidRDefault="00186979" w:rsidP="00186979">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2"/>
          <w:szCs w:val="22"/>
          <w:lang w:val="es-ES_tradnl"/>
        </w:rPr>
      </w:pPr>
      <w:r>
        <w:rPr>
          <w:rFonts w:ascii="Verdana" w:eastAsia="Calibri" w:hAnsi="Verdana" w:cs="Arial"/>
          <w:bCs/>
          <w:color w:val="000000" w:themeColor="text1"/>
          <w:sz w:val="22"/>
          <w:szCs w:val="22"/>
          <w:lang w:val="es-ES_tradnl"/>
        </w:rPr>
        <w:tab/>
        <w:t xml:space="preserve">Por ello, desde el punto de vista práctico, la regla general es que el valor del contrato se cuantifica por el método de precio global o de precios unitarios, sin que ambas confluyan en una misma prestación contractual. Aunque es posible la celebración de contratos mixtos –por ejemplo, como sucede en la contratación de diseños y ejecución de la obra– o adjudicar contratos por lotes </w:t>
      </w:r>
      <w:r>
        <w:rPr>
          <w:rFonts w:ascii="Verdana" w:eastAsia="Calibri" w:hAnsi="Verdana" w:cs="Arial"/>
          <w:bCs/>
          <w:color w:val="000000" w:themeColor="text1"/>
          <w:sz w:val="22"/>
          <w:szCs w:val="22"/>
          <w:lang w:val="es-ES_tradnl"/>
        </w:rPr>
        <w:lastRenderedPageBreak/>
        <w:t>–caso en el cual, cada lote puede tener reglas distintas para el cálculo del precio–, lo usual es que sobre un mismo objeto el precio global excluya los precios unitarios y viceversa. Esto se debe a que ambas metodologías implican una distribución de riesgos entre las partes, pues mientras los precios unitarios tienden a beneficiar al contratista, el precio global usualmente otorga mayor seguridad al contratante:</w:t>
      </w:r>
    </w:p>
    <w:p w14:paraId="4D60C378" w14:textId="77777777" w:rsidR="00186979" w:rsidRDefault="00186979" w:rsidP="00186979">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2"/>
          <w:szCs w:val="22"/>
          <w:lang w:val="es-ES_tradnl"/>
        </w:rPr>
      </w:pPr>
    </w:p>
    <w:p w14:paraId="1437BB7F" w14:textId="77777777" w:rsidR="00186979" w:rsidRPr="00B04ECC" w:rsidRDefault="00186979" w:rsidP="7055BAD5">
      <w:pPr>
        <w:pStyle w:val="paragraph"/>
        <w:shd w:val="clear" w:color="auto" w:fill="FFFFFF" w:themeFill="background1"/>
        <w:spacing w:before="0" w:beforeAutospacing="0" w:after="120" w:afterAutospacing="0"/>
        <w:ind w:left="709" w:right="709"/>
        <w:jc w:val="both"/>
        <w:textAlignment w:val="baseline"/>
        <w:rPr>
          <w:rFonts w:ascii="Verdana" w:eastAsia="Calibri" w:hAnsi="Verdana" w:cs="Arial"/>
          <w:color w:val="000000" w:themeColor="text1"/>
          <w:sz w:val="20"/>
          <w:szCs w:val="20"/>
          <w:lang w:val="es-ES"/>
        </w:rPr>
      </w:pPr>
      <w:r w:rsidRPr="7055BAD5">
        <w:rPr>
          <w:rFonts w:ascii="Verdana" w:eastAsia="Calibri" w:hAnsi="Verdana" w:cs="Arial"/>
          <w:color w:val="000000" w:themeColor="text1"/>
          <w:sz w:val="20"/>
          <w:szCs w:val="20"/>
          <w:lang w:val="es-ES"/>
        </w:rPr>
        <w:t xml:space="preserve">“El objetivo que se busca en el contrato a suma alzada es que las partes convengan un precio único y definitivo por la ejecución de la totalidad de la obra encomendada. De esta manera entonces, el propietario de la obra tiene certeza del valor final de la ejecución de </w:t>
      </w:r>
      <w:proofErr w:type="gramStart"/>
      <w:r w:rsidRPr="7055BAD5">
        <w:rPr>
          <w:rFonts w:ascii="Verdana" w:eastAsia="Calibri" w:hAnsi="Verdana" w:cs="Arial"/>
          <w:color w:val="000000" w:themeColor="text1"/>
          <w:sz w:val="20"/>
          <w:szCs w:val="20"/>
          <w:lang w:val="es-ES"/>
        </w:rPr>
        <w:t>la misma</w:t>
      </w:r>
      <w:proofErr w:type="gramEnd"/>
      <w:r w:rsidRPr="7055BAD5">
        <w:rPr>
          <w:rFonts w:ascii="Verdana" w:eastAsia="Calibri" w:hAnsi="Verdana" w:cs="Arial"/>
          <w:color w:val="000000" w:themeColor="text1"/>
          <w:sz w:val="20"/>
          <w:szCs w:val="20"/>
          <w:lang w:val="es-ES"/>
        </w:rPr>
        <w:t>, quedando liberado de los riesgos de la variación de los costos de la ejecución del proyecto, ya sea que este provenga o se vean afectados por una variación en los materiales, insumos, herramientas, costos previsionales, impositivos, etc.</w:t>
      </w:r>
    </w:p>
    <w:p w14:paraId="3920B601" w14:textId="77777777" w:rsidR="00186979" w:rsidRPr="00B04ECC" w:rsidRDefault="00186979" w:rsidP="00186979">
      <w:pPr>
        <w:pStyle w:val="paragraph"/>
        <w:shd w:val="clear" w:color="auto" w:fill="FFFFFF"/>
        <w:spacing w:before="0" w:beforeAutospacing="0" w:after="0" w:afterAutospacing="0"/>
        <w:ind w:left="709" w:right="709"/>
        <w:jc w:val="both"/>
        <w:textAlignment w:val="baseline"/>
        <w:rPr>
          <w:rFonts w:ascii="Verdana" w:eastAsia="Calibri" w:hAnsi="Verdana" w:cs="Arial"/>
          <w:bCs/>
          <w:color w:val="000000" w:themeColor="text1"/>
          <w:sz w:val="20"/>
          <w:szCs w:val="20"/>
          <w:lang w:val="es-ES_tradnl"/>
        </w:rPr>
      </w:pPr>
      <w:r w:rsidRPr="00B04ECC">
        <w:rPr>
          <w:rFonts w:ascii="Verdana" w:eastAsia="Calibri" w:hAnsi="Verdana" w:cs="Arial"/>
          <w:bCs/>
          <w:color w:val="000000" w:themeColor="text1"/>
          <w:sz w:val="20"/>
          <w:szCs w:val="20"/>
          <w:lang w:val="es-ES_tradnl"/>
        </w:rPr>
        <w:t>De este modo, el contratista es quien, a cambio de un precio fijo y determinado, asume el riesgo no solo de la ejecución de la obra, sino que también de ejecutarla por el precio convenido, tomando sobre sí los riesgos de las eventuales variaciones que puedan experimentar los costos directos e indirectos de la ejecución de la obra</w:t>
      </w:r>
      <w:r>
        <w:rPr>
          <w:rFonts w:ascii="Verdana" w:eastAsia="Calibri" w:hAnsi="Verdana" w:cs="Arial"/>
          <w:bCs/>
          <w:color w:val="000000" w:themeColor="text1"/>
          <w:sz w:val="20"/>
          <w:szCs w:val="20"/>
          <w:lang w:val="es-ES_tradnl"/>
        </w:rPr>
        <w:t>”</w:t>
      </w:r>
      <w:r>
        <w:rPr>
          <w:rStyle w:val="Refdenotaalpie"/>
          <w:rFonts w:ascii="Verdana" w:eastAsia="Calibri" w:hAnsi="Verdana" w:cs="Arial"/>
          <w:bCs/>
          <w:color w:val="000000" w:themeColor="text1"/>
          <w:sz w:val="20"/>
          <w:szCs w:val="20"/>
          <w:lang w:val="es-ES_tradnl"/>
        </w:rPr>
        <w:footnoteReference w:id="3"/>
      </w:r>
      <w:r w:rsidRPr="00B04ECC">
        <w:rPr>
          <w:rFonts w:ascii="Verdana" w:eastAsia="Calibri" w:hAnsi="Verdana" w:cs="Arial"/>
          <w:bCs/>
          <w:color w:val="000000" w:themeColor="text1"/>
          <w:sz w:val="20"/>
          <w:szCs w:val="20"/>
          <w:lang w:val="es-ES_tradnl"/>
        </w:rPr>
        <w:t xml:space="preserve">. </w:t>
      </w:r>
    </w:p>
    <w:p w14:paraId="36F3070D" w14:textId="77777777" w:rsidR="00186979" w:rsidRDefault="00186979" w:rsidP="00186979">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2"/>
          <w:szCs w:val="22"/>
          <w:lang w:val="es-ES_tradnl"/>
        </w:rPr>
      </w:pPr>
    </w:p>
    <w:p w14:paraId="24624A87" w14:textId="77777777" w:rsidR="00186979" w:rsidRDefault="00186979" w:rsidP="00186979">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bCs/>
          <w:color w:val="000000" w:themeColor="text1"/>
          <w:sz w:val="22"/>
          <w:szCs w:val="22"/>
          <w:lang w:val="es-ES_tradnl"/>
        </w:rPr>
      </w:pPr>
      <w:r>
        <w:rPr>
          <w:rFonts w:ascii="Verdana" w:eastAsia="Calibri" w:hAnsi="Verdana" w:cs="Arial"/>
          <w:bCs/>
          <w:color w:val="000000" w:themeColor="text1"/>
          <w:sz w:val="22"/>
          <w:szCs w:val="22"/>
          <w:lang w:val="es-ES_tradnl"/>
        </w:rPr>
        <w:t>En contraste, en los negocios ejecutados a precios unitarios:</w:t>
      </w:r>
    </w:p>
    <w:p w14:paraId="69D1D77C" w14:textId="77777777" w:rsidR="00186979" w:rsidRDefault="00186979" w:rsidP="00186979">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bCs/>
          <w:color w:val="000000" w:themeColor="text1"/>
          <w:sz w:val="22"/>
          <w:szCs w:val="22"/>
          <w:lang w:val="es-ES_tradnl"/>
        </w:rPr>
      </w:pPr>
    </w:p>
    <w:p w14:paraId="3244A3F6" w14:textId="77777777" w:rsidR="00186979" w:rsidRPr="000375EE" w:rsidRDefault="00186979" w:rsidP="7055BAD5">
      <w:pPr>
        <w:pStyle w:val="paragraph"/>
        <w:shd w:val="clear" w:color="auto" w:fill="FFFFFF" w:themeFill="background1"/>
        <w:spacing w:before="0" w:beforeAutospacing="0" w:after="0" w:afterAutospacing="0"/>
        <w:ind w:left="709" w:right="709"/>
        <w:jc w:val="both"/>
        <w:textAlignment w:val="baseline"/>
        <w:rPr>
          <w:rFonts w:ascii="Verdana" w:eastAsia="Calibri" w:hAnsi="Verdana" w:cs="Arial"/>
          <w:color w:val="000000" w:themeColor="text1"/>
          <w:sz w:val="20"/>
          <w:szCs w:val="20"/>
          <w:lang w:val="es-ES"/>
        </w:rPr>
      </w:pPr>
      <w:r w:rsidRPr="7055BAD5">
        <w:rPr>
          <w:rFonts w:ascii="Verdana" w:eastAsia="Calibri" w:hAnsi="Verdana" w:cs="Arial"/>
          <w:color w:val="000000" w:themeColor="text1"/>
          <w:sz w:val="20"/>
          <w:szCs w:val="20"/>
          <w:lang w:val="es-ES"/>
        </w:rPr>
        <w:t>“[…] la ventaja que tiene para el contratista es que si en el pliego se calculó que las cantidades eran menores, pero al construir resultaron superiores, le pagarán lo que realmente ejecute. De este modo, el contratista no corre el riesgo de perder dinero, porque no asume, con su patrimonio, el desfase de las cantidades de obra -como sucede en el precio global-. De esta manera, el contratista tiene tranquilidad en un aspecto tan crítico como es la estabilidad del valor del contrato”</w:t>
      </w:r>
      <w:r w:rsidRPr="7055BAD5">
        <w:rPr>
          <w:rStyle w:val="Refdenotaalpie"/>
          <w:rFonts w:ascii="Verdana" w:eastAsia="Calibri" w:hAnsi="Verdana" w:cs="Arial"/>
          <w:color w:val="000000" w:themeColor="text1"/>
          <w:sz w:val="20"/>
          <w:szCs w:val="20"/>
          <w:lang w:val="es-ES"/>
        </w:rPr>
        <w:footnoteReference w:id="4"/>
      </w:r>
      <w:r w:rsidRPr="7055BAD5">
        <w:rPr>
          <w:rFonts w:ascii="Verdana" w:eastAsia="Calibri" w:hAnsi="Verdana" w:cs="Arial"/>
          <w:color w:val="000000" w:themeColor="text1"/>
          <w:sz w:val="20"/>
          <w:szCs w:val="20"/>
          <w:lang w:val="es-ES"/>
        </w:rPr>
        <w:t>.</w:t>
      </w:r>
    </w:p>
    <w:p w14:paraId="0E52EE22" w14:textId="77777777" w:rsidR="00186979" w:rsidRDefault="00186979" w:rsidP="00186979">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2"/>
          <w:szCs w:val="22"/>
          <w:lang w:val="es-ES_tradnl"/>
        </w:rPr>
      </w:pPr>
    </w:p>
    <w:p w14:paraId="1E86590F" w14:textId="77777777" w:rsidR="00186979" w:rsidRPr="00DA57BA" w:rsidRDefault="00186979" w:rsidP="00186979">
      <w:pPr>
        <w:tabs>
          <w:tab w:val="left" w:pos="0"/>
        </w:tabs>
        <w:spacing w:line="276" w:lineRule="auto"/>
        <w:jc w:val="both"/>
        <w:rPr>
          <w:rFonts w:ascii="Verdana" w:eastAsia="Calibri" w:hAnsi="Verdana" w:cs="Arial"/>
          <w:bCs/>
          <w:color w:val="000000" w:themeColor="text1"/>
        </w:rPr>
      </w:pPr>
      <w:r>
        <w:rPr>
          <w:rFonts w:ascii="Verdana" w:eastAsia="Calibri" w:hAnsi="Verdana" w:cs="Arial"/>
          <w:bCs/>
          <w:color w:val="000000" w:themeColor="text1"/>
          <w:lang w:val="es-ES_tradnl"/>
        </w:rPr>
        <w:tab/>
        <w:t xml:space="preserve">La elección entre uno u otro sistema depende de la planeación realizada por la entidad contratante, pues es </w:t>
      </w:r>
      <w:r w:rsidRPr="00DA57BA">
        <w:rPr>
          <w:rFonts w:ascii="Verdana" w:eastAsia="Calibri" w:hAnsi="Verdana" w:cs="Arial"/>
          <w:bCs/>
          <w:color w:val="000000" w:themeColor="text1"/>
          <w:lang w:val="es-ES_tradnl"/>
        </w:rPr>
        <w:t xml:space="preserve">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w:t>
      </w:r>
      <w:r w:rsidRPr="00DA57BA">
        <w:rPr>
          <w:rFonts w:ascii="Verdana" w:eastAsia="Calibri" w:hAnsi="Verdana" w:cs="Arial"/>
          <w:bCs/>
          <w:color w:val="000000" w:themeColor="text1"/>
          <w:lang w:val="es-ES_tradnl"/>
        </w:rPr>
        <w:lastRenderedPageBreak/>
        <w:t>disponibilidad, oferentes, etc., que conlleven a una diligente escogencia de la mejor oferta para beneficiar los intereses y fines públicos inmersos en la contratación de las entidades estatales</w:t>
      </w:r>
      <w:r w:rsidRPr="00DA57BA">
        <w:rPr>
          <w:rFonts w:ascii="Verdana" w:eastAsia="Calibri" w:hAnsi="Verdana" w:cs="Arial"/>
          <w:bCs/>
          <w:color w:val="000000" w:themeColor="text1"/>
          <w:sz w:val="21"/>
          <w:szCs w:val="21"/>
          <w:lang w:val="es-ES_tradnl"/>
        </w:rPr>
        <w:t>.</w:t>
      </w:r>
    </w:p>
    <w:p w14:paraId="23134B99" w14:textId="77777777" w:rsidR="00186979" w:rsidRPr="00DA57BA" w:rsidRDefault="00186979" w:rsidP="00186979">
      <w:pPr>
        <w:pStyle w:val="Sinespaciado"/>
        <w:spacing w:before="120" w:line="276" w:lineRule="auto"/>
        <w:ind w:firstLine="708"/>
        <w:jc w:val="both"/>
        <w:rPr>
          <w:rFonts w:ascii="Verdana" w:hAnsi="Verdana" w:cs="Arial"/>
          <w:bCs/>
          <w:color w:val="000000" w:themeColor="text1"/>
          <w:sz w:val="22"/>
          <w:lang w:val="es-ES"/>
        </w:rPr>
      </w:pPr>
      <w:r w:rsidRPr="00DA57BA">
        <w:rPr>
          <w:rFonts w:ascii="Verdana" w:hAnsi="Verdana" w:cs="Arial"/>
          <w:bCs/>
          <w:color w:val="000000" w:themeColor="text1"/>
          <w:sz w:val="22"/>
        </w:rPr>
        <w:t xml:space="preserve">El Estatuto General de Contratación de la Administración Pública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647FA6F" w14:textId="77777777" w:rsidR="00186979" w:rsidRPr="00DA57BA" w:rsidRDefault="00186979" w:rsidP="00186979">
      <w:pPr>
        <w:pStyle w:val="Sinespaciado"/>
        <w:spacing w:line="276" w:lineRule="auto"/>
        <w:ind w:firstLine="708"/>
        <w:jc w:val="both"/>
        <w:rPr>
          <w:rFonts w:ascii="Verdana" w:hAnsi="Verdana" w:cs="Arial"/>
          <w:bCs/>
          <w:color w:val="000000" w:themeColor="text1"/>
          <w:sz w:val="22"/>
          <w:lang w:val="es-ES"/>
        </w:rPr>
      </w:pPr>
    </w:p>
    <w:p w14:paraId="025F439A" w14:textId="77777777" w:rsidR="00186979" w:rsidRPr="0087082A" w:rsidRDefault="00186979" w:rsidP="00186979">
      <w:pPr>
        <w:pStyle w:val="Sinespaciado"/>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“7o. La conveniencia o inconveniencia del objeto a contratar y las autorizaciones y aprobaciones para ello, se analizarán o impartirán con antelación al inicio del proceso de selección del contratista o al de la firma del contrato, según el caso.</w:t>
      </w:r>
    </w:p>
    <w:p w14:paraId="1BB1252B" w14:textId="77777777" w:rsidR="00186979" w:rsidRPr="0087082A" w:rsidRDefault="00186979" w:rsidP="00186979">
      <w:pPr>
        <w:pStyle w:val="Sinespaciado"/>
        <w:spacing w:after="120"/>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w:t>
      </w:r>
    </w:p>
    <w:p w14:paraId="75EB9B44" w14:textId="77777777" w:rsidR="00186979" w:rsidRPr="0087082A" w:rsidRDefault="00186979" w:rsidP="00186979">
      <w:pPr>
        <w:pStyle w:val="Sinespaciado"/>
        <w:spacing w:after="120"/>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6AB07CD5" w14:textId="77777777" w:rsidR="00186979" w:rsidRPr="0087082A" w:rsidRDefault="00186979" w:rsidP="00186979">
      <w:pPr>
        <w:pStyle w:val="Sinespaciado"/>
        <w:spacing w:after="120"/>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0FB1DE42" w14:textId="77777777" w:rsidR="00186979" w:rsidRPr="0087082A" w:rsidRDefault="00186979" w:rsidP="00186979">
      <w:pPr>
        <w:spacing w:after="120" w:line="240" w:lineRule="auto"/>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5A84C84" w14:textId="77777777" w:rsidR="00186979" w:rsidRPr="00DA57BA" w:rsidRDefault="00186979" w:rsidP="00186979">
      <w:pPr>
        <w:spacing w:after="0" w:line="240" w:lineRule="auto"/>
        <w:ind w:left="709" w:right="709"/>
        <w:jc w:val="both"/>
        <w:rPr>
          <w:rFonts w:ascii="Verdana" w:hAnsi="Verdana" w:cs="Arial"/>
          <w:color w:val="000000" w:themeColor="text1"/>
        </w:rPr>
      </w:pPr>
      <w:r w:rsidRPr="0087082A">
        <w:rPr>
          <w:rFonts w:ascii="Verdana" w:hAnsi="Verdana" w:cs="Arial"/>
          <w:color w:val="000000" w:themeColor="text1"/>
          <w:sz w:val="20"/>
          <w:szCs w:val="20"/>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DA57BA">
        <w:rPr>
          <w:rFonts w:ascii="Verdana" w:hAnsi="Verdana" w:cs="Arial"/>
          <w:color w:val="000000" w:themeColor="text1"/>
        </w:rPr>
        <w:t xml:space="preserve"> </w:t>
      </w:r>
    </w:p>
    <w:p w14:paraId="148C22D2" w14:textId="77777777" w:rsidR="00186979" w:rsidRDefault="00186979" w:rsidP="00186979">
      <w:pPr>
        <w:pStyle w:val="Sinespaciado"/>
        <w:spacing w:line="276" w:lineRule="auto"/>
        <w:ind w:firstLine="708"/>
        <w:jc w:val="both"/>
        <w:rPr>
          <w:rFonts w:ascii="Verdana" w:hAnsi="Verdana" w:cs="Arial"/>
          <w:color w:val="000000" w:themeColor="text1"/>
          <w:sz w:val="22"/>
        </w:rPr>
      </w:pPr>
    </w:p>
    <w:p w14:paraId="5F2094F9" w14:textId="77777777" w:rsidR="00186979" w:rsidRPr="00DA57BA" w:rsidRDefault="00186979" w:rsidP="00186979">
      <w:pPr>
        <w:pStyle w:val="Sinespaciado"/>
        <w:spacing w:line="276" w:lineRule="auto"/>
        <w:ind w:firstLine="708"/>
        <w:jc w:val="both"/>
        <w:rPr>
          <w:rFonts w:ascii="Verdana" w:hAnsi="Verdana" w:cs="Arial"/>
          <w:color w:val="000000" w:themeColor="text1"/>
          <w:sz w:val="22"/>
        </w:rPr>
      </w:pPr>
      <w:r w:rsidRPr="00DA57BA">
        <w:rPr>
          <w:rFonts w:ascii="Verdana" w:hAnsi="Verdana" w:cs="Arial"/>
          <w:color w:val="000000" w:themeColor="text1"/>
          <w:sz w:val="22"/>
        </w:rPr>
        <w:t xml:space="preserve">De las normas citadas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000007A0" w14:textId="77777777" w:rsidR="00186979" w:rsidRPr="00DA57BA" w:rsidRDefault="00186979" w:rsidP="00186979">
      <w:pPr>
        <w:pStyle w:val="Sinespaciado"/>
        <w:spacing w:line="276" w:lineRule="auto"/>
        <w:jc w:val="both"/>
        <w:rPr>
          <w:rFonts w:ascii="Verdana" w:hAnsi="Verdana" w:cs="Arial"/>
          <w:color w:val="000000" w:themeColor="text1"/>
        </w:rPr>
      </w:pPr>
    </w:p>
    <w:p w14:paraId="1C313F92" w14:textId="77777777" w:rsidR="00186979" w:rsidRPr="0087082A" w:rsidRDefault="00186979" w:rsidP="00186979">
      <w:pPr>
        <w:pStyle w:val="Sinespaciado"/>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“2. El objeto a contratar, con sus especificaciones, las autorizaciones, permisos y licencias requeridos para su ejecución, y cuando el contrato incluye diseño y construcción, los documentos técnicos para el desarrollo del proyecto.</w:t>
      </w:r>
    </w:p>
    <w:p w14:paraId="28609198" w14:textId="77777777" w:rsidR="00186979" w:rsidRPr="0087082A" w:rsidRDefault="00186979" w:rsidP="00186979">
      <w:pPr>
        <w:pStyle w:val="Sinespaciado"/>
        <w:spacing w:after="120"/>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w:t>
      </w:r>
    </w:p>
    <w:p w14:paraId="1BBE3569" w14:textId="77777777" w:rsidR="00186979" w:rsidRPr="0087082A" w:rsidRDefault="00186979" w:rsidP="00186979">
      <w:pPr>
        <w:pStyle w:val="Sinespaciado"/>
        <w:ind w:left="709" w:right="709"/>
        <w:jc w:val="both"/>
        <w:rPr>
          <w:rFonts w:ascii="Verdana" w:hAnsi="Verdana" w:cs="Arial"/>
          <w:color w:val="000000" w:themeColor="text1"/>
          <w:sz w:val="20"/>
          <w:szCs w:val="20"/>
        </w:rPr>
      </w:pPr>
      <w:r w:rsidRPr="0087082A">
        <w:rPr>
          <w:rFonts w:ascii="Verdana" w:hAnsi="Verdana" w:cs="Arial"/>
          <w:color w:val="000000" w:themeColor="text1"/>
          <w:sz w:val="20"/>
          <w:szCs w:val="20"/>
        </w:rPr>
        <w:t xml:space="preserve">4. El valor estimado del contrato y la justificación del mismo. </w:t>
      </w:r>
      <w:r w:rsidRPr="0087082A">
        <w:rPr>
          <w:rFonts w:ascii="Verdana" w:hAnsi="Verdana" w:cs="Arial"/>
          <w:i/>
          <w:iCs/>
          <w:color w:val="000000" w:themeColor="text1"/>
          <w:sz w:val="20"/>
          <w:szCs w:val="20"/>
        </w:rPr>
        <w:t>Cuando el valor del contrato esté determinado por precios unitarios, la Entidad Estatal debe incluir la forma como los calculó y soportar sus cálculos presupuestales en la estimación de aquellos</w:t>
      </w:r>
      <w:r w:rsidRPr="0087082A">
        <w:rPr>
          <w:rFonts w:ascii="Verdana" w:hAnsi="Verdana" w:cs="Arial"/>
          <w:color w:val="000000" w:themeColor="text1"/>
          <w:sz w:val="20"/>
          <w:szCs w:val="20"/>
        </w:rPr>
        <w:t xml:space="preserve">. Si el contrato es de concesión, la Entidad Estatal no debe publicar el modelo financiero utilizado en su estructuración”. (Énfasis fuera de texto)    </w:t>
      </w:r>
    </w:p>
    <w:p w14:paraId="6B13B1AB" w14:textId="77777777" w:rsidR="00186979" w:rsidRPr="00DA57BA" w:rsidRDefault="00186979" w:rsidP="00186979">
      <w:pPr>
        <w:spacing w:after="0" w:line="276" w:lineRule="auto"/>
        <w:ind w:firstLine="709"/>
        <w:jc w:val="both"/>
        <w:rPr>
          <w:rFonts w:ascii="Verdana" w:eastAsia="Calibri" w:hAnsi="Verdana" w:cs="Arial"/>
          <w:bCs/>
          <w:color w:val="000000" w:themeColor="text1"/>
          <w:lang w:val="es-ES_tradnl"/>
        </w:rPr>
      </w:pPr>
    </w:p>
    <w:p w14:paraId="6D93D39F" w14:textId="77777777" w:rsidR="00186979" w:rsidRDefault="00186979" w:rsidP="00186979">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Respecto al valor estimado, la norma citada no establece de manera expresa que se deban incluir en los estudios y documentos previos la forma y el soporte de los cálculos en los contratos por precio global. </w:t>
      </w:r>
      <w:r w:rsidRPr="006C6FE3">
        <w:rPr>
          <w:rFonts w:ascii="Verdana" w:eastAsia="Calibri" w:hAnsi="Verdana" w:cs="Arial"/>
          <w:color w:val="000000" w:themeColor="text1"/>
          <w:lang w:val="es-ES_tradnl"/>
        </w:rPr>
        <w:t xml:space="preserve">No obstante, las Entidades sí están obligadas a presentar el valor de la contratación y la justificación </w:t>
      </w:r>
      <w:r w:rsidRPr="006C6FE3">
        <w:rPr>
          <w:rFonts w:ascii="Verdana" w:eastAsia="Calibri" w:hAnsi="Verdana" w:cs="Arial"/>
          <w:bCs/>
          <w:color w:val="000000" w:themeColor="text1"/>
          <w:lang w:val="es-ES_tradnl"/>
        </w:rPr>
        <w:t>de este</w:t>
      </w:r>
      <w:r w:rsidRPr="006C6FE3">
        <w:rPr>
          <w:rFonts w:ascii="Verdana" w:eastAsia="Calibri" w:hAnsi="Verdana" w:cs="Arial"/>
          <w:color w:val="000000" w:themeColor="text1"/>
          <w:lang w:val="es-ES_tradnl"/>
        </w:rPr>
        <w:t>, para lo cual deberá informar los factores relevantes y metodología para la determinación del valor del contrato</w:t>
      </w:r>
      <w:r w:rsidRPr="00464890">
        <w:rPr>
          <w:rFonts w:ascii="Verdana" w:eastAsia="Calibri" w:hAnsi="Verdana" w:cs="Arial"/>
          <w:bCs/>
          <w:color w:val="000000" w:themeColor="text1"/>
          <w:lang w:val="es-ES_tradnl"/>
        </w:rPr>
        <w:t>, obligación predicable respecto de toda la contratación –no sometida a reserva–, de la que no están exentos los contratos con precio global.</w:t>
      </w:r>
      <w:r>
        <w:rPr>
          <w:rFonts w:ascii="Verdana" w:eastAsia="Calibri" w:hAnsi="Verdana" w:cs="Arial"/>
          <w:bCs/>
          <w:color w:val="000000" w:themeColor="text1"/>
          <w:lang w:val="es-ES_tradnl"/>
        </w:rPr>
        <w:t xml:space="preserve"> </w:t>
      </w:r>
    </w:p>
    <w:p w14:paraId="5B2A672E" w14:textId="77777777" w:rsidR="00186979" w:rsidRDefault="00186979" w:rsidP="00186979">
      <w:pPr>
        <w:spacing w:after="120" w:line="276" w:lineRule="auto"/>
        <w:ind w:firstLine="709"/>
        <w:jc w:val="both"/>
        <w:rPr>
          <w:rFonts w:ascii="Verdana" w:hAnsi="Verdana" w:cs="Arial"/>
          <w:lang w:val="es-ES" w:eastAsia="es-ES"/>
        </w:rPr>
      </w:pPr>
      <w:r>
        <w:rPr>
          <w:rFonts w:ascii="Verdana" w:eastAsia="Calibri" w:hAnsi="Verdana" w:cs="Arial"/>
          <w:bCs/>
          <w:color w:val="000000" w:themeColor="text1"/>
          <w:lang w:val="es-ES_tradnl"/>
        </w:rPr>
        <w:t xml:space="preserve">La exigencia existe para los contratos a precios unitarios, </w:t>
      </w:r>
      <w:r>
        <w:rPr>
          <w:rFonts w:ascii="Verdana" w:hAnsi="Verdana" w:cs="Arial"/>
          <w:lang w:val="es-ES" w:eastAsia="es-ES"/>
        </w:rPr>
        <w:t>pues lo usual es discriminar</w:t>
      </w:r>
      <w:r w:rsidRPr="00104C20">
        <w:rPr>
          <w:rFonts w:ascii="Verdana" w:hAnsi="Verdana" w:cs="Arial"/>
          <w:lang w:val="es-ES" w:eastAsia="es-ES"/>
        </w:rPr>
        <w:t xml:space="preserve">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w:t>
      </w:r>
      <w:r>
        <w:rPr>
          <w:rFonts w:ascii="Verdana" w:hAnsi="Verdana" w:cs="Arial"/>
          <w:lang w:val="es-ES" w:eastAsia="es-ES"/>
        </w:rPr>
        <w:t xml:space="preserve">A diferencia de los precios globales que </w:t>
      </w:r>
      <w:r>
        <w:rPr>
          <w:rFonts w:ascii="Verdana" w:hAnsi="Verdana" w:cs="Arial"/>
          <w:lang w:val="es-ES" w:eastAsia="es-ES"/>
        </w:rPr>
        <w:lastRenderedPageBreak/>
        <w:t>carecen de esta desagregación</w:t>
      </w:r>
      <w:r w:rsidRPr="00104C20">
        <w:rPr>
          <w:rFonts w:ascii="Verdana" w:hAnsi="Verdana" w:cs="Arial"/>
          <w:lang w:val="es-ES" w:eastAsia="es-ES"/>
        </w:rPr>
        <w:t xml:space="preserve">,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04C549A0" w14:textId="77777777" w:rsidR="00186979" w:rsidRDefault="00186979" w:rsidP="00186979">
      <w:pPr>
        <w:spacing w:after="0" w:line="276" w:lineRule="auto"/>
        <w:ind w:firstLine="709"/>
        <w:jc w:val="both"/>
        <w:rPr>
          <w:rFonts w:ascii="Verdana" w:eastAsia="Calibri" w:hAnsi="Verdana" w:cs="Arial"/>
          <w:bCs/>
          <w:color w:val="000000" w:themeColor="text1"/>
          <w:lang w:val="es-ES_tradnl"/>
        </w:rPr>
      </w:pPr>
      <w:r>
        <w:rPr>
          <w:rFonts w:ascii="Verdana" w:hAnsi="Verdana" w:cs="Arial"/>
          <w:lang w:val="es-ES" w:eastAsia="es-ES"/>
        </w:rPr>
        <w:t xml:space="preserve">Asimismo, para los contratos que se ejecutan a precios unitarios, es posible determinar o no las cantidades requeridas para el cumplimiento de objeto contractual. Si éstas son indeterminadas, el valor total del contrato será el resultado multiplicar </w:t>
      </w:r>
      <w:r w:rsidRPr="00042EA7">
        <w:rPr>
          <w:rFonts w:ascii="Verdana" w:eastAsia="Calibri" w:hAnsi="Verdana" w:cs="Arial"/>
          <w:bCs/>
          <w:color w:val="000000" w:themeColor="text1"/>
          <w:lang w:val="es-ES_tradnl"/>
        </w:rPr>
        <w:t>las cantidades ejecutadas por el precio de cada una de ellas</w:t>
      </w:r>
      <w:r>
        <w:rPr>
          <w:rFonts w:ascii="Verdana" w:eastAsia="Calibri" w:hAnsi="Verdana" w:cs="Arial"/>
          <w:bCs/>
          <w:color w:val="000000" w:themeColor="text1"/>
          <w:lang w:val="es-ES_tradnl"/>
        </w:rPr>
        <w:t>. Este sistema puede ser riesgoso para la entidad, porque genera incentivos en el contratista para ejecutar más unidades aunque no sean necesarias: de allí la importancia del cumplimiento de las obligaciones de control y vigilancia a través de la supervisión o la interventoría, según corresponda. Como medida de mitigación, también es posible determinar las cantidades necesarias, la cual será referencial y surtirá efectos en función de lo que hayan pactado las partes. Por ello, en los contratos a precios unitarios:</w:t>
      </w:r>
    </w:p>
    <w:p w14:paraId="1FA6208C" w14:textId="77777777" w:rsidR="00186979" w:rsidRDefault="00186979" w:rsidP="00186979">
      <w:pPr>
        <w:spacing w:after="0" w:line="276" w:lineRule="auto"/>
        <w:ind w:firstLine="709"/>
        <w:jc w:val="both"/>
        <w:rPr>
          <w:rFonts w:ascii="Verdana" w:eastAsia="Calibri" w:hAnsi="Verdana" w:cs="Arial"/>
          <w:bCs/>
          <w:color w:val="000000" w:themeColor="text1"/>
          <w:lang w:val="es-ES_tradnl"/>
        </w:rPr>
      </w:pPr>
    </w:p>
    <w:p w14:paraId="433B4EC9" w14:textId="77777777" w:rsidR="00186979" w:rsidRPr="00A77B8C" w:rsidRDefault="00186979" w:rsidP="00186979">
      <w:pPr>
        <w:spacing w:after="120" w:line="240" w:lineRule="auto"/>
        <w:ind w:left="709" w:right="709"/>
        <w:jc w:val="both"/>
        <w:rPr>
          <w:rFonts w:ascii="Verdana" w:eastAsia="Calibri" w:hAnsi="Verdana" w:cs="Arial"/>
          <w:bCs/>
          <w:color w:val="000000" w:themeColor="text1"/>
          <w:sz w:val="20"/>
          <w:szCs w:val="20"/>
          <w:lang w:val="es-ES_tradnl"/>
        </w:rPr>
      </w:pPr>
      <w:r w:rsidRPr="00A77B8C">
        <w:rPr>
          <w:rFonts w:ascii="Verdana" w:eastAsia="Calibri" w:hAnsi="Verdana" w:cs="Arial"/>
          <w:bCs/>
          <w:color w:val="000000" w:themeColor="text1"/>
          <w:sz w:val="20"/>
          <w:szCs w:val="20"/>
          <w:lang w:val="es-ES_tradnl"/>
        </w:rPr>
        <w:t>“[…] es usual pactar […] una cantidad ‘estimada’ o ‘referencial’ del volumen total que se proyecta ejecutar, de manera que tanto el contratista como el propietario tengan una referencia del precio total que supuestamente se ejecutará, y de esta forma el contratista pueda organizar mejor sus recursos humanos y equipos de trabajo, en cantidad suficiente para poder lograr el volumen estimado en el plazo contratado. Por su parte, con dicha estimación, el propietario tendrá una referencia de las cantidades que deberá desembolsar a causa de los trabajos.</w:t>
      </w:r>
    </w:p>
    <w:p w14:paraId="554A4A23" w14:textId="77777777" w:rsidR="00186979" w:rsidRPr="00A77B8C" w:rsidRDefault="00186979" w:rsidP="00186979">
      <w:pPr>
        <w:spacing w:after="120" w:line="240" w:lineRule="auto"/>
        <w:ind w:left="709" w:right="709"/>
        <w:jc w:val="both"/>
        <w:rPr>
          <w:rFonts w:ascii="Verdana" w:eastAsia="Calibri" w:hAnsi="Verdana" w:cs="Arial"/>
          <w:bCs/>
          <w:color w:val="000000" w:themeColor="text1"/>
          <w:sz w:val="20"/>
          <w:szCs w:val="20"/>
          <w:lang w:val="es-ES_tradnl"/>
        </w:rPr>
      </w:pPr>
      <w:r w:rsidRPr="00A77B8C">
        <w:rPr>
          <w:rFonts w:ascii="Verdana" w:eastAsia="Calibri" w:hAnsi="Verdana" w:cs="Arial"/>
          <w:bCs/>
          <w:color w:val="000000" w:themeColor="text1"/>
          <w:sz w:val="20"/>
          <w:szCs w:val="20"/>
          <w:lang w:val="es-ES_tradnl"/>
        </w:rPr>
        <w:t>Sin embargo, dicha estimación de cantidades no pasa de ser una mera referencia organizacional y presupuestaria, pues en definitiva el propietario deberá pagar al contratista la totalidad de las tareas y volúmenes realmente ejecutados, sea que éstos sean superiores o menores a las referencias iniciales entregadas.</w:t>
      </w:r>
    </w:p>
    <w:p w14:paraId="1E0B07BE" w14:textId="77777777" w:rsidR="00186979" w:rsidRDefault="00186979" w:rsidP="00186979">
      <w:pPr>
        <w:spacing w:after="0" w:line="240" w:lineRule="auto"/>
        <w:ind w:left="709" w:right="709"/>
        <w:jc w:val="both"/>
        <w:rPr>
          <w:rFonts w:ascii="Verdana" w:eastAsia="Calibri" w:hAnsi="Verdana" w:cs="Arial"/>
          <w:bCs/>
          <w:color w:val="000000" w:themeColor="text1"/>
          <w:lang w:val="es-ES_tradnl"/>
        </w:rPr>
      </w:pPr>
      <w:r w:rsidRPr="00A77B8C">
        <w:rPr>
          <w:rFonts w:ascii="Verdana" w:eastAsia="Calibri" w:hAnsi="Verdana" w:cs="Arial"/>
          <w:bCs/>
          <w:color w:val="000000" w:themeColor="text1"/>
          <w:sz w:val="20"/>
          <w:szCs w:val="20"/>
          <w:lang w:val="es-ES_tradnl"/>
        </w:rPr>
        <w:t xml:space="preserve">Ahora bien, es posible pactar, y de hecho ocurre a menudo en este tipo de contratos, que las referencias de cantidades se utilicen para aplicar un mecanismo de término anticipado del contrato, o al menos de paralización de obras, en caso que la cantidad real ejecutada por el contratista, supere, por ejemplo, un veinte por ciento de la cantidad estimada o referencial, caso en el cual el propietario - y también muchas veces el contratista - tendrá el derecho a terminar el contrato o bien a ordenar su suspensión, en tanto se convienen las condiciones en las cuales se ejecutarán las labores siguientes. Dichos mecanismos de ajuste se establecen </w:t>
      </w:r>
      <w:r w:rsidRPr="00A77B8C">
        <w:rPr>
          <w:rFonts w:ascii="Verdana" w:eastAsia="Calibri" w:hAnsi="Verdana" w:cs="Arial"/>
          <w:bCs/>
          <w:color w:val="000000" w:themeColor="text1"/>
          <w:sz w:val="20"/>
          <w:szCs w:val="20"/>
          <w:lang w:val="es-ES_tradnl"/>
        </w:rPr>
        <w:lastRenderedPageBreak/>
        <w:t>precisamente para prever deficiencias en las estimaciones o estudios realizados antes de ejecutar las obras”</w:t>
      </w:r>
      <w:r>
        <w:rPr>
          <w:rStyle w:val="Refdenotaalpie"/>
          <w:rFonts w:ascii="Verdana" w:eastAsia="Calibri" w:hAnsi="Verdana" w:cs="Arial"/>
          <w:bCs/>
          <w:color w:val="000000" w:themeColor="text1"/>
          <w:sz w:val="20"/>
          <w:szCs w:val="20"/>
          <w:lang w:val="es-ES_tradnl"/>
        </w:rPr>
        <w:footnoteReference w:id="5"/>
      </w:r>
      <w:r w:rsidRPr="00A77B8C">
        <w:rPr>
          <w:rFonts w:ascii="Verdana" w:eastAsia="Calibri" w:hAnsi="Verdana" w:cs="Arial"/>
          <w:bCs/>
          <w:color w:val="000000" w:themeColor="text1"/>
          <w:sz w:val="20"/>
          <w:szCs w:val="20"/>
          <w:lang w:val="es-ES_tradnl"/>
        </w:rPr>
        <w:t xml:space="preserve">. </w:t>
      </w:r>
    </w:p>
    <w:p w14:paraId="2834D480" w14:textId="77777777" w:rsidR="00186979" w:rsidRPr="00D400D1" w:rsidRDefault="00186979" w:rsidP="00186979">
      <w:pPr>
        <w:spacing w:after="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  </w:t>
      </w:r>
    </w:p>
    <w:p w14:paraId="0DC8E920" w14:textId="77777777" w:rsidR="00186979" w:rsidRPr="00042EA7" w:rsidRDefault="00186979" w:rsidP="00186979">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lang w:val="es-ES_tradnl"/>
        </w:rPr>
      </w:pPr>
      <w:r>
        <w:rPr>
          <w:rFonts w:ascii="Verdana" w:eastAsia="Calibri" w:hAnsi="Verdana" w:cs="Arial"/>
          <w:bCs/>
          <w:color w:val="000000" w:themeColor="text1"/>
          <w:sz w:val="22"/>
          <w:szCs w:val="22"/>
          <w:lang w:val="es-ES_tradnl"/>
        </w:rPr>
        <w:tab/>
        <w:t xml:space="preserve">En todo caso, el hecho de que estas cantidades de obra tengan carácter estimativo, no convierte un contrato a precios unitarios en uno a precio global. Mientras en el primero el precio se define por cada ítem que conforma el objeto, en el segundo existe un único valor total para la ejecución de las obligaciones. De esta manera, si en un contrato a precios unitarios se termina tanto el monto por unidad de medida como la cantidad que el constructor ejecutará, la doctrina señala que “[…] </w:t>
      </w:r>
      <w:r w:rsidRPr="00630117">
        <w:rPr>
          <w:rFonts w:ascii="Verdana" w:eastAsia="Calibri" w:hAnsi="Verdana" w:cs="Arial"/>
          <w:bCs/>
          <w:color w:val="000000" w:themeColor="text1"/>
          <w:sz w:val="22"/>
          <w:szCs w:val="22"/>
          <w:lang w:val="es-ES_tradnl"/>
        </w:rPr>
        <w:t>a pesar de tener las partes anticipadamente una</w:t>
      </w:r>
      <w:r>
        <w:rPr>
          <w:rFonts w:ascii="Verdana" w:eastAsia="Calibri" w:hAnsi="Verdana" w:cs="Arial"/>
          <w:bCs/>
          <w:color w:val="000000" w:themeColor="text1"/>
          <w:sz w:val="22"/>
          <w:szCs w:val="22"/>
          <w:lang w:val="es-ES_tradnl"/>
        </w:rPr>
        <w:t xml:space="preserve"> </w:t>
      </w:r>
      <w:r w:rsidRPr="00630117">
        <w:rPr>
          <w:rFonts w:ascii="Verdana" w:eastAsia="Calibri" w:hAnsi="Verdana" w:cs="Arial"/>
          <w:bCs/>
          <w:color w:val="000000" w:themeColor="text1"/>
          <w:sz w:val="22"/>
          <w:szCs w:val="22"/>
          <w:lang w:val="es-ES_tradnl"/>
        </w:rPr>
        <w:t>noción del precio final, esto no implicaría que se trate de una modalidad</w:t>
      </w:r>
      <w:r>
        <w:rPr>
          <w:rFonts w:ascii="Verdana" w:eastAsia="Calibri" w:hAnsi="Verdana" w:cs="Arial"/>
          <w:bCs/>
          <w:color w:val="000000" w:themeColor="text1"/>
          <w:sz w:val="22"/>
          <w:szCs w:val="22"/>
          <w:lang w:val="es-ES_tradnl"/>
        </w:rPr>
        <w:t xml:space="preserve"> </w:t>
      </w:r>
      <w:r w:rsidRPr="00630117">
        <w:rPr>
          <w:rFonts w:ascii="Verdana" w:eastAsia="Calibri" w:hAnsi="Verdana" w:cs="Arial"/>
          <w:bCs/>
          <w:color w:val="000000" w:themeColor="text1"/>
          <w:sz w:val="22"/>
          <w:szCs w:val="22"/>
          <w:lang w:val="es-ES_tradnl"/>
        </w:rPr>
        <w:t>de sistema de precio alzado, pues aquella estimación se realiza a modo</w:t>
      </w:r>
      <w:r>
        <w:rPr>
          <w:rFonts w:ascii="Verdana" w:eastAsia="Calibri" w:hAnsi="Verdana" w:cs="Arial"/>
          <w:bCs/>
          <w:color w:val="000000" w:themeColor="text1"/>
          <w:sz w:val="22"/>
          <w:szCs w:val="22"/>
          <w:lang w:val="es-ES_tradnl"/>
        </w:rPr>
        <w:t xml:space="preserve"> </w:t>
      </w:r>
      <w:r w:rsidRPr="00630117">
        <w:rPr>
          <w:rFonts w:ascii="Verdana" w:eastAsia="Calibri" w:hAnsi="Verdana" w:cs="Arial"/>
          <w:bCs/>
          <w:color w:val="000000" w:themeColor="text1"/>
          <w:sz w:val="22"/>
          <w:szCs w:val="22"/>
          <w:lang w:val="es-ES_tradnl"/>
        </w:rPr>
        <w:t>de referencia, ya que sólo se han determinado los precios de los ítems</w:t>
      </w:r>
      <w:r>
        <w:rPr>
          <w:rFonts w:ascii="Verdana" w:eastAsia="Calibri" w:hAnsi="Verdana" w:cs="Arial"/>
          <w:bCs/>
          <w:color w:val="000000" w:themeColor="text1"/>
          <w:sz w:val="22"/>
          <w:szCs w:val="22"/>
          <w:lang w:val="es-ES_tradnl"/>
        </w:rPr>
        <w:t xml:space="preserve"> </w:t>
      </w:r>
      <w:r w:rsidRPr="00630117">
        <w:rPr>
          <w:rFonts w:ascii="Verdana" w:eastAsia="Calibri" w:hAnsi="Verdana" w:cs="Arial"/>
          <w:bCs/>
          <w:color w:val="000000" w:themeColor="text1"/>
          <w:sz w:val="22"/>
          <w:szCs w:val="22"/>
          <w:lang w:val="es-ES_tradnl"/>
        </w:rPr>
        <w:t>específicos a ejecutar y el valor total de la construcción de la obra</w:t>
      </w:r>
      <w:r>
        <w:rPr>
          <w:rFonts w:ascii="Verdana" w:eastAsia="Calibri" w:hAnsi="Verdana" w:cs="Arial"/>
          <w:bCs/>
          <w:color w:val="000000" w:themeColor="text1"/>
          <w:sz w:val="22"/>
          <w:szCs w:val="22"/>
          <w:lang w:val="es-ES_tradnl"/>
        </w:rPr>
        <w:t xml:space="preserve"> </w:t>
      </w:r>
      <w:r w:rsidRPr="00630117">
        <w:rPr>
          <w:rFonts w:ascii="Verdana" w:eastAsia="Calibri" w:hAnsi="Verdana" w:cs="Arial"/>
          <w:bCs/>
          <w:color w:val="000000" w:themeColor="text1"/>
          <w:sz w:val="22"/>
          <w:szCs w:val="22"/>
          <w:lang w:val="es-ES_tradnl"/>
        </w:rPr>
        <w:t>sólo podrá saberse a ciencia cierta, una vez concluidas</w:t>
      </w:r>
      <w:r>
        <w:rPr>
          <w:rFonts w:ascii="Verdana" w:eastAsia="Calibri" w:hAnsi="Verdana" w:cs="Arial"/>
          <w:bCs/>
          <w:color w:val="000000" w:themeColor="text1"/>
          <w:sz w:val="22"/>
          <w:szCs w:val="22"/>
          <w:lang w:val="es-ES_tradnl"/>
        </w:rPr>
        <w:t xml:space="preserve"> […]”</w:t>
      </w:r>
      <w:r>
        <w:rPr>
          <w:rStyle w:val="Refdenotaalpie"/>
          <w:rFonts w:ascii="Verdana" w:eastAsia="Calibri" w:hAnsi="Verdana" w:cs="Arial"/>
          <w:bCs/>
          <w:color w:val="000000" w:themeColor="text1"/>
          <w:sz w:val="22"/>
          <w:szCs w:val="22"/>
          <w:lang w:val="es-ES_tradnl"/>
        </w:rPr>
        <w:footnoteReference w:id="6"/>
      </w:r>
      <w:r>
        <w:rPr>
          <w:rFonts w:ascii="Verdana" w:eastAsia="Calibri" w:hAnsi="Verdana" w:cs="Arial"/>
          <w:bCs/>
          <w:color w:val="000000" w:themeColor="text1"/>
          <w:sz w:val="22"/>
          <w:szCs w:val="22"/>
          <w:lang w:val="es-ES_tradnl"/>
        </w:rPr>
        <w:t>.</w:t>
      </w:r>
    </w:p>
    <w:p w14:paraId="6FA4340F" w14:textId="77777777" w:rsidR="00186979" w:rsidRPr="00F4158D" w:rsidRDefault="00186979" w:rsidP="00186979">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96E0F93" w14:textId="77777777" w:rsidR="00186979" w:rsidRPr="00F4158D" w:rsidRDefault="00186979" w:rsidP="00186979">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F4158D">
        <w:rPr>
          <w:rFonts w:ascii="Verdana" w:eastAsia="Calibri" w:hAnsi="Verdana" w:cs="Arial"/>
          <w:bCs/>
          <w:color w:val="000000" w:themeColor="text1"/>
        </w:rPr>
        <w:lastRenderedPageBreak/>
        <w:t>gestión contractual, sin que sea atribución de Colombia Compra Eficiente validar sus actuaciones.</w:t>
      </w:r>
    </w:p>
    <w:p w14:paraId="5E583213" w14:textId="77777777" w:rsidR="00186979" w:rsidRPr="00F4158D" w:rsidRDefault="00186979" w:rsidP="00186979">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7885DB2A" w14:textId="77777777" w:rsidR="00186979" w:rsidRPr="00593A5F" w:rsidRDefault="00186979" w:rsidP="001869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235D969" w14:textId="77777777" w:rsidR="00186979" w:rsidRPr="00593A5F" w:rsidRDefault="00186979" w:rsidP="0018697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6979" w:rsidRPr="002407CE" w14:paraId="0B42B6F6" w14:textId="77777777" w:rsidTr="00AA71B9">
        <w:trPr>
          <w:trHeight w:val="870"/>
          <w:jc w:val="center"/>
        </w:trPr>
        <w:tc>
          <w:tcPr>
            <w:tcW w:w="8647" w:type="dxa"/>
          </w:tcPr>
          <w:p w14:paraId="26E2746D" w14:textId="77777777" w:rsidR="00186979" w:rsidRDefault="00186979" w:rsidP="00AA71B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25.</w:t>
            </w:r>
          </w:p>
          <w:p w14:paraId="589946EC" w14:textId="77777777" w:rsidR="00186979" w:rsidRPr="005C4C54" w:rsidRDefault="00186979" w:rsidP="00AA71B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76052A">
              <w:rPr>
                <w:rFonts w:ascii="Verdana" w:hAnsi="Verdana" w:cs="Arial"/>
                <w:bCs/>
                <w:color w:val="000000" w:themeColor="text1"/>
              </w:rPr>
              <w:t>2.2.1.1.2.1.1</w:t>
            </w:r>
            <w:r>
              <w:rPr>
                <w:rFonts w:ascii="Verdana" w:hAnsi="Verdana" w:cs="Arial"/>
                <w:bCs/>
                <w:color w:val="000000" w:themeColor="text1"/>
              </w:rPr>
              <w:t>.</w:t>
            </w:r>
            <w:r>
              <w:rPr>
                <w:rFonts w:ascii="Verdana" w:hAnsi="Verdana" w:cs="Arial"/>
              </w:rPr>
              <w:t xml:space="preserve"> </w:t>
            </w:r>
          </w:p>
        </w:tc>
      </w:tr>
    </w:tbl>
    <w:p w14:paraId="1971AC13" w14:textId="77777777" w:rsidR="00186979" w:rsidRPr="002407CE" w:rsidRDefault="00186979" w:rsidP="00186979">
      <w:pPr>
        <w:widowControl w:val="0"/>
        <w:autoSpaceDE w:val="0"/>
        <w:autoSpaceDN w:val="0"/>
        <w:spacing w:after="0" w:line="276" w:lineRule="auto"/>
        <w:jc w:val="both"/>
        <w:rPr>
          <w:rFonts w:ascii="Verdana" w:hAnsi="Verdana" w:cs="Arial"/>
        </w:rPr>
      </w:pPr>
    </w:p>
    <w:p w14:paraId="38E30AED" w14:textId="77777777" w:rsidR="00186979" w:rsidRPr="00593A5F" w:rsidRDefault="00186979" w:rsidP="001869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926FE83" w14:textId="77777777" w:rsidR="00186979" w:rsidRPr="00593A5F" w:rsidRDefault="00186979" w:rsidP="00186979">
      <w:pPr>
        <w:widowControl w:val="0"/>
        <w:autoSpaceDE w:val="0"/>
        <w:autoSpaceDN w:val="0"/>
        <w:spacing w:after="0" w:line="276" w:lineRule="auto"/>
        <w:jc w:val="both"/>
        <w:rPr>
          <w:rFonts w:ascii="Verdana" w:hAnsi="Verdana" w:cs="Arial"/>
        </w:rPr>
      </w:pPr>
    </w:p>
    <w:p w14:paraId="67FECE50" w14:textId="77777777" w:rsidR="00186979" w:rsidRPr="00ED0098" w:rsidRDefault="00186979" w:rsidP="00186979">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Esta Subdirección</w:t>
      </w:r>
      <w:r w:rsidRPr="00D85592">
        <w:rPr>
          <w:rFonts w:ascii="Verdana" w:hAnsi="Verdana" w:cs="Arial"/>
          <w:shd w:val="clear" w:color="auto" w:fill="FFFFFF"/>
        </w:rPr>
        <w:t xml:space="preserve"> se ha pronunciado en varias ocasiones sobre </w:t>
      </w:r>
      <w:r>
        <w:rPr>
          <w:rFonts w:ascii="Verdana" w:hAnsi="Verdana" w:cs="Arial"/>
          <w:shd w:val="clear" w:color="auto" w:fill="FFFFFF"/>
        </w:rPr>
        <w:t>la determinación del precio en los contratos estatales</w:t>
      </w:r>
      <w:r w:rsidRPr="00D85592">
        <w:rPr>
          <w:rFonts w:ascii="Verdana" w:hAnsi="Verdana" w:cs="Arial"/>
          <w:shd w:val="clear" w:color="auto" w:fill="FFFFFF"/>
        </w:rPr>
        <w:t xml:space="preserve">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w:t>
      </w:r>
      <w:r>
        <w:rPr>
          <w:rFonts w:ascii="Verdana" w:hAnsi="Verdana" w:cs="Arial"/>
          <w:shd w:val="clear" w:color="auto" w:fill="FFFFFF"/>
        </w:rPr>
        <w:t>C-</w:t>
      </w:r>
      <w:r w:rsidRPr="00D85592">
        <w:rPr>
          <w:rFonts w:ascii="Verdana" w:hAnsi="Verdana" w:cs="Arial"/>
          <w:shd w:val="clear" w:color="auto" w:fill="FFFFFF"/>
        </w:rPr>
        <w:t>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y C-455 del 18 de septiembre de 2024, C-248 del 3 de abril de 2025</w:t>
      </w:r>
      <w:r>
        <w:rPr>
          <w:rFonts w:ascii="Verdana" w:hAnsi="Verdana" w:cs="Arial"/>
          <w:shd w:val="clear" w:color="auto" w:fill="FFFFFF"/>
        </w:rPr>
        <w:t>,</w:t>
      </w:r>
      <w:r w:rsidRPr="00D85592">
        <w:rPr>
          <w:rFonts w:ascii="Verdana" w:hAnsi="Verdana" w:cs="Arial"/>
          <w:shd w:val="clear" w:color="auto" w:fill="FFFFFF"/>
        </w:rPr>
        <w:t xml:space="preserve"> C-460 del 18 de junio de 2025</w:t>
      </w:r>
      <w:r>
        <w:rPr>
          <w:rFonts w:ascii="Verdana" w:hAnsi="Verdana" w:cs="Arial"/>
          <w:shd w:val="clear" w:color="auto" w:fill="FFFFFF"/>
        </w:rPr>
        <w:t>, C-1797 del 16 de diciembre de 2025 y C-1613 de 22 de diciembre de 2025</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53DD477" w14:textId="77777777" w:rsidR="00186979" w:rsidRPr="00096788" w:rsidRDefault="00186979" w:rsidP="00186979">
      <w:pPr>
        <w:widowControl w:val="0"/>
        <w:autoSpaceDE w:val="0"/>
        <w:autoSpaceDN w:val="0"/>
        <w:spacing w:after="0" w:line="276" w:lineRule="auto"/>
        <w:jc w:val="both"/>
        <w:rPr>
          <w:rFonts w:ascii="Verdana" w:hAnsi="Verdana" w:cs="Arial"/>
          <w:color w:val="000000" w:themeColor="text1"/>
          <w:shd w:val="clear" w:color="auto" w:fill="FFFFFF"/>
        </w:rPr>
      </w:pPr>
    </w:p>
    <w:p w14:paraId="200CA74F" w14:textId="77777777" w:rsidR="00186979" w:rsidRDefault="00186979" w:rsidP="00186979">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07B3F84" w14:textId="77777777" w:rsidR="00186979" w:rsidRDefault="00186979" w:rsidP="00186979">
      <w:pPr>
        <w:shd w:val="clear" w:color="auto" w:fill="FFFFFF"/>
        <w:spacing w:after="0" w:line="276" w:lineRule="auto"/>
        <w:jc w:val="both"/>
        <w:rPr>
          <w:rFonts w:ascii="Verdana" w:hAnsi="Verdana"/>
          <w:color w:val="000000"/>
          <w:u w:val="single"/>
        </w:rPr>
      </w:pPr>
    </w:p>
    <w:p w14:paraId="33407F2C" w14:textId="77777777" w:rsidR="00186979" w:rsidRPr="0038088D" w:rsidRDefault="00186979" w:rsidP="0018697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C5B9B1E" w14:textId="77777777" w:rsidR="00186979" w:rsidRPr="0038088D" w:rsidRDefault="00186979" w:rsidP="00186979">
      <w:pPr>
        <w:spacing w:after="0"/>
        <w:jc w:val="both"/>
        <w:rPr>
          <w:rFonts w:ascii="Verdana" w:hAnsi="Verdana"/>
        </w:rPr>
      </w:pPr>
    </w:p>
    <w:p w14:paraId="715AA975" w14:textId="77777777" w:rsidR="00186979" w:rsidRPr="0038088D" w:rsidRDefault="00186979" w:rsidP="00186979">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3E23EC5C" w14:textId="77777777" w:rsidR="00186979" w:rsidRPr="0038088D" w:rsidRDefault="00186979" w:rsidP="00186979">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32F4CD5" w14:textId="77777777" w:rsidR="00186979" w:rsidRPr="0038088D" w:rsidRDefault="00186979" w:rsidP="00186979">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48A33ED3" w14:textId="77777777" w:rsidR="00186979" w:rsidRPr="0038088D" w:rsidRDefault="00186979" w:rsidP="00186979">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39AE0E61" w14:textId="77777777" w:rsidR="00186979" w:rsidRPr="0038088D" w:rsidRDefault="00186979" w:rsidP="00186979">
      <w:pPr>
        <w:spacing w:after="0" w:line="240" w:lineRule="auto"/>
        <w:ind w:left="720"/>
        <w:jc w:val="both"/>
        <w:rPr>
          <w:rFonts w:ascii="Verdana" w:hAnsi="Verdana"/>
        </w:rPr>
      </w:pPr>
    </w:p>
    <w:p w14:paraId="656A7507" w14:textId="77777777" w:rsidR="00186979" w:rsidRPr="0038088D" w:rsidRDefault="00186979" w:rsidP="00186979">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0188CEC" w14:textId="77777777" w:rsidR="00186979" w:rsidRPr="0038088D" w:rsidRDefault="00186979" w:rsidP="00186979">
      <w:pPr>
        <w:spacing w:after="0" w:line="240" w:lineRule="auto"/>
        <w:rPr>
          <w:rFonts w:ascii="Verdana" w:hAnsi="Verdana"/>
        </w:rPr>
      </w:pPr>
    </w:p>
    <w:p w14:paraId="08E30B7C" w14:textId="77777777" w:rsidR="00186979" w:rsidRPr="0038088D" w:rsidRDefault="00186979" w:rsidP="00186979">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93C4E0C" w14:textId="77777777" w:rsidR="00186979" w:rsidRPr="00116940" w:rsidRDefault="00186979" w:rsidP="00186979">
      <w:pPr>
        <w:spacing w:after="0" w:line="240" w:lineRule="auto"/>
        <w:jc w:val="both"/>
        <w:rPr>
          <w:rFonts w:ascii="Verdana" w:hAnsi="Verdana"/>
        </w:rPr>
      </w:pPr>
    </w:p>
    <w:p w14:paraId="698AC619" w14:textId="77777777" w:rsidR="00186979" w:rsidRPr="00116940" w:rsidRDefault="00186979" w:rsidP="0018697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BDE9F93" w14:textId="77777777" w:rsidR="00186979" w:rsidRPr="00116940" w:rsidRDefault="00186979" w:rsidP="0018697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69C92DB" w14:textId="77777777" w:rsidR="00186979" w:rsidRPr="00E22E6E" w:rsidRDefault="00186979" w:rsidP="0018697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FBACE32" w14:textId="77777777" w:rsidR="00186979" w:rsidRPr="009C4035" w:rsidRDefault="00186979" w:rsidP="00186979">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C8550EB" w14:textId="77777777" w:rsidR="00186979" w:rsidRPr="00593A5F" w:rsidRDefault="00186979" w:rsidP="0018697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517E31D8" w14:textId="77777777" w:rsidR="00186979" w:rsidRPr="00593A5F" w:rsidRDefault="00186979" w:rsidP="00186979">
      <w:pPr>
        <w:widowControl w:val="0"/>
        <w:autoSpaceDE w:val="0"/>
        <w:autoSpaceDN w:val="0"/>
        <w:spacing w:after="0" w:line="276" w:lineRule="auto"/>
        <w:jc w:val="both"/>
        <w:rPr>
          <w:rFonts w:ascii="Verdana" w:hAnsi="Verdana" w:cs="Arial"/>
        </w:rPr>
      </w:pPr>
    </w:p>
    <w:p w14:paraId="714B09A7" w14:textId="77777777" w:rsidR="00186979" w:rsidRPr="00593A5F" w:rsidRDefault="00186979" w:rsidP="0018697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6BE31DE" w14:textId="621F03A9" w:rsidR="00186979" w:rsidRPr="00593A5F" w:rsidRDefault="00C33192" w:rsidP="00186979">
      <w:pPr>
        <w:spacing w:line="276" w:lineRule="auto"/>
        <w:jc w:val="center"/>
        <w:rPr>
          <w:rFonts w:ascii="Verdana" w:hAnsi="Verdana" w:cs="Arial"/>
          <w:color w:val="000000"/>
          <w:lang w:val="es-ES_tradnl" w:eastAsia="es-CO"/>
        </w:rPr>
      </w:pPr>
      <w:r>
        <w:rPr>
          <w:noProof/>
        </w:rPr>
        <w:drawing>
          <wp:inline distT="0" distB="0" distL="0" distR="0" wp14:anchorId="5ADC52FE" wp14:editId="5168C9F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86979" w:rsidRPr="00593A5F" w14:paraId="69930BCA" w14:textId="77777777" w:rsidTr="00AA71B9">
        <w:trPr>
          <w:trHeight w:val="315"/>
        </w:trPr>
        <w:tc>
          <w:tcPr>
            <w:tcW w:w="893" w:type="dxa"/>
            <w:vAlign w:val="center"/>
            <w:hideMark/>
          </w:tcPr>
          <w:p w14:paraId="298C0890" w14:textId="77777777" w:rsidR="00186979" w:rsidRPr="003751C7" w:rsidRDefault="00186979"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3139E6" w14:textId="77777777" w:rsidR="00186979" w:rsidRPr="00254A7A" w:rsidRDefault="00186979" w:rsidP="00AA71B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7873899" w14:textId="77777777" w:rsidR="00186979" w:rsidRPr="00254A7A" w:rsidRDefault="00186979" w:rsidP="00AA71B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86979" w:rsidRPr="00593A5F" w14:paraId="7DF8FF30" w14:textId="77777777" w:rsidTr="00AA71B9">
        <w:trPr>
          <w:trHeight w:val="330"/>
        </w:trPr>
        <w:tc>
          <w:tcPr>
            <w:tcW w:w="893" w:type="dxa"/>
            <w:vAlign w:val="center"/>
            <w:hideMark/>
          </w:tcPr>
          <w:p w14:paraId="493825CA" w14:textId="77777777" w:rsidR="00186979" w:rsidRPr="003751C7" w:rsidRDefault="00186979"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0E9552" w14:textId="77777777" w:rsidR="00186979" w:rsidRPr="001B6B73" w:rsidRDefault="00186979" w:rsidP="00AA71B9">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C832395" w14:textId="77777777" w:rsidR="00186979" w:rsidRPr="00254A7A" w:rsidRDefault="00186979" w:rsidP="00AA71B9">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186979" w:rsidRPr="00593A5F" w14:paraId="79203268" w14:textId="77777777" w:rsidTr="00AA71B9">
        <w:trPr>
          <w:trHeight w:val="300"/>
        </w:trPr>
        <w:tc>
          <w:tcPr>
            <w:tcW w:w="893" w:type="dxa"/>
            <w:vAlign w:val="center"/>
          </w:tcPr>
          <w:p w14:paraId="5462E293" w14:textId="77777777" w:rsidR="00186979" w:rsidRPr="003751C7" w:rsidRDefault="00186979"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9B1145" w14:textId="77777777" w:rsidR="00186979" w:rsidRPr="003751C7" w:rsidRDefault="00186979" w:rsidP="00AA71B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7F2652D" w14:textId="77777777" w:rsidR="00186979" w:rsidRPr="003751C7" w:rsidRDefault="00186979" w:rsidP="00AA71B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33AAF6C" w14:textId="77777777" w:rsidR="00186979" w:rsidRPr="00B36323" w:rsidRDefault="00186979" w:rsidP="00186979"/>
    <w:p w14:paraId="0F293BF4" w14:textId="4B8DD418" w:rsidR="00127233" w:rsidRPr="00A345A3" w:rsidRDefault="00127233" w:rsidP="00A345A3"/>
    <w:sectPr w:rsidR="00127233" w:rsidRPr="00A345A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730A9" w14:textId="77777777" w:rsidR="00D61B70" w:rsidRDefault="00D61B70" w:rsidP="004A1847">
      <w:pPr>
        <w:spacing w:after="0" w:line="240" w:lineRule="auto"/>
      </w:pPr>
      <w:r>
        <w:separator/>
      </w:r>
    </w:p>
  </w:endnote>
  <w:endnote w:type="continuationSeparator" w:id="0">
    <w:p w14:paraId="45821DCA" w14:textId="77777777" w:rsidR="00D61B70" w:rsidRDefault="00D61B70" w:rsidP="004A1847">
      <w:pPr>
        <w:spacing w:after="0" w:line="240" w:lineRule="auto"/>
      </w:pPr>
      <w:r>
        <w:continuationSeparator/>
      </w:r>
    </w:p>
  </w:endnote>
  <w:endnote w:type="continuationNotice" w:id="1">
    <w:p w14:paraId="236D4117" w14:textId="77777777" w:rsidR="00D61B70" w:rsidRDefault="00D61B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9ED69" w14:textId="77777777" w:rsidR="00D61B70" w:rsidRDefault="00D61B70" w:rsidP="004A1847">
      <w:pPr>
        <w:spacing w:after="0" w:line="240" w:lineRule="auto"/>
      </w:pPr>
      <w:r>
        <w:separator/>
      </w:r>
    </w:p>
  </w:footnote>
  <w:footnote w:type="continuationSeparator" w:id="0">
    <w:p w14:paraId="5B3BCE44" w14:textId="77777777" w:rsidR="00D61B70" w:rsidRDefault="00D61B70" w:rsidP="004A1847">
      <w:pPr>
        <w:spacing w:after="0" w:line="240" w:lineRule="auto"/>
      </w:pPr>
      <w:r>
        <w:continuationSeparator/>
      </w:r>
    </w:p>
  </w:footnote>
  <w:footnote w:type="continuationNotice" w:id="1">
    <w:p w14:paraId="59999F92" w14:textId="77777777" w:rsidR="00D61B70" w:rsidRDefault="00D61B70">
      <w:pPr>
        <w:spacing w:after="0" w:line="240" w:lineRule="auto"/>
      </w:pPr>
    </w:p>
  </w:footnote>
  <w:footnote w:id="2">
    <w:p w14:paraId="60229EB6" w14:textId="77777777" w:rsidR="00186979" w:rsidRPr="00DF05AC" w:rsidRDefault="00186979" w:rsidP="00186979">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2B2F82E3" w14:textId="77777777" w:rsidR="00186979" w:rsidRPr="00DF05AC" w:rsidRDefault="00186979" w:rsidP="00186979">
      <w:pPr>
        <w:pStyle w:val="Textonotapie"/>
        <w:ind w:firstLine="709"/>
        <w:jc w:val="both"/>
        <w:rPr>
          <w:rFonts w:ascii="Verdana" w:hAnsi="Verdana" w:cs="Arial"/>
          <w:sz w:val="16"/>
          <w:szCs w:val="16"/>
          <w:lang w:val="es-ES"/>
        </w:rPr>
      </w:pPr>
      <w:r w:rsidRPr="00DF05AC">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F05AC">
        <w:rPr>
          <w:rFonts w:ascii="Verdana" w:hAnsi="Verdana" w:cs="Arial"/>
          <w:i/>
          <w:iCs/>
          <w:sz w:val="16"/>
          <w:szCs w:val="16"/>
          <w:lang w:val="es-ES"/>
        </w:rPr>
        <w:t>costos directos</w:t>
      </w:r>
      <w:r w:rsidRPr="00DF05AC">
        <w:rPr>
          <w:rFonts w:ascii="Verdana" w:hAnsi="Verdana" w:cs="Arial"/>
          <w:sz w:val="16"/>
          <w:szCs w:val="16"/>
          <w:lang w:val="es-ES"/>
        </w:rPr>
        <w:t xml:space="preserve"> y los</w:t>
      </w:r>
      <w:r w:rsidRPr="00DF05AC">
        <w:rPr>
          <w:rFonts w:ascii="Verdana" w:hAnsi="Verdana" w:cs="Arial"/>
          <w:i/>
          <w:iCs/>
          <w:sz w:val="16"/>
          <w:szCs w:val="16"/>
          <w:lang w:val="es-ES"/>
        </w:rPr>
        <w:t xml:space="preserve"> costos indirectos</w:t>
      </w:r>
      <w:r w:rsidRPr="00DF05AC">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F05AC">
        <w:rPr>
          <w:rFonts w:ascii="Verdana" w:hAnsi="Verdana" w:cs="Arial"/>
          <w:i/>
          <w:iCs/>
          <w:sz w:val="16"/>
          <w:szCs w:val="16"/>
          <w:lang w:val="es-ES"/>
        </w:rPr>
        <w:t>ítems</w:t>
      </w:r>
      <w:r w:rsidRPr="00DF05AC">
        <w:rPr>
          <w:rFonts w:ascii="Verdana" w:hAnsi="Verdana" w:cs="Arial"/>
          <w:sz w:val="16"/>
          <w:szCs w:val="16"/>
          <w:lang w:val="es-ES"/>
        </w:rPr>
        <w:t xml:space="preserve"> que componen el contrato–. Los costos </w:t>
      </w:r>
      <w:r w:rsidRPr="00DF05AC">
        <w:rPr>
          <w:rFonts w:ascii="Verdana" w:hAnsi="Verdana" w:cs="Arial"/>
          <w:i/>
          <w:iCs/>
          <w:sz w:val="16"/>
          <w:szCs w:val="16"/>
          <w:lang w:val="es-ES"/>
        </w:rPr>
        <w:t>indirectos</w:t>
      </w:r>
      <w:r w:rsidRPr="00DF05AC">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58BCFEFA" w14:textId="77777777" w:rsidR="00186979" w:rsidRPr="000375EE" w:rsidRDefault="00186979" w:rsidP="00186979">
      <w:pPr>
        <w:pStyle w:val="Textonotapie"/>
        <w:ind w:firstLine="708"/>
        <w:jc w:val="both"/>
        <w:rPr>
          <w:rFonts w:ascii="Verdana" w:hAnsi="Verdana"/>
          <w:sz w:val="16"/>
          <w:szCs w:val="16"/>
          <w:lang w:val="es-CO"/>
        </w:rPr>
      </w:pPr>
      <w:r w:rsidRPr="000375EE">
        <w:rPr>
          <w:rStyle w:val="Refdenotaalpie"/>
          <w:rFonts w:ascii="Verdana" w:hAnsi="Verdana"/>
          <w:sz w:val="16"/>
          <w:szCs w:val="16"/>
        </w:rPr>
        <w:footnoteRef/>
      </w:r>
      <w:r w:rsidRPr="000375EE">
        <w:rPr>
          <w:rFonts w:ascii="Verdana" w:hAnsi="Verdana"/>
          <w:sz w:val="16"/>
          <w:szCs w:val="16"/>
        </w:rPr>
        <w:t xml:space="preserve"> MOLINA ZALDÍVAR, Carlos y RÍOS SALAS, Víctor. Derecho de la construcción. Santiago de Chile: O 'Print Impresores S.A, 2016. p. </w:t>
      </w:r>
      <w:r>
        <w:rPr>
          <w:rFonts w:ascii="Verdana" w:hAnsi="Verdana"/>
          <w:sz w:val="16"/>
          <w:szCs w:val="16"/>
        </w:rPr>
        <w:t>49.</w:t>
      </w:r>
    </w:p>
  </w:footnote>
  <w:footnote w:id="4">
    <w:p w14:paraId="658EA5B8" w14:textId="77777777" w:rsidR="00186979" w:rsidRPr="000375EE" w:rsidRDefault="00186979" w:rsidP="00186979">
      <w:pPr>
        <w:pStyle w:val="Textonotapie"/>
        <w:ind w:firstLine="708"/>
        <w:jc w:val="both"/>
        <w:rPr>
          <w:rFonts w:ascii="Verdana" w:hAnsi="Verdana"/>
          <w:sz w:val="16"/>
          <w:szCs w:val="16"/>
          <w:lang w:val="es-CO"/>
        </w:rPr>
      </w:pPr>
      <w:r w:rsidRPr="000375EE">
        <w:rPr>
          <w:rStyle w:val="Refdenotaalpie"/>
          <w:rFonts w:ascii="Verdana" w:hAnsi="Verdana"/>
          <w:sz w:val="16"/>
          <w:szCs w:val="16"/>
        </w:rPr>
        <w:footnoteRef/>
      </w:r>
      <w:r w:rsidRPr="000375EE">
        <w:rPr>
          <w:rFonts w:ascii="Verdana" w:hAnsi="Verdana"/>
          <w:sz w:val="16"/>
          <w:szCs w:val="16"/>
        </w:rPr>
        <w:t xml:space="preserve"> </w:t>
      </w:r>
      <w:r w:rsidRPr="00DF05AC">
        <w:rPr>
          <w:rFonts w:ascii="Verdana" w:hAnsi="Verdana" w:cs="Arial"/>
          <w:sz w:val="16"/>
          <w:szCs w:val="16"/>
          <w:lang w:val="es-ES"/>
        </w:rPr>
        <w:t>MARÍN CORTÉS</w:t>
      </w:r>
      <w:r>
        <w:rPr>
          <w:rFonts w:ascii="Verdana" w:hAnsi="Verdana" w:cs="Arial"/>
          <w:sz w:val="16"/>
          <w:szCs w:val="16"/>
          <w:lang w:val="es-ES"/>
        </w:rPr>
        <w:t>, Ob. cit., p. 147.</w:t>
      </w:r>
    </w:p>
  </w:footnote>
  <w:footnote w:id="5">
    <w:p w14:paraId="2C786913" w14:textId="77777777" w:rsidR="00186979" w:rsidRPr="00A77B8C" w:rsidRDefault="00186979" w:rsidP="00186979">
      <w:pPr>
        <w:pStyle w:val="Textonotapie"/>
        <w:ind w:firstLine="708"/>
        <w:jc w:val="both"/>
        <w:rPr>
          <w:rFonts w:ascii="Verdana" w:hAnsi="Verdana"/>
          <w:sz w:val="16"/>
          <w:szCs w:val="16"/>
          <w:lang w:val="es-CO"/>
        </w:rPr>
      </w:pPr>
      <w:r w:rsidRPr="00A77B8C">
        <w:rPr>
          <w:rStyle w:val="Refdenotaalpie"/>
          <w:rFonts w:ascii="Verdana" w:hAnsi="Verdana"/>
          <w:sz w:val="16"/>
          <w:szCs w:val="16"/>
        </w:rPr>
        <w:footnoteRef/>
      </w:r>
      <w:r w:rsidRPr="00A77B8C">
        <w:rPr>
          <w:rFonts w:ascii="Verdana" w:hAnsi="Verdana"/>
          <w:sz w:val="16"/>
          <w:szCs w:val="16"/>
        </w:rPr>
        <w:t xml:space="preserve"> </w:t>
      </w:r>
      <w:r w:rsidRPr="000375EE">
        <w:rPr>
          <w:rFonts w:ascii="Verdana" w:hAnsi="Verdana"/>
          <w:sz w:val="16"/>
          <w:szCs w:val="16"/>
        </w:rPr>
        <w:t>MOLINA ZALDÍVAR</w:t>
      </w:r>
      <w:r>
        <w:rPr>
          <w:rFonts w:ascii="Verdana" w:hAnsi="Verdana"/>
          <w:sz w:val="16"/>
          <w:szCs w:val="16"/>
        </w:rPr>
        <w:t xml:space="preserve"> </w:t>
      </w:r>
      <w:r w:rsidRPr="000375EE">
        <w:rPr>
          <w:rFonts w:ascii="Verdana" w:hAnsi="Verdana"/>
          <w:sz w:val="16"/>
          <w:szCs w:val="16"/>
        </w:rPr>
        <w:t>y RÍOS SALAS,</w:t>
      </w:r>
      <w:r>
        <w:rPr>
          <w:rFonts w:ascii="Verdana" w:hAnsi="Verdana"/>
          <w:sz w:val="16"/>
          <w:szCs w:val="16"/>
        </w:rPr>
        <w:t xml:space="preserve"> Ob. cit., p. 59.</w:t>
      </w:r>
    </w:p>
  </w:footnote>
  <w:footnote w:id="6">
    <w:p w14:paraId="2263C097" w14:textId="77777777" w:rsidR="00186979" w:rsidRPr="00392F14" w:rsidRDefault="00186979" w:rsidP="00186979">
      <w:pPr>
        <w:pStyle w:val="Textonotapie"/>
        <w:ind w:firstLine="708"/>
        <w:jc w:val="both"/>
        <w:rPr>
          <w:rFonts w:ascii="Verdana" w:hAnsi="Verdana"/>
          <w:sz w:val="16"/>
          <w:szCs w:val="16"/>
          <w:lang w:val="es-CO"/>
        </w:rPr>
      </w:pPr>
      <w:r w:rsidRPr="00392F14">
        <w:rPr>
          <w:rStyle w:val="Refdenotaalpie"/>
          <w:rFonts w:ascii="Verdana" w:hAnsi="Verdana"/>
          <w:sz w:val="16"/>
          <w:szCs w:val="16"/>
        </w:rPr>
        <w:footnoteRef/>
      </w:r>
      <w:r w:rsidRPr="00392F14">
        <w:rPr>
          <w:rFonts w:ascii="Verdana" w:hAnsi="Verdana"/>
          <w:sz w:val="16"/>
          <w:szCs w:val="16"/>
        </w:rPr>
        <w:t xml:space="preserve"> </w:t>
      </w:r>
      <w:r>
        <w:rPr>
          <w:rFonts w:ascii="Verdana" w:hAnsi="Verdana"/>
          <w:sz w:val="16"/>
          <w:szCs w:val="16"/>
        </w:rPr>
        <w:t xml:space="preserve">PADILLA PAROT, Ricardo. El contrato de construcción privado: alcances, obligaciones y responsabilidad. Santiafo de Chile: </w:t>
      </w:r>
      <w:r w:rsidRPr="008336A5">
        <w:rPr>
          <w:rFonts w:ascii="Verdana" w:hAnsi="Verdana"/>
          <w:sz w:val="16"/>
          <w:szCs w:val="16"/>
        </w:rPr>
        <w:t>Thomson Reuters</w:t>
      </w:r>
      <w:r>
        <w:rPr>
          <w:rFonts w:ascii="Verdana" w:hAnsi="Verdana"/>
          <w:sz w:val="16"/>
          <w:szCs w:val="16"/>
        </w:rPr>
        <w:t>, 2023. p. 127.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1" type="#_x0000_t75" style="width:11.8pt;height:11.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6575B"/>
    <w:rsid w:val="00186979"/>
    <w:rsid w:val="001A33BF"/>
    <w:rsid w:val="001C3919"/>
    <w:rsid w:val="001D7877"/>
    <w:rsid w:val="001E4177"/>
    <w:rsid w:val="001F0B24"/>
    <w:rsid w:val="001F7DC6"/>
    <w:rsid w:val="0022400B"/>
    <w:rsid w:val="002421BB"/>
    <w:rsid w:val="0025796E"/>
    <w:rsid w:val="002707A2"/>
    <w:rsid w:val="00293EDF"/>
    <w:rsid w:val="002951A0"/>
    <w:rsid w:val="002962BC"/>
    <w:rsid w:val="002A093D"/>
    <w:rsid w:val="002A0DD0"/>
    <w:rsid w:val="002A49AC"/>
    <w:rsid w:val="002A64FD"/>
    <w:rsid w:val="002C7A84"/>
    <w:rsid w:val="002D2D33"/>
    <w:rsid w:val="002E2BF8"/>
    <w:rsid w:val="002E4FD9"/>
    <w:rsid w:val="0030657A"/>
    <w:rsid w:val="00322A85"/>
    <w:rsid w:val="00324168"/>
    <w:rsid w:val="00330834"/>
    <w:rsid w:val="00332B9A"/>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0794"/>
    <w:rsid w:val="00466E39"/>
    <w:rsid w:val="004A1847"/>
    <w:rsid w:val="004A305D"/>
    <w:rsid w:val="004E603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17D3"/>
    <w:rsid w:val="00706C16"/>
    <w:rsid w:val="00712993"/>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655A"/>
    <w:rsid w:val="008843B6"/>
    <w:rsid w:val="00891928"/>
    <w:rsid w:val="008A446D"/>
    <w:rsid w:val="008B25F1"/>
    <w:rsid w:val="008D180B"/>
    <w:rsid w:val="008F0EA7"/>
    <w:rsid w:val="00923EEF"/>
    <w:rsid w:val="009419F9"/>
    <w:rsid w:val="0095685E"/>
    <w:rsid w:val="00961B09"/>
    <w:rsid w:val="00965334"/>
    <w:rsid w:val="0097093E"/>
    <w:rsid w:val="0097473E"/>
    <w:rsid w:val="009A0DFA"/>
    <w:rsid w:val="009A1C6F"/>
    <w:rsid w:val="009B2D26"/>
    <w:rsid w:val="009C5B9D"/>
    <w:rsid w:val="009C71FA"/>
    <w:rsid w:val="009C72E7"/>
    <w:rsid w:val="009C7F7E"/>
    <w:rsid w:val="009D3058"/>
    <w:rsid w:val="009F3A13"/>
    <w:rsid w:val="00A122D3"/>
    <w:rsid w:val="00A14468"/>
    <w:rsid w:val="00A17F13"/>
    <w:rsid w:val="00A20739"/>
    <w:rsid w:val="00A23AF9"/>
    <w:rsid w:val="00A33C78"/>
    <w:rsid w:val="00A345A3"/>
    <w:rsid w:val="00AB0ADB"/>
    <w:rsid w:val="00B00C0E"/>
    <w:rsid w:val="00B01B1A"/>
    <w:rsid w:val="00B0381D"/>
    <w:rsid w:val="00B44A47"/>
    <w:rsid w:val="00B70123"/>
    <w:rsid w:val="00B72CD3"/>
    <w:rsid w:val="00B72FFF"/>
    <w:rsid w:val="00B95632"/>
    <w:rsid w:val="00BC3D36"/>
    <w:rsid w:val="00BD54A6"/>
    <w:rsid w:val="00BD7F72"/>
    <w:rsid w:val="00BF7425"/>
    <w:rsid w:val="00C04FB3"/>
    <w:rsid w:val="00C11D8B"/>
    <w:rsid w:val="00C15139"/>
    <w:rsid w:val="00C330EB"/>
    <w:rsid w:val="00C33192"/>
    <w:rsid w:val="00C50D69"/>
    <w:rsid w:val="00C5365C"/>
    <w:rsid w:val="00C754BE"/>
    <w:rsid w:val="00C76B1C"/>
    <w:rsid w:val="00C909C8"/>
    <w:rsid w:val="00C925AC"/>
    <w:rsid w:val="00C95CBB"/>
    <w:rsid w:val="00CB6357"/>
    <w:rsid w:val="00CC1B26"/>
    <w:rsid w:val="00D361FD"/>
    <w:rsid w:val="00D423A2"/>
    <w:rsid w:val="00D44E26"/>
    <w:rsid w:val="00D520D8"/>
    <w:rsid w:val="00D61B70"/>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6F0C0C87"/>
    <w:rsid w:val="7055BAD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8697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6979"/>
    <w:rPr>
      <w:rFonts w:ascii="Geomanist Light" w:hAnsi="Geomanist Light"/>
      <w:lang w:val="es-ES"/>
    </w:rPr>
  </w:style>
  <w:style w:type="character" w:customStyle="1" w:styleId="s15">
    <w:name w:val="s15"/>
    <w:basedOn w:val="Fuentedeprrafopredeter"/>
    <w:rsid w:val="00186979"/>
  </w:style>
  <w:style w:type="paragraph" w:styleId="Sinespaciado">
    <w:name w:val="No Spacing"/>
    <w:aliases w:val="No Indent"/>
    <w:uiPriority w:val="3"/>
    <w:qFormat/>
    <w:rsid w:val="0018697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ilau85@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62A1972B-C688-422C-8AAC-7CA598F07A7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4936</Words>
  <Characters>27154</Characters>
  <Application>Microsoft Office Word</Application>
  <DocSecurity>0</DocSecurity>
  <Lines>226</Lines>
  <Paragraphs>64</Paragraphs>
  <ScaleCrop>false</ScaleCrop>
  <Company/>
  <LinksUpToDate>false</LinksUpToDate>
  <CharactersWithSpaces>32026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2026-01-27T01:33:00Z</dcterms:created>
  <dcterms:modified xsi:type="dcterms:W3CDTF">2026-01-27T20:50:00Z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