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EA747" w14:textId="77777777" w:rsidR="00AE164A" w:rsidRPr="005549AE" w:rsidRDefault="00AE164A" w:rsidP="00AE164A">
      <w:pPr>
        <w:spacing w:after="0" w:line="240" w:lineRule="auto"/>
        <w:jc w:val="both"/>
        <w:rPr>
          <w:rFonts w:ascii="Verdana" w:hAnsi="Verdana"/>
          <w:b/>
          <w:bCs/>
          <w:sz w:val="20"/>
          <w:szCs w:val="20"/>
          <w:lang w:val="es-ES"/>
        </w:rPr>
      </w:pPr>
    </w:p>
    <w:p w14:paraId="15D4039F" w14:textId="77777777" w:rsidR="00AE164A" w:rsidRPr="005549AE" w:rsidRDefault="00AE164A" w:rsidP="00AE164A">
      <w:pPr>
        <w:spacing w:after="0" w:line="240" w:lineRule="auto"/>
        <w:jc w:val="both"/>
        <w:rPr>
          <w:rFonts w:ascii="Verdana" w:hAnsi="Verdana"/>
          <w:b/>
        </w:rPr>
      </w:pPr>
      <w:r w:rsidRPr="00660AA2">
        <w:rPr>
          <w:rFonts w:ascii="Verdana" w:hAnsi="Verdana"/>
          <w:b/>
        </w:rPr>
        <w:t>EQUILIBRIO ECONÓMICO – Contrato estatal – Fundamento</w:t>
      </w:r>
    </w:p>
    <w:p w14:paraId="019BA06A" w14:textId="77777777" w:rsidR="00AE164A" w:rsidRPr="005549AE" w:rsidRDefault="00AE164A" w:rsidP="00AE164A">
      <w:pPr>
        <w:spacing w:after="0" w:line="240" w:lineRule="auto"/>
        <w:jc w:val="both"/>
        <w:rPr>
          <w:rFonts w:ascii="Verdana" w:hAnsi="Verdana"/>
          <w:bCs/>
          <w:sz w:val="20"/>
          <w:szCs w:val="20"/>
        </w:rPr>
      </w:pPr>
    </w:p>
    <w:p w14:paraId="4A65B815" w14:textId="77777777" w:rsidR="00AE164A" w:rsidRPr="00660AA2" w:rsidRDefault="00AE164A" w:rsidP="00AE164A">
      <w:pPr>
        <w:spacing w:after="0" w:line="240" w:lineRule="auto"/>
        <w:jc w:val="both"/>
        <w:rPr>
          <w:rFonts w:ascii="Verdana" w:eastAsia="Calibri" w:hAnsi="Verdana" w:cs="Arial"/>
          <w:sz w:val="20"/>
          <w:szCs w:val="20"/>
          <w:shd w:val="clear" w:color="auto" w:fill="FFFFFF"/>
          <w:lang w:val="es-ES"/>
        </w:rPr>
      </w:pPr>
      <w:r w:rsidRPr="00660AA2">
        <w:rPr>
          <w:rFonts w:ascii="Verdana" w:eastAsia="Calibri" w:hAnsi="Verdana" w:cs="Arial"/>
          <w:sz w:val="20"/>
          <w:szCs w:val="20"/>
          <w:shd w:val="clear" w:color="auto" w:fill="FFFFFF"/>
          <w:lang w:val="es-ES"/>
        </w:rPr>
        <w:t xml:space="preserve">De conformidad con el artículo 3 de la Ley 80 de 1993 la celebración y ejecución de los contratos estatales 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 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3B53D299" w14:textId="77777777" w:rsidR="00AE164A" w:rsidRPr="00660AA2" w:rsidRDefault="00AE164A" w:rsidP="00AE164A">
      <w:pPr>
        <w:spacing w:after="0" w:line="240" w:lineRule="auto"/>
        <w:jc w:val="both"/>
        <w:rPr>
          <w:rFonts w:ascii="Verdana" w:eastAsia="Calibri" w:hAnsi="Verdana" w:cs="Arial"/>
          <w:sz w:val="20"/>
          <w:szCs w:val="20"/>
          <w:shd w:val="clear" w:color="auto" w:fill="FFFFFF"/>
          <w:lang w:val="es-ES"/>
        </w:rPr>
      </w:pPr>
    </w:p>
    <w:p w14:paraId="19C31C23" w14:textId="77777777" w:rsidR="00AE164A" w:rsidRPr="005549AE" w:rsidRDefault="00AE164A" w:rsidP="00AE164A">
      <w:pPr>
        <w:spacing w:after="0" w:line="240" w:lineRule="auto"/>
        <w:jc w:val="both"/>
        <w:rPr>
          <w:rFonts w:ascii="Verdana" w:eastAsia="Arial MT" w:hAnsi="Verdana" w:cs="Arial"/>
          <w:sz w:val="20"/>
          <w:szCs w:val="20"/>
          <w:lang w:eastAsia="es-ES" w:bidi="es-ES"/>
        </w:rPr>
      </w:pPr>
      <w:r w:rsidRPr="00660AA2">
        <w:rPr>
          <w:rFonts w:ascii="Verdana" w:eastAsia="Calibri" w:hAnsi="Verdana" w:cs="Arial"/>
          <w:sz w:val="20"/>
          <w:szCs w:val="20"/>
          <w:shd w:val="clear" w:color="auto" w:fill="FFFFFF"/>
          <w:lang w:val="es-ES"/>
        </w:rPr>
        <w:t>De esta manera, los contratos estatales se deben pactar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w:t>
      </w:r>
    </w:p>
    <w:p w14:paraId="6D1B3B69" w14:textId="77777777" w:rsidR="00AE164A" w:rsidRPr="005549AE" w:rsidRDefault="00AE164A" w:rsidP="00AE164A">
      <w:pPr>
        <w:spacing w:after="0" w:line="240" w:lineRule="auto"/>
        <w:jc w:val="both"/>
        <w:rPr>
          <w:rFonts w:ascii="Verdana" w:hAnsi="Verdana"/>
          <w:bCs/>
          <w:sz w:val="20"/>
          <w:szCs w:val="20"/>
        </w:rPr>
      </w:pPr>
    </w:p>
    <w:p w14:paraId="48C31D09" w14:textId="77777777" w:rsidR="00AE164A" w:rsidRPr="005549AE" w:rsidRDefault="00AE164A" w:rsidP="00AE164A">
      <w:pPr>
        <w:spacing w:after="0" w:line="240" w:lineRule="auto"/>
        <w:jc w:val="both"/>
        <w:rPr>
          <w:rFonts w:ascii="Verdana" w:hAnsi="Verdana"/>
          <w:b/>
        </w:rPr>
      </w:pPr>
      <w:r w:rsidRPr="00660AA2">
        <w:rPr>
          <w:rFonts w:ascii="Verdana" w:hAnsi="Verdana"/>
          <w:b/>
        </w:rPr>
        <w:t>EQUILIBRIO ECONÓMICO – Contrato estatal – Concepto</w:t>
      </w:r>
    </w:p>
    <w:p w14:paraId="003DBFB6" w14:textId="77777777" w:rsidR="00AE164A" w:rsidRPr="005549AE" w:rsidRDefault="00AE164A" w:rsidP="00AE164A">
      <w:pPr>
        <w:spacing w:after="0" w:line="240" w:lineRule="auto"/>
        <w:jc w:val="both"/>
        <w:rPr>
          <w:rFonts w:ascii="Verdana" w:hAnsi="Verdana"/>
          <w:bCs/>
          <w:sz w:val="20"/>
          <w:szCs w:val="20"/>
        </w:rPr>
      </w:pPr>
    </w:p>
    <w:p w14:paraId="5BF049A2" w14:textId="77777777" w:rsidR="00AE164A" w:rsidRPr="005549AE" w:rsidRDefault="00AE164A" w:rsidP="00AE164A">
      <w:pPr>
        <w:spacing w:after="0" w:line="240" w:lineRule="auto"/>
        <w:jc w:val="both"/>
        <w:rPr>
          <w:rFonts w:ascii="Verdana" w:hAnsi="Verdana"/>
          <w:b/>
          <w:bCs/>
          <w:sz w:val="20"/>
          <w:szCs w:val="20"/>
        </w:rPr>
      </w:pPr>
      <w:r w:rsidRPr="00660AA2">
        <w:rPr>
          <w:rFonts w:ascii="Verdana" w:eastAsia="Arial MT" w:hAnsi="Verdana" w:cs="Arial"/>
          <w:sz w:val="20"/>
          <w:szCs w:val="20"/>
          <w:lang w:eastAsia="es-ES" w:bidi="es-ES"/>
        </w:rPr>
        <w:t>Sobre el principio del equilibrio financiero del contrato, el Consejo de Estado ha señalado que consiste «en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 En concordancia, la doctrina ha indicado que con este principio, también denominado «el de la honesta equivalencia de prestaciones», se privilegia el carácter conmutativo o sinalagmático que, por regla general, tiene el contrato estatal, «lo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p>
    <w:p w14:paraId="2C45C59D" w14:textId="77777777" w:rsidR="00AE164A" w:rsidRPr="005549AE" w:rsidRDefault="00AE164A" w:rsidP="00AE164A">
      <w:pPr>
        <w:spacing w:after="0" w:line="240" w:lineRule="auto"/>
        <w:jc w:val="both"/>
        <w:rPr>
          <w:rFonts w:ascii="Verdana" w:hAnsi="Verdana"/>
          <w:b/>
          <w:bCs/>
          <w:sz w:val="20"/>
          <w:szCs w:val="20"/>
        </w:rPr>
      </w:pPr>
    </w:p>
    <w:p w14:paraId="0BBAE045" w14:textId="77777777" w:rsidR="00AE164A" w:rsidRPr="005549AE" w:rsidRDefault="00AE164A" w:rsidP="00AE164A">
      <w:pPr>
        <w:spacing w:after="0" w:line="240" w:lineRule="auto"/>
        <w:jc w:val="both"/>
        <w:rPr>
          <w:rFonts w:ascii="Verdana" w:hAnsi="Verdana"/>
          <w:b/>
          <w:bCs/>
        </w:rPr>
      </w:pPr>
      <w:r w:rsidRPr="00660AA2">
        <w:rPr>
          <w:rFonts w:ascii="Verdana" w:hAnsi="Verdana"/>
          <w:b/>
          <w:bCs/>
        </w:rPr>
        <w:t>EQUILIBRIO ECONÓMICO – Contrato estatal – Restablecimiento – Procedencia – Requisitos</w:t>
      </w:r>
    </w:p>
    <w:p w14:paraId="1B3A6E71" w14:textId="77777777" w:rsidR="00AE164A" w:rsidRPr="005549AE" w:rsidRDefault="00AE164A" w:rsidP="00AE164A">
      <w:pPr>
        <w:spacing w:after="0" w:line="240" w:lineRule="auto"/>
        <w:jc w:val="both"/>
        <w:rPr>
          <w:rFonts w:ascii="Verdana" w:hAnsi="Verdana"/>
          <w:b/>
          <w:bCs/>
          <w:sz w:val="20"/>
          <w:szCs w:val="20"/>
        </w:rPr>
      </w:pPr>
    </w:p>
    <w:p w14:paraId="2BABA172" w14:textId="77777777" w:rsidR="00AE164A" w:rsidRPr="00660AA2" w:rsidRDefault="00AE164A" w:rsidP="00AE164A">
      <w:pPr>
        <w:spacing w:after="0" w:line="240" w:lineRule="auto"/>
        <w:jc w:val="both"/>
        <w:rPr>
          <w:rFonts w:ascii="Verdana" w:hAnsi="Verdana"/>
          <w:sz w:val="20"/>
          <w:szCs w:val="20"/>
        </w:rPr>
      </w:pPr>
      <w:r w:rsidRPr="00660AA2">
        <w:rPr>
          <w:rFonts w:ascii="Verdana" w:hAnsi="Verdana"/>
          <w:sz w:val="20"/>
          <w:szCs w:val="20"/>
          <w:lang w:bidi="es-ES"/>
        </w:rPr>
        <w:t xml:space="preserve">En lo que atañe a la procedencia del restablecimiento del equilibrio financiero del contrato cuando este se vulnera, la jurisprudencia ha señalado que para estos efectos </w:t>
      </w:r>
      <w:r w:rsidRPr="00660AA2">
        <w:rPr>
          <w:rFonts w:ascii="Verdana" w:hAnsi="Verdana"/>
          <w:sz w:val="20"/>
          <w:szCs w:val="20"/>
          <w:lang w:bidi="es-ES"/>
        </w:rPr>
        <w:lastRenderedPageBreak/>
        <w:t xml:space="preserve">es imperativo la prueba del menoscabo, demostrar que este es grave y que además no corresponde a un riesgo propio de la actividad que deba ser asumido por una de las partes contractuales. Además, es necesario que las reclamaciones para el restablecimiento se realicen en la oportunidad debida, de manera que </w:t>
      </w:r>
      <w:r w:rsidRPr="00660AA2">
        <w:rPr>
          <w:rFonts w:ascii="Verdana" w:hAnsi="Verdana"/>
          <w:sz w:val="20"/>
          <w:szCs w:val="20"/>
        </w:rPr>
        <w:t xml:space="preserve">si las solicitudes, o salvedades </w:t>
      </w:r>
      <w:r w:rsidRPr="00660AA2">
        <w:rPr>
          <w:rFonts w:ascii="Verdana" w:hAnsi="Verdana"/>
          <w:sz w:val="20"/>
          <w:szCs w:val="20"/>
          <w:lang w:val="es-MX"/>
        </w:rPr>
        <w:t>«</w:t>
      </w:r>
      <w:r w:rsidRPr="00660AA2">
        <w:rPr>
          <w:rFonts w:ascii="Verdana" w:hAnsi="Verdana"/>
          <w:sz w:val="20"/>
          <w:szCs w:val="20"/>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sidRPr="00660AA2">
        <w:rPr>
          <w:rFonts w:ascii="Verdana" w:hAnsi="Verdana"/>
          <w:sz w:val="20"/>
          <w:szCs w:val="20"/>
          <w:lang w:val="es-MX"/>
        </w:rPr>
        <w:t xml:space="preserve">». </w:t>
      </w:r>
    </w:p>
    <w:p w14:paraId="725D5553" w14:textId="77777777" w:rsidR="00AE164A" w:rsidRPr="00660AA2" w:rsidRDefault="00AE164A" w:rsidP="00AE164A">
      <w:pPr>
        <w:spacing w:after="0" w:line="240" w:lineRule="auto"/>
        <w:jc w:val="both"/>
        <w:rPr>
          <w:rFonts w:ascii="Verdana" w:hAnsi="Verdana"/>
          <w:sz w:val="20"/>
          <w:szCs w:val="20"/>
          <w:lang w:bidi="es-ES"/>
        </w:rPr>
      </w:pPr>
    </w:p>
    <w:p w14:paraId="019F32DD" w14:textId="77777777" w:rsidR="00AE164A" w:rsidRPr="00660AA2" w:rsidRDefault="00AE164A" w:rsidP="00AE164A">
      <w:pPr>
        <w:spacing w:after="0" w:line="240" w:lineRule="auto"/>
        <w:jc w:val="both"/>
        <w:rPr>
          <w:rFonts w:ascii="Verdana" w:hAnsi="Verdana"/>
          <w:sz w:val="20"/>
          <w:szCs w:val="20"/>
          <w:lang w:bidi="es-ES"/>
        </w:rPr>
      </w:pPr>
      <w:r w:rsidRPr="00660AA2">
        <w:rPr>
          <w:rFonts w:ascii="Verdana" w:hAnsi="Verdana"/>
          <w:sz w:val="20"/>
          <w:szCs w:val="20"/>
          <w:lang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536EF65D" w14:textId="77777777" w:rsidR="00AE164A" w:rsidRPr="00660AA2" w:rsidRDefault="00AE164A" w:rsidP="00AE164A">
      <w:pPr>
        <w:spacing w:after="0" w:line="240" w:lineRule="auto"/>
        <w:jc w:val="both"/>
        <w:rPr>
          <w:rFonts w:ascii="Verdana" w:hAnsi="Verdana"/>
          <w:sz w:val="20"/>
          <w:szCs w:val="20"/>
        </w:rPr>
      </w:pPr>
    </w:p>
    <w:p w14:paraId="62EE42D3" w14:textId="77777777" w:rsidR="00AE164A" w:rsidRPr="00660AA2" w:rsidRDefault="00AE164A" w:rsidP="00AE164A">
      <w:pPr>
        <w:spacing w:after="0" w:line="240" w:lineRule="auto"/>
        <w:jc w:val="both"/>
        <w:rPr>
          <w:rFonts w:ascii="Verdana" w:hAnsi="Verdana"/>
          <w:sz w:val="20"/>
          <w:szCs w:val="20"/>
        </w:rPr>
      </w:pPr>
      <w:r w:rsidRPr="00660AA2">
        <w:rPr>
          <w:rFonts w:ascii="Verdana" w:hAnsi="Verdana"/>
          <w:sz w:val="20"/>
          <w:szCs w:val="20"/>
          <w:lang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660AA2">
        <w:rPr>
          <w:rFonts w:ascii="Verdana" w:hAnsi="Verdana"/>
          <w:sz w:val="20"/>
          <w:szCs w:val="20"/>
        </w:rPr>
        <w:t xml:space="preserve"> cada caso el contenido del respectivo acuerdo y de sus antecedentes, para determinar el alcance de los otrosíes o de las actas de suspensión correspondientes.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sidRPr="00660AA2">
        <w:rPr>
          <w:rFonts w:ascii="Verdana" w:hAnsi="Verdana"/>
          <w:sz w:val="20"/>
          <w:szCs w:val="20"/>
          <w:lang w:val="es-MX"/>
        </w:rPr>
        <w:t>«</w:t>
      </w:r>
      <w:r w:rsidRPr="00660AA2">
        <w:rPr>
          <w:rFonts w:ascii="Verdana" w:hAnsi="Verdana"/>
          <w:sz w:val="20"/>
          <w:szCs w:val="20"/>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 de tales situaciones, haya concurrido a suscribirlo, sin dejar alguna manifestación sobre la insuficiencia de ese acuerdo para satisfacer sus reclamaciones</w:t>
      </w:r>
      <w:r w:rsidRPr="00660AA2">
        <w:rPr>
          <w:rFonts w:ascii="Verdana" w:hAnsi="Verdana"/>
          <w:sz w:val="20"/>
          <w:szCs w:val="20"/>
          <w:lang w:val="es-MX"/>
        </w:rPr>
        <w:t>»</w:t>
      </w:r>
      <w:r w:rsidRPr="00660AA2">
        <w:rPr>
          <w:rFonts w:ascii="Verdana" w:hAnsi="Verdana"/>
          <w:sz w:val="20"/>
          <w:szCs w:val="20"/>
        </w:rPr>
        <w:t>.</w:t>
      </w:r>
    </w:p>
    <w:p w14:paraId="69867350" w14:textId="77777777" w:rsidR="00AE164A" w:rsidRPr="005549AE" w:rsidRDefault="00AE164A" w:rsidP="00AE164A">
      <w:pPr>
        <w:spacing w:after="0" w:line="240" w:lineRule="auto"/>
        <w:jc w:val="both"/>
        <w:rPr>
          <w:rFonts w:ascii="Verdana" w:hAnsi="Verdana"/>
          <w:sz w:val="20"/>
          <w:szCs w:val="20"/>
        </w:rPr>
      </w:pPr>
    </w:p>
    <w:p w14:paraId="6602BC05" w14:textId="77777777" w:rsidR="00AE164A" w:rsidRPr="00AF1555" w:rsidRDefault="00AE164A" w:rsidP="00AE164A">
      <w:pPr>
        <w:tabs>
          <w:tab w:val="left" w:pos="426"/>
        </w:tabs>
        <w:spacing w:after="0" w:line="240" w:lineRule="auto"/>
        <w:jc w:val="both"/>
        <w:rPr>
          <w:rFonts w:ascii="Verdana" w:hAnsi="Verdana" w:cs="Arial"/>
          <w:b/>
          <w:lang w:eastAsia="es-CO"/>
        </w:rPr>
      </w:pPr>
      <w:r>
        <w:rPr>
          <w:rFonts w:ascii="Verdana" w:hAnsi="Verdana" w:cs="Arial"/>
          <w:b/>
          <w:lang w:val="es-ES_tradnl" w:eastAsia="es-CO"/>
        </w:rPr>
        <w:t>RESTABLECIMIENTO DE LA ECUACIÓN ECONÓMICA</w:t>
      </w:r>
      <w:r>
        <w:rPr>
          <w:rFonts w:ascii="Verdana" w:hAnsi="Verdana" w:cs="Arial"/>
          <w:b/>
          <w:lang w:eastAsia="es-CO"/>
        </w:rPr>
        <w:t xml:space="preserve"> – Liquidación</w:t>
      </w:r>
      <w:r w:rsidRPr="00AF1555">
        <w:rPr>
          <w:rFonts w:ascii="Verdana" w:hAnsi="Verdana" w:cs="Arial"/>
          <w:b/>
          <w:lang w:eastAsia="es-CO"/>
        </w:rPr>
        <w:t xml:space="preserve">  </w:t>
      </w:r>
    </w:p>
    <w:p w14:paraId="11F4049B" w14:textId="77777777" w:rsidR="00AE164A" w:rsidRPr="00AF1555" w:rsidRDefault="00AE164A" w:rsidP="00AE164A">
      <w:pPr>
        <w:tabs>
          <w:tab w:val="left" w:pos="426"/>
        </w:tabs>
        <w:spacing w:after="0" w:line="240" w:lineRule="auto"/>
        <w:jc w:val="both"/>
        <w:rPr>
          <w:rFonts w:ascii="Verdana" w:hAnsi="Verdana" w:cs="Arial"/>
          <w:b/>
          <w:sz w:val="20"/>
          <w:szCs w:val="20"/>
          <w:lang w:eastAsia="es-CO"/>
        </w:rPr>
      </w:pPr>
    </w:p>
    <w:p w14:paraId="59615A4A" w14:textId="77777777" w:rsidR="00AE164A" w:rsidRPr="006F121D" w:rsidRDefault="00AE164A" w:rsidP="00AE164A">
      <w:pPr>
        <w:spacing w:after="0" w:line="240" w:lineRule="auto"/>
        <w:jc w:val="both"/>
        <w:rPr>
          <w:rFonts w:ascii="Verdana" w:hAnsi="Verdana" w:cs="Arial"/>
          <w:bCs/>
          <w:sz w:val="20"/>
          <w:szCs w:val="20"/>
          <w:lang w:eastAsia="es-CO"/>
        </w:rPr>
      </w:pPr>
      <w:r w:rsidRPr="006F121D">
        <w:rPr>
          <w:rFonts w:ascii="Verdana" w:hAnsi="Verdana" w:cs="Arial"/>
          <w:bCs/>
          <w:sz w:val="20"/>
          <w:szCs w:val="20"/>
          <w:lang w:eastAsia="es-CO"/>
        </w:rPr>
        <w:t>De los incisos segundo y tercero del artículo 60 del EGCAP se desprende que en la liquidación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w:t>
      </w:r>
    </w:p>
    <w:p w14:paraId="06D1BAA1" w14:textId="77777777" w:rsidR="00AE164A" w:rsidRPr="006F121D" w:rsidRDefault="00AE164A" w:rsidP="00AE164A">
      <w:pPr>
        <w:spacing w:after="0" w:line="240" w:lineRule="auto"/>
        <w:jc w:val="both"/>
        <w:rPr>
          <w:rFonts w:ascii="Verdana" w:hAnsi="Verdana" w:cs="Arial"/>
          <w:bCs/>
          <w:sz w:val="20"/>
          <w:szCs w:val="20"/>
          <w:lang w:eastAsia="es-CO"/>
        </w:rPr>
      </w:pPr>
    </w:p>
    <w:p w14:paraId="36F15BA0" w14:textId="77777777" w:rsidR="00AE164A" w:rsidRPr="006F121D" w:rsidRDefault="00AE164A" w:rsidP="00AE164A">
      <w:pPr>
        <w:spacing w:after="0" w:line="240" w:lineRule="auto"/>
        <w:jc w:val="both"/>
        <w:rPr>
          <w:rFonts w:ascii="Verdana" w:eastAsia="Geomanist Light" w:hAnsi="Verdana" w:cs="Arial"/>
          <w:color w:val="000000" w:themeColor="text1"/>
          <w:sz w:val="20"/>
          <w:szCs w:val="20"/>
        </w:rPr>
      </w:pPr>
      <w:r w:rsidRPr="006F121D">
        <w:rPr>
          <w:rFonts w:ascii="Verdana" w:hAnsi="Verdana" w:cs="Arial"/>
          <w:bCs/>
          <w:sz w:val="20"/>
          <w:szCs w:val="20"/>
          <w:lang w:eastAsia="es-CO"/>
        </w:rPr>
        <w:lastRenderedPageBreak/>
        <w:t>No obstante, de acuerdo con la Sentencia de Unificación del 19 de noviembre de 2012 de la Sala Plena del Consejo de Estado, por regla general,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 De cara al artículo 10 del CPACA, considerando las tres (3) excepciones contempladas en dicha sentencia, en la actualidad está limitada la posibilidad de reconocer en la liquidación actividades no incluidas dentro del contrato. Así, su pago no sólo está sujeto al soporte probatorio, sino que la decisión también debe armonizarse con la doctrina fijada por el máximo órgano de la jurisdicción contenciosa administrativa</w:t>
      </w:r>
      <w:r w:rsidRPr="006F121D">
        <w:rPr>
          <w:rFonts w:ascii="Verdana" w:eastAsia="Geomanist Light" w:hAnsi="Verdana" w:cs="Arial"/>
          <w:color w:val="000000" w:themeColor="text1"/>
          <w:sz w:val="20"/>
          <w:szCs w:val="20"/>
        </w:rPr>
        <w:t>.</w:t>
      </w:r>
    </w:p>
    <w:p w14:paraId="6454D83F" w14:textId="77777777" w:rsidR="00AE164A" w:rsidRPr="006F121D" w:rsidRDefault="00AE164A" w:rsidP="00AE164A">
      <w:pPr>
        <w:spacing w:after="0" w:line="240" w:lineRule="auto"/>
        <w:jc w:val="both"/>
        <w:rPr>
          <w:rFonts w:ascii="Verdana" w:hAnsi="Verdana" w:cs="Arial"/>
          <w:sz w:val="20"/>
          <w:szCs w:val="20"/>
        </w:rPr>
      </w:pPr>
    </w:p>
    <w:p w14:paraId="25F8E1E6" w14:textId="77777777" w:rsidR="00AE164A" w:rsidRPr="00B4318D" w:rsidRDefault="00AE164A" w:rsidP="00AE164A">
      <w:pPr>
        <w:spacing w:after="0" w:line="240" w:lineRule="auto"/>
        <w:jc w:val="both"/>
        <w:rPr>
          <w:rFonts w:ascii="Verdana" w:hAnsi="Verdana"/>
          <w:b/>
        </w:rPr>
      </w:pPr>
      <w:r w:rsidRPr="00B4318D">
        <w:rPr>
          <w:rFonts w:ascii="Verdana" w:hAnsi="Verdana"/>
          <w:b/>
        </w:rPr>
        <w:t xml:space="preserve">ENRIQUECIMIENTO SIN JUSTA CAUSA – Sentencia de Unificación del 19 de noviembre de 2012 – Alcance </w:t>
      </w:r>
    </w:p>
    <w:p w14:paraId="57FEF571" w14:textId="77777777" w:rsidR="00AE164A" w:rsidRPr="00B4318D" w:rsidRDefault="00AE164A" w:rsidP="00AE164A">
      <w:pPr>
        <w:spacing w:after="0" w:line="240" w:lineRule="auto"/>
        <w:jc w:val="both"/>
        <w:rPr>
          <w:rFonts w:ascii="Verdana" w:hAnsi="Verdana"/>
          <w:b/>
        </w:rPr>
      </w:pPr>
    </w:p>
    <w:p w14:paraId="6B1AD56D" w14:textId="77777777" w:rsidR="00AE164A" w:rsidRPr="00CE3030" w:rsidRDefault="00AE164A" w:rsidP="00AE164A">
      <w:pPr>
        <w:spacing w:after="0" w:line="240" w:lineRule="auto"/>
        <w:jc w:val="both"/>
        <w:rPr>
          <w:rFonts w:ascii="Verdana" w:hAnsi="Verdana"/>
          <w:sz w:val="20"/>
        </w:rPr>
      </w:pPr>
      <w:r w:rsidRPr="00CE3030">
        <w:rPr>
          <w:rFonts w:ascii="Verdana" w:hAnsi="Verdana"/>
          <w:sz w:val="20"/>
        </w:rPr>
        <w:t xml:space="preserve">[…] la Sala Plena del Consejo de Estado </w:t>
      </w:r>
      <w:r>
        <w:rPr>
          <w:rFonts w:ascii="Verdana" w:hAnsi="Verdana"/>
          <w:sz w:val="20"/>
        </w:rPr>
        <w:t>en</w:t>
      </w:r>
      <w:r w:rsidRPr="00CE3030">
        <w:rPr>
          <w:rFonts w:ascii="Verdana" w:hAnsi="Verdana"/>
          <w:sz w:val="20"/>
        </w:rPr>
        <w:t xml:space="preserve"> la Sentencia de Unificación del 19 de noviembre de 2012, </w:t>
      </w:r>
      <w:r w:rsidRPr="00CE3030">
        <w:rPr>
          <w:rFonts w:ascii="Verdana" w:hAnsi="Verdana"/>
          <w:i/>
          <w:iCs/>
          <w:sz w:val="20"/>
        </w:rPr>
        <w:t>por regla general,</w:t>
      </w:r>
      <w:r w:rsidRPr="00CE3030">
        <w:rPr>
          <w:rFonts w:ascii="Verdana" w:hAnsi="Verdana"/>
          <w:sz w:val="20"/>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w:t>
      </w:r>
    </w:p>
    <w:p w14:paraId="7F7AAD95" w14:textId="77777777" w:rsidR="00AE164A" w:rsidRPr="00CE3030" w:rsidRDefault="00AE164A" w:rsidP="00AE164A">
      <w:pPr>
        <w:spacing w:after="0" w:line="240" w:lineRule="auto"/>
        <w:jc w:val="both"/>
        <w:rPr>
          <w:rFonts w:ascii="Verdana" w:hAnsi="Verdana"/>
          <w:sz w:val="20"/>
        </w:rPr>
      </w:pPr>
    </w:p>
    <w:p w14:paraId="2062180E" w14:textId="77777777" w:rsidR="00AE164A" w:rsidRPr="00CE3030" w:rsidRDefault="00AE164A" w:rsidP="00AE164A">
      <w:pPr>
        <w:spacing w:after="0" w:line="240" w:lineRule="auto"/>
        <w:jc w:val="both"/>
        <w:rPr>
          <w:rFonts w:ascii="Verdana" w:hAnsi="Verdana"/>
          <w:sz w:val="20"/>
        </w:rPr>
      </w:pPr>
      <w:r w:rsidRPr="00CE3030">
        <w:rPr>
          <w:rFonts w:ascii="Verdana" w:hAnsi="Verdana"/>
          <w:i/>
          <w:iCs/>
          <w:sz w:val="20"/>
        </w:rPr>
        <w:t>Excepcionalmente</w:t>
      </w:r>
      <w:r w:rsidRPr="00CE3030">
        <w:rPr>
          <w:rFonts w:ascii="Verdana" w:hAnsi="Verdana"/>
          <w:sz w:val="20"/>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CE3030">
        <w:rPr>
          <w:rFonts w:ascii="Verdana" w:hAnsi="Verdana"/>
          <w:sz w:val="20"/>
        </w:rPr>
        <w:t>ii</w:t>
      </w:r>
      <w:proofErr w:type="spellEnd"/>
      <w:r w:rsidRPr="00CE3030">
        <w:rPr>
          <w:rFonts w:ascii="Verdana" w:hAnsi="Verdana"/>
          <w:sz w:val="20"/>
        </w:rPr>
        <w:t xml:space="preserve">) que fueran urgentes para evitar una lesión inminente e irreversible al derecho a la salud; y </w:t>
      </w:r>
      <w:proofErr w:type="spellStart"/>
      <w:r w:rsidRPr="00CE3030">
        <w:rPr>
          <w:rFonts w:ascii="Verdana" w:hAnsi="Verdana"/>
          <w:sz w:val="20"/>
        </w:rPr>
        <w:t>iii</w:t>
      </w:r>
      <w:proofErr w:type="spellEnd"/>
      <w:r w:rsidRPr="00CE3030">
        <w:rPr>
          <w:rFonts w:ascii="Verdana" w:hAnsi="Verdana"/>
          <w:sz w:val="20"/>
        </w:rPr>
        <w:t xml:space="preserve">) cuando se omite el decreto de la urgencia manifiesta y concurren las circunstancias para que ésta hubiera sido declarada.  </w:t>
      </w:r>
    </w:p>
    <w:p w14:paraId="6E418C5A" w14:textId="77777777" w:rsidR="00AE164A" w:rsidRPr="00B4318D" w:rsidRDefault="00AE164A" w:rsidP="00AE164A">
      <w:pPr>
        <w:spacing w:after="0" w:line="240" w:lineRule="auto"/>
        <w:jc w:val="both"/>
        <w:rPr>
          <w:rFonts w:ascii="Verdana" w:hAnsi="Verdana"/>
          <w:b/>
        </w:rPr>
      </w:pPr>
      <w:r w:rsidRPr="00B4318D">
        <w:rPr>
          <w:rFonts w:ascii="Verdana" w:hAnsi="Verdana"/>
          <w:b/>
        </w:rPr>
        <w:t xml:space="preserve"> </w:t>
      </w:r>
    </w:p>
    <w:p w14:paraId="63B24C88" w14:textId="77777777" w:rsidR="00AE164A" w:rsidRPr="00B4318D" w:rsidRDefault="00AE164A" w:rsidP="00AE164A">
      <w:pPr>
        <w:spacing w:after="0" w:line="240" w:lineRule="auto"/>
        <w:jc w:val="both"/>
        <w:rPr>
          <w:rFonts w:ascii="Verdana" w:hAnsi="Verdana"/>
          <w:b/>
        </w:rPr>
      </w:pPr>
      <w:r w:rsidRPr="00B4318D">
        <w:rPr>
          <w:rFonts w:ascii="Verdana" w:hAnsi="Verdana"/>
          <w:b/>
        </w:rPr>
        <w:t xml:space="preserve">ENRIQUECIMIENTO SIN JUSTA CAUSA – Nueva Postura – Sentencia de Unificación Jurisprudencial – Elementos – Prueba de la Actividad - Circunstancia Excepcional - Procedencia  </w:t>
      </w:r>
    </w:p>
    <w:p w14:paraId="4A2EF691" w14:textId="77777777" w:rsidR="00AE164A" w:rsidRPr="00CE3030" w:rsidRDefault="00AE164A" w:rsidP="00AE164A">
      <w:pPr>
        <w:spacing w:after="0" w:line="240" w:lineRule="auto"/>
        <w:jc w:val="both"/>
        <w:rPr>
          <w:rFonts w:ascii="Verdana" w:hAnsi="Verdana"/>
          <w:sz w:val="20"/>
        </w:rPr>
      </w:pPr>
    </w:p>
    <w:p w14:paraId="06B5E781" w14:textId="77777777" w:rsidR="00AE164A" w:rsidRDefault="00AE164A" w:rsidP="00AE164A">
      <w:pPr>
        <w:spacing w:after="0" w:line="240" w:lineRule="auto"/>
        <w:jc w:val="both"/>
        <w:rPr>
          <w:rFonts w:ascii="Verdana" w:hAnsi="Verdana"/>
          <w:sz w:val="20"/>
        </w:rPr>
      </w:pPr>
      <w:r w:rsidRPr="00CE3030">
        <w:rPr>
          <w:rFonts w:ascii="Verdana" w:hAnsi="Verdana"/>
          <w:sz w:val="20"/>
        </w:rPr>
        <w:t xml:space="preserve">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 </w:t>
      </w:r>
    </w:p>
    <w:p w14:paraId="0B7EF6A4" w14:textId="77777777" w:rsidR="00AE164A" w:rsidRPr="00CE3030" w:rsidRDefault="00AE164A" w:rsidP="00AE164A">
      <w:pPr>
        <w:spacing w:after="0" w:line="240" w:lineRule="auto"/>
        <w:jc w:val="both"/>
        <w:rPr>
          <w:rFonts w:ascii="Verdana" w:hAnsi="Verdana"/>
          <w:sz w:val="20"/>
        </w:rPr>
      </w:pPr>
    </w:p>
    <w:p w14:paraId="20C89C97" w14:textId="77777777" w:rsidR="00AE164A" w:rsidRDefault="00AE164A" w:rsidP="00AE164A">
      <w:pPr>
        <w:spacing w:after="0" w:line="240" w:lineRule="auto"/>
        <w:jc w:val="both"/>
        <w:rPr>
          <w:rFonts w:ascii="Verdana" w:hAnsi="Verdana"/>
          <w:sz w:val="20"/>
        </w:rPr>
      </w:pPr>
      <w:r>
        <w:rPr>
          <w:rFonts w:ascii="Verdana" w:hAnsi="Verdana"/>
          <w:sz w:val="20"/>
        </w:rPr>
        <w:t>[…]</w:t>
      </w:r>
    </w:p>
    <w:p w14:paraId="4B2C0A5F" w14:textId="77777777" w:rsidR="00AE164A" w:rsidRPr="00CE3030" w:rsidRDefault="00AE164A" w:rsidP="00AE164A">
      <w:pPr>
        <w:spacing w:after="0" w:line="240" w:lineRule="auto"/>
        <w:jc w:val="both"/>
        <w:rPr>
          <w:rFonts w:ascii="Verdana" w:hAnsi="Verdana"/>
          <w:sz w:val="20"/>
        </w:rPr>
      </w:pPr>
    </w:p>
    <w:p w14:paraId="7396BD38" w14:textId="77777777" w:rsidR="00AE164A" w:rsidRPr="00381D6C" w:rsidRDefault="00AE164A" w:rsidP="00AE164A">
      <w:pPr>
        <w:spacing w:after="0" w:line="240" w:lineRule="auto"/>
        <w:jc w:val="both"/>
        <w:rPr>
          <w:rFonts w:ascii="Verdana" w:hAnsi="Verdana"/>
          <w:sz w:val="20"/>
          <w:szCs w:val="20"/>
          <w:lang w:val="es-ES"/>
        </w:rPr>
      </w:pPr>
      <w:r w:rsidRPr="00CE3030">
        <w:rPr>
          <w:rFonts w:ascii="Verdana" w:hAnsi="Verdana"/>
          <w:sz w:val="20"/>
        </w:rPr>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p>
    <w:p w14:paraId="78E5FDF5" w14:textId="77777777" w:rsidR="00AE164A" w:rsidRDefault="00AE164A" w:rsidP="00AE164A">
      <w:pPr>
        <w:spacing w:after="0" w:line="240" w:lineRule="auto"/>
        <w:jc w:val="both"/>
        <w:rPr>
          <w:rFonts w:ascii="Verdana" w:eastAsia="Times New Roman" w:hAnsi="Verdana" w:cs="Arial"/>
          <w:color w:val="000000"/>
          <w:sz w:val="20"/>
          <w:szCs w:val="20"/>
          <w:lang w:eastAsia="es-MX"/>
        </w:rPr>
      </w:pPr>
      <w:r>
        <w:rPr>
          <w:rFonts w:ascii="Verdana" w:eastAsia="Times New Roman" w:hAnsi="Verdana" w:cs="Arial"/>
          <w:color w:val="000000"/>
          <w:sz w:val="20"/>
          <w:szCs w:val="20"/>
          <w:lang w:eastAsia="es-MX"/>
        </w:rPr>
        <w:t xml:space="preserve"> </w:t>
      </w:r>
    </w:p>
    <w:p w14:paraId="2A4CA082" w14:textId="77777777" w:rsidR="00AE164A" w:rsidRPr="00705C5F" w:rsidRDefault="00AE164A" w:rsidP="00AE164A">
      <w:pPr>
        <w:spacing w:after="0" w:line="240" w:lineRule="auto"/>
        <w:jc w:val="both"/>
        <w:rPr>
          <w:rFonts w:ascii="Verdana" w:eastAsia="Times New Roman" w:hAnsi="Verdana" w:cs="Arial"/>
          <w:color w:val="000000"/>
          <w:sz w:val="20"/>
          <w:szCs w:val="20"/>
          <w:lang w:eastAsia="es-MX"/>
        </w:rPr>
      </w:pPr>
    </w:p>
    <w:p w14:paraId="58B6627B" w14:textId="77777777" w:rsidR="00AE164A" w:rsidRPr="00DE2AC7" w:rsidRDefault="00AE164A" w:rsidP="00AE164A">
      <w:pPr>
        <w:spacing w:after="0" w:line="240" w:lineRule="auto"/>
        <w:jc w:val="both"/>
        <w:rPr>
          <w:rFonts w:ascii="Verdana" w:eastAsia="Geomanist Light" w:hAnsi="Verdana" w:cs="Arial"/>
          <w:color w:val="000000" w:themeColor="text1"/>
        </w:rPr>
      </w:pPr>
    </w:p>
    <w:p w14:paraId="67ECFEEB" w14:textId="77777777" w:rsidR="00AE164A" w:rsidRDefault="00AE164A" w:rsidP="00AE164A">
      <w:pPr>
        <w:spacing w:after="0" w:line="240" w:lineRule="auto"/>
        <w:rPr>
          <w:rFonts w:ascii="Verdana" w:eastAsia="Geomanist Light" w:hAnsi="Verdana" w:cs="Arial"/>
          <w:color w:val="000000" w:themeColor="text1"/>
          <w:lang w:val="es-MX"/>
        </w:rPr>
      </w:pPr>
    </w:p>
    <w:p w14:paraId="09FC6F57" w14:textId="77777777" w:rsidR="00AE164A" w:rsidRDefault="00AE164A" w:rsidP="00AE164A">
      <w:pPr>
        <w:spacing w:after="0" w:line="240" w:lineRule="auto"/>
        <w:rPr>
          <w:rFonts w:ascii="Verdana" w:eastAsia="Geomanist Light" w:hAnsi="Verdana" w:cs="Arial"/>
          <w:color w:val="000000" w:themeColor="text1"/>
          <w:lang w:val="es-MX"/>
        </w:rPr>
      </w:pPr>
    </w:p>
    <w:p w14:paraId="34481AA6" w14:textId="77777777" w:rsidR="00AE164A" w:rsidRDefault="00AE164A" w:rsidP="00AE164A">
      <w:pPr>
        <w:spacing w:after="0" w:line="240" w:lineRule="auto"/>
        <w:rPr>
          <w:rFonts w:ascii="Verdana" w:eastAsia="Geomanist Light" w:hAnsi="Verdana" w:cs="Arial"/>
          <w:color w:val="000000" w:themeColor="text1"/>
          <w:lang w:val="es-MX"/>
        </w:rPr>
      </w:pPr>
    </w:p>
    <w:p w14:paraId="4D331511" w14:textId="77777777" w:rsidR="00AE164A" w:rsidRDefault="00AE164A" w:rsidP="00AE164A">
      <w:pPr>
        <w:spacing w:after="0" w:line="240" w:lineRule="auto"/>
        <w:rPr>
          <w:rFonts w:ascii="Verdana" w:eastAsia="Geomanist Light" w:hAnsi="Verdana" w:cs="Arial"/>
          <w:color w:val="000000" w:themeColor="text1"/>
          <w:lang w:val="es-MX"/>
        </w:rPr>
      </w:pPr>
    </w:p>
    <w:p w14:paraId="3BBC00F2" w14:textId="77777777" w:rsidR="00AE164A" w:rsidRDefault="00AE164A" w:rsidP="00AE164A">
      <w:pPr>
        <w:spacing w:after="0" w:line="240" w:lineRule="auto"/>
        <w:rPr>
          <w:rFonts w:ascii="Verdana" w:eastAsia="Geomanist Light" w:hAnsi="Verdana" w:cs="Arial"/>
          <w:color w:val="000000" w:themeColor="text1"/>
          <w:lang w:val="es-MX"/>
        </w:rPr>
      </w:pPr>
    </w:p>
    <w:p w14:paraId="367D209A" w14:textId="77777777" w:rsidR="00AE164A" w:rsidRDefault="00AE164A" w:rsidP="00AE164A">
      <w:pPr>
        <w:spacing w:after="0" w:line="240" w:lineRule="auto"/>
        <w:rPr>
          <w:rFonts w:ascii="Verdana" w:eastAsia="Geomanist Light" w:hAnsi="Verdana" w:cs="Arial"/>
          <w:color w:val="000000" w:themeColor="text1"/>
          <w:lang w:val="es-MX"/>
        </w:rPr>
      </w:pPr>
    </w:p>
    <w:p w14:paraId="795881DE" w14:textId="77777777" w:rsidR="00AE164A" w:rsidRDefault="00AE164A" w:rsidP="00AE164A">
      <w:pPr>
        <w:spacing w:after="0" w:line="240" w:lineRule="auto"/>
        <w:rPr>
          <w:rFonts w:ascii="Verdana" w:eastAsia="Geomanist Light" w:hAnsi="Verdana" w:cs="Arial"/>
          <w:color w:val="000000" w:themeColor="text1"/>
          <w:lang w:val="es-MX"/>
        </w:rPr>
      </w:pPr>
    </w:p>
    <w:p w14:paraId="537B1E41" w14:textId="77777777" w:rsidR="00AE164A" w:rsidRDefault="00AE164A" w:rsidP="00AE164A">
      <w:pPr>
        <w:spacing w:after="0" w:line="240" w:lineRule="auto"/>
        <w:rPr>
          <w:rFonts w:ascii="Verdana" w:eastAsia="Geomanist Light" w:hAnsi="Verdana" w:cs="Arial"/>
          <w:color w:val="000000" w:themeColor="text1"/>
          <w:lang w:val="es-MX"/>
        </w:rPr>
      </w:pPr>
    </w:p>
    <w:p w14:paraId="35448027" w14:textId="77777777" w:rsidR="00AE164A" w:rsidRDefault="00AE164A" w:rsidP="00AE164A">
      <w:pPr>
        <w:spacing w:after="0" w:line="240" w:lineRule="auto"/>
        <w:rPr>
          <w:rFonts w:ascii="Verdana" w:eastAsia="Geomanist Light" w:hAnsi="Verdana" w:cs="Arial"/>
          <w:color w:val="000000" w:themeColor="text1"/>
          <w:lang w:val="es-MX"/>
        </w:rPr>
      </w:pPr>
    </w:p>
    <w:p w14:paraId="1FF51829" w14:textId="77777777" w:rsidR="00AE164A" w:rsidRDefault="00AE164A" w:rsidP="00AE164A">
      <w:pPr>
        <w:spacing w:after="0" w:line="240" w:lineRule="auto"/>
        <w:rPr>
          <w:rFonts w:ascii="Verdana" w:eastAsia="Geomanist Light" w:hAnsi="Verdana" w:cs="Arial"/>
          <w:color w:val="000000" w:themeColor="text1"/>
          <w:lang w:val="es-MX"/>
        </w:rPr>
      </w:pPr>
    </w:p>
    <w:p w14:paraId="18AC9505" w14:textId="77777777" w:rsidR="00AE164A" w:rsidRDefault="00AE164A" w:rsidP="00AE164A">
      <w:pPr>
        <w:spacing w:after="0" w:line="240" w:lineRule="auto"/>
        <w:rPr>
          <w:rFonts w:ascii="Verdana" w:eastAsia="Geomanist Light" w:hAnsi="Verdana" w:cs="Arial"/>
          <w:color w:val="000000" w:themeColor="text1"/>
          <w:lang w:val="es-MX"/>
        </w:rPr>
      </w:pPr>
    </w:p>
    <w:p w14:paraId="2FDD962B" w14:textId="77777777" w:rsidR="00AE164A" w:rsidRDefault="00AE164A" w:rsidP="00AE164A">
      <w:pPr>
        <w:spacing w:after="0" w:line="240" w:lineRule="auto"/>
        <w:rPr>
          <w:rFonts w:ascii="Verdana" w:eastAsia="Geomanist Light" w:hAnsi="Verdana" w:cs="Arial"/>
          <w:color w:val="000000" w:themeColor="text1"/>
          <w:lang w:val="es-MX"/>
        </w:rPr>
      </w:pPr>
    </w:p>
    <w:p w14:paraId="62D6AFAF" w14:textId="77777777" w:rsidR="00AE164A" w:rsidRDefault="00AE164A" w:rsidP="00AE164A">
      <w:pPr>
        <w:spacing w:after="0" w:line="240" w:lineRule="auto"/>
        <w:rPr>
          <w:rFonts w:ascii="Verdana" w:eastAsia="Geomanist Light" w:hAnsi="Verdana" w:cs="Arial"/>
          <w:color w:val="000000" w:themeColor="text1"/>
          <w:lang w:val="es-MX"/>
        </w:rPr>
      </w:pPr>
    </w:p>
    <w:p w14:paraId="611EB207" w14:textId="77777777" w:rsidR="00AE164A" w:rsidRDefault="00AE164A" w:rsidP="00AE164A">
      <w:pPr>
        <w:spacing w:after="0" w:line="240" w:lineRule="auto"/>
        <w:rPr>
          <w:rFonts w:ascii="Verdana" w:eastAsia="Geomanist Light" w:hAnsi="Verdana" w:cs="Arial"/>
          <w:color w:val="000000" w:themeColor="text1"/>
          <w:lang w:val="es-MX"/>
        </w:rPr>
      </w:pPr>
    </w:p>
    <w:p w14:paraId="71A08E22" w14:textId="77777777" w:rsidR="00AE164A" w:rsidRDefault="00AE164A" w:rsidP="00AE164A">
      <w:pPr>
        <w:spacing w:after="0" w:line="240" w:lineRule="auto"/>
        <w:rPr>
          <w:rFonts w:ascii="Verdana" w:eastAsia="Geomanist Light" w:hAnsi="Verdana" w:cs="Arial"/>
          <w:color w:val="000000" w:themeColor="text1"/>
          <w:lang w:val="es-MX"/>
        </w:rPr>
      </w:pPr>
    </w:p>
    <w:p w14:paraId="37799527" w14:textId="77777777" w:rsidR="00AE164A" w:rsidRDefault="00AE164A" w:rsidP="00AE164A">
      <w:pPr>
        <w:spacing w:after="0" w:line="240" w:lineRule="auto"/>
        <w:rPr>
          <w:rFonts w:ascii="Verdana" w:eastAsia="Geomanist Light" w:hAnsi="Verdana" w:cs="Arial"/>
          <w:color w:val="000000" w:themeColor="text1"/>
          <w:lang w:val="es-MX"/>
        </w:rPr>
      </w:pPr>
    </w:p>
    <w:p w14:paraId="4E5BDB19" w14:textId="77777777" w:rsidR="00AE164A" w:rsidRDefault="00AE164A" w:rsidP="00AE164A">
      <w:pPr>
        <w:spacing w:after="0" w:line="240" w:lineRule="auto"/>
        <w:rPr>
          <w:rFonts w:ascii="Verdana" w:eastAsia="Geomanist Light" w:hAnsi="Verdana" w:cs="Arial"/>
          <w:color w:val="000000" w:themeColor="text1"/>
          <w:lang w:val="es-MX"/>
        </w:rPr>
      </w:pPr>
    </w:p>
    <w:p w14:paraId="34F1376F" w14:textId="77777777" w:rsidR="00AE164A" w:rsidRDefault="00AE164A" w:rsidP="00AE164A">
      <w:pPr>
        <w:spacing w:after="0" w:line="240" w:lineRule="auto"/>
        <w:rPr>
          <w:rFonts w:ascii="Verdana" w:eastAsia="Geomanist Light" w:hAnsi="Verdana" w:cs="Arial"/>
          <w:color w:val="000000" w:themeColor="text1"/>
          <w:lang w:val="es-MX"/>
        </w:rPr>
      </w:pPr>
    </w:p>
    <w:p w14:paraId="24E85FA3" w14:textId="77777777" w:rsidR="00AE164A" w:rsidRDefault="00AE164A" w:rsidP="00AE164A">
      <w:pPr>
        <w:spacing w:after="0" w:line="240" w:lineRule="auto"/>
        <w:rPr>
          <w:rFonts w:ascii="Verdana" w:eastAsia="Geomanist Light" w:hAnsi="Verdana" w:cs="Arial"/>
          <w:color w:val="000000" w:themeColor="text1"/>
          <w:lang w:val="es-MX"/>
        </w:rPr>
      </w:pPr>
    </w:p>
    <w:p w14:paraId="01A9C08B" w14:textId="77777777" w:rsidR="00AE164A" w:rsidRDefault="00AE164A" w:rsidP="00AE164A">
      <w:pPr>
        <w:spacing w:after="0" w:line="240" w:lineRule="auto"/>
        <w:rPr>
          <w:rFonts w:ascii="Verdana" w:eastAsia="Geomanist Light" w:hAnsi="Verdana" w:cs="Arial"/>
          <w:color w:val="000000" w:themeColor="text1"/>
          <w:lang w:val="es-MX"/>
        </w:rPr>
      </w:pPr>
    </w:p>
    <w:p w14:paraId="684C3D2E" w14:textId="77777777" w:rsidR="00AE164A" w:rsidRDefault="00AE164A" w:rsidP="00AE164A">
      <w:pPr>
        <w:spacing w:after="0" w:line="240" w:lineRule="auto"/>
        <w:rPr>
          <w:rFonts w:ascii="Verdana" w:eastAsia="Geomanist Light" w:hAnsi="Verdana" w:cs="Arial"/>
          <w:color w:val="000000" w:themeColor="text1"/>
          <w:lang w:val="es-MX"/>
        </w:rPr>
      </w:pPr>
    </w:p>
    <w:p w14:paraId="4FD3FFC1" w14:textId="77777777" w:rsidR="00AE164A" w:rsidRDefault="00AE164A" w:rsidP="00AE164A">
      <w:pPr>
        <w:spacing w:after="0" w:line="240" w:lineRule="auto"/>
        <w:rPr>
          <w:rFonts w:ascii="Verdana" w:eastAsia="Geomanist Light" w:hAnsi="Verdana" w:cs="Arial"/>
          <w:color w:val="000000" w:themeColor="text1"/>
          <w:lang w:val="es-MX"/>
        </w:rPr>
      </w:pPr>
    </w:p>
    <w:p w14:paraId="13075F97" w14:textId="77777777" w:rsidR="00AE164A" w:rsidRDefault="00AE164A" w:rsidP="00AE164A">
      <w:pPr>
        <w:spacing w:after="0" w:line="240" w:lineRule="auto"/>
        <w:rPr>
          <w:rFonts w:ascii="Verdana" w:eastAsia="Geomanist Light" w:hAnsi="Verdana" w:cs="Arial"/>
          <w:color w:val="000000" w:themeColor="text1"/>
          <w:lang w:val="es-MX"/>
        </w:rPr>
      </w:pPr>
    </w:p>
    <w:p w14:paraId="1CEADA7B" w14:textId="77777777" w:rsidR="00AE164A" w:rsidRDefault="00AE164A" w:rsidP="00AE164A">
      <w:pPr>
        <w:spacing w:after="0" w:line="240" w:lineRule="auto"/>
        <w:rPr>
          <w:rFonts w:ascii="Verdana" w:eastAsia="Geomanist Light" w:hAnsi="Verdana" w:cs="Arial"/>
          <w:color w:val="000000" w:themeColor="text1"/>
          <w:lang w:val="es-MX"/>
        </w:rPr>
      </w:pPr>
    </w:p>
    <w:p w14:paraId="78CC641E" w14:textId="77777777" w:rsidR="00AE164A" w:rsidRDefault="00AE164A" w:rsidP="00AE164A">
      <w:pPr>
        <w:spacing w:after="0" w:line="240" w:lineRule="auto"/>
        <w:rPr>
          <w:rFonts w:ascii="Verdana" w:eastAsia="Geomanist Light" w:hAnsi="Verdana" w:cs="Arial"/>
          <w:color w:val="000000" w:themeColor="text1"/>
          <w:lang w:val="es-MX"/>
        </w:rPr>
      </w:pPr>
    </w:p>
    <w:p w14:paraId="5429BF05" w14:textId="77777777" w:rsidR="00AE164A" w:rsidRDefault="00AE164A" w:rsidP="00AE164A">
      <w:pPr>
        <w:spacing w:after="0" w:line="240" w:lineRule="auto"/>
        <w:rPr>
          <w:rFonts w:ascii="Verdana" w:eastAsia="Geomanist Light" w:hAnsi="Verdana" w:cs="Arial"/>
          <w:color w:val="000000" w:themeColor="text1"/>
          <w:lang w:val="es-MX"/>
        </w:rPr>
      </w:pPr>
    </w:p>
    <w:p w14:paraId="609200DA" w14:textId="77777777" w:rsidR="00AE164A" w:rsidRDefault="00AE164A" w:rsidP="00AE164A">
      <w:pPr>
        <w:spacing w:after="0" w:line="240" w:lineRule="auto"/>
        <w:rPr>
          <w:rFonts w:ascii="Verdana" w:eastAsia="Geomanist Light" w:hAnsi="Verdana" w:cs="Arial"/>
          <w:color w:val="000000" w:themeColor="text1"/>
          <w:lang w:val="es-MX"/>
        </w:rPr>
      </w:pPr>
    </w:p>
    <w:p w14:paraId="5C378376" w14:textId="77777777" w:rsidR="00AE164A" w:rsidRDefault="00AE164A" w:rsidP="00AE164A">
      <w:pPr>
        <w:spacing w:after="0" w:line="240" w:lineRule="auto"/>
        <w:rPr>
          <w:rFonts w:ascii="Verdana" w:eastAsia="Geomanist Light" w:hAnsi="Verdana" w:cs="Arial"/>
          <w:color w:val="000000" w:themeColor="text1"/>
          <w:lang w:val="es-MX"/>
        </w:rPr>
      </w:pPr>
    </w:p>
    <w:p w14:paraId="58BB1EA8" w14:textId="77777777" w:rsidR="00AE164A" w:rsidRDefault="00AE164A" w:rsidP="00AE164A">
      <w:pPr>
        <w:spacing w:after="0" w:line="240" w:lineRule="auto"/>
        <w:rPr>
          <w:rFonts w:ascii="Verdana" w:eastAsia="Geomanist Light" w:hAnsi="Verdana" w:cs="Arial"/>
          <w:color w:val="000000" w:themeColor="text1"/>
          <w:lang w:val="es-MX"/>
        </w:rPr>
      </w:pPr>
    </w:p>
    <w:p w14:paraId="456FB821" w14:textId="77777777" w:rsidR="00AE164A" w:rsidRDefault="00AE164A" w:rsidP="00455C07">
      <w:pPr>
        <w:spacing w:after="0" w:line="240" w:lineRule="auto"/>
        <w:rPr>
          <w:rFonts w:ascii="Verdana" w:eastAsia="Geomanist Light" w:hAnsi="Verdana" w:cs="Arial"/>
          <w:color w:val="000000" w:themeColor="text1"/>
          <w:lang w:val="es-MX"/>
        </w:rPr>
      </w:pPr>
    </w:p>
    <w:p w14:paraId="7A57FE48" w14:textId="77777777" w:rsidR="00AE164A" w:rsidRDefault="00AE164A" w:rsidP="00455C07">
      <w:pPr>
        <w:spacing w:after="0" w:line="240" w:lineRule="auto"/>
        <w:rPr>
          <w:rFonts w:ascii="Verdana" w:eastAsia="Geomanist Light" w:hAnsi="Verdana" w:cs="Arial"/>
          <w:color w:val="000000" w:themeColor="text1"/>
          <w:lang w:val="es-MX"/>
        </w:rPr>
      </w:pPr>
    </w:p>
    <w:p w14:paraId="56F6CF5F" w14:textId="21689D85" w:rsidR="00455C07" w:rsidRPr="00A8742B" w:rsidRDefault="00455C07" w:rsidP="00455C07">
      <w:pPr>
        <w:spacing w:after="0" w:line="240" w:lineRule="auto"/>
        <w:rPr>
          <w:rFonts w:ascii="Verdana" w:eastAsia="Geomanist Light" w:hAnsi="Verdana" w:cs="Arial"/>
          <w:color w:val="201F1E"/>
        </w:rPr>
      </w:pPr>
      <w:r w:rsidRPr="00593A5F">
        <w:rPr>
          <w:rFonts w:ascii="Verdana" w:eastAsia="Geomanist Light" w:hAnsi="Verdana" w:cs="Arial"/>
          <w:color w:val="000000" w:themeColor="text1"/>
          <w:lang w:val="es-MX"/>
        </w:rPr>
        <w:lastRenderedPageBreak/>
        <w:t>Bogotá D.C., </w:t>
      </w:r>
      <w:r w:rsidR="00A8742B" w:rsidRPr="00A8742B">
        <w:rPr>
          <w:rFonts w:ascii="Verdana" w:eastAsia="Geomanist Light" w:hAnsi="Verdana" w:cs="Arial"/>
          <w:color w:val="000000" w:themeColor="text1"/>
          <w:lang w:val="es-MX"/>
        </w:rPr>
        <w:t>30 de Enero de 2026</w:t>
      </w:r>
    </w:p>
    <w:p w14:paraId="557E6539" w14:textId="77777777" w:rsidR="00455C07" w:rsidRDefault="00455C07" w:rsidP="00455C07">
      <w:pPr>
        <w:spacing w:after="0" w:line="240" w:lineRule="auto"/>
        <w:jc w:val="both"/>
        <w:rPr>
          <w:rFonts w:ascii="Verdana" w:eastAsia="Calibri" w:hAnsi="Verdana" w:cs="Arial"/>
          <w:color w:val="000000"/>
          <w:lang w:val="es-ES"/>
        </w:rPr>
      </w:pPr>
    </w:p>
    <w:p w14:paraId="6CFE2341" w14:textId="58459559" w:rsidR="00455C07" w:rsidRDefault="001F3DC5" w:rsidP="002A2E83">
      <w:pPr>
        <w:spacing w:after="0" w:line="240" w:lineRule="auto"/>
        <w:jc w:val="right"/>
        <w:rPr>
          <w:rFonts w:ascii="Verdana" w:eastAsia="Calibri" w:hAnsi="Verdana" w:cs="Arial"/>
          <w:color w:val="000000"/>
          <w:lang w:val="es-ES"/>
        </w:rPr>
      </w:pPr>
      <w:r w:rsidRPr="001F3DC5">
        <w:rPr>
          <w:rFonts w:ascii="Verdana" w:eastAsia="Calibri" w:hAnsi="Verdana" w:cs="Arial"/>
          <w:noProof/>
          <w:color w:val="000000"/>
          <w:lang w:val="es-ES"/>
        </w:rPr>
        <w:drawing>
          <wp:inline distT="0" distB="0" distL="0" distR="0" wp14:anchorId="007F4E07" wp14:editId="2EE11C17">
            <wp:extent cx="3238500" cy="901700"/>
            <wp:effectExtent l="0" t="0" r="0" b="0"/>
            <wp:docPr id="2110759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5971" name=""/>
                    <pic:cNvPicPr/>
                  </pic:nvPicPr>
                  <pic:blipFill>
                    <a:blip r:embed="rId10"/>
                    <a:stretch>
                      <a:fillRect/>
                    </a:stretch>
                  </pic:blipFill>
                  <pic:spPr>
                    <a:xfrm>
                      <a:off x="0" y="0"/>
                      <a:ext cx="3238500" cy="901700"/>
                    </a:xfrm>
                    <a:prstGeom prst="rect">
                      <a:avLst/>
                    </a:prstGeom>
                  </pic:spPr>
                </pic:pic>
              </a:graphicData>
            </a:graphic>
          </wp:inline>
        </w:drawing>
      </w:r>
    </w:p>
    <w:p w14:paraId="03B073A7" w14:textId="77777777" w:rsidR="001F3DC5" w:rsidRPr="00593A5F" w:rsidRDefault="001F3DC5" w:rsidP="00455C07">
      <w:pPr>
        <w:spacing w:after="0" w:line="240" w:lineRule="auto"/>
        <w:jc w:val="both"/>
        <w:rPr>
          <w:rFonts w:ascii="Verdana" w:eastAsia="Calibri" w:hAnsi="Verdana" w:cs="Arial"/>
          <w:color w:val="000000"/>
          <w:lang w:val="es-ES"/>
        </w:rPr>
      </w:pPr>
    </w:p>
    <w:p w14:paraId="6C9B75DD" w14:textId="77777777" w:rsidR="00455C07" w:rsidRPr="00B96799" w:rsidRDefault="00455C07" w:rsidP="00455C07">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30585DD" w14:textId="77777777" w:rsidR="00455C07" w:rsidRPr="0085423D" w:rsidRDefault="00455C07" w:rsidP="00455C07">
      <w:pPr>
        <w:spacing w:after="0" w:line="240" w:lineRule="auto"/>
        <w:rPr>
          <w:rFonts w:ascii="Verdana" w:eastAsia="Calibri" w:hAnsi="Verdana" w:cs="Arial"/>
          <w:b/>
          <w:lang w:val="es-ES_tradnl" w:eastAsia="es-ES_tradnl"/>
        </w:rPr>
      </w:pPr>
      <w:bookmarkStart w:id="0" w:name="OLE_LINK1"/>
      <w:r w:rsidRPr="008C5452">
        <w:rPr>
          <w:rFonts w:ascii="Verdana" w:eastAsia="Calibri" w:hAnsi="Verdana" w:cs="Arial"/>
          <w:b/>
          <w:lang w:val="es-ES_tradnl" w:eastAsia="es-ES_tradnl"/>
        </w:rPr>
        <w:t>Luis Fernando Alarcón Pena</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25ED3C63" w14:textId="77777777" w:rsidR="00455C07" w:rsidRPr="00A804BA" w:rsidRDefault="00455C07" w:rsidP="00455C07">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1A3BA0">
        <w:rPr>
          <w:rFonts w:ascii="Verdana" w:hAnsi="Verdana"/>
        </w:rPr>
        <w:instrText>luisfernandoalarconp@gmail.com</w:instrText>
      </w:r>
      <w:r>
        <w:rPr>
          <w:rFonts w:ascii="Verdana" w:hAnsi="Verdana"/>
        </w:rPr>
        <w:instrText>"</w:instrText>
      </w:r>
      <w:r>
        <w:rPr>
          <w:rFonts w:ascii="Verdana" w:hAnsi="Verdana"/>
        </w:rPr>
      </w:r>
      <w:r>
        <w:rPr>
          <w:rFonts w:ascii="Verdana" w:hAnsi="Verdana"/>
        </w:rPr>
        <w:fldChar w:fldCharType="separate"/>
      </w:r>
      <w:r w:rsidRPr="00A76235">
        <w:rPr>
          <w:rStyle w:val="Hipervnculo"/>
          <w:rFonts w:ascii="Verdana" w:hAnsi="Verdana"/>
        </w:rPr>
        <w:t>luisfernandoalarconp@gmail.com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19327849" w14:textId="77777777" w:rsidR="00455C07" w:rsidRDefault="00455C07" w:rsidP="00455C07">
      <w:pPr>
        <w:spacing w:after="0" w:line="240" w:lineRule="auto"/>
        <w:rPr>
          <w:rFonts w:ascii="Verdana" w:eastAsia="Calibri" w:hAnsi="Verdana" w:cs="Arial"/>
          <w:lang w:val="es-ES" w:eastAsia="es-ES"/>
        </w:rPr>
      </w:pPr>
      <w:r w:rsidRPr="00226404">
        <w:rPr>
          <w:rFonts w:ascii="Verdana" w:eastAsia="Calibri" w:hAnsi="Verdana" w:cs="Arial"/>
          <w:lang w:val="es-ES" w:eastAsia="es-ES"/>
        </w:rPr>
        <w:t>Bogotá D.C.</w:t>
      </w:r>
      <w:r>
        <w:rPr>
          <w:rFonts w:ascii="Verdana" w:eastAsia="Calibri" w:hAnsi="Verdana" w:cs="Arial"/>
          <w:lang w:val="es-ES" w:eastAsia="es-ES"/>
        </w:rPr>
        <w:t xml:space="preserve"> </w:t>
      </w:r>
    </w:p>
    <w:p w14:paraId="403D4596" w14:textId="77777777" w:rsidR="00455C07" w:rsidRPr="00593A5F" w:rsidRDefault="00455C07" w:rsidP="00455C07">
      <w:pPr>
        <w:spacing w:after="0" w:line="240" w:lineRule="auto"/>
        <w:rPr>
          <w:rFonts w:ascii="Verdana" w:eastAsia="Calibri" w:hAnsi="Verdana" w:cs="Arial"/>
          <w:b/>
          <w:bCs/>
          <w:color w:val="000000"/>
          <w:lang w:val="es-ES_tradnl" w:eastAsia="es-ES_tradnl"/>
        </w:rPr>
      </w:pPr>
    </w:p>
    <w:p w14:paraId="09A366C2" w14:textId="77777777" w:rsidR="00455C07" w:rsidRPr="00593A5F" w:rsidRDefault="00455C07" w:rsidP="00455C07">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55C07" w:rsidRPr="00593A5F" w14:paraId="6D41921C" w14:textId="77777777" w:rsidTr="00C15788">
        <w:trPr>
          <w:trHeight w:val="884"/>
        </w:trPr>
        <w:tc>
          <w:tcPr>
            <w:tcW w:w="2689" w:type="dxa"/>
          </w:tcPr>
          <w:p w14:paraId="5CA9DD18" w14:textId="77777777" w:rsidR="00455C07" w:rsidRPr="00C00976" w:rsidRDefault="00455C07" w:rsidP="00C15788">
            <w:pPr>
              <w:jc w:val="both"/>
              <w:rPr>
                <w:rFonts w:ascii="Verdana" w:eastAsia="Calibri" w:hAnsi="Verdana" w:cs="Arial"/>
                <w:b/>
                <w:bCs/>
                <w:color w:val="7030A0"/>
                <w:lang w:val="es-ES_tradnl" w:eastAsia="es-ES_tradnl"/>
              </w:rPr>
            </w:pPr>
          </w:p>
        </w:tc>
        <w:tc>
          <w:tcPr>
            <w:tcW w:w="6100" w:type="dxa"/>
          </w:tcPr>
          <w:p w14:paraId="7B93B988" w14:textId="77777777" w:rsidR="00455C07" w:rsidRPr="00C00976" w:rsidRDefault="00455C07" w:rsidP="00C15788">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080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455C07" w:rsidRPr="00593A5F" w14:paraId="5BD94802" w14:textId="77777777" w:rsidTr="00C15788">
        <w:trPr>
          <w:trHeight w:val="884"/>
        </w:trPr>
        <w:tc>
          <w:tcPr>
            <w:tcW w:w="2689" w:type="dxa"/>
          </w:tcPr>
          <w:p w14:paraId="078F382F" w14:textId="77777777" w:rsidR="00455C07" w:rsidRPr="00593A5F" w:rsidRDefault="00455C07" w:rsidP="00C1578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C6B07DE" w14:textId="77777777" w:rsidR="00455C07" w:rsidRDefault="00455C07" w:rsidP="00C15788">
            <w:pPr>
              <w:spacing w:line="276" w:lineRule="auto"/>
              <w:jc w:val="both"/>
              <w:rPr>
                <w:rFonts w:ascii="Verdana" w:eastAsia="Calibri" w:hAnsi="Verdana" w:cs="Arial"/>
                <w:lang w:val="es-ES" w:eastAsia="es-ES"/>
              </w:rPr>
            </w:pPr>
            <w:r w:rsidRPr="00660AA2">
              <w:rPr>
                <w:rFonts w:ascii="Verdana" w:eastAsia="Calibri" w:hAnsi="Verdana" w:cs="Arial"/>
                <w:lang w:val="es-ES" w:eastAsia="es-ES"/>
              </w:rPr>
              <w:t>EQUILIBRIO ECONÓMICO – Contrato estatal – Fundamento / EQUILIBRIO ECONÓMICO – Contrato estatal – Concepto / EQUILIBRIO ECONÓMICO – Contrato estatal – Restablecimiento – Procedencia – Requisitos</w:t>
            </w:r>
            <w:r>
              <w:rPr>
                <w:rFonts w:ascii="Verdana" w:eastAsia="Calibri" w:hAnsi="Verdana" w:cs="Arial"/>
                <w:lang w:val="es-ES" w:eastAsia="es-ES"/>
              </w:rPr>
              <w:t xml:space="preserve"> / </w:t>
            </w:r>
            <w:r w:rsidRPr="00660AA2">
              <w:rPr>
                <w:rFonts w:ascii="Verdana" w:eastAsia="Calibri" w:hAnsi="Verdana" w:cs="Arial"/>
                <w:lang w:val="es-ES" w:eastAsia="es-ES"/>
              </w:rPr>
              <w:t xml:space="preserve">RESTABLECIMIENTO DE LA ECUACIÓN ECONÓMICA – Liquidación </w:t>
            </w:r>
            <w:r>
              <w:rPr>
                <w:rFonts w:ascii="Verdana" w:eastAsia="Calibri" w:hAnsi="Verdana" w:cs="Arial"/>
                <w:lang w:val="es-ES" w:eastAsia="es-ES"/>
              </w:rPr>
              <w:t xml:space="preserve">/ </w:t>
            </w:r>
            <w:r w:rsidRPr="00A04C35">
              <w:rPr>
                <w:rFonts w:ascii="Verdana" w:hAnsi="Verdana" w:cs="Arial"/>
                <w:lang w:val="es-ES" w:eastAsia="es-ES"/>
              </w:rPr>
              <w:t>ENRIQUECIMIENTO SIN JUSTA CAUSA – Sentencia de Unificación del 19 de noviembre de 2012 – Alcance / ENRIQUECIMIENTO SIN JUSTA CAUSA – Nueva Postura – Sentencia de Unificación Jurisprudencial – Elementos – Prueba de la Actividad - Circunstancia Excepcional - Procedencia</w:t>
            </w:r>
          </w:p>
          <w:p w14:paraId="51198A3E" w14:textId="77777777" w:rsidR="00455C07" w:rsidRPr="00593A5F" w:rsidRDefault="00455C07" w:rsidP="00C15788">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455C07" w:rsidRPr="008E6AD9" w14:paraId="039A27E2" w14:textId="77777777" w:rsidTr="00C15788">
        <w:tc>
          <w:tcPr>
            <w:tcW w:w="2689" w:type="dxa"/>
          </w:tcPr>
          <w:p w14:paraId="39AC6C9D" w14:textId="77777777" w:rsidR="00455C07" w:rsidRPr="008E6AD9" w:rsidRDefault="00455C07" w:rsidP="00C15788">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6CF8E7D" w14:textId="77777777" w:rsidR="00455C07" w:rsidRPr="00B92340" w:rsidRDefault="00455C07" w:rsidP="00C15788">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206157">
              <w:rPr>
                <w:rFonts w:ascii="Verdana" w:eastAsia="Calibri" w:hAnsi="Verdana" w:cs="Arial"/>
                <w:lang w:val="es-ES_tradnl" w:eastAsia="es-ES_tradnl"/>
              </w:rPr>
              <w:t>1_2026_01_21_000645</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4BF8ADBE" w14:textId="77777777" w:rsidR="00455C07" w:rsidRPr="00593A5F" w:rsidRDefault="00455C07" w:rsidP="00455C07">
      <w:pPr>
        <w:spacing w:after="0" w:line="240" w:lineRule="auto"/>
        <w:jc w:val="both"/>
        <w:rPr>
          <w:rFonts w:ascii="Verdana" w:eastAsia="Calibri" w:hAnsi="Verdana" w:cs="Arial"/>
          <w:color w:val="000000"/>
          <w:lang w:val="es-ES_tradnl" w:eastAsia="es-ES_tradnl"/>
        </w:rPr>
      </w:pPr>
    </w:p>
    <w:p w14:paraId="1E2E250C" w14:textId="77777777" w:rsidR="00455C07" w:rsidRPr="00593A5F" w:rsidRDefault="00455C07" w:rsidP="00455C07">
      <w:pPr>
        <w:spacing w:after="0" w:line="240" w:lineRule="auto"/>
        <w:jc w:val="both"/>
        <w:rPr>
          <w:rFonts w:ascii="Verdana" w:eastAsia="Calibri" w:hAnsi="Verdana" w:cs="Arial"/>
          <w:color w:val="000000"/>
          <w:lang w:val="es-ES_tradnl" w:eastAsia="es-ES_tradnl"/>
        </w:rPr>
      </w:pPr>
    </w:p>
    <w:p w14:paraId="6B4FFAB9" w14:textId="77777777" w:rsidR="00455C07" w:rsidRPr="008E6AD9" w:rsidRDefault="00455C07" w:rsidP="00455C07">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BC2A27">
        <w:rPr>
          <w:rFonts w:ascii="Verdana" w:eastAsia="Calibri" w:hAnsi="Verdana" w:cs="Arial"/>
          <w:lang w:val="es-ES" w:eastAsia="es-ES"/>
        </w:rPr>
        <w:t>Alarcón Pena</w:t>
      </w:r>
      <w:r w:rsidRPr="008E6AD9">
        <w:rPr>
          <w:rFonts w:ascii="Verdana" w:eastAsia="Calibri" w:hAnsi="Verdana" w:cs="Arial"/>
          <w:lang w:val="es-ES" w:eastAsia="es-ES"/>
        </w:rPr>
        <w:t xml:space="preserve">: </w:t>
      </w:r>
    </w:p>
    <w:p w14:paraId="76528257" w14:textId="77777777" w:rsidR="00455C07" w:rsidRDefault="00455C07" w:rsidP="00455C0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65F3C77" w14:textId="77777777" w:rsidR="00455C07" w:rsidRPr="00593A5F" w:rsidRDefault="00455C07" w:rsidP="00455C07">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w:t>
      </w:r>
      <w:r w:rsidRPr="00593A5F">
        <w:rPr>
          <w:rFonts w:ascii="Verdana" w:eastAsia="Calibri" w:hAnsi="Verdana" w:cs="Arial"/>
          <w:color w:val="000000" w:themeColor="text1"/>
          <w:lang w:val="es-ES" w:eastAsia="es-ES"/>
        </w:rPr>
        <w:lastRenderedPageBreak/>
        <w:t>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21 de enero de 2025, en la cual pregunta lo siguiente</w:t>
      </w:r>
      <w:r w:rsidRPr="008E6AD9">
        <w:rPr>
          <w:rFonts w:ascii="Verdana" w:eastAsia="Calibri" w:hAnsi="Verdana" w:cs="Arial"/>
          <w:lang w:val="es-ES" w:eastAsia="es-ES"/>
        </w:rPr>
        <w:t xml:space="preserve">: </w:t>
      </w:r>
    </w:p>
    <w:p w14:paraId="1E9F7A9F" w14:textId="77777777" w:rsidR="00455C07" w:rsidRPr="00272A7B" w:rsidRDefault="00455C07" w:rsidP="00455C07">
      <w:pPr>
        <w:pStyle w:val="Prrafodelista"/>
        <w:tabs>
          <w:tab w:val="left" w:pos="142"/>
          <w:tab w:val="left" w:pos="284"/>
        </w:tabs>
        <w:spacing w:after="0" w:line="276" w:lineRule="auto"/>
        <w:ind w:left="0"/>
        <w:jc w:val="both"/>
        <w:rPr>
          <w:rFonts w:ascii="Verdana" w:eastAsia="Century Gothic" w:hAnsi="Verdana" w:cs="Century Gothic"/>
          <w:b/>
          <w:bCs/>
        </w:rPr>
      </w:pPr>
    </w:p>
    <w:p w14:paraId="672FF3FC" w14:textId="77777777" w:rsidR="00455C07" w:rsidRPr="00AA6517" w:rsidRDefault="00455C07" w:rsidP="00455C07">
      <w:pPr>
        <w:spacing w:after="0" w:line="240" w:lineRule="auto"/>
        <w:ind w:left="709" w:right="709"/>
        <w:jc w:val="both"/>
        <w:rPr>
          <w:rFonts w:ascii="Verdana" w:eastAsia="Century Gothic" w:hAnsi="Verdana" w:cs="Century Gothic"/>
          <w:sz w:val="20"/>
          <w:szCs w:val="20"/>
          <w:lang w:val="es-ES"/>
        </w:rPr>
      </w:pPr>
      <w:bookmarkStart w:id="1" w:name="_Hlk95313578"/>
      <w:r w:rsidRPr="00AA6517">
        <w:rPr>
          <w:rFonts w:ascii="Verdana" w:eastAsia="Century Gothic" w:hAnsi="Verdana" w:cs="Century Gothic"/>
          <w:sz w:val="20"/>
          <w:szCs w:val="20"/>
          <w:lang w:val="es-ES"/>
        </w:rPr>
        <w:t>“</w:t>
      </w:r>
      <w:bookmarkEnd w:id="1"/>
      <w:r w:rsidRPr="00547C5A">
        <w:rPr>
          <w:rFonts w:ascii="Verdana" w:eastAsia="Century Gothic" w:hAnsi="Verdana" w:cs="Century Gothic"/>
          <w:sz w:val="20"/>
          <w:szCs w:val="20"/>
          <w:lang w:val="es-ES"/>
        </w:rPr>
        <w:t>Quiero saber si hay una normatividad o reglamentación o recomendación de la fórmula de reajuste de precios en contratos públicos</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35AFFCAA" w14:textId="77777777" w:rsidR="00455C07" w:rsidRPr="008E6AD9" w:rsidRDefault="00455C07" w:rsidP="00455C07">
      <w:pPr>
        <w:pStyle w:val="Prrafodelista"/>
        <w:tabs>
          <w:tab w:val="left" w:pos="142"/>
          <w:tab w:val="left" w:pos="284"/>
        </w:tabs>
        <w:spacing w:after="0" w:line="276" w:lineRule="auto"/>
        <w:ind w:left="0"/>
        <w:jc w:val="both"/>
        <w:rPr>
          <w:rFonts w:ascii="Verdana" w:eastAsia="Century Gothic" w:hAnsi="Verdana" w:cs="Century Gothic"/>
          <w:b/>
          <w:bCs/>
        </w:rPr>
      </w:pPr>
    </w:p>
    <w:p w14:paraId="3B7CD1BC" w14:textId="77777777" w:rsidR="00455C07" w:rsidRPr="00A652FF" w:rsidRDefault="00455C07" w:rsidP="00455C07">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E86FA2E" w14:textId="77777777" w:rsidR="00455C07" w:rsidRDefault="00455C07" w:rsidP="00455C07">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B388B3B" w14:textId="77777777" w:rsidR="00455C07" w:rsidRPr="00593A5F" w:rsidRDefault="00455C07" w:rsidP="00455C07">
      <w:pPr>
        <w:spacing w:after="0" w:line="276" w:lineRule="auto"/>
        <w:ind w:firstLine="709"/>
        <w:jc w:val="both"/>
        <w:rPr>
          <w:rFonts w:ascii="Verdana" w:eastAsia="Calibri" w:hAnsi="Verdana" w:cs="Arial"/>
          <w:color w:val="000000"/>
          <w:lang w:val="es-ES" w:eastAsia="es-ES"/>
        </w:rPr>
      </w:pPr>
    </w:p>
    <w:p w14:paraId="23422C14" w14:textId="77777777" w:rsidR="00455C07" w:rsidRPr="00593A5F" w:rsidRDefault="00455C07" w:rsidP="00455C0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CA1C658" w14:textId="77777777" w:rsidR="00455C07" w:rsidRPr="00593A5F" w:rsidRDefault="00455C07" w:rsidP="00455C07">
      <w:pPr>
        <w:tabs>
          <w:tab w:val="left" w:pos="426"/>
        </w:tabs>
        <w:spacing w:after="0" w:line="276" w:lineRule="auto"/>
        <w:jc w:val="both"/>
        <w:rPr>
          <w:rFonts w:ascii="Verdana" w:eastAsia="Century Gothic" w:hAnsi="Verdana" w:cs="Century Gothic"/>
          <w:lang w:val="es-ES"/>
        </w:rPr>
      </w:pPr>
    </w:p>
    <w:p w14:paraId="2542F7F6" w14:textId="77777777" w:rsidR="00455C07" w:rsidRPr="00593A5F" w:rsidRDefault="00455C07" w:rsidP="00455C07">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Pr>
          <w:rFonts w:ascii="Verdana" w:eastAsia="Century Gothic" w:hAnsi="Verdana" w:cs="Century Gothic"/>
        </w:rPr>
        <w:t xml:space="preserve">¿qué papel juega la cláusula de reajuste de precios dentro del restablecimiento de la ecuación financiera del contrato?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152F519E" w14:textId="77777777" w:rsidR="00455C07" w:rsidRPr="004B140F" w:rsidRDefault="00455C07" w:rsidP="00455C07">
      <w:pPr>
        <w:spacing w:after="0" w:line="276" w:lineRule="auto"/>
        <w:jc w:val="both"/>
        <w:rPr>
          <w:rFonts w:ascii="Verdana" w:eastAsia="Calibri" w:hAnsi="Verdana" w:cs="Arial"/>
          <w:color w:val="7030A0"/>
        </w:rPr>
      </w:pPr>
    </w:p>
    <w:p w14:paraId="535AC52F" w14:textId="77777777" w:rsidR="00455C07" w:rsidRPr="00593A5F" w:rsidRDefault="00455C07" w:rsidP="00455C0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C4B6B0C" w14:textId="77777777" w:rsidR="00455C07" w:rsidRPr="00593A5F" w:rsidRDefault="00455C07" w:rsidP="00455C0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55C07" w:rsidRPr="00593A5F" w14:paraId="70D0D438" w14:textId="77777777" w:rsidTr="00C15788">
        <w:trPr>
          <w:jc w:val="center"/>
        </w:trPr>
        <w:tc>
          <w:tcPr>
            <w:tcW w:w="8828" w:type="dxa"/>
          </w:tcPr>
          <w:p w14:paraId="5456966E" w14:textId="77777777" w:rsidR="00455C07" w:rsidRDefault="00455C07" w:rsidP="00C15788">
            <w:pPr>
              <w:spacing w:after="120" w:line="276" w:lineRule="auto"/>
              <w:ind w:right="51"/>
              <w:jc w:val="both"/>
              <w:rPr>
                <w:rFonts w:ascii="Verdana" w:eastAsia="Arial" w:hAnsi="Verdana" w:cs="Arial"/>
                <w:color w:val="000000" w:themeColor="text1"/>
                <w:lang w:eastAsia="es-ES" w:bidi="es-ES"/>
              </w:rPr>
            </w:pPr>
            <w:bookmarkStart w:id="2" w:name="_Hlk171694685"/>
            <w:r>
              <w:rPr>
                <w:rFonts w:ascii="Verdana" w:eastAsia="Calibri" w:hAnsi="Verdana" w:cs="Arial"/>
                <w:bCs/>
                <w:color w:val="000000" w:themeColor="text1"/>
              </w:rPr>
              <w:t>Conforme a la interpretación general de las normas del sistema de compras públicas, p</w:t>
            </w:r>
            <w:r>
              <w:rPr>
                <w:rFonts w:ascii="Verdana" w:eastAsia="Arial" w:hAnsi="Verdana" w:cs="Arial"/>
                <w:color w:val="000000" w:themeColor="text1"/>
                <w:lang w:eastAsia="es-ES" w:bidi="es-ES"/>
              </w:rPr>
              <w:t xml:space="preserve">or remisión de los artículos 13, 32 y 40 del EGCAP al derecho privado, el contrato es ley para las partes conforme al artículo 1602 del Código Civil.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 xml:space="preserve">de </w:t>
            </w:r>
            <w:r>
              <w:rPr>
                <w:rFonts w:ascii="Verdana" w:eastAsia="Arial" w:hAnsi="Verdana" w:cs="Arial"/>
                <w:i/>
                <w:iCs/>
                <w:color w:val="000000" w:themeColor="text1"/>
                <w:lang w:eastAsia="es-ES" w:bidi="es-ES"/>
              </w:rPr>
              <w:lastRenderedPageBreak/>
              <w:t>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 xml:space="preserve">obligaciones. </w:t>
            </w:r>
          </w:p>
          <w:p w14:paraId="18D5E975" w14:textId="77777777" w:rsidR="00455C07" w:rsidRDefault="00455C07" w:rsidP="00C15788">
            <w:pPr>
              <w:widowControl w:val="0"/>
              <w:autoSpaceDE w:val="0"/>
              <w:autoSpaceDN w:val="0"/>
              <w:spacing w:before="12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Para estos efectos, </w:t>
            </w:r>
            <w:r w:rsidRPr="00E97A27">
              <w:rPr>
                <w:rFonts w:ascii="Verdana" w:eastAsia="Arial" w:hAnsi="Verdana" w:cs="Arial"/>
                <w:color w:val="000000" w:themeColor="text1"/>
                <w:lang w:val="es-ES" w:eastAsia="es-ES" w:bidi="es-ES"/>
              </w:rPr>
              <w:t xml:space="preserve">el numeral 3 del artículo 4 </w:t>
            </w:r>
            <w:r>
              <w:rPr>
                <w:rFonts w:ascii="Verdana" w:eastAsia="Arial" w:hAnsi="Verdana" w:cs="Arial"/>
                <w:color w:val="000000" w:themeColor="text1"/>
                <w:lang w:val="es-ES" w:eastAsia="es-ES" w:bidi="es-ES"/>
              </w:rPr>
              <w:t>del EGCAP</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w:t>
            </w:r>
            <w:r>
              <w:rPr>
                <w:rFonts w:ascii="Verdana" w:eastAsia="Arial" w:hAnsi="Verdana" w:cs="Arial"/>
                <w:color w:val="000000" w:themeColor="text1"/>
                <w:lang w:val="es-ES" w:eastAsia="es-ES" w:bidi="es-ES"/>
              </w:rPr>
              <w:t>. De acuerdo con la jurisprudencia:</w:t>
            </w:r>
          </w:p>
          <w:p w14:paraId="6169EBC5" w14:textId="77777777" w:rsidR="00455C07" w:rsidRDefault="00455C07" w:rsidP="00C15788">
            <w:pPr>
              <w:widowControl w:val="0"/>
              <w:autoSpaceDE w:val="0"/>
              <w:autoSpaceDN w:val="0"/>
              <w:spacing w:line="276" w:lineRule="auto"/>
              <w:ind w:firstLine="709"/>
              <w:jc w:val="both"/>
              <w:rPr>
                <w:rFonts w:ascii="Verdana" w:eastAsia="Arial" w:hAnsi="Verdana" w:cs="Arial"/>
                <w:color w:val="000000" w:themeColor="text1"/>
                <w:lang w:val="es-ES" w:eastAsia="es-ES" w:bidi="es-ES"/>
              </w:rPr>
            </w:pPr>
          </w:p>
          <w:p w14:paraId="3786BC3C" w14:textId="77777777" w:rsidR="00455C07" w:rsidRPr="000E4887" w:rsidRDefault="00455C07" w:rsidP="00C15788">
            <w:pPr>
              <w:widowControl w:val="0"/>
              <w:autoSpaceDE w:val="0"/>
              <w:autoSpaceDN w:val="0"/>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46F01134" w14:textId="77777777" w:rsidR="00455C07" w:rsidRDefault="00455C07" w:rsidP="00C15788">
            <w:pPr>
              <w:widowControl w:val="0"/>
              <w:autoSpaceDE w:val="0"/>
              <w:autoSpaceDN w:val="0"/>
              <w:spacing w:before="120"/>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p>
          <w:p w14:paraId="02D0D5B4" w14:textId="77777777" w:rsidR="00455C07" w:rsidRPr="00F74AF6" w:rsidRDefault="00455C07" w:rsidP="00C15788">
            <w:pPr>
              <w:spacing w:line="276" w:lineRule="auto"/>
              <w:ind w:right="51"/>
              <w:jc w:val="both"/>
              <w:rPr>
                <w:rFonts w:ascii="Verdana" w:eastAsia="Arial" w:hAnsi="Verdana" w:cs="Arial"/>
                <w:color w:val="000000" w:themeColor="text1"/>
                <w:lang w:val="es-ES" w:eastAsia="es-ES" w:bidi="es-ES"/>
              </w:rPr>
            </w:pPr>
          </w:p>
          <w:p w14:paraId="20A31DC1" w14:textId="77777777" w:rsidR="00455C07" w:rsidRPr="00324083" w:rsidRDefault="00455C07" w:rsidP="00C15788">
            <w:pPr>
              <w:spacing w:after="120" w:line="276" w:lineRule="auto"/>
              <w:ind w:right="51"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Asimismo, </w:t>
            </w:r>
            <w:r w:rsidRPr="00E97A27">
              <w:rPr>
                <w:rFonts w:ascii="Verdana" w:eastAsia="Arial" w:hAnsi="Verdana" w:cs="Arial"/>
                <w:color w:val="000000" w:themeColor="text1"/>
                <w:lang w:val="es-ES" w:eastAsia="es-ES" w:bidi="es-ES"/>
              </w:rPr>
              <w:t xml:space="preserve">cuando se presenten situaciones que generen el desequilibrio económico del contrato, previa revisión de su procedencia, conforme el análisis del caso concreto, la entidad deberá adoptar las medidas </w:t>
            </w:r>
            <w:r w:rsidRPr="00E97A27">
              <w:rPr>
                <w:rFonts w:ascii="Verdana" w:eastAsia="Arial" w:hAnsi="Verdana" w:cs="Arial"/>
                <w:color w:val="000000" w:themeColor="text1"/>
                <w:lang w:val="es-ES" w:eastAsia="es-ES" w:bidi="es-ES"/>
              </w:rPr>
              <w:lastRenderedPageBreak/>
              <w:t>correspondientes para su restablecimiento, si a ello hay lugar, para lo cual tiene la potestad de suscribir los acuerdos necesarios sobre cuantía, condiciones, forma de pago, etc.</w:t>
            </w:r>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w:t>
            </w:r>
          </w:p>
          <w:p w14:paraId="2CB933E8" w14:textId="77777777" w:rsidR="00455C07" w:rsidRPr="00324083" w:rsidRDefault="00455C07" w:rsidP="00C15788">
            <w:pPr>
              <w:spacing w:after="120" w:line="276" w:lineRule="auto"/>
              <w:ind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Finalmente, conforme a los incisos segundo y tercero del artículo 60 del EGCAP, en la liquidación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En el marco </w:t>
            </w:r>
            <w:r w:rsidRPr="00A04C35">
              <w:rPr>
                <w:rFonts w:ascii="Verdana" w:eastAsia="Times New Roman" w:hAnsi="Verdana" w:cs="Arial"/>
                <w:color w:val="000000"/>
                <w:bdr w:val="none" w:sz="0" w:space="0" w:color="auto" w:frame="1"/>
                <w:shd w:val="clear" w:color="auto" w:fill="FFFFFF"/>
                <w:lang w:eastAsia="es-ES_tradnl"/>
              </w:rPr>
              <w:t>la Sentencia de Unificación del 31 de julio de 2025</w:t>
            </w:r>
            <w:r>
              <w:rPr>
                <w:rFonts w:ascii="Verdana" w:eastAsia="Times New Roman" w:hAnsi="Verdana" w:cs="Arial"/>
                <w:color w:val="000000"/>
                <w:bdr w:val="none" w:sz="0" w:space="0" w:color="auto" w:frame="1"/>
                <w:shd w:val="clear" w:color="auto" w:fill="FFFFFF"/>
                <w:lang w:eastAsia="es-ES_tradnl"/>
              </w:rPr>
              <w:t xml:space="preserve">, </w:t>
            </w:r>
            <w:r w:rsidRPr="00A04C35">
              <w:rPr>
                <w:rFonts w:ascii="Verdana" w:eastAsia="Times New Roman" w:hAnsi="Verdana" w:cs="Arial"/>
                <w:color w:val="000000"/>
                <w:bdr w:val="none" w:sz="0" w:space="0" w:color="auto" w:frame="1"/>
                <w:shd w:val="clear" w:color="auto" w:fill="FFFFFF"/>
                <w:lang w:eastAsia="es-ES_tradnl"/>
              </w:rPr>
              <w:t xml:space="preserve">existe la posibilidad de reconocer en la liquidación actividades no incluidas o </w:t>
            </w:r>
            <w:r w:rsidRPr="0044442B">
              <w:rPr>
                <w:rFonts w:ascii="Verdana" w:eastAsia="Times New Roman" w:hAnsi="Verdana" w:cs="Arial"/>
                <w:color w:val="000000"/>
                <w:bdr w:val="none" w:sz="0" w:space="0" w:color="auto" w:frame="1"/>
                <w:shd w:val="clear" w:color="auto" w:fill="FFFFFF"/>
                <w:lang w:eastAsia="es-ES_tradnl"/>
              </w:rPr>
              <w:t>ítems</w:t>
            </w:r>
            <w:r w:rsidRPr="00A04C35">
              <w:rPr>
                <w:rFonts w:ascii="Verdana" w:eastAsia="Times New Roman" w:hAnsi="Verdana" w:cs="Arial"/>
                <w:color w:val="000000"/>
                <w:bdr w:val="none" w:sz="0" w:space="0" w:color="auto" w:frame="1"/>
                <w:shd w:val="clear" w:color="auto" w:fill="FFFFFF"/>
                <w:lang w:eastAsia="es-ES_tradnl"/>
              </w:rPr>
              <w:t xml:space="preserve"> no previstos dentro del contrato, pues no se limita a los supuestos planteados de la Sentencia de Unificación del 19 de noviembre de 2012, sino que se configuren los elementos del enriquecimiento sin justa causa, la prueba de la actividad, sumado a la circunstancia excepcional que se invoca.</w:t>
            </w:r>
          </w:p>
          <w:p w14:paraId="58091E00" w14:textId="77777777" w:rsidR="00455C07" w:rsidRPr="001941FD" w:rsidRDefault="00455C07" w:rsidP="00C15788">
            <w:pPr>
              <w:spacing w:line="276" w:lineRule="auto"/>
              <w:ind w:firstLine="709"/>
              <w:jc w:val="both"/>
              <w:rPr>
                <w:rFonts w:ascii="Verdana" w:eastAsia="Calibri" w:hAnsi="Verdana" w:cs="Arial"/>
                <w:bCs/>
                <w:color w:val="000000" w:themeColor="text1"/>
              </w:rPr>
            </w:pPr>
            <w:r w:rsidRPr="005A13AE">
              <w:rPr>
                <w:rStyle w:val="s15"/>
                <w:rFonts w:ascii="Verdana" w:hAnsi="Verdana"/>
                <w:color w:val="000000"/>
              </w:rPr>
              <w:t>Al margen de la explicación precedente debe advertirse que el análisis requerido para resolver problemas específicos en torno a los reconocimientos económicos derivados del desequilibrio en el contrato debe ser realizado por quienes tengan interés en ello, de acuerdo con lo explicado la aclaración preliminar del presente oficio</w:t>
            </w:r>
            <w:r w:rsidRPr="001941FD">
              <w:rPr>
                <w:rStyle w:val="s15"/>
                <w:rFonts w:ascii="Verdana" w:hAnsi="Verdana"/>
                <w:color w:val="000000"/>
              </w:rPr>
              <w:t>.</w:t>
            </w:r>
            <w:r w:rsidRPr="001941FD">
              <w:rPr>
                <w:rStyle w:val="apple-converted-space"/>
                <w:rFonts w:ascii="Verdana" w:hAnsi="Verdana"/>
                <w:color w:val="000000"/>
              </w:rPr>
              <w:t> </w:t>
            </w:r>
            <w:r w:rsidRPr="001941FD">
              <w:rPr>
                <w:rStyle w:val="s15"/>
                <w:rFonts w:ascii="Verdana" w:hAnsi="Verdana"/>
                <w:color w:val="000000"/>
              </w:rPr>
              <w:t>Por lo anterior,</w:t>
            </w:r>
            <w:r>
              <w:rPr>
                <w:rStyle w:val="s15"/>
                <w:rFonts w:ascii="Verdana" w:hAnsi="Verdana"/>
                <w:color w:val="000000"/>
              </w:rPr>
              <w:t xml:space="preserve"> </w:t>
            </w:r>
            <w:r>
              <w:rPr>
                <w:rFonts w:ascii="Verdana" w:hAnsi="Verdana" w:cs="Arial"/>
                <w:lang w:eastAsia="es-ES"/>
              </w:rPr>
              <w:t>de acuerdo con la distribución de los riesgos</w:t>
            </w:r>
            <w:r w:rsidRPr="001941FD">
              <w:rPr>
                <w:rStyle w:val="s15"/>
                <w:rFonts w:ascii="Verdana" w:hAnsi="Verdana"/>
                <w:color w:val="000000"/>
              </w:rPr>
              <w:t xml:space="preserve">, corresponde </w:t>
            </w:r>
            <w:r>
              <w:rPr>
                <w:rStyle w:val="s15"/>
                <w:rFonts w:ascii="Verdana" w:hAnsi="Verdana"/>
                <w:color w:val="000000"/>
              </w:rPr>
              <w:t>a las partes del contrato</w:t>
            </w:r>
            <w:r w:rsidRPr="001941FD">
              <w:rPr>
                <w:rStyle w:val="s15"/>
                <w:rFonts w:ascii="Verdana" w:hAnsi="Verdana"/>
                <w:color w:val="000000"/>
              </w:rPr>
              <w:t xml:space="preserve"> </w:t>
            </w:r>
            <w:r>
              <w:rPr>
                <w:rStyle w:val="s15"/>
                <w:rFonts w:ascii="Verdana" w:hAnsi="Verdana"/>
                <w:color w:val="000000"/>
              </w:rPr>
              <w:t xml:space="preserve">definir si determinados </w:t>
            </w:r>
            <w:r w:rsidRPr="0013555B">
              <w:rPr>
                <w:rStyle w:val="s15"/>
                <w:rFonts w:ascii="Verdana" w:hAnsi="Verdana"/>
                <w:i/>
                <w:iCs/>
                <w:color w:val="000000"/>
              </w:rPr>
              <w:t>ítems</w:t>
            </w:r>
            <w:r w:rsidRPr="0013555B">
              <w:rPr>
                <w:rStyle w:val="s15"/>
                <w:rFonts w:ascii="Verdana" w:hAnsi="Verdana"/>
                <w:color w:val="000000"/>
              </w:rPr>
              <w:t xml:space="preserve"> </w:t>
            </w:r>
            <w:r>
              <w:rPr>
                <w:rStyle w:val="s15"/>
                <w:rFonts w:ascii="Verdana" w:hAnsi="Verdana"/>
                <w:color w:val="000000"/>
              </w:rPr>
              <w:t xml:space="preserve">serán objeto de </w:t>
            </w:r>
            <w:r w:rsidRPr="0013555B">
              <w:rPr>
                <w:rStyle w:val="s15"/>
                <w:rFonts w:ascii="Verdana" w:hAnsi="Verdana"/>
                <w:color w:val="000000"/>
              </w:rPr>
              <w:t>adición presupuestal o deben ejecutar</w:t>
            </w:r>
            <w:r>
              <w:rPr>
                <w:rStyle w:val="s15"/>
                <w:rFonts w:ascii="Verdana" w:hAnsi="Verdana"/>
                <w:color w:val="000000"/>
              </w:rPr>
              <w:t>se</w:t>
            </w:r>
            <w:r w:rsidRPr="0013555B">
              <w:rPr>
                <w:rStyle w:val="s15"/>
                <w:rFonts w:ascii="Verdana" w:hAnsi="Verdana"/>
                <w:color w:val="000000"/>
              </w:rPr>
              <w:t xml:space="preserve"> con el valor inicialmente definido </w:t>
            </w:r>
            <w:r>
              <w:rPr>
                <w:rStyle w:val="s15"/>
                <w:rFonts w:ascii="Verdana" w:hAnsi="Verdana"/>
                <w:color w:val="000000"/>
              </w:rPr>
              <w:t>en los documentos del proceso; motivo por el cual,</w:t>
            </w:r>
            <w:r w:rsidRPr="001941FD">
              <w:rPr>
                <w:rStyle w:val="s15"/>
                <w:rFonts w:ascii="Verdana" w:hAnsi="Verdana"/>
                <w:color w:val="000000"/>
              </w:rPr>
              <w:t xml:space="preserve"> en caso de conflicto, </w:t>
            </w:r>
            <w:r>
              <w:rPr>
                <w:rStyle w:val="s15"/>
                <w:rFonts w:ascii="Verdana" w:hAnsi="Verdana"/>
                <w:color w:val="000000"/>
              </w:rPr>
              <w:t xml:space="preserve">intervendrán </w:t>
            </w:r>
            <w:r w:rsidRPr="001941FD">
              <w:rPr>
                <w:rStyle w:val="s15"/>
                <w:rFonts w:ascii="Verdana" w:hAnsi="Verdana"/>
                <w:color w:val="000000"/>
              </w:rPr>
              <w:t>las autoridades judiciales, fiscales y disciplinarias. Así, cada entidad definirá la forma de adelantar su gestión contractual, sin que sea atribución de Colombia Compra Eficiente validar sus actuaciones.</w:t>
            </w:r>
          </w:p>
        </w:tc>
      </w:tr>
    </w:tbl>
    <w:p w14:paraId="166A499B" w14:textId="77777777" w:rsidR="00455C07" w:rsidRPr="00593A5F" w:rsidRDefault="00455C07" w:rsidP="00455C07">
      <w:pPr>
        <w:tabs>
          <w:tab w:val="left" w:pos="142"/>
          <w:tab w:val="left" w:pos="284"/>
        </w:tabs>
        <w:spacing w:after="0" w:line="276" w:lineRule="auto"/>
        <w:jc w:val="both"/>
        <w:rPr>
          <w:rFonts w:ascii="Verdana" w:eastAsia="Century Gothic" w:hAnsi="Verdana" w:cs="Century Gothic"/>
          <w:b/>
          <w:bCs/>
          <w:lang w:val="es-ES"/>
        </w:rPr>
      </w:pPr>
    </w:p>
    <w:bookmarkEnd w:id="2"/>
    <w:p w14:paraId="069669F2" w14:textId="77777777" w:rsidR="00455C07" w:rsidRPr="00593A5F" w:rsidRDefault="00455C07" w:rsidP="00455C0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536B29F3" w14:textId="77777777" w:rsidR="00455C07" w:rsidRPr="00593A5F" w:rsidRDefault="00455C07" w:rsidP="00455C07">
      <w:pPr>
        <w:spacing w:after="0" w:line="276" w:lineRule="auto"/>
        <w:jc w:val="both"/>
        <w:rPr>
          <w:rFonts w:ascii="Verdana" w:eastAsia="Calibri" w:hAnsi="Verdana" w:cs="Arial"/>
          <w:color w:val="7030A0"/>
          <w:lang w:val="es-ES"/>
        </w:rPr>
      </w:pPr>
    </w:p>
    <w:p w14:paraId="51354297" w14:textId="77777777" w:rsidR="00455C07" w:rsidRDefault="00455C07" w:rsidP="00455C07">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348899A" w14:textId="77777777" w:rsidR="00455C07" w:rsidRPr="00415608" w:rsidRDefault="00455C07" w:rsidP="00455C07">
      <w:pPr>
        <w:spacing w:after="0" w:line="276" w:lineRule="auto"/>
        <w:jc w:val="both"/>
        <w:rPr>
          <w:rFonts w:ascii="Verdana" w:eastAsia="Calibri" w:hAnsi="Verdana" w:cs="Arial"/>
          <w:lang w:val="es-ES"/>
        </w:rPr>
      </w:pPr>
    </w:p>
    <w:p w14:paraId="10D39E42" w14:textId="77777777" w:rsidR="00455C07" w:rsidRPr="00E97A27" w:rsidRDefault="00455C07" w:rsidP="00455C07">
      <w:pPr>
        <w:widowControl w:val="0"/>
        <w:autoSpaceDE w:val="0"/>
        <w:autoSpaceDN w:val="0"/>
        <w:spacing w:after="0" w:line="276" w:lineRule="auto"/>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De conformidad con el artículo 3 de la Ley 80 de 1993 la celebración y ejecución de los contratos estatales </w:t>
      </w:r>
      <w:r w:rsidRPr="00E97A27">
        <w:rPr>
          <w:rFonts w:ascii="Verdana" w:eastAsia="Arial" w:hAnsi="Verdana" w:cs="Arial"/>
          <w:color w:val="000000" w:themeColor="text1"/>
          <w:lang w:eastAsia="es-ES" w:bidi="es-ES"/>
        </w:rPr>
        <w:t>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w:t>
      </w:r>
      <w:r w:rsidRPr="00E97A27">
        <w:rPr>
          <w:rFonts w:ascii="Verdana" w:hAnsi="Verdana" w:cs="Arial"/>
          <w:color w:val="4B4949"/>
          <w:sz w:val="18"/>
          <w:szCs w:val="18"/>
        </w:rPr>
        <w:t xml:space="preserve"> </w:t>
      </w:r>
      <w:r w:rsidRPr="00E97A27">
        <w:rPr>
          <w:rFonts w:ascii="Verdana" w:eastAsia="Arial" w:hAnsi="Verdana" w:cs="Arial"/>
          <w:color w:val="000000" w:themeColor="text1"/>
          <w:lang w:eastAsia="es-ES" w:bidi="es-ES"/>
        </w:rPr>
        <w:t xml:space="preserve">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216AFE22" w14:textId="77777777" w:rsidR="00455C07" w:rsidRPr="00E97A27" w:rsidRDefault="00455C07" w:rsidP="00455C07">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eastAsia="es-ES" w:bidi="es-ES"/>
        </w:rPr>
        <w:t xml:space="preserve">Por remisión de los artículos 13, 32 y 40 del EGCAP al derecho privado, el contrato es ley para las partes conforme al artículo 1602 del Código Civil. Sin embargo,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obligaciones</w:t>
      </w:r>
      <w:r w:rsidRPr="00752476">
        <w:rPr>
          <w:rFonts w:ascii="Verdana" w:eastAsia="Arial" w:hAnsi="Verdana" w:cs="Arial"/>
          <w:color w:val="000000" w:themeColor="text1"/>
          <w:lang w:eastAsia="es-ES" w:bidi="es-ES"/>
        </w:rPr>
        <w:t>.</w:t>
      </w:r>
      <w:r>
        <w:rPr>
          <w:rFonts w:ascii="Verdana" w:eastAsia="Arial" w:hAnsi="Verdana" w:cs="Arial"/>
          <w:color w:val="000000" w:themeColor="text1"/>
          <w:lang w:eastAsia="es-ES" w:bidi="es-ES"/>
        </w:rPr>
        <w:t xml:space="preserve"> </w:t>
      </w:r>
      <w:r w:rsidRPr="00E97A27">
        <w:rPr>
          <w:rFonts w:ascii="Verdana" w:eastAsia="Arial" w:hAnsi="Verdana" w:cs="Arial"/>
          <w:color w:val="000000" w:themeColor="text1"/>
          <w:lang w:eastAsia="es-ES" w:bidi="es-ES"/>
        </w:rPr>
        <w:t>De esta manera, los contratos estatales deben pactar</w:t>
      </w:r>
      <w:r>
        <w:rPr>
          <w:rFonts w:ascii="Verdana" w:eastAsia="Arial" w:hAnsi="Verdana" w:cs="Arial"/>
          <w:color w:val="000000" w:themeColor="text1"/>
          <w:lang w:eastAsia="es-ES" w:bidi="es-ES"/>
        </w:rPr>
        <w:t>se</w:t>
      </w:r>
      <w:r w:rsidRPr="00E97A27">
        <w:rPr>
          <w:rFonts w:ascii="Verdana" w:eastAsia="Arial" w:hAnsi="Verdana" w:cs="Arial"/>
          <w:color w:val="000000" w:themeColor="text1"/>
          <w:lang w:eastAsia="es-ES" w:bidi="es-ES"/>
        </w:rPr>
        <w:t xml:space="preserve">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20A412A7" w14:textId="77777777" w:rsidR="00455C07" w:rsidRPr="00E97A27" w:rsidRDefault="00455C07" w:rsidP="00455C07">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516C6244" w14:textId="77777777" w:rsidR="00455C07" w:rsidRPr="00AA6517" w:rsidRDefault="00455C07" w:rsidP="00455C07">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w:t>
      </w:r>
      <w:r w:rsidRPr="00AA6517">
        <w:rPr>
          <w:rFonts w:ascii="Verdana" w:eastAsia="Arial" w:hAnsi="Verdana" w:cs="Arial"/>
          <w:color w:val="000000" w:themeColor="text1"/>
          <w:sz w:val="20"/>
          <w:szCs w:val="20"/>
          <w:lang w:val="es-ES" w:eastAsia="es-ES" w:bidi="es-ES"/>
        </w:rPr>
        <w:lastRenderedPageBreak/>
        <w:t>apropiación de que trata el numeral 14 del artículo </w:t>
      </w:r>
      <w:hyperlink r:id="rId11" w:anchor="25" w:history="1">
        <w:r w:rsidRPr="00AA6517">
          <w:rPr>
            <w:rFonts w:ascii="Verdana" w:hAnsi="Verdana" w:cs="Arial"/>
            <w:sz w:val="20"/>
            <w:szCs w:val="20"/>
            <w:lang w:val="es-ES" w:eastAsia="es-ES" w:bidi="es-ES"/>
          </w:rPr>
          <w:t>25</w:t>
        </w:r>
      </w:hyperlink>
      <w:r w:rsidRPr="00AA6517">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46029D20" w14:textId="77777777" w:rsidR="00455C07" w:rsidRPr="00E97A27" w:rsidRDefault="00455C07" w:rsidP="00455C07">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6D52A6F8" w14:textId="77777777" w:rsidR="00455C07" w:rsidRPr="00E97A27" w:rsidRDefault="00455C07" w:rsidP="00455C07">
      <w:pPr>
        <w:autoSpaceDE w:val="0"/>
        <w:autoSpaceDN w:val="0"/>
        <w:adjustRightInd w:val="0"/>
        <w:spacing w:after="0" w:line="276" w:lineRule="auto"/>
        <w:ind w:firstLine="709"/>
        <w:jc w:val="both"/>
        <w:rPr>
          <w:rFonts w:ascii="Verdana" w:hAnsi="Verdana" w:cs="Arial"/>
        </w:rPr>
      </w:pPr>
      <w:r w:rsidRPr="00E97A27">
        <w:rPr>
          <w:rFonts w:ascii="Verdana" w:eastAsia="Arial" w:hAnsi="Verdana" w:cs="Arial"/>
          <w:color w:val="000000" w:themeColor="text1"/>
          <w:lang w:val="es-ES" w:eastAsia="es-ES" w:bidi="es-ES"/>
        </w:rPr>
        <w:t xml:space="preserve">Sobre el principio del equilibrio financiero del contrato, el Consejo de Estado ha señalado que </w:t>
      </w:r>
      <w:r w:rsidRPr="00E97A27">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
      </w:r>
      <w:r w:rsidRPr="00E97A27">
        <w:rPr>
          <w:rFonts w:ascii="Verdana" w:eastAsia="Arial" w:hAnsi="Verdana" w:cs="Arial"/>
          <w:color w:val="000000" w:themeColor="text1"/>
          <w:lang w:val="es-MX" w:eastAsia="es-ES" w:bidi="es-ES"/>
        </w:rPr>
        <w:t>. En concordancia, la doctrina ha indicado que con este</w:t>
      </w:r>
      <w:r w:rsidRPr="00E97A27">
        <w:rPr>
          <w:rFonts w:ascii="Verdana" w:hAnsi="Verdana" w:cs="Arial"/>
        </w:rPr>
        <w:t xml:space="preserve"> principio, también denominado </w:t>
      </w:r>
      <w:r>
        <w:rPr>
          <w:rFonts w:ascii="Verdana" w:eastAsia="Arial" w:hAnsi="Verdana" w:cs="Arial"/>
          <w:color w:val="000000" w:themeColor="text1"/>
          <w:lang w:val="es-MX" w:eastAsia="es-ES" w:bidi="es-ES"/>
        </w:rPr>
        <w:t>“</w:t>
      </w:r>
      <w:r w:rsidRPr="00E97A27">
        <w:rPr>
          <w:rFonts w:ascii="Verdana" w:hAnsi="Verdana" w:cs="Arial"/>
        </w:rPr>
        <w:t>el de la honesta equivalencia de prestaciones</w:t>
      </w:r>
      <w:r>
        <w:rPr>
          <w:rFonts w:ascii="Verdana" w:eastAsia="Arial" w:hAnsi="Verdana" w:cs="Arial"/>
          <w:color w:val="000000" w:themeColor="text1"/>
          <w:lang w:val="es-MX" w:eastAsia="es-ES" w:bidi="es-ES"/>
        </w:rPr>
        <w:t>”</w:t>
      </w:r>
      <w:r w:rsidRPr="00E97A27">
        <w:rPr>
          <w:rFonts w:ascii="Verdana" w:hAnsi="Verdana" w:cs="Arial"/>
        </w:rPr>
        <w:t xml:space="preserve">, se privilegia el carácter conmutativo o sinalagmático que, por regla general, tiene el contrato estatal, </w:t>
      </w:r>
      <w:r>
        <w:rPr>
          <w:rFonts w:ascii="Verdana" w:eastAsia="Arial" w:hAnsi="Verdana" w:cs="Arial"/>
          <w:color w:val="000000" w:themeColor="text1"/>
          <w:lang w:val="es-MX" w:eastAsia="es-ES" w:bidi="es-ES"/>
        </w:rPr>
        <w:t>“</w:t>
      </w:r>
      <w:r w:rsidRPr="00E97A27">
        <w:rPr>
          <w:rFonts w:ascii="Verdana" w:hAnsi="Verdana" w:cs="Arial"/>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3"/>
      </w:r>
      <w:r w:rsidRPr="00E97A27">
        <w:rPr>
          <w:rFonts w:ascii="Verdana" w:hAnsi="Verdana" w:cs="Arial"/>
        </w:rPr>
        <w:t xml:space="preserve">.  </w:t>
      </w:r>
    </w:p>
    <w:p w14:paraId="16DC69D6" w14:textId="77777777" w:rsidR="00455C07" w:rsidRPr="00E97A27" w:rsidRDefault="00455C07" w:rsidP="00455C07">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sidRPr="00E97A27">
        <w:rPr>
          <w:rFonts w:ascii="Verdana" w:eastAsia="Arial" w:hAnsi="Verdana" w:cs="Arial"/>
          <w:color w:val="000000" w:themeColor="text1"/>
          <w:lang w:eastAsia="es-ES" w:bidi="es-ES"/>
        </w:rPr>
        <w:t xml:space="preserve">busca, precisamente, mantener las mismas condiciones </w:t>
      </w:r>
      <w:r w:rsidRPr="00E97A27">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20D5063E" w14:textId="77777777" w:rsidR="00455C07" w:rsidRDefault="00455C07" w:rsidP="00455C07">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w:t>
      </w:r>
      <w:r w:rsidRPr="00E97A27">
        <w:rPr>
          <w:rFonts w:ascii="Verdana" w:eastAsia="Arial" w:hAnsi="Verdana" w:cs="Arial"/>
          <w:color w:val="000000" w:themeColor="text1"/>
          <w:lang w:val="es-ES" w:eastAsia="es-ES" w:bidi="es-ES"/>
        </w:rPr>
        <w:lastRenderedPageBreak/>
        <w:t xml:space="preserve">diferentes disposiciones de dicha Ley. En efecto, el numeral 3 del artículo 4 </w:t>
      </w:r>
      <w:r w:rsidRPr="00E97A27">
        <w:rPr>
          <w:rFonts w:ascii="Verdana" w:eastAsia="Arial" w:hAnsi="Verdana" w:cs="Arial"/>
          <w:i/>
          <w:iCs/>
          <w:color w:val="000000" w:themeColor="text1"/>
          <w:lang w:val="es-ES" w:eastAsia="es-ES" w:bidi="es-ES"/>
        </w:rPr>
        <w:t>ibidem</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 </w:t>
      </w:r>
      <w:r>
        <w:rPr>
          <w:rFonts w:ascii="Verdana" w:eastAsia="Arial" w:hAnsi="Verdana" w:cs="Arial"/>
          <w:color w:val="000000" w:themeColor="text1"/>
          <w:lang w:val="es-ES" w:eastAsia="es-ES" w:bidi="es-ES"/>
        </w:rPr>
        <w:t>De acuerdo con la jurisprudencia:</w:t>
      </w:r>
    </w:p>
    <w:p w14:paraId="275D47A6" w14:textId="77777777" w:rsidR="00455C07" w:rsidRDefault="00455C07" w:rsidP="00455C07">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40927DF3" w14:textId="77777777" w:rsidR="00455C07" w:rsidRPr="000E4887" w:rsidRDefault="00455C07" w:rsidP="00455C07">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4EF6BA87" w14:textId="77777777" w:rsidR="00455C07" w:rsidRDefault="00455C07" w:rsidP="00455C07">
      <w:pPr>
        <w:widowControl w:val="0"/>
        <w:autoSpaceDE w:val="0"/>
        <w:autoSpaceDN w:val="0"/>
        <w:spacing w:before="120" w:after="0" w:line="240" w:lineRule="auto"/>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r>
        <w:rPr>
          <w:rStyle w:val="Refdenotaalpie"/>
          <w:rFonts w:ascii="Verdana" w:eastAsia="Arial" w:hAnsi="Verdana" w:cs="Arial"/>
          <w:color w:val="000000" w:themeColor="text1"/>
          <w:sz w:val="20"/>
          <w:szCs w:val="20"/>
          <w:lang w:val="es-ES" w:eastAsia="es-ES" w:bidi="es-ES"/>
        </w:rPr>
        <w:footnoteReference w:id="4"/>
      </w:r>
      <w:r w:rsidRPr="000E4887">
        <w:rPr>
          <w:rFonts w:ascii="Verdana" w:eastAsia="Arial" w:hAnsi="Verdana" w:cs="Arial"/>
          <w:color w:val="000000" w:themeColor="text1"/>
          <w:sz w:val="20"/>
          <w:szCs w:val="20"/>
          <w:lang w:val="es-ES" w:eastAsia="es-ES" w:bidi="es-ES"/>
        </w:rPr>
        <w:t>.</w:t>
      </w:r>
    </w:p>
    <w:p w14:paraId="6A5EB26B" w14:textId="77777777" w:rsidR="00455C07" w:rsidRPr="000E4887" w:rsidRDefault="00455C07" w:rsidP="00455C07">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4DEFA9DB" w14:textId="77777777" w:rsidR="00455C07" w:rsidRPr="00E97A27" w:rsidRDefault="00455C07" w:rsidP="00455C07">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Por su parte, el numeral 1 del artículo 5 de la Ley 80 de 1993 indica que el contratista tiene derecho a recibir oportunamente la remuneración pactada y a que el valor intrínseco de la misma no se altere o modifique durante la vigencia del contrato. En consecuencia, tendrán derecho, previa solicitud, a que la administración les restablezca </w:t>
      </w:r>
      <w:r w:rsidRPr="00E97A27">
        <w:rPr>
          <w:rFonts w:ascii="Verdana" w:eastAsia="Arial" w:hAnsi="Verdana" w:cs="Arial"/>
          <w:i/>
          <w:iCs/>
          <w:color w:val="000000" w:themeColor="text1"/>
          <w:lang w:val="es-ES" w:eastAsia="es-ES" w:bidi="es-ES"/>
        </w:rPr>
        <w:t>el equilibrio de la ecuación económica</w:t>
      </w:r>
      <w:r w:rsidRPr="00E97A27">
        <w:rPr>
          <w:rFonts w:ascii="Verdana" w:eastAsia="Arial" w:hAnsi="Verdana" w:cs="Arial"/>
          <w:color w:val="000000" w:themeColor="text1"/>
          <w:lang w:val="es-ES" w:eastAsia="es-ES" w:bidi="es-ES"/>
        </w:rPr>
        <w:t xml:space="preserve"> del contrato por la ocurrencia de situaciones imprevistas que no sean imputables a los </w:t>
      </w:r>
      <w:r w:rsidRPr="00E97A27">
        <w:rPr>
          <w:rFonts w:ascii="Verdana" w:eastAsia="Arial" w:hAnsi="Verdana" w:cs="Arial"/>
          <w:color w:val="000000" w:themeColor="text1"/>
          <w:lang w:val="es-ES" w:eastAsia="es-ES" w:bidi="es-ES"/>
        </w:rPr>
        <w:lastRenderedPageBreak/>
        <w:t>contratistas. Si dicho equilibrio se rompe por incumplimiento de la entidad estatal contratante, tendrá que restablecerse la ecuación surgida al momento del nacimiento del contrato.</w:t>
      </w:r>
    </w:p>
    <w:p w14:paraId="7E54217A" w14:textId="77777777" w:rsidR="00455C07" w:rsidRPr="00E97A27" w:rsidRDefault="00455C07" w:rsidP="00455C07">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w:t>
      </w:r>
      <w:r w:rsidRPr="00E97A27">
        <w:rPr>
          <w:rFonts w:ascii="Verdana" w:eastAsia="Arial" w:hAnsi="Verdana" w:cs="Arial"/>
          <w:i/>
          <w:iCs/>
          <w:color w:val="000000" w:themeColor="text1"/>
          <w:lang w:val="es-ES" w:eastAsia="es-ES" w:bidi="es-ES"/>
        </w:rPr>
        <w:t>la ecuación o equilibrio inicial.</w:t>
      </w:r>
    </w:p>
    <w:p w14:paraId="7C954D3D" w14:textId="77777777" w:rsidR="00455C07" w:rsidRDefault="00455C07" w:rsidP="00455C07">
      <w:pPr>
        <w:widowControl w:val="0"/>
        <w:autoSpaceDE w:val="0"/>
        <w:autoSpaceDN w:val="0"/>
        <w:spacing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equilibrio económico del contrato y evitar una mayor onerosidad.</w:t>
      </w:r>
    </w:p>
    <w:p w14:paraId="06C10A09" w14:textId="77777777" w:rsidR="00455C07" w:rsidRPr="00E97A27" w:rsidRDefault="00455C07" w:rsidP="00455C07">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36AAABE6" w14:textId="77777777" w:rsidR="00455C07" w:rsidRPr="00E97A27" w:rsidRDefault="00455C07" w:rsidP="00455C07">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4C916BF9" w14:textId="77777777" w:rsidR="00455C07" w:rsidRPr="00AA6517" w:rsidRDefault="00455C07" w:rsidP="00455C07">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01E80BFF" w14:textId="77777777" w:rsidR="00455C07" w:rsidRPr="00AA6517" w:rsidRDefault="00455C07" w:rsidP="00455C07">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3E20F5A0" w14:textId="77777777" w:rsidR="00455C07" w:rsidRPr="00AA6517" w:rsidRDefault="00455C07" w:rsidP="00455C07">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c) Factores exógenos a las partes del negocio, o ‘teoría de la imprevisión’, o ‘sujeciones materiales imprevistas’, que involucran circunstancias no imputables al Estado y externas al contrato pero con incidencia en él.</w:t>
      </w:r>
    </w:p>
    <w:p w14:paraId="117BD99D" w14:textId="77777777" w:rsidR="00455C07" w:rsidRPr="00E97A27" w:rsidRDefault="00455C07" w:rsidP="00455C07">
      <w:pPr>
        <w:widowControl w:val="0"/>
        <w:autoSpaceDE w:val="0"/>
        <w:autoSpaceDN w:val="0"/>
        <w:spacing w:after="0" w:line="240" w:lineRule="auto"/>
        <w:ind w:left="709" w:right="709"/>
        <w:jc w:val="both"/>
        <w:rPr>
          <w:rFonts w:ascii="Verdana" w:eastAsia="Arial" w:hAnsi="Verdana" w:cs="Arial"/>
          <w:color w:val="000000" w:themeColor="text1"/>
          <w:sz w:val="21"/>
          <w:szCs w:val="21"/>
          <w:lang w:val="es-ES" w:eastAsia="es-ES" w:bidi="es-ES"/>
        </w:rPr>
      </w:pPr>
      <w:r w:rsidRPr="00AA6517">
        <w:rPr>
          <w:rFonts w:ascii="Verdana" w:eastAsia="Arial" w:hAnsi="Verdana" w:cs="Arial"/>
          <w:color w:val="000000" w:themeColor="text1"/>
          <w:sz w:val="20"/>
          <w:szCs w:val="20"/>
          <w:lang w:val="es-ES" w:eastAsia="es-ES" w:bidi="es-ES"/>
        </w:rPr>
        <w:t xml:space="preserve">En todos estos eventos surge la obligación de la administración contratante de auxiliar al contratista colaborador asumiendo mediante una </w:t>
      </w:r>
      <w:r w:rsidRPr="00AA6517">
        <w:rPr>
          <w:rFonts w:ascii="Verdana" w:eastAsia="Arial" w:hAnsi="Verdana" w:cs="Arial"/>
          <w:color w:val="000000" w:themeColor="text1"/>
          <w:sz w:val="20"/>
          <w:szCs w:val="20"/>
          <w:lang w:val="es-ES" w:eastAsia="es-ES" w:bidi="es-ES"/>
        </w:rPr>
        <w:lastRenderedPageBreak/>
        <w:t>compensación -llevarlo hasta el punto de no pérdida- o nace el deber de indemnizarlo integralmente, según el caso y si se cumplen los requisitos señalados para cada figura”</w:t>
      </w:r>
      <w:r w:rsidRPr="00AA6517">
        <w:rPr>
          <w:rStyle w:val="Refdenotaalpie"/>
          <w:rFonts w:ascii="Verdana" w:eastAsia="Arial" w:hAnsi="Verdana" w:cs="Arial"/>
          <w:color w:val="000000" w:themeColor="text1"/>
          <w:sz w:val="20"/>
          <w:szCs w:val="20"/>
          <w:lang w:val="es-ES" w:eastAsia="es-ES" w:bidi="es-ES"/>
        </w:rPr>
        <w:footnoteReference w:id="5"/>
      </w:r>
      <w:r w:rsidRPr="00AA6517">
        <w:rPr>
          <w:rFonts w:ascii="Verdana" w:eastAsia="Arial" w:hAnsi="Verdana" w:cs="Arial"/>
          <w:color w:val="000000" w:themeColor="text1"/>
          <w:sz w:val="20"/>
          <w:szCs w:val="20"/>
          <w:lang w:val="es-ES" w:eastAsia="es-ES" w:bidi="es-ES"/>
        </w:rPr>
        <w:t>.</w:t>
      </w:r>
    </w:p>
    <w:p w14:paraId="57582863" w14:textId="77777777" w:rsidR="00455C07" w:rsidRPr="00E97A27" w:rsidRDefault="00455C07" w:rsidP="00455C07">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6C123B53" w14:textId="77777777" w:rsidR="00455C07" w:rsidRPr="00E97A27" w:rsidRDefault="00455C07" w:rsidP="00455C07">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w:t>
      </w:r>
      <w:r w:rsidRPr="00E97A27">
        <w:rPr>
          <w:rStyle w:val="Refdenotaalpie"/>
          <w:rFonts w:ascii="Verdana" w:eastAsia="Arial" w:hAnsi="Verdana" w:cs="Arial"/>
          <w:color w:val="000000" w:themeColor="text1"/>
          <w:lang w:val="es-ES" w:eastAsia="es-ES" w:bidi="es-ES"/>
        </w:rPr>
        <w:footnoteReference w:id="6"/>
      </w:r>
      <w:r w:rsidRPr="00E97A27">
        <w:rPr>
          <w:rFonts w:ascii="Verdana" w:eastAsia="Arial" w:hAnsi="Verdana" w:cs="Arial"/>
          <w:color w:val="000000" w:themeColor="text1"/>
          <w:lang w:val="es-ES" w:eastAsia="es-ES" w:bidi="es-ES"/>
        </w:rPr>
        <w:t xml:space="preserve">. Además, es necesario que las reclamaciones para el restablecimiento se realicen en la oportunidad debida, de manera que </w:t>
      </w:r>
      <w:r w:rsidRPr="00E97A27">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7"/>
      </w:r>
      <w:r w:rsidRPr="00E97A27">
        <w:rPr>
          <w:rFonts w:ascii="Verdana" w:eastAsia="Arial" w:hAnsi="Verdana" w:cs="Arial"/>
          <w:color w:val="000000" w:themeColor="text1"/>
          <w:lang w:val="es-MX" w:eastAsia="es-ES" w:bidi="es-ES"/>
        </w:rPr>
        <w:t xml:space="preserve">. </w:t>
      </w:r>
    </w:p>
    <w:p w14:paraId="127AC56F" w14:textId="77777777" w:rsidR="00455C07" w:rsidRPr="00E97A27" w:rsidRDefault="00455C07" w:rsidP="00455C07">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0AF4E48E" w14:textId="77777777" w:rsidR="00455C07" w:rsidRPr="00E97A27" w:rsidRDefault="00455C07" w:rsidP="00455C07">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E97A27">
        <w:rPr>
          <w:rFonts w:ascii="Verdana" w:eastAsia="Arial" w:hAnsi="Verdana" w:cs="Arial"/>
          <w:color w:val="000000" w:themeColor="text1"/>
          <w:lang w:eastAsia="es-ES" w:bidi="es-ES"/>
        </w:rPr>
        <w:t xml:space="preserve"> cada caso el contenido del respectivo acuerdo y de sus antecedentes, para determinar el alcance de los otrosíes o de las actas de suspensión correspondientes</w:t>
      </w:r>
      <w:r w:rsidRPr="00E97A27">
        <w:rPr>
          <w:rStyle w:val="Refdenotaalpie"/>
          <w:rFonts w:ascii="Verdana" w:eastAsia="Arial" w:hAnsi="Verdana" w:cs="Arial"/>
          <w:color w:val="000000" w:themeColor="text1"/>
          <w:lang w:eastAsia="es-ES" w:bidi="es-ES"/>
        </w:rPr>
        <w:footnoteReference w:id="8"/>
      </w:r>
      <w:r w:rsidRPr="00E97A27">
        <w:rPr>
          <w:rFonts w:ascii="Verdana" w:eastAsia="Arial" w:hAnsi="Verdana" w:cs="Arial"/>
          <w:color w:val="000000" w:themeColor="text1"/>
          <w:lang w:eastAsia="es-ES" w:bidi="es-ES"/>
        </w:rPr>
        <w:t xml:space="preserve">. En tal </w:t>
      </w:r>
      <w:r w:rsidRPr="00E97A27">
        <w:rPr>
          <w:rFonts w:ascii="Verdana" w:eastAsia="Arial" w:hAnsi="Verdana" w:cs="Arial"/>
          <w:color w:val="000000" w:themeColor="text1"/>
          <w:lang w:eastAsia="es-ES" w:bidi="es-ES"/>
        </w:rPr>
        <w:lastRenderedPageBreak/>
        <w:t xml:space="preserve">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w:t>
      </w:r>
      <w:r w:rsidRPr="00E97A27">
        <w:rPr>
          <w:rFonts w:ascii="Verdana" w:hAnsi="Verdana" w:cs="Arial"/>
        </w:rPr>
        <w:t xml:space="preserve"> </w:t>
      </w:r>
      <w:r w:rsidRPr="00E97A27">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w:t>
      </w:r>
    </w:p>
    <w:p w14:paraId="6FF0DC06" w14:textId="77777777" w:rsidR="00455C07" w:rsidRPr="00E97A27" w:rsidRDefault="00455C07" w:rsidP="00455C07">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Bajo estas consideraciones y más allá de las distintas posturas que se han generado al interior del Consejo de Estado en torno a la oportunidad de la reclamación del restablecimiento del equilibrio económico del contrato, lo relevante de lo expuesto, para efectos de la consulta, es que este restablecimiento podrá realizarlo directamente la Administración durante la ejecución del contrato adoptando las medidas necesarias que aseguren la efectividad de los pagos y reconocimientos al contratista que haya lugar. 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 </w:t>
      </w:r>
    </w:p>
    <w:p w14:paraId="0635B41D" w14:textId="77777777" w:rsidR="00455C07" w:rsidRPr="00E97A27" w:rsidRDefault="00455C07" w:rsidP="00455C07">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y jurídicas que fundamente dicho restablecimiento y las limitaciones legales sobre el particular, de manera que mediante los acuerdos que se celebren se autorregulen los intereses de las partes.</w:t>
      </w:r>
    </w:p>
    <w:p w14:paraId="554B7F98" w14:textId="77777777" w:rsidR="00455C07" w:rsidRPr="00E97A27" w:rsidRDefault="00455C07" w:rsidP="00455C07">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Aunado a lo expuesto, la jurisprudencia resalta que la posibilidad de </w:t>
      </w:r>
      <w:r w:rsidRPr="00E97A27">
        <w:rPr>
          <w:rFonts w:ascii="Verdana" w:eastAsia="Arial" w:hAnsi="Verdana" w:cs="Arial"/>
          <w:color w:val="000000" w:themeColor="text1"/>
          <w:lang w:val="es-ES" w:eastAsia="es-ES" w:bidi="es-ES"/>
        </w:rPr>
        <w:lastRenderedPageBreak/>
        <w:t>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sidRPr="00E97A27">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9"/>
      </w:r>
      <w:r w:rsidRPr="00E97A27">
        <w:rPr>
          <w:rFonts w:ascii="Verdana" w:eastAsia="Arial" w:hAnsi="Verdana" w:cs="Arial"/>
          <w:lang w:val="es-ES" w:eastAsia="es-ES" w:bidi="es-ES"/>
        </w:rPr>
        <w:t>.</w:t>
      </w:r>
      <w:r w:rsidRPr="00E97A27">
        <w:rPr>
          <w:rFonts w:ascii="Verdana" w:eastAsia="Arial" w:hAnsi="Verdana" w:cs="Arial"/>
          <w:sz w:val="21"/>
          <w:szCs w:val="21"/>
          <w:lang w:val="es-ES" w:eastAsia="es-ES" w:bidi="es-ES"/>
        </w:rPr>
        <w:t xml:space="preserve"> </w:t>
      </w:r>
    </w:p>
    <w:p w14:paraId="4C6AD9DD" w14:textId="77777777" w:rsidR="00455C07" w:rsidRPr="00E97A27" w:rsidRDefault="00455C07" w:rsidP="00455C07">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En armonía con lo anterior, la doctrina ha señalado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val="es-ES" w:eastAsia="es-ES" w:bidi="es-ES"/>
        </w:rPr>
        <w:t xml:space="preserve">durante la vigencia del contrato, esto es, el periodo que comprende el interregno que va desde el perfeccionamiento del contrato (acuerdo sobre el objeto y la contraprestación elevado a escrito al tenor del art. 41 </w:t>
      </w:r>
      <w:proofErr w:type="spellStart"/>
      <w:r w:rsidRPr="00E97A27">
        <w:rPr>
          <w:rFonts w:ascii="Verdana" w:eastAsia="Arial" w:hAnsi="Verdana" w:cs="Arial"/>
          <w:color w:val="000000" w:themeColor="text1"/>
          <w:lang w:val="es-ES" w:eastAsia="es-ES" w:bidi="es-ES"/>
        </w:rPr>
        <w:t>inc</w:t>
      </w:r>
      <w:proofErr w:type="spellEnd"/>
      <w:r w:rsidRPr="00E97A27">
        <w:rPr>
          <w:rFonts w:ascii="Verdana" w:eastAsia="Arial" w:hAnsi="Verdana" w:cs="Arial"/>
          <w:color w:val="000000" w:themeColor="text1"/>
          <w:lang w:val="es-ES" w:eastAsia="es-ES" w:bidi="es-ES"/>
        </w:rPr>
        <w:t xml:space="preserve"> 1° de la Ley 80 de 1993) hasta su liquidación, los contratantes tienen la potestad de pactar lo que consideren necesario a efectos de reequilibrar la ecuación contractual, por ejemplo, pueden ajustar la cuantía, las condiciones de ejecución, las formas de pago, los costos financieros y los interés, en el evento en que los haya</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ES" w:eastAsia="es-ES" w:bidi="es-ES"/>
        </w:rPr>
        <w:footnoteReference w:id="10"/>
      </w:r>
      <w:r w:rsidRPr="00E97A27">
        <w:rPr>
          <w:rFonts w:ascii="Verdana" w:eastAsia="Arial" w:hAnsi="Verdana" w:cs="Arial"/>
          <w:color w:val="000000" w:themeColor="text1"/>
          <w:lang w:val="es-ES" w:eastAsia="es-ES" w:bidi="es-ES"/>
        </w:rPr>
        <w:t xml:space="preserve">. </w:t>
      </w:r>
    </w:p>
    <w:p w14:paraId="3A34BF7D" w14:textId="77777777" w:rsidR="00455C07" w:rsidRDefault="00455C07" w:rsidP="00455C07">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Así la cosas, con fundamento en el EGCAP, en la jurisprudencia y en la doctrina puede concluir</w:t>
      </w:r>
      <w:r>
        <w:rPr>
          <w:rFonts w:ascii="Verdana" w:eastAsia="Arial" w:hAnsi="Verdana" w:cs="Arial"/>
          <w:color w:val="000000" w:themeColor="text1"/>
          <w:lang w:val="es-ES" w:eastAsia="es-ES" w:bidi="es-ES"/>
        </w:rPr>
        <w:t>se</w:t>
      </w:r>
      <w:r w:rsidRPr="00E97A27">
        <w:rPr>
          <w:rFonts w:ascii="Verdana" w:eastAsia="Arial" w:hAnsi="Verdana" w:cs="Arial"/>
          <w:color w:val="000000" w:themeColor="text1"/>
          <w:lang w:val="es-ES" w:eastAsia="es-ES" w:bidi="es-ES"/>
        </w:rPr>
        <w:t xml:space="preserve"> que 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 </w:t>
      </w:r>
    </w:p>
    <w:p w14:paraId="14A2EDD6" w14:textId="77777777" w:rsidR="00455C07"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R</w:t>
      </w:r>
      <w:r w:rsidRPr="004474BA">
        <w:rPr>
          <w:rFonts w:ascii="Verdana" w:eastAsia="Times New Roman" w:hAnsi="Verdana" w:cs="Arial"/>
          <w:color w:val="000000"/>
          <w:bdr w:val="none" w:sz="0" w:space="0" w:color="auto" w:frame="1"/>
          <w:shd w:val="clear" w:color="auto" w:fill="FFFFFF"/>
          <w:lang w:eastAsia="es-ES_tradnl"/>
        </w:rPr>
        <w:t>especto al contenido de la liquidación</w:t>
      </w:r>
      <w:r>
        <w:rPr>
          <w:rFonts w:ascii="Verdana" w:eastAsia="Times New Roman" w:hAnsi="Verdana" w:cs="Arial"/>
          <w:color w:val="000000"/>
          <w:bdr w:val="none" w:sz="0" w:space="0" w:color="auto" w:frame="1"/>
          <w:shd w:val="clear" w:color="auto" w:fill="FFFFFF"/>
          <w:lang w:eastAsia="es-ES_tradnl"/>
        </w:rPr>
        <w:t xml:space="preserve">, conforme a los incisos segundo y tercero del artículo 60 del EGCAP,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w:t>
      </w:r>
      <w:r>
        <w:rPr>
          <w:rFonts w:ascii="Verdana" w:eastAsia="Times New Roman" w:hAnsi="Verdana" w:cs="Arial"/>
          <w:color w:val="000000"/>
          <w:bdr w:val="none" w:sz="0" w:space="0" w:color="auto" w:frame="1"/>
          <w:shd w:val="clear" w:color="auto" w:fill="FFFFFF"/>
          <w:lang w:eastAsia="es-ES_tradnl"/>
        </w:rPr>
        <w:lastRenderedPageBreak/>
        <w:t xml:space="preserve">garanticen el equilibrio económico si éste resultó afectado en la ejecución del negocio jurídico, así que la liquidación es el momento oportuno para resolver las diferencias existentes. De esta manera: </w:t>
      </w:r>
    </w:p>
    <w:p w14:paraId="498AF2E6" w14:textId="77777777" w:rsidR="00455C07"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72953852" w14:textId="77777777" w:rsidR="00455C07" w:rsidRPr="00AA6517" w:rsidRDefault="00455C07" w:rsidP="00455C07">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de la relación jurídica, con el propósito de que el negocio finalmente sea equivalente entre las partes”</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11"/>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619E88AA" w14:textId="77777777" w:rsidR="00455C07"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19EDCABC" w14:textId="77777777" w:rsidR="00455C07"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 xml:space="preserve">De acuerdo con la Sentencia de Unificación del 19 de noviembre de 2012 de la Sala Plena del Consejo de Estado, </w:t>
      </w:r>
      <w:r>
        <w:rPr>
          <w:rFonts w:ascii="Verdana" w:eastAsia="Times New Roman" w:hAnsi="Verdana" w:cs="Arial"/>
          <w:i/>
          <w:iCs/>
          <w:color w:val="000000"/>
          <w:bdr w:val="none" w:sz="0" w:space="0" w:color="auto" w:frame="1"/>
          <w:shd w:val="clear" w:color="auto" w:fill="FFFFFF"/>
          <w:lang w:eastAsia="es-ES_tradnl"/>
        </w:rPr>
        <w:t>por regla general,</w:t>
      </w:r>
      <w:r>
        <w:rPr>
          <w:rFonts w:ascii="Verdana" w:eastAsia="Times New Roman" w:hAnsi="Verdana" w:cs="Arial"/>
          <w:color w:val="000000"/>
          <w:bdr w:val="none" w:sz="0" w:space="0" w:color="auto" w:frame="1"/>
          <w:shd w:val="clear" w:color="auto" w:fill="FFFFFF"/>
          <w:lang w:eastAsia="es-ES_tradnl"/>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 Dentro de esta línea:</w:t>
      </w:r>
    </w:p>
    <w:p w14:paraId="52875421" w14:textId="77777777" w:rsidR="00455C07"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CB35AEB" w14:textId="77777777" w:rsidR="00455C07" w:rsidRPr="00AA6517" w:rsidRDefault="00455C07" w:rsidP="00455C07">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“EL E.C. establece que en el acta de liquidación del contrato podrán efectuarse las transacciones a las que hubiere lugar. Se trata de un mecanismo de solucionar eventuales conflictos de orden contractual, por esto, no se podrán incorporar reconocimientos que se han causado y que resulten ajenos a las obligaciones contractuales y legales. Aquellas actividades ejecutadas por el contratista que no se desprendan o se encuentren incorporadas en el contrato, no podrán ser reconocidas en el acta de liquidación. Esto no significa que a la entidad se le cierre la posibilidad de solucionar directamente el conflicto, pero, podrá precaverlo, suscribiendo un contrato de transacción con las formalidades establecidas en nuestro ordenamiento”</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12"/>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77B3B68B" w14:textId="77777777" w:rsidR="00455C07" w:rsidRPr="00A04C35"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446EF625" w14:textId="77777777" w:rsidR="00455C07" w:rsidRPr="00A04C35" w:rsidRDefault="00455C07" w:rsidP="00455C07">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r>
      <w:r w:rsidRPr="00A04C35">
        <w:rPr>
          <w:rFonts w:ascii="Verdana" w:eastAsia="Times New Roman" w:hAnsi="Verdana" w:cs="Arial"/>
          <w:i/>
          <w:iCs/>
          <w:color w:val="000000"/>
          <w:bdr w:val="none" w:sz="0" w:space="0" w:color="auto" w:frame="1"/>
          <w:shd w:val="clear" w:color="auto" w:fill="FFFFFF"/>
          <w:lang w:eastAsia="es-ES_tradnl"/>
        </w:rPr>
        <w:t>Excepcionalmente</w:t>
      </w:r>
      <w:r w:rsidRPr="00A04C35">
        <w:rPr>
          <w:rFonts w:ascii="Verdana" w:eastAsia="Times New Roman" w:hAnsi="Verdana" w:cs="Arial"/>
          <w:color w:val="000000"/>
          <w:bdr w:val="none" w:sz="0" w:space="0" w:color="auto" w:frame="1"/>
          <w:shd w:val="clear" w:color="auto" w:fill="FFFFFF"/>
          <w:lang w:eastAsia="es-ES_tradnl"/>
        </w:rPr>
        <w:t xml:space="preserve">, la jurisprudencia citada admitió la posibilidad de reconocer al contratista la ejecución de obras extras o adicionales en tres (3) eventos de interpretación restrictiva: i) cuando existe prueba fehaciente de que </w:t>
      </w:r>
      <w:r w:rsidRPr="00A04C35">
        <w:rPr>
          <w:rFonts w:ascii="Verdana" w:eastAsia="Times New Roman" w:hAnsi="Verdana" w:cs="Arial"/>
          <w:color w:val="000000"/>
          <w:bdr w:val="none" w:sz="0" w:space="0" w:color="auto" w:frame="1"/>
          <w:shd w:val="clear" w:color="auto" w:fill="FFFFFF"/>
          <w:lang w:eastAsia="es-ES_tradnl"/>
        </w:rPr>
        <w:lastRenderedPageBreak/>
        <w:t xml:space="preserve">la ejecución de obras o servicios extras o adicionales o el suministro de bienes, por fuera del objeto contractual, se haya realizado por la imposición de la entidad, en ejercicio de su autoridad; </w:t>
      </w:r>
      <w:proofErr w:type="spellStart"/>
      <w:r w:rsidRPr="00A04C35">
        <w:rPr>
          <w:rFonts w:ascii="Verdana" w:eastAsia="Times New Roman" w:hAnsi="Verdana" w:cs="Arial"/>
          <w:color w:val="000000"/>
          <w:bdr w:val="none" w:sz="0" w:space="0" w:color="auto" w:frame="1"/>
          <w:shd w:val="clear" w:color="auto" w:fill="FFFFFF"/>
          <w:lang w:eastAsia="es-ES_tradnl"/>
        </w:rPr>
        <w:t>ii</w:t>
      </w:r>
      <w:proofErr w:type="spellEnd"/>
      <w:r w:rsidRPr="00A04C35">
        <w:rPr>
          <w:rFonts w:ascii="Verdana" w:eastAsia="Times New Roman" w:hAnsi="Verdana" w:cs="Arial"/>
          <w:color w:val="000000"/>
          <w:bdr w:val="none" w:sz="0" w:space="0" w:color="auto" w:frame="1"/>
          <w:shd w:val="clear" w:color="auto" w:fill="FFFFFF"/>
          <w:lang w:eastAsia="es-ES_tradnl"/>
        </w:rPr>
        <w:t xml:space="preserve">) que fueran urgentes para evitar una lesión inminente e irreversible al derecho a la salud; y </w:t>
      </w:r>
      <w:proofErr w:type="spellStart"/>
      <w:r w:rsidRPr="00A04C35">
        <w:rPr>
          <w:rFonts w:ascii="Verdana" w:eastAsia="Times New Roman" w:hAnsi="Verdana" w:cs="Arial"/>
          <w:color w:val="000000"/>
          <w:bdr w:val="none" w:sz="0" w:space="0" w:color="auto" w:frame="1"/>
          <w:shd w:val="clear" w:color="auto" w:fill="FFFFFF"/>
          <w:lang w:eastAsia="es-ES_tradnl"/>
        </w:rPr>
        <w:t>iii</w:t>
      </w:r>
      <w:proofErr w:type="spellEnd"/>
      <w:r w:rsidRPr="00A04C35">
        <w:rPr>
          <w:rFonts w:ascii="Verdana" w:eastAsia="Times New Roman" w:hAnsi="Verdana" w:cs="Arial"/>
          <w:color w:val="000000"/>
          <w:bdr w:val="none" w:sz="0" w:space="0" w:color="auto" w:frame="1"/>
          <w:shd w:val="clear" w:color="auto" w:fill="FFFFFF"/>
          <w:lang w:eastAsia="es-ES_tradnl"/>
        </w:rPr>
        <w:t>) cuando se omite el decreto de la urgencia manifiesta y concurren las circunstancias para que ésta hubiera sido declarada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3"/>
      </w:r>
      <w:r w:rsidRPr="00A04C35">
        <w:rPr>
          <w:rFonts w:ascii="Verdana" w:eastAsia="Times New Roman" w:hAnsi="Verdana" w:cs="Arial"/>
          <w:color w:val="000000"/>
          <w:bdr w:val="none" w:sz="0" w:space="0" w:color="auto" w:frame="1"/>
          <w:shd w:val="clear" w:color="auto" w:fill="FFFFFF"/>
          <w:lang w:eastAsia="es-ES_tradnl"/>
        </w:rPr>
        <w:t xml:space="preserve">.  </w:t>
      </w:r>
    </w:p>
    <w:p w14:paraId="6FE5C8D3" w14:textId="77777777" w:rsidR="00455C07" w:rsidRPr="00A04C35"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4"/>
      </w:r>
      <w:r w:rsidRPr="00A04C35">
        <w:rPr>
          <w:rFonts w:ascii="Verdana" w:eastAsia="Times New Roman" w:hAnsi="Verdana" w:cs="Arial"/>
          <w:color w:val="000000"/>
          <w:bdr w:val="none" w:sz="0" w:space="0" w:color="auto" w:frame="1"/>
          <w:shd w:val="clear" w:color="auto" w:fill="FFFFFF"/>
          <w:lang w:eastAsia="es-ES_tradnl"/>
        </w:rPr>
        <w:t xml:space="preserve">. Dicho reconocimiento está supeditado a que la parte interesada demuestre la concurrencia de los siguientes elementos: </w:t>
      </w:r>
    </w:p>
    <w:p w14:paraId="5D562942" w14:textId="77777777" w:rsidR="00455C07" w:rsidRPr="00A04C35"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4D79A450" w14:textId="77777777" w:rsidR="00455C07" w:rsidRPr="00A04C35" w:rsidRDefault="00455C07" w:rsidP="00455C07">
      <w:pPr>
        <w:tabs>
          <w:tab w:val="left" w:pos="709"/>
        </w:tabs>
        <w:spacing w:after="0" w:line="240" w:lineRule="auto"/>
        <w:ind w:left="709" w:right="709"/>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“Ese reconocimiento, además, está supeditado a que se reúnan los siguientes elementos: (i) la existencia de una ventaja patrimonial en beneficio de la entidad;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un empobrecimiento correlativo sufrido por el demandante, el cual pueda atribuirse al acrecimiento mencionado;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la ausencia de causa jurídica en el desequilibrio producido, en cuanto a que no haya sido generada por un hecho o un acto jurídico, como tampoco por una disposición expresa de la ley;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iv</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que el demandante carezca de cualquier otro mecanismo para reclamar la compensación, lo que pone en evidencia su subsidiariedad; y (v) la compensación no procede cuando con ella se pretende soslayar una disposición imperativa de la ley”</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5"/>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4EA17B03" w14:textId="77777777" w:rsidR="00455C07" w:rsidRPr="00A04C35"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3F8F5C9" w14:textId="77777777" w:rsidR="00455C07" w:rsidRPr="00A04C35"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w:t>
      </w:r>
      <w:r w:rsidRPr="00A04C35">
        <w:rPr>
          <w:rFonts w:ascii="Verdana" w:eastAsia="Times New Roman" w:hAnsi="Verdana" w:cs="Arial"/>
          <w:color w:val="000000"/>
          <w:bdr w:val="none" w:sz="0" w:space="0" w:color="auto" w:frame="1"/>
          <w:shd w:val="clear" w:color="auto" w:fill="FFFFFF"/>
          <w:lang w:eastAsia="es-ES_tradnl"/>
        </w:rPr>
        <w:lastRenderedPageBreak/>
        <w:t>se enmarque en los eventos indicados en la Sentencia del 19 de noviembre de 2012</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6"/>
      </w:r>
      <w:r w:rsidRPr="00A04C35">
        <w:rPr>
          <w:rFonts w:ascii="Verdana" w:eastAsia="Times New Roman" w:hAnsi="Verdana" w:cs="Arial"/>
          <w:color w:val="000000"/>
          <w:bdr w:val="none" w:sz="0" w:space="0" w:color="auto" w:frame="1"/>
          <w:shd w:val="clear" w:color="auto" w:fill="FFFFFF"/>
          <w:lang w:eastAsia="es-ES_tradnl"/>
        </w:rPr>
        <w:t xml:space="preserve">. De este modo, dicha Sentencia de Unificación expresa: </w:t>
      </w:r>
    </w:p>
    <w:p w14:paraId="20F9F5BD" w14:textId="77777777" w:rsidR="00455C07" w:rsidRPr="00A04C35" w:rsidRDefault="00455C07" w:rsidP="00455C07">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305525B5" w14:textId="77777777" w:rsidR="00455C07" w:rsidRPr="00A04C35" w:rsidRDefault="00455C07" w:rsidP="00455C07">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“Sobre lo primero, en torno a la configuración y procedencia del enriquecimiento sin justa causa cuando se han ejecutado actividades sin el respaldo de un contrato, en favor de entidades que -en su gestión- deben aplicar el Estatuto General de Contratación Pública, se decantó que la respectiva pretensión de compensación, cuando se carezca de otro mecanismo para reclamar, debe cumplir los presupuestos procesales de la reparación directa (incluso cuando se ha celebrado un contrato cuyo objeto se haya agotado para el momento de la extinción del plazo previsto y ante el desarrollo de actividades con posterioridad a la finalización), sin que sea exigible haber provocado una decisión por parte de la administración y, al satisfacerse, debe ser tramitada, pese a que el demandante mencione otro medio o guarde silencio sobre su denominación. Su prosperidad es absolutamente excepcional, depende de la plena prueba de la actividad desarrollada, sustentada en la demostración de una circunstancia extraordinaria y en razones de interés general, sin que, al respecto, se preestablezcan hipótesis fácticas taxativas; pero, sí se debe supeditar a la existencia de una ventaja patrimonial en beneficio de la demandada, un empobrecimiento correlativo sufrido por el demandante, la ausencia de causa jurídica en el desequilibrio producido y que no se haya soslayado la ley. Cumplido lo anterior, procede corregir el traslado patrimonial injustificado, mas no indemnizar un daño, salvo que el menoscabo emane de una conducta constitutiva de responsabilidad extracontractual del Estado, como una coacción o constreñimiento, que realmente constituyen eventos de falla del servicio”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7"/>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4D94669F" w14:textId="77777777" w:rsidR="00455C07" w:rsidRPr="00A04C35" w:rsidRDefault="00455C07" w:rsidP="00455C07">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5131C1BE" w14:textId="77777777" w:rsidR="00455C07" w:rsidRDefault="00455C07" w:rsidP="00455C07">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Conforme al artículo 10 de la Ley 1437 de 2011, “Al resolver los asuntos de su competencia, las autoridades aplicarán las disposiciones constitucionales, legales y reglamentarias de manera uniforme a situaciones que tengan los mismos supuestos fácticos y jurídicos. </w:t>
      </w:r>
      <w:r w:rsidRPr="00A04C35">
        <w:rPr>
          <w:rFonts w:ascii="Verdana" w:eastAsia="Times New Roman" w:hAnsi="Verdana" w:cs="Arial"/>
          <w:i/>
          <w:iCs/>
          <w:color w:val="000000"/>
          <w:bdr w:val="none" w:sz="0" w:space="0" w:color="auto" w:frame="1"/>
          <w:shd w:val="clear" w:color="auto" w:fill="FFFFFF"/>
          <w:lang w:eastAsia="es-ES_tradnl"/>
        </w:rPr>
        <w:t>Con este propósito, al adoptar las decisiones de su competencia, deberán tener en cuenta las sentencias de unificación jurisprudencial del Consejo de Estado en las que se interpreten y apliquen dichas normas</w:t>
      </w:r>
      <w:r w:rsidRPr="00A04C35">
        <w:rPr>
          <w:rFonts w:ascii="Verdana" w:eastAsia="Times New Roman" w:hAnsi="Verdana" w:cs="Arial"/>
          <w:color w:val="000000"/>
          <w:bdr w:val="none" w:sz="0" w:space="0" w:color="auto" w:frame="1"/>
          <w:shd w:val="clear" w:color="auto" w:fill="FFFFFF"/>
          <w:lang w:eastAsia="es-ES_tradnl"/>
        </w:rPr>
        <w:t xml:space="preserve">” (Énfasis fuera de texto). Por tanto, en la actualidad existe la posibilidad de reconocer en la liquidación actividades no incluidas o ítems no previstos dentro del contrato, pues no se limita a los supuestos planteados de la Sentencia de Unificación del 19 de noviembre de 2012, sino </w:t>
      </w:r>
      <w:r w:rsidRPr="00A04C35">
        <w:rPr>
          <w:rFonts w:ascii="Verdana" w:eastAsia="Times New Roman" w:hAnsi="Verdana" w:cs="Arial"/>
          <w:color w:val="000000"/>
          <w:bdr w:val="none" w:sz="0" w:space="0" w:color="auto" w:frame="1"/>
          <w:shd w:val="clear" w:color="auto" w:fill="FFFFFF"/>
          <w:lang w:eastAsia="es-ES_tradnl"/>
        </w:rPr>
        <w:lastRenderedPageBreak/>
        <w:t>que se configuren los elementos del enriquecimiento sin justa causa, la prueba de la actividad, sumado a la circunstancia excepcional que se invoca.</w:t>
      </w:r>
      <w:r>
        <w:rPr>
          <w:rFonts w:ascii="Verdana" w:eastAsia="Times New Roman" w:hAnsi="Verdana" w:cs="Arial"/>
          <w:color w:val="000000"/>
          <w:bdr w:val="none" w:sz="0" w:space="0" w:color="auto" w:frame="1"/>
          <w:shd w:val="clear" w:color="auto" w:fill="FFFFFF"/>
          <w:lang w:eastAsia="es-ES_tradnl"/>
        </w:rPr>
        <w:t xml:space="preserve">  </w:t>
      </w:r>
    </w:p>
    <w:p w14:paraId="7CE28A02" w14:textId="77777777" w:rsidR="00455C07" w:rsidRPr="006162A9" w:rsidRDefault="00455C07" w:rsidP="00455C07">
      <w:pPr>
        <w:widowControl w:val="0"/>
        <w:autoSpaceDE w:val="0"/>
        <w:autoSpaceDN w:val="0"/>
        <w:spacing w:after="0" w:line="276" w:lineRule="auto"/>
        <w:ind w:firstLine="708"/>
        <w:jc w:val="both"/>
        <w:rPr>
          <w:rFonts w:ascii="Verdana" w:hAnsi="Verdana"/>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los reconocimientos económicos derivados del desequilibrio en el contrato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1941FD">
        <w:rPr>
          <w:rStyle w:val="s15"/>
          <w:rFonts w:ascii="Verdana" w:hAnsi="Verdana"/>
          <w:color w:val="000000"/>
        </w:rPr>
        <w:t>Por lo anterior,</w:t>
      </w:r>
      <w:r>
        <w:rPr>
          <w:rStyle w:val="s15"/>
          <w:rFonts w:ascii="Verdana" w:hAnsi="Verdana"/>
          <w:color w:val="000000"/>
        </w:rPr>
        <w:t xml:space="preserve"> </w:t>
      </w:r>
      <w:r w:rsidRPr="001941FD">
        <w:rPr>
          <w:rStyle w:val="s15"/>
          <w:rFonts w:ascii="Verdana" w:hAnsi="Verdana"/>
          <w:color w:val="000000"/>
        </w:rPr>
        <w:t>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corresponde </w:t>
      </w:r>
      <w:r>
        <w:rPr>
          <w:rStyle w:val="s15"/>
          <w:rFonts w:ascii="Verdana" w:hAnsi="Verdana"/>
          <w:color w:val="000000"/>
        </w:rPr>
        <w:t>a las partes del contrato</w:t>
      </w:r>
      <w:r w:rsidRPr="001941FD">
        <w:rPr>
          <w:rStyle w:val="s15"/>
          <w:rFonts w:ascii="Verdana" w:hAnsi="Verdana"/>
          <w:color w:val="000000"/>
        </w:rPr>
        <w:t xml:space="preserve"> </w:t>
      </w:r>
      <w:r>
        <w:rPr>
          <w:rStyle w:val="s15"/>
          <w:rFonts w:ascii="Verdana" w:hAnsi="Verdana"/>
          <w:color w:val="000000"/>
        </w:rPr>
        <w:t xml:space="preserve">definir si determinados </w:t>
      </w:r>
      <w:r w:rsidRPr="0013555B">
        <w:rPr>
          <w:rStyle w:val="s15"/>
          <w:rFonts w:ascii="Verdana" w:hAnsi="Verdana"/>
          <w:i/>
          <w:iCs/>
          <w:color w:val="000000"/>
        </w:rPr>
        <w:t>ítems</w:t>
      </w:r>
      <w:r w:rsidRPr="0013555B">
        <w:rPr>
          <w:rStyle w:val="s15"/>
          <w:rFonts w:ascii="Verdana" w:hAnsi="Verdana"/>
          <w:color w:val="000000"/>
        </w:rPr>
        <w:t xml:space="preserve"> </w:t>
      </w:r>
      <w:r>
        <w:rPr>
          <w:rStyle w:val="s15"/>
          <w:rFonts w:ascii="Verdana" w:hAnsi="Verdana"/>
          <w:color w:val="000000"/>
        </w:rPr>
        <w:t xml:space="preserve">serán objeto de </w:t>
      </w:r>
      <w:r w:rsidRPr="0013555B">
        <w:rPr>
          <w:rStyle w:val="s15"/>
          <w:rFonts w:ascii="Verdana" w:hAnsi="Verdana"/>
          <w:color w:val="000000"/>
        </w:rPr>
        <w:t>adición presupuestal o deben ejecutar</w:t>
      </w:r>
      <w:r>
        <w:rPr>
          <w:rStyle w:val="s15"/>
          <w:rFonts w:ascii="Verdana" w:hAnsi="Verdana"/>
          <w:color w:val="000000"/>
        </w:rPr>
        <w:t>se</w:t>
      </w:r>
      <w:r w:rsidRPr="0013555B">
        <w:rPr>
          <w:rStyle w:val="s15"/>
          <w:rFonts w:ascii="Verdana" w:hAnsi="Verdana"/>
          <w:color w:val="000000"/>
        </w:rPr>
        <w:t xml:space="preserve"> con el valor inicialmente definido </w:t>
      </w:r>
      <w:r>
        <w:rPr>
          <w:rStyle w:val="s15"/>
          <w:rFonts w:ascii="Verdana" w:hAnsi="Verdana"/>
          <w:color w:val="000000"/>
        </w:rPr>
        <w:t>en los documentos del proceso; motivo por el cual,</w:t>
      </w:r>
      <w:r w:rsidRPr="001941FD">
        <w:rPr>
          <w:rStyle w:val="s15"/>
          <w:rFonts w:ascii="Verdana" w:hAnsi="Verdana"/>
          <w:color w:val="000000"/>
        </w:rPr>
        <w:t xml:space="preserve"> en caso de conflicto, </w:t>
      </w:r>
      <w:r>
        <w:rPr>
          <w:rStyle w:val="s15"/>
          <w:rFonts w:ascii="Verdana" w:hAnsi="Verdana"/>
          <w:color w:val="000000"/>
        </w:rPr>
        <w:t xml:space="preserve">intervendrán </w:t>
      </w:r>
      <w:r w:rsidRPr="001941FD">
        <w:rPr>
          <w:rStyle w:val="s15"/>
          <w:rFonts w:ascii="Verdana" w:hAnsi="Verdana"/>
          <w:color w:val="000000"/>
        </w:rPr>
        <w:t>las autoridades judiciales, fiscales y disciplinarias</w:t>
      </w:r>
      <w:r>
        <w:rPr>
          <w:rStyle w:val="s15"/>
          <w:rFonts w:ascii="Verdana" w:hAnsi="Verdana"/>
          <w:color w:val="000000"/>
        </w:rPr>
        <w:t>.</w:t>
      </w:r>
    </w:p>
    <w:p w14:paraId="19D575D3" w14:textId="77777777" w:rsidR="00455C07" w:rsidRPr="00301910" w:rsidRDefault="00455C07" w:rsidP="00455C07">
      <w:pPr>
        <w:spacing w:before="120" w:after="0" w:line="276" w:lineRule="auto"/>
        <w:ind w:firstLine="709"/>
        <w:jc w:val="both"/>
        <w:rPr>
          <w:rFonts w:ascii="Verdana" w:hAnsi="Verdana" w:cs="Arial"/>
          <w:lang w:eastAsia="es-ES"/>
        </w:rPr>
      </w:pPr>
      <w:r w:rsidRPr="00301910">
        <w:rPr>
          <w:rFonts w:ascii="Verdana" w:hAnsi="Verdana" w:cs="Arial"/>
          <w:lang w:eastAsia="es-ES"/>
        </w:rPr>
        <w:t xml:space="preserve">Dentro de este marco, </w:t>
      </w:r>
      <w:r>
        <w:rPr>
          <w:rFonts w:ascii="Verdana" w:hAnsi="Verdana" w:cs="Arial"/>
          <w:lang w:eastAsia="es-ES"/>
        </w:rPr>
        <w:t xml:space="preserve">de acuerdo con la distribución de los riesgos, </w:t>
      </w:r>
      <w:r w:rsidRPr="00301910">
        <w:rPr>
          <w:rFonts w:ascii="Verdana" w:hAnsi="Verdana" w:cs="Arial"/>
          <w:lang w:eastAsia="es-ES"/>
        </w:rPr>
        <w:t>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2D15E650" w14:textId="77777777" w:rsidR="00455C07" w:rsidRPr="00182C89" w:rsidRDefault="00455C07" w:rsidP="00455C07">
      <w:pPr>
        <w:tabs>
          <w:tab w:val="left" w:pos="709"/>
        </w:tabs>
        <w:spacing w:after="0" w:line="276" w:lineRule="auto"/>
        <w:jc w:val="both"/>
        <w:rPr>
          <w:rFonts w:ascii="Verdana" w:eastAsia="Calibri" w:hAnsi="Verdana" w:cs="Arial"/>
          <w:color w:val="000000" w:themeColor="text1"/>
        </w:rPr>
      </w:pPr>
    </w:p>
    <w:p w14:paraId="3C31498E" w14:textId="77777777" w:rsidR="00455C07" w:rsidRPr="00AE65D5" w:rsidRDefault="00455C07" w:rsidP="00455C0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9DF92CB" w14:textId="77777777" w:rsidR="00455C07" w:rsidRPr="00593A5F" w:rsidRDefault="00455C07" w:rsidP="00455C0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55C07" w:rsidRPr="002407CE" w14:paraId="5F649E02" w14:textId="77777777" w:rsidTr="00C15788">
        <w:trPr>
          <w:trHeight w:val="870"/>
          <w:jc w:val="center"/>
        </w:trPr>
        <w:tc>
          <w:tcPr>
            <w:tcW w:w="8647" w:type="dxa"/>
          </w:tcPr>
          <w:p w14:paraId="210F5728" w14:textId="77777777" w:rsidR="00455C07" w:rsidRDefault="00455C07" w:rsidP="00C157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 4, 5, 13, 14, 27, 32, 39, 40, 41 y 60.</w:t>
            </w:r>
          </w:p>
          <w:p w14:paraId="648F521A" w14:textId="77777777" w:rsidR="00455C07" w:rsidRDefault="00455C07" w:rsidP="00C157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10.</w:t>
            </w:r>
          </w:p>
          <w:p w14:paraId="694D8E9A" w14:textId="77777777" w:rsidR="00455C07" w:rsidRPr="00AE65D5" w:rsidRDefault="00455C07" w:rsidP="00C15788">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 1602.</w:t>
            </w:r>
          </w:p>
        </w:tc>
      </w:tr>
    </w:tbl>
    <w:p w14:paraId="320E9A6E" w14:textId="77777777" w:rsidR="00455C07" w:rsidRPr="002407CE" w:rsidRDefault="00455C07" w:rsidP="00455C07">
      <w:pPr>
        <w:widowControl w:val="0"/>
        <w:autoSpaceDE w:val="0"/>
        <w:autoSpaceDN w:val="0"/>
        <w:spacing w:after="0" w:line="276" w:lineRule="auto"/>
        <w:jc w:val="both"/>
        <w:rPr>
          <w:rFonts w:ascii="Verdana" w:hAnsi="Verdana" w:cs="Arial"/>
        </w:rPr>
      </w:pPr>
    </w:p>
    <w:p w14:paraId="7547306B" w14:textId="77777777" w:rsidR="00455C07" w:rsidRPr="00593A5F" w:rsidRDefault="00455C07" w:rsidP="00455C0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7197D7E" w14:textId="77777777" w:rsidR="00455C07" w:rsidRPr="00593A5F" w:rsidRDefault="00455C07" w:rsidP="00455C07">
      <w:pPr>
        <w:widowControl w:val="0"/>
        <w:autoSpaceDE w:val="0"/>
        <w:autoSpaceDN w:val="0"/>
        <w:spacing w:after="0" w:line="276" w:lineRule="auto"/>
        <w:jc w:val="both"/>
        <w:rPr>
          <w:rFonts w:ascii="Verdana" w:hAnsi="Verdana" w:cs="Arial"/>
        </w:rPr>
      </w:pPr>
    </w:p>
    <w:p w14:paraId="37F037F2" w14:textId="77777777" w:rsidR="00455C07" w:rsidRPr="007E4299" w:rsidRDefault="00455C07" w:rsidP="00455C07">
      <w:pPr>
        <w:widowControl w:val="0"/>
        <w:autoSpaceDE w:val="0"/>
        <w:autoSpaceDN w:val="0"/>
        <w:spacing w:after="0" w:line="276" w:lineRule="auto"/>
        <w:jc w:val="both"/>
        <w:rPr>
          <w:rStyle w:val="normaltextrun"/>
          <w:rFonts w:ascii="Verdana" w:hAnsi="Verdana"/>
        </w:rPr>
      </w:pPr>
      <w:r w:rsidRPr="00DA1FE4">
        <w:rPr>
          <w:rFonts w:ascii="Verdana" w:eastAsia="Calibri" w:hAnsi="Verdana" w:cs="Arial"/>
          <w:shd w:val="clear" w:color="auto" w:fill="FFFFFF"/>
        </w:rPr>
        <w:t xml:space="preserve">La Agencia Nacional de Contratación Pública – Colombia Compra Eficiente se pronunció sobre </w:t>
      </w:r>
      <w:r>
        <w:rPr>
          <w:rFonts w:ascii="Verdana" w:eastAsia="Calibri" w:hAnsi="Verdana" w:cs="Arial"/>
          <w:shd w:val="clear" w:color="auto" w:fill="FFFFFF"/>
        </w:rPr>
        <w:t>el equilibrio económico del contrato estatal en los Conceptos C-</w:t>
      </w:r>
      <w:r>
        <w:rPr>
          <w:rFonts w:ascii="Verdana" w:eastAsia="Calibri" w:hAnsi="Verdana" w:cs="Arial"/>
          <w:shd w:val="clear" w:color="auto" w:fill="FFFFFF"/>
        </w:rPr>
        <w:lastRenderedPageBreak/>
        <w:t xml:space="preserve">938 del 27 de diciembre de 2022, C-774 del 20 de noviembre de 2024, C-565 del 10 de junio de 2025, C-1029 del 31 de julio de 2025, C-1035 del 8 de septiembre de 2025 y C-1429 del 21 de octubre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59F0B58" w14:textId="77777777" w:rsidR="00455C07" w:rsidRPr="00096788" w:rsidRDefault="00455C07" w:rsidP="00455C07">
      <w:pPr>
        <w:widowControl w:val="0"/>
        <w:autoSpaceDE w:val="0"/>
        <w:autoSpaceDN w:val="0"/>
        <w:spacing w:after="0" w:line="276" w:lineRule="auto"/>
        <w:jc w:val="both"/>
        <w:rPr>
          <w:rFonts w:ascii="Verdana" w:hAnsi="Verdana" w:cs="Arial"/>
          <w:color w:val="000000" w:themeColor="text1"/>
          <w:shd w:val="clear" w:color="auto" w:fill="FFFFFF"/>
        </w:rPr>
      </w:pPr>
    </w:p>
    <w:p w14:paraId="1182ECF0" w14:textId="77777777" w:rsidR="00455C07" w:rsidRPr="001205D1" w:rsidRDefault="00455C07" w:rsidP="00455C07">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66C86EFA" w14:textId="77777777" w:rsidR="00455C07" w:rsidRPr="009C4035" w:rsidRDefault="00455C07" w:rsidP="00455C07">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32566B13" w14:textId="77777777" w:rsidR="00455C07" w:rsidRPr="00593A5F" w:rsidRDefault="00455C07" w:rsidP="00455C0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8569437" w14:textId="77777777" w:rsidR="00455C07" w:rsidRPr="00593A5F" w:rsidRDefault="00455C07" w:rsidP="00455C07">
      <w:pPr>
        <w:widowControl w:val="0"/>
        <w:autoSpaceDE w:val="0"/>
        <w:autoSpaceDN w:val="0"/>
        <w:spacing w:after="0" w:line="276" w:lineRule="auto"/>
        <w:jc w:val="both"/>
        <w:rPr>
          <w:rFonts w:ascii="Verdana" w:hAnsi="Verdana" w:cs="Arial"/>
        </w:rPr>
      </w:pPr>
    </w:p>
    <w:p w14:paraId="6C80D36D" w14:textId="77777777" w:rsidR="00455C07" w:rsidRPr="00593A5F" w:rsidRDefault="00455C07" w:rsidP="00455C07">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53BE773" w14:textId="13A5732B" w:rsidR="00455C07" w:rsidRPr="00593A5F" w:rsidRDefault="00215CE1" w:rsidP="00455C07">
      <w:pPr>
        <w:spacing w:line="276" w:lineRule="auto"/>
        <w:jc w:val="center"/>
        <w:rPr>
          <w:rFonts w:ascii="Verdana" w:hAnsi="Verdana" w:cs="Arial"/>
          <w:color w:val="000000"/>
          <w:lang w:val="es-ES_tradnl" w:eastAsia="es-CO"/>
        </w:rPr>
      </w:pPr>
      <w:r>
        <w:rPr>
          <w:noProof/>
        </w:rPr>
        <w:drawing>
          <wp:inline distT="0" distB="0" distL="0" distR="0" wp14:anchorId="4D3FF1F1" wp14:editId="29318E2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55C07" w:rsidRPr="00593A5F" w14:paraId="001468E7" w14:textId="77777777" w:rsidTr="00C15788">
        <w:trPr>
          <w:trHeight w:val="315"/>
        </w:trPr>
        <w:tc>
          <w:tcPr>
            <w:tcW w:w="893" w:type="dxa"/>
            <w:vAlign w:val="center"/>
            <w:hideMark/>
          </w:tcPr>
          <w:p w14:paraId="062ADB02" w14:textId="77777777" w:rsidR="00455C07" w:rsidRPr="003751C7" w:rsidRDefault="00455C07" w:rsidP="00C15788">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5207FFE" w14:textId="77777777" w:rsidR="00455C07" w:rsidRPr="00254A7A" w:rsidRDefault="00455C07" w:rsidP="00C15788">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ADB09D1" w14:textId="77777777" w:rsidR="00455C07" w:rsidRPr="00254A7A" w:rsidRDefault="00455C07" w:rsidP="00C15788">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455C07" w:rsidRPr="00593A5F" w14:paraId="0EF60D6F" w14:textId="77777777" w:rsidTr="00C15788">
        <w:trPr>
          <w:trHeight w:val="330"/>
        </w:trPr>
        <w:tc>
          <w:tcPr>
            <w:tcW w:w="893" w:type="dxa"/>
            <w:vAlign w:val="center"/>
            <w:hideMark/>
          </w:tcPr>
          <w:p w14:paraId="2A090E75" w14:textId="77777777" w:rsidR="00455C07" w:rsidRPr="003751C7" w:rsidRDefault="00455C07" w:rsidP="00C1578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7C5C3F" w14:textId="77777777" w:rsidR="00455C07" w:rsidRPr="001B6B73" w:rsidRDefault="00455C07" w:rsidP="00C15788">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15EBB7C7" w14:textId="77777777" w:rsidR="00455C07" w:rsidRPr="00254A7A" w:rsidRDefault="00455C07" w:rsidP="00C15788">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455C07" w:rsidRPr="00593A5F" w14:paraId="24C85FF8" w14:textId="77777777" w:rsidTr="00C15788">
        <w:trPr>
          <w:trHeight w:val="300"/>
        </w:trPr>
        <w:tc>
          <w:tcPr>
            <w:tcW w:w="893" w:type="dxa"/>
            <w:vAlign w:val="center"/>
          </w:tcPr>
          <w:p w14:paraId="106E2163" w14:textId="77777777" w:rsidR="00455C07" w:rsidRPr="003751C7" w:rsidRDefault="00455C07" w:rsidP="00C1578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C038012" w14:textId="77777777" w:rsidR="00455C07" w:rsidRPr="001133D2" w:rsidRDefault="00455C07" w:rsidP="00C15788">
            <w:pPr>
              <w:contextualSpacing/>
              <w:rPr>
                <w:rFonts w:ascii="Verdana" w:eastAsia="Calibri" w:hAnsi="Verdana" w:cs="Arial"/>
                <w:sz w:val="16"/>
                <w:szCs w:val="16"/>
                <w:lang w:val="es-ES" w:eastAsia="es-ES"/>
              </w:rPr>
            </w:pPr>
            <w:r w:rsidRPr="2021F763">
              <w:rPr>
                <w:rFonts w:ascii="Verdana" w:eastAsia="Calibri" w:hAnsi="Verdana" w:cs="Arial"/>
                <w:sz w:val="16"/>
                <w:szCs w:val="16"/>
                <w:lang w:val="es-ES" w:eastAsia="es-ES"/>
              </w:rPr>
              <w:t xml:space="preserve">Carolina Quintero </w:t>
            </w:r>
            <w:proofErr w:type="spellStart"/>
            <w:r w:rsidRPr="2021F763">
              <w:rPr>
                <w:rFonts w:ascii="Verdana" w:eastAsia="Calibri" w:hAnsi="Verdana" w:cs="Arial"/>
                <w:sz w:val="16"/>
                <w:szCs w:val="16"/>
                <w:lang w:val="es-ES" w:eastAsia="es-ES"/>
              </w:rPr>
              <w:t>Gacharná</w:t>
            </w:r>
            <w:proofErr w:type="spellEnd"/>
          </w:p>
          <w:p w14:paraId="5D5519B7" w14:textId="77777777" w:rsidR="00455C07" w:rsidRPr="003751C7" w:rsidRDefault="00455C07" w:rsidP="00C15788">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lastRenderedPageBreak/>
              <w:t>Subdirectora de Gestión Contractual ANCP – CCE</w:t>
            </w:r>
          </w:p>
        </w:tc>
      </w:tr>
    </w:tbl>
    <w:p w14:paraId="36166272" w14:textId="77777777" w:rsidR="00455C07" w:rsidRPr="00543BFE" w:rsidRDefault="00455C07" w:rsidP="00455C07"/>
    <w:p w14:paraId="13CB6F7B" w14:textId="77777777" w:rsidR="00455C07" w:rsidRPr="00543BFE" w:rsidRDefault="00455C07" w:rsidP="00455C07"/>
    <w:p w14:paraId="0F293BF4" w14:textId="6FDFFB89" w:rsidR="00127233" w:rsidRPr="00455C07" w:rsidRDefault="00127233" w:rsidP="00455C07"/>
    <w:sectPr w:rsidR="00127233" w:rsidRPr="00455C0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1580A" w14:textId="77777777" w:rsidR="00C3730D" w:rsidRDefault="00C3730D" w:rsidP="004A1847">
      <w:pPr>
        <w:spacing w:after="0" w:line="240" w:lineRule="auto"/>
      </w:pPr>
      <w:r>
        <w:separator/>
      </w:r>
    </w:p>
  </w:endnote>
  <w:endnote w:type="continuationSeparator" w:id="0">
    <w:p w14:paraId="3E353F69" w14:textId="77777777" w:rsidR="00C3730D" w:rsidRDefault="00C3730D" w:rsidP="004A1847">
      <w:pPr>
        <w:spacing w:after="0" w:line="240" w:lineRule="auto"/>
      </w:pPr>
      <w:r>
        <w:continuationSeparator/>
      </w:r>
    </w:p>
  </w:endnote>
  <w:endnote w:type="continuationNotice" w:id="1">
    <w:p w14:paraId="5874CAB4" w14:textId="77777777" w:rsidR="00C3730D" w:rsidRDefault="00C373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4C7FCC" w14:textId="77777777" w:rsidR="00C3730D" w:rsidRDefault="00C3730D" w:rsidP="004A1847">
      <w:pPr>
        <w:spacing w:after="0" w:line="240" w:lineRule="auto"/>
      </w:pPr>
      <w:r>
        <w:separator/>
      </w:r>
    </w:p>
  </w:footnote>
  <w:footnote w:type="continuationSeparator" w:id="0">
    <w:p w14:paraId="4A4D78BF" w14:textId="77777777" w:rsidR="00C3730D" w:rsidRDefault="00C3730D" w:rsidP="004A1847">
      <w:pPr>
        <w:spacing w:after="0" w:line="240" w:lineRule="auto"/>
      </w:pPr>
      <w:r>
        <w:continuationSeparator/>
      </w:r>
    </w:p>
  </w:footnote>
  <w:footnote w:type="continuationNotice" w:id="1">
    <w:p w14:paraId="32C3E184" w14:textId="77777777" w:rsidR="00C3730D" w:rsidRDefault="00C3730D">
      <w:pPr>
        <w:spacing w:after="0" w:line="240" w:lineRule="auto"/>
      </w:pPr>
    </w:p>
  </w:footnote>
  <w:footnote w:id="2">
    <w:p w14:paraId="7A68EC31" w14:textId="77777777" w:rsidR="00455C07" w:rsidRPr="00210C7D" w:rsidRDefault="00455C07" w:rsidP="00455C07">
      <w:pPr>
        <w:pStyle w:val="Textonotapie"/>
        <w:ind w:firstLine="709"/>
        <w:jc w:val="both"/>
        <w:rPr>
          <w:rFonts w:ascii="Verdana" w:hAnsi="Verdana" w:cs="Arial"/>
          <w:color w:val="000000" w:themeColor="text1"/>
          <w:sz w:val="16"/>
          <w:szCs w:val="16"/>
        </w:rPr>
      </w:pPr>
      <w:r w:rsidRPr="00210C7D">
        <w:rPr>
          <w:rStyle w:val="Refdenotaalpie"/>
          <w:rFonts w:ascii="Verdana" w:hAnsi="Verdana" w:cs="Arial"/>
          <w:sz w:val="16"/>
          <w:szCs w:val="16"/>
        </w:rPr>
        <w:footnoteRef/>
      </w:r>
      <w:r w:rsidRPr="00210C7D">
        <w:rPr>
          <w:rFonts w:ascii="Verdana" w:hAnsi="Verdana" w:cs="Arial"/>
          <w:sz w:val="16"/>
          <w:szCs w:val="16"/>
        </w:rPr>
        <w:t xml:space="preserve"> </w:t>
      </w:r>
      <w:r w:rsidRPr="00210C7D">
        <w:rPr>
          <w:rFonts w:ascii="Verdana" w:hAnsi="Verdana" w:cs="Arial"/>
          <w:color w:val="000000" w:themeColor="text1"/>
          <w:sz w:val="16"/>
          <w:szCs w:val="16"/>
        </w:rPr>
        <w:t xml:space="preserve">Consejo de Estado. Sentencia del 28 de junio de 2012. Rad. Nro. 21990. C.P: Ruth Stella Correa Palacio. </w:t>
      </w:r>
    </w:p>
  </w:footnote>
  <w:footnote w:id="3">
    <w:p w14:paraId="2639FCB4" w14:textId="77777777" w:rsidR="00455C07" w:rsidRPr="00210C7D" w:rsidRDefault="00455C07" w:rsidP="00455C07">
      <w:pPr>
        <w:pStyle w:val="Textonotapie"/>
        <w:ind w:firstLine="709"/>
        <w:jc w:val="both"/>
        <w:rPr>
          <w:rFonts w:ascii="Verdana" w:hAnsi="Verdana" w:cs="Arial"/>
          <w:iCs/>
          <w:sz w:val="16"/>
          <w:szCs w:val="16"/>
        </w:rPr>
      </w:pPr>
      <w:r w:rsidRPr="00210C7D">
        <w:rPr>
          <w:rStyle w:val="Refdenotaalpie"/>
          <w:rFonts w:ascii="Verdana" w:hAnsi="Verdana" w:cs="Arial"/>
          <w:sz w:val="16"/>
          <w:szCs w:val="16"/>
        </w:rPr>
        <w:footnoteRef/>
      </w:r>
      <w:r w:rsidRPr="00210C7D">
        <w:rPr>
          <w:rFonts w:ascii="Verdana" w:hAnsi="Verdana" w:cs="Arial"/>
          <w:sz w:val="16"/>
          <w:szCs w:val="16"/>
        </w:rPr>
        <w:t xml:space="preserve"> </w:t>
      </w:r>
      <w:r w:rsidRPr="00210C7D">
        <w:rPr>
          <w:rFonts w:ascii="Verdana" w:hAnsi="Verdana" w:cs="Arial"/>
          <w:iCs/>
          <w:sz w:val="16"/>
          <w:szCs w:val="16"/>
          <w:lang w:val="es-CO"/>
        </w:rPr>
        <w:t xml:space="preserve">IBAÑEZ NAJAR, Jorge Enrique. </w:t>
      </w:r>
      <w:r w:rsidRPr="00210C7D">
        <w:rPr>
          <w:rFonts w:ascii="Verdana" w:hAnsi="Verdana" w:cs="Arial"/>
          <w:iCs/>
          <w:sz w:val="16"/>
          <w:szCs w:val="16"/>
        </w:rPr>
        <w:t xml:space="preserve">La conmutatividad del contrato estatal y su equilibrio económico y financiero. La obligación de conservarlo, su ruptura y la obligación de restablecerlo según la ley </w:t>
      </w:r>
      <w:r w:rsidRPr="00210C7D">
        <w:rPr>
          <w:rFonts w:ascii="Verdana" w:hAnsi="Verdana" w:cs="Arial"/>
          <w:iCs/>
          <w:sz w:val="16"/>
          <w:szCs w:val="16"/>
          <w:lang w:val="es-CO"/>
        </w:rPr>
        <w:t>y la jurisprudencia. En: PALACIO JARAMILLO, María Teresa (editora académica). Contratos Estatales. Tomo II. 2022. Bogotá: Universidad del Rosario. P. 630</w:t>
      </w:r>
    </w:p>
  </w:footnote>
  <w:footnote w:id="4">
    <w:p w14:paraId="19A04442" w14:textId="77777777" w:rsidR="00455C07" w:rsidRPr="000E4887" w:rsidRDefault="00455C07" w:rsidP="00455C07">
      <w:pPr>
        <w:pStyle w:val="Textonotapie"/>
        <w:ind w:firstLine="708"/>
        <w:jc w:val="both"/>
        <w:rPr>
          <w:rFonts w:ascii="Verdana" w:hAnsi="Verdana"/>
          <w:sz w:val="16"/>
          <w:szCs w:val="16"/>
          <w:lang w:val="es-CO"/>
        </w:rPr>
      </w:pPr>
      <w:r w:rsidRPr="000E4887">
        <w:rPr>
          <w:rStyle w:val="Refdenotaalpie"/>
          <w:rFonts w:ascii="Verdana" w:hAnsi="Verdana"/>
          <w:sz w:val="16"/>
          <w:szCs w:val="16"/>
        </w:rPr>
        <w:footnoteRef/>
      </w:r>
      <w:r w:rsidRPr="000E4887">
        <w:rPr>
          <w:rFonts w:ascii="Verdana" w:hAnsi="Verdana"/>
          <w:sz w:val="16"/>
          <w:szCs w:val="16"/>
        </w:rPr>
        <w:t xml:space="preserve"> </w:t>
      </w:r>
      <w:r>
        <w:rPr>
          <w:rFonts w:ascii="Verdana" w:hAnsi="Verdana"/>
          <w:sz w:val="16"/>
          <w:szCs w:val="16"/>
        </w:rPr>
        <w:t xml:space="preserve">CONSEJO DE ESTADO. Sección Tercera. Subsección C. Sentencia del 20 de abril de 2022. Exp. </w:t>
      </w:r>
      <w:r w:rsidRPr="000E4887">
        <w:rPr>
          <w:rFonts w:ascii="Verdana" w:hAnsi="Verdana"/>
          <w:sz w:val="16"/>
          <w:szCs w:val="16"/>
        </w:rPr>
        <w:t>56508</w:t>
      </w:r>
      <w:r>
        <w:rPr>
          <w:rFonts w:ascii="Verdana" w:hAnsi="Verdana"/>
          <w:sz w:val="16"/>
          <w:szCs w:val="16"/>
        </w:rPr>
        <w:t xml:space="preserve">. C.P. </w:t>
      </w:r>
      <w:r w:rsidRPr="000E4887">
        <w:rPr>
          <w:rFonts w:ascii="Verdana" w:hAnsi="Verdana"/>
          <w:sz w:val="16"/>
          <w:szCs w:val="16"/>
        </w:rPr>
        <w:t>Nicolás Yepes Corrales</w:t>
      </w:r>
      <w:r>
        <w:rPr>
          <w:rFonts w:ascii="Verdana" w:hAnsi="Verdana"/>
          <w:sz w:val="16"/>
          <w:szCs w:val="16"/>
        </w:rPr>
        <w:t>.</w:t>
      </w:r>
    </w:p>
  </w:footnote>
  <w:footnote w:id="5">
    <w:p w14:paraId="34675AAA" w14:textId="77777777" w:rsidR="00455C07" w:rsidRPr="00210C7D" w:rsidRDefault="00455C07" w:rsidP="00455C07">
      <w:pPr>
        <w:pStyle w:val="Textonotapie"/>
        <w:ind w:firstLine="709"/>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Consejo de Estado. Sección Tercera. Sentencia del 31 de agosto de 2011. Exp. 18.080. CP.: Ruth Stella Correa Palacio. Reiterada en </w:t>
      </w:r>
      <w:r w:rsidRPr="00210C7D">
        <w:rPr>
          <w:rFonts w:ascii="Verdana" w:hAnsi="Verdana" w:cs="Arial"/>
          <w:sz w:val="16"/>
          <w:szCs w:val="16"/>
          <w:lang w:val="es-CO"/>
        </w:rPr>
        <w:t xml:space="preserve">Sentencia del 8 de febrero de 2012. Exp. 20344. </w:t>
      </w:r>
      <w:r w:rsidRPr="00210C7D">
        <w:rPr>
          <w:rFonts w:ascii="Verdana" w:hAnsi="Verdana" w:cs="Arial"/>
          <w:sz w:val="16"/>
          <w:szCs w:val="16"/>
        </w:rPr>
        <w:t>También ver: Consejo de Estado, Sección Tercera, sentencia de 9 de mayo de 1996, exp. 10.151, reiterada en sentencias de 29 de abril y 21 de julio de 1999, exp. 14.885 y exp. 14.943, C.P. Daniel Suárez Hernández.</w:t>
      </w:r>
    </w:p>
  </w:footnote>
  <w:footnote w:id="6">
    <w:p w14:paraId="7C0DF88E" w14:textId="77777777" w:rsidR="00455C07" w:rsidRPr="00210C7D" w:rsidRDefault="00455C07" w:rsidP="00455C07">
      <w:pPr>
        <w:pStyle w:val="Textonotapie"/>
        <w:ind w:firstLine="708"/>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Consejo de Estado. Sección Tercera. Sentencia del 29 de enero de 2018. Exp. 52.666 CP.: Jaime Orlando Santofimio Gamboa.</w:t>
      </w:r>
    </w:p>
  </w:footnote>
  <w:footnote w:id="7">
    <w:p w14:paraId="3F0566C2" w14:textId="77777777" w:rsidR="00455C07" w:rsidRPr="00210C7D" w:rsidRDefault="00455C07" w:rsidP="00455C07">
      <w:pPr>
        <w:pStyle w:val="Textonotapie"/>
        <w:ind w:firstLine="708"/>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Ibidem </w:t>
      </w:r>
    </w:p>
  </w:footnote>
  <w:footnote w:id="8">
    <w:p w14:paraId="4D43EE07" w14:textId="77777777" w:rsidR="00455C07" w:rsidRPr="00210C7D" w:rsidRDefault="00455C07" w:rsidP="00455C07">
      <w:pPr>
        <w:pStyle w:val="Textonotapie"/>
        <w:ind w:firstLine="708"/>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Consejo de Estado. Sección Tercera.</w:t>
      </w:r>
      <w:r w:rsidRPr="00210C7D">
        <w:rPr>
          <w:rFonts w:ascii="Verdana" w:hAnsi="Verdana" w:cs="Arial"/>
          <w:sz w:val="16"/>
          <w:szCs w:val="16"/>
          <w:lang w:val="es-CO"/>
        </w:rPr>
        <w:t xml:space="preserve"> Subsección A.</w:t>
      </w:r>
      <w:r w:rsidRPr="00210C7D">
        <w:rPr>
          <w:rFonts w:ascii="Verdana" w:hAnsi="Verdana" w:cs="Arial"/>
          <w:sz w:val="16"/>
          <w:szCs w:val="16"/>
        </w:rPr>
        <w:t xml:space="preserve"> Sentencia del 6 de julio de 2022. Exp. 54.319 CP.: María Adriana Marín. Ver también: </w:t>
      </w:r>
      <w:r w:rsidRPr="00210C7D">
        <w:rPr>
          <w:rFonts w:ascii="Verdana" w:hAnsi="Verdana" w:cs="Arial"/>
          <w:sz w:val="16"/>
          <w:szCs w:val="16"/>
          <w:lang w:val="es-CO"/>
        </w:rPr>
        <w:t>Consejo de Estado. Sección Tercera. Subsección A. Sentencia del 3 de junio de 2022. Exp. 53299. C.P.: José Roberto Sáchica Méndez</w:t>
      </w:r>
    </w:p>
  </w:footnote>
  <w:footnote w:id="9">
    <w:p w14:paraId="420F5C4F" w14:textId="77777777" w:rsidR="00455C07" w:rsidRPr="00210C7D" w:rsidRDefault="00455C07" w:rsidP="00455C07">
      <w:pPr>
        <w:pStyle w:val="Textonotapie"/>
        <w:ind w:firstLine="709"/>
        <w:jc w:val="both"/>
        <w:rPr>
          <w:rFonts w:ascii="Verdana" w:hAnsi="Verdana" w:cs="Arial"/>
          <w:sz w:val="16"/>
          <w:szCs w:val="16"/>
          <w:lang w:bidi="es-ES"/>
        </w:rPr>
      </w:pPr>
      <w:r w:rsidRPr="00210C7D">
        <w:rPr>
          <w:rStyle w:val="Refdenotaalpie"/>
          <w:rFonts w:ascii="Verdana" w:hAnsi="Verdana" w:cs="Arial"/>
          <w:sz w:val="16"/>
          <w:szCs w:val="16"/>
        </w:rPr>
        <w:footnoteRef/>
      </w:r>
      <w:r w:rsidRPr="00210C7D">
        <w:rPr>
          <w:rFonts w:ascii="Verdana" w:hAnsi="Verdana" w:cs="Arial"/>
          <w:sz w:val="16"/>
          <w:szCs w:val="16"/>
        </w:rPr>
        <w:t xml:space="preserve"> </w:t>
      </w:r>
      <w:r w:rsidRPr="00210C7D">
        <w:rPr>
          <w:rFonts w:ascii="Verdana" w:hAnsi="Verdana" w:cs="Arial"/>
          <w:sz w:val="16"/>
          <w:szCs w:val="16"/>
          <w:lang w:bidi="es-ES"/>
        </w:rPr>
        <w:t xml:space="preserve">Corte Constitucional. Sentencia C-416 de 2012. </w:t>
      </w:r>
    </w:p>
  </w:footnote>
  <w:footnote w:id="10">
    <w:p w14:paraId="62550D67" w14:textId="77777777" w:rsidR="00455C07" w:rsidRPr="00210C7D" w:rsidRDefault="00455C07" w:rsidP="00455C07">
      <w:pPr>
        <w:pStyle w:val="Textonotapie"/>
        <w:ind w:firstLine="709"/>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EXPÓSITO VÉLEZ, Juan Carlos. </w:t>
      </w:r>
      <w:r w:rsidRPr="00210C7D">
        <w:rPr>
          <w:rFonts w:ascii="Verdana" w:hAnsi="Verdana" w:cs="Arial"/>
          <w:sz w:val="16"/>
          <w:szCs w:val="16"/>
          <w:lang w:val="es-CO"/>
        </w:rPr>
        <w:t xml:space="preserve">Formas, formalidades y contenido del contrato estatal. Serie de derecho administrativo Nro. 34. Universidad Externado de Colombia. 2020. </w:t>
      </w:r>
    </w:p>
  </w:footnote>
  <w:footnote w:id="11">
    <w:p w14:paraId="73F005ED" w14:textId="77777777" w:rsidR="00455C07" w:rsidRPr="00210C7D" w:rsidRDefault="00455C07" w:rsidP="00455C07">
      <w:pPr>
        <w:pStyle w:val="Textonotapie"/>
        <w:ind w:firstLine="708"/>
        <w:jc w:val="both"/>
        <w:rPr>
          <w:rFonts w:ascii="Verdana" w:hAnsi="Verdana"/>
          <w:sz w:val="16"/>
          <w:szCs w:val="16"/>
          <w:lang w:val="es-CO"/>
        </w:rPr>
      </w:pPr>
      <w:r w:rsidRPr="00210C7D">
        <w:rPr>
          <w:rStyle w:val="Refdenotaalpie"/>
          <w:rFonts w:ascii="Verdana" w:hAnsi="Verdana"/>
          <w:sz w:val="16"/>
          <w:szCs w:val="16"/>
        </w:rPr>
        <w:footnoteRef/>
      </w:r>
      <w:r w:rsidRPr="00210C7D">
        <w:rPr>
          <w:rFonts w:ascii="Verdana" w:hAnsi="Verdana"/>
          <w:sz w:val="16"/>
          <w:szCs w:val="16"/>
        </w:rPr>
        <w:t xml:space="preserve"> SANTOFIMIO GAMBOA, Jaime Orlando. Tratado de derecho administrativo: contratación indebida. Tomo IV. Bogotá: Universidad Externado de Colombia, 2004. pp. 388-389.</w:t>
      </w:r>
    </w:p>
  </w:footnote>
  <w:footnote w:id="12">
    <w:p w14:paraId="5A20494F" w14:textId="77777777" w:rsidR="00455C07" w:rsidRPr="00210C7D" w:rsidRDefault="00455C07" w:rsidP="00455C07">
      <w:pPr>
        <w:pStyle w:val="Textonotapie"/>
        <w:ind w:firstLine="708"/>
        <w:jc w:val="both"/>
        <w:rPr>
          <w:rFonts w:ascii="Verdana" w:hAnsi="Verdana"/>
          <w:sz w:val="16"/>
          <w:szCs w:val="16"/>
          <w:lang w:val="es-CO"/>
        </w:rPr>
      </w:pPr>
      <w:r w:rsidRPr="00210C7D">
        <w:rPr>
          <w:rStyle w:val="Refdenotaalpie"/>
          <w:rFonts w:ascii="Verdana" w:hAnsi="Verdana"/>
          <w:sz w:val="16"/>
          <w:szCs w:val="16"/>
        </w:rPr>
        <w:footnoteRef/>
      </w:r>
      <w:r w:rsidRPr="00210C7D">
        <w:rPr>
          <w:rFonts w:ascii="Verdana" w:hAnsi="Verdana"/>
          <w:sz w:val="16"/>
          <w:szCs w:val="16"/>
        </w:rPr>
        <w:t xml:space="preserve"> PINO RICCI, Jorge. El régimen jurídico de los contratos estatales. Bogotá: Universidad Externado de Colombia, 2005. pp. 376-377.</w:t>
      </w:r>
    </w:p>
  </w:footnote>
  <w:footnote w:id="13">
    <w:p w14:paraId="23A9516A" w14:textId="77777777" w:rsidR="00455C07" w:rsidRPr="00210C7D" w:rsidRDefault="00455C07" w:rsidP="00455C07">
      <w:pPr>
        <w:pStyle w:val="Textonotapie"/>
        <w:ind w:firstLine="708"/>
        <w:jc w:val="both"/>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rPr>
        <w:t xml:space="preserve"> </w:t>
      </w:r>
      <w:r w:rsidRPr="00210C7D">
        <w:rPr>
          <w:rFonts w:ascii="Verdana" w:hAnsi="Verdana"/>
          <w:sz w:val="16"/>
          <w:szCs w:val="16"/>
          <w:lang w:val="es-CO"/>
        </w:rPr>
        <w:t xml:space="preserve">CONSEJO DE ESTADO. Sala Plena. Sección Tercera. Sentencia de Unificación del 19 de noviembre de 2012. </w:t>
      </w:r>
      <w:r w:rsidRPr="00210C7D">
        <w:rPr>
          <w:rFonts w:ascii="Verdana" w:hAnsi="Verdana"/>
          <w:sz w:val="16"/>
          <w:szCs w:val="16"/>
          <w:lang w:val="pt-BR"/>
        </w:rPr>
        <w:t>C.P. Jaime Orlando Santofimio Gamboa. Exp. 24987.</w:t>
      </w:r>
    </w:p>
  </w:footnote>
  <w:footnote w:id="14">
    <w:p w14:paraId="31A510B2" w14:textId="77777777" w:rsidR="00455C07" w:rsidRPr="00210C7D" w:rsidRDefault="00455C07" w:rsidP="00455C07">
      <w:pPr>
        <w:pStyle w:val="Textonotapie"/>
        <w:ind w:firstLine="708"/>
        <w:jc w:val="both"/>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CONSEJO DE ESTADO. </w:t>
      </w:r>
      <w:r w:rsidRPr="00210C7D">
        <w:rPr>
          <w:rFonts w:ascii="Verdana" w:hAnsi="Verdana"/>
          <w:sz w:val="16"/>
          <w:szCs w:val="16"/>
        </w:rPr>
        <w:t xml:space="preserve">Sala Plena. Sección Tercera. Sentencia de Unificación del 31 de julio de 2025. </w:t>
      </w:r>
      <w:r w:rsidRPr="00210C7D">
        <w:rPr>
          <w:rFonts w:ascii="Verdana" w:hAnsi="Verdana"/>
          <w:sz w:val="16"/>
          <w:szCs w:val="16"/>
          <w:lang w:val="pt-BR"/>
        </w:rPr>
        <w:t xml:space="preserve">C.P. Fernando Alexei Pardo Flórez. Exp. 57464. </w:t>
      </w:r>
    </w:p>
  </w:footnote>
  <w:footnote w:id="15">
    <w:p w14:paraId="247E578E" w14:textId="77777777" w:rsidR="00455C07" w:rsidRPr="00210C7D" w:rsidRDefault="00455C07" w:rsidP="00455C07">
      <w:pPr>
        <w:pStyle w:val="Textonotapie"/>
        <w:ind w:firstLine="708"/>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w:t>
      </w:r>
      <w:r w:rsidRPr="00210C7D">
        <w:rPr>
          <w:rFonts w:ascii="Verdana" w:hAnsi="Verdana"/>
          <w:i/>
          <w:iCs/>
          <w:sz w:val="16"/>
          <w:szCs w:val="16"/>
          <w:lang w:val="pt-BR"/>
        </w:rPr>
        <w:t>Ibidem</w:t>
      </w:r>
      <w:r w:rsidRPr="00210C7D">
        <w:rPr>
          <w:rFonts w:ascii="Verdana" w:hAnsi="Verdana"/>
          <w:sz w:val="16"/>
          <w:szCs w:val="16"/>
          <w:lang w:val="pt-BR"/>
        </w:rPr>
        <w:t xml:space="preserve">. </w:t>
      </w:r>
    </w:p>
  </w:footnote>
  <w:footnote w:id="16">
    <w:p w14:paraId="1DF1A2BA" w14:textId="77777777" w:rsidR="00455C07" w:rsidRPr="00210C7D" w:rsidRDefault="00455C07" w:rsidP="00455C07">
      <w:pPr>
        <w:pStyle w:val="Textonotapie"/>
        <w:ind w:firstLine="708"/>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w:t>
      </w:r>
      <w:r w:rsidRPr="00210C7D">
        <w:rPr>
          <w:rFonts w:ascii="Verdana" w:hAnsi="Verdana"/>
          <w:i/>
          <w:iCs/>
          <w:sz w:val="16"/>
          <w:szCs w:val="16"/>
          <w:lang w:val="pt-BR"/>
        </w:rPr>
        <w:t>Ibidem</w:t>
      </w:r>
      <w:r w:rsidRPr="00210C7D">
        <w:rPr>
          <w:rFonts w:ascii="Verdana" w:hAnsi="Verdana"/>
          <w:sz w:val="16"/>
          <w:szCs w:val="16"/>
          <w:lang w:val="pt-BR"/>
        </w:rPr>
        <w:t xml:space="preserve">.  </w:t>
      </w:r>
    </w:p>
  </w:footnote>
  <w:footnote w:id="17">
    <w:p w14:paraId="59FC7FA1" w14:textId="77777777" w:rsidR="00455C07" w:rsidRPr="00210C7D" w:rsidRDefault="00455C07" w:rsidP="00455C07">
      <w:pPr>
        <w:pStyle w:val="Textonotapie"/>
        <w:ind w:firstLine="708"/>
        <w:rPr>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Ibídem.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8pt;height:11.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713E"/>
    <w:rsid w:val="000A683E"/>
    <w:rsid w:val="000B19B9"/>
    <w:rsid w:val="000D0334"/>
    <w:rsid w:val="000D5DA7"/>
    <w:rsid w:val="000F4DD7"/>
    <w:rsid w:val="000F6486"/>
    <w:rsid w:val="00116940"/>
    <w:rsid w:val="00125105"/>
    <w:rsid w:val="00127233"/>
    <w:rsid w:val="0015699B"/>
    <w:rsid w:val="001A33BF"/>
    <w:rsid w:val="001E4177"/>
    <w:rsid w:val="001F0B24"/>
    <w:rsid w:val="001F3DC5"/>
    <w:rsid w:val="001F7DC6"/>
    <w:rsid w:val="00215CE1"/>
    <w:rsid w:val="0022400B"/>
    <w:rsid w:val="002421BB"/>
    <w:rsid w:val="0025796E"/>
    <w:rsid w:val="002707A2"/>
    <w:rsid w:val="002951A0"/>
    <w:rsid w:val="002962BC"/>
    <w:rsid w:val="002A093D"/>
    <w:rsid w:val="002A0DD0"/>
    <w:rsid w:val="002A2E83"/>
    <w:rsid w:val="002A49AC"/>
    <w:rsid w:val="002A64FD"/>
    <w:rsid w:val="002C7A84"/>
    <w:rsid w:val="002E2BF8"/>
    <w:rsid w:val="002E4FD9"/>
    <w:rsid w:val="0030657A"/>
    <w:rsid w:val="00322A85"/>
    <w:rsid w:val="00324168"/>
    <w:rsid w:val="00330834"/>
    <w:rsid w:val="003448F4"/>
    <w:rsid w:val="00374F5E"/>
    <w:rsid w:val="00377E3E"/>
    <w:rsid w:val="003A137D"/>
    <w:rsid w:val="003A779E"/>
    <w:rsid w:val="003C6341"/>
    <w:rsid w:val="003D0F4D"/>
    <w:rsid w:val="003D5B0D"/>
    <w:rsid w:val="003E0499"/>
    <w:rsid w:val="003E4F80"/>
    <w:rsid w:val="003E6439"/>
    <w:rsid w:val="003F3941"/>
    <w:rsid w:val="00406575"/>
    <w:rsid w:val="00414C74"/>
    <w:rsid w:val="0042722E"/>
    <w:rsid w:val="0044528D"/>
    <w:rsid w:val="00455C07"/>
    <w:rsid w:val="00466E39"/>
    <w:rsid w:val="004A1847"/>
    <w:rsid w:val="004A305D"/>
    <w:rsid w:val="004F21C4"/>
    <w:rsid w:val="004F685F"/>
    <w:rsid w:val="00544451"/>
    <w:rsid w:val="005566E8"/>
    <w:rsid w:val="00574867"/>
    <w:rsid w:val="00586C9F"/>
    <w:rsid w:val="00591460"/>
    <w:rsid w:val="005A65E0"/>
    <w:rsid w:val="005C3777"/>
    <w:rsid w:val="005C5CDC"/>
    <w:rsid w:val="005D476C"/>
    <w:rsid w:val="006200BF"/>
    <w:rsid w:val="006219F8"/>
    <w:rsid w:val="006302F7"/>
    <w:rsid w:val="00646B9F"/>
    <w:rsid w:val="00665D70"/>
    <w:rsid w:val="006900D9"/>
    <w:rsid w:val="006E7BFE"/>
    <w:rsid w:val="00706C16"/>
    <w:rsid w:val="007340C3"/>
    <w:rsid w:val="0075235A"/>
    <w:rsid w:val="00756841"/>
    <w:rsid w:val="007649AB"/>
    <w:rsid w:val="00771D0C"/>
    <w:rsid w:val="007833AC"/>
    <w:rsid w:val="007B268C"/>
    <w:rsid w:val="007B7171"/>
    <w:rsid w:val="007C0C0F"/>
    <w:rsid w:val="007C256A"/>
    <w:rsid w:val="007C3DC2"/>
    <w:rsid w:val="007E5497"/>
    <w:rsid w:val="00806F5F"/>
    <w:rsid w:val="00820278"/>
    <w:rsid w:val="008258C9"/>
    <w:rsid w:val="00844AE9"/>
    <w:rsid w:val="00867F95"/>
    <w:rsid w:val="0087655A"/>
    <w:rsid w:val="008843B6"/>
    <w:rsid w:val="00891928"/>
    <w:rsid w:val="008A446D"/>
    <w:rsid w:val="008B25F1"/>
    <w:rsid w:val="008D180B"/>
    <w:rsid w:val="008F0EA7"/>
    <w:rsid w:val="00923D08"/>
    <w:rsid w:val="00923EEF"/>
    <w:rsid w:val="009419F9"/>
    <w:rsid w:val="0095685E"/>
    <w:rsid w:val="00961B09"/>
    <w:rsid w:val="00965334"/>
    <w:rsid w:val="0097093E"/>
    <w:rsid w:val="00982217"/>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742B"/>
    <w:rsid w:val="00AB0ADB"/>
    <w:rsid w:val="00AE164A"/>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3730D"/>
    <w:rsid w:val="00C425F7"/>
    <w:rsid w:val="00C50D69"/>
    <w:rsid w:val="00C5365C"/>
    <w:rsid w:val="00C55E4A"/>
    <w:rsid w:val="00C754BE"/>
    <w:rsid w:val="00C76B1C"/>
    <w:rsid w:val="00C925AC"/>
    <w:rsid w:val="00CB6357"/>
    <w:rsid w:val="00CC1B26"/>
    <w:rsid w:val="00CF4BF7"/>
    <w:rsid w:val="00D361FD"/>
    <w:rsid w:val="00D423A2"/>
    <w:rsid w:val="00D44E26"/>
    <w:rsid w:val="00D520D8"/>
    <w:rsid w:val="00D53676"/>
    <w:rsid w:val="00D56EA0"/>
    <w:rsid w:val="00D63AC2"/>
    <w:rsid w:val="00D7383B"/>
    <w:rsid w:val="00D7788A"/>
    <w:rsid w:val="00DA231B"/>
    <w:rsid w:val="00DB7281"/>
    <w:rsid w:val="00DC39FC"/>
    <w:rsid w:val="00DF5254"/>
    <w:rsid w:val="00E02524"/>
    <w:rsid w:val="00E03833"/>
    <w:rsid w:val="00E10340"/>
    <w:rsid w:val="00E16408"/>
    <w:rsid w:val="00E20894"/>
    <w:rsid w:val="00E245AB"/>
    <w:rsid w:val="00E2764C"/>
    <w:rsid w:val="00E27F2E"/>
    <w:rsid w:val="00E369FA"/>
    <w:rsid w:val="00E50AFE"/>
    <w:rsid w:val="00E75C92"/>
    <w:rsid w:val="00E771DC"/>
    <w:rsid w:val="00E8772A"/>
    <w:rsid w:val="00E90F6B"/>
    <w:rsid w:val="00E92C27"/>
    <w:rsid w:val="00EA0E3D"/>
    <w:rsid w:val="00EB668A"/>
    <w:rsid w:val="00EC38A7"/>
    <w:rsid w:val="00EC77A5"/>
    <w:rsid w:val="00EE1AA8"/>
    <w:rsid w:val="00F23FEA"/>
    <w:rsid w:val="00F31EDC"/>
    <w:rsid w:val="00F462B3"/>
    <w:rsid w:val="00F5664F"/>
    <w:rsid w:val="00F666C4"/>
    <w:rsid w:val="00F76AFC"/>
    <w:rsid w:val="00FA47C0"/>
    <w:rsid w:val="00FB5DD1"/>
    <w:rsid w:val="00FC2B5D"/>
    <w:rsid w:val="00FC560A"/>
    <w:rsid w:val="00FD3F3A"/>
    <w:rsid w:val="00FF1449"/>
    <w:rsid w:val="00FF2B2E"/>
    <w:rsid w:val="00FF7963"/>
    <w:rsid w:val="071B8F93"/>
    <w:rsid w:val="09908A09"/>
    <w:rsid w:val="0FF4CCA8"/>
    <w:rsid w:val="13CFC91B"/>
    <w:rsid w:val="19A2EC2C"/>
    <w:rsid w:val="2021F763"/>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55C0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55C07"/>
    <w:rPr>
      <w:rFonts w:ascii="Geomanist Light" w:hAnsi="Geomanist Light"/>
      <w:lang w:val="es-ES"/>
    </w:rPr>
  </w:style>
  <w:style w:type="character" w:customStyle="1" w:styleId="s15">
    <w:name w:val="s15"/>
    <w:basedOn w:val="Fuentedeprrafopredeter"/>
    <w:rsid w:val="00455C07"/>
  </w:style>
  <w:style w:type="character" w:customStyle="1" w:styleId="apple-converted-space">
    <w:name w:val="apple-converted-space"/>
    <w:basedOn w:val="Fuentedeprrafopredeter"/>
    <w:rsid w:val="00455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5619379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080_1993.html"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691F18F3-8F67-4167-A189-2705364CE0A4}"/>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21</Pages>
  <Words>7238</Words>
  <Characters>39812</Characters>
  <Application>Microsoft Office Word</Application>
  <DocSecurity>0</DocSecurity>
  <Lines>331</Lines>
  <Paragraphs>93</Paragraphs>
  <ScaleCrop>false</ScaleCrop>
  <Company/>
  <LinksUpToDate>false</LinksUpToDate>
  <CharactersWithSpaces>46957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2026-01-30T15:28:00Z</dcterms:created>
  <dcterms:modified xsi:type="dcterms:W3CDTF">2026-01-30T18:33:00Z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