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6F02E6" w14:textId="77777777" w:rsidR="00DD4531" w:rsidRPr="00682C93" w:rsidRDefault="00DD4531" w:rsidP="00DD4531">
      <w:pPr>
        <w:spacing w:after="0" w:line="240" w:lineRule="auto"/>
        <w:jc w:val="both"/>
        <w:rPr>
          <w:rFonts w:ascii="Verdana" w:hAnsi="Verdana" w:cs="Arial"/>
          <w:b/>
          <w:lang w:val="es-MX" w:eastAsia="es-ES_tradnl"/>
        </w:rPr>
      </w:pPr>
      <w:bookmarkStart w:id="0" w:name="_Hlk143780582"/>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Finalidad </w:t>
      </w:r>
    </w:p>
    <w:p w14:paraId="67CEF823" w14:textId="77777777" w:rsidR="00DD4531" w:rsidRDefault="00DD4531" w:rsidP="00DD4531">
      <w:pPr>
        <w:spacing w:after="0" w:line="240" w:lineRule="auto"/>
        <w:jc w:val="both"/>
        <w:rPr>
          <w:rFonts w:ascii="Verdana" w:hAnsi="Verdana" w:cs="Arial"/>
          <w:b/>
          <w:lang w:val="es-MX" w:eastAsia="es-ES_tradnl"/>
        </w:rPr>
      </w:pPr>
    </w:p>
    <w:p w14:paraId="0A12349B" w14:textId="77777777" w:rsidR="00DD4531" w:rsidRDefault="00DD4531" w:rsidP="00DD4531">
      <w:pPr>
        <w:spacing w:after="0" w:line="240" w:lineRule="auto"/>
        <w:jc w:val="both"/>
        <w:rPr>
          <w:rFonts w:ascii="Verdana" w:eastAsia="Times New Roman" w:hAnsi="Verdana" w:cs="Arial"/>
          <w:sz w:val="20"/>
          <w:lang w:val="es-MX" w:eastAsia="es-CO"/>
        </w:rPr>
      </w:pPr>
      <w:r w:rsidRPr="00682C93">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7778C245" w14:textId="77777777" w:rsidR="00DD4531" w:rsidRPr="00682C93" w:rsidRDefault="00DD4531" w:rsidP="00DD4531">
      <w:pPr>
        <w:spacing w:after="0" w:line="240" w:lineRule="auto"/>
        <w:jc w:val="both"/>
        <w:rPr>
          <w:rFonts w:ascii="Verdana" w:hAnsi="Verdana" w:cs="Arial"/>
          <w:b/>
          <w:sz w:val="20"/>
          <w:lang w:val="es-MX" w:eastAsia="es-ES_tradnl"/>
        </w:rPr>
      </w:pPr>
    </w:p>
    <w:p w14:paraId="6EC1D876" w14:textId="77777777" w:rsidR="00DD4531" w:rsidRPr="00682C93" w:rsidRDefault="00DD4531" w:rsidP="00DD4531">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Tipos de restricciones </w:t>
      </w:r>
      <w:r w:rsidRPr="00682C93">
        <w:rPr>
          <w:rFonts w:ascii="Verdana" w:hAnsi="Verdana" w:cs="Arial"/>
          <w:b/>
          <w:bCs/>
          <w:lang w:val="es-MX" w:eastAsia="es-ES_tradnl"/>
        </w:rPr>
        <w:t>‒</w:t>
      </w:r>
      <w:r w:rsidRPr="00682C93">
        <w:rPr>
          <w:rFonts w:ascii="Verdana" w:hAnsi="Verdana" w:cs="Arial"/>
          <w:b/>
          <w:lang w:val="es-MX" w:eastAsia="es-ES_tradnl"/>
        </w:rPr>
        <w:t xml:space="preserve"> Ámbito temporal – celebración- límite</w:t>
      </w:r>
    </w:p>
    <w:p w14:paraId="1D9A0966" w14:textId="77777777" w:rsidR="00DD4531" w:rsidRDefault="00DD4531" w:rsidP="00DD4531">
      <w:pPr>
        <w:spacing w:after="0" w:line="240" w:lineRule="auto"/>
        <w:jc w:val="both"/>
        <w:rPr>
          <w:rFonts w:ascii="Verdana" w:hAnsi="Verdana" w:cs="Arial"/>
          <w:b/>
          <w:lang w:val="es-MX" w:eastAsia="es-ES_tradnl"/>
        </w:rPr>
      </w:pPr>
    </w:p>
    <w:p w14:paraId="39676280" w14:textId="77777777" w:rsidR="00DD4531" w:rsidRPr="00E41F23" w:rsidRDefault="00DD4531" w:rsidP="00DD4531">
      <w:pPr>
        <w:spacing w:after="0" w:line="240" w:lineRule="auto"/>
        <w:jc w:val="both"/>
        <w:rPr>
          <w:rFonts w:ascii="Verdana" w:eastAsia="Calibri" w:hAnsi="Verdana" w:cs="Arial"/>
          <w:sz w:val="20"/>
        </w:rPr>
      </w:pPr>
      <w:r w:rsidRPr="00E41F23">
        <w:rPr>
          <w:rFonts w:ascii="Verdana" w:eastAsia="Calibri" w:hAnsi="Verdana" w:cs="Arial"/>
          <w:sz w:val="20"/>
        </w:rPr>
        <w:t xml:space="preserve">Por un lado, el </w:t>
      </w:r>
      <w:r w:rsidRPr="00E41F23">
        <w:rPr>
          <w:rFonts w:ascii="Verdana" w:eastAsia="Calibri" w:hAnsi="Verdana" w:cs="Arial"/>
          <w:i/>
          <w:iCs/>
          <w:sz w:val="20"/>
        </w:rPr>
        <w:t>artículo 33 de la Ley 996 de 2005</w:t>
      </w:r>
      <w:r w:rsidRPr="00E41F23">
        <w:rPr>
          <w:rFonts w:ascii="Verdana" w:eastAsia="Calibri" w:hAnsi="Verdana" w:cs="Arial"/>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E3A972D" w14:textId="77777777" w:rsidR="00DD4531" w:rsidRPr="00E41F23" w:rsidRDefault="00DD4531" w:rsidP="00DD4531">
      <w:pPr>
        <w:spacing w:after="0" w:line="240" w:lineRule="auto"/>
        <w:jc w:val="both"/>
        <w:rPr>
          <w:rFonts w:ascii="Verdana" w:eastAsia="Calibri" w:hAnsi="Verdana" w:cs="Arial"/>
          <w:sz w:val="20"/>
        </w:rPr>
      </w:pPr>
    </w:p>
    <w:p w14:paraId="38C6688C" w14:textId="77777777" w:rsidR="00DD4531" w:rsidRDefault="00DD4531" w:rsidP="00DD4531">
      <w:pPr>
        <w:widowControl w:val="0"/>
        <w:autoSpaceDE w:val="0"/>
        <w:autoSpaceDN w:val="0"/>
        <w:spacing w:after="0" w:line="240" w:lineRule="auto"/>
        <w:ind w:right="113"/>
        <w:jc w:val="both"/>
        <w:rPr>
          <w:rFonts w:ascii="Verdana" w:eastAsia="Arial" w:hAnsi="Verdana" w:cs="Arial"/>
          <w:sz w:val="20"/>
          <w:lang w:val="es-ES" w:eastAsia="es-ES" w:bidi="es-ES"/>
        </w:rPr>
      </w:pPr>
      <w:r w:rsidRPr="00E41F23">
        <w:rPr>
          <w:rFonts w:ascii="Verdana" w:eastAsia="Calibri" w:hAnsi="Verdana" w:cs="Arial"/>
          <w:sz w:val="20"/>
        </w:rPr>
        <w:t xml:space="preserve">Por otro lado, </w:t>
      </w:r>
      <w:r w:rsidRPr="00E41F23">
        <w:rPr>
          <w:rFonts w:ascii="Verdana" w:eastAsia="Calibri" w:hAnsi="Verdana" w:cs="Arial"/>
          <w:i/>
          <w:iCs/>
          <w:sz w:val="20"/>
        </w:rPr>
        <w:t>el parágrafo del artículo 38 de la Ley 996 de 2005</w:t>
      </w:r>
      <w:r w:rsidRPr="00E41F23">
        <w:rPr>
          <w:rFonts w:ascii="Verdana" w:eastAsia="Calibri" w:hAnsi="Verdana" w:cs="Arial"/>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41F23">
        <w:rPr>
          <w:rFonts w:ascii="Verdana" w:eastAsia="Calibri" w:hAnsi="Verdana" w:cs="Arial"/>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41F23">
        <w:rPr>
          <w:rFonts w:ascii="Verdana" w:eastAsia="Calibri" w:hAnsi="Verdana" w:cs="Arial"/>
          <w:sz w:val="20"/>
        </w:rPr>
        <w:t>”</w:t>
      </w:r>
      <w:r w:rsidRPr="00E41F23">
        <w:rPr>
          <w:rFonts w:ascii="Verdana" w:eastAsia="Calibri" w:hAnsi="Verdana" w:cs="Arial"/>
          <w:sz w:val="20"/>
          <w:lang w:val="es-MX"/>
        </w:rPr>
        <w:t>.</w:t>
      </w:r>
      <w:r w:rsidRPr="00E41F23">
        <w:rPr>
          <w:rFonts w:ascii="Verdana" w:eastAsia="Arial" w:hAnsi="Verdana" w:cs="Arial"/>
          <w:sz w:val="20"/>
          <w:lang w:val="es-ES" w:eastAsia="es-ES" w:bidi="es-ES"/>
        </w:rPr>
        <w:t xml:space="preserve"> </w:t>
      </w:r>
    </w:p>
    <w:p w14:paraId="2EA59C7A" w14:textId="77777777" w:rsidR="00DD4531" w:rsidRPr="00E41F23" w:rsidRDefault="00DD4531" w:rsidP="00DD4531">
      <w:pPr>
        <w:widowControl w:val="0"/>
        <w:autoSpaceDE w:val="0"/>
        <w:autoSpaceDN w:val="0"/>
        <w:spacing w:after="0" w:line="240" w:lineRule="auto"/>
        <w:ind w:right="113"/>
        <w:jc w:val="both"/>
        <w:rPr>
          <w:rFonts w:ascii="Verdana" w:eastAsia="Arial" w:hAnsi="Verdana" w:cs="Arial"/>
          <w:sz w:val="20"/>
          <w:lang w:val="es-ES" w:eastAsia="es-ES" w:bidi="es-ES"/>
        </w:rPr>
      </w:pPr>
    </w:p>
    <w:p w14:paraId="2270B117" w14:textId="77777777" w:rsidR="00DD4531" w:rsidRPr="00E41F23" w:rsidRDefault="00DD4531" w:rsidP="00DD4531">
      <w:pPr>
        <w:spacing w:after="0" w:line="240" w:lineRule="auto"/>
        <w:jc w:val="both"/>
        <w:rPr>
          <w:rFonts w:ascii="Verdana" w:eastAsia="Times New Roman" w:hAnsi="Verdana" w:cs="Arial"/>
          <w:bCs/>
          <w:sz w:val="20"/>
          <w:lang w:val="es-ES" w:eastAsia="es-CO"/>
        </w:rPr>
      </w:pPr>
      <w:r w:rsidRPr="00E41F23">
        <w:rPr>
          <w:rFonts w:ascii="Verdana" w:eastAsia="Times New Roman" w:hAnsi="Verdana" w:cs="Arial"/>
          <w:bCs/>
          <w:sz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E41F23">
        <w:rPr>
          <w:rFonts w:ascii="Verdana" w:eastAsia="Times New Roman" w:hAnsi="Verdana" w:cs="Arial"/>
          <w:bCs/>
          <w:sz w:val="20"/>
          <w:lang w:val="es-ES" w:eastAsia="es-CO"/>
        </w:rPr>
        <w:t xml:space="preserve">la existencia de los contratos estatales, es decir, la producción de efectos jurídicos en los términos del artículo 1501 </w:t>
      </w:r>
      <w:r w:rsidRPr="00E41F23">
        <w:rPr>
          <w:rFonts w:ascii="Verdana" w:eastAsia="Times New Roman" w:hAnsi="Verdana" w:cs="Arial"/>
          <w:bCs/>
          <w:i/>
          <w:sz w:val="20"/>
          <w:lang w:val="es-ES" w:eastAsia="es-CO"/>
        </w:rPr>
        <w:t>ibídem</w:t>
      </w:r>
      <w:r w:rsidRPr="00E41F23">
        <w:rPr>
          <w:rFonts w:ascii="Verdana" w:eastAsia="Times New Roman" w:hAnsi="Verdana" w:cs="Arial"/>
          <w:bCs/>
          <w:sz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58467EBE" w14:textId="77777777" w:rsidR="00DD4531" w:rsidRPr="003F2A9C" w:rsidRDefault="00DD4531" w:rsidP="00DD4531">
      <w:pPr>
        <w:spacing w:after="0" w:line="240" w:lineRule="auto"/>
        <w:jc w:val="both"/>
        <w:rPr>
          <w:rFonts w:ascii="Verdana" w:hAnsi="Verdana" w:cs="Arial"/>
          <w:b/>
          <w:sz w:val="20"/>
          <w:lang w:val="es-MX" w:eastAsia="es-ES_tradnl"/>
        </w:rPr>
      </w:pPr>
    </w:p>
    <w:p w14:paraId="2379327D" w14:textId="77777777" w:rsidR="00DD4531" w:rsidRPr="00682C93" w:rsidRDefault="00DD4531" w:rsidP="00DD4531">
      <w:pPr>
        <w:spacing w:after="0" w:line="240" w:lineRule="auto"/>
        <w:jc w:val="both"/>
        <w:rPr>
          <w:rFonts w:ascii="Verdana" w:hAnsi="Verdana" w:cs="Arial"/>
          <w:b/>
          <w:lang w:val="es-MX" w:eastAsia="es-ES_tradnl"/>
        </w:rPr>
      </w:pPr>
      <w:r w:rsidRPr="00682C93">
        <w:rPr>
          <w:rFonts w:ascii="Verdana" w:hAnsi="Verdana" w:cs="Arial"/>
          <w:b/>
          <w:lang w:val="es-MX" w:eastAsia="es-ES_tradnl"/>
        </w:rPr>
        <w:lastRenderedPageBreak/>
        <w:t xml:space="preserve">LEY DE GARANTÍAS ELECTORALES – Prohibición artículo 33 – Contratación directa – Alcance </w:t>
      </w:r>
    </w:p>
    <w:p w14:paraId="7B92BBB9" w14:textId="77777777" w:rsidR="00DD4531" w:rsidRDefault="00DD4531" w:rsidP="00DD4531">
      <w:pPr>
        <w:spacing w:after="0" w:line="240" w:lineRule="auto"/>
        <w:jc w:val="both"/>
        <w:rPr>
          <w:rFonts w:ascii="Verdana" w:hAnsi="Verdana" w:cs="Arial"/>
          <w:b/>
          <w:lang w:val="es-MX" w:eastAsia="es-ES_tradnl"/>
        </w:rPr>
      </w:pPr>
    </w:p>
    <w:p w14:paraId="4738B200" w14:textId="77777777" w:rsidR="00DD4531" w:rsidRPr="00E41F23" w:rsidRDefault="00DD4531" w:rsidP="00DD4531">
      <w:pPr>
        <w:spacing w:after="0" w:line="240" w:lineRule="auto"/>
        <w:jc w:val="both"/>
        <w:rPr>
          <w:rFonts w:ascii="Verdana" w:eastAsia="Times New Roman" w:hAnsi="Verdana" w:cs="Arial"/>
          <w:bCs/>
          <w:sz w:val="20"/>
          <w:lang w:eastAsia="x-none"/>
        </w:rPr>
      </w:pPr>
      <w:r w:rsidRPr="00E41F23">
        <w:rPr>
          <w:rFonts w:ascii="Verdana" w:eastAsia="Times New Roman" w:hAnsi="Verdana" w:cs="Arial"/>
          <w:sz w:val="20"/>
          <w:lang w:eastAsia="x-none"/>
        </w:rPr>
        <w:t xml:space="preserve">De acuerdo con el citado concepto, la prohibición del artículo 33 de la Ley de Garantías Electorales se refiere a </w:t>
      </w:r>
      <w:r w:rsidRPr="00E41F23">
        <w:rPr>
          <w:rFonts w:ascii="Verdana" w:eastAsia="Times New Roman" w:hAnsi="Verdana" w:cs="Arial"/>
          <w:sz w:val="18"/>
          <w:szCs w:val="19"/>
          <w:lang w:eastAsia="en-GB"/>
        </w:rPr>
        <w:t>“</w:t>
      </w:r>
      <w:r w:rsidRPr="00E41F23">
        <w:rPr>
          <w:rFonts w:ascii="Verdana" w:eastAsia="Times New Roman" w:hAnsi="Verdana" w:cs="Arial"/>
          <w:sz w:val="20"/>
          <w:lang w:eastAsia="x-none"/>
        </w:rPr>
        <w:t>cualquier sistema que no implique convocatoria pública y posibilidad de pluralidad de oferentes</w:t>
      </w:r>
      <w:r w:rsidRPr="00E41F23">
        <w:rPr>
          <w:rFonts w:ascii="Verdana" w:eastAsia="Times New Roman" w:hAnsi="Verdana" w:cs="Arial"/>
          <w:sz w:val="20"/>
          <w:lang w:eastAsia="en-GB"/>
        </w:rPr>
        <w:t>”</w:t>
      </w:r>
      <w:r w:rsidRPr="00E41F23">
        <w:rPr>
          <w:rFonts w:ascii="Verdana" w:eastAsia="Times New Roman" w:hAnsi="Verdana" w:cs="Arial"/>
          <w:sz w:val="20"/>
          <w:lang w:eastAsia="x-none"/>
        </w:rPr>
        <w:t xml:space="preserve">, por lo que excluye las demás modalidades de contratación previstas en la Ley 1150 de 2007, es decir, la licitación pública, la selección abreviada, el concurso de méritos </w:t>
      </w:r>
      <w:r w:rsidRPr="00E41F23">
        <w:rPr>
          <w:rFonts w:ascii="Verdana" w:eastAsia="Times New Roman" w:hAnsi="Verdana" w:cs="Arial"/>
          <w:sz w:val="20"/>
          <w:lang w:val="es-ES_tradnl" w:eastAsia="x-none"/>
        </w:rPr>
        <w:t>y la mínima cuantía</w:t>
      </w:r>
      <w:r w:rsidRPr="00E41F23" w:rsidDel="00A85D9F">
        <w:rPr>
          <w:rFonts w:ascii="Verdana" w:eastAsia="Times New Roman" w:hAnsi="Verdana" w:cs="Arial"/>
          <w:sz w:val="20"/>
          <w:lang w:eastAsia="x-none"/>
        </w:rPr>
        <w:t xml:space="preserve"> </w:t>
      </w:r>
      <w:r w:rsidRPr="00E41F23">
        <w:rPr>
          <w:rFonts w:ascii="Verdana" w:eastAsia="Times New Roman" w:hAnsi="Verdana" w:cs="Arial"/>
          <w:sz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E41F23">
        <w:rPr>
          <w:rFonts w:ascii="Verdana" w:eastAsia="Calibri" w:hAnsi="Verdana" w:cs="Arial"/>
          <w:sz w:val="20"/>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65118556" w14:textId="77777777" w:rsidR="00DD4531" w:rsidRPr="00E41F23" w:rsidRDefault="00DD4531" w:rsidP="00DD4531">
      <w:pPr>
        <w:spacing w:after="0" w:line="240" w:lineRule="auto"/>
        <w:jc w:val="both"/>
        <w:rPr>
          <w:rFonts w:ascii="Verdana" w:hAnsi="Verdana" w:cs="Arial"/>
          <w:b/>
          <w:lang w:eastAsia="es-ES_tradnl"/>
        </w:rPr>
      </w:pPr>
    </w:p>
    <w:p w14:paraId="6C351E30" w14:textId="77777777" w:rsidR="00DD4531" w:rsidRPr="00682C93" w:rsidRDefault="00DD4531" w:rsidP="00DD4531">
      <w:pPr>
        <w:spacing w:after="0" w:line="240" w:lineRule="auto"/>
        <w:jc w:val="both"/>
        <w:rPr>
          <w:rFonts w:ascii="Verdana" w:hAnsi="Verdana" w:cs="Arial"/>
          <w:b/>
          <w:lang w:val="es-MX" w:eastAsia="es-ES_tradnl"/>
        </w:rPr>
      </w:pPr>
      <w:r w:rsidRPr="00682C93">
        <w:rPr>
          <w:rFonts w:ascii="Verdana" w:hAnsi="Verdana" w:cs="Arial"/>
          <w:b/>
          <w:lang w:val="es-MX" w:eastAsia="es-ES_tradnl"/>
        </w:rPr>
        <w:t>LEY DE GARANTÍAS ELECTORALES – Excepciones</w:t>
      </w:r>
    </w:p>
    <w:p w14:paraId="4CD4117F" w14:textId="77777777" w:rsidR="00DD4531" w:rsidRPr="00E41F23" w:rsidRDefault="00DD4531" w:rsidP="00DD4531">
      <w:pPr>
        <w:spacing w:after="0" w:line="240" w:lineRule="auto"/>
        <w:jc w:val="both"/>
        <w:rPr>
          <w:rFonts w:ascii="Verdana" w:hAnsi="Verdana" w:cs="Arial"/>
          <w:b/>
          <w:sz w:val="20"/>
          <w:lang w:val="es-MX" w:eastAsia="es-ES_tradnl"/>
        </w:rPr>
      </w:pPr>
    </w:p>
    <w:p w14:paraId="7EB00AED" w14:textId="77777777" w:rsidR="00DD4531" w:rsidRPr="00E41F23" w:rsidRDefault="00DD4531" w:rsidP="00DD4531">
      <w:pPr>
        <w:spacing w:after="0" w:line="240" w:lineRule="auto"/>
        <w:jc w:val="both"/>
        <w:rPr>
          <w:rFonts w:ascii="Verdana" w:eastAsia="Times New Roman" w:hAnsi="Verdana" w:cs="Arial"/>
          <w:bCs/>
          <w:sz w:val="20"/>
          <w:lang w:val="es-MX" w:eastAsia="es-CO"/>
        </w:rPr>
      </w:pPr>
      <w:r w:rsidRPr="00E41F23">
        <w:rPr>
          <w:rFonts w:ascii="Verdana" w:eastAsia="Times New Roman" w:hAnsi="Verdana" w:cs="Arial"/>
          <w:bCs/>
          <w:sz w:val="20"/>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E41F23">
        <w:rPr>
          <w:rFonts w:ascii="Verdana" w:eastAsia="Times New Roman" w:hAnsi="Verdana" w:cs="Arial"/>
          <w:bCs/>
          <w:sz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42A0257A" w14:textId="77777777" w:rsidR="00DD4531" w:rsidRPr="00682C93" w:rsidRDefault="00DD4531" w:rsidP="00DD4531">
      <w:pPr>
        <w:spacing w:after="0" w:line="240" w:lineRule="auto"/>
        <w:jc w:val="both"/>
        <w:rPr>
          <w:rFonts w:ascii="Verdana" w:hAnsi="Verdana" w:cs="Arial"/>
          <w:b/>
          <w:lang w:val="es-MX" w:eastAsia="es-ES_tradnl"/>
        </w:rPr>
      </w:pPr>
    </w:p>
    <w:p w14:paraId="14CA8B12" w14:textId="77777777" w:rsidR="00DD4531" w:rsidRPr="00682C93" w:rsidRDefault="00DD4531" w:rsidP="00DD4531">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 LEY DE GARANTÍAS ELECTORALES – Prohibición del artículo 33 – Destinatarios </w:t>
      </w:r>
    </w:p>
    <w:p w14:paraId="3945EB89" w14:textId="77777777" w:rsidR="00DD4531" w:rsidRDefault="00DD4531" w:rsidP="00DD4531">
      <w:pPr>
        <w:spacing w:after="0" w:line="240" w:lineRule="auto"/>
        <w:rPr>
          <w:rFonts w:ascii="Verdana" w:hAnsi="Verdana" w:cs="Arial"/>
          <w:lang w:val="es-MX" w:eastAsia="es-ES_tradnl"/>
        </w:rPr>
      </w:pPr>
    </w:p>
    <w:p w14:paraId="4A69B0E0" w14:textId="77777777" w:rsidR="00DD4531" w:rsidRDefault="00DD4531" w:rsidP="00DD4531">
      <w:pPr>
        <w:spacing w:after="0" w:line="240" w:lineRule="auto"/>
        <w:jc w:val="both"/>
        <w:rPr>
          <w:rFonts w:ascii="Verdana" w:eastAsia="Calibri" w:hAnsi="Verdana" w:cs="Arial"/>
          <w:sz w:val="20"/>
          <w:lang w:val="es-MX"/>
        </w:rPr>
      </w:pPr>
      <w:r w:rsidRPr="00E41F23">
        <w:rPr>
          <w:rFonts w:ascii="Verdana" w:eastAsia="Calibri" w:hAnsi="Verdana" w:cs="Arial"/>
          <w:sz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E41F23">
        <w:rPr>
          <w:rFonts w:ascii="Verdana" w:eastAsia="Times New Roman" w:hAnsi="Verdana" w:cs="Arial"/>
          <w:bCs/>
          <w:sz w:val="20"/>
          <w:lang w:val="es-MX" w:eastAsia="x-none"/>
        </w:rPr>
        <w:t>establecimientos de crédito, las sociedades de servicios financieros y las entidades aseguradoras</w:t>
      </w:r>
      <w:r w:rsidRPr="00E41F23">
        <w:rPr>
          <w:rFonts w:ascii="Verdana" w:eastAsia="Calibri" w:hAnsi="Verdana" w:cs="Arial"/>
          <w:sz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w:t>
      </w:r>
      <w:r w:rsidRPr="00E41F23">
        <w:rPr>
          <w:rFonts w:ascii="Verdana" w:eastAsia="Calibri" w:hAnsi="Verdana" w:cs="Arial"/>
          <w:sz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sz w:val="20"/>
          <w:lang w:val="es-MX"/>
        </w:rPr>
        <w:t>.</w:t>
      </w:r>
    </w:p>
    <w:p w14:paraId="022E1A52" w14:textId="77777777" w:rsidR="00DD4531" w:rsidRDefault="00DD4531" w:rsidP="00AD47A0">
      <w:pPr>
        <w:spacing w:after="0"/>
        <w:rPr>
          <w:rFonts w:ascii="Verdana" w:hAnsi="Verdana"/>
        </w:rPr>
      </w:pPr>
    </w:p>
    <w:p w14:paraId="42BD931F" w14:textId="572322CE" w:rsidR="00DD4531" w:rsidRDefault="00DD4531" w:rsidP="00DD4531">
      <w:pPr>
        <w:spacing w:after="0"/>
        <w:jc w:val="both"/>
        <w:rPr>
          <w:rFonts w:ascii="Verdana" w:hAnsi="Verdana" w:cs="Arial"/>
          <w:b/>
          <w:lang w:val="es-MX" w:eastAsia="es-ES_tradnl"/>
        </w:rPr>
      </w:pPr>
      <w:r w:rsidRPr="00DD4531">
        <w:rPr>
          <w:rFonts w:ascii="Verdana" w:hAnsi="Verdana" w:cs="Arial"/>
          <w:b/>
          <w:lang w:val="es-MX" w:eastAsia="es-ES_tradnl"/>
        </w:rPr>
        <w:t>LEY DE GARANTÍAS – Contratación Directa – Peritos</w:t>
      </w:r>
      <w:r w:rsidRPr="00DD4531">
        <w:rPr>
          <w:rFonts w:ascii="Verdana" w:hAnsi="Verdana" w:cs="Arial"/>
          <w:b/>
          <w:lang w:val="es-MX" w:eastAsia="es-ES_tradnl"/>
        </w:rPr>
        <w:t xml:space="preserve"> – Artículo 222 – Posibilidad </w:t>
      </w:r>
    </w:p>
    <w:p w14:paraId="79FB2867" w14:textId="56399603" w:rsidR="00DD4531" w:rsidRDefault="00DD4531" w:rsidP="00DD4531">
      <w:pPr>
        <w:spacing w:after="0"/>
        <w:jc w:val="both"/>
        <w:rPr>
          <w:rFonts w:ascii="Verdana" w:hAnsi="Verdana" w:cs="Arial"/>
          <w:b/>
          <w:lang w:val="es-MX" w:eastAsia="es-ES_tradnl"/>
        </w:rPr>
      </w:pPr>
    </w:p>
    <w:p w14:paraId="7A3CD783" w14:textId="60F5B96C" w:rsidR="00DD4531" w:rsidRPr="00524F5F" w:rsidRDefault="00DD4531" w:rsidP="00DD4531">
      <w:pPr>
        <w:spacing w:after="0" w:line="240" w:lineRule="auto"/>
        <w:jc w:val="both"/>
        <w:rPr>
          <w:rFonts w:ascii="Verdana" w:hAnsi="Verdana" w:cs="Arial"/>
          <w:sz w:val="20"/>
          <w:lang w:val="es-MX" w:eastAsia="es-ES_tradnl"/>
        </w:rPr>
      </w:pPr>
      <w:r w:rsidRPr="00524F5F">
        <w:rPr>
          <w:rFonts w:ascii="Verdana" w:hAnsi="Verdana" w:cs="Arial"/>
          <w:sz w:val="20"/>
          <w:lang w:val="es-ES_tradnl" w:eastAsia="es-ES_tradnl"/>
        </w:rPr>
        <w:t xml:space="preserve">Por expresa disposición legal, la contratación directa de peritos y asesores técnicos para la finalidad prevista en la nueva causal del literal k) del numeral 4° del artículo 2 de la Ley 1150 de 2007 comporta una </w:t>
      </w:r>
      <w:r w:rsidRPr="00524F5F">
        <w:rPr>
          <w:rFonts w:ascii="Verdana" w:hAnsi="Verdana" w:cs="Arial"/>
          <w:i/>
          <w:iCs/>
          <w:sz w:val="20"/>
          <w:lang w:val="es-ES_tradnl" w:eastAsia="es-ES_tradnl"/>
        </w:rPr>
        <w:t>excepción</w:t>
      </w:r>
      <w:r w:rsidRPr="00524F5F">
        <w:rPr>
          <w:rFonts w:ascii="Verdana" w:hAnsi="Verdana" w:cs="Arial"/>
          <w:sz w:val="20"/>
          <w:lang w:val="es-ES_tradnl" w:eastAsia="es-ES_tradnl"/>
        </w:rPr>
        <w:t xml:space="preserve"> a la restricción de la contratación directa de las entidades estatales prevista en la Ley de Garantías Electorales –Ley 996 de 2005– por lo que una entidad estatal que requiera aportar o contradecir un dictamen pericial, dentro de un proceso judicial, podrá contratar directamente al perito o asesor técnico que requiera, aun en vigencia la prohibición establecida en  el artículo 33 de la Ley 996 de 2005, esto es, durante los cuatro meses anteriores a las elecciones presidenciales y hasta la fecha al cual el presidente sea elegido. Esta excepción especial se establece claramente en el numeral 1 del artículo 222 de la Ley 1437 de 2011, de acuerdo con la modificación realizada por el artículo 58 de la Ley 2080 de 2021. En tal sentido, se encuentra que la contratación realizada por entidades públicas para la selección de peritos expertos o asesores técnicos para presentar o contradecir el dictamen pericial en procesos judiciales, sería una excepción adicional a las dispuestas en el inciso segundo del artículo 33 de la Ley 1996 de 2005 – Ley de Garantías Electorales-.</w:t>
      </w:r>
    </w:p>
    <w:p w14:paraId="7661CCD8" w14:textId="77777777" w:rsidR="00DD4531" w:rsidRPr="00DD4531" w:rsidRDefault="00DD4531" w:rsidP="00DD4531">
      <w:pPr>
        <w:spacing w:after="0"/>
        <w:jc w:val="both"/>
        <w:rPr>
          <w:rFonts w:ascii="Verdana" w:hAnsi="Verdana" w:cs="Arial"/>
          <w:b/>
          <w:lang w:val="es-MX" w:eastAsia="es-ES_tradnl"/>
        </w:rPr>
      </w:pPr>
    </w:p>
    <w:p w14:paraId="31C424C0" w14:textId="367D0CD3" w:rsidR="00DD4531" w:rsidRPr="00DD4531" w:rsidRDefault="00DD4531" w:rsidP="00DD4531">
      <w:pPr>
        <w:spacing w:after="0"/>
        <w:jc w:val="both"/>
        <w:rPr>
          <w:rFonts w:ascii="Verdana" w:hAnsi="Verdana"/>
          <w:b/>
        </w:rPr>
      </w:pPr>
      <w:r w:rsidRPr="00DD4531">
        <w:rPr>
          <w:rFonts w:ascii="Verdana" w:hAnsi="Verdana" w:cs="Arial"/>
          <w:b/>
          <w:lang w:val="es-MX" w:eastAsia="es-ES_tradnl"/>
        </w:rPr>
        <w:t>LEY DE GARANTÍAS ELECTORALES – Excepción – Decisiones Judiciales</w:t>
      </w:r>
    </w:p>
    <w:p w14:paraId="3CA29D5C" w14:textId="77777777" w:rsidR="00DD4531" w:rsidRDefault="00DD4531" w:rsidP="00AD47A0">
      <w:pPr>
        <w:spacing w:after="0"/>
        <w:rPr>
          <w:rFonts w:ascii="Verdana" w:hAnsi="Verdana"/>
        </w:rPr>
      </w:pPr>
    </w:p>
    <w:p w14:paraId="1E8D5FB3" w14:textId="1A975F12" w:rsidR="00524F5F" w:rsidRDefault="00524F5F" w:rsidP="00524F5F">
      <w:pPr>
        <w:spacing w:after="0" w:line="240" w:lineRule="auto"/>
        <w:jc w:val="both"/>
        <w:rPr>
          <w:rFonts w:ascii="Verdana" w:hAnsi="Verdana"/>
          <w:sz w:val="20"/>
          <w:lang w:bidi="es-ES"/>
        </w:rPr>
      </w:pPr>
      <w:r w:rsidRPr="00524F5F">
        <w:rPr>
          <w:rFonts w:ascii="Verdana" w:hAnsi="Verdana"/>
          <w:sz w:val="20"/>
          <w:lang w:val="es-ES_tradnl"/>
        </w:rPr>
        <w:t>Con respecto al evento o supuesto de que la contratación se enmarca en una providencia judicial</w:t>
      </w:r>
      <w:r w:rsidRPr="00524F5F">
        <w:rPr>
          <w:rFonts w:ascii="Verdana" w:hAnsi="Verdana"/>
          <w:sz w:val="20"/>
          <w:lang w:bidi="es-ES"/>
        </w:rPr>
        <w:t>, debe tenerse en cuenta que las decisiones judiciales tienen fuerza vinculante y deben cumplirse en virtud del principio de supremacía constitucional y del derecho fundamental de acceso a la administración de justicia. La contratación de un perito ordenada por un juez no obedece a una decisión discrecional de la administración, sino al cumplimiento de un mandato judicial, lo cual la diferencia de la contratación ordinaria y lo pone en un plano de obligatoriedad que no puede desconocerse por las restricciones de la Ley de Garantías.</w:t>
      </w:r>
    </w:p>
    <w:p w14:paraId="3C26EA37" w14:textId="77777777" w:rsidR="00524F5F" w:rsidRPr="00524F5F" w:rsidRDefault="00524F5F" w:rsidP="00524F5F">
      <w:pPr>
        <w:spacing w:after="0" w:line="240" w:lineRule="auto"/>
        <w:jc w:val="both"/>
        <w:rPr>
          <w:rFonts w:ascii="Verdana" w:hAnsi="Verdana"/>
          <w:sz w:val="20"/>
          <w:lang w:bidi="es-ES"/>
        </w:rPr>
      </w:pPr>
    </w:p>
    <w:p w14:paraId="17B3FD24" w14:textId="42754A97" w:rsidR="00DD4531" w:rsidRPr="00524F5F" w:rsidRDefault="00524F5F" w:rsidP="00524F5F">
      <w:pPr>
        <w:spacing w:after="0" w:line="240" w:lineRule="auto"/>
        <w:jc w:val="both"/>
        <w:rPr>
          <w:rFonts w:ascii="Verdana" w:hAnsi="Verdana"/>
          <w:sz w:val="20"/>
          <w:lang w:bidi="es-ES"/>
        </w:rPr>
      </w:pPr>
      <w:r w:rsidRPr="00524F5F">
        <w:rPr>
          <w:rFonts w:ascii="Verdana" w:hAnsi="Verdana"/>
          <w:sz w:val="20"/>
          <w:lang w:bidi="es-ES"/>
        </w:rPr>
        <w:t>En este asunto, es importante resaltar que la Sala de Consulta y Servicio Civil del Consejo de Estado mediante Concepto 1863 del 15 de noviembre de 2007 se ha pronunciado en el sentido de que no se les aplica las restricciones contempladas en Ley de Garantías Electorales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p>
    <w:p w14:paraId="28BB5D25" w14:textId="77777777" w:rsidR="00524F5F" w:rsidRDefault="00524F5F" w:rsidP="00524F5F">
      <w:pPr>
        <w:spacing w:after="0"/>
        <w:rPr>
          <w:rFonts w:ascii="Verdana" w:hAnsi="Verdana"/>
        </w:rPr>
      </w:pPr>
    </w:p>
    <w:p w14:paraId="465501B7" w14:textId="280C3D21" w:rsidR="00AD47A0" w:rsidRPr="009B39AC" w:rsidRDefault="00524F5F" w:rsidP="00AD47A0">
      <w:pPr>
        <w:spacing w:after="0"/>
        <w:rPr>
          <w:rFonts w:ascii="Verdana" w:hAnsi="Verdana"/>
        </w:rPr>
      </w:pPr>
      <w:r w:rsidRPr="00524F5F">
        <w:rPr>
          <w:rFonts w:ascii="Verdana" w:hAnsi="Verdana"/>
          <w:noProof/>
          <w:lang w:val="en-US"/>
        </w:rPr>
        <w:lastRenderedPageBreak/>
        <w:drawing>
          <wp:anchor distT="0" distB="0" distL="114300" distR="114300" simplePos="0" relativeHeight="251658240" behindDoc="0" locked="0" layoutInCell="1" allowOverlap="1" wp14:anchorId="2AC66C47" wp14:editId="39EF2D60">
            <wp:simplePos x="0" y="0"/>
            <wp:positionH relativeFrom="margin">
              <wp:posOffset>2839720</wp:posOffset>
            </wp:positionH>
            <wp:positionV relativeFrom="paragraph">
              <wp:posOffset>140335</wp:posOffset>
            </wp:positionV>
            <wp:extent cx="2879090" cy="91440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79090" cy="914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D47A0" w:rsidRPr="0024624F">
        <w:rPr>
          <w:rFonts w:ascii="Verdana" w:hAnsi="Verdana"/>
        </w:rPr>
        <w:t>Bogotá D.C.,</w:t>
      </w:r>
      <w:r w:rsidR="00DD4531">
        <w:rPr>
          <w:rFonts w:ascii="Verdana" w:hAnsi="Verdana"/>
        </w:rPr>
        <w:t xml:space="preserve"> 30 de enero de 2026</w:t>
      </w:r>
      <w:r w:rsidR="00AD47A0" w:rsidRPr="000E2B93">
        <w:rPr>
          <w:rFonts w:ascii="Verdana" w:hAnsi="Verdana"/>
        </w:rPr>
        <w:tab/>
      </w:r>
      <w:r w:rsidR="00AD47A0" w:rsidRPr="000E2B93">
        <w:rPr>
          <w:rFonts w:ascii="Verdana" w:hAnsi="Verdana"/>
        </w:rPr>
        <w:br/>
      </w:r>
    </w:p>
    <w:p w14:paraId="462FB4ED" w14:textId="77777777" w:rsidR="00AD47A0" w:rsidRPr="00593A5F" w:rsidRDefault="00AD47A0" w:rsidP="00AD47A0">
      <w:pPr>
        <w:spacing w:after="0" w:line="240" w:lineRule="auto"/>
        <w:jc w:val="both"/>
        <w:rPr>
          <w:rFonts w:ascii="Verdana" w:eastAsia="Calibri" w:hAnsi="Verdana" w:cs="Arial"/>
          <w:color w:val="000000"/>
          <w:lang w:val="es-ES"/>
        </w:rPr>
      </w:pPr>
    </w:p>
    <w:p w14:paraId="2F3CD412" w14:textId="77777777" w:rsidR="00AD47A0" w:rsidRPr="00643C60" w:rsidRDefault="00AD47A0" w:rsidP="00AD47A0">
      <w:pPr>
        <w:spacing w:after="0" w:line="240" w:lineRule="auto"/>
        <w:jc w:val="both"/>
        <w:rPr>
          <w:rFonts w:ascii="Verdana" w:eastAsia="Calibri" w:hAnsi="Verdana" w:cs="Arial"/>
          <w:lang w:val="es-ES" w:eastAsia="es-ES"/>
        </w:rPr>
      </w:pPr>
      <w:r w:rsidRPr="00643C60">
        <w:rPr>
          <w:rFonts w:ascii="Verdana" w:eastAsia="Calibri" w:hAnsi="Verdana" w:cs="Arial"/>
          <w:lang w:val="es-ES" w:eastAsia="es-ES"/>
        </w:rPr>
        <w:t>Señor</w:t>
      </w:r>
    </w:p>
    <w:p w14:paraId="4BA08690" w14:textId="77777777" w:rsidR="00AD47A0" w:rsidRPr="00643C60" w:rsidRDefault="00AD47A0" w:rsidP="00AD47A0">
      <w:pPr>
        <w:spacing w:after="0" w:line="240" w:lineRule="auto"/>
        <w:rPr>
          <w:rFonts w:ascii="Verdana" w:eastAsia="Calibri" w:hAnsi="Verdana" w:cs="Arial"/>
          <w:b/>
          <w:lang w:val="es-ES" w:eastAsia="es-ES"/>
        </w:rPr>
      </w:pPr>
      <w:r w:rsidRPr="00643C60">
        <w:rPr>
          <w:rFonts w:ascii="Verdana" w:eastAsia="Calibri" w:hAnsi="Verdana" w:cs="Arial"/>
          <w:b/>
          <w:lang w:val="es-ES" w:eastAsia="es-ES"/>
        </w:rPr>
        <w:t>Johan Sebastián Herrera Galindo</w:t>
      </w:r>
    </w:p>
    <w:p w14:paraId="68571BDA" w14:textId="77777777" w:rsidR="00AD47A0" w:rsidRPr="00643C60" w:rsidRDefault="004F1B18" w:rsidP="00AD47A0">
      <w:pPr>
        <w:spacing w:after="0" w:line="240" w:lineRule="auto"/>
        <w:rPr>
          <w:rFonts w:ascii="Verdana" w:eastAsia="Calibri" w:hAnsi="Verdana" w:cs="Arial"/>
          <w:bCs/>
          <w:color w:val="000000"/>
          <w:lang w:val="es-ES_tradnl" w:eastAsia="es-ES_tradnl"/>
        </w:rPr>
      </w:pPr>
      <w:hyperlink r:id="rId12" w:history="1">
        <w:r w:rsidR="00AD47A0" w:rsidRPr="00643C60">
          <w:rPr>
            <w:rStyle w:val="Hipervnculo"/>
            <w:rFonts w:ascii="Verdana" w:eastAsia="Calibri" w:hAnsi="Verdana" w:cs="Arial"/>
            <w:bCs/>
            <w:lang w:val="es-ES_tradnl" w:eastAsia="es-ES_tradnl"/>
          </w:rPr>
          <w:t>johansh07@hotmail.com</w:t>
        </w:r>
      </w:hyperlink>
      <w:r w:rsidR="00AD47A0" w:rsidRPr="00643C60">
        <w:rPr>
          <w:rFonts w:ascii="Verdana" w:eastAsia="Calibri" w:hAnsi="Verdana" w:cs="Arial"/>
          <w:bCs/>
          <w:color w:val="000000"/>
          <w:lang w:val="es-ES_tradnl" w:eastAsia="es-ES_tradnl"/>
        </w:rPr>
        <w:t xml:space="preserve"> </w:t>
      </w:r>
    </w:p>
    <w:p w14:paraId="70D4565B" w14:textId="77777777" w:rsidR="00AD47A0" w:rsidRPr="00643C60" w:rsidRDefault="00AD47A0" w:rsidP="00AD47A0">
      <w:pPr>
        <w:spacing w:after="0" w:line="240" w:lineRule="auto"/>
        <w:rPr>
          <w:rFonts w:ascii="Verdana" w:eastAsia="Calibri" w:hAnsi="Verdana" w:cs="Arial"/>
          <w:bCs/>
          <w:color w:val="000000"/>
          <w:lang w:val="es-ES_tradnl" w:eastAsia="es-ES_tradnl"/>
        </w:rPr>
      </w:pPr>
      <w:r w:rsidRPr="00643C60">
        <w:rPr>
          <w:rFonts w:ascii="Verdana" w:eastAsia="Calibri" w:hAnsi="Verdana" w:cs="Arial"/>
          <w:bCs/>
          <w:color w:val="000000"/>
          <w:lang w:val="es-ES_tradnl" w:eastAsia="es-ES_tradnl"/>
        </w:rPr>
        <w:t>Bogotá D.C.</w:t>
      </w:r>
    </w:p>
    <w:p w14:paraId="1D01CAEF" w14:textId="77777777" w:rsidR="00AD47A0" w:rsidRDefault="00AD47A0" w:rsidP="00AD47A0">
      <w:pPr>
        <w:spacing w:after="0" w:line="240" w:lineRule="auto"/>
        <w:rPr>
          <w:rFonts w:ascii="Verdana" w:eastAsia="Calibri" w:hAnsi="Verdana" w:cs="Times New Roman"/>
        </w:rPr>
      </w:pPr>
    </w:p>
    <w:p w14:paraId="68D2FFA0" w14:textId="77777777" w:rsidR="00AD47A0" w:rsidRPr="00A12CB6" w:rsidRDefault="00AD47A0" w:rsidP="00AD47A0">
      <w:pPr>
        <w:spacing w:after="0" w:line="240" w:lineRule="auto"/>
        <w:rPr>
          <w:rFonts w:ascii="Verdana" w:eastAsia="Calibri" w:hAnsi="Verdana" w:cs="Times New Roman"/>
        </w:rPr>
      </w:pPr>
      <w:bookmarkStart w:id="1" w:name="_GoBack"/>
      <w:bookmarkEnd w:id="1"/>
    </w:p>
    <w:p w14:paraId="01A57DF0" w14:textId="77777777" w:rsidR="00AD47A0" w:rsidRPr="00A12CB6" w:rsidRDefault="00AD47A0" w:rsidP="00AD47A0">
      <w:p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 xml:space="preserve">                  </w:t>
      </w:r>
      <w:r>
        <w:rPr>
          <w:rFonts w:ascii="Verdana" w:eastAsia="Calibri" w:hAnsi="Verdana" w:cs="Times New Roman"/>
          <w:b/>
          <w:bCs/>
          <w:lang w:val="es-ES"/>
        </w:rPr>
        <w:t xml:space="preserve">                  Concepto C- 081 de 2026</w:t>
      </w:r>
    </w:p>
    <w:p w14:paraId="44DD0760" w14:textId="77777777" w:rsidR="00AD47A0" w:rsidRPr="00A12CB6" w:rsidRDefault="00AD47A0" w:rsidP="00AD47A0">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AD47A0" w:rsidRPr="00A12CB6" w14:paraId="2F0BD310" w14:textId="77777777" w:rsidTr="00B7019D">
        <w:trPr>
          <w:trHeight w:val="2263"/>
        </w:trPr>
        <w:tc>
          <w:tcPr>
            <w:tcW w:w="2685" w:type="dxa"/>
            <w:hideMark/>
          </w:tcPr>
          <w:p w14:paraId="6E70C7A3" w14:textId="77777777" w:rsidR="00AD47A0" w:rsidRPr="00A12CB6" w:rsidRDefault="00AD47A0" w:rsidP="00B7019D">
            <w:pPr>
              <w:spacing w:line="256" w:lineRule="auto"/>
              <w:rPr>
                <w:rFonts w:ascii="Verdana" w:hAnsi="Verdana"/>
                <w:b/>
                <w:bCs/>
                <w:lang w:val="es-ES_tradnl"/>
              </w:rPr>
            </w:pPr>
            <w:r w:rsidRPr="00A12CB6">
              <w:rPr>
                <w:rFonts w:ascii="Verdana" w:hAnsi="Verdana"/>
                <w:b/>
                <w:bCs/>
                <w:lang w:val="es-ES_tradnl"/>
              </w:rPr>
              <w:t xml:space="preserve">Temas:                   </w:t>
            </w:r>
          </w:p>
        </w:tc>
        <w:tc>
          <w:tcPr>
            <w:tcW w:w="6241" w:type="dxa"/>
            <w:hideMark/>
          </w:tcPr>
          <w:p w14:paraId="77A7B4BE" w14:textId="77777777" w:rsidR="00AD47A0" w:rsidRPr="00817856" w:rsidRDefault="00AD47A0" w:rsidP="00B7019D">
            <w:pPr>
              <w:spacing w:line="276" w:lineRule="auto"/>
              <w:jc w:val="both"/>
              <w:rPr>
                <w:rFonts w:ascii="Verdana" w:hAnsi="Verdana" w:cs="Arial"/>
                <w:lang w:val="es-ES" w:eastAsia="es-ES_tradnl"/>
              </w:rPr>
            </w:pPr>
            <w:r w:rsidRPr="00273620">
              <w:rPr>
                <w:rFonts w:ascii="Verdana" w:hAnsi="Verdana" w:cs="Arial"/>
                <w:lang w:val="es-MX" w:eastAsia="es-ES_tradnl"/>
              </w:rPr>
              <w:t xml:space="preserve">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Finalidad / 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Tipos de restricciones </w:t>
            </w:r>
            <w:r w:rsidRPr="00273620">
              <w:rPr>
                <w:rFonts w:ascii="Verdana" w:hAnsi="Verdana" w:cs="Arial"/>
                <w:bCs/>
                <w:lang w:val="es-MX" w:eastAsia="es-ES_tradnl"/>
              </w:rPr>
              <w:t>‒</w:t>
            </w:r>
            <w:r w:rsidRPr="00273620">
              <w:rPr>
                <w:rFonts w:ascii="Verdana" w:hAnsi="Verdana" w:cs="Arial"/>
                <w:lang w:val="es-MX" w:eastAsia="es-ES_tradnl"/>
              </w:rPr>
              <w:t xml:space="preserve"> Ámbito temporal</w:t>
            </w:r>
            <w:r>
              <w:rPr>
                <w:rFonts w:ascii="Verdana" w:hAnsi="Verdana" w:cs="Arial"/>
                <w:lang w:val="es-MX" w:eastAsia="es-ES_tradnl"/>
              </w:rPr>
              <w:t xml:space="preserve"> – celebración- límite / LEY DE GARANTÍAS ELECTORALES – Prohibición artículo 33 – Contratación directa – Alcance / LEY DE GARANTÍAS ELECTORALES – Excepciones / LEY DE GARANTÍAS ELECTORALES – Prohibición del artículo 33 – Destinatarios / </w:t>
            </w:r>
            <w:r w:rsidRPr="00585ABC">
              <w:rPr>
                <w:rFonts w:ascii="Verdana" w:hAnsi="Verdana" w:cs="Arial"/>
                <w:lang w:val="es-MX" w:eastAsia="es-ES_tradnl"/>
              </w:rPr>
              <w:t>LEY DE GARANTÍAS – Contratación Directa – Peritos – Artículo 222 – Posibilidad / LEY DE GARANTÍAS ELECTORALES – Excepción – Decisiones Judiciales</w:t>
            </w:r>
          </w:p>
        </w:tc>
        <w:tc>
          <w:tcPr>
            <w:tcW w:w="6237" w:type="dxa"/>
          </w:tcPr>
          <w:p w14:paraId="77CDD907" w14:textId="77777777" w:rsidR="00AD47A0" w:rsidRPr="00A12CB6" w:rsidRDefault="00AD47A0" w:rsidP="00B7019D">
            <w:pPr>
              <w:spacing w:line="256" w:lineRule="auto"/>
              <w:rPr>
                <w:rFonts w:ascii="Verdana" w:hAnsi="Verdana"/>
              </w:rPr>
            </w:pPr>
          </w:p>
        </w:tc>
      </w:tr>
    </w:tbl>
    <w:p w14:paraId="73ACC77B" w14:textId="77777777" w:rsidR="00AD47A0" w:rsidRPr="009305DC" w:rsidRDefault="00AD47A0" w:rsidP="00AD47A0">
      <w:pPr>
        <w:spacing w:after="0" w:line="240" w:lineRule="auto"/>
        <w:rPr>
          <w:rFonts w:ascii="Verdana" w:eastAsia="Calibri" w:hAnsi="Verdana" w:cs="Arial"/>
          <w:b/>
          <w:bCs/>
          <w:color w:val="000000"/>
          <w:lang w:eastAsia="es-ES_tradnl"/>
        </w:rPr>
      </w:pPr>
    </w:p>
    <w:p w14:paraId="466D9C24" w14:textId="77777777" w:rsidR="00AD47A0" w:rsidRPr="00593A5F" w:rsidRDefault="00AD47A0" w:rsidP="00AD47A0">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D47A0" w:rsidRPr="008E6AD9" w14:paraId="08D8A878" w14:textId="77777777" w:rsidTr="00B7019D">
        <w:tc>
          <w:tcPr>
            <w:tcW w:w="2689" w:type="dxa"/>
          </w:tcPr>
          <w:p w14:paraId="760BDEA0" w14:textId="77777777" w:rsidR="00AD47A0" w:rsidRPr="008E6AD9" w:rsidRDefault="00AD47A0" w:rsidP="00B7019D">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4068A041" w14:textId="77777777" w:rsidR="00AD47A0" w:rsidRPr="00AD67E7" w:rsidRDefault="00AD47A0" w:rsidP="00B7019D">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6A107F">
              <w:rPr>
                <w:rFonts w:ascii="Verdana" w:eastAsia="Calibri" w:hAnsi="Verdana" w:cs="Arial"/>
                <w:lang w:eastAsia="es-ES_tradnl"/>
              </w:rPr>
              <w:t>1_2026_01_21_000646</w:t>
            </w:r>
          </w:p>
        </w:tc>
      </w:tr>
    </w:tbl>
    <w:p w14:paraId="7AC3C8AD" w14:textId="77777777" w:rsidR="00AD47A0" w:rsidRPr="00593A5F" w:rsidRDefault="00AD47A0" w:rsidP="00AD47A0">
      <w:pPr>
        <w:spacing w:after="0" w:line="240" w:lineRule="auto"/>
        <w:jc w:val="both"/>
        <w:rPr>
          <w:rFonts w:ascii="Verdana" w:eastAsia="Calibri" w:hAnsi="Verdana" w:cs="Arial"/>
          <w:color w:val="000000"/>
          <w:lang w:val="es-ES_tradnl" w:eastAsia="es-ES_tradnl"/>
        </w:rPr>
      </w:pPr>
    </w:p>
    <w:p w14:paraId="43F680D2" w14:textId="77777777" w:rsidR="00AD47A0" w:rsidRPr="00593A5F" w:rsidRDefault="00AD47A0" w:rsidP="00AD47A0">
      <w:pPr>
        <w:spacing w:after="0" w:line="240" w:lineRule="auto"/>
        <w:jc w:val="both"/>
        <w:rPr>
          <w:rFonts w:ascii="Verdana" w:eastAsia="Calibri" w:hAnsi="Verdana" w:cs="Arial"/>
          <w:color w:val="000000"/>
          <w:lang w:val="es-ES_tradnl" w:eastAsia="es-ES_tradnl"/>
        </w:rPr>
      </w:pPr>
    </w:p>
    <w:p w14:paraId="62B8C863" w14:textId="77777777" w:rsidR="00AD47A0" w:rsidRPr="008E6AD9" w:rsidRDefault="00AD47A0" w:rsidP="00AD47A0">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 Señor Herrera</w:t>
      </w:r>
      <w:r w:rsidRPr="008E6AD9">
        <w:rPr>
          <w:rFonts w:ascii="Verdana" w:eastAsia="Calibri" w:hAnsi="Verdana" w:cs="Arial"/>
          <w:lang w:val="es-ES" w:eastAsia="es-ES"/>
        </w:rPr>
        <w:t xml:space="preserve">: </w:t>
      </w:r>
    </w:p>
    <w:p w14:paraId="65EC5E78" w14:textId="77777777" w:rsidR="00AD47A0" w:rsidRDefault="00AD47A0" w:rsidP="00AD47A0">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7F12000" w14:textId="77777777" w:rsidR="00AD47A0" w:rsidRPr="00102203" w:rsidRDefault="00AD47A0" w:rsidP="00AD47A0">
      <w:pPr>
        <w:spacing w:after="0" w:line="276" w:lineRule="auto"/>
        <w:jc w:val="both"/>
        <w:rPr>
          <w:rFonts w:ascii="Verdana" w:eastAsia="Calibri" w:hAnsi="Verdana" w:cs="Arial"/>
          <w:bCs/>
          <w:color w:val="000000" w:themeColor="text1"/>
          <w:lang w:val="es-ES" w:eastAsia="es-ES" w:bidi="es-ES"/>
        </w:rPr>
      </w:pPr>
      <w:r w:rsidRPr="00102203">
        <w:rPr>
          <w:rFonts w:ascii="Verdana" w:eastAsia="Calibri" w:hAnsi="Verdana" w:cs="Arial"/>
          <w:bCs/>
          <w:color w:val="000000" w:themeColor="text1"/>
          <w:lang w:val="es-ES" w:eastAsia="es-ES" w:bidi="es-ES"/>
        </w:rPr>
        <w:t xml:space="preserve">En ejercicio de la competencia otorgada por los artículos 3, numeral 5º, y 11, numeral 8º, del Decreto Ley 4170 de 2011, </w:t>
      </w:r>
      <w:r w:rsidRPr="00102203">
        <w:rPr>
          <w:rFonts w:ascii="Verdana" w:eastAsia="Calibri" w:hAnsi="Verdana" w:cs="Arial"/>
          <w:bCs/>
          <w:color w:val="000000" w:themeColor="text1"/>
          <w:lang w:eastAsia="es-ES"/>
        </w:rPr>
        <w:t xml:space="preserve">así como lo establecido por la Resolución 469 de 2025 expedida por esta Entidad, </w:t>
      </w:r>
      <w:r w:rsidRPr="00102203">
        <w:rPr>
          <w:rFonts w:ascii="Verdana" w:eastAsia="Calibri" w:hAnsi="Verdana" w:cs="Arial"/>
          <w:bCs/>
          <w:color w:val="000000" w:themeColor="text1"/>
          <w:lang w:val="es-ES" w:eastAsia="es-ES" w:bidi="es-ES"/>
        </w:rPr>
        <w:t>la Agencia Nacional de Contratación Pública – Colombia Compra Eficiente– responde l</w:t>
      </w:r>
      <w:r>
        <w:rPr>
          <w:rFonts w:ascii="Verdana" w:eastAsia="Calibri" w:hAnsi="Verdana" w:cs="Arial"/>
          <w:bCs/>
          <w:color w:val="000000" w:themeColor="text1"/>
          <w:lang w:val="es-ES" w:eastAsia="es-ES" w:bidi="es-ES"/>
        </w:rPr>
        <w:t>a solicitud de consulta remitida el 21 de enero de 2026</w:t>
      </w:r>
      <w:r w:rsidRPr="00102203">
        <w:rPr>
          <w:rFonts w:ascii="Verdana" w:eastAsia="Calibri" w:hAnsi="Verdana" w:cs="Arial"/>
          <w:bCs/>
          <w:color w:val="000000" w:themeColor="text1"/>
          <w:lang w:val="es-ES" w:eastAsia="es-ES" w:bidi="es-ES"/>
        </w:rPr>
        <w:t xml:space="preserve">, en la cual manifiesta: </w:t>
      </w:r>
    </w:p>
    <w:p w14:paraId="386563E3" w14:textId="77777777" w:rsidR="00AD47A0" w:rsidRPr="00272A7B" w:rsidRDefault="00AD47A0" w:rsidP="00AD47A0">
      <w:pPr>
        <w:pStyle w:val="Prrafodelista"/>
        <w:tabs>
          <w:tab w:val="left" w:pos="142"/>
          <w:tab w:val="left" w:pos="284"/>
        </w:tabs>
        <w:spacing w:after="0" w:line="240" w:lineRule="auto"/>
        <w:ind w:left="0"/>
        <w:jc w:val="both"/>
        <w:rPr>
          <w:rFonts w:ascii="Verdana" w:eastAsia="Century Gothic" w:hAnsi="Verdana" w:cs="Century Gothic"/>
          <w:b/>
          <w:bCs/>
        </w:rPr>
      </w:pPr>
    </w:p>
    <w:p w14:paraId="24B5C4AC" w14:textId="77777777" w:rsidR="00AD47A0" w:rsidRPr="00643C60" w:rsidRDefault="00AD47A0" w:rsidP="00AD47A0">
      <w:pPr>
        <w:spacing w:after="0" w:line="240" w:lineRule="auto"/>
        <w:ind w:left="709" w:right="709"/>
        <w:jc w:val="both"/>
        <w:rPr>
          <w:rFonts w:ascii="Verdana" w:eastAsia="Century Gothic" w:hAnsi="Verdana" w:cs="Century Gothic"/>
          <w:sz w:val="20"/>
          <w:szCs w:val="20"/>
        </w:rPr>
      </w:pPr>
      <w:r>
        <w:rPr>
          <w:rFonts w:ascii="Verdana" w:eastAsia="Century Gothic" w:hAnsi="Verdana" w:cs="Century Gothic"/>
          <w:sz w:val="20"/>
          <w:szCs w:val="20"/>
          <w:lang w:val="es-ES"/>
        </w:rPr>
        <w:t>“</w:t>
      </w:r>
      <w:r w:rsidRPr="00643C60">
        <w:rPr>
          <w:rFonts w:ascii="Verdana" w:eastAsia="Century Gothic" w:hAnsi="Verdana" w:cs="Century Gothic"/>
          <w:sz w:val="20"/>
          <w:szCs w:val="20"/>
        </w:rPr>
        <w:t>¿La contratación directa de peritos ordenada judicialmente se encuentra amparada por alguna excepción de la Ley 996 de 2005, aun cuando esta no la enuncie de</w:t>
      </w:r>
      <w:r>
        <w:rPr>
          <w:rFonts w:ascii="Verdana" w:eastAsia="Century Gothic" w:hAnsi="Verdana" w:cs="Century Gothic"/>
          <w:sz w:val="20"/>
          <w:szCs w:val="20"/>
        </w:rPr>
        <w:t xml:space="preserve"> </w:t>
      </w:r>
      <w:r w:rsidRPr="00643C60">
        <w:rPr>
          <w:rFonts w:ascii="Verdana" w:eastAsia="Century Gothic" w:hAnsi="Verdana" w:cs="Century Gothic"/>
          <w:sz w:val="20"/>
          <w:szCs w:val="20"/>
        </w:rPr>
        <w:t>manera explícita?</w:t>
      </w:r>
    </w:p>
    <w:p w14:paraId="6C46BFB7" w14:textId="77777777" w:rsidR="00AD47A0" w:rsidRPr="00643C60" w:rsidRDefault="00AD47A0" w:rsidP="00AD47A0">
      <w:pPr>
        <w:spacing w:after="0" w:line="240" w:lineRule="auto"/>
        <w:ind w:left="709" w:right="709"/>
        <w:jc w:val="both"/>
        <w:rPr>
          <w:rFonts w:ascii="Verdana" w:eastAsia="Century Gothic" w:hAnsi="Verdana" w:cs="Century Gothic"/>
          <w:sz w:val="20"/>
          <w:szCs w:val="20"/>
        </w:rPr>
      </w:pPr>
      <w:r w:rsidRPr="00643C60">
        <w:rPr>
          <w:rFonts w:ascii="Verdana" w:eastAsia="Century Gothic" w:hAnsi="Verdana" w:cs="Century Gothic"/>
          <w:sz w:val="20"/>
          <w:szCs w:val="20"/>
        </w:rPr>
        <w:lastRenderedPageBreak/>
        <w:t>¿Debe entenderse que la necesidad de acatar órdenes judiciales constituye una</w:t>
      </w:r>
      <w:r>
        <w:rPr>
          <w:rFonts w:ascii="Verdana" w:eastAsia="Century Gothic" w:hAnsi="Verdana" w:cs="Century Gothic"/>
          <w:sz w:val="20"/>
          <w:szCs w:val="20"/>
        </w:rPr>
        <w:t xml:space="preserve"> </w:t>
      </w:r>
      <w:r w:rsidRPr="00643C60">
        <w:rPr>
          <w:rFonts w:ascii="Verdana" w:eastAsia="Century Gothic" w:hAnsi="Verdana" w:cs="Century Gothic"/>
          <w:sz w:val="20"/>
          <w:szCs w:val="20"/>
        </w:rPr>
        <w:t>excepción implícita a las restricciones de contratación durante el periodo de</w:t>
      </w:r>
      <w:r>
        <w:rPr>
          <w:rFonts w:ascii="Verdana" w:eastAsia="Century Gothic" w:hAnsi="Verdana" w:cs="Century Gothic"/>
          <w:sz w:val="20"/>
          <w:szCs w:val="20"/>
        </w:rPr>
        <w:t xml:space="preserve"> </w:t>
      </w:r>
      <w:r w:rsidRPr="00643C60">
        <w:rPr>
          <w:rFonts w:ascii="Verdana" w:eastAsia="Century Gothic" w:hAnsi="Verdana" w:cs="Century Gothic"/>
          <w:sz w:val="20"/>
          <w:szCs w:val="20"/>
        </w:rPr>
        <w:t>garantías?</w:t>
      </w:r>
    </w:p>
    <w:p w14:paraId="7135C963" w14:textId="77777777" w:rsidR="00AD47A0" w:rsidRPr="00643C60" w:rsidRDefault="00AD47A0" w:rsidP="00AD47A0">
      <w:pPr>
        <w:spacing w:after="0" w:line="240" w:lineRule="auto"/>
        <w:ind w:left="709" w:right="709"/>
        <w:jc w:val="both"/>
        <w:rPr>
          <w:rFonts w:ascii="Verdana" w:eastAsia="Century Gothic" w:hAnsi="Verdana" w:cs="Century Gothic"/>
          <w:sz w:val="20"/>
          <w:szCs w:val="20"/>
        </w:rPr>
      </w:pPr>
      <w:r w:rsidRPr="00643C60">
        <w:rPr>
          <w:rFonts w:ascii="Verdana" w:eastAsia="Century Gothic" w:hAnsi="Verdana" w:cs="Century Gothic"/>
          <w:sz w:val="20"/>
          <w:szCs w:val="20"/>
        </w:rPr>
        <w:t>¿Existe criterio orientador o concepto previo emitido por esa Agencia sobre este</w:t>
      </w:r>
      <w:r>
        <w:rPr>
          <w:rFonts w:ascii="Verdana" w:eastAsia="Century Gothic" w:hAnsi="Verdana" w:cs="Century Gothic"/>
          <w:sz w:val="20"/>
          <w:szCs w:val="20"/>
        </w:rPr>
        <w:t xml:space="preserve"> </w:t>
      </w:r>
      <w:r w:rsidRPr="00643C60">
        <w:rPr>
          <w:rFonts w:ascii="Verdana" w:eastAsia="Century Gothic" w:hAnsi="Verdana" w:cs="Century Gothic"/>
          <w:sz w:val="20"/>
          <w:szCs w:val="20"/>
        </w:rPr>
        <w:t>escenario específico?</w:t>
      </w:r>
    </w:p>
    <w:p w14:paraId="377BC92F" w14:textId="77777777" w:rsidR="00AD47A0" w:rsidRPr="002E60E4" w:rsidRDefault="00AD47A0" w:rsidP="00AD47A0">
      <w:pPr>
        <w:spacing w:after="0" w:line="240" w:lineRule="auto"/>
        <w:ind w:left="709" w:right="709"/>
        <w:jc w:val="both"/>
        <w:rPr>
          <w:rFonts w:ascii="Verdana" w:eastAsia="Century Gothic" w:hAnsi="Verdana" w:cs="Century Gothic"/>
          <w:sz w:val="20"/>
          <w:szCs w:val="20"/>
        </w:rPr>
      </w:pPr>
      <w:r w:rsidRPr="00643C60">
        <w:rPr>
          <w:rFonts w:ascii="Verdana" w:eastAsia="Century Gothic" w:hAnsi="Verdana" w:cs="Century Gothic"/>
          <w:sz w:val="20"/>
          <w:szCs w:val="20"/>
        </w:rPr>
        <w:t>¿Cuál sería el procedimiento contractual adecuado que debe adelantar la entidad</w:t>
      </w:r>
      <w:r>
        <w:rPr>
          <w:rFonts w:ascii="Verdana" w:eastAsia="Century Gothic" w:hAnsi="Verdana" w:cs="Century Gothic"/>
          <w:sz w:val="20"/>
          <w:szCs w:val="20"/>
        </w:rPr>
        <w:t xml:space="preserve"> </w:t>
      </w:r>
      <w:r w:rsidRPr="00643C60">
        <w:rPr>
          <w:rFonts w:ascii="Verdana" w:eastAsia="Century Gothic" w:hAnsi="Verdana" w:cs="Century Gothic"/>
          <w:sz w:val="20"/>
          <w:szCs w:val="20"/>
        </w:rPr>
        <w:t>para cumplir con la orden judicial durante la vigencia de la Ley de Garantías?</w:t>
      </w:r>
      <w:r>
        <w:rPr>
          <w:rFonts w:ascii="Verdana" w:eastAsia="Century Gothic" w:hAnsi="Verdana" w:cs="Century Gothic"/>
          <w:sz w:val="20"/>
          <w:szCs w:val="20"/>
        </w:rPr>
        <w:t>”</w:t>
      </w:r>
    </w:p>
    <w:p w14:paraId="22E1F168" w14:textId="77777777" w:rsidR="00AD47A0" w:rsidRPr="008E6AD9" w:rsidRDefault="00AD47A0" w:rsidP="00AD47A0">
      <w:pPr>
        <w:pStyle w:val="Prrafodelista"/>
        <w:tabs>
          <w:tab w:val="left" w:pos="142"/>
          <w:tab w:val="left" w:pos="284"/>
        </w:tabs>
        <w:spacing w:after="0" w:line="276" w:lineRule="auto"/>
        <w:ind w:left="0"/>
        <w:jc w:val="both"/>
        <w:rPr>
          <w:rFonts w:ascii="Verdana" w:eastAsia="Century Gothic" w:hAnsi="Verdana" w:cs="Century Gothic"/>
          <w:b/>
          <w:bCs/>
        </w:rPr>
      </w:pPr>
    </w:p>
    <w:p w14:paraId="50F6FABF" w14:textId="77777777" w:rsidR="00AD47A0" w:rsidRPr="00A652FF" w:rsidRDefault="00AD47A0" w:rsidP="00AD47A0">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2DFE54AB" w14:textId="77777777" w:rsidR="00AD47A0" w:rsidRPr="00423BE7" w:rsidRDefault="00AD47A0" w:rsidP="00AD47A0">
      <w:pPr>
        <w:spacing w:after="0" w:line="276" w:lineRule="auto"/>
        <w:ind w:firstLine="708"/>
        <w:jc w:val="both"/>
        <w:rPr>
          <w:rFonts w:ascii="Verdana" w:eastAsia="Calibri" w:hAnsi="Verdana" w:cs="Arial"/>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 xml:space="preserve">el problema jurídico de su consulta. </w:t>
      </w:r>
    </w:p>
    <w:p w14:paraId="1102F173" w14:textId="77777777" w:rsidR="00AD47A0" w:rsidRPr="00593A5F" w:rsidRDefault="00AD47A0" w:rsidP="00AD47A0">
      <w:pPr>
        <w:spacing w:after="0" w:line="276" w:lineRule="auto"/>
        <w:ind w:firstLine="709"/>
        <w:jc w:val="both"/>
        <w:rPr>
          <w:rFonts w:ascii="Verdana" w:eastAsia="Calibri" w:hAnsi="Verdana" w:cs="Arial"/>
          <w:color w:val="000000"/>
          <w:lang w:val="es-ES" w:eastAsia="es-ES"/>
        </w:rPr>
      </w:pPr>
    </w:p>
    <w:p w14:paraId="38F58DA3" w14:textId="77777777" w:rsidR="00AD47A0" w:rsidRPr="00593A5F" w:rsidRDefault="00AD47A0" w:rsidP="00AD47A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3F477D48" w14:textId="77777777" w:rsidR="00AD47A0" w:rsidRPr="00593A5F" w:rsidRDefault="00AD47A0" w:rsidP="00AD47A0">
      <w:pPr>
        <w:tabs>
          <w:tab w:val="left" w:pos="426"/>
        </w:tabs>
        <w:spacing w:after="0" w:line="276" w:lineRule="auto"/>
        <w:jc w:val="both"/>
        <w:rPr>
          <w:rFonts w:ascii="Verdana" w:eastAsia="Century Gothic" w:hAnsi="Verdana" w:cs="Century Gothic"/>
          <w:lang w:val="es-ES"/>
        </w:rPr>
      </w:pPr>
    </w:p>
    <w:p w14:paraId="349E0F8B" w14:textId="77777777" w:rsidR="00AD47A0" w:rsidRDefault="00AD47A0" w:rsidP="00AD47A0">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w:t>
      </w:r>
      <w:r>
        <w:rPr>
          <w:rFonts w:ascii="Verdana" w:eastAsia="Century Gothic" w:hAnsi="Verdana" w:cs="Century Gothic"/>
        </w:rPr>
        <w:t>con el contenido de sus solicitudes</w:t>
      </w:r>
      <w:r w:rsidRPr="00906BE9">
        <w:rPr>
          <w:rFonts w:ascii="Verdana" w:eastAsia="Century Gothic" w:hAnsi="Verdana" w:cs="Century Gothic"/>
        </w:rPr>
        <w:t xml:space="preserve">, esta Agencia resolverá </w:t>
      </w:r>
      <w:r>
        <w:rPr>
          <w:rFonts w:ascii="Verdana" w:eastAsia="Century Gothic" w:hAnsi="Verdana" w:cs="Century Gothic"/>
        </w:rPr>
        <w:t>el siguiente problema jurídico</w:t>
      </w:r>
      <w:r w:rsidRPr="00906BE9">
        <w:rPr>
          <w:rFonts w:ascii="Verdana" w:eastAsia="Century Gothic" w:hAnsi="Verdana" w:cs="Century Gothic"/>
        </w:rPr>
        <w:t>:</w:t>
      </w:r>
      <w:r>
        <w:rPr>
          <w:rFonts w:ascii="Verdana" w:eastAsia="Century Gothic" w:hAnsi="Verdana" w:cs="Century Gothic"/>
        </w:rPr>
        <w:t xml:space="preserve"> </w:t>
      </w:r>
      <w:r w:rsidRPr="00643C60">
        <w:rPr>
          <w:rFonts w:ascii="Verdana" w:eastAsia="Century Gothic" w:hAnsi="Verdana" w:cs="Century Gothic"/>
        </w:rPr>
        <w:t>¿Puede una entidad estatal, durante la vigencia de las restricciones de contratación p</w:t>
      </w:r>
      <w:r>
        <w:rPr>
          <w:rFonts w:ascii="Verdana" w:eastAsia="Century Gothic" w:hAnsi="Verdana" w:cs="Century Gothic"/>
        </w:rPr>
        <w:t>revistas en la Ley 996 de 2005 -Ley de Garantías Electorales-</w:t>
      </w:r>
      <w:r w:rsidRPr="00643C60">
        <w:rPr>
          <w:rFonts w:ascii="Verdana" w:eastAsia="Century Gothic" w:hAnsi="Verdana" w:cs="Century Gothic"/>
        </w:rPr>
        <w:t>, adelantar la contratación directa de p</w:t>
      </w:r>
      <w:r>
        <w:rPr>
          <w:rFonts w:ascii="Verdana" w:eastAsia="Century Gothic" w:hAnsi="Verdana" w:cs="Century Gothic"/>
        </w:rPr>
        <w:t xml:space="preserve">eritos ordenada por un juez, </w:t>
      </w:r>
      <w:r w:rsidRPr="00643C60">
        <w:rPr>
          <w:rFonts w:ascii="Verdana" w:eastAsia="Century Gothic" w:hAnsi="Verdana" w:cs="Century Gothic"/>
        </w:rPr>
        <w:t>aun</w:t>
      </w:r>
      <w:r>
        <w:rPr>
          <w:rFonts w:ascii="Verdana" w:eastAsia="Century Gothic" w:hAnsi="Verdana" w:cs="Century Gothic"/>
        </w:rPr>
        <w:t xml:space="preserve"> cuando dicha excepción no está contemplada</w:t>
      </w:r>
      <w:r w:rsidRPr="00643C60">
        <w:rPr>
          <w:rFonts w:ascii="Verdana" w:eastAsia="Century Gothic" w:hAnsi="Verdana" w:cs="Century Gothic"/>
        </w:rPr>
        <w:t>?</w:t>
      </w:r>
    </w:p>
    <w:p w14:paraId="2EC71FEA" w14:textId="77777777" w:rsidR="00AD47A0" w:rsidRPr="004B140F" w:rsidRDefault="00AD47A0" w:rsidP="00AD47A0">
      <w:pPr>
        <w:spacing w:after="0" w:line="276" w:lineRule="auto"/>
        <w:jc w:val="both"/>
        <w:rPr>
          <w:rFonts w:ascii="Verdana" w:eastAsia="Calibri" w:hAnsi="Verdana" w:cs="Arial"/>
          <w:color w:val="7030A0"/>
        </w:rPr>
      </w:pPr>
    </w:p>
    <w:p w14:paraId="2820145F" w14:textId="77777777" w:rsidR="00AD47A0" w:rsidRPr="00593A5F" w:rsidRDefault="00AD47A0" w:rsidP="00AD47A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71BA5B79" w14:textId="77777777" w:rsidR="00AD47A0" w:rsidRPr="00593A5F" w:rsidRDefault="00AD47A0" w:rsidP="00AD47A0">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D47A0" w:rsidRPr="00593A5F" w14:paraId="05B1EE21" w14:textId="77777777" w:rsidTr="00B7019D">
        <w:trPr>
          <w:jc w:val="center"/>
        </w:trPr>
        <w:tc>
          <w:tcPr>
            <w:tcW w:w="8828" w:type="dxa"/>
          </w:tcPr>
          <w:p w14:paraId="15541E6E" w14:textId="77777777" w:rsidR="00AD47A0" w:rsidRDefault="00AD47A0" w:rsidP="00B7019D">
            <w:pPr>
              <w:spacing w:after="120" w:line="276" w:lineRule="auto"/>
              <w:jc w:val="both"/>
              <w:rPr>
                <w:rFonts w:ascii="Verdana" w:hAnsi="Verdana" w:cs="Arial"/>
                <w:color w:val="000000" w:themeColor="text1"/>
                <w:lang w:val="es-ES_tradnl"/>
              </w:rPr>
            </w:pPr>
            <w:bookmarkStart w:id="2" w:name="_Hlk171694685"/>
            <w:r w:rsidRPr="004F1C0A">
              <w:rPr>
                <w:rFonts w:ascii="Verdana" w:eastAsia="Calibri" w:hAnsi="Verdana" w:cs="Arial"/>
                <w:lang w:val="es-MX"/>
              </w:rPr>
              <w:lastRenderedPageBreak/>
              <w:t xml:space="preserve">De acuerdo con el problema jurídico, objeto de consulta, </w:t>
            </w:r>
            <w:r>
              <w:rPr>
                <w:rFonts w:ascii="Verdana" w:eastAsia="Calibri" w:hAnsi="Verdana" w:cs="Arial"/>
                <w:lang w:val="es-MX"/>
              </w:rPr>
              <w:t xml:space="preserve">se detalla que </w:t>
            </w:r>
            <w:r w:rsidRPr="009803D1">
              <w:rPr>
                <w:rFonts w:ascii="Verdana" w:hAnsi="Verdana" w:cs="Arial"/>
                <w:color w:val="000000" w:themeColor="text1"/>
                <w:lang w:val="es-ES_tradnl"/>
              </w:rPr>
              <w:t xml:space="preserve">la contratación directa de peritos y asesores técnicos para la finalidad prevista en la nueva causal del literal k) del numeral 4° del artículo 2 de la Ley 1150 de 2007 comporta una </w:t>
            </w:r>
            <w:r w:rsidRPr="009803D1">
              <w:rPr>
                <w:rFonts w:ascii="Verdana" w:hAnsi="Verdana" w:cs="Arial"/>
                <w:i/>
                <w:iCs/>
                <w:color w:val="000000" w:themeColor="text1"/>
                <w:lang w:val="es-ES_tradnl"/>
              </w:rPr>
              <w:t>excepción</w:t>
            </w:r>
            <w:r w:rsidRPr="009803D1">
              <w:rPr>
                <w:rFonts w:ascii="Verdana" w:hAnsi="Verdana" w:cs="Arial"/>
                <w:color w:val="000000" w:themeColor="text1"/>
                <w:lang w:val="es-ES_tradnl"/>
              </w:rPr>
              <w:t xml:space="preserve"> a la restricción de la contratación directa de las entidades estatales prevista en la Ley de Garantías Electorales –Ley 996 de 2005– por lo que una entidad estatal que requiera aportar o contradecir un dictamen pericial, dentro de un proceso judicial, podrá contratar directamente al perito o asesor técnico que requiera, aun en vigencia la prohibición establecida en  el artículo 33 de la Ley 996 de 2005, esto es, durante los cuatro meses anteriores a las elecciones presidenci</w:t>
            </w:r>
            <w:r>
              <w:rPr>
                <w:rFonts w:ascii="Verdana" w:hAnsi="Verdana" w:cs="Arial"/>
                <w:color w:val="000000" w:themeColor="text1"/>
                <w:lang w:val="es-ES_tradnl"/>
              </w:rPr>
              <w:t>ales y hasta la fecha</w:t>
            </w:r>
            <w:r w:rsidRPr="009803D1">
              <w:rPr>
                <w:rFonts w:ascii="Verdana" w:hAnsi="Verdana" w:cs="Arial"/>
                <w:color w:val="000000" w:themeColor="text1"/>
                <w:lang w:val="es-ES_tradnl"/>
              </w:rPr>
              <w:t xml:space="preserve"> al cual el presidente sea elegido. Esta excepción especial se establece claramente en el numeral 1 del artículo 222 de la Ley 1437 de 2011, de acuerdo con la modificación realizada por el artículo 58 de la Ley 2080 de 2021.</w:t>
            </w:r>
            <w:r>
              <w:rPr>
                <w:rFonts w:ascii="Verdana" w:hAnsi="Verdana" w:cs="Arial"/>
                <w:color w:val="000000" w:themeColor="text1"/>
                <w:lang w:val="es-ES_tradnl"/>
              </w:rPr>
              <w:t xml:space="preserve"> </w:t>
            </w:r>
          </w:p>
          <w:p w14:paraId="572023F9" w14:textId="77777777" w:rsidR="00AD47A0" w:rsidRPr="006177F8" w:rsidRDefault="00AD47A0" w:rsidP="00B7019D">
            <w:pPr>
              <w:spacing w:after="120" w:line="276" w:lineRule="auto"/>
              <w:ind w:firstLine="708"/>
              <w:jc w:val="both"/>
              <w:rPr>
                <w:rFonts w:ascii="Verdana" w:eastAsia="Arial" w:hAnsi="Verdana" w:cs="Arial"/>
                <w:lang w:val="es-ES" w:eastAsia="es-ES" w:bidi="es-ES"/>
              </w:rPr>
            </w:pPr>
            <w:r w:rsidRPr="006177F8">
              <w:rPr>
                <w:rFonts w:ascii="Verdana" w:hAnsi="Verdana" w:cs="Arial"/>
                <w:lang w:val="es-ES_tradnl"/>
              </w:rPr>
              <w:t>Con respecto al evento o supuesto de que la contratación se enmarca en una providencia judicial</w:t>
            </w:r>
            <w:r w:rsidRPr="006177F8">
              <w:rPr>
                <w:rFonts w:ascii="Verdana" w:eastAsia="Arial" w:hAnsi="Verdana" w:cs="Arial"/>
                <w:lang w:val="es-ES" w:eastAsia="es-ES" w:bidi="es-ES"/>
              </w:rPr>
              <w:t>, debe tenerse en cuenta que las decisiones judiciales tienen fuerza vinculante y deben cumplirse en virtud del principio de supremacía constitucional y del derecho fundamental de acceso a la administración de justicia. La contratación de un perito ordenada por un juez no obedece a una decisión discrecional de la administración, sino al cumplimiento de un mandato judicial, lo cual la diferencia de la contratación ordinaria y lo pone en un plano de obligatoriedad que no puede desconocerse por las restricciones de la Ley de Garantías.</w:t>
            </w:r>
          </w:p>
          <w:p w14:paraId="0710E246" w14:textId="77777777" w:rsidR="00AD47A0" w:rsidRPr="006177F8" w:rsidRDefault="00AD47A0" w:rsidP="00B7019D">
            <w:pPr>
              <w:spacing w:after="120" w:line="276" w:lineRule="auto"/>
              <w:ind w:firstLine="709"/>
              <w:jc w:val="both"/>
              <w:rPr>
                <w:rFonts w:ascii="Verdana" w:eastAsia="Arial" w:hAnsi="Verdana" w:cs="Arial"/>
                <w:lang w:eastAsia="es-ES" w:bidi="es-ES"/>
              </w:rPr>
            </w:pPr>
            <w:r w:rsidRPr="006177F8">
              <w:rPr>
                <w:rFonts w:ascii="Verdana" w:eastAsia="Arial" w:hAnsi="Verdana" w:cs="Arial"/>
                <w:lang w:val="es-ES" w:eastAsia="es-ES" w:bidi="es-ES"/>
              </w:rPr>
              <w:t xml:space="preserve">En este asunto, es importante resaltar que la Sala de Consulta y Servicio Civil del Consejo de Estado </w:t>
            </w:r>
            <w:r>
              <w:rPr>
                <w:rFonts w:ascii="Verdana" w:eastAsia="Arial" w:hAnsi="Verdana" w:cs="Arial"/>
                <w:lang w:val="es-ES" w:eastAsia="es-ES" w:bidi="es-ES"/>
              </w:rPr>
              <w:t xml:space="preserve">mediante Concepto 1863 del 15 de noviembre de 2007 </w:t>
            </w:r>
            <w:r w:rsidRPr="006177F8">
              <w:rPr>
                <w:rFonts w:ascii="Verdana" w:eastAsia="Arial" w:hAnsi="Verdana" w:cs="Arial"/>
                <w:lang w:val="es-ES" w:eastAsia="es-ES" w:bidi="es-ES"/>
              </w:rPr>
              <w:t xml:space="preserve">se ha pronunciado en el sentido de que no se les aplica las restricciones contempladas en Ley de Garantías Electorales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 </w:t>
            </w:r>
          </w:p>
          <w:p w14:paraId="2DC5509A" w14:textId="77777777" w:rsidR="00AD47A0" w:rsidRPr="00585ABC" w:rsidRDefault="00AD47A0" w:rsidP="00B7019D">
            <w:pPr>
              <w:spacing w:after="120" w:line="276" w:lineRule="auto"/>
              <w:ind w:firstLine="708"/>
              <w:jc w:val="both"/>
              <w:rPr>
                <w:rFonts w:ascii="Verdana" w:hAnsi="Verdana" w:cs="Arial"/>
                <w:lang w:val="es-ES"/>
              </w:rPr>
            </w:pPr>
            <w:r w:rsidRPr="006177F8">
              <w:rPr>
                <w:rFonts w:ascii="Verdana" w:hAnsi="Verdana" w:cs="Arial"/>
                <w:lang w:val="es-ES"/>
              </w:rPr>
              <w:t xml:space="preserve">De este modo, </w:t>
            </w:r>
            <w:r>
              <w:rPr>
                <w:rFonts w:ascii="Verdana" w:hAnsi="Verdana" w:cs="Arial"/>
                <w:lang w:val="es-ES"/>
              </w:rPr>
              <w:t>e</w:t>
            </w:r>
            <w:r w:rsidRPr="006177F8">
              <w:rPr>
                <w:rFonts w:ascii="Verdana" w:hAnsi="Verdana" w:cs="Arial"/>
                <w:lang w:val="es-ES"/>
              </w:rPr>
              <w:t xml:space="preserve">l razonamiento de la Sala de Consulta y Servicio Civil del Consejo de Estado establece que las decisiones judiciales no se encuentran restringidas por las limitaciones de la Ley de Garantías Electorales. En consecuencia, es posible que un juez ordene la suscripción de un contrato de </w:t>
            </w:r>
            <w:r w:rsidRPr="006177F8">
              <w:rPr>
                <w:rFonts w:ascii="Verdana" w:hAnsi="Verdana" w:cs="Arial"/>
                <w:lang w:val="es-ES"/>
              </w:rPr>
              <w:lastRenderedPageBreak/>
              <w:t xml:space="preserve">manera directa, como ocurre con la contratación de un perito dentro de un proceso judicial. </w:t>
            </w:r>
            <w:r>
              <w:rPr>
                <w:rFonts w:ascii="Verdana" w:hAnsi="Verdana" w:cs="Arial"/>
                <w:lang w:val="es-ES"/>
              </w:rPr>
              <w:t>De tal manera, n</w:t>
            </w:r>
            <w:r w:rsidRPr="006177F8">
              <w:rPr>
                <w:rFonts w:ascii="Verdana" w:hAnsi="Verdana" w:cs="Arial"/>
                <w:lang w:val="es-ES"/>
              </w:rPr>
              <w:t>egar esta posibilidad significaría desconocer el principio de colaboración armónica entre poderes y, además, vulnerar el derecho fundamental de acceso a la justicia. Por ello, debe entenderse que el cumplimiento de órdenes judiciales se encuentra por fuera de los fines, límites y condiciones previstos en la Ley de Garantías Electorales, pues su naturaleza responde a la obligación constitucional de garantizar la efectividad de las decisiones judiciales y la protección de los derechos fundamentales.</w:t>
            </w:r>
          </w:p>
        </w:tc>
      </w:tr>
    </w:tbl>
    <w:p w14:paraId="160914B9" w14:textId="77777777" w:rsidR="00AD47A0" w:rsidRPr="00593A5F" w:rsidRDefault="00AD47A0" w:rsidP="00AD47A0">
      <w:pPr>
        <w:tabs>
          <w:tab w:val="left" w:pos="142"/>
          <w:tab w:val="left" w:pos="284"/>
        </w:tabs>
        <w:spacing w:after="0" w:line="276" w:lineRule="auto"/>
        <w:jc w:val="both"/>
        <w:rPr>
          <w:rFonts w:ascii="Verdana" w:eastAsia="Century Gothic" w:hAnsi="Verdana" w:cs="Century Gothic"/>
          <w:b/>
          <w:bCs/>
          <w:lang w:val="es-ES"/>
        </w:rPr>
      </w:pPr>
    </w:p>
    <w:bookmarkEnd w:id="2"/>
    <w:p w14:paraId="756CC18A" w14:textId="77777777" w:rsidR="00AD47A0" w:rsidRPr="00593A5F" w:rsidRDefault="00AD47A0" w:rsidP="00AD47A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6849BE25" w14:textId="77777777" w:rsidR="00AD47A0" w:rsidRPr="00593A5F" w:rsidRDefault="00AD47A0" w:rsidP="00AD47A0">
      <w:pPr>
        <w:spacing w:after="0" w:line="276" w:lineRule="auto"/>
        <w:jc w:val="both"/>
        <w:rPr>
          <w:rFonts w:ascii="Verdana" w:eastAsia="Calibri" w:hAnsi="Verdana" w:cs="Arial"/>
          <w:color w:val="7030A0"/>
          <w:lang w:val="es-ES"/>
        </w:rPr>
      </w:pPr>
    </w:p>
    <w:p w14:paraId="70108ABF" w14:textId="77777777" w:rsidR="00AD47A0" w:rsidRDefault="00AD47A0" w:rsidP="00AD47A0">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45A7C483" w14:textId="77777777" w:rsidR="00AD47A0" w:rsidRDefault="00AD47A0" w:rsidP="00AD47A0">
      <w:pPr>
        <w:spacing w:after="0" w:line="276" w:lineRule="auto"/>
        <w:jc w:val="both"/>
        <w:rPr>
          <w:rFonts w:ascii="Verdana" w:eastAsia="Calibri" w:hAnsi="Verdana" w:cs="Arial"/>
          <w:lang w:val="es-ES"/>
        </w:rPr>
      </w:pPr>
    </w:p>
    <w:p w14:paraId="502AAAA2" w14:textId="77777777" w:rsidR="00AD47A0" w:rsidRPr="002D6B43" w:rsidRDefault="00AD47A0" w:rsidP="00AD47A0">
      <w:pPr>
        <w:tabs>
          <w:tab w:val="left" w:pos="426"/>
        </w:tabs>
        <w:spacing w:after="120" w:line="276" w:lineRule="auto"/>
        <w:jc w:val="both"/>
        <w:rPr>
          <w:rFonts w:ascii="Verdana" w:eastAsia="Times New Roman" w:hAnsi="Verdana" w:cs="Arial"/>
          <w:lang w:eastAsia="es-CO"/>
        </w:rPr>
      </w:pPr>
      <w:r w:rsidRPr="002D6B43">
        <w:rPr>
          <w:rFonts w:ascii="Verdana" w:eastAsia="Calibri" w:hAnsi="Verdana" w:cs="Arial"/>
        </w:rPr>
        <w:t>i. El 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2"/>
      </w:r>
      <w:r w:rsidRPr="002D6B43">
        <w:rPr>
          <w:rFonts w:ascii="Verdana" w:eastAsia="Calibri" w:hAnsi="Verdana" w:cs="Arial"/>
        </w:rPr>
        <w:t xml:space="preserve">. </w:t>
      </w:r>
    </w:p>
    <w:p w14:paraId="0FE0E8EA" w14:textId="77777777" w:rsidR="00AD47A0" w:rsidRPr="006B14B5" w:rsidRDefault="00AD47A0" w:rsidP="00AD47A0">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3"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3"/>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3"/>
      <w:r w:rsidRPr="00E2397D">
        <w:rPr>
          <w:rFonts w:ascii="Verdana" w:eastAsia="Times New Roman" w:hAnsi="Verdana" w:cs="Arial"/>
          <w:lang w:val="es-MX" w:eastAsia="es-CO"/>
        </w:rPr>
        <w:t xml:space="preserve">En armonía </w:t>
      </w:r>
      <w:r w:rsidRPr="00E2397D">
        <w:rPr>
          <w:rFonts w:ascii="Verdana" w:eastAsia="Times New Roman" w:hAnsi="Verdana" w:cs="Arial"/>
          <w:lang w:val="es-MX" w:eastAsia="es-CO"/>
        </w:rPr>
        <w:lastRenderedPageBreak/>
        <w:t>con lo anterior, la Corte Constitucional ha abordado la definición de la Ley de Garantías Electorales. De esta manera, explica que tiene como propósito:</w:t>
      </w:r>
    </w:p>
    <w:p w14:paraId="4254073D" w14:textId="77777777" w:rsidR="00AD47A0" w:rsidRPr="00E2397D" w:rsidRDefault="00AD47A0" w:rsidP="00AD47A0">
      <w:pPr>
        <w:spacing w:after="0" w:line="276" w:lineRule="auto"/>
        <w:ind w:right="709"/>
        <w:contextualSpacing/>
        <w:jc w:val="both"/>
        <w:rPr>
          <w:rFonts w:ascii="Verdana" w:eastAsia="Times New Roman" w:hAnsi="Verdana" w:cs="Arial"/>
          <w:lang w:val="es-ES" w:eastAsia="es-CO"/>
        </w:rPr>
      </w:pPr>
    </w:p>
    <w:p w14:paraId="2CA68BC6" w14:textId="77777777" w:rsidR="00AD47A0" w:rsidRPr="00E2397D" w:rsidRDefault="00AD47A0" w:rsidP="00AD47A0">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0C4CF1E4" w14:textId="77777777" w:rsidR="00AD47A0" w:rsidRDefault="00AD47A0" w:rsidP="00AD47A0">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7EE86BD3" w14:textId="77777777" w:rsidR="00AD47A0" w:rsidRPr="000B35C5" w:rsidRDefault="00AD47A0" w:rsidP="00AD47A0">
      <w:pPr>
        <w:spacing w:after="0" w:line="240" w:lineRule="auto"/>
        <w:ind w:left="709" w:right="709"/>
        <w:contextualSpacing/>
        <w:jc w:val="both"/>
        <w:rPr>
          <w:rFonts w:ascii="Verdana" w:eastAsia="Times New Roman" w:hAnsi="Verdana" w:cs="Arial"/>
          <w:sz w:val="12"/>
          <w:szCs w:val="12"/>
          <w:lang w:val="es-MX" w:eastAsia="es-CO"/>
        </w:rPr>
      </w:pPr>
    </w:p>
    <w:p w14:paraId="357D801A" w14:textId="77777777" w:rsidR="00AD47A0" w:rsidRPr="00E2397D" w:rsidRDefault="00AD47A0" w:rsidP="00AD47A0">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4"/>
      </w:r>
    </w:p>
    <w:p w14:paraId="2AA8486D" w14:textId="77777777" w:rsidR="00AD47A0" w:rsidRPr="00E2397D" w:rsidRDefault="00AD47A0" w:rsidP="00AD47A0">
      <w:pPr>
        <w:spacing w:after="0" w:line="276" w:lineRule="auto"/>
        <w:ind w:firstLine="709"/>
        <w:jc w:val="both"/>
        <w:rPr>
          <w:rFonts w:ascii="Verdana" w:eastAsia="Times New Roman" w:hAnsi="Verdana" w:cs="Arial"/>
          <w:lang w:val="es-MX" w:eastAsia="es-CO"/>
        </w:rPr>
      </w:pPr>
      <w:bookmarkStart w:id="4" w:name="_Hlk78818186"/>
    </w:p>
    <w:p w14:paraId="14EF556B" w14:textId="77777777" w:rsidR="00AD47A0" w:rsidRPr="00E2397D" w:rsidRDefault="00AD47A0" w:rsidP="00AD47A0">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4"/>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3CAC98DA" w14:textId="77777777" w:rsidR="00AD47A0" w:rsidRPr="00886C02" w:rsidRDefault="00AD47A0" w:rsidP="00AD47A0">
      <w:pPr>
        <w:spacing w:after="0" w:line="276" w:lineRule="auto"/>
        <w:ind w:firstLine="709"/>
        <w:jc w:val="both"/>
        <w:rPr>
          <w:rFonts w:ascii="Verdana" w:eastAsia="Times New Roman" w:hAnsi="Verdana" w:cs="Arial"/>
          <w:lang w:val="es-MX" w:eastAsia="es-CO"/>
        </w:rPr>
      </w:pPr>
    </w:p>
    <w:p w14:paraId="4470B8C3" w14:textId="77777777" w:rsidR="00AD47A0" w:rsidRPr="00E2397D" w:rsidRDefault="00AD47A0" w:rsidP="00AD47A0">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36CFB50" w14:textId="77777777" w:rsidR="00AD47A0" w:rsidRPr="000B35C5" w:rsidRDefault="00AD47A0" w:rsidP="00AD47A0">
      <w:pPr>
        <w:spacing w:after="0" w:line="240" w:lineRule="auto"/>
        <w:ind w:right="709"/>
        <w:contextualSpacing/>
        <w:jc w:val="both"/>
        <w:rPr>
          <w:rFonts w:ascii="Verdana" w:eastAsia="Times New Roman" w:hAnsi="Verdana" w:cs="Arial"/>
          <w:sz w:val="12"/>
          <w:szCs w:val="12"/>
          <w:lang w:val="es-MX" w:eastAsia="es-CO"/>
        </w:rPr>
      </w:pPr>
    </w:p>
    <w:p w14:paraId="76F20A2B" w14:textId="77777777" w:rsidR="00AD47A0" w:rsidRPr="00E2397D" w:rsidRDefault="00AD47A0" w:rsidP="00AD47A0">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lastRenderedPageBreak/>
        <w:t>La jurisprudencia de la Corte Constitucional</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w:t>
      </w:r>
    </w:p>
    <w:p w14:paraId="3E7D1938" w14:textId="77777777" w:rsidR="00AD47A0" w:rsidRPr="00E2397D" w:rsidRDefault="00AD47A0" w:rsidP="00AD47A0">
      <w:pPr>
        <w:spacing w:after="0" w:line="276" w:lineRule="auto"/>
        <w:jc w:val="both"/>
        <w:rPr>
          <w:rFonts w:ascii="Verdana" w:eastAsia="Calibri" w:hAnsi="Verdana" w:cs="Arial"/>
          <w:bCs/>
          <w:lang w:val="es-ES_tradnl"/>
        </w:rPr>
      </w:pPr>
    </w:p>
    <w:p w14:paraId="603D4E16" w14:textId="77777777" w:rsidR="00AD47A0" w:rsidRDefault="00AD47A0" w:rsidP="00AD47A0">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5" w:name="_Hlk77236098"/>
      <w:bookmarkStart w:id="6"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2AE98C8B" w14:textId="77777777" w:rsidR="00AD47A0" w:rsidRPr="00E2397D" w:rsidRDefault="00AD47A0" w:rsidP="00AD47A0">
      <w:pPr>
        <w:spacing w:after="0" w:line="276" w:lineRule="auto"/>
        <w:ind w:firstLine="709"/>
        <w:jc w:val="both"/>
        <w:rPr>
          <w:rFonts w:ascii="Verdana" w:eastAsia="Arial" w:hAnsi="Verdana" w:cs="Arial"/>
          <w:lang w:val="es-ES" w:eastAsia="es-ES" w:bidi="es-ES"/>
        </w:rPr>
      </w:pPr>
    </w:p>
    <w:p w14:paraId="5CC16F36" w14:textId="77777777" w:rsidR="00AD47A0" w:rsidRPr="00E2397D" w:rsidRDefault="00AD47A0" w:rsidP="00AD47A0">
      <w:pPr>
        <w:spacing w:after="120" w:line="276" w:lineRule="auto"/>
        <w:jc w:val="both"/>
        <w:rPr>
          <w:rFonts w:ascii="Verdana" w:eastAsia="Arial" w:hAnsi="Verdana" w:cs="Arial"/>
          <w:lang w:val="es-ES" w:eastAsia="es-ES" w:bidi="es-ES"/>
        </w:rPr>
      </w:pPr>
      <w:r w:rsidRPr="00E2397D">
        <w:rPr>
          <w:rFonts w:ascii="Verdana" w:eastAsia="Arial" w:hAnsi="Verdana" w:cs="Arial"/>
          <w:lang w:val="es-ES" w:eastAsia="es-ES" w:bidi="es-ES"/>
        </w:rPr>
        <w:t>ii.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5"/>
    </w:p>
    <w:p w14:paraId="03D445BC" w14:textId="77777777" w:rsidR="00AD47A0" w:rsidRPr="00E2397D" w:rsidRDefault="00AD47A0" w:rsidP="00AD47A0">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w:t>
      </w:r>
      <w:r w:rsidRPr="00E2397D">
        <w:rPr>
          <w:rFonts w:ascii="Verdana" w:eastAsia="Calibri" w:hAnsi="Verdana" w:cs="Arial"/>
        </w:rPr>
        <w:lastRenderedPageBreak/>
        <w:t>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8"/>
      </w:r>
      <w:r w:rsidRPr="00E2397D">
        <w:rPr>
          <w:rFonts w:ascii="Verdana" w:eastAsia="Calibri" w:hAnsi="Verdana" w:cs="Arial"/>
        </w:rPr>
        <w:t>.</w:t>
      </w:r>
    </w:p>
    <w:p w14:paraId="0183EBFB" w14:textId="77777777" w:rsidR="00AD47A0" w:rsidRDefault="00AD47A0" w:rsidP="00AD47A0">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bookmarkEnd w:id="6"/>
      <w:r w:rsidRPr="00E2397D">
        <w:rPr>
          <w:rFonts w:ascii="Verdana" w:eastAsia="Calibri" w:hAnsi="Verdana" w:cs="Arial"/>
          <w:vertAlign w:val="superscript"/>
        </w:rPr>
        <w:footnoteReference w:id="9"/>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3D00B5E1" w14:textId="77777777" w:rsidR="00AD47A0" w:rsidRDefault="00AD47A0" w:rsidP="00AD47A0">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r w:rsidRPr="00116894">
        <w:rPr>
          <w:rFonts w:ascii="Verdana" w:eastAsia="Times New Roman" w:hAnsi="Verdana" w:cs="Arial"/>
          <w:bCs/>
          <w:i/>
          <w:iCs/>
          <w:lang w:eastAsia="es-CO"/>
        </w:rPr>
        <w:t>Proc.</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5F4E4D55" w14:textId="77777777" w:rsidR="00AD47A0" w:rsidRDefault="00AD47A0" w:rsidP="00AD47A0">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xml:space="preserve">. Por un lado, “Los contratos </w:t>
      </w:r>
      <w:r w:rsidRPr="00447D82">
        <w:rPr>
          <w:rFonts w:ascii="Verdana" w:eastAsia="Times New Roman" w:hAnsi="Verdana" w:cs="Arial"/>
          <w:bCs/>
          <w:lang w:val="es-ES" w:eastAsia="es-CO"/>
        </w:rPr>
        <w:lastRenderedPageBreak/>
        <w:t>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59F99DF4" w14:textId="77777777" w:rsidR="00AD47A0" w:rsidRDefault="00AD47A0" w:rsidP="00AD47A0">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582D7EF1" w14:textId="77777777" w:rsidR="00AD47A0" w:rsidRPr="00894384" w:rsidRDefault="00AD47A0" w:rsidP="00AD47A0">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10"/>
      </w:r>
      <w:r w:rsidRPr="00894384">
        <w:rPr>
          <w:rFonts w:ascii="Verdana" w:eastAsia="Times New Roman" w:hAnsi="Verdana" w:cs="Arial"/>
          <w:bCs/>
          <w:lang w:val="es-MX" w:eastAsia="es-CO"/>
        </w:rPr>
        <w:t xml:space="preserve">. </w:t>
      </w:r>
    </w:p>
    <w:p w14:paraId="646BD391" w14:textId="77777777" w:rsidR="00AD47A0" w:rsidRPr="00E2397D" w:rsidRDefault="00AD47A0" w:rsidP="00AD47A0">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17A050B9" w14:textId="77777777" w:rsidR="00AD47A0" w:rsidRPr="00E2397D" w:rsidRDefault="00AD47A0" w:rsidP="00AD47A0">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7C458406" w14:textId="77777777" w:rsidR="00AD47A0" w:rsidRPr="00E2397D" w:rsidRDefault="00AD47A0" w:rsidP="00AD47A0">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9" w:name="_Hlk76109421"/>
      <w:r w:rsidRPr="00E2397D">
        <w:rPr>
          <w:rFonts w:ascii="Verdana" w:eastAsia="Arial" w:hAnsi="Verdana" w:cs="Arial"/>
          <w:sz w:val="20"/>
          <w:szCs w:val="20"/>
          <w:lang w:eastAsia="es-ES" w:bidi="es-ES"/>
        </w:rPr>
        <w:t>se integran parcialmente</w:t>
      </w:r>
      <w:bookmarkEnd w:id="9"/>
      <w:r w:rsidRPr="00E2397D">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w:t>
      </w:r>
      <w:r w:rsidRPr="00E2397D">
        <w:rPr>
          <w:rFonts w:ascii="Verdana" w:eastAsia="Arial" w:hAnsi="Verdana" w:cs="Arial"/>
          <w:sz w:val="20"/>
          <w:szCs w:val="20"/>
          <w:lang w:eastAsia="es-ES" w:bidi="es-ES"/>
        </w:rPr>
        <w:lastRenderedPageBreak/>
        <w:t>del parágrafo del artículo 38. En cambio, para elecciones en general, excluyendo las correspondientes a Presidente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1"/>
      </w:r>
    </w:p>
    <w:p w14:paraId="11E6CA93" w14:textId="77777777" w:rsidR="00AD47A0" w:rsidRPr="00E2397D" w:rsidRDefault="00AD47A0" w:rsidP="00AD47A0">
      <w:pPr>
        <w:widowControl w:val="0"/>
        <w:autoSpaceDE w:val="0"/>
        <w:autoSpaceDN w:val="0"/>
        <w:spacing w:after="0" w:line="276" w:lineRule="auto"/>
        <w:contextualSpacing/>
        <w:rPr>
          <w:rFonts w:ascii="Verdana" w:eastAsia="Arial" w:hAnsi="Verdana" w:cs="Arial"/>
          <w:lang w:val="es-ES" w:eastAsia="es-ES" w:bidi="es-ES"/>
        </w:rPr>
      </w:pPr>
    </w:p>
    <w:p w14:paraId="5DF62E8F" w14:textId="77777777" w:rsidR="00AD47A0" w:rsidRPr="00E2397D" w:rsidRDefault="00AD47A0" w:rsidP="00AD47A0">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w:t>
      </w:r>
      <w:bookmarkStart w:id="10" w:name="_Hlk77236420"/>
      <w:bookmarkStart w:id="11" w:name="_Hlk78818435"/>
      <w:bookmarkStart w:id="12"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10"/>
    </w:p>
    <w:bookmarkEnd w:id="11"/>
    <w:p w14:paraId="486516E4" w14:textId="77777777" w:rsidR="00AD47A0" w:rsidRPr="00E2397D" w:rsidRDefault="00AD47A0" w:rsidP="00AD47A0">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2"/>
    <w:p w14:paraId="692BF4BA" w14:textId="77777777" w:rsidR="00AD47A0" w:rsidRDefault="00AD47A0" w:rsidP="00AD47A0">
      <w:pPr>
        <w:spacing w:after="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w:t>
      </w:r>
      <w:r w:rsidRPr="00E2397D">
        <w:rPr>
          <w:rFonts w:ascii="Verdana" w:eastAsia="Arial" w:hAnsi="Verdana" w:cs="Arial"/>
          <w:lang w:val="es-ES" w:eastAsia="es-ES" w:bidi="es-ES"/>
        </w:rPr>
        <w:lastRenderedPageBreak/>
        <w:t xml:space="preserve">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565883D9" w14:textId="77777777" w:rsidR="00AD47A0" w:rsidRPr="00E2397D" w:rsidRDefault="00AD47A0" w:rsidP="00AD47A0">
      <w:pPr>
        <w:spacing w:after="0" w:line="276" w:lineRule="auto"/>
        <w:ind w:firstLine="708"/>
        <w:jc w:val="both"/>
        <w:rPr>
          <w:rFonts w:ascii="Verdana" w:eastAsia="Arial" w:hAnsi="Verdana" w:cs="Arial"/>
          <w:lang w:val="es-ES" w:eastAsia="es-ES" w:bidi="es-ES"/>
        </w:rPr>
      </w:pPr>
      <w:r w:rsidRPr="00E2397D">
        <w:rPr>
          <w:rFonts w:ascii="Verdana" w:eastAsia="Arial" w:hAnsi="Verdana" w:cs="Arial"/>
          <w:lang w:val="es-ES" w:eastAsia="es-ES" w:bidi="es-ES"/>
        </w:rPr>
        <w:t xml:space="preserve"> </w:t>
      </w:r>
      <w:bookmarkStart w:id="13" w:name="_Hlk78820161"/>
    </w:p>
    <w:p w14:paraId="1CC6F47A" w14:textId="77777777" w:rsidR="00AD47A0" w:rsidRPr="0057193B" w:rsidRDefault="00AD47A0" w:rsidP="00AD47A0">
      <w:pPr>
        <w:spacing w:line="276" w:lineRule="auto"/>
        <w:jc w:val="both"/>
        <w:rPr>
          <w:rFonts w:ascii="Verdana" w:eastAsia="Times New Roman" w:hAnsi="Verdana" w:cs="Arial"/>
          <w:bCs/>
          <w:lang w:val="es-MX" w:eastAsia="es-CO"/>
        </w:rPr>
      </w:pPr>
      <w:r>
        <w:rPr>
          <w:rFonts w:ascii="Verdana" w:eastAsia="Arial" w:hAnsi="Verdana" w:cs="Arial"/>
          <w:lang w:val="es-ES" w:eastAsia="es-ES" w:bidi="es-ES"/>
        </w:rPr>
        <w:t>iii.</w:t>
      </w:r>
      <w:r w:rsidRPr="0057193B">
        <w:rPr>
          <w:rFonts w:ascii="Verdana" w:eastAsia="Arial" w:hAnsi="Verdana" w:cs="Arial"/>
          <w:lang w:val="es-ES" w:eastAsia="es-ES" w:bidi="es-ES"/>
        </w:rPr>
        <w:t xml:space="preserve"> </w:t>
      </w:r>
      <w:bookmarkEnd w:id="13"/>
      <w:r w:rsidRPr="0057193B">
        <w:rPr>
          <w:rFonts w:ascii="Verdana" w:eastAsia="Times New Roman"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57193B">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sidRPr="0057193B">
        <w:rPr>
          <w:rFonts w:ascii="Verdana" w:eastAsia="Times New Roman" w:hAnsi="Verdana" w:cs="Arial"/>
          <w:bCs/>
          <w:lang w:val="es-MX" w:eastAsia="x-none"/>
        </w:rPr>
        <w:t xml:space="preserve">. </w:t>
      </w:r>
      <w:r w:rsidRPr="0057193B">
        <w:rPr>
          <w:rFonts w:ascii="Verdana" w:eastAsia="Times New Roman" w:hAnsi="Verdana" w:cs="Arial"/>
          <w:lang w:val="es-MX" w:eastAsia="es-CO"/>
        </w:rPr>
        <w:t xml:space="preserve"> A propósito de </w:t>
      </w:r>
      <w:r w:rsidRPr="0057193B">
        <w:rPr>
          <w:rFonts w:ascii="Verdana" w:eastAsia="Times New Roman" w:hAnsi="Verdana" w:cs="Arial"/>
          <w:lang w:eastAsia="es-CO"/>
        </w:rPr>
        <w:t>esta restricción de la Ley de Garantías Electorales, la Sala de Consulta y Servicio Civil del Consejo de Estado ha considerado que:</w:t>
      </w:r>
    </w:p>
    <w:p w14:paraId="179D9B3A" w14:textId="77777777" w:rsidR="00AD47A0" w:rsidRPr="00817856" w:rsidRDefault="00AD47A0" w:rsidP="00AD47A0">
      <w:pPr>
        <w:spacing w:after="0" w:line="240" w:lineRule="auto"/>
        <w:ind w:left="708" w:right="709"/>
        <w:jc w:val="both"/>
        <w:rPr>
          <w:rFonts w:ascii="Verdana" w:eastAsia="Calibri" w:hAnsi="Verdana" w:cs="Arial"/>
          <w:sz w:val="20"/>
          <w:szCs w:val="20"/>
          <w:lang w:val="es-MX"/>
        </w:rPr>
      </w:pPr>
    </w:p>
    <w:p w14:paraId="1458CEAC" w14:textId="77777777" w:rsidR="00AD47A0" w:rsidRDefault="00AD47A0" w:rsidP="00AD47A0">
      <w:pPr>
        <w:spacing w:after="0" w:line="240" w:lineRule="auto"/>
        <w:ind w:left="709" w:right="709"/>
        <w:jc w:val="both"/>
        <w:rPr>
          <w:rFonts w:ascii="Verdana" w:eastAsia="Calibri" w:hAnsi="Verdana" w:cs="Arial"/>
          <w:sz w:val="20"/>
          <w:szCs w:val="20"/>
          <w:lang w:val="es-MX"/>
        </w:rPr>
      </w:pPr>
      <w:r w:rsidRPr="00817856">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817856">
        <w:rPr>
          <w:rFonts w:ascii="Verdana" w:eastAsia="Times New Roman" w:hAnsi="Verdana" w:cs="Arial"/>
          <w:sz w:val="20"/>
          <w:szCs w:val="20"/>
          <w:vertAlign w:val="superscript"/>
          <w:lang w:eastAsia="es-CO"/>
        </w:rPr>
        <w:footnoteReference w:id="12"/>
      </w:r>
      <w:r w:rsidRPr="00817856">
        <w:rPr>
          <w:rFonts w:ascii="Verdana" w:eastAsia="Calibri" w:hAnsi="Verdana" w:cs="Arial"/>
          <w:sz w:val="20"/>
          <w:szCs w:val="20"/>
          <w:lang w:val="es-MX"/>
        </w:rPr>
        <w:t>.</w:t>
      </w:r>
    </w:p>
    <w:p w14:paraId="2DFD64B7" w14:textId="77777777" w:rsidR="00AD47A0" w:rsidRPr="00817856" w:rsidRDefault="00AD47A0" w:rsidP="00AD47A0">
      <w:pPr>
        <w:spacing w:after="0" w:line="240" w:lineRule="auto"/>
        <w:ind w:left="709" w:right="709"/>
        <w:jc w:val="both"/>
        <w:rPr>
          <w:rFonts w:ascii="Verdana" w:eastAsia="Calibri" w:hAnsi="Verdana" w:cs="Arial"/>
          <w:sz w:val="20"/>
          <w:szCs w:val="20"/>
          <w:lang w:val="es-MX"/>
        </w:rPr>
      </w:pPr>
    </w:p>
    <w:p w14:paraId="6D0D9E37" w14:textId="77777777" w:rsidR="00AD47A0" w:rsidRPr="00817856" w:rsidRDefault="00AD47A0" w:rsidP="00AD47A0">
      <w:pPr>
        <w:spacing w:after="0" w:line="240" w:lineRule="auto"/>
        <w:ind w:left="708" w:right="709"/>
        <w:jc w:val="both"/>
        <w:rPr>
          <w:rFonts w:ascii="Verdana" w:eastAsia="Calibri" w:hAnsi="Verdana" w:cs="Arial"/>
          <w:sz w:val="20"/>
          <w:szCs w:val="20"/>
          <w:lang w:val="es-MX"/>
        </w:rPr>
      </w:pPr>
      <w:r w:rsidRPr="00817856">
        <w:rPr>
          <w:rFonts w:ascii="Verdana" w:eastAsia="Calibri"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817856">
        <w:rPr>
          <w:rFonts w:ascii="Verdana" w:eastAsia="Times New Roman" w:hAnsi="Verdana" w:cs="Arial"/>
          <w:sz w:val="20"/>
          <w:szCs w:val="20"/>
          <w:vertAlign w:val="superscript"/>
          <w:lang w:val="es-MX"/>
        </w:rPr>
        <w:footnoteReference w:id="13"/>
      </w:r>
      <w:r w:rsidRPr="00817856">
        <w:rPr>
          <w:rFonts w:ascii="Verdana" w:eastAsia="Times New Roman" w:hAnsi="Verdana" w:cs="Arial"/>
          <w:sz w:val="20"/>
          <w:szCs w:val="20"/>
          <w:vertAlign w:val="superscript"/>
          <w:lang w:val="es-MX"/>
        </w:rPr>
        <w:t>.</w:t>
      </w:r>
      <w:r w:rsidRPr="00817856">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817856">
        <w:rPr>
          <w:rFonts w:ascii="Verdana" w:eastAsia="Times New Roman" w:hAnsi="Verdana" w:cs="Arial"/>
          <w:sz w:val="20"/>
          <w:szCs w:val="20"/>
          <w:vertAlign w:val="superscript"/>
          <w:lang w:eastAsia="es-CO"/>
        </w:rPr>
        <w:footnoteReference w:id="14"/>
      </w:r>
      <w:r w:rsidRPr="00817856">
        <w:rPr>
          <w:rFonts w:ascii="Verdana" w:eastAsia="Calibri" w:hAnsi="Verdana" w:cs="Arial"/>
          <w:sz w:val="20"/>
          <w:szCs w:val="20"/>
          <w:lang w:val="es-MX"/>
        </w:rPr>
        <w:t xml:space="preserve"> .</w:t>
      </w:r>
    </w:p>
    <w:p w14:paraId="3E7B86BD" w14:textId="77777777" w:rsidR="00AD47A0" w:rsidRPr="0057193B" w:rsidRDefault="00AD47A0" w:rsidP="00AD47A0">
      <w:pPr>
        <w:shd w:val="clear" w:color="auto" w:fill="FFFFFF"/>
        <w:spacing w:after="0" w:line="276" w:lineRule="auto"/>
        <w:ind w:firstLine="709"/>
        <w:jc w:val="both"/>
        <w:rPr>
          <w:rFonts w:ascii="Verdana" w:eastAsia="Times New Roman" w:hAnsi="Verdana" w:cs="Arial"/>
          <w:lang w:eastAsia="x-none"/>
        </w:rPr>
      </w:pPr>
    </w:p>
    <w:p w14:paraId="23ECC3B9" w14:textId="77777777" w:rsidR="00AD47A0" w:rsidRPr="0057193B" w:rsidRDefault="00AD47A0" w:rsidP="00AD47A0">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lastRenderedPageBreak/>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sidRPr="0057193B">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57193B">
        <w:rPr>
          <w:rFonts w:ascii="Verdana" w:eastAsia="Times New Roman" w:hAnsi="Verdana" w:cs="Arial"/>
          <w:lang w:val="es-ES_tradnl" w:eastAsia="x-none"/>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57193B">
        <w:rPr>
          <w:rFonts w:ascii="Verdana" w:eastAsia="Times New Roman" w:hAnsi="Verdana" w:cs="Arial"/>
          <w:vertAlign w:val="superscript"/>
          <w:lang w:val="en-GB" w:eastAsia="x-none"/>
        </w:rPr>
        <w:footnoteReference w:id="15"/>
      </w:r>
      <w:r w:rsidRPr="0057193B">
        <w:rPr>
          <w:rFonts w:ascii="Verdana" w:eastAsia="Times New Roman" w:hAnsi="Verdana" w:cs="Arial"/>
          <w:lang w:eastAsia="x-none"/>
        </w:rPr>
        <w:t xml:space="preserve"> y sistematizó las causales de contratación directa</w:t>
      </w:r>
      <w:r w:rsidRPr="0057193B">
        <w:rPr>
          <w:rFonts w:ascii="Verdana" w:eastAsia="Times New Roman" w:hAnsi="Verdana" w:cs="Arial"/>
          <w:vertAlign w:val="superscript"/>
          <w:lang w:val="en-GB" w:eastAsia="x-none"/>
        </w:rPr>
        <w:footnoteReference w:id="16"/>
      </w:r>
      <w:r w:rsidRPr="0057193B">
        <w:rPr>
          <w:rFonts w:ascii="Verdana" w:eastAsia="Times New Roman" w:hAnsi="Verdana" w:cs="Arial"/>
          <w:lang w:eastAsia="x-none"/>
        </w:rPr>
        <w:t xml:space="preserve">, </w:t>
      </w:r>
      <w:r w:rsidRPr="0057193B">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4D1D597D" w14:textId="77777777" w:rsidR="00AD47A0" w:rsidRPr="0057193B" w:rsidRDefault="00AD47A0" w:rsidP="00AD47A0">
      <w:pPr>
        <w:spacing w:after="120" w:line="276" w:lineRule="auto"/>
        <w:ind w:firstLine="708"/>
        <w:jc w:val="both"/>
        <w:rPr>
          <w:rFonts w:ascii="Verdana" w:eastAsia="Times New Roman" w:hAnsi="Verdana" w:cs="Arial"/>
          <w:lang w:val="es-MX" w:eastAsia="x-none"/>
        </w:rPr>
      </w:pPr>
      <w:r w:rsidRPr="0057193B">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sidRPr="0057193B">
        <w:rPr>
          <w:rFonts w:ascii="Verdana" w:eastAsia="Times New Roman" w:hAnsi="Verdana" w:cs="Arial"/>
          <w:lang w:eastAsia="x-none"/>
        </w:rPr>
        <w:t>contratación directa</w:t>
      </w:r>
      <w:r>
        <w:rPr>
          <w:rFonts w:ascii="Verdana" w:eastAsia="Times New Roman" w:hAnsi="Verdana" w:cs="Arial"/>
          <w:lang w:eastAsia="en-GB"/>
        </w:rPr>
        <w:t>”</w:t>
      </w:r>
      <w:r w:rsidRPr="0057193B">
        <w:rPr>
          <w:rFonts w:ascii="Verdana" w:eastAsia="Times New Roman" w:hAnsi="Verdana" w:cs="Arial"/>
          <w:lang w:eastAsia="x-none"/>
        </w:rPr>
        <w:t>, precisando el Consejo de Estad</w:t>
      </w:r>
      <w:r>
        <w:rPr>
          <w:rFonts w:ascii="Verdana" w:eastAsia="Times New Roman" w:hAnsi="Verdana" w:cs="Arial"/>
          <w:lang w:eastAsia="x-none"/>
        </w:rPr>
        <w:t>o –en el concepto citado– que, “</w:t>
      </w:r>
      <w:r w:rsidRPr="0057193B">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 han establecido sistemas de contratación que implican convocatoria pública y participación de varios oferentes</w:t>
      </w:r>
      <w:r>
        <w:rPr>
          <w:rFonts w:ascii="Verdana" w:eastAsia="Times New Roman" w:hAnsi="Verdana" w:cs="Arial"/>
          <w:lang w:eastAsia="en-GB"/>
        </w:rPr>
        <w:t>”</w:t>
      </w:r>
      <w:r w:rsidRPr="0057193B">
        <w:rPr>
          <w:rFonts w:ascii="Verdana" w:eastAsia="Times New Roman" w:hAnsi="Verdana" w:cs="Arial"/>
          <w:lang w:eastAsia="x-none"/>
        </w:rPr>
        <w:t xml:space="preserve">. </w:t>
      </w:r>
    </w:p>
    <w:p w14:paraId="79FEDC9C" w14:textId="77777777" w:rsidR="00AD47A0" w:rsidRPr="005154AE" w:rsidRDefault="00AD47A0" w:rsidP="00AD47A0">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E</w:t>
      </w:r>
      <w:r w:rsidRPr="0057193B">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w:t>
      </w:r>
      <w:r>
        <w:rPr>
          <w:rFonts w:ascii="Verdana" w:eastAsia="Times New Roman" w:hAnsi="Verdana" w:cs="Arial"/>
          <w:lang w:eastAsia="x-none"/>
        </w:rPr>
        <w:t>ue dicho sistema no constituye “contratación directa”</w:t>
      </w:r>
      <w:r w:rsidRPr="0057193B">
        <w:rPr>
          <w:rFonts w:ascii="Verdana" w:eastAsia="Times New Roman" w:hAnsi="Verdana" w:cs="Arial"/>
          <w:lang w:eastAsia="x-none"/>
        </w:rPr>
        <w:t>, es que la convocatoria para 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17"/>
      </w:r>
      <w:r w:rsidRPr="0057193B">
        <w:rPr>
          <w:rFonts w:ascii="Verdana" w:eastAsia="Times New Roman" w:hAnsi="Verdana" w:cs="Arial"/>
          <w:lang w:eastAsia="x-none"/>
        </w:rPr>
        <w:t xml:space="preserve">. </w:t>
      </w:r>
    </w:p>
    <w:p w14:paraId="41624276" w14:textId="77777777" w:rsidR="00AD47A0" w:rsidRPr="0057193B" w:rsidRDefault="00AD47A0" w:rsidP="00AD47A0">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lastRenderedPageBreak/>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w:t>
      </w:r>
      <w:r>
        <w:rPr>
          <w:rFonts w:ascii="Verdana" w:eastAsia="Times New Roman" w:hAnsi="Verdana" w:cs="Arial"/>
          <w:bCs/>
          <w:lang w:val="es-MX" w:eastAsia="es-CO"/>
        </w:rPr>
        <w:t xml:space="preserve"> mayor precisión el término de “contratación directa”</w:t>
      </w:r>
      <w:r w:rsidRPr="0057193B">
        <w:rPr>
          <w:rFonts w:ascii="Verdana" w:eastAsia="Times New Roman" w:hAnsi="Verdana" w:cs="Arial"/>
          <w:bCs/>
          <w:lang w:val="es-MX" w:eastAsia="es-CO"/>
        </w:rPr>
        <w:t>.</w:t>
      </w:r>
    </w:p>
    <w:p w14:paraId="719C7105" w14:textId="77777777" w:rsidR="00AD47A0" w:rsidRPr="0057193B" w:rsidRDefault="00AD47A0" w:rsidP="00AD47A0">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18"/>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p>
    <w:p w14:paraId="19A8C9F3" w14:textId="77777777" w:rsidR="00AD47A0" w:rsidRPr="0057193B" w:rsidRDefault="00AD47A0" w:rsidP="00AD47A0">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7B582FF0" w14:textId="77777777" w:rsidR="00AD47A0" w:rsidRPr="0057193B" w:rsidRDefault="00AD47A0" w:rsidP="00AD47A0">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57193B">
        <w:rPr>
          <w:rFonts w:ascii="Verdana" w:eastAsia="Times New Roman" w:hAnsi="Verdana" w:cs="Arial"/>
          <w:bCs/>
          <w:lang w:val="es-MX" w:eastAsia="es-CO"/>
        </w:rPr>
        <w:t xml:space="preserve"> Es responsabilidad del respectivo </w:t>
      </w:r>
      <w:r w:rsidRPr="0057193B">
        <w:rPr>
          <w:rFonts w:ascii="Verdana" w:eastAsia="Times New Roman" w:hAnsi="Verdana" w:cs="Arial"/>
          <w:bCs/>
          <w:lang w:val="es-MX" w:eastAsia="es-CO"/>
        </w:rPr>
        <w:lastRenderedPageBreak/>
        <w:t>ente del Estado, examinar en cada caso la naturaleza de las actividades que adelanta y determinar si las mismas se enmarcan en alguna de las mencionadas excepciones, de manera que se le permita realizar la contratación que necesite en forma directa.</w:t>
      </w:r>
    </w:p>
    <w:p w14:paraId="01340107" w14:textId="77777777" w:rsidR="00AD47A0" w:rsidRPr="0057193B" w:rsidRDefault="00AD47A0" w:rsidP="00AD47A0">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esta labor es importante tener en cuenta, como lo anotó la Corte Constitucional, en Sentencia C-11</w:t>
      </w:r>
      <w:r>
        <w:rPr>
          <w:rFonts w:ascii="Verdana" w:eastAsia="Times New Roman" w:hAnsi="Verdana" w:cs="Arial"/>
          <w:bCs/>
          <w:lang w:val="es-MX" w:eastAsia="x-none"/>
        </w:rPr>
        <w:t>53 de noviembre 11 de 2005 que “</w:t>
      </w:r>
      <w:r w:rsidRPr="0057193B">
        <w:rPr>
          <w:rFonts w:ascii="Verdana" w:eastAsia="Times New Roman" w:hAnsi="Verdana" w:cs="Arial"/>
          <w:bCs/>
          <w:lang w:val="es-MX" w:eastAsia="x-none"/>
        </w:rPr>
        <w:t>si bien la limitación garantiza la igualdad de condiciones, también es necesario que tal limitación que pretende la igualdad no termine yendo en detrimento de intereses públicos, cuya garantía está en cabeza del ejecutivo, como son los inmersos en las excepciones para</w:t>
      </w:r>
      <w:r>
        <w:rPr>
          <w:rFonts w:ascii="Verdana" w:eastAsia="Times New Roman" w:hAnsi="Verdana" w:cs="Arial"/>
          <w:bCs/>
          <w:lang w:val="es-MX" w:eastAsia="x-none"/>
        </w:rPr>
        <w:t xml:space="preserve"> la prohibición de contratación”</w:t>
      </w:r>
      <w:r w:rsidRPr="0057193B">
        <w:rPr>
          <w:rFonts w:ascii="Verdana" w:eastAsia="Calibri" w:hAnsi="Verdana" w:cs="Arial"/>
          <w:vertAlign w:val="superscript"/>
          <w:lang w:val="es-MX"/>
        </w:rPr>
        <w:footnoteReference w:id="19"/>
      </w:r>
      <w:r w:rsidRPr="0057193B">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43182051" w14:textId="77777777" w:rsidR="00AD47A0" w:rsidRPr="0057193B" w:rsidRDefault="00AD47A0" w:rsidP="00AD47A0">
      <w:pPr>
        <w:spacing w:after="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En relación con los destinatarios de la restricción analizada, el artículo 33 de la Ley 996 de 2005 los señala expresamente</w:t>
      </w:r>
      <w:r>
        <w:rPr>
          <w:rFonts w:ascii="Verdana" w:eastAsia="Times New Roman" w:hAnsi="Verdana" w:cs="Arial"/>
          <w:bCs/>
          <w:lang w:val="es-MX" w:eastAsia="x-none"/>
        </w:rPr>
        <w:t>, en el sentido de que son “todos los entes del Estado”</w:t>
      </w:r>
      <w:r w:rsidRPr="0057193B">
        <w:rPr>
          <w:rFonts w:ascii="Verdana" w:eastAsia="Times New Roman" w:hAnsi="Verdana" w:cs="Arial"/>
          <w:bCs/>
          <w:lang w:val="es-MX" w:eastAsia="x-none"/>
        </w:rPr>
        <w:t>, expresión que contempla a los diferentes organismos o entidades autorizadas por la ley para suscribir contratos.</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En efecto, tal como lo ha sostenido el</w:t>
      </w:r>
      <w:r>
        <w:rPr>
          <w:rFonts w:ascii="Verdana" w:eastAsia="Times New Roman" w:hAnsi="Verdana" w:cs="Arial"/>
          <w:bCs/>
          <w:lang w:val="es-MX" w:eastAsia="x-none"/>
        </w:rPr>
        <w:t xml:space="preserve"> Consejo de Estado, el vocablo “todos”</w:t>
      </w:r>
      <w:r w:rsidRPr="0057193B">
        <w:rPr>
          <w:rFonts w:ascii="Verdana" w:eastAsia="Times New Roman" w:hAnsi="Verdana" w:cs="Arial"/>
          <w:bCs/>
          <w:lang w:val="es-MX" w:eastAsia="x-none"/>
        </w:rPr>
        <w:t xml:space="preserve"> utilizado por el legislador comprende</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57193B">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0F9C94CD" w14:textId="77777777" w:rsidR="00AD47A0" w:rsidRPr="0057193B" w:rsidRDefault="00AD47A0" w:rsidP="00AD47A0">
      <w:pPr>
        <w:spacing w:after="0" w:line="276" w:lineRule="auto"/>
        <w:jc w:val="both"/>
        <w:rPr>
          <w:rFonts w:ascii="Verdana" w:eastAsia="Times New Roman" w:hAnsi="Verdana" w:cs="Arial"/>
          <w:bCs/>
          <w:lang w:val="es-MX" w:eastAsia="x-none"/>
        </w:rPr>
      </w:pPr>
    </w:p>
    <w:p w14:paraId="05054575" w14:textId="77777777" w:rsidR="00AD47A0" w:rsidRPr="0057193B" w:rsidRDefault="00AD47A0" w:rsidP="00AD47A0">
      <w:pPr>
        <w:spacing w:after="0" w:line="240" w:lineRule="auto"/>
        <w:ind w:left="708" w:right="709"/>
        <w:jc w:val="both"/>
        <w:rPr>
          <w:rFonts w:ascii="Verdana" w:eastAsia="Times New Roman" w:hAnsi="Verdana" w:cs="Arial"/>
          <w:bCs/>
          <w:sz w:val="21"/>
          <w:szCs w:val="21"/>
          <w:lang w:val="es-MX" w:eastAsia="es-CO"/>
        </w:rPr>
      </w:pPr>
      <w:r w:rsidRPr="0057193B">
        <w:rPr>
          <w:rFonts w:ascii="Verdana" w:eastAsia="Times New Roman" w:hAnsi="Verdana" w:cs="Arial"/>
          <w:bCs/>
          <w:sz w:val="21"/>
          <w:szCs w:val="21"/>
          <w:lang w:val="es-MX" w:eastAsia="x-none"/>
        </w:rPr>
        <w:t xml:space="preserve">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w:t>
      </w:r>
      <w:r w:rsidRPr="0057193B">
        <w:rPr>
          <w:rFonts w:ascii="Verdana" w:eastAsia="Times New Roman" w:hAnsi="Verdana" w:cs="Arial"/>
          <w:bCs/>
          <w:sz w:val="21"/>
          <w:szCs w:val="21"/>
          <w:lang w:val="es-MX" w:eastAsia="x-none"/>
        </w:rPr>
        <w:lastRenderedPageBreak/>
        <w:t>públicos oficiales y empresas industriales y comerciales del Estado) y a los municipios prestadores directos, incluyendo las excepciones contenidas en el segundo inciso de esta norma</w:t>
      </w:r>
      <w:r w:rsidRPr="0057193B">
        <w:rPr>
          <w:rFonts w:ascii="Verdana" w:eastAsia="Times New Roman" w:hAnsi="Verdana" w:cs="Arial"/>
          <w:bCs/>
          <w:sz w:val="21"/>
          <w:szCs w:val="21"/>
          <w:vertAlign w:val="superscript"/>
          <w:lang w:val="es-MX" w:eastAsia="x-none"/>
        </w:rPr>
        <w:footnoteReference w:id="20"/>
      </w:r>
      <w:r w:rsidRPr="0057193B">
        <w:rPr>
          <w:rFonts w:ascii="Verdana" w:eastAsia="Times New Roman" w:hAnsi="Verdana" w:cs="Arial"/>
          <w:bCs/>
          <w:sz w:val="21"/>
          <w:szCs w:val="21"/>
          <w:lang w:val="es-MX" w:eastAsia="x-none"/>
        </w:rPr>
        <w:t>.</w:t>
      </w:r>
      <w:r w:rsidRPr="0057193B">
        <w:rPr>
          <w:rFonts w:ascii="Verdana" w:eastAsia="Times New Roman" w:hAnsi="Verdana" w:cs="Arial"/>
          <w:bCs/>
          <w:sz w:val="21"/>
          <w:szCs w:val="21"/>
          <w:lang w:val="es-MX" w:eastAsia="es-CO"/>
        </w:rPr>
        <w:t xml:space="preserve"> </w:t>
      </w:r>
    </w:p>
    <w:p w14:paraId="364649D5" w14:textId="77777777" w:rsidR="00AD47A0" w:rsidRPr="0057193B" w:rsidRDefault="00AD47A0" w:rsidP="00AD47A0">
      <w:pPr>
        <w:spacing w:after="0" w:line="276" w:lineRule="auto"/>
        <w:ind w:firstLine="708"/>
        <w:jc w:val="both"/>
        <w:rPr>
          <w:rFonts w:ascii="Verdana" w:eastAsia="Times New Roman" w:hAnsi="Verdana" w:cs="Arial"/>
          <w:bCs/>
          <w:lang w:val="es-MX" w:eastAsia="es-CO"/>
        </w:rPr>
      </w:pPr>
    </w:p>
    <w:p w14:paraId="418B504A" w14:textId="77777777" w:rsidR="00AD47A0" w:rsidRPr="0057193B" w:rsidRDefault="00AD47A0" w:rsidP="00AD47A0">
      <w:pPr>
        <w:spacing w:after="0" w:line="276" w:lineRule="auto"/>
        <w:ind w:firstLine="708"/>
        <w:jc w:val="both"/>
        <w:rPr>
          <w:rFonts w:ascii="Verdana" w:eastAsia="Calibri" w:hAnsi="Verdana" w:cs="Arial"/>
          <w:lang w:val="es-MX"/>
        </w:rPr>
      </w:pPr>
      <w:r w:rsidRPr="0057193B">
        <w:rPr>
          <w:rFonts w:ascii="Verdana" w:eastAsia="Times New Roman" w:hAnsi="Verdana" w:cs="Arial"/>
          <w:bCs/>
          <w:lang w:val="es-MX" w:eastAsia="x-none"/>
        </w:rPr>
        <w:t>De igual forma, en Concepto con radicado 1738 del 6 de abril de 2006, esa m</w:t>
      </w:r>
      <w:r>
        <w:rPr>
          <w:rFonts w:ascii="Verdana" w:eastAsia="Times New Roman" w:hAnsi="Verdana" w:cs="Arial"/>
          <w:bCs/>
          <w:lang w:val="es-MX" w:eastAsia="x-none"/>
        </w:rPr>
        <w:t>isma Corporación manifestó que “</w:t>
      </w:r>
      <w:r w:rsidRPr="0057193B">
        <w:rPr>
          <w:rFonts w:ascii="Verdana" w:eastAsia="Times New Roman" w:hAnsi="Verdana" w:cs="Arial"/>
          <w:bCs/>
          <w:lang w:val="es-MX" w:eastAsia="x-none"/>
        </w:rPr>
        <w:t xml:space="preserve">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w:t>
      </w:r>
      <w:r>
        <w:rPr>
          <w:rFonts w:ascii="Verdana" w:eastAsia="Times New Roman" w:hAnsi="Verdana" w:cs="Arial"/>
          <w:bCs/>
          <w:lang w:val="es-MX" w:eastAsia="x-none"/>
        </w:rPr>
        <w:t>ambas partes, por el Legislador”</w:t>
      </w:r>
      <w:r w:rsidRPr="0057193B">
        <w:rPr>
          <w:rFonts w:ascii="Verdana" w:eastAsia="Calibri" w:hAnsi="Verdana" w:cs="Arial"/>
          <w:sz w:val="24"/>
          <w:vertAlign w:val="superscript"/>
          <w:lang w:val="es-MX"/>
        </w:rPr>
        <w:footnoteReference w:id="21"/>
      </w:r>
      <w:r w:rsidRPr="0057193B">
        <w:rPr>
          <w:rFonts w:ascii="Verdana" w:eastAsia="Times New Roman" w:hAnsi="Verdana" w:cs="Arial"/>
          <w:bCs/>
          <w:lang w:val="es-MX" w:eastAsia="x-none"/>
        </w:rPr>
        <w:t>.</w:t>
      </w:r>
      <w:r w:rsidRPr="0057193B">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1893ED8B" w14:textId="77777777" w:rsidR="00AD47A0" w:rsidRPr="0057193B" w:rsidRDefault="00AD47A0" w:rsidP="00AD47A0">
      <w:pPr>
        <w:spacing w:after="0" w:line="276" w:lineRule="auto"/>
        <w:jc w:val="both"/>
        <w:rPr>
          <w:rFonts w:ascii="Verdana" w:eastAsia="Calibri" w:hAnsi="Verdana" w:cs="Arial"/>
          <w:lang w:val="es-MX"/>
        </w:rPr>
      </w:pPr>
    </w:p>
    <w:p w14:paraId="7E0CABFC" w14:textId="77777777" w:rsidR="00AD47A0" w:rsidRPr="001924B7" w:rsidRDefault="00AD47A0" w:rsidP="00AD47A0">
      <w:pPr>
        <w:spacing w:after="0" w:line="240" w:lineRule="auto"/>
        <w:ind w:left="708" w:right="709"/>
        <w:jc w:val="both"/>
        <w:rPr>
          <w:rFonts w:ascii="Verdana" w:eastAsia="Calibri" w:hAnsi="Verdana" w:cs="Arial"/>
          <w:sz w:val="20"/>
          <w:szCs w:val="20"/>
          <w:lang w:val="es-MX"/>
        </w:rPr>
      </w:pPr>
      <w:r w:rsidRPr="001924B7">
        <w:rPr>
          <w:rFonts w:ascii="Verdana" w:eastAsia="Calibri"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472ECF1E" w14:textId="77777777" w:rsidR="00AD47A0" w:rsidRPr="001924B7" w:rsidRDefault="00AD47A0" w:rsidP="00AD47A0">
      <w:pPr>
        <w:spacing w:after="0" w:line="240" w:lineRule="auto"/>
        <w:ind w:left="708" w:right="709"/>
        <w:jc w:val="both"/>
        <w:rPr>
          <w:rFonts w:ascii="Verdana" w:eastAsia="Calibri" w:hAnsi="Verdana" w:cs="Arial"/>
          <w:sz w:val="20"/>
          <w:szCs w:val="20"/>
          <w:lang w:val="es-MX"/>
        </w:rPr>
      </w:pPr>
    </w:p>
    <w:p w14:paraId="69CC9361" w14:textId="77777777" w:rsidR="00AD47A0" w:rsidRPr="001924B7" w:rsidRDefault="00AD47A0" w:rsidP="00AD47A0">
      <w:pPr>
        <w:spacing w:after="0" w:line="240" w:lineRule="auto"/>
        <w:ind w:left="708" w:right="709"/>
        <w:jc w:val="both"/>
        <w:rPr>
          <w:rFonts w:ascii="Verdana" w:eastAsia="Calibri" w:hAnsi="Verdana" w:cs="Arial"/>
          <w:sz w:val="20"/>
          <w:szCs w:val="20"/>
          <w:lang w:val="es-MX"/>
        </w:rPr>
      </w:pPr>
      <w:r w:rsidRPr="001924B7">
        <w:rPr>
          <w:rFonts w:ascii="Verdana" w:eastAsia="Times New Roman" w:hAnsi="Verdana" w:cs="Arial"/>
          <w:bCs/>
          <w:sz w:val="20"/>
          <w:szCs w:val="20"/>
          <w:lang w:val="es-MX" w:eastAsia="x-none"/>
        </w:rPr>
        <w:lastRenderedPageBreak/>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1924B7">
        <w:rPr>
          <w:rFonts w:ascii="Verdana" w:eastAsia="Calibri" w:hAnsi="Verdana" w:cs="Arial"/>
          <w:sz w:val="20"/>
          <w:szCs w:val="20"/>
          <w:vertAlign w:val="superscript"/>
          <w:lang w:val="es-MX"/>
        </w:rPr>
        <w:footnoteReference w:id="22"/>
      </w:r>
      <w:r w:rsidRPr="001924B7">
        <w:rPr>
          <w:rFonts w:ascii="Verdana" w:eastAsia="Times New Roman" w:hAnsi="Verdana" w:cs="Arial"/>
          <w:bCs/>
          <w:sz w:val="20"/>
          <w:szCs w:val="20"/>
          <w:lang w:val="es-MX" w:eastAsia="x-none"/>
        </w:rPr>
        <w:t>.</w:t>
      </w:r>
    </w:p>
    <w:p w14:paraId="683ED623" w14:textId="77777777" w:rsidR="00AD47A0" w:rsidRPr="0057193B" w:rsidRDefault="00AD47A0" w:rsidP="00AD47A0">
      <w:pPr>
        <w:spacing w:after="0" w:line="276" w:lineRule="auto"/>
        <w:jc w:val="both"/>
        <w:rPr>
          <w:rFonts w:ascii="Verdana" w:eastAsia="Calibri" w:hAnsi="Verdana" w:cs="Arial"/>
          <w:lang w:val="es-MX"/>
        </w:rPr>
      </w:pPr>
    </w:p>
    <w:p w14:paraId="4DA9FE1E" w14:textId="77777777" w:rsidR="00AD47A0" w:rsidRPr="0057193B" w:rsidRDefault="00AD47A0" w:rsidP="00AD47A0">
      <w:pPr>
        <w:spacing w:after="120" w:line="276" w:lineRule="auto"/>
        <w:ind w:firstLine="709"/>
        <w:jc w:val="both"/>
        <w:rPr>
          <w:rFonts w:ascii="Verdana" w:eastAsia="Times New Roman" w:hAnsi="Verdana" w:cs="Arial"/>
          <w:lang w:eastAsia="es-CO"/>
        </w:rPr>
      </w:pPr>
      <w:r w:rsidRPr="0057193B">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57193B">
        <w:rPr>
          <w:rFonts w:ascii="Verdana" w:eastAsia="Times New Roman" w:hAnsi="Verdana" w:cs="Arial"/>
          <w:bCs/>
          <w:lang w:val="es-MX" w:eastAsia="x-none"/>
        </w:rPr>
        <w:t>establecimientos de crédito, las sociedades de servicios financieros y las entidades aseguradoras</w:t>
      </w:r>
      <w:r w:rsidRPr="0057193B">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w:t>
      </w:r>
      <w:r>
        <w:rPr>
          <w:rFonts w:ascii="Verdana" w:eastAsia="Calibri" w:hAnsi="Verdana" w:cs="Arial"/>
          <w:lang w:val="es-MX"/>
        </w:rPr>
        <w:t>“</w:t>
      </w:r>
      <w:r w:rsidRPr="0057193B">
        <w:rPr>
          <w:rFonts w:ascii="Verdana" w:eastAsia="Calibri" w:hAnsi="Verdana" w:cs="Arial"/>
          <w:lang w:val="es-MX"/>
        </w:rPr>
        <w:t>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lang w:val="es-MX"/>
        </w:rPr>
        <w:t>”</w:t>
      </w:r>
      <w:r w:rsidRPr="0057193B">
        <w:rPr>
          <w:rFonts w:ascii="Verdana" w:eastAsia="Calibri" w:hAnsi="Verdana" w:cs="Arial"/>
          <w:vertAlign w:val="superscript"/>
          <w:lang w:val="es-MX"/>
        </w:rPr>
        <w:footnoteReference w:id="23"/>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0D8692FA" w14:textId="77777777" w:rsidR="00AD47A0" w:rsidRDefault="00AD47A0" w:rsidP="00AD47A0">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lang w:eastAsia="es-CO"/>
        </w:rPr>
        <w:t>Sin perjuicio de estos pronunciamientos de la Sala de Consulta y Servicio Civil</w:t>
      </w:r>
      <w:r w:rsidRPr="0057193B">
        <w:rPr>
          <w:rFonts w:ascii="Verdana" w:eastAsia="Calibri" w:hAnsi="Verdana" w:cs="Arial"/>
          <w:lang w:val="es-MX"/>
        </w:rPr>
        <w:t xml:space="preserve">, como la ha señalado esa misma Corporación, la restricción prevista en la Ley 996 de 2005 </w:t>
      </w:r>
      <w:r w:rsidRPr="0057193B">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w:t>
      </w:r>
      <w:r>
        <w:rPr>
          <w:rFonts w:ascii="Verdana" w:eastAsia="Times New Roman" w:hAnsi="Verdana" w:cs="Arial"/>
          <w:bCs/>
          <w:lang w:val="es-MX" w:eastAsia="x-none"/>
        </w:rPr>
        <w:t xml:space="preserve"> o por la ejecución de un cierto tipo de recursos en sus contrataciones</w:t>
      </w:r>
      <w:r w:rsidRPr="0057193B">
        <w:rPr>
          <w:rFonts w:ascii="Verdana" w:eastAsia="Times New Roman" w:hAnsi="Verdana" w:cs="Arial"/>
          <w:bCs/>
          <w:lang w:val="es-MX" w:eastAsia="x-none"/>
        </w:rPr>
        <w:t>, pues, la posibilidad de que lo</w:t>
      </w:r>
      <w:r>
        <w:rPr>
          <w:rFonts w:ascii="Verdana" w:eastAsia="Times New Roman" w:hAnsi="Verdana" w:cs="Arial"/>
          <w:bCs/>
          <w:lang w:val="es-MX" w:eastAsia="x-none"/>
        </w:rPr>
        <w:t>s entes del Estado usen</w:t>
      </w:r>
      <w:r w:rsidRPr="0057193B">
        <w:rPr>
          <w:rFonts w:ascii="Verdana" w:eastAsia="Times New Roman" w:hAnsi="Verdana" w:cs="Arial"/>
          <w:bCs/>
          <w:lang w:val="es-MX" w:eastAsia="x-none"/>
        </w:rPr>
        <w:t xml:space="preserve"> la contratación con fines políticos, esto es, con la intención de influir a los electores y alterar la voluntad popular en las contiendas electorales, puede presentarse </w:t>
      </w:r>
      <w:r w:rsidRPr="0057193B">
        <w:rPr>
          <w:rFonts w:ascii="Verdana" w:eastAsia="Times New Roman" w:hAnsi="Verdana" w:cs="Arial"/>
          <w:bCs/>
          <w:lang w:val="es-MX" w:eastAsia="x-none"/>
        </w:rPr>
        <w:lastRenderedPageBreak/>
        <w:t>tanto en la contratación regulada por la Ley 80 de 1993 como en la regida por normas especiales.</w:t>
      </w:r>
    </w:p>
    <w:p w14:paraId="7EC13EA2" w14:textId="77777777" w:rsidR="00AD47A0" w:rsidRPr="00186DE9" w:rsidRDefault="00AD47A0" w:rsidP="00AD47A0">
      <w:pPr>
        <w:spacing w:after="120" w:line="276" w:lineRule="auto"/>
        <w:ind w:firstLine="709"/>
        <w:jc w:val="both"/>
        <w:rPr>
          <w:rFonts w:ascii="Verdana" w:eastAsia="Times New Roman" w:hAnsi="Verdana" w:cs="Arial"/>
          <w:bCs/>
          <w:lang w:val="es-MX" w:eastAsia="x-none" w:bidi="es-ES"/>
        </w:rPr>
      </w:pPr>
      <w:r w:rsidRPr="00186DE9">
        <w:rPr>
          <w:rFonts w:ascii="Verdana" w:eastAsia="Times New Roman" w:hAnsi="Verdana" w:cs="Arial"/>
          <w:bCs/>
          <w:lang w:val="es-MX" w:eastAsia="x-none"/>
        </w:rPr>
        <w:t xml:space="preserve">En este sentido, todos los entes del Estado, independiente del régimen jurídico aplicable, están sujetos a la restricción del artículo 33 de la Ley 996 de 2005, es decir, no podrán adelantar sistema que implique contratación directa respecto de </w:t>
      </w:r>
      <w:r w:rsidRPr="00186DE9">
        <w:rPr>
          <w:rFonts w:ascii="Verdana" w:eastAsia="Times New Roman" w:hAnsi="Verdana" w:cs="Arial"/>
          <w:bCs/>
          <w:lang w:val="es-MX" w:eastAsia="x-none" w:bidi="es-ES"/>
        </w:rPr>
        <w:t xml:space="preserve">las elecciones presidenciales, dentro de los cuatro (4) meses anteriores a la celebración de los comicios, salvo las excepciones dispuestas en esta. </w:t>
      </w:r>
      <w:r w:rsidRPr="00186DE9">
        <w:rPr>
          <w:rFonts w:ascii="Verdana" w:eastAsia="Times New Roman" w:hAnsi="Verdana" w:cs="Arial"/>
          <w:bCs/>
          <w:lang w:val="es-MX" w:eastAsia="x-none"/>
        </w:rPr>
        <w:t>En efecto, los entes del Estado independiente de su régimen especial no podrán celebrar contratos de forma directa desde el 31 de enero de 2026, teniendo en cuenta que la Resolución 02580 del 5 de marzo de 2025 de la Registraduría Nacional del Estado Civil dispuso que las elecciones presidenciales se celebrarán el 31 de mayo de 2026.</w:t>
      </w:r>
    </w:p>
    <w:p w14:paraId="568CC76F" w14:textId="77777777" w:rsidR="00AD47A0" w:rsidRPr="00A63F17" w:rsidRDefault="00AD47A0" w:rsidP="00AD47A0">
      <w:pPr>
        <w:spacing w:after="120" w:line="276" w:lineRule="auto"/>
        <w:ind w:firstLine="709"/>
        <w:jc w:val="both"/>
        <w:rPr>
          <w:rFonts w:ascii="Verdana" w:eastAsia="Times New Roman" w:hAnsi="Verdana" w:cs="Arial"/>
          <w:bCs/>
          <w:lang w:val="es-MX" w:eastAsia="x-none"/>
        </w:rPr>
      </w:pPr>
      <w:r w:rsidRPr="00355EA0">
        <w:rPr>
          <w:rFonts w:ascii="Verdana" w:eastAsia="Times New Roman" w:hAnsi="Verdana" w:cs="Arial"/>
          <w:bCs/>
          <w:lang w:val="es-MX" w:eastAsia="x-none" w:bidi="es-ES"/>
        </w:rPr>
        <w:t>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w:t>
      </w:r>
      <w:r>
        <w:rPr>
          <w:rFonts w:ascii="Verdana" w:eastAsia="Times New Roman" w:hAnsi="Verdana" w:cs="Arial"/>
          <w:bCs/>
          <w:lang w:val="es-MX" w:eastAsia="x-none" w:bidi="es-ES"/>
        </w:rPr>
        <w:t>, que, de acuerdo con lo expuesto, se celebraría el 21 de junio de 2026.</w:t>
      </w:r>
    </w:p>
    <w:p w14:paraId="71CBCD74" w14:textId="77777777" w:rsidR="00AD47A0" w:rsidRPr="003B7D6C" w:rsidRDefault="00AD47A0" w:rsidP="00AD47A0">
      <w:pPr>
        <w:spacing w:after="120" w:line="276" w:lineRule="auto"/>
        <w:ind w:firstLine="709"/>
        <w:jc w:val="both"/>
        <w:rPr>
          <w:rFonts w:ascii="Verdana" w:eastAsia="Times New Roman" w:hAnsi="Verdana" w:cs="Arial"/>
          <w:bCs/>
          <w:lang w:eastAsia="x-none"/>
        </w:rPr>
      </w:pPr>
      <w:r>
        <w:rPr>
          <w:rFonts w:ascii="Verdana" w:eastAsia="Times New Roman" w:hAnsi="Verdana" w:cs="Arial"/>
          <w:bCs/>
          <w:lang w:val="es-MX" w:eastAsia="x-none"/>
        </w:rPr>
        <w:t xml:space="preserve">Esto, sin perjuicio de </w:t>
      </w:r>
      <w:r w:rsidRPr="0057193B">
        <w:rPr>
          <w:rFonts w:ascii="Verdana" w:eastAsia="Times New Roman" w:hAnsi="Verdana" w:cs="Arial"/>
          <w:bCs/>
          <w:lang w:val="es-MX" w:eastAsia="x-none"/>
        </w:rPr>
        <w:t>las excepciones a la prohibición establecidas en el inciso</w:t>
      </w:r>
      <w:r>
        <w:rPr>
          <w:rFonts w:ascii="Verdana" w:eastAsia="Times New Roman" w:hAnsi="Verdana" w:cs="Arial"/>
          <w:bCs/>
          <w:lang w:val="es-MX" w:eastAsia="x-none"/>
        </w:rPr>
        <w:t xml:space="preserve"> segundo del mismo artículo 33, como son: </w:t>
      </w:r>
      <w:r w:rsidRPr="00333EDB">
        <w:rPr>
          <w:rFonts w:ascii="Verdana" w:eastAsia="Times New Roman" w:hAnsi="Verdana" w:cs="Arial"/>
          <w:bCs/>
          <w:lang w:val="es-MX" w:eastAsia="x-none"/>
        </w:rPr>
        <w:t>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3295DD11" w14:textId="77777777" w:rsidR="00AD47A0" w:rsidRPr="004C2E9A" w:rsidRDefault="00AD47A0" w:rsidP="00AD47A0">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Finalmente, se reitera, c</w:t>
      </w:r>
      <w:r w:rsidRPr="0057193B">
        <w:rPr>
          <w:rFonts w:ascii="Verdana" w:eastAsia="Times New Roman" w:hAnsi="Verdana" w:cs="Arial"/>
          <w:bCs/>
          <w:lang w:val="es-MX" w:eastAsia="es-CO"/>
        </w:rPr>
        <w:t xml:space="preserve">omo en otras oportunidades lo ha manifestado esta Agencia, que las prórrogas, modificaciones o adiciones de los contratos suscritos antes de la entrada en vigor de las prohibiciones anotadas, así como la cesión de los mismos, pueden tener lugar en el período de aplicación de la Ley </w:t>
      </w:r>
      <w:r w:rsidRPr="0057193B">
        <w:rPr>
          <w:rFonts w:ascii="Verdana" w:eastAsia="Times New Roman" w:hAnsi="Verdana" w:cs="Arial"/>
          <w:bCs/>
          <w:lang w:val="es-MX" w:eastAsia="es-CO"/>
        </w:rPr>
        <w:lastRenderedPageBreak/>
        <w:t>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24"/>
      </w:r>
      <w:r w:rsidRPr="0057193B">
        <w:rPr>
          <w:rFonts w:ascii="Verdana" w:eastAsia="Times New Roman" w:hAnsi="Verdana" w:cs="Arial"/>
          <w:bCs/>
          <w:lang w:val="es-MX" w:eastAsia="es-CO"/>
        </w:rPr>
        <w:t>. Además, también es posible que contratos celebrados previamente se continúen ejecutando con normalidad.</w:t>
      </w:r>
    </w:p>
    <w:p w14:paraId="3A4EADD1" w14:textId="77777777" w:rsidR="00AD47A0" w:rsidRDefault="00AD47A0" w:rsidP="00AD47A0">
      <w:pPr>
        <w:spacing w:after="120" w:line="276" w:lineRule="auto"/>
        <w:jc w:val="both"/>
        <w:rPr>
          <w:rFonts w:ascii="Verdana" w:eastAsia="Arial" w:hAnsi="Verdana" w:cs="Arial"/>
          <w:lang w:val="es-ES" w:eastAsia="es-ES" w:bidi="es-ES"/>
        </w:rPr>
      </w:pPr>
    </w:p>
    <w:p w14:paraId="776F0031" w14:textId="77777777" w:rsidR="00AD47A0" w:rsidRDefault="00AD47A0" w:rsidP="00AD47A0">
      <w:pPr>
        <w:spacing w:after="120" w:line="276" w:lineRule="auto"/>
        <w:jc w:val="both"/>
        <w:rPr>
          <w:rFonts w:ascii="Verdana" w:eastAsia="Arial" w:hAnsi="Verdana" w:cs="Arial"/>
          <w:lang w:val="es-ES" w:eastAsia="es-ES" w:bidi="es-ES"/>
        </w:rPr>
      </w:pPr>
      <w:r w:rsidRPr="004B2A86">
        <w:rPr>
          <w:rFonts w:ascii="Verdana" w:eastAsia="Arial" w:hAnsi="Verdana" w:cs="Arial"/>
          <w:lang w:val="es-ES" w:eastAsia="es-ES" w:bidi="es-ES"/>
        </w:rPr>
        <w:t xml:space="preserve">iv. </w:t>
      </w:r>
      <w:r>
        <w:rPr>
          <w:rFonts w:ascii="Verdana" w:eastAsia="Arial" w:hAnsi="Verdana" w:cs="Arial"/>
          <w:lang w:val="es-ES" w:eastAsia="es-ES" w:bidi="es-ES"/>
        </w:rPr>
        <w:t>Como se expresó en consideraciones previas, l</w:t>
      </w:r>
      <w:r w:rsidRPr="00727161">
        <w:rPr>
          <w:rFonts w:ascii="Verdana" w:eastAsia="Arial" w:hAnsi="Verdana" w:cs="Arial"/>
          <w:lang w:val="es-ES" w:eastAsia="es-ES" w:bidi="es-ES"/>
        </w:rPr>
        <w:t>a Ley de Garantías Electorales, en su artículo 33, establece que la prohibición de contratar durante el período preelectoral aplica únicamente a la contratación directa, entendida como cualquier procedimiento sin convocatoria pública ni participación plural de oferentes. En consecuencia, salvo las excepciones previstas en la misma norma, las entidades estatales no pueden celebrar contratos de forma directa en ese lapso; sin embargo, sí pueden continuar con las demás modalidades de selección contempladas en la Ley 1150 de 2007, como la licitación pública, el concurso de méritos, la selección abreviada y la mínima cuantía, dado que estas garantizan procesos abiertos y competitivos.</w:t>
      </w:r>
    </w:p>
    <w:p w14:paraId="78674CC3" w14:textId="77777777" w:rsidR="00AD47A0" w:rsidRPr="00753727" w:rsidRDefault="00AD47A0" w:rsidP="00AD47A0">
      <w:pPr>
        <w:spacing w:after="120" w:line="276" w:lineRule="auto"/>
        <w:jc w:val="both"/>
        <w:rPr>
          <w:rFonts w:ascii="Verdana" w:eastAsia="Arial" w:hAnsi="Verdana" w:cs="Arial"/>
          <w:lang w:val="es-ES" w:eastAsia="es-ES" w:bidi="es-ES"/>
        </w:rPr>
      </w:pPr>
      <w:r>
        <w:rPr>
          <w:rFonts w:ascii="Verdana" w:eastAsia="Arial" w:hAnsi="Verdana" w:cs="Arial"/>
          <w:lang w:val="es-ES" w:eastAsia="es-ES" w:bidi="es-ES"/>
        </w:rPr>
        <w:tab/>
        <w:t xml:space="preserve">Teniendo en cuenta lo expuesto, es pertinente señalar que se encuentra la causal de contratación directa contenida en el </w:t>
      </w:r>
      <w:r w:rsidRPr="009803D1">
        <w:rPr>
          <w:rFonts w:ascii="Verdana" w:hAnsi="Verdana" w:cs="Arial"/>
          <w:color w:val="000000" w:themeColor="text1"/>
          <w:lang w:val="es-ES_tradnl"/>
        </w:rPr>
        <w:t xml:space="preserve">artículo 82 de la </w:t>
      </w:r>
      <w:r>
        <w:rPr>
          <w:rFonts w:ascii="Verdana" w:hAnsi="Verdana" w:cs="Arial"/>
          <w:color w:val="000000" w:themeColor="text1"/>
          <w:lang w:val="es-ES_tradnl"/>
        </w:rPr>
        <w:t>Ley 2080 de 2021 que se adicionó con respecto a</w:t>
      </w:r>
      <w:r w:rsidRPr="009803D1">
        <w:rPr>
          <w:rFonts w:ascii="Verdana" w:hAnsi="Verdana" w:cs="Arial"/>
          <w:color w:val="000000" w:themeColor="text1"/>
          <w:lang w:val="es-ES_tradnl"/>
        </w:rPr>
        <w:t xml:space="preserve"> las previstas en numeral 4°, del artículo 2 de la Ley 1150 de 2007. En tal sentido, el artículo 82 de la Ley 2080 de 2021 estableció:</w:t>
      </w:r>
    </w:p>
    <w:p w14:paraId="2DF8C383" w14:textId="77777777" w:rsidR="00AD47A0" w:rsidRPr="00CD734E" w:rsidRDefault="00AD47A0" w:rsidP="00AD47A0">
      <w:pPr>
        <w:spacing w:after="0" w:line="240" w:lineRule="auto"/>
        <w:ind w:firstLine="708"/>
        <w:jc w:val="both"/>
        <w:rPr>
          <w:rFonts w:ascii="Verdana" w:hAnsi="Verdana" w:cs="Arial"/>
          <w:color w:val="000000" w:themeColor="text1"/>
          <w:sz w:val="20"/>
          <w:lang w:val="es-ES_tradnl"/>
        </w:rPr>
      </w:pPr>
    </w:p>
    <w:p w14:paraId="3B713701" w14:textId="77777777" w:rsidR="00AD47A0" w:rsidRPr="00CD734E" w:rsidRDefault="00AD47A0" w:rsidP="00AD47A0">
      <w:pPr>
        <w:spacing w:after="0" w:line="240" w:lineRule="auto"/>
        <w:ind w:left="709" w:right="709"/>
        <w:jc w:val="both"/>
        <w:rPr>
          <w:rFonts w:ascii="Verdana" w:eastAsia="Calibri" w:hAnsi="Verdana" w:cs="Arial"/>
          <w:color w:val="000000" w:themeColor="text1"/>
          <w:sz w:val="20"/>
          <w:lang w:val="es-ES_tradnl"/>
        </w:rPr>
      </w:pPr>
      <w:r w:rsidRPr="00CD734E">
        <w:rPr>
          <w:rFonts w:ascii="Verdana" w:eastAsia="Calibri" w:hAnsi="Verdana" w:cs="Arial"/>
          <w:color w:val="000000" w:themeColor="text1"/>
          <w:sz w:val="20"/>
          <w:lang w:val="es-ES_tradnl"/>
        </w:rPr>
        <w:t>Artículo 82. Adiciónese un literal k) al numeral cuarto del artículo 2o de la Ley 1150 de 2007, así:</w:t>
      </w:r>
    </w:p>
    <w:p w14:paraId="015806F8" w14:textId="77777777" w:rsidR="00AD47A0" w:rsidRPr="00CD734E" w:rsidRDefault="00AD47A0" w:rsidP="00AD47A0">
      <w:pPr>
        <w:spacing w:after="0" w:line="240" w:lineRule="auto"/>
        <w:ind w:left="709" w:right="709"/>
        <w:jc w:val="both"/>
        <w:rPr>
          <w:rFonts w:ascii="Verdana" w:eastAsia="Calibri" w:hAnsi="Verdana" w:cs="Arial"/>
          <w:color w:val="000000" w:themeColor="text1"/>
          <w:sz w:val="20"/>
          <w:lang w:val="es-ES_tradnl"/>
        </w:rPr>
      </w:pPr>
    </w:p>
    <w:p w14:paraId="29101743" w14:textId="77777777" w:rsidR="00AD47A0" w:rsidRPr="00CD734E" w:rsidRDefault="00AD47A0" w:rsidP="00AD47A0">
      <w:pPr>
        <w:spacing w:after="0" w:line="240" w:lineRule="auto"/>
        <w:ind w:left="709" w:right="709"/>
        <w:jc w:val="both"/>
        <w:rPr>
          <w:rFonts w:ascii="Verdana" w:eastAsia="Calibri" w:hAnsi="Verdana" w:cs="Arial"/>
          <w:color w:val="000000" w:themeColor="text1"/>
          <w:sz w:val="20"/>
          <w:szCs w:val="20"/>
          <w:lang w:val="es-ES"/>
        </w:rPr>
      </w:pPr>
      <w:r w:rsidRPr="003920F0">
        <w:rPr>
          <w:rFonts w:ascii="Verdana" w:eastAsia="Calibri" w:hAnsi="Verdana" w:cs="Arial"/>
          <w:color w:val="000000" w:themeColor="text1"/>
          <w:sz w:val="20"/>
          <w:szCs w:val="20"/>
          <w:lang w:val="es-ES"/>
        </w:rPr>
        <w:t>4. Contratación directa. La modalidad de selección de contratación directa, solamente procederá en los siguientes casos:</w:t>
      </w:r>
    </w:p>
    <w:p w14:paraId="69591D89" w14:textId="77777777" w:rsidR="00AD47A0" w:rsidRPr="00CD734E" w:rsidRDefault="00AD47A0" w:rsidP="00AD47A0">
      <w:pPr>
        <w:spacing w:after="0" w:line="240" w:lineRule="auto"/>
        <w:ind w:left="709" w:right="709"/>
        <w:jc w:val="both"/>
        <w:rPr>
          <w:rFonts w:ascii="Verdana" w:eastAsia="Calibri" w:hAnsi="Verdana" w:cs="Arial"/>
          <w:color w:val="000000" w:themeColor="text1"/>
          <w:sz w:val="20"/>
          <w:lang w:val="es-ES_tradnl"/>
        </w:rPr>
      </w:pPr>
    </w:p>
    <w:p w14:paraId="1ACEFEF4" w14:textId="77777777" w:rsidR="00AD47A0" w:rsidRPr="00CD734E" w:rsidRDefault="00AD47A0" w:rsidP="00AD47A0">
      <w:pPr>
        <w:spacing w:after="0" w:line="240" w:lineRule="auto"/>
        <w:ind w:left="709" w:right="709"/>
        <w:jc w:val="both"/>
        <w:rPr>
          <w:rFonts w:ascii="Verdana" w:eastAsia="Calibri" w:hAnsi="Verdana" w:cs="Arial"/>
          <w:color w:val="000000" w:themeColor="text1"/>
          <w:sz w:val="20"/>
          <w:lang w:val="es-ES_tradnl"/>
        </w:rPr>
      </w:pPr>
      <w:r w:rsidRPr="00CD734E">
        <w:rPr>
          <w:rFonts w:ascii="Verdana" w:eastAsia="Calibri" w:hAnsi="Verdana" w:cs="Arial"/>
          <w:color w:val="000000" w:themeColor="text1"/>
          <w:sz w:val="20"/>
          <w:lang w:val="es-ES_tradnl"/>
        </w:rPr>
        <w:t>k) La selección de peritos expertos o asesores técnicos para presentar o contradecir el dictamen pericial en procesos judiciales.</w:t>
      </w:r>
    </w:p>
    <w:p w14:paraId="1217A146" w14:textId="77777777" w:rsidR="00AD47A0" w:rsidRPr="009803D1" w:rsidRDefault="00AD47A0" w:rsidP="00AD47A0">
      <w:pPr>
        <w:spacing w:after="0" w:line="276" w:lineRule="auto"/>
        <w:ind w:firstLine="708"/>
        <w:jc w:val="both"/>
        <w:rPr>
          <w:rFonts w:ascii="Verdana" w:hAnsi="Verdana" w:cs="Arial"/>
          <w:color w:val="000000" w:themeColor="text1"/>
          <w:lang w:val="es-ES_tradnl"/>
        </w:rPr>
      </w:pPr>
    </w:p>
    <w:p w14:paraId="2F92AA9C" w14:textId="77777777" w:rsidR="00AD47A0" w:rsidRPr="009803D1" w:rsidRDefault="00AD47A0" w:rsidP="00AD47A0">
      <w:pPr>
        <w:spacing w:after="120" w:line="276" w:lineRule="auto"/>
        <w:ind w:firstLine="709"/>
        <w:jc w:val="both"/>
        <w:rPr>
          <w:rFonts w:ascii="Verdana" w:hAnsi="Verdana" w:cs="Arial"/>
          <w:color w:val="000000" w:themeColor="text1"/>
          <w:lang w:val="es-ES"/>
        </w:rPr>
      </w:pPr>
      <w:r w:rsidRPr="003920F0">
        <w:rPr>
          <w:rFonts w:ascii="Verdana" w:hAnsi="Verdana" w:cs="Arial"/>
          <w:color w:val="000000" w:themeColor="text1"/>
          <w:lang w:val="es-ES"/>
        </w:rPr>
        <w:t xml:space="preserve">Como puede apreciarse, el artículo 82 de la Ley 2080 de 2021 insertó un literal al numeral 4° del artículo 2 de Ley 1150 de 2007 que enlista las causales que permiten a las entidades estatales seleccionar objetivamente al futuro contratista mediante el procedimiento excepcional de la contratación directa, lo que a su vez, autoriza la contratación estatal, para los eventos contemplados en </w:t>
      </w:r>
      <w:r w:rsidRPr="003920F0">
        <w:rPr>
          <w:rFonts w:ascii="Verdana" w:hAnsi="Verdana" w:cs="Arial"/>
          <w:color w:val="000000" w:themeColor="text1"/>
          <w:lang w:val="es-ES"/>
        </w:rPr>
        <w:lastRenderedPageBreak/>
        <w:t xml:space="preserve">dichas causales, sin que medie convocatoria pública ni la obtención previa de varias ofertas. Ahora bien, la causal adicionada circunscribe el objeto del contrato para el cual fue autorizada, toda vez que señala que dicha causal podrá utilizarse cuando las entidades estatales tengan la necesidad de acudir a peritos expertos o asesores técnicos con la finalidad de presentar o contradecir un peritaje, que es una prueba técnica destinada a acreditar o comprobar hechos alegados por las partes o terceros en un proceso judicial. </w:t>
      </w:r>
    </w:p>
    <w:p w14:paraId="28A7F4A5" w14:textId="77777777" w:rsidR="00AD47A0" w:rsidRPr="009803D1" w:rsidRDefault="00AD47A0" w:rsidP="00AD47A0">
      <w:pPr>
        <w:spacing w:after="120" w:line="276" w:lineRule="auto"/>
        <w:ind w:firstLine="709"/>
        <w:jc w:val="both"/>
        <w:rPr>
          <w:rFonts w:ascii="Verdana" w:hAnsi="Verdana" w:cs="Arial"/>
          <w:color w:val="000000" w:themeColor="text1"/>
          <w:lang w:val="es-ES_tradnl"/>
        </w:rPr>
      </w:pPr>
      <w:r w:rsidRPr="009803D1">
        <w:rPr>
          <w:rFonts w:ascii="Verdana" w:hAnsi="Verdana" w:cs="Arial"/>
          <w:color w:val="000000" w:themeColor="text1"/>
          <w:lang w:val="es-ES_tradnl"/>
        </w:rPr>
        <w:t xml:space="preserve">Es así como la causal de contratación directa creada en el citado artículo 82 es consecuencia de la reforma de las normas procesales que gobiernan el decreto y la práctica de la prueba pericial en el proceso contencioso administrativo previsto en la Ley 1437 de 2011 –CPACA–, reforma realizada en artículos precedentes de la misma ley. </w:t>
      </w:r>
    </w:p>
    <w:p w14:paraId="4E612CD7" w14:textId="77777777" w:rsidR="00AD47A0" w:rsidRPr="009803D1" w:rsidRDefault="00AD47A0" w:rsidP="00AD47A0">
      <w:pPr>
        <w:spacing w:after="0" w:line="276" w:lineRule="auto"/>
        <w:ind w:firstLine="708"/>
        <w:jc w:val="both"/>
        <w:rPr>
          <w:rFonts w:ascii="Verdana" w:hAnsi="Verdana" w:cs="Arial"/>
          <w:color w:val="000000" w:themeColor="text1"/>
          <w:lang w:val="es-ES"/>
        </w:rPr>
      </w:pPr>
      <w:r w:rsidRPr="003920F0">
        <w:rPr>
          <w:rFonts w:ascii="Verdana" w:hAnsi="Verdana" w:cs="Arial"/>
          <w:color w:val="000000" w:themeColor="text1"/>
          <w:lang w:val="es-ES"/>
        </w:rPr>
        <w:t xml:space="preserve">En efecto, nótese, por ejemplo, que la Ley 2080 de 2021, al regular en los artículos 54 a 58 la prueba pericial en los procesos judiciales de la jurisdicción de lo Contencioso Administrativo, dispuso que la prueba pericial puede ser aportada por las partes o puede ser decretada por el juez en el proceso, dentro de las oportunidades procesales correspondientes y, respecto de entidades públicas cuando son parte en el proceso judicial, para lo cual dispuso de las siguientes reglas especiales: </w:t>
      </w:r>
    </w:p>
    <w:p w14:paraId="01021837" w14:textId="77777777" w:rsidR="00AD47A0" w:rsidRPr="009803D1" w:rsidRDefault="00AD47A0" w:rsidP="00AD47A0">
      <w:pPr>
        <w:spacing w:after="0" w:line="276" w:lineRule="auto"/>
        <w:ind w:firstLine="708"/>
        <w:jc w:val="both"/>
        <w:rPr>
          <w:rFonts w:ascii="Verdana" w:hAnsi="Verdana" w:cs="Arial"/>
          <w:color w:val="000000" w:themeColor="text1"/>
          <w:lang w:val="es-ES_tradnl"/>
        </w:rPr>
      </w:pPr>
    </w:p>
    <w:p w14:paraId="48679CDE" w14:textId="77777777" w:rsidR="00AD47A0" w:rsidRPr="00AB120C" w:rsidRDefault="00AD47A0" w:rsidP="00AD47A0">
      <w:pPr>
        <w:spacing w:after="0" w:line="240" w:lineRule="auto"/>
        <w:ind w:left="709" w:right="709"/>
        <w:jc w:val="both"/>
        <w:rPr>
          <w:rFonts w:ascii="Verdana" w:eastAsia="Calibri" w:hAnsi="Verdana" w:cs="Arial"/>
          <w:color w:val="000000" w:themeColor="text1"/>
          <w:sz w:val="20"/>
          <w:szCs w:val="20"/>
          <w:lang w:val="es-ES_tradnl"/>
        </w:rPr>
      </w:pPr>
      <w:r w:rsidRPr="00AB120C">
        <w:rPr>
          <w:rFonts w:ascii="Verdana" w:eastAsia="Calibri" w:hAnsi="Verdana" w:cs="Arial"/>
          <w:color w:val="000000" w:themeColor="text1"/>
          <w:sz w:val="20"/>
          <w:szCs w:val="20"/>
          <w:lang w:val="es-ES_tradnl"/>
        </w:rPr>
        <w:t>Artículo 58. Modifíquese el artículo 222 de la Ley 1437 de 2011, el cual quedará así:</w:t>
      </w:r>
    </w:p>
    <w:p w14:paraId="49F9D4E7" w14:textId="77777777" w:rsidR="00AD47A0" w:rsidRPr="00AB120C" w:rsidRDefault="00AD47A0" w:rsidP="00AD47A0">
      <w:pPr>
        <w:spacing w:after="0" w:line="240" w:lineRule="auto"/>
        <w:ind w:left="709" w:right="709"/>
        <w:jc w:val="both"/>
        <w:rPr>
          <w:rFonts w:ascii="Verdana" w:eastAsia="Calibri" w:hAnsi="Verdana" w:cs="Arial"/>
          <w:color w:val="000000" w:themeColor="text1"/>
          <w:sz w:val="20"/>
          <w:szCs w:val="20"/>
          <w:lang w:val="es-ES_tradnl"/>
        </w:rPr>
      </w:pPr>
      <w:r w:rsidRPr="00AB120C">
        <w:rPr>
          <w:rFonts w:ascii="Verdana" w:eastAsia="Calibri" w:hAnsi="Verdana" w:cs="Arial"/>
          <w:color w:val="000000" w:themeColor="text1"/>
          <w:sz w:val="20"/>
          <w:szCs w:val="20"/>
          <w:lang w:val="es-ES_tradnl"/>
        </w:rPr>
        <w:t>Artículo 222. Reglas especiales para las entidades públicas.</w:t>
      </w:r>
    </w:p>
    <w:p w14:paraId="10698893" w14:textId="77777777" w:rsidR="00AD47A0" w:rsidRPr="00AB120C" w:rsidRDefault="00AD47A0" w:rsidP="00AD47A0">
      <w:pPr>
        <w:spacing w:after="0" w:line="240" w:lineRule="auto"/>
        <w:ind w:left="709" w:right="709"/>
        <w:jc w:val="both"/>
        <w:rPr>
          <w:rFonts w:ascii="Verdana" w:eastAsia="Calibri" w:hAnsi="Verdana" w:cs="Arial"/>
          <w:i/>
          <w:color w:val="000000" w:themeColor="text1"/>
          <w:sz w:val="20"/>
          <w:szCs w:val="20"/>
          <w:lang w:val="es-ES_tradnl"/>
        </w:rPr>
      </w:pPr>
      <w:r w:rsidRPr="00AB120C">
        <w:rPr>
          <w:rFonts w:ascii="Verdana" w:eastAsia="Calibri" w:hAnsi="Verdana" w:cs="Arial"/>
          <w:color w:val="000000" w:themeColor="text1"/>
          <w:sz w:val="20"/>
          <w:szCs w:val="20"/>
          <w:lang w:val="es-ES_tradnl"/>
        </w:rPr>
        <w:t xml:space="preserve">1. Para aportar el dictamen pericial o contradecirlo en los casos previstos en la ley, se faculta a las entidades públicas para que mediante contratación directa seleccionen los expertos que atenderán la prueba pericial requerida en un proceso judicial. </w:t>
      </w:r>
      <w:r w:rsidRPr="00AB120C">
        <w:rPr>
          <w:rFonts w:ascii="Verdana" w:eastAsia="Calibri" w:hAnsi="Verdana" w:cs="Arial"/>
          <w:i/>
          <w:color w:val="000000" w:themeColor="text1"/>
          <w:sz w:val="20"/>
          <w:szCs w:val="20"/>
          <w:lang w:val="es-ES_tradnl"/>
        </w:rPr>
        <w:t>Esta pericia también podrá ser contratada durante las restricciones establecidas en la Ley 996 de 2005.</w:t>
      </w:r>
    </w:p>
    <w:p w14:paraId="3BA91D09" w14:textId="77777777" w:rsidR="00AD47A0" w:rsidRPr="00AB120C" w:rsidRDefault="00AD47A0" w:rsidP="00AD47A0">
      <w:pPr>
        <w:spacing w:after="0" w:line="240" w:lineRule="auto"/>
        <w:ind w:left="709" w:right="709"/>
        <w:jc w:val="both"/>
        <w:rPr>
          <w:rFonts w:ascii="Verdana" w:eastAsia="Calibri" w:hAnsi="Verdana" w:cs="Arial"/>
          <w:i/>
          <w:color w:val="000000" w:themeColor="text1"/>
          <w:sz w:val="20"/>
          <w:szCs w:val="20"/>
          <w:lang w:val="es-ES_tradnl"/>
        </w:rPr>
      </w:pPr>
      <w:r w:rsidRPr="00AB120C">
        <w:rPr>
          <w:rFonts w:ascii="Verdana" w:eastAsia="Calibri" w:hAnsi="Verdana" w:cs="Arial"/>
          <w:i/>
          <w:color w:val="000000" w:themeColor="text1"/>
          <w:sz w:val="20"/>
          <w:szCs w:val="20"/>
          <w:lang w:val="es-ES_tradnl"/>
        </w:rPr>
        <w:t>Con el mismo fin se podrán contratar asesorías técnicas.</w:t>
      </w:r>
    </w:p>
    <w:p w14:paraId="61CBAD7F" w14:textId="77777777" w:rsidR="00AD47A0" w:rsidRPr="00AB120C" w:rsidRDefault="00AD47A0" w:rsidP="00AD47A0">
      <w:pPr>
        <w:spacing w:after="0" w:line="240" w:lineRule="auto"/>
        <w:ind w:left="709" w:right="709"/>
        <w:jc w:val="both"/>
        <w:rPr>
          <w:rFonts w:ascii="Verdana" w:eastAsia="Calibri" w:hAnsi="Verdana" w:cs="Arial"/>
          <w:color w:val="000000" w:themeColor="text1"/>
          <w:sz w:val="20"/>
          <w:szCs w:val="20"/>
          <w:lang w:val="es-ES_tradnl"/>
        </w:rPr>
      </w:pPr>
      <w:r w:rsidRPr="00AB120C">
        <w:rPr>
          <w:rFonts w:ascii="Verdana" w:eastAsia="Calibri" w:hAnsi="Verdana" w:cs="Arial"/>
          <w:color w:val="000000" w:themeColor="text1"/>
          <w:sz w:val="20"/>
          <w:szCs w:val="20"/>
          <w:lang w:val="es-ES_tradnl"/>
        </w:rPr>
        <w:t>2. Cuando la experticia sea rendida por una entidad pública el juez deberá ordenar honorarios a favor de esta.</w:t>
      </w:r>
      <w:r>
        <w:rPr>
          <w:rFonts w:ascii="Verdana" w:eastAsia="Calibri" w:hAnsi="Verdana" w:cs="Arial"/>
          <w:color w:val="000000" w:themeColor="text1"/>
          <w:sz w:val="20"/>
          <w:szCs w:val="20"/>
          <w:lang w:val="es-ES_tradnl"/>
        </w:rPr>
        <w:t xml:space="preserve"> (énfasis fuera de texto). </w:t>
      </w:r>
    </w:p>
    <w:p w14:paraId="5DCBC910" w14:textId="77777777" w:rsidR="00AD47A0" w:rsidRPr="009803D1" w:rsidRDefault="00AD47A0" w:rsidP="00AD47A0">
      <w:pPr>
        <w:spacing w:after="0" w:line="276" w:lineRule="auto"/>
        <w:ind w:firstLine="708"/>
        <w:jc w:val="both"/>
        <w:rPr>
          <w:rFonts w:ascii="Verdana" w:hAnsi="Verdana" w:cs="Arial"/>
          <w:color w:val="000000" w:themeColor="text1"/>
          <w:lang w:val="es-ES_tradnl"/>
        </w:rPr>
      </w:pPr>
    </w:p>
    <w:p w14:paraId="6DED422D" w14:textId="77777777" w:rsidR="00AD47A0" w:rsidRPr="009803D1" w:rsidRDefault="00AD47A0" w:rsidP="00AD47A0">
      <w:pPr>
        <w:spacing w:after="120" w:line="276" w:lineRule="auto"/>
        <w:ind w:firstLine="708"/>
        <w:jc w:val="both"/>
        <w:rPr>
          <w:rFonts w:ascii="Verdana" w:hAnsi="Verdana" w:cs="Arial"/>
          <w:color w:val="000000" w:themeColor="text1"/>
          <w:lang w:val="es-ES_tradnl"/>
        </w:rPr>
      </w:pPr>
      <w:r w:rsidRPr="009803D1">
        <w:rPr>
          <w:rFonts w:ascii="Verdana" w:hAnsi="Verdana" w:cs="Arial"/>
          <w:color w:val="000000" w:themeColor="text1"/>
          <w:lang w:val="es-ES_tradnl"/>
        </w:rPr>
        <w:t>Véase entonces que la causal de contratación directa añadida al listado de la Ley 1150 de 2007 opera bajo ciertos supuestos de hecho previstos en las referidas normas procesales citadas, que condicionan su utilización y dan cuenta de l</w:t>
      </w:r>
      <w:r>
        <w:rPr>
          <w:rFonts w:ascii="Verdana" w:hAnsi="Verdana" w:cs="Arial"/>
          <w:color w:val="000000" w:themeColor="text1"/>
          <w:lang w:val="es-ES_tradnl"/>
        </w:rPr>
        <w:t>as siguientes características: a</w:t>
      </w:r>
      <w:r w:rsidRPr="009803D1">
        <w:rPr>
          <w:rFonts w:ascii="Verdana" w:hAnsi="Verdana" w:cs="Arial"/>
          <w:color w:val="000000" w:themeColor="text1"/>
          <w:lang w:val="es-ES_tradnl"/>
        </w:rPr>
        <w:t xml:space="preserve">) es una causal de contratación que solo puede ser utilizada por la entidad estatal en el marco de un </w:t>
      </w:r>
      <w:r w:rsidRPr="009803D1">
        <w:rPr>
          <w:rFonts w:ascii="Verdana" w:hAnsi="Verdana" w:cs="Arial"/>
          <w:i/>
          <w:iCs/>
          <w:color w:val="000000" w:themeColor="text1"/>
          <w:lang w:val="es-ES_tradnl"/>
        </w:rPr>
        <w:t>proceso judicial</w:t>
      </w:r>
      <w:r w:rsidRPr="009803D1">
        <w:rPr>
          <w:rFonts w:ascii="Verdana" w:hAnsi="Verdana" w:cs="Arial"/>
          <w:color w:val="000000" w:themeColor="text1"/>
          <w:lang w:val="es-ES_tradnl"/>
        </w:rPr>
        <w:t xml:space="preserve">, o cuando sea la entidad la que vaya a promover el inicio del proceso, pues la necesidad </w:t>
      </w:r>
      <w:r w:rsidRPr="009803D1">
        <w:rPr>
          <w:rFonts w:ascii="Verdana" w:hAnsi="Verdana" w:cs="Arial"/>
          <w:color w:val="000000" w:themeColor="text1"/>
          <w:lang w:val="es-ES_tradnl"/>
        </w:rPr>
        <w:lastRenderedPageBreak/>
        <w:t xml:space="preserve">que justifica la contratación de un perito o un asesor técnico es la de hacer valer una prueba técnica, como lo es el dictamen pericial, para acreditar o soportar los hechos que servirán a la defensa de los intereses de la entidad estatal involucrados en una controversia judicial. En este sentido, el contrato se celebraría con la finalidad de </w:t>
      </w:r>
      <w:r w:rsidRPr="009803D1">
        <w:rPr>
          <w:rFonts w:ascii="Verdana" w:eastAsia="Calibri" w:hAnsi="Verdana" w:cs="Arial"/>
          <w:color w:val="000000" w:themeColor="text1"/>
          <w:lang w:val="es-ES_tradnl"/>
        </w:rPr>
        <w:t>presentar o contradecir el dictamen pericial en un proceso judicial.</w:t>
      </w:r>
      <w:r w:rsidRPr="009803D1">
        <w:rPr>
          <w:rFonts w:ascii="Verdana" w:hAnsi="Verdana" w:cs="Arial"/>
          <w:color w:val="000000" w:themeColor="text1"/>
          <w:lang w:val="es-ES_tradnl"/>
        </w:rPr>
        <w:t xml:space="preserve"> </w:t>
      </w:r>
    </w:p>
    <w:p w14:paraId="4210B09C" w14:textId="77777777" w:rsidR="00AD47A0" w:rsidRPr="009803D1" w:rsidRDefault="00AD47A0" w:rsidP="00AD47A0">
      <w:pPr>
        <w:spacing w:after="120" w:line="276" w:lineRule="auto"/>
        <w:ind w:firstLine="708"/>
        <w:jc w:val="both"/>
        <w:rPr>
          <w:rFonts w:ascii="Verdana" w:hAnsi="Verdana" w:cs="Arial"/>
          <w:color w:val="000000" w:themeColor="text1"/>
          <w:lang w:val="es-ES_tradnl"/>
        </w:rPr>
      </w:pPr>
      <w:r>
        <w:rPr>
          <w:rFonts w:ascii="Verdana" w:hAnsi="Verdana" w:cs="Arial"/>
          <w:color w:val="000000" w:themeColor="text1"/>
          <w:lang w:val="es-ES_tradnl"/>
        </w:rPr>
        <w:t xml:space="preserve">b) </w:t>
      </w:r>
      <w:r w:rsidRPr="009803D1">
        <w:rPr>
          <w:rFonts w:ascii="Verdana" w:hAnsi="Verdana" w:cs="Arial"/>
          <w:color w:val="000000" w:themeColor="text1"/>
          <w:lang w:val="es-ES_tradnl"/>
        </w:rPr>
        <w:t xml:space="preserve">La contratación recaerá sobre los servicios de un experto, llámese perito o asesor técnico, persona que debe ser contratada con especial eficiencia y celeridad, de ahí que el legislador haya autorizado acudir a la contratación directa, toda vez que, éste deberá cumplir con el objeto del contrato, que se traduce en la realización de un peritaje o de una asesoría técnica, de manera idónea según su experiencia y experticia, dentro de las oportunidades probatorias correspondientes y respetando los términos procesales con los que cuentan las entidades estatales en el proceso judicial para ejercer válidamente los actos procesales del caso para </w:t>
      </w:r>
      <w:r w:rsidRPr="009803D1">
        <w:rPr>
          <w:rFonts w:ascii="Verdana" w:hAnsi="Verdana" w:cs="Arial"/>
          <w:i/>
          <w:iCs/>
          <w:color w:val="000000" w:themeColor="text1"/>
          <w:lang w:val="es-ES_tradnl"/>
        </w:rPr>
        <w:t>aportar</w:t>
      </w:r>
      <w:r w:rsidRPr="009803D1">
        <w:rPr>
          <w:rFonts w:ascii="Verdana" w:hAnsi="Verdana" w:cs="Arial"/>
          <w:color w:val="000000" w:themeColor="text1"/>
          <w:lang w:val="es-ES_tradnl"/>
        </w:rPr>
        <w:t xml:space="preserve"> o </w:t>
      </w:r>
      <w:r w:rsidRPr="009803D1">
        <w:rPr>
          <w:rFonts w:ascii="Verdana" w:hAnsi="Verdana" w:cs="Arial"/>
          <w:i/>
          <w:iCs/>
          <w:color w:val="000000" w:themeColor="text1"/>
          <w:lang w:val="es-ES_tradnl"/>
        </w:rPr>
        <w:t>contradecir</w:t>
      </w:r>
      <w:r w:rsidRPr="009803D1">
        <w:rPr>
          <w:rFonts w:ascii="Verdana" w:hAnsi="Verdana" w:cs="Arial"/>
          <w:color w:val="000000" w:themeColor="text1"/>
          <w:lang w:val="es-ES_tradnl"/>
        </w:rPr>
        <w:t xml:space="preserve"> pruebas, como lo son, por ejemplo, la presentación o la contestación de la demanda. </w:t>
      </w:r>
    </w:p>
    <w:p w14:paraId="155418AE" w14:textId="77777777" w:rsidR="00AD47A0" w:rsidRDefault="00AD47A0" w:rsidP="00AD47A0">
      <w:pPr>
        <w:spacing w:after="120" w:line="276" w:lineRule="auto"/>
        <w:ind w:firstLine="708"/>
        <w:jc w:val="both"/>
        <w:rPr>
          <w:rFonts w:ascii="Verdana" w:hAnsi="Verdana" w:cs="Arial"/>
          <w:color w:val="000000" w:themeColor="text1"/>
          <w:lang w:val="es-ES_tradnl"/>
        </w:rPr>
      </w:pPr>
      <w:r>
        <w:rPr>
          <w:rFonts w:ascii="Verdana" w:hAnsi="Verdana" w:cs="Arial"/>
          <w:color w:val="000000" w:themeColor="text1"/>
          <w:lang w:val="es-ES_tradnl"/>
        </w:rPr>
        <w:t xml:space="preserve">c) </w:t>
      </w:r>
      <w:r w:rsidRPr="009803D1">
        <w:rPr>
          <w:rFonts w:ascii="Verdana" w:hAnsi="Verdana" w:cs="Arial"/>
          <w:color w:val="000000" w:themeColor="text1"/>
          <w:lang w:val="es-ES_tradnl"/>
        </w:rPr>
        <w:t xml:space="preserve">Por expresa disposición legal, la contratación directa de peritos y asesores técnicos para la finalidad prevista en la nueva causal del literal k) del numeral 4° del artículo 2 de la Ley 1150 de 2007 comporta una </w:t>
      </w:r>
      <w:r w:rsidRPr="009803D1">
        <w:rPr>
          <w:rFonts w:ascii="Verdana" w:hAnsi="Verdana" w:cs="Arial"/>
          <w:i/>
          <w:iCs/>
          <w:color w:val="000000" w:themeColor="text1"/>
          <w:lang w:val="es-ES_tradnl"/>
        </w:rPr>
        <w:t>excepción</w:t>
      </w:r>
      <w:r w:rsidRPr="009803D1">
        <w:rPr>
          <w:rFonts w:ascii="Verdana" w:hAnsi="Verdana" w:cs="Arial"/>
          <w:color w:val="000000" w:themeColor="text1"/>
          <w:lang w:val="es-ES_tradnl"/>
        </w:rPr>
        <w:t xml:space="preserve"> a la restricción de la contratación directa de las entidades estatales prevista en la Ley de Garantías Electorales –Ley 996 de 2005– por lo que una entidad estatal que requiera aportar o contradecir un dictamen pericial, dentro de un proceso judicial, podrá contratar directamente al perito o asesor técnico que requiera, aun en vigencia la prohibición establecida en  el artículo 33 de la Ley 996 de 2005, esto es, durante los cuatro meses anteriores a las elecciones presidenci</w:t>
      </w:r>
      <w:r>
        <w:rPr>
          <w:rFonts w:ascii="Verdana" w:hAnsi="Verdana" w:cs="Arial"/>
          <w:color w:val="000000" w:themeColor="text1"/>
          <w:lang w:val="es-ES_tradnl"/>
        </w:rPr>
        <w:t>ales y hasta la fecha</w:t>
      </w:r>
      <w:r w:rsidRPr="009803D1">
        <w:rPr>
          <w:rFonts w:ascii="Verdana" w:hAnsi="Verdana" w:cs="Arial"/>
          <w:color w:val="000000" w:themeColor="text1"/>
          <w:lang w:val="es-ES_tradnl"/>
        </w:rPr>
        <w:t xml:space="preserve"> al cual el presidente sea elegido. Esta excepción especial se establece claramente en el numeral 1 del artículo 222 de la Ley 1437 de 2011, de acuerdo con la modificación realizada por el artículo 58 de la Ley 2080 de 2021.</w:t>
      </w:r>
      <w:r>
        <w:rPr>
          <w:rFonts w:ascii="Verdana" w:hAnsi="Verdana" w:cs="Arial"/>
          <w:color w:val="000000" w:themeColor="text1"/>
          <w:lang w:val="es-ES_tradnl"/>
        </w:rPr>
        <w:t xml:space="preserve"> En tal sentido, se encuentra que la contratación realizada por entidades públicas para la </w:t>
      </w:r>
      <w:r w:rsidRPr="00AB120C">
        <w:rPr>
          <w:rFonts w:ascii="Verdana" w:hAnsi="Verdana" w:cs="Arial"/>
          <w:color w:val="000000" w:themeColor="text1"/>
          <w:lang w:val="es-ES_tradnl"/>
        </w:rPr>
        <w:t>selección de peritos expertos o asesores técnicos para presentar o contradecir el dictamen pericial en procesos judiciales</w:t>
      </w:r>
      <w:r>
        <w:rPr>
          <w:rFonts w:ascii="Verdana" w:hAnsi="Verdana" w:cs="Arial"/>
          <w:color w:val="000000" w:themeColor="text1"/>
          <w:lang w:val="es-ES_tradnl"/>
        </w:rPr>
        <w:t xml:space="preserve">, sería una excepción adicional a las dispuestas en el inciso segundo del artículo 33 de la Ley 1996 de 2005 – Ley de Garantías Electorales-. </w:t>
      </w:r>
    </w:p>
    <w:p w14:paraId="5643940A" w14:textId="77777777" w:rsidR="00AD47A0" w:rsidRPr="006177F8" w:rsidRDefault="00AD47A0" w:rsidP="00AD47A0">
      <w:pPr>
        <w:spacing w:after="120" w:line="276" w:lineRule="auto"/>
        <w:ind w:firstLine="708"/>
        <w:jc w:val="both"/>
        <w:rPr>
          <w:rFonts w:ascii="Verdana" w:eastAsia="Arial" w:hAnsi="Verdana" w:cs="Arial"/>
          <w:lang w:val="es-ES" w:eastAsia="es-ES" w:bidi="es-ES"/>
        </w:rPr>
      </w:pPr>
      <w:r w:rsidRPr="006177F8">
        <w:rPr>
          <w:rFonts w:ascii="Verdana" w:hAnsi="Verdana" w:cs="Arial"/>
          <w:lang w:val="es-ES_tradnl"/>
        </w:rPr>
        <w:t>Con respecto al evento o supuesto de que la contratación se enmarca en una providencia judicial</w:t>
      </w:r>
      <w:r w:rsidRPr="006177F8">
        <w:rPr>
          <w:rFonts w:ascii="Verdana" w:eastAsia="Arial" w:hAnsi="Verdana" w:cs="Arial"/>
          <w:lang w:val="es-ES" w:eastAsia="es-ES" w:bidi="es-ES"/>
        </w:rPr>
        <w:t xml:space="preserve">, debe tenerse en cuenta que las decisiones judiciales </w:t>
      </w:r>
      <w:r w:rsidRPr="006177F8">
        <w:rPr>
          <w:rFonts w:ascii="Verdana" w:eastAsia="Arial" w:hAnsi="Verdana" w:cs="Arial"/>
          <w:lang w:val="es-ES" w:eastAsia="es-ES" w:bidi="es-ES"/>
        </w:rPr>
        <w:lastRenderedPageBreak/>
        <w:t>tienen fuerza vinculante y deben cumplirse en virtud del principio de supremacía constitucional y del derecho fundamental de acceso a la administración de justicia. La contratación de un perito ordenada por un juez no obedece a una decisión discrecional de la administración, sino al cumplimiento de un mandato judicial, lo cual la diferencia de la contratación ordinaria y lo pone en un plano de obligatoriedad que no puede desconocerse por las restricciones de la Ley de Garantías.</w:t>
      </w:r>
    </w:p>
    <w:p w14:paraId="799332C0" w14:textId="77777777" w:rsidR="00AD47A0" w:rsidRPr="006177F8" w:rsidRDefault="00AD47A0" w:rsidP="00AD47A0">
      <w:pPr>
        <w:spacing w:after="0" w:line="276" w:lineRule="auto"/>
        <w:ind w:firstLine="709"/>
        <w:jc w:val="both"/>
        <w:rPr>
          <w:rFonts w:ascii="Verdana" w:eastAsia="Arial" w:hAnsi="Verdana" w:cs="Arial"/>
          <w:lang w:val="es-ES" w:eastAsia="es-ES" w:bidi="es-ES"/>
        </w:rPr>
      </w:pPr>
      <w:r w:rsidRPr="006177F8">
        <w:rPr>
          <w:rFonts w:ascii="Verdana" w:eastAsia="Arial" w:hAnsi="Verdana" w:cs="Arial"/>
          <w:lang w:val="es-ES" w:eastAsia="es-ES" w:bidi="es-ES"/>
        </w:rPr>
        <w:t xml:space="preserve">En este asunto, es importante resaltar que la Sala de Consulta y Servicio Civil del Consejo de Estado </w:t>
      </w:r>
      <w:r>
        <w:rPr>
          <w:rFonts w:ascii="Verdana" w:eastAsia="Arial" w:hAnsi="Verdana" w:cs="Arial"/>
          <w:lang w:val="es-ES" w:eastAsia="es-ES" w:bidi="es-ES"/>
        </w:rPr>
        <w:t xml:space="preserve">mediante </w:t>
      </w:r>
      <w:r w:rsidRPr="00CD734E">
        <w:rPr>
          <w:rFonts w:ascii="Verdana" w:eastAsia="Arial" w:hAnsi="Verdana" w:cs="Arial"/>
          <w:lang w:val="es-ES" w:eastAsia="es-ES" w:bidi="es-ES"/>
        </w:rPr>
        <w:t xml:space="preserve">Concepto 1863 del 15 de noviembre de 2007 </w:t>
      </w:r>
      <w:r w:rsidRPr="006177F8">
        <w:rPr>
          <w:rFonts w:ascii="Verdana" w:eastAsia="Arial" w:hAnsi="Verdana" w:cs="Arial"/>
          <w:lang w:val="es-ES" w:eastAsia="es-ES" w:bidi="es-ES"/>
        </w:rPr>
        <w:t xml:space="preserve">se ha pronunciado en el sentido de que </w:t>
      </w:r>
      <w:bookmarkStart w:id="14" w:name="_Hlk78820889"/>
      <w:r w:rsidRPr="006177F8">
        <w:rPr>
          <w:rFonts w:ascii="Verdana" w:eastAsia="Arial" w:hAnsi="Verdana" w:cs="Arial"/>
          <w:lang w:val="es-ES" w:eastAsia="es-ES" w:bidi="es-ES"/>
        </w:rPr>
        <w:t>no se les aplica las restricciones contempladas en Ley de Garantías Electorales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bookmarkEnd w:id="14"/>
      <w:r w:rsidRPr="006177F8">
        <w:rPr>
          <w:rFonts w:ascii="Verdana" w:eastAsia="Arial" w:hAnsi="Verdana" w:cs="Arial"/>
          <w:vertAlign w:val="superscript"/>
          <w:lang w:val="es-ES" w:eastAsia="es-ES" w:bidi="es-ES"/>
        </w:rPr>
        <w:footnoteReference w:id="25"/>
      </w:r>
      <w:r w:rsidRPr="006177F8">
        <w:rPr>
          <w:rFonts w:ascii="Verdana" w:eastAsia="Arial" w:hAnsi="Verdana" w:cs="Arial"/>
          <w:lang w:val="es-ES" w:eastAsia="es-ES" w:bidi="es-ES"/>
        </w:rPr>
        <w:t>. Al respecto, dicho Concepto expresa:</w:t>
      </w:r>
    </w:p>
    <w:p w14:paraId="1F0ED7E7" w14:textId="77777777" w:rsidR="00AD47A0" w:rsidRPr="006177F8" w:rsidRDefault="00AD47A0" w:rsidP="00AD47A0">
      <w:pPr>
        <w:spacing w:after="0" w:line="276" w:lineRule="auto"/>
        <w:ind w:firstLine="709"/>
        <w:jc w:val="both"/>
        <w:rPr>
          <w:rFonts w:ascii="Verdana" w:eastAsia="Arial" w:hAnsi="Verdana" w:cs="Arial"/>
          <w:lang w:val="es-ES" w:eastAsia="es-ES" w:bidi="es-ES"/>
        </w:rPr>
      </w:pPr>
    </w:p>
    <w:p w14:paraId="177D7EFB" w14:textId="77777777" w:rsidR="00AD47A0" w:rsidRPr="006177F8" w:rsidRDefault="00AD47A0" w:rsidP="00AD47A0">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val="es-ES" w:eastAsia="es-ES" w:bidi="es-ES"/>
        </w:rPr>
        <w:t xml:space="preserve">[…] considera </w:t>
      </w:r>
      <w:r w:rsidRPr="006177F8">
        <w:rPr>
          <w:rFonts w:ascii="Verdana" w:eastAsia="Arial" w:hAnsi="Verdana" w:cs="Arial"/>
          <w:sz w:val="20"/>
          <w:lang w:eastAsia="es-ES" w:bidi="es-ES"/>
        </w:rPr>
        <w:t>la Sala que los servidores públicos del nivel nacional o territorial que en cumplimiento de una sentencia judicial o de una providencia proferida en una acción popular o de tutela, deban contratar, ejecutar obras, efectuar gastos e incluso hacer algún reintegro de personal durante los cuatro meses anteriores a las elecciones para cargos de elección popular general o de Presidente, según el caso, </w:t>
      </w:r>
      <w:r w:rsidRPr="006177F8">
        <w:rPr>
          <w:rFonts w:ascii="Verdana" w:eastAsia="Arial" w:hAnsi="Verdana" w:cs="Arial"/>
          <w:b/>
          <w:bCs/>
          <w:sz w:val="20"/>
          <w:lang w:eastAsia="es-ES" w:bidi="es-ES"/>
        </w:rPr>
        <w:t>no violan la ley de garantías electorales</w:t>
      </w:r>
      <w:r w:rsidRPr="006177F8">
        <w:rPr>
          <w:rFonts w:ascii="Verdana" w:eastAsia="Arial" w:hAnsi="Verdana" w:cs="Arial"/>
          <w:sz w:val="20"/>
          <w:lang w:eastAsia="es-ES" w:bidi="es-ES"/>
        </w:rPr>
        <w:t>, por las razones de orden constitucional y legal que se explican a continuación.</w:t>
      </w:r>
    </w:p>
    <w:p w14:paraId="447D104A" w14:textId="77777777" w:rsidR="00AD47A0" w:rsidRPr="006177F8" w:rsidRDefault="00AD47A0" w:rsidP="00AD47A0">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Con fundamento en la autonomía del poder judicial derivada de la separación de poderes y del derecho al acceso a la administración de justicia que tienen todos los ciudadanos, las decisiones de los jueces, como ya se expuso en el acápite anterior, son de obligatorio cumplimiento para la administración y los particulares en los términos y condiciones previstos en cada providencia.</w:t>
      </w:r>
    </w:p>
    <w:p w14:paraId="0CE6CE10" w14:textId="77777777" w:rsidR="00AD47A0" w:rsidRPr="006177F8" w:rsidRDefault="00AD47A0" w:rsidP="00AD47A0">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Los actos de ejecución que la administración deba expedir o realizar para dar cabal cumplimiento a lo ordenado en las providencias judiciales, se fundamentan en decisiones desprovistas </w:t>
      </w:r>
      <w:r w:rsidRPr="006177F8">
        <w:rPr>
          <w:rFonts w:ascii="Verdana" w:eastAsia="Arial" w:hAnsi="Verdana" w:cs="Arial"/>
          <w:i/>
          <w:iCs/>
          <w:sz w:val="20"/>
          <w:lang w:eastAsia="es-ES" w:bidi="es-ES"/>
        </w:rPr>
        <w:t>per se </w:t>
      </w:r>
      <w:r w:rsidRPr="006177F8">
        <w:rPr>
          <w:rFonts w:ascii="Verdana" w:eastAsia="Arial" w:hAnsi="Verdana" w:cs="Arial"/>
          <w:sz w:val="20"/>
          <w:lang w:eastAsia="es-ES" w:bidi="es-ES"/>
        </w:rPr>
        <w:t xml:space="preserve">de intereses proselitistas, pues los funcionarios investidos de jurisdicción, al impartir justicia sólo están sometidos al imperio de la Constitución y de la ley (artículo 230 C.P.) , de manera que sus fallos no son fruto de las presiones propias de épocas </w:t>
      </w:r>
      <w:r w:rsidRPr="006177F8">
        <w:rPr>
          <w:rFonts w:ascii="Verdana" w:eastAsia="Arial" w:hAnsi="Verdana" w:cs="Arial"/>
          <w:sz w:val="20"/>
          <w:lang w:eastAsia="es-ES" w:bidi="es-ES"/>
        </w:rPr>
        <w:lastRenderedPageBreak/>
        <w:t>de campaña electoral, ni comprometen o amenazan la transparencia de la actividad administrativa tutelada en la ley de </w:t>
      </w:r>
      <w:hyperlink r:id="rId13" w:anchor="0" w:history="1">
        <w:r w:rsidRPr="006177F8">
          <w:rPr>
            <w:rStyle w:val="Hipervnculo"/>
            <w:rFonts w:ascii="Verdana" w:eastAsia="Arial" w:hAnsi="Verdana" w:cs="Arial"/>
            <w:color w:val="auto"/>
            <w:sz w:val="20"/>
            <w:u w:val="none"/>
            <w:lang w:eastAsia="es-ES" w:bidi="es-ES"/>
          </w:rPr>
          <w:t>996</w:t>
        </w:r>
      </w:hyperlink>
      <w:r w:rsidRPr="006177F8">
        <w:rPr>
          <w:rFonts w:ascii="Verdana" w:eastAsia="Arial" w:hAnsi="Verdana" w:cs="Arial"/>
          <w:sz w:val="20"/>
          <w:lang w:eastAsia="es-ES" w:bidi="es-ES"/>
        </w:rPr>
        <w:t> de 2005</w:t>
      </w:r>
    </w:p>
    <w:p w14:paraId="0D7BF3DD" w14:textId="77777777" w:rsidR="00AD47A0" w:rsidRPr="006177F8" w:rsidRDefault="00AD47A0" w:rsidP="00AD47A0">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Por tanto, el derecho de acceso y de obtener una pronta y cumplida administración de justicia , que se concreta cuando se cumple lo ordenado en las respectivas sentencias, hacen que no sea necesario que el legislador hubiese incluido el cumplimiento de fallos judiciales como parte de las excepciones a los regímenes prohibitivos contendido en los artículos </w:t>
      </w:r>
      <w:hyperlink r:id="rId14" w:anchor="32" w:history="1">
        <w:r w:rsidRPr="006177F8">
          <w:rPr>
            <w:rStyle w:val="Hipervnculo"/>
            <w:rFonts w:ascii="Verdana" w:eastAsia="Arial" w:hAnsi="Verdana" w:cs="Arial"/>
            <w:color w:val="auto"/>
            <w:sz w:val="20"/>
            <w:u w:val="none"/>
            <w:lang w:eastAsia="es-ES" w:bidi="es-ES"/>
          </w:rPr>
          <w:t>32</w:t>
        </w:r>
      </w:hyperlink>
      <w:r w:rsidRPr="006177F8">
        <w:rPr>
          <w:rFonts w:ascii="Verdana" w:eastAsia="Arial" w:hAnsi="Verdana" w:cs="Arial"/>
          <w:sz w:val="20"/>
          <w:lang w:eastAsia="es-ES" w:bidi="es-ES"/>
        </w:rPr>
        <w:t>, </w:t>
      </w:r>
      <w:hyperlink r:id="rId15" w:anchor="33" w:history="1">
        <w:r w:rsidRPr="006177F8">
          <w:rPr>
            <w:rStyle w:val="Hipervnculo"/>
            <w:rFonts w:ascii="Verdana" w:eastAsia="Arial" w:hAnsi="Verdana" w:cs="Arial"/>
            <w:color w:val="auto"/>
            <w:sz w:val="20"/>
            <w:u w:val="none"/>
            <w:lang w:eastAsia="es-ES" w:bidi="es-ES"/>
          </w:rPr>
          <w:t>33</w:t>
        </w:r>
      </w:hyperlink>
      <w:r w:rsidRPr="006177F8">
        <w:rPr>
          <w:rFonts w:ascii="Verdana" w:eastAsia="Arial" w:hAnsi="Verdana" w:cs="Arial"/>
          <w:sz w:val="20"/>
          <w:lang w:eastAsia="es-ES" w:bidi="es-ES"/>
        </w:rPr>
        <w:t> y el parágrafo del artículo </w:t>
      </w:r>
      <w:hyperlink r:id="rId16" w:anchor="38" w:history="1">
        <w:r w:rsidRPr="006177F8">
          <w:rPr>
            <w:rStyle w:val="Hipervnculo"/>
            <w:rFonts w:ascii="Verdana" w:eastAsia="Arial" w:hAnsi="Verdana" w:cs="Arial"/>
            <w:color w:val="auto"/>
            <w:sz w:val="20"/>
            <w:u w:val="none"/>
            <w:lang w:eastAsia="es-ES" w:bidi="es-ES"/>
          </w:rPr>
          <w:t>38</w:t>
        </w:r>
      </w:hyperlink>
      <w:r w:rsidRPr="006177F8">
        <w:rPr>
          <w:rFonts w:ascii="Verdana" w:eastAsia="Arial" w:hAnsi="Verdana" w:cs="Arial"/>
          <w:sz w:val="20"/>
          <w:lang w:eastAsia="es-ES" w:bidi="es-ES"/>
        </w:rPr>
        <w:t>, todos ellos de la ley 996 de 2005, ya que la fuerza vinculante de la sentencias emana directamente de estructura del Estado y de la autonomía conferida al poder judicial.</w:t>
      </w:r>
      <w:r>
        <w:rPr>
          <w:rFonts w:ascii="Verdana" w:eastAsia="Arial" w:hAnsi="Verdana" w:cs="Arial"/>
          <w:sz w:val="20"/>
          <w:lang w:eastAsia="es-ES" w:bidi="es-ES"/>
        </w:rPr>
        <w:t xml:space="preserve"> (énfasis dentro del texto). </w:t>
      </w:r>
    </w:p>
    <w:p w14:paraId="674713AA" w14:textId="77777777" w:rsidR="00AD47A0" w:rsidRPr="006177F8" w:rsidRDefault="00AD47A0" w:rsidP="00AD47A0">
      <w:pPr>
        <w:spacing w:after="120" w:line="240" w:lineRule="auto"/>
        <w:ind w:firstLine="709"/>
        <w:jc w:val="both"/>
        <w:rPr>
          <w:rFonts w:ascii="Verdana" w:eastAsia="Arial" w:hAnsi="Verdana" w:cs="Arial"/>
          <w:lang w:eastAsia="es-ES" w:bidi="es-ES"/>
        </w:rPr>
      </w:pPr>
    </w:p>
    <w:p w14:paraId="2CCA4B4F" w14:textId="77777777" w:rsidR="00AD47A0" w:rsidRPr="006177F8" w:rsidRDefault="00AD47A0" w:rsidP="00AD47A0">
      <w:pPr>
        <w:spacing w:after="120" w:line="276" w:lineRule="auto"/>
        <w:ind w:firstLine="708"/>
        <w:jc w:val="both"/>
        <w:rPr>
          <w:rFonts w:ascii="Verdana" w:hAnsi="Verdana" w:cs="Arial"/>
          <w:lang w:val="es-ES"/>
        </w:rPr>
      </w:pPr>
      <w:r w:rsidRPr="006177F8">
        <w:rPr>
          <w:rFonts w:ascii="Verdana" w:hAnsi="Verdana" w:cs="Arial"/>
          <w:lang w:val="es-ES"/>
        </w:rPr>
        <w:t xml:space="preserve">De este modo, </w:t>
      </w:r>
      <w:r>
        <w:rPr>
          <w:rFonts w:ascii="Verdana" w:hAnsi="Verdana" w:cs="Arial"/>
          <w:lang w:val="es-ES"/>
        </w:rPr>
        <w:t>e</w:t>
      </w:r>
      <w:r w:rsidRPr="006177F8">
        <w:rPr>
          <w:rFonts w:ascii="Verdana" w:hAnsi="Verdana" w:cs="Arial"/>
          <w:lang w:val="es-ES"/>
        </w:rPr>
        <w:t xml:space="preserve">l razonamiento de la Sala de Consulta y Servicio Civil del Consejo de Estado establece que las decisiones judiciales no se encuentran restringidas por las limitaciones de la Ley de Garantías Electorales. En consecuencia, es posible que un juez ordene la suscripción de un contrato de manera directa, como ocurre con la contratación de un perito dentro de un proceso judicial. </w:t>
      </w:r>
      <w:r>
        <w:rPr>
          <w:rFonts w:ascii="Verdana" w:hAnsi="Verdana" w:cs="Arial"/>
          <w:lang w:val="es-ES"/>
        </w:rPr>
        <w:t>De tal manera, n</w:t>
      </w:r>
      <w:r w:rsidRPr="006177F8">
        <w:rPr>
          <w:rFonts w:ascii="Verdana" w:hAnsi="Verdana" w:cs="Arial"/>
          <w:lang w:val="es-ES"/>
        </w:rPr>
        <w:t>egar esta posibilidad significaría desconocer el principio de colaboración armónica entre poderes y, además, vulnerar el derecho fundamental de acceso a la justicia. Por ello, debe entenderse que el cumplimiento de órdenes judiciales se encuentra por fuera de los fines, límites y condiciones previstos en la Ley de Garantías Electorales, pues su naturaleza responde a la obligación constitucional de garantizar la efectividad de las decisiones judiciales y la protección de los derechos fundamentales.</w:t>
      </w:r>
    </w:p>
    <w:p w14:paraId="67B7D469" w14:textId="77777777" w:rsidR="00AD47A0" w:rsidRDefault="00AD47A0" w:rsidP="00AD47A0">
      <w:pPr>
        <w:spacing w:after="120" w:line="276" w:lineRule="auto"/>
        <w:jc w:val="both"/>
        <w:rPr>
          <w:rFonts w:ascii="Verdana" w:eastAsia="Arial" w:hAnsi="Verdana" w:cs="Arial"/>
          <w:lang w:val="es-ES" w:eastAsia="es-ES" w:bidi="es-ES"/>
        </w:rPr>
      </w:pPr>
    </w:p>
    <w:p w14:paraId="125CC1A0" w14:textId="77777777" w:rsidR="00AD47A0" w:rsidRPr="005154AE" w:rsidRDefault="00AD47A0" w:rsidP="00AD47A0">
      <w:pPr>
        <w:spacing w:after="120" w:line="276" w:lineRule="auto"/>
        <w:jc w:val="both"/>
        <w:rPr>
          <w:rFonts w:ascii="Verdana" w:eastAsia="Arial" w:hAnsi="Verdana" w:cs="Arial"/>
          <w:bCs/>
          <w:color w:val="000000" w:themeColor="text1"/>
        </w:rPr>
      </w:pPr>
      <w:r>
        <w:rPr>
          <w:rFonts w:ascii="Verdana" w:eastAsia="Arial" w:hAnsi="Verdana" w:cs="Arial"/>
          <w:lang w:val="es-ES" w:eastAsia="es-ES" w:bidi="es-ES"/>
        </w:rPr>
        <w:t xml:space="preserve">v. </w:t>
      </w:r>
      <w:r w:rsidRPr="00F4158D">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w:t>
      </w:r>
      <w:r>
        <w:rPr>
          <w:rFonts w:ascii="Verdana" w:eastAsia="Calibri" w:hAnsi="Verdana" w:cs="Arial"/>
          <w:bCs/>
          <w:color w:val="000000" w:themeColor="text1"/>
        </w:rPr>
        <w:t xml:space="preserve">las entidades públicas debe realizarse </w:t>
      </w:r>
      <w:r w:rsidRPr="00F4158D">
        <w:rPr>
          <w:rFonts w:ascii="Verdana" w:eastAsia="Calibri" w:hAnsi="Verdana" w:cs="Arial"/>
          <w:bCs/>
          <w:color w:val="000000" w:themeColor="text1"/>
        </w:rPr>
        <w:t>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B7CC5CF" w14:textId="77777777" w:rsidR="00AD47A0" w:rsidRPr="00F4158D" w:rsidRDefault="00AD47A0" w:rsidP="00AD47A0">
      <w:pPr>
        <w:spacing w:after="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w:t>
      </w:r>
      <w:r w:rsidRPr="00F4158D">
        <w:rPr>
          <w:rFonts w:ascii="Verdana" w:eastAsia="Calibri" w:hAnsi="Verdana" w:cs="Arial"/>
          <w:bCs/>
          <w:color w:val="000000" w:themeColor="text1"/>
        </w:rPr>
        <w:lastRenderedPageBreak/>
        <w:t>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CBD4FE5" w14:textId="77777777" w:rsidR="00AD47A0" w:rsidRPr="00F4158D" w:rsidRDefault="00AD47A0" w:rsidP="00AD47A0">
      <w:pPr>
        <w:spacing w:after="0" w:line="276" w:lineRule="auto"/>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 </w:t>
      </w:r>
    </w:p>
    <w:p w14:paraId="15AED8CA" w14:textId="77777777" w:rsidR="00AD47A0" w:rsidRPr="00593A5F" w:rsidRDefault="00AD47A0" w:rsidP="00AD47A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6FBF73A1" w14:textId="77777777" w:rsidR="00AD47A0" w:rsidRPr="00593A5F" w:rsidRDefault="00AD47A0" w:rsidP="00AD47A0">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D47A0" w:rsidRPr="002407CE" w14:paraId="1DAB3555" w14:textId="77777777" w:rsidTr="00B7019D">
        <w:trPr>
          <w:trHeight w:val="311"/>
          <w:jc w:val="center"/>
        </w:trPr>
        <w:tc>
          <w:tcPr>
            <w:tcW w:w="8647" w:type="dxa"/>
          </w:tcPr>
          <w:p w14:paraId="1EC3D4D0" w14:textId="77777777" w:rsidR="00AD47A0" w:rsidRDefault="00AD47A0" w:rsidP="00B7019D">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Constitución Política de 1991, artículos 69, 127, 190, 197 y 286.</w:t>
            </w:r>
          </w:p>
          <w:p w14:paraId="59C7E3A3" w14:textId="77777777" w:rsidR="00AD47A0" w:rsidRDefault="00AD47A0" w:rsidP="00B7019D">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80 de 1993, artículos 2, 39 y 41.</w:t>
            </w:r>
          </w:p>
          <w:p w14:paraId="6474C745" w14:textId="77777777" w:rsidR="00AD47A0" w:rsidRDefault="00AD47A0" w:rsidP="00B7019D">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996 de 2005, artículos 33 y 38.</w:t>
            </w:r>
          </w:p>
          <w:p w14:paraId="6F0D80D9" w14:textId="77777777" w:rsidR="00AD47A0" w:rsidRDefault="00AD47A0" w:rsidP="00B7019D">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1150 de 2007, artículo 2.</w:t>
            </w:r>
          </w:p>
          <w:p w14:paraId="7414FC6A" w14:textId="77777777" w:rsidR="00AD47A0" w:rsidRDefault="00AD47A0" w:rsidP="00B7019D">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 xml:space="preserve">Ley 1437 de 2011, artículo 222. </w:t>
            </w:r>
          </w:p>
          <w:p w14:paraId="64246AD0" w14:textId="77777777" w:rsidR="00AD47A0" w:rsidRDefault="00AD47A0" w:rsidP="00B7019D">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 xml:space="preserve">Ley 2080 de 2021, artículo 58. </w:t>
            </w:r>
          </w:p>
          <w:p w14:paraId="64229496" w14:textId="77777777" w:rsidR="00AD47A0" w:rsidRPr="00585673" w:rsidRDefault="00AD47A0" w:rsidP="00B7019D">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Código Civil, artículos 31 y 1501.</w:t>
            </w:r>
            <w:r w:rsidRPr="00585673">
              <w:rPr>
                <w:rFonts w:ascii="Verdana" w:eastAsia="Calibri" w:hAnsi="Verdana" w:cs="Arial"/>
                <w:bCs/>
                <w:color w:val="FF0000"/>
              </w:rPr>
              <w:t xml:space="preserve"> </w:t>
            </w:r>
          </w:p>
        </w:tc>
      </w:tr>
    </w:tbl>
    <w:p w14:paraId="4C29B480" w14:textId="77777777" w:rsidR="00AD47A0" w:rsidRPr="002407CE" w:rsidRDefault="00AD47A0" w:rsidP="00AD47A0">
      <w:pPr>
        <w:widowControl w:val="0"/>
        <w:autoSpaceDE w:val="0"/>
        <w:autoSpaceDN w:val="0"/>
        <w:spacing w:after="0" w:line="276" w:lineRule="auto"/>
        <w:jc w:val="both"/>
        <w:rPr>
          <w:rFonts w:ascii="Verdana" w:hAnsi="Verdana" w:cs="Arial"/>
        </w:rPr>
      </w:pPr>
    </w:p>
    <w:p w14:paraId="76FE7C4C" w14:textId="77777777" w:rsidR="00AD47A0" w:rsidRPr="00593A5F" w:rsidRDefault="00AD47A0" w:rsidP="00AD47A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BF35BBC" w14:textId="77777777" w:rsidR="00AD47A0" w:rsidRPr="00593A5F" w:rsidRDefault="00AD47A0" w:rsidP="00AD47A0">
      <w:pPr>
        <w:widowControl w:val="0"/>
        <w:autoSpaceDE w:val="0"/>
        <w:autoSpaceDN w:val="0"/>
        <w:spacing w:after="0" w:line="276" w:lineRule="auto"/>
        <w:jc w:val="both"/>
        <w:rPr>
          <w:rFonts w:ascii="Verdana" w:hAnsi="Verdana" w:cs="Arial"/>
        </w:rPr>
      </w:pPr>
    </w:p>
    <w:p w14:paraId="6212F2F8" w14:textId="77777777" w:rsidR="00AD47A0" w:rsidRPr="007D6CC8" w:rsidRDefault="00AD47A0" w:rsidP="00AD47A0">
      <w:pPr>
        <w:widowControl w:val="0"/>
        <w:autoSpaceDE w:val="0"/>
        <w:autoSpaceDN w:val="0"/>
        <w:spacing w:after="0" w:line="276" w:lineRule="auto"/>
        <w:jc w:val="both"/>
        <w:rPr>
          <w:rFonts w:ascii="Verdana" w:hAnsi="Verdana" w:cs="Arial"/>
          <w:shd w:val="clear" w:color="auto" w:fill="FFFFFF"/>
        </w:rPr>
      </w:pPr>
      <w:r w:rsidRPr="00177E85">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w:t>
      </w:r>
      <w:r w:rsidRPr="00177E85">
        <w:rPr>
          <w:rFonts w:ascii="Verdana" w:hAnsi="Verdana" w:cs="Arial"/>
          <w:shd w:val="clear" w:color="auto" w:fill="FFFFFF"/>
        </w:rPr>
        <w:lastRenderedPageBreak/>
        <w:t xml:space="preserve">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w:t>
      </w:r>
      <w:r>
        <w:rPr>
          <w:rFonts w:ascii="Verdana" w:hAnsi="Verdana" w:cs="Arial"/>
          <w:shd w:val="clear" w:color="auto" w:fill="FFFFFF"/>
        </w:rPr>
        <w:t>C-1343 del 20 de octubre de 2025, C-1350 del 1˚ de octubre de 2025, C-1401 del 22 de octubre de 2025, C-1512 del 27 de octubre de 2025, C-1488 del 30 de octubre de 2025, C-1596 del 6 de noviembre de 2025, C-1509 del 19 de noviembre de 2025, C-1773 del 5 de diciembre de 2025, C-1646 del 17 de diciembre de 2025, C-1703 del 29 de diciembre de 2025, C-068 del 27 de enero de 2026</w:t>
      </w:r>
      <w:r>
        <w:rPr>
          <w:rFonts w:ascii="Verdana" w:hAnsi="Verdana"/>
        </w:rPr>
        <w:t>.</w:t>
      </w:r>
      <w:r>
        <w:rPr>
          <w:rFonts w:ascii="Verdana" w:hAnsi="Verdana" w:cs="Arial"/>
          <w:shd w:val="clear" w:color="auto" w:fill="FFFFFF"/>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0BFFEC5D" w14:textId="77777777" w:rsidR="00AD47A0" w:rsidRPr="00185EE9" w:rsidRDefault="004F1B18" w:rsidP="00AD47A0">
      <w:pPr>
        <w:spacing w:after="0" w:line="256" w:lineRule="auto"/>
        <w:jc w:val="both"/>
        <w:rPr>
          <w:rFonts w:ascii="Verdana" w:eastAsia="Calibri" w:hAnsi="Verdana" w:cs="Times New Roman"/>
        </w:rPr>
      </w:pPr>
      <w:hyperlink r:id="rId17" w:history="1">
        <w:r w:rsidR="00AD47A0" w:rsidRPr="00F14AAD">
          <w:rPr>
            <w:rStyle w:val="Hipervnculo"/>
            <w:rFonts w:ascii="Verdana" w:eastAsia="Calibri" w:hAnsi="Verdana" w:cs="Times New Roman"/>
            <w:lang w:val="es-ES"/>
          </w:rPr>
          <w:t>https://relatoria.colombiacompra.gov.co/busqueda/conceptos</w:t>
        </w:r>
      </w:hyperlink>
      <w:r w:rsidR="00AD47A0" w:rsidRPr="00185EE9">
        <w:rPr>
          <w:rFonts w:ascii="Verdana" w:eastAsia="Calibri" w:hAnsi="Verdana" w:cs="Times New Roman"/>
        </w:rPr>
        <w:t xml:space="preserve">. </w:t>
      </w:r>
    </w:p>
    <w:p w14:paraId="741B5E36" w14:textId="77777777" w:rsidR="00AD47A0" w:rsidRPr="00096788" w:rsidRDefault="00AD47A0" w:rsidP="00AD47A0">
      <w:pPr>
        <w:widowControl w:val="0"/>
        <w:autoSpaceDE w:val="0"/>
        <w:autoSpaceDN w:val="0"/>
        <w:spacing w:after="0" w:line="276" w:lineRule="auto"/>
        <w:jc w:val="both"/>
        <w:rPr>
          <w:rFonts w:ascii="Verdana" w:hAnsi="Verdana" w:cs="Arial"/>
          <w:color w:val="000000" w:themeColor="text1"/>
          <w:shd w:val="clear" w:color="auto" w:fill="FFFFFF"/>
        </w:rPr>
      </w:pPr>
    </w:p>
    <w:p w14:paraId="58FA20D2" w14:textId="77777777" w:rsidR="00AD47A0" w:rsidRDefault="00AD47A0" w:rsidP="00AD47A0">
      <w:pPr>
        <w:shd w:val="clear" w:color="auto" w:fill="FFFFFF"/>
        <w:spacing w:after="0" w:line="276" w:lineRule="auto"/>
        <w:jc w:val="both"/>
        <w:rPr>
          <w:rFonts w:ascii="Verdana" w:hAnsi="Verdana"/>
          <w:color w:val="000000"/>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8"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0ECA0503" w14:textId="77777777" w:rsidR="00AD47A0" w:rsidRDefault="00AD47A0" w:rsidP="00AD47A0">
      <w:pPr>
        <w:shd w:val="clear" w:color="auto" w:fill="FFFFFF"/>
        <w:spacing w:after="0" w:line="276" w:lineRule="auto"/>
        <w:jc w:val="both"/>
        <w:rPr>
          <w:rFonts w:ascii="Verdana" w:hAnsi="Verdana"/>
          <w:color w:val="000000"/>
          <w:u w:val="single"/>
        </w:rPr>
      </w:pPr>
    </w:p>
    <w:p w14:paraId="772F0D11" w14:textId="77777777" w:rsidR="00AD47A0" w:rsidRPr="00116940" w:rsidRDefault="00AD47A0" w:rsidP="00AD47A0">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6315423B" w14:textId="77777777" w:rsidR="00AD47A0" w:rsidRPr="00116940" w:rsidRDefault="00AD47A0" w:rsidP="00AD47A0">
      <w:pPr>
        <w:spacing w:after="0"/>
        <w:jc w:val="both"/>
        <w:rPr>
          <w:rFonts w:ascii="Verdana" w:hAnsi="Verdana"/>
        </w:rPr>
      </w:pPr>
    </w:p>
    <w:p w14:paraId="419AB16B" w14:textId="77777777" w:rsidR="00AD47A0" w:rsidRPr="00116940" w:rsidRDefault="00AD47A0" w:rsidP="00AD47A0">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6695237F" w14:textId="77777777" w:rsidR="00AD47A0" w:rsidRPr="00116940" w:rsidRDefault="00AD47A0" w:rsidP="00AD47A0">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027F9FE0" w14:textId="77777777" w:rsidR="00AD47A0" w:rsidRPr="00116940" w:rsidRDefault="00AD47A0" w:rsidP="00AD47A0">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lastRenderedPageBreak/>
        <w:t xml:space="preserve">Correo de radicación de correspondencia: </w:t>
      </w:r>
      <w:hyperlink r:id="rId19">
        <w:r w:rsidRPr="00116940">
          <w:rPr>
            <w:rStyle w:val="Hipervnculo"/>
            <w:rFonts w:ascii="Verdana" w:eastAsia="Verdana" w:hAnsi="Verdana" w:cs="Verdana"/>
            <w:lang w:val="es-MX"/>
          </w:rPr>
          <w:t>ventanilladeradicacion@colombiacompra.gov.co</w:t>
        </w:r>
      </w:hyperlink>
    </w:p>
    <w:p w14:paraId="7524F497" w14:textId="77777777" w:rsidR="00AD47A0" w:rsidRPr="00116940" w:rsidRDefault="00AD47A0" w:rsidP="00AD47A0">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20">
        <w:r w:rsidRPr="00116940">
          <w:rPr>
            <w:rStyle w:val="Hipervnculo"/>
            <w:rFonts w:ascii="Verdana" w:eastAsia="Verdana" w:hAnsi="Verdana" w:cs="Verdana"/>
            <w:lang w:val="es-MX"/>
          </w:rPr>
          <w:t>https://www.colombiacompra.gov.co/pqrsd/informacion-importante-antes-de-formular-una-pqrsd</w:t>
        </w:r>
      </w:hyperlink>
    </w:p>
    <w:p w14:paraId="25C8491C" w14:textId="77777777" w:rsidR="00AD47A0" w:rsidRPr="00116940" w:rsidRDefault="00AD47A0" w:rsidP="00AD47A0">
      <w:pPr>
        <w:spacing w:after="0" w:line="240" w:lineRule="auto"/>
        <w:ind w:left="720"/>
        <w:jc w:val="both"/>
        <w:rPr>
          <w:rFonts w:ascii="Verdana" w:hAnsi="Verdana"/>
        </w:rPr>
      </w:pPr>
    </w:p>
    <w:p w14:paraId="0FA97225" w14:textId="77777777" w:rsidR="00AD47A0" w:rsidRPr="00116940" w:rsidRDefault="00AD47A0" w:rsidP="00AD47A0">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21"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728CA70B" w14:textId="77777777" w:rsidR="00AD47A0" w:rsidRPr="00116940" w:rsidRDefault="00AD47A0" w:rsidP="00AD47A0">
      <w:pPr>
        <w:spacing w:after="0" w:line="240" w:lineRule="auto"/>
        <w:rPr>
          <w:rFonts w:ascii="Verdana" w:hAnsi="Verdana"/>
        </w:rPr>
      </w:pPr>
    </w:p>
    <w:p w14:paraId="18F13447" w14:textId="77777777" w:rsidR="00AD47A0" w:rsidRPr="00116940" w:rsidRDefault="00AD47A0" w:rsidP="00AD47A0">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786F5531" w14:textId="77777777" w:rsidR="00AD47A0" w:rsidRPr="00116940" w:rsidRDefault="00AD47A0" w:rsidP="00AD47A0">
      <w:pPr>
        <w:spacing w:after="0" w:line="240" w:lineRule="auto"/>
        <w:jc w:val="both"/>
        <w:rPr>
          <w:rFonts w:ascii="Verdana" w:hAnsi="Verdana"/>
        </w:rPr>
      </w:pPr>
    </w:p>
    <w:p w14:paraId="62242AFD" w14:textId="77777777" w:rsidR="00AD47A0" w:rsidRPr="00116940" w:rsidRDefault="00AD47A0" w:rsidP="00AD47A0">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0922539" w14:textId="77777777" w:rsidR="00AD47A0" w:rsidRPr="00116940" w:rsidRDefault="00AD47A0" w:rsidP="00AD47A0">
      <w:pPr>
        <w:spacing w:after="0" w:line="240"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21AAB21B" w14:textId="77777777" w:rsidR="00AD47A0" w:rsidRPr="00116940" w:rsidRDefault="00AD47A0" w:rsidP="00AD47A0">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2C7F8AB4" w14:textId="77777777" w:rsidR="00AD47A0" w:rsidRPr="00116940" w:rsidRDefault="00AD47A0" w:rsidP="00AD47A0">
      <w:pPr>
        <w:spacing w:after="0" w:line="240" w:lineRule="auto"/>
        <w:jc w:val="both"/>
        <w:rPr>
          <w:rFonts w:ascii="Verdana" w:hAnsi="Verdana"/>
        </w:rPr>
      </w:pPr>
    </w:p>
    <w:p w14:paraId="33F8ED83" w14:textId="77777777" w:rsidR="00AD47A0" w:rsidRPr="009037F6" w:rsidRDefault="00AD47A0" w:rsidP="00AD47A0">
      <w:pPr>
        <w:spacing w:after="0" w:line="256" w:lineRule="auto"/>
        <w:jc w:val="both"/>
        <w:rPr>
          <w:rFonts w:ascii="Verdana" w:eastAsia="Calibri" w:hAnsi="Verdana" w:cs="Times New Roman"/>
          <w:bCs/>
          <w:lang w:val="es-ES_tradnl"/>
        </w:rPr>
      </w:pPr>
      <w:r w:rsidRPr="009037F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FBC976C" w14:textId="77777777" w:rsidR="00AD47A0" w:rsidRPr="00492C4A" w:rsidRDefault="00AD47A0" w:rsidP="00AD47A0">
      <w:pPr>
        <w:spacing w:after="0" w:line="256" w:lineRule="auto"/>
        <w:jc w:val="both"/>
        <w:rPr>
          <w:rFonts w:ascii="Verdana" w:eastAsia="Calibri" w:hAnsi="Verdana" w:cs="Times New Roman"/>
          <w:lang w:val="es-ES_tradnl"/>
        </w:rPr>
      </w:pPr>
    </w:p>
    <w:p w14:paraId="310A0C76" w14:textId="77777777" w:rsidR="00AD47A0" w:rsidRDefault="00AD47A0" w:rsidP="00AD47A0">
      <w:pPr>
        <w:spacing w:after="0" w:line="256" w:lineRule="auto"/>
        <w:jc w:val="both"/>
        <w:rPr>
          <w:rFonts w:ascii="Verdana" w:eastAsia="Calibri" w:hAnsi="Verdana" w:cs="Times New Roman"/>
        </w:rPr>
      </w:pPr>
      <w:r w:rsidRPr="009037F6">
        <w:rPr>
          <w:rFonts w:ascii="Verdana" w:eastAsia="Calibri" w:hAnsi="Verdana" w:cs="Times New Roman"/>
        </w:rPr>
        <w:t>Atentamente,</w:t>
      </w:r>
    </w:p>
    <w:p w14:paraId="698CD904" w14:textId="77777777" w:rsidR="00AD47A0" w:rsidRDefault="00AD47A0" w:rsidP="00AD47A0">
      <w:pPr>
        <w:spacing w:after="0" w:line="256" w:lineRule="auto"/>
        <w:jc w:val="both"/>
        <w:rPr>
          <w:rFonts w:ascii="Verdana" w:eastAsia="Calibri" w:hAnsi="Verdana" w:cs="Times New Roman"/>
        </w:rPr>
      </w:pPr>
    </w:p>
    <w:p w14:paraId="5B6E5999" w14:textId="7AAD88AF" w:rsidR="00AD47A0" w:rsidRPr="00286830" w:rsidRDefault="00DD4531" w:rsidP="00AD47A0">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6E618AFF" wp14:editId="147F6389">
            <wp:extent cx="3279140" cy="1250731"/>
            <wp:effectExtent l="0" t="0" r="0" b="698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2"/>
                    <a:stretch>
                      <a:fillRect/>
                    </a:stretch>
                  </pic:blipFill>
                  <pic:spPr>
                    <a:xfrm>
                      <a:off x="0" y="0"/>
                      <a:ext cx="3314926" cy="1264381"/>
                    </a:xfrm>
                    <a:prstGeom prst="rect">
                      <a:avLst/>
                    </a:prstGeom>
                  </pic:spPr>
                </pic:pic>
              </a:graphicData>
            </a:graphic>
          </wp:inline>
        </w:drawing>
      </w:r>
      <w:r w:rsidR="00AD47A0" w:rsidRPr="00FD1DDC">
        <w:rPr>
          <w:rFonts w:ascii="Verdana" w:hAnsi="Verdana"/>
          <w:sz w:val="16"/>
          <w:szCs w:val="16"/>
        </w:rPr>
        <w:t xml:space="preserve"> </w:t>
      </w:r>
    </w:p>
    <w:p w14:paraId="3370390B" w14:textId="77777777" w:rsidR="00AD47A0" w:rsidRPr="00286830" w:rsidRDefault="00AD47A0" w:rsidP="00AD47A0">
      <w:pPr>
        <w:spacing w:after="0" w:line="256" w:lineRule="auto"/>
        <w:jc w:val="center"/>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AD47A0" w:rsidRPr="00286830" w14:paraId="01CF35B3" w14:textId="77777777" w:rsidTr="00B7019D">
        <w:trPr>
          <w:trHeight w:val="409"/>
        </w:trPr>
        <w:tc>
          <w:tcPr>
            <w:tcW w:w="817" w:type="dxa"/>
            <w:tcBorders>
              <w:top w:val="nil"/>
              <w:left w:val="nil"/>
              <w:bottom w:val="nil"/>
              <w:right w:val="nil"/>
            </w:tcBorders>
            <w:vAlign w:val="center"/>
            <w:hideMark/>
          </w:tcPr>
          <w:p w14:paraId="73493B80" w14:textId="77777777" w:rsidR="00AD47A0" w:rsidRPr="00286830" w:rsidRDefault="00AD47A0" w:rsidP="00B7019D">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5B7C9BE7" w14:textId="77777777" w:rsidR="00AD47A0" w:rsidRPr="00286830" w:rsidRDefault="00AD47A0" w:rsidP="00B7019D">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José Luis Sánchez Cardona</w:t>
            </w:r>
          </w:p>
          <w:p w14:paraId="5675D73D" w14:textId="77777777" w:rsidR="00AD47A0" w:rsidRPr="00286830" w:rsidRDefault="00AD47A0" w:rsidP="00B7019D">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Contratista de la Subdirección de Gestión Contractual</w:t>
            </w:r>
          </w:p>
        </w:tc>
      </w:tr>
      <w:tr w:rsidR="00AD47A0" w:rsidRPr="00286830" w14:paraId="7B8B0A4E" w14:textId="77777777" w:rsidTr="00B7019D">
        <w:trPr>
          <w:trHeight w:val="409"/>
        </w:trPr>
        <w:tc>
          <w:tcPr>
            <w:tcW w:w="817" w:type="dxa"/>
            <w:tcBorders>
              <w:top w:val="nil"/>
              <w:left w:val="nil"/>
              <w:bottom w:val="nil"/>
              <w:right w:val="nil"/>
            </w:tcBorders>
            <w:vAlign w:val="center"/>
            <w:hideMark/>
          </w:tcPr>
          <w:p w14:paraId="054BD525" w14:textId="77777777" w:rsidR="00AD47A0" w:rsidRPr="00286830" w:rsidRDefault="00AD47A0" w:rsidP="00B7019D">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493C9A00" w14:textId="77777777" w:rsidR="00AD47A0" w:rsidRPr="00286830" w:rsidRDefault="00AD47A0" w:rsidP="00B7019D">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 xml:space="preserve">Alejandro </w:t>
            </w:r>
            <w:r>
              <w:rPr>
                <w:rFonts w:ascii="Verdana" w:eastAsia="Calibri" w:hAnsi="Verdana" w:cs="Times New Roman"/>
                <w:sz w:val="16"/>
                <w:szCs w:val="16"/>
              </w:rPr>
              <w:t xml:space="preserve">R. </w:t>
            </w:r>
            <w:r w:rsidRPr="00286830">
              <w:rPr>
                <w:rFonts w:ascii="Verdana" w:eastAsia="Calibri" w:hAnsi="Verdana" w:cs="Times New Roman"/>
                <w:sz w:val="16"/>
                <w:szCs w:val="16"/>
              </w:rPr>
              <w:t>Sarmiento Cantillo</w:t>
            </w:r>
          </w:p>
          <w:p w14:paraId="34ECCD41" w14:textId="77777777" w:rsidR="00AD47A0" w:rsidRPr="00286830" w:rsidRDefault="00AD47A0" w:rsidP="00B7019D">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Gestor T1-15 de la Subdirección de Gestión Contractual </w:t>
            </w:r>
          </w:p>
        </w:tc>
      </w:tr>
      <w:tr w:rsidR="00AD47A0" w:rsidRPr="00286830" w14:paraId="79766D24" w14:textId="77777777" w:rsidTr="00B7019D">
        <w:trPr>
          <w:trHeight w:val="389"/>
        </w:trPr>
        <w:tc>
          <w:tcPr>
            <w:tcW w:w="817" w:type="dxa"/>
            <w:tcBorders>
              <w:top w:val="nil"/>
              <w:left w:val="nil"/>
              <w:bottom w:val="nil"/>
              <w:right w:val="nil"/>
            </w:tcBorders>
            <w:vAlign w:val="center"/>
            <w:hideMark/>
          </w:tcPr>
          <w:p w14:paraId="20174E6B" w14:textId="77777777" w:rsidR="00AD47A0" w:rsidRPr="00286830" w:rsidRDefault="00AD47A0" w:rsidP="00B7019D">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392830EB" w14:textId="77777777" w:rsidR="00AD47A0" w:rsidRPr="00286830" w:rsidRDefault="00AD47A0" w:rsidP="00B7019D">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Carolina Quintero Gacharná</w:t>
            </w:r>
          </w:p>
          <w:p w14:paraId="55E97D3D" w14:textId="77777777" w:rsidR="00AD47A0" w:rsidRPr="00286830" w:rsidRDefault="00AD47A0" w:rsidP="00B7019D">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Subdirectora de Gestión Contractual ANCP – CCE</w:t>
            </w:r>
          </w:p>
        </w:tc>
      </w:tr>
      <w:bookmarkEnd w:id="0"/>
    </w:tbl>
    <w:p w14:paraId="4F45F211" w14:textId="77777777" w:rsidR="00AD47A0" w:rsidRPr="0024624F" w:rsidRDefault="00AD47A0" w:rsidP="00AD47A0">
      <w:pPr>
        <w:spacing w:after="0"/>
        <w:rPr>
          <w:rFonts w:ascii="Verdana" w:hAnsi="Verdana"/>
        </w:rPr>
      </w:pPr>
    </w:p>
    <w:p w14:paraId="41FD1E17" w14:textId="75D28F62" w:rsidR="004674CF" w:rsidRPr="00AD47A0" w:rsidRDefault="004674CF" w:rsidP="00AD47A0"/>
    <w:sectPr w:rsidR="004674CF" w:rsidRPr="00AD47A0" w:rsidSect="007C0C0F">
      <w:headerReference w:type="default" r:id="rId23"/>
      <w:footerReference w:type="default" r:id="rId2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6676FE" w14:textId="77777777" w:rsidR="004F1B18" w:rsidRDefault="004F1B18" w:rsidP="004A1847">
      <w:pPr>
        <w:spacing w:after="0" w:line="240" w:lineRule="auto"/>
      </w:pPr>
      <w:r>
        <w:separator/>
      </w:r>
    </w:p>
  </w:endnote>
  <w:endnote w:type="continuationSeparator" w:id="0">
    <w:p w14:paraId="35B4117D" w14:textId="77777777" w:rsidR="004F1B18" w:rsidRDefault="004F1B18" w:rsidP="004A1847">
      <w:pPr>
        <w:spacing w:after="0" w:line="240" w:lineRule="auto"/>
      </w:pPr>
      <w:r>
        <w:continuationSeparator/>
      </w:r>
    </w:p>
  </w:endnote>
  <w:endnote w:type="continuationNotice" w:id="1">
    <w:p w14:paraId="6E850F77" w14:textId="77777777" w:rsidR="004F1B18" w:rsidRDefault="004F1B1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594CE9" w:rsidRDefault="00594CE9">
    <w:pPr>
      <w:pStyle w:val="Piedepgina"/>
    </w:pPr>
  </w:p>
  <w:p w14:paraId="594D6D9F" w14:textId="1A552853" w:rsidR="00594CE9" w:rsidRPr="00174B77" w:rsidRDefault="00594CE9"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524F5F" w:rsidRPr="00524F5F">
      <w:rPr>
        <w:rFonts w:ascii="Verdana" w:eastAsiaTheme="minorEastAsia" w:hAnsi="Verdana"/>
        <w:b/>
        <w:bCs/>
        <w:noProof/>
        <w:sz w:val="16"/>
        <w:szCs w:val="16"/>
      </w:rPr>
      <w:t>4</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594CE9" w:rsidRDefault="00594CE9"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594CE9" w:rsidRPr="00E41027" w:rsidRDefault="00594CE9"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594CE9" w:rsidRDefault="00594CE9"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5079C9" w14:textId="77777777" w:rsidR="004F1B18" w:rsidRDefault="004F1B18" w:rsidP="004A1847">
      <w:pPr>
        <w:spacing w:after="0" w:line="240" w:lineRule="auto"/>
      </w:pPr>
      <w:r>
        <w:separator/>
      </w:r>
    </w:p>
  </w:footnote>
  <w:footnote w:type="continuationSeparator" w:id="0">
    <w:p w14:paraId="53DCCAA1" w14:textId="77777777" w:rsidR="004F1B18" w:rsidRDefault="004F1B18" w:rsidP="004A1847">
      <w:pPr>
        <w:spacing w:after="0" w:line="240" w:lineRule="auto"/>
      </w:pPr>
      <w:r>
        <w:continuationSeparator/>
      </w:r>
    </w:p>
  </w:footnote>
  <w:footnote w:type="continuationNotice" w:id="1">
    <w:p w14:paraId="031E1FD5" w14:textId="77777777" w:rsidR="004F1B18" w:rsidRDefault="004F1B18">
      <w:pPr>
        <w:spacing w:after="0" w:line="240" w:lineRule="auto"/>
      </w:pPr>
    </w:p>
  </w:footnote>
  <w:footnote w:id="2">
    <w:p w14:paraId="6CF461F4" w14:textId="77777777" w:rsidR="00AD47A0" w:rsidRPr="00DD4531" w:rsidRDefault="00AD47A0" w:rsidP="00AD47A0">
      <w:pPr>
        <w:pStyle w:val="Textonotapie"/>
        <w:ind w:firstLine="709"/>
        <w:jc w:val="both"/>
        <w:rPr>
          <w:rFonts w:ascii="Verdana" w:hAnsi="Verdana" w:cs="Arial"/>
          <w:sz w:val="16"/>
          <w:szCs w:val="16"/>
        </w:rPr>
      </w:pPr>
      <w:r w:rsidRPr="00DD4531">
        <w:rPr>
          <w:rStyle w:val="Refdenotaalpie"/>
          <w:rFonts w:ascii="Verdana" w:hAnsi="Verdana" w:cs="Arial"/>
          <w:sz w:val="16"/>
          <w:szCs w:val="16"/>
        </w:rPr>
        <w:footnoteRef/>
      </w:r>
      <w:r w:rsidRPr="00DD4531">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65EBE54" w14:textId="77777777" w:rsidR="00AD47A0" w:rsidRPr="00DD4531" w:rsidRDefault="00AD47A0" w:rsidP="00AD47A0">
      <w:pPr>
        <w:pStyle w:val="Textonotapie"/>
        <w:ind w:firstLine="709"/>
        <w:jc w:val="both"/>
        <w:rPr>
          <w:rFonts w:ascii="Verdana" w:hAnsi="Verdana" w:cs="Arial"/>
          <w:sz w:val="16"/>
          <w:szCs w:val="16"/>
        </w:rPr>
      </w:pPr>
      <w:r w:rsidRPr="00DD4531">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2BB8A3EA" w14:textId="77777777" w:rsidR="00AD47A0" w:rsidRPr="00DD4531" w:rsidRDefault="00AD47A0" w:rsidP="00AD47A0">
      <w:pPr>
        <w:pStyle w:val="Textonotapie"/>
        <w:ind w:firstLine="709"/>
        <w:jc w:val="both"/>
        <w:rPr>
          <w:rFonts w:ascii="Verdana" w:hAnsi="Verdana" w:cs="Arial"/>
          <w:sz w:val="16"/>
          <w:szCs w:val="16"/>
        </w:rPr>
      </w:pPr>
      <w:r w:rsidRPr="00DD4531">
        <w:rPr>
          <w:rStyle w:val="Refdenotaalpie"/>
          <w:rFonts w:ascii="Verdana" w:hAnsi="Verdana" w:cs="Arial"/>
          <w:sz w:val="16"/>
          <w:szCs w:val="16"/>
        </w:rPr>
        <w:footnoteRef/>
      </w:r>
      <w:r w:rsidRPr="00DD4531">
        <w:rPr>
          <w:rFonts w:ascii="Verdana" w:hAnsi="Verdana" w:cs="Arial"/>
          <w:sz w:val="16"/>
          <w:szCs w:val="16"/>
        </w:rPr>
        <w:t xml:space="preserve"> Gaceta del Congreso de la República No. 71 del 2005.</w:t>
      </w:r>
    </w:p>
  </w:footnote>
  <w:footnote w:id="4">
    <w:p w14:paraId="6575042C" w14:textId="77777777" w:rsidR="00AD47A0" w:rsidRPr="00DD4531" w:rsidRDefault="00AD47A0" w:rsidP="00AD47A0">
      <w:pPr>
        <w:pStyle w:val="Textonotapie"/>
        <w:ind w:firstLine="709"/>
        <w:jc w:val="both"/>
        <w:rPr>
          <w:rFonts w:ascii="Verdana" w:hAnsi="Verdana" w:cs="Arial"/>
          <w:sz w:val="16"/>
          <w:szCs w:val="16"/>
          <w:lang w:val="pt-BR"/>
        </w:rPr>
      </w:pPr>
      <w:r w:rsidRPr="00DD4531">
        <w:rPr>
          <w:rStyle w:val="Refdenotaalpie"/>
          <w:rFonts w:ascii="Verdana" w:hAnsi="Verdana" w:cs="Arial"/>
          <w:sz w:val="16"/>
          <w:szCs w:val="16"/>
        </w:rPr>
        <w:footnoteRef/>
      </w:r>
      <w:r w:rsidRPr="00DD4531">
        <w:rPr>
          <w:rFonts w:ascii="Verdana" w:hAnsi="Verdana" w:cs="Arial"/>
          <w:sz w:val="16"/>
          <w:szCs w:val="16"/>
          <w:lang w:val="pt-BR"/>
        </w:rPr>
        <w:t xml:space="preserve"> Corte Constitucional, Sentencia C- 1153 de 2005, M.P. Marco Gerardo Monroy Cabra.</w:t>
      </w:r>
    </w:p>
  </w:footnote>
  <w:footnote w:id="5">
    <w:p w14:paraId="552E06B7" w14:textId="77777777" w:rsidR="00AD47A0" w:rsidRPr="00DD4531" w:rsidRDefault="00AD47A0" w:rsidP="00AD47A0">
      <w:pPr>
        <w:pStyle w:val="Textonotapie"/>
        <w:ind w:firstLine="709"/>
        <w:jc w:val="both"/>
        <w:rPr>
          <w:rFonts w:ascii="Verdana" w:hAnsi="Verdana" w:cs="Arial"/>
          <w:sz w:val="16"/>
          <w:szCs w:val="16"/>
          <w:lang w:val="pt-BR"/>
        </w:rPr>
      </w:pPr>
      <w:r w:rsidRPr="00DD4531">
        <w:rPr>
          <w:rStyle w:val="Refdenotaalpie"/>
          <w:rFonts w:ascii="Verdana" w:hAnsi="Verdana" w:cs="Arial"/>
          <w:sz w:val="16"/>
          <w:szCs w:val="16"/>
        </w:rPr>
        <w:footnoteRef/>
      </w:r>
      <w:r w:rsidRPr="00DD4531">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61C4888C" w14:textId="77777777" w:rsidR="00AD47A0" w:rsidRPr="00DD4531" w:rsidRDefault="00AD47A0" w:rsidP="00AD47A0">
      <w:pPr>
        <w:pStyle w:val="Textonotapie"/>
        <w:ind w:firstLine="709"/>
        <w:jc w:val="both"/>
        <w:rPr>
          <w:rFonts w:ascii="Verdana" w:hAnsi="Verdana" w:cs="Arial"/>
          <w:sz w:val="16"/>
          <w:szCs w:val="16"/>
          <w:lang w:val="es-CO"/>
        </w:rPr>
      </w:pPr>
      <w:r w:rsidRPr="00DD4531">
        <w:rPr>
          <w:rStyle w:val="Refdenotaalpie"/>
          <w:rFonts w:ascii="Verdana" w:hAnsi="Verdana" w:cs="Arial"/>
          <w:sz w:val="16"/>
          <w:szCs w:val="16"/>
        </w:rPr>
        <w:footnoteRef/>
      </w:r>
      <w:r w:rsidRPr="00DD4531">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4BB75C8B" w14:textId="77777777" w:rsidR="00AD47A0" w:rsidRPr="00DD4531" w:rsidRDefault="00AD47A0" w:rsidP="00AD47A0">
      <w:pPr>
        <w:pStyle w:val="Textonotapie"/>
        <w:ind w:firstLine="709"/>
        <w:jc w:val="both"/>
        <w:rPr>
          <w:rFonts w:ascii="Verdana" w:hAnsi="Verdana" w:cs="Arial"/>
          <w:sz w:val="16"/>
          <w:szCs w:val="16"/>
        </w:rPr>
      </w:pPr>
      <w:r w:rsidRPr="00DD4531">
        <w:rPr>
          <w:rStyle w:val="Refdenotaalpie"/>
          <w:rFonts w:ascii="Verdana" w:hAnsi="Verdana" w:cs="Arial"/>
          <w:sz w:val="16"/>
          <w:szCs w:val="16"/>
        </w:rPr>
        <w:footnoteRef/>
      </w:r>
      <w:r w:rsidRPr="00DD4531">
        <w:rPr>
          <w:rFonts w:ascii="Verdana" w:hAnsi="Verdana" w:cs="Arial"/>
          <w:sz w:val="16"/>
          <w:szCs w:val="16"/>
        </w:rPr>
        <w:t xml:space="preserve"> Consejo de Estado, Sala de Consulta y Servicio Civil de fecha 24 de julio de 2013, radicado 2166, C. P. Álvaro Namén Vargas.  </w:t>
      </w:r>
    </w:p>
  </w:footnote>
  <w:footnote w:id="8">
    <w:p w14:paraId="546619BC" w14:textId="77777777" w:rsidR="00AD47A0" w:rsidRPr="00DD4531" w:rsidRDefault="00AD47A0" w:rsidP="00AD47A0">
      <w:pPr>
        <w:spacing w:after="0" w:line="240" w:lineRule="auto"/>
        <w:ind w:firstLine="709"/>
        <w:jc w:val="both"/>
        <w:rPr>
          <w:rFonts w:ascii="Verdana" w:eastAsia="Times New Roman" w:hAnsi="Verdana" w:cs="Arial"/>
          <w:sz w:val="16"/>
          <w:szCs w:val="16"/>
        </w:rPr>
      </w:pPr>
      <w:r w:rsidRPr="00DD4531">
        <w:rPr>
          <w:rStyle w:val="Refdenotaalpie"/>
          <w:rFonts w:ascii="Verdana" w:hAnsi="Verdana" w:cs="Arial"/>
          <w:sz w:val="16"/>
          <w:szCs w:val="16"/>
        </w:rPr>
        <w:footnoteRef/>
      </w:r>
      <w:r w:rsidRPr="00DD4531">
        <w:rPr>
          <w:rFonts w:ascii="Verdana" w:hAnsi="Verdana" w:cs="Arial"/>
          <w:sz w:val="16"/>
          <w:szCs w:val="16"/>
        </w:rPr>
        <w:t xml:space="preserve"> </w:t>
      </w:r>
      <w:bookmarkStart w:id="7" w:name="33"/>
      <w:r w:rsidRPr="00DD4531">
        <w:rPr>
          <w:rFonts w:ascii="Verdana" w:eastAsia="Calibri" w:hAnsi="Verdana" w:cs="Arial"/>
          <w:color w:val="000000"/>
          <w:sz w:val="16"/>
          <w:szCs w:val="16"/>
        </w:rPr>
        <w:t>“</w:t>
      </w:r>
      <w:r w:rsidRPr="00DD4531">
        <w:rPr>
          <w:rFonts w:ascii="Verdana" w:eastAsia="Times New Roman" w:hAnsi="Verdana" w:cs="Arial"/>
          <w:sz w:val="16"/>
          <w:szCs w:val="16"/>
        </w:rPr>
        <w:t>Artículo 33. Restricciones a la contratación pública.</w:t>
      </w:r>
      <w:bookmarkEnd w:id="7"/>
      <w:r w:rsidRPr="00DD4531">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6BF627F2" w14:textId="77777777" w:rsidR="00AD47A0" w:rsidRPr="00DD4531" w:rsidRDefault="00AD47A0" w:rsidP="00AD47A0">
      <w:pPr>
        <w:spacing w:after="0" w:line="240" w:lineRule="auto"/>
        <w:ind w:firstLine="709"/>
        <w:jc w:val="both"/>
        <w:rPr>
          <w:rFonts w:ascii="Verdana" w:eastAsia="Times New Roman" w:hAnsi="Verdana" w:cs="Arial"/>
          <w:sz w:val="16"/>
          <w:szCs w:val="16"/>
        </w:rPr>
      </w:pPr>
      <w:r w:rsidRPr="00DD4531">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DD4531">
        <w:rPr>
          <w:rFonts w:ascii="Verdana" w:eastAsia="Calibri" w:hAnsi="Verdana" w:cs="Arial"/>
          <w:color w:val="000000"/>
          <w:sz w:val="16"/>
          <w:szCs w:val="16"/>
        </w:rPr>
        <w:t>”</w:t>
      </w:r>
      <w:r w:rsidRPr="00DD4531">
        <w:rPr>
          <w:rFonts w:ascii="Verdana" w:eastAsia="Times New Roman" w:hAnsi="Verdana" w:cs="Arial"/>
          <w:sz w:val="16"/>
          <w:szCs w:val="16"/>
        </w:rPr>
        <w:t>.</w:t>
      </w:r>
    </w:p>
  </w:footnote>
  <w:footnote w:id="9">
    <w:p w14:paraId="5D676945" w14:textId="77777777" w:rsidR="00AD47A0" w:rsidRPr="00DD4531" w:rsidRDefault="00AD47A0" w:rsidP="00AD47A0">
      <w:pPr>
        <w:pStyle w:val="NormalWeb"/>
        <w:spacing w:before="0" w:beforeAutospacing="0" w:after="0" w:afterAutospacing="0"/>
        <w:ind w:firstLine="709"/>
        <w:jc w:val="both"/>
        <w:rPr>
          <w:rFonts w:ascii="Verdana" w:hAnsi="Verdana" w:cs="Arial"/>
          <w:sz w:val="16"/>
          <w:szCs w:val="16"/>
          <w:lang w:val="es-MX"/>
        </w:rPr>
      </w:pPr>
      <w:r w:rsidRPr="00DD4531">
        <w:rPr>
          <w:rStyle w:val="Refdenotaalpie"/>
          <w:rFonts w:ascii="Verdana" w:hAnsi="Verdana" w:cs="Arial"/>
          <w:sz w:val="16"/>
          <w:szCs w:val="16"/>
        </w:rPr>
        <w:footnoteRef/>
      </w:r>
      <w:r w:rsidRPr="00DD4531">
        <w:rPr>
          <w:rFonts w:ascii="Verdana" w:hAnsi="Verdana" w:cs="Arial"/>
          <w:sz w:val="16"/>
          <w:szCs w:val="16"/>
        </w:rPr>
        <w:t xml:space="preserve"> </w:t>
      </w:r>
      <w:bookmarkStart w:id="8" w:name="38"/>
      <w:r w:rsidRPr="00DD4531">
        <w:rPr>
          <w:rFonts w:ascii="Verdana" w:eastAsia="Calibri" w:hAnsi="Verdana" w:cs="Arial"/>
          <w:color w:val="000000"/>
          <w:sz w:val="16"/>
          <w:szCs w:val="16"/>
        </w:rPr>
        <w:t>“</w:t>
      </w:r>
      <w:r w:rsidRPr="00DD4531">
        <w:rPr>
          <w:rFonts w:ascii="Verdana" w:hAnsi="Verdana" w:cs="Arial"/>
          <w:sz w:val="16"/>
          <w:szCs w:val="16"/>
          <w:lang w:val="es-MX"/>
        </w:rPr>
        <w:t>Artículo 38. Prohibiciones para los servidores públicos. A los empleados del Estado les está prohibido:</w:t>
      </w:r>
      <w:bookmarkEnd w:id="8"/>
      <w:r w:rsidRPr="00DD4531">
        <w:rPr>
          <w:rFonts w:ascii="Verdana" w:hAnsi="Verdana" w:cs="Arial"/>
          <w:sz w:val="16"/>
          <w:szCs w:val="16"/>
          <w:lang w:val="es-MX"/>
        </w:rPr>
        <w:t xml:space="preserve"> […]</w:t>
      </w:r>
    </w:p>
    <w:p w14:paraId="633E6DBB" w14:textId="77777777" w:rsidR="00AD47A0" w:rsidRPr="00DD4531" w:rsidRDefault="00AD47A0" w:rsidP="00AD47A0">
      <w:pPr>
        <w:pStyle w:val="NormalWeb"/>
        <w:spacing w:before="0" w:beforeAutospacing="0" w:after="0" w:afterAutospacing="0"/>
        <w:ind w:firstLine="709"/>
        <w:jc w:val="both"/>
        <w:rPr>
          <w:rFonts w:ascii="Verdana" w:hAnsi="Verdana" w:cs="Arial"/>
          <w:sz w:val="16"/>
          <w:szCs w:val="16"/>
          <w:lang w:val="es-MX"/>
        </w:rPr>
      </w:pPr>
      <w:r w:rsidRPr="00DD4531">
        <w:rPr>
          <w:rStyle w:val="baj"/>
          <w:rFonts w:ascii="Verdana" w:hAnsi="Verdana" w:cs="Arial"/>
          <w:sz w:val="16"/>
          <w:szCs w:val="16"/>
          <w:lang w:val="es-MX"/>
        </w:rPr>
        <w:t>Parágrafo.</w:t>
      </w:r>
      <w:r w:rsidRPr="00DD4531">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DD4531">
        <w:rPr>
          <w:rFonts w:ascii="Verdana" w:eastAsia="Calibri" w:hAnsi="Verdana" w:cs="Arial"/>
          <w:color w:val="000000"/>
          <w:sz w:val="16"/>
          <w:szCs w:val="16"/>
        </w:rPr>
        <w:t>”</w:t>
      </w:r>
      <w:r w:rsidRPr="00DD4531">
        <w:rPr>
          <w:rFonts w:ascii="Verdana" w:hAnsi="Verdana" w:cs="Arial"/>
          <w:sz w:val="16"/>
          <w:szCs w:val="16"/>
          <w:lang w:val="es-MX"/>
        </w:rPr>
        <w:t>.</w:t>
      </w:r>
    </w:p>
  </w:footnote>
  <w:footnote w:id="10">
    <w:p w14:paraId="6D048DD3" w14:textId="77777777" w:rsidR="00AD47A0" w:rsidRPr="00DD4531" w:rsidRDefault="00AD47A0" w:rsidP="00AD47A0">
      <w:pPr>
        <w:pStyle w:val="Textonotapie"/>
        <w:ind w:firstLine="708"/>
        <w:jc w:val="both"/>
        <w:rPr>
          <w:rFonts w:ascii="Verdana" w:hAnsi="Verdana" w:cs="Arial"/>
          <w:sz w:val="16"/>
          <w:szCs w:val="16"/>
        </w:rPr>
      </w:pPr>
      <w:r w:rsidRPr="00DD4531">
        <w:rPr>
          <w:rStyle w:val="Refdenotaalpie"/>
          <w:rFonts w:ascii="Verdana" w:hAnsi="Verdana" w:cs="Arial"/>
          <w:sz w:val="16"/>
          <w:szCs w:val="16"/>
        </w:rPr>
        <w:footnoteRef/>
      </w:r>
      <w:r w:rsidRPr="00DD4531">
        <w:rPr>
          <w:rFonts w:ascii="Verdana" w:hAnsi="Verdana" w:cs="Arial"/>
          <w:sz w:val="16"/>
          <w:szCs w:val="16"/>
        </w:rPr>
        <w:t xml:space="preserve"> Colombia Compra Eficiente. Circular Externa Única. Numeral 16.5. </w:t>
      </w:r>
    </w:p>
  </w:footnote>
  <w:footnote w:id="11">
    <w:p w14:paraId="62C1D142" w14:textId="77777777" w:rsidR="00AD47A0" w:rsidRPr="00DD4531" w:rsidRDefault="00AD47A0" w:rsidP="00AD47A0">
      <w:pPr>
        <w:spacing w:after="0" w:line="240" w:lineRule="auto"/>
        <w:ind w:left="100" w:right="244" w:firstLine="608"/>
        <w:jc w:val="both"/>
        <w:rPr>
          <w:rFonts w:ascii="Verdana" w:hAnsi="Verdana" w:cs="Arial"/>
          <w:sz w:val="16"/>
          <w:szCs w:val="16"/>
          <w:lang w:val="es-ES"/>
        </w:rPr>
      </w:pPr>
      <w:r w:rsidRPr="00DD4531">
        <w:rPr>
          <w:rStyle w:val="Refdenotaalpie"/>
          <w:rFonts w:ascii="Verdana" w:hAnsi="Verdana" w:cs="Arial"/>
          <w:sz w:val="16"/>
          <w:szCs w:val="16"/>
        </w:rPr>
        <w:footnoteRef/>
      </w:r>
      <w:r w:rsidRPr="00DD4531">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2">
    <w:p w14:paraId="4085C9B0" w14:textId="77777777" w:rsidR="00AD47A0" w:rsidRPr="00DD4531" w:rsidRDefault="00AD47A0" w:rsidP="00AD47A0">
      <w:pPr>
        <w:pStyle w:val="Textonotapie"/>
        <w:ind w:right="51" w:firstLine="709"/>
        <w:jc w:val="both"/>
        <w:rPr>
          <w:rFonts w:ascii="Verdana" w:hAnsi="Verdana" w:cs="Arial"/>
          <w:sz w:val="16"/>
          <w:szCs w:val="16"/>
        </w:rPr>
      </w:pPr>
      <w:r w:rsidRPr="00DD4531">
        <w:rPr>
          <w:rStyle w:val="Refdenotaalpie"/>
          <w:rFonts w:ascii="Verdana" w:hAnsi="Verdana" w:cs="Arial"/>
          <w:sz w:val="16"/>
          <w:szCs w:val="16"/>
        </w:rPr>
        <w:footnoteRef/>
      </w:r>
      <w:r w:rsidRPr="00DD4531">
        <w:rPr>
          <w:rFonts w:ascii="Verdana" w:hAnsi="Verdana" w:cs="Arial"/>
          <w:sz w:val="16"/>
          <w:szCs w:val="16"/>
        </w:rPr>
        <w:t xml:space="preserve"> “</w:t>
      </w:r>
      <w:r w:rsidRPr="00DD4531">
        <w:rPr>
          <w:rFonts w:ascii="Verdana" w:hAnsi="Verdana" w:cs="Arial"/>
          <w:sz w:val="16"/>
          <w:szCs w:val="16"/>
          <w:lang w:val="es-ES"/>
        </w:rPr>
        <w:t xml:space="preserve">[25] </w:t>
      </w:r>
      <w:r w:rsidRPr="00DD4531">
        <w:rPr>
          <w:rFonts w:ascii="Verdana" w:hAnsi="Verdana" w:cs="Arial"/>
          <w:sz w:val="16"/>
          <w:szCs w:val="16"/>
        </w:rPr>
        <w:t>Cfr. Consejo de Estado. Sección Tercera. Sentencia de 3 de diciembre de 2007. Radicados: 24.715, 25.206, 25.409, 24.524, 27.834, 25.410, 26.105, 28.244, 31.447 -acumulados-“.</w:t>
      </w:r>
    </w:p>
  </w:footnote>
  <w:footnote w:id="13">
    <w:p w14:paraId="67973050" w14:textId="77777777" w:rsidR="00AD47A0" w:rsidRPr="00DD4531" w:rsidRDefault="00AD47A0" w:rsidP="00AD47A0">
      <w:pPr>
        <w:pStyle w:val="Textonotapie"/>
        <w:ind w:right="51" w:firstLine="709"/>
        <w:jc w:val="both"/>
        <w:rPr>
          <w:rFonts w:ascii="Verdana" w:hAnsi="Verdana" w:cs="Arial"/>
          <w:sz w:val="16"/>
          <w:szCs w:val="16"/>
        </w:rPr>
      </w:pPr>
      <w:r w:rsidRPr="00DD4531">
        <w:rPr>
          <w:rStyle w:val="Refdenotaalpie"/>
          <w:rFonts w:ascii="Verdana" w:hAnsi="Verdana" w:cs="Arial"/>
          <w:sz w:val="16"/>
          <w:szCs w:val="16"/>
        </w:rPr>
        <w:footnoteRef/>
      </w:r>
      <w:r w:rsidRPr="00DD4531">
        <w:rPr>
          <w:rFonts w:ascii="Verdana" w:hAnsi="Verdana" w:cs="Arial"/>
          <w:sz w:val="16"/>
          <w:szCs w:val="16"/>
        </w:rPr>
        <w:t xml:space="preserve"> “</w:t>
      </w:r>
      <w:r w:rsidRPr="00DD4531">
        <w:rPr>
          <w:rFonts w:ascii="Verdana" w:hAnsi="Verdana" w:cs="Arial"/>
          <w:sz w:val="16"/>
          <w:szCs w:val="16"/>
          <w:lang w:val="es-ES"/>
        </w:rPr>
        <w:t xml:space="preserve">[26] </w:t>
      </w:r>
      <w:r w:rsidRPr="00DD4531">
        <w:rPr>
          <w:rFonts w:ascii="Verdana" w:hAnsi="Verdana" w:cs="Arial"/>
          <w:sz w:val="16"/>
          <w:szCs w:val="16"/>
        </w:rPr>
        <w:t>Al respecto ver el concepto 1712 de 2 de febrero de 2006. Consejo de Estado Sala de Consulta y Servicio Civil”.</w:t>
      </w:r>
    </w:p>
  </w:footnote>
  <w:footnote w:id="14">
    <w:p w14:paraId="2E2562ED" w14:textId="77777777" w:rsidR="00AD47A0" w:rsidRPr="00DD4531" w:rsidRDefault="00AD47A0" w:rsidP="00AD47A0">
      <w:pPr>
        <w:pStyle w:val="Textonotapie"/>
        <w:ind w:firstLine="709"/>
        <w:jc w:val="both"/>
        <w:rPr>
          <w:rFonts w:ascii="Verdana" w:hAnsi="Verdana" w:cs="Arial"/>
          <w:sz w:val="16"/>
          <w:szCs w:val="16"/>
        </w:rPr>
      </w:pPr>
      <w:r w:rsidRPr="00DD4531">
        <w:rPr>
          <w:rStyle w:val="Refdenotaalpie"/>
          <w:rFonts w:ascii="Verdana" w:hAnsi="Verdana" w:cs="Arial"/>
          <w:sz w:val="16"/>
          <w:szCs w:val="16"/>
        </w:rPr>
        <w:footnoteRef/>
      </w:r>
      <w:r w:rsidRPr="00DD4531">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5">
    <w:p w14:paraId="6B50ED38" w14:textId="77777777" w:rsidR="00AD47A0" w:rsidRPr="00DD4531" w:rsidRDefault="00AD47A0" w:rsidP="00AD47A0">
      <w:pPr>
        <w:pStyle w:val="Textonotapie"/>
        <w:ind w:firstLine="709"/>
        <w:jc w:val="both"/>
        <w:rPr>
          <w:rFonts w:ascii="Verdana" w:hAnsi="Verdana" w:cs="Arial"/>
          <w:sz w:val="16"/>
          <w:szCs w:val="16"/>
          <w:lang w:val="es-ES"/>
        </w:rPr>
      </w:pPr>
      <w:r w:rsidRPr="00DD4531">
        <w:rPr>
          <w:rStyle w:val="Refdenotaalpie"/>
          <w:rFonts w:ascii="Verdana" w:hAnsi="Verdana" w:cs="Arial"/>
          <w:sz w:val="16"/>
          <w:szCs w:val="16"/>
        </w:rPr>
        <w:footnoteRef/>
      </w:r>
      <w:r w:rsidRPr="00DD4531">
        <w:rPr>
          <w:rFonts w:ascii="Verdana" w:hAnsi="Verdana" w:cs="Arial"/>
          <w:sz w:val="16"/>
          <w:szCs w:val="16"/>
        </w:rPr>
        <w:t xml:space="preserve"> </w:t>
      </w:r>
      <w:r w:rsidRPr="00DD4531">
        <w:rPr>
          <w:rFonts w:ascii="Verdana" w:hAnsi="Verdana" w:cs="Arial"/>
          <w:sz w:val="16"/>
          <w:szCs w:val="16"/>
          <w:lang w:val="es-ES"/>
        </w:rPr>
        <w:t xml:space="preserve">Artículo 2. </w:t>
      </w:r>
    </w:p>
  </w:footnote>
  <w:footnote w:id="16">
    <w:p w14:paraId="1AA9765B" w14:textId="77777777" w:rsidR="00AD47A0" w:rsidRPr="00DD4531" w:rsidRDefault="00AD47A0" w:rsidP="00AD47A0">
      <w:pPr>
        <w:pStyle w:val="Textonotapie"/>
        <w:ind w:firstLine="709"/>
        <w:jc w:val="both"/>
        <w:rPr>
          <w:rFonts w:ascii="Verdana" w:hAnsi="Verdana" w:cs="Arial"/>
          <w:sz w:val="16"/>
          <w:szCs w:val="16"/>
          <w:lang w:val="es-ES"/>
        </w:rPr>
      </w:pPr>
      <w:r w:rsidRPr="00DD4531">
        <w:rPr>
          <w:rStyle w:val="Refdenotaalpie"/>
          <w:rFonts w:ascii="Verdana" w:hAnsi="Verdana" w:cs="Arial"/>
          <w:sz w:val="16"/>
          <w:szCs w:val="16"/>
        </w:rPr>
        <w:footnoteRef/>
      </w:r>
      <w:r w:rsidRPr="00DD4531">
        <w:rPr>
          <w:rFonts w:ascii="Verdana" w:hAnsi="Verdana" w:cs="Arial"/>
          <w:sz w:val="16"/>
          <w:szCs w:val="16"/>
        </w:rPr>
        <w:t xml:space="preserve"> </w:t>
      </w:r>
      <w:r w:rsidRPr="00DD4531">
        <w:rPr>
          <w:rFonts w:ascii="Verdana" w:hAnsi="Verdana" w:cs="Arial"/>
          <w:i/>
          <w:sz w:val="16"/>
          <w:szCs w:val="16"/>
          <w:lang w:val="es-ES"/>
        </w:rPr>
        <w:t>Ídem</w:t>
      </w:r>
      <w:r w:rsidRPr="00DD4531">
        <w:rPr>
          <w:rFonts w:ascii="Verdana" w:hAnsi="Verdana" w:cs="Arial"/>
          <w:sz w:val="16"/>
          <w:szCs w:val="16"/>
          <w:lang w:val="es-ES"/>
        </w:rPr>
        <w:t>.</w:t>
      </w:r>
    </w:p>
  </w:footnote>
  <w:footnote w:id="17">
    <w:p w14:paraId="722E4205" w14:textId="77777777" w:rsidR="00AD47A0" w:rsidRPr="00DD4531" w:rsidRDefault="00AD47A0" w:rsidP="00AD47A0">
      <w:pPr>
        <w:shd w:val="clear" w:color="auto" w:fill="FFFFFF"/>
        <w:spacing w:after="0" w:line="240" w:lineRule="auto"/>
        <w:ind w:firstLine="709"/>
        <w:jc w:val="both"/>
        <w:rPr>
          <w:rFonts w:ascii="Verdana" w:hAnsi="Verdana" w:cs="Arial"/>
          <w:sz w:val="16"/>
          <w:szCs w:val="16"/>
          <w:lang w:val="es-ES"/>
        </w:rPr>
      </w:pPr>
      <w:r w:rsidRPr="00DD4531">
        <w:rPr>
          <w:rStyle w:val="Refdenotaalpie"/>
          <w:rFonts w:ascii="Verdana" w:hAnsi="Verdana" w:cs="Arial"/>
          <w:sz w:val="16"/>
          <w:szCs w:val="16"/>
        </w:rPr>
        <w:footnoteRef/>
      </w:r>
      <w:r w:rsidRPr="00DD4531">
        <w:rPr>
          <w:rStyle w:val="Refdenotaalpie"/>
          <w:rFonts w:ascii="Verdana" w:hAnsi="Verdana" w:cs="Arial"/>
          <w:sz w:val="16"/>
          <w:szCs w:val="16"/>
        </w:rPr>
        <w:t xml:space="preserve"> </w:t>
      </w:r>
      <w:r w:rsidRPr="00DD4531">
        <w:rPr>
          <w:rFonts w:ascii="Verdana" w:hAnsi="Verdana" w:cs="Arial"/>
          <w:sz w:val="16"/>
          <w:szCs w:val="16"/>
          <w:lang w:val="es-ES"/>
        </w:rPr>
        <w:t>Consejo de Estado. Sala de Consulta y Servicio Civil, Concepto de 8 de mayo de 2018. C.P. Álvaro Namén Vargas. Rad. 2382.</w:t>
      </w:r>
    </w:p>
  </w:footnote>
  <w:footnote w:id="18">
    <w:p w14:paraId="73A7A629" w14:textId="77777777" w:rsidR="00AD47A0" w:rsidRPr="00DD4531" w:rsidRDefault="00AD47A0" w:rsidP="00AD47A0">
      <w:pPr>
        <w:pStyle w:val="Textonotapie"/>
        <w:ind w:firstLine="709"/>
        <w:jc w:val="both"/>
        <w:rPr>
          <w:rFonts w:ascii="Verdana" w:hAnsi="Verdana" w:cs="Arial"/>
          <w:sz w:val="16"/>
          <w:szCs w:val="16"/>
        </w:rPr>
      </w:pPr>
      <w:r w:rsidRPr="00DD4531">
        <w:rPr>
          <w:rStyle w:val="Refdenotaalpie"/>
          <w:rFonts w:ascii="Verdana" w:hAnsi="Verdana" w:cs="Arial"/>
          <w:sz w:val="16"/>
          <w:szCs w:val="16"/>
        </w:rPr>
        <w:footnoteRef/>
      </w:r>
      <w:r w:rsidRPr="00DD4531">
        <w:rPr>
          <w:rFonts w:ascii="Verdana" w:hAnsi="Verdana" w:cs="Arial"/>
          <w:sz w:val="16"/>
          <w:szCs w:val="16"/>
        </w:rPr>
        <w:t xml:space="preserve"> Consejo de Estado. Sala de Consulta y Servicio Civil. Concepto del 08 de mayo de 2018.</w:t>
      </w:r>
      <w:r w:rsidRPr="00DD4531">
        <w:rPr>
          <w:rFonts w:ascii="Verdana" w:hAnsi="Verdana" w:cs="Arial"/>
          <w:sz w:val="16"/>
          <w:szCs w:val="16"/>
          <w:lang w:val="es-CO"/>
        </w:rPr>
        <w:t xml:space="preserve"> C.P. Álvaro Namén Vargas.</w:t>
      </w:r>
      <w:r w:rsidRPr="00DD4531">
        <w:rPr>
          <w:rFonts w:ascii="Verdana" w:hAnsi="Verdana" w:cs="Arial"/>
          <w:sz w:val="16"/>
          <w:szCs w:val="16"/>
        </w:rPr>
        <w:t xml:space="preserve"> Exp. 2.382.</w:t>
      </w:r>
    </w:p>
  </w:footnote>
  <w:footnote w:id="19">
    <w:p w14:paraId="019E65EA" w14:textId="77777777" w:rsidR="00AD47A0" w:rsidRPr="00DD4531" w:rsidRDefault="00AD47A0" w:rsidP="00AD47A0">
      <w:pPr>
        <w:pStyle w:val="Textonotapie"/>
        <w:ind w:firstLine="709"/>
        <w:jc w:val="both"/>
        <w:rPr>
          <w:rFonts w:ascii="Verdana" w:hAnsi="Verdana" w:cs="Arial"/>
          <w:sz w:val="16"/>
          <w:szCs w:val="16"/>
        </w:rPr>
      </w:pPr>
      <w:r w:rsidRPr="00DD4531">
        <w:rPr>
          <w:rStyle w:val="Refdenotaalpie"/>
          <w:rFonts w:ascii="Verdana" w:hAnsi="Verdana" w:cs="Arial"/>
          <w:sz w:val="16"/>
          <w:szCs w:val="16"/>
        </w:rPr>
        <w:footnoteRef/>
      </w:r>
      <w:r w:rsidRPr="00DD4531">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0">
    <w:p w14:paraId="34B86E97" w14:textId="77777777" w:rsidR="00AD47A0" w:rsidRPr="00DD4531" w:rsidRDefault="00AD47A0" w:rsidP="00AD47A0">
      <w:pPr>
        <w:spacing w:after="0" w:line="240" w:lineRule="auto"/>
        <w:ind w:firstLine="709"/>
        <w:jc w:val="both"/>
        <w:rPr>
          <w:rFonts w:ascii="Verdana" w:hAnsi="Verdana" w:cs="Arial"/>
          <w:sz w:val="16"/>
          <w:szCs w:val="16"/>
        </w:rPr>
      </w:pPr>
      <w:r w:rsidRPr="00DD4531">
        <w:rPr>
          <w:rStyle w:val="Refdenotaalpie"/>
          <w:rFonts w:ascii="Verdana" w:hAnsi="Verdana" w:cs="Arial"/>
          <w:sz w:val="16"/>
          <w:szCs w:val="16"/>
        </w:rPr>
        <w:footnoteRef/>
      </w:r>
      <w:r w:rsidRPr="00DD4531">
        <w:rPr>
          <w:rFonts w:ascii="Verdana" w:hAnsi="Verdana" w:cs="Arial"/>
          <w:sz w:val="16"/>
          <w:szCs w:val="16"/>
        </w:rPr>
        <w:t xml:space="preserve"> Consejo de Estado. Sala de Consulta y Servicio Civil. Concepto de 20 de febrero de 2006. C.P. Enrique José Arboleda Perdomo. Rad. 1727.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1">
    <w:p w14:paraId="2277739F" w14:textId="77777777" w:rsidR="00AD47A0" w:rsidRPr="00DD4531" w:rsidRDefault="00AD47A0" w:rsidP="00AD47A0">
      <w:pPr>
        <w:pStyle w:val="Textonotapie"/>
        <w:ind w:right="51" w:firstLine="709"/>
        <w:jc w:val="both"/>
        <w:rPr>
          <w:rFonts w:ascii="Verdana" w:eastAsia="Times New Roman" w:hAnsi="Verdana" w:cs="Arial"/>
          <w:bCs/>
          <w:sz w:val="16"/>
          <w:szCs w:val="16"/>
          <w:lang w:eastAsia="x-none"/>
        </w:rPr>
      </w:pPr>
      <w:r w:rsidRPr="00DD4531">
        <w:rPr>
          <w:rStyle w:val="Refdenotaalpie"/>
          <w:rFonts w:ascii="Verdana" w:hAnsi="Verdana" w:cs="Arial"/>
          <w:sz w:val="16"/>
          <w:szCs w:val="16"/>
        </w:rPr>
        <w:footnoteRef/>
      </w:r>
      <w:r w:rsidRPr="00DD4531">
        <w:rPr>
          <w:rFonts w:ascii="Verdana" w:hAnsi="Verdana" w:cs="Arial"/>
          <w:sz w:val="16"/>
          <w:szCs w:val="16"/>
        </w:rPr>
        <w:t xml:space="preserve"> Consejo de Estado. Sala de Consulta y Servicio Civil. Concepto de 6 de abril de 2006.C.P. Enrique José Arboleda Perdomo. </w:t>
      </w:r>
      <w:r w:rsidRPr="00DD4531">
        <w:rPr>
          <w:rFonts w:ascii="Verdana" w:hAnsi="Verdana" w:cs="Arial"/>
          <w:sz w:val="16"/>
          <w:szCs w:val="16"/>
          <w:lang w:val="es-CO"/>
        </w:rPr>
        <w:t>Rad. 1738</w:t>
      </w:r>
      <w:r w:rsidRPr="00DD4531">
        <w:rPr>
          <w:rFonts w:ascii="Verdana" w:eastAsia="Times New Roman" w:hAnsi="Verdana" w:cs="Arial"/>
          <w:bCs/>
          <w:sz w:val="16"/>
          <w:szCs w:val="16"/>
          <w:lang w:eastAsia="x-none"/>
        </w:rPr>
        <w:t xml:space="preserve"> “</w:t>
      </w:r>
      <w:r w:rsidRPr="00DD4531">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DD4531">
        <w:rPr>
          <w:rFonts w:ascii="Verdana" w:eastAsia="Times New Roman" w:hAnsi="Verdana" w:cs="Arial"/>
          <w:bCs/>
          <w:sz w:val="16"/>
          <w:szCs w:val="16"/>
          <w:lang w:eastAsia="x-none"/>
        </w:rPr>
        <w:t>”.</w:t>
      </w:r>
    </w:p>
  </w:footnote>
  <w:footnote w:id="22">
    <w:p w14:paraId="5B9B54CB" w14:textId="77777777" w:rsidR="00AD47A0" w:rsidRPr="00DD4531" w:rsidRDefault="00AD47A0" w:rsidP="00AD47A0">
      <w:pPr>
        <w:spacing w:after="0" w:line="240" w:lineRule="auto"/>
        <w:ind w:firstLine="708"/>
        <w:jc w:val="both"/>
        <w:rPr>
          <w:rFonts w:ascii="Verdana" w:hAnsi="Verdana" w:cs="Arial"/>
          <w:sz w:val="16"/>
          <w:szCs w:val="16"/>
        </w:rPr>
      </w:pPr>
      <w:r w:rsidRPr="00DD4531">
        <w:rPr>
          <w:rStyle w:val="Refdenotaalpie"/>
          <w:rFonts w:ascii="Verdana" w:hAnsi="Verdana" w:cs="Arial"/>
          <w:sz w:val="16"/>
          <w:szCs w:val="16"/>
        </w:rPr>
        <w:footnoteRef/>
      </w:r>
      <w:r w:rsidRPr="00DD4531">
        <w:rPr>
          <w:rFonts w:ascii="Verdana" w:hAnsi="Verdana" w:cs="Arial"/>
          <w:sz w:val="16"/>
          <w:szCs w:val="16"/>
        </w:rPr>
        <w:t xml:space="preserve"> Consejo de Estado. Sala de Consulta y Servicio Civil. Concepto de 6 de abril de 2006. C.P. Enrique José Arboleda Perdomo. Rad. 1738. </w:t>
      </w:r>
    </w:p>
  </w:footnote>
  <w:footnote w:id="23">
    <w:p w14:paraId="7110D083" w14:textId="77777777" w:rsidR="00AD47A0" w:rsidRPr="00DD4531" w:rsidRDefault="00AD47A0" w:rsidP="00AD47A0">
      <w:pPr>
        <w:pStyle w:val="Textonotapie"/>
        <w:ind w:right="51" w:firstLine="709"/>
        <w:jc w:val="both"/>
        <w:rPr>
          <w:rFonts w:ascii="Verdana" w:hAnsi="Verdana" w:cs="Arial"/>
          <w:sz w:val="16"/>
          <w:szCs w:val="16"/>
        </w:rPr>
      </w:pPr>
      <w:r w:rsidRPr="00DD4531">
        <w:rPr>
          <w:rStyle w:val="Refdenotaalpie"/>
          <w:rFonts w:ascii="Verdana" w:hAnsi="Verdana" w:cs="Arial"/>
          <w:sz w:val="16"/>
          <w:szCs w:val="16"/>
        </w:rPr>
        <w:footnoteRef/>
      </w:r>
      <w:r w:rsidRPr="00DD4531">
        <w:rPr>
          <w:rFonts w:ascii="Verdana" w:hAnsi="Verdana" w:cs="Arial"/>
          <w:sz w:val="16"/>
          <w:szCs w:val="16"/>
        </w:rPr>
        <w:t xml:space="preserve"> Consejo de Estado. Sala de Consulta y Servicio Civil, ídem.</w:t>
      </w:r>
    </w:p>
  </w:footnote>
  <w:footnote w:id="24">
    <w:p w14:paraId="2D1C352A" w14:textId="77777777" w:rsidR="00AD47A0" w:rsidRPr="00DD4531" w:rsidRDefault="00AD47A0" w:rsidP="00AD47A0">
      <w:pPr>
        <w:pStyle w:val="Textonotapie"/>
        <w:ind w:firstLine="708"/>
        <w:jc w:val="both"/>
        <w:rPr>
          <w:rFonts w:ascii="Arial" w:hAnsi="Arial" w:cs="Arial"/>
          <w:sz w:val="16"/>
          <w:szCs w:val="16"/>
        </w:rPr>
      </w:pPr>
      <w:r w:rsidRPr="00DD4531">
        <w:rPr>
          <w:rStyle w:val="Refdenotaalpie"/>
          <w:rFonts w:ascii="Verdana" w:hAnsi="Verdana" w:cs="Arial"/>
          <w:sz w:val="16"/>
          <w:szCs w:val="16"/>
        </w:rPr>
        <w:footnoteRef/>
      </w:r>
      <w:r w:rsidRPr="00DD4531">
        <w:rPr>
          <w:rFonts w:ascii="Verdana" w:hAnsi="Verdana" w:cs="Arial"/>
          <w:sz w:val="16"/>
          <w:szCs w:val="16"/>
        </w:rPr>
        <w:t xml:space="preserve"> Colombia Compra Eficiente. Circular Externa Única. Numeral 15.5.</w:t>
      </w:r>
    </w:p>
  </w:footnote>
  <w:footnote w:id="25">
    <w:p w14:paraId="2E30649A" w14:textId="77777777" w:rsidR="00AD47A0" w:rsidRPr="008F5E8D" w:rsidRDefault="00AD47A0" w:rsidP="00AD47A0">
      <w:pPr>
        <w:pStyle w:val="Textonotapie"/>
        <w:ind w:firstLine="709"/>
        <w:contextualSpacing/>
        <w:jc w:val="both"/>
        <w:rPr>
          <w:rFonts w:ascii="Verdana" w:hAnsi="Verdana" w:cs="Arial"/>
          <w:sz w:val="14"/>
          <w:szCs w:val="14"/>
        </w:rPr>
      </w:pPr>
      <w:r w:rsidRPr="00DD4531">
        <w:rPr>
          <w:rStyle w:val="Refdenotaalpie"/>
          <w:rFonts w:ascii="Verdana" w:hAnsi="Verdana" w:cs="Arial"/>
          <w:sz w:val="16"/>
          <w:szCs w:val="16"/>
        </w:rPr>
        <w:footnoteRef/>
      </w:r>
      <w:r w:rsidRPr="00DD4531">
        <w:rPr>
          <w:rFonts w:ascii="Verdana" w:hAnsi="Verdana" w:cs="Arial"/>
          <w:sz w:val="16"/>
          <w:szCs w:val="16"/>
        </w:rPr>
        <w:t xml:space="preserve"> </w:t>
      </w:r>
      <w:bookmarkStart w:id="15" w:name="_Hlk192533196"/>
      <w:r w:rsidRPr="00DD4531">
        <w:rPr>
          <w:rFonts w:ascii="Verdana" w:hAnsi="Verdana" w:cs="Arial"/>
          <w:sz w:val="16"/>
          <w:szCs w:val="16"/>
        </w:rPr>
        <w:t>Consejo de Estado. Sala de Consulta y Servicio Civil. Concepto del 15 de noviembre de 2007. ExP. 1863. C.P.: Luis Fernando Álvarez Jaramillo.</w:t>
      </w:r>
      <w:bookmarkEnd w:id="15"/>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594CE9" w:rsidRDefault="00594CE9"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594CE9" w:rsidRDefault="00594CE9">
    <w:pPr>
      <w:pStyle w:val="Encabezado"/>
    </w:pPr>
  </w:p>
  <w:p w14:paraId="5E18350A" w14:textId="705F7B76" w:rsidR="00594CE9" w:rsidRPr="004A305D" w:rsidRDefault="00594CE9" w:rsidP="00B01B1A">
    <w:pPr>
      <w:spacing w:after="0" w:line="120" w:lineRule="auto"/>
      <w:rPr>
        <w:rFonts w:ascii="Century Gothic" w:eastAsia="Geo" w:hAnsi="Century Gothic" w:cs="Geo"/>
        <w:sz w:val="16"/>
        <w:szCs w:val="16"/>
        <w:lang w:eastAsia="es-CO"/>
      </w:rPr>
    </w:pPr>
  </w:p>
  <w:p w14:paraId="211B7F5D" w14:textId="77777777" w:rsidR="00594CE9" w:rsidRDefault="00594CE9" w:rsidP="00844AE9">
    <w:pPr>
      <w:spacing w:after="0" w:line="240" w:lineRule="auto"/>
      <w:rPr>
        <w:rFonts w:ascii="Verdana" w:hAnsi="Verdana"/>
        <w:sz w:val="24"/>
        <w:szCs w:val="24"/>
      </w:rPr>
    </w:pPr>
  </w:p>
  <w:p w14:paraId="5A0054B1" w14:textId="77777777" w:rsidR="00594CE9" w:rsidRPr="00C925AC" w:rsidRDefault="00594CE9" w:rsidP="00844AE9">
    <w:pPr>
      <w:spacing w:after="0" w:line="240" w:lineRule="auto"/>
      <w:rPr>
        <w:rFonts w:ascii="Verdana" w:hAnsi="Verdana"/>
        <w:sz w:val="24"/>
        <w:szCs w:val="24"/>
      </w:rPr>
    </w:pPr>
  </w:p>
  <w:p w14:paraId="1FD1C243" w14:textId="37C5500A" w:rsidR="00594CE9" w:rsidRPr="00C925AC" w:rsidRDefault="00594CE9"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3" type="#_x0000_t75" style="width:11.6pt;height:11.6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4CA4EFE"/>
    <w:multiLevelType w:val="hybridMultilevel"/>
    <w:tmpl w:val="535A062C"/>
    <w:lvl w:ilvl="0" w:tplc="0C0A52FC">
      <w:start w:val="1"/>
      <w:numFmt w:val="bullet"/>
      <w:lvlText w:val="•"/>
      <w:lvlJc w:val="left"/>
      <w:pPr>
        <w:tabs>
          <w:tab w:val="num" w:pos="720"/>
        </w:tabs>
        <w:ind w:left="720" w:hanging="360"/>
      </w:pPr>
      <w:rPr>
        <w:rFonts w:ascii="Arial" w:hAnsi="Arial" w:hint="default"/>
      </w:rPr>
    </w:lvl>
    <w:lvl w:ilvl="1" w:tplc="ECE23108" w:tentative="1">
      <w:start w:val="1"/>
      <w:numFmt w:val="bullet"/>
      <w:lvlText w:val="•"/>
      <w:lvlJc w:val="left"/>
      <w:pPr>
        <w:tabs>
          <w:tab w:val="num" w:pos="1440"/>
        </w:tabs>
        <w:ind w:left="1440" w:hanging="360"/>
      </w:pPr>
      <w:rPr>
        <w:rFonts w:ascii="Arial" w:hAnsi="Arial" w:hint="default"/>
      </w:rPr>
    </w:lvl>
    <w:lvl w:ilvl="2" w:tplc="5E0E9E88" w:tentative="1">
      <w:start w:val="1"/>
      <w:numFmt w:val="bullet"/>
      <w:lvlText w:val="•"/>
      <w:lvlJc w:val="left"/>
      <w:pPr>
        <w:tabs>
          <w:tab w:val="num" w:pos="2160"/>
        </w:tabs>
        <w:ind w:left="2160" w:hanging="360"/>
      </w:pPr>
      <w:rPr>
        <w:rFonts w:ascii="Arial" w:hAnsi="Arial" w:hint="default"/>
      </w:rPr>
    </w:lvl>
    <w:lvl w:ilvl="3" w:tplc="35927F38" w:tentative="1">
      <w:start w:val="1"/>
      <w:numFmt w:val="bullet"/>
      <w:lvlText w:val="•"/>
      <w:lvlJc w:val="left"/>
      <w:pPr>
        <w:tabs>
          <w:tab w:val="num" w:pos="2880"/>
        </w:tabs>
        <w:ind w:left="2880" w:hanging="360"/>
      </w:pPr>
      <w:rPr>
        <w:rFonts w:ascii="Arial" w:hAnsi="Arial" w:hint="default"/>
      </w:rPr>
    </w:lvl>
    <w:lvl w:ilvl="4" w:tplc="1CAC6EF0" w:tentative="1">
      <w:start w:val="1"/>
      <w:numFmt w:val="bullet"/>
      <w:lvlText w:val="•"/>
      <w:lvlJc w:val="left"/>
      <w:pPr>
        <w:tabs>
          <w:tab w:val="num" w:pos="3600"/>
        </w:tabs>
        <w:ind w:left="3600" w:hanging="360"/>
      </w:pPr>
      <w:rPr>
        <w:rFonts w:ascii="Arial" w:hAnsi="Arial" w:hint="default"/>
      </w:rPr>
    </w:lvl>
    <w:lvl w:ilvl="5" w:tplc="664865F0" w:tentative="1">
      <w:start w:val="1"/>
      <w:numFmt w:val="bullet"/>
      <w:lvlText w:val="•"/>
      <w:lvlJc w:val="left"/>
      <w:pPr>
        <w:tabs>
          <w:tab w:val="num" w:pos="4320"/>
        </w:tabs>
        <w:ind w:left="4320" w:hanging="360"/>
      </w:pPr>
      <w:rPr>
        <w:rFonts w:ascii="Arial" w:hAnsi="Arial" w:hint="default"/>
      </w:rPr>
    </w:lvl>
    <w:lvl w:ilvl="6" w:tplc="29840596" w:tentative="1">
      <w:start w:val="1"/>
      <w:numFmt w:val="bullet"/>
      <w:lvlText w:val="•"/>
      <w:lvlJc w:val="left"/>
      <w:pPr>
        <w:tabs>
          <w:tab w:val="num" w:pos="5040"/>
        </w:tabs>
        <w:ind w:left="5040" w:hanging="360"/>
      </w:pPr>
      <w:rPr>
        <w:rFonts w:ascii="Arial" w:hAnsi="Arial" w:hint="default"/>
      </w:rPr>
    </w:lvl>
    <w:lvl w:ilvl="7" w:tplc="B95EFAC0" w:tentative="1">
      <w:start w:val="1"/>
      <w:numFmt w:val="bullet"/>
      <w:lvlText w:val="•"/>
      <w:lvlJc w:val="left"/>
      <w:pPr>
        <w:tabs>
          <w:tab w:val="num" w:pos="5760"/>
        </w:tabs>
        <w:ind w:left="5760" w:hanging="360"/>
      </w:pPr>
      <w:rPr>
        <w:rFonts w:ascii="Arial" w:hAnsi="Arial" w:hint="default"/>
      </w:rPr>
    </w:lvl>
    <w:lvl w:ilvl="8" w:tplc="2DAC8E9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5D54189"/>
    <w:multiLevelType w:val="hybridMultilevel"/>
    <w:tmpl w:val="41C6983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5"/>
  </w:num>
  <w:num w:numId="7">
    <w:abstractNumId w:val="6"/>
  </w:num>
  <w:num w:numId="8">
    <w:abstractNumId w:val="14"/>
  </w:num>
  <w:num w:numId="9">
    <w:abstractNumId w:val="8"/>
  </w:num>
  <w:num w:numId="10">
    <w:abstractNumId w:val="13"/>
  </w:num>
  <w:num w:numId="11">
    <w:abstractNumId w:val="9"/>
  </w:num>
  <w:num w:numId="12">
    <w:abstractNumId w:val="1"/>
  </w:num>
  <w:num w:numId="13">
    <w:abstractNumId w:val="4"/>
  </w:num>
  <w:num w:numId="14">
    <w:abstractNumId w:val="16"/>
  </w:num>
  <w:num w:numId="15">
    <w:abstractNumId w:val="12"/>
  </w:num>
  <w:num w:numId="16">
    <w:abstractNumId w:val="0"/>
  </w:num>
  <w:num w:numId="17">
    <w:abstractNumId w:val="10"/>
  </w:num>
  <w:num w:numId="18">
    <w:abstractNumId w:val="11"/>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0452B"/>
    <w:rsid w:val="0001041D"/>
    <w:rsid w:val="00016F78"/>
    <w:rsid w:val="00046945"/>
    <w:rsid w:val="00061B2A"/>
    <w:rsid w:val="00081367"/>
    <w:rsid w:val="00082362"/>
    <w:rsid w:val="000825A6"/>
    <w:rsid w:val="00095DAE"/>
    <w:rsid w:val="000A683E"/>
    <w:rsid w:val="000B19B9"/>
    <w:rsid w:val="000D0334"/>
    <w:rsid w:val="000D5040"/>
    <w:rsid w:val="000D5DA7"/>
    <w:rsid w:val="000F4BC5"/>
    <w:rsid w:val="000F6486"/>
    <w:rsid w:val="00102203"/>
    <w:rsid w:val="00116940"/>
    <w:rsid w:val="00125105"/>
    <w:rsid w:val="00127233"/>
    <w:rsid w:val="0012746B"/>
    <w:rsid w:val="00127474"/>
    <w:rsid w:val="0015699B"/>
    <w:rsid w:val="00183F88"/>
    <w:rsid w:val="00186DE9"/>
    <w:rsid w:val="001967FD"/>
    <w:rsid w:val="001A33BF"/>
    <w:rsid w:val="001E194B"/>
    <w:rsid w:val="001E4177"/>
    <w:rsid w:val="001E5EA0"/>
    <w:rsid w:val="001E63FB"/>
    <w:rsid w:val="001F0B24"/>
    <w:rsid w:val="001F7DC6"/>
    <w:rsid w:val="0020079E"/>
    <w:rsid w:val="0022400B"/>
    <w:rsid w:val="002421BB"/>
    <w:rsid w:val="0024692A"/>
    <w:rsid w:val="0025796E"/>
    <w:rsid w:val="00261121"/>
    <w:rsid w:val="002707A2"/>
    <w:rsid w:val="00272A28"/>
    <w:rsid w:val="002826F0"/>
    <w:rsid w:val="002845F4"/>
    <w:rsid w:val="002857D9"/>
    <w:rsid w:val="00293441"/>
    <w:rsid w:val="002951A0"/>
    <w:rsid w:val="002962BC"/>
    <w:rsid w:val="002A093D"/>
    <w:rsid w:val="002A0DD0"/>
    <w:rsid w:val="002A49AC"/>
    <w:rsid w:val="002A64FD"/>
    <w:rsid w:val="002A760C"/>
    <w:rsid w:val="002C5725"/>
    <w:rsid w:val="002C7A84"/>
    <w:rsid w:val="002E2BF8"/>
    <w:rsid w:val="002E4FD9"/>
    <w:rsid w:val="002E60E4"/>
    <w:rsid w:val="002F3CDF"/>
    <w:rsid w:val="0030657A"/>
    <w:rsid w:val="00322A85"/>
    <w:rsid w:val="00324168"/>
    <w:rsid w:val="00330834"/>
    <w:rsid w:val="003318AB"/>
    <w:rsid w:val="003448F4"/>
    <w:rsid w:val="00355EA0"/>
    <w:rsid w:val="003604F5"/>
    <w:rsid w:val="00374F5E"/>
    <w:rsid w:val="00377E3E"/>
    <w:rsid w:val="00383C3F"/>
    <w:rsid w:val="003A779E"/>
    <w:rsid w:val="003C5B9E"/>
    <w:rsid w:val="003C64B8"/>
    <w:rsid w:val="003D0F4D"/>
    <w:rsid w:val="003D1CF9"/>
    <w:rsid w:val="003D5B0D"/>
    <w:rsid w:val="003E0499"/>
    <w:rsid w:val="003E4F80"/>
    <w:rsid w:val="003E6439"/>
    <w:rsid w:val="003E6646"/>
    <w:rsid w:val="003F3941"/>
    <w:rsid w:val="00406575"/>
    <w:rsid w:val="00414C74"/>
    <w:rsid w:val="00417B5B"/>
    <w:rsid w:val="0042722E"/>
    <w:rsid w:val="00437377"/>
    <w:rsid w:val="0044528D"/>
    <w:rsid w:val="00447D22"/>
    <w:rsid w:val="00466302"/>
    <w:rsid w:val="00466E39"/>
    <w:rsid w:val="004674CF"/>
    <w:rsid w:val="00473BEB"/>
    <w:rsid w:val="00494C69"/>
    <w:rsid w:val="004A1847"/>
    <w:rsid w:val="004A305D"/>
    <w:rsid w:val="004B2A86"/>
    <w:rsid w:val="004B7D74"/>
    <w:rsid w:val="004D3A8D"/>
    <w:rsid w:val="004D420F"/>
    <w:rsid w:val="004F1B18"/>
    <w:rsid w:val="004F1C0A"/>
    <w:rsid w:val="004F21C4"/>
    <w:rsid w:val="004F685F"/>
    <w:rsid w:val="005154AE"/>
    <w:rsid w:val="00524F5F"/>
    <w:rsid w:val="0053199F"/>
    <w:rsid w:val="005321EF"/>
    <w:rsid w:val="005461C4"/>
    <w:rsid w:val="005566E8"/>
    <w:rsid w:val="00574867"/>
    <w:rsid w:val="00580BC6"/>
    <w:rsid w:val="00585673"/>
    <w:rsid w:val="00585ABC"/>
    <w:rsid w:val="00591460"/>
    <w:rsid w:val="00594CE9"/>
    <w:rsid w:val="00597A19"/>
    <w:rsid w:val="005A65E0"/>
    <w:rsid w:val="005B0452"/>
    <w:rsid w:val="005C3777"/>
    <w:rsid w:val="005C5CDC"/>
    <w:rsid w:val="005C6BC8"/>
    <w:rsid w:val="005D476C"/>
    <w:rsid w:val="005E6B20"/>
    <w:rsid w:val="005F181C"/>
    <w:rsid w:val="00614323"/>
    <w:rsid w:val="006177F8"/>
    <w:rsid w:val="006200BF"/>
    <w:rsid w:val="006219F8"/>
    <w:rsid w:val="006229C7"/>
    <w:rsid w:val="006302F7"/>
    <w:rsid w:val="0064286B"/>
    <w:rsid w:val="00643C60"/>
    <w:rsid w:val="00646B9F"/>
    <w:rsid w:val="00656F96"/>
    <w:rsid w:val="00662D62"/>
    <w:rsid w:val="00665485"/>
    <w:rsid w:val="00665D70"/>
    <w:rsid w:val="00686C01"/>
    <w:rsid w:val="006900D9"/>
    <w:rsid w:val="006957C6"/>
    <w:rsid w:val="006A107F"/>
    <w:rsid w:val="006C04F1"/>
    <w:rsid w:val="006D76F7"/>
    <w:rsid w:val="006E2BF4"/>
    <w:rsid w:val="00706C16"/>
    <w:rsid w:val="00721364"/>
    <w:rsid w:val="00727161"/>
    <w:rsid w:val="007317FA"/>
    <w:rsid w:val="007340C3"/>
    <w:rsid w:val="00737DF0"/>
    <w:rsid w:val="0075235A"/>
    <w:rsid w:val="00752490"/>
    <w:rsid w:val="00753727"/>
    <w:rsid w:val="00756841"/>
    <w:rsid w:val="007649AB"/>
    <w:rsid w:val="00771D0C"/>
    <w:rsid w:val="007744FB"/>
    <w:rsid w:val="007829E1"/>
    <w:rsid w:val="007833AC"/>
    <w:rsid w:val="0078433B"/>
    <w:rsid w:val="007A153F"/>
    <w:rsid w:val="007B268C"/>
    <w:rsid w:val="007B7171"/>
    <w:rsid w:val="007C0C0F"/>
    <w:rsid w:val="007C3DC2"/>
    <w:rsid w:val="007D3968"/>
    <w:rsid w:val="007E5497"/>
    <w:rsid w:val="00806F5F"/>
    <w:rsid w:val="00815B83"/>
    <w:rsid w:val="00817856"/>
    <w:rsid w:val="00820169"/>
    <w:rsid w:val="00820278"/>
    <w:rsid w:val="00824114"/>
    <w:rsid w:val="008258C9"/>
    <w:rsid w:val="00826EE8"/>
    <w:rsid w:val="00844AE9"/>
    <w:rsid w:val="00867F95"/>
    <w:rsid w:val="008835B4"/>
    <w:rsid w:val="008843B6"/>
    <w:rsid w:val="00891928"/>
    <w:rsid w:val="008934CB"/>
    <w:rsid w:val="00895356"/>
    <w:rsid w:val="008A446D"/>
    <w:rsid w:val="008B104D"/>
    <w:rsid w:val="008B25F1"/>
    <w:rsid w:val="008C571F"/>
    <w:rsid w:val="008C5A84"/>
    <w:rsid w:val="008D180B"/>
    <w:rsid w:val="008D4E1E"/>
    <w:rsid w:val="008E72AF"/>
    <w:rsid w:val="008F0EA7"/>
    <w:rsid w:val="008F327E"/>
    <w:rsid w:val="00923EEF"/>
    <w:rsid w:val="009305DC"/>
    <w:rsid w:val="00932F0E"/>
    <w:rsid w:val="009419F9"/>
    <w:rsid w:val="0095685E"/>
    <w:rsid w:val="00961B09"/>
    <w:rsid w:val="00965334"/>
    <w:rsid w:val="0097093E"/>
    <w:rsid w:val="009803D1"/>
    <w:rsid w:val="00990BF1"/>
    <w:rsid w:val="009A027F"/>
    <w:rsid w:val="009A0DFA"/>
    <w:rsid w:val="009A1234"/>
    <w:rsid w:val="009A1C6F"/>
    <w:rsid w:val="009B2D26"/>
    <w:rsid w:val="009B7652"/>
    <w:rsid w:val="009C71FA"/>
    <w:rsid w:val="009C72E7"/>
    <w:rsid w:val="009C7F7E"/>
    <w:rsid w:val="009D3058"/>
    <w:rsid w:val="009E6333"/>
    <w:rsid w:val="009F3A13"/>
    <w:rsid w:val="00A07EBF"/>
    <w:rsid w:val="00A1025E"/>
    <w:rsid w:val="00A122D3"/>
    <w:rsid w:val="00A14468"/>
    <w:rsid w:val="00A17F13"/>
    <w:rsid w:val="00A20739"/>
    <w:rsid w:val="00A218FA"/>
    <w:rsid w:val="00A23AF9"/>
    <w:rsid w:val="00A33C78"/>
    <w:rsid w:val="00A63F17"/>
    <w:rsid w:val="00A75D38"/>
    <w:rsid w:val="00A83161"/>
    <w:rsid w:val="00A86E5C"/>
    <w:rsid w:val="00AB0ADB"/>
    <w:rsid w:val="00AB120C"/>
    <w:rsid w:val="00AD47A0"/>
    <w:rsid w:val="00AD67E7"/>
    <w:rsid w:val="00B00C0E"/>
    <w:rsid w:val="00B01B1A"/>
    <w:rsid w:val="00B0381D"/>
    <w:rsid w:val="00B13882"/>
    <w:rsid w:val="00B14F11"/>
    <w:rsid w:val="00B14F36"/>
    <w:rsid w:val="00B44A47"/>
    <w:rsid w:val="00B72CD3"/>
    <w:rsid w:val="00B72FFF"/>
    <w:rsid w:val="00B7443D"/>
    <w:rsid w:val="00B944AA"/>
    <w:rsid w:val="00B95ED8"/>
    <w:rsid w:val="00BA15D8"/>
    <w:rsid w:val="00BA7A2E"/>
    <w:rsid w:val="00BC3D36"/>
    <w:rsid w:val="00BD54A6"/>
    <w:rsid w:val="00BD7F72"/>
    <w:rsid w:val="00BE0FC4"/>
    <w:rsid w:val="00BF58CD"/>
    <w:rsid w:val="00BF6651"/>
    <w:rsid w:val="00BF7425"/>
    <w:rsid w:val="00C04FB3"/>
    <w:rsid w:val="00C11D8B"/>
    <w:rsid w:val="00C15139"/>
    <w:rsid w:val="00C330EB"/>
    <w:rsid w:val="00C50D69"/>
    <w:rsid w:val="00C5365C"/>
    <w:rsid w:val="00C67C8B"/>
    <w:rsid w:val="00C729D3"/>
    <w:rsid w:val="00C754BE"/>
    <w:rsid w:val="00C76B1C"/>
    <w:rsid w:val="00C925AC"/>
    <w:rsid w:val="00C946BF"/>
    <w:rsid w:val="00C958D1"/>
    <w:rsid w:val="00CA0E68"/>
    <w:rsid w:val="00CB6357"/>
    <w:rsid w:val="00CC1B26"/>
    <w:rsid w:val="00CD6067"/>
    <w:rsid w:val="00CD734E"/>
    <w:rsid w:val="00CE4589"/>
    <w:rsid w:val="00CE72C3"/>
    <w:rsid w:val="00CF4861"/>
    <w:rsid w:val="00D13C5D"/>
    <w:rsid w:val="00D14E75"/>
    <w:rsid w:val="00D31EC6"/>
    <w:rsid w:val="00D335B3"/>
    <w:rsid w:val="00D350D3"/>
    <w:rsid w:val="00D361FD"/>
    <w:rsid w:val="00D417C8"/>
    <w:rsid w:val="00D423A2"/>
    <w:rsid w:val="00D439FC"/>
    <w:rsid w:val="00D44E26"/>
    <w:rsid w:val="00D520D8"/>
    <w:rsid w:val="00D53F94"/>
    <w:rsid w:val="00D63AC2"/>
    <w:rsid w:val="00D7383B"/>
    <w:rsid w:val="00D7788A"/>
    <w:rsid w:val="00DA231B"/>
    <w:rsid w:val="00DC39FC"/>
    <w:rsid w:val="00DD0992"/>
    <w:rsid w:val="00DD4531"/>
    <w:rsid w:val="00DF3F1B"/>
    <w:rsid w:val="00DF5254"/>
    <w:rsid w:val="00E02524"/>
    <w:rsid w:val="00E16408"/>
    <w:rsid w:val="00E20894"/>
    <w:rsid w:val="00E22A1A"/>
    <w:rsid w:val="00E245AB"/>
    <w:rsid w:val="00E2764C"/>
    <w:rsid w:val="00E27F2E"/>
    <w:rsid w:val="00E35083"/>
    <w:rsid w:val="00E5016B"/>
    <w:rsid w:val="00E50AFE"/>
    <w:rsid w:val="00E54809"/>
    <w:rsid w:val="00E56EE8"/>
    <w:rsid w:val="00E60AD8"/>
    <w:rsid w:val="00E75C92"/>
    <w:rsid w:val="00E760D9"/>
    <w:rsid w:val="00E771DC"/>
    <w:rsid w:val="00E8252C"/>
    <w:rsid w:val="00E83EFE"/>
    <w:rsid w:val="00E8772A"/>
    <w:rsid w:val="00E90AC3"/>
    <w:rsid w:val="00E90F6B"/>
    <w:rsid w:val="00E92C27"/>
    <w:rsid w:val="00EA0E3D"/>
    <w:rsid w:val="00EA4B5D"/>
    <w:rsid w:val="00EC38A7"/>
    <w:rsid w:val="00EE1AA8"/>
    <w:rsid w:val="00F04FFA"/>
    <w:rsid w:val="00F163B0"/>
    <w:rsid w:val="00F16BC8"/>
    <w:rsid w:val="00F23FEA"/>
    <w:rsid w:val="00F31A4A"/>
    <w:rsid w:val="00F31EDC"/>
    <w:rsid w:val="00F462B3"/>
    <w:rsid w:val="00F5664F"/>
    <w:rsid w:val="00F624DD"/>
    <w:rsid w:val="00F666C4"/>
    <w:rsid w:val="00F7339B"/>
    <w:rsid w:val="00F76AFC"/>
    <w:rsid w:val="00FA3E17"/>
    <w:rsid w:val="00FA47C0"/>
    <w:rsid w:val="00FB2271"/>
    <w:rsid w:val="00FB5DD1"/>
    <w:rsid w:val="00FC2B5D"/>
    <w:rsid w:val="00FD63E7"/>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47A0"/>
  </w:style>
  <w:style w:type="paragraph" w:styleId="Ttulo2">
    <w:name w:val="heading 2"/>
    <w:basedOn w:val="Normal"/>
    <w:next w:val="Normal"/>
    <w:link w:val="Ttulo2Car"/>
    <w:uiPriority w:val="9"/>
    <w:unhideWhenUsed/>
    <w:qFormat/>
    <w:rsid w:val="004B2A8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53F9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53F94"/>
    <w:rPr>
      <w:rFonts w:ascii="Geomanist Light" w:hAnsi="Geomanist Light"/>
      <w:lang w:val="es-ES"/>
    </w:rPr>
  </w:style>
  <w:style w:type="character" w:customStyle="1" w:styleId="s15">
    <w:name w:val="s15"/>
    <w:basedOn w:val="Fuentedeprrafopredeter"/>
    <w:rsid w:val="00D53F94"/>
  </w:style>
  <w:style w:type="paragraph" w:styleId="Textoindependiente">
    <w:name w:val="Body Text"/>
    <w:basedOn w:val="Normal"/>
    <w:link w:val="TextoindependienteCar"/>
    <w:uiPriority w:val="1"/>
    <w:qFormat/>
    <w:rsid w:val="00D53F94"/>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D53F94"/>
    <w:rPr>
      <w:rFonts w:ascii="Verdana" w:eastAsia="Verdana" w:hAnsi="Verdana" w:cs="Verdana"/>
      <w:lang w:val="es-ES"/>
    </w:rPr>
  </w:style>
  <w:style w:type="character" w:customStyle="1" w:styleId="NormalWebCar">
    <w:name w:val="Normal (Web) Car"/>
    <w:link w:val="NormalWeb"/>
    <w:uiPriority w:val="99"/>
    <w:locked/>
    <w:rsid w:val="00D53F94"/>
    <w:rPr>
      <w:rFonts w:ascii="Times New Roman" w:eastAsia="Times New Roman" w:hAnsi="Times New Roman" w:cs="Times New Roman"/>
      <w:sz w:val="24"/>
      <w:szCs w:val="24"/>
      <w:lang w:eastAsia="es-CO"/>
    </w:rPr>
  </w:style>
  <w:style w:type="character" w:customStyle="1" w:styleId="baj">
    <w:name w:val="b_aj"/>
    <w:basedOn w:val="Fuentedeprrafopredeter"/>
    <w:rsid w:val="00D53F94"/>
  </w:style>
  <w:style w:type="character" w:styleId="Refdecomentario">
    <w:name w:val="annotation reference"/>
    <w:basedOn w:val="Fuentedeprrafopredeter"/>
    <w:uiPriority w:val="99"/>
    <w:semiHidden/>
    <w:unhideWhenUsed/>
    <w:rsid w:val="008F327E"/>
    <w:rPr>
      <w:sz w:val="16"/>
      <w:szCs w:val="16"/>
    </w:rPr>
  </w:style>
  <w:style w:type="paragraph" w:styleId="Textocomentario">
    <w:name w:val="annotation text"/>
    <w:basedOn w:val="Normal"/>
    <w:link w:val="TextocomentarioCar"/>
    <w:uiPriority w:val="99"/>
    <w:unhideWhenUsed/>
    <w:rsid w:val="008F327E"/>
    <w:pPr>
      <w:spacing w:line="240" w:lineRule="auto"/>
    </w:pPr>
    <w:rPr>
      <w:sz w:val="20"/>
      <w:szCs w:val="20"/>
    </w:rPr>
  </w:style>
  <w:style w:type="character" w:customStyle="1" w:styleId="TextocomentarioCar">
    <w:name w:val="Texto comentario Car"/>
    <w:basedOn w:val="Fuentedeprrafopredeter"/>
    <w:link w:val="Textocomentario"/>
    <w:uiPriority w:val="99"/>
    <w:rsid w:val="008F327E"/>
    <w:rPr>
      <w:sz w:val="20"/>
      <w:szCs w:val="20"/>
    </w:rPr>
  </w:style>
  <w:style w:type="paragraph" w:styleId="Asuntodelcomentario">
    <w:name w:val="annotation subject"/>
    <w:basedOn w:val="Textocomentario"/>
    <w:next w:val="Textocomentario"/>
    <w:link w:val="AsuntodelcomentarioCar"/>
    <w:uiPriority w:val="99"/>
    <w:semiHidden/>
    <w:unhideWhenUsed/>
    <w:rsid w:val="008F327E"/>
    <w:rPr>
      <w:b/>
      <w:bCs/>
    </w:rPr>
  </w:style>
  <w:style w:type="character" w:customStyle="1" w:styleId="AsuntodelcomentarioCar">
    <w:name w:val="Asunto del comentario Car"/>
    <w:basedOn w:val="TextocomentarioCar"/>
    <w:link w:val="Asuntodelcomentario"/>
    <w:uiPriority w:val="99"/>
    <w:semiHidden/>
    <w:rsid w:val="008F327E"/>
    <w:rPr>
      <w:b/>
      <w:bCs/>
      <w:sz w:val="20"/>
      <w:szCs w:val="20"/>
    </w:rPr>
  </w:style>
  <w:style w:type="table" w:customStyle="1" w:styleId="Tablaconcuadrcula1">
    <w:name w:val="Tabla con cuadrícula1"/>
    <w:basedOn w:val="Tablanormal"/>
    <w:next w:val="Tablaconcuadrcula"/>
    <w:uiPriority w:val="39"/>
    <w:qFormat/>
    <w:rsid w:val="009305D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Fuentedeprrafopredeter"/>
    <w:uiPriority w:val="99"/>
    <w:semiHidden/>
    <w:unhideWhenUsed/>
    <w:rsid w:val="00CE72C3"/>
    <w:rPr>
      <w:color w:val="605E5C"/>
      <w:shd w:val="clear" w:color="auto" w:fill="E1DFDD"/>
    </w:rPr>
  </w:style>
  <w:style w:type="character" w:customStyle="1" w:styleId="Ttulo2Car">
    <w:name w:val="Título 2 Car"/>
    <w:basedOn w:val="Fuentedeprrafopredeter"/>
    <w:link w:val="Ttulo2"/>
    <w:uiPriority w:val="9"/>
    <w:rsid w:val="004B2A86"/>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75232249">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998193342">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uncionpublica.gov.co/eva/gestornormativo/norma.php?i=18232" TargetMode="External"/><Relationship Id="rId18"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forms.office.com/r/pPHyWVs2SZ" TargetMode="External"/><Relationship Id="rId7" Type="http://schemas.openxmlformats.org/officeDocument/2006/relationships/settings" Target="settings.xml"/><Relationship Id="rId12" Type="http://schemas.openxmlformats.org/officeDocument/2006/relationships/hyperlink" Target="mailto:johansh07@hotmail.com" TargetMode="External"/><Relationship Id="rId17" Type="http://schemas.openxmlformats.org/officeDocument/2006/relationships/hyperlink" Target="https://relatoria.colombiacompra.gov.co/busqueda/conceptos"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funcionpublica.gov.co/eva/gestornormativo/norma.php?i=18232" TargetMode="External"/><Relationship Id="rId20" Type="http://schemas.openxmlformats.org/officeDocument/2006/relationships/hyperlink" Target="https://www.colombiacompra.gov.co/pqrsd/informacion-importante-antes-de-formular-una-pqrsd"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www.funcionpublica.gov.co/eva/gestornormativo/norma.php?i=18232" TargetMode="Externa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mailto:ventanilladeradicacion@colombiacompra.gov.co"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uncionpublica.gov.co/eva/gestornormativo/norma.php?i=18232" TargetMode="External"/><Relationship Id="rId22"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74B109-927A-434B-A584-2666919A6748}"/>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6F779D3B-2F91-4628-BB07-20F703F0899A}">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15</TotalTime>
  <Pages>27</Pages>
  <Words>9491</Words>
  <Characters>54099</Characters>
  <Application>Microsoft Office Word</Application>
  <DocSecurity>0</DocSecurity>
  <Lines>450</Lines>
  <Paragraphs>126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3</cp:revision>
  <cp:lastPrinted>2023-01-10T21:18:00Z</cp:lastPrinted>
  <dcterms:created xsi:type="dcterms:W3CDTF">2026-01-30T15:47:00Z</dcterms:created>
  <dcterms:modified xsi:type="dcterms:W3CDTF">2026-01-30T17:30:00Z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