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4CEB97" w14:textId="77777777" w:rsidR="002E0EBF" w:rsidRPr="00AF1555" w:rsidRDefault="002E0EBF" w:rsidP="002E0EBF">
      <w:pPr>
        <w:tabs>
          <w:tab w:val="left" w:pos="709"/>
        </w:tabs>
        <w:spacing w:after="0" w:line="240" w:lineRule="auto"/>
        <w:jc w:val="both"/>
        <w:rPr>
          <w:rFonts w:ascii="Verdana" w:eastAsia="Calibri" w:hAnsi="Verdana" w:cs="Arial"/>
          <w:bCs/>
          <w:sz w:val="20"/>
          <w:szCs w:val="20"/>
          <w:lang w:val="es-ES_tradnl" w:eastAsia="es-ES_tradnl"/>
        </w:rPr>
      </w:pPr>
    </w:p>
    <w:p w14:paraId="6EF6D246" w14:textId="77777777" w:rsidR="002E0EBF" w:rsidRPr="00AF1555" w:rsidRDefault="002E0EBF" w:rsidP="002E0EBF">
      <w:pPr>
        <w:spacing w:after="0" w:line="240" w:lineRule="auto"/>
        <w:jc w:val="both"/>
        <w:rPr>
          <w:rFonts w:ascii="Verdana" w:eastAsia="Calibri" w:hAnsi="Verdana" w:cs="Arial"/>
          <w:b/>
          <w:color w:val="000000" w:themeColor="text1"/>
          <w:lang w:val="es-ES"/>
        </w:rPr>
      </w:pPr>
      <w:r w:rsidRPr="00817818">
        <w:rPr>
          <w:rFonts w:ascii="Verdana" w:eastAsia="Calibri" w:hAnsi="Verdana" w:cs="Arial"/>
          <w:b/>
          <w:color w:val="000000" w:themeColor="text1"/>
          <w:lang w:val="es-ES"/>
        </w:rPr>
        <w:t>SISTEMA GENERAL DE REGALÍAS – Fundamento normativo – Acto Legislativo 01 de 2019</w:t>
      </w:r>
      <w:r w:rsidRPr="00AF1555">
        <w:rPr>
          <w:rFonts w:ascii="Verdana" w:eastAsia="Calibri" w:hAnsi="Verdana" w:cs="Arial"/>
          <w:b/>
          <w:color w:val="000000" w:themeColor="text1"/>
          <w:lang w:val="es-ES"/>
        </w:rPr>
        <w:t xml:space="preserve"> </w:t>
      </w:r>
    </w:p>
    <w:p w14:paraId="0DEDC024" w14:textId="77777777" w:rsidR="002E0EBF" w:rsidRPr="00AF1555" w:rsidRDefault="002E0EBF" w:rsidP="002E0EBF">
      <w:pPr>
        <w:spacing w:after="0" w:line="240" w:lineRule="auto"/>
        <w:jc w:val="both"/>
        <w:rPr>
          <w:rFonts w:ascii="Verdana" w:eastAsia="Calibri" w:hAnsi="Verdana" w:cs="Arial"/>
          <w:bCs/>
          <w:color w:val="000000" w:themeColor="text1"/>
          <w:sz w:val="20"/>
          <w:szCs w:val="20"/>
          <w:lang w:val="es-ES"/>
        </w:rPr>
      </w:pPr>
    </w:p>
    <w:p w14:paraId="74F0F087" w14:textId="77777777" w:rsidR="002E0EBF" w:rsidRPr="00AF1555" w:rsidRDefault="002E0EBF" w:rsidP="002E0EBF">
      <w:pPr>
        <w:spacing w:after="0" w:line="240" w:lineRule="auto"/>
        <w:jc w:val="both"/>
        <w:rPr>
          <w:rFonts w:ascii="Verdana" w:eastAsia="Calibri" w:hAnsi="Verdana" w:cs="Arial"/>
          <w:color w:val="000000" w:themeColor="text1"/>
          <w:sz w:val="20"/>
          <w:szCs w:val="20"/>
          <w:lang w:val="es-ES_tradnl"/>
        </w:rPr>
      </w:pPr>
      <w:r w:rsidRPr="00817818">
        <w:rPr>
          <w:rFonts w:ascii="Verdana" w:eastAsia="Calibri" w:hAnsi="Verdana" w:cs="Arial"/>
          <w:color w:val="000000" w:themeColor="text1"/>
          <w:sz w:val="20"/>
          <w:szCs w:val="20"/>
          <w:lang w:val="es-ES_tradnl" w:eastAsia="es-ES_tradnl"/>
        </w:rPr>
        <w:t>El artículo 360 de la Constitución Política, modificado por el artículo 1 del Acto Legislativo 5 de 2011, define las regalías como una contraprestación económica a favor del Estado, que es causada por la explotación de un recurso natural no renovable. Al respecto, el precitado artículo prescribe: «La explotación de un recurso natural no renovable causará, a favor del Estado, una contraprestación económica a título de regalía, sin perjuicio de cualquier otro derecho o compensación que se pacte. La ley determinará las condiciones para la explotación de los recursos naturales no renovables. Mediante otra ley, a iniciativa del Gobierno, la ley determinará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 En el inciso segundo, el mismo artículo define al Sistema General de Regalías como el conjunto de ingresos, asignaciones, órganos, procedimientos y regulaciones que deberán establecerse y definirse mediante la ley que, por iniciativa previa del Gobierno Nacional, se expida a fin de determinar la distribución, objetivos, fines, administración, ejecución, control, el uso eficiente y la destinación de los ingresos provenientes de la explotación de los recursos naturales no renovables, precisando las condiciones de participación de sus beneficiarios. En ese sentido, la Corte Constitucional define las regalías como una contraprestación recibida a cambio de la concesión de derechos a particulares para la exploración de recursos naturales, diferenciándolas de otros ingresos nacionales como los impuestos, dado que estas carecen del carácter impositivo de los tributos.</w:t>
      </w:r>
    </w:p>
    <w:p w14:paraId="5A4867DF" w14:textId="77777777" w:rsidR="002E0EBF" w:rsidRPr="00AF1555" w:rsidRDefault="002E0EBF" w:rsidP="002E0EBF">
      <w:pPr>
        <w:spacing w:after="0" w:line="240" w:lineRule="auto"/>
        <w:rPr>
          <w:rFonts w:ascii="Verdana" w:eastAsia="Geomanist Light" w:hAnsi="Verdana" w:cs="Arial"/>
          <w:color w:val="000000" w:themeColor="text1"/>
          <w:sz w:val="20"/>
          <w:szCs w:val="20"/>
          <w:lang w:val="es-ES_tradnl"/>
        </w:rPr>
      </w:pPr>
    </w:p>
    <w:p w14:paraId="26C5C761" w14:textId="77777777" w:rsidR="002E0EBF" w:rsidRPr="00AF1555" w:rsidRDefault="002E0EBF" w:rsidP="002E0EBF">
      <w:pPr>
        <w:spacing w:after="0" w:line="240" w:lineRule="auto"/>
        <w:jc w:val="both"/>
        <w:rPr>
          <w:rFonts w:ascii="Verdana" w:eastAsia="Calibri" w:hAnsi="Verdana" w:cs="Arial"/>
          <w:b/>
          <w:sz w:val="20"/>
          <w:szCs w:val="20"/>
          <w:lang w:val="es-ES"/>
        </w:rPr>
      </w:pPr>
      <w:r w:rsidRPr="00817818">
        <w:rPr>
          <w:rFonts w:ascii="Verdana" w:eastAsia="Calibri" w:hAnsi="Verdana" w:cs="Arial"/>
          <w:b/>
          <w:lang w:val="es-ES"/>
        </w:rPr>
        <w:t>SISTEMA GENERAL DE REGALÍAS – Ley 2056 de 2020 – Finalidad – Objeto</w:t>
      </w:r>
    </w:p>
    <w:p w14:paraId="0C7EA743" w14:textId="77777777" w:rsidR="002E0EBF" w:rsidRDefault="002E0EBF" w:rsidP="002E0EBF">
      <w:pPr>
        <w:spacing w:after="0" w:line="240" w:lineRule="auto"/>
        <w:jc w:val="both"/>
        <w:rPr>
          <w:rFonts w:ascii="Verdana" w:eastAsia="Calibri" w:hAnsi="Verdana" w:cs="Arial"/>
          <w:bCs/>
          <w:sz w:val="20"/>
          <w:szCs w:val="20"/>
          <w:lang w:val="es-ES"/>
        </w:rPr>
      </w:pPr>
    </w:p>
    <w:p w14:paraId="71E372B4" w14:textId="77777777" w:rsidR="002E0EBF" w:rsidRDefault="002E0EBF" w:rsidP="002E0EBF">
      <w:pPr>
        <w:spacing w:after="0" w:line="240" w:lineRule="auto"/>
        <w:jc w:val="both"/>
        <w:rPr>
          <w:rFonts w:ascii="Verdana" w:eastAsia="Calibri" w:hAnsi="Verdana" w:cs="Arial"/>
          <w:color w:val="000000"/>
          <w:sz w:val="20"/>
          <w:szCs w:val="20"/>
          <w:lang w:val="es-ES_tradnl"/>
        </w:rPr>
      </w:pPr>
      <w:r w:rsidRPr="00817818">
        <w:rPr>
          <w:rFonts w:ascii="Verdana" w:eastAsia="Calibri" w:hAnsi="Verdana" w:cs="Arial"/>
          <w:bCs/>
          <w:sz w:val="20"/>
          <w:szCs w:val="20"/>
          <w:lang w:val="es-ES"/>
        </w:rPr>
        <w:t xml:space="preserve">Con fundamento en los artículos 360 y 361 de la Constitución Política, se expidió la Ley 2056 de 2020, por medio de la cual se deroga, entre otras, la Ley 1530 de 2012, y «Por la cual se regula la organización y el funcionamiento del Sistema General de Regalías». En este sentido, la exposición de motivos de esta Ley expresó que: Para adecuar el funcionamiento del SGR a las disposiciones del Acto Legislativo 01 de 2019, el Título I del proyecto de ley introduce nuevas disposiciones, como las siguientes, en relación con los objetivos y fines del Sistema, adicionales a las que originariamente se hallaban previas en el clausulado de la Ley 1530 de 2012: - Incentivar en el territorio nacional el desarrollo de actividades de exploración y explotación de recursos naturales no renovables, en el marco de la normativa vigente. -Fomentar la estructuración y aprobación de proyectos de inversión que permitan la implementación del Acuerdo Final para la Terminación del Conflicto y la Construcción de una Paz Estable y Duradera, en los términos establecidos en las normas vigentes. En concordancia con los artículos 360 y 361 constitucionales, dicha ley tiene como objeto determinar la distribución, objetivos, </w:t>
      </w:r>
      <w:r w:rsidRPr="00817818">
        <w:rPr>
          <w:rFonts w:ascii="Verdana" w:eastAsia="Calibri" w:hAnsi="Verdana" w:cs="Arial"/>
          <w:bCs/>
          <w:sz w:val="20"/>
          <w:szCs w:val="20"/>
          <w:lang w:val="es-ES"/>
        </w:rPr>
        <w:lastRenderedPageBreak/>
        <w:t xml:space="preserve">fines, administración, ejecución, control del uso eficiente y la destinación de los ingresos que se encuadren dentro del concepto de regalías, precisando las condiciones para la participación de los beneficiarios o destinatarios de </w:t>
      </w:r>
      <w:proofErr w:type="gramStart"/>
      <w:r w:rsidRPr="00817818">
        <w:rPr>
          <w:rFonts w:ascii="Verdana" w:eastAsia="Calibri" w:hAnsi="Verdana" w:cs="Arial"/>
          <w:bCs/>
          <w:sz w:val="20"/>
          <w:szCs w:val="20"/>
          <w:lang w:val="es-ES"/>
        </w:rPr>
        <w:t>los mismos</w:t>
      </w:r>
      <w:proofErr w:type="gramEnd"/>
      <w:r w:rsidRPr="00AF1555">
        <w:rPr>
          <w:rFonts w:ascii="Verdana" w:eastAsia="Calibri" w:hAnsi="Verdana" w:cs="Arial"/>
          <w:color w:val="000000"/>
          <w:sz w:val="20"/>
          <w:szCs w:val="20"/>
          <w:lang w:val="es-ES_tradnl"/>
        </w:rPr>
        <w:t>.</w:t>
      </w:r>
    </w:p>
    <w:p w14:paraId="3DB45A87" w14:textId="77777777" w:rsidR="002E0EBF" w:rsidRPr="00AF1555" w:rsidRDefault="002E0EBF" w:rsidP="002E0EBF">
      <w:pPr>
        <w:spacing w:after="0" w:line="240" w:lineRule="auto"/>
        <w:rPr>
          <w:rFonts w:ascii="Verdana" w:eastAsia="Geomanist Light" w:hAnsi="Verdana" w:cs="Arial"/>
          <w:color w:val="000000" w:themeColor="text1"/>
          <w:sz w:val="20"/>
          <w:szCs w:val="20"/>
          <w:lang w:val="es-ES_tradnl"/>
        </w:rPr>
      </w:pPr>
    </w:p>
    <w:p w14:paraId="4B01BF8A" w14:textId="77777777" w:rsidR="002E0EBF" w:rsidRPr="00AF1555" w:rsidRDefault="002E0EBF" w:rsidP="002E0EBF">
      <w:pPr>
        <w:tabs>
          <w:tab w:val="left" w:pos="426"/>
        </w:tabs>
        <w:spacing w:after="0" w:line="240" w:lineRule="auto"/>
        <w:jc w:val="both"/>
        <w:rPr>
          <w:rFonts w:ascii="Verdana" w:hAnsi="Verdana" w:cs="Arial"/>
          <w:b/>
          <w:lang w:eastAsia="es-CO"/>
        </w:rPr>
      </w:pPr>
      <w:r w:rsidRPr="00817818">
        <w:rPr>
          <w:rFonts w:ascii="Verdana" w:hAnsi="Verdana" w:cs="Arial"/>
          <w:b/>
          <w:lang w:val="es-ES_tradnl" w:eastAsia="es-CO"/>
        </w:rPr>
        <w:t xml:space="preserve">RÉGIMEN CONTRACTUAL – Entidades ejecutoras – Aplicación del Estatuto General de Contratación de la Administración Pública </w:t>
      </w:r>
      <w:r>
        <w:rPr>
          <w:rFonts w:ascii="Verdana" w:hAnsi="Verdana" w:cs="Arial"/>
          <w:b/>
          <w:lang w:eastAsia="es-CO"/>
        </w:rPr>
        <w:t xml:space="preserve"> </w:t>
      </w:r>
    </w:p>
    <w:p w14:paraId="1D1DEA73" w14:textId="77777777" w:rsidR="002E0EBF" w:rsidRPr="00817818" w:rsidRDefault="002E0EBF" w:rsidP="002E0EBF">
      <w:pPr>
        <w:tabs>
          <w:tab w:val="left" w:pos="426"/>
        </w:tabs>
        <w:spacing w:after="0" w:line="240" w:lineRule="auto"/>
        <w:jc w:val="both"/>
        <w:rPr>
          <w:rFonts w:ascii="Verdana" w:hAnsi="Verdana" w:cs="Arial"/>
          <w:b/>
          <w:sz w:val="20"/>
          <w:szCs w:val="20"/>
          <w:lang w:eastAsia="es-CO"/>
        </w:rPr>
      </w:pPr>
    </w:p>
    <w:p w14:paraId="1FB80509" w14:textId="77777777" w:rsidR="002E0EBF" w:rsidRPr="00817818" w:rsidRDefault="002E0EBF" w:rsidP="002E0EBF">
      <w:pPr>
        <w:spacing w:after="0" w:line="240" w:lineRule="auto"/>
        <w:jc w:val="both"/>
        <w:rPr>
          <w:rFonts w:ascii="Verdana" w:eastAsia="Geomanist Light" w:hAnsi="Verdana" w:cs="Arial"/>
          <w:color w:val="000000" w:themeColor="text1"/>
          <w:sz w:val="20"/>
          <w:szCs w:val="20"/>
        </w:rPr>
      </w:pPr>
      <w:r w:rsidRPr="00817818">
        <w:rPr>
          <w:rFonts w:ascii="Verdana" w:hAnsi="Verdana" w:cs="Arial"/>
          <w:bCs/>
          <w:sz w:val="20"/>
          <w:szCs w:val="20"/>
          <w:lang w:eastAsia="es-CO"/>
        </w:rPr>
        <w:t xml:space="preserve">El artículo 37 de la Ley 2056 de 2020 dispone que los proyectos de inversión que se financien con cargo al Sistema General de Regalías serán ejecutados por quien designe las entidades u órganos de que tratan los artículos 35 y 36 ibidem. También agrega que la entidad pública ejecutora tiene el deber de adelantar la contratación de la interventoría, de conformidad con lo previsto en la presente ley. Las entidades ejecutoras de recursos del Sistema son responsables de suministrar de forma veraz, oportuna e idónea, la información de la gestión de los proyectos que se requiera e implementar las actuaciones pertinentes para encauzar el desempeño de los proyectos de inversión y decidir, de manera motivada, sobre la continuidad de los mismos, sin perjuicio de las acciones de control a las que haya lugar.  En esta línea, el parágrafo primero del artículo 37 dispone: </w:t>
      </w:r>
      <w:r>
        <w:rPr>
          <w:rFonts w:ascii="Verdana" w:hAnsi="Verdana" w:cs="Arial"/>
          <w:bCs/>
          <w:sz w:val="18"/>
          <w:szCs w:val="18"/>
          <w:lang w:eastAsia="es-CO"/>
        </w:rPr>
        <w:t>“</w:t>
      </w:r>
      <w:r w:rsidRPr="00817818">
        <w:rPr>
          <w:rFonts w:ascii="Verdana" w:hAnsi="Verdana" w:cs="Arial"/>
          <w:bCs/>
          <w:sz w:val="20"/>
          <w:szCs w:val="20"/>
          <w:lang w:eastAsia="es-CO"/>
        </w:rPr>
        <w:t xml:space="preserve">La ejecución de proyectos de </w:t>
      </w:r>
      <w:proofErr w:type="spellStart"/>
      <w:r w:rsidRPr="00817818">
        <w:rPr>
          <w:rFonts w:ascii="Verdana" w:hAnsi="Verdana" w:cs="Arial"/>
          <w:bCs/>
          <w:sz w:val="20"/>
          <w:szCs w:val="20"/>
          <w:lang w:eastAsia="es-CO"/>
        </w:rPr>
        <w:t>que</w:t>
      </w:r>
      <w:proofErr w:type="spellEnd"/>
      <w:r w:rsidRPr="00817818">
        <w:rPr>
          <w:rFonts w:ascii="Verdana" w:hAnsi="Verdana" w:cs="Arial"/>
          <w:bCs/>
          <w:sz w:val="20"/>
          <w:szCs w:val="20"/>
          <w:lang w:eastAsia="es-CO"/>
        </w:rPr>
        <w:t xml:space="preserve"> trata este artículo, se adelantará, con estricta sujeción al régimen presupuestal definido en esta ley, al de contratación pública y las demás normas legales vigentes. El ejecutor garantizará la correcta ejecución de los recursos asignados al proyecto de inversión, así como el suministro y registro de la información requerida por el sistema de seguimiento, evaluación y control</w:t>
      </w:r>
      <w:r>
        <w:rPr>
          <w:rFonts w:ascii="Verdana" w:hAnsi="Verdana" w:cs="Arial"/>
          <w:bCs/>
          <w:sz w:val="20"/>
          <w:szCs w:val="20"/>
          <w:lang w:eastAsia="es-CO"/>
        </w:rPr>
        <w:t>”</w:t>
      </w:r>
      <w:r w:rsidRPr="00817818">
        <w:rPr>
          <w:rFonts w:ascii="Verdana" w:hAnsi="Verdana" w:cs="Arial"/>
          <w:bCs/>
          <w:sz w:val="20"/>
          <w:szCs w:val="20"/>
          <w:lang w:eastAsia="es-CO"/>
        </w:rPr>
        <w:t>. A partir de esta norma, el ejecutor de los proyectos de inversión en el SGR debe sujetarse a las reglas de contratación pública, es decir, a las prescripciones establecidas en el Estatuto General de Contratación Pública, así como las normas que lo modifiquen, sustituyan o reglamenten. En efecto, el ejecutor debe someterse a las reglas generales de la contratación pública cuando desarrolle proyectos en el marco del Sistema General de Regalías.</w:t>
      </w:r>
    </w:p>
    <w:p w14:paraId="71A5FA24" w14:textId="77777777" w:rsidR="002E0EBF" w:rsidRPr="00B508B0" w:rsidRDefault="002E0EBF" w:rsidP="002E0EBF">
      <w:pPr>
        <w:spacing w:after="0" w:line="240" w:lineRule="auto"/>
        <w:jc w:val="both"/>
        <w:rPr>
          <w:rFonts w:ascii="Verdana" w:hAnsi="Verdana"/>
          <w:b/>
          <w:bCs/>
          <w:sz w:val="20"/>
          <w:szCs w:val="20"/>
        </w:rPr>
      </w:pPr>
    </w:p>
    <w:p w14:paraId="077A290C" w14:textId="77777777" w:rsidR="002E0EBF" w:rsidRPr="005549AE" w:rsidRDefault="002E0EBF" w:rsidP="002E0EBF">
      <w:pPr>
        <w:spacing w:after="0" w:line="240" w:lineRule="auto"/>
        <w:jc w:val="both"/>
        <w:rPr>
          <w:rFonts w:ascii="Verdana" w:hAnsi="Verdana"/>
          <w:b/>
        </w:rPr>
      </w:pPr>
      <w:r w:rsidRPr="00660AA2">
        <w:rPr>
          <w:rFonts w:ascii="Verdana" w:hAnsi="Verdana"/>
          <w:b/>
        </w:rPr>
        <w:t>EQUILIBRIO ECONÓMICO – Contrato estatal – Fundamento</w:t>
      </w:r>
    </w:p>
    <w:p w14:paraId="74856F79" w14:textId="77777777" w:rsidR="002E0EBF" w:rsidRPr="005549AE" w:rsidRDefault="002E0EBF" w:rsidP="002E0EBF">
      <w:pPr>
        <w:spacing w:after="0" w:line="240" w:lineRule="auto"/>
        <w:jc w:val="both"/>
        <w:rPr>
          <w:rFonts w:ascii="Verdana" w:hAnsi="Verdana"/>
          <w:bCs/>
          <w:sz w:val="20"/>
          <w:szCs w:val="20"/>
        </w:rPr>
      </w:pPr>
    </w:p>
    <w:p w14:paraId="3E12650D" w14:textId="77777777" w:rsidR="002E0EBF" w:rsidRPr="00660AA2" w:rsidRDefault="002E0EBF" w:rsidP="002E0EBF">
      <w:pPr>
        <w:spacing w:after="0" w:line="240" w:lineRule="auto"/>
        <w:jc w:val="both"/>
        <w:rPr>
          <w:rFonts w:ascii="Verdana" w:eastAsia="Calibri" w:hAnsi="Verdana" w:cs="Arial"/>
          <w:sz w:val="20"/>
          <w:szCs w:val="20"/>
          <w:shd w:val="clear" w:color="auto" w:fill="FFFFFF"/>
          <w:lang w:val="es-ES"/>
        </w:rPr>
      </w:pPr>
      <w:r w:rsidRPr="00660AA2">
        <w:rPr>
          <w:rFonts w:ascii="Verdana" w:eastAsia="Calibri" w:hAnsi="Verdana" w:cs="Arial"/>
          <w:sz w:val="20"/>
          <w:szCs w:val="20"/>
          <w:shd w:val="clear" w:color="auto" w:fill="FFFFFF"/>
          <w:lang w:val="es-ES"/>
        </w:rPr>
        <w:t xml:space="preserve">De conformidad con el artículo 3 de la Ley 80 de 1993 la celebración y ejecución de los contratos estatales tiene como fin el cumplimiento de los fines estatales, la continua y eficiente prestación de los servicios públicos y la efectividad de los derechos e intereses de los administrados que colaboran con ellas en la consecución de dichos fines. Por su parte, los particulares que celebran y ejecutan contratos con las entidades estatales tendrán en cuenta que colaboran con ellas en el logro de sus fines y cumplen una función social que, como tal, implica obligaciones. Así, con la celebración del contrato estatal surgen derechos y obligaciones para cada una de las partes que tienen como propósito, por un lado, la continua y eficiente prestación de los servicios públicos y la satisfacción del interés general y por otro lado, generar un beneficio económico para el particular que colabora en su ejecución. </w:t>
      </w:r>
    </w:p>
    <w:p w14:paraId="62BB735F" w14:textId="77777777" w:rsidR="002E0EBF" w:rsidRPr="00660AA2" w:rsidRDefault="002E0EBF" w:rsidP="002E0EBF">
      <w:pPr>
        <w:spacing w:after="0" w:line="240" w:lineRule="auto"/>
        <w:jc w:val="both"/>
        <w:rPr>
          <w:rFonts w:ascii="Verdana" w:eastAsia="Calibri" w:hAnsi="Verdana" w:cs="Arial"/>
          <w:sz w:val="20"/>
          <w:szCs w:val="20"/>
          <w:shd w:val="clear" w:color="auto" w:fill="FFFFFF"/>
          <w:lang w:val="es-ES"/>
        </w:rPr>
      </w:pPr>
    </w:p>
    <w:p w14:paraId="4C45E092" w14:textId="77777777" w:rsidR="002E0EBF" w:rsidRPr="005549AE" w:rsidRDefault="002E0EBF" w:rsidP="002E0EBF">
      <w:pPr>
        <w:spacing w:after="0" w:line="240" w:lineRule="auto"/>
        <w:jc w:val="both"/>
        <w:rPr>
          <w:rFonts w:ascii="Verdana" w:eastAsia="Arial MT" w:hAnsi="Verdana" w:cs="Arial"/>
          <w:sz w:val="20"/>
          <w:szCs w:val="20"/>
          <w:lang w:eastAsia="es-ES" w:bidi="es-ES"/>
        </w:rPr>
      </w:pPr>
      <w:r w:rsidRPr="00660AA2">
        <w:rPr>
          <w:rFonts w:ascii="Verdana" w:eastAsia="Calibri" w:hAnsi="Verdana" w:cs="Arial"/>
          <w:sz w:val="20"/>
          <w:szCs w:val="20"/>
          <w:shd w:val="clear" w:color="auto" w:fill="FFFFFF"/>
          <w:lang w:val="es-ES"/>
        </w:rPr>
        <w:t xml:space="preserve">De esta manera, los contratos estatales se deben pactar sobre la base de la interdependencia entre las prestaciones, esto es, que exista reciprocidad entre los </w:t>
      </w:r>
      <w:r w:rsidRPr="00660AA2">
        <w:rPr>
          <w:rFonts w:ascii="Verdana" w:eastAsia="Calibri" w:hAnsi="Verdana" w:cs="Arial"/>
          <w:sz w:val="20"/>
          <w:szCs w:val="20"/>
          <w:shd w:val="clear" w:color="auto" w:fill="FFFFFF"/>
          <w:lang w:val="es-ES"/>
        </w:rPr>
        <w:lastRenderedPageBreak/>
        <w:t>derechos y las obligaciones de las entidades y los particulares, de tal forma que estas sean equivalentes y se mantengan durante la ejecución contractual. Esto se fundamenta en el principio del equilibrio financiero del contrato previsto en el artículo 27 de la Ley 80 de 1993 […].</w:t>
      </w:r>
    </w:p>
    <w:p w14:paraId="2FC531CF" w14:textId="77777777" w:rsidR="002E0EBF" w:rsidRPr="005549AE" w:rsidRDefault="002E0EBF" w:rsidP="002E0EBF">
      <w:pPr>
        <w:spacing w:after="0" w:line="240" w:lineRule="auto"/>
        <w:jc w:val="both"/>
        <w:rPr>
          <w:rFonts w:ascii="Verdana" w:hAnsi="Verdana"/>
          <w:bCs/>
          <w:sz w:val="20"/>
          <w:szCs w:val="20"/>
        </w:rPr>
      </w:pPr>
    </w:p>
    <w:p w14:paraId="3B1493D6" w14:textId="77777777" w:rsidR="002E0EBF" w:rsidRPr="005549AE" w:rsidRDefault="002E0EBF" w:rsidP="002E0EBF">
      <w:pPr>
        <w:spacing w:after="0" w:line="240" w:lineRule="auto"/>
        <w:jc w:val="both"/>
        <w:rPr>
          <w:rFonts w:ascii="Verdana" w:hAnsi="Verdana"/>
          <w:b/>
        </w:rPr>
      </w:pPr>
      <w:r w:rsidRPr="00660AA2">
        <w:rPr>
          <w:rFonts w:ascii="Verdana" w:hAnsi="Verdana"/>
          <w:b/>
        </w:rPr>
        <w:t>EQUILIBRIO ECONÓMICO – Contrato estatal – Concepto</w:t>
      </w:r>
    </w:p>
    <w:p w14:paraId="1F785714" w14:textId="77777777" w:rsidR="002E0EBF" w:rsidRPr="005549AE" w:rsidRDefault="002E0EBF" w:rsidP="002E0EBF">
      <w:pPr>
        <w:spacing w:after="0" w:line="240" w:lineRule="auto"/>
        <w:jc w:val="both"/>
        <w:rPr>
          <w:rFonts w:ascii="Verdana" w:hAnsi="Verdana"/>
          <w:bCs/>
          <w:sz w:val="20"/>
          <w:szCs w:val="20"/>
        </w:rPr>
      </w:pPr>
    </w:p>
    <w:p w14:paraId="66B1680A" w14:textId="77777777" w:rsidR="002E0EBF" w:rsidRPr="005549AE" w:rsidRDefault="002E0EBF" w:rsidP="002E0EBF">
      <w:pPr>
        <w:spacing w:after="0" w:line="240" w:lineRule="auto"/>
        <w:jc w:val="both"/>
        <w:rPr>
          <w:rFonts w:ascii="Verdana" w:hAnsi="Verdana"/>
          <w:b/>
          <w:bCs/>
          <w:sz w:val="20"/>
          <w:szCs w:val="20"/>
        </w:rPr>
      </w:pPr>
      <w:r w:rsidRPr="00660AA2">
        <w:rPr>
          <w:rFonts w:ascii="Verdana" w:eastAsia="Arial MT" w:hAnsi="Verdana" w:cs="Arial"/>
          <w:sz w:val="20"/>
          <w:szCs w:val="20"/>
          <w:lang w:eastAsia="es-ES" w:bidi="es-ES"/>
        </w:rPr>
        <w:t>Sobre el principio del equilibrio financiero del contrato, el Consejo de Estado ha señalado que consiste «en garantizar el mantenimiento de la igualdad o equivalencia entre derechos y obligaciones surgidos al momento de proponer 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 En concordancia, la doctrina ha indicado que con este principio, también denominado «el de la honesta equivalencia de prestaciones», se privilegia el carácter conmutativo o sinalagmático que, por regla general, tiene el contrato estatal, «lo que significa que las prestaciones (derechos y obligaciones) asumidas por una parte contractual se entienden como equivalentes a las de la otra parte y obliga a la adopción de medidas tendientes a garantizar que esa igualdad existente en términos económicos al tiempo de su celebración se conserve y permanezca intacta durante su ejecución, y a que se restablezca esa equivalencia en caso de su ruptura por circunstancias o causas sobrevinientes, imprevisibles e imputables o no a ellas».</w:t>
      </w:r>
    </w:p>
    <w:p w14:paraId="3EF1364D" w14:textId="77777777" w:rsidR="002E0EBF" w:rsidRPr="005549AE" w:rsidRDefault="002E0EBF" w:rsidP="002E0EBF">
      <w:pPr>
        <w:spacing w:after="0" w:line="240" w:lineRule="auto"/>
        <w:jc w:val="both"/>
        <w:rPr>
          <w:rFonts w:ascii="Verdana" w:hAnsi="Verdana"/>
          <w:b/>
          <w:bCs/>
          <w:sz w:val="20"/>
          <w:szCs w:val="20"/>
        </w:rPr>
      </w:pPr>
    </w:p>
    <w:p w14:paraId="46BD0CAD" w14:textId="77777777" w:rsidR="002E0EBF" w:rsidRPr="005549AE" w:rsidRDefault="002E0EBF" w:rsidP="002E0EBF">
      <w:pPr>
        <w:spacing w:after="0" w:line="240" w:lineRule="auto"/>
        <w:jc w:val="both"/>
        <w:rPr>
          <w:rFonts w:ascii="Verdana" w:hAnsi="Verdana"/>
          <w:b/>
          <w:bCs/>
        </w:rPr>
      </w:pPr>
      <w:r w:rsidRPr="00660AA2">
        <w:rPr>
          <w:rFonts w:ascii="Verdana" w:hAnsi="Verdana"/>
          <w:b/>
          <w:bCs/>
        </w:rPr>
        <w:t>EQUILIBRIO ECONÓMICO – Contrato estatal – Restablecimiento – Procedencia – Requisitos</w:t>
      </w:r>
    </w:p>
    <w:p w14:paraId="5D9C277B" w14:textId="77777777" w:rsidR="002E0EBF" w:rsidRPr="005549AE" w:rsidRDefault="002E0EBF" w:rsidP="002E0EBF">
      <w:pPr>
        <w:spacing w:after="0" w:line="240" w:lineRule="auto"/>
        <w:jc w:val="both"/>
        <w:rPr>
          <w:rFonts w:ascii="Verdana" w:hAnsi="Verdana"/>
          <w:b/>
          <w:bCs/>
          <w:sz w:val="20"/>
          <w:szCs w:val="20"/>
        </w:rPr>
      </w:pPr>
    </w:p>
    <w:p w14:paraId="4AA38355" w14:textId="77777777" w:rsidR="002E0EBF" w:rsidRPr="00660AA2" w:rsidRDefault="002E0EBF" w:rsidP="002E0EBF">
      <w:pPr>
        <w:spacing w:after="0" w:line="240" w:lineRule="auto"/>
        <w:jc w:val="both"/>
        <w:rPr>
          <w:rFonts w:ascii="Verdana" w:hAnsi="Verdana"/>
          <w:sz w:val="20"/>
          <w:szCs w:val="20"/>
        </w:rPr>
      </w:pPr>
      <w:r w:rsidRPr="00660AA2">
        <w:rPr>
          <w:rFonts w:ascii="Verdana" w:hAnsi="Verdana"/>
          <w:sz w:val="20"/>
          <w:szCs w:val="20"/>
          <w:lang w:bidi="es-ES"/>
        </w:rPr>
        <w:t xml:space="preserve">En lo que atañe a la procedencia del restablecimiento del equilibrio financiero del contrato cuando este se vulnera, la jurisprudencia ha señalado que para estos efectos es imperativo la prueba del menoscabo, demostrar que este es grave y que además no corresponde a un riesgo propio de la actividad que deba ser asumido por una de las partes contractuales. Además, es necesario que las reclamaciones para el restablecimiento se realicen en la oportunidad debida, de manera que </w:t>
      </w:r>
      <w:r w:rsidRPr="00660AA2">
        <w:rPr>
          <w:rFonts w:ascii="Verdana" w:hAnsi="Verdana"/>
          <w:sz w:val="20"/>
          <w:szCs w:val="20"/>
        </w:rPr>
        <w:t xml:space="preserve">si las solicitudes, o salvedades </w:t>
      </w:r>
      <w:r w:rsidRPr="00660AA2">
        <w:rPr>
          <w:rFonts w:ascii="Verdana" w:hAnsi="Verdana"/>
          <w:sz w:val="20"/>
          <w:szCs w:val="20"/>
          <w:lang w:val="es-MX"/>
        </w:rPr>
        <w:t>«</w:t>
      </w:r>
      <w:r w:rsidRPr="00660AA2">
        <w:rPr>
          <w:rFonts w:ascii="Verdana" w:hAnsi="Verdana"/>
          <w:sz w:val="20"/>
          <w:szCs w:val="20"/>
        </w:rPr>
        <w:t>no se hacen al momento de suscribir las suspensiones, adiciones o prórrogas del plazo contractual, contratos adicionales, otrosíes, etc., que por tal motivo se convinieren, cualquier solicitud, reclamación o pretensión ulterior es extemporánea, improcedente e impróspera por vulnerar el principio de la buena fe contractual</w:t>
      </w:r>
      <w:r w:rsidRPr="00660AA2">
        <w:rPr>
          <w:rFonts w:ascii="Verdana" w:hAnsi="Verdana"/>
          <w:sz w:val="20"/>
          <w:szCs w:val="20"/>
          <w:lang w:val="es-MX"/>
        </w:rPr>
        <w:t xml:space="preserve">». </w:t>
      </w:r>
    </w:p>
    <w:p w14:paraId="7DF2320F" w14:textId="77777777" w:rsidR="002E0EBF" w:rsidRPr="00660AA2" w:rsidRDefault="002E0EBF" w:rsidP="002E0EBF">
      <w:pPr>
        <w:spacing w:after="0" w:line="240" w:lineRule="auto"/>
        <w:jc w:val="both"/>
        <w:rPr>
          <w:rFonts w:ascii="Verdana" w:hAnsi="Verdana"/>
          <w:sz w:val="20"/>
          <w:szCs w:val="20"/>
          <w:lang w:bidi="es-ES"/>
        </w:rPr>
      </w:pPr>
    </w:p>
    <w:p w14:paraId="4F777604" w14:textId="77777777" w:rsidR="002E0EBF" w:rsidRPr="00660AA2" w:rsidRDefault="002E0EBF" w:rsidP="002E0EBF">
      <w:pPr>
        <w:spacing w:after="0" w:line="240" w:lineRule="auto"/>
        <w:jc w:val="both"/>
        <w:rPr>
          <w:rFonts w:ascii="Verdana" w:hAnsi="Verdana"/>
          <w:sz w:val="20"/>
          <w:szCs w:val="20"/>
          <w:lang w:bidi="es-ES"/>
        </w:rPr>
      </w:pPr>
      <w:r w:rsidRPr="00660AA2">
        <w:rPr>
          <w:rFonts w:ascii="Verdana" w:hAnsi="Verdana"/>
          <w:sz w:val="20"/>
          <w:szCs w:val="20"/>
          <w:lang w:bidi="es-ES"/>
        </w:rPr>
        <w:t xml:space="preserve">De este modo, conforme a esta postura del Consejo de Estado no basta con la alegación del rompimiento del equilibrio del contrato puesto que resulta indispensable demostrar la afectación grave de las condiciones del contrato y, además, que la reclamación o solicitud en que se fundamenta el desequilibrio económico del contrato se realice en el momento oportuno, esto es, cuando se celebren las modificaciones, prórrogas, suspensiones, entre otros y no con posterioridad a ella. </w:t>
      </w:r>
    </w:p>
    <w:p w14:paraId="34F74801" w14:textId="77777777" w:rsidR="002E0EBF" w:rsidRPr="00660AA2" w:rsidRDefault="002E0EBF" w:rsidP="002E0EBF">
      <w:pPr>
        <w:spacing w:after="0" w:line="240" w:lineRule="auto"/>
        <w:jc w:val="both"/>
        <w:rPr>
          <w:rFonts w:ascii="Verdana" w:hAnsi="Verdana"/>
          <w:sz w:val="20"/>
          <w:szCs w:val="20"/>
        </w:rPr>
      </w:pPr>
    </w:p>
    <w:p w14:paraId="0D920BF5" w14:textId="77777777" w:rsidR="002E0EBF" w:rsidRPr="00660AA2" w:rsidRDefault="002E0EBF" w:rsidP="002E0EBF">
      <w:pPr>
        <w:spacing w:after="0" w:line="240" w:lineRule="auto"/>
        <w:jc w:val="both"/>
        <w:rPr>
          <w:rFonts w:ascii="Verdana" w:hAnsi="Verdana"/>
          <w:sz w:val="20"/>
          <w:szCs w:val="20"/>
        </w:rPr>
      </w:pPr>
      <w:r w:rsidRPr="00660AA2">
        <w:rPr>
          <w:rFonts w:ascii="Verdana" w:hAnsi="Verdana"/>
          <w:sz w:val="20"/>
          <w:szCs w:val="20"/>
          <w:lang w:bidi="es-ES"/>
        </w:rPr>
        <w:lastRenderedPageBreak/>
        <w:t>En sentencias recientes el Consejo de Estado ha morigerado la postura anterior en relación con la oportunidad de la reclamación, en la medida en que, si bien es importante considerar el principio de buena fe al momento de suscribir los acuerdos entre las partes, se resalta la necesidad de analizar</w:t>
      </w:r>
      <w:r w:rsidRPr="00660AA2">
        <w:rPr>
          <w:rFonts w:ascii="Verdana" w:hAnsi="Verdana"/>
          <w:sz w:val="20"/>
          <w:szCs w:val="20"/>
        </w:rPr>
        <w:t xml:space="preserve"> cada caso el contenido del respectivo acuerdo y de sus antecedentes, para determinar el alcance de los otrosíes o de las actas de suspensión correspondientes. En tal sentido, con base en esta posición se considera que la inexistencia de una salvedad en la prórroga o suspensión o cualquier acuerdo de voluntades que se efectúe por las partes no es suficiente para determinar la improcedencia de la reclamación, ya que es necesario revisar los antecedentes y los hechos que justificaron dicho acuerdo. Esto se fundamente en que </w:t>
      </w:r>
      <w:r w:rsidRPr="00660AA2">
        <w:rPr>
          <w:rFonts w:ascii="Verdana" w:hAnsi="Verdana"/>
          <w:sz w:val="20"/>
          <w:szCs w:val="20"/>
          <w:lang w:val="es-MX"/>
        </w:rPr>
        <w:t>«</w:t>
      </w:r>
      <w:r w:rsidRPr="00660AA2">
        <w:rPr>
          <w:rFonts w:ascii="Verdana" w:hAnsi="Verdana"/>
          <w:sz w:val="20"/>
          <w:szCs w:val="20"/>
        </w:rPr>
        <w:t>la denegatoria de tales pretensiones, es el hecho de que el acuerdo suscrito haya servido, precisamente, para solventar situaciones que se hayan presentado durante la ejecución del contrato, por lo que no se entendería que, de considerar que subsistía un perjuicio para el contratista derivado de tales situaciones, haya concurrido a suscribirlo, sin dejar alguna manifestación sobre la insuficiencia de ese acuerdo para satisfacer sus reclamaciones</w:t>
      </w:r>
      <w:r w:rsidRPr="00660AA2">
        <w:rPr>
          <w:rFonts w:ascii="Verdana" w:hAnsi="Verdana"/>
          <w:sz w:val="20"/>
          <w:szCs w:val="20"/>
          <w:lang w:val="es-MX"/>
        </w:rPr>
        <w:t>»</w:t>
      </w:r>
      <w:r w:rsidRPr="00660AA2">
        <w:rPr>
          <w:rFonts w:ascii="Verdana" w:hAnsi="Verdana"/>
          <w:sz w:val="20"/>
          <w:szCs w:val="20"/>
        </w:rPr>
        <w:t>.</w:t>
      </w:r>
    </w:p>
    <w:p w14:paraId="36E17552" w14:textId="77777777" w:rsidR="002E0EBF" w:rsidRPr="005549AE" w:rsidRDefault="002E0EBF" w:rsidP="002E0EBF">
      <w:pPr>
        <w:spacing w:after="0" w:line="240" w:lineRule="auto"/>
        <w:jc w:val="both"/>
        <w:rPr>
          <w:rFonts w:ascii="Verdana" w:hAnsi="Verdana"/>
          <w:sz w:val="20"/>
          <w:szCs w:val="20"/>
        </w:rPr>
      </w:pPr>
    </w:p>
    <w:p w14:paraId="025E90ED" w14:textId="77777777" w:rsidR="002E0EBF" w:rsidRPr="00AF1555" w:rsidRDefault="002E0EBF" w:rsidP="002E0EBF">
      <w:pPr>
        <w:tabs>
          <w:tab w:val="left" w:pos="426"/>
        </w:tabs>
        <w:spacing w:after="0" w:line="240" w:lineRule="auto"/>
        <w:jc w:val="both"/>
        <w:rPr>
          <w:rFonts w:ascii="Verdana" w:hAnsi="Verdana" w:cs="Arial"/>
          <w:b/>
          <w:lang w:eastAsia="es-CO"/>
        </w:rPr>
      </w:pPr>
      <w:r>
        <w:rPr>
          <w:rFonts w:ascii="Verdana" w:hAnsi="Verdana" w:cs="Arial"/>
          <w:b/>
          <w:lang w:val="es-ES_tradnl" w:eastAsia="es-CO"/>
        </w:rPr>
        <w:t>RESTABLECIMIENTO DE LA ECUACIÓN ECONÓMICA</w:t>
      </w:r>
      <w:r>
        <w:rPr>
          <w:rFonts w:ascii="Verdana" w:hAnsi="Verdana" w:cs="Arial"/>
          <w:b/>
          <w:lang w:eastAsia="es-CO"/>
        </w:rPr>
        <w:t xml:space="preserve"> – Liquidación</w:t>
      </w:r>
      <w:r w:rsidRPr="00AF1555">
        <w:rPr>
          <w:rFonts w:ascii="Verdana" w:hAnsi="Verdana" w:cs="Arial"/>
          <w:b/>
          <w:lang w:eastAsia="es-CO"/>
        </w:rPr>
        <w:t xml:space="preserve">  </w:t>
      </w:r>
    </w:p>
    <w:p w14:paraId="00EA882D" w14:textId="77777777" w:rsidR="002E0EBF" w:rsidRPr="00AF1555" w:rsidRDefault="002E0EBF" w:rsidP="002E0EBF">
      <w:pPr>
        <w:tabs>
          <w:tab w:val="left" w:pos="426"/>
        </w:tabs>
        <w:spacing w:after="0" w:line="240" w:lineRule="auto"/>
        <w:jc w:val="both"/>
        <w:rPr>
          <w:rFonts w:ascii="Verdana" w:hAnsi="Verdana" w:cs="Arial"/>
          <w:b/>
          <w:sz w:val="20"/>
          <w:szCs w:val="20"/>
          <w:lang w:eastAsia="es-CO"/>
        </w:rPr>
      </w:pPr>
    </w:p>
    <w:p w14:paraId="4076E30B" w14:textId="77777777" w:rsidR="002E0EBF" w:rsidRPr="006F121D" w:rsidRDefault="002E0EBF" w:rsidP="002E0EBF">
      <w:pPr>
        <w:spacing w:after="0" w:line="240" w:lineRule="auto"/>
        <w:jc w:val="both"/>
        <w:rPr>
          <w:rFonts w:ascii="Verdana" w:hAnsi="Verdana" w:cs="Arial"/>
          <w:bCs/>
          <w:sz w:val="20"/>
          <w:szCs w:val="20"/>
          <w:lang w:eastAsia="es-CO"/>
        </w:rPr>
      </w:pPr>
      <w:r w:rsidRPr="006F121D">
        <w:rPr>
          <w:rFonts w:ascii="Verdana" w:hAnsi="Verdana" w:cs="Arial"/>
          <w:bCs/>
          <w:sz w:val="20"/>
          <w:szCs w:val="20"/>
          <w:lang w:eastAsia="es-CO"/>
        </w:rPr>
        <w:t>De los incisos segundo y tercero del artículo 60 del EGCAP se desprende que en la liquidación “[…] las partes acordarán los ajustes, revisiones y reconocimientos a que haya lugar” y en ella “[…] constarán los acuerdos, conciliaciones y transacciones a que llegaren las partes para poner fin a las divergencias presentadas y poder declararse a paz y salvo”. Esto hace que la liquidación no sólo sea un mecanismo alternativo de solución de conflictos, sino también un medio para resolver asuntos relacionados con el desequilibrio económico del contrato. Sobre esta última faceta, la doctrina explica que la norma en comento consagra una posibilidad para que las entidades públicas garanticen el equilibrio económico si éste resultó afectado en la ejecución del negocio jurídico, así que la liquidación es el momento oportuno para resolver las diferencias existentes.</w:t>
      </w:r>
    </w:p>
    <w:p w14:paraId="2BF0EC6A" w14:textId="77777777" w:rsidR="002E0EBF" w:rsidRPr="006F121D" w:rsidRDefault="002E0EBF" w:rsidP="002E0EBF">
      <w:pPr>
        <w:spacing w:after="0" w:line="240" w:lineRule="auto"/>
        <w:jc w:val="both"/>
        <w:rPr>
          <w:rFonts w:ascii="Verdana" w:hAnsi="Verdana" w:cs="Arial"/>
          <w:bCs/>
          <w:sz w:val="20"/>
          <w:szCs w:val="20"/>
          <w:lang w:eastAsia="es-CO"/>
        </w:rPr>
      </w:pPr>
    </w:p>
    <w:p w14:paraId="54AA79EB" w14:textId="77777777" w:rsidR="002E0EBF" w:rsidRPr="006F121D" w:rsidRDefault="002E0EBF" w:rsidP="002E0EBF">
      <w:pPr>
        <w:spacing w:after="0" w:line="240" w:lineRule="auto"/>
        <w:jc w:val="both"/>
        <w:rPr>
          <w:rFonts w:ascii="Verdana" w:eastAsia="Geomanist Light" w:hAnsi="Verdana" w:cs="Arial"/>
          <w:color w:val="000000" w:themeColor="text1"/>
          <w:sz w:val="20"/>
          <w:szCs w:val="20"/>
        </w:rPr>
      </w:pPr>
      <w:r w:rsidRPr="006F121D">
        <w:rPr>
          <w:rFonts w:ascii="Verdana" w:hAnsi="Verdana" w:cs="Arial"/>
          <w:bCs/>
          <w:sz w:val="20"/>
          <w:szCs w:val="20"/>
          <w:lang w:eastAsia="es-CO"/>
        </w:rPr>
        <w:t>No obstante, de acuerdo con la Sentencia de Unificación del 19 de noviembre de 2012 de la Sala Plena del Consejo de Estado, por regla general, no es posible solicitar reconocimientos económicos por la ejecución de obras extras o adicionales, sin la previa suscripción de un contrato adicional que las justifique. Esto en la medida que los artículos 39 y 41 del EGCAP disponen que los contratos estatales son solemnes y, por tanto, requieren formalidad escrita, salvo que se presente una situación de urgencia manifiesta. De cara al artículo 10 del CPACA, considerando las tres (3) excepciones contempladas en dicha sentencia, en la actualidad está limitada la posibilidad de reconocer en la liquidación actividades no incluidas dentro del contrato. Así, su pago no sólo está sujeto al soporte probatorio, sino que la decisión también debe armonizarse con la doctrina fijada por el máximo órgano de la jurisdicción contenciosa administrativa</w:t>
      </w:r>
      <w:r w:rsidRPr="006F121D">
        <w:rPr>
          <w:rFonts w:ascii="Verdana" w:eastAsia="Geomanist Light" w:hAnsi="Verdana" w:cs="Arial"/>
          <w:color w:val="000000" w:themeColor="text1"/>
          <w:sz w:val="20"/>
          <w:szCs w:val="20"/>
        </w:rPr>
        <w:t>.</w:t>
      </w:r>
    </w:p>
    <w:p w14:paraId="2B141D4A" w14:textId="77777777" w:rsidR="002E0EBF" w:rsidRPr="006F121D" w:rsidRDefault="002E0EBF" w:rsidP="002E0EBF">
      <w:pPr>
        <w:spacing w:after="0" w:line="240" w:lineRule="auto"/>
        <w:jc w:val="both"/>
        <w:rPr>
          <w:rFonts w:ascii="Verdana" w:hAnsi="Verdana" w:cs="Arial"/>
          <w:sz w:val="20"/>
          <w:szCs w:val="20"/>
        </w:rPr>
      </w:pPr>
    </w:p>
    <w:p w14:paraId="3DB46F75" w14:textId="77777777" w:rsidR="002E0EBF" w:rsidRPr="00B4318D" w:rsidRDefault="002E0EBF" w:rsidP="002E0EBF">
      <w:pPr>
        <w:spacing w:after="0" w:line="240" w:lineRule="auto"/>
        <w:jc w:val="both"/>
        <w:rPr>
          <w:rFonts w:ascii="Verdana" w:hAnsi="Verdana"/>
          <w:b/>
        </w:rPr>
      </w:pPr>
      <w:r w:rsidRPr="00B4318D">
        <w:rPr>
          <w:rFonts w:ascii="Verdana" w:hAnsi="Verdana"/>
          <w:b/>
        </w:rPr>
        <w:t xml:space="preserve">ENRIQUECIMIENTO SIN JUSTA CAUSA – Sentencia de Unificación del 19 de noviembre de 2012 – Alcance </w:t>
      </w:r>
    </w:p>
    <w:p w14:paraId="4E24B199" w14:textId="77777777" w:rsidR="002E0EBF" w:rsidRPr="00B4318D" w:rsidRDefault="002E0EBF" w:rsidP="002E0EBF">
      <w:pPr>
        <w:spacing w:after="0" w:line="240" w:lineRule="auto"/>
        <w:jc w:val="both"/>
        <w:rPr>
          <w:rFonts w:ascii="Verdana" w:hAnsi="Verdana"/>
          <w:b/>
        </w:rPr>
      </w:pPr>
    </w:p>
    <w:p w14:paraId="70BE091B" w14:textId="77777777" w:rsidR="002E0EBF" w:rsidRPr="00CE3030" w:rsidRDefault="002E0EBF" w:rsidP="002E0EBF">
      <w:pPr>
        <w:spacing w:after="0" w:line="240" w:lineRule="auto"/>
        <w:jc w:val="both"/>
        <w:rPr>
          <w:rFonts w:ascii="Verdana" w:hAnsi="Verdana"/>
          <w:sz w:val="20"/>
        </w:rPr>
      </w:pPr>
      <w:r w:rsidRPr="00CE3030">
        <w:rPr>
          <w:rFonts w:ascii="Verdana" w:hAnsi="Verdana"/>
          <w:sz w:val="20"/>
        </w:rPr>
        <w:lastRenderedPageBreak/>
        <w:t xml:space="preserve">[…] la Sala Plena del Consejo de Estado </w:t>
      </w:r>
      <w:r>
        <w:rPr>
          <w:rFonts w:ascii="Verdana" w:hAnsi="Verdana"/>
          <w:sz w:val="20"/>
        </w:rPr>
        <w:t>en</w:t>
      </w:r>
      <w:r w:rsidRPr="00CE3030">
        <w:rPr>
          <w:rFonts w:ascii="Verdana" w:hAnsi="Verdana"/>
          <w:sz w:val="20"/>
        </w:rPr>
        <w:t xml:space="preserve"> la Sentencia de Unificación del 19 de noviembre de 2012, </w:t>
      </w:r>
      <w:r w:rsidRPr="00CE3030">
        <w:rPr>
          <w:rFonts w:ascii="Verdana" w:hAnsi="Verdana"/>
          <w:i/>
          <w:iCs/>
          <w:sz w:val="20"/>
        </w:rPr>
        <w:t>por regla general,</w:t>
      </w:r>
      <w:r w:rsidRPr="00CE3030">
        <w:rPr>
          <w:rFonts w:ascii="Verdana" w:hAnsi="Verdana"/>
          <w:sz w:val="20"/>
        </w:rPr>
        <w:t xml:space="preserve"> no es posible solicitar reconocimientos económicos por la ejecución de obras extras o adicionales, sin la previa suscripción de un contrato adicional que las justifique. Esto en la medida que los artículos 39 y 41 del EGCAP disponen que los contratos estatales son solemnes y, por tanto, requieren formalidad escrita, salvo que se presente una situación de urgencia manifiesta.</w:t>
      </w:r>
    </w:p>
    <w:p w14:paraId="4570386F" w14:textId="77777777" w:rsidR="002E0EBF" w:rsidRPr="00CE3030" w:rsidRDefault="002E0EBF" w:rsidP="002E0EBF">
      <w:pPr>
        <w:spacing w:after="0" w:line="240" w:lineRule="auto"/>
        <w:jc w:val="both"/>
        <w:rPr>
          <w:rFonts w:ascii="Verdana" w:hAnsi="Verdana"/>
          <w:sz w:val="20"/>
        </w:rPr>
      </w:pPr>
    </w:p>
    <w:p w14:paraId="7D31DC41" w14:textId="77777777" w:rsidR="002E0EBF" w:rsidRPr="00CE3030" w:rsidRDefault="002E0EBF" w:rsidP="002E0EBF">
      <w:pPr>
        <w:spacing w:after="0" w:line="240" w:lineRule="auto"/>
        <w:jc w:val="both"/>
        <w:rPr>
          <w:rFonts w:ascii="Verdana" w:hAnsi="Verdana"/>
          <w:sz w:val="20"/>
        </w:rPr>
      </w:pPr>
      <w:r w:rsidRPr="00CE3030">
        <w:rPr>
          <w:rFonts w:ascii="Verdana" w:hAnsi="Verdana"/>
          <w:i/>
          <w:iCs/>
          <w:sz w:val="20"/>
        </w:rPr>
        <w:t>Excepcionalmente</w:t>
      </w:r>
      <w:r w:rsidRPr="00CE3030">
        <w:rPr>
          <w:rFonts w:ascii="Verdana" w:hAnsi="Verdana"/>
          <w:sz w:val="20"/>
        </w:rPr>
        <w:t xml:space="preserve">, la jurisprudencia citada admitió la posibilidad de reconocer al contratista la ejecución de obras extras o adicionales en tres (3) eventos de interpretación restrictiva: i) cuando existe prueba fehaciente de que la ejecución de obras o servicios extras o adicionales o el suministro de bienes, por fuera del objeto contractual, se haya realizado por la imposición de la entidad, en ejercicio de su autoridad; </w:t>
      </w:r>
      <w:proofErr w:type="spellStart"/>
      <w:r w:rsidRPr="00CE3030">
        <w:rPr>
          <w:rFonts w:ascii="Verdana" w:hAnsi="Verdana"/>
          <w:sz w:val="20"/>
        </w:rPr>
        <w:t>ii</w:t>
      </w:r>
      <w:proofErr w:type="spellEnd"/>
      <w:r w:rsidRPr="00CE3030">
        <w:rPr>
          <w:rFonts w:ascii="Verdana" w:hAnsi="Verdana"/>
          <w:sz w:val="20"/>
        </w:rPr>
        <w:t xml:space="preserve">) que fueran urgentes para evitar una lesión inminente e irreversible al derecho a la salud; y </w:t>
      </w:r>
      <w:proofErr w:type="spellStart"/>
      <w:r w:rsidRPr="00CE3030">
        <w:rPr>
          <w:rFonts w:ascii="Verdana" w:hAnsi="Verdana"/>
          <w:sz w:val="20"/>
        </w:rPr>
        <w:t>iii</w:t>
      </w:r>
      <w:proofErr w:type="spellEnd"/>
      <w:r w:rsidRPr="00CE3030">
        <w:rPr>
          <w:rFonts w:ascii="Verdana" w:hAnsi="Verdana"/>
          <w:sz w:val="20"/>
        </w:rPr>
        <w:t xml:space="preserve">) cuando se omite el decreto de la urgencia manifiesta y concurren las circunstancias para que ésta hubiera sido declarada.  </w:t>
      </w:r>
    </w:p>
    <w:p w14:paraId="7CDB92F6" w14:textId="77777777" w:rsidR="002E0EBF" w:rsidRPr="00B4318D" w:rsidRDefault="002E0EBF" w:rsidP="002E0EBF">
      <w:pPr>
        <w:spacing w:after="0" w:line="240" w:lineRule="auto"/>
        <w:jc w:val="both"/>
        <w:rPr>
          <w:rFonts w:ascii="Verdana" w:hAnsi="Verdana"/>
          <w:b/>
        </w:rPr>
      </w:pPr>
      <w:r w:rsidRPr="00B4318D">
        <w:rPr>
          <w:rFonts w:ascii="Verdana" w:hAnsi="Verdana"/>
          <w:b/>
        </w:rPr>
        <w:t xml:space="preserve"> </w:t>
      </w:r>
    </w:p>
    <w:p w14:paraId="0EA1D00C" w14:textId="77777777" w:rsidR="002E0EBF" w:rsidRPr="00B4318D" w:rsidRDefault="002E0EBF" w:rsidP="002E0EBF">
      <w:pPr>
        <w:spacing w:after="0" w:line="240" w:lineRule="auto"/>
        <w:jc w:val="both"/>
        <w:rPr>
          <w:rFonts w:ascii="Verdana" w:hAnsi="Verdana"/>
          <w:b/>
        </w:rPr>
      </w:pPr>
      <w:r w:rsidRPr="00B4318D">
        <w:rPr>
          <w:rFonts w:ascii="Verdana" w:hAnsi="Verdana"/>
          <w:b/>
        </w:rPr>
        <w:t xml:space="preserve">ENRIQUECIMIENTO SIN JUSTA CAUSA – Nueva Postura – Sentencia de Unificación Jurisprudencial – Elementos – Prueba de la Actividad - Circunstancia Excepcional - Procedencia  </w:t>
      </w:r>
    </w:p>
    <w:p w14:paraId="70B70664" w14:textId="77777777" w:rsidR="002E0EBF" w:rsidRPr="00CE3030" w:rsidRDefault="002E0EBF" w:rsidP="002E0EBF">
      <w:pPr>
        <w:spacing w:after="0" w:line="240" w:lineRule="auto"/>
        <w:jc w:val="both"/>
        <w:rPr>
          <w:rFonts w:ascii="Verdana" w:hAnsi="Verdana"/>
          <w:sz w:val="20"/>
        </w:rPr>
      </w:pPr>
    </w:p>
    <w:p w14:paraId="387D26B6" w14:textId="77777777" w:rsidR="002E0EBF" w:rsidRDefault="002E0EBF" w:rsidP="002E0EBF">
      <w:pPr>
        <w:spacing w:after="0" w:line="240" w:lineRule="auto"/>
        <w:jc w:val="both"/>
        <w:rPr>
          <w:rFonts w:ascii="Verdana" w:hAnsi="Verdana"/>
          <w:sz w:val="20"/>
        </w:rPr>
      </w:pPr>
      <w:r w:rsidRPr="00CE3030">
        <w:rPr>
          <w:rFonts w:ascii="Verdana" w:hAnsi="Verdana"/>
          <w:sz w:val="20"/>
        </w:rPr>
        <w:t xml:space="preserve">En todo caso, esta postura jurisprudencial consolidada cambió con la Sentencia de Unificación del 31 de julio de 2025, en la que se expresó la compensación del enriquecimiento sin justa causa no está condicionado a la subsunción de ciertos hechos que se concuerdan con una lista de hipótesis fácticas previa y taxativamente definidas, sino que corresponde al juez, en virtud de los elementos sustantivos y la revisión el comportamiento de las partes, establecer la viabilidad de ordenar que haya una corrección al traslado patrimonial injustificado por bienes y obras no previstos en el contrato. </w:t>
      </w:r>
    </w:p>
    <w:p w14:paraId="3442DBAD" w14:textId="77777777" w:rsidR="002E0EBF" w:rsidRPr="00CE3030" w:rsidRDefault="002E0EBF" w:rsidP="002E0EBF">
      <w:pPr>
        <w:spacing w:after="0" w:line="240" w:lineRule="auto"/>
        <w:jc w:val="both"/>
        <w:rPr>
          <w:rFonts w:ascii="Verdana" w:hAnsi="Verdana"/>
          <w:sz w:val="20"/>
        </w:rPr>
      </w:pPr>
    </w:p>
    <w:p w14:paraId="03F2413C" w14:textId="77777777" w:rsidR="002E0EBF" w:rsidRDefault="002E0EBF" w:rsidP="002E0EBF">
      <w:pPr>
        <w:spacing w:after="0" w:line="240" w:lineRule="auto"/>
        <w:jc w:val="both"/>
        <w:rPr>
          <w:rFonts w:ascii="Verdana" w:hAnsi="Verdana"/>
          <w:sz w:val="20"/>
        </w:rPr>
      </w:pPr>
      <w:r>
        <w:rPr>
          <w:rFonts w:ascii="Verdana" w:hAnsi="Verdana"/>
          <w:sz w:val="20"/>
        </w:rPr>
        <w:t>[…]</w:t>
      </w:r>
    </w:p>
    <w:p w14:paraId="7FBD55E9" w14:textId="77777777" w:rsidR="002E0EBF" w:rsidRPr="00CE3030" w:rsidRDefault="002E0EBF" w:rsidP="002E0EBF">
      <w:pPr>
        <w:spacing w:after="0" w:line="240" w:lineRule="auto"/>
        <w:jc w:val="both"/>
        <w:rPr>
          <w:rFonts w:ascii="Verdana" w:hAnsi="Verdana"/>
          <w:sz w:val="20"/>
        </w:rPr>
      </w:pPr>
    </w:p>
    <w:p w14:paraId="1D95D7EA" w14:textId="77777777" w:rsidR="002E0EBF" w:rsidRPr="00381D6C" w:rsidRDefault="002E0EBF" w:rsidP="002E0EBF">
      <w:pPr>
        <w:spacing w:after="0" w:line="240" w:lineRule="auto"/>
        <w:jc w:val="both"/>
        <w:rPr>
          <w:rFonts w:ascii="Verdana" w:hAnsi="Verdana"/>
          <w:sz w:val="20"/>
          <w:szCs w:val="20"/>
          <w:lang w:val="es-ES"/>
        </w:rPr>
      </w:pPr>
      <w:r w:rsidRPr="00CE3030">
        <w:rPr>
          <w:rFonts w:ascii="Verdana" w:hAnsi="Verdana"/>
          <w:sz w:val="20"/>
        </w:rPr>
        <w:t>Teniendo en cuenta los elementos, debe tenerse en cuenta la prueba de la actividad, sumado a la circunstancia excepcional que se invoca. El Consejo de Estado estableció que esta regla sobre el reconocimiento económico debe aplicarse a partir de la ejecutoria de la nueva sentencia de unificación, en aquellas pretensiones de compensación por enriquecimiento sin causa, de forma que no podrá dejarse de conceder lo pedido por el solo hecho de que el caso no se enmarque en los eventos indicados en la Sentencia del 19 de noviembre de 2012.</w:t>
      </w:r>
    </w:p>
    <w:p w14:paraId="1888E0AF" w14:textId="77777777" w:rsidR="002E0EBF" w:rsidRDefault="002E0EBF" w:rsidP="002E0EBF">
      <w:pPr>
        <w:spacing w:after="0" w:line="240" w:lineRule="auto"/>
        <w:jc w:val="both"/>
        <w:rPr>
          <w:rFonts w:ascii="Verdana" w:eastAsia="Times New Roman" w:hAnsi="Verdana" w:cs="Arial"/>
          <w:color w:val="000000"/>
          <w:sz w:val="20"/>
          <w:szCs w:val="20"/>
          <w:lang w:eastAsia="es-MX"/>
        </w:rPr>
      </w:pPr>
      <w:r>
        <w:rPr>
          <w:rFonts w:ascii="Verdana" w:eastAsia="Times New Roman" w:hAnsi="Verdana" w:cs="Arial"/>
          <w:color w:val="000000"/>
          <w:sz w:val="20"/>
          <w:szCs w:val="20"/>
          <w:lang w:eastAsia="es-MX"/>
        </w:rPr>
        <w:t xml:space="preserve"> </w:t>
      </w:r>
    </w:p>
    <w:p w14:paraId="562067A6" w14:textId="77777777" w:rsidR="002E0EBF" w:rsidRPr="00705C5F" w:rsidRDefault="002E0EBF" w:rsidP="002E0EBF">
      <w:pPr>
        <w:spacing w:after="0" w:line="240" w:lineRule="auto"/>
        <w:jc w:val="both"/>
        <w:rPr>
          <w:rFonts w:ascii="Verdana" w:eastAsia="Times New Roman" w:hAnsi="Verdana" w:cs="Arial"/>
          <w:color w:val="000000"/>
          <w:sz w:val="20"/>
          <w:szCs w:val="20"/>
          <w:lang w:eastAsia="es-MX"/>
        </w:rPr>
      </w:pPr>
    </w:p>
    <w:p w14:paraId="34352F7C" w14:textId="77777777" w:rsidR="002E0EBF" w:rsidRPr="00DE2AC7" w:rsidRDefault="002E0EBF" w:rsidP="002E0EBF">
      <w:pPr>
        <w:spacing w:after="0" w:line="240" w:lineRule="auto"/>
        <w:jc w:val="both"/>
        <w:rPr>
          <w:rFonts w:ascii="Verdana" w:eastAsia="Geomanist Light" w:hAnsi="Verdana" w:cs="Arial"/>
          <w:color w:val="000000" w:themeColor="text1"/>
        </w:rPr>
      </w:pPr>
    </w:p>
    <w:p w14:paraId="776B7C43" w14:textId="77777777" w:rsidR="002E0EBF" w:rsidRDefault="002E0EBF" w:rsidP="002E0EBF">
      <w:pPr>
        <w:spacing w:after="0" w:line="240" w:lineRule="auto"/>
        <w:rPr>
          <w:rFonts w:ascii="Verdana" w:eastAsia="Geomanist Light" w:hAnsi="Verdana" w:cs="Arial"/>
          <w:color w:val="000000" w:themeColor="text1"/>
          <w:lang w:val="es-MX"/>
        </w:rPr>
      </w:pPr>
    </w:p>
    <w:p w14:paraId="377D215A" w14:textId="77777777" w:rsidR="002E0EBF" w:rsidRDefault="002E0EBF" w:rsidP="00345D1A">
      <w:pPr>
        <w:spacing w:after="0" w:line="240" w:lineRule="auto"/>
        <w:rPr>
          <w:rFonts w:ascii="Verdana" w:eastAsia="Geomanist Light" w:hAnsi="Verdana" w:cs="Arial"/>
          <w:color w:val="000000" w:themeColor="text1"/>
          <w:lang w:val="es-MX"/>
        </w:rPr>
      </w:pPr>
    </w:p>
    <w:p w14:paraId="189D0844" w14:textId="77777777" w:rsidR="002E0EBF" w:rsidRDefault="002E0EBF" w:rsidP="00345D1A">
      <w:pPr>
        <w:spacing w:after="0" w:line="240" w:lineRule="auto"/>
        <w:rPr>
          <w:rFonts w:ascii="Verdana" w:eastAsia="Geomanist Light" w:hAnsi="Verdana" w:cs="Arial"/>
          <w:color w:val="000000" w:themeColor="text1"/>
          <w:lang w:val="es-MX"/>
        </w:rPr>
      </w:pPr>
    </w:p>
    <w:p w14:paraId="6A9488A9" w14:textId="77777777" w:rsidR="002E0EBF" w:rsidRDefault="002E0EBF" w:rsidP="00345D1A">
      <w:pPr>
        <w:spacing w:after="0" w:line="240" w:lineRule="auto"/>
        <w:rPr>
          <w:rFonts w:ascii="Verdana" w:eastAsia="Geomanist Light" w:hAnsi="Verdana" w:cs="Arial"/>
          <w:color w:val="000000" w:themeColor="text1"/>
          <w:lang w:val="es-MX"/>
        </w:rPr>
      </w:pPr>
    </w:p>
    <w:p w14:paraId="3EA11DFA" w14:textId="56753C3B" w:rsidR="00345D1A" w:rsidRPr="00593A5F" w:rsidRDefault="00345D1A" w:rsidP="00345D1A">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C00A33" w:rsidRPr="00C00A33">
        <w:rPr>
          <w:rFonts w:ascii="Verdana" w:eastAsia="Geomanist Light" w:hAnsi="Verdana" w:cs="Arial"/>
          <w:color w:val="000000" w:themeColor="text1"/>
          <w:lang w:val="es-MX"/>
        </w:rPr>
        <w:t>30 de Enero de 2026</w:t>
      </w:r>
    </w:p>
    <w:p w14:paraId="4607DF94" w14:textId="77777777" w:rsidR="00345D1A" w:rsidRDefault="00345D1A" w:rsidP="00345D1A">
      <w:pPr>
        <w:spacing w:after="0" w:line="240" w:lineRule="auto"/>
        <w:jc w:val="both"/>
        <w:rPr>
          <w:rFonts w:ascii="Verdana" w:eastAsia="Calibri" w:hAnsi="Verdana" w:cs="Arial"/>
          <w:color w:val="000000"/>
          <w:lang w:val="es-ES"/>
        </w:rPr>
      </w:pPr>
    </w:p>
    <w:p w14:paraId="37190FDA" w14:textId="1353F7BC" w:rsidR="00345D1A" w:rsidRDefault="00E125EC" w:rsidP="00E125EC">
      <w:pPr>
        <w:spacing w:after="0" w:line="240" w:lineRule="auto"/>
        <w:jc w:val="right"/>
        <w:rPr>
          <w:rFonts w:ascii="Verdana" w:eastAsia="Calibri" w:hAnsi="Verdana" w:cs="Arial"/>
          <w:color w:val="000000"/>
          <w:lang w:val="es-ES"/>
        </w:rPr>
      </w:pPr>
      <w:r w:rsidRPr="00E125EC">
        <w:rPr>
          <w:rFonts w:ascii="Verdana" w:eastAsia="Calibri" w:hAnsi="Verdana" w:cs="Arial"/>
          <w:noProof/>
          <w:color w:val="000000"/>
          <w:lang w:val="es-ES"/>
        </w:rPr>
        <w:drawing>
          <wp:inline distT="0" distB="0" distL="0" distR="0" wp14:anchorId="1753995A" wp14:editId="7D2ED20E">
            <wp:extent cx="3238500" cy="901700"/>
            <wp:effectExtent l="0" t="0" r="0" b="0"/>
            <wp:docPr id="136963380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633806" name=""/>
                    <pic:cNvPicPr/>
                  </pic:nvPicPr>
                  <pic:blipFill>
                    <a:blip r:embed="rId10"/>
                    <a:stretch>
                      <a:fillRect/>
                    </a:stretch>
                  </pic:blipFill>
                  <pic:spPr>
                    <a:xfrm>
                      <a:off x="0" y="0"/>
                      <a:ext cx="3238500" cy="901700"/>
                    </a:xfrm>
                    <a:prstGeom prst="rect">
                      <a:avLst/>
                    </a:prstGeom>
                  </pic:spPr>
                </pic:pic>
              </a:graphicData>
            </a:graphic>
          </wp:inline>
        </w:drawing>
      </w:r>
    </w:p>
    <w:p w14:paraId="062CA337" w14:textId="77777777" w:rsidR="00E125EC" w:rsidRPr="00593A5F" w:rsidRDefault="00E125EC" w:rsidP="00345D1A">
      <w:pPr>
        <w:spacing w:after="0" w:line="240" w:lineRule="auto"/>
        <w:jc w:val="both"/>
        <w:rPr>
          <w:rFonts w:ascii="Verdana" w:eastAsia="Calibri" w:hAnsi="Verdana" w:cs="Arial"/>
          <w:color w:val="000000"/>
          <w:lang w:val="es-ES"/>
        </w:rPr>
      </w:pPr>
    </w:p>
    <w:p w14:paraId="5781E4ED" w14:textId="77777777" w:rsidR="00345D1A" w:rsidRPr="00B96799" w:rsidRDefault="00345D1A" w:rsidP="00345D1A">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2D3843EC" w14:textId="77777777" w:rsidR="00345D1A" w:rsidRPr="0085423D" w:rsidRDefault="00345D1A" w:rsidP="0ED3A0B5">
      <w:pPr>
        <w:spacing w:after="0" w:line="240" w:lineRule="auto"/>
        <w:rPr>
          <w:rFonts w:ascii="Verdana" w:eastAsia="Calibri" w:hAnsi="Verdana" w:cs="Arial"/>
          <w:b/>
          <w:bCs/>
          <w:lang w:val="es-ES" w:eastAsia="es-ES"/>
        </w:rPr>
      </w:pPr>
      <w:bookmarkStart w:id="0" w:name="OLE_LINK1"/>
      <w:r w:rsidRPr="0ED3A0B5">
        <w:rPr>
          <w:rFonts w:ascii="Verdana" w:eastAsia="Calibri" w:hAnsi="Verdana" w:cs="Arial"/>
          <w:b/>
          <w:bCs/>
          <w:lang w:val="es-ES" w:eastAsia="es-ES"/>
        </w:rPr>
        <w:t xml:space="preserve">Carlos Alberto </w:t>
      </w:r>
      <w:proofErr w:type="spellStart"/>
      <w:r w:rsidRPr="0ED3A0B5">
        <w:rPr>
          <w:rFonts w:ascii="Verdana" w:eastAsia="Calibri" w:hAnsi="Verdana" w:cs="Arial"/>
          <w:b/>
          <w:bCs/>
          <w:lang w:val="es-ES" w:eastAsia="es-ES"/>
        </w:rPr>
        <w:t>Banguero</w:t>
      </w:r>
      <w:proofErr w:type="spellEnd"/>
      <w:r w:rsidRPr="0ED3A0B5">
        <w:rPr>
          <w:rFonts w:ascii="Verdana" w:eastAsia="Calibri" w:hAnsi="Verdana" w:cs="Arial"/>
          <w:b/>
          <w:bCs/>
          <w:lang w:val="es-ES" w:eastAsia="es-ES"/>
        </w:rPr>
        <w:t xml:space="preserve"> Moreno  </w:t>
      </w:r>
    </w:p>
    <w:bookmarkEnd w:id="0"/>
    <w:p w14:paraId="629276D2" w14:textId="77777777" w:rsidR="00345D1A" w:rsidRPr="00A804BA" w:rsidRDefault="00345D1A" w:rsidP="00345D1A">
      <w:pPr>
        <w:spacing w:after="0" w:line="240" w:lineRule="auto"/>
        <w:rPr>
          <w:rFonts w:ascii="Verdana" w:eastAsia="Calibri" w:hAnsi="Verdana" w:cs="Arial"/>
          <w:lang w:val="es-ES" w:eastAsia="es-ES"/>
        </w:rPr>
      </w:pPr>
      <w:r>
        <w:rPr>
          <w:rFonts w:ascii="Verdana" w:hAnsi="Verdana"/>
        </w:rPr>
        <w:fldChar w:fldCharType="begin"/>
      </w:r>
      <w:r>
        <w:rPr>
          <w:rFonts w:ascii="Verdana" w:hAnsi="Verdana"/>
        </w:rPr>
        <w:instrText>HYPERLINK "mailto:</w:instrText>
      </w:r>
      <w:r w:rsidRPr="00877D84">
        <w:rPr>
          <w:rFonts w:ascii="Verdana" w:hAnsi="Verdana"/>
        </w:rPr>
        <w:instrText>contactenos@asomura.gov.co</w:instrText>
      </w:r>
      <w:r>
        <w:rPr>
          <w:rFonts w:ascii="Verdana" w:hAnsi="Verdana"/>
        </w:rPr>
        <w:instrText>"</w:instrText>
      </w:r>
      <w:r>
        <w:rPr>
          <w:rFonts w:ascii="Verdana" w:hAnsi="Verdana"/>
        </w:rPr>
      </w:r>
      <w:r>
        <w:rPr>
          <w:rFonts w:ascii="Verdana" w:hAnsi="Verdana"/>
        </w:rPr>
        <w:fldChar w:fldCharType="separate"/>
      </w:r>
      <w:r w:rsidRPr="00665ABF">
        <w:rPr>
          <w:rStyle w:val="Hipervnculo"/>
          <w:rFonts w:ascii="Verdana" w:hAnsi="Verdana"/>
        </w:rPr>
        <w:t>contactenos@asomura.gov.co</w:t>
      </w:r>
      <w:r>
        <w:rPr>
          <w:rFonts w:ascii="Verdana" w:hAnsi="Verdana"/>
        </w:rPr>
        <w:fldChar w:fldCharType="end"/>
      </w:r>
      <w:r>
        <w:rPr>
          <w:rFonts w:ascii="Verdana" w:hAnsi="Verdana"/>
        </w:rPr>
        <w:t xml:space="preserve">       </w:t>
      </w:r>
      <w:r w:rsidRPr="00A804BA">
        <w:rPr>
          <w:rFonts w:ascii="Verdana" w:hAnsi="Verdana"/>
        </w:rPr>
        <w:t xml:space="preserve">            </w:t>
      </w:r>
      <w:r w:rsidRPr="00A804BA">
        <w:rPr>
          <w:rFonts w:ascii="Verdana" w:eastAsia="Calibri" w:hAnsi="Verdana" w:cs="Arial"/>
          <w:lang w:val="es-ES" w:eastAsia="es-ES"/>
        </w:rPr>
        <w:t xml:space="preserve">    </w:t>
      </w:r>
    </w:p>
    <w:p w14:paraId="27E53813" w14:textId="77777777" w:rsidR="00345D1A" w:rsidRDefault="00345D1A" w:rsidP="00345D1A">
      <w:pPr>
        <w:spacing w:after="0" w:line="240" w:lineRule="auto"/>
        <w:rPr>
          <w:rFonts w:ascii="Verdana" w:eastAsia="Calibri" w:hAnsi="Verdana" w:cs="Arial"/>
          <w:lang w:val="es-ES" w:eastAsia="es-ES"/>
        </w:rPr>
      </w:pPr>
      <w:r>
        <w:rPr>
          <w:rFonts w:ascii="Verdana" w:eastAsia="Calibri" w:hAnsi="Verdana" w:cs="Arial"/>
          <w:lang w:val="es-ES" w:eastAsia="es-ES"/>
        </w:rPr>
        <w:t xml:space="preserve">Apartadó, Antioquia </w:t>
      </w:r>
    </w:p>
    <w:p w14:paraId="1FA4E5F4" w14:textId="77777777" w:rsidR="00345D1A" w:rsidRPr="00593A5F" w:rsidRDefault="00345D1A" w:rsidP="00345D1A">
      <w:pPr>
        <w:spacing w:after="0" w:line="240" w:lineRule="auto"/>
        <w:rPr>
          <w:rFonts w:ascii="Verdana" w:eastAsia="Calibri" w:hAnsi="Verdana" w:cs="Arial"/>
          <w:b/>
          <w:bCs/>
          <w:color w:val="000000"/>
          <w:lang w:val="es-ES_tradnl" w:eastAsia="es-ES_tradnl"/>
        </w:rPr>
      </w:pPr>
    </w:p>
    <w:p w14:paraId="14168C33" w14:textId="77777777" w:rsidR="00345D1A" w:rsidRPr="00593A5F" w:rsidRDefault="00345D1A" w:rsidP="00345D1A">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45D1A" w:rsidRPr="00593A5F" w14:paraId="2DA773A4" w14:textId="77777777" w:rsidTr="00624F0F">
        <w:trPr>
          <w:trHeight w:val="884"/>
        </w:trPr>
        <w:tc>
          <w:tcPr>
            <w:tcW w:w="2689" w:type="dxa"/>
          </w:tcPr>
          <w:p w14:paraId="400D29BD" w14:textId="77777777" w:rsidR="00345D1A" w:rsidRPr="00C00976" w:rsidRDefault="00345D1A" w:rsidP="00624F0F">
            <w:pPr>
              <w:jc w:val="both"/>
              <w:rPr>
                <w:rFonts w:ascii="Verdana" w:eastAsia="Calibri" w:hAnsi="Verdana" w:cs="Arial"/>
                <w:b/>
                <w:bCs/>
                <w:color w:val="7030A0"/>
                <w:lang w:val="es-ES_tradnl" w:eastAsia="es-ES_tradnl"/>
              </w:rPr>
            </w:pPr>
          </w:p>
        </w:tc>
        <w:tc>
          <w:tcPr>
            <w:tcW w:w="6100" w:type="dxa"/>
          </w:tcPr>
          <w:p w14:paraId="54070DC0" w14:textId="3C509386" w:rsidR="00345D1A" w:rsidRPr="00C00976" w:rsidRDefault="00345D1A" w:rsidP="00624F0F">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w:t>
            </w:r>
            <w:r w:rsidRPr="009F59BC">
              <w:rPr>
                <w:rFonts w:ascii="Verdana" w:eastAsia="Calibri" w:hAnsi="Verdana" w:cs="Arial"/>
                <w:b/>
                <w:bCs/>
                <w:lang w:val="es-ES" w:eastAsia="es-ES"/>
              </w:rPr>
              <w:t xml:space="preserve">C – </w:t>
            </w:r>
            <w:r w:rsidR="009F59BC" w:rsidRPr="00A96D58">
              <w:rPr>
                <w:rFonts w:ascii="Verdana" w:eastAsia="Calibri" w:hAnsi="Verdana" w:cs="Arial"/>
                <w:b/>
                <w:bCs/>
                <w:lang w:val="es-ES" w:eastAsia="es-ES"/>
              </w:rPr>
              <w:t>084</w:t>
            </w:r>
            <w:r w:rsidRPr="009F59BC">
              <w:rPr>
                <w:rFonts w:ascii="Verdana" w:eastAsia="Calibri" w:hAnsi="Verdana" w:cs="Arial"/>
                <w:b/>
                <w:bCs/>
                <w:lang w:val="es-ES" w:eastAsia="es-ES"/>
              </w:rPr>
              <w:t xml:space="preserve"> de 2025</w:t>
            </w:r>
          </w:p>
        </w:tc>
      </w:tr>
      <w:tr w:rsidR="00345D1A" w:rsidRPr="00593A5F" w14:paraId="19C8172F" w14:textId="77777777" w:rsidTr="00624F0F">
        <w:trPr>
          <w:trHeight w:val="884"/>
        </w:trPr>
        <w:tc>
          <w:tcPr>
            <w:tcW w:w="2689" w:type="dxa"/>
          </w:tcPr>
          <w:p w14:paraId="0C0C1BD8" w14:textId="77777777" w:rsidR="00345D1A" w:rsidRPr="00593A5F" w:rsidRDefault="00345D1A" w:rsidP="00624F0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794E8F6" w14:textId="77777777" w:rsidR="00345D1A" w:rsidRDefault="00345D1A" w:rsidP="00624F0F">
            <w:pPr>
              <w:spacing w:line="276" w:lineRule="auto"/>
              <w:jc w:val="both"/>
              <w:rPr>
                <w:rFonts w:ascii="Verdana" w:eastAsia="Calibri" w:hAnsi="Verdana" w:cs="Arial"/>
                <w:lang w:val="es-ES" w:eastAsia="es-ES"/>
              </w:rPr>
            </w:pPr>
            <w:r w:rsidRPr="00B508B0">
              <w:rPr>
                <w:rFonts w:ascii="Verdana" w:eastAsia="Calibri" w:hAnsi="Verdana" w:cs="Arial"/>
                <w:lang w:val="es-ES" w:eastAsia="es-ES"/>
              </w:rPr>
              <w:t>SISTEMA GENERAL DE REGALÍAS – Fundamento normativo – Acto Legislativo 01 de 2019 / SISTEMA GENERAL DE REGALÍAS – Ley 2056 de 2020 – Finalidad – Objeto / RÉGIMEN CONTRACTUAL – Entidades ejecutoras – Aplicación del Estatuto General de Contratación de la Administración Pública</w:t>
            </w:r>
            <w:r>
              <w:rPr>
                <w:rFonts w:ascii="Verdana" w:eastAsia="Calibri" w:hAnsi="Verdana" w:cs="Arial"/>
                <w:lang w:val="es-ES" w:eastAsia="es-ES"/>
              </w:rPr>
              <w:t xml:space="preserve"> / </w:t>
            </w:r>
            <w:r w:rsidRPr="00660AA2">
              <w:rPr>
                <w:rFonts w:ascii="Verdana" w:eastAsia="Calibri" w:hAnsi="Verdana" w:cs="Arial"/>
                <w:lang w:val="es-ES" w:eastAsia="es-ES"/>
              </w:rPr>
              <w:t>EQUILIBRIO ECONÓMICO – Contrato estatal – Fundamento / EQUILIBRIO ECONÓMICO – Contrato estatal – Concepto / EQUILIBRIO ECONÓMICO – Contrato estatal – Restablecimiento – Procedencia – Requisitos</w:t>
            </w:r>
            <w:r>
              <w:rPr>
                <w:rFonts w:ascii="Verdana" w:eastAsia="Calibri" w:hAnsi="Verdana" w:cs="Arial"/>
                <w:lang w:val="es-ES" w:eastAsia="es-ES"/>
              </w:rPr>
              <w:t xml:space="preserve"> / </w:t>
            </w:r>
            <w:r w:rsidRPr="00660AA2">
              <w:rPr>
                <w:rFonts w:ascii="Verdana" w:eastAsia="Calibri" w:hAnsi="Verdana" w:cs="Arial"/>
                <w:lang w:val="es-ES" w:eastAsia="es-ES"/>
              </w:rPr>
              <w:t xml:space="preserve">RESTABLECIMIENTO DE LA ECUACIÓN ECONÓMICA – Liquidación </w:t>
            </w:r>
            <w:r>
              <w:rPr>
                <w:rFonts w:ascii="Verdana" w:eastAsia="Calibri" w:hAnsi="Verdana" w:cs="Arial"/>
                <w:lang w:val="es-ES" w:eastAsia="es-ES"/>
              </w:rPr>
              <w:t xml:space="preserve">/ </w:t>
            </w:r>
            <w:r w:rsidRPr="00A04C35">
              <w:rPr>
                <w:rFonts w:ascii="Verdana" w:hAnsi="Verdana" w:cs="Arial"/>
                <w:lang w:val="es-ES" w:eastAsia="es-ES"/>
              </w:rPr>
              <w:t>ENRIQUECIMIENTO SIN JUSTA CAUSA – Sentencia de Unificación del 19 de noviembre de 2012 – Alcance / ENRIQUECIMIENTO SIN JUSTA CAUSA – Nueva Postura – Sentencia de Unificación Jurisprudencial – Elementos – Prueba de la Actividad - Circunstancia Excepcional - Procedencia</w:t>
            </w:r>
          </w:p>
          <w:p w14:paraId="36BA07C0" w14:textId="77777777" w:rsidR="00345D1A" w:rsidRPr="00593A5F" w:rsidRDefault="00345D1A" w:rsidP="00624F0F">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345D1A" w:rsidRPr="008E6AD9" w14:paraId="109BE409" w14:textId="77777777" w:rsidTr="00624F0F">
        <w:tc>
          <w:tcPr>
            <w:tcW w:w="2689" w:type="dxa"/>
          </w:tcPr>
          <w:p w14:paraId="2C2E3606" w14:textId="77777777" w:rsidR="00345D1A" w:rsidRPr="008E6AD9" w:rsidRDefault="00345D1A" w:rsidP="00624F0F">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3DB56C1" w14:textId="77777777" w:rsidR="00345D1A" w:rsidRPr="00B92340" w:rsidRDefault="00345D1A" w:rsidP="00624F0F">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las </w:t>
            </w:r>
            <w:r w:rsidRPr="008E6AD9">
              <w:rPr>
                <w:rFonts w:ascii="Verdana" w:eastAsia="Calibri" w:hAnsi="Verdana" w:cs="Arial"/>
                <w:lang w:val="es-ES_tradnl" w:eastAsia="es-ES_tradnl"/>
              </w:rPr>
              <w:t>consulta</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con radicado</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No.</w:t>
            </w:r>
            <w:r>
              <w:rPr>
                <w:rFonts w:ascii="Verdana" w:eastAsia="Calibri" w:hAnsi="Verdana" w:cs="Arial"/>
                <w:lang w:val="es-ES_tradnl" w:eastAsia="es-ES_tradnl"/>
              </w:rPr>
              <w:t xml:space="preserve"> </w:t>
            </w:r>
            <w:bookmarkStart w:id="1" w:name="OLE_LINK2"/>
            <w:r w:rsidRPr="00877D84">
              <w:rPr>
                <w:rFonts w:ascii="Verdana" w:eastAsia="Calibri" w:hAnsi="Verdana" w:cs="Arial"/>
                <w:lang w:val="es-ES_tradnl" w:eastAsia="es-ES_tradnl"/>
              </w:rPr>
              <w:t xml:space="preserve">1_2026_01_23_000696 </w:t>
            </w:r>
            <w:r>
              <w:rPr>
                <w:rFonts w:ascii="Verdana" w:eastAsia="Calibri" w:hAnsi="Verdana" w:cs="Arial"/>
                <w:lang w:val="es-ES_tradnl" w:eastAsia="es-ES_tradnl"/>
              </w:rPr>
              <w:t>y</w:t>
            </w:r>
            <w:r w:rsidRPr="00877D84">
              <w:rPr>
                <w:rFonts w:ascii="Verdana" w:eastAsia="Calibri" w:hAnsi="Verdana" w:cs="Arial"/>
                <w:lang w:val="es-ES_tradnl" w:eastAsia="es-ES_tradnl"/>
              </w:rPr>
              <w:t xml:space="preserve"> 1_2026_01_23_000711</w:t>
            </w:r>
            <w:bookmarkEnd w:id="1"/>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–Acumuladas–                                   </w:t>
            </w:r>
          </w:p>
        </w:tc>
      </w:tr>
    </w:tbl>
    <w:p w14:paraId="4787F068" w14:textId="77777777" w:rsidR="00345D1A" w:rsidRPr="00593A5F" w:rsidRDefault="00345D1A" w:rsidP="00345D1A">
      <w:pPr>
        <w:spacing w:after="0" w:line="240" w:lineRule="auto"/>
        <w:jc w:val="both"/>
        <w:rPr>
          <w:rFonts w:ascii="Verdana" w:eastAsia="Calibri" w:hAnsi="Verdana" w:cs="Arial"/>
          <w:color w:val="000000"/>
          <w:lang w:val="es-ES_tradnl" w:eastAsia="es-ES_tradnl"/>
        </w:rPr>
      </w:pPr>
    </w:p>
    <w:p w14:paraId="451E9608" w14:textId="77777777" w:rsidR="00345D1A" w:rsidRPr="00593A5F" w:rsidRDefault="00345D1A" w:rsidP="00345D1A">
      <w:pPr>
        <w:spacing w:after="0" w:line="240" w:lineRule="auto"/>
        <w:jc w:val="both"/>
        <w:rPr>
          <w:rFonts w:ascii="Verdana" w:eastAsia="Calibri" w:hAnsi="Verdana" w:cs="Arial"/>
          <w:color w:val="000000"/>
          <w:lang w:val="es-ES_tradnl" w:eastAsia="es-ES_tradnl"/>
        </w:rPr>
      </w:pPr>
    </w:p>
    <w:p w14:paraId="416E78FD" w14:textId="77777777" w:rsidR="00345D1A" w:rsidRPr="008E6AD9" w:rsidRDefault="00345D1A" w:rsidP="00345D1A">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proofErr w:type="spellStart"/>
      <w:r w:rsidRPr="00877D84">
        <w:rPr>
          <w:rFonts w:ascii="Verdana" w:eastAsia="Calibri" w:hAnsi="Verdana" w:cs="Arial"/>
          <w:lang w:val="es-ES" w:eastAsia="es-ES"/>
        </w:rPr>
        <w:t>Banguero</w:t>
      </w:r>
      <w:proofErr w:type="spellEnd"/>
      <w:r w:rsidRPr="00877D84">
        <w:rPr>
          <w:rFonts w:ascii="Verdana" w:eastAsia="Calibri" w:hAnsi="Verdana" w:cs="Arial"/>
          <w:lang w:val="es-ES" w:eastAsia="es-ES"/>
        </w:rPr>
        <w:t xml:space="preserve"> Moreno</w:t>
      </w:r>
      <w:r w:rsidRPr="008E6AD9">
        <w:rPr>
          <w:rFonts w:ascii="Verdana" w:eastAsia="Calibri" w:hAnsi="Verdana" w:cs="Arial"/>
          <w:lang w:val="es-ES" w:eastAsia="es-ES"/>
        </w:rPr>
        <w:t xml:space="preserve">: </w:t>
      </w:r>
    </w:p>
    <w:p w14:paraId="462451B5" w14:textId="77777777" w:rsidR="00345D1A" w:rsidRDefault="00345D1A" w:rsidP="00345D1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A5F77C0" w14:textId="77777777" w:rsidR="00345D1A" w:rsidRPr="00593A5F" w:rsidRDefault="00345D1A" w:rsidP="00345D1A">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realizada la Contraloría General de la República</w:t>
      </w:r>
      <w:r>
        <w:rPr>
          <w:rFonts w:ascii="Verdana" w:eastAsia="Calibri" w:hAnsi="Verdana" w:cs="Arial"/>
          <w:lang w:val="es-ES" w:eastAsia="es-ES"/>
        </w:rPr>
        <w:t>, la cual –conforme al artículo 21 de la Ley 1437 de 2011– fue remitida por competencia a esta entidad el 22 de enero de 2026, donde realiza las siguientes preguntas</w:t>
      </w:r>
      <w:r w:rsidRPr="008E6AD9">
        <w:rPr>
          <w:rFonts w:ascii="Verdana" w:eastAsia="Calibri" w:hAnsi="Verdana" w:cs="Arial"/>
          <w:lang w:val="es-ES" w:eastAsia="es-ES"/>
        </w:rPr>
        <w:t xml:space="preserve">: </w:t>
      </w:r>
    </w:p>
    <w:p w14:paraId="3B81E947" w14:textId="77777777" w:rsidR="00345D1A" w:rsidRPr="00272A7B" w:rsidRDefault="00345D1A" w:rsidP="00345D1A">
      <w:pPr>
        <w:pStyle w:val="Prrafodelista"/>
        <w:tabs>
          <w:tab w:val="left" w:pos="142"/>
          <w:tab w:val="left" w:pos="284"/>
        </w:tabs>
        <w:spacing w:after="0" w:line="276" w:lineRule="auto"/>
        <w:ind w:left="0"/>
        <w:jc w:val="both"/>
        <w:rPr>
          <w:rFonts w:ascii="Verdana" w:eastAsia="Century Gothic" w:hAnsi="Verdana" w:cs="Century Gothic"/>
          <w:b/>
          <w:bCs/>
        </w:rPr>
      </w:pPr>
    </w:p>
    <w:p w14:paraId="01DF0B42" w14:textId="77777777" w:rsidR="00345D1A" w:rsidRPr="00C817C9" w:rsidRDefault="00345D1A" w:rsidP="00345D1A">
      <w:pPr>
        <w:spacing w:after="120" w:line="240" w:lineRule="auto"/>
        <w:ind w:left="709" w:right="709"/>
        <w:jc w:val="both"/>
        <w:rPr>
          <w:rFonts w:ascii="Verdana" w:eastAsia="Century Gothic" w:hAnsi="Verdana" w:cs="Century Gothic"/>
          <w:sz w:val="20"/>
          <w:szCs w:val="20"/>
          <w:lang w:val="es-ES"/>
        </w:rPr>
      </w:pPr>
      <w:bookmarkStart w:id="2" w:name="_Hlk95313578"/>
      <w:r w:rsidRPr="00AA6517">
        <w:rPr>
          <w:rFonts w:ascii="Verdana" w:eastAsia="Century Gothic" w:hAnsi="Verdana" w:cs="Century Gothic"/>
          <w:sz w:val="20"/>
          <w:szCs w:val="20"/>
          <w:lang w:val="es-ES"/>
        </w:rPr>
        <w:t>“</w:t>
      </w:r>
      <w:bookmarkEnd w:id="2"/>
      <w:r w:rsidRPr="00C817C9">
        <w:rPr>
          <w:rFonts w:ascii="Verdana" w:eastAsia="Century Gothic" w:hAnsi="Verdana" w:cs="Century Gothic"/>
          <w:sz w:val="20"/>
          <w:szCs w:val="20"/>
          <w:lang w:val="es-ES"/>
        </w:rPr>
        <w:t>1. ¿Cuál es el procedimiento jurídico, administrativo y presupuestal que debe adelantar ASOMURA como entidad ejecutora para que la entidad, órgano o instancia aprobadora competente le reconozca al contratista de obra un posible desequilibrio económico de un contrato estatal, cuando este se ejecuta con recursos del Sistema General de Regalías SGR de Regalías que fueron aprobados por OCAD regional?</w:t>
      </w:r>
    </w:p>
    <w:p w14:paraId="64BF9ADF" w14:textId="77777777" w:rsidR="00345D1A" w:rsidRPr="00C817C9" w:rsidRDefault="00345D1A" w:rsidP="00345D1A">
      <w:pPr>
        <w:spacing w:after="120" w:line="240" w:lineRule="auto"/>
        <w:ind w:left="709" w:right="709"/>
        <w:jc w:val="both"/>
        <w:rPr>
          <w:rFonts w:ascii="Verdana" w:eastAsia="Century Gothic" w:hAnsi="Verdana" w:cs="Century Gothic"/>
          <w:sz w:val="20"/>
          <w:szCs w:val="20"/>
          <w:lang w:val="es-ES"/>
        </w:rPr>
      </w:pPr>
      <w:r w:rsidRPr="00C817C9">
        <w:rPr>
          <w:rFonts w:ascii="Verdana" w:eastAsia="Century Gothic" w:hAnsi="Verdana" w:cs="Century Gothic"/>
          <w:sz w:val="20"/>
          <w:szCs w:val="20"/>
          <w:lang w:val="es-ES"/>
        </w:rPr>
        <w:t>2. ¿Cuáles son las entidades o instancias competentes en las distintas etapas para el reconocimiento del desequilibrio económico del proyecto de inversión financiado con recursos del SGR y que facultades o actuaciones tienen en el proceso?</w:t>
      </w:r>
    </w:p>
    <w:p w14:paraId="25A54A30" w14:textId="77777777" w:rsidR="00345D1A" w:rsidRPr="00C817C9" w:rsidRDefault="00345D1A" w:rsidP="00345D1A">
      <w:pPr>
        <w:spacing w:after="120" w:line="240" w:lineRule="auto"/>
        <w:ind w:left="709" w:right="709"/>
        <w:jc w:val="both"/>
        <w:rPr>
          <w:rFonts w:ascii="Verdana" w:eastAsia="Century Gothic" w:hAnsi="Verdana" w:cs="Century Gothic"/>
          <w:sz w:val="20"/>
          <w:szCs w:val="20"/>
          <w:lang w:val="es-ES"/>
        </w:rPr>
      </w:pPr>
      <w:r w:rsidRPr="00C817C9">
        <w:rPr>
          <w:rFonts w:ascii="Verdana" w:eastAsia="Century Gothic" w:hAnsi="Verdana" w:cs="Century Gothic"/>
          <w:sz w:val="20"/>
          <w:szCs w:val="20"/>
          <w:lang w:val="es-ES"/>
        </w:rPr>
        <w:t xml:space="preserve">3. ¿Cuáles son los requisitos mínimos que deben presentarse en la solicitud de desequilibrio económico para que proceda el reconocimiento </w:t>
      </w:r>
      <w:proofErr w:type="gramStart"/>
      <w:r w:rsidRPr="00C817C9">
        <w:rPr>
          <w:rFonts w:ascii="Verdana" w:eastAsia="Century Gothic" w:hAnsi="Verdana" w:cs="Century Gothic"/>
          <w:sz w:val="20"/>
          <w:szCs w:val="20"/>
          <w:lang w:val="es-ES"/>
        </w:rPr>
        <w:t>del mismo</w:t>
      </w:r>
      <w:proofErr w:type="gramEnd"/>
      <w:r w:rsidRPr="00C817C9">
        <w:rPr>
          <w:rFonts w:ascii="Verdana" w:eastAsia="Century Gothic" w:hAnsi="Verdana" w:cs="Century Gothic"/>
          <w:sz w:val="20"/>
          <w:szCs w:val="20"/>
          <w:lang w:val="es-ES"/>
        </w:rPr>
        <w:t>, conforme al régimen de contratación estatal y a la normativa del SGR?</w:t>
      </w:r>
    </w:p>
    <w:p w14:paraId="511BD081" w14:textId="77777777" w:rsidR="00345D1A" w:rsidRDefault="00345D1A" w:rsidP="00345D1A">
      <w:pPr>
        <w:spacing w:after="120" w:line="240" w:lineRule="auto"/>
        <w:ind w:left="709" w:right="709"/>
        <w:jc w:val="both"/>
        <w:rPr>
          <w:rFonts w:ascii="Verdana" w:eastAsia="Century Gothic" w:hAnsi="Verdana" w:cs="Century Gothic"/>
          <w:sz w:val="20"/>
          <w:szCs w:val="20"/>
          <w:lang w:val="es-ES"/>
        </w:rPr>
      </w:pPr>
      <w:r w:rsidRPr="00C817C9">
        <w:rPr>
          <w:rFonts w:ascii="Verdana" w:eastAsia="Century Gothic" w:hAnsi="Verdana" w:cs="Century Gothic"/>
          <w:sz w:val="20"/>
          <w:szCs w:val="20"/>
          <w:lang w:val="es-ES"/>
        </w:rPr>
        <w:t>4. ¿Dicha solicitud de reconocimiento económico debe tener el visto bueno de la interventoría para la presentación ante la entidad competente para su eventual aprobación?</w:t>
      </w:r>
    </w:p>
    <w:p w14:paraId="331AC021" w14:textId="77777777" w:rsidR="00345D1A" w:rsidRPr="00C817C9" w:rsidRDefault="00345D1A" w:rsidP="00345D1A">
      <w:pPr>
        <w:spacing w:after="120" w:line="240" w:lineRule="auto"/>
        <w:ind w:left="709" w:right="709"/>
        <w:jc w:val="both"/>
        <w:rPr>
          <w:rFonts w:ascii="Verdana" w:eastAsia="Century Gothic" w:hAnsi="Verdana" w:cs="Century Gothic"/>
          <w:sz w:val="20"/>
          <w:szCs w:val="20"/>
        </w:rPr>
      </w:pPr>
      <w:r w:rsidRPr="00C817C9">
        <w:rPr>
          <w:rFonts w:ascii="Verdana" w:eastAsia="Century Gothic" w:hAnsi="Verdana" w:cs="Century Gothic"/>
          <w:sz w:val="20"/>
          <w:szCs w:val="20"/>
        </w:rPr>
        <w:t>5. Si se diera reconocimiento del desequilibrio económico mediante el acto administrativo correspondiente por parte de la entidad, órgano o instancia de aprobación competente, ¿cuál es el procedimiento legal, administrativo y presupuestal que debe surtirse para su pago, tratándose de recursos del Sistema General de Regalías?</w:t>
      </w:r>
    </w:p>
    <w:p w14:paraId="24496E9B" w14:textId="77777777" w:rsidR="00345D1A" w:rsidRPr="00C817C9" w:rsidRDefault="00345D1A" w:rsidP="00345D1A">
      <w:pPr>
        <w:spacing w:after="120" w:line="240" w:lineRule="auto"/>
        <w:ind w:left="709" w:right="709"/>
        <w:jc w:val="both"/>
        <w:rPr>
          <w:rFonts w:ascii="Verdana" w:eastAsia="Century Gothic" w:hAnsi="Verdana" w:cs="Century Gothic"/>
          <w:sz w:val="20"/>
          <w:szCs w:val="20"/>
        </w:rPr>
      </w:pPr>
      <w:r w:rsidRPr="00C817C9">
        <w:rPr>
          <w:rFonts w:ascii="Verdana" w:eastAsia="Century Gothic" w:hAnsi="Verdana" w:cs="Century Gothic"/>
          <w:sz w:val="20"/>
          <w:szCs w:val="20"/>
        </w:rPr>
        <w:t>6. En el evento en que el desequilibrio económico sea reconocido por la entidad, órgano o instancia de aprobación competente, y teniendo en cuenta que existen valores disponibles respaldados en el Certificado de Disponibilidad Presupuestal CDP y el Registro Presupuestal RP generados en el Sistema de Presupuesto y Giro de Regalías SPGR para el proyecto, son saldo correspondientes a dos 2 actas</w:t>
      </w:r>
      <w:r>
        <w:rPr>
          <w:rFonts w:ascii="Verdana" w:eastAsia="Century Gothic" w:hAnsi="Verdana" w:cs="Century Gothic"/>
          <w:sz w:val="20"/>
          <w:szCs w:val="20"/>
        </w:rPr>
        <w:t xml:space="preserve"> </w:t>
      </w:r>
      <w:r w:rsidRPr="00C817C9">
        <w:rPr>
          <w:rFonts w:ascii="Verdana" w:eastAsia="Century Gothic" w:hAnsi="Verdana" w:cs="Century Gothic"/>
          <w:sz w:val="20"/>
          <w:szCs w:val="20"/>
        </w:rPr>
        <w:t xml:space="preserve">de ejecución que no fueron </w:t>
      </w:r>
      <w:r w:rsidRPr="00C817C9">
        <w:rPr>
          <w:rFonts w:ascii="Verdana" w:eastAsia="Century Gothic" w:hAnsi="Verdana" w:cs="Century Gothic"/>
          <w:sz w:val="20"/>
          <w:szCs w:val="20"/>
        </w:rPr>
        <w:lastRenderedPageBreak/>
        <w:t>reconocidas por la interventoría, ni obligadas ni pagadas por la entidad ejecutora, se solicita concepto sobre los siguientes aspectos:</w:t>
      </w:r>
    </w:p>
    <w:p w14:paraId="30250820" w14:textId="77777777" w:rsidR="00345D1A" w:rsidRPr="00C817C9" w:rsidRDefault="00345D1A" w:rsidP="00345D1A">
      <w:pPr>
        <w:spacing w:after="120" w:line="240" w:lineRule="auto"/>
        <w:ind w:left="709" w:right="709"/>
        <w:jc w:val="both"/>
        <w:rPr>
          <w:rFonts w:ascii="Verdana" w:eastAsia="Century Gothic" w:hAnsi="Verdana" w:cs="Century Gothic"/>
          <w:sz w:val="20"/>
          <w:szCs w:val="20"/>
        </w:rPr>
      </w:pPr>
      <w:r w:rsidRPr="00C817C9">
        <w:rPr>
          <w:rFonts w:ascii="Verdana" w:eastAsia="Century Gothic" w:hAnsi="Verdana" w:cs="Century Gothic"/>
          <w:sz w:val="20"/>
          <w:szCs w:val="20"/>
        </w:rPr>
        <w:t>6.1. ¿Es jurídicamente viable destinar los recursos asociados a las actas de ejecución de obra no reconocidas por la interventoría, ni pagadas por la entidad ejecutora, para el pago total o parcial del desequilibrio económico debidamente reconocido por la entidad, órgano o instancia aprobadora competente, sin que ello implique desviación de recursos del Sistema General de Regalías, ni modificación sustancial del proyecto aprobado o genere algún hallazgo fiscal, falta disciplinaria y/o delito por parte de la entidad y funcionarios que participan en el proceso de pago?</w:t>
      </w:r>
    </w:p>
    <w:p w14:paraId="17B588F9" w14:textId="77777777" w:rsidR="00345D1A" w:rsidRPr="00AA6517" w:rsidRDefault="00345D1A" w:rsidP="00345D1A">
      <w:pPr>
        <w:spacing w:after="0" w:line="240" w:lineRule="auto"/>
        <w:ind w:left="709" w:right="709"/>
        <w:jc w:val="both"/>
        <w:rPr>
          <w:rFonts w:ascii="Verdana" w:eastAsia="Century Gothic" w:hAnsi="Verdana" w:cs="Century Gothic"/>
          <w:sz w:val="20"/>
          <w:szCs w:val="20"/>
          <w:lang w:val="es-ES"/>
        </w:rPr>
      </w:pPr>
      <w:r w:rsidRPr="00C817C9">
        <w:rPr>
          <w:rFonts w:ascii="Verdana" w:eastAsia="Century Gothic" w:hAnsi="Verdana" w:cs="Century Gothic"/>
          <w:sz w:val="20"/>
          <w:szCs w:val="20"/>
        </w:rPr>
        <w:t>6.2. En caso de no ser viable pagar el posible desequilibrio económico con los recursos disponibles producto de las actas de ejecución de obra no reconocidas por la interventoría ni pagadas por la entidad ejecutora, ¿cuál es el procedimiento jurídico, presupuestal y administrativo que debe adelantar la entidad ejecutora respecto de los recursos asociados a dichas actas</w:t>
      </w:r>
      <w:r>
        <w:rPr>
          <w:rFonts w:ascii="Verdana" w:eastAsia="Century Gothic" w:hAnsi="Verdana" w:cs="Century Gothic"/>
          <w:sz w:val="20"/>
          <w:szCs w:val="20"/>
        </w:rPr>
        <w:t xml:space="preserve"> </w:t>
      </w:r>
      <w:r w:rsidRPr="00C817C9">
        <w:rPr>
          <w:rFonts w:ascii="Verdana" w:eastAsia="Century Gothic" w:hAnsi="Verdana" w:cs="Century Gothic"/>
          <w:sz w:val="20"/>
          <w:szCs w:val="20"/>
        </w:rPr>
        <w:t>liberación, reasignación, ajuste o devolución, conforme a la normativa aplicable del Sistema General de Regalías y al control fiscal vigente?</w:t>
      </w:r>
      <w:r w:rsidRPr="00AA6517">
        <w:rPr>
          <w:rFonts w:ascii="Verdana" w:eastAsia="Century Gothic" w:hAnsi="Verdana" w:cs="Century Gothic"/>
          <w:sz w:val="20"/>
          <w:szCs w:val="20"/>
        </w:rPr>
        <w:t>”.</w:t>
      </w:r>
      <w:r>
        <w:rPr>
          <w:rFonts w:ascii="Verdana" w:eastAsia="Century Gothic" w:hAnsi="Verdana" w:cs="Century Gothic"/>
          <w:sz w:val="21"/>
          <w:szCs w:val="21"/>
        </w:rPr>
        <w:t xml:space="preserve"> </w:t>
      </w:r>
    </w:p>
    <w:p w14:paraId="2A5467AA" w14:textId="77777777" w:rsidR="00345D1A" w:rsidRPr="008E6AD9" w:rsidRDefault="00345D1A" w:rsidP="00345D1A">
      <w:pPr>
        <w:pStyle w:val="Prrafodelista"/>
        <w:tabs>
          <w:tab w:val="left" w:pos="142"/>
          <w:tab w:val="left" w:pos="284"/>
        </w:tabs>
        <w:spacing w:after="0" w:line="276" w:lineRule="auto"/>
        <w:ind w:left="0"/>
        <w:jc w:val="both"/>
        <w:rPr>
          <w:rFonts w:ascii="Verdana" w:eastAsia="Century Gothic" w:hAnsi="Verdana" w:cs="Century Gothic"/>
          <w:b/>
          <w:bCs/>
        </w:rPr>
      </w:pPr>
    </w:p>
    <w:p w14:paraId="0319A8DF" w14:textId="77777777" w:rsidR="00345D1A" w:rsidRPr="00A652FF" w:rsidRDefault="00345D1A" w:rsidP="00345D1A">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A702AC3" w14:textId="77777777" w:rsidR="00345D1A" w:rsidRDefault="00345D1A" w:rsidP="00345D1A">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C2533B7" w14:textId="77777777" w:rsidR="00345D1A" w:rsidRPr="00593A5F" w:rsidRDefault="00345D1A" w:rsidP="00345D1A">
      <w:pPr>
        <w:spacing w:after="0" w:line="276" w:lineRule="auto"/>
        <w:ind w:firstLine="709"/>
        <w:jc w:val="both"/>
        <w:rPr>
          <w:rFonts w:ascii="Verdana" w:eastAsia="Calibri" w:hAnsi="Verdana" w:cs="Arial"/>
          <w:color w:val="000000"/>
          <w:lang w:val="es-ES" w:eastAsia="es-ES"/>
        </w:rPr>
      </w:pPr>
    </w:p>
    <w:p w14:paraId="0A3DB8C9" w14:textId="77777777" w:rsidR="00345D1A" w:rsidRPr="00593A5F" w:rsidRDefault="00345D1A" w:rsidP="00345D1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CE69BE9" w14:textId="77777777" w:rsidR="00345D1A" w:rsidRPr="00593A5F" w:rsidRDefault="00345D1A" w:rsidP="00345D1A">
      <w:pPr>
        <w:tabs>
          <w:tab w:val="left" w:pos="426"/>
        </w:tabs>
        <w:spacing w:after="0" w:line="276" w:lineRule="auto"/>
        <w:jc w:val="both"/>
        <w:rPr>
          <w:rFonts w:ascii="Verdana" w:eastAsia="Century Gothic" w:hAnsi="Verdana" w:cs="Century Gothic"/>
          <w:lang w:val="es-ES"/>
        </w:rPr>
      </w:pPr>
    </w:p>
    <w:p w14:paraId="35F828FB" w14:textId="77777777" w:rsidR="00345D1A" w:rsidRPr="00593A5F" w:rsidRDefault="00345D1A" w:rsidP="00345D1A">
      <w:pPr>
        <w:spacing w:after="0" w:line="276" w:lineRule="auto"/>
        <w:jc w:val="both"/>
        <w:rPr>
          <w:rFonts w:ascii="Verdana" w:eastAsia="Century Gothic" w:hAnsi="Verdana" w:cs="Century Gothic"/>
        </w:rPr>
      </w:pPr>
      <w:r w:rsidRPr="00906BE9">
        <w:rPr>
          <w:rFonts w:ascii="Verdana" w:eastAsia="Century Gothic" w:hAnsi="Verdana" w:cs="Century Gothic"/>
        </w:rPr>
        <w:lastRenderedPageBreak/>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¿cuál es marco normativo del desequilibrio económico en los proyectos financiados con recursos del </w:t>
      </w:r>
      <w:r w:rsidRPr="00764675">
        <w:rPr>
          <w:rFonts w:ascii="Verdana" w:eastAsia="Times New Roman" w:hAnsi="Verdana" w:cs="Arial"/>
          <w:kern w:val="2"/>
          <w:shd w:val="clear" w:color="auto" w:fill="FFFFFF"/>
          <w:lang w:val="es-ES_tradnl" w:eastAsia="es-ES_tradnl"/>
          <w14:ligatures w14:val="standardContextual"/>
        </w:rPr>
        <w:t>Sistema General de Regalías</w:t>
      </w:r>
      <w:r>
        <w:rPr>
          <w:rFonts w:ascii="Verdana" w:eastAsia="Times New Roman" w:hAnsi="Verdana" w:cs="Arial"/>
          <w:kern w:val="2"/>
          <w:shd w:val="clear" w:color="auto" w:fill="FFFFFF"/>
          <w:lang w:val="es-ES_tradnl" w:eastAsia="es-ES_tradnl"/>
          <w14:ligatures w14:val="standardContextual"/>
        </w:rPr>
        <w:t>?</w:t>
      </w:r>
      <w:r>
        <w:rPr>
          <w:rFonts w:ascii="Verdana" w:eastAsia="Century Gothic" w:hAnsi="Verdana" w:cs="Century Gothic"/>
        </w:rPr>
        <w:t xml:space="preserve">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0C48EC98" w14:textId="77777777" w:rsidR="00345D1A" w:rsidRPr="004B140F" w:rsidRDefault="00345D1A" w:rsidP="00345D1A">
      <w:pPr>
        <w:spacing w:after="0" w:line="276" w:lineRule="auto"/>
        <w:jc w:val="both"/>
        <w:rPr>
          <w:rFonts w:ascii="Verdana" w:eastAsia="Calibri" w:hAnsi="Verdana" w:cs="Arial"/>
          <w:color w:val="7030A0"/>
        </w:rPr>
      </w:pPr>
    </w:p>
    <w:p w14:paraId="64A93AAA" w14:textId="77777777" w:rsidR="00345D1A" w:rsidRPr="00593A5F" w:rsidRDefault="00345D1A" w:rsidP="00345D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B3C757B" w14:textId="77777777" w:rsidR="00345D1A" w:rsidRPr="00593A5F" w:rsidRDefault="00345D1A" w:rsidP="00345D1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45D1A" w:rsidRPr="00593A5F" w14:paraId="1FB9EDA8" w14:textId="77777777" w:rsidTr="00624F0F">
        <w:trPr>
          <w:jc w:val="center"/>
        </w:trPr>
        <w:tc>
          <w:tcPr>
            <w:tcW w:w="8828" w:type="dxa"/>
          </w:tcPr>
          <w:p w14:paraId="6973D4D6" w14:textId="77777777" w:rsidR="00345D1A" w:rsidRPr="000C670E" w:rsidRDefault="00345D1A" w:rsidP="00624F0F">
            <w:pPr>
              <w:spacing w:after="120" w:line="276" w:lineRule="auto"/>
              <w:jc w:val="both"/>
              <w:rPr>
                <w:rFonts w:ascii="Verdana" w:eastAsia="Times New Roman" w:hAnsi="Verdana" w:cs="Arial"/>
                <w:kern w:val="2"/>
                <w:shd w:val="clear" w:color="auto" w:fill="FFFFFF"/>
                <w:lang w:val="es-ES_tradnl" w:eastAsia="es-ES_tradnl"/>
                <w14:ligatures w14:val="standardContextual"/>
              </w:rPr>
            </w:pPr>
            <w:bookmarkStart w:id="3" w:name="_Hlk171694685"/>
            <w:r>
              <w:rPr>
                <w:rFonts w:ascii="Verdana" w:eastAsia="Calibri" w:hAnsi="Verdana" w:cs="Arial"/>
                <w:bCs/>
                <w:color w:val="000000" w:themeColor="text1"/>
              </w:rPr>
              <w:t xml:space="preserve">Conforme a la interpretación general de las normas del sistema de compras públicas, </w:t>
            </w:r>
            <w:r>
              <w:rPr>
                <w:rFonts w:ascii="Verdana" w:eastAsia="Times New Roman" w:hAnsi="Verdana" w:cs="Arial"/>
                <w:kern w:val="2"/>
                <w:shd w:val="clear" w:color="auto" w:fill="FFFFFF"/>
                <w:lang w:val="es-ES_tradnl" w:eastAsia="es-ES_tradnl"/>
                <w14:ligatures w14:val="standardContextual"/>
              </w:rPr>
              <w:t xml:space="preserve">de acuerdo con </w:t>
            </w:r>
            <w:r>
              <w:rPr>
                <w:rFonts w:ascii="Verdana" w:hAnsi="Verdana" w:cs="Arial"/>
                <w:bdr w:val="none" w:sz="0" w:space="0" w:color="auto" w:frame="1"/>
              </w:rPr>
              <w:t>el</w:t>
            </w:r>
            <w:r w:rsidRPr="00F473B6">
              <w:rPr>
                <w:rFonts w:ascii="Verdana" w:hAnsi="Verdana" w:cs="Arial"/>
              </w:rPr>
              <w:t xml:space="preserve"> parágrafo primero del artículo </w:t>
            </w:r>
            <w:r w:rsidRPr="00764675">
              <w:rPr>
                <w:rFonts w:ascii="Verdana" w:eastAsia="Times New Roman" w:hAnsi="Verdana" w:cs="Arial"/>
                <w:kern w:val="2"/>
                <w:shd w:val="clear" w:color="auto" w:fill="FFFFFF"/>
                <w:lang w:val="es-ES_tradnl" w:eastAsia="es-ES_tradnl"/>
                <w14:ligatures w14:val="standardContextual"/>
              </w:rPr>
              <w:t xml:space="preserve">37 de la Ley 2056 de 2020, el ejecutor de los proyectos de inversión </w:t>
            </w:r>
            <w:r>
              <w:rPr>
                <w:rFonts w:ascii="Verdana" w:eastAsia="Times New Roman" w:hAnsi="Verdana" w:cs="Arial"/>
                <w:kern w:val="2"/>
                <w:shd w:val="clear" w:color="auto" w:fill="FFFFFF"/>
                <w:lang w:val="es-ES_tradnl" w:eastAsia="es-ES_tradnl"/>
                <w14:ligatures w14:val="standardContextual"/>
              </w:rPr>
              <w:t>d</w:t>
            </w:r>
            <w:r w:rsidRPr="00764675">
              <w:rPr>
                <w:rFonts w:ascii="Verdana" w:eastAsia="Times New Roman" w:hAnsi="Verdana" w:cs="Arial"/>
                <w:kern w:val="2"/>
                <w:shd w:val="clear" w:color="auto" w:fill="FFFFFF"/>
                <w:lang w:val="es-ES_tradnl" w:eastAsia="es-ES_tradnl"/>
                <w14:ligatures w14:val="standardContextual"/>
              </w:rPr>
              <w:t>el Sistema General de Regalías debe sujetarse a las reglas de contratación pública, es decir, a las prescripciones establecidas en el Estatuto General de Contratación de la Administración Pública, así como las normas que lo modifiquen, sustituyan o reglamenten. En tal sentido, el ejecutor debe someterse a las reglas generales de la contratación pública cuando desarrolle proyectos en el marco del Sistema General de Regalías.</w:t>
            </w:r>
          </w:p>
          <w:p w14:paraId="1BB8F7D3" w14:textId="77777777" w:rsidR="00345D1A" w:rsidRDefault="00345D1A" w:rsidP="00624F0F">
            <w:pPr>
              <w:spacing w:after="120" w:line="276" w:lineRule="auto"/>
              <w:ind w:right="51" w:firstLine="738"/>
              <w:jc w:val="both"/>
              <w:rPr>
                <w:rFonts w:ascii="Verdana" w:eastAsia="Arial" w:hAnsi="Verdana" w:cs="Arial"/>
                <w:color w:val="000000" w:themeColor="text1"/>
                <w:lang w:eastAsia="es-ES" w:bidi="es-ES"/>
              </w:rPr>
            </w:pPr>
            <w:r>
              <w:rPr>
                <w:rFonts w:ascii="Verdana" w:eastAsia="Arial" w:hAnsi="Verdana" w:cs="Arial"/>
                <w:color w:val="000000" w:themeColor="text1"/>
                <w:lang w:eastAsia="es-ES" w:bidi="es-ES"/>
              </w:rPr>
              <w:t xml:space="preserve">Ahora bien, por remisión de los artículos 13, 32 y 40 del EGCAP al derecho privado, el contrato es ley para las partes conforme al artículo 1602 del Código Civil. Aunque la </w:t>
            </w:r>
            <w:r w:rsidRPr="00752476">
              <w:rPr>
                <w:rFonts w:ascii="Verdana" w:eastAsia="Arial" w:hAnsi="Verdana" w:cs="Arial"/>
                <w:i/>
                <w:iCs/>
                <w:color w:val="000000" w:themeColor="text1"/>
                <w:lang w:eastAsia="es-ES" w:bidi="es-ES"/>
              </w:rPr>
              <w:t>regla general</w:t>
            </w:r>
            <w:r>
              <w:rPr>
                <w:rFonts w:ascii="Verdana" w:eastAsia="Arial" w:hAnsi="Verdana" w:cs="Arial"/>
                <w:color w:val="000000" w:themeColor="text1"/>
                <w:lang w:eastAsia="es-ES" w:bidi="es-ES"/>
              </w:rPr>
              <w:t xml:space="preserve"> es el cumplimiento de los precios pactados, </w:t>
            </w:r>
            <w:r>
              <w:rPr>
                <w:rFonts w:ascii="Verdana" w:eastAsia="Arial" w:hAnsi="Verdana" w:cs="Arial"/>
                <w:i/>
                <w:iCs/>
                <w:color w:val="000000" w:themeColor="text1"/>
                <w:lang w:eastAsia="es-ES" w:bidi="es-ES"/>
              </w:rPr>
              <w:t>de forma excepcional</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pueden surgir circunstancias imprevistas que</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hagan</w:t>
            </w:r>
            <w:r>
              <w:rPr>
                <w:rFonts w:ascii="Verdana" w:eastAsia="Arial" w:hAnsi="Verdana" w:cs="Arial"/>
                <w:color w:val="000000" w:themeColor="text1"/>
                <w:lang w:eastAsia="es-ES" w:bidi="es-ES"/>
              </w:rPr>
              <w:t xml:space="preserve"> la ejecución</w:t>
            </w:r>
            <w:r w:rsidRPr="00752476">
              <w:rPr>
                <w:rFonts w:ascii="Verdana" w:eastAsia="Arial" w:hAnsi="Verdana" w:cs="Arial"/>
                <w:color w:val="000000" w:themeColor="text1"/>
                <w:lang w:eastAsia="es-ES" w:bidi="es-ES"/>
              </w:rPr>
              <w:t xml:space="preserve"> excesivamente gravos</w:t>
            </w:r>
            <w:r>
              <w:rPr>
                <w:rFonts w:ascii="Verdana" w:eastAsia="Arial" w:hAnsi="Verdana" w:cs="Arial"/>
                <w:color w:val="000000" w:themeColor="text1"/>
                <w:lang w:eastAsia="es-ES" w:bidi="es-ES"/>
              </w:rPr>
              <w:t>a</w:t>
            </w:r>
            <w:r w:rsidRPr="00752476">
              <w:rPr>
                <w:rFonts w:ascii="Verdana" w:eastAsia="Arial" w:hAnsi="Verdana" w:cs="Arial"/>
                <w:color w:val="000000" w:themeColor="text1"/>
                <w:lang w:eastAsia="es-ES" w:bidi="es-ES"/>
              </w:rPr>
              <w:t xml:space="preserve">, por lo que se han creado mecanismos para mantener la equidad y el equilibrio entre las </w:t>
            </w:r>
            <w:r>
              <w:rPr>
                <w:rFonts w:ascii="Verdana" w:eastAsia="Arial" w:hAnsi="Verdana" w:cs="Arial"/>
                <w:color w:val="000000" w:themeColor="text1"/>
                <w:lang w:eastAsia="es-ES" w:bidi="es-ES"/>
              </w:rPr>
              <w:t xml:space="preserve">obligaciones. </w:t>
            </w:r>
          </w:p>
          <w:p w14:paraId="22082A94" w14:textId="77777777" w:rsidR="00345D1A" w:rsidRPr="00F74AF6" w:rsidRDefault="00345D1A" w:rsidP="00624F0F">
            <w:pPr>
              <w:widowControl w:val="0"/>
              <w:autoSpaceDE w:val="0"/>
              <w:autoSpaceDN w:val="0"/>
              <w:spacing w:before="120" w:after="120" w:line="276" w:lineRule="auto"/>
              <w:ind w:firstLine="709"/>
              <w:jc w:val="both"/>
              <w:rPr>
                <w:rFonts w:ascii="Verdana" w:eastAsia="Arial" w:hAnsi="Verdana" w:cs="Arial"/>
                <w:color w:val="000000" w:themeColor="text1"/>
                <w:lang w:val="es-ES" w:eastAsia="es-ES" w:bidi="es-ES"/>
              </w:rPr>
            </w:pPr>
            <w:r>
              <w:rPr>
                <w:rFonts w:ascii="Verdana" w:eastAsia="Arial" w:hAnsi="Verdana" w:cs="Arial"/>
                <w:color w:val="000000" w:themeColor="text1"/>
                <w:lang w:val="es-ES" w:eastAsia="es-ES" w:bidi="es-ES"/>
              </w:rPr>
              <w:t xml:space="preserve">Para estos efectos, </w:t>
            </w:r>
            <w:r w:rsidRPr="00E97A27">
              <w:rPr>
                <w:rFonts w:ascii="Verdana" w:eastAsia="Arial" w:hAnsi="Verdana" w:cs="Arial"/>
                <w:color w:val="000000" w:themeColor="text1"/>
                <w:lang w:val="es-ES" w:eastAsia="es-ES" w:bidi="es-ES"/>
              </w:rPr>
              <w:t xml:space="preserve">el numeral 3 del artículo 4 </w:t>
            </w:r>
            <w:r>
              <w:rPr>
                <w:rFonts w:ascii="Verdana" w:eastAsia="Arial" w:hAnsi="Verdana" w:cs="Arial"/>
                <w:color w:val="000000" w:themeColor="text1"/>
                <w:lang w:val="es-ES" w:eastAsia="es-ES" w:bidi="es-ES"/>
              </w:rPr>
              <w:t>del EGCAP</w:t>
            </w:r>
            <w:r w:rsidRPr="00E97A27">
              <w:rPr>
                <w:rFonts w:ascii="Verdana" w:eastAsia="Arial" w:hAnsi="Verdana" w:cs="Arial"/>
                <w:color w:val="000000" w:themeColor="text1"/>
                <w:lang w:val="es-ES" w:eastAsia="es-ES" w:bidi="es-ES"/>
              </w:rPr>
              <w:t xml:space="preserve"> señala que las entidades estatales solicitarán la actualización o la revisión de los precios cuando se produzcan fenómenos que alteren en su contra </w:t>
            </w:r>
            <w:r w:rsidRPr="00E97A27">
              <w:rPr>
                <w:rFonts w:ascii="Verdana" w:eastAsia="Arial" w:hAnsi="Verdana" w:cs="Arial"/>
                <w:i/>
                <w:iCs/>
                <w:color w:val="000000" w:themeColor="text1"/>
                <w:lang w:val="es-ES" w:eastAsia="es-ES" w:bidi="es-ES"/>
              </w:rPr>
              <w:t>el equilibrio económico o financiero</w:t>
            </w:r>
            <w:r w:rsidRPr="00E97A27">
              <w:rPr>
                <w:rFonts w:ascii="Verdana" w:eastAsia="Arial" w:hAnsi="Verdana" w:cs="Arial"/>
                <w:color w:val="000000" w:themeColor="text1"/>
                <w:lang w:val="es-ES" w:eastAsia="es-ES" w:bidi="es-ES"/>
              </w:rPr>
              <w:t xml:space="preserve"> del contrato. Asimismo, el numeral 8 del artículo en comento señala que las entidades deberán adoptar las medidas necesarias para mantener durante el desarrollo y ejecución del contrato las condiciones técnicas, económicas y financieras existentes al momento de proponer en los casos en que se hubiere realizado licitación o concurso, o de contratar en los casos de contratación directa, para lo cual se emplearán los mecanismos de revisión y reajuste de precios</w:t>
            </w:r>
            <w:r>
              <w:rPr>
                <w:rFonts w:ascii="Verdana" w:eastAsia="Arial" w:hAnsi="Verdana" w:cs="Arial"/>
                <w:color w:val="000000" w:themeColor="text1"/>
                <w:lang w:val="es-ES" w:eastAsia="es-ES" w:bidi="es-ES"/>
              </w:rPr>
              <w:t xml:space="preserve">. </w:t>
            </w:r>
          </w:p>
          <w:p w14:paraId="2E5629D6" w14:textId="77777777" w:rsidR="00345D1A" w:rsidRPr="00324083" w:rsidRDefault="00345D1A" w:rsidP="00624F0F">
            <w:pPr>
              <w:spacing w:after="120" w:line="276" w:lineRule="auto"/>
              <w:ind w:right="51" w:firstLine="737"/>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 xml:space="preserve">Asimismo, </w:t>
            </w:r>
            <w:r w:rsidRPr="00E97A27">
              <w:rPr>
                <w:rFonts w:ascii="Verdana" w:eastAsia="Arial" w:hAnsi="Verdana" w:cs="Arial"/>
                <w:color w:val="000000" w:themeColor="text1"/>
                <w:lang w:val="es-ES" w:eastAsia="es-ES" w:bidi="es-ES"/>
              </w:rPr>
              <w:t xml:space="preserve">cuando se presenten situaciones que generen el desequilibrio económico del contrato, previa revisión de su procedencia, conforme el análisis del caso concreto, la entidad deberá adoptar las medidas correspondientes para su restablecimiento, si a ello hay lugar, para lo cual </w:t>
            </w:r>
            <w:r w:rsidRPr="00E97A27">
              <w:rPr>
                <w:rFonts w:ascii="Verdana" w:eastAsia="Arial" w:hAnsi="Verdana" w:cs="Arial"/>
                <w:color w:val="000000" w:themeColor="text1"/>
                <w:lang w:val="es-ES" w:eastAsia="es-ES" w:bidi="es-ES"/>
              </w:rPr>
              <w:lastRenderedPageBreak/>
              <w:t>tiene la potestad de suscribir los acuerdos necesarios sobre cuantía, condiciones, forma de pago, etc.</w:t>
            </w:r>
            <w:r>
              <w:rPr>
                <w:rFonts w:ascii="Verdana" w:eastAsia="Arial" w:hAnsi="Verdana" w:cs="Arial"/>
                <w:color w:val="000000" w:themeColor="text1"/>
                <w:lang w:val="es-ES" w:eastAsia="es-ES" w:bidi="es-ES"/>
              </w:rPr>
              <w:t xml:space="preserve"> </w:t>
            </w:r>
            <w:r w:rsidRPr="00E97A27">
              <w:rPr>
                <w:rFonts w:ascii="Verdana" w:eastAsia="Arial" w:hAnsi="Verdana" w:cs="Arial"/>
                <w:color w:val="000000" w:themeColor="text1"/>
                <w:lang w:val="es-ES" w:eastAsia="es-ES" w:bidi="es-ES"/>
              </w:rPr>
              <w:t>Estas medidas podrán materializarse a través de los distintos acuerdos que suscriban las partes como prórrogas, adiciones, otrosíes o cualquier acuerdo modificatorio que se considere necesarios para solventar el desequilibrio del contrato de acuerdo con las particularidades de cada caso. Igualmente, podrá efectuarse dicho reconocimiento por parte del juez mediante el ejercicio de la acción judicial correspondiente.</w:t>
            </w:r>
          </w:p>
          <w:p w14:paraId="3A8FC7D1" w14:textId="77777777" w:rsidR="00345D1A" w:rsidRPr="00324083" w:rsidRDefault="00345D1A" w:rsidP="00624F0F">
            <w:pPr>
              <w:spacing w:after="120" w:line="276" w:lineRule="auto"/>
              <w:ind w:firstLine="737"/>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 xml:space="preserve">Finalmente, conforme a los incisos segundo y tercero del artículo 60 del EGCAP, en la liquidación “[…] </w:t>
            </w:r>
            <w:r w:rsidRPr="00D118AB">
              <w:rPr>
                <w:rFonts w:ascii="Verdana" w:eastAsia="Times New Roman" w:hAnsi="Verdana" w:cs="Arial"/>
                <w:color w:val="000000"/>
                <w:bdr w:val="none" w:sz="0" w:space="0" w:color="auto" w:frame="1"/>
                <w:shd w:val="clear" w:color="auto" w:fill="FFFFFF"/>
                <w:lang w:eastAsia="es-ES_tradnl"/>
              </w:rPr>
              <w:t>las partes acordarán los ajustes, revisiones y reconocimientos a que haya lugar</w:t>
            </w:r>
            <w:r>
              <w:rPr>
                <w:rFonts w:ascii="Verdana" w:eastAsia="Times New Roman" w:hAnsi="Verdana" w:cs="Arial"/>
                <w:color w:val="000000"/>
                <w:bdr w:val="none" w:sz="0" w:space="0" w:color="auto" w:frame="1"/>
                <w:shd w:val="clear" w:color="auto" w:fill="FFFFFF"/>
                <w:lang w:eastAsia="es-ES_tradnl"/>
              </w:rPr>
              <w:t xml:space="preserve">” y en ella “[…] </w:t>
            </w:r>
            <w:r w:rsidRPr="00D118AB">
              <w:rPr>
                <w:rFonts w:ascii="Verdana" w:eastAsia="Times New Roman" w:hAnsi="Verdana" w:cs="Arial"/>
                <w:color w:val="000000"/>
                <w:bdr w:val="none" w:sz="0" w:space="0" w:color="auto" w:frame="1"/>
                <w:shd w:val="clear" w:color="auto" w:fill="FFFFFF"/>
                <w:lang w:eastAsia="es-ES_tradnl"/>
              </w:rPr>
              <w:t>constarán los acuerdos, conciliaciones y transacciones a que llegaren las partes para poner fin a las divergencias presentadas y poder declararse a paz y salvo</w:t>
            </w:r>
            <w:r>
              <w:rPr>
                <w:rFonts w:ascii="Verdana" w:eastAsia="Times New Roman" w:hAnsi="Verdana" w:cs="Arial"/>
                <w:color w:val="000000"/>
                <w:bdr w:val="none" w:sz="0" w:space="0" w:color="auto" w:frame="1"/>
                <w:shd w:val="clear" w:color="auto" w:fill="FFFFFF"/>
                <w:lang w:eastAsia="es-ES_tradnl"/>
              </w:rPr>
              <w:t>”</w:t>
            </w:r>
            <w:r w:rsidRPr="00D118AB">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Esto hace que la liquidación no sólo sea un mecanismo alternativo de solución de conflictos, sino también un medio para resolver asuntos relacionados con el desequilibrio económico del contrato. En el marco </w:t>
            </w:r>
            <w:r w:rsidRPr="00A04C35">
              <w:rPr>
                <w:rFonts w:ascii="Verdana" w:eastAsia="Times New Roman" w:hAnsi="Verdana" w:cs="Arial"/>
                <w:color w:val="000000"/>
                <w:bdr w:val="none" w:sz="0" w:space="0" w:color="auto" w:frame="1"/>
                <w:shd w:val="clear" w:color="auto" w:fill="FFFFFF"/>
                <w:lang w:eastAsia="es-ES_tradnl"/>
              </w:rPr>
              <w:t>la Sentencia de Unificación del 31 de julio de 2025</w:t>
            </w:r>
            <w:r>
              <w:rPr>
                <w:rFonts w:ascii="Verdana" w:eastAsia="Times New Roman" w:hAnsi="Verdana" w:cs="Arial"/>
                <w:color w:val="000000"/>
                <w:bdr w:val="none" w:sz="0" w:space="0" w:color="auto" w:frame="1"/>
                <w:shd w:val="clear" w:color="auto" w:fill="FFFFFF"/>
                <w:lang w:eastAsia="es-ES_tradnl"/>
              </w:rPr>
              <w:t xml:space="preserve">, </w:t>
            </w:r>
            <w:r w:rsidRPr="00A04C35">
              <w:rPr>
                <w:rFonts w:ascii="Verdana" w:eastAsia="Times New Roman" w:hAnsi="Verdana" w:cs="Arial"/>
                <w:color w:val="000000"/>
                <w:bdr w:val="none" w:sz="0" w:space="0" w:color="auto" w:frame="1"/>
                <w:shd w:val="clear" w:color="auto" w:fill="FFFFFF"/>
                <w:lang w:eastAsia="es-ES_tradnl"/>
              </w:rPr>
              <w:t xml:space="preserve">existe la posibilidad de reconocer en la liquidación actividades no incluidas o </w:t>
            </w:r>
            <w:r w:rsidRPr="0044442B">
              <w:rPr>
                <w:rFonts w:ascii="Verdana" w:eastAsia="Times New Roman" w:hAnsi="Verdana" w:cs="Arial"/>
                <w:color w:val="000000"/>
                <w:bdr w:val="none" w:sz="0" w:space="0" w:color="auto" w:frame="1"/>
                <w:shd w:val="clear" w:color="auto" w:fill="FFFFFF"/>
                <w:lang w:eastAsia="es-ES_tradnl"/>
              </w:rPr>
              <w:t>ítems</w:t>
            </w:r>
            <w:r w:rsidRPr="00A04C35">
              <w:rPr>
                <w:rFonts w:ascii="Verdana" w:eastAsia="Times New Roman" w:hAnsi="Verdana" w:cs="Arial"/>
                <w:color w:val="000000"/>
                <w:bdr w:val="none" w:sz="0" w:space="0" w:color="auto" w:frame="1"/>
                <w:shd w:val="clear" w:color="auto" w:fill="FFFFFF"/>
                <w:lang w:eastAsia="es-ES_tradnl"/>
              </w:rPr>
              <w:t xml:space="preserve"> no previstos dentro del contrato, pues no se limita a los supuestos planteados de la Sentencia de Unificación del 19 de noviembre de 2012, sino que se configuren los elementos del enriquecimiento sin justa causa, la prueba de la actividad, sumado a la circunstancia excepcional que se invoca.</w:t>
            </w:r>
          </w:p>
          <w:p w14:paraId="38F164EF" w14:textId="77777777" w:rsidR="00345D1A" w:rsidRPr="001941FD" w:rsidRDefault="00345D1A" w:rsidP="00624F0F">
            <w:pPr>
              <w:spacing w:line="276" w:lineRule="auto"/>
              <w:ind w:firstLine="709"/>
              <w:jc w:val="both"/>
              <w:rPr>
                <w:rFonts w:ascii="Verdana" w:eastAsia="Calibri" w:hAnsi="Verdana" w:cs="Arial"/>
                <w:bCs/>
                <w:color w:val="000000" w:themeColor="text1"/>
              </w:rPr>
            </w:pPr>
            <w:r w:rsidRPr="00AD5A94">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sidRPr="001941FD">
              <w:rPr>
                <w:rStyle w:val="s15"/>
                <w:rFonts w:ascii="Verdana" w:hAnsi="Verdana"/>
                <w:color w:val="000000"/>
              </w:rPr>
              <w:t>.</w:t>
            </w:r>
          </w:p>
        </w:tc>
      </w:tr>
    </w:tbl>
    <w:p w14:paraId="3ADF0ECA" w14:textId="77777777" w:rsidR="00345D1A" w:rsidRPr="00593A5F" w:rsidRDefault="00345D1A" w:rsidP="00345D1A">
      <w:pPr>
        <w:tabs>
          <w:tab w:val="left" w:pos="142"/>
          <w:tab w:val="left" w:pos="284"/>
        </w:tabs>
        <w:spacing w:after="0" w:line="276" w:lineRule="auto"/>
        <w:jc w:val="both"/>
        <w:rPr>
          <w:rFonts w:ascii="Verdana" w:eastAsia="Century Gothic" w:hAnsi="Verdana" w:cs="Century Gothic"/>
          <w:b/>
          <w:bCs/>
          <w:lang w:val="es-ES"/>
        </w:rPr>
      </w:pPr>
    </w:p>
    <w:bookmarkEnd w:id="3"/>
    <w:p w14:paraId="1A471D2C" w14:textId="77777777" w:rsidR="00345D1A" w:rsidRPr="00593A5F" w:rsidRDefault="00345D1A" w:rsidP="00345D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536E6E5" w14:textId="77777777" w:rsidR="00345D1A" w:rsidRPr="00593A5F" w:rsidRDefault="00345D1A" w:rsidP="00345D1A">
      <w:pPr>
        <w:spacing w:after="0" w:line="276" w:lineRule="auto"/>
        <w:jc w:val="both"/>
        <w:rPr>
          <w:rFonts w:ascii="Verdana" w:eastAsia="Calibri" w:hAnsi="Verdana" w:cs="Arial"/>
          <w:color w:val="7030A0"/>
          <w:lang w:val="es-ES"/>
        </w:rPr>
      </w:pPr>
    </w:p>
    <w:p w14:paraId="1644A4BA" w14:textId="77777777" w:rsidR="00345D1A" w:rsidRDefault="00345D1A" w:rsidP="00345D1A">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62703CA0" w14:textId="77777777" w:rsidR="00345D1A" w:rsidRPr="00415608" w:rsidRDefault="00345D1A" w:rsidP="00345D1A">
      <w:pPr>
        <w:spacing w:after="0" w:line="276" w:lineRule="auto"/>
        <w:jc w:val="both"/>
        <w:rPr>
          <w:rFonts w:ascii="Verdana" w:eastAsia="Calibri" w:hAnsi="Verdana" w:cs="Arial"/>
          <w:lang w:val="es-ES"/>
        </w:rPr>
      </w:pPr>
    </w:p>
    <w:p w14:paraId="06D2A3CA" w14:textId="77777777" w:rsidR="00345D1A" w:rsidRPr="0055620C" w:rsidRDefault="00345D1A" w:rsidP="00345D1A">
      <w:pPr>
        <w:tabs>
          <w:tab w:val="left" w:pos="426"/>
        </w:tabs>
        <w:spacing w:after="0" w:line="276" w:lineRule="auto"/>
        <w:jc w:val="both"/>
        <w:rPr>
          <w:rFonts w:ascii="Verdana" w:eastAsia="Calibri" w:hAnsi="Verdana" w:cs="Arial"/>
          <w:lang w:val="es-ES_tradnl"/>
        </w:rPr>
      </w:pPr>
      <w:r>
        <w:rPr>
          <w:rFonts w:ascii="Verdana" w:eastAsia="Calibri" w:hAnsi="Verdana" w:cs="Arial"/>
          <w:lang w:val="es-ES_tradnl"/>
        </w:rPr>
        <w:lastRenderedPageBreak/>
        <w:t xml:space="preserve">i. </w:t>
      </w:r>
      <w:r w:rsidRPr="0055620C">
        <w:rPr>
          <w:rFonts w:ascii="Verdana" w:eastAsia="Calibri" w:hAnsi="Verdana" w:cs="Arial"/>
          <w:lang w:val="es-ES_tradnl"/>
        </w:rPr>
        <w:t>El artículo 360 de la Constitución Política, modificado por el artículo 1 del Acto Legislativo 5 de 2011, define las regalías como una contraprestación económica a favor del Estado, que es causada por la explotación de un recurso natural no renovable. Al respecto, el precitado artículo prescribe</w:t>
      </w:r>
      <w:r>
        <w:rPr>
          <w:rFonts w:ascii="Verdana" w:eastAsia="Calibri" w:hAnsi="Verdana" w:cs="Arial"/>
          <w:lang w:val="es-ES_tradnl"/>
        </w:rPr>
        <w:t xml:space="preserve"> lo siguiente</w:t>
      </w:r>
      <w:r w:rsidRPr="0055620C">
        <w:rPr>
          <w:rFonts w:ascii="Verdana" w:eastAsia="Calibri" w:hAnsi="Verdana" w:cs="Arial"/>
          <w:lang w:val="es-ES_tradnl"/>
        </w:rPr>
        <w:t>:</w:t>
      </w:r>
    </w:p>
    <w:p w14:paraId="59E231CE" w14:textId="77777777" w:rsidR="00345D1A" w:rsidRPr="0055620C" w:rsidRDefault="00345D1A" w:rsidP="00345D1A">
      <w:pPr>
        <w:tabs>
          <w:tab w:val="left" w:pos="426"/>
        </w:tabs>
        <w:spacing w:after="0"/>
        <w:jc w:val="both"/>
        <w:rPr>
          <w:rFonts w:ascii="Verdana" w:eastAsia="Calibri" w:hAnsi="Verdana" w:cs="Arial"/>
          <w:lang w:val="es-ES_tradnl"/>
        </w:rPr>
      </w:pPr>
    </w:p>
    <w:p w14:paraId="559D993B" w14:textId="77777777" w:rsidR="00345D1A" w:rsidRPr="000F19C0" w:rsidRDefault="00345D1A" w:rsidP="00345D1A">
      <w:pPr>
        <w:spacing w:after="120" w:line="240" w:lineRule="auto"/>
        <w:ind w:left="709" w:right="709"/>
        <w:jc w:val="both"/>
        <w:rPr>
          <w:rFonts w:ascii="Verdana" w:eastAsia="Calibri" w:hAnsi="Verdana" w:cs="Arial"/>
          <w:sz w:val="20"/>
          <w:szCs w:val="20"/>
          <w:lang w:val="es-ES_tradnl"/>
        </w:rPr>
      </w:pPr>
      <w:r w:rsidRPr="000F19C0">
        <w:rPr>
          <w:rFonts w:ascii="Verdana" w:eastAsia="Calibri" w:hAnsi="Verdana" w:cs="Arial"/>
          <w:sz w:val="20"/>
          <w:szCs w:val="20"/>
          <w:lang w:val="es-ES_tradnl"/>
        </w:rPr>
        <w:t>“La explotación de un recurso natural no renovable causará, a favor del Estado, una contraprestación económica a título de regalía, sin perjuicio de cualquier otro derecho o compensación que se pacte. La ley determinará las condiciones para la explotación de los recursos naturales no renovables.</w:t>
      </w:r>
    </w:p>
    <w:p w14:paraId="1A0C4DC5" w14:textId="77777777" w:rsidR="00345D1A" w:rsidRPr="0055620C" w:rsidRDefault="00345D1A" w:rsidP="00345D1A">
      <w:pPr>
        <w:spacing w:after="0" w:line="240" w:lineRule="auto"/>
        <w:ind w:left="709" w:right="709"/>
        <w:jc w:val="both"/>
        <w:rPr>
          <w:rFonts w:ascii="Verdana" w:eastAsia="Calibri" w:hAnsi="Verdana" w:cs="Arial"/>
          <w:sz w:val="21"/>
          <w:szCs w:val="21"/>
          <w:lang w:val="es-ES_tradnl"/>
        </w:rPr>
      </w:pPr>
      <w:r w:rsidRPr="000F19C0">
        <w:rPr>
          <w:rFonts w:ascii="Verdana" w:eastAsia="Calibri" w:hAnsi="Verdana" w:cs="Arial"/>
          <w:sz w:val="20"/>
          <w:szCs w:val="20"/>
          <w:lang w:val="es-ES_tradnl"/>
        </w:rPr>
        <w:t>Mediante otra ley, a iniciativa del Gobierno, la ley determinará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w:t>
      </w:r>
    </w:p>
    <w:p w14:paraId="6510302B" w14:textId="77777777" w:rsidR="00345D1A" w:rsidRPr="0055620C" w:rsidRDefault="00345D1A" w:rsidP="00345D1A">
      <w:pPr>
        <w:spacing w:after="0" w:line="276" w:lineRule="auto"/>
        <w:ind w:left="709" w:right="709"/>
        <w:jc w:val="both"/>
        <w:rPr>
          <w:rFonts w:ascii="Verdana" w:eastAsia="Calibri" w:hAnsi="Verdana" w:cs="Arial"/>
          <w:lang w:val="es-ES_tradnl"/>
        </w:rPr>
      </w:pPr>
    </w:p>
    <w:p w14:paraId="3914C4E7" w14:textId="77777777" w:rsidR="00345D1A" w:rsidRPr="0055620C" w:rsidRDefault="00345D1A" w:rsidP="00345D1A">
      <w:pPr>
        <w:spacing w:after="120" w:line="276" w:lineRule="auto"/>
        <w:ind w:firstLine="709"/>
        <w:jc w:val="both"/>
        <w:rPr>
          <w:rFonts w:ascii="Verdana" w:hAnsi="Verdana" w:cs="Arial"/>
          <w:noProof/>
          <w:lang w:val="es-ES_tradnl"/>
        </w:rPr>
      </w:pPr>
      <w:r w:rsidRPr="0055620C">
        <w:rPr>
          <w:rFonts w:ascii="Verdana" w:hAnsi="Verdana" w:cs="Arial"/>
          <w:noProof/>
          <w:lang w:val="es-ES_tradnl"/>
        </w:rPr>
        <w:t>En el inciso segundo, el mismo artículo define al Sistema General de Regalías como el conjunto de ingresos, asignaciones, órganos, procedimientos y regulaciones que deberán establecerse y definirse mediante la ley que, por iniciativa previa del Gobierno Nacional, se expida a fin de determinar la distribución, objetivos, fines, administración, ejecución, control, el uso eficiente y la destinación de los ingresos provenientes de la explotación de los recursos naturales no renovables, precisando las condiciones de participación de sus beneficiarios. En ese sentido, la Corte Constitucional define las regalías como una contraprestación recibida a cambio de la concesión de derechos a particulares para la exploración de recursos naturales, diferenciándolas de otros ingresos nacionales como los impuestos, dado que estas carecen del carácter impositivo de los tributos</w:t>
      </w:r>
      <w:r w:rsidRPr="0055620C">
        <w:rPr>
          <w:rFonts w:ascii="Verdana" w:hAnsi="Verdana" w:cs="Arial"/>
          <w:noProof/>
          <w:vertAlign w:val="superscript"/>
          <w:lang w:val="es-ES_tradnl"/>
        </w:rPr>
        <w:footnoteReference w:id="1"/>
      </w:r>
      <w:r w:rsidRPr="0055620C">
        <w:rPr>
          <w:rFonts w:ascii="Verdana" w:hAnsi="Verdana" w:cs="Arial"/>
          <w:noProof/>
          <w:lang w:val="es-ES_tradnl"/>
        </w:rPr>
        <w:t xml:space="preserve">. </w:t>
      </w:r>
    </w:p>
    <w:p w14:paraId="6CD29F3E" w14:textId="77777777" w:rsidR="00345D1A" w:rsidRPr="0055620C" w:rsidRDefault="00345D1A" w:rsidP="00345D1A">
      <w:pPr>
        <w:spacing w:after="120" w:line="276" w:lineRule="auto"/>
        <w:ind w:firstLine="709"/>
        <w:jc w:val="both"/>
        <w:rPr>
          <w:rFonts w:ascii="Verdana" w:hAnsi="Verdana" w:cs="Arial"/>
          <w:noProof/>
          <w:lang w:val="es-ES_tradnl"/>
        </w:rPr>
      </w:pPr>
      <w:r w:rsidRPr="0055620C">
        <w:rPr>
          <w:rFonts w:ascii="Verdana" w:hAnsi="Verdana" w:cs="Arial"/>
          <w:noProof/>
          <w:lang w:val="es-ES_tradnl"/>
        </w:rPr>
        <w:lastRenderedPageBreak/>
        <w:t xml:space="preserve">El artículo 1 del Acto Legislativo 05 de 2019 modificó el artículo 361 de la Constitución, disponiendo que </w:t>
      </w:r>
      <w:r>
        <w:rPr>
          <w:rFonts w:ascii="Verdana" w:hAnsi="Verdana" w:cs="Arial"/>
          <w:noProof/>
          <w:lang w:val="es-ES_tradnl"/>
        </w:rPr>
        <w:t>“</w:t>
      </w:r>
      <w:r w:rsidRPr="0055620C">
        <w:rPr>
          <w:rFonts w:ascii="Verdana" w:hAnsi="Verdana" w:cs="Arial"/>
          <w:noProof/>
          <w:lang w:val="es-ES_tradnl"/>
        </w:rPr>
        <w:t>los ingresos corrientes del Sistema General de Regalías se destinarán a la financiación de proyectos de inversión que contribuyan al desarrollo social, económico y ambiental de las entidades territoriales</w:t>
      </w:r>
      <w:r>
        <w:rPr>
          <w:rFonts w:ascii="Verdana" w:hAnsi="Verdana" w:cs="Arial"/>
          <w:noProof/>
          <w:lang w:val="es-ES_tradnl"/>
        </w:rPr>
        <w:t>”</w:t>
      </w:r>
      <w:r w:rsidRPr="0055620C">
        <w:rPr>
          <w:rFonts w:ascii="Verdana" w:hAnsi="Verdana" w:cs="Arial"/>
          <w:noProof/>
          <w:lang w:val="es-ES_tradnl"/>
        </w:rPr>
        <w:t xml:space="preserve">. </w:t>
      </w:r>
    </w:p>
    <w:p w14:paraId="6733F8BE" w14:textId="77777777" w:rsidR="00345D1A" w:rsidRPr="0055620C" w:rsidRDefault="00345D1A" w:rsidP="00345D1A">
      <w:pPr>
        <w:spacing w:after="0" w:line="276" w:lineRule="auto"/>
        <w:ind w:firstLine="709"/>
        <w:jc w:val="both"/>
        <w:rPr>
          <w:rFonts w:ascii="Verdana" w:hAnsi="Verdana" w:cs="Arial"/>
        </w:rPr>
      </w:pPr>
      <w:r w:rsidRPr="0055620C">
        <w:rPr>
          <w:rFonts w:ascii="Verdana" w:hAnsi="Verdana" w:cs="Arial"/>
          <w:noProof/>
          <w:lang w:val="es-ES_tradnl"/>
        </w:rPr>
        <w:t xml:space="preserve">Con fundamento en los artículos 360 y 361 de la Constitución Política, se expidió la Ley 2056 de 2020, por medio de la cual se deroga, entre otras, la Ley 1530 de 2012, y </w:t>
      </w:r>
      <w:r>
        <w:rPr>
          <w:rFonts w:ascii="Verdana" w:hAnsi="Verdana" w:cs="Arial"/>
          <w:lang w:val="es-ES_tradnl"/>
        </w:rPr>
        <w:t>“</w:t>
      </w:r>
      <w:r w:rsidRPr="0055620C">
        <w:rPr>
          <w:rFonts w:ascii="Verdana" w:hAnsi="Verdana" w:cs="Arial"/>
        </w:rPr>
        <w:t>Por la cual se regula la organización y el funcionamiento del Sistema General de Regalías</w:t>
      </w:r>
      <w:r>
        <w:rPr>
          <w:rFonts w:ascii="Verdana" w:hAnsi="Verdana" w:cs="Arial"/>
          <w:noProof/>
          <w:lang w:val="es-ES_tradnl"/>
        </w:rPr>
        <w:t>”</w:t>
      </w:r>
      <w:r w:rsidRPr="0055620C">
        <w:rPr>
          <w:rFonts w:ascii="Verdana" w:hAnsi="Verdana" w:cs="Arial"/>
        </w:rPr>
        <w:t xml:space="preserve">. En este sentido, la exposición de motivos de esta Ley expresó que: </w:t>
      </w:r>
    </w:p>
    <w:p w14:paraId="4FDA8E87" w14:textId="77777777" w:rsidR="00345D1A" w:rsidRPr="0055620C" w:rsidRDefault="00345D1A" w:rsidP="00345D1A">
      <w:pPr>
        <w:spacing w:after="0" w:line="276" w:lineRule="auto"/>
        <w:jc w:val="both"/>
        <w:rPr>
          <w:rFonts w:ascii="Verdana" w:hAnsi="Verdana" w:cs="Arial"/>
        </w:rPr>
      </w:pPr>
    </w:p>
    <w:p w14:paraId="0E9AB467" w14:textId="77777777" w:rsidR="00345D1A" w:rsidRPr="000F19C0" w:rsidRDefault="00345D1A" w:rsidP="00345D1A">
      <w:pPr>
        <w:spacing w:after="120" w:line="240" w:lineRule="auto"/>
        <w:ind w:left="709" w:right="709"/>
        <w:jc w:val="both"/>
        <w:rPr>
          <w:rFonts w:ascii="Verdana" w:hAnsi="Verdana" w:cs="Arial"/>
          <w:sz w:val="20"/>
          <w:szCs w:val="20"/>
        </w:rPr>
      </w:pPr>
      <w:r w:rsidRPr="000F19C0">
        <w:rPr>
          <w:rFonts w:ascii="Verdana" w:hAnsi="Verdana" w:cs="Arial"/>
          <w:sz w:val="20"/>
          <w:szCs w:val="20"/>
        </w:rPr>
        <w:t xml:space="preserve">“Para adecuar el funcionamiento del SGR a las disposiciones del Acto Legislativo 01 de 2019, el Título I del proyecto de ley introduce nuevas disposiciones, como las siguientes, en relación con los objetivos y fines del Sistema, adicionales a las que originariamente se hallaban previas en el clausulado de la Ley 1530 de 2012: </w:t>
      </w:r>
    </w:p>
    <w:p w14:paraId="60078159" w14:textId="77777777" w:rsidR="00345D1A" w:rsidRPr="000F19C0" w:rsidRDefault="00345D1A" w:rsidP="00345D1A">
      <w:pPr>
        <w:pStyle w:val="Prrafodelista"/>
        <w:numPr>
          <w:ilvl w:val="0"/>
          <w:numId w:val="18"/>
        </w:numPr>
        <w:spacing w:after="120" w:line="240" w:lineRule="auto"/>
        <w:ind w:left="709" w:right="709" w:firstLine="0"/>
        <w:jc w:val="both"/>
        <w:rPr>
          <w:rFonts w:ascii="Verdana" w:hAnsi="Verdana" w:cs="Arial"/>
          <w:sz w:val="20"/>
          <w:szCs w:val="20"/>
        </w:rPr>
      </w:pPr>
      <w:r w:rsidRPr="000F19C0">
        <w:rPr>
          <w:rFonts w:ascii="Verdana" w:hAnsi="Verdana" w:cs="Arial"/>
          <w:sz w:val="20"/>
          <w:szCs w:val="20"/>
        </w:rPr>
        <w:t xml:space="preserve">Incentivar en el territorio nacional el desarrollo de actividades de exploración y explotación de recursos naturales no renovables, en el marco de la normativa vigente. </w:t>
      </w:r>
    </w:p>
    <w:p w14:paraId="1AFA1A70" w14:textId="77777777" w:rsidR="00345D1A" w:rsidRPr="000F19C0" w:rsidRDefault="00345D1A" w:rsidP="00345D1A">
      <w:pPr>
        <w:pStyle w:val="Prrafodelista"/>
        <w:spacing w:after="120"/>
        <w:ind w:left="709" w:right="709"/>
        <w:jc w:val="both"/>
        <w:rPr>
          <w:rFonts w:ascii="Verdana" w:hAnsi="Verdana" w:cs="Arial"/>
          <w:sz w:val="20"/>
          <w:szCs w:val="20"/>
        </w:rPr>
      </w:pPr>
    </w:p>
    <w:p w14:paraId="07D4EBC5" w14:textId="77777777" w:rsidR="00345D1A" w:rsidRPr="000F19C0" w:rsidRDefault="00345D1A" w:rsidP="00345D1A">
      <w:pPr>
        <w:pStyle w:val="Prrafodelista"/>
        <w:numPr>
          <w:ilvl w:val="0"/>
          <w:numId w:val="18"/>
        </w:numPr>
        <w:spacing w:after="0" w:line="240" w:lineRule="auto"/>
        <w:ind w:left="709" w:right="709" w:firstLine="0"/>
        <w:jc w:val="both"/>
        <w:rPr>
          <w:rFonts w:ascii="Verdana" w:hAnsi="Verdana" w:cs="Arial"/>
          <w:sz w:val="20"/>
          <w:szCs w:val="20"/>
        </w:rPr>
      </w:pPr>
      <w:r w:rsidRPr="000F19C0">
        <w:rPr>
          <w:rFonts w:ascii="Verdana" w:hAnsi="Verdana" w:cs="Arial"/>
          <w:sz w:val="20"/>
          <w:szCs w:val="20"/>
        </w:rPr>
        <w:t>Fomentar la estructuración y aprobación de proyectos de inversión que permitan la implementación del Acuerdo Final para la Terminación del Conflicto y la Construcción de una Paz Estable y Duradera, en los términos establecidos en las normas vigentes”</w:t>
      </w:r>
      <w:r w:rsidRPr="000F19C0">
        <w:rPr>
          <w:rStyle w:val="Refdenotaalpie"/>
          <w:rFonts w:ascii="Verdana" w:hAnsi="Verdana" w:cs="Arial"/>
          <w:sz w:val="20"/>
          <w:szCs w:val="20"/>
        </w:rPr>
        <w:footnoteReference w:id="2"/>
      </w:r>
      <w:r w:rsidRPr="000F19C0">
        <w:rPr>
          <w:rFonts w:ascii="Verdana" w:hAnsi="Verdana" w:cs="Arial"/>
          <w:sz w:val="20"/>
          <w:szCs w:val="20"/>
        </w:rPr>
        <w:t xml:space="preserve">. </w:t>
      </w:r>
    </w:p>
    <w:p w14:paraId="0E659712" w14:textId="77777777" w:rsidR="00345D1A" w:rsidRPr="0055620C" w:rsidRDefault="00345D1A" w:rsidP="00345D1A">
      <w:pPr>
        <w:pStyle w:val="Prrafodelista"/>
        <w:spacing w:before="120" w:after="0" w:line="276" w:lineRule="auto"/>
        <w:ind w:left="709" w:right="709"/>
        <w:jc w:val="both"/>
        <w:rPr>
          <w:rFonts w:ascii="Verdana" w:hAnsi="Verdana" w:cs="Arial"/>
        </w:rPr>
      </w:pPr>
    </w:p>
    <w:p w14:paraId="6A615159" w14:textId="77777777" w:rsidR="00345D1A" w:rsidRDefault="00345D1A" w:rsidP="00345D1A">
      <w:pPr>
        <w:spacing w:after="0" w:line="276" w:lineRule="auto"/>
        <w:ind w:firstLine="709"/>
        <w:jc w:val="both"/>
        <w:rPr>
          <w:rFonts w:ascii="Verdana" w:hAnsi="Verdana" w:cs="Arial"/>
          <w:noProof/>
          <w:lang w:val="es-ES_tradnl"/>
        </w:rPr>
      </w:pPr>
      <w:r w:rsidRPr="0055620C">
        <w:rPr>
          <w:rFonts w:ascii="Verdana" w:hAnsi="Verdana" w:cs="Arial"/>
          <w:noProof/>
          <w:lang w:val="es-ES_tradnl"/>
        </w:rPr>
        <w:t xml:space="preserve">En concordancia con los artículos 360 y 361 constitucionales, dicha ley tiene como objeto determinar la distribución, objetivos, fines, administración, ejecución, control del uso eficiente y la destinación de los ingresos que se </w:t>
      </w:r>
      <w:r w:rsidRPr="0055620C">
        <w:rPr>
          <w:rFonts w:ascii="Verdana" w:hAnsi="Verdana" w:cs="Arial"/>
          <w:noProof/>
          <w:lang w:val="es-ES_tradnl"/>
        </w:rPr>
        <w:lastRenderedPageBreak/>
        <w:t>encuadren dentro del concepto de regalías, precisando las condiciones para la participación de los beneficiarios o destinatarios de los mismos</w:t>
      </w:r>
      <w:r w:rsidRPr="0055620C">
        <w:rPr>
          <w:rFonts w:ascii="Verdana" w:hAnsi="Verdana" w:cs="Arial"/>
          <w:noProof/>
          <w:vertAlign w:val="superscript"/>
          <w:lang w:val="es-ES_tradnl"/>
        </w:rPr>
        <w:footnoteReference w:id="3"/>
      </w:r>
      <w:r w:rsidRPr="0055620C">
        <w:rPr>
          <w:rFonts w:ascii="Verdana" w:hAnsi="Verdana" w:cs="Arial"/>
          <w:noProof/>
          <w:lang w:val="es-ES_tradnl"/>
        </w:rPr>
        <w:t xml:space="preserve">. El artículo 3 establece los organos del Estado que hacen parte del SGR, como son </w:t>
      </w:r>
      <w:r w:rsidRPr="0055620C">
        <w:rPr>
          <w:rFonts w:ascii="Verdana" w:hAnsi="Verdana" w:cs="Arial"/>
        </w:rPr>
        <w:t>la Comisión Rectora, el Departamento Nacional de Planeación, el Ministerio de Minas y Energía, así como sus entidades adscritas y vinculadas que cumplan funciones en el ciclo de las regalías, el Ministerio de Hacienda y Crédito Público, el Ministerio de Ciencia, Tecnología e Innovación, el Ministerio de Ambiente y Desarrollo Sostenible y los Órganos Colegiados de Administración y Decisión Paz, de Inversión Regional y de Ciencia, Tecnología e Innovación,</w:t>
      </w:r>
      <w:r w:rsidRPr="0055620C">
        <w:rPr>
          <w:rFonts w:ascii="Verdana" w:hAnsi="Verdana" w:cs="Arial"/>
          <w:noProof/>
          <w:lang w:val="es-ES_tradnl"/>
        </w:rPr>
        <w:t xml:space="preserve"> incluyendo dentro de los mismos al Ministerio de Ciencia, Tenoclogía e Innovación</w:t>
      </w:r>
      <w:r w:rsidRPr="0055620C">
        <w:rPr>
          <w:rFonts w:ascii="Verdana" w:hAnsi="Verdana" w:cs="Arial"/>
          <w:noProof/>
          <w:vertAlign w:val="superscript"/>
          <w:lang w:val="es-ES_tradnl"/>
        </w:rPr>
        <w:footnoteReference w:id="4"/>
      </w:r>
      <w:r w:rsidRPr="0055620C">
        <w:rPr>
          <w:rFonts w:ascii="Verdana" w:hAnsi="Verdana" w:cs="Arial"/>
          <w:noProof/>
          <w:lang w:val="es-ES_tradnl"/>
        </w:rPr>
        <w:t>. Estas entidades deben ejercer sus competencias, de acuerdo a lo prescrito en dicha ley y los lineamientos que expida la Comisión Rectora.</w:t>
      </w:r>
      <w:r>
        <w:rPr>
          <w:rFonts w:ascii="Verdana" w:hAnsi="Verdana" w:cs="Arial"/>
          <w:noProof/>
          <w:lang w:val="es-ES_tradnl"/>
        </w:rPr>
        <w:t xml:space="preserve"> </w:t>
      </w:r>
      <w:r w:rsidRPr="0055620C">
        <w:rPr>
          <w:rFonts w:ascii="Verdana" w:hAnsi="Verdana" w:cs="Arial"/>
          <w:noProof/>
        </w:rPr>
        <w:t>E</w:t>
      </w:r>
      <w:r w:rsidRPr="0055620C">
        <w:rPr>
          <w:rFonts w:ascii="Verdana" w:hAnsi="Verdana" w:cs="Arial"/>
          <w:noProof/>
          <w:lang w:val="es-ES_tradnl"/>
        </w:rPr>
        <w:t xml:space="preserve">n el marco de la Ley 2056 de 2020, tambien se expidió el Decreto 1821 de 2020, </w:t>
      </w:r>
      <w:r>
        <w:rPr>
          <w:rFonts w:ascii="Verdana" w:hAnsi="Verdana" w:cs="Arial"/>
          <w:noProof/>
          <w:lang w:val="es-ES_tradnl"/>
        </w:rPr>
        <w:t>“</w:t>
      </w:r>
      <w:r w:rsidRPr="0055620C">
        <w:rPr>
          <w:rStyle w:val="Textoennegrita"/>
          <w:rFonts w:ascii="Verdana" w:hAnsi="Verdana" w:cs="Arial"/>
          <w:shd w:val="clear" w:color="auto" w:fill="FFFFFF"/>
        </w:rPr>
        <w:t>Por el cual se expide el Decreto Único Reglamentario del Sistema General de Regalías</w:t>
      </w:r>
      <w:r>
        <w:rPr>
          <w:rFonts w:ascii="Verdana" w:hAnsi="Verdana" w:cs="Arial"/>
          <w:noProof/>
          <w:lang w:val="es-ES_tradnl"/>
        </w:rPr>
        <w:t>”</w:t>
      </w:r>
      <w:r w:rsidRPr="0055620C">
        <w:rPr>
          <w:rFonts w:ascii="Verdana" w:hAnsi="Verdana" w:cs="Arial"/>
          <w:noProof/>
          <w:lang w:val="es-ES_tradnl"/>
        </w:rPr>
        <w:t xml:space="preserve">, reglamento que regula la ejecución de los proyectos. </w:t>
      </w:r>
    </w:p>
    <w:p w14:paraId="327AABEF" w14:textId="77777777" w:rsidR="00345D1A" w:rsidRDefault="00345D1A" w:rsidP="00345D1A">
      <w:pPr>
        <w:spacing w:after="0" w:line="276" w:lineRule="auto"/>
        <w:ind w:firstLine="709"/>
        <w:jc w:val="both"/>
        <w:rPr>
          <w:rFonts w:ascii="Verdana" w:hAnsi="Verdana" w:cs="Arial"/>
          <w:noProof/>
          <w:lang w:val="es-ES_tradnl"/>
        </w:rPr>
      </w:pPr>
    </w:p>
    <w:p w14:paraId="2722B92E" w14:textId="77777777" w:rsidR="00345D1A" w:rsidRPr="0015567A" w:rsidRDefault="00345D1A" w:rsidP="00345D1A">
      <w:pPr>
        <w:spacing w:after="120" w:line="276" w:lineRule="auto"/>
        <w:jc w:val="both"/>
        <w:rPr>
          <w:rFonts w:ascii="Verdana" w:hAnsi="Verdana" w:cs="Arial"/>
          <w:noProof/>
        </w:rPr>
      </w:pPr>
      <w:r>
        <w:rPr>
          <w:rFonts w:ascii="Verdana" w:hAnsi="Verdana" w:cs="Arial"/>
          <w:noProof/>
          <w:lang w:val="es-ES_tradnl"/>
        </w:rPr>
        <w:t xml:space="preserve">ii. </w:t>
      </w:r>
      <w:r w:rsidRPr="0015567A">
        <w:rPr>
          <w:rFonts w:ascii="Verdana" w:hAnsi="Verdana" w:cs="Arial"/>
          <w:noProof/>
          <w:lang w:val="es-ES_tradnl"/>
        </w:rPr>
        <w:t xml:space="preserve">En </w:t>
      </w:r>
      <w:r w:rsidRPr="0015567A">
        <w:rPr>
          <w:rFonts w:ascii="Verdana" w:hAnsi="Verdana" w:cs="Arial"/>
          <w:noProof/>
        </w:rPr>
        <w:t>el Título IV, Capítulo I, la Ley 2056 de 2020 establece las reglas generales para los proyectos de inversión en el Sistema General de Regalías. En esta línea, regula la destinación de los proyectos del Sistema General de Regalías –artículo 28–, las características de los proyectos de inversión –artículo 29–, los ejercicios de planeación –artículo 30–, el ciclo de los proyectos de inversión –artículo 31–, el registro de proyectos –artículo 32–, formulación y presentación de los proyectos de inversión –artículo 33–, viabilidad de los proyectos de inversión–artículo 34–, priorización y aprobación de los proyectos de inversión de la asignación para la inversión regional –artículo 35–, priorización y aprobación de proyectos de inversión para las asignaciones directas y asignación para la inversión local –artículo 36–, así como la ejecución de proyectos de inversión –</w:t>
      </w:r>
      <w:r w:rsidRPr="0015567A">
        <w:rPr>
          <w:rFonts w:ascii="Verdana" w:hAnsi="Verdana" w:cs="Arial"/>
          <w:noProof/>
        </w:rPr>
        <w:lastRenderedPageBreak/>
        <w:t xml:space="preserve">artículo 37–. De esta manera, se destacan algunos artículos que regulan aspectos importantes en la materia: </w:t>
      </w:r>
    </w:p>
    <w:p w14:paraId="7A26ECE1" w14:textId="77777777" w:rsidR="00345D1A" w:rsidRPr="0015567A" w:rsidRDefault="00345D1A" w:rsidP="00345D1A">
      <w:pPr>
        <w:spacing w:after="120" w:line="276" w:lineRule="auto"/>
        <w:ind w:firstLine="708"/>
        <w:jc w:val="both"/>
        <w:rPr>
          <w:rFonts w:ascii="Verdana" w:hAnsi="Verdana" w:cs="Arial"/>
          <w:noProof/>
        </w:rPr>
      </w:pPr>
      <w:r w:rsidRPr="0015567A">
        <w:rPr>
          <w:rFonts w:ascii="Verdana" w:hAnsi="Verdana" w:cs="Arial"/>
          <w:noProof/>
        </w:rPr>
        <w:t>E</w:t>
      </w:r>
      <w:r w:rsidRPr="0015567A">
        <w:rPr>
          <w:rFonts w:ascii="Verdana" w:hAnsi="Verdana" w:cs="Arial"/>
          <w:noProof/>
          <w:lang w:val="es-ES_tradnl"/>
        </w:rPr>
        <w:t>l artículo 28 dispone que con este tipo de recursos se financian proyectos de inversión en sus diferentes etapas, con la condición que estén en el horizonte de realización. Asimismo, pueden financiarse estudios y diseños como parte de los proyectos de inversión y sus obras complementarias. Estos proyectos deben basarse en la metodología dispuesta por el Departamento Nacional de Planeación y a su vez, se dispone que estos recursos no podrán financiar gastos permanentes: una vez finalizada la etapa de inversión, la prestación del servicio debe ser sostenible y financiada por recursos diferentes al Sistema General de Regalías</w:t>
      </w:r>
      <w:r w:rsidRPr="0015567A">
        <w:rPr>
          <w:rStyle w:val="Refdenotaalpie"/>
          <w:rFonts w:ascii="Verdana" w:hAnsi="Verdana" w:cs="Arial"/>
          <w:noProof/>
          <w:lang w:val="es-ES_tradnl"/>
        </w:rPr>
        <w:footnoteReference w:id="5"/>
      </w:r>
      <w:r w:rsidRPr="0015567A">
        <w:rPr>
          <w:rFonts w:ascii="Verdana" w:hAnsi="Verdana" w:cs="Arial"/>
          <w:noProof/>
          <w:lang w:val="es-ES_tradnl"/>
        </w:rPr>
        <w:t>.</w:t>
      </w:r>
      <w:r w:rsidRPr="0015567A">
        <w:rPr>
          <w:rFonts w:ascii="Verdana" w:hAnsi="Verdana" w:cs="Arial"/>
          <w:noProof/>
        </w:rPr>
        <w:t xml:space="preserve"> </w:t>
      </w:r>
    </w:p>
    <w:p w14:paraId="425A6568" w14:textId="77777777" w:rsidR="00345D1A" w:rsidRPr="0015567A" w:rsidRDefault="00345D1A" w:rsidP="00345D1A">
      <w:pPr>
        <w:spacing w:after="120" w:line="276" w:lineRule="auto"/>
        <w:ind w:firstLine="709"/>
        <w:jc w:val="both"/>
        <w:rPr>
          <w:rFonts w:ascii="Verdana" w:hAnsi="Verdana" w:cs="Arial"/>
          <w:noProof/>
        </w:rPr>
      </w:pPr>
      <w:r w:rsidRPr="0015567A">
        <w:rPr>
          <w:rFonts w:ascii="Verdana" w:hAnsi="Verdana" w:cs="Arial"/>
          <w:noProof/>
        </w:rPr>
        <w:t>El artículo 35, parágrafo 2, dispone que los Departamentos y Órganos Colegiados de Administración y Decisión Regionales que trata el artículo citado, en el marco de sus competencia, deben designar una</w:t>
      </w:r>
      <w:r w:rsidRPr="0015567A" w:rsidDel="003822CF">
        <w:rPr>
          <w:rFonts w:ascii="Verdana" w:hAnsi="Verdana" w:cs="Arial"/>
          <w:noProof/>
        </w:rPr>
        <w:t xml:space="preserve"> </w:t>
      </w:r>
      <w:r w:rsidRPr="0015567A">
        <w:rPr>
          <w:rFonts w:ascii="Verdana" w:hAnsi="Verdana" w:cs="Arial"/>
          <w:noProof/>
        </w:rPr>
        <w:t>entidad ejecutora de naturaleza pública, que además debe estar a cargo de la contratación de la interventoría, de acuerdo a lo regulado en dicha ley</w:t>
      </w:r>
      <w:r w:rsidRPr="0015567A">
        <w:rPr>
          <w:rStyle w:val="Refdenotaalpie"/>
          <w:rFonts w:ascii="Verdana" w:hAnsi="Verdana" w:cs="Arial"/>
          <w:noProof/>
        </w:rPr>
        <w:footnoteReference w:id="6"/>
      </w:r>
      <w:r w:rsidRPr="0015567A">
        <w:rPr>
          <w:rFonts w:ascii="Verdana" w:hAnsi="Verdana" w:cs="Arial"/>
          <w:noProof/>
        </w:rPr>
        <w:t xml:space="preserve">. El paragrafo 3 del artículo 6 establece lo siguiente: </w:t>
      </w:r>
      <w:r>
        <w:rPr>
          <w:rFonts w:ascii="Verdana" w:hAnsi="Verdana" w:cs="Arial"/>
          <w:noProof/>
        </w:rPr>
        <w:t>“</w:t>
      </w:r>
      <w:r w:rsidRPr="0015567A">
        <w:rPr>
          <w:rFonts w:ascii="Verdana" w:hAnsi="Verdana" w:cs="Arial"/>
          <w:noProof/>
        </w:rPr>
        <w:t xml:space="preserve">Para la designación del ejecutor, el Órgano Colegiado </w:t>
      </w:r>
      <w:r w:rsidRPr="0015567A">
        <w:rPr>
          <w:rFonts w:ascii="Verdana" w:hAnsi="Verdana" w:cs="Arial"/>
          <w:noProof/>
        </w:rPr>
        <w:lastRenderedPageBreak/>
        <w:t>de Administración y Decisión tendrá en cuenta: i) Las capacidades ad¬ministrativas y financieras de la entidad propuesta y ii) los resultados del desempeño de la ejecución de los recursos definidos por el Sistema de Seguimiento, Evaluación y Control del Sistema General de Regalías, cuando a esto haya lugar, conforme los lineamientos del Departamento Nacional de Planeación</w:t>
      </w:r>
      <w:r>
        <w:rPr>
          <w:rFonts w:ascii="Verdana" w:hAnsi="Verdana" w:cs="Arial"/>
          <w:noProof/>
        </w:rPr>
        <w:t>”</w:t>
      </w:r>
      <w:r w:rsidRPr="0015567A">
        <w:rPr>
          <w:rFonts w:ascii="Verdana" w:hAnsi="Verdana" w:cs="Arial"/>
          <w:noProof/>
        </w:rPr>
        <w:t>. A su vez la norma indica que,  el ejecutor deberá ser de naturaleza pública y tendrá a su cargo la contratación de la interventoría.</w:t>
      </w:r>
    </w:p>
    <w:p w14:paraId="20F10F64" w14:textId="77777777" w:rsidR="00345D1A" w:rsidRPr="0015567A" w:rsidRDefault="00345D1A" w:rsidP="00345D1A">
      <w:pPr>
        <w:spacing w:after="120" w:line="276" w:lineRule="auto"/>
        <w:ind w:firstLine="709"/>
        <w:jc w:val="both"/>
        <w:rPr>
          <w:rFonts w:ascii="Verdana" w:hAnsi="Verdana" w:cs="Arial"/>
        </w:rPr>
      </w:pPr>
      <w:r w:rsidRPr="0015567A">
        <w:rPr>
          <w:rFonts w:ascii="Verdana" w:hAnsi="Verdana" w:cs="Arial"/>
          <w:noProof/>
        </w:rPr>
        <w:t xml:space="preserve">El artículo 36 dispone, entre otras cosas, que las entidades territoriales receptoras de asignaciones directas y de la asignación para la inversión local, son las encargadas de priorizar y aprobar los proyectos de inversión que se financian con los recursos del Sistema General de Regalías, </w:t>
      </w:r>
      <w:r w:rsidRPr="0015567A">
        <w:rPr>
          <w:rFonts w:ascii="Verdana" w:hAnsi="Verdana" w:cs="Arial"/>
        </w:rPr>
        <w:t>así como de verificar su disponibilidad, conforme con la metodología del Departamento Nacional de Planeación</w:t>
      </w:r>
      <w:r w:rsidRPr="0015567A">
        <w:rPr>
          <w:rStyle w:val="Refdenotaalpie"/>
          <w:rFonts w:ascii="Verdana" w:hAnsi="Verdana" w:cs="Arial"/>
        </w:rPr>
        <w:footnoteReference w:id="7"/>
      </w:r>
      <w:r w:rsidRPr="0015567A">
        <w:rPr>
          <w:rFonts w:ascii="Verdana" w:hAnsi="Verdana" w:cs="Arial"/>
        </w:rPr>
        <w:t>.</w:t>
      </w:r>
    </w:p>
    <w:p w14:paraId="5AE8232D" w14:textId="77777777" w:rsidR="00345D1A" w:rsidRDefault="00345D1A" w:rsidP="00345D1A">
      <w:pPr>
        <w:spacing w:after="0" w:line="276" w:lineRule="auto"/>
        <w:ind w:firstLine="709"/>
        <w:jc w:val="both"/>
        <w:rPr>
          <w:rFonts w:ascii="Verdana" w:hAnsi="Verdana" w:cs="Arial"/>
        </w:rPr>
      </w:pPr>
      <w:r w:rsidRPr="0015567A">
        <w:rPr>
          <w:rFonts w:ascii="Verdana" w:hAnsi="Verdana" w:cs="Arial"/>
        </w:rPr>
        <w:t xml:space="preserve">El artículo 37 de la Ley 2056 de 2020 dispone que los proyectos de inversión que se financien con cargo al Sistema General de Regalías serán ejecutados por quien designe las entidades u órganos de que tratan los artículos 35 y 36 </w:t>
      </w:r>
      <w:r w:rsidRPr="0015567A">
        <w:rPr>
          <w:rFonts w:ascii="Verdana" w:hAnsi="Verdana" w:cs="Arial"/>
          <w:i/>
          <w:iCs/>
        </w:rPr>
        <w:t>ibidem</w:t>
      </w:r>
      <w:r w:rsidRPr="0015567A">
        <w:rPr>
          <w:rFonts w:ascii="Verdana" w:hAnsi="Verdana" w:cs="Arial"/>
        </w:rPr>
        <w:t xml:space="preserve">. También agrega que la entidad pública ejecutora tiene el deber de adelantar la contratación de la interventoría, de conformidad con lo previsto en la presente ley. Las entidades ejecutoras de recursos del Sistema son responsables de suministrar de forma veraz, oportuna e idónea, la información de la gestión de los proyectos que se requiera e implementar las actuaciones pertinentes para encauzar el desempeño de los proyectos de inversión y decidir, </w:t>
      </w:r>
      <w:r w:rsidRPr="0015567A">
        <w:rPr>
          <w:rFonts w:ascii="Verdana" w:hAnsi="Verdana" w:cs="Arial"/>
        </w:rPr>
        <w:lastRenderedPageBreak/>
        <w:t xml:space="preserve">de manera motivada, sobre la continuidad de los mismos, sin perjuicio de las acciones de control a las que haya lugar. </w:t>
      </w:r>
    </w:p>
    <w:p w14:paraId="169A69DD" w14:textId="77777777" w:rsidR="00345D1A" w:rsidRDefault="00345D1A" w:rsidP="00345D1A">
      <w:pPr>
        <w:spacing w:after="0" w:line="276" w:lineRule="auto"/>
        <w:ind w:firstLine="709"/>
        <w:jc w:val="both"/>
        <w:rPr>
          <w:rFonts w:ascii="Verdana" w:hAnsi="Verdana" w:cs="Arial"/>
        </w:rPr>
      </w:pPr>
    </w:p>
    <w:p w14:paraId="3CDC0812" w14:textId="77777777" w:rsidR="00345D1A" w:rsidRPr="00F473B6" w:rsidRDefault="00345D1A" w:rsidP="00345D1A">
      <w:pPr>
        <w:spacing w:after="120" w:line="276" w:lineRule="auto"/>
        <w:jc w:val="both"/>
        <w:rPr>
          <w:rFonts w:ascii="Verdana" w:hAnsi="Verdana" w:cs="Arial"/>
          <w:noProof/>
        </w:rPr>
      </w:pPr>
      <w:proofErr w:type="spellStart"/>
      <w:r>
        <w:rPr>
          <w:rFonts w:ascii="Verdana" w:hAnsi="Verdana" w:cs="Arial"/>
        </w:rPr>
        <w:t>iii</w:t>
      </w:r>
      <w:proofErr w:type="spellEnd"/>
      <w:r>
        <w:rPr>
          <w:rFonts w:ascii="Verdana" w:hAnsi="Verdana" w:cs="Arial"/>
        </w:rPr>
        <w:t>. E</w:t>
      </w:r>
      <w:r w:rsidRPr="00F473B6">
        <w:rPr>
          <w:rFonts w:ascii="Verdana" w:hAnsi="Verdana" w:cs="Arial"/>
        </w:rPr>
        <w:t xml:space="preserve">l parágrafo primero del artículo 37 </w:t>
      </w:r>
      <w:r w:rsidRPr="00F473B6">
        <w:rPr>
          <w:rFonts w:ascii="Verdana" w:hAnsi="Verdana" w:cs="Arial"/>
          <w:i/>
          <w:iCs/>
        </w:rPr>
        <w:t>ibidem</w:t>
      </w:r>
      <w:r w:rsidRPr="00F473B6">
        <w:rPr>
          <w:rFonts w:ascii="Verdana" w:hAnsi="Verdana" w:cs="Arial"/>
        </w:rPr>
        <w:t xml:space="preserve"> dispone</w:t>
      </w:r>
      <w:r>
        <w:rPr>
          <w:rFonts w:ascii="Verdana" w:hAnsi="Verdana" w:cs="Arial"/>
        </w:rPr>
        <w:t xml:space="preserve"> lo siguiente</w:t>
      </w:r>
      <w:r w:rsidRPr="00F473B6">
        <w:rPr>
          <w:rFonts w:ascii="Verdana" w:hAnsi="Verdana" w:cs="Arial"/>
        </w:rPr>
        <w:t xml:space="preserve">: </w:t>
      </w:r>
      <w:r>
        <w:rPr>
          <w:rFonts w:ascii="Verdana" w:hAnsi="Verdana" w:cs="Arial"/>
        </w:rPr>
        <w:t>“</w:t>
      </w:r>
      <w:r w:rsidRPr="00F473B6">
        <w:rPr>
          <w:rFonts w:ascii="Verdana" w:hAnsi="Verdana" w:cs="Arial"/>
        </w:rPr>
        <w:t xml:space="preserve">La ejecución de proyectos de </w:t>
      </w:r>
      <w:proofErr w:type="spellStart"/>
      <w:r w:rsidRPr="00F473B6">
        <w:rPr>
          <w:rFonts w:ascii="Verdana" w:hAnsi="Verdana" w:cs="Arial"/>
        </w:rPr>
        <w:t>que</w:t>
      </w:r>
      <w:proofErr w:type="spellEnd"/>
      <w:r w:rsidRPr="00F473B6">
        <w:rPr>
          <w:rFonts w:ascii="Verdana" w:hAnsi="Verdana" w:cs="Arial"/>
        </w:rPr>
        <w:t xml:space="preserve"> trata este artículo, se adelantará, con estricta sujeción al régimen presupuestal definido en esta ley, al de contratación pública y las demás normas legales vigentes. El ejecutor garantizará la correcta ejecución de los recursos asignados al proyecto de inversión, así como el suministro y registro de la información requerida por el sistema de seguimiento, evaluación y control</w:t>
      </w:r>
      <w:r>
        <w:rPr>
          <w:rFonts w:ascii="Verdana" w:hAnsi="Verdana" w:cs="Arial"/>
        </w:rPr>
        <w:t>”</w:t>
      </w:r>
      <w:r w:rsidRPr="00F473B6">
        <w:rPr>
          <w:rStyle w:val="Refdenotaalpie"/>
          <w:rFonts w:ascii="Verdana" w:hAnsi="Verdana" w:cs="Arial"/>
        </w:rPr>
        <w:footnoteReference w:id="8"/>
      </w:r>
      <w:r w:rsidRPr="00F473B6">
        <w:rPr>
          <w:rFonts w:ascii="Verdana" w:hAnsi="Verdana" w:cs="Arial"/>
        </w:rPr>
        <w:t>.</w:t>
      </w:r>
      <w:r w:rsidRPr="00F473B6">
        <w:rPr>
          <w:rFonts w:ascii="Verdana" w:hAnsi="Verdana" w:cs="Arial"/>
          <w:noProof/>
        </w:rPr>
        <w:t xml:space="preserve"> A partir de esta norma, el ejercutor de los proyectos de inversion en el SGR debe sujetarse a las reglas de contratación pública, es decir, a las prescripciones establecidas en el Estatuto General de Contratación Pública, así como las normas que lo modifiquen, sustituyan o reglamenten. En efecto, el ejecutor debe someterse a las reglas generales de la contratación pública cuando desarrolle proyectos en el marco del Sistema General de Regalías. </w:t>
      </w:r>
    </w:p>
    <w:p w14:paraId="602E6AA3" w14:textId="77777777" w:rsidR="00345D1A" w:rsidRPr="00F473B6" w:rsidRDefault="00345D1A" w:rsidP="00345D1A">
      <w:pPr>
        <w:spacing w:before="120" w:line="276" w:lineRule="auto"/>
        <w:ind w:firstLine="709"/>
        <w:jc w:val="both"/>
        <w:rPr>
          <w:rFonts w:ascii="Verdana" w:hAnsi="Verdana" w:cs="Arial"/>
        </w:rPr>
      </w:pPr>
      <w:r w:rsidRPr="00F473B6">
        <w:rPr>
          <w:rFonts w:ascii="Verdana" w:eastAsia="Calibri" w:hAnsi="Verdana" w:cs="Arial"/>
          <w:lang w:val="es-ES_tradnl"/>
        </w:rPr>
        <w:lastRenderedPageBreak/>
        <w:t xml:space="preserve">Igualmente, es importante referenciar lo prescrito en los artículos 85, 99 y 109 de la Ley 2056 de 2020 sobre los recursos del Sistema General de Regalías. </w:t>
      </w:r>
      <w:bookmarkStart w:id="7" w:name="_Hlk66438231"/>
      <w:r w:rsidRPr="00F473B6">
        <w:rPr>
          <w:rFonts w:ascii="Verdana" w:eastAsia="Calibri" w:hAnsi="Verdana" w:cs="Arial"/>
          <w:lang w:val="es-ES_tradnl"/>
        </w:rPr>
        <w:t xml:space="preserve">En efecto, </w:t>
      </w:r>
      <w:r w:rsidRPr="00F473B6">
        <w:rPr>
          <w:rFonts w:ascii="Verdana" w:hAnsi="Verdana" w:cs="Arial"/>
        </w:rPr>
        <w:t xml:space="preserve">conforme a los preceptos citados, </w:t>
      </w:r>
      <w:bookmarkStart w:id="8" w:name="_Hlk71740241"/>
      <w:r w:rsidRPr="00F473B6">
        <w:rPr>
          <w:rFonts w:ascii="Verdana" w:hAnsi="Verdana" w:cs="Arial"/>
        </w:rPr>
        <w:t xml:space="preserve">cuando dichos recursos sean para proyectos de inversión en i) pueblos y </w:t>
      </w:r>
      <w:bookmarkStart w:id="9" w:name="_Hlk66435016"/>
      <w:r w:rsidRPr="00F473B6">
        <w:rPr>
          <w:rFonts w:ascii="Verdana" w:hAnsi="Verdana" w:cs="Arial"/>
        </w:rPr>
        <w:t>comunidades indígenas</w:t>
      </w:r>
      <w:bookmarkEnd w:id="9"/>
      <w:r w:rsidRPr="00F473B6">
        <w:rPr>
          <w:rFonts w:ascii="Verdana" w:hAnsi="Verdana" w:cs="Arial"/>
        </w:rPr>
        <w:t xml:space="preserve">, </w:t>
      </w:r>
      <w:proofErr w:type="spellStart"/>
      <w:r w:rsidRPr="00F473B6">
        <w:rPr>
          <w:rFonts w:ascii="Verdana" w:hAnsi="Verdana" w:cs="Arial"/>
        </w:rPr>
        <w:t>ii</w:t>
      </w:r>
      <w:proofErr w:type="spellEnd"/>
      <w:r w:rsidRPr="00F473B6">
        <w:rPr>
          <w:rFonts w:ascii="Verdana" w:hAnsi="Verdana" w:cs="Arial"/>
        </w:rPr>
        <w:t xml:space="preserve">) comunidades negras, afrocolombiana, raizales y palenqueras y </w:t>
      </w:r>
      <w:proofErr w:type="spellStart"/>
      <w:r w:rsidRPr="00F473B6">
        <w:rPr>
          <w:rFonts w:ascii="Verdana" w:hAnsi="Verdana" w:cs="Arial"/>
        </w:rPr>
        <w:t>iii</w:t>
      </w:r>
      <w:proofErr w:type="spellEnd"/>
      <w:r w:rsidRPr="00F473B6">
        <w:rPr>
          <w:rFonts w:ascii="Verdana" w:hAnsi="Verdana" w:cs="Arial"/>
        </w:rPr>
        <w:t xml:space="preserve">) el pueblo </w:t>
      </w:r>
      <w:proofErr w:type="spellStart"/>
      <w:r w:rsidRPr="00F473B6">
        <w:rPr>
          <w:rFonts w:ascii="Verdana" w:hAnsi="Verdana" w:cs="Arial"/>
        </w:rPr>
        <w:t>Rrom</w:t>
      </w:r>
      <w:proofErr w:type="spellEnd"/>
      <w:r w:rsidRPr="00F473B6">
        <w:rPr>
          <w:rFonts w:ascii="Verdana" w:hAnsi="Verdana" w:cs="Arial"/>
        </w:rPr>
        <w:t xml:space="preserve"> o gitano, </w:t>
      </w:r>
      <w:r>
        <w:rPr>
          <w:rFonts w:ascii="Verdana" w:hAnsi="Verdana" w:cs="Arial"/>
          <w:sz w:val="20"/>
          <w:szCs w:val="20"/>
        </w:rPr>
        <w:t>“</w:t>
      </w:r>
      <w:r w:rsidRPr="00F473B6">
        <w:rPr>
          <w:rFonts w:ascii="Verdana" w:hAnsi="Verdana" w:cs="Arial"/>
        </w:rPr>
        <w:t>los actos o contratos que expidan o celebren los ejecutores se regirán por las normas presupuestales contenidas en la presente ley, el Estatuto de Contratación Estatal, las normas contables que para este efecto defina la Contaduría General de la Nación y las demás disposiciones complementarias</w:t>
      </w:r>
      <w:r>
        <w:rPr>
          <w:rFonts w:ascii="Verdana" w:hAnsi="Verdana" w:cs="Arial"/>
        </w:rPr>
        <w:t>”</w:t>
      </w:r>
      <w:r w:rsidRPr="00F473B6">
        <w:rPr>
          <w:rFonts w:ascii="Verdana" w:hAnsi="Verdana" w:cs="Arial"/>
        </w:rPr>
        <w:t>.</w:t>
      </w:r>
      <w:bookmarkEnd w:id="7"/>
      <w:r w:rsidRPr="00F473B6">
        <w:rPr>
          <w:rFonts w:ascii="Verdana" w:hAnsi="Verdana" w:cs="Arial"/>
        </w:rPr>
        <w:t xml:space="preserve"> </w:t>
      </w:r>
      <w:bookmarkEnd w:id="8"/>
      <w:r w:rsidRPr="00F473B6">
        <w:rPr>
          <w:rFonts w:ascii="Verdana" w:hAnsi="Verdana" w:cs="Arial"/>
        </w:rPr>
        <w:t xml:space="preserve">Por su parte, los artículos 83, 98 y 108 de la Ley 2056 de 2020 determinan que la designación del ejecutor de los recursos corresponde tanto a las instancias de decisión de las comunidades indígenas, negras, afrocolombiana, raizales y palenqueras como la Comisión Nacional de Diálogo del Pueblo </w:t>
      </w:r>
      <w:proofErr w:type="spellStart"/>
      <w:r w:rsidRPr="00F473B6">
        <w:rPr>
          <w:rFonts w:ascii="Verdana" w:hAnsi="Verdana" w:cs="Arial"/>
        </w:rPr>
        <w:t>Rrom</w:t>
      </w:r>
      <w:proofErr w:type="spellEnd"/>
      <w:r w:rsidRPr="00F473B6">
        <w:rPr>
          <w:rFonts w:ascii="Verdana" w:hAnsi="Verdana" w:cs="Arial"/>
        </w:rPr>
        <w:t xml:space="preserve"> o Gitano. </w:t>
      </w:r>
      <w:r w:rsidRPr="00F473B6">
        <w:rPr>
          <w:rFonts w:ascii="Verdana" w:eastAsia="Calibri" w:hAnsi="Verdana" w:cs="Arial"/>
        </w:rPr>
        <w:t xml:space="preserve">Esto, sin </w:t>
      </w:r>
      <w:r w:rsidRPr="00F473B6">
        <w:rPr>
          <w:rFonts w:ascii="Verdana" w:hAnsi="Verdana" w:cs="Arial"/>
        </w:rPr>
        <w:t xml:space="preserve">perjuicio de lo previsto en los artículos 87 y 101 de la Ley 2056 de 2020 para los proyectos financiables con recursos de la asignación directa, es relevante resaltar que los actos o contratos que celebren los ejecutores están sometidos a la Ley 80 de 1993. </w:t>
      </w:r>
    </w:p>
    <w:p w14:paraId="6FBDCFB8" w14:textId="77777777" w:rsidR="00345D1A" w:rsidRDefault="00345D1A" w:rsidP="00345D1A">
      <w:pPr>
        <w:spacing w:after="0" w:line="276" w:lineRule="auto"/>
        <w:ind w:firstLine="709"/>
        <w:jc w:val="both"/>
        <w:rPr>
          <w:rFonts w:ascii="Verdana" w:hAnsi="Verdana" w:cs="Arial"/>
          <w:bdr w:val="none" w:sz="0" w:space="0" w:color="auto" w:frame="1"/>
        </w:rPr>
      </w:pPr>
      <w:r w:rsidRPr="00F473B6">
        <w:rPr>
          <w:rFonts w:ascii="Verdana" w:hAnsi="Verdana" w:cs="Arial"/>
        </w:rPr>
        <w:t xml:space="preserve">Por tanto, en caso de que se realicen proyectos de inversión en el marco del Sistema General de </w:t>
      </w:r>
      <w:r>
        <w:rPr>
          <w:rFonts w:ascii="Verdana" w:hAnsi="Verdana" w:cs="Arial"/>
        </w:rPr>
        <w:t>Regalías</w:t>
      </w:r>
      <w:r w:rsidRPr="00F473B6">
        <w:rPr>
          <w:rFonts w:ascii="Verdana" w:hAnsi="Verdana" w:cs="Arial"/>
        </w:rPr>
        <w:t xml:space="preserve">, como también aquellos proyectos especiales referenciados </w:t>
      </w:r>
      <w:r w:rsidRPr="00F473B6">
        <w:rPr>
          <w:rFonts w:ascii="Verdana" w:hAnsi="Verdana" w:cs="Arial"/>
          <w:i/>
          <w:iCs/>
        </w:rPr>
        <w:t>ut supra</w:t>
      </w:r>
      <w:r w:rsidRPr="00F473B6">
        <w:rPr>
          <w:rFonts w:ascii="Verdana" w:hAnsi="Verdana" w:cs="Arial"/>
        </w:rPr>
        <w:t>, los ejecutores designados para desarrollarlos deben sujetarse al Estatuto General de Contratación de la Administración Pública</w:t>
      </w:r>
      <w:r w:rsidRPr="00F473B6">
        <w:rPr>
          <w:rFonts w:ascii="Verdana" w:eastAsia="Calibri" w:hAnsi="Verdana" w:cs="Arial"/>
        </w:rPr>
        <w:t>.</w:t>
      </w:r>
      <w:r w:rsidRPr="00F473B6">
        <w:rPr>
          <w:rFonts w:ascii="Verdana" w:hAnsi="Verdana" w:cs="Arial"/>
        </w:rPr>
        <w:t xml:space="preserve"> </w:t>
      </w:r>
      <w:r w:rsidRPr="00F473B6">
        <w:rPr>
          <w:rFonts w:ascii="Verdana" w:hAnsi="Verdana" w:cs="Arial"/>
          <w:bdr w:val="none" w:sz="0" w:space="0" w:color="auto" w:frame="1"/>
        </w:rPr>
        <w:t xml:space="preserve">En el evento en que determinados asuntos estén sometidos por norma especial al Estatuto General de Contratación Pública, la ejecución de los contratos deberá realizarse conforme a este régimen. </w:t>
      </w:r>
    </w:p>
    <w:p w14:paraId="5FD6C43F" w14:textId="77777777" w:rsidR="00345D1A" w:rsidRDefault="00345D1A" w:rsidP="00345D1A">
      <w:pPr>
        <w:spacing w:after="0" w:line="276" w:lineRule="auto"/>
        <w:ind w:firstLine="709"/>
        <w:jc w:val="both"/>
        <w:rPr>
          <w:rFonts w:ascii="Verdana" w:hAnsi="Verdana" w:cs="Arial"/>
          <w:bdr w:val="none" w:sz="0" w:space="0" w:color="auto" w:frame="1"/>
        </w:rPr>
      </w:pPr>
    </w:p>
    <w:p w14:paraId="4D338F36" w14:textId="77777777" w:rsidR="00345D1A" w:rsidRPr="00E97A27" w:rsidRDefault="00345D1A" w:rsidP="00345D1A">
      <w:pPr>
        <w:widowControl w:val="0"/>
        <w:autoSpaceDE w:val="0"/>
        <w:autoSpaceDN w:val="0"/>
        <w:spacing w:after="0" w:line="276" w:lineRule="auto"/>
        <w:jc w:val="both"/>
        <w:rPr>
          <w:rFonts w:ascii="Verdana" w:eastAsia="Arial" w:hAnsi="Verdana" w:cs="Arial"/>
          <w:color w:val="000000" w:themeColor="text1"/>
          <w:lang w:eastAsia="es-ES" w:bidi="es-ES"/>
        </w:rPr>
      </w:pPr>
      <w:proofErr w:type="spellStart"/>
      <w:r>
        <w:rPr>
          <w:rFonts w:ascii="Verdana" w:eastAsia="Arial" w:hAnsi="Verdana" w:cs="Arial"/>
          <w:color w:val="000000" w:themeColor="text1"/>
          <w:lang w:val="es-ES" w:eastAsia="es-ES" w:bidi="es-ES"/>
        </w:rPr>
        <w:t>iv</w:t>
      </w:r>
      <w:proofErr w:type="spellEnd"/>
      <w:r>
        <w:rPr>
          <w:rFonts w:ascii="Verdana" w:eastAsia="Arial" w:hAnsi="Verdana" w:cs="Arial"/>
          <w:color w:val="000000" w:themeColor="text1"/>
          <w:lang w:val="es-ES" w:eastAsia="es-ES" w:bidi="es-ES"/>
        </w:rPr>
        <w:t xml:space="preserve">. </w:t>
      </w:r>
      <w:r w:rsidRPr="00E97A27">
        <w:rPr>
          <w:rFonts w:ascii="Verdana" w:eastAsia="Arial" w:hAnsi="Verdana" w:cs="Arial"/>
          <w:color w:val="000000" w:themeColor="text1"/>
          <w:lang w:val="es-ES" w:eastAsia="es-ES" w:bidi="es-ES"/>
        </w:rPr>
        <w:t xml:space="preserve">De conformidad con el artículo 3 de la Ley 80 de 1993 la celebración y ejecución de los contratos estatales </w:t>
      </w:r>
      <w:r w:rsidRPr="00E97A27">
        <w:rPr>
          <w:rFonts w:ascii="Verdana" w:eastAsia="Arial" w:hAnsi="Verdana" w:cs="Arial"/>
          <w:color w:val="000000" w:themeColor="text1"/>
          <w:lang w:eastAsia="es-ES" w:bidi="es-ES"/>
        </w:rPr>
        <w:t>tiene como fin el cumplimiento de los fines estatales, la continua y eficiente prestación de los servicios públicos y la efectividad de los derechos e intereses de los administrados que colaboran con ellas en la consecución de dichos fines. Por su parte, los particulares que celebran y ejecutan contratos con las entidades estatales tendrán en cuenta que</w:t>
      </w:r>
      <w:r w:rsidRPr="00E97A27">
        <w:rPr>
          <w:rFonts w:ascii="Verdana" w:hAnsi="Verdana" w:cs="Arial"/>
          <w:color w:val="4B4949"/>
          <w:sz w:val="18"/>
          <w:szCs w:val="18"/>
        </w:rPr>
        <w:t xml:space="preserve"> </w:t>
      </w:r>
      <w:r w:rsidRPr="00E97A27">
        <w:rPr>
          <w:rFonts w:ascii="Verdana" w:eastAsia="Arial" w:hAnsi="Verdana" w:cs="Arial"/>
          <w:color w:val="000000" w:themeColor="text1"/>
          <w:lang w:eastAsia="es-ES" w:bidi="es-ES"/>
        </w:rPr>
        <w:t xml:space="preserve">colaboran con ellas en el logro de sus fines y cumplen una función social que, como tal, implica obligaciones. Así, con la celebración del contrato estatal surgen derechos y obligaciones para cada una de las partes que tienen como propósito, por un lado, la continua y eficiente prestación de los servicios públicos y la satisfacción del interés general y por otro lado, generar un beneficio económico </w:t>
      </w:r>
      <w:r w:rsidRPr="00E97A27">
        <w:rPr>
          <w:rFonts w:ascii="Verdana" w:eastAsia="Arial" w:hAnsi="Verdana" w:cs="Arial"/>
          <w:color w:val="000000" w:themeColor="text1"/>
          <w:lang w:eastAsia="es-ES" w:bidi="es-ES"/>
        </w:rPr>
        <w:lastRenderedPageBreak/>
        <w:t xml:space="preserve">para el particular que colabora en su ejecución. </w:t>
      </w:r>
    </w:p>
    <w:p w14:paraId="4E09DACA" w14:textId="77777777" w:rsidR="00345D1A" w:rsidRPr="00E97A27" w:rsidRDefault="00345D1A" w:rsidP="00345D1A">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Pr>
          <w:rFonts w:ascii="Verdana" w:eastAsia="Arial" w:hAnsi="Verdana" w:cs="Arial"/>
          <w:color w:val="000000" w:themeColor="text1"/>
          <w:lang w:eastAsia="es-ES" w:bidi="es-ES"/>
        </w:rPr>
        <w:t xml:space="preserve">Por remisión de los artículos 13, 32 y 40 del EGCAP al derecho privado, el contrato es ley para las partes conforme al artículo 1602 del Código Civil. Sin embargo, aunque la </w:t>
      </w:r>
      <w:r w:rsidRPr="00752476">
        <w:rPr>
          <w:rFonts w:ascii="Verdana" w:eastAsia="Arial" w:hAnsi="Verdana" w:cs="Arial"/>
          <w:i/>
          <w:iCs/>
          <w:color w:val="000000" w:themeColor="text1"/>
          <w:lang w:eastAsia="es-ES" w:bidi="es-ES"/>
        </w:rPr>
        <w:t>regla general</w:t>
      </w:r>
      <w:r>
        <w:rPr>
          <w:rFonts w:ascii="Verdana" w:eastAsia="Arial" w:hAnsi="Verdana" w:cs="Arial"/>
          <w:color w:val="000000" w:themeColor="text1"/>
          <w:lang w:eastAsia="es-ES" w:bidi="es-ES"/>
        </w:rPr>
        <w:t xml:space="preserve"> es el cumplimiento de los precios pactados, </w:t>
      </w:r>
      <w:r>
        <w:rPr>
          <w:rFonts w:ascii="Verdana" w:eastAsia="Arial" w:hAnsi="Verdana" w:cs="Arial"/>
          <w:i/>
          <w:iCs/>
          <w:color w:val="000000" w:themeColor="text1"/>
          <w:lang w:eastAsia="es-ES" w:bidi="es-ES"/>
        </w:rPr>
        <w:t>de forma excepcional</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pueden surgir circunstancias imprevistas que</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hagan</w:t>
      </w:r>
      <w:r>
        <w:rPr>
          <w:rFonts w:ascii="Verdana" w:eastAsia="Arial" w:hAnsi="Verdana" w:cs="Arial"/>
          <w:color w:val="000000" w:themeColor="text1"/>
          <w:lang w:eastAsia="es-ES" w:bidi="es-ES"/>
        </w:rPr>
        <w:t xml:space="preserve"> la ejecución</w:t>
      </w:r>
      <w:r w:rsidRPr="00752476">
        <w:rPr>
          <w:rFonts w:ascii="Verdana" w:eastAsia="Arial" w:hAnsi="Verdana" w:cs="Arial"/>
          <w:color w:val="000000" w:themeColor="text1"/>
          <w:lang w:eastAsia="es-ES" w:bidi="es-ES"/>
        </w:rPr>
        <w:t xml:space="preserve"> excesivamente gravos</w:t>
      </w:r>
      <w:r>
        <w:rPr>
          <w:rFonts w:ascii="Verdana" w:eastAsia="Arial" w:hAnsi="Verdana" w:cs="Arial"/>
          <w:color w:val="000000" w:themeColor="text1"/>
          <w:lang w:eastAsia="es-ES" w:bidi="es-ES"/>
        </w:rPr>
        <w:t>a</w:t>
      </w:r>
      <w:r w:rsidRPr="00752476">
        <w:rPr>
          <w:rFonts w:ascii="Verdana" w:eastAsia="Arial" w:hAnsi="Verdana" w:cs="Arial"/>
          <w:color w:val="000000" w:themeColor="text1"/>
          <w:lang w:eastAsia="es-ES" w:bidi="es-ES"/>
        </w:rPr>
        <w:t xml:space="preserve">, por lo que se han creado mecanismos para mantener la equidad y el equilibrio entre las </w:t>
      </w:r>
      <w:r>
        <w:rPr>
          <w:rFonts w:ascii="Verdana" w:eastAsia="Arial" w:hAnsi="Verdana" w:cs="Arial"/>
          <w:color w:val="000000" w:themeColor="text1"/>
          <w:lang w:eastAsia="es-ES" w:bidi="es-ES"/>
        </w:rPr>
        <w:t>obligaciones</w:t>
      </w:r>
      <w:r w:rsidRPr="00752476">
        <w:rPr>
          <w:rFonts w:ascii="Verdana" w:eastAsia="Arial" w:hAnsi="Verdana" w:cs="Arial"/>
          <w:color w:val="000000" w:themeColor="text1"/>
          <w:lang w:eastAsia="es-ES" w:bidi="es-ES"/>
        </w:rPr>
        <w:t>.</w:t>
      </w:r>
      <w:r>
        <w:rPr>
          <w:rFonts w:ascii="Verdana" w:eastAsia="Arial" w:hAnsi="Verdana" w:cs="Arial"/>
          <w:color w:val="000000" w:themeColor="text1"/>
          <w:lang w:eastAsia="es-ES" w:bidi="es-ES"/>
        </w:rPr>
        <w:t xml:space="preserve"> </w:t>
      </w:r>
      <w:r w:rsidRPr="00E97A27">
        <w:rPr>
          <w:rFonts w:ascii="Verdana" w:eastAsia="Arial" w:hAnsi="Verdana" w:cs="Arial"/>
          <w:color w:val="000000" w:themeColor="text1"/>
          <w:lang w:eastAsia="es-ES" w:bidi="es-ES"/>
        </w:rPr>
        <w:t>De esta manera, los contratos estatales deben pactar</w:t>
      </w:r>
      <w:r>
        <w:rPr>
          <w:rFonts w:ascii="Verdana" w:eastAsia="Arial" w:hAnsi="Verdana" w:cs="Arial"/>
          <w:color w:val="000000" w:themeColor="text1"/>
          <w:lang w:eastAsia="es-ES" w:bidi="es-ES"/>
        </w:rPr>
        <w:t>se</w:t>
      </w:r>
      <w:r w:rsidRPr="00E97A27">
        <w:rPr>
          <w:rFonts w:ascii="Verdana" w:eastAsia="Arial" w:hAnsi="Verdana" w:cs="Arial"/>
          <w:color w:val="000000" w:themeColor="text1"/>
          <w:lang w:eastAsia="es-ES" w:bidi="es-ES"/>
        </w:rPr>
        <w:t xml:space="preserve"> sobre la base de la interdependencia entre las prestaciones, esto es, que exista reciprocidad entre los derechos y las obligaciones de las entidades y los particulares, de tal forma que estas sean equivalentes y se mantengan durante la ejecución contractual. Esto se fundamenta en el principio del equilibrio financiero del contrato previsto en el artículo 27 de la Ley 80 de 1993 que prescribe lo siguiente: </w:t>
      </w:r>
    </w:p>
    <w:p w14:paraId="6B1B5EDB" w14:textId="77777777" w:rsidR="00345D1A" w:rsidRPr="00E97A27" w:rsidRDefault="00345D1A" w:rsidP="00345D1A">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1412F1D8" w14:textId="77777777" w:rsidR="00345D1A" w:rsidRPr="00AA6517" w:rsidRDefault="00345D1A" w:rsidP="00345D1A">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“En los contratos estatales se mantendrá la igualdad o equivalencia entre derechos y obligaciones surgidos al momento de proponer o de contratar, según el caso. Si dicha igualdad o equivalencia se rompe por causas no imputables a quien resulte afectado, las partes adoptarán en el menor tiempo posible las medidas necesarias para su restablecimiento. Para tales efectos, las partes suscribirán los acuerdos y pactos necesarios sobre cuantía, condiciones y forma de pago de gastos adicionales, reconocimiento de costos financieros e intereses, si a ello hubiere lugar, ajustando la cancelación a las disponibilidades de la apropiación de que trata el numeral 14 del artículo </w:t>
      </w:r>
      <w:hyperlink r:id="rId11" w:anchor="25" w:history="1">
        <w:r w:rsidRPr="00AA6517">
          <w:rPr>
            <w:rFonts w:ascii="Verdana" w:hAnsi="Verdana" w:cs="Arial"/>
            <w:sz w:val="20"/>
            <w:szCs w:val="20"/>
            <w:lang w:val="es-ES" w:eastAsia="es-ES" w:bidi="es-ES"/>
          </w:rPr>
          <w:t>25</w:t>
        </w:r>
      </w:hyperlink>
      <w:r w:rsidRPr="00AA6517">
        <w:rPr>
          <w:rFonts w:ascii="Verdana" w:eastAsia="Arial" w:hAnsi="Verdana" w:cs="Arial"/>
          <w:color w:val="000000" w:themeColor="text1"/>
          <w:sz w:val="20"/>
          <w:szCs w:val="20"/>
          <w:lang w:val="es-ES" w:eastAsia="es-ES" w:bidi="es-ES"/>
        </w:rPr>
        <w:t>. En todo caso, las entidades deberán adoptar las medidas necesarias que aseguren la efectividad de estos pagos y reconocimientos al contratista en la misma o en la siguiente vigencia de que se trate”.</w:t>
      </w:r>
    </w:p>
    <w:p w14:paraId="35D4AFBB" w14:textId="77777777" w:rsidR="00345D1A" w:rsidRPr="00E97A27" w:rsidRDefault="00345D1A" w:rsidP="00345D1A">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3B665E9E" w14:textId="77777777" w:rsidR="00345D1A" w:rsidRDefault="00345D1A" w:rsidP="00345D1A">
      <w:pPr>
        <w:autoSpaceDE w:val="0"/>
        <w:autoSpaceDN w:val="0"/>
        <w:adjustRightInd w:val="0"/>
        <w:spacing w:after="0" w:line="276" w:lineRule="auto"/>
        <w:ind w:firstLine="709"/>
        <w:jc w:val="both"/>
        <w:rPr>
          <w:rFonts w:ascii="Verdana" w:hAnsi="Verdana" w:cs="Arial"/>
        </w:rPr>
      </w:pPr>
      <w:r w:rsidRPr="00E97A27">
        <w:rPr>
          <w:rFonts w:ascii="Verdana" w:eastAsia="Arial" w:hAnsi="Verdana" w:cs="Arial"/>
          <w:color w:val="000000" w:themeColor="text1"/>
          <w:lang w:val="es-ES" w:eastAsia="es-ES" w:bidi="es-ES"/>
        </w:rPr>
        <w:t xml:space="preserve">Sobre el principio del equilibrio financiero del contrato, el Consejo de Estado ha señalado que </w:t>
      </w:r>
      <w:r w:rsidRPr="00E97A27">
        <w:rPr>
          <w:rFonts w:ascii="Verdana" w:eastAsia="Arial" w:hAnsi="Verdana" w:cs="Arial"/>
          <w:color w:val="000000" w:themeColor="text1"/>
          <w:lang w:eastAsia="es-ES" w:bidi="es-ES"/>
        </w:rPr>
        <w:t xml:space="preserve">consiste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en garantizar el mantenimiento de la igualdad o equivalencia entre derechos y obligaciones surgidos al momento de proponer 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9"/>
      </w:r>
      <w:r w:rsidRPr="00E97A27">
        <w:rPr>
          <w:rFonts w:ascii="Verdana" w:eastAsia="Arial" w:hAnsi="Verdana" w:cs="Arial"/>
          <w:color w:val="000000" w:themeColor="text1"/>
          <w:lang w:val="es-MX" w:eastAsia="es-ES" w:bidi="es-ES"/>
        </w:rPr>
        <w:t>. En concordancia, la doctrina ha indicado que con este</w:t>
      </w:r>
      <w:r w:rsidRPr="00E97A27">
        <w:rPr>
          <w:rFonts w:ascii="Verdana" w:hAnsi="Verdana" w:cs="Arial"/>
        </w:rPr>
        <w:t xml:space="preserve"> principio, también </w:t>
      </w:r>
      <w:r w:rsidRPr="00E97A27">
        <w:rPr>
          <w:rFonts w:ascii="Verdana" w:hAnsi="Verdana" w:cs="Arial"/>
        </w:rPr>
        <w:lastRenderedPageBreak/>
        <w:t xml:space="preserve">denominado </w:t>
      </w:r>
      <w:r>
        <w:rPr>
          <w:rFonts w:ascii="Verdana" w:eastAsia="Arial" w:hAnsi="Verdana" w:cs="Arial"/>
          <w:color w:val="000000" w:themeColor="text1"/>
          <w:lang w:val="es-MX" w:eastAsia="es-ES" w:bidi="es-ES"/>
        </w:rPr>
        <w:t>“</w:t>
      </w:r>
      <w:r w:rsidRPr="00E97A27">
        <w:rPr>
          <w:rFonts w:ascii="Verdana" w:hAnsi="Verdana" w:cs="Arial"/>
        </w:rPr>
        <w:t>el de la honesta equivalencia de prestaciones</w:t>
      </w:r>
      <w:r>
        <w:rPr>
          <w:rFonts w:ascii="Verdana" w:eastAsia="Arial" w:hAnsi="Verdana" w:cs="Arial"/>
          <w:color w:val="000000" w:themeColor="text1"/>
          <w:lang w:val="es-MX" w:eastAsia="es-ES" w:bidi="es-ES"/>
        </w:rPr>
        <w:t>”</w:t>
      </w:r>
      <w:r w:rsidRPr="00E97A27">
        <w:rPr>
          <w:rFonts w:ascii="Verdana" w:hAnsi="Verdana" w:cs="Arial"/>
        </w:rPr>
        <w:t xml:space="preserve">, se privilegia el carácter conmutativo o sinalagmático que, por regla general, tiene el contrato estatal, </w:t>
      </w:r>
      <w:r>
        <w:rPr>
          <w:rFonts w:ascii="Verdana" w:eastAsia="Arial" w:hAnsi="Verdana" w:cs="Arial"/>
          <w:color w:val="000000" w:themeColor="text1"/>
          <w:lang w:val="es-MX" w:eastAsia="es-ES" w:bidi="es-ES"/>
        </w:rPr>
        <w:t>“</w:t>
      </w:r>
      <w:r w:rsidRPr="00E97A27">
        <w:rPr>
          <w:rFonts w:ascii="Verdana" w:hAnsi="Verdana" w:cs="Arial"/>
        </w:rPr>
        <w:t>lo que significa que las prestaciones (derechos y obligaciones) asumidas por una parte contractual se entienden como equivalentes a las de la otra parte y obliga a la adopción de medidas tendientes a garantizar que esa igualdad existente en términos económicos al tiempo de su celebración se conserve y permanezca intacta durante su ejecución, y a que se restablezca esa equivalencia en caso de su ruptura por circunstancias o causas sobrevinientes, imprevisibles e imputables o no a ellas</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10"/>
      </w:r>
      <w:r w:rsidRPr="00E97A27">
        <w:rPr>
          <w:rFonts w:ascii="Verdana" w:hAnsi="Verdana" w:cs="Arial"/>
        </w:rPr>
        <w:t xml:space="preserve">.  </w:t>
      </w:r>
    </w:p>
    <w:p w14:paraId="6148AA63" w14:textId="77777777" w:rsidR="00345D1A" w:rsidRPr="00E97A27" w:rsidRDefault="00345D1A" w:rsidP="00345D1A">
      <w:pPr>
        <w:autoSpaceDE w:val="0"/>
        <w:autoSpaceDN w:val="0"/>
        <w:adjustRightInd w:val="0"/>
        <w:spacing w:after="0" w:line="276" w:lineRule="auto"/>
        <w:ind w:firstLine="709"/>
        <w:jc w:val="both"/>
        <w:rPr>
          <w:rFonts w:ascii="Verdana" w:hAnsi="Verdana" w:cs="Arial"/>
        </w:rPr>
      </w:pPr>
    </w:p>
    <w:p w14:paraId="3BBD93BF" w14:textId="77777777" w:rsidR="00345D1A" w:rsidRPr="00E97A27" w:rsidRDefault="00345D1A" w:rsidP="00345D1A">
      <w:pPr>
        <w:widowControl w:val="0"/>
        <w:autoSpaceDE w:val="0"/>
        <w:autoSpaceDN w:val="0"/>
        <w:spacing w:after="0" w:line="276" w:lineRule="auto"/>
        <w:jc w:val="both"/>
        <w:rPr>
          <w:rFonts w:ascii="Verdana" w:eastAsia="Arial" w:hAnsi="Verdana" w:cs="Arial"/>
          <w:color w:val="000000" w:themeColor="text1"/>
          <w:lang w:val="es-ES" w:eastAsia="es-ES" w:bidi="es-ES"/>
        </w:rPr>
      </w:pPr>
      <w:r>
        <w:rPr>
          <w:rFonts w:ascii="Verdana" w:eastAsia="Arial" w:hAnsi="Verdana" w:cs="Arial"/>
          <w:color w:val="000000" w:themeColor="text1"/>
          <w:lang w:val="es-MX" w:eastAsia="es-ES" w:bidi="es-ES"/>
        </w:rPr>
        <w:t xml:space="preserve">v. </w:t>
      </w:r>
      <w:r w:rsidRPr="00E97A27">
        <w:rPr>
          <w:rFonts w:ascii="Verdana" w:eastAsia="Arial" w:hAnsi="Verdana" w:cs="Arial"/>
          <w:color w:val="000000" w:themeColor="text1"/>
          <w:lang w:val="es-MX" w:eastAsia="es-ES" w:bidi="es-ES"/>
        </w:rPr>
        <w:t xml:space="preserve">Conforme a lo anterior el equilibrio financiero del contrato se constituye en un principio medular de la contratación estatal que </w:t>
      </w:r>
      <w:r w:rsidRPr="00E97A27">
        <w:rPr>
          <w:rFonts w:ascii="Verdana" w:eastAsia="Arial" w:hAnsi="Verdana" w:cs="Arial"/>
          <w:color w:val="000000" w:themeColor="text1"/>
          <w:lang w:eastAsia="es-ES" w:bidi="es-ES"/>
        </w:rPr>
        <w:t xml:space="preserve">busca, precisamente, mantener las mismas condiciones </w:t>
      </w:r>
      <w:r w:rsidRPr="00E97A27">
        <w:rPr>
          <w:rFonts w:ascii="Verdana" w:eastAsia="Arial" w:hAnsi="Verdana" w:cs="Arial"/>
          <w:color w:val="000000" w:themeColor="text1"/>
          <w:lang w:val="es-ES" w:eastAsia="es-ES" w:bidi="es-ES"/>
        </w:rPr>
        <w:t>existente al tiempo de su celebración, de tal suerte que las prestaciones de las partes permanezcan hasta su terminación. De este modo, si la equivalencia entre las prestaciones se quebranta por causas no imputables a quien resulte afectado es necesario adoptar las medidas correspondientes para restablecer la ecuación contractual.</w:t>
      </w:r>
    </w:p>
    <w:p w14:paraId="72D9E2EC" w14:textId="77777777" w:rsidR="00345D1A" w:rsidRDefault="00345D1A" w:rsidP="00345D1A">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Además de lo previsto en el artículo 27 de la Ley 80 de 1993, la obligación de mantener el equilibrio económico del contrato se encuentra establecida en diferentes disposiciones de dicha Ley. En efecto, el numeral 3 del artículo 4 </w:t>
      </w:r>
      <w:r w:rsidRPr="00E97A27">
        <w:rPr>
          <w:rFonts w:ascii="Verdana" w:eastAsia="Arial" w:hAnsi="Verdana" w:cs="Arial"/>
          <w:i/>
          <w:iCs/>
          <w:color w:val="000000" w:themeColor="text1"/>
          <w:lang w:val="es-ES" w:eastAsia="es-ES" w:bidi="es-ES"/>
        </w:rPr>
        <w:t>ibidem</w:t>
      </w:r>
      <w:r w:rsidRPr="00E97A27">
        <w:rPr>
          <w:rFonts w:ascii="Verdana" w:eastAsia="Arial" w:hAnsi="Verdana" w:cs="Arial"/>
          <w:color w:val="000000" w:themeColor="text1"/>
          <w:lang w:val="es-ES" w:eastAsia="es-ES" w:bidi="es-ES"/>
        </w:rPr>
        <w:t xml:space="preserve"> señala que las entidades estatales solicitarán la actualización o la revisión de los precios cuando se produzcan fenómenos que alteren en su contra </w:t>
      </w:r>
      <w:r w:rsidRPr="00E97A27">
        <w:rPr>
          <w:rFonts w:ascii="Verdana" w:eastAsia="Arial" w:hAnsi="Verdana" w:cs="Arial"/>
          <w:i/>
          <w:iCs/>
          <w:color w:val="000000" w:themeColor="text1"/>
          <w:lang w:val="es-ES" w:eastAsia="es-ES" w:bidi="es-ES"/>
        </w:rPr>
        <w:t>el equilibrio económico o financiero</w:t>
      </w:r>
      <w:r w:rsidRPr="00E97A27">
        <w:rPr>
          <w:rFonts w:ascii="Verdana" w:eastAsia="Arial" w:hAnsi="Verdana" w:cs="Arial"/>
          <w:color w:val="000000" w:themeColor="text1"/>
          <w:lang w:val="es-ES" w:eastAsia="es-ES" w:bidi="es-ES"/>
        </w:rPr>
        <w:t xml:space="preserve"> del contrato. Asimismo, el numeral 8 del artículo en comento señala que las entidades deberán adoptar las medidas necesarias para mantener durante el desarrollo y ejecución del contrato las condiciones técnicas, económicas y financieras existentes al momento de proponer en los casos en que se hubiere realizado licitación o concurso, o de contratar en los casos de contratación directa, para lo cual se emplearán los mecanismos de revisión y reajuste de precios. </w:t>
      </w:r>
      <w:r>
        <w:rPr>
          <w:rFonts w:ascii="Verdana" w:eastAsia="Arial" w:hAnsi="Verdana" w:cs="Arial"/>
          <w:color w:val="000000" w:themeColor="text1"/>
          <w:lang w:val="es-ES" w:eastAsia="es-ES" w:bidi="es-ES"/>
        </w:rPr>
        <w:t>De acuerdo con la jurisprudencia:</w:t>
      </w:r>
    </w:p>
    <w:p w14:paraId="2BE35E17" w14:textId="77777777" w:rsidR="00345D1A" w:rsidRDefault="00345D1A" w:rsidP="00345D1A">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p>
    <w:p w14:paraId="4C9D507A" w14:textId="77777777" w:rsidR="00345D1A" w:rsidRPr="000E4887" w:rsidRDefault="00345D1A" w:rsidP="00345D1A">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0E4887">
        <w:rPr>
          <w:rFonts w:ascii="Verdana" w:eastAsia="Arial" w:hAnsi="Verdana" w:cs="Arial"/>
          <w:color w:val="000000" w:themeColor="text1"/>
          <w:sz w:val="20"/>
          <w:szCs w:val="20"/>
          <w:lang w:val="es-ES" w:eastAsia="es-ES" w:bidi="es-ES"/>
        </w:rPr>
        <w:t xml:space="preserve">“[…] la cláusula de estabilización o ajuste de precios resulta ser una medida preventiva frente a una situación previsible que puede afectar el resultado económico final del contrato en contra de cualquiera de las </w:t>
      </w:r>
      <w:r w:rsidRPr="000E4887">
        <w:rPr>
          <w:rFonts w:ascii="Verdana" w:eastAsia="Arial" w:hAnsi="Verdana" w:cs="Arial"/>
          <w:color w:val="000000" w:themeColor="text1"/>
          <w:sz w:val="20"/>
          <w:szCs w:val="20"/>
          <w:lang w:val="es-ES" w:eastAsia="es-ES" w:bidi="es-ES"/>
        </w:rPr>
        <w:lastRenderedPageBreak/>
        <w:t>partes, y que se resuelve mediante la inclusión de la respectiva estipulación, normalmente expresada en una fórmula matemática concebida en función de los factores que inciden en los costos de ejecución del contrato. Por tanto, es un mecanismo que tiende a preservar la naturaleza conmutativa de los contratos y a garantizar que la equivalencia inicialmente acordada entre las prestaciones recíprocas se mantenga a lo largo de la ejecución del negocio jurídico, en tal forma que la remuneración recibida finalmente por el contratista corresponda a la que contempló al momento de presentar su propuesta y celebrar el contrato.</w:t>
      </w:r>
    </w:p>
    <w:p w14:paraId="4A253408" w14:textId="77777777" w:rsidR="00345D1A" w:rsidRDefault="00345D1A" w:rsidP="00345D1A">
      <w:pPr>
        <w:widowControl w:val="0"/>
        <w:autoSpaceDE w:val="0"/>
        <w:autoSpaceDN w:val="0"/>
        <w:spacing w:before="120" w:after="0" w:line="240" w:lineRule="auto"/>
        <w:ind w:left="709" w:right="709"/>
        <w:jc w:val="both"/>
        <w:rPr>
          <w:rFonts w:ascii="Verdana" w:eastAsia="Arial" w:hAnsi="Verdana" w:cs="Arial"/>
          <w:color w:val="000000" w:themeColor="text1"/>
          <w:lang w:val="es-ES" w:eastAsia="es-ES" w:bidi="es-ES"/>
        </w:rPr>
      </w:pPr>
      <w:r w:rsidRPr="000E4887">
        <w:rPr>
          <w:rFonts w:ascii="Verdana" w:eastAsia="Arial" w:hAnsi="Verdana" w:cs="Arial"/>
          <w:color w:val="000000" w:themeColor="text1"/>
          <w:sz w:val="20"/>
          <w:szCs w:val="20"/>
          <w:lang w:val="es-ES" w:eastAsia="es-ES" w:bidi="es-ES"/>
        </w:rPr>
        <w:t>De igual modo, paralelamente con la actualización de precios la Ley 80 de 1993 también contempla la figura de la revisión de precios, la cual opera cuando sobrevengan hechos económicos que hagan ineficaz o insuficiente la fórmula de reajuste o cuando las partes no han pactado un sistema de ajuste o actualización de los precios y estos sufren alteración como resultado de los fenómenos económicos mencionados, como la inflación o el alza de precios, eventos estos en los cuales puede solicitarse al juez la corrección de la cláusula de ajuste pactada y la revisión de los precios”</w:t>
      </w:r>
      <w:r>
        <w:rPr>
          <w:rStyle w:val="Refdenotaalpie"/>
          <w:rFonts w:ascii="Verdana" w:eastAsia="Arial" w:hAnsi="Verdana" w:cs="Arial"/>
          <w:color w:val="000000" w:themeColor="text1"/>
          <w:sz w:val="20"/>
          <w:szCs w:val="20"/>
          <w:lang w:val="es-ES" w:eastAsia="es-ES" w:bidi="es-ES"/>
        </w:rPr>
        <w:footnoteReference w:id="11"/>
      </w:r>
      <w:r w:rsidRPr="000E4887">
        <w:rPr>
          <w:rFonts w:ascii="Verdana" w:eastAsia="Arial" w:hAnsi="Verdana" w:cs="Arial"/>
          <w:color w:val="000000" w:themeColor="text1"/>
          <w:sz w:val="20"/>
          <w:szCs w:val="20"/>
          <w:lang w:val="es-ES" w:eastAsia="es-ES" w:bidi="es-ES"/>
        </w:rPr>
        <w:t>.</w:t>
      </w:r>
    </w:p>
    <w:p w14:paraId="1049FD56" w14:textId="77777777" w:rsidR="00345D1A" w:rsidRPr="000E4887" w:rsidRDefault="00345D1A" w:rsidP="00345D1A">
      <w:pPr>
        <w:widowControl w:val="0"/>
        <w:autoSpaceDE w:val="0"/>
        <w:autoSpaceDN w:val="0"/>
        <w:spacing w:after="0" w:line="276" w:lineRule="auto"/>
        <w:jc w:val="both"/>
        <w:rPr>
          <w:rFonts w:ascii="Verdana" w:eastAsia="Arial" w:hAnsi="Verdana" w:cs="Arial"/>
          <w:color w:val="000000" w:themeColor="text1"/>
          <w:lang w:val="es-ES" w:eastAsia="es-ES" w:bidi="es-ES"/>
        </w:rPr>
      </w:pPr>
    </w:p>
    <w:p w14:paraId="01888B56" w14:textId="77777777" w:rsidR="00345D1A" w:rsidRPr="00E97A27" w:rsidRDefault="00345D1A" w:rsidP="00345D1A">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Por su parte, el numeral 1 del artículo 5 de la Ley 80 de 1993 indica que el contratista tiene derecho a recibir oportunamente la remuneración pactada y a que el valor intrínseco de la misma no se altere o modifique durante la vigencia del contrato. En consecuencia, tendrán derecho, previa solicitud, a que la administración les restablezca </w:t>
      </w:r>
      <w:r w:rsidRPr="00E97A27">
        <w:rPr>
          <w:rFonts w:ascii="Verdana" w:eastAsia="Arial" w:hAnsi="Verdana" w:cs="Arial"/>
          <w:i/>
          <w:iCs/>
          <w:color w:val="000000" w:themeColor="text1"/>
          <w:lang w:val="es-ES" w:eastAsia="es-ES" w:bidi="es-ES"/>
        </w:rPr>
        <w:t>el equilibrio de la ecuación económica</w:t>
      </w:r>
      <w:r w:rsidRPr="00E97A27">
        <w:rPr>
          <w:rFonts w:ascii="Verdana" w:eastAsia="Arial" w:hAnsi="Verdana" w:cs="Arial"/>
          <w:color w:val="000000" w:themeColor="text1"/>
          <w:lang w:val="es-ES" w:eastAsia="es-ES" w:bidi="es-ES"/>
        </w:rPr>
        <w:t xml:space="preserve"> del contrato por la ocurrencia de situaciones imprevistas que no sean imputables a los contratistas. Si dicho equilibrio se rompe por incumplimiento de la entidad estatal contratante, tendrá que restablecerse la ecuación surgida al momento del nacimiento del contrato.</w:t>
      </w:r>
    </w:p>
    <w:p w14:paraId="6E561378" w14:textId="77777777" w:rsidR="00345D1A" w:rsidRPr="00E97A27" w:rsidRDefault="00345D1A" w:rsidP="00345D1A">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Adicionalmente, el numeral 1 del artículo 14 establece que en los actos en que se ejerciten algunas de estas potestades excepcionales deberá procederse al reconocimiento y orden de pago de las compensaciones e indemnizaciones a que tengan derecho las personas objeto de tales medidas y se aplicarán los mecanismos de ajuste de las condiciones y términos contractuales a que haya lugar, todo ello con el fin de mantener </w:t>
      </w:r>
      <w:r w:rsidRPr="00E97A27">
        <w:rPr>
          <w:rFonts w:ascii="Verdana" w:eastAsia="Arial" w:hAnsi="Verdana" w:cs="Arial"/>
          <w:i/>
          <w:iCs/>
          <w:color w:val="000000" w:themeColor="text1"/>
          <w:lang w:val="es-ES" w:eastAsia="es-ES" w:bidi="es-ES"/>
        </w:rPr>
        <w:t>la ecuación o equilibrio inicial.</w:t>
      </w:r>
    </w:p>
    <w:p w14:paraId="7735C965" w14:textId="77777777" w:rsidR="00345D1A" w:rsidRDefault="00345D1A" w:rsidP="00345D1A">
      <w:pPr>
        <w:widowControl w:val="0"/>
        <w:autoSpaceDE w:val="0"/>
        <w:autoSpaceDN w:val="0"/>
        <w:spacing w:after="0" w:line="276" w:lineRule="auto"/>
        <w:jc w:val="both"/>
        <w:rPr>
          <w:rFonts w:ascii="Verdana" w:eastAsia="Arial" w:hAnsi="Verdana" w:cs="Arial"/>
          <w:color w:val="000000" w:themeColor="text1"/>
          <w:lang w:val="es-ES" w:eastAsia="es-ES" w:bidi="es-ES"/>
        </w:rPr>
      </w:pPr>
    </w:p>
    <w:p w14:paraId="657C1529" w14:textId="77777777" w:rsidR="00345D1A" w:rsidRDefault="00345D1A" w:rsidP="00345D1A">
      <w:pPr>
        <w:widowControl w:val="0"/>
        <w:autoSpaceDE w:val="0"/>
        <w:autoSpaceDN w:val="0"/>
        <w:spacing w:after="120" w:line="276" w:lineRule="auto"/>
        <w:jc w:val="both"/>
        <w:rPr>
          <w:rFonts w:ascii="Verdana" w:eastAsia="Arial" w:hAnsi="Verdana" w:cs="Arial"/>
          <w:color w:val="000000" w:themeColor="text1"/>
          <w:lang w:val="es-ES" w:eastAsia="es-ES" w:bidi="es-ES"/>
        </w:rPr>
      </w:pPr>
      <w:r>
        <w:rPr>
          <w:rFonts w:ascii="Verdana" w:eastAsia="Arial" w:hAnsi="Verdana" w:cs="Arial"/>
          <w:color w:val="000000" w:themeColor="text1"/>
          <w:lang w:val="es-ES" w:eastAsia="es-ES" w:bidi="es-ES"/>
        </w:rPr>
        <w:t xml:space="preserve">vi. </w:t>
      </w:r>
      <w:r w:rsidRPr="00E97A27">
        <w:rPr>
          <w:rFonts w:ascii="Verdana" w:eastAsia="Arial" w:hAnsi="Verdana" w:cs="Arial"/>
          <w:color w:val="000000" w:themeColor="text1"/>
          <w:lang w:val="es-ES" w:eastAsia="es-ES" w:bidi="es-ES"/>
        </w:rPr>
        <w:t xml:space="preserve">Según se advierte, el Estatuto General de Contratación de la Administración Pública establece la necesidad de mantener durante la ejecución del contrato el equilibrio o equivalencia de las prestaciones de las partes surgidas al momento </w:t>
      </w:r>
      <w:r w:rsidRPr="00E97A27">
        <w:rPr>
          <w:rFonts w:ascii="Verdana" w:eastAsia="Arial" w:hAnsi="Verdana" w:cs="Arial"/>
          <w:color w:val="000000" w:themeColor="text1"/>
          <w:lang w:val="es-ES" w:eastAsia="es-ES" w:bidi="es-ES"/>
        </w:rPr>
        <w:lastRenderedPageBreak/>
        <w:t>de contratar, para lo cual determina deberes y derechos para las entidades estatales y los contratistas en pro de su conservación. Dentro de estas obligaciones se prevé el deber de la entidad de adoptar las medidas correspondientes de manera que se pueda precaver las diferencias que se lleguen a presentar como consecuencia de la vulneración del principio del equilibrio económico del contrato y evitar una mayor onerosidad.</w:t>
      </w:r>
    </w:p>
    <w:p w14:paraId="6444AE45" w14:textId="77777777" w:rsidR="00345D1A" w:rsidRPr="00E97A27" w:rsidRDefault="00345D1A" w:rsidP="00345D1A">
      <w:pPr>
        <w:widowControl w:val="0"/>
        <w:autoSpaceDE w:val="0"/>
        <w:autoSpaceDN w:val="0"/>
        <w:spacing w:after="0" w:line="276" w:lineRule="auto"/>
        <w:ind w:firstLine="708"/>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En relación con las causas por las cuales puede verse afectado el equilibrio económico del contrato y su procedencia el Consejo de Estado ha desarrollado ampliamente la materia. En tal sentido, ha manifestado reiteradamente que el desequilibrio económico del contrato se puede presentar por diferentes situaciones: </w:t>
      </w:r>
    </w:p>
    <w:p w14:paraId="39DE67E1" w14:textId="77777777" w:rsidR="00345D1A" w:rsidRPr="00E97A27" w:rsidRDefault="00345D1A" w:rsidP="00345D1A">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24440246" w14:textId="77777777" w:rsidR="00345D1A" w:rsidRPr="00AA6517" w:rsidRDefault="00345D1A" w:rsidP="00345D1A">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 xml:space="preserve">“a) Actos o hechos de la entidad administrativa contratante, como cuando no cumple con las obligaciones derivadas del contrato o introduce modificaciones al mismo -ius variandi-, sean éstas abusivas o no. </w:t>
      </w:r>
    </w:p>
    <w:p w14:paraId="6018019B" w14:textId="77777777" w:rsidR="00345D1A" w:rsidRPr="00AA6517" w:rsidRDefault="00345D1A" w:rsidP="00345D1A">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 xml:space="preserve">b) Actos generales de la administración como Estado, o ‘teoría del hecho del príncipe’, como cuando en ejercicio de sus potestades constitucionales y legales, cuya voluntad se manifiesta mediante leyes o actos administrativos de carácter general, afecta negativamente el contrato. </w:t>
      </w:r>
    </w:p>
    <w:p w14:paraId="140290C5" w14:textId="77777777" w:rsidR="00345D1A" w:rsidRPr="00AA6517" w:rsidRDefault="00345D1A" w:rsidP="00345D1A">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c) Factores exógenos a las partes del negocio, o ‘teoría de la imprevisión’, o ‘sujeciones materiales imprevistas’, que involucran circunstancias no imputables al Estado y externas al contrato pero con incidencia en él.</w:t>
      </w:r>
    </w:p>
    <w:p w14:paraId="417899E7" w14:textId="77777777" w:rsidR="00345D1A" w:rsidRPr="00E97A27" w:rsidRDefault="00345D1A" w:rsidP="00345D1A">
      <w:pPr>
        <w:widowControl w:val="0"/>
        <w:autoSpaceDE w:val="0"/>
        <w:autoSpaceDN w:val="0"/>
        <w:spacing w:after="0" w:line="240" w:lineRule="auto"/>
        <w:ind w:left="709" w:right="709"/>
        <w:jc w:val="both"/>
        <w:rPr>
          <w:rFonts w:ascii="Verdana" w:eastAsia="Arial" w:hAnsi="Verdana" w:cs="Arial"/>
          <w:color w:val="000000" w:themeColor="text1"/>
          <w:sz w:val="21"/>
          <w:szCs w:val="21"/>
          <w:lang w:val="es-ES" w:eastAsia="es-ES" w:bidi="es-ES"/>
        </w:rPr>
      </w:pPr>
      <w:r w:rsidRPr="00AA6517">
        <w:rPr>
          <w:rFonts w:ascii="Verdana" w:eastAsia="Arial" w:hAnsi="Verdana" w:cs="Arial"/>
          <w:color w:val="000000" w:themeColor="text1"/>
          <w:sz w:val="20"/>
          <w:szCs w:val="20"/>
          <w:lang w:val="es-ES" w:eastAsia="es-ES" w:bidi="es-ES"/>
        </w:rPr>
        <w:t>En todos estos eventos surge la obligación de la administración contratante de auxiliar al contratista colaborador asumiendo mediante una compensación -llevarlo hasta el punto de no pérdida- o nace el deber de indemnizarlo integralmente, según el caso y si se cumplen los requisitos señalados para cada figura”</w:t>
      </w:r>
      <w:r w:rsidRPr="00AA6517">
        <w:rPr>
          <w:rStyle w:val="Refdenotaalpie"/>
          <w:rFonts w:ascii="Verdana" w:eastAsia="Arial" w:hAnsi="Verdana" w:cs="Arial"/>
          <w:color w:val="000000" w:themeColor="text1"/>
          <w:sz w:val="20"/>
          <w:szCs w:val="20"/>
          <w:lang w:val="es-ES" w:eastAsia="es-ES" w:bidi="es-ES"/>
        </w:rPr>
        <w:footnoteReference w:id="12"/>
      </w:r>
      <w:r w:rsidRPr="00AA6517">
        <w:rPr>
          <w:rFonts w:ascii="Verdana" w:eastAsia="Arial" w:hAnsi="Verdana" w:cs="Arial"/>
          <w:color w:val="000000" w:themeColor="text1"/>
          <w:sz w:val="20"/>
          <w:szCs w:val="20"/>
          <w:lang w:val="es-ES" w:eastAsia="es-ES" w:bidi="es-ES"/>
        </w:rPr>
        <w:t>.</w:t>
      </w:r>
    </w:p>
    <w:p w14:paraId="4AB4FF92" w14:textId="77777777" w:rsidR="00345D1A" w:rsidRPr="00E97A27" w:rsidRDefault="00345D1A" w:rsidP="00345D1A">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1CBD56EA" w14:textId="77777777" w:rsidR="00345D1A" w:rsidRPr="00E97A27" w:rsidRDefault="00345D1A" w:rsidP="00345D1A">
      <w:pPr>
        <w:widowControl w:val="0"/>
        <w:autoSpaceDE w:val="0"/>
        <w:autoSpaceDN w:val="0"/>
        <w:spacing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En lo que atañe a la procedencia del restablecimiento del equilibrio financiero del contrato cuando este se vulnera, la jurisprudencia ha señalado que para estos efectos es imperativo la prueba del menoscabo, demostrar que este es grave y que además no corresponde a un riesgo propio de la actividad que deba ser asumido por una de las partes contractuales</w:t>
      </w:r>
      <w:r w:rsidRPr="00E97A27">
        <w:rPr>
          <w:rStyle w:val="Refdenotaalpie"/>
          <w:rFonts w:ascii="Verdana" w:eastAsia="Arial" w:hAnsi="Verdana" w:cs="Arial"/>
          <w:color w:val="000000" w:themeColor="text1"/>
          <w:lang w:val="es-ES" w:eastAsia="es-ES" w:bidi="es-ES"/>
        </w:rPr>
        <w:footnoteReference w:id="13"/>
      </w:r>
      <w:r w:rsidRPr="00E97A27">
        <w:rPr>
          <w:rFonts w:ascii="Verdana" w:eastAsia="Arial" w:hAnsi="Verdana" w:cs="Arial"/>
          <w:color w:val="000000" w:themeColor="text1"/>
          <w:lang w:val="es-ES" w:eastAsia="es-ES" w:bidi="es-ES"/>
        </w:rPr>
        <w:t xml:space="preserve">. Además, es </w:t>
      </w:r>
      <w:r w:rsidRPr="00E97A27">
        <w:rPr>
          <w:rFonts w:ascii="Verdana" w:eastAsia="Arial" w:hAnsi="Verdana" w:cs="Arial"/>
          <w:color w:val="000000" w:themeColor="text1"/>
          <w:lang w:val="es-ES" w:eastAsia="es-ES" w:bidi="es-ES"/>
        </w:rPr>
        <w:lastRenderedPageBreak/>
        <w:t xml:space="preserve">necesario que las reclamaciones para el restablecimiento se realicen en la oportunidad debida, de manera que </w:t>
      </w:r>
      <w:r w:rsidRPr="00E97A27">
        <w:rPr>
          <w:rFonts w:ascii="Verdana" w:eastAsia="Arial" w:hAnsi="Verdana" w:cs="Arial"/>
          <w:color w:val="000000" w:themeColor="text1"/>
          <w:lang w:eastAsia="es-ES" w:bidi="es-ES"/>
        </w:rPr>
        <w:t xml:space="preserve">si las solicitudes, o salvedades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no se hacen al momento de suscribir las suspensiones, adiciones o prórrogas del plazo contractual, contratos adicionales, otrosíes, etc., que por tal motivo se convinieren, cualquier solicitud, reclamación o pretensión ulterior es extemporánea, improcedente e impróspera por vulnerar el principio de la buena fe contractual</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14"/>
      </w:r>
      <w:r w:rsidRPr="00E97A27">
        <w:rPr>
          <w:rFonts w:ascii="Verdana" w:eastAsia="Arial" w:hAnsi="Verdana" w:cs="Arial"/>
          <w:color w:val="000000" w:themeColor="text1"/>
          <w:lang w:val="es-MX" w:eastAsia="es-ES" w:bidi="es-ES"/>
        </w:rPr>
        <w:t xml:space="preserve">. </w:t>
      </w:r>
    </w:p>
    <w:p w14:paraId="26BBFE70" w14:textId="77777777" w:rsidR="00345D1A" w:rsidRDefault="00345D1A" w:rsidP="00345D1A">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De este modo, conforme a esta postura del Consejo de Estado no basta con la alegación del rompimiento del equilibrio del contrato puesto que resulta indispensable demostrar la afectación grave de las condiciones del contrato y, además, que la reclamación o solicitud en que se fundamenta el desequilibrio económico del contrato se realice en el momento oportuno, esto es, cuando se celebren las modificaciones, prórrogas, suspensiones, entre otros y no con posterioridad a ella. </w:t>
      </w:r>
    </w:p>
    <w:p w14:paraId="151CE7B5" w14:textId="77777777" w:rsidR="00345D1A" w:rsidRPr="00E97A27" w:rsidRDefault="00345D1A" w:rsidP="00345D1A">
      <w:pPr>
        <w:widowControl w:val="0"/>
        <w:autoSpaceDE w:val="0"/>
        <w:autoSpaceDN w:val="0"/>
        <w:spacing w:after="0" w:line="276" w:lineRule="auto"/>
        <w:ind w:firstLine="709"/>
        <w:jc w:val="both"/>
        <w:rPr>
          <w:rFonts w:ascii="Verdana" w:eastAsia="Arial" w:hAnsi="Verdana" w:cs="Arial"/>
          <w:color w:val="000000" w:themeColor="text1"/>
          <w:lang w:eastAsia="es-ES" w:bidi="es-ES"/>
        </w:rPr>
      </w:pPr>
    </w:p>
    <w:p w14:paraId="10F1B624" w14:textId="77777777" w:rsidR="00345D1A" w:rsidRPr="00E97A27" w:rsidRDefault="00345D1A" w:rsidP="00345D1A">
      <w:pPr>
        <w:widowControl w:val="0"/>
        <w:autoSpaceDE w:val="0"/>
        <w:autoSpaceDN w:val="0"/>
        <w:spacing w:after="0" w:line="276" w:lineRule="auto"/>
        <w:jc w:val="both"/>
        <w:rPr>
          <w:rFonts w:ascii="Verdana" w:eastAsia="Arial" w:hAnsi="Verdana" w:cs="Arial"/>
          <w:color w:val="000000" w:themeColor="text1"/>
          <w:lang w:eastAsia="es-ES" w:bidi="es-ES"/>
        </w:rPr>
      </w:pPr>
      <w:proofErr w:type="spellStart"/>
      <w:r>
        <w:rPr>
          <w:rFonts w:ascii="Verdana" w:eastAsia="Arial" w:hAnsi="Verdana" w:cs="Arial"/>
          <w:color w:val="000000" w:themeColor="text1"/>
          <w:lang w:val="es-ES" w:eastAsia="es-ES" w:bidi="es-ES"/>
        </w:rPr>
        <w:t>vii</w:t>
      </w:r>
      <w:proofErr w:type="spellEnd"/>
      <w:r>
        <w:rPr>
          <w:rFonts w:ascii="Verdana" w:eastAsia="Arial" w:hAnsi="Verdana" w:cs="Arial"/>
          <w:color w:val="000000" w:themeColor="text1"/>
          <w:lang w:val="es-ES" w:eastAsia="es-ES" w:bidi="es-ES"/>
        </w:rPr>
        <w:t xml:space="preserve">. </w:t>
      </w:r>
      <w:r w:rsidRPr="00E97A27">
        <w:rPr>
          <w:rFonts w:ascii="Verdana" w:eastAsia="Arial" w:hAnsi="Verdana" w:cs="Arial"/>
          <w:color w:val="000000" w:themeColor="text1"/>
          <w:lang w:val="es-ES" w:eastAsia="es-ES" w:bidi="es-ES"/>
        </w:rPr>
        <w:t>En sentencias recientes el Consejo de Estado ha morigerado la postura anterior en relación con la oportunidad de la reclamación, en la medida en que, si bien es importante considerar el principio de buena fe al momento de suscribir los acuerdos entre las partes, se resalta la necesidad de analizar</w:t>
      </w:r>
      <w:r w:rsidRPr="00E97A27">
        <w:rPr>
          <w:rFonts w:ascii="Verdana" w:eastAsia="Arial" w:hAnsi="Verdana" w:cs="Arial"/>
          <w:color w:val="000000" w:themeColor="text1"/>
          <w:lang w:eastAsia="es-ES" w:bidi="es-ES"/>
        </w:rPr>
        <w:t xml:space="preserve"> cada caso el contenido del respectivo acuerdo y de sus antecedentes, para determinar el alcance de los otrosíes o de las actas de suspensión correspondientes</w:t>
      </w:r>
      <w:r w:rsidRPr="00E97A27">
        <w:rPr>
          <w:rStyle w:val="Refdenotaalpie"/>
          <w:rFonts w:ascii="Verdana" w:eastAsia="Arial" w:hAnsi="Verdana" w:cs="Arial"/>
          <w:color w:val="000000" w:themeColor="text1"/>
          <w:lang w:eastAsia="es-ES" w:bidi="es-ES"/>
        </w:rPr>
        <w:footnoteReference w:id="15"/>
      </w:r>
      <w:r w:rsidRPr="00E97A27">
        <w:rPr>
          <w:rFonts w:ascii="Verdana" w:eastAsia="Arial" w:hAnsi="Verdana" w:cs="Arial"/>
          <w:color w:val="000000" w:themeColor="text1"/>
          <w:lang w:eastAsia="es-ES" w:bidi="es-ES"/>
        </w:rPr>
        <w:t xml:space="preserve">. En tal sentido, con base en esta posición se considera que la inexistencia de una salvedad en la prórroga o suspensión o cualquier acuerdo de voluntades que se efectúe por las partes no es suficiente para determinar la improcedencia de la reclamación, ya que es necesario revisar los antecedentes y los hechos que justificaron dicho acuerdo. Esto se fundamente en que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la denegatoria de tales pretensiones, es el hecho de que el acuerdo suscrito haya servido, precisamente, para solventar situaciones que se hayan presentado durante la ejecución del contrato, por lo que no se entendería que, de considerar que subsistía un perjuicio para el contratista derivado</w:t>
      </w:r>
      <w:r w:rsidRPr="00E97A27">
        <w:rPr>
          <w:rFonts w:ascii="Verdana" w:hAnsi="Verdana" w:cs="Arial"/>
        </w:rPr>
        <w:t xml:space="preserve"> </w:t>
      </w:r>
      <w:r w:rsidRPr="00E97A27">
        <w:rPr>
          <w:rFonts w:ascii="Verdana" w:eastAsia="Arial" w:hAnsi="Verdana" w:cs="Arial"/>
          <w:color w:val="000000" w:themeColor="text1"/>
          <w:lang w:eastAsia="es-ES" w:bidi="es-ES"/>
        </w:rPr>
        <w:t>de tales situaciones, haya concurrido a suscribirlo, sin dejar alguna manifestación sobre la insuficiencia de ese acuerdo para satisfacer sus reclamaciones</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w:t>
      </w:r>
    </w:p>
    <w:p w14:paraId="23E53D13" w14:textId="77777777" w:rsidR="00345D1A" w:rsidRPr="00E97A27" w:rsidRDefault="00345D1A" w:rsidP="00345D1A">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lastRenderedPageBreak/>
        <w:t xml:space="preserve">Bajo estas consideraciones y más allá de las distintas posturas que se han generado al interior del Consejo de Estado en torno a la oportunidad de la reclamación del restablecimiento del equilibrio económico del contrato, lo relevante de lo expuesto, para efectos de la consulta, es que este restablecimiento podrá realizarlo directamente la Administración durante la ejecución del contrato adoptando las medidas necesarias que aseguren la efectividad de los pagos y reconocimientos al contratista que haya lugar. Estas medidas podrán materializarse a través de los distintos acuerdos que suscriban las partes como prórrogas, adiciones, otrosíes o cualquier acuerdo modificatorio que se considere necesarios para solventar el desequilibrio del contrato de acuerdo con las particularidades de cada caso. Igualmente, podrá efectuarse dicho reconocimiento por parte del juez mediante el ejercicio de la acción judicial correspondiente. </w:t>
      </w:r>
    </w:p>
    <w:p w14:paraId="2C64CC02" w14:textId="77777777" w:rsidR="00345D1A" w:rsidRPr="00E97A27" w:rsidRDefault="00345D1A" w:rsidP="00345D1A">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Ello encuentra sustento legal en los artículos 4.8, 5.1 y 27 de la Ley 80 de 1993, que, como se explicó, imponen el deber a la entidad de adoptar las medidas necesarias para mantener durante el desarrollo y ejecución del contrato las condiciones técnicas, económicas y financieras existentes al momento de su celebración y restablecer la ecuación financiera del contrato cuando a ello haya lugar. Para estos efectos, le corresponde a la entidad realizar un análisis detallado del asunto, revisar su procedencia, verificar las circunstancias fácticas y jurídicas que fundamente dicho restablecimiento y las limitaciones legales sobre el particular, de manera que mediante los acuerdos que se celebren se autorregulen los intereses de las partes.</w:t>
      </w:r>
    </w:p>
    <w:p w14:paraId="31F334DB" w14:textId="77777777" w:rsidR="00345D1A" w:rsidRPr="00E97A27" w:rsidRDefault="00345D1A" w:rsidP="00345D1A">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Aunado a lo expuesto, la jurisprudencia resalta que la posibilidad de modificar los contratos estatales es una especial forma de hacer prevalecer la finalidad de este, en particular en aquellos contratos de largo plazo, como el de obra, en los que es difícil prever todas las contingencias que puedan afectar su ejecución. De esta manera, la Administración podrá variar, dadas ciertas condiciones, algunos aspectos del contrato cuando sea necesario para el cumplimiento del objeto y de los fines generales del Estado, por lo que</w:t>
      </w:r>
      <w:r w:rsidRPr="00E97A27">
        <w:rPr>
          <w:rFonts w:ascii="Verdana" w:eastAsia="Arial" w:hAnsi="Verdana" w:cs="Arial"/>
          <w:lang w:val="es-ES" w:eastAsia="es-ES" w:bidi="es-ES"/>
        </w:rPr>
        <w:t xml:space="preserve"> es </w:t>
      </w:r>
      <w:r>
        <w:rPr>
          <w:rFonts w:ascii="Verdana" w:eastAsia="Arial" w:hAnsi="Verdana" w:cs="Arial"/>
          <w:color w:val="000000" w:themeColor="text1"/>
          <w:lang w:val="es-MX" w:eastAsia="es-ES" w:bidi="es-ES"/>
        </w:rPr>
        <w:t>“</w:t>
      </w:r>
      <w:r w:rsidRPr="00E97A27">
        <w:rPr>
          <w:rFonts w:ascii="Verdana" w:eastAsia="Arial" w:hAnsi="Verdana" w:cs="Arial"/>
          <w:lang w:val="es-ES" w:eastAsia="es-ES" w:bidi="es-ES"/>
        </w:rPr>
        <w:t>preciso entonces el diseño de reglas que permitan la adaptación y la resolución pacífica de las controversias para evitar el fracaso</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16"/>
      </w:r>
      <w:r w:rsidRPr="00E97A27">
        <w:rPr>
          <w:rFonts w:ascii="Verdana" w:eastAsia="Arial" w:hAnsi="Verdana" w:cs="Arial"/>
          <w:lang w:val="es-ES" w:eastAsia="es-ES" w:bidi="es-ES"/>
        </w:rPr>
        <w:t>.</w:t>
      </w:r>
      <w:r w:rsidRPr="00E97A27">
        <w:rPr>
          <w:rFonts w:ascii="Verdana" w:eastAsia="Arial" w:hAnsi="Verdana" w:cs="Arial"/>
          <w:sz w:val="21"/>
          <w:szCs w:val="21"/>
          <w:lang w:val="es-ES" w:eastAsia="es-ES" w:bidi="es-ES"/>
        </w:rPr>
        <w:t xml:space="preserve"> </w:t>
      </w:r>
    </w:p>
    <w:p w14:paraId="5A3F7E03" w14:textId="77777777" w:rsidR="00345D1A" w:rsidRDefault="00345D1A" w:rsidP="00345D1A">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En armonía con lo anterior, la doctrina ha señalado que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val="es-ES" w:eastAsia="es-ES" w:bidi="es-ES"/>
        </w:rPr>
        <w:t xml:space="preserve">durante la </w:t>
      </w:r>
      <w:r w:rsidRPr="00E97A27">
        <w:rPr>
          <w:rFonts w:ascii="Verdana" w:eastAsia="Arial" w:hAnsi="Verdana" w:cs="Arial"/>
          <w:color w:val="000000" w:themeColor="text1"/>
          <w:lang w:val="es-ES" w:eastAsia="es-ES" w:bidi="es-ES"/>
        </w:rPr>
        <w:lastRenderedPageBreak/>
        <w:t xml:space="preserve">vigencia del contrato, esto es, el periodo que comprende el interregno que va desde el perfeccionamiento del contrato (acuerdo sobre el objeto y la contraprestación elevado a escrito al tenor del art. 41 </w:t>
      </w:r>
      <w:proofErr w:type="spellStart"/>
      <w:r w:rsidRPr="00E97A27">
        <w:rPr>
          <w:rFonts w:ascii="Verdana" w:eastAsia="Arial" w:hAnsi="Verdana" w:cs="Arial"/>
          <w:color w:val="000000" w:themeColor="text1"/>
          <w:lang w:val="es-ES" w:eastAsia="es-ES" w:bidi="es-ES"/>
        </w:rPr>
        <w:t>inc</w:t>
      </w:r>
      <w:proofErr w:type="spellEnd"/>
      <w:r w:rsidRPr="00E97A27">
        <w:rPr>
          <w:rFonts w:ascii="Verdana" w:eastAsia="Arial" w:hAnsi="Verdana" w:cs="Arial"/>
          <w:color w:val="000000" w:themeColor="text1"/>
          <w:lang w:val="es-ES" w:eastAsia="es-ES" w:bidi="es-ES"/>
        </w:rPr>
        <w:t xml:space="preserve"> 1° de la Ley 80 de 1993) hasta su liquidación, los contratantes tienen la potestad de pactar lo que consideren necesario a efectos de reequilibrar la ecuación contractual, por ejemplo, pueden ajustar la cuantía, las condiciones de ejecución, las formas de pago, los costos financieros y los interés, en el evento en que los haya</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ES" w:eastAsia="es-ES" w:bidi="es-ES"/>
        </w:rPr>
        <w:footnoteReference w:id="17"/>
      </w:r>
      <w:r w:rsidRPr="00E97A27">
        <w:rPr>
          <w:rFonts w:ascii="Verdana" w:eastAsia="Arial" w:hAnsi="Verdana" w:cs="Arial"/>
          <w:color w:val="000000" w:themeColor="text1"/>
          <w:lang w:val="es-ES" w:eastAsia="es-ES" w:bidi="es-ES"/>
        </w:rPr>
        <w:t>.</w:t>
      </w:r>
    </w:p>
    <w:p w14:paraId="50D22BBB" w14:textId="77777777" w:rsidR="00345D1A" w:rsidRDefault="00345D1A" w:rsidP="00345D1A">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Así la cosas, con fundamento en el EGCAP, en la jurisprudencia y en la doctrina puede concluir</w:t>
      </w:r>
      <w:r>
        <w:rPr>
          <w:rFonts w:ascii="Verdana" w:eastAsia="Arial" w:hAnsi="Verdana" w:cs="Arial"/>
          <w:color w:val="000000" w:themeColor="text1"/>
          <w:lang w:val="es-ES" w:eastAsia="es-ES" w:bidi="es-ES"/>
        </w:rPr>
        <w:t>se</w:t>
      </w:r>
      <w:r w:rsidRPr="00E97A27">
        <w:rPr>
          <w:rFonts w:ascii="Verdana" w:eastAsia="Arial" w:hAnsi="Verdana" w:cs="Arial"/>
          <w:color w:val="000000" w:themeColor="text1"/>
          <w:lang w:val="es-ES" w:eastAsia="es-ES" w:bidi="es-ES"/>
        </w:rPr>
        <w:t xml:space="preserve"> que cuando se presenten situaciones que generen el desequilibrio económico del contrato, previa revisión de su procedencia, conforme el análisis del caso concreto, la entidad deberá adoptar las medidas correspondientes para su restablecimiento, si a ello hay lugar, para lo cual tiene la potestad de suscribir los acuerdos necesarios sobre cuantía, condiciones, forma de pago, etc. </w:t>
      </w:r>
    </w:p>
    <w:p w14:paraId="29E47B54" w14:textId="77777777" w:rsidR="00345D1A" w:rsidRDefault="00345D1A" w:rsidP="00345D1A">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p>
    <w:p w14:paraId="3D5C098D" w14:textId="77777777" w:rsidR="00345D1A"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roofErr w:type="spellStart"/>
      <w:r>
        <w:rPr>
          <w:rFonts w:ascii="Verdana" w:eastAsia="Arial" w:hAnsi="Verdana" w:cs="Arial"/>
          <w:color w:val="000000" w:themeColor="text1"/>
          <w:lang w:val="es-ES" w:eastAsia="es-ES" w:bidi="es-ES"/>
        </w:rPr>
        <w:t>viii</w:t>
      </w:r>
      <w:proofErr w:type="spellEnd"/>
      <w:r>
        <w:rPr>
          <w:rFonts w:ascii="Verdana" w:eastAsia="Arial" w:hAnsi="Verdana" w:cs="Arial"/>
          <w:color w:val="000000" w:themeColor="text1"/>
          <w:lang w:val="es-ES" w:eastAsia="es-ES" w:bidi="es-ES"/>
        </w:rPr>
        <w:t xml:space="preserve">. </w:t>
      </w:r>
      <w:r>
        <w:rPr>
          <w:rFonts w:ascii="Verdana" w:eastAsia="Times New Roman" w:hAnsi="Verdana" w:cs="Arial"/>
          <w:color w:val="000000"/>
          <w:bdr w:val="none" w:sz="0" w:space="0" w:color="auto" w:frame="1"/>
          <w:shd w:val="clear" w:color="auto" w:fill="FFFFFF"/>
          <w:lang w:eastAsia="es-ES_tradnl"/>
        </w:rPr>
        <w:t>R</w:t>
      </w:r>
      <w:r w:rsidRPr="004474BA">
        <w:rPr>
          <w:rFonts w:ascii="Verdana" w:eastAsia="Times New Roman" w:hAnsi="Verdana" w:cs="Arial"/>
          <w:color w:val="000000"/>
          <w:bdr w:val="none" w:sz="0" w:space="0" w:color="auto" w:frame="1"/>
          <w:shd w:val="clear" w:color="auto" w:fill="FFFFFF"/>
          <w:lang w:eastAsia="es-ES_tradnl"/>
        </w:rPr>
        <w:t>especto al contenido de la liquidación</w:t>
      </w:r>
      <w:r>
        <w:rPr>
          <w:rFonts w:ascii="Verdana" w:eastAsia="Times New Roman" w:hAnsi="Verdana" w:cs="Arial"/>
          <w:color w:val="000000"/>
          <w:bdr w:val="none" w:sz="0" w:space="0" w:color="auto" w:frame="1"/>
          <w:shd w:val="clear" w:color="auto" w:fill="FFFFFF"/>
          <w:lang w:eastAsia="es-ES_tradnl"/>
        </w:rPr>
        <w:t xml:space="preserve">, conforme a los incisos segundo y tercero del artículo 60 del EGCAP, “[…] </w:t>
      </w:r>
      <w:r w:rsidRPr="00D118AB">
        <w:rPr>
          <w:rFonts w:ascii="Verdana" w:eastAsia="Times New Roman" w:hAnsi="Verdana" w:cs="Arial"/>
          <w:color w:val="000000"/>
          <w:bdr w:val="none" w:sz="0" w:space="0" w:color="auto" w:frame="1"/>
          <w:shd w:val="clear" w:color="auto" w:fill="FFFFFF"/>
          <w:lang w:eastAsia="es-ES_tradnl"/>
        </w:rPr>
        <w:t>las partes acordarán los ajustes, revisiones y reconocimientos a que haya lugar</w:t>
      </w:r>
      <w:r>
        <w:rPr>
          <w:rFonts w:ascii="Verdana" w:eastAsia="Times New Roman" w:hAnsi="Verdana" w:cs="Arial"/>
          <w:color w:val="000000"/>
          <w:bdr w:val="none" w:sz="0" w:space="0" w:color="auto" w:frame="1"/>
          <w:shd w:val="clear" w:color="auto" w:fill="FFFFFF"/>
          <w:lang w:eastAsia="es-ES_tradnl"/>
        </w:rPr>
        <w:t xml:space="preserve">” y en ella “[…] </w:t>
      </w:r>
      <w:r w:rsidRPr="00D118AB">
        <w:rPr>
          <w:rFonts w:ascii="Verdana" w:eastAsia="Times New Roman" w:hAnsi="Verdana" w:cs="Arial"/>
          <w:color w:val="000000"/>
          <w:bdr w:val="none" w:sz="0" w:space="0" w:color="auto" w:frame="1"/>
          <w:shd w:val="clear" w:color="auto" w:fill="FFFFFF"/>
          <w:lang w:eastAsia="es-ES_tradnl"/>
        </w:rPr>
        <w:t>constarán los acuerdos, conciliaciones y transacciones a que llegaren las partes para poner fin a las divergencias presentadas y poder declararse a paz y salvo</w:t>
      </w:r>
      <w:r>
        <w:rPr>
          <w:rFonts w:ascii="Verdana" w:eastAsia="Times New Roman" w:hAnsi="Verdana" w:cs="Arial"/>
          <w:color w:val="000000"/>
          <w:bdr w:val="none" w:sz="0" w:space="0" w:color="auto" w:frame="1"/>
          <w:shd w:val="clear" w:color="auto" w:fill="FFFFFF"/>
          <w:lang w:eastAsia="es-ES_tradnl"/>
        </w:rPr>
        <w:t>”</w:t>
      </w:r>
      <w:r w:rsidRPr="00D118AB">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Esto hace que la liquidación no sólo sea un mecanismo alternativo de solución de conflictos, sino también un medio para resolver asuntos relacionados con el desequilibrio económico del contrato. Sobre esta última faceta, la doctrina explica que la norma en comento consagra una posibilidad para que las entidades públicas garanticen el equilibrio económico si éste resultó afectado en la ejecución del negocio jurídico, así que la liquidación es el momento oportuno para resolver las diferencias existentes. De esta manera: </w:t>
      </w:r>
    </w:p>
    <w:p w14:paraId="0EE73D5E" w14:textId="77777777" w:rsidR="00345D1A"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5829FC24" w14:textId="77777777" w:rsidR="00345D1A" w:rsidRPr="00AA6517" w:rsidRDefault="00345D1A" w:rsidP="00345D1A">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A6517">
        <w:rPr>
          <w:rFonts w:ascii="Verdana" w:eastAsia="Times New Roman" w:hAnsi="Verdana" w:cs="Arial"/>
          <w:color w:val="000000"/>
          <w:sz w:val="20"/>
          <w:szCs w:val="20"/>
          <w:bdr w:val="none" w:sz="0" w:space="0" w:color="auto" w:frame="1"/>
          <w:shd w:val="clear" w:color="auto" w:fill="FFFFFF"/>
          <w:lang w:eastAsia="es-ES_tradnl"/>
        </w:rPr>
        <w:t xml:space="preserve">“A través de la liquidación de los contratos se busca en especial establecer el equilibrio final en las relaciones suscitadas entre la entidad estatal y el contratista, con el objeto de dejar niveladas las prestaciones y derechos surgidos del negocio jurídico. En este sentido, el principio de la conmutatividad, entendido como la equivalencia obvia que debe existir entre lo que se da o hace por una parte y lo que se recibe por la otra, se torna en regla vinculante e imperativa, que debe ser restablecida al final </w:t>
      </w:r>
      <w:r w:rsidRPr="00AA6517">
        <w:rPr>
          <w:rFonts w:ascii="Verdana" w:eastAsia="Times New Roman" w:hAnsi="Verdana" w:cs="Arial"/>
          <w:color w:val="000000"/>
          <w:sz w:val="20"/>
          <w:szCs w:val="20"/>
          <w:bdr w:val="none" w:sz="0" w:space="0" w:color="auto" w:frame="1"/>
          <w:shd w:val="clear" w:color="auto" w:fill="FFFFFF"/>
          <w:lang w:eastAsia="es-ES_tradnl"/>
        </w:rPr>
        <w:lastRenderedPageBreak/>
        <w:t>de la relación jurídica, con el propósito de que el negocio finalmente sea equivalente entre las partes”</w:t>
      </w:r>
      <w:r w:rsidRPr="00AA6517">
        <w:rPr>
          <w:rStyle w:val="Refdenotaalpie"/>
          <w:rFonts w:ascii="Verdana" w:eastAsia="Times New Roman" w:hAnsi="Verdana" w:cs="Arial"/>
          <w:color w:val="000000"/>
          <w:sz w:val="20"/>
          <w:szCs w:val="20"/>
          <w:bdr w:val="none" w:sz="0" w:space="0" w:color="auto" w:frame="1"/>
          <w:shd w:val="clear" w:color="auto" w:fill="FFFFFF"/>
          <w:lang w:eastAsia="es-ES_tradnl"/>
        </w:rPr>
        <w:footnoteReference w:id="18"/>
      </w:r>
      <w:r w:rsidRPr="00AA6517">
        <w:rPr>
          <w:rFonts w:ascii="Verdana" w:eastAsia="Times New Roman" w:hAnsi="Verdana" w:cs="Arial"/>
          <w:color w:val="000000"/>
          <w:sz w:val="20"/>
          <w:szCs w:val="20"/>
          <w:bdr w:val="none" w:sz="0" w:space="0" w:color="auto" w:frame="1"/>
          <w:shd w:val="clear" w:color="auto" w:fill="FFFFFF"/>
          <w:lang w:eastAsia="es-ES_tradnl"/>
        </w:rPr>
        <w:t xml:space="preserve">. </w:t>
      </w:r>
    </w:p>
    <w:p w14:paraId="5DBAC55F" w14:textId="77777777" w:rsidR="00345D1A"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6132B49D" w14:textId="77777777" w:rsidR="00345D1A"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ab/>
        <w:t xml:space="preserve">De acuerdo con la Sentencia de Unificación del 19 de noviembre de 2012 de la Sala Plena del Consejo de Estado, </w:t>
      </w:r>
      <w:r>
        <w:rPr>
          <w:rFonts w:ascii="Verdana" w:eastAsia="Times New Roman" w:hAnsi="Verdana" w:cs="Arial"/>
          <w:i/>
          <w:iCs/>
          <w:color w:val="000000"/>
          <w:bdr w:val="none" w:sz="0" w:space="0" w:color="auto" w:frame="1"/>
          <w:shd w:val="clear" w:color="auto" w:fill="FFFFFF"/>
          <w:lang w:eastAsia="es-ES_tradnl"/>
        </w:rPr>
        <w:t>por regla general,</w:t>
      </w:r>
      <w:r>
        <w:rPr>
          <w:rFonts w:ascii="Verdana" w:eastAsia="Times New Roman" w:hAnsi="Verdana" w:cs="Arial"/>
          <w:color w:val="000000"/>
          <w:bdr w:val="none" w:sz="0" w:space="0" w:color="auto" w:frame="1"/>
          <w:shd w:val="clear" w:color="auto" w:fill="FFFFFF"/>
          <w:lang w:eastAsia="es-ES_tradnl"/>
        </w:rPr>
        <w:t xml:space="preserve"> no es posible solicitar reconocimientos económicos por la ejecución de obras extras o adicionales, sin la previa suscripción de un contrato adicional que las justifique. Esto en la medida que los artículos 39 y 41 del EGCAP disponen que los contratos estatales son solemnes y, por tanto, requieren formalidad escrita, salvo que se presente una situación de urgencia manifiesta. Dentro de esta línea:</w:t>
      </w:r>
    </w:p>
    <w:p w14:paraId="7147C279" w14:textId="77777777" w:rsidR="00345D1A"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68FC9B2F" w14:textId="77777777" w:rsidR="00345D1A" w:rsidRPr="00AA6517" w:rsidRDefault="00345D1A" w:rsidP="00345D1A">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A6517">
        <w:rPr>
          <w:rFonts w:ascii="Verdana" w:eastAsia="Times New Roman" w:hAnsi="Verdana" w:cs="Arial"/>
          <w:color w:val="000000"/>
          <w:sz w:val="20"/>
          <w:szCs w:val="20"/>
          <w:bdr w:val="none" w:sz="0" w:space="0" w:color="auto" w:frame="1"/>
          <w:shd w:val="clear" w:color="auto" w:fill="FFFFFF"/>
          <w:lang w:eastAsia="es-ES_tradnl"/>
        </w:rPr>
        <w:t>“EL E.C. establece que en el acta de liquidación del contrato podrán efectuarse las transacciones a las que hubiere lugar. Se trata de un mecanismo de solucionar eventuales conflictos de orden contractual, por esto, no se podrán incorporar reconocimientos que se han causado y que resulten ajenos a las obligaciones contractuales y legales. Aquellas actividades ejecutadas por el contratista que no se desprendan o se encuentren incorporadas en el contrato, no podrán ser reconocidas en el acta de liquidación. Esto no significa que a la entidad se le cierre la posibilidad de solucionar directamente el conflicto, pero, podrá precaverlo, suscribiendo un contrato de transacción con las formalidades establecidas en nuestro ordenamiento”</w:t>
      </w:r>
      <w:r w:rsidRPr="00AA6517">
        <w:rPr>
          <w:rStyle w:val="Refdenotaalpie"/>
          <w:rFonts w:ascii="Verdana" w:eastAsia="Times New Roman" w:hAnsi="Verdana" w:cs="Arial"/>
          <w:color w:val="000000"/>
          <w:sz w:val="20"/>
          <w:szCs w:val="20"/>
          <w:bdr w:val="none" w:sz="0" w:space="0" w:color="auto" w:frame="1"/>
          <w:shd w:val="clear" w:color="auto" w:fill="FFFFFF"/>
          <w:lang w:eastAsia="es-ES_tradnl"/>
        </w:rPr>
        <w:footnoteReference w:id="19"/>
      </w:r>
      <w:r w:rsidRPr="00AA6517">
        <w:rPr>
          <w:rFonts w:ascii="Verdana" w:eastAsia="Times New Roman" w:hAnsi="Verdana" w:cs="Arial"/>
          <w:color w:val="000000"/>
          <w:sz w:val="20"/>
          <w:szCs w:val="20"/>
          <w:bdr w:val="none" w:sz="0" w:space="0" w:color="auto" w:frame="1"/>
          <w:shd w:val="clear" w:color="auto" w:fill="FFFFFF"/>
          <w:lang w:eastAsia="es-ES_tradnl"/>
        </w:rPr>
        <w:t xml:space="preserve">.  </w:t>
      </w:r>
    </w:p>
    <w:p w14:paraId="3DDA4440" w14:textId="77777777" w:rsidR="00345D1A" w:rsidRPr="00A04C35"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79790D7C" w14:textId="77777777" w:rsidR="00345D1A"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r>
      <w:r w:rsidRPr="00A04C35">
        <w:rPr>
          <w:rFonts w:ascii="Verdana" w:eastAsia="Times New Roman" w:hAnsi="Verdana" w:cs="Arial"/>
          <w:i/>
          <w:iCs/>
          <w:color w:val="000000"/>
          <w:bdr w:val="none" w:sz="0" w:space="0" w:color="auto" w:frame="1"/>
          <w:shd w:val="clear" w:color="auto" w:fill="FFFFFF"/>
          <w:lang w:eastAsia="es-ES_tradnl"/>
        </w:rPr>
        <w:t>Excepcionalmente</w:t>
      </w:r>
      <w:r w:rsidRPr="00A04C35">
        <w:rPr>
          <w:rFonts w:ascii="Verdana" w:eastAsia="Times New Roman" w:hAnsi="Verdana" w:cs="Arial"/>
          <w:color w:val="000000"/>
          <w:bdr w:val="none" w:sz="0" w:space="0" w:color="auto" w:frame="1"/>
          <w:shd w:val="clear" w:color="auto" w:fill="FFFFFF"/>
          <w:lang w:eastAsia="es-ES_tradnl"/>
        </w:rPr>
        <w:t xml:space="preserve">, la jurisprudencia citada admitió la posibilidad de reconocer al contratista la ejecución de obras extras o adicionales en tres (3) eventos de interpretación restrictiva: i) cuando existe prueba fehaciente de que la ejecución de obras o servicios extras o adicionales o el suministro de bienes, por fuera del objeto contractual, se haya realizado por la imposición de la entidad, en ejercicio de su autoridad; </w:t>
      </w:r>
      <w:proofErr w:type="spellStart"/>
      <w:r w:rsidRPr="00A04C35">
        <w:rPr>
          <w:rFonts w:ascii="Verdana" w:eastAsia="Times New Roman" w:hAnsi="Verdana" w:cs="Arial"/>
          <w:color w:val="000000"/>
          <w:bdr w:val="none" w:sz="0" w:space="0" w:color="auto" w:frame="1"/>
          <w:shd w:val="clear" w:color="auto" w:fill="FFFFFF"/>
          <w:lang w:eastAsia="es-ES_tradnl"/>
        </w:rPr>
        <w:t>ii</w:t>
      </w:r>
      <w:proofErr w:type="spellEnd"/>
      <w:r w:rsidRPr="00A04C35">
        <w:rPr>
          <w:rFonts w:ascii="Verdana" w:eastAsia="Times New Roman" w:hAnsi="Verdana" w:cs="Arial"/>
          <w:color w:val="000000"/>
          <w:bdr w:val="none" w:sz="0" w:space="0" w:color="auto" w:frame="1"/>
          <w:shd w:val="clear" w:color="auto" w:fill="FFFFFF"/>
          <w:lang w:eastAsia="es-ES_tradnl"/>
        </w:rPr>
        <w:t xml:space="preserve">) que fueran urgentes para evitar una lesión inminente e irreversible al derecho a la salud; y </w:t>
      </w:r>
      <w:proofErr w:type="spellStart"/>
      <w:r w:rsidRPr="00A04C35">
        <w:rPr>
          <w:rFonts w:ascii="Verdana" w:eastAsia="Times New Roman" w:hAnsi="Verdana" w:cs="Arial"/>
          <w:color w:val="000000"/>
          <w:bdr w:val="none" w:sz="0" w:space="0" w:color="auto" w:frame="1"/>
          <w:shd w:val="clear" w:color="auto" w:fill="FFFFFF"/>
          <w:lang w:eastAsia="es-ES_tradnl"/>
        </w:rPr>
        <w:t>iii</w:t>
      </w:r>
      <w:proofErr w:type="spellEnd"/>
      <w:r w:rsidRPr="00A04C35">
        <w:rPr>
          <w:rFonts w:ascii="Verdana" w:eastAsia="Times New Roman" w:hAnsi="Verdana" w:cs="Arial"/>
          <w:color w:val="000000"/>
          <w:bdr w:val="none" w:sz="0" w:space="0" w:color="auto" w:frame="1"/>
          <w:shd w:val="clear" w:color="auto" w:fill="FFFFFF"/>
          <w:lang w:eastAsia="es-ES_tradnl"/>
        </w:rPr>
        <w:t>) cuando se omite el decreto de la urgencia manifiesta y concurren las circunstancias para que ésta hubiera sido declarada</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20"/>
      </w:r>
      <w:r w:rsidRPr="00A04C35">
        <w:rPr>
          <w:rFonts w:ascii="Verdana" w:eastAsia="Times New Roman" w:hAnsi="Verdana" w:cs="Arial"/>
          <w:color w:val="000000"/>
          <w:bdr w:val="none" w:sz="0" w:space="0" w:color="auto" w:frame="1"/>
          <w:shd w:val="clear" w:color="auto" w:fill="FFFFFF"/>
          <w:lang w:eastAsia="es-ES_tradnl"/>
        </w:rPr>
        <w:t xml:space="preserve">.  </w:t>
      </w:r>
    </w:p>
    <w:p w14:paraId="34073DC4" w14:textId="77777777" w:rsidR="00345D1A" w:rsidRPr="00A04C35"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14D95B74" w14:textId="77777777" w:rsidR="00345D1A" w:rsidRPr="00A04C35"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roofErr w:type="spellStart"/>
      <w:r>
        <w:rPr>
          <w:rFonts w:ascii="Verdana" w:eastAsia="Times New Roman" w:hAnsi="Verdana" w:cs="Arial"/>
          <w:color w:val="000000"/>
          <w:bdr w:val="none" w:sz="0" w:space="0" w:color="auto" w:frame="1"/>
          <w:shd w:val="clear" w:color="auto" w:fill="FFFFFF"/>
          <w:lang w:eastAsia="es-ES_tradnl"/>
        </w:rPr>
        <w:lastRenderedPageBreak/>
        <w:t>ix</w:t>
      </w:r>
      <w:proofErr w:type="spellEnd"/>
      <w:r>
        <w:rPr>
          <w:rFonts w:ascii="Verdana" w:eastAsia="Times New Roman" w:hAnsi="Verdana" w:cs="Arial"/>
          <w:color w:val="000000"/>
          <w:bdr w:val="none" w:sz="0" w:space="0" w:color="auto" w:frame="1"/>
          <w:shd w:val="clear" w:color="auto" w:fill="FFFFFF"/>
          <w:lang w:eastAsia="es-ES_tradnl"/>
        </w:rPr>
        <w:t xml:space="preserve">. </w:t>
      </w:r>
      <w:r w:rsidRPr="00A04C35">
        <w:rPr>
          <w:rFonts w:ascii="Verdana" w:eastAsia="Times New Roman" w:hAnsi="Verdana" w:cs="Arial"/>
          <w:color w:val="000000"/>
          <w:bdr w:val="none" w:sz="0" w:space="0" w:color="auto" w:frame="1"/>
          <w:shd w:val="clear" w:color="auto" w:fill="FFFFFF"/>
          <w:lang w:eastAsia="es-ES_tradnl"/>
        </w:rPr>
        <w:t>En todo caso, esta postura jurisprudencial consolidada cambió con la Sentencia de Unificación del 31 de julio de 2025, en la que se expresó la compensación del enriquecimiento sin justa causa no está condicionado a la subsunción de ciertos hechos que se concuerdan con una lista de hipótesis fácticas previa y taxativamente definidas, sino que corresponde al juez, en virtud de los elementos sustantivos y la revisión el comportamiento de las partes, establecer la viabilidad de ordenar que haya una corrección al traslado patrimonial injustificado por bienes y obras no previstos en el contrato</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21"/>
      </w:r>
      <w:r w:rsidRPr="00A04C35">
        <w:rPr>
          <w:rFonts w:ascii="Verdana" w:eastAsia="Times New Roman" w:hAnsi="Verdana" w:cs="Arial"/>
          <w:color w:val="000000"/>
          <w:bdr w:val="none" w:sz="0" w:space="0" w:color="auto" w:frame="1"/>
          <w:shd w:val="clear" w:color="auto" w:fill="FFFFFF"/>
          <w:lang w:eastAsia="es-ES_tradnl"/>
        </w:rPr>
        <w:t xml:space="preserve">. Dicho reconocimiento está supeditado a que la parte interesada demuestre la concurrencia de los siguientes elementos: </w:t>
      </w:r>
    </w:p>
    <w:p w14:paraId="71961D0C" w14:textId="77777777" w:rsidR="00345D1A" w:rsidRPr="00A04C35"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26E54022" w14:textId="77777777" w:rsidR="00345D1A" w:rsidRPr="00A04C35" w:rsidRDefault="00345D1A" w:rsidP="00345D1A">
      <w:pPr>
        <w:tabs>
          <w:tab w:val="left" w:pos="709"/>
        </w:tabs>
        <w:spacing w:after="0" w:line="240" w:lineRule="auto"/>
        <w:ind w:left="709" w:right="709"/>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sz w:val="20"/>
          <w:szCs w:val="20"/>
          <w:bdr w:val="none" w:sz="0" w:space="0" w:color="auto" w:frame="1"/>
          <w:shd w:val="clear" w:color="auto" w:fill="FFFFFF"/>
          <w:lang w:eastAsia="es-ES_tradnl"/>
        </w:rPr>
        <w:t>“Ese reconocimiento, además, está supeditado a que se reúnan los siguientes elementos: (i) la existencia de una ventaja patrimonial en beneficio de la entidad; (</w:t>
      </w:r>
      <w:proofErr w:type="spellStart"/>
      <w:r w:rsidRPr="00A04C35">
        <w:rPr>
          <w:rFonts w:ascii="Verdana" w:eastAsia="Times New Roman" w:hAnsi="Verdana" w:cs="Arial"/>
          <w:color w:val="000000"/>
          <w:sz w:val="20"/>
          <w:szCs w:val="20"/>
          <w:bdr w:val="none" w:sz="0" w:space="0" w:color="auto" w:frame="1"/>
          <w:shd w:val="clear" w:color="auto" w:fill="FFFFFF"/>
          <w:lang w:eastAsia="es-ES_tradnl"/>
        </w:rPr>
        <w:t>ii</w:t>
      </w:r>
      <w:proofErr w:type="spellEnd"/>
      <w:r w:rsidRPr="00A04C35">
        <w:rPr>
          <w:rFonts w:ascii="Verdana" w:eastAsia="Times New Roman" w:hAnsi="Verdana" w:cs="Arial"/>
          <w:color w:val="000000"/>
          <w:sz w:val="20"/>
          <w:szCs w:val="20"/>
          <w:bdr w:val="none" w:sz="0" w:space="0" w:color="auto" w:frame="1"/>
          <w:shd w:val="clear" w:color="auto" w:fill="FFFFFF"/>
          <w:lang w:eastAsia="es-ES_tradnl"/>
        </w:rPr>
        <w:t>) un empobrecimiento correlativo sufrido por el demandante, el cual pueda atribuirse al acrecimiento mencionado; (</w:t>
      </w:r>
      <w:proofErr w:type="spellStart"/>
      <w:r w:rsidRPr="00A04C35">
        <w:rPr>
          <w:rFonts w:ascii="Verdana" w:eastAsia="Times New Roman" w:hAnsi="Verdana" w:cs="Arial"/>
          <w:color w:val="000000"/>
          <w:sz w:val="20"/>
          <w:szCs w:val="20"/>
          <w:bdr w:val="none" w:sz="0" w:space="0" w:color="auto" w:frame="1"/>
          <w:shd w:val="clear" w:color="auto" w:fill="FFFFFF"/>
          <w:lang w:eastAsia="es-ES_tradnl"/>
        </w:rPr>
        <w:t>iii</w:t>
      </w:r>
      <w:proofErr w:type="spellEnd"/>
      <w:r w:rsidRPr="00A04C35">
        <w:rPr>
          <w:rFonts w:ascii="Verdana" w:eastAsia="Times New Roman" w:hAnsi="Verdana" w:cs="Arial"/>
          <w:color w:val="000000"/>
          <w:sz w:val="20"/>
          <w:szCs w:val="20"/>
          <w:bdr w:val="none" w:sz="0" w:space="0" w:color="auto" w:frame="1"/>
          <w:shd w:val="clear" w:color="auto" w:fill="FFFFFF"/>
          <w:lang w:eastAsia="es-ES_tradnl"/>
        </w:rPr>
        <w:t>) la ausencia de causa jurídica en el desequilibrio producido, en cuanto a que no haya sido generada por un hecho o un acto jurídico, como tampoco por una disposición expresa de la ley; (</w:t>
      </w:r>
      <w:proofErr w:type="spellStart"/>
      <w:r w:rsidRPr="00A04C35">
        <w:rPr>
          <w:rFonts w:ascii="Verdana" w:eastAsia="Times New Roman" w:hAnsi="Verdana" w:cs="Arial"/>
          <w:color w:val="000000"/>
          <w:sz w:val="20"/>
          <w:szCs w:val="20"/>
          <w:bdr w:val="none" w:sz="0" w:space="0" w:color="auto" w:frame="1"/>
          <w:shd w:val="clear" w:color="auto" w:fill="FFFFFF"/>
          <w:lang w:eastAsia="es-ES_tradnl"/>
        </w:rPr>
        <w:t>iv</w:t>
      </w:r>
      <w:proofErr w:type="spellEnd"/>
      <w:r w:rsidRPr="00A04C35">
        <w:rPr>
          <w:rFonts w:ascii="Verdana" w:eastAsia="Times New Roman" w:hAnsi="Verdana" w:cs="Arial"/>
          <w:color w:val="000000"/>
          <w:sz w:val="20"/>
          <w:szCs w:val="20"/>
          <w:bdr w:val="none" w:sz="0" w:space="0" w:color="auto" w:frame="1"/>
          <w:shd w:val="clear" w:color="auto" w:fill="FFFFFF"/>
          <w:lang w:eastAsia="es-ES_tradnl"/>
        </w:rPr>
        <w:t>) que el demandante carezca de cualquier otro mecanismo para reclamar la compensación, lo que pone en evidencia su subsidiariedad; y (v) la compensación no procede cuando con ella se pretende soslayar una disposición imperativa de la ley”</w:t>
      </w:r>
      <w:r w:rsidRPr="00A04C35">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22"/>
      </w:r>
      <w:r w:rsidRPr="00A04C35">
        <w:rPr>
          <w:rFonts w:ascii="Verdana" w:eastAsia="Times New Roman" w:hAnsi="Verdana" w:cs="Arial"/>
          <w:color w:val="000000"/>
          <w:sz w:val="20"/>
          <w:szCs w:val="20"/>
          <w:bdr w:val="none" w:sz="0" w:space="0" w:color="auto" w:frame="1"/>
          <w:shd w:val="clear" w:color="auto" w:fill="FFFFFF"/>
          <w:lang w:eastAsia="es-ES_tradnl"/>
        </w:rPr>
        <w:t>.</w:t>
      </w:r>
    </w:p>
    <w:p w14:paraId="43DA2C0C" w14:textId="77777777" w:rsidR="00345D1A" w:rsidRPr="00A04C35"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23D89E14" w14:textId="77777777" w:rsidR="00345D1A" w:rsidRPr="00A04C35"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Teniendo en cuenta los elementos, debe tenerse en cuenta la prueba de la actividad, sumado a la circunstancia excepcional que se invoca. El Consejo de Estado estableció que esta regla sobre el reconocimiento económico debe aplicarse a partir de la ejecutoria de la nueva sentencia de unificación, en aquellas pretensiones de compensación por enriquecimiento sin causa, de forma que no podrá dejarse de conceder lo pedido por el solo hecho de que el caso no se enmarque en los eventos indicados en la Sentencia del 19 de noviembre de 2012</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23"/>
      </w:r>
      <w:r w:rsidRPr="00A04C35">
        <w:rPr>
          <w:rFonts w:ascii="Verdana" w:eastAsia="Times New Roman" w:hAnsi="Verdana" w:cs="Arial"/>
          <w:color w:val="000000"/>
          <w:bdr w:val="none" w:sz="0" w:space="0" w:color="auto" w:frame="1"/>
          <w:shd w:val="clear" w:color="auto" w:fill="FFFFFF"/>
          <w:lang w:eastAsia="es-ES_tradnl"/>
        </w:rPr>
        <w:t xml:space="preserve">. De este modo, dicha Sentencia de Unificación expresa: </w:t>
      </w:r>
    </w:p>
    <w:p w14:paraId="48353750" w14:textId="77777777" w:rsidR="00345D1A" w:rsidRPr="00A04C35"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3C97CDEE" w14:textId="77777777" w:rsidR="00345D1A" w:rsidRPr="00A04C35" w:rsidRDefault="00345D1A" w:rsidP="00345D1A">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04C35">
        <w:rPr>
          <w:rFonts w:ascii="Verdana" w:eastAsia="Times New Roman" w:hAnsi="Verdana" w:cs="Arial"/>
          <w:color w:val="000000"/>
          <w:sz w:val="20"/>
          <w:szCs w:val="20"/>
          <w:bdr w:val="none" w:sz="0" w:space="0" w:color="auto" w:frame="1"/>
          <w:shd w:val="clear" w:color="auto" w:fill="FFFFFF"/>
          <w:lang w:eastAsia="es-ES_tradnl"/>
        </w:rPr>
        <w:t xml:space="preserve">“Sobre lo primero, en torno a la configuración y procedencia del enriquecimiento sin justa causa cuando se han ejecutado actividades sin el respaldo de un contrato, en favor de entidades que -en su gestión- deben aplicar el Estatuto General de Contratación Pública, se decantó que la respectiva pretensión de compensación, cuando se carezca de otro </w:t>
      </w:r>
      <w:r w:rsidRPr="00A04C35">
        <w:rPr>
          <w:rFonts w:ascii="Verdana" w:eastAsia="Times New Roman" w:hAnsi="Verdana" w:cs="Arial"/>
          <w:color w:val="000000"/>
          <w:sz w:val="20"/>
          <w:szCs w:val="20"/>
          <w:bdr w:val="none" w:sz="0" w:space="0" w:color="auto" w:frame="1"/>
          <w:shd w:val="clear" w:color="auto" w:fill="FFFFFF"/>
          <w:lang w:eastAsia="es-ES_tradnl"/>
        </w:rPr>
        <w:lastRenderedPageBreak/>
        <w:t>mecanismo para reclamar, debe cumplir los presupuestos procesales de la reparación directa (incluso cuando se ha celebrado un contrato cuyo objeto se haya agotado para el momento de la extinción del plazo previsto y ante el desarrollo de actividades con posterioridad a la finalización), sin que sea exigible haber provocado una decisión por parte de la administración y, al satisfacerse, debe ser tramitada, pese a que el demandante mencione otro medio o guarde silencio sobre su denominación. Su prosperidad es absolutamente excepcional, depende de la plena prueba de la actividad desarrollada, sustentada en la demostración de una circunstancia extraordinaria y en razones de interés general, sin que, al respecto, se preestablezcan hipótesis fácticas taxativas; pero, sí se debe supeditar a la existencia de una ventaja patrimonial en beneficio de la demandada, un empobrecimiento correlativo sufrido por el demandante, la ausencia de causa jurídica en el desequilibrio producido y que no se haya soslayado la ley. Cumplido lo anterior, procede corregir el traslado patrimonial injustificado, mas no indemnizar un daño, salvo que el menoscabo emane de una conducta constitutiva de responsabilidad extracontractual del Estado, como una coacción o constreñimiento, que realmente constituyen eventos de falla del servicio”</w:t>
      </w:r>
      <w:r w:rsidRPr="00A04C35">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24"/>
      </w:r>
      <w:r w:rsidRPr="00A04C35">
        <w:rPr>
          <w:rFonts w:ascii="Verdana" w:eastAsia="Times New Roman" w:hAnsi="Verdana" w:cs="Arial"/>
          <w:color w:val="000000"/>
          <w:sz w:val="20"/>
          <w:szCs w:val="20"/>
          <w:bdr w:val="none" w:sz="0" w:space="0" w:color="auto" w:frame="1"/>
          <w:shd w:val="clear" w:color="auto" w:fill="FFFFFF"/>
          <w:lang w:eastAsia="es-ES_tradnl"/>
        </w:rPr>
        <w:t>.</w:t>
      </w:r>
    </w:p>
    <w:p w14:paraId="26C40372" w14:textId="77777777" w:rsidR="00345D1A" w:rsidRPr="00A04C35" w:rsidRDefault="00345D1A" w:rsidP="00345D1A">
      <w:pPr>
        <w:tabs>
          <w:tab w:val="left" w:pos="709"/>
        </w:tabs>
        <w:spacing w:after="0" w:line="240" w:lineRule="auto"/>
        <w:jc w:val="both"/>
        <w:rPr>
          <w:rFonts w:ascii="Verdana" w:eastAsia="Times New Roman" w:hAnsi="Verdana" w:cs="Arial"/>
          <w:color w:val="000000"/>
          <w:bdr w:val="none" w:sz="0" w:space="0" w:color="auto" w:frame="1"/>
          <w:shd w:val="clear" w:color="auto" w:fill="FFFFFF"/>
          <w:lang w:eastAsia="es-ES_tradnl"/>
        </w:rPr>
      </w:pPr>
    </w:p>
    <w:p w14:paraId="48C4FA0A" w14:textId="77777777" w:rsidR="00345D1A"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 xml:space="preserve">Conforme al artículo 10 de la Ley 1437 de 2011, “Al resolver los asuntos de su competencia, las autoridades aplicarán las disposiciones constitucionales, legales y reglamentarias de manera uniforme a situaciones que tengan los mismos supuestos fácticos y jurídicos. </w:t>
      </w:r>
      <w:r w:rsidRPr="00A04C35">
        <w:rPr>
          <w:rFonts w:ascii="Verdana" w:eastAsia="Times New Roman" w:hAnsi="Verdana" w:cs="Arial"/>
          <w:i/>
          <w:iCs/>
          <w:color w:val="000000"/>
          <w:bdr w:val="none" w:sz="0" w:space="0" w:color="auto" w:frame="1"/>
          <w:shd w:val="clear" w:color="auto" w:fill="FFFFFF"/>
          <w:lang w:eastAsia="es-ES_tradnl"/>
        </w:rPr>
        <w:t>Con este propósito, al adoptar las decisiones de su competencia, deberán tener en cuenta las sentencias de unificación jurisprudencial del Consejo de Estado en las que se interpreten y apliquen dichas normas</w:t>
      </w:r>
      <w:r w:rsidRPr="00A04C35">
        <w:rPr>
          <w:rFonts w:ascii="Verdana" w:eastAsia="Times New Roman" w:hAnsi="Verdana" w:cs="Arial"/>
          <w:color w:val="000000"/>
          <w:bdr w:val="none" w:sz="0" w:space="0" w:color="auto" w:frame="1"/>
          <w:shd w:val="clear" w:color="auto" w:fill="FFFFFF"/>
          <w:lang w:eastAsia="es-ES_tradnl"/>
        </w:rPr>
        <w:t>” (Énfasis fuera de texto). Por tanto, en la actualidad existe la posibilidad de reconocer en la liquidación actividades no incluidas o ítems no previstos dentro del contrato, pues no se limita a los supuestos planteados de la Sentencia de Unificación del 19 de noviembre de 2012, sino que se configuren los elementos del enriquecimiento sin justa causa, la prueba de la actividad, sumado a la circunstancia excepcional que se invoca.</w:t>
      </w:r>
      <w:r>
        <w:rPr>
          <w:rFonts w:ascii="Verdana" w:eastAsia="Times New Roman" w:hAnsi="Verdana" w:cs="Arial"/>
          <w:color w:val="000000"/>
          <w:bdr w:val="none" w:sz="0" w:space="0" w:color="auto" w:frame="1"/>
          <w:shd w:val="clear" w:color="auto" w:fill="FFFFFF"/>
          <w:lang w:eastAsia="es-ES_tradnl"/>
        </w:rPr>
        <w:t xml:space="preserve"> </w:t>
      </w:r>
    </w:p>
    <w:p w14:paraId="47B9325D" w14:textId="77777777" w:rsidR="00345D1A"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26CE06BC" w14:textId="77777777" w:rsidR="00345D1A" w:rsidRDefault="00345D1A" w:rsidP="00345D1A">
      <w:pPr>
        <w:widowControl w:val="0"/>
        <w:autoSpaceDE w:val="0"/>
        <w:autoSpaceDN w:val="0"/>
        <w:spacing w:after="120" w:line="276" w:lineRule="auto"/>
        <w:jc w:val="both"/>
        <w:rPr>
          <w:rFonts w:ascii="Verdana" w:hAnsi="Verdana" w:cs="Arial"/>
          <w:lang w:eastAsia="es-ES"/>
        </w:rPr>
      </w:pPr>
      <w:r>
        <w:rPr>
          <w:rFonts w:ascii="Verdana" w:hAnsi="Verdana" w:cs="Arial"/>
          <w:lang w:eastAsia="es-ES"/>
        </w:rPr>
        <w:t xml:space="preserve">x. </w:t>
      </w:r>
      <w:r w:rsidRPr="006539F8">
        <w:rPr>
          <w:rFonts w:ascii="Verdana" w:hAnsi="Verdana" w:cs="Arial"/>
          <w:lang w:eastAsia="es-ES"/>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w:t>
      </w:r>
      <w:r w:rsidRPr="006539F8">
        <w:rPr>
          <w:rFonts w:ascii="Verdana" w:hAnsi="Verdana" w:cs="Arial"/>
          <w:lang w:eastAsia="es-ES"/>
        </w:rPr>
        <w:lastRenderedPageBreak/>
        <w:t>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8E511D2" w14:textId="77777777" w:rsidR="00345D1A" w:rsidRPr="00301910" w:rsidRDefault="00345D1A" w:rsidP="00345D1A">
      <w:pPr>
        <w:widowControl w:val="0"/>
        <w:autoSpaceDE w:val="0"/>
        <w:autoSpaceDN w:val="0"/>
        <w:spacing w:after="0" w:line="276" w:lineRule="auto"/>
        <w:ind w:firstLine="708"/>
        <w:jc w:val="both"/>
        <w:rPr>
          <w:rFonts w:ascii="Verdana" w:hAnsi="Verdana" w:cs="Arial"/>
          <w:lang w:eastAsia="es-ES"/>
        </w:rPr>
      </w:pPr>
      <w:r w:rsidRPr="006539F8">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301910">
        <w:rPr>
          <w:rFonts w:ascii="Verdana" w:hAnsi="Verdana" w:cs="Arial"/>
          <w:lang w:eastAsia="es-ES"/>
        </w:rPr>
        <w:t>.</w:t>
      </w:r>
    </w:p>
    <w:p w14:paraId="16E96F9F" w14:textId="77777777" w:rsidR="00345D1A" w:rsidRPr="00182C89" w:rsidRDefault="00345D1A" w:rsidP="00345D1A">
      <w:pPr>
        <w:tabs>
          <w:tab w:val="left" w:pos="709"/>
        </w:tabs>
        <w:spacing w:after="0" w:line="276" w:lineRule="auto"/>
        <w:jc w:val="both"/>
        <w:rPr>
          <w:rFonts w:ascii="Verdana" w:eastAsia="Calibri" w:hAnsi="Verdana" w:cs="Arial"/>
          <w:color w:val="000000" w:themeColor="text1"/>
        </w:rPr>
      </w:pPr>
    </w:p>
    <w:p w14:paraId="146BE16F" w14:textId="77777777" w:rsidR="00345D1A" w:rsidRPr="00AE65D5" w:rsidRDefault="00345D1A" w:rsidP="00345D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9B41B6C" w14:textId="77777777" w:rsidR="00345D1A" w:rsidRPr="00593A5F" w:rsidRDefault="00345D1A" w:rsidP="00345D1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45D1A" w:rsidRPr="002407CE" w14:paraId="46C929EB" w14:textId="77777777" w:rsidTr="00624F0F">
        <w:trPr>
          <w:trHeight w:val="870"/>
          <w:jc w:val="center"/>
        </w:trPr>
        <w:tc>
          <w:tcPr>
            <w:tcW w:w="8647" w:type="dxa"/>
          </w:tcPr>
          <w:p w14:paraId="5D8CA545" w14:textId="77777777" w:rsidR="00345D1A" w:rsidRDefault="00345D1A" w:rsidP="00345D1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360 y 361.</w:t>
            </w:r>
          </w:p>
          <w:p w14:paraId="77AD3A41" w14:textId="77777777" w:rsidR="00345D1A" w:rsidRDefault="00345D1A" w:rsidP="00345D1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3, 4, 5, 13, 14, 27, 32, 39, 40, 41 y 60.</w:t>
            </w:r>
          </w:p>
          <w:p w14:paraId="4BA0C8EC" w14:textId="77777777" w:rsidR="00345D1A" w:rsidRDefault="00345D1A" w:rsidP="00345D1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 10.</w:t>
            </w:r>
          </w:p>
          <w:p w14:paraId="7248E291" w14:textId="77777777" w:rsidR="00345D1A" w:rsidRDefault="00345D1A" w:rsidP="00345D1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EA612E">
              <w:rPr>
                <w:rFonts w:ascii="Verdana" w:hAnsi="Verdana" w:cs="Arial"/>
              </w:rPr>
              <w:t xml:space="preserve">Ley </w:t>
            </w:r>
            <w:r>
              <w:rPr>
                <w:rFonts w:ascii="Verdana" w:hAnsi="Verdana" w:cs="Arial"/>
              </w:rPr>
              <w:t>2056 de 2020</w:t>
            </w:r>
            <w:r w:rsidRPr="00EA612E">
              <w:rPr>
                <w:rFonts w:ascii="Verdana" w:hAnsi="Verdana" w:cs="Arial"/>
              </w:rPr>
              <w:t>, artículo</w:t>
            </w:r>
            <w:r>
              <w:rPr>
                <w:rFonts w:ascii="Verdana" w:hAnsi="Verdana" w:cs="Arial"/>
              </w:rPr>
              <w:t>s 28 a 37, 83, 87, 98, 99, 101, 108 y 109</w:t>
            </w:r>
            <w:r w:rsidRPr="00EA612E">
              <w:rPr>
                <w:rFonts w:ascii="Verdana" w:hAnsi="Verdana" w:cs="Arial"/>
              </w:rPr>
              <w:t>.</w:t>
            </w:r>
          </w:p>
          <w:p w14:paraId="7128D6E6" w14:textId="77777777" w:rsidR="00345D1A" w:rsidRPr="00AE65D5" w:rsidRDefault="00345D1A" w:rsidP="00345D1A">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Código Civil, artículo 1602.</w:t>
            </w:r>
          </w:p>
        </w:tc>
      </w:tr>
    </w:tbl>
    <w:p w14:paraId="2E59F9A9" w14:textId="77777777" w:rsidR="00345D1A" w:rsidRPr="002407CE" w:rsidRDefault="00345D1A" w:rsidP="00345D1A">
      <w:pPr>
        <w:widowControl w:val="0"/>
        <w:autoSpaceDE w:val="0"/>
        <w:autoSpaceDN w:val="0"/>
        <w:spacing w:after="0" w:line="276" w:lineRule="auto"/>
        <w:jc w:val="both"/>
        <w:rPr>
          <w:rFonts w:ascii="Verdana" w:hAnsi="Verdana" w:cs="Arial"/>
        </w:rPr>
      </w:pPr>
    </w:p>
    <w:p w14:paraId="4CCB8157" w14:textId="77777777" w:rsidR="00345D1A" w:rsidRPr="00593A5F" w:rsidRDefault="00345D1A" w:rsidP="00345D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62DC23E" w14:textId="77777777" w:rsidR="00345D1A" w:rsidRPr="00593A5F" w:rsidRDefault="00345D1A" w:rsidP="00345D1A">
      <w:pPr>
        <w:widowControl w:val="0"/>
        <w:autoSpaceDE w:val="0"/>
        <w:autoSpaceDN w:val="0"/>
        <w:spacing w:after="0" w:line="276" w:lineRule="auto"/>
        <w:jc w:val="both"/>
        <w:rPr>
          <w:rFonts w:ascii="Verdana" w:hAnsi="Verdana" w:cs="Arial"/>
        </w:rPr>
      </w:pPr>
    </w:p>
    <w:p w14:paraId="1481A3FC" w14:textId="77777777" w:rsidR="00345D1A" w:rsidRPr="007E4299" w:rsidRDefault="00345D1A" w:rsidP="00345D1A">
      <w:pPr>
        <w:widowControl w:val="0"/>
        <w:autoSpaceDE w:val="0"/>
        <w:autoSpaceDN w:val="0"/>
        <w:spacing w:after="0" w:line="276" w:lineRule="auto"/>
        <w:jc w:val="both"/>
        <w:rPr>
          <w:rStyle w:val="normaltextrun"/>
          <w:rFonts w:ascii="Verdana" w:hAnsi="Verdana"/>
        </w:rPr>
      </w:pPr>
      <w:r w:rsidRPr="005344DB">
        <w:rPr>
          <w:rStyle w:val="normaltextrun"/>
          <w:rFonts w:ascii="Verdana" w:hAnsi="Verdana" w:cs="Arial"/>
          <w:shd w:val="clear" w:color="auto" w:fill="FFFFFF"/>
        </w:rPr>
        <w:t xml:space="preserve">Esta Subdirección se ha pronunciado sobre </w:t>
      </w:r>
      <w:r>
        <w:rPr>
          <w:rStyle w:val="normaltextrun"/>
          <w:rFonts w:ascii="Verdana" w:hAnsi="Verdana" w:cs="Arial"/>
          <w:shd w:val="clear" w:color="auto" w:fill="FFFFFF"/>
        </w:rPr>
        <w:t xml:space="preserve">las particularidades del Sistema General de Regalías en los Conceptos </w:t>
      </w:r>
      <w:r w:rsidRPr="006F5818">
        <w:rPr>
          <w:rStyle w:val="normaltextrun"/>
          <w:rFonts w:ascii="Verdana" w:hAnsi="Verdana" w:cs="Arial"/>
          <w:shd w:val="clear" w:color="auto" w:fill="FFFFFF"/>
        </w:rPr>
        <w:t>C-604 del 09 de septiembre de 2020,</w:t>
      </w:r>
      <w:r>
        <w:rPr>
          <w:rStyle w:val="normaltextrun"/>
          <w:rFonts w:ascii="Verdana" w:hAnsi="Verdana" w:cs="Arial"/>
          <w:shd w:val="clear" w:color="auto" w:fill="FFFFFF"/>
        </w:rPr>
        <w:t xml:space="preserve"> </w:t>
      </w:r>
      <w:r w:rsidRPr="006F5818">
        <w:rPr>
          <w:rStyle w:val="normaltextrun"/>
          <w:rFonts w:ascii="Verdana" w:hAnsi="Verdana" w:cs="Arial"/>
          <w:shd w:val="clear" w:color="auto" w:fill="FFFFFF"/>
        </w:rPr>
        <w:t>C-370 del 28 de julio de 2021, C-095 del 22 de marzo de 2022, C-353 del 2 de junio de 2022</w:t>
      </w:r>
      <w:r>
        <w:rPr>
          <w:rStyle w:val="normaltextrun"/>
          <w:rFonts w:ascii="Verdana" w:hAnsi="Verdana" w:cs="Arial"/>
          <w:shd w:val="clear" w:color="auto" w:fill="FFFFFF"/>
        </w:rPr>
        <w:t>,</w:t>
      </w:r>
      <w:r w:rsidRPr="00102CE7">
        <w:rPr>
          <w:rStyle w:val="normaltextrun"/>
          <w:rFonts w:ascii="Verdana" w:hAnsi="Verdana" w:cs="Arial"/>
          <w:shd w:val="clear" w:color="auto" w:fill="FFFFFF"/>
        </w:rPr>
        <w:t xml:space="preserve"> C-489 del 1˚ de agosto de 2022</w:t>
      </w:r>
      <w:r>
        <w:rPr>
          <w:rStyle w:val="normaltextrun"/>
          <w:rFonts w:ascii="Verdana" w:hAnsi="Verdana" w:cs="Arial"/>
          <w:shd w:val="clear" w:color="auto" w:fill="FFFFFF"/>
        </w:rPr>
        <w:t xml:space="preserve"> y C-823 del 21 de noviembre de 2024. </w:t>
      </w:r>
      <w:r>
        <w:rPr>
          <w:rFonts w:ascii="Verdana" w:eastAsia="Calibri" w:hAnsi="Verdana" w:cs="Arial"/>
          <w:shd w:val="clear" w:color="auto" w:fill="FFFFFF"/>
        </w:rPr>
        <w:t>También</w:t>
      </w:r>
      <w:r w:rsidRPr="00DA1FE4">
        <w:rPr>
          <w:rFonts w:ascii="Verdana" w:eastAsia="Calibri" w:hAnsi="Verdana" w:cs="Arial"/>
          <w:shd w:val="clear" w:color="auto" w:fill="FFFFFF"/>
        </w:rPr>
        <w:t xml:space="preserve"> se pronunció sobre </w:t>
      </w:r>
      <w:r>
        <w:rPr>
          <w:rFonts w:ascii="Verdana" w:eastAsia="Calibri" w:hAnsi="Verdana" w:cs="Arial"/>
          <w:shd w:val="clear" w:color="auto" w:fill="FFFFFF"/>
        </w:rPr>
        <w:t xml:space="preserve">el equilibrio económico del contrato estatal en los Conceptos C-938 del 27 de diciembre de 2022, C-774 del 20 de noviembre de 2024, C-565 del 10 de junio de 2025, C-1029 del 31 de julio de 2025, C-1035 del 8 de septiembre de 2025 y C-1429 del 21 de octubre de 2025.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w:t>
      </w:r>
      <w:r w:rsidRPr="008D0AB0">
        <w:rPr>
          <w:rStyle w:val="normaltextrun"/>
          <w:rFonts w:ascii="Verdana" w:hAnsi="Verdana" w:cs="Arial"/>
          <w:shd w:val="clear" w:color="auto" w:fill="FFFFFF"/>
        </w:rPr>
        <w:lastRenderedPageBreak/>
        <w:t xml:space="preserve">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C7CBDC2" w14:textId="77777777" w:rsidR="00345D1A" w:rsidRPr="00096788" w:rsidRDefault="00345D1A" w:rsidP="00345D1A">
      <w:pPr>
        <w:widowControl w:val="0"/>
        <w:autoSpaceDE w:val="0"/>
        <w:autoSpaceDN w:val="0"/>
        <w:spacing w:after="0" w:line="276" w:lineRule="auto"/>
        <w:jc w:val="both"/>
        <w:rPr>
          <w:rFonts w:ascii="Verdana" w:hAnsi="Verdana" w:cs="Arial"/>
          <w:color w:val="000000" w:themeColor="text1"/>
          <w:shd w:val="clear" w:color="auto" w:fill="FFFFFF"/>
        </w:rPr>
      </w:pPr>
    </w:p>
    <w:p w14:paraId="688892B1" w14:textId="77777777" w:rsidR="00345D1A" w:rsidRPr="001205D1" w:rsidRDefault="00345D1A" w:rsidP="00345D1A">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5A707A9F" w14:textId="77777777" w:rsidR="00345D1A" w:rsidRPr="009C4035" w:rsidRDefault="00345D1A" w:rsidP="00345D1A">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281D1C4D" w14:textId="77777777" w:rsidR="00345D1A" w:rsidRPr="00593A5F" w:rsidRDefault="00345D1A" w:rsidP="00345D1A">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FD37715" w14:textId="77777777" w:rsidR="00345D1A" w:rsidRPr="00593A5F" w:rsidRDefault="00345D1A" w:rsidP="00345D1A">
      <w:pPr>
        <w:widowControl w:val="0"/>
        <w:autoSpaceDE w:val="0"/>
        <w:autoSpaceDN w:val="0"/>
        <w:spacing w:after="0" w:line="276" w:lineRule="auto"/>
        <w:jc w:val="both"/>
        <w:rPr>
          <w:rFonts w:ascii="Verdana" w:hAnsi="Verdana" w:cs="Arial"/>
        </w:rPr>
      </w:pPr>
    </w:p>
    <w:p w14:paraId="6E8C5AE9" w14:textId="77777777" w:rsidR="00345D1A" w:rsidRPr="00593A5F" w:rsidRDefault="00345D1A" w:rsidP="00345D1A">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9888745" w14:textId="539E8D37" w:rsidR="00345D1A" w:rsidRPr="00593A5F" w:rsidRDefault="002236B7" w:rsidP="00345D1A">
      <w:pPr>
        <w:spacing w:line="276" w:lineRule="auto"/>
        <w:jc w:val="center"/>
        <w:rPr>
          <w:rFonts w:ascii="Verdana" w:hAnsi="Verdana" w:cs="Arial"/>
          <w:color w:val="000000"/>
          <w:lang w:val="es-ES_tradnl" w:eastAsia="es-CO"/>
        </w:rPr>
      </w:pPr>
      <w:r>
        <w:rPr>
          <w:noProof/>
        </w:rPr>
        <w:drawing>
          <wp:inline distT="0" distB="0" distL="0" distR="0" wp14:anchorId="049C49C8" wp14:editId="7AC7261D">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45D1A" w:rsidRPr="00593A5F" w14:paraId="5DF1B0DD" w14:textId="77777777" w:rsidTr="0ED3A0B5">
        <w:trPr>
          <w:trHeight w:val="315"/>
        </w:trPr>
        <w:tc>
          <w:tcPr>
            <w:tcW w:w="893" w:type="dxa"/>
            <w:vAlign w:val="center"/>
            <w:hideMark/>
          </w:tcPr>
          <w:p w14:paraId="25BA27D4" w14:textId="77777777" w:rsidR="00345D1A" w:rsidRPr="003751C7" w:rsidRDefault="00345D1A" w:rsidP="00624F0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196A79C" w14:textId="77777777" w:rsidR="00345D1A" w:rsidRPr="00254A7A" w:rsidRDefault="00345D1A" w:rsidP="00624F0F">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3BA90355" w14:textId="77777777" w:rsidR="00345D1A" w:rsidRPr="00254A7A" w:rsidRDefault="00345D1A" w:rsidP="00624F0F">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345D1A" w:rsidRPr="00593A5F" w14:paraId="78EB7F69" w14:textId="77777777" w:rsidTr="0ED3A0B5">
        <w:trPr>
          <w:trHeight w:val="330"/>
        </w:trPr>
        <w:tc>
          <w:tcPr>
            <w:tcW w:w="893" w:type="dxa"/>
            <w:vAlign w:val="center"/>
            <w:hideMark/>
          </w:tcPr>
          <w:p w14:paraId="1C1AF816" w14:textId="77777777" w:rsidR="00345D1A" w:rsidRPr="003751C7" w:rsidRDefault="00345D1A" w:rsidP="00624F0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1AC29C0" w14:textId="77777777" w:rsidR="00345D1A" w:rsidRPr="001B6B73" w:rsidRDefault="00345D1A" w:rsidP="00624F0F">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54CA88B6" w14:textId="77777777" w:rsidR="00345D1A" w:rsidRPr="00254A7A" w:rsidRDefault="00345D1A" w:rsidP="00624F0F">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345D1A" w:rsidRPr="00593A5F" w14:paraId="19D4D886" w14:textId="77777777" w:rsidTr="0ED3A0B5">
        <w:trPr>
          <w:trHeight w:val="300"/>
        </w:trPr>
        <w:tc>
          <w:tcPr>
            <w:tcW w:w="893" w:type="dxa"/>
            <w:vAlign w:val="center"/>
          </w:tcPr>
          <w:p w14:paraId="7D83E26A" w14:textId="77777777" w:rsidR="00345D1A" w:rsidRPr="003751C7" w:rsidRDefault="00345D1A" w:rsidP="00624F0F">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79205B4" w14:textId="77777777" w:rsidR="00345D1A" w:rsidRPr="001133D2" w:rsidRDefault="00345D1A" w:rsidP="0ED3A0B5">
            <w:pPr>
              <w:contextualSpacing/>
              <w:rPr>
                <w:rFonts w:ascii="Verdana" w:eastAsia="Calibri" w:hAnsi="Verdana" w:cs="Arial"/>
                <w:sz w:val="16"/>
                <w:szCs w:val="16"/>
                <w:lang w:val="es-ES" w:eastAsia="es-ES"/>
              </w:rPr>
            </w:pPr>
            <w:r w:rsidRPr="0ED3A0B5">
              <w:rPr>
                <w:rFonts w:ascii="Verdana" w:eastAsia="Calibri" w:hAnsi="Verdana" w:cs="Arial"/>
                <w:sz w:val="16"/>
                <w:szCs w:val="16"/>
                <w:lang w:val="es-ES" w:eastAsia="es-ES"/>
              </w:rPr>
              <w:t xml:space="preserve">Carolina Quintero </w:t>
            </w:r>
            <w:proofErr w:type="spellStart"/>
            <w:r w:rsidRPr="0ED3A0B5">
              <w:rPr>
                <w:rFonts w:ascii="Verdana" w:eastAsia="Calibri" w:hAnsi="Verdana" w:cs="Arial"/>
                <w:sz w:val="16"/>
                <w:szCs w:val="16"/>
                <w:lang w:val="es-ES" w:eastAsia="es-ES"/>
              </w:rPr>
              <w:t>Gacharná</w:t>
            </w:r>
            <w:proofErr w:type="spellEnd"/>
          </w:p>
          <w:p w14:paraId="47F19458" w14:textId="77777777" w:rsidR="00345D1A" w:rsidRPr="003751C7" w:rsidRDefault="00345D1A" w:rsidP="00624F0F">
            <w:pPr>
              <w:contextualSpacing/>
              <w:rPr>
                <w:rFonts w:ascii="Verdana" w:eastAsia="Calibri" w:hAnsi="Verdana" w:cs="Arial"/>
                <w:sz w:val="16"/>
                <w:szCs w:val="16"/>
                <w:lang w:val="pt-BR" w:eastAsia="es-ES"/>
              </w:rPr>
            </w:pPr>
            <w:r w:rsidRPr="001133D2">
              <w:rPr>
                <w:rFonts w:ascii="Verdana" w:eastAsia="Calibri" w:hAnsi="Verdana" w:cs="Arial"/>
                <w:sz w:val="16"/>
                <w:szCs w:val="16"/>
                <w:lang w:val="es-ES_tradnl" w:eastAsia="es-ES"/>
              </w:rPr>
              <w:t>Subdirectora de Gestión Contractual ANCP – CCE</w:t>
            </w:r>
          </w:p>
        </w:tc>
      </w:tr>
    </w:tbl>
    <w:p w14:paraId="15835D61" w14:textId="77777777" w:rsidR="00345D1A" w:rsidRPr="00543BFE" w:rsidRDefault="00345D1A" w:rsidP="00345D1A"/>
    <w:p w14:paraId="6BA21DC3" w14:textId="77777777" w:rsidR="00345D1A" w:rsidRPr="00543BFE" w:rsidRDefault="00345D1A" w:rsidP="00345D1A"/>
    <w:p w14:paraId="0F293BF4" w14:textId="1052BB2F" w:rsidR="00127233" w:rsidRPr="0085339E" w:rsidRDefault="00127233" w:rsidP="0085339E"/>
    <w:sectPr w:rsidR="00127233" w:rsidRPr="0085339E"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451965" w14:textId="77777777" w:rsidR="009F18B9" w:rsidRDefault="009F18B9" w:rsidP="004A1847">
      <w:pPr>
        <w:spacing w:after="0" w:line="240" w:lineRule="auto"/>
      </w:pPr>
      <w:r>
        <w:separator/>
      </w:r>
    </w:p>
  </w:endnote>
  <w:endnote w:type="continuationSeparator" w:id="0">
    <w:p w14:paraId="6EE1EF22" w14:textId="77777777" w:rsidR="009F18B9" w:rsidRDefault="009F18B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A96D58" w:rsidRDefault="356CEDFD" w:rsidP="356CEDFD">
    <w:pPr>
      <w:pBdr>
        <w:top w:val="nil"/>
        <w:left w:val="nil"/>
        <w:bottom w:val="nil"/>
        <w:right w:val="nil"/>
        <w:between w:val="nil"/>
      </w:pBdr>
      <w:tabs>
        <w:tab w:val="center" w:pos="4419"/>
        <w:tab w:val="right" w:pos="8838"/>
        <w:tab w:val="center" w:pos="5400"/>
      </w:tabs>
      <w:spacing w:after="0"/>
      <w:jc w:val="right"/>
      <w:rPr>
        <w:lang w:val="pt-BR"/>
      </w:rPr>
    </w:pPr>
    <w:r w:rsidRPr="00A96D58">
      <w:rPr>
        <w:rFonts w:ascii="Century Gothic" w:eastAsia="Geo" w:hAnsi="Century Gothic" w:cs="Geo"/>
        <w:b/>
        <w:bCs/>
        <w:color w:val="000000" w:themeColor="text1"/>
        <w:sz w:val="16"/>
        <w:szCs w:val="16"/>
        <w:lang w:val="pt-BR" w:eastAsia="es-CO"/>
      </w:rPr>
      <w:t xml:space="preserve">Código: </w:t>
    </w:r>
    <w:r w:rsidRPr="00A96D58">
      <w:rPr>
        <w:rFonts w:ascii="Century Gothic" w:eastAsia="Geo" w:hAnsi="Century Gothic" w:cs="Geo"/>
        <w:color w:val="000000" w:themeColor="text1"/>
        <w:sz w:val="16"/>
        <w:szCs w:val="16"/>
        <w:lang w:val="pt-BR" w:eastAsia="es-CO"/>
      </w:rPr>
      <w:t xml:space="preserve">CCE-REC-FM-17 </w:t>
    </w:r>
    <w:r w:rsidRPr="00A96D58">
      <w:rPr>
        <w:rFonts w:ascii="Century Gothic" w:eastAsia="Geo" w:hAnsi="Century Gothic" w:cs="Geo"/>
        <w:b/>
        <w:bCs/>
        <w:color w:val="000000" w:themeColor="text1"/>
        <w:sz w:val="16"/>
        <w:szCs w:val="16"/>
        <w:lang w:val="pt-BR" w:eastAsia="es-CO"/>
      </w:rPr>
      <w:t>V</w:t>
    </w:r>
    <w:r w:rsidRPr="00A96D58">
      <w:rPr>
        <w:rFonts w:ascii="Century Gothic" w:eastAsia="Arial Nova" w:hAnsi="Century Gothic" w:cs="Arial Nova"/>
        <w:b/>
        <w:bCs/>
        <w:color w:val="000000" w:themeColor="text1"/>
        <w:sz w:val="16"/>
        <w:szCs w:val="16"/>
        <w:lang w:val="pt-BR" w:eastAsia="es-CO"/>
      </w:rPr>
      <w:t xml:space="preserve">: </w:t>
    </w:r>
    <w:r w:rsidRPr="00A96D58">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EF2A2F" w14:textId="77777777" w:rsidR="009F18B9" w:rsidRDefault="009F18B9" w:rsidP="004A1847">
      <w:pPr>
        <w:spacing w:after="0" w:line="240" w:lineRule="auto"/>
      </w:pPr>
      <w:r>
        <w:separator/>
      </w:r>
    </w:p>
  </w:footnote>
  <w:footnote w:type="continuationSeparator" w:id="0">
    <w:p w14:paraId="597710F4" w14:textId="77777777" w:rsidR="009F18B9" w:rsidRDefault="009F18B9" w:rsidP="004A1847">
      <w:pPr>
        <w:spacing w:after="0" w:line="240" w:lineRule="auto"/>
      </w:pPr>
      <w:r>
        <w:continuationSeparator/>
      </w:r>
    </w:p>
  </w:footnote>
  <w:footnote w:id="1">
    <w:p w14:paraId="7156C121" w14:textId="77777777" w:rsidR="00345D1A" w:rsidRPr="000F19C0" w:rsidRDefault="00345D1A" w:rsidP="00345D1A">
      <w:pPr>
        <w:pStyle w:val="Textonotapie"/>
        <w:ind w:firstLine="708"/>
        <w:jc w:val="both"/>
        <w:rPr>
          <w:rFonts w:ascii="Verdana" w:hAnsi="Verdana" w:cs="Arial"/>
          <w:sz w:val="16"/>
          <w:szCs w:val="16"/>
          <w:shd w:val="clear" w:color="auto" w:fill="FFFFFF"/>
        </w:rPr>
      </w:pPr>
      <w:r w:rsidRPr="000F19C0">
        <w:rPr>
          <w:rStyle w:val="Refdenotaalpie"/>
          <w:rFonts w:ascii="Verdana" w:hAnsi="Verdana" w:cs="Arial"/>
          <w:sz w:val="16"/>
          <w:szCs w:val="16"/>
        </w:rPr>
        <w:footnoteRef/>
      </w:r>
      <w:r w:rsidRPr="000F19C0">
        <w:rPr>
          <w:rFonts w:ascii="Verdana" w:hAnsi="Verdana" w:cs="Arial"/>
          <w:sz w:val="16"/>
          <w:szCs w:val="16"/>
        </w:rPr>
        <w:t xml:space="preserve"> Al respecto, la Corte indicó: “</w:t>
      </w:r>
      <w:r w:rsidRPr="000F19C0">
        <w:rPr>
          <w:rFonts w:ascii="Verdana" w:hAnsi="Verdana" w:cs="Arial"/>
          <w:sz w:val="16"/>
          <w:szCs w:val="16"/>
          <w:shd w:val="clear" w:color="auto" w:fill="FFFFFF"/>
        </w:rPr>
        <w:t>Las regalías son comprendidas por el derecho constitucional como una </w:t>
      </w:r>
      <w:r w:rsidRPr="000F19C0">
        <w:rPr>
          <w:rFonts w:ascii="Verdana" w:hAnsi="Verdana" w:cs="Arial"/>
          <w:i/>
          <w:iCs/>
          <w:sz w:val="16"/>
          <w:szCs w:val="16"/>
          <w:shd w:val="clear" w:color="auto" w:fill="FFFFFF"/>
        </w:rPr>
        <w:t>contraprestación económica </w:t>
      </w:r>
      <w:r w:rsidRPr="000F19C0">
        <w:rPr>
          <w:rFonts w:ascii="Verdana" w:hAnsi="Verdana" w:cs="Arial"/>
          <w:sz w:val="16"/>
          <w:szCs w:val="16"/>
          <w:shd w:val="clear" w:color="auto" w:fill="FFFFFF"/>
        </w:rPr>
        <w:t>que recibe el Estado, en razón de la extracción de recursos naturales no renovables existentes en el subsuelo.  Como lo ha explicado la jurisprudencia reiterada, este concepto refiere a la </w:t>
      </w:r>
      <w:r w:rsidRPr="000F19C0">
        <w:rPr>
          <w:rFonts w:ascii="Verdana" w:hAnsi="Verdana" w:cs="Arial"/>
          <w:i/>
          <w:iCs/>
          <w:sz w:val="16"/>
          <w:szCs w:val="16"/>
          <w:shd w:val="clear" w:color="auto" w:fill="FFFFFF"/>
        </w:rPr>
        <w:t>“c</w:t>
      </w:r>
      <w:r w:rsidRPr="000F19C0">
        <w:rPr>
          <w:rFonts w:ascii="Verdana" w:hAnsi="Verdana" w:cs="Arial"/>
          <w:i/>
          <w:iCs/>
          <w:spacing w:val="-3"/>
          <w:sz w:val="16"/>
          <w:szCs w:val="16"/>
          <w:shd w:val="clear" w:color="auto" w:fill="FFFFFF"/>
        </w:rPr>
        <w:t>ontraprestación económica que percibe el Estado de las personas a quienes se les concede el derecho a explotar los recursos naturales no renovables en determinado porcentaje sobre el producto bruto explotado.</w:t>
      </w:r>
      <w:r w:rsidRPr="000F19C0">
        <w:rPr>
          <w:rFonts w:ascii="Verdana" w:hAnsi="Verdana" w:cs="Arial"/>
          <w:spacing w:val="-3"/>
          <w:sz w:val="16"/>
          <w:szCs w:val="16"/>
          <w:shd w:val="clear" w:color="auto" w:fill="FFFFFF"/>
        </w:rPr>
        <w:t xml:space="preserve"> A su vez, de acuerdo con el mismo precedente, en lo que respecta al derecho a las compensaciones, este </w:t>
      </w:r>
      <w:r w:rsidRPr="000F19C0">
        <w:rPr>
          <w:rFonts w:ascii="Verdana" w:hAnsi="Verdana" w:cs="Arial"/>
          <w:sz w:val="16"/>
          <w:szCs w:val="16"/>
          <w:shd w:val="clear" w:color="auto" w:fill="FFFFFF"/>
        </w:rPr>
        <w:t xml:space="preserve">no necesariamente deriva de la participación en las regalías ni emana del carácter de productora que tenga la correspondiente entidad territorial, o el puerto marítimo o fluvial, ya que lo que se compensa es el concurso del ente respectivo en la totalidad o en alguna etapa del proceso que surge a propósito de la exploración, explotación, transporte y transformación de los recursos naturales no renovables Esta definición permite distinguir entre las regalías y otros ingresos nacionales, en especial los impuestos.  En ese sentido, el responsable de su pago es quien decide adelantar la explotación de los recursos, y en consecuencia paga al Estado una contraprestación por esa actividad.  Por ende, las regalías no tienen el carácter imperativo y general propio de los impuestos.  </w:t>
      </w:r>
    </w:p>
    <w:p w14:paraId="283C1171" w14:textId="77777777" w:rsidR="00345D1A" w:rsidRPr="000F19C0" w:rsidRDefault="00345D1A" w:rsidP="00345D1A">
      <w:pPr>
        <w:pStyle w:val="Textonotapie"/>
        <w:ind w:firstLine="708"/>
        <w:jc w:val="both"/>
        <w:rPr>
          <w:rFonts w:ascii="Verdana" w:hAnsi="Verdana" w:cs="Arial"/>
          <w:sz w:val="16"/>
          <w:szCs w:val="16"/>
          <w:shd w:val="clear" w:color="auto" w:fill="FFFFFF"/>
        </w:rPr>
      </w:pPr>
      <w:r w:rsidRPr="000F19C0">
        <w:rPr>
          <w:rFonts w:ascii="Verdana" w:hAnsi="Verdana" w:cs="Arial"/>
          <w:sz w:val="16"/>
          <w:szCs w:val="16"/>
          <w:shd w:val="clear" w:color="auto" w:fill="FFFFFF"/>
        </w:rPr>
        <w:t>Así lo ha explicado la Corte al prever que las regalías carecen de naturaleza tributaria, ya que </w:t>
      </w:r>
      <w:r w:rsidRPr="000F19C0">
        <w:rPr>
          <w:rFonts w:ascii="Verdana" w:hAnsi="Verdana" w:cs="Arial"/>
          <w:i/>
          <w:iCs/>
          <w:sz w:val="16"/>
          <w:szCs w:val="16"/>
          <w:shd w:val="clear" w:color="auto" w:fill="FFFFFF"/>
        </w:rPr>
        <w:t>“</w:t>
      </w:r>
      <w:r w:rsidRPr="000F19C0">
        <w:rPr>
          <w:rFonts w:ascii="Verdana" w:hAnsi="Verdana" w:cs="Arial"/>
          <w:sz w:val="16"/>
          <w:szCs w:val="16"/>
          <w:shd w:val="clear" w:color="auto" w:fill="FFFFFF"/>
        </w:rPr>
        <w:t>[a]</w:t>
      </w:r>
      <w:r w:rsidRPr="000F19C0">
        <w:rPr>
          <w:rFonts w:ascii="Verdana" w:hAnsi="Verdana" w:cs="Arial"/>
          <w:i/>
          <w:iCs/>
          <w:sz w:val="16"/>
          <w:szCs w:val="16"/>
          <w:shd w:val="clear" w:color="auto" w:fill="FFFFFF"/>
        </w:rPr>
        <w:t xml:space="preserve"> pesar de tener en ocasiones similitudes ya que implican pagos del particular al Estado, las regalías y los impuestos son figuras diversas, con un fundamento constitucional y una finalidad diferentes. Así, como bien lo señala uno de los intervinientes, la Carta acoge la concepción de la “regalía-precio”, pues la define como una "contraprestación" que se causa por la explotación de los recursos naturales no renovables de propiedad de la Nación (CP art. 360). Por ende, las regalías están representadas por aquello que el Estado recibe por conceder un derecho a explotar los recursos naturales no renovables de los cuáles es titular (CP art. 332), debido a que estos recursos existen en cantidad limitada”. </w:t>
      </w:r>
      <w:r w:rsidRPr="000F19C0">
        <w:rPr>
          <w:rFonts w:ascii="Verdana" w:hAnsi="Verdana" w:cs="Arial"/>
          <w:sz w:val="16"/>
          <w:szCs w:val="16"/>
          <w:lang w:val="es-CO"/>
        </w:rPr>
        <w:t>Corte Constitucional. Sentencias C-748 de 2012 y C-010 de 2013. M.P. Luis Ernesto Vargas Silva</w:t>
      </w:r>
    </w:p>
  </w:footnote>
  <w:footnote w:id="2">
    <w:p w14:paraId="2375D8AB" w14:textId="77777777" w:rsidR="00345D1A" w:rsidRPr="000F19C0" w:rsidRDefault="00345D1A" w:rsidP="00345D1A">
      <w:pPr>
        <w:pStyle w:val="Textonotapie"/>
        <w:ind w:firstLine="708"/>
        <w:jc w:val="both"/>
        <w:rPr>
          <w:rFonts w:ascii="Verdana" w:hAnsi="Verdana" w:cs="Arial"/>
          <w:sz w:val="16"/>
          <w:szCs w:val="16"/>
        </w:rPr>
      </w:pPr>
      <w:r w:rsidRPr="000F19C0">
        <w:rPr>
          <w:rStyle w:val="Refdenotaalpie"/>
          <w:rFonts w:ascii="Verdana" w:hAnsi="Verdana" w:cs="Arial"/>
          <w:sz w:val="16"/>
          <w:szCs w:val="16"/>
        </w:rPr>
        <w:footnoteRef/>
      </w:r>
      <w:r w:rsidRPr="000F19C0">
        <w:rPr>
          <w:rFonts w:ascii="Verdana" w:hAnsi="Verdana" w:cs="Arial"/>
          <w:sz w:val="16"/>
          <w:szCs w:val="16"/>
        </w:rPr>
        <w:t xml:space="preserve"> CÁMARA DE REPRESENTANTES. Exposición de motivos del Proyecto de Ley No 311 de 2020. Gaceta No 638 de 2020. </w:t>
      </w:r>
    </w:p>
  </w:footnote>
  <w:footnote w:id="3">
    <w:p w14:paraId="7B05EFEF" w14:textId="77777777" w:rsidR="00345D1A" w:rsidRPr="000F19C0" w:rsidRDefault="00345D1A" w:rsidP="00345D1A">
      <w:pPr>
        <w:pStyle w:val="Textonotapie"/>
        <w:ind w:firstLine="708"/>
        <w:jc w:val="both"/>
        <w:rPr>
          <w:rFonts w:ascii="Verdana" w:hAnsi="Verdana" w:cs="Arial"/>
          <w:sz w:val="16"/>
          <w:szCs w:val="16"/>
        </w:rPr>
      </w:pPr>
      <w:r w:rsidRPr="000F19C0">
        <w:rPr>
          <w:rStyle w:val="Refdenotaalpie"/>
          <w:rFonts w:ascii="Verdana" w:hAnsi="Verdana" w:cs="Arial"/>
          <w:sz w:val="16"/>
          <w:szCs w:val="16"/>
        </w:rPr>
        <w:footnoteRef/>
      </w:r>
      <w:r w:rsidRPr="000F19C0">
        <w:rPr>
          <w:rFonts w:ascii="Verdana" w:hAnsi="Verdana" w:cs="Arial"/>
          <w:sz w:val="16"/>
          <w:szCs w:val="16"/>
        </w:rPr>
        <w:t xml:space="preserve"> “Artículo 1°. Objeto. Conforme con lo dispuesto por el artículo 360 y 361 de la Constitución Política, la presente ley tiene por objeto determinar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  </w:t>
      </w:r>
    </w:p>
  </w:footnote>
  <w:footnote w:id="4">
    <w:p w14:paraId="2DD29F88" w14:textId="77777777" w:rsidR="00345D1A" w:rsidRPr="000F19C0" w:rsidRDefault="00345D1A" w:rsidP="00345D1A">
      <w:pPr>
        <w:pStyle w:val="Textonotapie"/>
        <w:ind w:firstLine="708"/>
        <w:jc w:val="both"/>
        <w:rPr>
          <w:rFonts w:ascii="Verdana" w:hAnsi="Verdana" w:cs="Arial"/>
          <w:sz w:val="16"/>
          <w:szCs w:val="16"/>
        </w:rPr>
      </w:pPr>
      <w:r w:rsidRPr="000F19C0">
        <w:rPr>
          <w:rStyle w:val="Refdenotaalpie"/>
          <w:rFonts w:ascii="Verdana" w:hAnsi="Verdana" w:cs="Arial"/>
          <w:sz w:val="16"/>
          <w:szCs w:val="16"/>
        </w:rPr>
        <w:footnoteRef/>
      </w:r>
      <w:r w:rsidRPr="000F19C0">
        <w:rPr>
          <w:rFonts w:ascii="Verdana" w:hAnsi="Verdana" w:cs="Arial"/>
          <w:sz w:val="16"/>
          <w:szCs w:val="16"/>
        </w:rPr>
        <w:t xml:space="preserve"> “Artículo 3. Órganos. Son órganos del Sistema General de Regalías, la Comisión Rectora, el Departamento Nacional de Planeación, el Ministerio de Minas y Energía, así como sus entidades adscritas y vinculadas que cumplan funciones en el ciclo de las regalías, el Ministerio de Hacienda y Crédito Público, el Ministerio de Ciencia, Tecnología e Innovación, el Ministerio de Ambiente y Desarrollo Sostenible y los Órganos Colegiados de Administración y Decisión Paz, de Inversión Regional y de Ciencia, Tecnología e Innovación, los cuales ejercerán sus atribuciones y competencias conforme con lo dispuesto por la presente Ley y demás lineamientos que expida la Comisión Rectora para el funcionamiento del Sistema General de Regalías”. </w:t>
      </w:r>
    </w:p>
  </w:footnote>
  <w:footnote w:id="5">
    <w:p w14:paraId="043EFA0E"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Style w:val="Refdenotaalpie"/>
          <w:rFonts w:ascii="Verdana" w:hAnsi="Verdana" w:cs="Arial"/>
          <w:sz w:val="16"/>
          <w:szCs w:val="16"/>
        </w:rPr>
        <w:footnoteRef/>
      </w:r>
      <w:r w:rsidRPr="000F19C0">
        <w:rPr>
          <w:rFonts w:ascii="Verdana" w:hAnsi="Verdana" w:cs="Arial"/>
          <w:sz w:val="16"/>
          <w:szCs w:val="16"/>
        </w:rPr>
        <w:t xml:space="preserve"> </w:t>
      </w:r>
      <w:r w:rsidRPr="000F19C0">
        <w:rPr>
          <w:rFonts w:ascii="Verdana" w:hAnsi="Verdana" w:cs="Arial"/>
          <w:color w:val="000000" w:themeColor="text1"/>
          <w:sz w:val="16"/>
          <w:szCs w:val="16"/>
          <w:lang w:val="es-ES_tradnl"/>
        </w:rPr>
        <w:t>“</w:t>
      </w:r>
      <w:r w:rsidRPr="000F19C0">
        <w:rPr>
          <w:rFonts w:ascii="Verdana" w:hAnsi="Verdana" w:cs="Arial"/>
          <w:bCs/>
          <w:sz w:val="16"/>
          <w:szCs w:val="16"/>
        </w:rPr>
        <w:t>Artículo 28. Destinación.</w:t>
      </w:r>
      <w:r w:rsidRPr="000F19C0">
        <w:rPr>
          <w:rFonts w:ascii="Verdana" w:hAnsi="Verdana" w:cs="Arial"/>
          <w:sz w:val="16"/>
          <w:szCs w:val="16"/>
        </w:rPr>
        <w:t xml:space="preserve"> Con los recursos del Sistema General de Regalías se financiarán proyectos de inversión en sus diferentes etapas, siempre y cuando esté definido en los mismos el horizonte de realización.</w:t>
      </w:r>
    </w:p>
    <w:p w14:paraId="7F0B8FCC"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Fonts w:ascii="Verdana" w:hAnsi="Verdana" w:cs="Arial"/>
          <w:sz w:val="16"/>
          <w:szCs w:val="16"/>
        </w:rPr>
        <w:t>Igualmente, se podrán financiar estudios y diseños como parte de los proyectos de inversión, que deberán contener la estimación de los costos del proyecto en cada una de sus fases subsiguientes, con el fin de que se pueda garantizar la financiación de estas. Así mismo, se podrán financiar las obras complementarias que permitan la puesta en marcha de un proyecto de inversión.</w:t>
      </w:r>
    </w:p>
    <w:p w14:paraId="79988575"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Fonts w:ascii="Verdana" w:hAnsi="Verdana" w:cs="Arial"/>
          <w:sz w:val="16"/>
          <w:szCs w:val="16"/>
        </w:rPr>
        <w:t>Lo anterior de conformidad con la metodología para la formulación de los proyectos de inversión establecida por el Departamento Nacional de Planeación.</w:t>
      </w:r>
    </w:p>
    <w:p w14:paraId="6B44DF8C"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Fonts w:ascii="Verdana" w:hAnsi="Verdana" w:cs="Arial"/>
          <w:sz w:val="16"/>
          <w:szCs w:val="16"/>
        </w:rPr>
        <w:t>En todo caso, no podrán financiarse gastos permanentes y, una vez terminada la etapa de inversión, la prestación del servicio debe ser sostenible y financiada por recursos diferentes al Sistema General de Regalías.</w:t>
      </w:r>
    </w:p>
    <w:p w14:paraId="4C40FC6A"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Style w:val="baj"/>
          <w:rFonts w:ascii="Verdana" w:hAnsi="Verdana" w:cs="Arial"/>
          <w:bCs/>
          <w:sz w:val="16"/>
          <w:szCs w:val="16"/>
        </w:rPr>
        <w:t>Parágrafo.</w:t>
      </w:r>
      <w:r w:rsidRPr="000F19C0">
        <w:rPr>
          <w:rFonts w:ascii="Verdana" w:hAnsi="Verdana" w:cs="Arial"/>
          <w:sz w:val="16"/>
          <w:szCs w:val="16"/>
        </w:rPr>
        <w:t> Los recursos de que trata este artículo podrán ser usados para financiar parte del Programa de Alimentación Escolar (PAE) y del programa de transporte escolar</w:t>
      </w:r>
      <w:r w:rsidRPr="000F19C0">
        <w:rPr>
          <w:rFonts w:ascii="Verdana" w:hAnsi="Verdana" w:cs="Arial"/>
          <w:color w:val="000000" w:themeColor="text1"/>
          <w:sz w:val="16"/>
          <w:szCs w:val="16"/>
          <w:lang w:val="es-ES_tradnl"/>
        </w:rPr>
        <w:t>”</w:t>
      </w:r>
      <w:r w:rsidRPr="000F19C0">
        <w:rPr>
          <w:rFonts w:ascii="Verdana" w:hAnsi="Verdana" w:cs="Arial"/>
          <w:sz w:val="16"/>
          <w:szCs w:val="16"/>
        </w:rPr>
        <w:t>.</w:t>
      </w:r>
    </w:p>
  </w:footnote>
  <w:footnote w:id="6">
    <w:p w14:paraId="74204067"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Style w:val="Refdenotaalpie"/>
          <w:rFonts w:ascii="Verdana" w:hAnsi="Verdana" w:cs="Arial"/>
          <w:sz w:val="16"/>
          <w:szCs w:val="16"/>
        </w:rPr>
        <w:footnoteRef/>
      </w:r>
      <w:r w:rsidRPr="000F19C0">
        <w:rPr>
          <w:rFonts w:ascii="Verdana" w:hAnsi="Verdana" w:cs="Arial"/>
          <w:sz w:val="16"/>
          <w:szCs w:val="16"/>
        </w:rPr>
        <w:t xml:space="preserve"> </w:t>
      </w:r>
      <w:bookmarkStart w:id="4" w:name="35"/>
      <w:r w:rsidRPr="000F19C0">
        <w:rPr>
          <w:rFonts w:ascii="Verdana" w:hAnsi="Verdana" w:cs="Arial"/>
          <w:sz w:val="16"/>
          <w:szCs w:val="16"/>
        </w:rPr>
        <w:t>“</w:t>
      </w:r>
      <w:r w:rsidRPr="000F19C0">
        <w:rPr>
          <w:rFonts w:ascii="Verdana" w:hAnsi="Verdana" w:cs="Arial"/>
          <w:bCs/>
          <w:sz w:val="16"/>
          <w:szCs w:val="16"/>
        </w:rPr>
        <w:t>Artículo 35. Priorización y aprobación de los proyectos de inversión de la asignación para la inversión regional.</w:t>
      </w:r>
      <w:bookmarkEnd w:id="4"/>
      <w:r w:rsidRPr="000F19C0">
        <w:rPr>
          <w:rFonts w:ascii="Verdana" w:hAnsi="Verdana" w:cs="Arial"/>
          <w:sz w:val="16"/>
          <w:szCs w:val="16"/>
        </w:rPr>
        <w:t> La priorización y aprobación de los proyectos de inversión de la Asignación para la Inversión Regional en cabeza de los departamentos estará a cargo de los respectivos departamentos.</w:t>
      </w:r>
    </w:p>
    <w:p w14:paraId="14539DB7"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Fonts w:ascii="Verdana" w:hAnsi="Verdana" w:cs="Arial"/>
          <w:sz w:val="16"/>
          <w:szCs w:val="16"/>
        </w:rPr>
        <w:t>La aprobación de los proyectos de inversión de la Asignación para la Inversión Regional en cabeza de las regiones se realizará por parte de los Órganos Colegiados de Administración y Decisión Regionales, previa priorización del proyecto, proceso que estará a cargo del Departamento Nacional de Planeación y un miembro de la entidad territorial designado por el OCAD, de conformidad con la reglamentación que se expida para el efecto.</w:t>
      </w:r>
    </w:p>
    <w:p w14:paraId="66D63757"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Fonts w:ascii="Verdana" w:hAnsi="Verdana" w:cs="Arial"/>
          <w:sz w:val="16"/>
          <w:szCs w:val="16"/>
        </w:rPr>
        <w:t>[…]</w:t>
      </w:r>
    </w:p>
    <w:p w14:paraId="4315F7D8"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Style w:val="baj"/>
          <w:rFonts w:ascii="Verdana" w:hAnsi="Verdana" w:cs="Arial"/>
          <w:bCs/>
          <w:sz w:val="16"/>
          <w:szCs w:val="16"/>
        </w:rPr>
        <w:t>Parágrafo 1o.</w:t>
      </w:r>
      <w:r w:rsidRPr="000F19C0">
        <w:rPr>
          <w:rFonts w:ascii="Verdana" w:hAnsi="Verdana" w:cs="Arial"/>
          <w:sz w:val="16"/>
          <w:szCs w:val="16"/>
        </w:rPr>
        <w:t> En las zonas no interconectadas del país, tendrán especial consideración los proyectos de energización, conectividad e infraestructura vial.</w:t>
      </w:r>
    </w:p>
    <w:p w14:paraId="3CD2013F"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Style w:val="baj"/>
          <w:rFonts w:ascii="Verdana" w:hAnsi="Verdana" w:cs="Arial"/>
          <w:bCs/>
          <w:sz w:val="16"/>
          <w:szCs w:val="16"/>
        </w:rPr>
        <w:t>Parágrafo 2o.</w:t>
      </w:r>
      <w:r w:rsidRPr="000F19C0">
        <w:rPr>
          <w:rFonts w:ascii="Verdana" w:hAnsi="Verdana" w:cs="Arial"/>
          <w:sz w:val="16"/>
          <w:szCs w:val="16"/>
        </w:rPr>
        <w:t> Los Departamentos y Órganos Colegiados de Administración y Decisión Regionales de que trata el presente artículo, en el marco de sus competencias, designarán al ejecutor el cual deberá ser de naturaleza pública; quien además estará a cargo de la contratación de la interventoría, de conformidad con lo previsto en la presente ley</w:t>
      </w:r>
      <w:r w:rsidRPr="000F19C0">
        <w:rPr>
          <w:rFonts w:ascii="Verdana" w:hAnsi="Verdana" w:cs="Arial"/>
          <w:sz w:val="16"/>
          <w:szCs w:val="16"/>
          <w:lang w:val="es-ES"/>
        </w:rPr>
        <w:t>”</w:t>
      </w:r>
      <w:r w:rsidRPr="000F19C0">
        <w:rPr>
          <w:rFonts w:ascii="Verdana" w:hAnsi="Verdana" w:cs="Arial"/>
          <w:sz w:val="16"/>
          <w:szCs w:val="16"/>
        </w:rPr>
        <w:t>.</w:t>
      </w:r>
    </w:p>
  </w:footnote>
  <w:footnote w:id="7">
    <w:p w14:paraId="5F869751"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Style w:val="Refdenotaalpie"/>
          <w:rFonts w:ascii="Verdana" w:hAnsi="Verdana" w:cs="Arial"/>
          <w:sz w:val="16"/>
          <w:szCs w:val="16"/>
        </w:rPr>
        <w:footnoteRef/>
      </w:r>
      <w:r w:rsidRPr="000F19C0">
        <w:rPr>
          <w:rFonts w:ascii="Verdana" w:hAnsi="Verdana" w:cs="Arial"/>
          <w:sz w:val="16"/>
          <w:szCs w:val="16"/>
        </w:rPr>
        <w:t xml:space="preserve"> “</w:t>
      </w:r>
      <w:bookmarkStart w:id="5" w:name="36"/>
      <w:r w:rsidRPr="000F19C0">
        <w:rPr>
          <w:rFonts w:ascii="Verdana" w:hAnsi="Verdana" w:cs="Arial"/>
          <w:sz w:val="16"/>
          <w:szCs w:val="16"/>
        </w:rPr>
        <w:t xml:space="preserve">Artículo 36. </w:t>
      </w:r>
      <w:r w:rsidRPr="000F19C0">
        <w:rPr>
          <w:rFonts w:ascii="Verdana" w:hAnsi="Verdana" w:cs="Arial"/>
          <w:bCs/>
          <w:sz w:val="16"/>
          <w:szCs w:val="16"/>
        </w:rPr>
        <w:t>Priorización y aprobación de proyectos de inversión para las asignaciones directas y asignación para la inversión local.</w:t>
      </w:r>
      <w:bookmarkEnd w:id="5"/>
      <w:r w:rsidRPr="000F19C0">
        <w:rPr>
          <w:rFonts w:ascii="Verdana" w:hAnsi="Verdana" w:cs="Arial"/>
          <w:sz w:val="16"/>
          <w:szCs w:val="16"/>
        </w:rPr>
        <w:t xml:space="preserve"> Las entidades territoriales receptoras de Asignaciones Directas y de la Asignación para la Inversión Local, serán las encargadas de priorizar y aprobar los proyectos de inversión que se financiarán con cargo a los recursos que le sean asignados por el Sistema General de Regalías, así como de verificar su disponibilidad, conforme con la metodología del Departamento Nacional de Planeación.</w:t>
      </w:r>
    </w:p>
    <w:p w14:paraId="4967D890"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Style w:val="baj"/>
          <w:rFonts w:ascii="Verdana" w:hAnsi="Verdana" w:cs="Arial"/>
          <w:bCs/>
          <w:sz w:val="16"/>
          <w:szCs w:val="16"/>
        </w:rPr>
        <w:t>Parágrafo.</w:t>
      </w:r>
      <w:r w:rsidRPr="000F19C0">
        <w:rPr>
          <w:rFonts w:ascii="Verdana" w:hAnsi="Verdana" w:cs="Arial"/>
          <w:sz w:val="16"/>
          <w:szCs w:val="16"/>
        </w:rPr>
        <w:t xml:space="preserve"> Las entidades territoriales receptoras de la Asignación para la Inversión Local deberán priorizar la inversión de los recursos de esta asignación en sectores que contribuyan y produzcan mayores cambios positivos al cierre de brechas territoriales de desarrollo económico, social, ambiental, agropecuario y para la infraestructura vial.</w:t>
      </w:r>
    </w:p>
    <w:p w14:paraId="2FEBF9DC"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Fonts w:ascii="Verdana" w:hAnsi="Verdana" w:cs="Arial"/>
          <w:sz w:val="16"/>
          <w:szCs w:val="16"/>
        </w:rPr>
        <w:t>Para tal efecto, el Departamento Nacional de Planeación establecerá la metodología para la priorización de sectores de inversión para el cierre de brechas de desarrollo económico, social, ambiental, agropecuario y para la infraestructura vial, entre otros, la cual podrá incluir una estrategia de implementación dirigida a las entidades territoriales.</w:t>
      </w:r>
    </w:p>
    <w:p w14:paraId="0ADD35D5"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Fonts w:ascii="Verdana" w:hAnsi="Verdana" w:cs="Arial"/>
          <w:sz w:val="16"/>
          <w:szCs w:val="16"/>
        </w:rPr>
        <w:t>Cuando las entidades territoriales hayan reducido las brechas de desarrollo económico, social, ambiental, agropecuario y para la infraestructura vial en el rango de porcentaje o nivel establecido por la metodología de la que trata el inciso anterior, podrán invertir los recursos en otros sectores.</w:t>
      </w:r>
    </w:p>
    <w:p w14:paraId="6366D5BD" w14:textId="77777777" w:rsidR="00345D1A" w:rsidRPr="000F19C0" w:rsidRDefault="00345D1A" w:rsidP="00345D1A">
      <w:pPr>
        <w:pStyle w:val="Textonotapie"/>
        <w:ind w:firstLine="708"/>
        <w:jc w:val="both"/>
        <w:rPr>
          <w:rFonts w:ascii="Verdana" w:hAnsi="Verdana"/>
          <w:sz w:val="16"/>
          <w:szCs w:val="16"/>
          <w:lang w:val="es-CO"/>
        </w:rPr>
      </w:pPr>
      <w:r w:rsidRPr="000F19C0">
        <w:rPr>
          <w:rStyle w:val="baj"/>
          <w:rFonts w:ascii="Verdana" w:hAnsi="Verdana" w:cs="Arial"/>
          <w:bCs/>
          <w:sz w:val="16"/>
          <w:szCs w:val="16"/>
        </w:rPr>
        <w:t>Parágrafo transitorio.</w:t>
      </w:r>
      <w:r w:rsidRPr="000F19C0">
        <w:rPr>
          <w:rFonts w:ascii="Verdana" w:hAnsi="Verdana" w:cs="Arial"/>
          <w:sz w:val="16"/>
          <w:szCs w:val="16"/>
        </w:rPr>
        <w:t> Para el año 2021 no aplicará la metodología de cierre de brechas de que trata el parágrafo anterior dirigida a las entidades territoriales receptoras de la Asignación para la Inversión Local</w:t>
      </w:r>
      <w:r w:rsidRPr="000F19C0">
        <w:rPr>
          <w:rFonts w:ascii="Verdana" w:hAnsi="Verdana" w:cs="Arial"/>
          <w:sz w:val="16"/>
          <w:szCs w:val="16"/>
          <w:lang w:val="es-ES"/>
        </w:rPr>
        <w:t>”</w:t>
      </w:r>
      <w:r w:rsidRPr="000F19C0">
        <w:rPr>
          <w:rFonts w:ascii="Verdana" w:hAnsi="Verdana" w:cs="Arial"/>
          <w:sz w:val="16"/>
          <w:szCs w:val="16"/>
        </w:rPr>
        <w:t>.</w:t>
      </w:r>
    </w:p>
  </w:footnote>
  <w:footnote w:id="8">
    <w:p w14:paraId="7B2297B0" w14:textId="77777777" w:rsidR="00345D1A" w:rsidRPr="000F19C0" w:rsidRDefault="00345D1A" w:rsidP="00345D1A">
      <w:pPr>
        <w:spacing w:after="0" w:line="240" w:lineRule="auto"/>
        <w:ind w:firstLine="708"/>
        <w:jc w:val="both"/>
        <w:rPr>
          <w:rFonts w:ascii="Verdana" w:hAnsi="Verdana" w:cs="Arial"/>
          <w:sz w:val="16"/>
          <w:szCs w:val="16"/>
        </w:rPr>
      </w:pPr>
      <w:r w:rsidRPr="000F19C0">
        <w:rPr>
          <w:rStyle w:val="Refdenotaalpie"/>
          <w:rFonts w:ascii="Verdana" w:hAnsi="Verdana" w:cs="Arial"/>
          <w:sz w:val="16"/>
          <w:szCs w:val="16"/>
        </w:rPr>
        <w:footnoteRef/>
      </w:r>
      <w:r w:rsidRPr="000F19C0">
        <w:rPr>
          <w:rFonts w:ascii="Verdana" w:hAnsi="Verdana" w:cs="Arial"/>
          <w:sz w:val="16"/>
          <w:szCs w:val="16"/>
        </w:rPr>
        <w:t xml:space="preserve"> </w:t>
      </w:r>
      <w:bookmarkStart w:id="6" w:name="37"/>
      <w:r w:rsidRPr="000F19C0">
        <w:rPr>
          <w:rFonts w:ascii="Verdana" w:hAnsi="Verdana" w:cs="Arial"/>
          <w:sz w:val="16"/>
          <w:szCs w:val="16"/>
        </w:rPr>
        <w:t>“</w:t>
      </w:r>
      <w:r w:rsidRPr="000F19C0">
        <w:rPr>
          <w:rFonts w:ascii="Verdana" w:hAnsi="Verdana" w:cs="Arial"/>
          <w:bCs/>
          <w:sz w:val="16"/>
          <w:szCs w:val="16"/>
        </w:rPr>
        <w:t>Artículo 37. ejecución de proyectos de inversión.</w:t>
      </w:r>
      <w:bookmarkEnd w:id="6"/>
      <w:r w:rsidRPr="000F19C0">
        <w:rPr>
          <w:rFonts w:ascii="Verdana" w:hAnsi="Verdana" w:cs="Arial"/>
          <w:sz w:val="16"/>
          <w:szCs w:val="16"/>
        </w:rPr>
        <w:t> los proyectos de inversión que se financien con cargo al sistema general de regalías serán ejecutados por quien designe las entidades u órganos de que tratan los artículos </w:t>
      </w:r>
      <w:hyperlink r:id="rId1" w:anchor="35" w:history="1">
        <w:r w:rsidRPr="000F19C0">
          <w:rPr>
            <w:rFonts w:ascii="Verdana" w:hAnsi="Verdana" w:cs="Arial"/>
            <w:sz w:val="16"/>
            <w:szCs w:val="16"/>
          </w:rPr>
          <w:t>35</w:t>
        </w:r>
      </w:hyperlink>
      <w:r w:rsidRPr="000F19C0">
        <w:rPr>
          <w:rFonts w:ascii="Verdana" w:hAnsi="Verdana" w:cs="Arial"/>
          <w:sz w:val="16"/>
          <w:szCs w:val="16"/>
        </w:rPr>
        <w:t> y </w:t>
      </w:r>
      <w:hyperlink r:id="rId2" w:anchor="36" w:history="1">
        <w:r w:rsidRPr="000F19C0">
          <w:rPr>
            <w:rFonts w:ascii="Verdana" w:hAnsi="Verdana" w:cs="Arial"/>
            <w:sz w:val="16"/>
            <w:szCs w:val="16"/>
          </w:rPr>
          <w:t>36</w:t>
        </w:r>
      </w:hyperlink>
      <w:r w:rsidRPr="000F19C0">
        <w:rPr>
          <w:rFonts w:ascii="Verdana" w:hAnsi="Verdana" w:cs="Arial"/>
          <w:sz w:val="16"/>
          <w:szCs w:val="16"/>
        </w:rPr>
        <w:t> de la presente ley. así mismo, la entidad ejecutora estará a cargo de la contratación de la interventoría, de conformidad con lo previsto en la presente ley.</w:t>
      </w:r>
    </w:p>
    <w:p w14:paraId="79222795" w14:textId="77777777" w:rsidR="00345D1A" w:rsidRPr="000F19C0" w:rsidRDefault="00345D1A" w:rsidP="00345D1A">
      <w:pPr>
        <w:spacing w:after="0" w:line="240" w:lineRule="auto"/>
        <w:ind w:firstLine="708"/>
        <w:jc w:val="both"/>
        <w:rPr>
          <w:rFonts w:ascii="Verdana" w:hAnsi="Verdana" w:cs="Arial"/>
          <w:sz w:val="16"/>
          <w:szCs w:val="16"/>
        </w:rPr>
      </w:pPr>
      <w:r w:rsidRPr="000F19C0">
        <w:rPr>
          <w:rFonts w:ascii="Verdana" w:hAnsi="Verdana" w:cs="Arial"/>
          <w:sz w:val="16"/>
          <w:szCs w:val="16"/>
        </w:rPr>
        <w:t>Las entidades ejecutoras de recursos del sistema son responsables de suministrar de forma veraz, oportuna e idónea, la información de la gestión de los proyectos que se requiera e implementar las acciones que sean pertinentes para encauzar el desempeño de los proyectos de inversión y decidir, de manera motivada, sobre la continuidad de los mismos, sin perjuicio de las acciones de control a las que haya lugar.</w:t>
      </w:r>
    </w:p>
    <w:p w14:paraId="2E556781" w14:textId="77777777" w:rsidR="00345D1A" w:rsidRPr="000F19C0" w:rsidRDefault="00345D1A" w:rsidP="00345D1A">
      <w:pPr>
        <w:spacing w:after="0" w:line="240" w:lineRule="auto"/>
        <w:ind w:firstLine="708"/>
        <w:jc w:val="both"/>
        <w:rPr>
          <w:rFonts w:ascii="Verdana" w:hAnsi="Verdana" w:cs="Arial"/>
          <w:sz w:val="16"/>
          <w:szCs w:val="16"/>
        </w:rPr>
      </w:pPr>
      <w:r w:rsidRPr="000F19C0">
        <w:rPr>
          <w:rFonts w:ascii="Verdana" w:hAnsi="Verdana" w:cs="Arial"/>
          <w:bCs/>
          <w:sz w:val="16"/>
          <w:szCs w:val="16"/>
        </w:rPr>
        <w:t>Parágrafo 1o.</w:t>
      </w:r>
      <w:r w:rsidRPr="000F19C0">
        <w:rPr>
          <w:rFonts w:ascii="Verdana" w:hAnsi="Verdana" w:cs="Arial"/>
          <w:sz w:val="16"/>
          <w:szCs w:val="16"/>
        </w:rPr>
        <w:t xml:space="preserve"> La ejecución de proyectos de que trata este artículo, se adelantará, con estricta sujeción al régimen presupuestal definido en esta ley, al de contratación pública y las demás normas legales vigentes. el ejecutor garantizará la correcta ejecución de los recursos asignados al proyecto de inversión, así como el suministro y registro de la información requerida por el sistema de seguimiento, evaluación y control.</w:t>
      </w:r>
    </w:p>
    <w:p w14:paraId="1D709AC1" w14:textId="77777777" w:rsidR="00345D1A" w:rsidRPr="000F19C0" w:rsidRDefault="00345D1A" w:rsidP="00345D1A">
      <w:pPr>
        <w:spacing w:after="0" w:line="240" w:lineRule="auto"/>
        <w:ind w:firstLine="708"/>
        <w:jc w:val="both"/>
        <w:rPr>
          <w:rFonts w:ascii="Verdana" w:hAnsi="Verdana" w:cs="Arial"/>
          <w:sz w:val="16"/>
          <w:szCs w:val="16"/>
        </w:rPr>
      </w:pPr>
      <w:r w:rsidRPr="000F19C0">
        <w:rPr>
          <w:rFonts w:ascii="Verdana" w:hAnsi="Verdana" w:cs="Arial"/>
          <w:bCs/>
          <w:sz w:val="16"/>
          <w:szCs w:val="16"/>
        </w:rPr>
        <w:t>Parágrafo 2o.</w:t>
      </w:r>
      <w:r w:rsidRPr="000F19C0">
        <w:rPr>
          <w:rFonts w:ascii="Verdana" w:hAnsi="Verdana" w:cs="Arial"/>
          <w:sz w:val="16"/>
          <w:szCs w:val="16"/>
        </w:rPr>
        <w:t xml:space="preserve"> Las entidades territoriales beneficiarias de asignaciones directas, la asignación para la inversión local y del 60% de la asignación para la inversión regional en cabeza de los departamentos podrán ejecutar directamente estos recursos o la entidad ejecutora que designe.</w:t>
      </w:r>
    </w:p>
    <w:p w14:paraId="03ED9E42" w14:textId="77777777" w:rsidR="00345D1A" w:rsidRPr="000F19C0" w:rsidRDefault="00345D1A" w:rsidP="00345D1A">
      <w:pPr>
        <w:spacing w:after="0" w:line="240" w:lineRule="auto"/>
        <w:ind w:firstLine="708"/>
        <w:jc w:val="both"/>
        <w:rPr>
          <w:rFonts w:ascii="Verdana" w:hAnsi="Verdana" w:cs="Arial"/>
          <w:sz w:val="16"/>
          <w:szCs w:val="16"/>
        </w:rPr>
      </w:pPr>
      <w:r w:rsidRPr="000F19C0">
        <w:rPr>
          <w:rFonts w:ascii="Verdana" w:hAnsi="Verdana" w:cs="Arial"/>
          <w:bCs/>
          <w:sz w:val="16"/>
          <w:szCs w:val="16"/>
        </w:rPr>
        <w:t>Parágrafo 3o.</w:t>
      </w:r>
      <w:r w:rsidRPr="000F19C0">
        <w:rPr>
          <w:rFonts w:ascii="Verdana" w:hAnsi="Verdana" w:cs="Arial"/>
          <w:sz w:val="16"/>
          <w:szCs w:val="16"/>
        </w:rPr>
        <w:t xml:space="preserve"> La entidad designada ejecutora por las entidades u órganos de que tratan los artículos </w:t>
      </w:r>
      <w:hyperlink r:id="rId3" w:anchor="35" w:history="1">
        <w:r w:rsidRPr="000F19C0">
          <w:rPr>
            <w:rFonts w:ascii="Verdana" w:hAnsi="Verdana" w:cs="Arial"/>
            <w:sz w:val="16"/>
            <w:szCs w:val="16"/>
          </w:rPr>
          <w:t>35</w:t>
        </w:r>
      </w:hyperlink>
      <w:r w:rsidRPr="000F19C0">
        <w:rPr>
          <w:rFonts w:ascii="Verdana" w:hAnsi="Verdana" w:cs="Arial"/>
          <w:sz w:val="16"/>
          <w:szCs w:val="16"/>
        </w:rPr>
        <w:t xml:space="preserve"> y </w:t>
      </w:r>
      <w:hyperlink r:id="rId4" w:anchor="36" w:history="1">
        <w:r w:rsidRPr="000F19C0">
          <w:rPr>
            <w:rFonts w:ascii="Verdana" w:hAnsi="Verdana" w:cs="Arial"/>
            <w:sz w:val="16"/>
            <w:szCs w:val="16"/>
          </w:rPr>
          <w:t>36</w:t>
        </w:r>
      </w:hyperlink>
      <w:r w:rsidRPr="000F19C0">
        <w:rPr>
          <w:rFonts w:ascii="Verdana" w:hAnsi="Verdana" w:cs="Arial"/>
          <w:sz w:val="16"/>
          <w:szCs w:val="16"/>
        </w:rPr>
        <w:t>, deberá expedir el acto administrativo que ordena la apertura del proceso de selección o acto administrativo unilateral que decreta el gasto con cargo a los recursos asignados, a más tardar dentro de los seis (6) meses contados a partir de la publicación del acuerdo de aprobación del proyecto de inversión que emita la entidad o instancia, según corresponda, y será la responsable de verificar el cumplimiento de los requisitos legales para el inicio de la ejecución del proyecto de inversión.</w:t>
      </w:r>
    </w:p>
    <w:p w14:paraId="4DDCE9AC" w14:textId="77777777" w:rsidR="00345D1A" w:rsidRPr="000F19C0" w:rsidRDefault="00345D1A" w:rsidP="00345D1A">
      <w:pPr>
        <w:spacing w:after="0" w:line="240" w:lineRule="auto"/>
        <w:ind w:firstLine="708"/>
        <w:jc w:val="both"/>
        <w:rPr>
          <w:rFonts w:ascii="Verdana" w:hAnsi="Verdana" w:cs="Arial"/>
          <w:sz w:val="16"/>
          <w:szCs w:val="16"/>
        </w:rPr>
      </w:pPr>
      <w:r w:rsidRPr="000F19C0">
        <w:rPr>
          <w:rFonts w:ascii="Verdana" w:hAnsi="Verdana" w:cs="Arial"/>
          <w:sz w:val="16"/>
          <w:szCs w:val="16"/>
        </w:rPr>
        <w:t>En caso de no cumplirse lo anterior, las entidades u órganos liberarán automáticamente los recursos para la aprobación de nuevos proyectos de inversión y reportarán estos casos al sistema de seguimiento, evaluación y control para que se tengan en cuenta en la medición del desempeño en la gestión de los recursos del sistema general de regalías y a los órganos de control.</w:t>
      </w:r>
    </w:p>
    <w:p w14:paraId="2EFD3EF5" w14:textId="77777777" w:rsidR="00345D1A" w:rsidRPr="000F19C0" w:rsidRDefault="00345D1A" w:rsidP="00345D1A">
      <w:pPr>
        <w:spacing w:after="0" w:line="240" w:lineRule="auto"/>
        <w:ind w:firstLine="708"/>
        <w:jc w:val="both"/>
        <w:rPr>
          <w:rFonts w:ascii="Verdana" w:hAnsi="Verdana"/>
          <w:sz w:val="16"/>
          <w:szCs w:val="16"/>
        </w:rPr>
      </w:pPr>
      <w:r w:rsidRPr="000F19C0">
        <w:rPr>
          <w:rFonts w:ascii="Verdana" w:hAnsi="Verdana" w:cs="Arial"/>
          <w:sz w:val="16"/>
          <w:szCs w:val="16"/>
        </w:rPr>
        <w:t>Se exceptúan los casos en los que por causas no atribuibles a la entidad designada como ejecutora no se logre expedir el acto administrativo que ordena la apertura del proceso de selección o acto administrativo unilateral que decreta el gasto con cargo a los recursos asignados en los seis (6) meses, caso en el cual las entidades u órganos podrán prorrogar hasta por doce (12) meses más lo estipulado en este parágrafo. la comisión rectora del sistema general de regalías reglamentará estos casos</w:t>
      </w:r>
      <w:r w:rsidRPr="000F19C0">
        <w:rPr>
          <w:rFonts w:ascii="Verdana" w:hAnsi="Verdana" w:cs="Arial"/>
          <w:sz w:val="16"/>
          <w:szCs w:val="16"/>
          <w:lang w:val="es-ES"/>
        </w:rPr>
        <w:t>”</w:t>
      </w:r>
      <w:r w:rsidRPr="000F19C0">
        <w:rPr>
          <w:rFonts w:ascii="Verdana" w:hAnsi="Verdana" w:cs="Arial"/>
          <w:sz w:val="16"/>
          <w:szCs w:val="16"/>
        </w:rPr>
        <w:t>.</w:t>
      </w:r>
    </w:p>
  </w:footnote>
  <w:footnote w:id="9">
    <w:p w14:paraId="4464FDD1" w14:textId="77777777" w:rsidR="00345D1A" w:rsidRPr="000F19C0" w:rsidRDefault="00345D1A" w:rsidP="00345D1A">
      <w:pPr>
        <w:pStyle w:val="Textonotapie"/>
        <w:ind w:firstLine="709"/>
        <w:jc w:val="both"/>
        <w:rPr>
          <w:rFonts w:ascii="Verdana" w:hAnsi="Verdana" w:cs="Arial"/>
          <w:color w:val="000000" w:themeColor="text1"/>
          <w:sz w:val="16"/>
          <w:szCs w:val="16"/>
        </w:rPr>
      </w:pPr>
      <w:r w:rsidRPr="000F19C0">
        <w:rPr>
          <w:rStyle w:val="Refdenotaalpie"/>
          <w:rFonts w:ascii="Verdana" w:hAnsi="Verdana" w:cs="Arial"/>
          <w:sz w:val="16"/>
          <w:szCs w:val="16"/>
        </w:rPr>
        <w:footnoteRef/>
      </w:r>
      <w:r w:rsidRPr="000F19C0">
        <w:rPr>
          <w:rFonts w:ascii="Verdana" w:hAnsi="Verdana" w:cs="Arial"/>
          <w:sz w:val="16"/>
          <w:szCs w:val="16"/>
        </w:rPr>
        <w:t xml:space="preserve"> </w:t>
      </w:r>
      <w:r w:rsidRPr="000F19C0">
        <w:rPr>
          <w:rFonts w:ascii="Verdana" w:hAnsi="Verdana" w:cs="Arial"/>
          <w:color w:val="000000" w:themeColor="text1"/>
          <w:sz w:val="16"/>
          <w:szCs w:val="16"/>
        </w:rPr>
        <w:t xml:space="preserve">Consejo de Estado. Sentencia del 28 de junio de 2012. Rad. Nro. 21990. C.P: Ruth Stella Correa Palacio. </w:t>
      </w:r>
    </w:p>
  </w:footnote>
  <w:footnote w:id="10">
    <w:p w14:paraId="716A1955" w14:textId="77777777" w:rsidR="00345D1A" w:rsidRPr="000F19C0" w:rsidRDefault="00345D1A" w:rsidP="00345D1A">
      <w:pPr>
        <w:pStyle w:val="Textonotapie"/>
        <w:ind w:firstLine="709"/>
        <w:jc w:val="both"/>
        <w:rPr>
          <w:rFonts w:ascii="Verdana" w:hAnsi="Verdana" w:cs="Arial"/>
          <w:iCs/>
          <w:sz w:val="16"/>
          <w:szCs w:val="16"/>
        </w:rPr>
      </w:pPr>
      <w:r w:rsidRPr="000F19C0">
        <w:rPr>
          <w:rStyle w:val="Refdenotaalpie"/>
          <w:rFonts w:ascii="Verdana" w:hAnsi="Verdana" w:cs="Arial"/>
          <w:sz w:val="16"/>
          <w:szCs w:val="16"/>
        </w:rPr>
        <w:footnoteRef/>
      </w:r>
      <w:r w:rsidRPr="000F19C0">
        <w:rPr>
          <w:rFonts w:ascii="Verdana" w:hAnsi="Verdana" w:cs="Arial"/>
          <w:sz w:val="16"/>
          <w:szCs w:val="16"/>
        </w:rPr>
        <w:t xml:space="preserve"> </w:t>
      </w:r>
      <w:r w:rsidRPr="000F19C0">
        <w:rPr>
          <w:rFonts w:ascii="Verdana" w:hAnsi="Verdana" w:cs="Arial"/>
          <w:iCs/>
          <w:sz w:val="16"/>
          <w:szCs w:val="16"/>
          <w:lang w:val="es-CO"/>
        </w:rPr>
        <w:t xml:space="preserve">IBAÑEZ NAJAR, Jorge Enrique. </w:t>
      </w:r>
      <w:r w:rsidRPr="000F19C0">
        <w:rPr>
          <w:rFonts w:ascii="Verdana" w:hAnsi="Verdana" w:cs="Arial"/>
          <w:iCs/>
          <w:sz w:val="16"/>
          <w:szCs w:val="16"/>
        </w:rPr>
        <w:t xml:space="preserve">La conmutatividad del contrato estatal y su equilibrio económico y financiero. La obligación de conservarlo, su ruptura y la obligación de restablecerlo según la ley </w:t>
      </w:r>
      <w:r w:rsidRPr="000F19C0">
        <w:rPr>
          <w:rFonts w:ascii="Verdana" w:hAnsi="Verdana" w:cs="Arial"/>
          <w:iCs/>
          <w:sz w:val="16"/>
          <w:szCs w:val="16"/>
          <w:lang w:val="es-CO"/>
        </w:rPr>
        <w:t>y la jurisprudencia. En: PALACIO JARAMILLO, María Teresa (editora académica). Contratos Estatales. Tomo II. 2022. Bogotá: Universidad del Rosario. P. 630</w:t>
      </w:r>
    </w:p>
  </w:footnote>
  <w:footnote w:id="11">
    <w:p w14:paraId="0E5ACCFD" w14:textId="77777777" w:rsidR="00345D1A" w:rsidRPr="000F19C0" w:rsidRDefault="00345D1A" w:rsidP="00345D1A">
      <w:pPr>
        <w:pStyle w:val="Textonotapie"/>
        <w:ind w:firstLine="708"/>
        <w:jc w:val="both"/>
        <w:rPr>
          <w:rFonts w:ascii="Verdana" w:hAnsi="Verdana"/>
          <w:sz w:val="16"/>
          <w:szCs w:val="16"/>
          <w:lang w:val="es-CO"/>
        </w:rPr>
      </w:pPr>
      <w:r w:rsidRPr="000F19C0">
        <w:rPr>
          <w:rStyle w:val="Refdenotaalpie"/>
          <w:rFonts w:ascii="Verdana" w:hAnsi="Verdana"/>
          <w:sz w:val="16"/>
          <w:szCs w:val="16"/>
        </w:rPr>
        <w:footnoteRef/>
      </w:r>
      <w:r w:rsidRPr="000F19C0">
        <w:rPr>
          <w:rFonts w:ascii="Verdana" w:hAnsi="Verdana"/>
          <w:sz w:val="16"/>
          <w:szCs w:val="16"/>
        </w:rPr>
        <w:t xml:space="preserve"> CONSEJO DE ESTADO. Sección Tercera. Subsección C. Sentencia del 20 de abril de 2022. Exp. 56508. C.P. Nicolás Yepes Corrales.</w:t>
      </w:r>
    </w:p>
  </w:footnote>
  <w:footnote w:id="12">
    <w:p w14:paraId="4C76CA2B" w14:textId="77777777" w:rsidR="00345D1A" w:rsidRPr="000F19C0" w:rsidRDefault="00345D1A" w:rsidP="00345D1A">
      <w:pPr>
        <w:pStyle w:val="Textonotapie"/>
        <w:ind w:firstLine="709"/>
        <w:jc w:val="both"/>
        <w:rPr>
          <w:rFonts w:ascii="Verdana" w:hAnsi="Verdana" w:cs="Arial"/>
          <w:sz w:val="16"/>
          <w:szCs w:val="16"/>
          <w:lang w:val="es-CO"/>
        </w:rPr>
      </w:pPr>
      <w:r w:rsidRPr="000F19C0">
        <w:rPr>
          <w:rStyle w:val="Refdenotaalpie"/>
          <w:rFonts w:ascii="Verdana" w:hAnsi="Verdana" w:cs="Arial"/>
          <w:sz w:val="16"/>
          <w:szCs w:val="16"/>
        </w:rPr>
        <w:footnoteRef/>
      </w:r>
      <w:r w:rsidRPr="000F19C0">
        <w:rPr>
          <w:rFonts w:ascii="Verdana" w:hAnsi="Verdana" w:cs="Arial"/>
          <w:sz w:val="16"/>
          <w:szCs w:val="16"/>
        </w:rPr>
        <w:t xml:space="preserve">  Consejo de Estado. Sección Tercera. Sentencia del 31 de agosto de 2011. Exp. 18.080. CP.: Ruth Stella Correa Palacio. Reiterada en </w:t>
      </w:r>
      <w:r w:rsidRPr="000F19C0">
        <w:rPr>
          <w:rFonts w:ascii="Verdana" w:hAnsi="Verdana" w:cs="Arial"/>
          <w:sz w:val="16"/>
          <w:szCs w:val="16"/>
          <w:lang w:val="es-CO"/>
        </w:rPr>
        <w:t xml:space="preserve">Sentencia del 8 de febrero de 2012. Exp. 20344. </w:t>
      </w:r>
      <w:r w:rsidRPr="000F19C0">
        <w:rPr>
          <w:rFonts w:ascii="Verdana" w:hAnsi="Verdana" w:cs="Arial"/>
          <w:sz w:val="16"/>
          <w:szCs w:val="16"/>
        </w:rPr>
        <w:t>También ver: Consejo de Estado, Sección Tercera, sentencia de 9 de mayo de 1996, exp. 10.151, reiterada en sentencias de 29 de abril y 21 de julio de 1999, exp. 14.885 y exp. 14.943, C.P. Daniel Suárez Hernández.</w:t>
      </w:r>
    </w:p>
  </w:footnote>
  <w:footnote w:id="13">
    <w:p w14:paraId="0436BFAC" w14:textId="77777777" w:rsidR="00345D1A" w:rsidRPr="00A96D58" w:rsidRDefault="00345D1A" w:rsidP="00345D1A">
      <w:pPr>
        <w:pStyle w:val="Textonotapie"/>
        <w:ind w:firstLine="708"/>
        <w:jc w:val="both"/>
        <w:rPr>
          <w:rFonts w:ascii="Verdana" w:hAnsi="Verdana" w:cs="Arial"/>
          <w:sz w:val="16"/>
          <w:szCs w:val="16"/>
          <w:lang w:val="pt-BR"/>
        </w:rPr>
      </w:pPr>
      <w:r w:rsidRPr="000F19C0">
        <w:rPr>
          <w:rStyle w:val="Refdenotaalpie"/>
          <w:rFonts w:ascii="Verdana" w:hAnsi="Verdana" w:cs="Arial"/>
          <w:sz w:val="16"/>
          <w:szCs w:val="16"/>
        </w:rPr>
        <w:footnoteRef/>
      </w:r>
      <w:r w:rsidRPr="000F19C0">
        <w:rPr>
          <w:rFonts w:ascii="Verdana" w:hAnsi="Verdana" w:cs="Arial"/>
          <w:sz w:val="16"/>
          <w:szCs w:val="16"/>
        </w:rPr>
        <w:t xml:space="preserve"> Consejo de Estado. Sección Tercera. Sentencia del 29 de enero de 2018. </w:t>
      </w:r>
      <w:r w:rsidRPr="00A96D58">
        <w:rPr>
          <w:rFonts w:ascii="Verdana" w:hAnsi="Verdana" w:cs="Arial"/>
          <w:sz w:val="16"/>
          <w:szCs w:val="16"/>
          <w:lang w:val="pt-BR"/>
        </w:rPr>
        <w:t>Exp. 52.666 CP.: Jaime Orlando Santofimio Gamboa.</w:t>
      </w:r>
    </w:p>
  </w:footnote>
  <w:footnote w:id="14">
    <w:p w14:paraId="4363DA1D" w14:textId="77777777" w:rsidR="00345D1A" w:rsidRPr="00A96D58" w:rsidRDefault="00345D1A" w:rsidP="00345D1A">
      <w:pPr>
        <w:pStyle w:val="Textonotapie"/>
        <w:ind w:firstLine="708"/>
        <w:jc w:val="both"/>
        <w:rPr>
          <w:rFonts w:ascii="Verdana" w:hAnsi="Verdana" w:cs="Arial"/>
          <w:sz w:val="16"/>
          <w:szCs w:val="16"/>
          <w:lang w:val="pt-BR"/>
        </w:rPr>
      </w:pPr>
      <w:r w:rsidRPr="000F19C0">
        <w:rPr>
          <w:rStyle w:val="Refdenotaalpie"/>
          <w:rFonts w:ascii="Verdana" w:hAnsi="Verdana" w:cs="Arial"/>
          <w:sz w:val="16"/>
          <w:szCs w:val="16"/>
        </w:rPr>
        <w:footnoteRef/>
      </w:r>
      <w:r w:rsidRPr="00A96D58">
        <w:rPr>
          <w:rFonts w:ascii="Verdana" w:hAnsi="Verdana" w:cs="Arial"/>
          <w:sz w:val="16"/>
          <w:szCs w:val="16"/>
          <w:lang w:val="pt-BR"/>
        </w:rPr>
        <w:t xml:space="preserve"> Ibidem </w:t>
      </w:r>
    </w:p>
  </w:footnote>
  <w:footnote w:id="15">
    <w:p w14:paraId="68B35FF4" w14:textId="77777777" w:rsidR="00345D1A" w:rsidRPr="00A96D58" w:rsidRDefault="00345D1A" w:rsidP="00345D1A">
      <w:pPr>
        <w:pStyle w:val="Textonotapie"/>
        <w:ind w:firstLine="708"/>
        <w:jc w:val="both"/>
        <w:rPr>
          <w:rFonts w:ascii="Verdana" w:hAnsi="Verdana" w:cs="Arial"/>
          <w:sz w:val="16"/>
          <w:szCs w:val="16"/>
          <w:lang w:val="pt-BR"/>
        </w:rPr>
      </w:pPr>
      <w:r w:rsidRPr="000F19C0">
        <w:rPr>
          <w:rStyle w:val="Refdenotaalpie"/>
          <w:rFonts w:ascii="Verdana" w:hAnsi="Verdana" w:cs="Arial"/>
          <w:sz w:val="16"/>
          <w:szCs w:val="16"/>
        </w:rPr>
        <w:footnoteRef/>
      </w:r>
      <w:r w:rsidRPr="00A96D58">
        <w:rPr>
          <w:rFonts w:ascii="Verdana" w:hAnsi="Verdana" w:cs="Arial"/>
          <w:sz w:val="16"/>
          <w:szCs w:val="16"/>
          <w:lang w:val="pt-BR"/>
        </w:rPr>
        <w:t xml:space="preserve"> Consejo de Estado. </w:t>
      </w:r>
      <w:r w:rsidRPr="000F19C0">
        <w:rPr>
          <w:rFonts w:ascii="Verdana" w:hAnsi="Verdana" w:cs="Arial"/>
          <w:sz w:val="16"/>
          <w:szCs w:val="16"/>
        </w:rPr>
        <w:t>Sección Tercera.</w:t>
      </w:r>
      <w:r w:rsidRPr="000F19C0">
        <w:rPr>
          <w:rFonts w:ascii="Verdana" w:hAnsi="Verdana" w:cs="Arial"/>
          <w:sz w:val="16"/>
          <w:szCs w:val="16"/>
          <w:lang w:val="es-CO"/>
        </w:rPr>
        <w:t xml:space="preserve"> Subsección A.</w:t>
      </w:r>
      <w:r w:rsidRPr="000F19C0">
        <w:rPr>
          <w:rFonts w:ascii="Verdana" w:hAnsi="Verdana" w:cs="Arial"/>
          <w:sz w:val="16"/>
          <w:szCs w:val="16"/>
        </w:rPr>
        <w:t xml:space="preserve"> Sentencia del 6 de julio de 2022. Exp. 54.319 CP.: María Adriana Marín. Ver también: </w:t>
      </w:r>
      <w:r w:rsidRPr="000F19C0">
        <w:rPr>
          <w:rFonts w:ascii="Verdana" w:hAnsi="Verdana" w:cs="Arial"/>
          <w:sz w:val="16"/>
          <w:szCs w:val="16"/>
          <w:lang w:val="es-CO"/>
        </w:rPr>
        <w:t xml:space="preserve">Consejo de Estado. Sección Tercera. Subsección A. Sentencia del 3 de junio de 2022. Exp. 53299. </w:t>
      </w:r>
      <w:r w:rsidRPr="00A96D58">
        <w:rPr>
          <w:rFonts w:ascii="Verdana" w:hAnsi="Verdana" w:cs="Arial"/>
          <w:sz w:val="16"/>
          <w:szCs w:val="16"/>
          <w:lang w:val="pt-BR"/>
        </w:rPr>
        <w:t>C.P.: José Roberto Sáchica Méndez</w:t>
      </w:r>
    </w:p>
  </w:footnote>
  <w:footnote w:id="16">
    <w:p w14:paraId="4474F02D" w14:textId="77777777" w:rsidR="00345D1A" w:rsidRPr="00A96D58" w:rsidRDefault="00345D1A" w:rsidP="00345D1A">
      <w:pPr>
        <w:pStyle w:val="Textonotapie"/>
        <w:ind w:firstLine="709"/>
        <w:jc w:val="both"/>
        <w:rPr>
          <w:rFonts w:ascii="Verdana" w:hAnsi="Verdana" w:cs="Arial"/>
          <w:sz w:val="16"/>
          <w:szCs w:val="16"/>
          <w:lang w:val="pt-BR" w:bidi="es-ES"/>
        </w:rPr>
      </w:pPr>
      <w:r w:rsidRPr="000F19C0">
        <w:rPr>
          <w:rStyle w:val="Refdenotaalpie"/>
          <w:rFonts w:ascii="Verdana" w:hAnsi="Verdana" w:cs="Arial"/>
          <w:sz w:val="16"/>
          <w:szCs w:val="16"/>
        </w:rPr>
        <w:footnoteRef/>
      </w:r>
      <w:r w:rsidRPr="00A96D58">
        <w:rPr>
          <w:rFonts w:ascii="Verdana" w:hAnsi="Verdana" w:cs="Arial"/>
          <w:sz w:val="16"/>
          <w:szCs w:val="16"/>
          <w:lang w:val="pt-BR"/>
        </w:rPr>
        <w:t xml:space="preserve"> </w:t>
      </w:r>
      <w:r w:rsidRPr="00A96D58">
        <w:rPr>
          <w:rFonts w:ascii="Verdana" w:hAnsi="Verdana" w:cs="Arial"/>
          <w:sz w:val="16"/>
          <w:szCs w:val="16"/>
          <w:lang w:val="pt-BR" w:bidi="es-ES"/>
        </w:rPr>
        <w:t xml:space="preserve">Corte Constitucional. Sentencia C-416 de 2012. </w:t>
      </w:r>
    </w:p>
  </w:footnote>
  <w:footnote w:id="17">
    <w:p w14:paraId="552ED4B3" w14:textId="77777777" w:rsidR="00345D1A" w:rsidRPr="000F19C0" w:rsidRDefault="00345D1A" w:rsidP="00345D1A">
      <w:pPr>
        <w:pStyle w:val="Textonotapie"/>
        <w:ind w:firstLine="709"/>
        <w:jc w:val="both"/>
        <w:rPr>
          <w:rFonts w:ascii="Verdana" w:hAnsi="Verdana" w:cs="Arial"/>
          <w:sz w:val="16"/>
          <w:szCs w:val="16"/>
          <w:lang w:val="es-CO"/>
        </w:rPr>
      </w:pPr>
      <w:r w:rsidRPr="000F19C0">
        <w:rPr>
          <w:rStyle w:val="Refdenotaalpie"/>
          <w:rFonts w:ascii="Verdana" w:hAnsi="Verdana" w:cs="Arial"/>
          <w:sz w:val="16"/>
          <w:szCs w:val="16"/>
        </w:rPr>
        <w:footnoteRef/>
      </w:r>
      <w:r w:rsidRPr="000F19C0">
        <w:rPr>
          <w:rFonts w:ascii="Verdana" w:hAnsi="Verdana" w:cs="Arial"/>
          <w:sz w:val="16"/>
          <w:szCs w:val="16"/>
        </w:rPr>
        <w:t xml:space="preserve"> EXPÓSITO VÉLEZ, Juan Carlos. </w:t>
      </w:r>
      <w:r w:rsidRPr="000F19C0">
        <w:rPr>
          <w:rFonts w:ascii="Verdana" w:hAnsi="Verdana" w:cs="Arial"/>
          <w:sz w:val="16"/>
          <w:szCs w:val="16"/>
          <w:lang w:val="es-CO"/>
        </w:rPr>
        <w:t xml:space="preserve">Formas, formalidades y contenido del contrato estatal. Serie de derecho administrativo Nro. 34. Universidad Externado de Colombia. 2020. </w:t>
      </w:r>
    </w:p>
  </w:footnote>
  <w:footnote w:id="18">
    <w:p w14:paraId="00A2B584" w14:textId="77777777" w:rsidR="00345D1A" w:rsidRPr="000F19C0" w:rsidRDefault="00345D1A" w:rsidP="00345D1A">
      <w:pPr>
        <w:pStyle w:val="Textonotapie"/>
        <w:ind w:firstLine="708"/>
        <w:jc w:val="both"/>
        <w:rPr>
          <w:rFonts w:ascii="Verdana" w:hAnsi="Verdana"/>
          <w:sz w:val="16"/>
          <w:szCs w:val="16"/>
          <w:lang w:val="es-CO"/>
        </w:rPr>
      </w:pPr>
      <w:r w:rsidRPr="000F19C0">
        <w:rPr>
          <w:rStyle w:val="Refdenotaalpie"/>
          <w:rFonts w:ascii="Verdana" w:hAnsi="Verdana"/>
          <w:sz w:val="16"/>
          <w:szCs w:val="16"/>
        </w:rPr>
        <w:footnoteRef/>
      </w:r>
      <w:r w:rsidRPr="000F19C0">
        <w:rPr>
          <w:rFonts w:ascii="Verdana" w:hAnsi="Verdana"/>
          <w:sz w:val="16"/>
          <w:szCs w:val="16"/>
        </w:rPr>
        <w:t xml:space="preserve"> SANTOFIMIO GAMBOA, Jaime Orlando. Tratado de derecho administrativo: contratación indebida. Tomo IV. Bogotá: Universidad Externado de Colombia, 2004. pp. 388-389.</w:t>
      </w:r>
    </w:p>
  </w:footnote>
  <w:footnote w:id="19">
    <w:p w14:paraId="7D1A3E4C" w14:textId="77777777" w:rsidR="00345D1A" w:rsidRPr="000F19C0" w:rsidRDefault="00345D1A" w:rsidP="00345D1A">
      <w:pPr>
        <w:pStyle w:val="Textonotapie"/>
        <w:ind w:firstLine="708"/>
        <w:jc w:val="both"/>
        <w:rPr>
          <w:rFonts w:ascii="Verdana" w:hAnsi="Verdana"/>
          <w:sz w:val="16"/>
          <w:szCs w:val="16"/>
          <w:lang w:val="es-CO"/>
        </w:rPr>
      </w:pPr>
      <w:r w:rsidRPr="000F19C0">
        <w:rPr>
          <w:rStyle w:val="Refdenotaalpie"/>
          <w:rFonts w:ascii="Verdana" w:hAnsi="Verdana"/>
          <w:sz w:val="16"/>
          <w:szCs w:val="16"/>
        </w:rPr>
        <w:footnoteRef/>
      </w:r>
      <w:r w:rsidRPr="000F19C0">
        <w:rPr>
          <w:rFonts w:ascii="Verdana" w:hAnsi="Verdana"/>
          <w:sz w:val="16"/>
          <w:szCs w:val="16"/>
        </w:rPr>
        <w:t xml:space="preserve"> PINO RICCI, Jorge. El régimen jurídico de los contratos estatales. Bogotá: Universidad Externado de Colombia, 2005. pp. 376-377.</w:t>
      </w:r>
    </w:p>
  </w:footnote>
  <w:footnote w:id="20">
    <w:p w14:paraId="72D4F666" w14:textId="77777777" w:rsidR="00345D1A" w:rsidRPr="000F19C0" w:rsidRDefault="00345D1A" w:rsidP="00345D1A">
      <w:pPr>
        <w:pStyle w:val="Textonotapie"/>
        <w:ind w:firstLine="708"/>
        <w:jc w:val="both"/>
        <w:rPr>
          <w:rFonts w:ascii="Verdana" w:hAnsi="Verdana"/>
          <w:sz w:val="16"/>
          <w:szCs w:val="16"/>
          <w:lang w:val="pt-BR"/>
        </w:rPr>
      </w:pPr>
      <w:r w:rsidRPr="000F19C0">
        <w:rPr>
          <w:rStyle w:val="Refdenotaalpie"/>
          <w:rFonts w:ascii="Verdana" w:hAnsi="Verdana"/>
          <w:sz w:val="16"/>
          <w:szCs w:val="16"/>
        </w:rPr>
        <w:footnoteRef/>
      </w:r>
      <w:r w:rsidRPr="000F19C0">
        <w:rPr>
          <w:rFonts w:ascii="Verdana" w:hAnsi="Verdana"/>
          <w:sz w:val="16"/>
          <w:szCs w:val="16"/>
        </w:rPr>
        <w:t xml:space="preserve"> </w:t>
      </w:r>
      <w:r w:rsidRPr="000F19C0">
        <w:rPr>
          <w:rFonts w:ascii="Verdana" w:hAnsi="Verdana"/>
          <w:sz w:val="16"/>
          <w:szCs w:val="16"/>
          <w:lang w:val="es-CO"/>
        </w:rPr>
        <w:t xml:space="preserve">CONSEJO DE ESTADO. Sala Plena. Sección Tercera. Sentencia de Unificación del 19 de noviembre de 2012. </w:t>
      </w:r>
      <w:r w:rsidRPr="000F19C0">
        <w:rPr>
          <w:rFonts w:ascii="Verdana" w:hAnsi="Verdana"/>
          <w:sz w:val="16"/>
          <w:szCs w:val="16"/>
          <w:lang w:val="pt-BR"/>
        </w:rPr>
        <w:t>C.P. Jaime Orlando Santofimio Gamboa. Exp. 24987.</w:t>
      </w:r>
    </w:p>
  </w:footnote>
  <w:footnote w:id="21">
    <w:p w14:paraId="6EFD97F8" w14:textId="77777777" w:rsidR="00345D1A" w:rsidRPr="000F19C0" w:rsidRDefault="00345D1A" w:rsidP="00345D1A">
      <w:pPr>
        <w:pStyle w:val="Textonotapie"/>
        <w:ind w:firstLine="708"/>
        <w:jc w:val="both"/>
        <w:rPr>
          <w:rFonts w:ascii="Verdana" w:hAnsi="Verdana"/>
          <w:sz w:val="16"/>
          <w:szCs w:val="16"/>
          <w:lang w:val="pt-BR"/>
        </w:rPr>
      </w:pPr>
      <w:r w:rsidRPr="000F19C0">
        <w:rPr>
          <w:rStyle w:val="Refdenotaalpie"/>
          <w:rFonts w:ascii="Verdana" w:hAnsi="Verdana"/>
          <w:sz w:val="16"/>
          <w:szCs w:val="16"/>
        </w:rPr>
        <w:footnoteRef/>
      </w:r>
      <w:r w:rsidRPr="000F19C0">
        <w:rPr>
          <w:rFonts w:ascii="Verdana" w:hAnsi="Verdana"/>
          <w:sz w:val="16"/>
          <w:szCs w:val="16"/>
          <w:lang w:val="pt-BR"/>
        </w:rPr>
        <w:t xml:space="preserve"> CONSEJO DE ESTADO. </w:t>
      </w:r>
      <w:r w:rsidRPr="000F19C0">
        <w:rPr>
          <w:rFonts w:ascii="Verdana" w:hAnsi="Verdana"/>
          <w:sz w:val="16"/>
          <w:szCs w:val="16"/>
        </w:rPr>
        <w:t xml:space="preserve">Sala Plena. Sección Tercera. Sentencia de Unificación del 31 de julio de 2025. </w:t>
      </w:r>
      <w:r w:rsidRPr="000F19C0">
        <w:rPr>
          <w:rFonts w:ascii="Verdana" w:hAnsi="Verdana"/>
          <w:sz w:val="16"/>
          <w:szCs w:val="16"/>
          <w:lang w:val="pt-BR"/>
        </w:rPr>
        <w:t xml:space="preserve">C.P. Fernando Alexei Pardo Flórez. Exp. 57464. </w:t>
      </w:r>
    </w:p>
  </w:footnote>
  <w:footnote w:id="22">
    <w:p w14:paraId="11BBFB1C" w14:textId="77777777" w:rsidR="00345D1A" w:rsidRPr="000F19C0" w:rsidRDefault="00345D1A" w:rsidP="00345D1A">
      <w:pPr>
        <w:pStyle w:val="Textonotapie"/>
        <w:ind w:firstLine="708"/>
        <w:rPr>
          <w:rFonts w:ascii="Verdana" w:hAnsi="Verdana"/>
          <w:sz w:val="16"/>
          <w:szCs w:val="16"/>
          <w:lang w:val="pt-BR"/>
        </w:rPr>
      </w:pPr>
      <w:r w:rsidRPr="000F19C0">
        <w:rPr>
          <w:rStyle w:val="Refdenotaalpie"/>
          <w:rFonts w:ascii="Verdana" w:hAnsi="Verdana"/>
          <w:sz w:val="16"/>
          <w:szCs w:val="16"/>
        </w:rPr>
        <w:footnoteRef/>
      </w:r>
      <w:r w:rsidRPr="000F19C0">
        <w:rPr>
          <w:rFonts w:ascii="Verdana" w:hAnsi="Verdana"/>
          <w:sz w:val="16"/>
          <w:szCs w:val="16"/>
          <w:lang w:val="pt-BR"/>
        </w:rPr>
        <w:t xml:space="preserve"> </w:t>
      </w:r>
      <w:r w:rsidRPr="000F19C0">
        <w:rPr>
          <w:rFonts w:ascii="Verdana" w:hAnsi="Verdana"/>
          <w:i/>
          <w:iCs/>
          <w:sz w:val="16"/>
          <w:szCs w:val="16"/>
          <w:lang w:val="pt-BR"/>
        </w:rPr>
        <w:t>Ibidem</w:t>
      </w:r>
      <w:r w:rsidRPr="000F19C0">
        <w:rPr>
          <w:rFonts w:ascii="Verdana" w:hAnsi="Verdana"/>
          <w:sz w:val="16"/>
          <w:szCs w:val="16"/>
          <w:lang w:val="pt-BR"/>
        </w:rPr>
        <w:t xml:space="preserve">. </w:t>
      </w:r>
    </w:p>
  </w:footnote>
  <w:footnote w:id="23">
    <w:p w14:paraId="739D17F1" w14:textId="77777777" w:rsidR="00345D1A" w:rsidRPr="000F19C0" w:rsidRDefault="00345D1A" w:rsidP="00345D1A">
      <w:pPr>
        <w:pStyle w:val="Textonotapie"/>
        <w:ind w:firstLine="708"/>
        <w:rPr>
          <w:rFonts w:ascii="Verdana" w:hAnsi="Verdana"/>
          <w:sz w:val="16"/>
          <w:szCs w:val="16"/>
          <w:lang w:val="pt-BR"/>
        </w:rPr>
      </w:pPr>
      <w:r w:rsidRPr="000F19C0">
        <w:rPr>
          <w:rStyle w:val="Refdenotaalpie"/>
          <w:rFonts w:ascii="Verdana" w:hAnsi="Verdana"/>
          <w:sz w:val="16"/>
          <w:szCs w:val="16"/>
        </w:rPr>
        <w:footnoteRef/>
      </w:r>
      <w:r w:rsidRPr="000F19C0">
        <w:rPr>
          <w:rFonts w:ascii="Verdana" w:hAnsi="Verdana"/>
          <w:sz w:val="16"/>
          <w:szCs w:val="16"/>
          <w:lang w:val="pt-BR"/>
        </w:rPr>
        <w:t xml:space="preserve"> </w:t>
      </w:r>
      <w:r w:rsidRPr="000F19C0">
        <w:rPr>
          <w:rFonts w:ascii="Verdana" w:hAnsi="Verdana"/>
          <w:i/>
          <w:iCs/>
          <w:sz w:val="16"/>
          <w:szCs w:val="16"/>
          <w:lang w:val="pt-BR"/>
        </w:rPr>
        <w:t>Ibidem</w:t>
      </w:r>
      <w:r w:rsidRPr="000F19C0">
        <w:rPr>
          <w:rFonts w:ascii="Verdana" w:hAnsi="Verdana"/>
          <w:sz w:val="16"/>
          <w:szCs w:val="16"/>
          <w:lang w:val="pt-BR"/>
        </w:rPr>
        <w:t xml:space="preserve">.  </w:t>
      </w:r>
    </w:p>
  </w:footnote>
  <w:footnote w:id="24">
    <w:p w14:paraId="6CAC7049" w14:textId="77777777" w:rsidR="00345D1A" w:rsidRPr="000F19C0" w:rsidRDefault="00345D1A" w:rsidP="00345D1A">
      <w:pPr>
        <w:pStyle w:val="Textonotapie"/>
        <w:ind w:firstLine="708"/>
        <w:rPr>
          <w:rFonts w:ascii="Verdana" w:hAnsi="Verdana"/>
          <w:sz w:val="16"/>
          <w:szCs w:val="16"/>
          <w:lang w:val="pt-BR"/>
        </w:rPr>
      </w:pPr>
      <w:r w:rsidRPr="000F19C0">
        <w:rPr>
          <w:rStyle w:val="Refdenotaalpie"/>
          <w:rFonts w:ascii="Verdana" w:hAnsi="Verdana"/>
          <w:sz w:val="16"/>
          <w:szCs w:val="16"/>
        </w:rPr>
        <w:footnoteRef/>
      </w:r>
      <w:r w:rsidRPr="000F19C0">
        <w:rPr>
          <w:rFonts w:ascii="Verdana" w:hAnsi="Verdana"/>
          <w:sz w:val="16"/>
          <w:szCs w:val="16"/>
          <w:lang w:val="pt-BR"/>
        </w:rPr>
        <w:t xml:space="preserve"> Ibídem.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4" type="#_x0000_t75" style="width:11.25pt;height:1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1330140246">
    <w:abstractNumId w:val="0"/>
  </w:num>
  <w:num w:numId="17" w16cid:durableId="679089576">
    <w:abstractNumId w:val="10"/>
  </w:num>
  <w:num w:numId="18" w16cid:durableId="19106561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281"/>
    <w:rsid w:val="00016F78"/>
    <w:rsid w:val="00046945"/>
    <w:rsid w:val="00061B2A"/>
    <w:rsid w:val="00082362"/>
    <w:rsid w:val="00084646"/>
    <w:rsid w:val="00085ACE"/>
    <w:rsid w:val="000A683E"/>
    <w:rsid w:val="000B19B9"/>
    <w:rsid w:val="000D0334"/>
    <w:rsid w:val="000D5DA7"/>
    <w:rsid w:val="000F6486"/>
    <w:rsid w:val="001148CD"/>
    <w:rsid w:val="00116940"/>
    <w:rsid w:val="00125105"/>
    <w:rsid w:val="00127233"/>
    <w:rsid w:val="00131A12"/>
    <w:rsid w:val="0015699B"/>
    <w:rsid w:val="001A33BF"/>
    <w:rsid w:val="001E4177"/>
    <w:rsid w:val="001F0B24"/>
    <w:rsid w:val="001F7DC6"/>
    <w:rsid w:val="002236B7"/>
    <w:rsid w:val="0022400B"/>
    <w:rsid w:val="002421BB"/>
    <w:rsid w:val="0025796E"/>
    <w:rsid w:val="002707A2"/>
    <w:rsid w:val="002951A0"/>
    <w:rsid w:val="002962BC"/>
    <w:rsid w:val="002A093D"/>
    <w:rsid w:val="002A0DD0"/>
    <w:rsid w:val="002A49AC"/>
    <w:rsid w:val="002A64FD"/>
    <w:rsid w:val="002C7A84"/>
    <w:rsid w:val="002D70DA"/>
    <w:rsid w:val="002E0EBF"/>
    <w:rsid w:val="002E2BF8"/>
    <w:rsid w:val="002E3212"/>
    <w:rsid w:val="002E4FD9"/>
    <w:rsid w:val="0030657A"/>
    <w:rsid w:val="00322A85"/>
    <w:rsid w:val="00324168"/>
    <w:rsid w:val="00330834"/>
    <w:rsid w:val="003448F4"/>
    <w:rsid w:val="00345D1A"/>
    <w:rsid w:val="00374F5E"/>
    <w:rsid w:val="00377E3E"/>
    <w:rsid w:val="003A0BA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E5597"/>
    <w:rsid w:val="004F21C4"/>
    <w:rsid w:val="004F685F"/>
    <w:rsid w:val="00552F7A"/>
    <w:rsid w:val="005566E8"/>
    <w:rsid w:val="00574867"/>
    <w:rsid w:val="00591460"/>
    <w:rsid w:val="005A65E0"/>
    <w:rsid w:val="005C3777"/>
    <w:rsid w:val="005C5CDC"/>
    <w:rsid w:val="005D476C"/>
    <w:rsid w:val="005E0100"/>
    <w:rsid w:val="006200BF"/>
    <w:rsid w:val="006219F8"/>
    <w:rsid w:val="006302F7"/>
    <w:rsid w:val="00636028"/>
    <w:rsid w:val="00646B9F"/>
    <w:rsid w:val="00665D70"/>
    <w:rsid w:val="00680F33"/>
    <w:rsid w:val="006900D9"/>
    <w:rsid w:val="006972B2"/>
    <w:rsid w:val="00706C16"/>
    <w:rsid w:val="007340C3"/>
    <w:rsid w:val="0075235A"/>
    <w:rsid w:val="00756841"/>
    <w:rsid w:val="007649AB"/>
    <w:rsid w:val="00771D0C"/>
    <w:rsid w:val="00775CF3"/>
    <w:rsid w:val="007833AC"/>
    <w:rsid w:val="007B036D"/>
    <w:rsid w:val="007B268C"/>
    <w:rsid w:val="007B7171"/>
    <w:rsid w:val="007C0C0F"/>
    <w:rsid w:val="007C3DC2"/>
    <w:rsid w:val="007E5497"/>
    <w:rsid w:val="007F01CE"/>
    <w:rsid w:val="00806F5F"/>
    <w:rsid w:val="00820278"/>
    <w:rsid w:val="008258C9"/>
    <w:rsid w:val="00844AE9"/>
    <w:rsid w:val="0085339E"/>
    <w:rsid w:val="00867F95"/>
    <w:rsid w:val="008843B6"/>
    <w:rsid w:val="00891928"/>
    <w:rsid w:val="008A446D"/>
    <w:rsid w:val="008B25F1"/>
    <w:rsid w:val="008D180B"/>
    <w:rsid w:val="008F0EA7"/>
    <w:rsid w:val="00923EEF"/>
    <w:rsid w:val="009419F9"/>
    <w:rsid w:val="0095685E"/>
    <w:rsid w:val="00961B09"/>
    <w:rsid w:val="00965334"/>
    <w:rsid w:val="0097093E"/>
    <w:rsid w:val="009A00AE"/>
    <w:rsid w:val="009A0DFA"/>
    <w:rsid w:val="009A1C6F"/>
    <w:rsid w:val="009B2D26"/>
    <w:rsid w:val="009C71FA"/>
    <w:rsid w:val="009C72E7"/>
    <w:rsid w:val="009C7F7E"/>
    <w:rsid w:val="009D1FE8"/>
    <w:rsid w:val="009D3058"/>
    <w:rsid w:val="009F18B9"/>
    <w:rsid w:val="009F3A13"/>
    <w:rsid w:val="009F59BC"/>
    <w:rsid w:val="00A122D3"/>
    <w:rsid w:val="00A14468"/>
    <w:rsid w:val="00A17F13"/>
    <w:rsid w:val="00A20739"/>
    <w:rsid w:val="00A23AF9"/>
    <w:rsid w:val="00A33C78"/>
    <w:rsid w:val="00A631EA"/>
    <w:rsid w:val="00A96D58"/>
    <w:rsid w:val="00AB0ADB"/>
    <w:rsid w:val="00AF18EA"/>
    <w:rsid w:val="00B00C0E"/>
    <w:rsid w:val="00B01B1A"/>
    <w:rsid w:val="00B0381D"/>
    <w:rsid w:val="00B44A47"/>
    <w:rsid w:val="00B72CD3"/>
    <w:rsid w:val="00B72FFF"/>
    <w:rsid w:val="00BC3D36"/>
    <w:rsid w:val="00BD54A6"/>
    <w:rsid w:val="00BD7F72"/>
    <w:rsid w:val="00BF7425"/>
    <w:rsid w:val="00C00A33"/>
    <w:rsid w:val="00C04FB3"/>
    <w:rsid w:val="00C11D8B"/>
    <w:rsid w:val="00C15139"/>
    <w:rsid w:val="00C330EB"/>
    <w:rsid w:val="00C50D69"/>
    <w:rsid w:val="00C5365C"/>
    <w:rsid w:val="00C55E4A"/>
    <w:rsid w:val="00C56FE0"/>
    <w:rsid w:val="00C754BE"/>
    <w:rsid w:val="00C76B1C"/>
    <w:rsid w:val="00C925AC"/>
    <w:rsid w:val="00CB6357"/>
    <w:rsid w:val="00CC1B26"/>
    <w:rsid w:val="00CF4BF7"/>
    <w:rsid w:val="00D361FD"/>
    <w:rsid w:val="00D423A2"/>
    <w:rsid w:val="00D44E26"/>
    <w:rsid w:val="00D520D8"/>
    <w:rsid w:val="00D63AC2"/>
    <w:rsid w:val="00D7383B"/>
    <w:rsid w:val="00D7788A"/>
    <w:rsid w:val="00DA09A0"/>
    <w:rsid w:val="00DA231B"/>
    <w:rsid w:val="00DC39FC"/>
    <w:rsid w:val="00DF5254"/>
    <w:rsid w:val="00E02524"/>
    <w:rsid w:val="00E125EC"/>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164D"/>
    <w:rsid w:val="00F23FEA"/>
    <w:rsid w:val="00F31EDC"/>
    <w:rsid w:val="00F462B3"/>
    <w:rsid w:val="00F5664F"/>
    <w:rsid w:val="00F666C4"/>
    <w:rsid w:val="00F76AFC"/>
    <w:rsid w:val="00F7740C"/>
    <w:rsid w:val="00FA47C0"/>
    <w:rsid w:val="00FA4FC0"/>
    <w:rsid w:val="00FB5DD1"/>
    <w:rsid w:val="00FC2B5D"/>
    <w:rsid w:val="00FF1449"/>
    <w:rsid w:val="00FF7963"/>
    <w:rsid w:val="071B8F93"/>
    <w:rsid w:val="09908A09"/>
    <w:rsid w:val="0ED3A0B5"/>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45D1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45D1A"/>
    <w:rPr>
      <w:rFonts w:ascii="Geomanist Light" w:hAnsi="Geomanist Light"/>
      <w:lang w:val="es-ES"/>
    </w:rPr>
  </w:style>
  <w:style w:type="character" w:customStyle="1" w:styleId="s15">
    <w:name w:val="s15"/>
    <w:basedOn w:val="Fuentedeprrafopredeter"/>
    <w:rsid w:val="00345D1A"/>
  </w:style>
  <w:style w:type="character" w:styleId="Textoennegrita">
    <w:name w:val="Strong"/>
    <w:basedOn w:val="Fuentedeprrafopredeter"/>
    <w:uiPriority w:val="22"/>
    <w:qFormat/>
    <w:rsid w:val="00345D1A"/>
    <w:rPr>
      <w:b/>
      <w:bCs/>
    </w:rPr>
  </w:style>
  <w:style w:type="character" w:customStyle="1" w:styleId="NormalWebCar">
    <w:name w:val="Normal (Web) Car"/>
    <w:link w:val="NormalWeb"/>
    <w:uiPriority w:val="99"/>
    <w:rsid w:val="00345D1A"/>
    <w:rPr>
      <w:rFonts w:ascii="Times New Roman" w:eastAsia="Times New Roman" w:hAnsi="Times New Roman" w:cs="Times New Roman"/>
      <w:sz w:val="24"/>
      <w:szCs w:val="24"/>
      <w:lang w:eastAsia="es-CO"/>
    </w:rPr>
  </w:style>
  <w:style w:type="character" w:customStyle="1" w:styleId="baj">
    <w:name w:val="b_aj"/>
    <w:basedOn w:val="Fuentedeprrafopredeter"/>
    <w:rsid w:val="00345D1A"/>
  </w:style>
  <w:style w:type="character" w:styleId="Refdecomentario">
    <w:name w:val="annotation reference"/>
    <w:basedOn w:val="Fuentedeprrafopredeter"/>
    <w:uiPriority w:val="99"/>
    <w:semiHidden/>
    <w:unhideWhenUsed/>
    <w:rsid w:val="007F01CE"/>
    <w:rPr>
      <w:sz w:val="16"/>
      <w:szCs w:val="16"/>
    </w:rPr>
  </w:style>
  <w:style w:type="paragraph" w:styleId="Textocomentario">
    <w:name w:val="annotation text"/>
    <w:basedOn w:val="Normal"/>
    <w:link w:val="TextocomentarioCar"/>
    <w:uiPriority w:val="99"/>
    <w:unhideWhenUsed/>
    <w:rsid w:val="007F01CE"/>
    <w:pPr>
      <w:spacing w:line="240" w:lineRule="auto"/>
    </w:pPr>
    <w:rPr>
      <w:sz w:val="20"/>
      <w:szCs w:val="20"/>
    </w:rPr>
  </w:style>
  <w:style w:type="character" w:customStyle="1" w:styleId="TextocomentarioCar">
    <w:name w:val="Texto comentario Car"/>
    <w:basedOn w:val="Fuentedeprrafopredeter"/>
    <w:link w:val="Textocomentario"/>
    <w:uiPriority w:val="99"/>
    <w:rsid w:val="007F01CE"/>
    <w:rPr>
      <w:sz w:val="20"/>
      <w:szCs w:val="20"/>
    </w:rPr>
  </w:style>
  <w:style w:type="paragraph" w:styleId="Asuntodelcomentario">
    <w:name w:val="annotation subject"/>
    <w:basedOn w:val="Textocomentario"/>
    <w:next w:val="Textocomentario"/>
    <w:link w:val="AsuntodelcomentarioCar"/>
    <w:uiPriority w:val="99"/>
    <w:semiHidden/>
    <w:unhideWhenUsed/>
    <w:rsid w:val="007F01CE"/>
    <w:rPr>
      <w:b/>
      <w:bCs/>
    </w:rPr>
  </w:style>
  <w:style w:type="character" w:customStyle="1" w:styleId="AsuntodelcomentarioCar">
    <w:name w:val="Asunto del comentario Car"/>
    <w:basedOn w:val="TextocomentarioCar"/>
    <w:link w:val="Asuntodelcomentario"/>
    <w:uiPriority w:val="99"/>
    <w:semiHidden/>
    <w:rsid w:val="007F01C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ecretariasenado.gov.co/senado/basedoc/ley_0080_1993.html"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2056_2020.html" TargetMode="External"/><Relationship Id="rId2" Type="http://schemas.openxmlformats.org/officeDocument/2006/relationships/hyperlink" Target="http://www.secretariasenado.gov.co/senado/basedoc/ley_2056_2020.html" TargetMode="External"/><Relationship Id="rId1" Type="http://schemas.openxmlformats.org/officeDocument/2006/relationships/hyperlink" Target="http://www.secretariasenado.gov.co/senado/basedoc/ley_2056_2020.html" TargetMode="External"/><Relationship Id="rId4" Type="http://schemas.openxmlformats.org/officeDocument/2006/relationships/hyperlink" Target="http://www.secretariasenado.gov.co/senado/basedoc/ley_2056_2020.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FB49F9AE-17A6-41AE-B78C-4429573D1C4D}"/>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29</Pages>
  <Words>10175</Words>
  <Characters>55963</Characters>
  <Application>Microsoft Office Word</Application>
  <DocSecurity>0</DocSecurity>
  <Lines>466</Lines>
  <Paragraphs>132</Paragraphs>
  <ScaleCrop>false</ScaleCrop>
  <Company/>
  <LinksUpToDate>false</LinksUpToDate>
  <CharactersWithSpaces>66006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2026-01-30T15:57:00Z</dcterms:created>
  <dcterms:modified xsi:type="dcterms:W3CDTF">2026-01-30T18:34:00Z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