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C3310" w14:textId="77777777" w:rsidR="00DE0A4A" w:rsidRPr="00647611" w:rsidRDefault="00DE0A4A" w:rsidP="00DE0A4A">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artículo 33 – Contratación directa – Alcance </w:t>
      </w:r>
    </w:p>
    <w:p w14:paraId="017FBEF0" w14:textId="77777777" w:rsidR="00DE0A4A" w:rsidRPr="00647611" w:rsidRDefault="00DE0A4A" w:rsidP="00DE0A4A">
      <w:pPr>
        <w:spacing w:after="0" w:line="240" w:lineRule="auto"/>
        <w:jc w:val="both"/>
        <w:rPr>
          <w:rFonts w:ascii="Verdana" w:hAnsi="Verdana" w:cs="Arial"/>
          <w:b/>
          <w:sz w:val="20"/>
          <w:szCs w:val="20"/>
          <w:lang w:val="es-MX" w:eastAsia="es-ES_tradnl"/>
        </w:rPr>
      </w:pPr>
    </w:p>
    <w:p w14:paraId="1CCCB3AA" w14:textId="77777777" w:rsidR="00DE0A4A" w:rsidRPr="00647611" w:rsidRDefault="00DE0A4A" w:rsidP="00DE0A4A">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74153641" w14:textId="77777777" w:rsidR="00DE0A4A" w:rsidRPr="00647611" w:rsidRDefault="00DE0A4A" w:rsidP="00DE0A4A">
      <w:pPr>
        <w:spacing w:after="0" w:line="240" w:lineRule="auto"/>
        <w:jc w:val="both"/>
        <w:rPr>
          <w:rFonts w:ascii="Verdana" w:hAnsi="Verdana" w:cs="Arial"/>
          <w:b/>
          <w:sz w:val="20"/>
          <w:szCs w:val="20"/>
          <w:lang w:eastAsia="es-ES_tradnl"/>
        </w:rPr>
      </w:pPr>
    </w:p>
    <w:p w14:paraId="6CCF5B7A" w14:textId="77777777" w:rsidR="00DE0A4A" w:rsidRPr="00647611" w:rsidRDefault="00DE0A4A" w:rsidP="00DE0A4A">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69F5434A" w14:textId="77777777" w:rsidR="00DE0A4A" w:rsidRPr="00647611" w:rsidRDefault="00DE0A4A" w:rsidP="00DE0A4A">
      <w:pPr>
        <w:spacing w:after="0" w:line="240" w:lineRule="auto"/>
        <w:jc w:val="both"/>
        <w:rPr>
          <w:rFonts w:ascii="Verdana" w:hAnsi="Verdana" w:cs="Arial"/>
          <w:b/>
          <w:sz w:val="20"/>
          <w:szCs w:val="20"/>
          <w:lang w:val="es-MX" w:eastAsia="es-ES_tradnl"/>
        </w:rPr>
      </w:pPr>
    </w:p>
    <w:p w14:paraId="01236459" w14:textId="77777777" w:rsidR="00DE0A4A" w:rsidRPr="00647611" w:rsidRDefault="00DE0A4A" w:rsidP="00DE0A4A">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647611">
        <w:rPr>
          <w:rFonts w:ascii="Verdana" w:eastAsia="Times New Roman" w:hAnsi="Verdana" w:cs="Arial"/>
          <w:bCs/>
          <w:sz w:val="20"/>
          <w:szCs w:val="20"/>
          <w:lang w:val="es-MX" w:eastAsia="x-none"/>
        </w:rPr>
        <w:t>ii</w:t>
      </w:r>
      <w:proofErr w:type="spellEnd"/>
      <w:r w:rsidRPr="00647611">
        <w:rPr>
          <w:rFonts w:ascii="Verdana" w:eastAsia="Times New Roman" w:hAnsi="Verdana" w:cs="Arial"/>
          <w:bCs/>
          <w:sz w:val="20"/>
          <w:szCs w:val="20"/>
          <w:lang w:val="es-MX" w:eastAsia="x-none"/>
        </w:rPr>
        <w:t xml:space="preserve">) los contratos de crédito público; </w:t>
      </w:r>
      <w:proofErr w:type="spellStart"/>
      <w:r w:rsidRPr="00647611">
        <w:rPr>
          <w:rFonts w:ascii="Verdana" w:eastAsia="Times New Roman" w:hAnsi="Verdana" w:cs="Arial"/>
          <w:bCs/>
          <w:sz w:val="20"/>
          <w:szCs w:val="20"/>
          <w:lang w:val="es-MX" w:eastAsia="x-none"/>
        </w:rPr>
        <w:t>iii</w:t>
      </w:r>
      <w:proofErr w:type="spellEnd"/>
      <w:r w:rsidRPr="00647611">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647611">
        <w:rPr>
          <w:rFonts w:ascii="Verdana" w:eastAsia="Times New Roman" w:hAnsi="Verdana" w:cs="Arial"/>
          <w:bCs/>
          <w:sz w:val="20"/>
          <w:szCs w:val="20"/>
          <w:lang w:val="es-MX" w:eastAsia="x-none"/>
        </w:rPr>
        <w:t>iv</w:t>
      </w:r>
      <w:proofErr w:type="spellEnd"/>
      <w:r w:rsidRPr="00647611">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5CD647A" w14:textId="77777777" w:rsidR="00DE0A4A" w:rsidRPr="00647611" w:rsidRDefault="00DE0A4A" w:rsidP="00DE0A4A">
      <w:pPr>
        <w:spacing w:after="0" w:line="240" w:lineRule="auto"/>
        <w:jc w:val="both"/>
        <w:rPr>
          <w:rFonts w:ascii="Verdana" w:hAnsi="Verdana" w:cs="Arial"/>
          <w:b/>
          <w:sz w:val="20"/>
          <w:szCs w:val="20"/>
          <w:lang w:val="es-MX" w:eastAsia="es-ES_tradnl"/>
        </w:rPr>
      </w:pPr>
    </w:p>
    <w:p w14:paraId="7394745C" w14:textId="77777777" w:rsidR="00DE0A4A" w:rsidRPr="00647611" w:rsidRDefault="00DE0A4A" w:rsidP="00DE0A4A">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2140E323" w14:textId="77777777" w:rsidR="00DE0A4A" w:rsidRPr="00647611" w:rsidRDefault="00DE0A4A" w:rsidP="00DE0A4A">
      <w:pPr>
        <w:spacing w:after="0" w:line="240" w:lineRule="auto"/>
        <w:rPr>
          <w:rFonts w:ascii="Verdana" w:hAnsi="Verdana" w:cs="Arial"/>
          <w:sz w:val="20"/>
          <w:szCs w:val="20"/>
          <w:lang w:val="es-MX" w:eastAsia="es-ES_tradnl"/>
        </w:rPr>
      </w:pPr>
    </w:p>
    <w:p w14:paraId="515676FA" w14:textId="77777777" w:rsidR="00DE0A4A" w:rsidRPr="00647611" w:rsidRDefault="00DE0A4A" w:rsidP="00DE0A4A">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7D1F36AC" w14:textId="77777777" w:rsidR="00DE0A4A" w:rsidRPr="00647611" w:rsidRDefault="00DE0A4A" w:rsidP="00DE0A4A">
      <w:pPr>
        <w:spacing w:after="0" w:line="240" w:lineRule="auto"/>
        <w:jc w:val="both"/>
        <w:rPr>
          <w:rFonts w:ascii="Verdana" w:hAnsi="Verdana"/>
          <w:b/>
          <w:sz w:val="20"/>
          <w:szCs w:val="20"/>
        </w:rPr>
      </w:pPr>
    </w:p>
    <w:p w14:paraId="31816D3B" w14:textId="77777777" w:rsidR="00DE0A4A" w:rsidRPr="00647611" w:rsidRDefault="00DE0A4A" w:rsidP="00DE0A4A">
      <w:pPr>
        <w:spacing w:after="0" w:line="240" w:lineRule="auto"/>
        <w:jc w:val="both"/>
        <w:rPr>
          <w:rFonts w:ascii="Verdana" w:hAnsi="Verdana"/>
          <w:b/>
          <w:lang w:val="es-MX"/>
        </w:rPr>
      </w:pPr>
      <w:r w:rsidRPr="00647611">
        <w:rPr>
          <w:rFonts w:ascii="Verdana" w:hAnsi="Verdana"/>
          <w:b/>
          <w:lang w:val="es-ES"/>
        </w:rPr>
        <w:t xml:space="preserve">ENAJENACIÓN VOLUNTARIA </w:t>
      </w:r>
      <w:r w:rsidRPr="00647611">
        <w:rPr>
          <w:rFonts w:ascii="Verdana" w:hAnsi="Verdana"/>
          <w:b/>
          <w:lang w:val="es-MX"/>
        </w:rPr>
        <w:t>– Objeto – Aplicación – Ley de Garantías Electorales – Restricción</w:t>
      </w:r>
      <w:r>
        <w:rPr>
          <w:rFonts w:ascii="Verdana" w:hAnsi="Verdana"/>
          <w:b/>
          <w:lang w:val="es-MX"/>
        </w:rPr>
        <w:t xml:space="preserve"> –</w:t>
      </w:r>
      <w:r w:rsidRPr="00647611">
        <w:rPr>
          <w:rFonts w:ascii="Verdana" w:hAnsi="Verdana"/>
          <w:b/>
          <w:lang w:val="es-MX"/>
        </w:rPr>
        <w:t xml:space="preserve"> Contratación Directa</w:t>
      </w:r>
    </w:p>
    <w:p w14:paraId="4D4836F1" w14:textId="77777777" w:rsidR="00DE0A4A" w:rsidRPr="00647611" w:rsidRDefault="00DE0A4A" w:rsidP="00DE0A4A">
      <w:pPr>
        <w:spacing w:after="0" w:line="240" w:lineRule="auto"/>
        <w:rPr>
          <w:rFonts w:ascii="Verdana" w:hAnsi="Verdana"/>
          <w:sz w:val="20"/>
          <w:szCs w:val="20"/>
          <w:lang w:val="es-MX"/>
        </w:rPr>
      </w:pPr>
    </w:p>
    <w:p w14:paraId="66709277" w14:textId="77777777" w:rsidR="00DE0A4A" w:rsidRDefault="00DE0A4A" w:rsidP="00DE0A4A">
      <w:pPr>
        <w:spacing w:after="0" w:line="240" w:lineRule="auto"/>
        <w:jc w:val="both"/>
        <w:rPr>
          <w:rFonts w:ascii="Verdana" w:eastAsia="Geomanist Light" w:hAnsi="Verdana" w:cs="Arial"/>
          <w:color w:val="000000" w:themeColor="text1"/>
          <w:sz w:val="20"/>
          <w:szCs w:val="20"/>
          <w:lang w:val="es-MX"/>
        </w:rPr>
      </w:pPr>
      <w:r>
        <w:rPr>
          <w:rFonts w:ascii="Verdana" w:eastAsia="Geomanist Light" w:hAnsi="Verdana" w:cs="Arial"/>
          <w:color w:val="000000" w:themeColor="text1"/>
          <w:sz w:val="20"/>
          <w:szCs w:val="20"/>
          <w:lang w:val="es-MX"/>
        </w:rPr>
        <w:t>D</w:t>
      </w:r>
      <w:r w:rsidRPr="00A11942">
        <w:rPr>
          <w:rFonts w:ascii="Verdana" w:eastAsia="Geomanist Light" w:hAnsi="Verdana" w:cs="Arial"/>
          <w:color w:val="000000" w:themeColor="text1"/>
          <w:sz w:val="20"/>
          <w:szCs w:val="20"/>
          <w:lang w:val="es-MX"/>
        </w:rPr>
        <w:t xml:space="preserve">ando alcance a los conceptos C-1512 y C-1529 de 2025, debe precisarse que la restricción prevista en el artículo 33 de la Ley 996 de 2005 no resulta aplicable al procedimiento administrativo de adquisición predial en sí mismo, en su etapa preparatoria o preliminar, en la medida en que dicho artículo se refiere a la celebración de contratos de forma directa, y no a las actuaciones administrativas que se puedan generar previamente. En tal sentido, la gestión predial no se ve paralizada durante el período de restricción. </w:t>
      </w:r>
    </w:p>
    <w:p w14:paraId="07AFD40C" w14:textId="77777777" w:rsidR="00DE0A4A" w:rsidRPr="00A11942" w:rsidRDefault="00DE0A4A" w:rsidP="00DE0A4A">
      <w:pPr>
        <w:spacing w:after="0" w:line="240" w:lineRule="auto"/>
        <w:jc w:val="both"/>
        <w:rPr>
          <w:rFonts w:ascii="Verdana" w:eastAsia="Geomanist Light" w:hAnsi="Verdana" w:cs="Arial"/>
          <w:color w:val="000000" w:themeColor="text1"/>
          <w:sz w:val="20"/>
          <w:szCs w:val="20"/>
          <w:lang w:val="es-MX"/>
        </w:rPr>
      </w:pPr>
    </w:p>
    <w:p w14:paraId="7F668AA6" w14:textId="77777777" w:rsidR="00DE0A4A" w:rsidRDefault="00DE0A4A" w:rsidP="00DE0A4A">
      <w:pPr>
        <w:spacing w:after="0" w:line="240" w:lineRule="auto"/>
        <w:jc w:val="both"/>
        <w:rPr>
          <w:rFonts w:ascii="Verdana" w:eastAsia="Geomanist Light" w:hAnsi="Verdana" w:cs="Arial"/>
          <w:color w:val="000000" w:themeColor="text1"/>
          <w:sz w:val="20"/>
          <w:szCs w:val="20"/>
          <w:lang w:val="es-MX"/>
        </w:rPr>
      </w:pPr>
      <w:r w:rsidRPr="00A11942">
        <w:rPr>
          <w:rFonts w:ascii="Verdana" w:eastAsia="Geomanist Light" w:hAnsi="Verdana" w:cs="Arial"/>
          <w:color w:val="000000" w:themeColor="text1"/>
          <w:sz w:val="20"/>
          <w:szCs w:val="20"/>
          <w:lang w:val="es-MX"/>
        </w:rPr>
        <w:t>En ese sentido, todos los trámites preparatorios y actuaciones administrativas de gestión predial que se surtan dentro de este procedimiento especial, tales como los avalúos, las ofertas de compra, las negociaciones preliminares y demás actuaciones que no impliquen la celebración de una promesa de compraventa o contrato compraventa o cualquier otro contrato, pueden adelantarse válidamente, incluso durante el período de restricción previsto en la Ley de Garantías Electorales, por cuanto no configuran los supuestos de contratación directa al que se refiere el artículo en comento.</w:t>
      </w:r>
    </w:p>
    <w:p w14:paraId="1BE20EA6" w14:textId="77777777" w:rsidR="00DE0A4A" w:rsidRPr="00A11942" w:rsidRDefault="00DE0A4A" w:rsidP="00DE0A4A">
      <w:pPr>
        <w:spacing w:after="0" w:line="240" w:lineRule="auto"/>
        <w:jc w:val="both"/>
        <w:rPr>
          <w:rFonts w:ascii="Verdana" w:eastAsia="Geomanist Light" w:hAnsi="Verdana" w:cs="Arial"/>
          <w:color w:val="000000" w:themeColor="text1"/>
          <w:sz w:val="20"/>
          <w:szCs w:val="20"/>
          <w:lang w:val="es-MX"/>
        </w:rPr>
      </w:pPr>
    </w:p>
    <w:p w14:paraId="4A58B206" w14:textId="77777777" w:rsidR="00DE0A4A" w:rsidRPr="00A11942" w:rsidRDefault="00DE0A4A" w:rsidP="00DE0A4A">
      <w:pPr>
        <w:spacing w:after="0" w:line="240" w:lineRule="auto"/>
        <w:jc w:val="both"/>
        <w:rPr>
          <w:rFonts w:ascii="Verdana" w:eastAsia="Geomanist Light" w:hAnsi="Verdana" w:cs="Arial"/>
          <w:color w:val="000000" w:themeColor="text1"/>
          <w:sz w:val="20"/>
          <w:szCs w:val="20"/>
          <w:lang w:val="es-MX"/>
        </w:rPr>
      </w:pPr>
      <w:r w:rsidRPr="00A11942">
        <w:rPr>
          <w:rFonts w:ascii="Verdana" w:eastAsia="Geomanist Light" w:hAnsi="Verdana" w:cs="Arial"/>
          <w:color w:val="000000" w:themeColor="text1"/>
          <w:sz w:val="20"/>
          <w:szCs w:val="20"/>
          <w:lang w:val="es-MX"/>
        </w:rPr>
        <w:t>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directa de un contrato estatal. En efecto, en la promesa de compraventa y en el contrato de compraventa 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ibidem y en armonía con lo dispuesto por el artículo 1 de la Ley 1150 de 2007. Estos negocios jurídicos constituyen formas de contratación directa, en cuanto su celebración se realiza con un sujeto determinado, sin convocatoria pública y sin posibilidad de concurrencia de una pluralidad de oferentes.</w:t>
      </w:r>
    </w:p>
    <w:p w14:paraId="47B2611A" w14:textId="77777777" w:rsidR="00DE0A4A" w:rsidRDefault="00DE0A4A" w:rsidP="00DE0A4A">
      <w:pPr>
        <w:spacing w:after="0"/>
        <w:rPr>
          <w:rFonts w:ascii="Verdana" w:hAnsi="Verdana"/>
          <w:lang w:val="es-MX"/>
        </w:rPr>
      </w:pPr>
    </w:p>
    <w:p w14:paraId="214402E1" w14:textId="77777777" w:rsidR="00DE0A4A" w:rsidRDefault="00DE0A4A" w:rsidP="00DE0A4A">
      <w:pPr>
        <w:spacing w:after="0"/>
        <w:rPr>
          <w:rFonts w:ascii="Verdana" w:hAnsi="Verdana"/>
          <w:lang w:val="es-MX"/>
        </w:rPr>
      </w:pPr>
    </w:p>
    <w:p w14:paraId="492F42CF" w14:textId="77777777" w:rsidR="00DE0A4A" w:rsidRDefault="00DE0A4A" w:rsidP="00DE0A4A">
      <w:pPr>
        <w:spacing w:after="0"/>
        <w:rPr>
          <w:rFonts w:ascii="Verdana" w:hAnsi="Verdana"/>
          <w:lang w:val="es-MX"/>
        </w:rPr>
      </w:pPr>
    </w:p>
    <w:p w14:paraId="3522ED92" w14:textId="77777777" w:rsidR="00DE0A4A" w:rsidRDefault="00DE0A4A" w:rsidP="00DE0A4A">
      <w:pPr>
        <w:spacing w:after="0"/>
        <w:rPr>
          <w:rFonts w:ascii="Verdana" w:hAnsi="Verdana"/>
          <w:lang w:val="es-MX"/>
        </w:rPr>
      </w:pPr>
    </w:p>
    <w:p w14:paraId="1800C2DF" w14:textId="77777777" w:rsidR="00DE0A4A" w:rsidRDefault="00DE0A4A" w:rsidP="00DE0A4A">
      <w:pPr>
        <w:spacing w:after="0"/>
        <w:rPr>
          <w:rFonts w:ascii="Verdana" w:hAnsi="Verdana"/>
          <w:lang w:val="es-MX"/>
        </w:rPr>
      </w:pPr>
    </w:p>
    <w:p w14:paraId="7040ADC4" w14:textId="77777777" w:rsidR="00DE0A4A" w:rsidRDefault="00DE0A4A" w:rsidP="00DE0A4A">
      <w:pPr>
        <w:spacing w:after="0"/>
        <w:rPr>
          <w:rFonts w:ascii="Verdana" w:hAnsi="Verdana"/>
          <w:lang w:val="es-MX"/>
        </w:rPr>
      </w:pPr>
    </w:p>
    <w:p w14:paraId="7C57205A" w14:textId="77777777" w:rsidR="00DE0A4A" w:rsidRDefault="00DE0A4A" w:rsidP="00DE0A4A">
      <w:pPr>
        <w:spacing w:after="0"/>
        <w:rPr>
          <w:rFonts w:ascii="Verdana" w:hAnsi="Verdana"/>
          <w:lang w:val="es-MX"/>
        </w:rPr>
      </w:pPr>
    </w:p>
    <w:p w14:paraId="03ABD0E6" w14:textId="77777777" w:rsidR="00CE7A0D" w:rsidRDefault="00CE7A0D" w:rsidP="00CE7A0D">
      <w:pPr>
        <w:spacing w:after="0"/>
        <w:rPr>
          <w:rFonts w:ascii="Verdana" w:hAnsi="Verdana"/>
        </w:rPr>
      </w:pPr>
    </w:p>
    <w:p w14:paraId="67E05E5E" w14:textId="77777777" w:rsidR="00CE7A0D" w:rsidRDefault="00CE7A0D" w:rsidP="00CE7A0D">
      <w:pPr>
        <w:spacing w:after="0"/>
        <w:rPr>
          <w:rFonts w:ascii="Verdana" w:hAnsi="Verdana"/>
        </w:rPr>
      </w:pPr>
    </w:p>
    <w:p w14:paraId="0D6A0549" w14:textId="7013F24F" w:rsidR="00CE7A0D" w:rsidRPr="00F461B1" w:rsidRDefault="00CE7A0D" w:rsidP="00CE7A0D">
      <w:pPr>
        <w:spacing w:after="0"/>
        <w:rPr>
          <w:rFonts w:ascii="Verdana" w:hAnsi="Verdana"/>
        </w:rPr>
      </w:pPr>
      <w:r w:rsidRPr="001D0D1B">
        <w:rPr>
          <w:rFonts w:ascii="Verdana" w:hAnsi="Verdana"/>
        </w:rPr>
        <w:lastRenderedPageBreak/>
        <w:t>Bogotá D.C.,</w:t>
      </w:r>
      <w:r>
        <w:rPr>
          <w:rFonts w:ascii="Verdana" w:hAnsi="Verdana"/>
        </w:rPr>
        <w:t xml:space="preserve"> </w:t>
      </w:r>
      <w:r w:rsidR="00EC328F">
        <w:rPr>
          <w:rFonts w:ascii="Verdana" w:eastAsia="Geomanist Light" w:hAnsi="Verdana" w:cs="Arial"/>
          <w:color w:val="201F1E"/>
          <w:lang w:val="es-MX"/>
        </w:rPr>
        <w:t>28 de enero de 2025</w:t>
      </w:r>
    </w:p>
    <w:p w14:paraId="37598555" w14:textId="77777777" w:rsidR="00CE7A0D" w:rsidRDefault="00CE7A0D" w:rsidP="00CE7A0D">
      <w:pPr>
        <w:spacing w:after="0" w:line="240" w:lineRule="auto"/>
        <w:jc w:val="both"/>
        <w:rPr>
          <w:rFonts w:ascii="Verdana" w:eastAsia="Calibri" w:hAnsi="Verdana" w:cs="Arial"/>
          <w:color w:val="000000"/>
          <w:lang w:val="es-ES"/>
        </w:rPr>
      </w:pPr>
    </w:p>
    <w:p w14:paraId="6691DA99" w14:textId="4E8DAD6D" w:rsidR="00EC328F" w:rsidRDefault="00EC328F" w:rsidP="00EC328F">
      <w:pPr>
        <w:spacing w:after="0" w:line="240" w:lineRule="auto"/>
        <w:jc w:val="right"/>
        <w:rPr>
          <w:rFonts w:ascii="Verdana" w:eastAsia="Calibri" w:hAnsi="Verdana" w:cs="Arial"/>
          <w:color w:val="000000"/>
          <w:lang w:val="es-ES"/>
        </w:rPr>
      </w:pPr>
      <w:r w:rsidRPr="00EC328F">
        <w:rPr>
          <w:rFonts w:ascii="Verdana" w:eastAsia="Calibri" w:hAnsi="Verdana" w:cs="Arial"/>
          <w:noProof/>
          <w:color w:val="000000"/>
          <w:lang w:val="es-ES"/>
        </w:rPr>
        <w:drawing>
          <wp:inline distT="0" distB="0" distL="0" distR="0" wp14:anchorId="0556BDFD" wp14:editId="1BB77936">
            <wp:extent cx="2636520" cy="883920"/>
            <wp:effectExtent l="0" t="0" r="0" b="0"/>
            <wp:docPr id="7914109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36520" cy="883920"/>
                    </a:xfrm>
                    <a:prstGeom prst="rect">
                      <a:avLst/>
                    </a:prstGeom>
                    <a:noFill/>
                    <a:ln>
                      <a:noFill/>
                    </a:ln>
                  </pic:spPr>
                </pic:pic>
              </a:graphicData>
            </a:graphic>
          </wp:inline>
        </w:drawing>
      </w:r>
    </w:p>
    <w:p w14:paraId="092587BC" w14:textId="77777777" w:rsidR="00EC328F" w:rsidRDefault="00EC328F" w:rsidP="00CE7A0D">
      <w:pPr>
        <w:spacing w:after="0" w:line="240" w:lineRule="auto"/>
        <w:jc w:val="both"/>
        <w:rPr>
          <w:rFonts w:ascii="Verdana" w:eastAsia="Calibri" w:hAnsi="Verdana" w:cs="Arial"/>
          <w:color w:val="000000"/>
          <w:lang w:val="es-ES"/>
        </w:rPr>
      </w:pPr>
    </w:p>
    <w:p w14:paraId="005CD01F" w14:textId="77777777" w:rsidR="00CE7A0D" w:rsidRDefault="00CE7A0D" w:rsidP="00CE7A0D">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03A8D842" w14:textId="77777777" w:rsidR="00CE7A0D" w:rsidRPr="00554721" w:rsidRDefault="00CE7A0D" w:rsidP="00CE7A0D">
      <w:pPr>
        <w:spacing w:after="0" w:line="240" w:lineRule="auto"/>
        <w:jc w:val="both"/>
        <w:rPr>
          <w:rFonts w:ascii="Verdana" w:eastAsia="Calibri" w:hAnsi="Verdana" w:cs="Arial"/>
          <w:b/>
          <w:bCs/>
          <w:lang w:val="es-ES" w:eastAsia="es-ES"/>
        </w:rPr>
      </w:pPr>
      <w:r w:rsidRPr="00554721">
        <w:rPr>
          <w:rFonts w:ascii="Verdana" w:eastAsia="Calibri" w:hAnsi="Verdana" w:cs="Arial"/>
          <w:b/>
          <w:bCs/>
          <w:lang w:val="es-ES" w:eastAsia="es-ES"/>
        </w:rPr>
        <w:t>Yolanda Zulima Vallejo Díaz</w:t>
      </w:r>
    </w:p>
    <w:p w14:paraId="7F7D08C8" w14:textId="77777777" w:rsidR="00CE7A0D" w:rsidRPr="004661F3" w:rsidRDefault="00CE7A0D" w:rsidP="00CE7A0D">
      <w:pPr>
        <w:spacing w:after="0" w:line="240" w:lineRule="auto"/>
        <w:jc w:val="both"/>
        <w:rPr>
          <w:rFonts w:ascii="Verdana" w:eastAsia="Calibri" w:hAnsi="Verdana" w:cs="Arial"/>
          <w:lang w:val="es-ES" w:eastAsia="es-ES"/>
        </w:rPr>
      </w:pPr>
      <w:r w:rsidRPr="004661F3">
        <w:rPr>
          <w:rFonts w:ascii="Verdana" w:eastAsia="Calibri" w:hAnsi="Verdana" w:cs="Arial"/>
          <w:lang w:val="es-ES" w:eastAsia="es-ES"/>
        </w:rPr>
        <w:t>Direc</w:t>
      </w:r>
      <w:r>
        <w:rPr>
          <w:rFonts w:ascii="Verdana" w:eastAsia="Calibri" w:hAnsi="Verdana" w:cs="Arial"/>
          <w:lang w:val="es-ES" w:eastAsia="es-ES"/>
        </w:rPr>
        <w:t>ción de Contratación</w:t>
      </w:r>
    </w:p>
    <w:p w14:paraId="7AC6E0B1" w14:textId="77777777" w:rsidR="00CE7A0D" w:rsidRDefault="00CE7A0D" w:rsidP="00CE7A0D">
      <w:pPr>
        <w:spacing w:after="0" w:line="240" w:lineRule="auto"/>
        <w:jc w:val="both"/>
      </w:pPr>
      <w:r>
        <w:rPr>
          <w:rFonts w:ascii="Verdana" w:eastAsia="Calibri" w:hAnsi="Verdana" w:cs="Arial"/>
          <w:lang w:val="es-ES" w:eastAsia="es-ES"/>
        </w:rPr>
        <w:t xml:space="preserve">Empresa de Renovación y Desarrollo Urbano - RENOBO </w:t>
      </w:r>
    </w:p>
    <w:p w14:paraId="3AA6DFE9" w14:textId="77777777" w:rsidR="00CE7A0D" w:rsidRDefault="00CE7A0D" w:rsidP="00CE7A0D">
      <w:pPr>
        <w:spacing w:after="0" w:line="240" w:lineRule="auto"/>
        <w:jc w:val="both"/>
        <w:rPr>
          <w:rFonts w:ascii="Verdana" w:eastAsia="Calibri" w:hAnsi="Verdana" w:cs="Arial"/>
          <w:bCs/>
          <w:lang w:val="es-ES" w:eastAsia="es-ES"/>
        </w:rPr>
      </w:pPr>
      <w:hyperlink r:id="rId11" w:history="1">
        <w:r w:rsidRPr="004B7610">
          <w:rPr>
            <w:rStyle w:val="Hipervnculo"/>
            <w:rFonts w:ascii="Verdana" w:eastAsia="Calibri" w:hAnsi="Verdana" w:cs="Arial"/>
            <w:bCs/>
            <w:lang w:val="es-ES" w:eastAsia="es-ES"/>
          </w:rPr>
          <w:t>sgd@eru.gov.co</w:t>
        </w:r>
      </w:hyperlink>
      <w:r>
        <w:rPr>
          <w:rFonts w:ascii="Verdana" w:eastAsia="Calibri" w:hAnsi="Verdana" w:cs="Arial"/>
          <w:bCs/>
          <w:lang w:val="es-ES" w:eastAsia="es-ES"/>
        </w:rPr>
        <w:t xml:space="preserve"> </w:t>
      </w:r>
    </w:p>
    <w:p w14:paraId="2EE8BFFE" w14:textId="77777777" w:rsidR="00CE7A0D" w:rsidRPr="00E534C9" w:rsidRDefault="00CE7A0D" w:rsidP="00CE7A0D">
      <w:pPr>
        <w:spacing w:after="0" w:line="240" w:lineRule="auto"/>
        <w:jc w:val="both"/>
        <w:rPr>
          <w:rFonts w:ascii="Verdana" w:eastAsia="Calibri" w:hAnsi="Verdana" w:cs="Arial"/>
          <w:bCs/>
          <w:lang w:val="es-ES" w:eastAsia="es-ES"/>
        </w:rPr>
      </w:pPr>
      <w:hyperlink r:id="rId12" w:history="1">
        <w:r w:rsidRPr="004B7610">
          <w:rPr>
            <w:rStyle w:val="Hipervnculo"/>
            <w:rFonts w:ascii="Verdana" w:eastAsia="Calibri" w:hAnsi="Verdana" w:cs="Arial"/>
            <w:bCs/>
            <w:lang w:val="es-ES" w:eastAsia="es-ES"/>
          </w:rPr>
          <w:t>contratacion@renobo.com.co</w:t>
        </w:r>
      </w:hyperlink>
      <w:r>
        <w:rPr>
          <w:rFonts w:ascii="Verdana" w:eastAsia="Calibri" w:hAnsi="Verdana" w:cs="Arial"/>
          <w:bCs/>
          <w:lang w:val="es-ES" w:eastAsia="es-ES"/>
        </w:rPr>
        <w:t xml:space="preserve"> </w:t>
      </w:r>
    </w:p>
    <w:p w14:paraId="321A3EA7" w14:textId="77777777" w:rsidR="00CE7A0D" w:rsidRDefault="00CE7A0D" w:rsidP="00CE7A0D">
      <w:pPr>
        <w:spacing w:after="0" w:line="240" w:lineRule="auto"/>
        <w:rPr>
          <w:rFonts w:ascii="Verdana" w:eastAsia="Calibri" w:hAnsi="Verdana" w:cs="Arial"/>
          <w:lang w:val="es-ES" w:eastAsia="es-ES"/>
        </w:rPr>
      </w:pPr>
      <w:r>
        <w:rPr>
          <w:rFonts w:ascii="Verdana" w:eastAsia="Calibri" w:hAnsi="Verdana" w:cs="Arial"/>
          <w:lang w:val="es-ES" w:eastAsia="es-ES"/>
        </w:rPr>
        <w:t>Bogotá D.C</w:t>
      </w:r>
    </w:p>
    <w:p w14:paraId="33E25C2B" w14:textId="77777777" w:rsidR="00CE7A0D" w:rsidRDefault="00CE7A0D" w:rsidP="00CE7A0D">
      <w:pPr>
        <w:spacing w:after="0" w:line="240" w:lineRule="auto"/>
        <w:rPr>
          <w:rFonts w:ascii="Verdana" w:eastAsia="Calibri" w:hAnsi="Verdana" w:cs="Arial"/>
          <w:b/>
          <w:bCs/>
          <w:color w:val="000000"/>
          <w:lang w:val="es-ES_tradnl" w:eastAsia="es-ES_tradnl"/>
        </w:rPr>
      </w:pPr>
    </w:p>
    <w:p w14:paraId="0DF6ACC0" w14:textId="77777777" w:rsidR="00CE7A0D" w:rsidRDefault="00CE7A0D" w:rsidP="00CE7A0D">
      <w:pPr>
        <w:spacing w:after="0" w:line="240" w:lineRule="auto"/>
        <w:jc w:val="center"/>
        <w:rPr>
          <w:rFonts w:ascii="Verdana" w:eastAsia="Calibri" w:hAnsi="Verdana" w:cs="Arial"/>
          <w:b/>
          <w:bCs/>
          <w:color w:val="000000"/>
          <w:lang w:val="es-ES_tradnl" w:eastAsia="es-ES_tradnl"/>
        </w:rPr>
      </w:pPr>
      <w:r w:rsidRPr="00143822">
        <w:rPr>
          <w:rFonts w:ascii="Verdana" w:eastAsia="Calibri" w:hAnsi="Verdana" w:cs="Arial"/>
          <w:b/>
          <w:bCs/>
          <w:lang w:val="es-ES" w:eastAsia="es-ES"/>
        </w:rPr>
        <w:t xml:space="preserve">Concepto C – </w:t>
      </w:r>
      <w:r>
        <w:rPr>
          <w:rFonts w:ascii="Verdana" w:eastAsia="Calibri" w:hAnsi="Verdana" w:cs="Arial"/>
          <w:b/>
          <w:bCs/>
          <w:lang w:val="es-ES" w:eastAsia="es-ES"/>
        </w:rPr>
        <w:t>091</w:t>
      </w:r>
      <w:r w:rsidRPr="00143822">
        <w:rPr>
          <w:rFonts w:ascii="Verdana" w:eastAsia="Calibri" w:hAnsi="Verdana" w:cs="Arial"/>
          <w:b/>
          <w:bCs/>
          <w:lang w:val="es-ES" w:eastAsia="es-ES"/>
        </w:rPr>
        <w:t xml:space="preserve"> de 202</w:t>
      </w:r>
      <w:r>
        <w:rPr>
          <w:rFonts w:ascii="Verdana" w:eastAsia="Calibri" w:hAnsi="Verdana" w:cs="Arial"/>
          <w:b/>
          <w:bCs/>
          <w:lang w:val="es-ES" w:eastAsia="es-ES"/>
        </w:rPr>
        <w:t>6</w:t>
      </w:r>
    </w:p>
    <w:p w14:paraId="4B4DEE08" w14:textId="77777777" w:rsidR="00CE7A0D" w:rsidRDefault="00CE7A0D" w:rsidP="00CE7A0D">
      <w:pPr>
        <w:spacing w:after="0" w:line="240" w:lineRule="auto"/>
        <w:rPr>
          <w:rFonts w:ascii="Verdana" w:eastAsia="Calibri" w:hAnsi="Verdana" w:cs="Arial"/>
          <w:b/>
          <w:bCs/>
          <w:color w:val="000000"/>
          <w:lang w:val="es-ES_tradnl" w:eastAsia="es-ES_tradnl"/>
        </w:rPr>
      </w:pPr>
    </w:p>
    <w:p w14:paraId="07B19029" w14:textId="77777777" w:rsidR="00CE7A0D" w:rsidRDefault="00CE7A0D" w:rsidP="00CE7A0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E7A0D" w14:paraId="15B17CAF" w14:textId="77777777" w:rsidTr="001B4567">
        <w:trPr>
          <w:trHeight w:val="884"/>
        </w:trPr>
        <w:tc>
          <w:tcPr>
            <w:tcW w:w="2689" w:type="dxa"/>
            <w:hideMark/>
          </w:tcPr>
          <w:p w14:paraId="41F433E9" w14:textId="77777777" w:rsidR="00CE7A0D" w:rsidRDefault="00CE7A0D" w:rsidP="001B4567">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50784244" w14:textId="77777777" w:rsidR="00CE7A0D" w:rsidRDefault="00CE7A0D" w:rsidP="001B4567">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Prohibición artículo 33 – Contratación directa – Alcance / LEY DE GARANTÍAS ELECTORALES – Excepciones / LEY DE GARANTÍAS ELECTORALES – Prohibición del artículo 33 – Destinatarios / ENAJENACIÓN VOLUNTARIA – Objeto – Aplicación – Ley de Garantías Electorales – Restricción- Contratación Directa                     </w:t>
            </w:r>
          </w:p>
          <w:p w14:paraId="309315A1" w14:textId="77777777" w:rsidR="00CE7A0D" w:rsidRDefault="00CE7A0D" w:rsidP="001B4567">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  </w:t>
            </w:r>
          </w:p>
        </w:tc>
      </w:tr>
      <w:tr w:rsidR="00CE7A0D" w14:paraId="354EC14F" w14:textId="77777777" w:rsidTr="001B4567">
        <w:tc>
          <w:tcPr>
            <w:tcW w:w="2689" w:type="dxa"/>
            <w:hideMark/>
          </w:tcPr>
          <w:p w14:paraId="55090C15" w14:textId="77777777" w:rsidR="00CE7A0D" w:rsidRDefault="00CE7A0D" w:rsidP="001B4567">
            <w:pPr>
              <w:jc w:val="both"/>
              <w:rPr>
                <w:rFonts w:ascii="Verdana" w:eastAsia="Calibri" w:hAnsi="Verdana" w:cs="Arial"/>
                <w:b/>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hideMark/>
          </w:tcPr>
          <w:p w14:paraId="5721588B" w14:textId="77777777" w:rsidR="00CE7A0D" w:rsidRDefault="00CE7A0D" w:rsidP="001B4567">
            <w:pPr>
              <w:spacing w:line="276" w:lineRule="auto"/>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las consultas con radicado Nos. </w:t>
            </w:r>
            <w:r w:rsidRPr="00CD79F6">
              <w:rPr>
                <w:rFonts w:ascii="Verdana" w:eastAsia="Calibri" w:hAnsi="Verdana" w:cs="Arial"/>
                <w:lang w:val="es-ES_tradnl" w:eastAsia="es-ES_tradnl"/>
              </w:rPr>
              <w:t xml:space="preserve">1_2026_01_19_000472 </w:t>
            </w:r>
            <w:r>
              <w:rPr>
                <w:rFonts w:ascii="Verdana" w:eastAsia="Calibri" w:hAnsi="Verdana" w:cs="Arial"/>
                <w:lang w:val="es-ES_tradnl" w:eastAsia="es-ES_tradnl"/>
              </w:rPr>
              <w:t>acumulada con radicado</w:t>
            </w:r>
            <w:r w:rsidRPr="00CD79F6">
              <w:rPr>
                <w:rFonts w:ascii="Verdana" w:eastAsia="Calibri" w:hAnsi="Verdana" w:cs="Arial"/>
                <w:lang w:val="es-ES_tradnl" w:eastAsia="es-ES_tradnl"/>
              </w:rPr>
              <w:t xml:space="preserve"> 1_2026_01_19_000509 y 1_2026_01_19_000523</w:t>
            </w:r>
          </w:p>
        </w:tc>
      </w:tr>
    </w:tbl>
    <w:p w14:paraId="295AD45C" w14:textId="77777777" w:rsidR="00CE7A0D" w:rsidRDefault="00CE7A0D" w:rsidP="00CE7A0D">
      <w:pPr>
        <w:spacing w:after="0" w:line="240" w:lineRule="auto"/>
        <w:jc w:val="both"/>
        <w:rPr>
          <w:rFonts w:ascii="Verdana" w:eastAsia="Calibri" w:hAnsi="Verdana" w:cs="Arial"/>
          <w:color w:val="000000"/>
          <w:lang w:val="es-ES_tradnl" w:eastAsia="es-ES_tradnl"/>
        </w:rPr>
      </w:pPr>
    </w:p>
    <w:p w14:paraId="1C918D0A" w14:textId="77777777" w:rsidR="00CE7A0D" w:rsidRDefault="00CE7A0D" w:rsidP="00CE7A0D">
      <w:pPr>
        <w:spacing w:after="0" w:line="240" w:lineRule="auto"/>
        <w:jc w:val="both"/>
        <w:rPr>
          <w:rFonts w:ascii="Verdana" w:eastAsia="Calibri" w:hAnsi="Verdana" w:cs="Arial"/>
          <w:color w:val="000000"/>
          <w:lang w:val="es-ES_tradnl" w:eastAsia="es-ES_tradnl"/>
        </w:rPr>
      </w:pPr>
    </w:p>
    <w:p w14:paraId="16DC7447" w14:textId="77777777" w:rsidR="00CE7A0D" w:rsidRDefault="00CE7A0D" w:rsidP="00CE7A0D">
      <w:pPr>
        <w:spacing w:after="0" w:line="276" w:lineRule="auto"/>
        <w:jc w:val="both"/>
        <w:rPr>
          <w:rFonts w:ascii="Verdana" w:eastAsia="Calibri" w:hAnsi="Verdana" w:cs="Arial"/>
          <w:lang w:val="es-ES" w:eastAsia="es-ES"/>
        </w:rPr>
      </w:pPr>
      <w:r>
        <w:rPr>
          <w:rFonts w:ascii="Verdana" w:eastAsia="Calibri" w:hAnsi="Verdana" w:cs="Arial"/>
          <w:lang w:val="es-ES" w:eastAsia="es-ES"/>
        </w:rPr>
        <w:t xml:space="preserve">Estimada señora Vallejo: </w:t>
      </w:r>
    </w:p>
    <w:p w14:paraId="226591C0" w14:textId="77777777" w:rsidR="00CE7A0D" w:rsidRDefault="00CE7A0D" w:rsidP="00CE7A0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D9530F1" w14:textId="77777777" w:rsidR="00CE7A0D" w:rsidRDefault="00CE7A0D" w:rsidP="00CE7A0D">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sidRPr="006C555A">
        <w:rPr>
          <w:rFonts w:ascii="Verdana" w:hAnsi="Verdana" w:cs="Arial"/>
          <w:lang w:val="es-ES_tradnl"/>
        </w:rPr>
        <w:t>así como lo establecido en</w:t>
      </w:r>
      <w:r w:rsidRPr="006C555A">
        <w:rPr>
          <w:rFonts w:ascii="Verdana" w:hAnsi="Verdana" w:cs="Arial"/>
        </w:rPr>
        <w:t xml:space="preserve"> la Resolución 469 de 2025 expedida por esta Entidad</w:t>
      </w:r>
      <w:r>
        <w:rPr>
          <w:rFonts w:ascii="Verdana" w:hAnsi="Verdana" w:cs="Arial"/>
        </w:rPr>
        <w:t xml:space="preserve">, </w:t>
      </w:r>
      <w:r>
        <w:rPr>
          <w:rFonts w:ascii="Verdana" w:eastAsia="Calibri" w:hAnsi="Verdana" w:cs="Arial"/>
          <w:color w:val="000000" w:themeColor="text1"/>
          <w:lang w:val="es-ES" w:eastAsia="es-ES"/>
        </w:rPr>
        <w:t xml:space="preserve">la Agencia Nacional de Contratación Pública – Colombia Compra Eficiente responde sus solicitudes de </w:t>
      </w:r>
      <w:r>
        <w:rPr>
          <w:rFonts w:ascii="Verdana" w:eastAsia="Calibri" w:hAnsi="Verdana" w:cs="Arial"/>
          <w:color w:val="000000" w:themeColor="text1"/>
          <w:lang w:val="es-ES" w:eastAsia="es-ES"/>
        </w:rPr>
        <w:lastRenderedPageBreak/>
        <w:t xml:space="preserve">consulta de </w:t>
      </w:r>
      <w:r>
        <w:rPr>
          <w:rFonts w:ascii="Verdana" w:eastAsia="Calibri" w:hAnsi="Verdana" w:cs="Arial"/>
          <w:lang w:val="es-ES" w:eastAsia="es-ES"/>
        </w:rPr>
        <w:t xml:space="preserve">fecha 19 de enero de 2025, en la cual </w:t>
      </w:r>
      <w:r>
        <w:rPr>
          <w:rFonts w:ascii="Verdana" w:eastAsia="Calibri" w:hAnsi="Verdana" w:cs="Arial"/>
          <w:color w:val="000000" w:themeColor="text1"/>
          <w:lang w:val="es-ES" w:eastAsia="es-ES"/>
        </w:rPr>
        <w:t xml:space="preserve">respecto del concepto C-1529 de 2025, indica </w:t>
      </w:r>
      <w:r w:rsidRPr="00FC6F34">
        <w:rPr>
          <w:rFonts w:ascii="Verdana" w:eastAsia="Calibri" w:hAnsi="Verdana" w:cs="Arial"/>
          <w:color w:val="000000" w:themeColor="text1"/>
          <w:lang w:val="es-ES" w:eastAsia="es-ES"/>
        </w:rPr>
        <w:t>lo siguiente</w:t>
      </w:r>
      <w:r>
        <w:rPr>
          <w:rFonts w:ascii="Verdana" w:eastAsia="Calibri" w:hAnsi="Verdana" w:cs="Arial"/>
          <w:lang w:val="es-ES" w:eastAsia="es-ES"/>
        </w:rPr>
        <w:t xml:space="preserve">: </w:t>
      </w:r>
    </w:p>
    <w:p w14:paraId="4F835E3F" w14:textId="77777777" w:rsidR="00CE7A0D" w:rsidRDefault="00CE7A0D" w:rsidP="00CE7A0D">
      <w:pPr>
        <w:pStyle w:val="Prrafodelista"/>
        <w:tabs>
          <w:tab w:val="left" w:pos="142"/>
          <w:tab w:val="left" w:pos="284"/>
        </w:tabs>
        <w:spacing w:after="0" w:line="276" w:lineRule="auto"/>
        <w:ind w:left="0"/>
        <w:jc w:val="both"/>
        <w:rPr>
          <w:rFonts w:ascii="Verdana" w:eastAsia="Century Gothic" w:hAnsi="Verdana" w:cs="Century Gothic"/>
          <w:b/>
          <w:bCs/>
        </w:rPr>
      </w:pPr>
    </w:p>
    <w:p w14:paraId="7DC388C6" w14:textId="77777777" w:rsidR="00CE7A0D" w:rsidRDefault="00CE7A0D" w:rsidP="00CE7A0D">
      <w:pPr>
        <w:spacing w:after="0" w:line="240" w:lineRule="auto"/>
        <w:ind w:left="709" w:right="709"/>
        <w:jc w:val="both"/>
        <w:rPr>
          <w:rFonts w:ascii="Verdana" w:eastAsia="Century Gothic" w:hAnsi="Verdana" w:cs="Century Gothic"/>
          <w:sz w:val="20"/>
          <w:szCs w:val="20"/>
          <w:lang w:val="es-ES"/>
        </w:rPr>
      </w:pPr>
      <w:bookmarkStart w:id="0" w:name="_Hlk95313578"/>
      <w:r>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xml:space="preserve">[…] </w:t>
      </w:r>
    </w:p>
    <w:p w14:paraId="516317BA" w14:textId="77777777" w:rsidR="00CE7A0D" w:rsidRDefault="00CE7A0D" w:rsidP="00CE7A0D">
      <w:pPr>
        <w:spacing w:after="0" w:line="240" w:lineRule="auto"/>
        <w:ind w:left="709" w:right="709"/>
        <w:jc w:val="both"/>
        <w:rPr>
          <w:rFonts w:ascii="Verdana" w:eastAsia="Century Gothic" w:hAnsi="Verdana" w:cs="Century Gothic"/>
          <w:sz w:val="20"/>
          <w:szCs w:val="20"/>
          <w:lang w:val="es-ES"/>
        </w:rPr>
      </w:pPr>
    </w:p>
    <w:p w14:paraId="619227E4" w14:textId="77777777" w:rsidR="00CE7A0D" w:rsidRDefault="00CE7A0D" w:rsidP="00CE7A0D">
      <w:pPr>
        <w:spacing w:after="0" w:line="240" w:lineRule="auto"/>
        <w:ind w:left="709" w:right="709"/>
        <w:jc w:val="both"/>
        <w:rPr>
          <w:rFonts w:ascii="Verdana" w:eastAsia="Century Gothic" w:hAnsi="Verdana" w:cs="Century Gothic"/>
          <w:sz w:val="20"/>
          <w:szCs w:val="20"/>
          <w:lang w:val="es-ES"/>
        </w:rPr>
      </w:pPr>
      <w:r w:rsidRPr="00B47B09">
        <w:rPr>
          <w:rFonts w:ascii="Verdana" w:eastAsia="Century Gothic" w:hAnsi="Verdana" w:cs="Century Gothic"/>
          <w:sz w:val="20"/>
          <w:szCs w:val="20"/>
        </w:rPr>
        <w:t>A partir de los argumentos esbozados en los acápites de «Fundamentos fácticos» y de «Razones jurídicas para solicitar el alcance y/o modificación del concepto «C-1529 de 2025», se le solicita a la Subdirección de Gestión Contractual de la ANCP-CCE que se realice un alcance y/o modificación al concepto jurídico número «C-1529 de 2025», y se precise, a partir de un análisis integral y sistemático de las disposiciones de orden constitucional y legal que rigen tanto el procedimiento administrativo de expropiación de bienes declarados de interés general o social como las prohibiciones contempladas en la Ley 996 de 2005, que la adquisición predial por motivos de utilidad pública, regulada por las Leyes 9 de 1989, 388 de 1997 y 1682 de 2013, no constituye, en estricto sentido, una modalidad de contratación directa en los términos del artículo 33 de</w:t>
      </w:r>
      <w:r w:rsidRPr="00B47B09">
        <w:rPr>
          <w:rFonts w:ascii="Verdana" w:eastAsia="Century Gothic" w:hAnsi="Verdana" w:cs="Century Gothic"/>
          <w:sz w:val="20"/>
          <w:szCs w:val="20"/>
          <w:lang w:val="es-ES"/>
        </w:rPr>
        <w:t xml:space="preserve"> </w:t>
      </w:r>
      <w:r>
        <w:rPr>
          <w:rFonts w:ascii="Verdana" w:eastAsia="Century Gothic" w:hAnsi="Verdana" w:cs="Century Gothic"/>
          <w:sz w:val="20"/>
          <w:szCs w:val="20"/>
          <w:lang w:val="es-ES"/>
        </w:rPr>
        <w:t>la Ley 996 de 2005, atendiendo a su naturaleza de procedimiento administrativo conforme con lo dispuesto en el artículo 58 de la Constitución Política Colombiana.”</w:t>
      </w:r>
    </w:p>
    <w:p w14:paraId="3F113031" w14:textId="77777777" w:rsidR="00CE7A0D" w:rsidRDefault="00CE7A0D" w:rsidP="00CE7A0D">
      <w:pPr>
        <w:pStyle w:val="Prrafodelista"/>
        <w:tabs>
          <w:tab w:val="left" w:pos="142"/>
          <w:tab w:val="left" w:pos="284"/>
        </w:tabs>
        <w:spacing w:after="0" w:line="276" w:lineRule="auto"/>
        <w:ind w:left="0"/>
        <w:jc w:val="both"/>
        <w:rPr>
          <w:rFonts w:ascii="Verdana" w:eastAsia="Century Gothic" w:hAnsi="Verdana" w:cs="Century Gothic"/>
          <w:b/>
          <w:bCs/>
        </w:rPr>
      </w:pPr>
    </w:p>
    <w:p w14:paraId="1172A3E4" w14:textId="77777777" w:rsidR="00CE7A0D" w:rsidRDefault="00CE7A0D" w:rsidP="00CE7A0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6061E5E" w14:textId="77777777" w:rsidR="00CE7A0D" w:rsidRDefault="00CE7A0D" w:rsidP="00CE7A0D">
      <w:pPr>
        <w:spacing w:after="0" w:line="276" w:lineRule="auto"/>
        <w:ind w:firstLine="708"/>
        <w:jc w:val="both"/>
        <w:rPr>
          <w:rFonts w:ascii="Verdana" w:eastAsia="Calibri" w:hAnsi="Verdana" w:cs="Arial"/>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Pr>
          <w:rFonts w:ascii="Verdana" w:eastAsia="Calibri" w:hAnsi="Verdana" w:cs="Arial"/>
          <w:lang w:val="es-ES" w:eastAsia="es-ES"/>
        </w:rPr>
        <w:t xml:space="preserve"> </w:t>
      </w:r>
      <w:r>
        <w:rPr>
          <w:rFonts w:ascii="Verdana" w:eastAsia="Calibri" w:hAnsi="Verdana" w:cs="Arial"/>
          <w:color w:val="000000"/>
          <w:lang w:val="es-ES" w:eastAsia="es-ES"/>
        </w:rPr>
        <w:t xml:space="preserve">  </w:t>
      </w:r>
    </w:p>
    <w:p w14:paraId="63C7F35C" w14:textId="77777777" w:rsidR="00CE7A0D" w:rsidRDefault="00CE7A0D" w:rsidP="00CE7A0D">
      <w:pPr>
        <w:spacing w:after="0" w:line="276" w:lineRule="auto"/>
        <w:ind w:firstLine="709"/>
        <w:jc w:val="both"/>
        <w:rPr>
          <w:rFonts w:ascii="Verdana" w:eastAsia="Calibri" w:hAnsi="Verdana" w:cs="Arial"/>
          <w:color w:val="000000"/>
          <w:lang w:val="es-ES" w:eastAsia="es-ES"/>
        </w:rPr>
      </w:pPr>
    </w:p>
    <w:p w14:paraId="08CFE9F7" w14:textId="77777777" w:rsidR="00CE7A0D" w:rsidRDefault="00CE7A0D" w:rsidP="00CE7A0D">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Problema planteado:</w:t>
      </w:r>
    </w:p>
    <w:p w14:paraId="2B4F5E88" w14:textId="77777777" w:rsidR="00CE7A0D" w:rsidRDefault="00CE7A0D" w:rsidP="00CE7A0D">
      <w:pPr>
        <w:tabs>
          <w:tab w:val="left" w:pos="426"/>
        </w:tabs>
        <w:spacing w:after="0" w:line="276" w:lineRule="auto"/>
        <w:jc w:val="both"/>
        <w:rPr>
          <w:rFonts w:ascii="Verdana" w:eastAsia="Century Gothic" w:hAnsi="Verdana" w:cs="Century Gothic"/>
          <w:lang w:val="es-ES"/>
        </w:rPr>
      </w:pPr>
    </w:p>
    <w:p w14:paraId="1EEA4AEB" w14:textId="77777777" w:rsidR="00CE7A0D" w:rsidRDefault="00CE7A0D" w:rsidP="00CE7A0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¿Los procesos de enajenación voluntaria </w:t>
      </w:r>
      <w:r>
        <w:rPr>
          <w:rFonts w:ascii="Verdana" w:eastAsia="Calibri" w:hAnsi="Verdana" w:cs="Times New Roman"/>
          <w:iCs/>
          <w:lang w:val="es-ES"/>
        </w:rPr>
        <w:t>por parte de entidades estatales para adquirir predios están restringidos durante la Ley de Garantías Electorales?</w:t>
      </w:r>
    </w:p>
    <w:p w14:paraId="1D48E61A" w14:textId="77777777" w:rsidR="00CE7A0D" w:rsidRDefault="00CE7A0D" w:rsidP="00CE7A0D">
      <w:pPr>
        <w:spacing w:after="0" w:line="276" w:lineRule="auto"/>
        <w:jc w:val="both"/>
        <w:rPr>
          <w:rFonts w:ascii="Verdana" w:eastAsia="Calibri" w:hAnsi="Verdana" w:cs="Arial"/>
          <w:color w:val="7030A0"/>
        </w:rPr>
      </w:pPr>
    </w:p>
    <w:p w14:paraId="10B026ED" w14:textId="77777777" w:rsidR="00CE7A0D" w:rsidRDefault="00CE7A0D" w:rsidP="00CE7A0D">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w:t>
      </w:r>
    </w:p>
    <w:p w14:paraId="50D1FD68" w14:textId="77777777" w:rsidR="00CE7A0D" w:rsidRDefault="00CE7A0D" w:rsidP="00CE7A0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E7A0D" w14:paraId="2D02AF0D" w14:textId="77777777" w:rsidTr="001B4567">
        <w:trPr>
          <w:jc w:val="center"/>
        </w:trPr>
        <w:tc>
          <w:tcPr>
            <w:tcW w:w="8828" w:type="dxa"/>
            <w:tcBorders>
              <w:top w:val="dotted" w:sz="4" w:space="0" w:color="auto"/>
              <w:left w:val="dotted" w:sz="4" w:space="0" w:color="auto"/>
              <w:bottom w:val="dotted" w:sz="4" w:space="0" w:color="auto"/>
              <w:right w:val="dotted" w:sz="4" w:space="0" w:color="auto"/>
            </w:tcBorders>
            <w:hideMark/>
          </w:tcPr>
          <w:p w14:paraId="22F3582C" w14:textId="77777777" w:rsidR="00CE7A0D" w:rsidRDefault="00CE7A0D" w:rsidP="001B4567">
            <w:pPr>
              <w:spacing w:after="120" w:line="276" w:lineRule="auto"/>
              <w:jc w:val="both"/>
              <w:rPr>
                <w:rFonts w:ascii="Verdana" w:eastAsia="Calibri" w:hAnsi="Verdana" w:cs="Arial"/>
                <w:lang w:val="es-MX"/>
              </w:rPr>
            </w:pPr>
            <w:bookmarkStart w:id="1" w:name="_Hlk171694685"/>
            <w:r>
              <w:rPr>
                <w:rFonts w:ascii="Verdana" w:eastAsia="Calibri" w:hAnsi="Verdana" w:cs="Arial"/>
                <w:lang w:val="es-MX"/>
              </w:rPr>
              <w:t xml:space="preserve">Conforme a la interpretación general de las normas del sistema de compras públicas, </w:t>
            </w:r>
            <w:r>
              <w:rPr>
                <w:rFonts w:ascii="Verdana" w:eastAsia="Times New Roman" w:hAnsi="Verdana" w:cs="Arial"/>
                <w:bCs/>
                <w:lang w:val="es-MX"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6C8A5E35" w14:textId="77777777" w:rsidR="00CE7A0D" w:rsidRPr="00363C91" w:rsidRDefault="00CE7A0D" w:rsidP="001B4567">
            <w:pPr>
              <w:spacing w:after="120" w:line="276" w:lineRule="auto"/>
              <w:ind w:firstLine="743"/>
              <w:jc w:val="both"/>
              <w:rPr>
                <w:rFonts w:ascii="Verdana" w:eastAsia="Calibri" w:hAnsi="Verdana" w:cs="Arial"/>
              </w:rPr>
            </w:pPr>
            <w:r>
              <w:rPr>
                <w:rFonts w:ascii="Verdana" w:eastAsia="Times New Roman" w:hAnsi="Verdana" w:cs="Arial"/>
                <w:lang w:val="es-ES" w:eastAsia="es-ES_tradnl"/>
              </w:rPr>
              <w:t>En virtud de esta restricción y</w:t>
            </w:r>
            <w:r w:rsidRPr="00494FAF">
              <w:rPr>
                <w:rFonts w:ascii="Verdana" w:eastAsia="Times New Roman" w:hAnsi="Verdana" w:cs="Arial"/>
                <w:bCs/>
                <w:lang w:eastAsia="x-none"/>
              </w:rPr>
              <w:t xml:space="preserve"> dando alcance a</w:t>
            </w:r>
            <w:r>
              <w:rPr>
                <w:rFonts w:ascii="Verdana" w:eastAsia="Times New Roman" w:hAnsi="Verdana" w:cs="Arial"/>
                <w:bCs/>
                <w:lang w:eastAsia="x-none"/>
              </w:rPr>
              <w:t xml:space="preserve"> los conceptos C-1512 y C-1529 de 2025, </w:t>
            </w:r>
            <w:r w:rsidRPr="00611BBF">
              <w:rPr>
                <w:rFonts w:ascii="Verdana" w:eastAsia="Calibri" w:hAnsi="Verdana" w:cs="Arial"/>
              </w:rPr>
              <w:t xml:space="preserve">debe precisarse que </w:t>
            </w:r>
            <w:r w:rsidRPr="00ED2EBA">
              <w:rPr>
                <w:rFonts w:ascii="Verdana" w:eastAsia="Calibri" w:hAnsi="Verdana" w:cs="Arial"/>
              </w:rPr>
              <w:t xml:space="preserve">la restricción prevista en el artículo 33 de la Ley 996 de 2005 no resulta aplicable al </w:t>
            </w:r>
            <w:r>
              <w:rPr>
                <w:rFonts w:ascii="Verdana" w:eastAsia="Calibri" w:hAnsi="Verdana" w:cs="Arial"/>
              </w:rPr>
              <w:t xml:space="preserve">procedimiento </w:t>
            </w:r>
            <w:r w:rsidRPr="0013781B">
              <w:rPr>
                <w:rFonts w:ascii="Verdana" w:eastAsia="Calibri" w:hAnsi="Verdana" w:cs="Arial"/>
                <w:lang w:val="es-ES"/>
              </w:rPr>
              <w:t>administrativo de adquisición</w:t>
            </w:r>
            <w:r>
              <w:rPr>
                <w:rFonts w:ascii="Verdana" w:eastAsia="Calibri" w:hAnsi="Verdana" w:cs="Arial"/>
                <w:lang w:val="es-ES"/>
              </w:rPr>
              <w:t xml:space="preserve"> predial</w:t>
            </w:r>
            <w:r w:rsidRPr="0013781B">
              <w:rPr>
                <w:rFonts w:ascii="Verdana" w:eastAsia="Calibri" w:hAnsi="Verdana" w:cs="Arial"/>
                <w:lang w:val="es-ES"/>
              </w:rPr>
              <w:t xml:space="preserve"> </w:t>
            </w:r>
            <w:r w:rsidRPr="00DF2532">
              <w:rPr>
                <w:rFonts w:ascii="Verdana" w:eastAsia="Calibri" w:hAnsi="Verdana" w:cs="Arial"/>
                <w:i/>
                <w:iCs/>
              </w:rPr>
              <w:t>en sí mismo</w:t>
            </w:r>
            <w:r w:rsidRPr="00ED2EBA">
              <w:rPr>
                <w:rFonts w:ascii="Verdana" w:eastAsia="Calibri" w:hAnsi="Verdana" w:cs="Arial"/>
              </w:rPr>
              <w:t>,</w:t>
            </w:r>
            <w:r>
              <w:rPr>
                <w:rFonts w:ascii="Verdana" w:eastAsia="Calibri" w:hAnsi="Verdana" w:cs="Arial"/>
              </w:rPr>
              <w:t xml:space="preserve"> en su etapa preparatoria o preliminar, </w:t>
            </w:r>
            <w:r w:rsidRPr="00ED2EBA">
              <w:rPr>
                <w:rFonts w:ascii="Verdana" w:eastAsia="Calibri" w:hAnsi="Verdana" w:cs="Arial"/>
              </w:rPr>
              <w:t>en la medida en que dicho artículo se refiere a</w:t>
            </w:r>
            <w:r>
              <w:rPr>
                <w:rFonts w:ascii="Verdana" w:eastAsia="Calibri" w:hAnsi="Verdana" w:cs="Arial"/>
              </w:rPr>
              <w:t xml:space="preserve"> la </w:t>
            </w:r>
            <w:r w:rsidRPr="0087731C">
              <w:rPr>
                <w:rFonts w:ascii="Verdana" w:eastAsia="Calibri" w:hAnsi="Verdana" w:cs="Arial"/>
                <w:bCs/>
                <w:lang w:val="es-MX"/>
              </w:rPr>
              <w:t>celebra</w:t>
            </w:r>
            <w:r>
              <w:rPr>
                <w:rFonts w:ascii="Verdana" w:eastAsia="Calibri" w:hAnsi="Verdana" w:cs="Arial"/>
                <w:bCs/>
                <w:lang w:val="es-MX"/>
              </w:rPr>
              <w:t xml:space="preserve">ción de </w:t>
            </w:r>
            <w:r w:rsidRPr="0087731C">
              <w:rPr>
                <w:rFonts w:ascii="Verdana" w:eastAsia="Calibri" w:hAnsi="Verdana" w:cs="Arial"/>
                <w:bCs/>
                <w:lang w:val="es-MX"/>
              </w:rPr>
              <w:t>contrato</w:t>
            </w:r>
            <w:r>
              <w:rPr>
                <w:rFonts w:ascii="Verdana" w:eastAsia="Calibri" w:hAnsi="Verdana" w:cs="Arial"/>
                <w:bCs/>
                <w:lang w:val="es-MX"/>
              </w:rPr>
              <w:t>s</w:t>
            </w:r>
            <w:r w:rsidRPr="0087731C">
              <w:rPr>
                <w:rFonts w:ascii="Verdana" w:eastAsia="Calibri" w:hAnsi="Verdana" w:cs="Arial"/>
                <w:bCs/>
                <w:lang w:val="es-MX"/>
              </w:rPr>
              <w:t xml:space="preserve"> de forma directa, </w:t>
            </w:r>
            <w:r w:rsidRPr="00ED2EBA">
              <w:rPr>
                <w:rFonts w:ascii="Verdana" w:eastAsia="Calibri" w:hAnsi="Verdana" w:cs="Arial"/>
              </w:rPr>
              <w:t>y</w:t>
            </w:r>
            <w:r w:rsidRPr="00611BBF">
              <w:rPr>
                <w:rFonts w:ascii="Verdana" w:eastAsia="Calibri" w:hAnsi="Verdana" w:cs="Arial"/>
              </w:rPr>
              <w:t xml:space="preserve"> no a</w:t>
            </w:r>
            <w:r>
              <w:rPr>
                <w:rFonts w:ascii="Verdana" w:eastAsia="Calibri" w:hAnsi="Verdana" w:cs="Arial"/>
              </w:rPr>
              <w:t xml:space="preserve"> las</w:t>
            </w:r>
            <w:r w:rsidRPr="00611BBF">
              <w:rPr>
                <w:rFonts w:ascii="Verdana" w:eastAsia="Calibri" w:hAnsi="Verdana" w:cs="Arial"/>
              </w:rPr>
              <w:t xml:space="preserve"> actuaciones administrativas</w:t>
            </w:r>
            <w:r>
              <w:rPr>
                <w:rFonts w:ascii="Verdana" w:eastAsia="Calibri" w:hAnsi="Verdana" w:cs="Arial"/>
              </w:rPr>
              <w:t xml:space="preserve"> que se puedan generar previamente</w:t>
            </w:r>
            <w:r w:rsidRPr="00494FAF">
              <w:rPr>
                <w:rFonts w:ascii="Verdana" w:eastAsia="Times New Roman" w:hAnsi="Verdana" w:cs="Arial"/>
                <w:bCs/>
                <w:lang w:eastAsia="x-none"/>
              </w:rPr>
              <w:t xml:space="preserve">. En tal sentido, la gestión predial no se ve paralizada durante el período de restricción. </w:t>
            </w:r>
          </w:p>
          <w:p w14:paraId="134D095F" w14:textId="77777777" w:rsidR="00CE7A0D" w:rsidRDefault="00CE7A0D" w:rsidP="001B4567">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De esta manera</w:t>
            </w:r>
            <w:r w:rsidRPr="00B61452">
              <w:rPr>
                <w:rFonts w:ascii="Verdana" w:eastAsia="Calibri" w:hAnsi="Verdana" w:cs="Arial"/>
                <w:sz w:val="22"/>
                <w:szCs w:val="22"/>
              </w:rPr>
              <w:t xml:space="preserve">,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0D6D4D91" w14:textId="77777777" w:rsidR="00CE7A0D" w:rsidRPr="000D58B6" w:rsidRDefault="00CE7A0D" w:rsidP="001B4567">
            <w:pPr>
              <w:spacing w:after="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w:t>
            </w:r>
            <w:r w:rsidRPr="00FB77DC">
              <w:rPr>
                <w:rFonts w:ascii="Verdana" w:eastAsia="Times New Roman" w:hAnsi="Verdana" w:cs="Arial"/>
              </w:rPr>
              <w:lastRenderedPageBreak/>
              <w:t>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3545752A" w14:textId="77777777" w:rsidR="00CE7A0D" w:rsidRDefault="00CE7A0D" w:rsidP="001B4567">
            <w:pPr>
              <w:tabs>
                <w:tab w:val="left" w:pos="709"/>
              </w:tabs>
              <w:spacing w:before="120" w:after="120" w:line="276" w:lineRule="auto"/>
              <w:ind w:firstLine="709"/>
              <w:jc w:val="both"/>
              <w:rPr>
                <w:rFonts w:ascii="Verdana" w:eastAsia="Calibri" w:hAnsi="Verdana" w:cs="Arial"/>
                <w:bCs/>
                <w:color w:val="000000" w:themeColor="text1"/>
              </w:rPr>
            </w:pPr>
            <w:r w:rsidRPr="00494FAF">
              <w:rPr>
                <w:rFonts w:ascii="Verdana" w:eastAsia="Times New Roman" w:hAnsi="Verdana" w:cs="Arial"/>
                <w:bCs/>
                <w:lang w:eastAsia="x-none"/>
              </w:rPr>
              <w:t xml:space="preserve">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r>
              <w:rPr>
                <w:rFonts w:ascii="Verdana" w:eastAsia="Times New Roman" w:hAnsi="Verdana" w:cs="Arial"/>
                <w:bCs/>
                <w:lang w:eastAsia="x-none"/>
              </w:rPr>
              <w:t xml:space="preserve">. </w:t>
            </w: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y en armonía con lo dispuesto por el artículo 1 de la Ley 1150 de 2007. Estos negocios jurídicos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p>
          <w:p w14:paraId="44AC9CA8" w14:textId="77777777" w:rsidR="00CE7A0D" w:rsidRDefault="00CE7A0D" w:rsidP="001B4567">
            <w:pPr>
              <w:spacing w:line="276" w:lineRule="auto"/>
              <w:ind w:right="51" w:firstLine="737"/>
              <w:jc w:val="both"/>
              <w:rPr>
                <w:rFonts w:ascii="Verdana" w:eastAsia="Calibri" w:hAnsi="Verdana" w:cs="Arial"/>
                <w:bCs/>
                <w:color w:val="000000" w:themeColor="text1"/>
              </w:rPr>
            </w:pPr>
          </w:p>
        </w:tc>
      </w:tr>
    </w:tbl>
    <w:p w14:paraId="5B024D47" w14:textId="77777777" w:rsidR="00CE7A0D" w:rsidRDefault="00CE7A0D" w:rsidP="00CE7A0D">
      <w:pPr>
        <w:tabs>
          <w:tab w:val="left" w:pos="142"/>
          <w:tab w:val="left" w:pos="284"/>
        </w:tabs>
        <w:spacing w:after="0" w:line="276" w:lineRule="auto"/>
        <w:jc w:val="both"/>
        <w:rPr>
          <w:rFonts w:ascii="Verdana" w:eastAsia="Century Gothic" w:hAnsi="Verdana" w:cs="Century Gothic"/>
          <w:b/>
          <w:bCs/>
          <w:lang w:val="es-ES"/>
        </w:rPr>
      </w:pPr>
    </w:p>
    <w:bookmarkEnd w:id="1"/>
    <w:p w14:paraId="025B888B" w14:textId="77777777" w:rsidR="00CE7A0D" w:rsidRDefault="00CE7A0D" w:rsidP="00CE7A0D">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Razones de la respuesta:</w:t>
      </w:r>
    </w:p>
    <w:p w14:paraId="0C91F79E" w14:textId="77777777" w:rsidR="00CE7A0D" w:rsidRDefault="00CE7A0D" w:rsidP="00CE7A0D">
      <w:pPr>
        <w:spacing w:after="0" w:line="276" w:lineRule="auto"/>
        <w:jc w:val="both"/>
        <w:rPr>
          <w:rFonts w:ascii="Verdana" w:eastAsia="Calibri" w:hAnsi="Verdana" w:cs="Arial"/>
          <w:color w:val="7030A0"/>
          <w:lang w:val="es-ES"/>
        </w:rPr>
      </w:pPr>
    </w:p>
    <w:p w14:paraId="56D527F0" w14:textId="77777777" w:rsidR="00CE7A0D" w:rsidRDefault="00CE7A0D" w:rsidP="00CE7A0D">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4A6A1438" w14:textId="77777777" w:rsidR="00CE7A0D" w:rsidRDefault="00CE7A0D" w:rsidP="00CE7A0D">
      <w:pPr>
        <w:spacing w:after="0" w:line="276" w:lineRule="auto"/>
        <w:jc w:val="both"/>
        <w:rPr>
          <w:rFonts w:ascii="Verdana" w:eastAsia="Calibri" w:hAnsi="Verdana" w:cs="Arial"/>
          <w:lang w:val="es-ES"/>
        </w:rPr>
      </w:pPr>
    </w:p>
    <w:p w14:paraId="6296846E" w14:textId="77777777" w:rsidR="00CE7A0D" w:rsidRDefault="00CE7A0D" w:rsidP="00CE7A0D">
      <w:pPr>
        <w:tabs>
          <w:tab w:val="left" w:pos="426"/>
        </w:tabs>
        <w:spacing w:after="120" w:line="276" w:lineRule="auto"/>
        <w:jc w:val="both"/>
        <w:rPr>
          <w:rFonts w:ascii="Verdana" w:eastAsia="Times New Roman" w:hAnsi="Verdana" w:cs="Arial"/>
          <w:lang w:val="es-ES" w:eastAsia="es-ES_tradnl"/>
        </w:rPr>
      </w:pPr>
      <w:r>
        <w:rPr>
          <w:rFonts w:ascii="Verdana" w:eastAsia="Calibri" w:hAnsi="Verdana" w:cs="Arial"/>
        </w:rPr>
        <w:t xml:space="preserve">i. </w:t>
      </w:r>
      <w:r w:rsidRPr="007A60E6">
        <w:rPr>
          <w:rFonts w:ascii="Verdana" w:eastAsia="Calibri" w:hAnsi="Verdana" w:cs="Arial"/>
          <w:color w:val="000000" w:themeColor="text1"/>
          <w:lang w:val="es-ES_tradnl"/>
        </w:rPr>
        <w:t>Como punto de partida,</w:t>
      </w:r>
      <w:r>
        <w:rPr>
          <w:rFonts w:ascii="Verdana" w:eastAsia="Calibri" w:hAnsi="Verdana" w:cs="Arial"/>
          <w:color w:val="000000" w:themeColor="text1"/>
          <w:lang w:val="es-ES_tradnl"/>
        </w:rPr>
        <w:t xml:space="preserve"> resulta </w:t>
      </w:r>
      <w:r w:rsidRPr="007A60E6">
        <w:rPr>
          <w:rFonts w:ascii="Verdana" w:eastAsia="Calibri" w:hAnsi="Verdana" w:cs="Arial"/>
          <w:color w:val="000000" w:themeColor="text1"/>
          <w:lang w:val="es-ES_tradnl"/>
        </w:rPr>
        <w:t>pertinente</w:t>
      </w:r>
      <w:r>
        <w:rPr>
          <w:rFonts w:ascii="Verdana" w:eastAsia="Calibri" w:hAnsi="Verdana" w:cs="Arial"/>
          <w:color w:val="000000" w:themeColor="text1"/>
          <w:lang w:val="es-ES_tradnl"/>
        </w:rPr>
        <w:t xml:space="preserve"> reiterar </w:t>
      </w:r>
      <w:r>
        <w:rPr>
          <w:rFonts w:ascii="Verdana" w:eastAsia="Calibri" w:hAnsi="Verdana" w:cs="Arial"/>
          <w:bCs/>
          <w:color w:val="000000" w:themeColor="text1"/>
        </w:rPr>
        <w:t>lo expuesto sobre</w:t>
      </w:r>
      <w:r w:rsidRPr="003E5E57">
        <w:rPr>
          <w:rFonts w:ascii="Verdana" w:eastAsia="Calibri" w:hAnsi="Verdana" w:cs="Arial"/>
          <w:bCs/>
          <w:color w:val="000000" w:themeColor="text1"/>
        </w:rPr>
        <w:t xml:space="preserve"> alcance</w:t>
      </w:r>
      <w:r>
        <w:rPr>
          <w:rFonts w:ascii="Verdana" w:eastAsia="Calibri" w:hAnsi="Verdana" w:cs="Arial"/>
          <w:bCs/>
          <w:color w:val="000000" w:themeColor="text1"/>
        </w:rPr>
        <w:t xml:space="preserve"> </w:t>
      </w:r>
      <w:r w:rsidRPr="003E5E57">
        <w:rPr>
          <w:rFonts w:ascii="Verdana" w:eastAsia="Calibri" w:hAnsi="Verdana" w:cs="Arial"/>
          <w:bCs/>
          <w:color w:val="000000" w:themeColor="text1"/>
        </w:rPr>
        <w:t xml:space="preserve">del concepto </w:t>
      </w:r>
      <w:r w:rsidRPr="003E5E57">
        <w:rPr>
          <w:rFonts w:ascii="Verdana" w:eastAsia="Calibri" w:hAnsi="Verdana" w:cs="Arial"/>
          <w:color w:val="000000"/>
          <w:lang w:val="es-ES"/>
        </w:rPr>
        <w:t>de</w:t>
      </w:r>
      <w:r>
        <w:rPr>
          <w:rFonts w:ascii="Verdana" w:eastAsia="Calibri" w:hAnsi="Verdana" w:cs="Arial"/>
          <w:color w:val="000000"/>
          <w:lang w:val="es-ES"/>
        </w:rPr>
        <w:t xml:space="preserve">l artículo </w:t>
      </w:r>
      <w:r>
        <w:rPr>
          <w:rFonts w:ascii="Verdana" w:eastAsia="Times New Roman" w:hAnsi="Verdana" w:cs="Arial"/>
          <w:bCs/>
          <w:lang w:val="es-MX" w:eastAsia="x-none"/>
        </w:rPr>
        <w:t>33 de la Ley 996 de 2005</w:t>
      </w:r>
      <w:r>
        <w:rPr>
          <w:rFonts w:ascii="Verdana" w:eastAsia="Calibri" w:hAnsi="Verdana" w:cs="Arial"/>
          <w:color w:val="000000"/>
          <w:lang w:val="es-ES"/>
        </w:rPr>
        <w:t xml:space="preserve"> al que se hizo referencia en los conceptos C-1512 y C-1529 de 2025, con la finalidad de determinar el marco que delimita su aplicación</w:t>
      </w:r>
      <w:r>
        <w:rPr>
          <w:rFonts w:ascii="Verdana" w:eastAsia="Times New Roman" w:hAnsi="Verdana" w:cs="Arial"/>
          <w:lang w:val="es-ES" w:eastAsia="es-ES_tradnl"/>
        </w:rPr>
        <w:t xml:space="preserve">. </w:t>
      </w:r>
    </w:p>
    <w:p w14:paraId="436352DE" w14:textId="77777777" w:rsidR="00CE7A0D" w:rsidRDefault="00CE7A0D" w:rsidP="00CE7A0D">
      <w:pPr>
        <w:tabs>
          <w:tab w:val="left" w:pos="426"/>
        </w:tabs>
        <w:spacing w:after="120" w:line="276" w:lineRule="auto"/>
        <w:ind w:firstLine="709"/>
        <w:jc w:val="both"/>
        <w:rPr>
          <w:rFonts w:ascii="Verdana" w:eastAsia="Calibri" w:hAnsi="Verdana" w:cs="Arial"/>
        </w:rPr>
      </w:pPr>
      <w:r w:rsidRPr="0066044D">
        <w:rPr>
          <w:rFonts w:ascii="Verdana" w:eastAsia="Calibri" w:hAnsi="Verdana" w:cs="Arial"/>
          <w:color w:val="000000"/>
          <w:lang w:val="es-ES"/>
        </w:rPr>
        <w:t xml:space="preserve">De esta manera, es preciso señalar que </w:t>
      </w:r>
      <w:bookmarkStart w:id="2" w:name="_Hlk100679383"/>
      <w:r>
        <w:rPr>
          <w:rFonts w:ascii="Verdana" w:eastAsia="Calibri" w:hAnsi="Verdana" w:cs="Arial"/>
        </w:rPr>
        <w:t xml:space="preserve">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w:t>
      </w:r>
      <w:r>
        <w:rPr>
          <w:rFonts w:ascii="Verdana" w:eastAsia="Calibri" w:hAnsi="Verdana" w:cs="Arial"/>
        </w:rPr>
        <w:lastRenderedPageBreak/>
        <w:t>que hayan sido objeto de atentados, acciones terroristas, desastres naturales o casos de fuerza mayor, y los que deban realizar las entidades sanitarias y hospitalarias”</w:t>
      </w:r>
      <w:r>
        <w:rPr>
          <w:vertAlign w:val="superscript"/>
        </w:rPr>
        <w:footnoteReference w:id="1"/>
      </w:r>
      <w:r>
        <w:rPr>
          <w:rFonts w:ascii="Verdana" w:eastAsia="Calibri" w:hAnsi="Verdana" w:cs="Arial"/>
        </w:rPr>
        <w:t>.</w:t>
      </w:r>
      <w:bookmarkEnd w:id="2"/>
      <w:r>
        <w:rPr>
          <w:rFonts w:ascii="Verdana" w:eastAsia="Arial" w:hAnsi="Verdana" w:cs="Arial"/>
          <w:lang w:val="es-ES" w:eastAsia="es-ES" w:bidi="es-ES"/>
        </w:rPr>
        <w:t xml:space="preserve"> </w:t>
      </w:r>
      <w:bookmarkStart w:id="4" w:name="_Hlk78820161"/>
    </w:p>
    <w:p w14:paraId="546EDF7F" w14:textId="77777777" w:rsidR="00CE7A0D" w:rsidRPr="00EA6DF5" w:rsidRDefault="00CE7A0D" w:rsidP="00CE7A0D">
      <w:pPr>
        <w:spacing w:after="120" w:line="276" w:lineRule="auto"/>
        <w:ind w:firstLine="708"/>
        <w:jc w:val="both"/>
        <w:rPr>
          <w:rFonts w:ascii="Verdana" w:eastAsia="Calibri" w:hAnsi="Verdana" w:cs="Arial"/>
        </w:rPr>
      </w:pPr>
      <w:r>
        <w:rPr>
          <w:rFonts w:ascii="Verdana" w:eastAsia="Times New Roman" w:hAnsi="Verdana" w:cs="Arial"/>
          <w:bCs/>
          <w:lang w:val="es-MX" w:eastAsia="x-none"/>
        </w:rPr>
        <w:t xml:space="preserve">Respecto del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3C80E49A" w14:textId="77777777" w:rsidR="00CE7A0D" w:rsidRDefault="00CE7A0D" w:rsidP="00CE7A0D">
      <w:pPr>
        <w:spacing w:after="0" w:line="276" w:lineRule="auto"/>
        <w:ind w:left="708" w:right="709"/>
        <w:jc w:val="both"/>
        <w:rPr>
          <w:rFonts w:ascii="Verdana" w:eastAsia="Calibri" w:hAnsi="Verdana" w:cs="Arial"/>
          <w:lang w:val="es-MX"/>
        </w:rPr>
      </w:pPr>
    </w:p>
    <w:p w14:paraId="37CEBD24" w14:textId="77777777" w:rsidR="00CE7A0D" w:rsidRDefault="00CE7A0D" w:rsidP="00CE7A0D">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2"/>
      </w:r>
      <w:r>
        <w:rPr>
          <w:rFonts w:ascii="Verdana" w:eastAsia="Calibri" w:hAnsi="Verdana" w:cs="Arial"/>
          <w:sz w:val="20"/>
          <w:szCs w:val="20"/>
          <w:lang w:val="es-MX"/>
        </w:rPr>
        <w:t>.</w:t>
      </w:r>
    </w:p>
    <w:p w14:paraId="113AD5B6" w14:textId="77777777" w:rsidR="00CE7A0D" w:rsidRDefault="00CE7A0D" w:rsidP="00CE7A0D">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 xml:space="preserve">Esta Sala ha entendido </w:t>
      </w:r>
      <w:proofErr w:type="gramStart"/>
      <w:r>
        <w:rPr>
          <w:rFonts w:ascii="Verdana" w:eastAsia="Calibri" w:hAnsi="Verdana" w:cs="Arial"/>
          <w:sz w:val="20"/>
          <w:szCs w:val="20"/>
          <w:lang w:val="es-MX"/>
        </w:rPr>
        <w:t>que</w:t>
      </w:r>
      <w:proofErr w:type="gramEnd"/>
      <w:r>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w:t>
      </w:r>
      <w:r w:rsidRPr="008601ED">
        <w:rPr>
          <w:rFonts w:ascii="Verdana" w:eastAsia="Calibri" w:hAnsi="Verdana" w:cs="Arial"/>
          <w:b/>
          <w:bCs/>
          <w:i/>
          <w:iCs/>
          <w:sz w:val="20"/>
          <w:szCs w:val="20"/>
          <w:lang w:val="es-MX"/>
        </w:rPr>
        <w:t>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3"/>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4"/>
      </w:r>
      <w:r>
        <w:rPr>
          <w:rFonts w:ascii="Verdana" w:eastAsia="Calibri" w:hAnsi="Verdana" w:cs="Arial"/>
          <w:sz w:val="20"/>
          <w:szCs w:val="20"/>
          <w:lang w:val="es-MX"/>
        </w:rPr>
        <w:t>.[Énfasis por fuera de texto]</w:t>
      </w:r>
    </w:p>
    <w:p w14:paraId="19257379" w14:textId="77777777" w:rsidR="00CE7A0D" w:rsidRDefault="00CE7A0D" w:rsidP="00CE7A0D">
      <w:pPr>
        <w:shd w:val="clear" w:color="auto" w:fill="FFFFFF"/>
        <w:spacing w:after="0" w:line="276" w:lineRule="auto"/>
        <w:ind w:firstLine="709"/>
        <w:jc w:val="both"/>
        <w:rPr>
          <w:rFonts w:ascii="Verdana" w:eastAsia="Times New Roman" w:hAnsi="Verdana" w:cs="Arial"/>
          <w:lang w:eastAsia="x-none"/>
        </w:rPr>
      </w:pPr>
    </w:p>
    <w:p w14:paraId="4CCB9FF4" w14:textId="77777777" w:rsidR="00CE7A0D" w:rsidRDefault="00CE7A0D" w:rsidP="00CE7A0D">
      <w:pPr>
        <w:spacing w:after="120" w:line="276" w:lineRule="auto"/>
        <w:ind w:firstLine="708"/>
        <w:jc w:val="both"/>
        <w:rPr>
          <w:rFonts w:ascii="Verdana" w:eastAsia="Times New Roman" w:hAnsi="Verdana" w:cs="Arial"/>
          <w:bCs/>
          <w:lang w:eastAsia="x-none"/>
        </w:rPr>
      </w:pPr>
      <w:r>
        <w:rPr>
          <w:rFonts w:ascii="Verdana" w:eastAsia="Times New Roman" w:hAnsi="Verdana" w:cs="Arial"/>
          <w:lang w:eastAsia="x-none"/>
        </w:rPr>
        <w:lastRenderedPageBreak/>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5"/>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6"/>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AC439EB" w14:textId="77777777" w:rsidR="00CE7A0D" w:rsidRDefault="00CE7A0D" w:rsidP="00CE7A0D">
      <w:pPr>
        <w:spacing w:after="120" w:line="276" w:lineRule="auto"/>
        <w:ind w:firstLine="708"/>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7"/>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14EEC3E4" w14:textId="77777777" w:rsidR="00CE7A0D" w:rsidRDefault="00CE7A0D" w:rsidP="00CE7A0D">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E</w:t>
      </w:r>
      <w:r>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Pr>
          <w:rFonts w:ascii="Verdana" w:eastAsia="Times New Roman" w:hAnsi="Verdana" w:cs="Arial"/>
          <w:lang w:eastAsia="x-none"/>
        </w:rPr>
        <w:lastRenderedPageBreak/>
        <w:t>inscribirse en forma previa se haga de manera pública, y que se permita la participación de una pluralidad de oferentes</w:t>
      </w:r>
      <w:r>
        <w:rPr>
          <w:vertAlign w:val="superscript"/>
        </w:rPr>
        <w:footnoteReference w:id="8"/>
      </w:r>
      <w:r>
        <w:rPr>
          <w:rFonts w:ascii="Verdana" w:eastAsia="Times New Roman" w:hAnsi="Verdana" w:cs="Arial"/>
          <w:lang w:eastAsia="x-none"/>
        </w:rPr>
        <w:t xml:space="preserve">. </w:t>
      </w:r>
    </w:p>
    <w:p w14:paraId="26DDBB4D" w14:textId="77777777" w:rsidR="00CE7A0D" w:rsidRDefault="00CE7A0D" w:rsidP="00CE7A0D">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236738AA" w14:textId="77777777" w:rsidR="00CE7A0D" w:rsidRDefault="00CE7A0D" w:rsidP="00CE7A0D">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9"/>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49F5945E" w14:textId="77777777" w:rsidR="00CE7A0D" w:rsidRDefault="00CE7A0D" w:rsidP="00CE7A0D">
      <w:pPr>
        <w:spacing w:after="120" w:line="276" w:lineRule="auto"/>
        <w:ind w:firstLine="708"/>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D49C658" w14:textId="77777777" w:rsidR="00CE7A0D" w:rsidRDefault="00CE7A0D" w:rsidP="00CE7A0D">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 xml:space="preserve">En este contexto,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Pr>
          <w:rFonts w:ascii="Verdana" w:eastAsia="Times New Roman" w:hAnsi="Verdana" w:cs="Arial"/>
          <w:bCs/>
          <w:lang w:val="es-MX" w:eastAsia="x-none"/>
        </w:rPr>
        <w:t>ii</w:t>
      </w:r>
      <w:proofErr w:type="spellEnd"/>
      <w:r>
        <w:rPr>
          <w:rFonts w:ascii="Verdana" w:eastAsia="Times New Roman" w:hAnsi="Verdana" w:cs="Arial"/>
          <w:bCs/>
          <w:lang w:val="es-MX" w:eastAsia="x-none"/>
        </w:rPr>
        <w:t xml:space="preserve">) los contratos de crédito público; </w:t>
      </w:r>
      <w:proofErr w:type="spellStart"/>
      <w:r>
        <w:rPr>
          <w:rFonts w:ascii="Verdana" w:eastAsia="Times New Roman" w:hAnsi="Verdana" w:cs="Arial"/>
          <w:bCs/>
          <w:lang w:val="es-MX" w:eastAsia="x-none"/>
        </w:rPr>
        <w:t>iii</w:t>
      </w:r>
      <w:proofErr w:type="spellEnd"/>
      <w:r>
        <w:rPr>
          <w:rFonts w:ascii="Verdana" w:eastAsia="Times New Roman" w:hAnsi="Verdana" w:cs="Arial"/>
          <w:bCs/>
          <w:lang w:val="es-MX" w:eastAsia="x-none"/>
        </w:rPr>
        <w:t xml:space="preserve">) los requeridos para cubrir las emergencias educativas, sanitarias y desastres; </w:t>
      </w: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xml:space="preserve">) los utilizados para </w:t>
      </w:r>
      <w:r>
        <w:rPr>
          <w:rFonts w:ascii="Verdana" w:eastAsia="Times New Roman" w:hAnsi="Verdana" w:cs="Arial"/>
          <w:bCs/>
          <w:lang w:val="es-MX" w:eastAsia="x-none"/>
        </w:rPr>
        <w:lastRenderedPageBreak/>
        <w:t>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24B02E6" w14:textId="77777777" w:rsidR="00CE7A0D" w:rsidRDefault="00CE7A0D" w:rsidP="00CE7A0D">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10"/>
      </w:r>
      <w:r>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2BAFECE" w14:textId="77777777" w:rsidR="00CE7A0D" w:rsidRDefault="00CE7A0D" w:rsidP="00CE7A0D">
      <w:pPr>
        <w:spacing w:after="120" w:line="276" w:lineRule="auto"/>
        <w:ind w:firstLine="708"/>
        <w:jc w:val="both"/>
        <w:rPr>
          <w:rFonts w:ascii="Verdana" w:eastAsia="Calibri" w:hAnsi="Verdana" w:cs="Arial"/>
          <w:lang w:val="es-MX"/>
        </w:rPr>
      </w:pPr>
      <w:r>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ACE0916" w14:textId="77777777" w:rsidR="00CE7A0D" w:rsidRPr="005E6430" w:rsidRDefault="00CE7A0D" w:rsidP="00CE7A0D">
      <w:pPr>
        <w:spacing w:after="120" w:line="276" w:lineRule="auto"/>
        <w:ind w:firstLine="708"/>
        <w:jc w:val="both"/>
        <w:rPr>
          <w:rFonts w:ascii="Verdana" w:eastAsia="Calibri" w:hAnsi="Verdana" w:cs="Arial"/>
          <w:lang w:val="es-MX"/>
        </w:rPr>
      </w:pPr>
      <w:r>
        <w:rPr>
          <w:rFonts w:ascii="Verdana" w:eastAsia="Calibri" w:hAnsi="Verdana" w:cs="Arial"/>
          <w:lang w:val="es-MX"/>
        </w:rPr>
        <w:t>Así las cosas, de acuerdo con los pronunciamientos de la Sala de Consulta y Servicio Civil del Consejo de Estado</w:t>
      </w:r>
      <w:r>
        <w:rPr>
          <w:rStyle w:val="Refdenotaalpie"/>
          <w:rFonts w:ascii="Verdana" w:eastAsia="Calibri" w:hAnsi="Verdana" w:cs="Arial"/>
          <w:lang w:val="es-MX"/>
        </w:rPr>
        <w:footnoteReference w:id="11"/>
      </w:r>
      <w:r>
        <w:rPr>
          <w:rFonts w:ascii="Verdana" w:eastAsia="Calibri" w:hAnsi="Verdana" w:cs="Arial"/>
          <w:lang w:val="es-MX"/>
        </w:rPr>
        <w:t xml:space="preserve">, la prohibición de la contratación directa </w:t>
      </w:r>
      <w:r>
        <w:rPr>
          <w:rFonts w:ascii="Verdana" w:eastAsia="Calibri" w:hAnsi="Verdana" w:cs="Arial"/>
          <w:lang w:val="es-MX"/>
        </w:rPr>
        <w:lastRenderedPageBreak/>
        <w:t xml:space="preserve">también aplica frente a las entidades exceptuadas de la aplicación del EGCAP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vertAlign w:val="superscript"/>
        </w:rPr>
        <w:footnoteReference w:id="12"/>
      </w:r>
      <w:r>
        <w:rPr>
          <w:rFonts w:ascii="Verdana" w:eastAsia="Calibri" w:hAnsi="Verdana" w:cs="Arial"/>
          <w:lang w:val="es-MX"/>
        </w:rPr>
        <w:t>.</w:t>
      </w:r>
      <w:r>
        <w:rPr>
          <w:rFonts w:ascii="Verdana" w:eastAsia="Times New Roman" w:hAnsi="Verdana" w:cs="Arial"/>
          <w:lang w:val="es-MX" w:eastAsia="es-CO"/>
        </w:rPr>
        <w:t xml:space="preserve"> </w:t>
      </w:r>
    </w:p>
    <w:p w14:paraId="7D3F928A" w14:textId="77777777" w:rsidR="00CE7A0D" w:rsidRDefault="00CE7A0D" w:rsidP="00CE7A0D">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0AE5BA96" w14:textId="77777777" w:rsidR="00CE7A0D" w:rsidRDefault="00CE7A0D" w:rsidP="00CE7A0D">
      <w:pPr>
        <w:pStyle w:val="paragraph"/>
        <w:shd w:val="clear" w:color="auto" w:fill="FFFFFF"/>
        <w:spacing w:before="0" w:beforeAutospacing="0" w:after="120" w:afterAutospacing="0" w:line="276" w:lineRule="auto"/>
        <w:jc w:val="both"/>
        <w:textAlignment w:val="baseline"/>
        <w:rPr>
          <w:rFonts w:ascii="Verdana" w:eastAsia="Calibri" w:hAnsi="Verdana" w:cs="Arial"/>
          <w:sz w:val="22"/>
          <w:szCs w:val="22"/>
          <w:lang w:val="es-ES"/>
        </w:rPr>
      </w:pPr>
      <w:proofErr w:type="spellStart"/>
      <w:r>
        <w:rPr>
          <w:rFonts w:ascii="Verdana" w:eastAsia="Calibri" w:hAnsi="Verdana" w:cs="Arial"/>
          <w:sz w:val="22"/>
          <w:szCs w:val="22"/>
          <w:lang w:val="es-ES"/>
        </w:rPr>
        <w:t>ii</w:t>
      </w:r>
      <w:proofErr w:type="spellEnd"/>
      <w:r>
        <w:rPr>
          <w:rFonts w:ascii="Verdana" w:eastAsia="Calibri" w:hAnsi="Verdana" w:cs="Arial"/>
          <w:sz w:val="22"/>
          <w:szCs w:val="22"/>
          <w:lang w:val="es-ES"/>
        </w:rPr>
        <w:t>. E</w:t>
      </w:r>
      <w:r w:rsidRPr="006C389A">
        <w:rPr>
          <w:rFonts w:ascii="Verdana" w:eastAsia="Calibri" w:hAnsi="Verdana" w:cs="Arial"/>
          <w:sz w:val="22"/>
          <w:szCs w:val="22"/>
          <w:lang w:val="es-ES"/>
        </w:rPr>
        <w:t xml:space="preserve">n relación con el procedimiento administrativo </w:t>
      </w:r>
      <w:r>
        <w:rPr>
          <w:rFonts w:ascii="Verdana" w:eastAsia="Calibri" w:hAnsi="Verdana" w:cs="Arial"/>
          <w:sz w:val="22"/>
          <w:szCs w:val="22"/>
          <w:lang w:val="es-ES"/>
        </w:rPr>
        <w:t xml:space="preserve">de </w:t>
      </w:r>
      <w:r w:rsidRPr="006C389A">
        <w:rPr>
          <w:rFonts w:ascii="Verdana" w:eastAsia="Calibri" w:hAnsi="Verdana" w:cs="Arial"/>
          <w:sz w:val="22"/>
          <w:szCs w:val="22"/>
          <w:lang w:val="es-ES"/>
        </w:rPr>
        <w:t xml:space="preserve">adquisición </w:t>
      </w:r>
      <w:r>
        <w:rPr>
          <w:rFonts w:ascii="Verdana" w:eastAsia="Calibri" w:hAnsi="Verdana" w:cs="Arial"/>
          <w:sz w:val="22"/>
          <w:szCs w:val="22"/>
          <w:lang w:val="es-ES"/>
        </w:rPr>
        <w:t>predial p</w:t>
      </w:r>
      <w:r w:rsidRPr="006C389A">
        <w:rPr>
          <w:rFonts w:ascii="Verdana" w:eastAsia="Calibri" w:hAnsi="Verdana" w:cs="Arial"/>
          <w:sz w:val="22"/>
          <w:szCs w:val="22"/>
          <w:lang w:val="es-ES"/>
        </w:rPr>
        <w:t>or motivos de utilidad pública e interés social mediante enajenación voluntaria, en los conceptos C-1512 y C-1529 de 2025 se concluyó que dicho procedimiento se encuentra excluido de la aplicación del EGCAP, en la medida en que está regulado por un régimen especial y exceptuado. No obstante, se precisó que este procedimiento puede culminar en la celebración de una promesa de compraventa o de un contrato de compraventa entre la entidad y el particular, lo cual implica que, en tales eventos, se está frente a un procedimiento de contratación estatal de naturaleza no competitiva, sujeto a la restricción prevista en el artículo 33 de la Ley 996 de 2005, conforme al alcance explicado</w:t>
      </w:r>
      <w:r>
        <w:rPr>
          <w:rFonts w:ascii="Verdana" w:eastAsia="Calibri" w:hAnsi="Verdana" w:cs="Arial"/>
          <w:sz w:val="22"/>
          <w:szCs w:val="22"/>
          <w:lang w:val="es-ES"/>
        </w:rPr>
        <w:t xml:space="preserve">. </w:t>
      </w:r>
      <w:r w:rsidRPr="006C389A">
        <w:rPr>
          <w:rFonts w:ascii="Verdana" w:eastAsia="Calibri" w:hAnsi="Verdana" w:cs="Arial"/>
          <w:sz w:val="22"/>
          <w:szCs w:val="22"/>
          <w:lang w:val="es-ES"/>
        </w:rPr>
        <w:t xml:space="preserve">En </w:t>
      </w:r>
      <w:r w:rsidRPr="006C389A">
        <w:rPr>
          <w:rFonts w:ascii="Verdana" w:eastAsia="Calibri" w:hAnsi="Verdana" w:cs="Arial"/>
          <w:sz w:val="22"/>
          <w:szCs w:val="22"/>
          <w:lang w:val="es-ES"/>
        </w:rPr>
        <w:lastRenderedPageBreak/>
        <w:t xml:space="preserve">contraste, </w:t>
      </w:r>
      <w:r w:rsidRPr="006A3D18">
        <w:rPr>
          <w:rFonts w:ascii="Verdana" w:eastAsia="Calibri" w:hAnsi="Verdana" w:cs="Arial"/>
          <w:sz w:val="22"/>
          <w:szCs w:val="22"/>
          <w:lang w:val="es-ES"/>
        </w:rPr>
        <w:t>cuando la adquisición ocurra por el procedimiento expropiatorio no se materializa en la celebración de un contrato.</w:t>
      </w:r>
    </w:p>
    <w:p w14:paraId="2A33C91C" w14:textId="77777777" w:rsidR="00CE7A0D" w:rsidRDefault="00CE7A0D" w:rsidP="00CE7A0D">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6C389A">
        <w:rPr>
          <w:rFonts w:ascii="Verdana" w:eastAsia="Calibri" w:hAnsi="Verdana" w:cs="Arial"/>
          <w:sz w:val="22"/>
          <w:szCs w:val="22"/>
          <w:lang w:val="es-ES"/>
        </w:rPr>
        <w:t>Con fundamento en lo anterior, esta Subdirección reitera</w:t>
      </w:r>
      <w:r>
        <w:rPr>
          <w:rFonts w:ascii="Verdana" w:eastAsia="Calibri" w:hAnsi="Verdana" w:cs="Arial"/>
          <w:sz w:val="22"/>
          <w:szCs w:val="22"/>
          <w:lang w:val="es-ES"/>
        </w:rPr>
        <w:t>rá</w:t>
      </w:r>
      <w:r w:rsidRPr="006C389A">
        <w:rPr>
          <w:rFonts w:ascii="Verdana" w:eastAsia="Calibri" w:hAnsi="Verdana" w:cs="Arial"/>
          <w:sz w:val="22"/>
          <w:szCs w:val="22"/>
          <w:lang w:val="es-ES"/>
        </w:rPr>
        <w:t xml:space="preserve"> la posición sostenida en los conceptos mencionados, </w:t>
      </w:r>
      <w:r>
        <w:rPr>
          <w:rFonts w:ascii="Verdana" w:eastAsia="Calibri" w:hAnsi="Verdana" w:cs="Arial"/>
          <w:sz w:val="22"/>
          <w:szCs w:val="22"/>
          <w:lang w:val="es-ES"/>
        </w:rPr>
        <w:t xml:space="preserve">realizando a continuación </w:t>
      </w:r>
      <w:r w:rsidRPr="006C389A">
        <w:rPr>
          <w:rFonts w:ascii="Verdana" w:eastAsia="Calibri" w:hAnsi="Verdana" w:cs="Arial"/>
          <w:sz w:val="22"/>
          <w:szCs w:val="22"/>
          <w:lang w:val="es-ES"/>
        </w:rPr>
        <w:t>algunas precisiones sobre el alcance de su aplicación</w:t>
      </w:r>
      <w:r>
        <w:rPr>
          <w:rFonts w:ascii="Verdana" w:eastAsia="Calibri" w:hAnsi="Verdana" w:cs="Arial"/>
          <w:sz w:val="22"/>
          <w:szCs w:val="22"/>
          <w:lang w:val="es-ES"/>
        </w:rPr>
        <w:t xml:space="preserve">. </w:t>
      </w:r>
      <w:r w:rsidRPr="0013781B">
        <w:rPr>
          <w:rFonts w:ascii="Verdana" w:eastAsia="Calibri" w:hAnsi="Verdana" w:cs="Arial"/>
          <w:sz w:val="22"/>
          <w:szCs w:val="22"/>
          <w:lang w:val="es-ES"/>
        </w:rPr>
        <w:t xml:space="preserve">En primer </w:t>
      </w:r>
      <w:proofErr w:type="gramStart"/>
      <w:r w:rsidRPr="0013781B">
        <w:rPr>
          <w:rFonts w:ascii="Verdana" w:eastAsia="Calibri" w:hAnsi="Verdana" w:cs="Arial"/>
          <w:sz w:val="22"/>
          <w:szCs w:val="22"/>
          <w:lang w:val="es-ES"/>
        </w:rPr>
        <w:t>lugar</w:t>
      </w:r>
      <w:proofErr w:type="gramEnd"/>
      <w:r w:rsidRPr="0013781B">
        <w:rPr>
          <w:rFonts w:ascii="Verdana" w:eastAsia="Calibri" w:hAnsi="Verdana" w:cs="Arial"/>
          <w:sz w:val="22"/>
          <w:szCs w:val="22"/>
          <w:lang w:val="es-ES"/>
        </w:rPr>
        <w:t xml:space="preserve"> </w:t>
      </w:r>
      <w:r>
        <w:rPr>
          <w:rFonts w:ascii="Verdana" w:eastAsia="Calibri" w:hAnsi="Verdana" w:cs="Arial"/>
          <w:sz w:val="22"/>
          <w:szCs w:val="22"/>
          <w:lang w:val="es-ES"/>
        </w:rPr>
        <w:t xml:space="preserve">se reconoce que </w:t>
      </w:r>
      <w:r w:rsidRPr="0013781B">
        <w:rPr>
          <w:rFonts w:ascii="Verdana" w:eastAsia="Calibri" w:hAnsi="Verdana" w:cs="Arial"/>
          <w:sz w:val="22"/>
          <w:szCs w:val="22"/>
          <w:lang w:val="es-ES"/>
        </w:rPr>
        <w:t>el procedimiento 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por motivos de utilidad pública e interés social no constituye un procedimiento sometido al E</w:t>
      </w:r>
      <w:r>
        <w:rPr>
          <w:rFonts w:ascii="Verdana" w:eastAsia="Calibri" w:hAnsi="Verdana" w:cs="Arial"/>
          <w:sz w:val="22"/>
          <w:szCs w:val="22"/>
          <w:lang w:val="es-ES"/>
        </w:rPr>
        <w:t xml:space="preserve">GCAP, puesto que se </w:t>
      </w:r>
      <w:r w:rsidRPr="0013781B">
        <w:rPr>
          <w:rFonts w:ascii="Verdana" w:eastAsia="Calibri" w:hAnsi="Verdana" w:cs="Arial"/>
          <w:sz w:val="22"/>
          <w:szCs w:val="22"/>
          <w:lang w:val="es-ES"/>
        </w:rPr>
        <w:t>trata de un procedimiento especial, dotado de finalidad, etapas y reglas propias, cuya regulación se encuentra prevista de manera específica en</w:t>
      </w:r>
      <w:r w:rsidRPr="007B37F8">
        <w:rPr>
          <w:rFonts w:asciiTheme="minorHAnsi" w:eastAsiaTheme="minorHAnsi" w:hAnsiTheme="minorHAnsi" w:cstheme="minorBidi"/>
          <w:sz w:val="22"/>
          <w:szCs w:val="22"/>
          <w:lang w:eastAsia="en-US"/>
        </w:rPr>
        <w:t xml:space="preserve"> </w:t>
      </w:r>
      <w:r w:rsidRPr="007B37F8">
        <w:rPr>
          <w:rFonts w:ascii="Verdana" w:eastAsia="Calibri" w:hAnsi="Verdana" w:cs="Arial"/>
          <w:sz w:val="22"/>
          <w:szCs w:val="22"/>
        </w:rPr>
        <w:t>Leyes 9 de 1989, 388 de 1997 y 1682 de 2013</w:t>
      </w:r>
      <w:r w:rsidRPr="0013781B">
        <w:rPr>
          <w:rFonts w:ascii="Verdana" w:eastAsia="Calibri" w:hAnsi="Verdana" w:cs="Arial"/>
          <w:sz w:val="22"/>
          <w:szCs w:val="22"/>
          <w:lang w:val="es-ES"/>
        </w:rPr>
        <w:t>, lo que lo sustrae del régimen general de la contratación estatal.</w:t>
      </w:r>
      <w:r>
        <w:rPr>
          <w:rFonts w:ascii="Verdana" w:eastAsia="Calibri" w:hAnsi="Verdana" w:cs="Arial"/>
          <w:sz w:val="22"/>
          <w:szCs w:val="22"/>
          <w:lang w:val="es-ES"/>
        </w:rPr>
        <w:t xml:space="preserve"> </w:t>
      </w:r>
      <w:r w:rsidRPr="0013781B">
        <w:rPr>
          <w:rFonts w:ascii="Verdana" w:eastAsia="Calibri" w:hAnsi="Verdana" w:cs="Arial"/>
          <w:sz w:val="22"/>
          <w:szCs w:val="22"/>
          <w:lang w:val="es-ES"/>
        </w:rPr>
        <w:t>Esta caracterización ha sido reiterada en los conceptos previamente citados, en los cuales se concluyó que dicho procedimiento se rige por un</w:t>
      </w:r>
      <w:r>
        <w:rPr>
          <w:rFonts w:ascii="Verdana" w:eastAsia="Calibri" w:hAnsi="Verdana" w:cs="Arial"/>
          <w:sz w:val="22"/>
          <w:szCs w:val="22"/>
          <w:lang w:val="es-ES"/>
        </w:rPr>
        <w:t xml:space="preserve">as reglas especiales. </w:t>
      </w:r>
    </w:p>
    <w:p w14:paraId="1FB70EFD" w14:textId="77777777" w:rsidR="00CE7A0D" w:rsidRPr="00E47785" w:rsidRDefault="00CE7A0D" w:rsidP="00CE7A0D">
      <w:pPr>
        <w:spacing w:before="120" w:after="120" w:line="276" w:lineRule="auto"/>
        <w:ind w:firstLine="709"/>
        <w:jc w:val="both"/>
        <w:rPr>
          <w:rFonts w:ascii="Verdana" w:eastAsia="Times New Roman" w:hAnsi="Verdana" w:cs="Arial"/>
          <w:lang w:val="es-ES" w:eastAsia="es-ES_tradnl"/>
        </w:rPr>
      </w:pPr>
      <w:r>
        <w:rPr>
          <w:rFonts w:ascii="Verdana" w:eastAsia="Calibri" w:hAnsi="Verdana" w:cs="Arial"/>
          <w:lang w:val="es-ES"/>
        </w:rPr>
        <w:t xml:space="preserve">En efecto, </w:t>
      </w:r>
      <w:r>
        <w:rPr>
          <w:rFonts w:ascii="Verdana" w:eastAsia="Times New Roman" w:hAnsi="Verdana" w:cs="Arial"/>
          <w:lang w:val="es-ES" w:eastAsia="es-ES_tradnl"/>
        </w:rPr>
        <w:t>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4CC6D541" w14:textId="77777777" w:rsidR="00CE7A0D" w:rsidRDefault="00CE7A0D" w:rsidP="00CE7A0D">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611BBF">
        <w:rPr>
          <w:rFonts w:ascii="Verdana" w:eastAsia="Calibri" w:hAnsi="Verdana" w:cs="Arial"/>
          <w:sz w:val="22"/>
          <w:szCs w:val="22"/>
        </w:rPr>
        <w:t xml:space="preserve">Como consecuencia de lo anterior, y </w:t>
      </w:r>
      <w:r>
        <w:rPr>
          <w:rFonts w:ascii="Verdana" w:eastAsia="Calibri" w:hAnsi="Verdana" w:cs="Arial"/>
          <w:sz w:val="22"/>
          <w:szCs w:val="22"/>
        </w:rPr>
        <w:t xml:space="preserve">dando alcance a </w:t>
      </w:r>
      <w:r w:rsidRPr="00611BBF">
        <w:rPr>
          <w:rFonts w:ascii="Verdana" w:eastAsia="Calibri" w:hAnsi="Verdana" w:cs="Arial"/>
          <w:sz w:val="22"/>
          <w:szCs w:val="22"/>
        </w:rPr>
        <w:t xml:space="preserve">la primera afirmación contenida en los conceptos referidos, debe precisarse que </w:t>
      </w:r>
      <w:r w:rsidRPr="00ED2EBA">
        <w:rPr>
          <w:rFonts w:ascii="Verdana" w:eastAsia="Calibri" w:hAnsi="Verdana" w:cs="Arial"/>
          <w:sz w:val="22"/>
          <w:szCs w:val="22"/>
        </w:rPr>
        <w:t xml:space="preserve">la restricción prevista en el artículo 33 de la Ley 996 de 2005 no resulta aplicable al </w:t>
      </w:r>
      <w:r w:rsidRPr="0013781B">
        <w:rPr>
          <w:rFonts w:ascii="Verdana" w:eastAsia="Calibri" w:hAnsi="Verdana" w:cs="Arial"/>
          <w:sz w:val="22"/>
          <w:szCs w:val="22"/>
          <w:lang w:val="es-ES"/>
        </w:rPr>
        <w:t>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w:t>
      </w:r>
      <w:r w:rsidRPr="00DF2532">
        <w:rPr>
          <w:rFonts w:ascii="Verdana" w:eastAsia="Calibri" w:hAnsi="Verdana" w:cs="Arial"/>
          <w:i/>
          <w:iCs/>
          <w:sz w:val="22"/>
          <w:szCs w:val="22"/>
        </w:rPr>
        <w:t>en sí mismo</w:t>
      </w:r>
      <w:r w:rsidRPr="00ED2EBA">
        <w:rPr>
          <w:rFonts w:ascii="Verdana" w:eastAsia="Calibri" w:hAnsi="Verdana" w:cs="Arial"/>
          <w:sz w:val="22"/>
          <w:szCs w:val="22"/>
        </w:rPr>
        <w:t>,</w:t>
      </w:r>
      <w:r>
        <w:rPr>
          <w:rFonts w:ascii="Verdana" w:eastAsia="Calibri" w:hAnsi="Verdana" w:cs="Arial"/>
          <w:sz w:val="22"/>
          <w:szCs w:val="22"/>
        </w:rPr>
        <w:t xml:space="preserve"> en su etapa preparatoria o preliminar,</w:t>
      </w:r>
      <w:r w:rsidRPr="00ED2EBA">
        <w:rPr>
          <w:rFonts w:ascii="Verdana" w:eastAsia="Calibri" w:hAnsi="Verdana" w:cs="Arial"/>
          <w:sz w:val="22"/>
          <w:szCs w:val="22"/>
        </w:rPr>
        <w:t xml:space="preserve"> en la medida en que dicho artículo se refiere a</w:t>
      </w:r>
      <w:r>
        <w:rPr>
          <w:rFonts w:ascii="Verdana" w:eastAsia="Calibri" w:hAnsi="Verdana" w:cs="Arial"/>
          <w:sz w:val="22"/>
          <w:szCs w:val="22"/>
        </w:rPr>
        <w:t xml:space="preserve"> la </w:t>
      </w:r>
      <w:r w:rsidRPr="0087731C">
        <w:rPr>
          <w:rFonts w:ascii="Verdana" w:eastAsia="Calibri" w:hAnsi="Verdana" w:cs="Arial"/>
          <w:bCs/>
          <w:sz w:val="22"/>
          <w:szCs w:val="22"/>
          <w:lang w:val="es-MX"/>
        </w:rPr>
        <w:t>celebra</w:t>
      </w:r>
      <w:r>
        <w:rPr>
          <w:rFonts w:ascii="Verdana" w:eastAsia="Calibri" w:hAnsi="Verdana" w:cs="Arial"/>
          <w:bCs/>
          <w:sz w:val="22"/>
          <w:szCs w:val="22"/>
          <w:lang w:val="es-MX"/>
        </w:rPr>
        <w:t xml:space="preserve">ción de </w:t>
      </w:r>
      <w:r w:rsidRPr="0087731C">
        <w:rPr>
          <w:rFonts w:ascii="Verdana" w:eastAsia="Calibri" w:hAnsi="Verdana" w:cs="Arial"/>
          <w:bCs/>
          <w:sz w:val="22"/>
          <w:szCs w:val="22"/>
          <w:lang w:val="es-MX"/>
        </w:rPr>
        <w:t>contrato</w:t>
      </w:r>
      <w:r>
        <w:rPr>
          <w:rFonts w:ascii="Verdana" w:eastAsia="Calibri" w:hAnsi="Verdana" w:cs="Arial"/>
          <w:bCs/>
          <w:sz w:val="22"/>
          <w:szCs w:val="22"/>
          <w:lang w:val="es-MX"/>
        </w:rPr>
        <w:t>s</w:t>
      </w:r>
      <w:r w:rsidRPr="0087731C">
        <w:rPr>
          <w:rFonts w:ascii="Verdana" w:eastAsia="Calibri" w:hAnsi="Verdana" w:cs="Arial"/>
          <w:bCs/>
          <w:sz w:val="22"/>
          <w:szCs w:val="22"/>
          <w:lang w:val="es-MX"/>
        </w:rPr>
        <w:t xml:space="preserve"> de forma directa, </w:t>
      </w:r>
      <w:r w:rsidRPr="00ED2EBA">
        <w:rPr>
          <w:rFonts w:ascii="Verdana" w:eastAsia="Calibri" w:hAnsi="Verdana" w:cs="Arial"/>
          <w:sz w:val="22"/>
          <w:szCs w:val="22"/>
        </w:rPr>
        <w:t>y</w:t>
      </w:r>
      <w:r w:rsidRPr="00611BBF">
        <w:rPr>
          <w:rFonts w:ascii="Verdana" w:eastAsia="Calibri" w:hAnsi="Verdana" w:cs="Arial"/>
          <w:sz w:val="22"/>
          <w:szCs w:val="22"/>
        </w:rPr>
        <w:t xml:space="preserve"> no a</w:t>
      </w:r>
      <w:r>
        <w:rPr>
          <w:rFonts w:ascii="Verdana" w:eastAsia="Calibri" w:hAnsi="Verdana" w:cs="Arial"/>
          <w:sz w:val="22"/>
          <w:szCs w:val="22"/>
        </w:rPr>
        <w:t xml:space="preserve"> las</w:t>
      </w:r>
      <w:r w:rsidRPr="00611BBF">
        <w:rPr>
          <w:rFonts w:ascii="Verdana" w:eastAsia="Calibri" w:hAnsi="Verdana" w:cs="Arial"/>
          <w:sz w:val="22"/>
          <w:szCs w:val="22"/>
        </w:rPr>
        <w:t xml:space="preserve"> actuaciones administrativas</w:t>
      </w:r>
      <w:r>
        <w:rPr>
          <w:rFonts w:ascii="Verdana" w:eastAsia="Calibri" w:hAnsi="Verdana" w:cs="Arial"/>
          <w:sz w:val="22"/>
          <w:szCs w:val="22"/>
        </w:rPr>
        <w:t xml:space="preserve"> que se puedan generar previamente. </w:t>
      </w:r>
    </w:p>
    <w:p w14:paraId="02EFF42F" w14:textId="77777777" w:rsidR="00CE7A0D" w:rsidRDefault="00CE7A0D" w:rsidP="00CE7A0D">
      <w:pPr>
        <w:spacing w:after="120" w:line="276" w:lineRule="auto"/>
        <w:ind w:firstLine="709"/>
        <w:jc w:val="both"/>
        <w:rPr>
          <w:rFonts w:ascii="Verdana" w:hAnsi="Verdana" w:cs="Arial"/>
          <w:bCs/>
          <w:lang w:eastAsia="es-CO"/>
        </w:rPr>
      </w:pPr>
      <w:r>
        <w:rPr>
          <w:rFonts w:ascii="Verdana" w:eastAsia="Times New Roman" w:hAnsi="Verdana" w:cs="Arial"/>
          <w:lang w:val="es-ES"/>
        </w:rPr>
        <w:t xml:space="preserve">Respecto de la celebración de otros instrumentos jurídicos distintos de contratos directos que impliquen la expedición de actos administrativos y otras actuaciones administrativas, es importante señalar que en estos casos </w:t>
      </w:r>
      <w:r>
        <w:rPr>
          <w:rFonts w:ascii="Verdana" w:hAnsi="Verdana" w:cs="Arial"/>
          <w:bCs/>
          <w:lang w:val="es-ES_tradnl" w:eastAsia="es-CO"/>
        </w:rPr>
        <w:t xml:space="preserve">no le </w:t>
      </w:r>
      <w:r>
        <w:rPr>
          <w:rFonts w:ascii="Verdana" w:hAnsi="Verdana" w:cs="Arial"/>
          <w:bCs/>
          <w:lang w:val="es-ES_tradnl" w:eastAsia="es-CO"/>
        </w:rPr>
        <w:lastRenderedPageBreak/>
        <w:t xml:space="preserve">resulta aplicable las restricciones previstas en el artículo 33 de la Ley 996 de 2005, porque lo que este precepto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En este sentido, </w:t>
      </w:r>
      <w:r>
        <w:rPr>
          <w:rFonts w:ascii="Verdana" w:eastAsia="Times New Roman" w:hAnsi="Verdana" w:cs="Arial"/>
          <w:lang w:val="es-ES"/>
        </w:rPr>
        <w:t xml:space="preserve">la celebración de contratos de forma directa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w:t>
      </w:r>
      <w:r w:rsidRPr="00F12276">
        <w:rPr>
          <w:rFonts w:ascii="Verdana" w:hAnsi="Verdana" w:cs="Arial"/>
          <w:bCs/>
          <w:lang w:eastAsia="es-CO"/>
        </w:rPr>
        <w:t>los actos administrativos son declaraciones unilaterales de voluntad encaminadas a la producción de efectos jurídicos vinculantes</w:t>
      </w:r>
      <w:r w:rsidRPr="00F12276">
        <w:rPr>
          <w:rFonts w:ascii="Verdana" w:hAnsi="Verdana" w:cs="Arial"/>
          <w:bCs/>
          <w:vertAlign w:val="superscript"/>
          <w:lang w:eastAsia="es-CO"/>
        </w:rPr>
        <w:footnoteReference w:id="13"/>
      </w:r>
      <w:r>
        <w:rPr>
          <w:rFonts w:ascii="Verdana" w:hAnsi="Verdana" w:cs="Arial"/>
          <w:bCs/>
          <w:lang w:eastAsia="es-CO"/>
        </w:rPr>
        <w:t xml:space="preserve">. En tal sentido, </w:t>
      </w:r>
      <w:r>
        <w:rPr>
          <w:rFonts w:ascii="Verdana" w:hAnsi="Verdana" w:cs="Arial"/>
          <w:bCs/>
          <w:lang w:val="es-ES_tradnl" w:eastAsia="es-CO"/>
        </w:rPr>
        <w:t xml:space="preserve">si el artículo 33 </w:t>
      </w:r>
      <w:r w:rsidRPr="00A72ADC">
        <w:rPr>
          <w:rFonts w:ascii="Verdana" w:hAnsi="Verdana" w:cs="Arial"/>
          <w:bCs/>
          <w:i/>
          <w:iCs/>
          <w:lang w:val="es-ES_tradnl" w:eastAsia="es-CO"/>
        </w:rPr>
        <w:t>ibidem</w:t>
      </w:r>
      <w:r>
        <w:rPr>
          <w:rFonts w:ascii="Verdana" w:hAnsi="Verdana" w:cs="Arial"/>
          <w:bCs/>
          <w:lang w:val="es-ES_tradnl" w:eastAsia="es-CO"/>
        </w:rPr>
        <w:t xml:space="preserve"> prohibió la celebración directa de contratos, no puede entenderse </w:t>
      </w:r>
      <w:r w:rsidRPr="00A72ADC">
        <w:rPr>
          <w:rFonts w:ascii="Verdana" w:hAnsi="Verdana" w:cs="Arial"/>
          <w:bCs/>
          <w:lang w:val="es-ES_tradnl" w:eastAsia="es-CO"/>
        </w:rPr>
        <w:t>también</w:t>
      </w:r>
      <w:r>
        <w:rPr>
          <w:rFonts w:ascii="Verdana" w:hAnsi="Verdana" w:cs="Arial"/>
          <w:bCs/>
          <w:lang w:val="es-ES_tradnl" w:eastAsia="es-CO"/>
        </w:rPr>
        <w:t xml:space="preserve"> prohibida la expedición de actos administrativos u otros instrumentos jurídicos, porque se estaría incluyendo una circunstancia que el supuesto de hecho de la restricción no contempla. </w:t>
      </w:r>
    </w:p>
    <w:p w14:paraId="4A77732F" w14:textId="77777777" w:rsidR="00CE7A0D" w:rsidRDefault="00CE7A0D" w:rsidP="00CE7A0D">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B61452">
        <w:rPr>
          <w:rFonts w:ascii="Verdana" w:eastAsia="Calibri" w:hAnsi="Verdana" w:cs="Arial"/>
          <w:sz w:val="22"/>
          <w:szCs w:val="22"/>
        </w:rPr>
        <w:t xml:space="preserve">En ese sentido,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638AB02F" w14:textId="77777777" w:rsidR="00CE7A0D" w:rsidRPr="00323979" w:rsidRDefault="00CE7A0D" w:rsidP="00CE7A0D">
      <w:pPr>
        <w:spacing w:before="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xml:space="preserve">, mas no frente a actuaciones </w:t>
      </w:r>
      <w:r w:rsidRPr="00724D86">
        <w:rPr>
          <w:rFonts w:ascii="Verdana" w:eastAsia="Times New Roman" w:hAnsi="Verdana" w:cs="Arial"/>
          <w:lang w:val="es-ES"/>
        </w:rPr>
        <w:lastRenderedPageBreak/>
        <w:t>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5A95F14F" w14:textId="77777777" w:rsidR="00CE7A0D" w:rsidRPr="0044553E" w:rsidRDefault="00CE7A0D" w:rsidP="00CE7A0D">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44553E">
        <w:rPr>
          <w:rFonts w:ascii="Verdana" w:eastAsia="Calibri" w:hAnsi="Verdana" w:cs="Arial"/>
          <w:sz w:val="22"/>
          <w:szCs w:val="22"/>
        </w:rPr>
        <w:t xml:space="preserve">En segundo lugar, respecto de la afirmación según la cual cuando el procedimiento administrativo de adquisición </w:t>
      </w:r>
      <w:r>
        <w:rPr>
          <w:rFonts w:ascii="Verdana" w:eastAsia="Calibri" w:hAnsi="Verdana" w:cs="Arial"/>
          <w:sz w:val="22"/>
          <w:szCs w:val="22"/>
        </w:rPr>
        <w:t xml:space="preserve">predial </w:t>
      </w:r>
      <w:r w:rsidRPr="0044553E">
        <w:rPr>
          <w:rFonts w:ascii="Verdana" w:eastAsia="Calibri" w:hAnsi="Verdana" w:cs="Arial"/>
          <w:sz w:val="22"/>
          <w:szCs w:val="22"/>
        </w:rPr>
        <w:t>culmina en la celebración de una promesa de compraventa o de un contrato de compraventa sí resulta aplicable la restricción del artículo 33 de la Ley 996 de 2005, se reitera la postura previamente sostenida</w:t>
      </w:r>
      <w:r>
        <w:rPr>
          <w:rFonts w:ascii="Verdana" w:eastAsia="Calibri" w:hAnsi="Verdana" w:cs="Arial"/>
          <w:sz w:val="22"/>
          <w:szCs w:val="22"/>
        </w:rPr>
        <w:t xml:space="preserve"> en los conceptos C-1512 y C-1529 </w:t>
      </w:r>
      <w:r w:rsidRPr="0044553E">
        <w:rPr>
          <w:rFonts w:ascii="Verdana" w:eastAsia="Calibri" w:hAnsi="Verdana" w:cs="Arial"/>
          <w:sz w:val="22"/>
          <w:szCs w:val="22"/>
        </w:rPr>
        <w:t>en la medida en que dichos negocios jurídicos implican la celebración de un contrato estatal</w:t>
      </w:r>
      <w:r>
        <w:rPr>
          <w:rFonts w:ascii="Verdana" w:eastAsia="Calibri" w:hAnsi="Verdana" w:cs="Arial"/>
          <w:sz w:val="22"/>
          <w:szCs w:val="22"/>
        </w:rPr>
        <w:t xml:space="preserve"> de forma directa</w:t>
      </w:r>
      <w:r w:rsidRPr="0044553E">
        <w:rPr>
          <w:rFonts w:ascii="Verdana" w:eastAsia="Calibri" w:hAnsi="Verdana" w:cs="Arial"/>
          <w:sz w:val="22"/>
          <w:szCs w:val="22"/>
        </w:rPr>
        <w:t>.</w:t>
      </w:r>
    </w:p>
    <w:p w14:paraId="455755AA" w14:textId="77777777" w:rsidR="00CE7A0D" w:rsidRPr="00A00771" w:rsidRDefault="00CE7A0D" w:rsidP="00CE7A0D">
      <w:pPr>
        <w:tabs>
          <w:tab w:val="left" w:pos="709"/>
        </w:tabs>
        <w:spacing w:before="120" w:after="120" w:line="276" w:lineRule="auto"/>
        <w:ind w:firstLine="709"/>
        <w:jc w:val="both"/>
        <w:rPr>
          <w:rFonts w:ascii="Verdana" w:eastAsia="Times New Roman" w:hAnsi="Verdana" w:cs="Arial"/>
          <w:lang w:val="es-ES" w:eastAsia="es-ES_tradnl"/>
        </w:rPr>
      </w:pP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y en armonía con lo dispuesto por el artículo 1 de la Ley 1150 de 2007. Estos negocios jurídicos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p>
    <w:p w14:paraId="427E3F29" w14:textId="77777777" w:rsidR="00CE7A0D" w:rsidRPr="0044553E" w:rsidRDefault="00CE7A0D" w:rsidP="00CE7A0D">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A00771">
        <w:rPr>
          <w:rFonts w:ascii="Verdana" w:eastAsia="Calibri" w:hAnsi="Verdana" w:cs="Arial"/>
          <w:sz w:val="22"/>
          <w:szCs w:val="22"/>
        </w:rPr>
        <w:t>Para sustentar esta conclusión, debe tenerse en cuenta que el alcance del artículo 33 de la Ley 996 de 2005, conforme a la interpretación realizada por el Consejo de Estado</w:t>
      </w:r>
      <w:r>
        <w:rPr>
          <w:rFonts w:ascii="Verdana" w:eastAsia="Calibri" w:hAnsi="Verdana" w:cs="Arial"/>
          <w:sz w:val="22"/>
          <w:szCs w:val="22"/>
        </w:rPr>
        <w:t xml:space="preserve"> explicada previamente</w:t>
      </w:r>
      <w:r w:rsidRPr="00A00771">
        <w:rPr>
          <w:rFonts w:ascii="Verdana" w:eastAsia="Calibri" w:hAnsi="Verdana" w:cs="Arial"/>
          <w:sz w:val="22"/>
          <w:szCs w:val="22"/>
        </w:rPr>
        <w:t>, no se limita a la figura formal de “contratación directa” prevista en el EGCAP. Por el contrario, comprende cualquier sistema de selección o procedimiento de contratación utilizado por las entidades estatales que no incluya convocatoria pública</w:t>
      </w:r>
      <w:r w:rsidRPr="0044553E">
        <w:rPr>
          <w:sz w:val="22"/>
          <w:szCs w:val="22"/>
        </w:rPr>
        <w:t xml:space="preserve"> </w:t>
      </w:r>
      <w:r w:rsidRPr="0044553E">
        <w:rPr>
          <w:rFonts w:ascii="Verdana" w:eastAsia="Calibri" w:hAnsi="Verdana" w:cs="Arial"/>
          <w:sz w:val="22"/>
          <w:szCs w:val="22"/>
        </w:rPr>
        <w:t>en alguna de sus etapas ni permita la participación de una pluralidad de oferentes, ya sea que se trate de mecanismos regulados por el Estatuto General de Contratación o por regímenes especiales.</w:t>
      </w:r>
    </w:p>
    <w:p w14:paraId="0049F106" w14:textId="77777777" w:rsidR="00CE7A0D" w:rsidRPr="0044553E" w:rsidRDefault="00CE7A0D" w:rsidP="00CE7A0D">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EF7387">
        <w:rPr>
          <w:rFonts w:ascii="Verdana" w:eastAsia="Calibri" w:hAnsi="Verdana" w:cs="Arial"/>
          <w:sz w:val="22"/>
          <w:szCs w:val="22"/>
        </w:rPr>
        <w:t xml:space="preserve">Desde esta perspectiva, lo relevante no es el régimen jurídico del cual se derive el negocio jurídico, sino su naturaleza no competitiva y la ausencia de concurrencia, elementos que justifican la restricción impuesta por la </w:t>
      </w:r>
      <w:r>
        <w:rPr>
          <w:rFonts w:ascii="Verdana" w:eastAsia="Calibri" w:hAnsi="Verdana" w:cs="Arial"/>
          <w:sz w:val="22"/>
          <w:szCs w:val="22"/>
        </w:rPr>
        <w:t>L</w:t>
      </w:r>
      <w:r w:rsidRPr="00EF7387">
        <w:rPr>
          <w:rFonts w:ascii="Verdana" w:eastAsia="Calibri" w:hAnsi="Verdana" w:cs="Arial"/>
          <w:sz w:val="22"/>
          <w:szCs w:val="22"/>
        </w:rPr>
        <w:t xml:space="preserve">ey de </w:t>
      </w:r>
      <w:r>
        <w:rPr>
          <w:rFonts w:ascii="Verdana" w:eastAsia="Calibri" w:hAnsi="Verdana" w:cs="Arial"/>
          <w:sz w:val="22"/>
          <w:szCs w:val="22"/>
        </w:rPr>
        <w:t>G</w:t>
      </w:r>
      <w:r w:rsidRPr="00EF7387">
        <w:rPr>
          <w:rFonts w:ascii="Verdana" w:eastAsia="Calibri" w:hAnsi="Verdana" w:cs="Arial"/>
          <w:sz w:val="22"/>
          <w:szCs w:val="22"/>
        </w:rPr>
        <w:t>arantías.</w:t>
      </w:r>
      <w:r>
        <w:rPr>
          <w:rFonts w:ascii="Verdana" w:eastAsia="Calibri" w:hAnsi="Verdana" w:cs="Arial"/>
          <w:sz w:val="22"/>
          <w:szCs w:val="22"/>
        </w:rPr>
        <w:t xml:space="preserve"> </w:t>
      </w:r>
      <w:r w:rsidRPr="0044553E">
        <w:rPr>
          <w:rFonts w:ascii="Verdana" w:eastAsia="Calibri" w:hAnsi="Verdana" w:cs="Arial"/>
          <w:sz w:val="22"/>
          <w:szCs w:val="22"/>
        </w:rPr>
        <w:t xml:space="preserve">En este sentido, si bien la celebración de la promesa de compraventa o del contrato de compraventa se deriva de un procedimiento administrativo </w:t>
      </w:r>
      <w:r>
        <w:rPr>
          <w:rFonts w:ascii="Verdana" w:eastAsia="Calibri" w:hAnsi="Verdana" w:cs="Arial"/>
          <w:sz w:val="22"/>
          <w:szCs w:val="22"/>
        </w:rPr>
        <w:t xml:space="preserve">que se regula por reglas </w:t>
      </w:r>
      <w:r w:rsidRPr="0044553E">
        <w:rPr>
          <w:rFonts w:ascii="Verdana" w:eastAsia="Calibri" w:hAnsi="Verdana" w:cs="Arial"/>
          <w:sz w:val="22"/>
          <w:szCs w:val="22"/>
        </w:rPr>
        <w:t>especial</w:t>
      </w:r>
      <w:r>
        <w:rPr>
          <w:rFonts w:ascii="Verdana" w:eastAsia="Calibri" w:hAnsi="Verdana" w:cs="Arial"/>
          <w:sz w:val="22"/>
          <w:szCs w:val="22"/>
        </w:rPr>
        <w:t>es</w:t>
      </w:r>
      <w:r w:rsidRPr="0044553E">
        <w:rPr>
          <w:rFonts w:ascii="Verdana" w:eastAsia="Calibri" w:hAnsi="Verdana" w:cs="Arial"/>
          <w:sz w:val="22"/>
          <w:szCs w:val="22"/>
        </w:rPr>
        <w:t>, ello no desvirtúa su carácter de cont</w:t>
      </w:r>
      <w:r>
        <w:rPr>
          <w:rFonts w:ascii="Verdana" w:eastAsia="Calibri" w:hAnsi="Verdana" w:cs="Arial"/>
          <w:sz w:val="22"/>
          <w:szCs w:val="22"/>
        </w:rPr>
        <w:t>rato</w:t>
      </w:r>
      <w:r w:rsidRPr="0044553E">
        <w:rPr>
          <w:rFonts w:ascii="Verdana" w:eastAsia="Calibri" w:hAnsi="Verdana" w:cs="Arial"/>
          <w:sz w:val="22"/>
          <w:szCs w:val="22"/>
        </w:rPr>
        <w:t xml:space="preserve"> direct</w:t>
      </w:r>
      <w:r>
        <w:rPr>
          <w:rFonts w:ascii="Verdana" w:eastAsia="Calibri" w:hAnsi="Verdana" w:cs="Arial"/>
          <w:sz w:val="22"/>
          <w:szCs w:val="22"/>
        </w:rPr>
        <w:t>o</w:t>
      </w:r>
      <w:r w:rsidRPr="0044553E">
        <w:rPr>
          <w:rFonts w:ascii="Verdana" w:eastAsia="Calibri" w:hAnsi="Verdana" w:cs="Arial"/>
          <w:sz w:val="22"/>
          <w:szCs w:val="22"/>
        </w:rPr>
        <w:t xml:space="preserve">, en la medida en que la entidad estatal negocia y contrata con un único </w:t>
      </w:r>
      <w:r w:rsidRPr="0044553E">
        <w:rPr>
          <w:rFonts w:ascii="Verdana" w:eastAsia="Calibri" w:hAnsi="Verdana" w:cs="Arial"/>
          <w:sz w:val="22"/>
          <w:szCs w:val="22"/>
        </w:rPr>
        <w:lastRenderedPageBreak/>
        <w:t>propietario, sin competencia entre oferentes, independientemente del contexto normativo que rodea la adquisición del inmueble.</w:t>
      </w:r>
      <w:r>
        <w:rPr>
          <w:rFonts w:ascii="Verdana" w:eastAsia="Calibri" w:hAnsi="Verdana" w:cs="Arial"/>
          <w:sz w:val="22"/>
          <w:szCs w:val="22"/>
        </w:rPr>
        <w:t xml:space="preserve"> </w:t>
      </w:r>
    </w:p>
    <w:p w14:paraId="2FB02096" w14:textId="77777777" w:rsidR="00CE7A0D" w:rsidRDefault="00CE7A0D" w:rsidP="00CE7A0D">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7806D8">
        <w:rPr>
          <w:rFonts w:ascii="Verdana" w:eastAsia="Calibri" w:hAnsi="Verdana" w:cs="Arial"/>
          <w:sz w:val="22"/>
          <w:szCs w:val="22"/>
        </w:rPr>
        <w:t xml:space="preserve">En consecuencia, si bien el procedimiento administrativo de adquisición predial, </w:t>
      </w:r>
      <w:r>
        <w:rPr>
          <w:rFonts w:ascii="Verdana" w:eastAsia="Calibri" w:hAnsi="Verdana" w:cs="Arial"/>
          <w:sz w:val="22"/>
          <w:szCs w:val="22"/>
        </w:rPr>
        <w:t>por sí mismo</w:t>
      </w:r>
      <w:r w:rsidRPr="007806D8">
        <w:rPr>
          <w:rFonts w:ascii="Verdana" w:eastAsia="Calibri" w:hAnsi="Verdana" w:cs="Arial"/>
          <w:sz w:val="22"/>
          <w:szCs w:val="22"/>
        </w:rPr>
        <w:t xml:space="preserve">, no se encuentra sometido a las disposiciones </w:t>
      </w:r>
      <w:r>
        <w:rPr>
          <w:rFonts w:ascii="Verdana" w:eastAsia="Calibri" w:hAnsi="Verdana" w:cs="Arial"/>
          <w:sz w:val="22"/>
          <w:szCs w:val="22"/>
        </w:rPr>
        <w:t xml:space="preserve">al EGCAP </w:t>
      </w:r>
      <w:r w:rsidRPr="007806D8">
        <w:rPr>
          <w:rFonts w:ascii="Verdana" w:eastAsia="Calibri" w:hAnsi="Verdana" w:cs="Arial"/>
          <w:sz w:val="22"/>
          <w:szCs w:val="22"/>
        </w:rPr>
        <w:t xml:space="preserve">ni a la Ley de Garantías </w:t>
      </w:r>
      <w:r>
        <w:rPr>
          <w:rFonts w:ascii="Verdana" w:eastAsia="Calibri" w:hAnsi="Verdana" w:cs="Arial"/>
          <w:sz w:val="22"/>
          <w:szCs w:val="22"/>
        </w:rPr>
        <w:t xml:space="preserve">Electorales </w:t>
      </w:r>
      <w:r w:rsidRPr="007806D8">
        <w:rPr>
          <w:rFonts w:ascii="Verdana" w:eastAsia="Calibri" w:hAnsi="Verdana" w:cs="Arial"/>
          <w:sz w:val="22"/>
          <w:szCs w:val="22"/>
        </w:rPr>
        <w:t>en los términos previamente analizados, lo cierto es que el contrato de compraventa que pone fin a dicho procedimiento sí da lugar a la aplicación de la restricción prevista en el artículo 33 de la Ley 996 de 2005. Ello, en la medida en que se trata de un contrato estatal celebrado sin pluralidad de oferentes, circunstancia que activa la prohibición allí consagrada. Adicionalmente, dentro de las excepciones expresamente previstas por el legislador en dicha norma no se encuentran comprendidos los contratos que se deriven del procedimiento administrativo de adquisición</w:t>
      </w:r>
      <w:r>
        <w:rPr>
          <w:rFonts w:ascii="Verdana" w:eastAsia="Calibri" w:hAnsi="Verdana" w:cs="Arial"/>
          <w:sz w:val="22"/>
          <w:szCs w:val="22"/>
        </w:rPr>
        <w:t xml:space="preserve"> predial</w:t>
      </w:r>
      <w:r w:rsidRPr="007806D8">
        <w:rPr>
          <w:rFonts w:ascii="Verdana" w:eastAsia="Calibri" w:hAnsi="Verdana" w:cs="Arial"/>
          <w:sz w:val="22"/>
          <w:szCs w:val="22"/>
        </w:rPr>
        <w:t>, lo cual resulta relevante, pues de haber sido la intención del legislador exceptuar este tipo de negocios jurídicos, así lo habría señalado de manera expresa, tal como lo hizo respecto de otras hipótesis exceptuadas.</w:t>
      </w:r>
    </w:p>
    <w:p w14:paraId="12DEF72F" w14:textId="77777777" w:rsidR="00CE7A0D" w:rsidRPr="001D031E" w:rsidRDefault="00CE7A0D" w:rsidP="00CE7A0D">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Sobre el particular, se precisa que la Sala de Consulta y Servicio Civil del Consejo de Estado, en concepto del 21 de mayo del 2014</w:t>
      </w:r>
      <w:r>
        <w:rPr>
          <w:rStyle w:val="Refdenotaalpie"/>
          <w:rFonts w:ascii="Verdana" w:eastAsia="Calibri" w:hAnsi="Verdana" w:cs="Arial"/>
          <w:sz w:val="22"/>
          <w:szCs w:val="22"/>
        </w:rPr>
        <w:footnoteReference w:id="14"/>
      </w:r>
      <w:r>
        <w:rPr>
          <w:rFonts w:ascii="Verdana" w:eastAsia="Calibri" w:hAnsi="Verdana" w:cs="Arial"/>
          <w:sz w:val="22"/>
          <w:szCs w:val="22"/>
        </w:rPr>
        <w:t>, respecto de una consulta relacionada con la aplicación d</w:t>
      </w:r>
      <w:r w:rsidRPr="000634B9">
        <w:rPr>
          <w:rFonts w:ascii="Verdana" w:eastAsia="Calibri" w:hAnsi="Verdana" w:cs="Arial"/>
          <w:sz w:val="22"/>
          <w:szCs w:val="22"/>
        </w:rPr>
        <w:t>el artículo 33 de la Ley 996 de 2005, a los procesos que debe adelantar el INCODER para realizar la compraventa de algunos predios destinados a las Comunidades Étnicas</w:t>
      </w:r>
      <w:r>
        <w:rPr>
          <w:rFonts w:ascii="Verdana" w:eastAsia="Calibri" w:hAnsi="Verdana" w:cs="Arial"/>
          <w:sz w:val="22"/>
          <w:szCs w:val="22"/>
        </w:rPr>
        <w:t>, concluyó que “</w:t>
      </w:r>
      <w:r w:rsidRPr="00BB7F22">
        <w:rPr>
          <w:rFonts w:ascii="Verdana" w:eastAsia="Calibri" w:hAnsi="Verdana" w:cs="Arial"/>
          <w:sz w:val="22"/>
          <w:szCs w:val="22"/>
        </w:rPr>
        <w:t>el Instituto Colombiano de Desarrollo Rural –INCODER- no puede adelantar las contrataciones directas para adquirir los terrenos de que trata la Ley 160 de 1994, por cuanto se trata de una hipótesis que no cabe dentro de las excepciones previstas en el inciso último del artículo 33 de la Ley 996 de 2005</w:t>
      </w:r>
      <w:r>
        <w:rPr>
          <w:rFonts w:ascii="Verdana" w:eastAsia="Calibri" w:hAnsi="Verdana" w:cs="Arial"/>
          <w:sz w:val="22"/>
          <w:szCs w:val="22"/>
        </w:rPr>
        <w:t xml:space="preserve">”. </w:t>
      </w:r>
      <w:r>
        <w:rPr>
          <w:rFonts w:ascii="Verdana" w:hAnsi="Verdana" w:cs="Arial"/>
          <w:sz w:val="22"/>
          <w:szCs w:val="22"/>
          <w:lang w:val="es-ES" w:eastAsia="es-ES_tradnl"/>
        </w:rPr>
        <w:t>P</w:t>
      </w:r>
      <w:r w:rsidRPr="001D031E">
        <w:rPr>
          <w:rFonts w:ascii="Verdana" w:hAnsi="Verdana" w:cs="Arial"/>
          <w:sz w:val="22"/>
          <w:szCs w:val="22"/>
          <w:lang w:val="es-ES" w:eastAsia="es-ES_tradnl"/>
        </w:rPr>
        <w:t>ara argumentar dicha postura, el Consejo de Estado señaló lo siguiente:</w:t>
      </w:r>
      <w:r>
        <w:rPr>
          <w:rFonts w:ascii="Verdana" w:hAnsi="Verdana" w:cs="Arial"/>
          <w:lang w:val="es-ES" w:eastAsia="es-ES_tradnl"/>
        </w:rPr>
        <w:t xml:space="preserve"> </w:t>
      </w:r>
    </w:p>
    <w:p w14:paraId="0EBD7C07" w14:textId="77777777" w:rsidR="00CE7A0D" w:rsidRDefault="00CE7A0D" w:rsidP="00CE7A0D">
      <w:pPr>
        <w:tabs>
          <w:tab w:val="left" w:pos="426"/>
        </w:tabs>
        <w:spacing w:after="0" w:line="276" w:lineRule="auto"/>
        <w:jc w:val="both"/>
        <w:rPr>
          <w:rFonts w:ascii="Verdana" w:eastAsia="Times New Roman" w:hAnsi="Verdana" w:cs="Arial"/>
          <w:lang w:val="es-ES" w:eastAsia="es-ES_tradnl"/>
        </w:rPr>
      </w:pPr>
    </w:p>
    <w:p w14:paraId="164BC3A1" w14:textId="77777777" w:rsidR="00CE7A0D" w:rsidRPr="00D85C95" w:rsidRDefault="00CE7A0D" w:rsidP="00CE7A0D">
      <w:pPr>
        <w:spacing w:after="120" w:line="240" w:lineRule="auto"/>
        <w:ind w:left="709" w:right="709"/>
        <w:jc w:val="both"/>
        <w:rPr>
          <w:rFonts w:ascii="Verdana" w:eastAsia="Calibri" w:hAnsi="Verdana" w:cs="Arial"/>
          <w:b/>
          <w:bCs/>
          <w:i/>
          <w:iCs/>
          <w:sz w:val="20"/>
          <w:szCs w:val="20"/>
        </w:rPr>
      </w:pPr>
      <w:r>
        <w:rPr>
          <w:rFonts w:ascii="Verdana" w:eastAsia="Calibri" w:hAnsi="Verdana" w:cs="Arial"/>
          <w:sz w:val="20"/>
          <w:szCs w:val="20"/>
          <w:lang w:val="es-MX"/>
        </w:rPr>
        <w:t>“</w:t>
      </w:r>
      <w:r w:rsidRPr="00CC7726">
        <w:rPr>
          <w:rFonts w:ascii="Verdana" w:eastAsia="Calibri" w:hAnsi="Verdana" w:cs="Arial"/>
          <w:sz w:val="20"/>
          <w:szCs w:val="20"/>
        </w:rPr>
        <w:t xml:space="preserve">Así, en los casos de negociación directa de la Ley 160 de 1994 se tiene que la identificación y valoración de los predios la hace el INCODER. De igual forma, el instituto adelanta los trámites para hacer la oferta al propietario del predio y cumple con la obligación de pago frente al vendedor. </w:t>
      </w:r>
      <w:r w:rsidRPr="00D85C95">
        <w:rPr>
          <w:rFonts w:ascii="Verdana" w:eastAsia="Calibri" w:hAnsi="Verdana" w:cs="Arial"/>
          <w:b/>
          <w:bCs/>
          <w:i/>
          <w:iCs/>
          <w:sz w:val="20"/>
          <w:szCs w:val="20"/>
        </w:rPr>
        <w:t>Como se advierte, este proceso de compra de los predios obviamente no admite la posibilidad de que concurra pluralidad de oferentes ni de llevar a cabo un proceso de licitación pública.</w:t>
      </w:r>
    </w:p>
    <w:p w14:paraId="739CBBF8" w14:textId="77777777" w:rsidR="00CE7A0D" w:rsidRPr="009D26DE" w:rsidRDefault="00CE7A0D" w:rsidP="00CE7A0D">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lastRenderedPageBreak/>
        <w:t xml:space="preserve">Por tanto, </w:t>
      </w:r>
      <w:r w:rsidRPr="009D26DE">
        <w:rPr>
          <w:rFonts w:ascii="Verdana" w:eastAsia="Calibri" w:hAnsi="Verdana" w:cs="Arial"/>
          <w:sz w:val="20"/>
          <w:szCs w:val="20"/>
          <w:lang w:val="es-MX"/>
        </w:rPr>
        <w:t xml:space="preserve">si dentro de la etapa de negociación directa el INCODER logra el acuerdo de un particular para adquirir un predio con destino a las comunidades destinatarias de la Ley 160 de 1994, </w:t>
      </w:r>
      <w:r w:rsidRPr="00396998">
        <w:rPr>
          <w:rFonts w:ascii="Verdana" w:eastAsia="Calibri" w:hAnsi="Verdana" w:cs="Arial"/>
          <w:b/>
          <w:bCs/>
          <w:i/>
          <w:iCs/>
          <w:sz w:val="20"/>
          <w:szCs w:val="20"/>
          <w:lang w:val="es-MX"/>
        </w:rPr>
        <w:t>el negocio jurídico de compraventa de esos predios queda afectado por la prohibición temporal a la contratación directa, durante los cuatro (4) meses anteriores a la elección presidencial y hasta la realización de la elección en la segunda vuelta, consagrada en el artículo 33 de la Ley 996 de 2005.</w:t>
      </w:r>
      <w:r w:rsidRPr="009D26DE">
        <w:rPr>
          <w:rFonts w:ascii="Verdana" w:eastAsia="Calibri" w:hAnsi="Verdana" w:cs="Arial"/>
          <w:sz w:val="20"/>
          <w:szCs w:val="20"/>
          <w:lang w:val="es-MX"/>
        </w:rPr>
        <w:t xml:space="preserve"> </w:t>
      </w:r>
    </w:p>
    <w:p w14:paraId="5EE41A0B" w14:textId="77777777" w:rsidR="00CE7A0D" w:rsidRDefault="00CE7A0D" w:rsidP="00CE7A0D">
      <w:pPr>
        <w:spacing w:after="120" w:line="240" w:lineRule="auto"/>
        <w:ind w:left="709" w:right="709"/>
        <w:jc w:val="both"/>
        <w:rPr>
          <w:rFonts w:ascii="Verdana" w:eastAsia="Calibri" w:hAnsi="Verdana" w:cs="Arial"/>
          <w:sz w:val="20"/>
          <w:szCs w:val="20"/>
          <w:lang w:val="es-MX"/>
        </w:rPr>
      </w:pPr>
      <w:r w:rsidRPr="009D26DE">
        <w:rPr>
          <w:rFonts w:ascii="Verdana" w:eastAsia="Calibri" w:hAnsi="Verdana" w:cs="Arial"/>
          <w:sz w:val="20"/>
          <w:szCs w:val="20"/>
          <w:lang w:val="es-MX"/>
        </w:rPr>
        <w:t>Ahora bien, esta Sala ha sido enfática al señalar que las excepciones consagradas en el inciso segundo del artículo 33 son taxativas y su interpretación debe ser de carácter restrictivo. A partir de esta premisa concluye la Sala que la actividad contractual del INCODER en relación con la compraventa de los predios destinados a las Comunidades Étnicas no se ajusta a ninguna de las hipótesis exceptivas que consagra el artículo 33 de la Ley de Garantías Electorales</w:t>
      </w:r>
      <w:r>
        <w:rPr>
          <w:rFonts w:ascii="Verdana" w:eastAsia="Calibri" w:hAnsi="Verdana" w:cs="Arial"/>
          <w:sz w:val="20"/>
          <w:szCs w:val="20"/>
          <w:lang w:val="es-MX"/>
        </w:rPr>
        <w:t>”</w:t>
      </w:r>
      <w:r w:rsidRPr="009D26DE">
        <w:rPr>
          <w:rFonts w:ascii="Verdana" w:eastAsia="Calibri" w:hAnsi="Verdana" w:cs="Arial"/>
          <w:sz w:val="20"/>
          <w:szCs w:val="20"/>
          <w:lang w:val="es-MX"/>
        </w:rPr>
        <w:t>.</w:t>
      </w:r>
    </w:p>
    <w:p w14:paraId="6FC8090F" w14:textId="77777777" w:rsidR="00CE7A0D" w:rsidRPr="009D26DE" w:rsidRDefault="00CE7A0D" w:rsidP="00CE7A0D">
      <w:pPr>
        <w:spacing w:after="0" w:line="240" w:lineRule="auto"/>
        <w:ind w:left="709" w:right="709"/>
        <w:jc w:val="both"/>
        <w:rPr>
          <w:rFonts w:ascii="Verdana" w:eastAsia="Calibri" w:hAnsi="Verdana" w:cs="Arial"/>
          <w:sz w:val="20"/>
          <w:szCs w:val="20"/>
          <w:lang w:val="es-MX"/>
        </w:rPr>
      </w:pPr>
    </w:p>
    <w:bookmarkEnd w:id="4"/>
    <w:p w14:paraId="68108852" w14:textId="77777777" w:rsidR="00CE7A0D" w:rsidRDefault="00CE7A0D" w:rsidP="00CE7A0D">
      <w:pPr>
        <w:spacing w:after="120" w:line="276" w:lineRule="auto"/>
        <w:ind w:firstLine="709"/>
        <w:jc w:val="both"/>
        <w:rPr>
          <w:rFonts w:ascii="Verdana" w:eastAsia="Calibri" w:hAnsi="Verdana" w:cs="Arial"/>
        </w:rPr>
      </w:pPr>
      <w:r>
        <w:rPr>
          <w:rFonts w:ascii="Verdana" w:eastAsia="Times New Roman" w:hAnsi="Verdana" w:cs="Arial"/>
          <w:bCs/>
          <w:lang w:val="es-MX" w:eastAsia="x-none"/>
        </w:rPr>
        <w:t xml:space="preserve">Conforme se desprende de lo anterior, el Consejo de Estado concluyó la aplicación del artículo 33 de la Ley de Garantías Electorales al procedimiento </w:t>
      </w:r>
      <w:r w:rsidRPr="00740990">
        <w:rPr>
          <w:rFonts w:ascii="Verdana" w:eastAsia="Times New Roman" w:hAnsi="Verdana" w:cs="Arial"/>
          <w:bCs/>
          <w:lang w:eastAsia="x-none"/>
        </w:rPr>
        <w:t>administrativo de adquisición de predios para las comunidades indígenas, afrocolombianas y demás minorías étnicas a cargo del INCODER</w:t>
      </w:r>
      <w:r>
        <w:rPr>
          <w:rFonts w:ascii="Verdana" w:eastAsia="Times New Roman" w:hAnsi="Verdana" w:cs="Arial"/>
          <w:bCs/>
          <w:lang w:eastAsia="x-none"/>
        </w:rPr>
        <w:t>, teniendo en cuenta que en este</w:t>
      </w:r>
      <w:r w:rsidRPr="00EB50CC">
        <w:rPr>
          <w:rFonts w:ascii="Verdana" w:eastAsia="Calibri" w:hAnsi="Verdana" w:cs="Arial"/>
          <w:b/>
          <w:bCs/>
          <w:i/>
          <w:iCs/>
          <w:sz w:val="20"/>
          <w:szCs w:val="20"/>
        </w:rPr>
        <w:t xml:space="preserve"> </w:t>
      </w:r>
      <w:r w:rsidRPr="007C4B33">
        <w:rPr>
          <w:rFonts w:ascii="Verdana" w:eastAsia="Calibri" w:hAnsi="Verdana" w:cs="Arial"/>
        </w:rPr>
        <w:t xml:space="preserve">no se admite la posibilidad de que concurra pluralidad de oferentes ni de llevar a cabo un proceso de licitación pública y </w:t>
      </w:r>
      <w:r>
        <w:rPr>
          <w:rFonts w:ascii="Verdana" w:eastAsia="Calibri" w:hAnsi="Verdana" w:cs="Arial"/>
        </w:rPr>
        <w:t>que</w:t>
      </w:r>
      <w:r w:rsidRPr="007C4B33">
        <w:rPr>
          <w:rFonts w:ascii="Verdana" w:eastAsia="Calibri" w:hAnsi="Verdana" w:cs="Arial"/>
        </w:rPr>
        <w:t xml:space="preserve"> conlleva</w:t>
      </w:r>
      <w:r>
        <w:rPr>
          <w:rFonts w:ascii="Verdana" w:eastAsia="Calibri" w:hAnsi="Verdana" w:cs="Arial"/>
        </w:rPr>
        <w:t xml:space="preserve"> la celebración de una compraventa en caso de que se logre acuerdo con el particular para adquirir el predio.</w:t>
      </w:r>
    </w:p>
    <w:p w14:paraId="5D4AA600" w14:textId="77777777" w:rsidR="00CE7A0D" w:rsidRDefault="00CE7A0D" w:rsidP="00CE7A0D">
      <w:pPr>
        <w:spacing w:after="120" w:line="276" w:lineRule="auto"/>
        <w:ind w:firstLine="709"/>
        <w:jc w:val="both"/>
        <w:rPr>
          <w:rFonts w:ascii="Verdana" w:eastAsia="Calibri" w:hAnsi="Verdana" w:cs="Arial"/>
        </w:rPr>
      </w:pPr>
      <w:r w:rsidRPr="009B6C64">
        <w:rPr>
          <w:rFonts w:ascii="Verdana" w:eastAsia="Calibri" w:hAnsi="Verdana" w:cs="Arial"/>
        </w:rPr>
        <w:t xml:space="preserve">Lo anterior resulta especialmente </w:t>
      </w:r>
      <w:r>
        <w:rPr>
          <w:rFonts w:ascii="Verdana" w:eastAsia="Calibri" w:hAnsi="Verdana" w:cs="Arial"/>
        </w:rPr>
        <w:t>importante</w:t>
      </w:r>
      <w:r w:rsidRPr="009B6C64">
        <w:rPr>
          <w:rFonts w:ascii="Verdana" w:eastAsia="Calibri" w:hAnsi="Verdana" w:cs="Arial"/>
        </w:rPr>
        <w:t xml:space="preserve"> para el caso bajo estudio, ya que, aunque el procedimiento administrativo de adquisición </w:t>
      </w:r>
      <w:r>
        <w:rPr>
          <w:rFonts w:ascii="Verdana" w:eastAsia="Calibri" w:hAnsi="Verdana" w:cs="Arial"/>
        </w:rPr>
        <w:t xml:space="preserve">predial </w:t>
      </w:r>
      <w:r w:rsidRPr="009B6C64">
        <w:rPr>
          <w:rFonts w:ascii="Verdana" w:eastAsia="Calibri" w:hAnsi="Verdana" w:cs="Arial"/>
        </w:rPr>
        <w:t>adelantado por el INCODER presenta diferencias sustanciales frente al procedimiento de adquisición predial por razones de utilidad pública</w:t>
      </w:r>
      <w:r>
        <w:rPr>
          <w:rFonts w:ascii="Verdana" w:eastAsia="Calibri" w:hAnsi="Verdana" w:cs="Arial"/>
        </w:rPr>
        <w:t xml:space="preserve">, concretamente </w:t>
      </w:r>
      <w:r w:rsidRPr="009B6C64">
        <w:rPr>
          <w:rFonts w:ascii="Verdana" w:eastAsia="Calibri" w:hAnsi="Verdana" w:cs="Arial"/>
        </w:rPr>
        <w:t xml:space="preserve">en lo relativo a su objeto, </w:t>
      </w:r>
      <w:r>
        <w:rPr>
          <w:rFonts w:ascii="Verdana" w:eastAsia="Calibri" w:hAnsi="Verdana" w:cs="Arial"/>
        </w:rPr>
        <w:t xml:space="preserve">reglas, </w:t>
      </w:r>
      <w:r w:rsidRPr="009B6C64">
        <w:rPr>
          <w:rFonts w:ascii="Verdana" w:eastAsia="Calibri" w:hAnsi="Verdana" w:cs="Arial"/>
        </w:rPr>
        <w:t xml:space="preserve">a los sujetos destinatarios y a las autoridades competentes para su desarrollo, debe tenerse en cuenta que, </w:t>
      </w:r>
      <w:r>
        <w:rPr>
          <w:rFonts w:ascii="Verdana" w:eastAsia="Calibri" w:hAnsi="Verdana" w:cs="Arial"/>
        </w:rPr>
        <w:t xml:space="preserve">de acuerdo con </w:t>
      </w:r>
      <w:r w:rsidRPr="009B6C64">
        <w:rPr>
          <w:rFonts w:ascii="Verdana" w:eastAsia="Calibri" w:hAnsi="Verdana" w:cs="Arial"/>
        </w:rPr>
        <w:t>el análisis realizado por el Consejo de Estado en torno a la interpretación y aplicación del artículo 33 de la Ley 996 de 2005, ambos procedimientos coinciden en elementos estructurales esenciales que adquieren relevancia para efectos de la aplicación de la Ley de Garantías.</w:t>
      </w:r>
    </w:p>
    <w:p w14:paraId="13CF43A4" w14:textId="77777777" w:rsidR="00CE7A0D" w:rsidRDefault="00CE7A0D" w:rsidP="00CE7A0D">
      <w:pPr>
        <w:spacing w:after="120" w:line="276" w:lineRule="auto"/>
        <w:ind w:firstLine="709"/>
        <w:jc w:val="both"/>
        <w:rPr>
          <w:rFonts w:ascii="Verdana" w:eastAsia="Calibri" w:hAnsi="Verdana" w:cs="Arial"/>
        </w:rPr>
      </w:pPr>
      <w:r w:rsidRPr="00654C01">
        <w:rPr>
          <w:rFonts w:ascii="Verdana" w:eastAsia="Calibri" w:hAnsi="Verdana" w:cs="Arial"/>
        </w:rPr>
        <w:t>En particular, co</w:t>
      </w:r>
      <w:r>
        <w:rPr>
          <w:rFonts w:ascii="Verdana" w:eastAsia="Calibri" w:hAnsi="Verdana" w:cs="Arial"/>
        </w:rPr>
        <w:t>nvergen</w:t>
      </w:r>
      <w:r w:rsidRPr="00654C01">
        <w:rPr>
          <w:rFonts w:ascii="Verdana" w:eastAsia="Calibri" w:hAnsi="Verdana" w:cs="Arial"/>
        </w:rPr>
        <w:t xml:space="preserve"> en dos aspectos fundamentales: (i) no admiten la concurrencia de pluralidad de oferentes ni la realización de un proceso licitación pública, y (</w:t>
      </w:r>
      <w:proofErr w:type="spellStart"/>
      <w:r w:rsidRPr="00654C01">
        <w:rPr>
          <w:rFonts w:ascii="Verdana" w:eastAsia="Calibri" w:hAnsi="Verdana" w:cs="Arial"/>
        </w:rPr>
        <w:t>ii</w:t>
      </w:r>
      <w:proofErr w:type="spellEnd"/>
      <w:r w:rsidRPr="00654C01">
        <w:rPr>
          <w:rFonts w:ascii="Verdana" w:eastAsia="Calibri" w:hAnsi="Verdana" w:cs="Arial"/>
        </w:rPr>
        <w:t xml:space="preserve">) en caso de que la etapa de negociación directa resulte exitosa, el procedimiento culmina con la suscripción de una promesa de </w:t>
      </w:r>
      <w:r w:rsidRPr="00654C01">
        <w:rPr>
          <w:rFonts w:ascii="Verdana" w:eastAsia="Calibri" w:hAnsi="Verdana" w:cs="Arial"/>
        </w:rPr>
        <w:lastRenderedPageBreak/>
        <w:t xml:space="preserve">compraventa y el posterior perfeccionamiento del contrato de compraventa. En ese sentido, aun cuando se trate de procedimientos administrativos distintos, la lógica interpretativa </w:t>
      </w:r>
      <w:r>
        <w:rPr>
          <w:rFonts w:ascii="Verdana" w:eastAsia="Calibri" w:hAnsi="Verdana" w:cs="Arial"/>
        </w:rPr>
        <w:t xml:space="preserve">de aplicación del artículo 33 </w:t>
      </w:r>
      <w:r w:rsidRPr="0004219C">
        <w:rPr>
          <w:rFonts w:ascii="Verdana" w:eastAsia="Calibri" w:hAnsi="Verdana" w:cs="Arial"/>
          <w:i/>
          <w:iCs/>
        </w:rPr>
        <w:t>ibidem</w:t>
      </w:r>
      <w:r>
        <w:rPr>
          <w:rFonts w:ascii="Verdana" w:eastAsia="Calibri" w:hAnsi="Verdana" w:cs="Arial"/>
        </w:rPr>
        <w:t xml:space="preserve"> </w:t>
      </w:r>
      <w:r w:rsidRPr="00654C01">
        <w:rPr>
          <w:rFonts w:ascii="Verdana" w:eastAsia="Calibri" w:hAnsi="Verdana" w:cs="Arial"/>
        </w:rPr>
        <w:t>empleada por el Consejo de Estado resulta plenamente aplicable al procedimiento de adquisición predial</w:t>
      </w:r>
      <w:r>
        <w:rPr>
          <w:rFonts w:ascii="Verdana" w:eastAsia="Calibri" w:hAnsi="Verdana" w:cs="Arial"/>
        </w:rPr>
        <w:t xml:space="preserve"> regulado por </w:t>
      </w:r>
      <w:r w:rsidRPr="007B37F8">
        <w:rPr>
          <w:rFonts w:ascii="Verdana" w:eastAsia="Calibri" w:hAnsi="Verdana" w:cs="Arial"/>
        </w:rPr>
        <w:t>Leyes 9 de 1989, 388 de 1997 y 1682 de 2013</w:t>
      </w:r>
      <w:r w:rsidRPr="00654C01">
        <w:rPr>
          <w:rFonts w:ascii="Verdana" w:eastAsia="Calibri" w:hAnsi="Verdana" w:cs="Arial"/>
        </w:rPr>
        <w:t>, en tanto este último tampoco contempla, por expresa disposición legal, una convocatoria pública</w:t>
      </w:r>
      <w:r>
        <w:rPr>
          <w:rFonts w:ascii="Verdana" w:eastAsia="Calibri" w:hAnsi="Verdana" w:cs="Arial"/>
        </w:rPr>
        <w:t>, ni concurrencia de oferentes</w:t>
      </w:r>
      <w:r w:rsidRPr="00654C01">
        <w:rPr>
          <w:rFonts w:ascii="Verdana" w:eastAsia="Calibri" w:hAnsi="Verdana" w:cs="Arial"/>
        </w:rPr>
        <w:t xml:space="preserve"> y puede igualmente concluir con la celebración de un contrato de compraventa</w:t>
      </w:r>
      <w:r>
        <w:rPr>
          <w:rFonts w:ascii="Verdana" w:eastAsia="Calibri" w:hAnsi="Verdana" w:cs="Arial"/>
        </w:rPr>
        <w:t xml:space="preserve"> cuando se llegue a un acuerdo con el particular</w:t>
      </w:r>
      <w:r w:rsidRPr="00654C01">
        <w:rPr>
          <w:rFonts w:ascii="Verdana" w:eastAsia="Calibri" w:hAnsi="Verdana" w:cs="Arial"/>
        </w:rPr>
        <w:t>.</w:t>
      </w:r>
    </w:p>
    <w:p w14:paraId="1162A4CD" w14:textId="77777777" w:rsidR="00CE7A0D" w:rsidRDefault="00CE7A0D" w:rsidP="00CE7A0D">
      <w:pPr>
        <w:spacing w:after="120" w:line="276" w:lineRule="auto"/>
        <w:ind w:firstLine="709"/>
        <w:jc w:val="both"/>
        <w:rPr>
          <w:rFonts w:ascii="Verdana" w:eastAsia="Calibri" w:hAnsi="Verdana" w:cs="Arial"/>
        </w:rPr>
      </w:pPr>
      <w:r w:rsidRPr="00B1274A">
        <w:rPr>
          <w:rFonts w:ascii="Verdana" w:eastAsia="Calibri" w:hAnsi="Verdana" w:cs="Arial"/>
        </w:rPr>
        <w:t xml:space="preserve">Lo anterior no supone, en modo alguno, una transgresión al criterio de interpretación restrictiva que rige este tipo de prohibiciones. Por el contrario, se ajusta plenamente a la hermenéutica adoptada por el Consejo de Estado en sus distintos pronunciamientos, en los cuales ha precisado de manera inequívoca que </w:t>
      </w:r>
      <w:r>
        <w:rPr>
          <w:rFonts w:ascii="Verdana" w:eastAsia="Calibri" w:hAnsi="Verdana" w:cs="Arial"/>
        </w:rPr>
        <w:t>“</w:t>
      </w:r>
      <w:r w:rsidRPr="002273D0">
        <w:rPr>
          <w:rFonts w:ascii="Verdana" w:eastAsia="Calibri" w:hAnsi="Verdana" w:cs="Arial"/>
          <w:lang w:val="es-MX"/>
        </w:rPr>
        <w:t xml:space="preserve">el enunciado ´contratación directa´ es sinónimo de </w:t>
      </w:r>
      <w:r w:rsidRPr="00E44CB8">
        <w:rPr>
          <w:rFonts w:ascii="Verdana" w:eastAsia="Calibri" w:hAnsi="Verdana" w:cs="Arial"/>
          <w:i/>
          <w:iCs/>
          <w:lang w:val="es-MX"/>
        </w:rPr>
        <w:t>cualquier sistema que no implique convocatoria pública y posibilidad de pluralidad de oferentes, y que, además, no necesariamente hace referencia al procedimiento especial regulado por la ley de contratación estatal</w:t>
      </w:r>
      <w:r>
        <w:rPr>
          <w:rFonts w:ascii="Verdana" w:eastAsia="Calibri" w:hAnsi="Verdana" w:cs="Arial"/>
          <w:lang w:val="es-MX"/>
        </w:rPr>
        <w:t>”</w:t>
      </w:r>
      <w:r w:rsidRPr="002273D0">
        <w:rPr>
          <w:rFonts w:ascii="Verdana" w:eastAsia="Calibri" w:hAnsi="Verdana" w:cs="Arial"/>
        </w:rPr>
        <w:t>.</w:t>
      </w:r>
      <w:r w:rsidRPr="00B1274A">
        <w:rPr>
          <w:rFonts w:ascii="Verdana" w:eastAsia="Calibri" w:hAnsi="Verdana" w:cs="Arial"/>
        </w:rPr>
        <w:t xml:space="preserve"> Tales consideraciones, por lo demás, han sido reiteradas en el concepto previamente citado.</w:t>
      </w:r>
    </w:p>
    <w:p w14:paraId="1059051F" w14:textId="77777777" w:rsidR="00CE7A0D" w:rsidRDefault="00CE7A0D" w:rsidP="00CE7A0D">
      <w:pPr>
        <w:spacing w:after="120" w:line="276" w:lineRule="auto"/>
        <w:ind w:firstLine="709"/>
        <w:jc w:val="both"/>
        <w:rPr>
          <w:rFonts w:ascii="Verdana" w:eastAsia="Times New Roman" w:hAnsi="Verdana" w:cs="Arial"/>
          <w:bCs/>
          <w:lang w:val="es-MX" w:eastAsia="x-none"/>
        </w:rPr>
      </w:pPr>
      <w:r w:rsidRPr="00654C01">
        <w:rPr>
          <w:rFonts w:ascii="Verdana" w:eastAsia="Calibri" w:hAnsi="Verdana" w:cs="Arial"/>
        </w:rPr>
        <w:t xml:space="preserve"> Por consiguiente, para efectos del presente análisis, se considera que los argumentos desarrollados por el Consejo de Estado son válidos y suficientes para sostener la aplicación de la Ley de Garantías al contrato de compraventa que se derive de dicho procedimiento</w:t>
      </w:r>
      <w:r>
        <w:rPr>
          <w:rFonts w:ascii="Verdana" w:eastAsia="Calibri" w:hAnsi="Verdana" w:cs="Arial"/>
        </w:rPr>
        <w:t xml:space="preserve">. </w:t>
      </w:r>
      <w:proofErr w:type="gramStart"/>
      <w:r>
        <w:rPr>
          <w:rFonts w:ascii="Verdana" w:eastAsia="Calibri" w:hAnsi="Verdana" w:cs="Arial"/>
        </w:rPr>
        <w:t>Además</w:t>
      </w:r>
      <w:proofErr w:type="gramEnd"/>
      <w:r>
        <w:rPr>
          <w:rFonts w:ascii="Verdana" w:eastAsia="Calibri" w:hAnsi="Verdana" w:cs="Arial"/>
        </w:rPr>
        <w:t xml:space="preserve"> se reitera que dentro de las excepciones </w:t>
      </w:r>
      <w:r>
        <w:rPr>
          <w:rFonts w:ascii="Verdana" w:eastAsia="Times New Roman" w:hAnsi="Verdana" w:cs="Arial"/>
          <w:bCs/>
          <w:lang w:val="es-MX" w:eastAsia="x-none"/>
        </w:rPr>
        <w:t xml:space="preserve">establecidas en el inciso segundo del mismo artículo 33, no se contempló dicha contratación. </w:t>
      </w:r>
    </w:p>
    <w:p w14:paraId="42263607" w14:textId="77777777" w:rsidR="00CE7A0D" w:rsidRDefault="00CE7A0D" w:rsidP="00CE7A0D">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Aunado a lo anterior, vale la pena traer a colación lo dispuesto por el Consejo de Estado sobre la importancia de que </w:t>
      </w:r>
      <w:r w:rsidRPr="008D09BD">
        <w:rPr>
          <w:rFonts w:ascii="Verdana" w:eastAsia="Times New Roman" w:hAnsi="Verdana" w:cs="Arial"/>
          <w:bCs/>
          <w:lang w:eastAsia="x-none"/>
        </w:rPr>
        <w:t xml:space="preserve">las entidades </w:t>
      </w:r>
      <w:r>
        <w:rPr>
          <w:rFonts w:ascii="Verdana" w:eastAsia="Times New Roman" w:hAnsi="Verdana" w:cs="Arial"/>
          <w:bCs/>
          <w:lang w:eastAsia="x-none"/>
        </w:rPr>
        <w:t xml:space="preserve">planeen y prevean </w:t>
      </w:r>
      <w:r w:rsidRPr="008D09BD">
        <w:rPr>
          <w:rFonts w:ascii="Verdana" w:eastAsia="Times New Roman" w:hAnsi="Verdana" w:cs="Arial"/>
          <w:bCs/>
          <w:lang w:eastAsia="x-none"/>
        </w:rPr>
        <w:t xml:space="preserve">con suficiente antelación las gestiones necesarias para garantizar </w:t>
      </w:r>
      <w:r>
        <w:rPr>
          <w:rFonts w:ascii="Verdana" w:eastAsia="Times New Roman" w:hAnsi="Verdana" w:cs="Arial"/>
          <w:bCs/>
          <w:lang w:eastAsia="x-none"/>
        </w:rPr>
        <w:t>los objetivos “</w:t>
      </w:r>
      <w:r w:rsidRPr="008D09BD">
        <w:rPr>
          <w:rFonts w:ascii="Verdana" w:eastAsia="Times New Roman" w:hAnsi="Verdana" w:cs="Arial"/>
          <w:bCs/>
          <w:lang w:eastAsia="x-none"/>
        </w:rPr>
        <w:t xml:space="preserve">de manera que no se vean afectados los derechos de las comunidades beneficiarias por circunstancias </w:t>
      </w:r>
      <w:proofErr w:type="spellStart"/>
      <w:r w:rsidRPr="008D09BD">
        <w:rPr>
          <w:rFonts w:ascii="Verdana" w:eastAsia="Times New Roman" w:hAnsi="Verdana" w:cs="Arial"/>
          <w:bCs/>
          <w:lang w:eastAsia="x-none"/>
        </w:rPr>
        <w:t>anticipables</w:t>
      </w:r>
      <w:proofErr w:type="spellEnd"/>
      <w:r w:rsidRPr="008D09BD">
        <w:rPr>
          <w:rFonts w:ascii="Verdana" w:eastAsia="Times New Roman" w:hAnsi="Verdana" w:cs="Arial"/>
          <w:bCs/>
          <w:lang w:eastAsia="x-none"/>
        </w:rPr>
        <w:t xml:space="preserve"> como las que dan origen a la legislación protectora de la igualdad política</w:t>
      </w:r>
      <w:r>
        <w:rPr>
          <w:rFonts w:ascii="Verdana" w:eastAsia="Times New Roman" w:hAnsi="Verdana" w:cs="Arial"/>
          <w:bCs/>
          <w:lang w:eastAsia="x-none"/>
        </w:rPr>
        <w:t>”</w:t>
      </w:r>
      <w:r w:rsidRPr="008D09BD">
        <w:rPr>
          <w:rFonts w:ascii="Verdana" w:eastAsia="Times New Roman" w:hAnsi="Verdana" w:cs="Arial"/>
          <w:bCs/>
          <w:lang w:eastAsia="x-none"/>
        </w:rPr>
        <w:t>.</w:t>
      </w:r>
    </w:p>
    <w:p w14:paraId="4EF3741F" w14:textId="77777777" w:rsidR="00CE7A0D" w:rsidRDefault="00CE7A0D" w:rsidP="00CE7A0D">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suma, </w:t>
      </w:r>
      <w:r w:rsidRPr="00494FAF">
        <w:rPr>
          <w:rFonts w:ascii="Verdana" w:eastAsia="Times New Roman" w:hAnsi="Verdana" w:cs="Arial"/>
          <w:bCs/>
          <w:lang w:eastAsia="x-none"/>
        </w:rPr>
        <w:t>y dando alcance a</w:t>
      </w:r>
      <w:r>
        <w:rPr>
          <w:rFonts w:ascii="Verdana" w:eastAsia="Times New Roman" w:hAnsi="Verdana" w:cs="Arial"/>
          <w:bCs/>
          <w:lang w:eastAsia="x-none"/>
        </w:rPr>
        <w:t xml:space="preserve"> los conceptos C-1512 y C-1529 de 2025, </w:t>
      </w:r>
      <w:r w:rsidRPr="00494FAF">
        <w:rPr>
          <w:rFonts w:ascii="Verdana" w:eastAsia="Times New Roman" w:hAnsi="Verdana" w:cs="Arial"/>
          <w:bCs/>
          <w:lang w:eastAsia="x-none"/>
        </w:rPr>
        <w:t xml:space="preserve">debe precisarse que la restricción establecida en el artículo 33 de la Ley 996 de 2005 no resulta aplicable al procedimiento administrativo de adquisición </w:t>
      </w:r>
      <w:r>
        <w:rPr>
          <w:rFonts w:ascii="Verdana" w:eastAsia="Times New Roman" w:hAnsi="Verdana" w:cs="Arial"/>
          <w:bCs/>
          <w:lang w:eastAsia="x-none"/>
        </w:rPr>
        <w:t xml:space="preserve">predial </w:t>
      </w:r>
      <w:r w:rsidRPr="00494FAF">
        <w:rPr>
          <w:rFonts w:ascii="Verdana" w:eastAsia="Times New Roman" w:hAnsi="Verdana" w:cs="Arial"/>
          <w:bCs/>
          <w:lang w:eastAsia="x-none"/>
        </w:rPr>
        <w:t xml:space="preserve">considerado en sí mismo, ni a su etapa preparatoria o preliminar, en la medida en que dicha disposición se circunscribe a la celebración de contratos de manera directa y no a las actuaciones administrativas previas que puedan adelantarse </w:t>
      </w:r>
      <w:r w:rsidRPr="00494FAF">
        <w:rPr>
          <w:rFonts w:ascii="Verdana" w:eastAsia="Times New Roman" w:hAnsi="Verdana" w:cs="Arial"/>
          <w:bCs/>
          <w:lang w:eastAsia="x-none"/>
        </w:rPr>
        <w:lastRenderedPageBreak/>
        <w:t>con ese propósito</w:t>
      </w:r>
      <w:r>
        <w:rPr>
          <w:rFonts w:ascii="Verdana" w:eastAsia="Times New Roman" w:hAnsi="Verdana" w:cs="Arial"/>
          <w:bCs/>
          <w:lang w:eastAsia="x-none"/>
        </w:rPr>
        <w:t>, siempre que estas no impliquen la celebración de un contrato directo</w:t>
      </w:r>
      <w:r w:rsidRPr="00494FAF">
        <w:rPr>
          <w:rFonts w:ascii="Verdana" w:eastAsia="Times New Roman" w:hAnsi="Verdana" w:cs="Arial"/>
          <w:bCs/>
          <w:lang w:eastAsia="x-none"/>
        </w:rPr>
        <w:t xml:space="preserve">. En tal sentido, la gestión predial no se ve paralizada durante el período de restricción. 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p>
    <w:p w14:paraId="6CBAB156" w14:textId="77777777" w:rsidR="00CE7A0D" w:rsidRDefault="00CE7A0D" w:rsidP="00CE7A0D">
      <w:pPr>
        <w:tabs>
          <w:tab w:val="left" w:pos="426"/>
        </w:tabs>
        <w:spacing w:after="120" w:line="276" w:lineRule="auto"/>
        <w:jc w:val="both"/>
        <w:rPr>
          <w:rFonts w:ascii="Verdana" w:eastAsia="Calibri" w:hAnsi="Verdana" w:cs="Arial"/>
          <w:lang w:val="es-ES"/>
        </w:rPr>
      </w:pPr>
      <w:proofErr w:type="spellStart"/>
      <w:r>
        <w:rPr>
          <w:rFonts w:ascii="Verdana" w:eastAsia="Calibri" w:hAnsi="Verdana" w:cs="Arial"/>
          <w:lang w:val="es-ES"/>
        </w:rPr>
        <w:t>iii</w:t>
      </w:r>
      <w:proofErr w:type="spellEnd"/>
      <w:r>
        <w:rPr>
          <w:rFonts w:ascii="Verdana" w:eastAsia="Calibri" w:hAnsi="Verdana" w:cs="Arial"/>
          <w:lang w:val="es-ES"/>
        </w:rPr>
        <w:t xml:space="preserve">. Al margen de lo expuesto, </w:t>
      </w:r>
      <w:r>
        <w:rPr>
          <w:rFonts w:ascii="Verdana" w:eastAsia="Calibri" w:hAnsi="Verdana" w:cs="Arial"/>
          <w:bCs/>
          <w:lang w:val="es-ES_tradnl"/>
        </w:rPr>
        <w:t xml:space="preserve">debe precisarse que la </w:t>
      </w:r>
      <w:r w:rsidRPr="008F0413">
        <w:rPr>
          <w:rFonts w:ascii="Verdana" w:eastAsia="Calibri" w:hAnsi="Verdana" w:cs="Arial"/>
          <w:bCs/>
          <w:lang w:val="es-ES_tradnl"/>
        </w:rPr>
        <w:t>competencia consultiva</w:t>
      </w:r>
      <w:r>
        <w:rPr>
          <w:rFonts w:ascii="Verdana" w:eastAsia="Calibri" w:hAnsi="Verdana" w:cs="Arial"/>
          <w:bCs/>
          <w:lang w:val="es-ES_tradnl"/>
        </w:rPr>
        <w:t xml:space="preserve"> contemplada en</w:t>
      </w:r>
      <w:r w:rsidRPr="00F47E0C">
        <w:rPr>
          <w:rFonts w:ascii="Verdana" w:eastAsia="Calibri" w:hAnsi="Verdana" w:cs="Arial"/>
          <w:color w:val="000000" w:themeColor="text1"/>
          <w:lang w:val="es-ES"/>
        </w:rPr>
        <w:t xml:space="preserve"> el numeral 5 del artículo 3 </w:t>
      </w:r>
      <w:r>
        <w:rPr>
          <w:rFonts w:ascii="Verdana" w:eastAsia="Calibri" w:hAnsi="Verdana" w:cs="Arial"/>
          <w:color w:val="000000" w:themeColor="text1"/>
          <w:lang w:val="es-ES"/>
        </w:rPr>
        <w:t xml:space="preserve">y numeral 11 artículo 8 </w:t>
      </w:r>
      <w:r>
        <w:rPr>
          <w:rFonts w:ascii="Verdana" w:eastAsia="Calibri" w:hAnsi="Verdana" w:cs="Arial"/>
          <w:color w:val="000000"/>
          <w:lang w:eastAsia="es-ES"/>
        </w:rPr>
        <w:t xml:space="preserve">del Decreto 4170 de 2011 </w:t>
      </w:r>
      <w:r w:rsidRPr="00E71075">
        <w:rPr>
          <w:rFonts w:ascii="Verdana" w:eastAsia="Calibri" w:hAnsi="Verdana" w:cs="Arial"/>
          <w:lang w:val="es-ES" w:eastAsia="es-ES_tradnl"/>
        </w:rPr>
        <w:t xml:space="preserve">quedó </w:t>
      </w:r>
      <w:r>
        <w:rPr>
          <w:rFonts w:ascii="Verdana" w:eastAsia="Calibri" w:hAnsi="Verdana" w:cs="Arial"/>
          <w:lang w:val="es-ES" w:eastAsia="es-ES_tradnl"/>
        </w:rPr>
        <w:t>determinada</w:t>
      </w:r>
      <w:r w:rsidRPr="00E71075">
        <w:rPr>
          <w:rFonts w:ascii="Verdana" w:eastAsia="Calibri" w:hAnsi="Verdana" w:cs="Arial"/>
          <w:lang w:val="es-ES" w:eastAsia="es-ES_tradnl"/>
        </w:rPr>
        <w:t xml:space="preserve"> dentro de unos límites precisos. </w:t>
      </w:r>
      <w:r>
        <w:rPr>
          <w:rFonts w:ascii="Verdana" w:eastAsia="Calibri" w:hAnsi="Verdana" w:cs="Arial"/>
          <w:lang w:val="es-ES" w:eastAsia="es-ES_tradnl"/>
        </w:rPr>
        <w:t>Esta competencia</w:t>
      </w:r>
      <w:r w:rsidRPr="00E71075">
        <w:rPr>
          <w:rFonts w:ascii="Verdana" w:eastAsia="Calibri" w:hAnsi="Verdana" w:cs="Arial"/>
          <w:lang w:val="es-ES" w:eastAsia="es-ES_tradnl"/>
        </w:rPr>
        <w:t xml:space="preserve"> </w:t>
      </w:r>
      <w:r>
        <w:rPr>
          <w:rFonts w:ascii="Verdana" w:eastAsia="Calibri" w:hAnsi="Verdana" w:cs="Arial"/>
          <w:lang w:val="es-ES" w:eastAsia="es-ES_tradnl"/>
        </w:rPr>
        <w:t>está</w:t>
      </w:r>
      <w:r w:rsidRPr="00E71075">
        <w:rPr>
          <w:rFonts w:ascii="Verdana" w:eastAsia="Calibri" w:hAnsi="Verdana" w:cs="Arial"/>
          <w:lang w:val="es-ES" w:eastAsia="es-ES_tradnl"/>
        </w:rPr>
        <w:t xml:space="preserve"> claramente delimitada en la expresión “</w:t>
      </w:r>
      <w:r>
        <w:rPr>
          <w:rFonts w:ascii="Verdana" w:eastAsia="Calibri" w:hAnsi="Verdana" w:cs="Arial"/>
          <w:lang w:eastAsia="es-ES_tradnl"/>
        </w:rPr>
        <w:t>A</w:t>
      </w:r>
      <w:r w:rsidRPr="003435F6">
        <w:rPr>
          <w:rFonts w:ascii="Verdana" w:eastAsia="Calibri" w:hAnsi="Verdana" w:cs="Arial"/>
          <w:lang w:eastAsia="es-ES_tradnl"/>
        </w:rPr>
        <w:t xml:space="preserve">bsolver consultas sobre la </w:t>
      </w:r>
      <w:r w:rsidRPr="003435F6">
        <w:rPr>
          <w:rFonts w:ascii="Verdana" w:eastAsia="Calibri" w:hAnsi="Verdana" w:cs="Arial"/>
          <w:i/>
          <w:iCs/>
          <w:lang w:eastAsia="es-ES_tradnl"/>
        </w:rPr>
        <w:t xml:space="preserve">aplicación </w:t>
      </w:r>
      <w:r w:rsidRPr="003435F6">
        <w:rPr>
          <w:rFonts w:ascii="Verdana" w:eastAsia="Calibri" w:hAnsi="Verdana" w:cs="Arial"/>
          <w:i/>
          <w:iCs/>
          <w:lang w:val="es-ES" w:eastAsia="es-ES_tradnl"/>
        </w:rPr>
        <w:t>de normas de carácter general</w:t>
      </w:r>
      <w:r w:rsidRPr="00E71075">
        <w:rPr>
          <w:rFonts w:ascii="Verdana" w:eastAsia="Calibri" w:hAnsi="Verdana" w:cs="Arial"/>
          <w:lang w:val="es-ES" w:eastAsia="es-ES_tradnl"/>
        </w:rPr>
        <w:t>”</w:t>
      </w:r>
      <w:r>
        <w:rPr>
          <w:rFonts w:ascii="Verdana" w:eastAsia="Calibri" w:hAnsi="Verdana" w:cs="Arial"/>
          <w:lang w:val="es-ES" w:eastAsia="es-ES_tradnl"/>
        </w:rPr>
        <w:t xml:space="preserve">, lo que significa </w:t>
      </w:r>
      <w:r w:rsidRPr="00E71075">
        <w:rPr>
          <w:rFonts w:ascii="Verdana" w:eastAsia="Calibri" w:hAnsi="Verdana" w:cs="Arial"/>
          <w:lang w:val="es-ES" w:eastAsia="es-ES_tradnl"/>
        </w:rPr>
        <w:t>no son admisibles las consultas que busquen la solución de problemas generados en procesos de contratación particulares o cuyo propósito implique la validación de las decisiones y/o actuaciones que “</w:t>
      </w:r>
      <w:r w:rsidRPr="00E71075">
        <w:rPr>
          <w:rFonts w:ascii="Verdana" w:eastAsia="Calibri" w:hAnsi="Verdana" w:cs="Arial"/>
          <w:i/>
          <w:iCs/>
          <w:lang w:val="es-ES" w:eastAsia="es-ES_tradnl"/>
        </w:rPr>
        <w:t>pueden</w:t>
      </w:r>
      <w:r w:rsidRPr="00E71075">
        <w:rPr>
          <w:rFonts w:ascii="Verdana" w:eastAsia="Calibri" w:hAnsi="Verdana" w:cs="Arial"/>
          <w:lang w:val="es-ES" w:eastAsia="es-ES_tradnl"/>
        </w:rPr>
        <w:t>” adelantar las autoridades y/o los part</w:t>
      </w:r>
      <w:r>
        <w:rPr>
          <w:rFonts w:ascii="Verdana" w:eastAsia="Calibri" w:hAnsi="Verdana" w:cs="Arial"/>
          <w:lang w:val="es-ES" w:eastAsia="es-ES_tradnl"/>
        </w:rPr>
        <w:t>ícipes</w:t>
      </w:r>
      <w:r w:rsidRPr="00E71075">
        <w:rPr>
          <w:rFonts w:ascii="Verdana" w:eastAsia="Calibri" w:hAnsi="Verdana" w:cs="Arial"/>
          <w:lang w:val="es-ES" w:eastAsia="es-ES_tradnl"/>
        </w:rPr>
        <w:t xml:space="preserve"> del sistema de compras públicas, en ejercicio de la actividad contractual de las autoridades</w:t>
      </w:r>
      <w:r>
        <w:rPr>
          <w:rFonts w:ascii="Verdana" w:eastAsia="Calibri" w:hAnsi="Verdana" w:cs="Arial"/>
          <w:lang w:val="es-ES" w:eastAsia="es-ES_tradnl"/>
        </w:rPr>
        <w:t xml:space="preserve">. </w:t>
      </w:r>
    </w:p>
    <w:p w14:paraId="5132158B" w14:textId="77777777" w:rsidR="00CE7A0D" w:rsidRDefault="00CE7A0D" w:rsidP="00CE7A0D">
      <w:pPr>
        <w:tabs>
          <w:tab w:val="left" w:pos="426"/>
        </w:tabs>
        <w:spacing w:after="120" w:line="276" w:lineRule="auto"/>
        <w:ind w:firstLine="709"/>
        <w:jc w:val="both"/>
        <w:rPr>
          <w:rFonts w:ascii="Verdana" w:eastAsiaTheme="minorEastAsia" w:hAnsi="Verdana" w:cs="Arial"/>
          <w:spacing w:val="-9"/>
          <w:szCs w:val="24"/>
          <w:lang w:eastAsia="es-CO"/>
        </w:rPr>
      </w:pPr>
      <w:r>
        <w:rPr>
          <w:rFonts w:ascii="Verdana" w:eastAsia="Calibri" w:hAnsi="Verdana" w:cs="Arial"/>
          <w:color w:val="000000"/>
          <w:lang w:val="es-ES" w:eastAsia="es-ES"/>
        </w:rPr>
        <w:t xml:space="preserve">Asimismo, esas competencias </w:t>
      </w:r>
      <w:r w:rsidRPr="008F0413">
        <w:rPr>
          <w:rFonts w:ascii="Verdana" w:eastAsia="Calibri" w:hAnsi="Verdana" w:cs="Arial"/>
          <w:bCs/>
          <w:lang w:val="es-ES_tradnl"/>
        </w:rPr>
        <w:t>se relaciona con el artículo 28 de la Ley 1437 de 2011, sustituido por el artículo 1 de la Ley 1755,</w:t>
      </w:r>
      <w:r>
        <w:rPr>
          <w:rFonts w:ascii="Verdana" w:eastAsia="Calibri" w:hAnsi="Verdana" w:cs="Arial"/>
          <w:bCs/>
          <w:lang w:val="es-ES_tradnl"/>
        </w:rPr>
        <w:t xml:space="preserve"> por lo que</w:t>
      </w:r>
      <w:r w:rsidRPr="008F0413">
        <w:rPr>
          <w:rFonts w:ascii="Verdana" w:eastAsia="Calibri" w:hAnsi="Verdana" w:cs="Arial"/>
          <w:bCs/>
          <w:lang w:val="es-ES_tradnl"/>
        </w:rPr>
        <w:t xml:space="preserve"> </w:t>
      </w:r>
      <w:r>
        <w:rPr>
          <w:rFonts w:ascii="Verdana" w:eastAsia="Calibri" w:hAnsi="Verdana" w:cs="Arial"/>
          <w:color w:val="000000"/>
          <w:lang w:val="es-ES" w:eastAsia="es-ES"/>
        </w:rPr>
        <w:t xml:space="preserve">los conceptos emitidos por esta Subdirección en el marco de la función consultiva </w:t>
      </w:r>
      <w:bookmarkStart w:id="5" w:name="_Hlk200718672"/>
      <w:r>
        <w:rPr>
          <w:rFonts w:ascii="Verdana" w:eastAsia="Calibri" w:hAnsi="Verdana" w:cs="Arial"/>
          <w:color w:val="000000"/>
          <w:lang w:val="es-ES" w:eastAsia="es-ES"/>
        </w:rPr>
        <w:t>representan</w:t>
      </w:r>
      <w:r>
        <w:rPr>
          <w:rFonts w:ascii="Verdana" w:hAnsi="Verdana" w:cs="Arial"/>
          <w:lang w:eastAsia="es-ES"/>
        </w:rPr>
        <w:t xml:space="preserve"> una </w:t>
      </w:r>
      <w:r w:rsidRPr="008F0413">
        <w:rPr>
          <w:rFonts w:ascii="Verdana" w:eastAsia="Calibri" w:hAnsi="Verdana" w:cs="Arial"/>
          <w:bCs/>
          <w:lang w:val="es-ES_tradnl"/>
        </w:rPr>
        <w:t>posición hermenéutica respecto a las disposiciones normativas</w:t>
      </w:r>
      <w:r>
        <w:rPr>
          <w:rFonts w:ascii="Verdana" w:eastAsia="Calibri" w:hAnsi="Verdana" w:cs="Arial"/>
          <w:bCs/>
          <w:lang w:val="es-ES_tradnl"/>
        </w:rPr>
        <w:t xml:space="preserve"> del Sistema de Compras Públicas,</w:t>
      </w:r>
      <w:r w:rsidRPr="004E32E1">
        <w:rPr>
          <w:rFonts w:ascii="Verdana" w:hAnsi="Verdana" w:cs="Arial"/>
          <w:lang w:eastAsia="es-ES"/>
        </w:rPr>
        <w:t xml:space="preserve"> </w:t>
      </w:r>
      <w:bookmarkStart w:id="6" w:name="_Hlk42100007"/>
      <w:r>
        <w:rPr>
          <w:rFonts w:ascii="Verdana" w:hAnsi="Verdana" w:cs="Arial"/>
          <w:lang w:eastAsia="es-ES"/>
        </w:rPr>
        <w:t xml:space="preserve">que </w:t>
      </w:r>
      <w:r w:rsidRPr="00DF1D83">
        <w:rPr>
          <w:rFonts w:ascii="Verdana" w:eastAsia="Calibri" w:hAnsi="Verdana" w:cs="Arial"/>
          <w:bCs/>
          <w:lang w:val="es-ES_tradnl"/>
        </w:rPr>
        <w:t xml:space="preserve">no tienen efectos vinculantes </w:t>
      </w:r>
      <w:bookmarkEnd w:id="5"/>
      <w:r w:rsidRPr="00DF1D83">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6"/>
      <w:r w:rsidRPr="0084273B">
        <w:rPr>
          <w:rFonts w:ascii="Verdana" w:eastAsiaTheme="minorEastAsia" w:hAnsi="Verdana" w:cs="Arial"/>
          <w:szCs w:val="24"/>
          <w:lang w:eastAsia="es-CO"/>
        </w:rPr>
        <w:t xml:space="preserve"> </w:t>
      </w:r>
      <w:r>
        <w:rPr>
          <w:rFonts w:ascii="Verdana" w:eastAsiaTheme="minorEastAsia" w:hAnsi="Verdana" w:cs="Arial"/>
          <w:szCs w:val="24"/>
          <w:lang w:eastAsia="es-CO"/>
        </w:rPr>
        <w:t>De este modo, las autoridades que ejercen funciones consultivas pueden expresar su</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virtud</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la</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utilización</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conceptos</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jurídicos</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indeterminados.</w:t>
      </w:r>
      <w:r>
        <w:rPr>
          <w:rFonts w:ascii="Verdana" w:eastAsiaTheme="minorEastAsia" w:hAnsi="Verdana" w:cs="Arial"/>
          <w:spacing w:val="-9"/>
          <w:szCs w:val="24"/>
          <w:lang w:eastAsia="es-CO"/>
        </w:rPr>
        <w:t xml:space="preserve"> </w:t>
      </w:r>
    </w:p>
    <w:p w14:paraId="09716584" w14:textId="77777777" w:rsidR="00CE7A0D" w:rsidRPr="00D04935" w:rsidRDefault="00CE7A0D" w:rsidP="00CE7A0D">
      <w:pPr>
        <w:tabs>
          <w:tab w:val="left" w:pos="426"/>
        </w:tabs>
        <w:spacing w:after="120" w:line="276" w:lineRule="auto"/>
        <w:ind w:firstLine="709"/>
        <w:jc w:val="both"/>
        <w:rPr>
          <w:rFonts w:ascii="Verdana" w:eastAsia="Calibri" w:hAnsi="Verdana" w:cs="Arial"/>
          <w:lang w:val="es-ES"/>
        </w:rPr>
      </w:pPr>
      <w:r w:rsidRPr="008F0413">
        <w:rPr>
          <w:rFonts w:ascii="Verdana" w:eastAsia="Calibri" w:hAnsi="Verdana" w:cs="Arial"/>
          <w:bCs/>
          <w:lang w:val="es-ES_tradnl"/>
        </w:rPr>
        <w:t xml:space="preserve">En términos generales, lo que se busca es que la opinión jurídica de la entidad sirva a los ciudadanos y a la administración pública para el ejercicio de sus derechos y la defensa de sus intereses, y como criterio de orientación para el cumplimiento de sus competencias legales, sin que tome partida por uno u otro, pues a la autoridad que emite el concepto no le compete resolver una </w:t>
      </w:r>
      <w:r w:rsidRPr="008F0413">
        <w:rPr>
          <w:rFonts w:ascii="Verdana" w:eastAsia="Calibri" w:hAnsi="Verdana" w:cs="Arial"/>
          <w:bCs/>
          <w:lang w:val="es-ES_tradnl"/>
        </w:rPr>
        <w:lastRenderedPageBreak/>
        <w:t>controversia o prevenir una problemática, esto es, no le corresponde determinar quién tienen la razón en su interpretación normativa.</w:t>
      </w:r>
    </w:p>
    <w:p w14:paraId="5E5041A2" w14:textId="77777777" w:rsidR="00CE7A0D" w:rsidRPr="00086CBB" w:rsidRDefault="00CE7A0D" w:rsidP="00CE7A0D">
      <w:pPr>
        <w:tabs>
          <w:tab w:val="left" w:pos="426"/>
        </w:tabs>
        <w:spacing w:after="120" w:line="276" w:lineRule="auto"/>
        <w:ind w:firstLine="709"/>
        <w:jc w:val="both"/>
        <w:rPr>
          <w:rFonts w:ascii="Verdana" w:eastAsia="Calibri" w:hAnsi="Verdana" w:cs="Arial"/>
          <w:bCs/>
          <w:color w:val="000000" w:themeColor="text1"/>
        </w:rPr>
      </w:pPr>
      <w:r w:rsidRPr="00F60A0F">
        <w:rPr>
          <w:rFonts w:ascii="Verdana" w:hAnsi="Verdana"/>
        </w:rPr>
        <w:t xml:space="preserve">Por tanto, </w:t>
      </w:r>
      <w:r>
        <w:rPr>
          <w:rFonts w:ascii="Verdana" w:hAnsi="Verdana"/>
        </w:rPr>
        <w:t xml:space="preserve">se reitera que </w:t>
      </w:r>
      <w:r>
        <w:rPr>
          <w:rFonts w:ascii="Verdana" w:eastAsia="Calibri" w:hAnsi="Verdana" w:cs="Arial"/>
          <w:bCs/>
          <w:color w:val="000000" w:themeColor="text1"/>
        </w:rPr>
        <w:t>el análisis requerido para resolver problemas específicos en torno a la gestión contractual de las entidades públicas y concretamente sobre la situación expuesta debe ser realizado por quienes tengan interés en ello, de acuerdo con lo explicado en este concepto.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7F2C509" w14:textId="77777777" w:rsidR="00CE7A0D" w:rsidRDefault="00CE7A0D" w:rsidP="00CE7A0D">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77DB44C" w14:textId="77777777" w:rsidR="00CE7A0D" w:rsidRDefault="00CE7A0D" w:rsidP="00CE7A0D">
      <w:pPr>
        <w:spacing w:after="0" w:line="276" w:lineRule="auto"/>
        <w:ind w:firstLine="709"/>
        <w:jc w:val="both"/>
        <w:rPr>
          <w:rFonts w:ascii="Verdana" w:eastAsia="Calibri" w:hAnsi="Verdana" w:cs="Arial"/>
          <w:bCs/>
          <w:color w:val="000000" w:themeColor="text1"/>
        </w:rPr>
      </w:pPr>
    </w:p>
    <w:p w14:paraId="3C7AB322" w14:textId="77777777" w:rsidR="00CE7A0D" w:rsidRDefault="00CE7A0D" w:rsidP="00CE7A0D">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p>
    <w:p w14:paraId="4A36EBEE" w14:textId="77777777" w:rsidR="00CE7A0D" w:rsidRDefault="00CE7A0D" w:rsidP="00CE7A0D">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E7A0D" w14:paraId="73022E09" w14:textId="77777777" w:rsidTr="001B4567">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3805D55D" w14:textId="77777777" w:rsidR="00CE7A0D" w:rsidRDefault="00CE7A0D" w:rsidP="00CE7A0D">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Constitución Política de 1991, artículos 127, 197 y 209.</w:t>
            </w:r>
          </w:p>
          <w:p w14:paraId="52D72AB3" w14:textId="77777777" w:rsidR="00CE7A0D" w:rsidRDefault="00CE7A0D" w:rsidP="00CE7A0D">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Ley 80 de 1993, artículos 2, 32, 39 y 41.</w:t>
            </w:r>
          </w:p>
          <w:p w14:paraId="238DEDAB" w14:textId="77777777" w:rsidR="00CE7A0D" w:rsidRDefault="00CE7A0D" w:rsidP="00CE7A0D">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Ley 338 de 1997, artículos 58 y ss.</w:t>
            </w:r>
          </w:p>
          <w:p w14:paraId="16E38E64" w14:textId="77777777" w:rsidR="00CE7A0D" w:rsidRDefault="00CE7A0D" w:rsidP="00CE7A0D">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 xml:space="preserve">Ley 996 de 2005, artículo 33 </w:t>
            </w:r>
          </w:p>
          <w:p w14:paraId="32DA60EE" w14:textId="77777777" w:rsidR="00CE7A0D" w:rsidRDefault="00CE7A0D" w:rsidP="00CE7A0D">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Ley 1150 de 2007, artículos 1 y 2.</w:t>
            </w:r>
          </w:p>
          <w:p w14:paraId="7EC552B0" w14:textId="77777777" w:rsidR="00CE7A0D" w:rsidRDefault="00CE7A0D" w:rsidP="00CE7A0D">
            <w:pPr>
              <w:pStyle w:val="Prrafodelista"/>
              <w:widowControl w:val="0"/>
              <w:numPr>
                <w:ilvl w:val="0"/>
                <w:numId w:val="2"/>
              </w:numPr>
              <w:autoSpaceDE w:val="0"/>
              <w:autoSpaceDN w:val="0"/>
              <w:spacing w:line="276" w:lineRule="auto"/>
              <w:ind w:left="714" w:hanging="357"/>
              <w:jc w:val="both"/>
              <w:rPr>
                <w:rFonts w:ascii="Verdana" w:hAnsi="Verdana" w:cs="Arial"/>
              </w:rPr>
            </w:pPr>
            <w:r>
              <w:rPr>
                <w:rFonts w:ascii="Verdana" w:hAnsi="Verdana" w:cs="Arial"/>
              </w:rPr>
              <w:t>Código Civil, artículo 1501.</w:t>
            </w:r>
          </w:p>
        </w:tc>
      </w:tr>
    </w:tbl>
    <w:p w14:paraId="35ACF21A" w14:textId="77777777" w:rsidR="00CE7A0D" w:rsidRDefault="00CE7A0D" w:rsidP="00CE7A0D">
      <w:pPr>
        <w:widowControl w:val="0"/>
        <w:autoSpaceDE w:val="0"/>
        <w:autoSpaceDN w:val="0"/>
        <w:spacing w:after="0" w:line="276" w:lineRule="auto"/>
        <w:jc w:val="both"/>
        <w:rPr>
          <w:rFonts w:ascii="Verdana" w:hAnsi="Verdana" w:cs="Arial"/>
        </w:rPr>
      </w:pPr>
    </w:p>
    <w:p w14:paraId="46D09966" w14:textId="77777777" w:rsidR="00CE7A0D" w:rsidRDefault="00CE7A0D" w:rsidP="00CE7A0D">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4B99C29C" w14:textId="77777777" w:rsidR="00CE7A0D" w:rsidRDefault="00CE7A0D" w:rsidP="00CE7A0D">
      <w:pPr>
        <w:widowControl w:val="0"/>
        <w:autoSpaceDE w:val="0"/>
        <w:autoSpaceDN w:val="0"/>
        <w:spacing w:after="0" w:line="276" w:lineRule="auto"/>
        <w:jc w:val="both"/>
        <w:rPr>
          <w:rFonts w:ascii="Verdana" w:hAnsi="Verdana" w:cs="Arial"/>
        </w:rPr>
      </w:pPr>
    </w:p>
    <w:p w14:paraId="64CBAB5E" w14:textId="77777777" w:rsidR="00CE7A0D" w:rsidRDefault="00CE7A0D" w:rsidP="00CE7A0D">
      <w:pPr>
        <w:widowControl w:val="0"/>
        <w:autoSpaceDE w:val="0"/>
        <w:autoSpaceDN w:val="0"/>
        <w:spacing w:after="0" w:line="276" w:lineRule="auto"/>
        <w:jc w:val="both"/>
        <w:rPr>
          <w:rStyle w:val="normaltextrun"/>
          <w:shd w:val="clear" w:color="auto" w:fill="FFFFFF"/>
        </w:rPr>
      </w:pPr>
      <w:r>
        <w:rPr>
          <w:rFonts w:ascii="Verdana" w:hAnsi="Verdana" w:cs="Arial"/>
          <w:shd w:val="clear" w:color="auto" w:fill="FFFFFF"/>
        </w:rPr>
        <w:t xml:space="preserve">Sobre la finalidad y propósito de la Ley de Garantías Electorales, la ANCP- CCE se ha pronunciado en los Conceptos 4201913000004536 de 17 de julio de 2019, </w:t>
      </w:r>
      <w:r>
        <w:rPr>
          <w:rFonts w:ascii="Verdana" w:hAnsi="Verdana" w:cs="Arial"/>
          <w:shd w:val="clear" w:color="auto" w:fill="FFFFFF"/>
        </w:rPr>
        <w:lastRenderedPageBreak/>
        <w:t>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C-1512 del 27 de octubre de 2025, C-1529 del 4 de noviembre de 2025, entre otros</w:t>
      </w:r>
      <w:r>
        <w:rPr>
          <w:rFonts w:ascii="Verdana" w:hAnsi="Verdana"/>
        </w:rPr>
        <w:t>.</w:t>
      </w:r>
      <w:r>
        <w:rPr>
          <w:rFonts w:ascii="Verdana" w:hAnsi="Verdana" w:cs="Arial"/>
          <w:shd w:val="clear" w:color="auto" w:fill="FFFFFF"/>
        </w:rPr>
        <w:t xml:space="preserve"> Estos y otros </w:t>
      </w:r>
      <w:r>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47A2709" w14:textId="77777777" w:rsidR="00CE7A0D" w:rsidRDefault="00CE7A0D" w:rsidP="00CE7A0D">
      <w:pPr>
        <w:widowControl w:val="0"/>
        <w:autoSpaceDE w:val="0"/>
        <w:autoSpaceDN w:val="0"/>
        <w:spacing w:after="0" w:line="276" w:lineRule="auto"/>
        <w:jc w:val="both"/>
        <w:rPr>
          <w:color w:val="000000" w:themeColor="text1"/>
        </w:rPr>
      </w:pPr>
    </w:p>
    <w:p w14:paraId="0D388812" w14:textId="77777777" w:rsidR="00CE7A0D" w:rsidRPr="00F84F36" w:rsidRDefault="00CE7A0D" w:rsidP="00CE7A0D">
      <w:pPr>
        <w:spacing w:after="0"/>
        <w:jc w:val="both"/>
        <w:rPr>
          <w:rFonts w:ascii="Verdana" w:hAnsi="Verdana" w:cs="Arial"/>
          <w:color w:val="EE0000"/>
          <w:shd w:val="clear" w:color="auto" w:fill="FFFFFF"/>
        </w:rPr>
      </w:pPr>
      <w:r w:rsidRPr="008278B1">
        <w:rPr>
          <w:rFonts w:ascii="Verdana" w:hAnsi="Verdana" w:cs="Arial"/>
          <w:shd w:val="clear" w:color="auto" w:fill="FFFFFF"/>
        </w:rPr>
        <w:t>También le contamos que ya se encuentra disponible la </w:t>
      </w:r>
      <w:r w:rsidRPr="008278B1">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8278B1">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278B1">
        <w:rPr>
          <w:rFonts w:ascii="Verdana" w:hAnsi="Verdana" w:cs="Arial"/>
          <w:shd w:val="clear" w:color="auto" w:fill="FFFFFF"/>
        </w:rPr>
        <w:t>Wayúu</w:t>
      </w:r>
      <w:proofErr w:type="spellEnd"/>
      <w:r w:rsidRPr="008278B1">
        <w:rPr>
          <w:rFonts w:ascii="Verdana" w:hAnsi="Verdana" w:cs="Arial"/>
          <w:shd w:val="clear" w:color="auto" w:fill="FFFFFF"/>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8278B1">
          <w:rPr>
            <w:rStyle w:val="Hipervnculo"/>
            <w:rFonts w:ascii="Verdana" w:hAnsi="Verdana"/>
          </w:rPr>
          <w:t>Guía de lineamientos de transparencia y selección objetiva para el departamento de La Guajira – Objetivo sexto constitucional de la Sentencia T-302 del 2017</w:t>
        </w:r>
      </w:hyperlink>
    </w:p>
    <w:p w14:paraId="4CC8E17F" w14:textId="77777777" w:rsidR="00CE7A0D" w:rsidRPr="008278B1" w:rsidRDefault="00CE7A0D" w:rsidP="00CE7A0D">
      <w:pPr>
        <w:spacing w:after="0"/>
        <w:jc w:val="both"/>
        <w:rPr>
          <w:rFonts w:ascii="Verdana" w:hAnsi="Verdana" w:cs="Arial"/>
          <w:shd w:val="clear" w:color="auto" w:fill="FFFFFF"/>
        </w:rPr>
      </w:pPr>
    </w:p>
    <w:p w14:paraId="517F9F80" w14:textId="77777777" w:rsidR="00CE7A0D" w:rsidRPr="008278B1" w:rsidRDefault="00CE7A0D" w:rsidP="00CE7A0D">
      <w:pPr>
        <w:spacing w:after="0"/>
        <w:jc w:val="both"/>
        <w:rPr>
          <w:rFonts w:ascii="Verdana" w:hAnsi="Verdana" w:cs="Arial"/>
          <w:shd w:val="clear" w:color="auto" w:fill="FFFFFF"/>
        </w:rPr>
      </w:pPr>
      <w:r w:rsidRPr="008278B1">
        <w:rPr>
          <w:rFonts w:ascii="Verdana" w:hAnsi="Verdana" w:cs="Arial"/>
          <w:shd w:val="clear" w:color="auto" w:fill="FFFFFF"/>
        </w:rPr>
        <w:t xml:space="preserve">Por último, lo invitamos a seguirnos en las redes sociales en las cuales se difunde información institucional: </w:t>
      </w:r>
    </w:p>
    <w:p w14:paraId="2816CD97" w14:textId="77777777" w:rsidR="00CE7A0D" w:rsidRPr="008278B1" w:rsidRDefault="00CE7A0D" w:rsidP="00CE7A0D">
      <w:pPr>
        <w:spacing w:after="0"/>
        <w:jc w:val="both"/>
        <w:rPr>
          <w:rFonts w:ascii="Verdana" w:hAnsi="Verdana" w:cs="Arial"/>
          <w:shd w:val="clear" w:color="auto" w:fill="FFFFFF"/>
        </w:rPr>
      </w:pPr>
    </w:p>
    <w:p w14:paraId="0DD9D667" w14:textId="77777777" w:rsidR="00CE7A0D" w:rsidRPr="008278B1" w:rsidRDefault="00CE7A0D" w:rsidP="00CE7A0D">
      <w:pPr>
        <w:spacing w:after="0"/>
        <w:jc w:val="both"/>
        <w:rPr>
          <w:rFonts w:ascii="Verdana" w:hAnsi="Verdana" w:cs="Arial"/>
          <w:shd w:val="clear" w:color="auto" w:fill="FFFFFF"/>
        </w:rPr>
      </w:pPr>
      <w:r w:rsidRPr="008278B1">
        <w:rPr>
          <w:rFonts w:ascii="Verdana" w:hAnsi="Verdana" w:cs="Arial"/>
          <w:shd w:val="clear" w:color="auto" w:fill="FFFFFF"/>
        </w:rPr>
        <w:t xml:space="preserve">Twitter: </w:t>
      </w:r>
      <w:r w:rsidRPr="008278B1">
        <w:rPr>
          <w:rStyle w:val="Hipervnculo"/>
          <w:rFonts w:ascii="Verdana" w:hAnsi="Verdana"/>
          <w:lang w:val="es-ES"/>
        </w:rPr>
        <w:t xml:space="preserve">@colombiacompra </w:t>
      </w:r>
    </w:p>
    <w:p w14:paraId="7902D7E6" w14:textId="77777777" w:rsidR="00CE7A0D" w:rsidRPr="008278B1" w:rsidRDefault="00CE7A0D" w:rsidP="00CE7A0D">
      <w:pPr>
        <w:spacing w:after="0"/>
        <w:jc w:val="both"/>
        <w:rPr>
          <w:rFonts w:ascii="Verdana" w:hAnsi="Verdana" w:cs="Arial"/>
          <w:shd w:val="clear" w:color="auto" w:fill="FFFFFF"/>
        </w:rPr>
      </w:pPr>
      <w:r w:rsidRPr="008278B1">
        <w:rPr>
          <w:rFonts w:ascii="Verdana" w:hAnsi="Verdana" w:cs="Arial"/>
          <w:shd w:val="clear" w:color="auto" w:fill="FFFFFF"/>
        </w:rPr>
        <w:lastRenderedPageBreak/>
        <w:t>Facebook:</w:t>
      </w:r>
      <w:r w:rsidRPr="008278B1">
        <w:rPr>
          <w:rStyle w:val="Hipervnculo"/>
          <w:rFonts w:ascii="Verdana" w:hAnsi="Verdana"/>
          <w:lang w:val="es-ES"/>
        </w:rPr>
        <w:t xml:space="preserve"> </w:t>
      </w:r>
      <w:proofErr w:type="spellStart"/>
      <w:r w:rsidRPr="008278B1">
        <w:rPr>
          <w:rStyle w:val="Hipervnculo"/>
          <w:rFonts w:ascii="Verdana" w:hAnsi="Verdana"/>
          <w:lang w:val="es-ES"/>
        </w:rPr>
        <w:t>ColombiaCompraEficiente</w:t>
      </w:r>
      <w:proofErr w:type="spellEnd"/>
    </w:p>
    <w:p w14:paraId="7D219261" w14:textId="77777777" w:rsidR="00CE7A0D" w:rsidRPr="008278B1" w:rsidRDefault="00CE7A0D" w:rsidP="00CE7A0D">
      <w:pPr>
        <w:spacing w:after="0"/>
        <w:jc w:val="both"/>
        <w:rPr>
          <w:rFonts w:ascii="Verdana" w:hAnsi="Verdana" w:cs="Arial"/>
          <w:shd w:val="clear" w:color="auto" w:fill="FFFFFF"/>
        </w:rPr>
      </w:pPr>
      <w:r w:rsidRPr="008278B1">
        <w:rPr>
          <w:rFonts w:ascii="Verdana" w:hAnsi="Verdana" w:cs="Arial"/>
          <w:shd w:val="clear" w:color="auto" w:fill="FFFFFF"/>
        </w:rPr>
        <w:t xml:space="preserve">LinkedIn: </w:t>
      </w:r>
      <w:r w:rsidRPr="008278B1">
        <w:rPr>
          <w:rStyle w:val="Hipervnculo"/>
          <w:rFonts w:ascii="Verdana" w:hAnsi="Verdana"/>
          <w:lang w:val="es-ES"/>
        </w:rPr>
        <w:t>Agencia Nacional de Contratación Pública - Colombia Compra Eficiente</w:t>
      </w:r>
      <w:r w:rsidRPr="008278B1">
        <w:rPr>
          <w:rFonts w:ascii="Verdana" w:hAnsi="Verdana" w:cs="Arial"/>
          <w:color w:val="0000FF"/>
          <w:shd w:val="clear" w:color="auto" w:fill="FFFFFF"/>
        </w:rPr>
        <w:t xml:space="preserve"> </w:t>
      </w:r>
    </w:p>
    <w:p w14:paraId="0BF98EF3" w14:textId="77777777" w:rsidR="00CE7A0D" w:rsidRPr="008278B1" w:rsidRDefault="00CE7A0D" w:rsidP="00CE7A0D">
      <w:pPr>
        <w:spacing w:after="0"/>
        <w:jc w:val="both"/>
        <w:rPr>
          <w:rFonts w:ascii="Verdana" w:hAnsi="Verdana" w:cs="Arial"/>
          <w:shd w:val="clear" w:color="auto" w:fill="FFFFFF"/>
        </w:rPr>
      </w:pPr>
      <w:r w:rsidRPr="008278B1">
        <w:rPr>
          <w:rFonts w:ascii="Verdana" w:hAnsi="Verdana" w:cs="Arial"/>
          <w:shd w:val="clear" w:color="auto" w:fill="FFFFFF"/>
        </w:rPr>
        <w:t xml:space="preserve">Instagram: </w:t>
      </w:r>
      <w:r w:rsidRPr="008278B1">
        <w:rPr>
          <w:rStyle w:val="Hipervnculo"/>
          <w:rFonts w:ascii="Verdana" w:hAnsi="Verdana"/>
          <w:lang w:val="es-ES"/>
        </w:rPr>
        <w:t>@colombiacompraeficiente_cce</w:t>
      </w:r>
    </w:p>
    <w:p w14:paraId="7FEDAF8E" w14:textId="77777777" w:rsidR="00CE7A0D" w:rsidRPr="008278B1" w:rsidRDefault="00CE7A0D" w:rsidP="00CE7A0D">
      <w:pPr>
        <w:widowControl w:val="0"/>
        <w:autoSpaceDE w:val="0"/>
        <w:autoSpaceDN w:val="0"/>
        <w:spacing w:after="0" w:line="276" w:lineRule="auto"/>
        <w:jc w:val="both"/>
        <w:rPr>
          <w:rFonts w:ascii="Verdana" w:hAnsi="Verdana" w:cs="Arial"/>
          <w:lang w:val="es-ES"/>
        </w:rPr>
      </w:pPr>
    </w:p>
    <w:p w14:paraId="5C74CC07" w14:textId="77777777" w:rsidR="00CE7A0D" w:rsidRPr="008278B1" w:rsidRDefault="00CE7A0D" w:rsidP="00CE7A0D">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7C402AF" w14:textId="77777777" w:rsidR="00CE7A0D" w:rsidRPr="008278B1" w:rsidRDefault="00CE7A0D" w:rsidP="00CE7A0D">
      <w:pPr>
        <w:widowControl w:val="0"/>
        <w:autoSpaceDE w:val="0"/>
        <w:autoSpaceDN w:val="0"/>
        <w:spacing w:after="0" w:line="276" w:lineRule="auto"/>
        <w:jc w:val="both"/>
        <w:rPr>
          <w:rFonts w:ascii="Verdana" w:hAnsi="Verdana" w:cs="Arial"/>
          <w:lang w:val="es-ES"/>
        </w:rPr>
      </w:pPr>
    </w:p>
    <w:p w14:paraId="05A7BAC3" w14:textId="77777777" w:rsidR="00CE7A0D" w:rsidRPr="00BF2B1C" w:rsidRDefault="00CE7A0D" w:rsidP="00CE7A0D">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0EB46D63" w14:textId="496E596B" w:rsidR="00CE7A0D" w:rsidRPr="00AD4F6A" w:rsidRDefault="00FA1BB3" w:rsidP="00CE7A0D">
      <w:pPr>
        <w:spacing w:line="276" w:lineRule="auto"/>
        <w:jc w:val="center"/>
        <w:rPr>
          <w:rFonts w:ascii="Verdana" w:hAnsi="Verdana" w:cs="Arial"/>
          <w:color w:val="000000"/>
          <w:lang w:eastAsia="es-CO"/>
        </w:rPr>
      </w:pPr>
      <w:r>
        <w:rPr>
          <w:noProof/>
        </w:rPr>
        <w:drawing>
          <wp:inline distT="0" distB="0" distL="0" distR="0" wp14:anchorId="296949B2" wp14:editId="473CF3C0">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E7A0D" w:rsidRPr="00AD4F6A" w14:paraId="7123E46E" w14:textId="77777777" w:rsidTr="001B4567">
        <w:trPr>
          <w:trHeight w:val="315"/>
        </w:trPr>
        <w:tc>
          <w:tcPr>
            <w:tcW w:w="893" w:type="dxa"/>
            <w:vAlign w:val="center"/>
            <w:hideMark/>
          </w:tcPr>
          <w:p w14:paraId="3AD51853" w14:textId="77777777" w:rsidR="00CE7A0D" w:rsidRPr="00AD4F6A" w:rsidRDefault="00CE7A0D" w:rsidP="001B4567">
            <w:pPr>
              <w:contextualSpacing/>
              <w:rPr>
                <w:rFonts w:ascii="Verdana" w:hAnsi="Verdana" w:cs="Arial"/>
                <w:sz w:val="16"/>
                <w:szCs w:val="16"/>
                <w:lang w:eastAsia="es-ES"/>
              </w:rPr>
            </w:pPr>
            <w:r w:rsidRPr="00AD4F6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C130C2F" w14:textId="77777777" w:rsidR="00CE7A0D" w:rsidRPr="00AD4F6A" w:rsidRDefault="00CE7A0D" w:rsidP="001B4567">
            <w:pPr>
              <w:contextualSpacing/>
              <w:rPr>
                <w:rFonts w:ascii="Verdana" w:hAnsi="Verdana"/>
                <w:sz w:val="16"/>
                <w:szCs w:val="16"/>
              </w:rPr>
            </w:pPr>
            <w:r w:rsidRPr="00AD4F6A">
              <w:rPr>
                <w:rFonts w:ascii="Verdana" w:hAnsi="Verdana"/>
                <w:sz w:val="16"/>
                <w:szCs w:val="16"/>
              </w:rPr>
              <w:t>Tatiana Baquero Iguarán</w:t>
            </w:r>
          </w:p>
          <w:p w14:paraId="21C72D5C" w14:textId="77777777" w:rsidR="00CE7A0D" w:rsidRPr="00AD4F6A" w:rsidRDefault="00CE7A0D" w:rsidP="001B4567">
            <w:pPr>
              <w:contextualSpacing/>
              <w:rPr>
                <w:rFonts w:ascii="Verdana" w:eastAsia="Arial" w:hAnsi="Verdana" w:cs="Arial"/>
                <w:sz w:val="16"/>
                <w:szCs w:val="16"/>
              </w:rPr>
            </w:pPr>
            <w:r w:rsidRPr="00AD4F6A">
              <w:rPr>
                <w:rFonts w:ascii="Verdana" w:hAnsi="Verdana"/>
                <w:sz w:val="16"/>
                <w:szCs w:val="16"/>
              </w:rPr>
              <w:t>Contratista de la Subdirección de Gestión Contractual</w:t>
            </w:r>
          </w:p>
        </w:tc>
      </w:tr>
      <w:tr w:rsidR="00CE7A0D" w:rsidRPr="00AD4F6A" w14:paraId="2F48AF0F" w14:textId="77777777" w:rsidTr="001B4567">
        <w:trPr>
          <w:trHeight w:val="330"/>
        </w:trPr>
        <w:tc>
          <w:tcPr>
            <w:tcW w:w="893" w:type="dxa"/>
            <w:vAlign w:val="center"/>
            <w:hideMark/>
          </w:tcPr>
          <w:p w14:paraId="08FF5124" w14:textId="77777777" w:rsidR="00CE7A0D" w:rsidRPr="00AD4F6A" w:rsidRDefault="00CE7A0D" w:rsidP="001B4567">
            <w:pPr>
              <w:contextualSpacing/>
              <w:rPr>
                <w:rFonts w:ascii="Verdana" w:hAnsi="Verdana" w:cs="Arial"/>
                <w:sz w:val="16"/>
                <w:szCs w:val="16"/>
                <w:lang w:eastAsia="es-ES"/>
              </w:rPr>
            </w:pPr>
            <w:r w:rsidRPr="00AD4F6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5D88B40" w14:textId="77777777" w:rsidR="00CE7A0D" w:rsidRPr="00AD4F6A" w:rsidRDefault="00CE7A0D" w:rsidP="001B4567">
            <w:pPr>
              <w:textAlignment w:val="baseline"/>
              <w:rPr>
                <w:rFonts w:ascii="Verdana" w:eastAsia="Times New Roman" w:hAnsi="Verdana" w:cs="Arial"/>
                <w:sz w:val="16"/>
                <w:szCs w:val="16"/>
                <w:lang w:val="es-MX" w:eastAsia="es-CO"/>
              </w:rPr>
            </w:pPr>
            <w:r w:rsidRPr="00AD4F6A">
              <w:rPr>
                <w:rFonts w:ascii="Verdana" w:eastAsia="Times New Roman" w:hAnsi="Verdana" w:cs="Arial"/>
                <w:sz w:val="16"/>
                <w:szCs w:val="16"/>
                <w:lang w:val="es-MX" w:eastAsia="es-CO"/>
              </w:rPr>
              <w:t>Alejandro Raúl Sarmiento Cantillo</w:t>
            </w:r>
          </w:p>
          <w:p w14:paraId="1F62E06E" w14:textId="77777777" w:rsidR="00CE7A0D" w:rsidRPr="00AD4F6A" w:rsidRDefault="00CE7A0D" w:rsidP="001B4567">
            <w:pPr>
              <w:spacing w:before="100" w:beforeAutospacing="1" w:after="100" w:afterAutospacing="1"/>
              <w:contextualSpacing/>
              <w:textAlignment w:val="baseline"/>
              <w:rPr>
                <w:rFonts w:ascii="Verdana" w:eastAsia="Times New Roman" w:hAnsi="Verdana" w:cs="Segoe UI"/>
                <w:sz w:val="16"/>
                <w:szCs w:val="16"/>
                <w:lang w:eastAsia="es-ES_tradnl"/>
              </w:rPr>
            </w:pPr>
            <w:r w:rsidRPr="00AD4F6A">
              <w:rPr>
                <w:rFonts w:ascii="Verdana" w:eastAsia="Times New Roman" w:hAnsi="Verdana" w:cs="Arial"/>
                <w:sz w:val="16"/>
                <w:szCs w:val="16"/>
                <w:lang w:val="es-MX" w:eastAsia="es-CO"/>
              </w:rPr>
              <w:t>Gestor T1-15 de la Subdirección de Gestión Contractual</w:t>
            </w:r>
          </w:p>
        </w:tc>
      </w:tr>
      <w:tr w:rsidR="00CE7A0D" w:rsidRPr="00AD4F6A" w14:paraId="7F6A7ED9" w14:textId="77777777" w:rsidTr="001B4567">
        <w:trPr>
          <w:trHeight w:val="300"/>
        </w:trPr>
        <w:tc>
          <w:tcPr>
            <w:tcW w:w="893" w:type="dxa"/>
            <w:vAlign w:val="center"/>
          </w:tcPr>
          <w:p w14:paraId="127096C9" w14:textId="77777777" w:rsidR="00CE7A0D" w:rsidRPr="00AD4F6A" w:rsidRDefault="00CE7A0D" w:rsidP="001B4567">
            <w:pPr>
              <w:contextualSpacing/>
              <w:rPr>
                <w:rFonts w:ascii="Verdana" w:hAnsi="Verdana" w:cs="Arial"/>
                <w:sz w:val="16"/>
                <w:szCs w:val="16"/>
                <w:lang w:eastAsia="es-ES"/>
              </w:rPr>
            </w:pPr>
            <w:r w:rsidRPr="00AD4F6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45569AD" w14:textId="77777777" w:rsidR="00CE7A0D" w:rsidRPr="00AD4F6A" w:rsidRDefault="00CE7A0D" w:rsidP="001B4567">
            <w:pPr>
              <w:contextualSpacing/>
              <w:rPr>
                <w:rFonts w:ascii="Verdana" w:eastAsia="Calibri" w:hAnsi="Verdana" w:cs="Arial"/>
                <w:sz w:val="16"/>
                <w:szCs w:val="16"/>
                <w:lang w:eastAsia="es-ES"/>
              </w:rPr>
            </w:pPr>
            <w:r w:rsidRPr="00AD4F6A">
              <w:rPr>
                <w:rFonts w:ascii="Verdana" w:eastAsia="Calibri" w:hAnsi="Verdana" w:cs="Arial"/>
                <w:sz w:val="16"/>
                <w:szCs w:val="16"/>
                <w:lang w:eastAsia="es-ES"/>
              </w:rPr>
              <w:t>Carolina Quintero Gacharná</w:t>
            </w:r>
          </w:p>
          <w:p w14:paraId="5BC3BE5B" w14:textId="77777777" w:rsidR="00CE7A0D" w:rsidRPr="00AD4F6A" w:rsidRDefault="00CE7A0D" w:rsidP="001B4567">
            <w:pPr>
              <w:contextualSpacing/>
              <w:rPr>
                <w:rFonts w:ascii="Verdana" w:eastAsia="Calibri" w:hAnsi="Verdana" w:cs="Arial"/>
                <w:sz w:val="16"/>
                <w:szCs w:val="16"/>
                <w:lang w:eastAsia="es-ES"/>
              </w:rPr>
            </w:pPr>
            <w:r w:rsidRPr="00AD4F6A">
              <w:rPr>
                <w:rFonts w:ascii="Verdana" w:eastAsia="Calibri" w:hAnsi="Verdana" w:cs="Arial"/>
                <w:sz w:val="16"/>
                <w:szCs w:val="16"/>
                <w:lang w:eastAsia="es-ES"/>
              </w:rPr>
              <w:t>Subdirectora de Gestión Contractual ANCP – CCE</w:t>
            </w:r>
          </w:p>
        </w:tc>
      </w:tr>
    </w:tbl>
    <w:p w14:paraId="33914A36" w14:textId="77777777" w:rsidR="00CE7A0D" w:rsidRPr="00AD4F6A" w:rsidRDefault="00CE7A0D" w:rsidP="00CE7A0D"/>
    <w:p w14:paraId="67D8CB5D" w14:textId="77777777" w:rsidR="00CE7A0D" w:rsidRDefault="00CE7A0D" w:rsidP="00CE7A0D">
      <w:pPr>
        <w:spacing w:after="0" w:line="240" w:lineRule="auto"/>
        <w:rPr>
          <w:rFonts w:ascii="Verdana" w:eastAsia="Aptos" w:hAnsi="Verdana" w:cs="Times New Roman"/>
          <w:sz w:val="20"/>
          <w:szCs w:val="20"/>
        </w:rPr>
      </w:pPr>
    </w:p>
    <w:p w14:paraId="02FE8F26" w14:textId="77777777" w:rsidR="00CE7A0D" w:rsidRDefault="00CE7A0D" w:rsidP="00CE7A0D"/>
    <w:p w14:paraId="7AC6488B" w14:textId="77777777" w:rsidR="00CE7A0D" w:rsidRPr="00254AF7" w:rsidRDefault="00CE7A0D" w:rsidP="00CE7A0D"/>
    <w:p w14:paraId="3581091E" w14:textId="77777777" w:rsidR="00DE0A4A" w:rsidRDefault="00DE0A4A" w:rsidP="00DE0A4A">
      <w:pPr>
        <w:spacing w:after="0"/>
        <w:rPr>
          <w:rFonts w:ascii="Verdana" w:hAnsi="Verdana"/>
          <w:lang w:val="es-MX"/>
        </w:rPr>
      </w:pPr>
    </w:p>
    <w:p w14:paraId="32479772" w14:textId="77777777" w:rsidR="00DE0A4A" w:rsidRDefault="00DE0A4A" w:rsidP="00DE0A4A">
      <w:pPr>
        <w:spacing w:after="0"/>
        <w:rPr>
          <w:rFonts w:ascii="Verdana" w:hAnsi="Verdana"/>
          <w:lang w:val="es-MX"/>
        </w:rPr>
      </w:pPr>
    </w:p>
    <w:sectPr w:rsidR="00DE0A4A" w:rsidSect="00DE0A4A">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CD4B7" w14:textId="77777777" w:rsidR="001E721D" w:rsidRDefault="001E721D" w:rsidP="00DE0A4A">
      <w:pPr>
        <w:spacing w:after="0" w:line="240" w:lineRule="auto"/>
      </w:pPr>
      <w:r>
        <w:separator/>
      </w:r>
    </w:p>
  </w:endnote>
  <w:endnote w:type="continuationSeparator" w:id="0">
    <w:p w14:paraId="19121331" w14:textId="77777777" w:rsidR="001E721D" w:rsidRDefault="001E721D" w:rsidP="00DE0A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A6FCA" w14:textId="77777777" w:rsidR="00DE0A4A" w:rsidRDefault="00DE0A4A">
    <w:pPr>
      <w:pStyle w:val="Piedepgina"/>
    </w:pPr>
  </w:p>
  <w:p w14:paraId="189F8AE0" w14:textId="77777777" w:rsidR="00DE0A4A" w:rsidRPr="00174B77" w:rsidRDefault="00DE0A4A"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B9F7BD5" w14:textId="77777777" w:rsidR="00DE0A4A" w:rsidRDefault="00DE0A4A"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705E66A7" w14:textId="77777777" w:rsidR="00DE0A4A" w:rsidRPr="00E41027" w:rsidRDefault="00DE0A4A" w:rsidP="00D520D8">
    <w:pPr>
      <w:spacing w:after="0"/>
      <w:jc w:val="both"/>
      <w:rPr>
        <w:rFonts w:ascii="Verdana" w:hAnsi="Verdana"/>
        <w:sz w:val="18"/>
        <w:szCs w:val="18"/>
      </w:rPr>
    </w:pPr>
    <w:r w:rsidRPr="00E41027">
      <w:rPr>
        <w:rFonts w:ascii="Verdana" w:hAnsi="Verdana"/>
        <w:sz w:val="18"/>
        <w:szCs w:val="18"/>
      </w:rPr>
      <w:t>Mesa de servicio: (+57) 601 7456788</w:t>
    </w:r>
  </w:p>
  <w:p w14:paraId="7095116C" w14:textId="77777777" w:rsidR="00DE0A4A" w:rsidRPr="008D0677" w:rsidRDefault="00DE0A4A" w:rsidP="356CEDFD">
    <w:pPr>
      <w:pBdr>
        <w:top w:val="nil"/>
        <w:left w:val="nil"/>
        <w:bottom w:val="nil"/>
        <w:right w:val="nil"/>
        <w:between w:val="nil"/>
      </w:pBdr>
      <w:tabs>
        <w:tab w:val="center" w:pos="4419"/>
        <w:tab w:val="right" w:pos="8838"/>
        <w:tab w:val="center" w:pos="5400"/>
      </w:tabs>
      <w:spacing w:after="0"/>
      <w:jc w:val="right"/>
      <w:rPr>
        <w:lang w:val="pt-BR"/>
      </w:rPr>
    </w:pPr>
    <w:r w:rsidRPr="008D0677">
      <w:rPr>
        <w:rFonts w:ascii="Century Gothic" w:eastAsia="Geo" w:hAnsi="Century Gothic" w:cs="Geo"/>
        <w:b/>
        <w:color w:val="000000" w:themeColor="text1"/>
        <w:sz w:val="16"/>
        <w:szCs w:val="16"/>
        <w:lang w:val="pt-BR" w:eastAsia="es-CO"/>
      </w:rPr>
      <w:t xml:space="preserve">Código: </w:t>
    </w:r>
    <w:r w:rsidRPr="008D0677">
      <w:rPr>
        <w:rFonts w:ascii="Century Gothic" w:eastAsia="Geo" w:hAnsi="Century Gothic" w:cs="Geo"/>
        <w:color w:val="000000" w:themeColor="text1"/>
        <w:sz w:val="16"/>
        <w:szCs w:val="16"/>
        <w:lang w:val="pt-BR" w:eastAsia="es-CO"/>
      </w:rPr>
      <w:t xml:space="preserve">CCE-REC-FM-17 </w:t>
    </w:r>
    <w:r w:rsidRPr="008D0677">
      <w:rPr>
        <w:rFonts w:ascii="Century Gothic" w:eastAsia="Geo" w:hAnsi="Century Gothic" w:cs="Geo"/>
        <w:b/>
        <w:color w:val="000000" w:themeColor="text1"/>
        <w:sz w:val="16"/>
        <w:szCs w:val="16"/>
        <w:lang w:val="pt-BR" w:eastAsia="es-CO"/>
      </w:rPr>
      <w:t>V</w:t>
    </w:r>
    <w:r w:rsidRPr="008D0677">
      <w:rPr>
        <w:rFonts w:ascii="Century Gothic" w:eastAsia="Arial Nova" w:hAnsi="Century Gothic" w:cs="Arial Nova"/>
        <w:b/>
        <w:color w:val="000000" w:themeColor="text1"/>
        <w:sz w:val="16"/>
        <w:szCs w:val="16"/>
        <w:lang w:val="pt-BR" w:eastAsia="es-CO"/>
      </w:rPr>
      <w:t xml:space="preserve">: </w:t>
    </w:r>
    <w:r w:rsidRPr="008D0677">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8C83A6" w14:textId="77777777" w:rsidR="001E721D" w:rsidRDefault="001E721D" w:rsidP="00DE0A4A">
      <w:pPr>
        <w:spacing w:after="0" w:line="240" w:lineRule="auto"/>
      </w:pPr>
      <w:r>
        <w:separator/>
      </w:r>
    </w:p>
  </w:footnote>
  <w:footnote w:type="continuationSeparator" w:id="0">
    <w:p w14:paraId="4B14DEB1" w14:textId="77777777" w:rsidR="001E721D" w:rsidRDefault="001E721D" w:rsidP="00DE0A4A">
      <w:pPr>
        <w:spacing w:after="0" w:line="240" w:lineRule="auto"/>
      </w:pPr>
      <w:r>
        <w:continuationSeparator/>
      </w:r>
    </w:p>
  </w:footnote>
  <w:footnote w:id="1">
    <w:p w14:paraId="2338C298" w14:textId="77777777" w:rsidR="00CE7A0D" w:rsidRDefault="00CE7A0D" w:rsidP="00CE7A0D">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3" w:name="33"/>
      <w:r>
        <w:rPr>
          <w:rFonts w:ascii="Verdana" w:eastAsia="Times New Roman" w:hAnsi="Verdana" w:cs="Arial"/>
          <w:sz w:val="16"/>
          <w:szCs w:val="16"/>
        </w:rPr>
        <w:t>Artículo 33. Restricciones a la contratación pública.</w:t>
      </w:r>
      <w:bookmarkEnd w:id="3"/>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38E1477" w14:textId="77777777" w:rsidR="00CE7A0D" w:rsidRDefault="00CE7A0D" w:rsidP="00CE7A0D">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2">
    <w:p w14:paraId="0CB3EB81" w14:textId="77777777" w:rsidR="00CE7A0D" w:rsidRDefault="00CE7A0D" w:rsidP="00CE7A0D">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3">
    <w:p w14:paraId="6D5E7845" w14:textId="77777777" w:rsidR="00CE7A0D" w:rsidRDefault="00CE7A0D" w:rsidP="00CE7A0D">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4">
    <w:p w14:paraId="5C38E90C" w14:textId="77777777" w:rsidR="00CE7A0D" w:rsidRDefault="00CE7A0D" w:rsidP="00CE7A0D">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5">
    <w:p w14:paraId="0E51667A" w14:textId="77777777" w:rsidR="00CE7A0D" w:rsidRDefault="00CE7A0D" w:rsidP="00CE7A0D">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6">
    <w:p w14:paraId="63D5061F" w14:textId="77777777" w:rsidR="00CE7A0D" w:rsidRDefault="00CE7A0D" w:rsidP="00CE7A0D">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7">
    <w:p w14:paraId="7E58CF1D" w14:textId="77777777" w:rsidR="00CE7A0D" w:rsidRDefault="00CE7A0D" w:rsidP="00CE7A0D">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8">
    <w:p w14:paraId="300E9568" w14:textId="77777777" w:rsidR="00CE7A0D" w:rsidRDefault="00CE7A0D" w:rsidP="00CE7A0D">
      <w:pPr>
        <w:shd w:val="clear" w:color="auto" w:fill="FFFFFF"/>
        <w:spacing w:after="0" w:line="240" w:lineRule="auto"/>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9">
    <w:p w14:paraId="3A8672A6" w14:textId="77777777" w:rsidR="00CE7A0D" w:rsidRDefault="00CE7A0D" w:rsidP="00CE7A0D">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0">
    <w:p w14:paraId="52E9292A" w14:textId="77777777" w:rsidR="00CE7A0D" w:rsidRDefault="00CE7A0D" w:rsidP="00CE7A0D">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1">
    <w:p w14:paraId="55DD0873" w14:textId="77777777" w:rsidR="00CE7A0D" w:rsidRPr="005E6430" w:rsidRDefault="00CE7A0D" w:rsidP="00CE7A0D">
      <w:pPr>
        <w:pStyle w:val="Textonotapie"/>
        <w:ind w:firstLine="709"/>
        <w:jc w:val="both"/>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xml:space="preserve">. Conceptos 1727 de fecha 20 de febrero de 2006, </w:t>
      </w:r>
      <w:r w:rsidRPr="00DD3C4B">
        <w:rPr>
          <w:rFonts w:ascii="Verdana" w:eastAsia="Times New Roman" w:hAnsi="Verdana" w:cs="Arial"/>
          <w:bCs/>
          <w:sz w:val="16"/>
          <w:szCs w:val="16"/>
          <w:lang w:eastAsia="x-none"/>
        </w:rPr>
        <w:t>1738 del 6 de abril de 2006</w:t>
      </w:r>
    </w:p>
  </w:footnote>
  <w:footnote w:id="12">
    <w:p w14:paraId="1B99F59A" w14:textId="77777777" w:rsidR="00CE7A0D" w:rsidRDefault="00CE7A0D" w:rsidP="00CE7A0D">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ídem.</w:t>
      </w:r>
    </w:p>
  </w:footnote>
  <w:footnote w:id="13">
    <w:p w14:paraId="7C6FD5E8" w14:textId="77777777" w:rsidR="00CE7A0D" w:rsidRDefault="00CE7A0D" w:rsidP="00CE7A0D">
      <w:pPr>
        <w:pStyle w:val="Textonotapie"/>
        <w:ind w:firstLine="708"/>
        <w:jc w:val="both"/>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Para Berrocal Guerrero, el acto administrativo es entendido como: […] TODA </w:t>
      </w:r>
      <w:r>
        <w:rPr>
          <w:rFonts w:ascii="Verdana" w:hAnsi="Verdana"/>
          <w:b/>
          <w:bCs/>
          <w:sz w:val="16"/>
          <w:szCs w:val="16"/>
        </w:rPr>
        <w:t>DECLARACIÓN</w:t>
      </w:r>
      <w:r>
        <w:rPr>
          <w:rFonts w:ascii="Verdana" w:hAnsi="Verdana"/>
          <w:sz w:val="16"/>
          <w:szCs w:val="16"/>
        </w:rPr>
        <w:t xml:space="preserve"> DE VOLUNTAD, JUICIO, COGNICIÓN O DESEO QUE SE PROFIERE DE MANERA </w:t>
      </w:r>
      <w:r>
        <w:rPr>
          <w:rFonts w:ascii="Verdana" w:hAnsi="Verdana"/>
          <w:b/>
          <w:bCs/>
          <w:sz w:val="16"/>
          <w:szCs w:val="16"/>
        </w:rPr>
        <w:t>UNILATERAL</w:t>
      </w:r>
      <w:r>
        <w:rPr>
          <w:rFonts w:ascii="Verdana" w:hAnsi="Verdana"/>
          <w:sz w:val="16"/>
          <w:szCs w:val="16"/>
        </w:rPr>
        <w:t xml:space="preserve">, EN EJERCICIO DE LA </w:t>
      </w:r>
      <w:r>
        <w:rPr>
          <w:rFonts w:ascii="Verdana" w:hAnsi="Verdana"/>
          <w:b/>
          <w:bCs/>
          <w:sz w:val="16"/>
          <w:szCs w:val="16"/>
        </w:rPr>
        <w:t>FUNCIÓN ADMINISTRATIVA</w:t>
      </w:r>
      <w:r>
        <w:rPr>
          <w:rFonts w:ascii="Verdana" w:hAnsi="Verdana"/>
          <w:sz w:val="16"/>
          <w:szCs w:val="16"/>
        </w:rPr>
        <w:t xml:space="preserve">, Y PRODUCE </w:t>
      </w:r>
      <w:r>
        <w:rPr>
          <w:rFonts w:ascii="Verdana" w:hAnsi="Verdana"/>
          <w:b/>
          <w:bCs/>
          <w:sz w:val="16"/>
          <w:szCs w:val="16"/>
        </w:rPr>
        <w:t>EFECTOS JURÍDICOS DIRECTOS O DEFINITIVOS</w:t>
      </w:r>
      <w:r>
        <w:rPr>
          <w:rFonts w:ascii="Verdana" w:hAnsi="Verdana"/>
          <w:sz w:val="16"/>
          <w:szCs w:val="16"/>
        </w:rPr>
        <w:t xml:space="preserve"> […] (Mayúsculas y negrillas propios del texto) (</w:t>
      </w:r>
      <w:r>
        <w:rPr>
          <w:rFonts w:ascii="Verdana" w:hAnsi="Verdana"/>
          <w:sz w:val="16"/>
          <w:szCs w:val="16"/>
          <w:lang w:val="es-ES"/>
        </w:rPr>
        <w:t>BERROCAL GUERRERO, Luis Enrique. Manual del acto administrativo. Según la Ley, la jurisprudencia y la doctrina. 7° ed. Bogotá: Librería Ediciones del Profesional Ltda, 2019, p. 114)</w:t>
      </w:r>
      <w:r>
        <w:rPr>
          <w:rFonts w:ascii="Verdana" w:hAnsi="Verdana"/>
          <w:sz w:val="16"/>
          <w:szCs w:val="16"/>
        </w:rPr>
        <w:t xml:space="preserve">. De igual modo, Marín Cortés expresa: “[…] </w:t>
      </w:r>
      <w:r>
        <w:rPr>
          <w:rFonts w:ascii="Verdana" w:hAnsi="Verdana"/>
          <w:sz w:val="16"/>
          <w:szCs w:val="16"/>
          <w:lang w:val="es-ES"/>
        </w:rPr>
        <w:t xml:space="preserve">i) una declaración de voluntad -y excepcionalmente la omisión que representa el silencio-, ii) de carácter unilateral, iii) que proviene de cualquier órgano del Estado cuando ejerce la función administrativa (a), o también cuando cumple funciones de control o electoral b), al igual que de los particulares cuando desempeñan las anteriores funciones públicas (c); y iv) produce efectos jurídicos” (MARÍN CORTÉS, Fabián Gonzalo. El concepto de acto administrativo. Texto inédito, p. 9).  </w:t>
      </w:r>
    </w:p>
  </w:footnote>
  <w:footnote w:id="14">
    <w:p w14:paraId="696E11A0" w14:textId="77777777" w:rsidR="00CE7A0D" w:rsidRPr="00C9638B" w:rsidRDefault="00CE7A0D" w:rsidP="00CE7A0D">
      <w:pPr>
        <w:pStyle w:val="Textonotapie"/>
        <w:ind w:firstLine="709"/>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Concepto</w:t>
      </w:r>
      <w:r>
        <w:rPr>
          <w:rFonts w:ascii="Verdana" w:eastAsia="Times New Roman" w:hAnsi="Verdana" w:cs="Arial"/>
          <w:bCs/>
          <w:sz w:val="16"/>
          <w:szCs w:val="16"/>
          <w:lang w:val="es-ES_tradnl" w:eastAsia="x-none"/>
        </w:rPr>
        <w:t xml:space="preserve"> del 21 de mayo del 2014. </w:t>
      </w:r>
      <w:r w:rsidRPr="00CE1DD5">
        <w:rPr>
          <w:rFonts w:ascii="Verdana" w:eastAsia="Times New Roman" w:hAnsi="Verdana" w:cs="Arial"/>
          <w:bCs/>
          <w:sz w:val="16"/>
          <w:szCs w:val="16"/>
          <w:lang w:val="es-CO" w:eastAsia="x-none"/>
        </w:rPr>
        <w:t>Radicación número: 11001-03-06-000-2014-00119-00(2212)</w:t>
      </w:r>
      <w:r>
        <w:rPr>
          <w:rFonts w:ascii="Verdana" w:eastAsia="Times New Roman" w:hAnsi="Verdana" w:cs="Arial"/>
          <w:bCs/>
          <w:sz w:val="16"/>
          <w:szCs w:val="16"/>
          <w:lang w:val="es-CO" w:eastAsia="x-none"/>
        </w:rPr>
        <w:t>. C.P: Alvaro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2E7D9" w14:textId="77777777" w:rsidR="00DE0A4A" w:rsidRDefault="00DE0A4A"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9264" behindDoc="1" locked="0" layoutInCell="1" allowOverlap="1" wp14:anchorId="5E136C24" wp14:editId="2A288170">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p>
  <w:p w14:paraId="555542ED" w14:textId="77777777" w:rsidR="00DE0A4A" w:rsidRDefault="00DE0A4A">
    <w:pPr>
      <w:pStyle w:val="Encabezado"/>
    </w:pPr>
  </w:p>
  <w:p w14:paraId="42F568CC" w14:textId="77777777" w:rsidR="00DE0A4A" w:rsidRPr="004A305D" w:rsidRDefault="00DE0A4A" w:rsidP="00B01B1A">
    <w:pPr>
      <w:spacing w:after="0" w:line="120" w:lineRule="auto"/>
      <w:rPr>
        <w:rFonts w:ascii="Century Gothic" w:eastAsia="Geo" w:hAnsi="Century Gothic" w:cs="Geo"/>
        <w:sz w:val="16"/>
        <w:szCs w:val="16"/>
        <w:lang w:eastAsia="es-CO"/>
      </w:rPr>
    </w:pPr>
  </w:p>
  <w:p w14:paraId="5BC226C2" w14:textId="77777777" w:rsidR="00DE0A4A" w:rsidRDefault="00DE0A4A" w:rsidP="00844AE9">
    <w:pPr>
      <w:spacing w:after="0" w:line="240" w:lineRule="auto"/>
      <w:rPr>
        <w:rFonts w:ascii="Verdana" w:hAnsi="Verdana"/>
        <w:sz w:val="24"/>
        <w:szCs w:val="24"/>
      </w:rPr>
    </w:pPr>
  </w:p>
  <w:p w14:paraId="4255D9B6" w14:textId="77777777" w:rsidR="00DE0A4A" w:rsidRPr="00C925AC" w:rsidRDefault="00DE0A4A" w:rsidP="00844AE9">
    <w:pPr>
      <w:spacing w:after="0" w:line="240" w:lineRule="auto"/>
      <w:rPr>
        <w:rFonts w:ascii="Verdana" w:hAnsi="Verdana"/>
        <w:sz w:val="24"/>
        <w:szCs w:val="24"/>
      </w:rPr>
    </w:pPr>
  </w:p>
  <w:p w14:paraId="728DF0E8" w14:textId="77777777" w:rsidR="00DE0A4A" w:rsidRPr="00C925AC" w:rsidRDefault="00DE0A4A"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FA2609E8"/>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num w:numId="1" w16cid:durableId="805397034">
    <w:abstractNumId w:val="0"/>
  </w:num>
  <w:num w:numId="2" w16cid:durableId="16386104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A4A"/>
    <w:rsid w:val="000813F4"/>
    <w:rsid w:val="000E58F5"/>
    <w:rsid w:val="00191EA0"/>
    <w:rsid w:val="001D77CB"/>
    <w:rsid w:val="001E721D"/>
    <w:rsid w:val="0025314D"/>
    <w:rsid w:val="00457AB4"/>
    <w:rsid w:val="00494BC1"/>
    <w:rsid w:val="00554721"/>
    <w:rsid w:val="00643890"/>
    <w:rsid w:val="00653FE6"/>
    <w:rsid w:val="00663830"/>
    <w:rsid w:val="006D50BB"/>
    <w:rsid w:val="00736AAF"/>
    <w:rsid w:val="007B1FCC"/>
    <w:rsid w:val="008A4168"/>
    <w:rsid w:val="008F0BDF"/>
    <w:rsid w:val="0093337E"/>
    <w:rsid w:val="0095425B"/>
    <w:rsid w:val="00972D3C"/>
    <w:rsid w:val="00AC4732"/>
    <w:rsid w:val="00AE269D"/>
    <w:rsid w:val="00B47B09"/>
    <w:rsid w:val="00C848C5"/>
    <w:rsid w:val="00CC5154"/>
    <w:rsid w:val="00CD79F6"/>
    <w:rsid w:val="00CE7A0D"/>
    <w:rsid w:val="00D1608A"/>
    <w:rsid w:val="00DB7189"/>
    <w:rsid w:val="00DE0A4A"/>
    <w:rsid w:val="00DF39F2"/>
    <w:rsid w:val="00EC328F"/>
    <w:rsid w:val="00FA08D6"/>
    <w:rsid w:val="00FA1BB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99556"/>
  <w15:chartTrackingRefBased/>
  <w15:docId w15:val="{DD26AA28-F316-46BD-A4C0-02F99E976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A4A"/>
    <w:pPr>
      <w:spacing w:line="259" w:lineRule="auto"/>
    </w:pPr>
    <w:rPr>
      <w:kern w:val="0"/>
      <w:sz w:val="22"/>
      <w:szCs w:val="22"/>
      <w14:ligatures w14:val="none"/>
    </w:rPr>
  </w:style>
  <w:style w:type="paragraph" w:styleId="Ttulo1">
    <w:name w:val="heading 1"/>
    <w:basedOn w:val="Normal"/>
    <w:next w:val="Normal"/>
    <w:link w:val="Ttulo1Car"/>
    <w:uiPriority w:val="9"/>
    <w:qFormat/>
    <w:rsid w:val="00DE0A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E0A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E0A4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E0A4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E0A4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E0A4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E0A4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E0A4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E0A4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E0A4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E0A4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E0A4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E0A4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E0A4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E0A4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E0A4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E0A4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E0A4A"/>
    <w:rPr>
      <w:rFonts w:eastAsiaTheme="majorEastAsia" w:cstheme="majorBidi"/>
      <w:color w:val="272727" w:themeColor="text1" w:themeTint="D8"/>
    </w:rPr>
  </w:style>
  <w:style w:type="paragraph" w:styleId="Ttulo">
    <w:name w:val="Title"/>
    <w:basedOn w:val="Normal"/>
    <w:next w:val="Normal"/>
    <w:link w:val="TtuloCar"/>
    <w:uiPriority w:val="10"/>
    <w:qFormat/>
    <w:rsid w:val="00DE0A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E0A4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E0A4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E0A4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E0A4A"/>
    <w:pPr>
      <w:spacing w:before="160"/>
      <w:jc w:val="center"/>
    </w:pPr>
    <w:rPr>
      <w:i/>
      <w:iCs/>
      <w:color w:val="404040" w:themeColor="text1" w:themeTint="BF"/>
    </w:rPr>
  </w:style>
  <w:style w:type="character" w:customStyle="1" w:styleId="CitaCar">
    <w:name w:val="Cita Car"/>
    <w:basedOn w:val="Fuentedeprrafopredeter"/>
    <w:link w:val="Cita"/>
    <w:uiPriority w:val="29"/>
    <w:rsid w:val="00DE0A4A"/>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DE0A4A"/>
    <w:pPr>
      <w:ind w:left="720"/>
      <w:contextualSpacing/>
    </w:pPr>
  </w:style>
  <w:style w:type="character" w:styleId="nfasisintenso">
    <w:name w:val="Intense Emphasis"/>
    <w:basedOn w:val="Fuentedeprrafopredeter"/>
    <w:uiPriority w:val="21"/>
    <w:qFormat/>
    <w:rsid w:val="00DE0A4A"/>
    <w:rPr>
      <w:i/>
      <w:iCs/>
      <w:color w:val="0F4761" w:themeColor="accent1" w:themeShade="BF"/>
    </w:rPr>
  </w:style>
  <w:style w:type="paragraph" w:styleId="Citadestacada">
    <w:name w:val="Intense Quote"/>
    <w:basedOn w:val="Normal"/>
    <w:next w:val="Normal"/>
    <w:link w:val="CitadestacadaCar"/>
    <w:uiPriority w:val="30"/>
    <w:qFormat/>
    <w:rsid w:val="00DE0A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E0A4A"/>
    <w:rPr>
      <w:i/>
      <w:iCs/>
      <w:color w:val="0F4761" w:themeColor="accent1" w:themeShade="BF"/>
    </w:rPr>
  </w:style>
  <w:style w:type="character" w:styleId="Referenciaintensa">
    <w:name w:val="Intense Reference"/>
    <w:basedOn w:val="Fuentedeprrafopredeter"/>
    <w:uiPriority w:val="32"/>
    <w:qFormat/>
    <w:rsid w:val="00DE0A4A"/>
    <w:rPr>
      <w:b/>
      <w:bCs/>
      <w:smallCaps/>
      <w:color w:val="0F4761" w:themeColor="accent1" w:themeShade="BF"/>
      <w:spacing w:val="5"/>
    </w:rPr>
  </w:style>
  <w:style w:type="paragraph" w:styleId="Encabezado">
    <w:name w:val="header"/>
    <w:basedOn w:val="Normal"/>
    <w:link w:val="EncabezadoCar"/>
    <w:uiPriority w:val="99"/>
    <w:unhideWhenUsed/>
    <w:rsid w:val="00DE0A4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0A4A"/>
    <w:rPr>
      <w:kern w:val="0"/>
      <w:sz w:val="22"/>
      <w:szCs w:val="22"/>
      <w14:ligatures w14:val="none"/>
    </w:rPr>
  </w:style>
  <w:style w:type="paragraph" w:styleId="Piedepgina">
    <w:name w:val="footer"/>
    <w:basedOn w:val="Normal"/>
    <w:link w:val="PiedepginaCar"/>
    <w:uiPriority w:val="99"/>
    <w:unhideWhenUsed/>
    <w:rsid w:val="00DE0A4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E0A4A"/>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DE0A4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DE0A4A"/>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E0A4A"/>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E0A4A"/>
    <w:rPr>
      <w:vertAlign w:val="superscript"/>
    </w:rPr>
  </w:style>
  <w:style w:type="character" w:customStyle="1" w:styleId="normaltextrun">
    <w:name w:val="normaltextrun"/>
    <w:basedOn w:val="Fuentedeprrafopredeter"/>
    <w:rsid w:val="00DE0A4A"/>
  </w:style>
  <w:style w:type="table" w:styleId="Tablaconcuadrcula">
    <w:name w:val="Table Grid"/>
    <w:basedOn w:val="Tablanormal"/>
    <w:uiPriority w:val="39"/>
    <w:qFormat/>
    <w:rsid w:val="00DE0A4A"/>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E0A4A"/>
    <w:rPr>
      <w:color w:val="0000FF"/>
      <w:u w:val="single"/>
    </w:rPr>
  </w:style>
  <w:style w:type="paragraph" w:customStyle="1" w:styleId="paragraph">
    <w:name w:val="paragraph"/>
    <w:basedOn w:val="Normal"/>
    <w:uiPriority w:val="99"/>
    <w:rsid w:val="00DE0A4A"/>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E0A4A"/>
  </w:style>
  <w:style w:type="paragraph" w:customStyle="1" w:styleId="Appelnotedebasde">
    <w:name w:val="Appel note de bas de..."/>
    <w:basedOn w:val="Normal"/>
    <w:link w:val="Refdenotaalpie"/>
    <w:uiPriority w:val="99"/>
    <w:rsid w:val="00DE0A4A"/>
    <w:pPr>
      <w:spacing w:line="240" w:lineRule="exact"/>
    </w:pPr>
    <w:rPr>
      <w:kern w:val="2"/>
      <w:sz w:val="24"/>
      <w:szCs w:val="24"/>
      <w:vertAlign w:val="superscript"/>
      <w14:ligatures w14:val="standardContextual"/>
    </w:rPr>
  </w:style>
  <w:style w:type="character" w:styleId="Mencinsinresolver">
    <w:name w:val="Unresolved Mention"/>
    <w:basedOn w:val="Fuentedeprrafopredeter"/>
    <w:uiPriority w:val="99"/>
    <w:semiHidden/>
    <w:unhideWhenUsed/>
    <w:rsid w:val="009542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ontratacion@renobo.com.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gd@eru.gov.co"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7F2EC6-5679-49B8-A4C0-DB6EF230F3C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5EBBE536-B56C-4CBC-B73A-EE64F4189B41}">
  <ds:schemaRefs>
    <ds:schemaRef ds:uri="http://schemas.microsoft.com/sharepoint/v3/contenttype/forms"/>
  </ds:schemaRefs>
</ds:datastoreItem>
</file>

<file path=customXml/itemProps3.xml><?xml version="1.0" encoding="utf-8"?>
<ds:datastoreItem xmlns:ds="http://schemas.openxmlformats.org/officeDocument/2006/customXml" ds:itemID="{0441FD52-3E44-467D-9F7E-02B60E47A4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7457</Words>
  <Characters>40198</Characters>
  <Application>Microsoft Office Word</Application>
  <DocSecurity>0</DocSecurity>
  <Lines>744</Lines>
  <Paragraphs>132</Paragraphs>
  <ScaleCrop>false</ScaleCrop>
  <Company/>
  <LinksUpToDate>false</LinksUpToDate>
  <CharactersWithSpaces>47523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dc:creator>
  <cp:keywords/>
  <dc:description/>
  <cp:lastModifiedBy>Sergio Andrés Rivera Cano</cp:lastModifiedBy>
  <cp:revision>7</cp:revision>
  <dcterms:created xsi:type="dcterms:W3CDTF">2026-01-30T03:20:00Z</dcterms:created>
  <dcterms:modified xsi:type="dcterms:W3CDTF">2026-01-30T20:20:00Z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