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BC2669" w14:textId="77777777" w:rsidR="00CB747A" w:rsidRPr="00647611" w:rsidRDefault="00CB747A" w:rsidP="00CB747A">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 Prohibición artículo 33 – Contratación directa – Alcance </w:t>
      </w:r>
    </w:p>
    <w:p w14:paraId="741A70CB" w14:textId="77777777" w:rsidR="00CB747A" w:rsidRPr="00647611" w:rsidRDefault="00CB747A" w:rsidP="00CB747A">
      <w:pPr>
        <w:spacing w:after="0" w:line="240" w:lineRule="auto"/>
        <w:jc w:val="both"/>
        <w:rPr>
          <w:rFonts w:ascii="Verdana" w:hAnsi="Verdana" w:cs="Arial"/>
          <w:b/>
          <w:sz w:val="20"/>
          <w:szCs w:val="20"/>
          <w:lang w:val="es-MX" w:eastAsia="es-ES_tradnl"/>
        </w:rPr>
      </w:pPr>
    </w:p>
    <w:p w14:paraId="3566161B" w14:textId="77777777" w:rsidR="00CB747A" w:rsidRPr="00647611" w:rsidRDefault="00CB747A" w:rsidP="00CB747A">
      <w:pPr>
        <w:spacing w:after="0" w:line="240" w:lineRule="auto"/>
        <w:jc w:val="both"/>
        <w:rPr>
          <w:rFonts w:ascii="Verdana" w:eastAsia="Times New Roman" w:hAnsi="Verdana" w:cs="Arial"/>
          <w:bCs/>
          <w:sz w:val="20"/>
          <w:szCs w:val="20"/>
          <w:lang w:eastAsia="x-none"/>
        </w:rPr>
      </w:pPr>
      <w:r w:rsidRPr="00647611">
        <w:rPr>
          <w:rFonts w:ascii="Verdana" w:eastAsia="Times New Roman" w:hAnsi="Verdana" w:cs="Arial"/>
          <w:sz w:val="20"/>
          <w:szCs w:val="20"/>
          <w:lang w:eastAsia="x-none"/>
        </w:rPr>
        <w:t xml:space="preserve">De acuerdo con el citado concepto, la prohibición del artículo 33 de la Ley de Garantías Electorales se refiere a </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cualquier sistema que no implique convocatoria pública y posibilidad de pluralidad de oferentes</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647611">
        <w:rPr>
          <w:rFonts w:ascii="Verdana" w:eastAsia="Times New Roman" w:hAnsi="Verdana" w:cs="Arial"/>
          <w:sz w:val="20"/>
          <w:szCs w:val="20"/>
          <w:lang w:val="es-ES_tradnl" w:eastAsia="x-none"/>
        </w:rPr>
        <w:t>y la mínima cuantía</w:t>
      </w:r>
      <w:r w:rsidRPr="00647611" w:rsidDel="00A85D9F">
        <w:rPr>
          <w:rFonts w:ascii="Verdana" w:eastAsia="Times New Roman" w:hAnsi="Verdana" w:cs="Arial"/>
          <w:sz w:val="20"/>
          <w:szCs w:val="20"/>
          <w:lang w:eastAsia="x-none"/>
        </w:rPr>
        <w:t xml:space="preserve"> </w:t>
      </w:r>
      <w:r w:rsidRPr="00647611">
        <w:rPr>
          <w:rFonts w:ascii="Verdana" w:eastAsia="Times New Roman" w:hAnsi="Verdana" w:cs="Arial"/>
          <w:sz w:val="20"/>
          <w:szCs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647611">
        <w:rPr>
          <w:rFonts w:ascii="Verdana" w:eastAsia="Calibri" w:hAnsi="Verdana" w:cs="Arial"/>
          <w:sz w:val="20"/>
          <w:szCs w:val="20"/>
          <w:lang w:eastAsia="x-none"/>
        </w:rPr>
        <w:t>además lo es con la posterior creación de la modalidad de mínima cuantía establecida actualmente en el numeral 5 del artículo 2 de la Ley 1150 de 2007, de acuerdo con las modificaciones realizadas por leyes posteriores.</w:t>
      </w:r>
    </w:p>
    <w:p w14:paraId="286AD51D" w14:textId="77777777" w:rsidR="00CB747A" w:rsidRPr="00647611" w:rsidRDefault="00CB747A" w:rsidP="00CB747A">
      <w:pPr>
        <w:spacing w:after="0" w:line="240" w:lineRule="auto"/>
        <w:jc w:val="both"/>
        <w:rPr>
          <w:rFonts w:ascii="Verdana" w:hAnsi="Verdana" w:cs="Arial"/>
          <w:b/>
          <w:sz w:val="20"/>
          <w:szCs w:val="20"/>
          <w:lang w:eastAsia="es-ES_tradnl"/>
        </w:rPr>
      </w:pPr>
    </w:p>
    <w:p w14:paraId="257E8211" w14:textId="77777777" w:rsidR="00CB747A" w:rsidRPr="00647611" w:rsidRDefault="00CB747A" w:rsidP="00CB747A">
      <w:pPr>
        <w:spacing w:after="0" w:line="240" w:lineRule="auto"/>
        <w:jc w:val="both"/>
        <w:rPr>
          <w:rFonts w:ascii="Verdana" w:hAnsi="Verdana" w:cs="Arial"/>
          <w:b/>
          <w:lang w:val="es-MX" w:eastAsia="es-ES_tradnl"/>
        </w:rPr>
      </w:pPr>
      <w:r w:rsidRPr="00647611">
        <w:rPr>
          <w:rFonts w:ascii="Verdana" w:hAnsi="Verdana" w:cs="Arial"/>
          <w:b/>
          <w:lang w:val="es-MX" w:eastAsia="es-ES_tradnl"/>
        </w:rPr>
        <w:t>LEY DE GARANTÍAS ELECTORALES – Excepciones</w:t>
      </w:r>
    </w:p>
    <w:p w14:paraId="0150996D" w14:textId="77777777" w:rsidR="00CB747A" w:rsidRPr="00647611" w:rsidRDefault="00CB747A" w:rsidP="00CB747A">
      <w:pPr>
        <w:spacing w:after="0" w:line="240" w:lineRule="auto"/>
        <w:jc w:val="both"/>
        <w:rPr>
          <w:rFonts w:ascii="Verdana" w:hAnsi="Verdana" w:cs="Arial"/>
          <w:b/>
          <w:sz w:val="20"/>
          <w:szCs w:val="20"/>
          <w:lang w:val="es-MX" w:eastAsia="es-ES_tradnl"/>
        </w:rPr>
      </w:pPr>
    </w:p>
    <w:p w14:paraId="0C1A9682" w14:textId="77777777" w:rsidR="00CB747A" w:rsidRPr="00647611" w:rsidRDefault="00CB747A" w:rsidP="00CB747A">
      <w:pPr>
        <w:spacing w:after="0" w:line="240" w:lineRule="auto"/>
        <w:jc w:val="both"/>
        <w:rPr>
          <w:rFonts w:ascii="Verdana" w:eastAsia="Times New Roman" w:hAnsi="Verdana" w:cs="Arial"/>
          <w:bCs/>
          <w:sz w:val="20"/>
          <w:szCs w:val="20"/>
          <w:lang w:val="es-MX" w:eastAsia="es-CO"/>
        </w:rPr>
      </w:pPr>
      <w:r w:rsidRPr="00647611">
        <w:rPr>
          <w:rFonts w:ascii="Verdana" w:eastAsia="Times New Roman" w:hAnsi="Verdana" w:cs="Arial"/>
          <w:bCs/>
          <w:sz w:val="20"/>
          <w:szCs w:val="20"/>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47611">
        <w:rPr>
          <w:rFonts w:ascii="Verdana" w:eastAsia="Times New Roman" w:hAnsi="Verdana"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30CBDA2" w14:textId="77777777" w:rsidR="00CB747A" w:rsidRPr="00647611" w:rsidRDefault="00CB747A" w:rsidP="00CB747A">
      <w:pPr>
        <w:spacing w:after="0" w:line="240" w:lineRule="auto"/>
        <w:jc w:val="both"/>
        <w:rPr>
          <w:rFonts w:ascii="Verdana" w:hAnsi="Verdana" w:cs="Arial"/>
          <w:b/>
          <w:sz w:val="20"/>
          <w:szCs w:val="20"/>
          <w:lang w:val="es-MX" w:eastAsia="es-ES_tradnl"/>
        </w:rPr>
      </w:pPr>
    </w:p>
    <w:p w14:paraId="4AD3F556" w14:textId="77777777" w:rsidR="00CB747A" w:rsidRPr="00647611" w:rsidRDefault="00CB747A" w:rsidP="00CB747A">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 Prohibición del artículo 33 – Destinatarios </w:t>
      </w:r>
    </w:p>
    <w:p w14:paraId="4077C1AE" w14:textId="77777777" w:rsidR="00CB747A" w:rsidRPr="00647611" w:rsidRDefault="00CB747A" w:rsidP="00CB747A">
      <w:pPr>
        <w:spacing w:after="0" w:line="240" w:lineRule="auto"/>
        <w:rPr>
          <w:rFonts w:ascii="Verdana" w:hAnsi="Verdana" w:cs="Arial"/>
          <w:sz w:val="20"/>
          <w:szCs w:val="20"/>
          <w:lang w:val="es-MX" w:eastAsia="es-ES_tradnl"/>
        </w:rPr>
      </w:pPr>
    </w:p>
    <w:p w14:paraId="4D4DF718" w14:textId="77777777" w:rsidR="00CB747A" w:rsidRPr="00647611" w:rsidRDefault="00CB747A" w:rsidP="00CB747A">
      <w:pPr>
        <w:spacing w:after="0" w:line="240" w:lineRule="auto"/>
        <w:jc w:val="both"/>
        <w:rPr>
          <w:rFonts w:ascii="Verdana" w:hAnsi="Verdana" w:cs="Arial"/>
          <w:sz w:val="20"/>
          <w:szCs w:val="20"/>
          <w:lang w:val="es-MX" w:eastAsia="es-ES_tradnl"/>
        </w:rPr>
      </w:pPr>
      <w:r w:rsidRPr="00647611">
        <w:rPr>
          <w:rFonts w:ascii="Verdana" w:eastAsia="Calibri" w:hAnsi="Verdana" w:cs="Arial"/>
          <w:sz w:val="20"/>
          <w:szCs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647611">
        <w:rPr>
          <w:rFonts w:ascii="Verdana" w:eastAsia="Times New Roman" w:hAnsi="Verdana" w:cs="Arial"/>
          <w:bCs/>
          <w:sz w:val="20"/>
          <w:szCs w:val="20"/>
          <w:lang w:val="es-MX" w:eastAsia="x-none"/>
        </w:rPr>
        <w:t>establecimientos de crédito, las sociedades de servicios financieros y las entidades aseguradoras</w:t>
      </w:r>
      <w:r w:rsidRPr="00647611">
        <w:rPr>
          <w:rFonts w:ascii="Verdana" w:eastAsia="Calibri" w:hAnsi="Verdana" w:cs="Arial"/>
          <w:sz w:val="20"/>
          <w:szCs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647611">
        <w:rPr>
          <w:rFonts w:ascii="Verdana" w:eastAsia="Calibri" w:hAnsi="Verdana" w:cs="Arial"/>
          <w:sz w:val="20"/>
          <w:szCs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p>
    <w:p w14:paraId="430D271D" w14:textId="77777777" w:rsidR="00CB747A" w:rsidRPr="00647611" w:rsidRDefault="00CB747A" w:rsidP="00CB747A">
      <w:pPr>
        <w:spacing w:after="0" w:line="240" w:lineRule="auto"/>
        <w:jc w:val="both"/>
        <w:rPr>
          <w:rFonts w:ascii="Verdana" w:hAnsi="Verdana"/>
          <w:b/>
          <w:sz w:val="20"/>
          <w:szCs w:val="20"/>
        </w:rPr>
      </w:pPr>
    </w:p>
    <w:p w14:paraId="6AA263BE" w14:textId="77777777" w:rsidR="00CB747A" w:rsidRPr="00647611" w:rsidRDefault="00CB747A" w:rsidP="00CB747A">
      <w:pPr>
        <w:spacing w:after="0" w:line="240" w:lineRule="auto"/>
        <w:jc w:val="both"/>
        <w:rPr>
          <w:rFonts w:ascii="Verdana" w:hAnsi="Verdana"/>
          <w:b/>
          <w:lang w:val="es-MX"/>
        </w:rPr>
      </w:pPr>
      <w:r w:rsidRPr="00647611">
        <w:rPr>
          <w:rFonts w:ascii="Verdana" w:hAnsi="Verdana"/>
          <w:b/>
          <w:lang w:val="es-ES"/>
        </w:rPr>
        <w:t xml:space="preserve">ENAJENACIÓN VOLUNTARIA </w:t>
      </w:r>
      <w:r w:rsidRPr="00647611">
        <w:rPr>
          <w:rFonts w:ascii="Verdana" w:hAnsi="Verdana"/>
          <w:b/>
          <w:lang w:val="es-MX"/>
        </w:rPr>
        <w:t>– Objeto – Aplicación – Ley de Garantías Electorales – Restricción</w:t>
      </w:r>
      <w:r>
        <w:rPr>
          <w:rFonts w:ascii="Verdana" w:hAnsi="Verdana"/>
          <w:b/>
          <w:lang w:val="es-MX"/>
        </w:rPr>
        <w:t xml:space="preserve"> –</w:t>
      </w:r>
      <w:r w:rsidRPr="00647611">
        <w:rPr>
          <w:rFonts w:ascii="Verdana" w:hAnsi="Verdana"/>
          <w:b/>
          <w:lang w:val="es-MX"/>
        </w:rPr>
        <w:t xml:space="preserve"> Contratación Directa</w:t>
      </w:r>
    </w:p>
    <w:p w14:paraId="72D9528D" w14:textId="77777777" w:rsidR="00CB747A" w:rsidRPr="00647611" w:rsidRDefault="00CB747A" w:rsidP="00CB747A">
      <w:pPr>
        <w:spacing w:after="0" w:line="240" w:lineRule="auto"/>
        <w:rPr>
          <w:rFonts w:ascii="Verdana" w:hAnsi="Verdana"/>
          <w:sz w:val="20"/>
          <w:szCs w:val="20"/>
          <w:lang w:val="es-MX"/>
        </w:rPr>
      </w:pPr>
    </w:p>
    <w:p w14:paraId="1640E5F5" w14:textId="77777777" w:rsidR="00CB747A" w:rsidRDefault="00CB747A" w:rsidP="00CB747A">
      <w:pPr>
        <w:spacing w:after="0" w:line="240" w:lineRule="auto"/>
        <w:jc w:val="both"/>
        <w:rPr>
          <w:rFonts w:ascii="Verdana" w:eastAsia="Geomanist Light" w:hAnsi="Verdana" w:cs="Arial"/>
          <w:color w:val="000000" w:themeColor="text1"/>
          <w:sz w:val="20"/>
          <w:szCs w:val="20"/>
          <w:lang w:val="es-MX"/>
        </w:rPr>
      </w:pPr>
      <w:r>
        <w:rPr>
          <w:rFonts w:ascii="Verdana" w:eastAsia="Geomanist Light" w:hAnsi="Verdana" w:cs="Arial"/>
          <w:color w:val="000000" w:themeColor="text1"/>
          <w:sz w:val="20"/>
          <w:szCs w:val="20"/>
          <w:lang w:val="es-MX"/>
        </w:rPr>
        <w:t>D</w:t>
      </w:r>
      <w:r w:rsidRPr="00A11942">
        <w:rPr>
          <w:rFonts w:ascii="Verdana" w:eastAsia="Geomanist Light" w:hAnsi="Verdana" w:cs="Arial"/>
          <w:color w:val="000000" w:themeColor="text1"/>
          <w:sz w:val="20"/>
          <w:szCs w:val="20"/>
          <w:lang w:val="es-MX"/>
        </w:rPr>
        <w:t xml:space="preserve">ando alcance a los conceptos C-1512 y C-1529 de 2025, debe precisarse que la restricción prevista en el artículo 33 de la Ley 996 de 2005 no resulta aplicable al procedimiento administrativo de adquisición predial en sí mismo, en su etapa preparatoria o preliminar, en la medida en que dicho artículo se refiere a la celebración de contratos de forma directa, y no a las actuaciones administrativas que se puedan generar previamente. En tal sentido, la gestión predial no se ve paralizada durante el período de restricción. </w:t>
      </w:r>
    </w:p>
    <w:p w14:paraId="52C2AFDC" w14:textId="77777777" w:rsidR="00CB747A" w:rsidRPr="00A11942" w:rsidRDefault="00CB747A" w:rsidP="00CB747A">
      <w:pPr>
        <w:spacing w:after="0" w:line="240" w:lineRule="auto"/>
        <w:jc w:val="both"/>
        <w:rPr>
          <w:rFonts w:ascii="Verdana" w:eastAsia="Geomanist Light" w:hAnsi="Verdana" w:cs="Arial"/>
          <w:color w:val="000000" w:themeColor="text1"/>
          <w:sz w:val="20"/>
          <w:szCs w:val="20"/>
          <w:lang w:val="es-MX"/>
        </w:rPr>
      </w:pPr>
    </w:p>
    <w:p w14:paraId="11E16C2F" w14:textId="77777777" w:rsidR="00CB747A" w:rsidRDefault="00CB747A" w:rsidP="00CB747A">
      <w:pPr>
        <w:spacing w:after="0" w:line="240" w:lineRule="auto"/>
        <w:jc w:val="both"/>
        <w:rPr>
          <w:rFonts w:ascii="Verdana" w:eastAsia="Geomanist Light" w:hAnsi="Verdana" w:cs="Arial"/>
          <w:color w:val="000000" w:themeColor="text1"/>
          <w:sz w:val="20"/>
          <w:szCs w:val="20"/>
          <w:lang w:val="es-MX"/>
        </w:rPr>
      </w:pPr>
      <w:r w:rsidRPr="00A11942">
        <w:rPr>
          <w:rFonts w:ascii="Verdana" w:eastAsia="Geomanist Light" w:hAnsi="Verdana" w:cs="Arial"/>
          <w:color w:val="000000" w:themeColor="text1"/>
          <w:sz w:val="20"/>
          <w:szCs w:val="20"/>
          <w:lang w:val="es-MX"/>
        </w:rPr>
        <w:t>En ese sentido, todos los trámites preparatorios y actuaciones administrativas de gestión predial que se surtan dentro de este procedimiento especial, tales como los avalúos, las ofertas de compra, las negociaciones preliminares y demás actuaciones que no impliquen la celebración de una promesa de compraventa o contrato compraventa o cualquier otro contrato, pueden adelantarse válidamente, incluso durante el período de restricción previsto en la Ley de Garantías Electorales, por cuanto no configuran los supuestos de contratación directa al que se refiere el artículo en comento.</w:t>
      </w:r>
    </w:p>
    <w:p w14:paraId="0FFFF1B6" w14:textId="77777777" w:rsidR="00CB747A" w:rsidRPr="00A11942" w:rsidRDefault="00CB747A" w:rsidP="00CB747A">
      <w:pPr>
        <w:spacing w:after="0" w:line="240" w:lineRule="auto"/>
        <w:jc w:val="both"/>
        <w:rPr>
          <w:rFonts w:ascii="Verdana" w:eastAsia="Geomanist Light" w:hAnsi="Verdana" w:cs="Arial"/>
          <w:color w:val="000000" w:themeColor="text1"/>
          <w:sz w:val="20"/>
          <w:szCs w:val="20"/>
          <w:lang w:val="es-MX"/>
        </w:rPr>
      </w:pPr>
    </w:p>
    <w:p w14:paraId="68E89427" w14:textId="77777777" w:rsidR="00CB747A" w:rsidRPr="00A11942" w:rsidRDefault="00CB747A" w:rsidP="00CB747A">
      <w:pPr>
        <w:spacing w:after="0" w:line="240" w:lineRule="auto"/>
        <w:jc w:val="both"/>
        <w:rPr>
          <w:rFonts w:ascii="Verdana" w:eastAsia="Geomanist Light" w:hAnsi="Verdana" w:cs="Arial"/>
          <w:color w:val="000000" w:themeColor="text1"/>
          <w:sz w:val="20"/>
          <w:szCs w:val="20"/>
          <w:lang w:val="es-MX"/>
        </w:rPr>
      </w:pPr>
      <w:r w:rsidRPr="00A11942">
        <w:rPr>
          <w:rFonts w:ascii="Verdana" w:eastAsia="Geomanist Light" w:hAnsi="Verdana" w:cs="Arial"/>
          <w:color w:val="000000" w:themeColor="text1"/>
          <w:sz w:val="20"/>
          <w:szCs w:val="20"/>
          <w:lang w:val="es-MX"/>
        </w:rPr>
        <w:t>No obstante, frente a la celebración de una promesa de compraventa o de un contrato de compraventa, sí resulta aplicable la restricción prevista en el citado artículo 33, razón por la cual se reitera la postura sostenida en los conceptos C-1512 y C-1529, en tanto dichos negocios jurídicos comportan la celebración directa de un contrato estatal. En efecto, en la promesa de compraventa y en el contrato de compraventa participan entidades estatales y se invierten recursos de naturaleza pública, por lo cual puede afirmarse que estos actos jurídicos negociales son auténticos contratos estatales, según el criterio orgánico establecido en el artículo 32 de la Ley 80 de 1993, en concordancia el artículo 2 ibidem y en armonía con lo dispuesto por el artículo 1 de la Ley 1150 de 2007. Estos negocios jurídicos constituyen formas de contratación directa, en cuanto su celebración se realiza con un sujeto determinado, sin convocatoria pública y sin posibilidad de concurrencia de una pluralidad de oferentes.</w:t>
      </w:r>
    </w:p>
    <w:p w14:paraId="0444270F" w14:textId="77777777" w:rsidR="00CB747A" w:rsidRDefault="00CB747A" w:rsidP="002C789B">
      <w:pPr>
        <w:spacing w:after="0"/>
        <w:rPr>
          <w:rFonts w:ascii="Verdana" w:hAnsi="Verdana"/>
          <w:lang w:val="es-MX"/>
        </w:rPr>
      </w:pPr>
    </w:p>
    <w:p w14:paraId="6AEBFDDD" w14:textId="77777777" w:rsidR="00CB747A" w:rsidRDefault="00CB747A" w:rsidP="002C789B">
      <w:pPr>
        <w:spacing w:after="0"/>
        <w:rPr>
          <w:rFonts w:ascii="Verdana" w:hAnsi="Verdana"/>
          <w:lang w:val="es-MX"/>
        </w:rPr>
      </w:pPr>
    </w:p>
    <w:p w14:paraId="3F032AA6" w14:textId="77777777" w:rsidR="00CB747A" w:rsidRDefault="00CB747A" w:rsidP="002C789B">
      <w:pPr>
        <w:spacing w:after="0"/>
        <w:rPr>
          <w:rFonts w:ascii="Verdana" w:hAnsi="Verdana"/>
          <w:lang w:val="es-MX"/>
        </w:rPr>
      </w:pPr>
    </w:p>
    <w:p w14:paraId="36D569A2" w14:textId="77777777" w:rsidR="00CB747A" w:rsidRDefault="00CB747A" w:rsidP="002C789B">
      <w:pPr>
        <w:spacing w:after="0"/>
        <w:rPr>
          <w:rFonts w:ascii="Verdana" w:hAnsi="Verdana"/>
          <w:lang w:val="es-MX"/>
        </w:rPr>
      </w:pPr>
    </w:p>
    <w:p w14:paraId="6A258F40" w14:textId="77777777" w:rsidR="00CB747A" w:rsidRDefault="00CB747A" w:rsidP="002C789B">
      <w:pPr>
        <w:spacing w:after="0"/>
        <w:rPr>
          <w:rFonts w:ascii="Verdana" w:hAnsi="Verdana"/>
          <w:lang w:val="es-MX"/>
        </w:rPr>
      </w:pPr>
    </w:p>
    <w:p w14:paraId="0E91240B" w14:textId="77777777" w:rsidR="00CB747A" w:rsidRDefault="00CB747A" w:rsidP="002C789B">
      <w:pPr>
        <w:spacing w:after="0"/>
        <w:rPr>
          <w:rFonts w:ascii="Verdana" w:hAnsi="Verdana"/>
          <w:lang w:val="es-MX"/>
        </w:rPr>
      </w:pPr>
    </w:p>
    <w:p w14:paraId="02F51991" w14:textId="77777777" w:rsidR="00CB747A" w:rsidRDefault="00CB747A" w:rsidP="002C789B">
      <w:pPr>
        <w:spacing w:after="0"/>
        <w:rPr>
          <w:rFonts w:ascii="Verdana" w:hAnsi="Verdana"/>
          <w:lang w:val="es-MX"/>
        </w:rPr>
      </w:pPr>
    </w:p>
    <w:p w14:paraId="7E47526D" w14:textId="77777777" w:rsidR="00CB747A" w:rsidRDefault="00CB747A" w:rsidP="002C789B">
      <w:pPr>
        <w:spacing w:after="0"/>
        <w:rPr>
          <w:rFonts w:ascii="Verdana" w:hAnsi="Verdana"/>
          <w:lang w:val="es-MX"/>
        </w:rPr>
      </w:pPr>
    </w:p>
    <w:p w14:paraId="4C1D2015" w14:textId="77777777" w:rsidR="00CB747A" w:rsidRDefault="00CB747A" w:rsidP="002C789B">
      <w:pPr>
        <w:spacing w:after="0"/>
        <w:rPr>
          <w:rFonts w:ascii="Verdana" w:hAnsi="Verdana"/>
          <w:lang w:val="es-MX"/>
        </w:rPr>
      </w:pPr>
    </w:p>
    <w:p w14:paraId="4952F109" w14:textId="1132275F" w:rsidR="002C789B" w:rsidRPr="00F461B1" w:rsidRDefault="002C789B" w:rsidP="002C789B">
      <w:pPr>
        <w:spacing w:after="0"/>
        <w:rPr>
          <w:rFonts w:ascii="Verdana" w:hAnsi="Verdana"/>
        </w:rPr>
      </w:pPr>
      <w:r w:rsidRPr="001D0D1B">
        <w:rPr>
          <w:rFonts w:ascii="Verdana" w:hAnsi="Verdana"/>
        </w:rPr>
        <w:lastRenderedPageBreak/>
        <w:t>Bogotá D.C.,</w:t>
      </w:r>
      <w:r w:rsidR="00287DA1">
        <w:rPr>
          <w:rFonts w:ascii="Verdana" w:hAnsi="Verdana"/>
        </w:rPr>
        <w:t xml:space="preserve"> 09 </w:t>
      </w:r>
      <w:proofErr w:type="gramStart"/>
      <w:r w:rsidR="00287DA1">
        <w:rPr>
          <w:rFonts w:ascii="Verdana" w:hAnsi="Verdana"/>
        </w:rPr>
        <w:t>Enero</w:t>
      </w:r>
      <w:proofErr w:type="gramEnd"/>
      <w:r w:rsidR="00287DA1">
        <w:rPr>
          <w:rFonts w:ascii="Verdana" w:hAnsi="Verdana"/>
        </w:rPr>
        <w:t xml:space="preserve"> 2026</w:t>
      </w:r>
      <w:r>
        <w:rPr>
          <w:rFonts w:ascii="Verdana" w:hAnsi="Verdana"/>
        </w:rPr>
        <w:t xml:space="preserve"> </w:t>
      </w:r>
    </w:p>
    <w:p w14:paraId="0DF5C0A3" w14:textId="4240CC0F" w:rsidR="002C789B" w:rsidRDefault="002C789B" w:rsidP="002C789B">
      <w:pPr>
        <w:spacing w:after="0" w:line="240" w:lineRule="auto"/>
        <w:jc w:val="both"/>
        <w:rPr>
          <w:rFonts w:ascii="Verdana" w:eastAsia="Calibri" w:hAnsi="Verdana" w:cs="Arial"/>
          <w:color w:val="000000"/>
          <w:lang w:val="es-ES"/>
        </w:rPr>
      </w:pPr>
    </w:p>
    <w:p w14:paraId="1F6DF418" w14:textId="1518314A" w:rsidR="002C789B" w:rsidRDefault="009950F9" w:rsidP="002C789B">
      <w:pPr>
        <w:spacing w:after="0" w:line="240" w:lineRule="auto"/>
        <w:jc w:val="both"/>
        <w:rPr>
          <w:rFonts w:ascii="Verdana" w:eastAsia="Calibri" w:hAnsi="Verdana" w:cs="Arial"/>
          <w:lang w:val="es-ES" w:eastAsia="es-ES"/>
        </w:rPr>
      </w:pPr>
      <w:r w:rsidRPr="009950F9">
        <w:rPr>
          <w:rFonts w:ascii="Verdana" w:hAnsi="Verdana"/>
          <w:noProof/>
        </w:rPr>
        <w:drawing>
          <wp:anchor distT="0" distB="0" distL="114300" distR="114300" simplePos="0" relativeHeight="251658240" behindDoc="1" locked="0" layoutInCell="1" allowOverlap="1" wp14:anchorId="5E0F3C1C" wp14:editId="2DE84A26">
            <wp:simplePos x="0" y="0"/>
            <wp:positionH relativeFrom="column">
              <wp:posOffset>3054350</wp:posOffset>
            </wp:positionH>
            <wp:positionV relativeFrom="paragraph">
              <wp:posOffset>13970</wp:posOffset>
            </wp:positionV>
            <wp:extent cx="2689225" cy="882015"/>
            <wp:effectExtent l="0" t="0" r="0" b="0"/>
            <wp:wrapSquare wrapText="bothSides"/>
            <wp:docPr id="13792508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25089"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689225" cy="882015"/>
                    </a:xfrm>
                    <a:prstGeom prst="rect">
                      <a:avLst/>
                    </a:prstGeom>
                  </pic:spPr>
                </pic:pic>
              </a:graphicData>
            </a:graphic>
            <wp14:sizeRelH relativeFrom="margin">
              <wp14:pctWidth>0</wp14:pctWidth>
            </wp14:sizeRelH>
            <wp14:sizeRelV relativeFrom="margin">
              <wp14:pctHeight>0</wp14:pctHeight>
            </wp14:sizeRelV>
          </wp:anchor>
        </w:drawing>
      </w:r>
      <w:r w:rsidR="002C789B">
        <w:rPr>
          <w:rFonts w:ascii="Verdana" w:eastAsia="Calibri" w:hAnsi="Verdana" w:cs="Arial"/>
          <w:lang w:val="es-ES" w:eastAsia="es-ES"/>
        </w:rPr>
        <w:t>Doctor</w:t>
      </w:r>
    </w:p>
    <w:p w14:paraId="583A0D91" w14:textId="1C55728C" w:rsidR="002C789B" w:rsidRPr="00812AB9" w:rsidRDefault="002C789B" w:rsidP="002C789B">
      <w:pPr>
        <w:spacing w:after="0" w:line="240" w:lineRule="auto"/>
        <w:jc w:val="both"/>
        <w:rPr>
          <w:rFonts w:ascii="Verdana" w:eastAsia="Calibri" w:hAnsi="Verdana" w:cs="Arial"/>
          <w:b/>
          <w:bCs/>
          <w:lang w:val="es-ES" w:eastAsia="es-ES"/>
        </w:rPr>
      </w:pPr>
      <w:r w:rsidRPr="00812AB9">
        <w:rPr>
          <w:rFonts w:ascii="Verdana" w:eastAsia="Calibri" w:hAnsi="Verdana" w:cs="Arial"/>
          <w:b/>
          <w:bCs/>
          <w:lang w:val="es-ES" w:eastAsia="es-ES"/>
        </w:rPr>
        <w:t xml:space="preserve">Pedro Orlando Molano Pérez </w:t>
      </w:r>
    </w:p>
    <w:p w14:paraId="46274D24" w14:textId="77777777" w:rsidR="002C789B" w:rsidRPr="004661F3" w:rsidRDefault="002C789B" w:rsidP="002C789B">
      <w:pPr>
        <w:spacing w:after="0" w:line="240" w:lineRule="auto"/>
        <w:jc w:val="both"/>
        <w:rPr>
          <w:rFonts w:ascii="Verdana" w:eastAsia="Calibri" w:hAnsi="Verdana" w:cs="Arial"/>
          <w:lang w:val="es-ES" w:eastAsia="es-ES"/>
        </w:rPr>
      </w:pPr>
      <w:r w:rsidRPr="004661F3">
        <w:rPr>
          <w:rFonts w:ascii="Verdana" w:eastAsia="Calibri" w:hAnsi="Verdana" w:cs="Arial"/>
          <w:lang w:val="es-ES" w:eastAsia="es-ES"/>
        </w:rPr>
        <w:t>Director General</w:t>
      </w:r>
    </w:p>
    <w:p w14:paraId="6CC73345" w14:textId="77777777" w:rsidR="002C789B" w:rsidRPr="004661F3" w:rsidRDefault="002C789B" w:rsidP="002C789B">
      <w:pPr>
        <w:spacing w:after="0" w:line="240" w:lineRule="auto"/>
        <w:jc w:val="both"/>
        <w:rPr>
          <w:rFonts w:ascii="Verdana" w:eastAsia="Calibri" w:hAnsi="Verdana" w:cs="Arial"/>
          <w:lang w:val="es-ES" w:eastAsia="es-ES"/>
        </w:rPr>
      </w:pPr>
      <w:r w:rsidRPr="004661F3">
        <w:rPr>
          <w:rFonts w:ascii="Verdana" w:eastAsia="Calibri" w:hAnsi="Verdana" w:cs="Arial"/>
          <w:lang w:val="es-ES" w:eastAsia="es-ES"/>
        </w:rPr>
        <w:t>Instituto de Desarrollo Urbano - IDU</w:t>
      </w:r>
    </w:p>
    <w:p w14:paraId="3106CC10" w14:textId="77777777" w:rsidR="002C789B" w:rsidRPr="00E534C9" w:rsidRDefault="002C789B" w:rsidP="002C789B">
      <w:pPr>
        <w:spacing w:after="0" w:line="240" w:lineRule="auto"/>
        <w:rPr>
          <w:rFonts w:ascii="Verdana" w:eastAsia="Calibri" w:hAnsi="Verdana" w:cs="Arial"/>
          <w:bCs/>
          <w:lang w:val="es-ES" w:eastAsia="es-ES"/>
        </w:rPr>
      </w:pPr>
      <w:hyperlink r:id="rId11" w:history="1">
        <w:r w:rsidRPr="00E534C9">
          <w:rPr>
            <w:rStyle w:val="Hipervnculo"/>
            <w:rFonts w:ascii="Verdana" w:eastAsia="Calibri" w:hAnsi="Verdana" w:cs="Arial"/>
            <w:bCs/>
            <w:lang w:val="es-ES" w:eastAsia="es-ES"/>
          </w:rPr>
          <w:t>sistemagestiondocumental@idu.gov.co</w:t>
        </w:r>
      </w:hyperlink>
      <w:r w:rsidRPr="00E534C9">
        <w:rPr>
          <w:rFonts w:ascii="Verdana" w:eastAsia="Calibri" w:hAnsi="Verdana" w:cs="Arial"/>
          <w:bCs/>
          <w:lang w:val="es-ES" w:eastAsia="es-ES"/>
        </w:rPr>
        <w:t xml:space="preserve"> </w:t>
      </w:r>
    </w:p>
    <w:p w14:paraId="6CCF4E29" w14:textId="77777777" w:rsidR="002C789B" w:rsidRDefault="002C789B" w:rsidP="002C789B">
      <w:pPr>
        <w:spacing w:after="0" w:line="240" w:lineRule="auto"/>
        <w:rPr>
          <w:rFonts w:ascii="Verdana" w:eastAsia="Calibri" w:hAnsi="Verdana" w:cs="Arial"/>
          <w:lang w:val="es-ES" w:eastAsia="es-ES"/>
        </w:rPr>
      </w:pPr>
      <w:r>
        <w:rPr>
          <w:rFonts w:ascii="Verdana" w:eastAsia="Calibri" w:hAnsi="Verdana" w:cs="Arial"/>
          <w:lang w:val="es-ES" w:eastAsia="es-ES"/>
        </w:rPr>
        <w:t>Bogotá D.C</w:t>
      </w:r>
    </w:p>
    <w:p w14:paraId="67F67E9E" w14:textId="77777777" w:rsidR="002C789B" w:rsidRDefault="002C789B" w:rsidP="002C789B">
      <w:pPr>
        <w:spacing w:after="0" w:line="240" w:lineRule="auto"/>
        <w:rPr>
          <w:rFonts w:ascii="Verdana" w:eastAsia="Calibri" w:hAnsi="Verdana" w:cs="Arial"/>
          <w:b/>
          <w:bCs/>
          <w:color w:val="000000"/>
          <w:lang w:val="es-ES_tradnl" w:eastAsia="es-ES_tradnl"/>
        </w:rPr>
      </w:pPr>
    </w:p>
    <w:p w14:paraId="766459D3" w14:textId="77777777" w:rsidR="002C789B" w:rsidRDefault="002C789B" w:rsidP="002C789B">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C789B" w14:paraId="31DBC79A" w14:textId="77777777" w:rsidTr="00061D75">
        <w:trPr>
          <w:trHeight w:val="884"/>
        </w:trPr>
        <w:tc>
          <w:tcPr>
            <w:tcW w:w="2689" w:type="dxa"/>
          </w:tcPr>
          <w:p w14:paraId="02D6D91C" w14:textId="77777777" w:rsidR="002C789B" w:rsidRDefault="002C789B" w:rsidP="00061D75">
            <w:pPr>
              <w:jc w:val="both"/>
              <w:rPr>
                <w:rFonts w:ascii="Verdana" w:eastAsia="Calibri" w:hAnsi="Verdana" w:cs="Arial"/>
                <w:b/>
                <w:bCs/>
                <w:color w:val="7030A0"/>
                <w:lang w:val="es-ES_tradnl" w:eastAsia="es-ES_tradnl"/>
              </w:rPr>
            </w:pPr>
          </w:p>
        </w:tc>
        <w:tc>
          <w:tcPr>
            <w:tcW w:w="6100" w:type="dxa"/>
            <w:hideMark/>
          </w:tcPr>
          <w:p w14:paraId="0753B88E" w14:textId="77777777" w:rsidR="002C789B" w:rsidRDefault="002C789B" w:rsidP="00061D75">
            <w:pPr>
              <w:jc w:val="both"/>
              <w:rPr>
                <w:rFonts w:ascii="Verdana" w:eastAsia="Calibri" w:hAnsi="Verdana" w:cs="Arial"/>
                <w:b/>
                <w:bCs/>
                <w:color w:val="7030A0"/>
                <w:lang w:val="es-ES" w:eastAsia="es-ES"/>
              </w:rPr>
            </w:pPr>
            <w:r>
              <w:rPr>
                <w:rFonts w:ascii="Verdana" w:eastAsia="Calibri" w:hAnsi="Verdana" w:cs="Arial"/>
                <w:b/>
                <w:bCs/>
                <w:lang w:val="es-ES" w:eastAsia="es-ES"/>
              </w:rPr>
              <w:t>Concepto C – 1501 de 2025</w:t>
            </w:r>
          </w:p>
        </w:tc>
      </w:tr>
      <w:tr w:rsidR="002C789B" w14:paraId="6C7858D4" w14:textId="77777777" w:rsidTr="00061D75">
        <w:trPr>
          <w:trHeight w:val="884"/>
        </w:trPr>
        <w:tc>
          <w:tcPr>
            <w:tcW w:w="2689" w:type="dxa"/>
            <w:hideMark/>
          </w:tcPr>
          <w:p w14:paraId="57852944" w14:textId="77777777" w:rsidR="002C789B" w:rsidRDefault="002C789B" w:rsidP="00061D75">
            <w:pPr>
              <w:jc w:val="both"/>
              <w:rPr>
                <w:rFonts w:ascii="Verdana" w:eastAsia="Calibri" w:hAnsi="Verdana" w:cs="Arial"/>
                <w:color w:val="000000"/>
                <w:lang w:val="es-ES_tradnl" w:eastAsia="es-ES_tradnl"/>
              </w:rPr>
            </w:pPr>
            <w:r>
              <w:rPr>
                <w:rFonts w:ascii="Verdana" w:eastAsia="Calibri" w:hAnsi="Verdana" w:cs="Arial"/>
                <w:b/>
                <w:color w:val="000000"/>
                <w:lang w:val="es-ES_tradnl" w:eastAsia="es-ES_tradnl"/>
              </w:rPr>
              <w:t>Temas:</w:t>
            </w:r>
            <w:r>
              <w:rPr>
                <w:rFonts w:ascii="Verdana" w:eastAsia="Calibri" w:hAnsi="Verdana" w:cs="Arial"/>
                <w:color w:val="000000"/>
                <w:lang w:val="es-ES_tradnl" w:eastAsia="es-ES_tradnl"/>
              </w:rPr>
              <w:t xml:space="preserve">                   </w:t>
            </w:r>
          </w:p>
        </w:tc>
        <w:tc>
          <w:tcPr>
            <w:tcW w:w="6100" w:type="dxa"/>
            <w:hideMark/>
          </w:tcPr>
          <w:p w14:paraId="2A8CE77D" w14:textId="77777777" w:rsidR="002C789B" w:rsidRDefault="002C789B" w:rsidP="00061D75">
            <w:pPr>
              <w:spacing w:line="276" w:lineRule="auto"/>
              <w:jc w:val="both"/>
              <w:rPr>
                <w:rFonts w:ascii="Verdana" w:eastAsia="Calibri" w:hAnsi="Verdana" w:cs="Arial"/>
                <w:lang w:val="es-ES" w:eastAsia="es-ES"/>
              </w:rPr>
            </w:pPr>
            <w:r>
              <w:rPr>
                <w:rFonts w:ascii="Verdana" w:eastAsia="Calibri" w:hAnsi="Verdana" w:cs="Arial"/>
                <w:lang w:val="es-ES" w:eastAsia="es-ES"/>
              </w:rPr>
              <w:t xml:space="preserve">LEY DE GARANTÍAS ELECTORALES – Prohibición artículo 33 – Contratación directa – Alcance / LEY DE GARANTÍAS ELECTORALES – Excepciones / LEY DE GARANTÍAS ELECTORALES – Prohibición del artículo 33 – Destinatarios / ENAJENACIÓN VOLUNTARIA – Objeto – Aplicación – Ley de Garantías Electorales – Restricción- Contratación Directa                     </w:t>
            </w:r>
          </w:p>
          <w:p w14:paraId="7A997708" w14:textId="77777777" w:rsidR="002C789B" w:rsidRDefault="002C789B" w:rsidP="00061D75">
            <w:pPr>
              <w:spacing w:line="276" w:lineRule="auto"/>
              <w:jc w:val="both"/>
              <w:rPr>
                <w:rFonts w:ascii="Verdana" w:eastAsia="Calibri" w:hAnsi="Verdana" w:cs="Arial"/>
                <w:lang w:val="es-ES" w:eastAsia="es-ES"/>
              </w:rPr>
            </w:pPr>
            <w:r>
              <w:rPr>
                <w:rFonts w:ascii="Verdana" w:eastAsia="Calibri" w:hAnsi="Verdana" w:cs="Arial"/>
                <w:lang w:val="es-ES" w:eastAsia="es-ES"/>
              </w:rPr>
              <w:t xml:space="preserve">  </w:t>
            </w:r>
          </w:p>
        </w:tc>
      </w:tr>
      <w:tr w:rsidR="002C789B" w14:paraId="61419252" w14:textId="77777777" w:rsidTr="00061D75">
        <w:tc>
          <w:tcPr>
            <w:tcW w:w="2689" w:type="dxa"/>
            <w:hideMark/>
          </w:tcPr>
          <w:p w14:paraId="5FF49EA5" w14:textId="77777777" w:rsidR="002C789B" w:rsidRDefault="002C789B" w:rsidP="00061D75">
            <w:pPr>
              <w:jc w:val="both"/>
              <w:rPr>
                <w:rFonts w:ascii="Verdana" w:eastAsia="Calibri" w:hAnsi="Verdana" w:cs="Arial"/>
                <w:b/>
                <w:lang w:val="es-ES_tradnl" w:eastAsia="es-ES_tradnl"/>
              </w:rPr>
            </w:pPr>
            <w:r>
              <w:rPr>
                <w:rFonts w:ascii="Verdana" w:eastAsia="Calibri" w:hAnsi="Verdana" w:cs="Arial"/>
                <w:b/>
                <w:lang w:val="es-ES_tradnl" w:eastAsia="es-ES_tradnl"/>
              </w:rPr>
              <w:t>Radicación:</w:t>
            </w:r>
            <w:r>
              <w:rPr>
                <w:rFonts w:ascii="Verdana" w:eastAsia="Calibri" w:hAnsi="Verdana" w:cs="Arial"/>
                <w:lang w:val="es-ES_tradnl" w:eastAsia="es-ES_tradnl"/>
              </w:rPr>
              <w:t xml:space="preserve">               </w:t>
            </w:r>
          </w:p>
        </w:tc>
        <w:tc>
          <w:tcPr>
            <w:tcW w:w="6100" w:type="dxa"/>
            <w:hideMark/>
          </w:tcPr>
          <w:p w14:paraId="467713DB" w14:textId="77777777" w:rsidR="002C789B" w:rsidRDefault="002C789B" w:rsidP="00061D75">
            <w:pPr>
              <w:spacing w:line="276" w:lineRule="auto"/>
              <w:jc w:val="both"/>
              <w:rPr>
                <w:rFonts w:ascii="Verdana" w:eastAsia="Calibri" w:hAnsi="Verdana" w:cs="Arial"/>
                <w:lang w:val="es-ES_tradnl" w:eastAsia="es-ES_tradnl"/>
              </w:rPr>
            </w:pPr>
            <w:r>
              <w:rPr>
                <w:rFonts w:ascii="Verdana" w:eastAsia="Calibri" w:hAnsi="Verdana" w:cs="Arial"/>
                <w:lang w:val="es-ES_tradnl" w:eastAsia="es-ES_tradnl"/>
              </w:rPr>
              <w:t xml:space="preserve">Respuesta a la consulta con radicado No. </w:t>
            </w:r>
            <w:r w:rsidRPr="007543EF">
              <w:rPr>
                <w:rFonts w:ascii="Verdana" w:eastAsia="Calibri" w:hAnsi="Verdana" w:cs="Arial"/>
                <w:lang w:val="es-ES_tradnl" w:eastAsia="es-ES_tradnl"/>
              </w:rPr>
              <w:t xml:space="preserve">1_2025_12_09_013764 </w:t>
            </w:r>
            <w:r>
              <w:rPr>
                <w:rFonts w:ascii="Verdana" w:eastAsia="Calibri" w:hAnsi="Verdana" w:cs="Arial"/>
                <w:lang w:val="es-ES_tradnl" w:eastAsia="es-ES_tradnl"/>
              </w:rPr>
              <w:t xml:space="preserve">acumulada con radicado </w:t>
            </w:r>
            <w:r w:rsidRPr="007543EF">
              <w:rPr>
                <w:rFonts w:ascii="Verdana" w:eastAsia="Calibri" w:hAnsi="Verdana" w:cs="Arial"/>
                <w:lang w:val="es-ES_tradnl" w:eastAsia="es-ES_tradnl"/>
              </w:rPr>
              <w:t>1_2025_12_09_013767</w:t>
            </w:r>
          </w:p>
        </w:tc>
      </w:tr>
    </w:tbl>
    <w:p w14:paraId="2B9744DC" w14:textId="77777777" w:rsidR="002C789B" w:rsidRDefault="002C789B" w:rsidP="002C789B">
      <w:pPr>
        <w:spacing w:after="0" w:line="240" w:lineRule="auto"/>
        <w:jc w:val="both"/>
        <w:rPr>
          <w:rFonts w:ascii="Verdana" w:eastAsia="Calibri" w:hAnsi="Verdana" w:cs="Arial"/>
          <w:color w:val="000000"/>
          <w:lang w:val="es-ES_tradnl" w:eastAsia="es-ES_tradnl"/>
        </w:rPr>
      </w:pPr>
    </w:p>
    <w:p w14:paraId="65396311" w14:textId="77777777" w:rsidR="002C789B" w:rsidRDefault="002C789B" w:rsidP="002C789B">
      <w:pPr>
        <w:spacing w:after="0" w:line="240" w:lineRule="auto"/>
        <w:jc w:val="both"/>
        <w:rPr>
          <w:rFonts w:ascii="Verdana" w:eastAsia="Calibri" w:hAnsi="Verdana" w:cs="Arial"/>
          <w:color w:val="000000"/>
          <w:lang w:val="es-ES_tradnl" w:eastAsia="es-ES_tradnl"/>
        </w:rPr>
      </w:pPr>
    </w:p>
    <w:p w14:paraId="659A7763" w14:textId="77777777" w:rsidR="002C789B" w:rsidRDefault="002C789B" w:rsidP="002C789B">
      <w:pPr>
        <w:spacing w:after="0" w:line="276" w:lineRule="auto"/>
        <w:jc w:val="both"/>
        <w:rPr>
          <w:rFonts w:ascii="Verdana" w:eastAsia="Calibri" w:hAnsi="Verdana" w:cs="Arial"/>
          <w:lang w:val="es-ES" w:eastAsia="es-ES"/>
        </w:rPr>
      </w:pPr>
      <w:r>
        <w:rPr>
          <w:rFonts w:ascii="Verdana" w:eastAsia="Calibri" w:hAnsi="Verdana" w:cs="Arial"/>
          <w:lang w:val="es-ES" w:eastAsia="es-ES"/>
        </w:rPr>
        <w:t xml:space="preserve">Estimado Doctor Molano: </w:t>
      </w:r>
    </w:p>
    <w:p w14:paraId="71E30699" w14:textId="77777777" w:rsidR="002C789B" w:rsidRDefault="002C789B" w:rsidP="002C789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D812288" w14:textId="77777777" w:rsidR="002C789B" w:rsidRDefault="002C789B" w:rsidP="002C789B">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sidRPr="006C555A">
        <w:rPr>
          <w:rFonts w:ascii="Verdana" w:hAnsi="Verdana" w:cs="Arial"/>
          <w:lang w:val="es-ES_tradnl"/>
        </w:rPr>
        <w:t>así como lo establecido en</w:t>
      </w:r>
      <w:r w:rsidRPr="006C555A">
        <w:rPr>
          <w:rFonts w:ascii="Verdana" w:hAnsi="Verdana" w:cs="Arial"/>
        </w:rPr>
        <w:t xml:space="preserve"> la Resolución 469 de 2025 expedida por esta Entidad</w:t>
      </w:r>
      <w:r>
        <w:rPr>
          <w:rFonts w:ascii="Verdana" w:hAnsi="Verdana" w:cs="Arial"/>
        </w:rPr>
        <w:t xml:space="preserve">, </w:t>
      </w:r>
      <w:r>
        <w:rPr>
          <w:rFonts w:ascii="Verdana" w:eastAsia="Calibri" w:hAnsi="Verdana" w:cs="Arial"/>
          <w:color w:val="000000" w:themeColor="text1"/>
          <w:lang w:val="es-ES" w:eastAsia="es-ES"/>
        </w:rPr>
        <w:t xml:space="preserve">la Agencia Nacional de Contratación Pública – Colombia Compra Eficiente responde sus solicitudes de consulta de </w:t>
      </w:r>
      <w:r>
        <w:rPr>
          <w:rFonts w:ascii="Verdana" w:eastAsia="Calibri" w:hAnsi="Verdana" w:cs="Arial"/>
          <w:lang w:val="es-ES" w:eastAsia="es-ES"/>
        </w:rPr>
        <w:t xml:space="preserve">fecha 9 de diciembre de 2025, en la cual </w:t>
      </w:r>
      <w:r>
        <w:rPr>
          <w:rFonts w:ascii="Verdana" w:eastAsia="Calibri" w:hAnsi="Verdana" w:cs="Arial"/>
          <w:color w:val="000000" w:themeColor="text1"/>
          <w:lang w:val="es-ES" w:eastAsia="es-ES"/>
        </w:rPr>
        <w:t xml:space="preserve">respecto del concepto C-1512 de 2025, indica </w:t>
      </w:r>
      <w:r w:rsidRPr="00FC6F34">
        <w:rPr>
          <w:rFonts w:ascii="Verdana" w:eastAsia="Calibri" w:hAnsi="Verdana" w:cs="Arial"/>
          <w:color w:val="000000" w:themeColor="text1"/>
          <w:lang w:val="es-ES" w:eastAsia="es-ES"/>
        </w:rPr>
        <w:t>lo siguiente</w:t>
      </w:r>
      <w:r>
        <w:rPr>
          <w:rFonts w:ascii="Verdana" w:eastAsia="Calibri" w:hAnsi="Verdana" w:cs="Arial"/>
          <w:lang w:val="es-ES" w:eastAsia="es-ES"/>
        </w:rPr>
        <w:t xml:space="preserve">: </w:t>
      </w:r>
    </w:p>
    <w:p w14:paraId="4E167420" w14:textId="77777777" w:rsidR="002C789B" w:rsidRDefault="002C789B" w:rsidP="002C789B">
      <w:pPr>
        <w:pStyle w:val="Prrafodelista"/>
        <w:tabs>
          <w:tab w:val="left" w:pos="142"/>
          <w:tab w:val="left" w:pos="284"/>
        </w:tabs>
        <w:spacing w:after="0" w:line="276" w:lineRule="auto"/>
        <w:ind w:left="0"/>
        <w:jc w:val="both"/>
        <w:rPr>
          <w:rFonts w:ascii="Verdana" w:eastAsia="Century Gothic" w:hAnsi="Verdana" w:cs="Century Gothic"/>
          <w:b/>
          <w:bCs/>
        </w:rPr>
      </w:pPr>
    </w:p>
    <w:p w14:paraId="4E71DCB8" w14:textId="77777777" w:rsidR="002C789B" w:rsidRDefault="002C789B" w:rsidP="002C789B">
      <w:pPr>
        <w:spacing w:after="0" w:line="240" w:lineRule="auto"/>
        <w:ind w:left="709" w:right="709"/>
        <w:jc w:val="both"/>
        <w:rPr>
          <w:rFonts w:ascii="Verdana" w:eastAsia="Century Gothic" w:hAnsi="Verdana" w:cs="Century Gothic"/>
          <w:sz w:val="20"/>
          <w:szCs w:val="20"/>
        </w:rPr>
      </w:pPr>
      <w:bookmarkStart w:id="0" w:name="_Hlk95313578"/>
      <w:r>
        <w:rPr>
          <w:rFonts w:ascii="Verdana" w:eastAsia="Century Gothic" w:hAnsi="Verdana" w:cs="Century Gothic"/>
          <w:sz w:val="20"/>
          <w:szCs w:val="20"/>
          <w:lang w:val="es-ES"/>
        </w:rPr>
        <w:t>“</w:t>
      </w:r>
      <w:bookmarkEnd w:id="0"/>
      <w:r>
        <w:rPr>
          <w:rFonts w:ascii="Verdana" w:eastAsia="Century Gothic" w:hAnsi="Verdana" w:cs="Century Gothic"/>
          <w:sz w:val="20"/>
          <w:szCs w:val="20"/>
          <w:lang w:val="es-ES"/>
        </w:rPr>
        <w:t xml:space="preserve">[…] </w:t>
      </w:r>
      <w:r w:rsidRPr="00C07C47">
        <w:rPr>
          <w:rFonts w:ascii="Verdana" w:eastAsia="Century Gothic" w:hAnsi="Verdana" w:cs="Century Gothic"/>
          <w:sz w:val="20"/>
          <w:szCs w:val="20"/>
        </w:rPr>
        <w:t xml:space="preserve">me permito solicitar de manera respetuosa alcance al Concepto C-1512 del 27 de octubre de 2025, con el fin que se precise la improcedencia de aplicar el artículo 33 de la Ley 996 de 2005 al procedimiento administrativo de adquisición predial por motivos de utilidad pública, </w:t>
      </w:r>
      <w:r w:rsidRPr="00C07C47">
        <w:rPr>
          <w:rFonts w:ascii="Verdana" w:eastAsia="Century Gothic" w:hAnsi="Verdana" w:cs="Century Gothic"/>
          <w:sz w:val="20"/>
          <w:szCs w:val="20"/>
        </w:rPr>
        <w:lastRenderedPageBreak/>
        <w:t>adelantado con fundamento en el artículo 58 de la Constitución Política y desarrollado en las Leyes 9 de 1989, 388 de 1997 y 1682 de 2013</w:t>
      </w:r>
      <w:r>
        <w:rPr>
          <w:rFonts w:ascii="Verdana" w:eastAsia="Century Gothic" w:hAnsi="Verdana" w:cs="Century Gothic"/>
          <w:sz w:val="20"/>
          <w:szCs w:val="20"/>
        </w:rPr>
        <w:t>.</w:t>
      </w:r>
    </w:p>
    <w:p w14:paraId="012D6AAB" w14:textId="77777777" w:rsidR="002C789B" w:rsidRDefault="002C789B" w:rsidP="002C789B">
      <w:pPr>
        <w:spacing w:after="0" w:line="240" w:lineRule="auto"/>
        <w:ind w:left="709" w:right="709"/>
        <w:jc w:val="both"/>
        <w:rPr>
          <w:rFonts w:ascii="Verdana" w:eastAsia="Century Gothic" w:hAnsi="Verdana" w:cs="Century Gothic"/>
          <w:sz w:val="20"/>
          <w:szCs w:val="20"/>
        </w:rPr>
      </w:pPr>
    </w:p>
    <w:p w14:paraId="4661E435" w14:textId="77777777" w:rsidR="002C789B" w:rsidRPr="00940C39" w:rsidRDefault="002C789B" w:rsidP="002C789B">
      <w:pPr>
        <w:spacing w:after="0" w:line="240" w:lineRule="auto"/>
        <w:ind w:left="709" w:right="709"/>
        <w:jc w:val="both"/>
        <w:rPr>
          <w:rFonts w:ascii="Verdana" w:eastAsia="Century Gothic" w:hAnsi="Verdana" w:cs="Century Gothic"/>
          <w:i/>
          <w:iCs/>
          <w:sz w:val="20"/>
          <w:szCs w:val="20"/>
        </w:rPr>
      </w:pPr>
      <w:r w:rsidRPr="006A4A44">
        <w:rPr>
          <w:rFonts w:ascii="Verdana" w:eastAsia="Century Gothic" w:hAnsi="Verdana" w:cs="Century Gothic"/>
          <w:sz w:val="20"/>
          <w:szCs w:val="20"/>
        </w:rPr>
        <w:t xml:space="preserve">En primer lugar, debe indicarse que Colombia Compra Eficiente mediante el Concepto C-1512 del pasado 27 de octubre de 2025, manifestó que </w:t>
      </w:r>
      <w:r w:rsidRPr="00940C39">
        <w:rPr>
          <w:rFonts w:ascii="Verdana" w:eastAsia="Century Gothic" w:hAnsi="Verdana" w:cs="Century Gothic"/>
          <w:i/>
          <w:iCs/>
          <w:sz w:val="20"/>
          <w:szCs w:val="20"/>
        </w:rPr>
        <w:t>“(…) la adquisición de los predios que se realice por enajenación voluntaria está sometida a un régimen especial de contratación. Sin embargo, como se explicó antes, esta culmina con la suscripción de un contrato de promesa de compraventa o de compraventa entre la entidad y la persona, con lo cual se trata de un procedimiento de contratación estatal no competitivo que está restringido por la prohibición establecida en el artículo 33 de la Ley 996 de 2005. En contraste, cuando la adquisición ocurra por el procedimiento expropiatorio no se materializa en la celebración de un contrato</w:t>
      </w:r>
      <w:r>
        <w:rPr>
          <w:rFonts w:ascii="Verdana" w:eastAsia="Century Gothic" w:hAnsi="Verdana" w:cs="Century Gothic"/>
          <w:i/>
          <w:iCs/>
          <w:sz w:val="20"/>
          <w:szCs w:val="20"/>
        </w:rPr>
        <w:t>”</w:t>
      </w:r>
      <w:r w:rsidRPr="00940C39">
        <w:rPr>
          <w:rFonts w:ascii="Verdana" w:eastAsia="Century Gothic" w:hAnsi="Verdana" w:cs="Century Gothic"/>
          <w:i/>
          <w:iCs/>
          <w:sz w:val="20"/>
          <w:szCs w:val="20"/>
        </w:rPr>
        <w:t>.</w:t>
      </w:r>
    </w:p>
    <w:p w14:paraId="347CA70A" w14:textId="77777777" w:rsidR="002C789B" w:rsidRDefault="002C789B" w:rsidP="002C789B">
      <w:pPr>
        <w:spacing w:after="0" w:line="240" w:lineRule="auto"/>
        <w:ind w:left="709" w:right="709"/>
        <w:jc w:val="both"/>
        <w:rPr>
          <w:rFonts w:ascii="Verdana" w:eastAsia="Century Gothic" w:hAnsi="Verdana" w:cs="Century Gothic"/>
          <w:sz w:val="20"/>
          <w:szCs w:val="20"/>
        </w:rPr>
      </w:pPr>
    </w:p>
    <w:p w14:paraId="2D20EB26" w14:textId="77777777" w:rsidR="002C789B" w:rsidRDefault="002C789B" w:rsidP="002C789B">
      <w:pPr>
        <w:spacing w:after="0" w:line="240" w:lineRule="auto"/>
        <w:ind w:left="709" w:right="709"/>
        <w:jc w:val="both"/>
        <w:rPr>
          <w:rFonts w:ascii="Verdana" w:eastAsia="Century Gothic" w:hAnsi="Verdana" w:cs="Century Gothic"/>
          <w:sz w:val="20"/>
          <w:szCs w:val="20"/>
          <w:lang w:val="es-ES"/>
        </w:rPr>
      </w:pPr>
      <w:r w:rsidRPr="009579EA">
        <w:rPr>
          <w:rFonts w:ascii="Verdana" w:eastAsia="Century Gothic" w:hAnsi="Verdana" w:cs="Century Gothic"/>
          <w:sz w:val="20"/>
          <w:szCs w:val="20"/>
        </w:rPr>
        <w:t>En relación con la postura anterior, se considera que la afirmación según la cual la enajenación voluntaria, per se, configuraría un “procedimiento de contratación estatal no competitivo que está restringido por la prohibición establecida en el artículo 33 de la Ley 996 de 2005” requiere de un análisis detenido, pues desconoce la estructura, finalidad y naturaleza jurídica del procedimiento administrativo de adquisición predial por motivos de utilidad pública, regulado por las Leyes 9 de 1989, 388 de 1997 y 1682 de 2013, que encuentra fundamento en el poder expropiatorio consagrado en el artículo 58 de la Constitución Política,</w:t>
      </w:r>
      <w:r w:rsidRPr="0049407A">
        <w:rPr>
          <w:rFonts w:ascii="Verdana" w:eastAsia="Century Gothic" w:hAnsi="Verdana" w:cs="Century Gothic"/>
          <w:sz w:val="20"/>
          <w:szCs w:val="20"/>
          <w:lang w:val="es-ES"/>
        </w:rPr>
        <w:t xml:space="preserve"> </w:t>
      </w:r>
      <w:r>
        <w:rPr>
          <w:rFonts w:ascii="Verdana" w:eastAsia="Century Gothic" w:hAnsi="Verdana" w:cs="Century Gothic"/>
          <w:sz w:val="20"/>
          <w:szCs w:val="20"/>
          <w:lang w:val="es-ES"/>
        </w:rPr>
        <w:t>[…]</w:t>
      </w:r>
      <w:r>
        <w:rPr>
          <w:rFonts w:ascii="Verdana" w:eastAsia="Century Gothic" w:hAnsi="Verdana" w:cs="Century Gothic"/>
          <w:sz w:val="20"/>
          <w:szCs w:val="20"/>
        </w:rPr>
        <w:t>”.</w:t>
      </w:r>
    </w:p>
    <w:p w14:paraId="62E9D357" w14:textId="77777777" w:rsidR="002C789B" w:rsidRDefault="002C789B" w:rsidP="002C789B">
      <w:pPr>
        <w:pStyle w:val="Prrafodelista"/>
        <w:tabs>
          <w:tab w:val="left" w:pos="142"/>
          <w:tab w:val="left" w:pos="284"/>
        </w:tabs>
        <w:spacing w:after="0" w:line="276" w:lineRule="auto"/>
        <w:ind w:left="0"/>
        <w:jc w:val="both"/>
        <w:rPr>
          <w:rFonts w:ascii="Verdana" w:eastAsia="Century Gothic" w:hAnsi="Verdana" w:cs="Century Gothic"/>
          <w:b/>
          <w:bCs/>
        </w:rPr>
      </w:pPr>
    </w:p>
    <w:p w14:paraId="3F5D95D5" w14:textId="77777777" w:rsidR="002C789B" w:rsidRDefault="002C789B" w:rsidP="002C789B">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0449F56F" w14:textId="77777777" w:rsidR="002C789B" w:rsidRDefault="002C789B" w:rsidP="002C789B">
      <w:pPr>
        <w:spacing w:after="0" w:line="276" w:lineRule="auto"/>
        <w:ind w:firstLine="708"/>
        <w:jc w:val="both"/>
        <w:rPr>
          <w:rFonts w:ascii="Verdana" w:eastAsia="Calibri" w:hAnsi="Verdana" w:cs="Arial"/>
          <w:lang w:val="es-ES" w:eastAsia="es-ES"/>
        </w:rPr>
      </w:pPr>
      <w:r>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específicas que la </w:t>
      </w:r>
      <w:r>
        <w:rPr>
          <w:rFonts w:ascii="Verdana" w:eastAsia="Calibri" w:hAnsi="Verdana" w:cs="Arial"/>
          <w:color w:val="000000"/>
          <w:lang w:val="es-ES" w:eastAsia="es-ES"/>
        </w:rPr>
        <w:lastRenderedPageBreak/>
        <w:t>hayan motivado, pero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de su consulta.</w:t>
      </w:r>
      <w:r>
        <w:rPr>
          <w:rFonts w:ascii="Verdana" w:eastAsia="Calibri" w:hAnsi="Verdana" w:cs="Arial"/>
          <w:lang w:val="es-ES" w:eastAsia="es-ES"/>
        </w:rPr>
        <w:t xml:space="preserve"> </w:t>
      </w:r>
      <w:r>
        <w:rPr>
          <w:rFonts w:ascii="Verdana" w:eastAsia="Calibri" w:hAnsi="Verdana" w:cs="Arial"/>
          <w:color w:val="000000"/>
          <w:lang w:val="es-ES" w:eastAsia="es-ES"/>
        </w:rPr>
        <w:t xml:space="preserve">  </w:t>
      </w:r>
    </w:p>
    <w:p w14:paraId="245949C4" w14:textId="77777777" w:rsidR="002C789B" w:rsidRDefault="002C789B" w:rsidP="002C789B">
      <w:pPr>
        <w:spacing w:after="0" w:line="276" w:lineRule="auto"/>
        <w:ind w:firstLine="709"/>
        <w:jc w:val="both"/>
        <w:rPr>
          <w:rFonts w:ascii="Verdana" w:eastAsia="Calibri" w:hAnsi="Verdana" w:cs="Arial"/>
          <w:color w:val="000000"/>
          <w:lang w:val="es-ES" w:eastAsia="es-ES"/>
        </w:rPr>
      </w:pPr>
    </w:p>
    <w:p w14:paraId="106F9EA7" w14:textId="77777777" w:rsidR="002C789B" w:rsidRDefault="002C789B" w:rsidP="002C789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Problema planteado:</w:t>
      </w:r>
    </w:p>
    <w:p w14:paraId="252613DC" w14:textId="77777777" w:rsidR="002C789B" w:rsidRDefault="002C789B" w:rsidP="002C789B">
      <w:pPr>
        <w:tabs>
          <w:tab w:val="left" w:pos="426"/>
        </w:tabs>
        <w:spacing w:after="0" w:line="276" w:lineRule="auto"/>
        <w:jc w:val="both"/>
        <w:rPr>
          <w:rFonts w:ascii="Verdana" w:eastAsia="Century Gothic" w:hAnsi="Verdana" w:cs="Century Gothic"/>
          <w:lang w:val="es-ES"/>
        </w:rPr>
      </w:pPr>
    </w:p>
    <w:p w14:paraId="40D49253" w14:textId="39F99D5E" w:rsidR="002C789B" w:rsidRDefault="002C789B" w:rsidP="002C789B">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los siguientes problemas jurídicos: ¿Los procesos de enajenación voluntaria </w:t>
      </w:r>
      <w:r>
        <w:rPr>
          <w:rFonts w:ascii="Verdana" w:eastAsia="Calibri" w:hAnsi="Verdana" w:cs="Times New Roman"/>
          <w:iCs/>
          <w:lang w:val="es-ES"/>
        </w:rPr>
        <w:t>por parte de entidades estatales para adquirir predios están restringidos durante la Ley de Garantías Electorales?</w:t>
      </w:r>
    </w:p>
    <w:p w14:paraId="35FE44DB" w14:textId="77777777" w:rsidR="002C789B" w:rsidRDefault="002C789B" w:rsidP="002C789B">
      <w:pPr>
        <w:spacing w:after="0" w:line="276" w:lineRule="auto"/>
        <w:jc w:val="both"/>
        <w:rPr>
          <w:rFonts w:ascii="Verdana" w:eastAsia="Calibri" w:hAnsi="Verdana" w:cs="Arial"/>
          <w:color w:val="7030A0"/>
        </w:rPr>
      </w:pPr>
    </w:p>
    <w:p w14:paraId="76A46311" w14:textId="77777777" w:rsidR="002C789B" w:rsidRDefault="002C789B" w:rsidP="002C789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Respuesta:</w:t>
      </w:r>
    </w:p>
    <w:p w14:paraId="1B797764" w14:textId="77777777" w:rsidR="002C789B" w:rsidRDefault="002C789B" w:rsidP="002C789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C789B" w14:paraId="68ADAC1B" w14:textId="77777777" w:rsidTr="00061D75">
        <w:trPr>
          <w:jc w:val="center"/>
        </w:trPr>
        <w:tc>
          <w:tcPr>
            <w:tcW w:w="8828" w:type="dxa"/>
            <w:tcBorders>
              <w:top w:val="dotted" w:sz="4" w:space="0" w:color="auto"/>
              <w:left w:val="dotted" w:sz="4" w:space="0" w:color="auto"/>
              <w:bottom w:val="dotted" w:sz="4" w:space="0" w:color="auto"/>
              <w:right w:val="dotted" w:sz="4" w:space="0" w:color="auto"/>
            </w:tcBorders>
            <w:hideMark/>
          </w:tcPr>
          <w:p w14:paraId="0304604C" w14:textId="77777777" w:rsidR="00AE140A" w:rsidRDefault="00AE140A" w:rsidP="00061D75">
            <w:pPr>
              <w:spacing w:after="120" w:line="276" w:lineRule="auto"/>
              <w:jc w:val="both"/>
              <w:rPr>
                <w:rFonts w:ascii="Verdana" w:eastAsia="Calibri" w:hAnsi="Verdana" w:cs="Arial"/>
                <w:lang w:val="es-MX"/>
              </w:rPr>
            </w:pPr>
            <w:bookmarkStart w:id="1" w:name="_Hlk171694685"/>
          </w:p>
          <w:p w14:paraId="1DE606AE" w14:textId="2A6F67AD" w:rsidR="002C789B" w:rsidRDefault="002C789B" w:rsidP="00061D75">
            <w:pPr>
              <w:spacing w:after="120" w:line="276" w:lineRule="auto"/>
              <w:jc w:val="both"/>
              <w:rPr>
                <w:rFonts w:ascii="Verdana" w:eastAsia="Calibri" w:hAnsi="Verdana" w:cs="Arial"/>
                <w:lang w:val="es-MX"/>
              </w:rPr>
            </w:pPr>
            <w:r>
              <w:rPr>
                <w:rFonts w:ascii="Verdana" w:eastAsia="Calibri" w:hAnsi="Verdana" w:cs="Arial"/>
                <w:lang w:val="es-MX"/>
              </w:rPr>
              <w:t xml:space="preserve">Conforme a la interpretación general de las normas del sistema de compras públicas, </w:t>
            </w:r>
            <w:r>
              <w:rPr>
                <w:rFonts w:ascii="Verdana" w:eastAsia="Times New Roman" w:hAnsi="Verdana" w:cs="Arial"/>
                <w:bCs/>
                <w:lang w:val="es-MX" w:eastAsia="x-none"/>
              </w:rPr>
              <w:t>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00F84EE1">
              <w:rPr>
                <w:rFonts w:ascii="Verdana" w:eastAsia="Times New Roman" w:hAnsi="Verdana" w:cs="Arial"/>
                <w:bCs/>
                <w:lang w:val="es-MX" w:eastAsia="x-none"/>
              </w:rPr>
              <w:t>.</w:t>
            </w:r>
          </w:p>
          <w:p w14:paraId="1C9B0267" w14:textId="77777777" w:rsidR="002C789B" w:rsidRPr="00363C91" w:rsidRDefault="002C789B" w:rsidP="00061D75">
            <w:pPr>
              <w:spacing w:after="120" w:line="276" w:lineRule="auto"/>
              <w:ind w:firstLine="743"/>
              <w:jc w:val="both"/>
              <w:rPr>
                <w:rFonts w:ascii="Verdana" w:eastAsia="Calibri" w:hAnsi="Verdana" w:cs="Arial"/>
              </w:rPr>
            </w:pPr>
            <w:r>
              <w:rPr>
                <w:rFonts w:ascii="Verdana" w:eastAsia="Times New Roman" w:hAnsi="Verdana" w:cs="Arial"/>
                <w:lang w:val="es-ES" w:eastAsia="es-ES_tradnl"/>
              </w:rPr>
              <w:t>En virtud de esta restricción y</w:t>
            </w:r>
            <w:r w:rsidRPr="00494FAF">
              <w:rPr>
                <w:rFonts w:ascii="Verdana" w:eastAsia="Times New Roman" w:hAnsi="Verdana" w:cs="Arial"/>
                <w:bCs/>
                <w:lang w:eastAsia="x-none"/>
              </w:rPr>
              <w:t xml:space="preserve"> dando alcance a</w:t>
            </w:r>
            <w:r>
              <w:rPr>
                <w:rFonts w:ascii="Verdana" w:eastAsia="Times New Roman" w:hAnsi="Verdana" w:cs="Arial"/>
                <w:bCs/>
                <w:lang w:eastAsia="x-none"/>
              </w:rPr>
              <w:t xml:space="preserve"> los conceptos C-1512 y C-1529 de 2025, </w:t>
            </w:r>
            <w:r w:rsidRPr="00611BBF">
              <w:rPr>
                <w:rFonts w:ascii="Verdana" w:eastAsia="Calibri" w:hAnsi="Verdana" w:cs="Arial"/>
              </w:rPr>
              <w:t xml:space="preserve">debe precisarse que </w:t>
            </w:r>
            <w:r w:rsidRPr="00ED2EBA">
              <w:rPr>
                <w:rFonts w:ascii="Verdana" w:eastAsia="Calibri" w:hAnsi="Verdana" w:cs="Arial"/>
              </w:rPr>
              <w:t xml:space="preserve">la restricción prevista en el artículo 33 de la Ley 996 de 2005 no resulta aplicable al </w:t>
            </w:r>
            <w:r>
              <w:rPr>
                <w:rFonts w:ascii="Verdana" w:eastAsia="Calibri" w:hAnsi="Verdana" w:cs="Arial"/>
              </w:rPr>
              <w:t xml:space="preserve">procedimiento </w:t>
            </w:r>
            <w:r w:rsidRPr="0013781B">
              <w:rPr>
                <w:rFonts w:ascii="Verdana" w:eastAsia="Calibri" w:hAnsi="Verdana" w:cs="Arial"/>
                <w:lang w:val="es-ES"/>
              </w:rPr>
              <w:t>administrativo de adquisición</w:t>
            </w:r>
            <w:r>
              <w:rPr>
                <w:rFonts w:ascii="Verdana" w:eastAsia="Calibri" w:hAnsi="Verdana" w:cs="Arial"/>
                <w:lang w:val="es-ES"/>
              </w:rPr>
              <w:t xml:space="preserve"> predial</w:t>
            </w:r>
            <w:r w:rsidRPr="0013781B">
              <w:rPr>
                <w:rFonts w:ascii="Verdana" w:eastAsia="Calibri" w:hAnsi="Verdana" w:cs="Arial"/>
                <w:lang w:val="es-ES"/>
              </w:rPr>
              <w:t xml:space="preserve"> </w:t>
            </w:r>
            <w:r w:rsidRPr="00DF2532">
              <w:rPr>
                <w:rFonts w:ascii="Verdana" w:eastAsia="Calibri" w:hAnsi="Verdana" w:cs="Arial"/>
                <w:i/>
                <w:iCs/>
              </w:rPr>
              <w:t>en sí mismo</w:t>
            </w:r>
            <w:r w:rsidRPr="00ED2EBA">
              <w:rPr>
                <w:rFonts w:ascii="Verdana" w:eastAsia="Calibri" w:hAnsi="Verdana" w:cs="Arial"/>
              </w:rPr>
              <w:t>,</w:t>
            </w:r>
            <w:r>
              <w:rPr>
                <w:rFonts w:ascii="Verdana" w:eastAsia="Calibri" w:hAnsi="Verdana" w:cs="Arial"/>
              </w:rPr>
              <w:t xml:space="preserve"> en su etapa preparatoria o preliminar, </w:t>
            </w:r>
            <w:r w:rsidRPr="00ED2EBA">
              <w:rPr>
                <w:rFonts w:ascii="Verdana" w:eastAsia="Calibri" w:hAnsi="Verdana" w:cs="Arial"/>
              </w:rPr>
              <w:t>en la medida en que dicho artículo se refiere a</w:t>
            </w:r>
            <w:r>
              <w:rPr>
                <w:rFonts w:ascii="Verdana" w:eastAsia="Calibri" w:hAnsi="Verdana" w:cs="Arial"/>
              </w:rPr>
              <w:t xml:space="preserve"> la </w:t>
            </w:r>
            <w:r w:rsidRPr="0087731C">
              <w:rPr>
                <w:rFonts w:ascii="Verdana" w:eastAsia="Calibri" w:hAnsi="Verdana" w:cs="Arial"/>
                <w:bCs/>
                <w:lang w:val="es-MX"/>
              </w:rPr>
              <w:t>celebra</w:t>
            </w:r>
            <w:r>
              <w:rPr>
                <w:rFonts w:ascii="Verdana" w:eastAsia="Calibri" w:hAnsi="Verdana" w:cs="Arial"/>
                <w:bCs/>
                <w:lang w:val="es-MX"/>
              </w:rPr>
              <w:t xml:space="preserve">ción de </w:t>
            </w:r>
            <w:r w:rsidRPr="0087731C">
              <w:rPr>
                <w:rFonts w:ascii="Verdana" w:eastAsia="Calibri" w:hAnsi="Verdana" w:cs="Arial"/>
                <w:bCs/>
                <w:lang w:val="es-MX"/>
              </w:rPr>
              <w:t>contrato</w:t>
            </w:r>
            <w:r>
              <w:rPr>
                <w:rFonts w:ascii="Verdana" w:eastAsia="Calibri" w:hAnsi="Verdana" w:cs="Arial"/>
                <w:bCs/>
                <w:lang w:val="es-MX"/>
              </w:rPr>
              <w:t>s</w:t>
            </w:r>
            <w:r w:rsidRPr="0087731C">
              <w:rPr>
                <w:rFonts w:ascii="Verdana" w:eastAsia="Calibri" w:hAnsi="Verdana" w:cs="Arial"/>
                <w:bCs/>
                <w:lang w:val="es-MX"/>
              </w:rPr>
              <w:t xml:space="preserve"> de forma directa, </w:t>
            </w:r>
            <w:r w:rsidRPr="00ED2EBA">
              <w:rPr>
                <w:rFonts w:ascii="Verdana" w:eastAsia="Calibri" w:hAnsi="Verdana" w:cs="Arial"/>
              </w:rPr>
              <w:t>y</w:t>
            </w:r>
            <w:r w:rsidRPr="00611BBF">
              <w:rPr>
                <w:rFonts w:ascii="Verdana" w:eastAsia="Calibri" w:hAnsi="Verdana" w:cs="Arial"/>
              </w:rPr>
              <w:t xml:space="preserve"> no a</w:t>
            </w:r>
            <w:r>
              <w:rPr>
                <w:rFonts w:ascii="Verdana" w:eastAsia="Calibri" w:hAnsi="Verdana" w:cs="Arial"/>
              </w:rPr>
              <w:t xml:space="preserve"> las</w:t>
            </w:r>
            <w:r w:rsidRPr="00611BBF">
              <w:rPr>
                <w:rFonts w:ascii="Verdana" w:eastAsia="Calibri" w:hAnsi="Verdana" w:cs="Arial"/>
              </w:rPr>
              <w:t xml:space="preserve"> actuaciones administrativas</w:t>
            </w:r>
            <w:r>
              <w:rPr>
                <w:rFonts w:ascii="Verdana" w:eastAsia="Calibri" w:hAnsi="Verdana" w:cs="Arial"/>
              </w:rPr>
              <w:t xml:space="preserve"> que se puedan generar previamente</w:t>
            </w:r>
            <w:r w:rsidRPr="00494FAF">
              <w:rPr>
                <w:rFonts w:ascii="Verdana" w:eastAsia="Times New Roman" w:hAnsi="Verdana" w:cs="Arial"/>
                <w:bCs/>
                <w:lang w:eastAsia="x-none"/>
              </w:rPr>
              <w:t xml:space="preserve">. En tal sentido, la gestión predial no se ve paralizada durante el período de restricción. </w:t>
            </w:r>
          </w:p>
          <w:p w14:paraId="01B7DDF2" w14:textId="2EB6B5F9" w:rsidR="002C789B" w:rsidRDefault="00EC7180" w:rsidP="00061D75">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Pr>
                <w:rFonts w:ascii="Verdana" w:eastAsia="Calibri" w:hAnsi="Verdana" w:cs="Arial"/>
                <w:sz w:val="22"/>
                <w:szCs w:val="22"/>
              </w:rPr>
              <w:t>De esta manera</w:t>
            </w:r>
            <w:r w:rsidR="002C789B" w:rsidRPr="00B61452">
              <w:rPr>
                <w:rFonts w:ascii="Verdana" w:eastAsia="Calibri" w:hAnsi="Verdana" w:cs="Arial"/>
                <w:sz w:val="22"/>
                <w:szCs w:val="22"/>
              </w:rPr>
              <w:t xml:space="preserve">, </w:t>
            </w:r>
            <w:r w:rsidR="002C789B" w:rsidRPr="009C69E1">
              <w:rPr>
                <w:rFonts w:ascii="Verdana" w:eastAsia="Calibri" w:hAnsi="Verdana" w:cs="Arial"/>
                <w:sz w:val="22"/>
                <w:szCs w:val="22"/>
              </w:rPr>
              <w:t xml:space="preserve">todos los trámites preparatorios y actuaciones administrativas </w:t>
            </w:r>
            <w:r w:rsidR="002C789B">
              <w:rPr>
                <w:rFonts w:ascii="Verdana" w:eastAsia="Calibri" w:hAnsi="Verdana" w:cs="Arial"/>
                <w:sz w:val="22"/>
                <w:szCs w:val="22"/>
              </w:rPr>
              <w:t xml:space="preserve">de gestión predial </w:t>
            </w:r>
            <w:r w:rsidR="002C789B" w:rsidRPr="00B61452">
              <w:rPr>
                <w:rFonts w:ascii="Verdana" w:eastAsia="Calibri" w:hAnsi="Verdana" w:cs="Arial"/>
                <w:sz w:val="22"/>
                <w:szCs w:val="22"/>
              </w:rPr>
              <w:t>que se surtan dentro de este procedimiento especial</w:t>
            </w:r>
            <w:r w:rsidR="002C789B">
              <w:rPr>
                <w:rFonts w:ascii="Verdana" w:eastAsia="Calibri" w:hAnsi="Verdana" w:cs="Arial"/>
                <w:sz w:val="22"/>
                <w:szCs w:val="22"/>
              </w:rPr>
              <w:t xml:space="preserve">, </w:t>
            </w:r>
            <w:r w:rsidR="002C789B" w:rsidRPr="00B61452">
              <w:rPr>
                <w:rFonts w:ascii="Verdana" w:eastAsia="Calibri" w:hAnsi="Verdana" w:cs="Arial"/>
                <w:sz w:val="22"/>
                <w:szCs w:val="22"/>
              </w:rPr>
              <w:t xml:space="preserve">tales como los avalúos, las ofertas de compra, las negociaciones preliminares y demás actuaciones que no impliquen la celebración de </w:t>
            </w:r>
            <w:r w:rsidR="002C789B" w:rsidRPr="0044553E">
              <w:rPr>
                <w:rFonts w:ascii="Verdana" w:eastAsia="Calibri" w:hAnsi="Verdana" w:cs="Arial"/>
                <w:sz w:val="22"/>
                <w:szCs w:val="22"/>
              </w:rPr>
              <w:t>u</w:t>
            </w:r>
            <w:r w:rsidR="002C789B">
              <w:rPr>
                <w:rFonts w:ascii="Verdana" w:eastAsia="Calibri" w:hAnsi="Verdana" w:cs="Arial"/>
                <w:sz w:val="22"/>
                <w:szCs w:val="22"/>
              </w:rPr>
              <w:t>na promesa de compraventa o contrato compraventa o cualquier otro contrato,</w:t>
            </w:r>
            <w:r w:rsidR="002C789B" w:rsidRPr="0044553E">
              <w:rPr>
                <w:rFonts w:ascii="Verdana" w:eastAsia="Calibri" w:hAnsi="Verdana" w:cs="Arial"/>
                <w:sz w:val="22"/>
                <w:szCs w:val="22"/>
              </w:rPr>
              <w:t xml:space="preserve"> pueden adelantarse válidamente, incluso durante el período de restricción </w:t>
            </w:r>
            <w:r w:rsidR="002C789B" w:rsidRPr="0044553E">
              <w:rPr>
                <w:rFonts w:ascii="Verdana" w:eastAsia="Calibri" w:hAnsi="Verdana" w:cs="Arial"/>
                <w:sz w:val="22"/>
                <w:szCs w:val="22"/>
              </w:rPr>
              <w:lastRenderedPageBreak/>
              <w:t xml:space="preserve">previsto en la </w:t>
            </w:r>
            <w:r w:rsidR="002C789B">
              <w:rPr>
                <w:rFonts w:ascii="Verdana" w:eastAsia="Calibri" w:hAnsi="Verdana" w:cs="Arial"/>
                <w:sz w:val="22"/>
                <w:szCs w:val="22"/>
              </w:rPr>
              <w:t>L</w:t>
            </w:r>
            <w:r w:rsidR="002C789B" w:rsidRPr="0044553E">
              <w:rPr>
                <w:rFonts w:ascii="Verdana" w:eastAsia="Calibri" w:hAnsi="Verdana" w:cs="Arial"/>
                <w:sz w:val="22"/>
                <w:szCs w:val="22"/>
              </w:rPr>
              <w:t xml:space="preserve">ey de </w:t>
            </w:r>
            <w:r w:rsidR="002C789B">
              <w:rPr>
                <w:rFonts w:ascii="Verdana" w:eastAsia="Calibri" w:hAnsi="Verdana" w:cs="Arial"/>
                <w:sz w:val="22"/>
                <w:szCs w:val="22"/>
              </w:rPr>
              <w:t>G</w:t>
            </w:r>
            <w:r w:rsidR="002C789B" w:rsidRPr="0044553E">
              <w:rPr>
                <w:rFonts w:ascii="Verdana" w:eastAsia="Calibri" w:hAnsi="Verdana" w:cs="Arial"/>
                <w:sz w:val="22"/>
                <w:szCs w:val="22"/>
              </w:rPr>
              <w:t>arantías</w:t>
            </w:r>
            <w:r w:rsidR="002C789B">
              <w:rPr>
                <w:rFonts w:ascii="Verdana" w:eastAsia="Calibri" w:hAnsi="Verdana" w:cs="Arial"/>
                <w:sz w:val="22"/>
                <w:szCs w:val="22"/>
              </w:rPr>
              <w:t xml:space="preserve"> Electorales</w:t>
            </w:r>
            <w:r w:rsidR="002C789B" w:rsidRPr="0044553E">
              <w:rPr>
                <w:rFonts w:ascii="Verdana" w:eastAsia="Calibri" w:hAnsi="Verdana" w:cs="Arial"/>
                <w:sz w:val="22"/>
                <w:szCs w:val="22"/>
              </w:rPr>
              <w:t>, por cuanto no configuran</w:t>
            </w:r>
            <w:r w:rsidR="002C789B">
              <w:rPr>
                <w:rFonts w:ascii="Verdana" w:eastAsia="Calibri" w:hAnsi="Verdana" w:cs="Arial"/>
                <w:sz w:val="22"/>
                <w:szCs w:val="22"/>
              </w:rPr>
              <w:t xml:space="preserve"> los</w:t>
            </w:r>
            <w:r w:rsidR="002C789B" w:rsidRPr="0044553E">
              <w:rPr>
                <w:rFonts w:ascii="Verdana" w:eastAsia="Calibri" w:hAnsi="Verdana" w:cs="Arial"/>
                <w:sz w:val="22"/>
                <w:szCs w:val="22"/>
              </w:rPr>
              <w:t xml:space="preserve"> supuestos de contratación </w:t>
            </w:r>
            <w:r w:rsidR="002C789B">
              <w:rPr>
                <w:rFonts w:ascii="Verdana" w:eastAsia="Calibri" w:hAnsi="Verdana" w:cs="Arial"/>
                <w:sz w:val="22"/>
                <w:szCs w:val="22"/>
              </w:rPr>
              <w:t>directa al que se refiere el artículo en comento</w:t>
            </w:r>
            <w:r w:rsidR="002C789B" w:rsidRPr="0044553E">
              <w:rPr>
                <w:rFonts w:ascii="Verdana" w:eastAsia="Calibri" w:hAnsi="Verdana" w:cs="Arial"/>
                <w:sz w:val="22"/>
                <w:szCs w:val="22"/>
              </w:rPr>
              <w:t>.</w:t>
            </w:r>
          </w:p>
          <w:p w14:paraId="05CA4D0E" w14:textId="3816FC49" w:rsidR="002C789B" w:rsidRPr="000D58B6" w:rsidRDefault="002C789B" w:rsidP="00061D75">
            <w:pPr>
              <w:spacing w:after="120" w:line="276" w:lineRule="auto"/>
              <w:ind w:firstLine="709"/>
              <w:jc w:val="both"/>
              <w:rPr>
                <w:rFonts w:ascii="Verdana" w:hAnsi="Verdana" w:cs="Arial"/>
                <w:bCs/>
                <w:lang w:eastAsia="es-CO"/>
              </w:rPr>
            </w:pPr>
            <w:r>
              <w:rPr>
                <w:rFonts w:ascii="Verdana" w:eastAsia="Times New Roman" w:hAnsi="Verdana" w:cs="Arial"/>
              </w:rPr>
              <w:t>E</w:t>
            </w:r>
            <w:r w:rsidRPr="00FB77DC">
              <w:rPr>
                <w:rFonts w:ascii="Verdana" w:eastAsia="Times New Roman" w:hAnsi="Verdana" w:cs="Arial"/>
              </w:rPr>
              <w:t xml:space="preserve">n ese orden de ideas, corresponde a la entidad verificar la naturaleza jurídica de las actuaciones </w:t>
            </w:r>
            <w:r>
              <w:rPr>
                <w:rFonts w:ascii="Verdana" w:eastAsia="Times New Roman" w:hAnsi="Verdana" w:cs="Arial"/>
              </w:rPr>
              <w:t xml:space="preserve">preliminares </w:t>
            </w:r>
            <w:r w:rsidRPr="00FB77DC">
              <w:rPr>
                <w:rFonts w:ascii="Verdana" w:eastAsia="Times New Roman" w:hAnsi="Verdana" w:cs="Arial"/>
              </w:rPr>
              <w:t xml:space="preserve">de gestión predial que se adelantarán en el marco </w:t>
            </w:r>
            <w:r>
              <w:rPr>
                <w:rFonts w:ascii="Verdana" w:eastAsia="Times New Roman" w:hAnsi="Verdana" w:cs="Arial"/>
              </w:rPr>
              <w:t>del</w:t>
            </w:r>
            <w:r w:rsidRPr="00FB77DC">
              <w:rPr>
                <w:rFonts w:ascii="Verdana" w:eastAsia="Times New Roman" w:hAnsi="Verdana" w:cs="Arial"/>
              </w:rPr>
              <w:t xml:space="preserve"> procedimiento administrativo</w:t>
            </w:r>
            <w:r>
              <w:rPr>
                <w:rFonts w:ascii="Verdana" w:eastAsia="Times New Roman" w:hAnsi="Verdana" w:cs="Arial"/>
              </w:rPr>
              <w:t xml:space="preserve"> referido</w:t>
            </w:r>
            <w:r w:rsidRPr="00FB77DC">
              <w:rPr>
                <w:rFonts w:ascii="Verdana" w:eastAsia="Times New Roman" w:hAnsi="Verdana" w:cs="Arial"/>
              </w:rPr>
              <w:t>, precis</w:t>
            </w:r>
            <w:r>
              <w:rPr>
                <w:rFonts w:ascii="Verdana" w:eastAsia="Times New Roman" w:hAnsi="Verdana" w:cs="Arial"/>
              </w:rPr>
              <w:t>ando</w:t>
            </w:r>
            <w:r w:rsidRPr="00FB77DC">
              <w:rPr>
                <w:rFonts w:ascii="Verdana" w:eastAsia="Times New Roman" w:hAnsi="Verdana" w:cs="Arial"/>
              </w:rPr>
              <w:t xml:space="preserve"> que dichas actuaciones no implican, por sí mismas, la celebración directa de un contrato estatal</w:t>
            </w:r>
            <w:r w:rsidRPr="00724D86">
              <w:rPr>
                <w:rFonts w:ascii="Verdana" w:eastAsia="Times New Roman" w:hAnsi="Verdana" w:cs="Arial"/>
                <w:lang w:val="es-ES"/>
              </w:rPr>
              <w:t>. Esta diferenciación resulta esencial, en la medida en que la prohibici</w:t>
            </w:r>
            <w:r>
              <w:rPr>
                <w:rFonts w:ascii="Verdana" w:eastAsia="Times New Roman" w:hAnsi="Verdana" w:cs="Arial"/>
                <w:lang w:val="es-ES"/>
              </w:rPr>
              <w:t>ón</w:t>
            </w:r>
            <w:r w:rsidRPr="00724D86">
              <w:rPr>
                <w:rFonts w:ascii="Verdana" w:eastAsia="Times New Roman" w:hAnsi="Verdana" w:cs="Arial"/>
                <w:lang w:val="es-ES"/>
              </w:rPr>
              <w:t xml:space="preserve"> prevista en el artículo 33 de la Ley 996 de 2005 se</w:t>
            </w:r>
            <w:r w:rsidRPr="00BC1926">
              <w:rPr>
                <w:rFonts w:ascii="Verdana" w:eastAsia="Times New Roman" w:hAnsi="Verdana" w:cs="Arial"/>
                <w:lang w:val="es-ES"/>
              </w:rPr>
              <w:t xml:space="preserve"> </w:t>
            </w:r>
            <w:r>
              <w:rPr>
                <w:rFonts w:ascii="Verdana" w:eastAsia="Times New Roman" w:hAnsi="Verdana" w:cs="Arial"/>
                <w:lang w:val="es-ES"/>
              </w:rPr>
              <w:t xml:space="preserve">configura </w:t>
            </w:r>
            <w:r w:rsidRPr="001C7B22">
              <w:rPr>
                <w:rFonts w:ascii="Verdana" w:eastAsia="Times New Roman" w:hAnsi="Verdana" w:cs="Arial"/>
                <w:lang w:val="es-ES"/>
              </w:rPr>
              <w:t xml:space="preserve">cuando </w:t>
            </w:r>
            <w:r>
              <w:rPr>
                <w:rFonts w:ascii="Verdana" w:eastAsia="Times New Roman" w:hAnsi="Verdana" w:cs="Arial"/>
                <w:lang w:val="es-ES"/>
              </w:rPr>
              <w:t>se refiera a la celebración de un</w:t>
            </w:r>
            <w:r w:rsidRPr="001C7B22">
              <w:rPr>
                <w:rFonts w:ascii="Verdana" w:eastAsia="Times New Roman" w:hAnsi="Verdana" w:cs="Arial"/>
                <w:lang w:val="es-ES"/>
              </w:rPr>
              <w:t xml:space="preserve"> contrato en sentido estricto</w:t>
            </w:r>
            <w:r w:rsidRPr="00724D86">
              <w:rPr>
                <w:rFonts w:ascii="Verdana" w:eastAsia="Times New Roman" w:hAnsi="Verdana" w:cs="Arial"/>
                <w:lang w:val="es-ES"/>
              </w:rPr>
              <w:t>, mas no frente a actuaciones administrativas que no genera</w:t>
            </w:r>
            <w:r>
              <w:rPr>
                <w:rFonts w:ascii="Verdana" w:eastAsia="Times New Roman" w:hAnsi="Verdana" w:cs="Arial"/>
                <w:lang w:val="es-ES"/>
              </w:rPr>
              <w:t>n propiamente u</w:t>
            </w:r>
            <w:r w:rsidRPr="00724D86">
              <w:rPr>
                <w:rFonts w:ascii="Verdana" w:eastAsia="Times New Roman" w:hAnsi="Verdana" w:cs="Arial"/>
                <w:lang w:val="es-ES"/>
              </w:rPr>
              <w:t xml:space="preserve">na relación contractual entre la entidad </w:t>
            </w:r>
            <w:r>
              <w:rPr>
                <w:rFonts w:ascii="Verdana" w:eastAsia="Times New Roman" w:hAnsi="Verdana" w:cs="Arial"/>
                <w:lang w:val="es-ES"/>
              </w:rPr>
              <w:t xml:space="preserve">y el particular. </w:t>
            </w:r>
          </w:p>
          <w:p w14:paraId="3CFAD826" w14:textId="77777777" w:rsidR="002C789B" w:rsidRDefault="002C789B" w:rsidP="00061D75">
            <w:pPr>
              <w:tabs>
                <w:tab w:val="left" w:pos="709"/>
              </w:tabs>
              <w:spacing w:before="120" w:after="120" w:line="276" w:lineRule="auto"/>
              <w:ind w:firstLine="709"/>
              <w:jc w:val="both"/>
              <w:rPr>
                <w:rFonts w:ascii="Verdana" w:eastAsia="Calibri" w:hAnsi="Verdana" w:cs="Arial"/>
                <w:bCs/>
                <w:color w:val="000000" w:themeColor="text1"/>
              </w:rPr>
            </w:pPr>
            <w:r w:rsidRPr="00494FAF">
              <w:rPr>
                <w:rFonts w:ascii="Verdana" w:eastAsia="Times New Roman" w:hAnsi="Verdana" w:cs="Arial"/>
                <w:bCs/>
                <w:lang w:eastAsia="x-none"/>
              </w:rPr>
              <w:t xml:space="preserve">No obstante, frente a la celebración de una promesa de compraventa o de un contrato de compraventa, sí resulta aplicable la restricción prevista en el citado artículo 33, razón por la cual se reitera la postura sostenida en los conceptos C-1512 y C-1529, en tanto dichos negocios jurídicos comportan la celebración </w:t>
            </w:r>
            <w:r>
              <w:rPr>
                <w:rFonts w:ascii="Verdana" w:eastAsia="Times New Roman" w:hAnsi="Verdana" w:cs="Arial"/>
                <w:bCs/>
                <w:lang w:eastAsia="x-none"/>
              </w:rPr>
              <w:t xml:space="preserve">directa </w:t>
            </w:r>
            <w:r w:rsidRPr="00494FAF">
              <w:rPr>
                <w:rFonts w:ascii="Verdana" w:eastAsia="Times New Roman" w:hAnsi="Verdana" w:cs="Arial"/>
                <w:bCs/>
                <w:lang w:eastAsia="x-none"/>
              </w:rPr>
              <w:t>de un contrato estatal</w:t>
            </w:r>
            <w:r>
              <w:rPr>
                <w:rFonts w:ascii="Verdana" w:eastAsia="Times New Roman" w:hAnsi="Verdana" w:cs="Arial"/>
                <w:bCs/>
                <w:lang w:eastAsia="x-none"/>
              </w:rPr>
              <w:t xml:space="preserve">. </w:t>
            </w:r>
            <w:r w:rsidRPr="00A00771">
              <w:rPr>
                <w:rFonts w:ascii="Verdana" w:eastAsia="Calibri" w:hAnsi="Verdana" w:cs="Arial"/>
                <w:lang w:eastAsia="es-CO"/>
              </w:rPr>
              <w:t>En efecto,</w:t>
            </w:r>
            <w:r>
              <w:rPr>
                <w:rFonts w:ascii="Verdana" w:eastAsia="Calibri" w:hAnsi="Verdana" w:cs="Arial"/>
                <w:lang w:eastAsia="es-CO"/>
              </w:rPr>
              <w:t xml:space="preserve"> en</w:t>
            </w:r>
            <w:r w:rsidRPr="00A00771">
              <w:rPr>
                <w:rFonts w:ascii="Verdana" w:eastAsia="Calibri" w:hAnsi="Verdana" w:cs="Arial"/>
                <w:lang w:eastAsia="es-CO"/>
              </w:rPr>
              <w:t xml:space="preserve"> la promesa de compraventa </w:t>
            </w:r>
            <w:r>
              <w:rPr>
                <w:rFonts w:ascii="Verdana" w:eastAsia="Calibri" w:hAnsi="Verdana" w:cs="Arial"/>
              </w:rPr>
              <w:t>y</w:t>
            </w:r>
            <w:r w:rsidRPr="00A00771">
              <w:rPr>
                <w:rFonts w:ascii="Verdana" w:eastAsia="Calibri" w:hAnsi="Verdana" w:cs="Arial"/>
                <w:lang w:eastAsia="es-CO"/>
              </w:rPr>
              <w:t xml:space="preserve"> </w:t>
            </w:r>
            <w:r>
              <w:rPr>
                <w:rFonts w:ascii="Verdana" w:eastAsia="Calibri" w:hAnsi="Verdana" w:cs="Arial"/>
                <w:lang w:eastAsia="es-CO"/>
              </w:rPr>
              <w:t xml:space="preserve">en </w:t>
            </w:r>
            <w:r w:rsidRPr="00A00771">
              <w:rPr>
                <w:rFonts w:ascii="Verdana" w:eastAsia="Calibri" w:hAnsi="Verdana" w:cs="Arial"/>
                <w:lang w:eastAsia="es-CO"/>
              </w:rPr>
              <w:t xml:space="preserve">el contrato de compraventa </w:t>
            </w:r>
            <w:r>
              <w:rPr>
                <w:rFonts w:ascii="Verdana" w:eastAsia="Times New Roman" w:hAnsi="Verdana" w:cs="Arial"/>
                <w:lang w:val="es-ES" w:eastAsia="es-ES_tradnl"/>
              </w:rPr>
              <w:t xml:space="preserve">participan entidades estatales y se invierten recursos de naturaleza pública, por lo cual puede afirmarse que estos actos jurídicos negociales son auténticos contratos estatales, según el criterio orgánico establecido en el artículo 32 de la Ley 80 de 1993, en concordancia el artículo 2 </w:t>
            </w:r>
            <w:r>
              <w:rPr>
                <w:rFonts w:ascii="Verdana" w:eastAsia="Times New Roman" w:hAnsi="Verdana" w:cs="Arial"/>
                <w:i/>
                <w:iCs/>
                <w:lang w:val="es-ES" w:eastAsia="es-ES_tradnl"/>
              </w:rPr>
              <w:t>ibidem</w:t>
            </w:r>
            <w:r>
              <w:rPr>
                <w:rFonts w:ascii="Verdana" w:eastAsia="Times New Roman" w:hAnsi="Verdana" w:cs="Arial"/>
                <w:lang w:val="es-ES" w:eastAsia="es-ES_tradnl"/>
              </w:rPr>
              <w:t xml:space="preserve"> y en armonía con lo dispuesto por el artículo 1 de la Ley 1150 de 2007. Estos negocios jurídicos </w:t>
            </w:r>
            <w:r w:rsidRPr="00A00771">
              <w:rPr>
                <w:rFonts w:ascii="Verdana" w:eastAsia="Calibri" w:hAnsi="Verdana" w:cs="Arial"/>
                <w:lang w:eastAsia="es-CO"/>
              </w:rPr>
              <w:t>constituyen formas de contratación directa, en cuanto su celebración se realiza con un sujeto determinado, sin convocatoria pública y sin posibilidad de concurrencia de una pluralidad de oferentes.</w:t>
            </w:r>
          </w:p>
          <w:p w14:paraId="7E42EDE7" w14:textId="77777777" w:rsidR="002C789B" w:rsidRDefault="002C789B" w:rsidP="00061D75">
            <w:pPr>
              <w:spacing w:line="276" w:lineRule="auto"/>
              <w:ind w:right="51" w:firstLine="737"/>
              <w:jc w:val="both"/>
              <w:rPr>
                <w:rFonts w:ascii="Verdana" w:eastAsia="Calibri" w:hAnsi="Verdana" w:cs="Arial"/>
                <w:bCs/>
                <w:color w:val="000000" w:themeColor="text1"/>
              </w:rPr>
            </w:pPr>
          </w:p>
        </w:tc>
      </w:tr>
    </w:tbl>
    <w:p w14:paraId="69B064F1" w14:textId="77777777" w:rsidR="002C789B" w:rsidRDefault="002C789B" w:rsidP="002C789B">
      <w:pPr>
        <w:tabs>
          <w:tab w:val="left" w:pos="142"/>
          <w:tab w:val="left" w:pos="284"/>
        </w:tabs>
        <w:spacing w:after="0" w:line="276" w:lineRule="auto"/>
        <w:jc w:val="both"/>
        <w:rPr>
          <w:rFonts w:ascii="Verdana" w:eastAsia="Century Gothic" w:hAnsi="Verdana" w:cs="Century Gothic"/>
          <w:b/>
          <w:bCs/>
          <w:lang w:val="es-ES"/>
        </w:rPr>
      </w:pPr>
    </w:p>
    <w:bookmarkEnd w:id="1"/>
    <w:p w14:paraId="2F1D694A" w14:textId="77777777" w:rsidR="002C789B" w:rsidRDefault="002C789B" w:rsidP="002C789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Razones de la respuesta:</w:t>
      </w:r>
    </w:p>
    <w:p w14:paraId="165CF967" w14:textId="77777777" w:rsidR="002C789B" w:rsidRDefault="002C789B" w:rsidP="002C789B">
      <w:pPr>
        <w:spacing w:after="0" w:line="276" w:lineRule="auto"/>
        <w:jc w:val="both"/>
        <w:rPr>
          <w:rFonts w:ascii="Verdana" w:eastAsia="Calibri" w:hAnsi="Verdana" w:cs="Arial"/>
          <w:color w:val="7030A0"/>
          <w:lang w:val="es-ES"/>
        </w:rPr>
      </w:pPr>
    </w:p>
    <w:p w14:paraId="07D89CC5" w14:textId="77777777" w:rsidR="002C789B" w:rsidRDefault="002C789B" w:rsidP="002C789B">
      <w:pPr>
        <w:spacing w:after="0" w:line="276" w:lineRule="auto"/>
        <w:jc w:val="both"/>
        <w:rPr>
          <w:rFonts w:ascii="Verdana" w:eastAsia="Calibri" w:hAnsi="Verdana" w:cs="Arial"/>
          <w:lang w:val="es-ES"/>
        </w:rPr>
      </w:pPr>
      <w:r>
        <w:rPr>
          <w:rFonts w:ascii="Verdana" w:eastAsia="Calibri" w:hAnsi="Verdana" w:cs="Arial"/>
          <w:lang w:val="es-ES"/>
        </w:rPr>
        <w:t>Lo anterior se sustenta en las siguientes consideraciones:</w:t>
      </w:r>
    </w:p>
    <w:p w14:paraId="1C02D576" w14:textId="77777777" w:rsidR="002C789B" w:rsidRDefault="002C789B" w:rsidP="002C789B">
      <w:pPr>
        <w:spacing w:after="0" w:line="276" w:lineRule="auto"/>
        <w:jc w:val="both"/>
        <w:rPr>
          <w:rFonts w:ascii="Verdana" w:eastAsia="Calibri" w:hAnsi="Verdana" w:cs="Arial"/>
          <w:lang w:val="es-ES"/>
        </w:rPr>
      </w:pPr>
    </w:p>
    <w:p w14:paraId="33C3C392" w14:textId="77777777" w:rsidR="002C789B" w:rsidRDefault="002C789B" w:rsidP="002C789B">
      <w:pPr>
        <w:tabs>
          <w:tab w:val="left" w:pos="426"/>
        </w:tabs>
        <w:spacing w:after="120" w:line="276" w:lineRule="auto"/>
        <w:jc w:val="both"/>
        <w:rPr>
          <w:rFonts w:ascii="Verdana" w:eastAsia="Times New Roman" w:hAnsi="Verdana" w:cs="Arial"/>
          <w:lang w:val="es-ES" w:eastAsia="es-ES_tradnl"/>
        </w:rPr>
      </w:pPr>
      <w:r>
        <w:rPr>
          <w:rFonts w:ascii="Verdana" w:eastAsia="Calibri" w:hAnsi="Verdana" w:cs="Arial"/>
        </w:rPr>
        <w:t xml:space="preserve">i. </w:t>
      </w:r>
      <w:r w:rsidRPr="007A60E6">
        <w:rPr>
          <w:rFonts w:ascii="Verdana" w:eastAsia="Calibri" w:hAnsi="Verdana" w:cs="Arial"/>
          <w:color w:val="000000" w:themeColor="text1"/>
          <w:lang w:val="es-ES_tradnl"/>
        </w:rPr>
        <w:t>Como punto de partida,</w:t>
      </w:r>
      <w:r>
        <w:rPr>
          <w:rFonts w:ascii="Verdana" w:eastAsia="Calibri" w:hAnsi="Verdana" w:cs="Arial"/>
          <w:color w:val="000000" w:themeColor="text1"/>
          <w:lang w:val="es-ES_tradnl"/>
        </w:rPr>
        <w:t xml:space="preserve"> resulta </w:t>
      </w:r>
      <w:r w:rsidRPr="007A60E6">
        <w:rPr>
          <w:rFonts w:ascii="Verdana" w:eastAsia="Calibri" w:hAnsi="Verdana" w:cs="Arial"/>
          <w:color w:val="000000" w:themeColor="text1"/>
          <w:lang w:val="es-ES_tradnl"/>
        </w:rPr>
        <w:t>pertinente</w:t>
      </w:r>
      <w:r>
        <w:rPr>
          <w:rFonts w:ascii="Verdana" w:eastAsia="Calibri" w:hAnsi="Verdana" w:cs="Arial"/>
          <w:color w:val="000000" w:themeColor="text1"/>
          <w:lang w:val="es-ES_tradnl"/>
        </w:rPr>
        <w:t xml:space="preserve"> reiterar </w:t>
      </w:r>
      <w:r>
        <w:rPr>
          <w:rFonts w:ascii="Verdana" w:eastAsia="Calibri" w:hAnsi="Verdana" w:cs="Arial"/>
          <w:bCs/>
          <w:color w:val="000000" w:themeColor="text1"/>
        </w:rPr>
        <w:t>lo expuesto sobre</w:t>
      </w:r>
      <w:r w:rsidRPr="003E5E57">
        <w:rPr>
          <w:rFonts w:ascii="Verdana" w:eastAsia="Calibri" w:hAnsi="Verdana" w:cs="Arial"/>
          <w:bCs/>
          <w:color w:val="000000" w:themeColor="text1"/>
        </w:rPr>
        <w:t xml:space="preserve"> alcance</w:t>
      </w:r>
      <w:r>
        <w:rPr>
          <w:rFonts w:ascii="Verdana" w:eastAsia="Calibri" w:hAnsi="Verdana" w:cs="Arial"/>
          <w:bCs/>
          <w:color w:val="000000" w:themeColor="text1"/>
        </w:rPr>
        <w:t xml:space="preserve"> </w:t>
      </w:r>
      <w:r w:rsidRPr="003E5E57">
        <w:rPr>
          <w:rFonts w:ascii="Verdana" w:eastAsia="Calibri" w:hAnsi="Verdana" w:cs="Arial"/>
          <w:bCs/>
          <w:color w:val="000000" w:themeColor="text1"/>
        </w:rPr>
        <w:t xml:space="preserve">del concepto </w:t>
      </w:r>
      <w:r w:rsidRPr="003E5E57">
        <w:rPr>
          <w:rFonts w:ascii="Verdana" w:eastAsia="Calibri" w:hAnsi="Verdana" w:cs="Arial"/>
          <w:color w:val="000000"/>
          <w:lang w:val="es-ES"/>
        </w:rPr>
        <w:t>de</w:t>
      </w:r>
      <w:r>
        <w:rPr>
          <w:rFonts w:ascii="Verdana" w:eastAsia="Calibri" w:hAnsi="Verdana" w:cs="Arial"/>
          <w:color w:val="000000"/>
          <w:lang w:val="es-ES"/>
        </w:rPr>
        <w:t xml:space="preserve">l artículo </w:t>
      </w:r>
      <w:r>
        <w:rPr>
          <w:rFonts w:ascii="Verdana" w:eastAsia="Times New Roman" w:hAnsi="Verdana" w:cs="Arial"/>
          <w:bCs/>
          <w:lang w:val="es-MX" w:eastAsia="x-none"/>
        </w:rPr>
        <w:t>33 de la Ley 996 de 2005</w:t>
      </w:r>
      <w:r>
        <w:rPr>
          <w:rFonts w:ascii="Verdana" w:eastAsia="Calibri" w:hAnsi="Verdana" w:cs="Arial"/>
          <w:color w:val="000000"/>
          <w:lang w:val="es-ES"/>
        </w:rPr>
        <w:t xml:space="preserve"> al que se hizo referencia en los conceptos C-1512 y C-1529 de 2025, con la finalidad de determinar el marco que delimita su aplicación</w:t>
      </w:r>
      <w:r>
        <w:rPr>
          <w:rFonts w:ascii="Verdana" w:eastAsia="Times New Roman" w:hAnsi="Verdana" w:cs="Arial"/>
          <w:lang w:val="es-ES" w:eastAsia="es-ES_tradnl"/>
        </w:rPr>
        <w:t xml:space="preserve">. </w:t>
      </w:r>
    </w:p>
    <w:p w14:paraId="78327840" w14:textId="77777777" w:rsidR="002C789B" w:rsidRDefault="002C789B" w:rsidP="002C789B">
      <w:pPr>
        <w:tabs>
          <w:tab w:val="left" w:pos="426"/>
        </w:tabs>
        <w:spacing w:after="120" w:line="276" w:lineRule="auto"/>
        <w:ind w:firstLine="709"/>
        <w:jc w:val="both"/>
        <w:rPr>
          <w:rFonts w:ascii="Verdana" w:eastAsia="Calibri" w:hAnsi="Verdana" w:cs="Arial"/>
        </w:rPr>
      </w:pPr>
      <w:r w:rsidRPr="0066044D">
        <w:rPr>
          <w:rFonts w:ascii="Verdana" w:eastAsia="Calibri" w:hAnsi="Verdana" w:cs="Arial"/>
          <w:color w:val="000000"/>
          <w:lang w:val="es-ES"/>
        </w:rPr>
        <w:lastRenderedPageBreak/>
        <w:t xml:space="preserve">De esta manera, es preciso señalar que </w:t>
      </w:r>
      <w:bookmarkStart w:id="2" w:name="_Hlk100679383"/>
      <w:r>
        <w:rPr>
          <w:rFonts w:ascii="Verdana" w:eastAsia="Calibri" w:hAnsi="Verdana" w:cs="Arial"/>
        </w:rPr>
        <w:t xml:space="preserve">el </w:t>
      </w:r>
      <w:r>
        <w:rPr>
          <w:rFonts w:ascii="Verdana" w:eastAsia="Calibri" w:hAnsi="Verdana" w:cs="Arial"/>
          <w:i/>
          <w:iCs/>
        </w:rPr>
        <w:t>artículo 33 de la Ley 996 de 2005</w:t>
      </w:r>
      <w:r>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vertAlign w:val="superscript"/>
        </w:rPr>
        <w:footnoteReference w:id="1"/>
      </w:r>
      <w:r>
        <w:rPr>
          <w:rFonts w:ascii="Verdana" w:eastAsia="Calibri" w:hAnsi="Verdana" w:cs="Arial"/>
        </w:rPr>
        <w:t>.</w:t>
      </w:r>
      <w:bookmarkEnd w:id="2"/>
      <w:r>
        <w:rPr>
          <w:rFonts w:ascii="Verdana" w:eastAsia="Arial" w:hAnsi="Verdana" w:cs="Arial"/>
          <w:lang w:val="es-ES" w:eastAsia="es-ES" w:bidi="es-ES"/>
        </w:rPr>
        <w:t xml:space="preserve"> </w:t>
      </w:r>
      <w:bookmarkStart w:id="4" w:name="_Hlk78820161"/>
    </w:p>
    <w:p w14:paraId="433C22A4" w14:textId="77777777" w:rsidR="002C789B" w:rsidRPr="00EA6DF5" w:rsidRDefault="002C789B" w:rsidP="002C789B">
      <w:pPr>
        <w:spacing w:after="120" w:line="276" w:lineRule="auto"/>
        <w:ind w:firstLine="708"/>
        <w:jc w:val="both"/>
        <w:rPr>
          <w:rFonts w:ascii="Verdana" w:eastAsia="Calibri" w:hAnsi="Verdana" w:cs="Arial"/>
        </w:rPr>
      </w:pPr>
      <w:r>
        <w:rPr>
          <w:rFonts w:ascii="Verdana" w:eastAsia="Times New Roman" w:hAnsi="Verdana" w:cs="Arial"/>
          <w:bCs/>
          <w:lang w:val="es-MX" w:eastAsia="x-none"/>
        </w:rPr>
        <w:t xml:space="preserve">Respecto del ámbito material de la prohibición contenida en el artículo 33 de la ley 996 de 2005, está delimitado por la expresión </w:t>
      </w:r>
      <w:r>
        <w:rPr>
          <w:rFonts w:ascii="Verdana" w:eastAsia="Calibri" w:hAnsi="Verdana" w:cs="Arial"/>
          <w:bCs/>
          <w:sz w:val="20"/>
          <w:szCs w:val="20"/>
          <w:lang w:val="es-MX"/>
        </w:rPr>
        <w:t>“</w:t>
      </w:r>
      <w:r>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Pr>
          <w:rFonts w:ascii="Verdana" w:eastAsia="Times New Roman" w:hAnsi="Verdana" w:cs="Arial"/>
          <w:bCs/>
          <w:lang w:val="es-MX" w:eastAsia="x-none"/>
        </w:rPr>
        <w:t xml:space="preserve">. </w:t>
      </w:r>
      <w:r>
        <w:rPr>
          <w:rFonts w:ascii="Verdana" w:eastAsia="Times New Roman" w:hAnsi="Verdana" w:cs="Arial"/>
          <w:lang w:val="es-MX" w:eastAsia="es-CO"/>
        </w:rPr>
        <w:t xml:space="preserve"> A propósito de </w:t>
      </w:r>
      <w:r>
        <w:rPr>
          <w:rFonts w:ascii="Verdana" w:eastAsia="Times New Roman" w:hAnsi="Verdana" w:cs="Arial"/>
          <w:lang w:eastAsia="es-CO"/>
        </w:rPr>
        <w:t>esta restricción de la Ley de Garantías Electorales, la Sala de Consulta y Servicio Civil del Consejo de Estado ha considerado que:</w:t>
      </w:r>
    </w:p>
    <w:p w14:paraId="7509BCED" w14:textId="77777777" w:rsidR="002C789B" w:rsidRDefault="002C789B" w:rsidP="002C789B">
      <w:pPr>
        <w:spacing w:after="0" w:line="276" w:lineRule="auto"/>
        <w:ind w:left="708" w:right="709"/>
        <w:jc w:val="both"/>
        <w:rPr>
          <w:rFonts w:ascii="Verdana" w:eastAsia="Calibri" w:hAnsi="Verdana" w:cs="Arial"/>
          <w:lang w:val="es-MX"/>
        </w:rPr>
      </w:pPr>
    </w:p>
    <w:p w14:paraId="11A1B7A7" w14:textId="77777777" w:rsidR="002C789B" w:rsidRDefault="002C789B" w:rsidP="002C789B">
      <w:pPr>
        <w:spacing w:after="12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Pr>
          <w:rFonts w:ascii="Verdana" w:eastAsia="Times New Roman" w:hAnsi="Verdana" w:cs="Arial"/>
          <w:sz w:val="20"/>
          <w:szCs w:val="20"/>
          <w:vertAlign w:val="superscript"/>
          <w:lang w:eastAsia="es-CO"/>
        </w:rPr>
        <w:footnoteReference w:id="2"/>
      </w:r>
      <w:r>
        <w:rPr>
          <w:rFonts w:ascii="Verdana" w:eastAsia="Calibri" w:hAnsi="Verdana" w:cs="Arial"/>
          <w:sz w:val="20"/>
          <w:szCs w:val="20"/>
          <w:lang w:val="es-MX"/>
        </w:rPr>
        <w:t>.</w:t>
      </w:r>
    </w:p>
    <w:p w14:paraId="040F3659" w14:textId="77777777" w:rsidR="002C789B" w:rsidRDefault="002C789B" w:rsidP="002C789B">
      <w:pPr>
        <w:spacing w:after="0" w:line="240" w:lineRule="auto"/>
        <w:ind w:left="708" w:right="709"/>
        <w:jc w:val="both"/>
        <w:rPr>
          <w:rFonts w:ascii="Verdana" w:eastAsia="Calibri" w:hAnsi="Verdana" w:cs="Arial"/>
          <w:sz w:val="20"/>
          <w:szCs w:val="20"/>
          <w:lang w:val="es-MX"/>
        </w:rPr>
      </w:pPr>
      <w:r>
        <w:rPr>
          <w:rFonts w:ascii="Verdana" w:eastAsia="Calibri" w:hAnsi="Verdana" w:cs="Arial"/>
          <w:sz w:val="20"/>
          <w:szCs w:val="20"/>
          <w:lang w:val="es-MX"/>
        </w:rPr>
        <w:t xml:space="preserve">Esta Sala ha entendido </w:t>
      </w:r>
      <w:proofErr w:type="gramStart"/>
      <w:r>
        <w:rPr>
          <w:rFonts w:ascii="Verdana" w:eastAsia="Calibri" w:hAnsi="Verdana" w:cs="Arial"/>
          <w:sz w:val="20"/>
          <w:szCs w:val="20"/>
          <w:lang w:val="es-MX"/>
        </w:rPr>
        <w:t>que</w:t>
      </w:r>
      <w:proofErr w:type="gramEnd"/>
      <w:r>
        <w:rPr>
          <w:rFonts w:ascii="Verdana" w:eastAsia="Calibri" w:hAnsi="Verdana" w:cs="Arial"/>
          <w:sz w:val="20"/>
          <w:szCs w:val="20"/>
          <w:lang w:val="es-MX"/>
        </w:rPr>
        <w:t xml:space="preserve"> para los efectos de la ley de garantías, y dada su finalidad, el enunciado ´contratación directa´ es sinónimo de cualquier sistema que no implique convocatoria pública y posibilidad de pluralidad de oferentes, y que, además, </w:t>
      </w:r>
      <w:r w:rsidRPr="008601ED">
        <w:rPr>
          <w:rFonts w:ascii="Verdana" w:eastAsia="Calibri" w:hAnsi="Verdana" w:cs="Arial"/>
          <w:b/>
          <w:bCs/>
          <w:i/>
          <w:iCs/>
          <w:sz w:val="20"/>
          <w:szCs w:val="20"/>
          <w:lang w:val="es-MX"/>
        </w:rPr>
        <w:t xml:space="preserve">no necesariamente hace referencia al procedimiento especial regulado por la ley de contratación estatal, sino a cualquier otro que prescinda de un proceso de licitación </w:t>
      </w:r>
      <w:r w:rsidRPr="008601ED">
        <w:rPr>
          <w:rFonts w:ascii="Verdana" w:eastAsia="Calibri" w:hAnsi="Verdana" w:cs="Arial"/>
          <w:b/>
          <w:bCs/>
          <w:i/>
          <w:iCs/>
          <w:sz w:val="20"/>
          <w:szCs w:val="20"/>
          <w:lang w:val="es-MX"/>
        </w:rPr>
        <w:lastRenderedPageBreak/>
        <w:t>pública o concurso</w:t>
      </w:r>
      <w:r>
        <w:rPr>
          <w:rFonts w:ascii="Verdana" w:eastAsia="Times New Roman" w:hAnsi="Verdana" w:cs="Arial"/>
          <w:sz w:val="20"/>
          <w:szCs w:val="20"/>
          <w:vertAlign w:val="superscript"/>
          <w:lang w:val="es-MX"/>
        </w:rPr>
        <w:footnoteReference w:id="3"/>
      </w:r>
      <w:r>
        <w:rPr>
          <w:rFonts w:ascii="Verdana" w:eastAsia="Times New Roman" w:hAnsi="Verdana" w:cs="Arial"/>
          <w:sz w:val="20"/>
          <w:szCs w:val="20"/>
          <w:vertAlign w:val="superscript"/>
          <w:lang w:val="es-MX"/>
        </w:rPr>
        <w:t>.</w:t>
      </w:r>
      <w:r>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Times New Roman" w:hAnsi="Verdana" w:cs="Arial"/>
          <w:sz w:val="20"/>
          <w:szCs w:val="20"/>
          <w:vertAlign w:val="superscript"/>
          <w:lang w:eastAsia="es-CO"/>
        </w:rPr>
        <w:footnoteReference w:id="4"/>
      </w:r>
      <w:r>
        <w:rPr>
          <w:rFonts w:ascii="Verdana" w:eastAsia="Calibri" w:hAnsi="Verdana" w:cs="Arial"/>
          <w:sz w:val="20"/>
          <w:szCs w:val="20"/>
          <w:lang w:val="es-MX"/>
        </w:rPr>
        <w:t>.[Énfasis por fuera de texto]</w:t>
      </w:r>
    </w:p>
    <w:p w14:paraId="56A49C0B" w14:textId="77777777" w:rsidR="002C789B" w:rsidRDefault="002C789B" w:rsidP="002C789B">
      <w:pPr>
        <w:shd w:val="clear" w:color="auto" w:fill="FFFFFF"/>
        <w:spacing w:after="0" w:line="276" w:lineRule="auto"/>
        <w:ind w:firstLine="709"/>
        <w:jc w:val="both"/>
        <w:rPr>
          <w:rFonts w:ascii="Verdana" w:eastAsia="Times New Roman" w:hAnsi="Verdana" w:cs="Arial"/>
          <w:lang w:eastAsia="x-none"/>
        </w:rPr>
      </w:pPr>
    </w:p>
    <w:p w14:paraId="0403362E" w14:textId="77777777" w:rsidR="002C789B" w:rsidRDefault="002C789B" w:rsidP="002C789B">
      <w:pPr>
        <w:spacing w:after="120" w:line="276" w:lineRule="auto"/>
        <w:ind w:firstLine="708"/>
        <w:jc w:val="both"/>
        <w:rPr>
          <w:rFonts w:ascii="Verdana" w:eastAsia="Times New Roman" w:hAnsi="Verdana" w:cs="Arial"/>
          <w:bCs/>
          <w:lang w:eastAsia="x-none"/>
        </w:rPr>
      </w:pPr>
      <w:r>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Pr>
          <w:rFonts w:ascii="Verdana" w:eastAsia="Times New Roman" w:hAnsi="Verdana" w:cs="Arial"/>
          <w:lang w:val="es-ES_tradnl" w:eastAsia="x-none"/>
        </w:rPr>
        <w:t xml:space="preserve">y la mínima cuantía </w:t>
      </w:r>
      <w:r>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Pr>
          <w:rFonts w:ascii="Verdana" w:eastAsia="Times New Roman" w:hAnsi="Verdana" w:cs="Arial"/>
          <w:vertAlign w:val="superscript"/>
          <w:lang w:val="en-GB" w:eastAsia="x-none"/>
        </w:rPr>
        <w:footnoteReference w:id="5"/>
      </w:r>
      <w:r>
        <w:rPr>
          <w:rFonts w:ascii="Verdana" w:eastAsia="Times New Roman" w:hAnsi="Verdana" w:cs="Arial"/>
          <w:lang w:eastAsia="x-none"/>
        </w:rPr>
        <w:t xml:space="preserve"> y sistematizó las causales de contratación directa</w:t>
      </w:r>
      <w:r>
        <w:rPr>
          <w:rFonts w:ascii="Verdana" w:eastAsia="Times New Roman" w:hAnsi="Verdana" w:cs="Arial"/>
          <w:vertAlign w:val="superscript"/>
          <w:lang w:val="en-GB" w:eastAsia="x-none"/>
        </w:rPr>
        <w:footnoteReference w:id="6"/>
      </w:r>
      <w:r>
        <w:rPr>
          <w:rFonts w:ascii="Verdana" w:eastAsia="Times New Roman" w:hAnsi="Verdana" w:cs="Arial"/>
          <w:lang w:eastAsia="x-none"/>
        </w:rPr>
        <w:t xml:space="preserve">, </w:t>
      </w:r>
      <w:r>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0A423092" w14:textId="77777777" w:rsidR="002C789B" w:rsidRDefault="002C789B" w:rsidP="002C789B">
      <w:pPr>
        <w:spacing w:after="120" w:line="276" w:lineRule="auto"/>
        <w:ind w:firstLine="708"/>
        <w:jc w:val="both"/>
        <w:rPr>
          <w:rFonts w:ascii="Verdana" w:eastAsia="Times New Roman" w:hAnsi="Verdana" w:cs="Arial"/>
          <w:lang w:val="es-MX" w:eastAsia="x-none"/>
        </w:rPr>
      </w:pPr>
      <w:r>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Pr>
          <w:rFonts w:ascii="Verdana" w:eastAsia="Times New Roman" w:hAnsi="Verdana" w:cs="Arial"/>
          <w:lang w:eastAsia="x-none"/>
        </w:rPr>
        <w:t>contratación directa</w:t>
      </w:r>
      <w:r>
        <w:rPr>
          <w:rFonts w:ascii="Verdana" w:eastAsia="Times New Roman" w:hAnsi="Verdana" w:cs="Arial"/>
          <w:lang w:eastAsia="en-GB"/>
        </w:rPr>
        <w:t>”</w:t>
      </w:r>
      <w:r>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Pr>
          <w:rFonts w:ascii="Verdana" w:eastAsia="Times New Roman" w:hAnsi="Verdana" w:cs="Arial"/>
          <w:vertAlign w:val="superscript"/>
          <w:lang w:val="en-GB" w:eastAsia="x-none"/>
        </w:rPr>
        <w:footnoteReference w:id="7"/>
      </w:r>
      <w:r>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Pr>
          <w:rFonts w:ascii="Verdana" w:eastAsia="Times New Roman" w:hAnsi="Verdana" w:cs="Arial"/>
          <w:lang w:eastAsia="x-none"/>
        </w:rPr>
        <w:t xml:space="preserve">. </w:t>
      </w:r>
    </w:p>
    <w:p w14:paraId="284E0AD0" w14:textId="77777777" w:rsidR="002C789B" w:rsidRDefault="002C789B" w:rsidP="002C789B">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x-none"/>
        </w:rPr>
        <w:lastRenderedPageBreak/>
        <w:t>E</w:t>
      </w:r>
      <w:r>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Pr>
          <w:vertAlign w:val="superscript"/>
        </w:rPr>
        <w:footnoteReference w:id="8"/>
      </w:r>
      <w:r>
        <w:rPr>
          <w:rFonts w:ascii="Verdana" w:eastAsia="Times New Roman" w:hAnsi="Verdana" w:cs="Arial"/>
          <w:lang w:eastAsia="x-none"/>
        </w:rPr>
        <w:t xml:space="preserve">. </w:t>
      </w:r>
    </w:p>
    <w:p w14:paraId="550182C3" w14:textId="77777777" w:rsidR="002C789B" w:rsidRDefault="002C789B" w:rsidP="002C789B">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36024B55" w14:textId="77777777" w:rsidR="002C789B" w:rsidRDefault="002C789B" w:rsidP="002C789B">
      <w:pPr>
        <w:spacing w:after="120" w:line="276" w:lineRule="auto"/>
        <w:ind w:firstLine="708"/>
        <w:jc w:val="both"/>
        <w:rPr>
          <w:rFonts w:ascii="Verdana" w:eastAsia="Times New Roman" w:hAnsi="Verdana" w:cs="Arial"/>
          <w:bCs/>
          <w:lang w:val="es-MX" w:eastAsia="x-none"/>
        </w:rPr>
      </w:pPr>
      <w:r>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Pr>
          <w:rFonts w:ascii="Verdana" w:eastAsia="Times New Roman" w:hAnsi="Verdana" w:cs="Arial"/>
          <w:vertAlign w:val="superscript"/>
          <w:lang w:eastAsia="x-none"/>
        </w:rPr>
        <w:footnoteReference w:id="9"/>
      </w:r>
      <w:r>
        <w:rPr>
          <w:rFonts w:ascii="Verdana" w:eastAsia="Times New Roman" w:hAnsi="Verdana" w:cs="Arial"/>
          <w:bCs/>
          <w:lang w:val="es-MX" w:eastAsia="x-none"/>
        </w:rPr>
        <w:t>.</w:t>
      </w:r>
      <w:r>
        <w:rPr>
          <w:rFonts w:ascii="Verdana" w:eastAsia="Times New Roman" w:hAnsi="Verdana" w:cs="Arial"/>
          <w:vertAlign w:val="superscript"/>
          <w:lang w:val="es-MX" w:eastAsia="x-none"/>
        </w:rPr>
        <w:t xml:space="preserve"> </w:t>
      </w:r>
    </w:p>
    <w:p w14:paraId="1110C337" w14:textId="77777777" w:rsidR="002C789B" w:rsidRDefault="002C789B" w:rsidP="002C789B">
      <w:pPr>
        <w:spacing w:after="120" w:line="276" w:lineRule="auto"/>
        <w:ind w:firstLine="708"/>
        <w:jc w:val="both"/>
        <w:rPr>
          <w:rFonts w:ascii="Verdana" w:eastAsia="Times New Roman" w:hAnsi="Verdana" w:cs="Arial"/>
          <w:lang w:eastAsia="x-none"/>
        </w:rPr>
      </w:pPr>
      <w:r>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4B1DC575" w14:textId="77777777" w:rsidR="002C789B" w:rsidRDefault="002C789B" w:rsidP="002C789B">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x-none"/>
        </w:rPr>
        <w:lastRenderedPageBreak/>
        <w:t>En este contexto,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02D0759" w14:textId="77777777" w:rsidR="002C789B" w:rsidRDefault="002C789B" w:rsidP="002C789B">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Pr>
          <w:rFonts w:ascii="Verdana" w:eastAsia="Calibri" w:hAnsi="Verdana" w:cs="Arial"/>
          <w:vertAlign w:val="superscript"/>
          <w:lang w:val="es-MX"/>
        </w:rPr>
        <w:footnoteReference w:id="10"/>
      </w:r>
      <w:r>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6A7FC61C" w14:textId="77777777" w:rsidR="002C789B" w:rsidRDefault="002C789B" w:rsidP="002C789B">
      <w:pPr>
        <w:spacing w:after="120" w:line="276" w:lineRule="auto"/>
        <w:ind w:firstLine="708"/>
        <w:jc w:val="both"/>
        <w:rPr>
          <w:rFonts w:ascii="Verdana" w:eastAsia="Calibri" w:hAnsi="Verdana" w:cs="Arial"/>
          <w:lang w:val="es-MX"/>
        </w:rPr>
      </w:pPr>
      <w:r>
        <w:rPr>
          <w:rFonts w:ascii="Verdana" w:eastAsia="Times New Roman" w:hAnsi="Verdana" w:cs="Arial"/>
          <w:bCs/>
          <w:lang w:val="es-MX"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Pr>
          <w:rFonts w:ascii="Verdana" w:eastAsia="Calibri" w:hAnsi="Verdana" w:cs="Arial"/>
          <w:sz w:val="24"/>
          <w:lang w:val="es-MX"/>
        </w:rPr>
        <w:t xml:space="preserve"> </w:t>
      </w:r>
      <w:r>
        <w:rPr>
          <w:rFonts w:ascii="Verdana" w:eastAsia="Times New Roman" w:hAnsi="Verdana" w:cs="Arial"/>
          <w:bCs/>
          <w:lang w:val="es-MX" w:eastAsia="x-none"/>
        </w:rPr>
        <w:t>En efecto, tal como lo ha sostenido el Consejo de Estado, el vocablo “todos” utilizado por el legislador comprende</w:t>
      </w:r>
      <w:r>
        <w:rPr>
          <w:rFonts w:ascii="Verdana" w:eastAsia="Calibri" w:hAnsi="Verdana" w:cs="Arial"/>
          <w:sz w:val="24"/>
          <w:lang w:val="es-MX"/>
        </w:rPr>
        <w:t xml:space="preserve"> </w:t>
      </w:r>
      <w:r>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w:t>
      </w:r>
      <w:r>
        <w:rPr>
          <w:rFonts w:ascii="Verdana" w:eastAsia="Times New Roman" w:hAnsi="Verdana" w:cs="Arial"/>
          <w:bCs/>
          <w:lang w:val="es-MX" w:eastAsia="x-none"/>
        </w:rPr>
        <w:lastRenderedPageBreak/>
        <w:t xml:space="preserve">del poder público o su autonomía, e incluso si las entidades estatales tienen régimen especial de contratación y están exceptuadas del ámbito de aplicación del Estatuto General de Contratación de la Administración Pública. </w:t>
      </w:r>
    </w:p>
    <w:p w14:paraId="42E005C6" w14:textId="77777777" w:rsidR="002C789B" w:rsidRPr="005E6430" w:rsidRDefault="002C789B" w:rsidP="002C789B">
      <w:pPr>
        <w:spacing w:after="120" w:line="276" w:lineRule="auto"/>
        <w:ind w:firstLine="708"/>
        <w:jc w:val="both"/>
        <w:rPr>
          <w:rFonts w:ascii="Verdana" w:eastAsia="Calibri" w:hAnsi="Verdana" w:cs="Arial"/>
          <w:lang w:val="es-MX"/>
        </w:rPr>
      </w:pPr>
      <w:r>
        <w:rPr>
          <w:rFonts w:ascii="Verdana" w:eastAsia="Calibri" w:hAnsi="Verdana" w:cs="Arial"/>
          <w:lang w:val="es-MX"/>
        </w:rPr>
        <w:t>Así las cosas, de acuerdo con los pronunciamientos de la Sala de Consulta y Servicio Civil del Consejo de Estado</w:t>
      </w:r>
      <w:r>
        <w:rPr>
          <w:rStyle w:val="Refdenotaalpie"/>
          <w:rFonts w:ascii="Verdana" w:eastAsia="Calibri" w:hAnsi="Verdana" w:cs="Arial"/>
          <w:lang w:val="es-MX"/>
        </w:rPr>
        <w:footnoteReference w:id="11"/>
      </w:r>
      <w:r>
        <w:rPr>
          <w:rFonts w:ascii="Verdana" w:eastAsia="Calibri" w:hAnsi="Verdana" w:cs="Arial"/>
          <w:lang w:val="es-MX"/>
        </w:rPr>
        <w:t xml:space="preserve">,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Pr>
          <w:rFonts w:ascii="Verdana" w:eastAsia="Times New Roman" w:hAnsi="Verdana" w:cs="Arial"/>
          <w:bCs/>
          <w:lang w:val="es-MX" w:eastAsia="x-none"/>
        </w:rPr>
        <w:t>establecimientos de crédito, las sociedades de servicios financieros y las entidades aseguradoras</w:t>
      </w:r>
      <w:r>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vertAlign w:val="superscript"/>
        </w:rPr>
        <w:footnoteReference w:id="12"/>
      </w:r>
      <w:r>
        <w:rPr>
          <w:rFonts w:ascii="Verdana" w:eastAsia="Calibri" w:hAnsi="Verdana" w:cs="Arial"/>
          <w:lang w:val="es-MX"/>
        </w:rPr>
        <w:t>.</w:t>
      </w:r>
      <w:r>
        <w:rPr>
          <w:rFonts w:ascii="Verdana" w:eastAsia="Times New Roman" w:hAnsi="Verdana" w:cs="Arial"/>
          <w:lang w:val="es-MX" w:eastAsia="es-CO"/>
        </w:rPr>
        <w:t xml:space="preserve"> </w:t>
      </w:r>
    </w:p>
    <w:p w14:paraId="274A6276" w14:textId="77777777" w:rsidR="002C789B" w:rsidRDefault="002C789B" w:rsidP="002C789B">
      <w:pPr>
        <w:spacing w:after="120" w:line="276" w:lineRule="auto"/>
        <w:ind w:firstLine="709"/>
        <w:jc w:val="both"/>
        <w:rPr>
          <w:rFonts w:ascii="Verdana" w:eastAsia="Times New Roman" w:hAnsi="Verdana" w:cs="Arial"/>
          <w:bCs/>
          <w:lang w:val="es-MX" w:eastAsia="x-none"/>
        </w:rPr>
      </w:pPr>
      <w:r>
        <w:rPr>
          <w:rFonts w:ascii="Verdana" w:eastAsia="Times New Roman" w:hAnsi="Verdana" w:cs="Arial"/>
          <w:lang w:eastAsia="es-CO"/>
        </w:rPr>
        <w:t>Sin perjuicio de estos pronunciamientos de la Sala de Consulta y Servicio Civil</w:t>
      </w:r>
      <w:r>
        <w:rPr>
          <w:rFonts w:ascii="Verdana" w:eastAsia="Calibri" w:hAnsi="Verdana" w:cs="Arial"/>
          <w:lang w:val="es-MX"/>
        </w:rPr>
        <w:t xml:space="preserve">, como la ha señalado esa misma Corporación, la restricción prevista en la Ley 996 de 2005 </w:t>
      </w:r>
      <w:r>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6BB00110" w14:textId="77777777" w:rsidR="002C789B" w:rsidRDefault="002C789B" w:rsidP="002C789B">
      <w:pPr>
        <w:pStyle w:val="paragraph"/>
        <w:shd w:val="clear" w:color="auto" w:fill="FFFFFF"/>
        <w:spacing w:before="0" w:beforeAutospacing="0" w:after="120" w:afterAutospacing="0" w:line="276" w:lineRule="auto"/>
        <w:jc w:val="both"/>
        <w:textAlignment w:val="baseline"/>
        <w:rPr>
          <w:rFonts w:ascii="Verdana" w:eastAsia="Calibri" w:hAnsi="Verdana" w:cs="Arial"/>
          <w:sz w:val="22"/>
          <w:szCs w:val="22"/>
          <w:lang w:val="es-ES"/>
        </w:rPr>
      </w:pPr>
      <w:r>
        <w:rPr>
          <w:rFonts w:ascii="Verdana" w:eastAsia="Calibri" w:hAnsi="Verdana" w:cs="Arial"/>
          <w:sz w:val="22"/>
          <w:szCs w:val="22"/>
          <w:lang w:val="es-ES"/>
        </w:rPr>
        <w:t>ii. E</w:t>
      </w:r>
      <w:r w:rsidRPr="006C389A">
        <w:rPr>
          <w:rFonts w:ascii="Verdana" w:eastAsia="Calibri" w:hAnsi="Verdana" w:cs="Arial"/>
          <w:sz w:val="22"/>
          <w:szCs w:val="22"/>
          <w:lang w:val="es-ES"/>
        </w:rPr>
        <w:t xml:space="preserve">n relación con el procedimiento administrativo </w:t>
      </w:r>
      <w:r>
        <w:rPr>
          <w:rFonts w:ascii="Verdana" w:eastAsia="Calibri" w:hAnsi="Verdana" w:cs="Arial"/>
          <w:sz w:val="22"/>
          <w:szCs w:val="22"/>
          <w:lang w:val="es-ES"/>
        </w:rPr>
        <w:t xml:space="preserve">de </w:t>
      </w:r>
      <w:r w:rsidRPr="006C389A">
        <w:rPr>
          <w:rFonts w:ascii="Verdana" w:eastAsia="Calibri" w:hAnsi="Verdana" w:cs="Arial"/>
          <w:sz w:val="22"/>
          <w:szCs w:val="22"/>
          <w:lang w:val="es-ES"/>
        </w:rPr>
        <w:t xml:space="preserve">adquisición </w:t>
      </w:r>
      <w:r>
        <w:rPr>
          <w:rFonts w:ascii="Verdana" w:eastAsia="Calibri" w:hAnsi="Verdana" w:cs="Arial"/>
          <w:sz w:val="22"/>
          <w:szCs w:val="22"/>
          <w:lang w:val="es-ES"/>
        </w:rPr>
        <w:t>predial p</w:t>
      </w:r>
      <w:r w:rsidRPr="006C389A">
        <w:rPr>
          <w:rFonts w:ascii="Verdana" w:eastAsia="Calibri" w:hAnsi="Verdana" w:cs="Arial"/>
          <w:sz w:val="22"/>
          <w:szCs w:val="22"/>
          <w:lang w:val="es-ES"/>
        </w:rPr>
        <w:t xml:space="preserve">or motivos de utilidad pública e interés social mediante enajenación voluntaria, en los conceptos C-1512 y C-1529 de 2025 se concluyó que dicho procedimiento se </w:t>
      </w:r>
      <w:r w:rsidRPr="006C389A">
        <w:rPr>
          <w:rFonts w:ascii="Verdana" w:eastAsia="Calibri" w:hAnsi="Verdana" w:cs="Arial"/>
          <w:sz w:val="22"/>
          <w:szCs w:val="22"/>
          <w:lang w:val="es-ES"/>
        </w:rPr>
        <w:lastRenderedPageBreak/>
        <w:t>encuentra excluido de la aplicación del EGCAP, en la medida en que está regulado por un régimen especial y exceptuado. No obstante, se precisó que este procedimiento puede culminar en la celebración de una promesa de compraventa o de un contrato de compraventa entre la entidad y el particular, lo cual implica que, en tales eventos, se está frente a un procedimiento de contratación estatal de naturaleza no competitiva, sujeto a la restricción prevista en el artículo 33 de la Ley 996 de 2005, conforme al alcance explicado</w:t>
      </w:r>
      <w:r>
        <w:rPr>
          <w:rFonts w:ascii="Verdana" w:eastAsia="Calibri" w:hAnsi="Verdana" w:cs="Arial"/>
          <w:sz w:val="22"/>
          <w:szCs w:val="22"/>
          <w:lang w:val="es-ES"/>
        </w:rPr>
        <w:t xml:space="preserve">. </w:t>
      </w:r>
      <w:r w:rsidRPr="006C389A">
        <w:rPr>
          <w:rFonts w:ascii="Verdana" w:eastAsia="Calibri" w:hAnsi="Verdana" w:cs="Arial"/>
          <w:sz w:val="22"/>
          <w:szCs w:val="22"/>
          <w:lang w:val="es-ES"/>
        </w:rPr>
        <w:t xml:space="preserve">En contraste, </w:t>
      </w:r>
      <w:r w:rsidRPr="006A3D18">
        <w:rPr>
          <w:rFonts w:ascii="Verdana" w:eastAsia="Calibri" w:hAnsi="Verdana" w:cs="Arial"/>
          <w:sz w:val="22"/>
          <w:szCs w:val="22"/>
          <w:lang w:val="es-ES"/>
        </w:rPr>
        <w:t>cuando la adquisición ocurra por el procedimiento expropiatorio no se materializa en la celebración de un contrato.</w:t>
      </w:r>
    </w:p>
    <w:p w14:paraId="5A25A57E" w14:textId="77777777" w:rsidR="002C789B" w:rsidRDefault="002C789B" w:rsidP="002C789B">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lang w:val="es-ES"/>
        </w:rPr>
      </w:pPr>
      <w:r w:rsidRPr="006C389A">
        <w:rPr>
          <w:rFonts w:ascii="Verdana" w:eastAsia="Calibri" w:hAnsi="Verdana" w:cs="Arial"/>
          <w:sz w:val="22"/>
          <w:szCs w:val="22"/>
          <w:lang w:val="es-ES"/>
        </w:rPr>
        <w:t>Con fundamento en lo anterior, esta Subdirección reitera</w:t>
      </w:r>
      <w:r>
        <w:rPr>
          <w:rFonts w:ascii="Verdana" w:eastAsia="Calibri" w:hAnsi="Verdana" w:cs="Arial"/>
          <w:sz w:val="22"/>
          <w:szCs w:val="22"/>
          <w:lang w:val="es-ES"/>
        </w:rPr>
        <w:t>rá</w:t>
      </w:r>
      <w:r w:rsidRPr="006C389A">
        <w:rPr>
          <w:rFonts w:ascii="Verdana" w:eastAsia="Calibri" w:hAnsi="Verdana" w:cs="Arial"/>
          <w:sz w:val="22"/>
          <w:szCs w:val="22"/>
          <w:lang w:val="es-ES"/>
        </w:rPr>
        <w:t xml:space="preserve"> la posición sostenida en los conceptos mencionados, </w:t>
      </w:r>
      <w:r>
        <w:rPr>
          <w:rFonts w:ascii="Verdana" w:eastAsia="Calibri" w:hAnsi="Verdana" w:cs="Arial"/>
          <w:sz w:val="22"/>
          <w:szCs w:val="22"/>
          <w:lang w:val="es-ES"/>
        </w:rPr>
        <w:t xml:space="preserve">realizando a continuación </w:t>
      </w:r>
      <w:r w:rsidRPr="006C389A">
        <w:rPr>
          <w:rFonts w:ascii="Verdana" w:eastAsia="Calibri" w:hAnsi="Verdana" w:cs="Arial"/>
          <w:sz w:val="22"/>
          <w:szCs w:val="22"/>
          <w:lang w:val="es-ES"/>
        </w:rPr>
        <w:t>algunas precisiones sobre el alcance de su aplicación</w:t>
      </w:r>
      <w:r>
        <w:rPr>
          <w:rFonts w:ascii="Verdana" w:eastAsia="Calibri" w:hAnsi="Verdana" w:cs="Arial"/>
          <w:sz w:val="22"/>
          <w:szCs w:val="22"/>
          <w:lang w:val="es-ES"/>
        </w:rPr>
        <w:t xml:space="preserve">. </w:t>
      </w:r>
      <w:r w:rsidRPr="0013781B">
        <w:rPr>
          <w:rFonts w:ascii="Verdana" w:eastAsia="Calibri" w:hAnsi="Verdana" w:cs="Arial"/>
          <w:sz w:val="22"/>
          <w:szCs w:val="22"/>
          <w:lang w:val="es-ES"/>
        </w:rPr>
        <w:t xml:space="preserve">En primer </w:t>
      </w:r>
      <w:proofErr w:type="gramStart"/>
      <w:r w:rsidRPr="0013781B">
        <w:rPr>
          <w:rFonts w:ascii="Verdana" w:eastAsia="Calibri" w:hAnsi="Verdana" w:cs="Arial"/>
          <w:sz w:val="22"/>
          <w:szCs w:val="22"/>
          <w:lang w:val="es-ES"/>
        </w:rPr>
        <w:t>lugar</w:t>
      </w:r>
      <w:proofErr w:type="gramEnd"/>
      <w:r w:rsidRPr="0013781B">
        <w:rPr>
          <w:rFonts w:ascii="Verdana" w:eastAsia="Calibri" w:hAnsi="Verdana" w:cs="Arial"/>
          <w:sz w:val="22"/>
          <w:szCs w:val="22"/>
          <w:lang w:val="es-ES"/>
        </w:rPr>
        <w:t xml:space="preserve"> </w:t>
      </w:r>
      <w:r>
        <w:rPr>
          <w:rFonts w:ascii="Verdana" w:eastAsia="Calibri" w:hAnsi="Verdana" w:cs="Arial"/>
          <w:sz w:val="22"/>
          <w:szCs w:val="22"/>
          <w:lang w:val="es-ES"/>
        </w:rPr>
        <w:t xml:space="preserve">se reconoce que </w:t>
      </w:r>
      <w:r w:rsidRPr="0013781B">
        <w:rPr>
          <w:rFonts w:ascii="Verdana" w:eastAsia="Calibri" w:hAnsi="Verdana" w:cs="Arial"/>
          <w:sz w:val="22"/>
          <w:szCs w:val="22"/>
          <w:lang w:val="es-ES"/>
        </w:rPr>
        <w:t>el procedimiento administrativo de adquisición</w:t>
      </w:r>
      <w:r>
        <w:rPr>
          <w:rFonts w:ascii="Verdana" w:eastAsia="Calibri" w:hAnsi="Verdana" w:cs="Arial"/>
          <w:sz w:val="22"/>
          <w:szCs w:val="22"/>
          <w:lang w:val="es-ES"/>
        </w:rPr>
        <w:t xml:space="preserve"> predial</w:t>
      </w:r>
      <w:r w:rsidRPr="0013781B">
        <w:rPr>
          <w:rFonts w:ascii="Verdana" w:eastAsia="Calibri" w:hAnsi="Verdana" w:cs="Arial"/>
          <w:sz w:val="22"/>
          <w:szCs w:val="22"/>
          <w:lang w:val="es-ES"/>
        </w:rPr>
        <w:t xml:space="preserve"> por motivos de utilidad pública e interés social no constituye un procedimiento sometido al E</w:t>
      </w:r>
      <w:r>
        <w:rPr>
          <w:rFonts w:ascii="Verdana" w:eastAsia="Calibri" w:hAnsi="Verdana" w:cs="Arial"/>
          <w:sz w:val="22"/>
          <w:szCs w:val="22"/>
          <w:lang w:val="es-ES"/>
        </w:rPr>
        <w:t xml:space="preserve">GCAP, puesto que se </w:t>
      </w:r>
      <w:r w:rsidRPr="0013781B">
        <w:rPr>
          <w:rFonts w:ascii="Verdana" w:eastAsia="Calibri" w:hAnsi="Verdana" w:cs="Arial"/>
          <w:sz w:val="22"/>
          <w:szCs w:val="22"/>
          <w:lang w:val="es-ES"/>
        </w:rPr>
        <w:t>trata de un procedimiento especial, dotado de finalidad, etapas y reglas propias, cuya regulación se encuentra prevista de manera específica en</w:t>
      </w:r>
      <w:r w:rsidRPr="007B37F8">
        <w:rPr>
          <w:rFonts w:asciiTheme="minorHAnsi" w:eastAsiaTheme="minorHAnsi" w:hAnsiTheme="minorHAnsi" w:cstheme="minorBidi"/>
          <w:sz w:val="22"/>
          <w:szCs w:val="22"/>
          <w:lang w:eastAsia="en-US"/>
        </w:rPr>
        <w:t xml:space="preserve"> </w:t>
      </w:r>
      <w:r w:rsidRPr="007B37F8">
        <w:rPr>
          <w:rFonts w:ascii="Verdana" w:eastAsia="Calibri" w:hAnsi="Verdana" w:cs="Arial"/>
          <w:sz w:val="22"/>
          <w:szCs w:val="22"/>
        </w:rPr>
        <w:t>Leyes 9 de 1989, 388 de 1997 y 1682 de 2013</w:t>
      </w:r>
      <w:r w:rsidRPr="0013781B">
        <w:rPr>
          <w:rFonts w:ascii="Verdana" w:eastAsia="Calibri" w:hAnsi="Verdana" w:cs="Arial"/>
          <w:sz w:val="22"/>
          <w:szCs w:val="22"/>
          <w:lang w:val="es-ES"/>
        </w:rPr>
        <w:t>, lo que lo sustrae del régimen general de la contratación estatal.</w:t>
      </w:r>
      <w:r>
        <w:rPr>
          <w:rFonts w:ascii="Verdana" w:eastAsia="Calibri" w:hAnsi="Verdana" w:cs="Arial"/>
          <w:sz w:val="22"/>
          <w:szCs w:val="22"/>
          <w:lang w:val="es-ES"/>
        </w:rPr>
        <w:t xml:space="preserve"> </w:t>
      </w:r>
      <w:r w:rsidRPr="0013781B">
        <w:rPr>
          <w:rFonts w:ascii="Verdana" w:eastAsia="Calibri" w:hAnsi="Verdana" w:cs="Arial"/>
          <w:sz w:val="22"/>
          <w:szCs w:val="22"/>
          <w:lang w:val="es-ES"/>
        </w:rPr>
        <w:t>Esta caracterización ha sido reiterada en los conceptos previamente citados, en los cuales se concluyó que dicho procedimiento se rige por un</w:t>
      </w:r>
      <w:r>
        <w:rPr>
          <w:rFonts w:ascii="Verdana" w:eastAsia="Calibri" w:hAnsi="Verdana" w:cs="Arial"/>
          <w:sz w:val="22"/>
          <w:szCs w:val="22"/>
          <w:lang w:val="es-ES"/>
        </w:rPr>
        <w:t xml:space="preserve">as reglas especiales. </w:t>
      </w:r>
    </w:p>
    <w:p w14:paraId="714AB527" w14:textId="77777777" w:rsidR="002C789B" w:rsidRPr="00E47785" w:rsidRDefault="002C789B" w:rsidP="002C789B">
      <w:pPr>
        <w:spacing w:before="120" w:after="120" w:line="276" w:lineRule="auto"/>
        <w:ind w:firstLine="709"/>
        <w:jc w:val="both"/>
        <w:rPr>
          <w:rFonts w:ascii="Verdana" w:eastAsia="Times New Roman" w:hAnsi="Verdana" w:cs="Arial"/>
          <w:lang w:val="es-ES" w:eastAsia="es-ES_tradnl"/>
        </w:rPr>
      </w:pPr>
      <w:r>
        <w:rPr>
          <w:rFonts w:ascii="Verdana" w:eastAsia="Calibri" w:hAnsi="Verdana" w:cs="Arial"/>
          <w:lang w:val="es-ES"/>
        </w:rPr>
        <w:t xml:space="preserve">En efecto, </w:t>
      </w:r>
      <w:r>
        <w:rPr>
          <w:rFonts w:ascii="Verdana" w:eastAsia="Times New Roman" w:hAnsi="Verdana" w:cs="Arial"/>
          <w:lang w:val="es-ES" w:eastAsia="es-ES_tradnl"/>
        </w:rPr>
        <w:t>en los procesos de expropiación judicial o expropiación administrativa existe una etapa previa de negociación, en la cual la administración intenta adquirir voluntariamente el bien, de suerte que se evite iniciar el proceso forzoso expropiatorio. Esta etapa comienza con una oferta de la entidad al particular para adquirir el bien por el precio base fijado con fundamento en un avalúo. Posteriormente, pasa a una etapa de negociación directa con el particular. En caso de que el proceso de negociación directa se concrete, culmina con la etapa de transferencia del bien y de pago del precio acordado. Pero, si el proceso de negociación se frustra, inicia la etapa expropiatoria, mediante los procesos judicial o administrativo, según el caso, hasta obtener el título traslaticio de dominio al Estado, la tradición del bien y realizar el pago de la indemnización al particular expropiado.</w:t>
      </w:r>
    </w:p>
    <w:p w14:paraId="5A1485F6" w14:textId="77777777" w:rsidR="002C789B" w:rsidRDefault="002C789B" w:rsidP="002C789B">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611BBF">
        <w:rPr>
          <w:rFonts w:ascii="Verdana" w:eastAsia="Calibri" w:hAnsi="Verdana" w:cs="Arial"/>
          <w:sz w:val="22"/>
          <w:szCs w:val="22"/>
        </w:rPr>
        <w:t xml:space="preserve">Como consecuencia de lo anterior, y </w:t>
      </w:r>
      <w:r>
        <w:rPr>
          <w:rFonts w:ascii="Verdana" w:eastAsia="Calibri" w:hAnsi="Verdana" w:cs="Arial"/>
          <w:sz w:val="22"/>
          <w:szCs w:val="22"/>
        </w:rPr>
        <w:t xml:space="preserve">dando alcance a </w:t>
      </w:r>
      <w:r w:rsidRPr="00611BBF">
        <w:rPr>
          <w:rFonts w:ascii="Verdana" w:eastAsia="Calibri" w:hAnsi="Verdana" w:cs="Arial"/>
          <w:sz w:val="22"/>
          <w:szCs w:val="22"/>
        </w:rPr>
        <w:t xml:space="preserve">la primera afirmación contenida en los conceptos referidos, debe precisarse que </w:t>
      </w:r>
      <w:r w:rsidRPr="00ED2EBA">
        <w:rPr>
          <w:rFonts w:ascii="Verdana" w:eastAsia="Calibri" w:hAnsi="Verdana" w:cs="Arial"/>
          <w:sz w:val="22"/>
          <w:szCs w:val="22"/>
        </w:rPr>
        <w:t xml:space="preserve">la restricción prevista en el artículo 33 de la Ley 996 de 2005 no resulta aplicable al </w:t>
      </w:r>
      <w:r w:rsidRPr="0013781B">
        <w:rPr>
          <w:rFonts w:ascii="Verdana" w:eastAsia="Calibri" w:hAnsi="Verdana" w:cs="Arial"/>
          <w:sz w:val="22"/>
          <w:szCs w:val="22"/>
          <w:lang w:val="es-ES"/>
        </w:rPr>
        <w:t xml:space="preserve">administrativo de </w:t>
      </w:r>
      <w:r w:rsidRPr="0013781B">
        <w:rPr>
          <w:rFonts w:ascii="Verdana" w:eastAsia="Calibri" w:hAnsi="Verdana" w:cs="Arial"/>
          <w:sz w:val="22"/>
          <w:szCs w:val="22"/>
          <w:lang w:val="es-ES"/>
        </w:rPr>
        <w:lastRenderedPageBreak/>
        <w:t>adquisición</w:t>
      </w:r>
      <w:r>
        <w:rPr>
          <w:rFonts w:ascii="Verdana" w:eastAsia="Calibri" w:hAnsi="Verdana" w:cs="Arial"/>
          <w:sz w:val="22"/>
          <w:szCs w:val="22"/>
          <w:lang w:val="es-ES"/>
        </w:rPr>
        <w:t xml:space="preserve"> predial</w:t>
      </w:r>
      <w:r w:rsidRPr="0013781B">
        <w:rPr>
          <w:rFonts w:ascii="Verdana" w:eastAsia="Calibri" w:hAnsi="Verdana" w:cs="Arial"/>
          <w:sz w:val="22"/>
          <w:szCs w:val="22"/>
          <w:lang w:val="es-ES"/>
        </w:rPr>
        <w:t xml:space="preserve"> </w:t>
      </w:r>
      <w:r w:rsidRPr="00DF2532">
        <w:rPr>
          <w:rFonts w:ascii="Verdana" w:eastAsia="Calibri" w:hAnsi="Verdana" w:cs="Arial"/>
          <w:i/>
          <w:iCs/>
          <w:sz w:val="22"/>
          <w:szCs w:val="22"/>
        </w:rPr>
        <w:t>en sí mismo</w:t>
      </w:r>
      <w:r w:rsidRPr="00ED2EBA">
        <w:rPr>
          <w:rFonts w:ascii="Verdana" w:eastAsia="Calibri" w:hAnsi="Verdana" w:cs="Arial"/>
          <w:sz w:val="22"/>
          <w:szCs w:val="22"/>
        </w:rPr>
        <w:t>,</w:t>
      </w:r>
      <w:r>
        <w:rPr>
          <w:rFonts w:ascii="Verdana" w:eastAsia="Calibri" w:hAnsi="Verdana" w:cs="Arial"/>
          <w:sz w:val="22"/>
          <w:szCs w:val="22"/>
        </w:rPr>
        <w:t xml:space="preserve"> en su etapa preparatoria o preliminar,</w:t>
      </w:r>
      <w:r w:rsidRPr="00ED2EBA">
        <w:rPr>
          <w:rFonts w:ascii="Verdana" w:eastAsia="Calibri" w:hAnsi="Verdana" w:cs="Arial"/>
          <w:sz w:val="22"/>
          <w:szCs w:val="22"/>
        </w:rPr>
        <w:t xml:space="preserve"> en la medida en que dicho artículo se refiere a</w:t>
      </w:r>
      <w:r>
        <w:rPr>
          <w:rFonts w:ascii="Verdana" w:eastAsia="Calibri" w:hAnsi="Verdana" w:cs="Arial"/>
          <w:sz w:val="22"/>
          <w:szCs w:val="22"/>
        </w:rPr>
        <w:t xml:space="preserve"> la </w:t>
      </w:r>
      <w:r w:rsidRPr="0087731C">
        <w:rPr>
          <w:rFonts w:ascii="Verdana" w:eastAsia="Calibri" w:hAnsi="Verdana" w:cs="Arial"/>
          <w:bCs/>
          <w:sz w:val="22"/>
          <w:szCs w:val="22"/>
          <w:lang w:val="es-MX"/>
        </w:rPr>
        <w:t>celebra</w:t>
      </w:r>
      <w:r>
        <w:rPr>
          <w:rFonts w:ascii="Verdana" w:eastAsia="Calibri" w:hAnsi="Verdana" w:cs="Arial"/>
          <w:bCs/>
          <w:sz w:val="22"/>
          <w:szCs w:val="22"/>
          <w:lang w:val="es-MX"/>
        </w:rPr>
        <w:t xml:space="preserve">ción de </w:t>
      </w:r>
      <w:r w:rsidRPr="0087731C">
        <w:rPr>
          <w:rFonts w:ascii="Verdana" w:eastAsia="Calibri" w:hAnsi="Verdana" w:cs="Arial"/>
          <w:bCs/>
          <w:sz w:val="22"/>
          <w:szCs w:val="22"/>
          <w:lang w:val="es-MX"/>
        </w:rPr>
        <w:t>contrato</w:t>
      </w:r>
      <w:r>
        <w:rPr>
          <w:rFonts w:ascii="Verdana" w:eastAsia="Calibri" w:hAnsi="Verdana" w:cs="Arial"/>
          <w:bCs/>
          <w:sz w:val="22"/>
          <w:szCs w:val="22"/>
          <w:lang w:val="es-MX"/>
        </w:rPr>
        <w:t>s</w:t>
      </w:r>
      <w:r w:rsidRPr="0087731C">
        <w:rPr>
          <w:rFonts w:ascii="Verdana" w:eastAsia="Calibri" w:hAnsi="Verdana" w:cs="Arial"/>
          <w:bCs/>
          <w:sz w:val="22"/>
          <w:szCs w:val="22"/>
          <w:lang w:val="es-MX"/>
        </w:rPr>
        <w:t xml:space="preserve"> de forma directa, </w:t>
      </w:r>
      <w:r w:rsidRPr="00ED2EBA">
        <w:rPr>
          <w:rFonts w:ascii="Verdana" w:eastAsia="Calibri" w:hAnsi="Verdana" w:cs="Arial"/>
          <w:sz w:val="22"/>
          <w:szCs w:val="22"/>
        </w:rPr>
        <w:t>y</w:t>
      </w:r>
      <w:r w:rsidRPr="00611BBF">
        <w:rPr>
          <w:rFonts w:ascii="Verdana" w:eastAsia="Calibri" w:hAnsi="Verdana" w:cs="Arial"/>
          <w:sz w:val="22"/>
          <w:szCs w:val="22"/>
        </w:rPr>
        <w:t xml:space="preserve"> no a</w:t>
      </w:r>
      <w:r>
        <w:rPr>
          <w:rFonts w:ascii="Verdana" w:eastAsia="Calibri" w:hAnsi="Verdana" w:cs="Arial"/>
          <w:sz w:val="22"/>
          <w:szCs w:val="22"/>
        </w:rPr>
        <w:t xml:space="preserve"> las</w:t>
      </w:r>
      <w:r w:rsidRPr="00611BBF">
        <w:rPr>
          <w:rFonts w:ascii="Verdana" w:eastAsia="Calibri" w:hAnsi="Verdana" w:cs="Arial"/>
          <w:sz w:val="22"/>
          <w:szCs w:val="22"/>
        </w:rPr>
        <w:t xml:space="preserve"> actuaciones administrativas</w:t>
      </w:r>
      <w:r>
        <w:rPr>
          <w:rFonts w:ascii="Verdana" w:eastAsia="Calibri" w:hAnsi="Verdana" w:cs="Arial"/>
          <w:sz w:val="22"/>
          <w:szCs w:val="22"/>
        </w:rPr>
        <w:t xml:space="preserve"> que se puedan generar previamente. </w:t>
      </w:r>
    </w:p>
    <w:p w14:paraId="606424AD" w14:textId="77777777" w:rsidR="002C789B" w:rsidRDefault="002C789B" w:rsidP="002C789B">
      <w:pPr>
        <w:spacing w:before="120" w:line="276" w:lineRule="auto"/>
        <w:ind w:firstLine="709"/>
        <w:jc w:val="both"/>
        <w:rPr>
          <w:rFonts w:ascii="Verdana" w:hAnsi="Verdana" w:cs="Arial"/>
          <w:bCs/>
          <w:lang w:eastAsia="es-CO"/>
        </w:rPr>
      </w:pPr>
      <w:r>
        <w:rPr>
          <w:rFonts w:ascii="Verdana" w:eastAsia="Times New Roman" w:hAnsi="Verdana" w:cs="Arial"/>
          <w:lang w:val="es-ES"/>
        </w:rPr>
        <w:t xml:space="preserve">Respecto de la celebración de otros instrumentos jurídicos distintos de contratos directos que impliquen la expedición de actos administrativos y otras actuaciones administrativas, es importante señalar que en estos casos </w:t>
      </w:r>
      <w:r>
        <w:rPr>
          <w:rFonts w:ascii="Verdana" w:hAnsi="Verdana" w:cs="Arial"/>
          <w:bCs/>
          <w:lang w:val="es-ES_tradnl" w:eastAsia="es-CO"/>
        </w:rPr>
        <w:t xml:space="preserve">no le resulta aplicable las restricciones previstas en el artículo 33 de la Ley 996 de 2005, porque lo que este precepto prohíbe es </w:t>
      </w:r>
      <w:r>
        <w:rPr>
          <w:rFonts w:ascii="Verdana" w:hAnsi="Verdana" w:cs="Arial"/>
          <w:bCs/>
          <w:lang w:val="es-MX" w:eastAsia="x-none"/>
        </w:rPr>
        <w:t>celebrar cualquier contrato de forma directa</w:t>
      </w:r>
      <w:r>
        <w:rPr>
          <w:rFonts w:ascii="Verdana" w:hAnsi="Verdana" w:cs="Arial"/>
          <w:bCs/>
          <w:lang w:val="es-ES_tradnl" w:eastAsia="es-CO"/>
        </w:rPr>
        <w:t xml:space="preserve">. En este sentido, </w:t>
      </w:r>
      <w:r>
        <w:rPr>
          <w:rFonts w:ascii="Verdana" w:eastAsia="Times New Roman" w:hAnsi="Verdana" w:cs="Arial"/>
          <w:lang w:val="es-ES"/>
        </w:rPr>
        <w:t xml:space="preserve">la celebración de contratos de forma directa </w:t>
      </w:r>
      <w:r>
        <w:rPr>
          <w:rFonts w:ascii="Verdana" w:hAnsi="Verdana" w:cs="Arial"/>
          <w:bCs/>
          <w:lang w:val="es-ES_tradnl" w:eastAsia="es-CO"/>
        </w:rPr>
        <w:t xml:space="preserve">son </w:t>
      </w:r>
      <w:r>
        <w:rPr>
          <w:rFonts w:ascii="Verdana" w:hAnsi="Verdana" w:cs="Arial"/>
          <w:bCs/>
          <w:i/>
          <w:iCs/>
          <w:lang w:val="es-ES_tradnl" w:eastAsia="es-CO"/>
        </w:rPr>
        <w:t>acuerdos de voluntades</w:t>
      </w:r>
      <w:r>
        <w:rPr>
          <w:rFonts w:ascii="Verdana" w:hAnsi="Verdana" w:cs="Arial"/>
          <w:bCs/>
          <w:lang w:val="es-ES_tradnl" w:eastAsia="es-CO"/>
        </w:rPr>
        <w:t xml:space="preserve">, o sea un acto jurídico </w:t>
      </w:r>
      <w:r>
        <w:rPr>
          <w:rFonts w:ascii="Verdana" w:hAnsi="Verdana" w:cs="Arial"/>
          <w:bCs/>
          <w:i/>
          <w:iCs/>
          <w:lang w:val="es-ES_tradnl" w:eastAsia="es-CO"/>
        </w:rPr>
        <w:t>bilateral</w:t>
      </w:r>
      <w:r>
        <w:rPr>
          <w:rFonts w:ascii="Verdana" w:hAnsi="Verdana" w:cs="Arial"/>
          <w:bCs/>
          <w:lang w:val="es-ES_tradnl" w:eastAsia="es-CO"/>
        </w:rPr>
        <w:t xml:space="preserve"> o que participa de la forma contractual, de conformidad con el artículo 1495 del Código Civil. En cambio, </w:t>
      </w:r>
      <w:r w:rsidRPr="00F12276">
        <w:rPr>
          <w:rFonts w:ascii="Verdana" w:hAnsi="Verdana" w:cs="Arial"/>
          <w:bCs/>
          <w:lang w:eastAsia="es-CO"/>
        </w:rPr>
        <w:t>los actos administrativos son declaraciones unilaterales de voluntad encaminadas a la producción de efectos jurídicos vinculantes</w:t>
      </w:r>
      <w:r w:rsidRPr="00F12276">
        <w:rPr>
          <w:rFonts w:ascii="Verdana" w:hAnsi="Verdana" w:cs="Arial"/>
          <w:bCs/>
          <w:vertAlign w:val="superscript"/>
          <w:lang w:eastAsia="es-CO"/>
        </w:rPr>
        <w:footnoteReference w:id="13"/>
      </w:r>
      <w:r>
        <w:rPr>
          <w:rFonts w:ascii="Verdana" w:hAnsi="Verdana" w:cs="Arial"/>
          <w:bCs/>
          <w:lang w:eastAsia="es-CO"/>
        </w:rPr>
        <w:t xml:space="preserve">. En tal sentido, </w:t>
      </w:r>
      <w:r>
        <w:rPr>
          <w:rFonts w:ascii="Verdana" w:hAnsi="Verdana" w:cs="Arial"/>
          <w:bCs/>
          <w:lang w:val="es-ES_tradnl" w:eastAsia="es-CO"/>
        </w:rPr>
        <w:t xml:space="preserve">si el artículo 33 </w:t>
      </w:r>
      <w:r w:rsidRPr="00A72ADC">
        <w:rPr>
          <w:rFonts w:ascii="Verdana" w:hAnsi="Verdana" w:cs="Arial"/>
          <w:bCs/>
          <w:i/>
          <w:iCs/>
          <w:lang w:val="es-ES_tradnl" w:eastAsia="es-CO"/>
        </w:rPr>
        <w:t>ibidem</w:t>
      </w:r>
      <w:r>
        <w:rPr>
          <w:rFonts w:ascii="Verdana" w:hAnsi="Verdana" w:cs="Arial"/>
          <w:bCs/>
          <w:lang w:val="es-ES_tradnl" w:eastAsia="es-CO"/>
        </w:rPr>
        <w:t xml:space="preserve"> prohibió la celebración directa de contratos, no puede entenderse </w:t>
      </w:r>
      <w:r w:rsidRPr="00A72ADC">
        <w:rPr>
          <w:rFonts w:ascii="Verdana" w:hAnsi="Verdana" w:cs="Arial"/>
          <w:bCs/>
          <w:lang w:val="es-ES_tradnl" w:eastAsia="es-CO"/>
        </w:rPr>
        <w:t>también</w:t>
      </w:r>
      <w:r>
        <w:rPr>
          <w:rFonts w:ascii="Verdana" w:hAnsi="Verdana" w:cs="Arial"/>
          <w:bCs/>
          <w:lang w:val="es-ES_tradnl" w:eastAsia="es-CO"/>
        </w:rPr>
        <w:t xml:space="preserve"> prohibida la expedición de actos administrativos u otros instrumentos jurídicos, porque se estaría incluyendo una circunstancia que el supuesto de hecho de la restricción no contempla. </w:t>
      </w:r>
    </w:p>
    <w:p w14:paraId="7CDFF9C7" w14:textId="77777777" w:rsidR="002C789B" w:rsidRDefault="002C789B" w:rsidP="002C789B">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B61452">
        <w:rPr>
          <w:rFonts w:ascii="Verdana" w:eastAsia="Calibri" w:hAnsi="Verdana" w:cs="Arial"/>
          <w:sz w:val="22"/>
          <w:szCs w:val="22"/>
        </w:rPr>
        <w:t xml:space="preserve">En ese sentido, </w:t>
      </w:r>
      <w:r w:rsidRPr="009C69E1">
        <w:rPr>
          <w:rFonts w:ascii="Verdana" w:eastAsia="Calibri" w:hAnsi="Verdana" w:cs="Arial"/>
          <w:sz w:val="22"/>
          <w:szCs w:val="22"/>
        </w:rPr>
        <w:t xml:space="preserve">todos los trámites preparatorios y actuaciones administrativas </w:t>
      </w:r>
      <w:r>
        <w:rPr>
          <w:rFonts w:ascii="Verdana" w:eastAsia="Calibri" w:hAnsi="Verdana" w:cs="Arial"/>
          <w:sz w:val="22"/>
          <w:szCs w:val="22"/>
        </w:rPr>
        <w:t xml:space="preserve">de gestión predial </w:t>
      </w:r>
      <w:r w:rsidRPr="00B61452">
        <w:rPr>
          <w:rFonts w:ascii="Verdana" w:eastAsia="Calibri" w:hAnsi="Verdana" w:cs="Arial"/>
          <w:sz w:val="22"/>
          <w:szCs w:val="22"/>
        </w:rPr>
        <w:t>que se surtan dentro de este procedimiento especial</w:t>
      </w:r>
      <w:r>
        <w:rPr>
          <w:rFonts w:ascii="Verdana" w:eastAsia="Calibri" w:hAnsi="Verdana" w:cs="Arial"/>
          <w:sz w:val="22"/>
          <w:szCs w:val="22"/>
        </w:rPr>
        <w:t xml:space="preserve">, </w:t>
      </w:r>
      <w:r w:rsidRPr="00B61452">
        <w:rPr>
          <w:rFonts w:ascii="Verdana" w:eastAsia="Calibri" w:hAnsi="Verdana" w:cs="Arial"/>
          <w:sz w:val="22"/>
          <w:szCs w:val="22"/>
        </w:rPr>
        <w:t xml:space="preserve">tales como los avalúos, las ofertas de compra, las negociaciones preliminares y demás actuaciones que no impliquen la celebración de </w:t>
      </w:r>
      <w:r w:rsidRPr="0044553E">
        <w:rPr>
          <w:rFonts w:ascii="Verdana" w:eastAsia="Calibri" w:hAnsi="Verdana" w:cs="Arial"/>
          <w:sz w:val="22"/>
          <w:szCs w:val="22"/>
        </w:rPr>
        <w:t>u</w:t>
      </w:r>
      <w:r>
        <w:rPr>
          <w:rFonts w:ascii="Verdana" w:eastAsia="Calibri" w:hAnsi="Verdana" w:cs="Arial"/>
          <w:sz w:val="22"/>
          <w:szCs w:val="22"/>
        </w:rPr>
        <w:t>na promesa de compraventa o contrato compraventa o cualquier otro contrato,</w:t>
      </w:r>
      <w:r w:rsidRPr="0044553E">
        <w:rPr>
          <w:rFonts w:ascii="Verdana" w:eastAsia="Calibri" w:hAnsi="Verdana" w:cs="Arial"/>
          <w:sz w:val="22"/>
          <w:szCs w:val="22"/>
        </w:rPr>
        <w:t xml:space="preserve"> pueden adelantarse válidamente, incluso durante el período de restricción previsto en la </w:t>
      </w:r>
      <w:r>
        <w:rPr>
          <w:rFonts w:ascii="Verdana" w:eastAsia="Calibri" w:hAnsi="Verdana" w:cs="Arial"/>
          <w:sz w:val="22"/>
          <w:szCs w:val="22"/>
        </w:rPr>
        <w:t>L</w:t>
      </w:r>
      <w:r w:rsidRPr="0044553E">
        <w:rPr>
          <w:rFonts w:ascii="Verdana" w:eastAsia="Calibri" w:hAnsi="Verdana" w:cs="Arial"/>
          <w:sz w:val="22"/>
          <w:szCs w:val="22"/>
        </w:rPr>
        <w:t xml:space="preserve">ey de </w:t>
      </w:r>
      <w:r>
        <w:rPr>
          <w:rFonts w:ascii="Verdana" w:eastAsia="Calibri" w:hAnsi="Verdana" w:cs="Arial"/>
          <w:sz w:val="22"/>
          <w:szCs w:val="22"/>
        </w:rPr>
        <w:t>G</w:t>
      </w:r>
      <w:r w:rsidRPr="0044553E">
        <w:rPr>
          <w:rFonts w:ascii="Verdana" w:eastAsia="Calibri" w:hAnsi="Verdana" w:cs="Arial"/>
          <w:sz w:val="22"/>
          <w:szCs w:val="22"/>
        </w:rPr>
        <w:t>arantías</w:t>
      </w:r>
      <w:r>
        <w:rPr>
          <w:rFonts w:ascii="Verdana" w:eastAsia="Calibri" w:hAnsi="Verdana" w:cs="Arial"/>
          <w:sz w:val="22"/>
          <w:szCs w:val="22"/>
        </w:rPr>
        <w:t xml:space="preserve"> Electorales</w:t>
      </w:r>
      <w:r w:rsidRPr="0044553E">
        <w:rPr>
          <w:rFonts w:ascii="Verdana" w:eastAsia="Calibri" w:hAnsi="Verdana" w:cs="Arial"/>
          <w:sz w:val="22"/>
          <w:szCs w:val="22"/>
        </w:rPr>
        <w:t>, por cuanto no configuran</w:t>
      </w:r>
      <w:r>
        <w:rPr>
          <w:rFonts w:ascii="Verdana" w:eastAsia="Calibri" w:hAnsi="Verdana" w:cs="Arial"/>
          <w:sz w:val="22"/>
          <w:szCs w:val="22"/>
        </w:rPr>
        <w:t xml:space="preserve"> los</w:t>
      </w:r>
      <w:r w:rsidRPr="0044553E">
        <w:rPr>
          <w:rFonts w:ascii="Verdana" w:eastAsia="Calibri" w:hAnsi="Verdana" w:cs="Arial"/>
          <w:sz w:val="22"/>
          <w:szCs w:val="22"/>
        </w:rPr>
        <w:t xml:space="preserve"> supuestos de contratación </w:t>
      </w:r>
      <w:r>
        <w:rPr>
          <w:rFonts w:ascii="Verdana" w:eastAsia="Calibri" w:hAnsi="Verdana" w:cs="Arial"/>
          <w:sz w:val="22"/>
          <w:szCs w:val="22"/>
        </w:rPr>
        <w:t>directa al que se refiere el artículo en comento</w:t>
      </w:r>
      <w:r w:rsidRPr="0044553E">
        <w:rPr>
          <w:rFonts w:ascii="Verdana" w:eastAsia="Calibri" w:hAnsi="Verdana" w:cs="Arial"/>
          <w:sz w:val="22"/>
          <w:szCs w:val="22"/>
        </w:rPr>
        <w:t>.</w:t>
      </w:r>
    </w:p>
    <w:p w14:paraId="377E4DF1" w14:textId="77777777" w:rsidR="002C789B" w:rsidRPr="00323979" w:rsidRDefault="002C789B" w:rsidP="002C789B">
      <w:pPr>
        <w:spacing w:before="120" w:line="276" w:lineRule="auto"/>
        <w:ind w:firstLine="709"/>
        <w:jc w:val="both"/>
        <w:rPr>
          <w:rFonts w:ascii="Verdana" w:hAnsi="Verdana" w:cs="Arial"/>
          <w:bCs/>
          <w:lang w:eastAsia="es-CO"/>
        </w:rPr>
      </w:pPr>
      <w:r>
        <w:rPr>
          <w:rFonts w:ascii="Verdana" w:eastAsia="Times New Roman" w:hAnsi="Verdana" w:cs="Arial"/>
        </w:rPr>
        <w:lastRenderedPageBreak/>
        <w:t>E</w:t>
      </w:r>
      <w:r w:rsidRPr="00FB77DC">
        <w:rPr>
          <w:rFonts w:ascii="Verdana" w:eastAsia="Times New Roman" w:hAnsi="Verdana" w:cs="Arial"/>
        </w:rPr>
        <w:t xml:space="preserve">n ese orden de ideas, corresponde a la entidad verificar la naturaleza jurídica de las actuaciones </w:t>
      </w:r>
      <w:r>
        <w:rPr>
          <w:rFonts w:ascii="Verdana" w:eastAsia="Times New Roman" w:hAnsi="Verdana" w:cs="Arial"/>
        </w:rPr>
        <w:t xml:space="preserve">preliminares </w:t>
      </w:r>
      <w:r w:rsidRPr="00FB77DC">
        <w:rPr>
          <w:rFonts w:ascii="Verdana" w:eastAsia="Times New Roman" w:hAnsi="Verdana" w:cs="Arial"/>
        </w:rPr>
        <w:t xml:space="preserve">de gestión predial que se adelantarán en el marco </w:t>
      </w:r>
      <w:r>
        <w:rPr>
          <w:rFonts w:ascii="Verdana" w:eastAsia="Times New Roman" w:hAnsi="Verdana" w:cs="Arial"/>
        </w:rPr>
        <w:t>del</w:t>
      </w:r>
      <w:r w:rsidRPr="00FB77DC">
        <w:rPr>
          <w:rFonts w:ascii="Verdana" w:eastAsia="Times New Roman" w:hAnsi="Verdana" w:cs="Arial"/>
        </w:rPr>
        <w:t xml:space="preserve"> procedimiento administrativo</w:t>
      </w:r>
      <w:r>
        <w:rPr>
          <w:rFonts w:ascii="Verdana" w:eastAsia="Times New Roman" w:hAnsi="Verdana" w:cs="Arial"/>
        </w:rPr>
        <w:t xml:space="preserve"> referido</w:t>
      </w:r>
      <w:r w:rsidRPr="00FB77DC">
        <w:rPr>
          <w:rFonts w:ascii="Verdana" w:eastAsia="Times New Roman" w:hAnsi="Verdana" w:cs="Arial"/>
        </w:rPr>
        <w:t>, precis</w:t>
      </w:r>
      <w:r>
        <w:rPr>
          <w:rFonts w:ascii="Verdana" w:eastAsia="Times New Roman" w:hAnsi="Verdana" w:cs="Arial"/>
        </w:rPr>
        <w:t>ando</w:t>
      </w:r>
      <w:r w:rsidRPr="00FB77DC">
        <w:rPr>
          <w:rFonts w:ascii="Verdana" w:eastAsia="Times New Roman" w:hAnsi="Verdana" w:cs="Arial"/>
        </w:rPr>
        <w:t xml:space="preserve"> que dichas actuaciones no implican, por sí mismas, la celebración directa de un contrato estatal</w:t>
      </w:r>
      <w:r w:rsidRPr="00724D86">
        <w:rPr>
          <w:rFonts w:ascii="Verdana" w:eastAsia="Times New Roman" w:hAnsi="Verdana" w:cs="Arial"/>
          <w:lang w:val="es-ES"/>
        </w:rPr>
        <w:t>. Esta diferenciación resulta esencial, en la medida en que la prohibici</w:t>
      </w:r>
      <w:r>
        <w:rPr>
          <w:rFonts w:ascii="Verdana" w:eastAsia="Times New Roman" w:hAnsi="Verdana" w:cs="Arial"/>
          <w:lang w:val="es-ES"/>
        </w:rPr>
        <w:t>ón</w:t>
      </w:r>
      <w:r w:rsidRPr="00724D86">
        <w:rPr>
          <w:rFonts w:ascii="Verdana" w:eastAsia="Times New Roman" w:hAnsi="Verdana" w:cs="Arial"/>
          <w:lang w:val="es-ES"/>
        </w:rPr>
        <w:t xml:space="preserve"> prevista en el artículo 33 de la Ley 996 de 2005 se</w:t>
      </w:r>
      <w:r w:rsidRPr="00BC1926">
        <w:rPr>
          <w:rFonts w:ascii="Verdana" w:eastAsia="Times New Roman" w:hAnsi="Verdana" w:cs="Arial"/>
          <w:lang w:val="es-ES"/>
        </w:rPr>
        <w:t xml:space="preserve"> </w:t>
      </w:r>
      <w:r>
        <w:rPr>
          <w:rFonts w:ascii="Verdana" w:eastAsia="Times New Roman" w:hAnsi="Verdana" w:cs="Arial"/>
          <w:lang w:val="es-ES"/>
        </w:rPr>
        <w:t xml:space="preserve">configura </w:t>
      </w:r>
      <w:r w:rsidRPr="001C7B22">
        <w:rPr>
          <w:rFonts w:ascii="Verdana" w:eastAsia="Times New Roman" w:hAnsi="Verdana" w:cs="Arial"/>
          <w:lang w:val="es-ES"/>
        </w:rPr>
        <w:t xml:space="preserve">cuando </w:t>
      </w:r>
      <w:r>
        <w:rPr>
          <w:rFonts w:ascii="Verdana" w:eastAsia="Times New Roman" w:hAnsi="Verdana" w:cs="Arial"/>
          <w:lang w:val="es-ES"/>
        </w:rPr>
        <w:t>se refiera a la celebración de un</w:t>
      </w:r>
      <w:r w:rsidRPr="001C7B22">
        <w:rPr>
          <w:rFonts w:ascii="Verdana" w:eastAsia="Times New Roman" w:hAnsi="Verdana" w:cs="Arial"/>
          <w:lang w:val="es-ES"/>
        </w:rPr>
        <w:t xml:space="preserve"> contrato en sentido estricto</w:t>
      </w:r>
      <w:r w:rsidRPr="00724D86">
        <w:rPr>
          <w:rFonts w:ascii="Verdana" w:eastAsia="Times New Roman" w:hAnsi="Verdana" w:cs="Arial"/>
          <w:lang w:val="es-ES"/>
        </w:rPr>
        <w:t>, mas no frente a actuaciones administrativas, que no genera</w:t>
      </w:r>
      <w:r>
        <w:rPr>
          <w:rFonts w:ascii="Verdana" w:eastAsia="Times New Roman" w:hAnsi="Verdana" w:cs="Arial"/>
          <w:lang w:val="es-ES"/>
        </w:rPr>
        <w:t>n propiamente u</w:t>
      </w:r>
      <w:r w:rsidRPr="00724D86">
        <w:rPr>
          <w:rFonts w:ascii="Verdana" w:eastAsia="Times New Roman" w:hAnsi="Verdana" w:cs="Arial"/>
          <w:lang w:val="es-ES"/>
        </w:rPr>
        <w:t xml:space="preserve">na relación contractual entre la entidad </w:t>
      </w:r>
      <w:r>
        <w:rPr>
          <w:rFonts w:ascii="Verdana" w:eastAsia="Times New Roman" w:hAnsi="Verdana" w:cs="Arial"/>
          <w:lang w:val="es-ES"/>
        </w:rPr>
        <w:t xml:space="preserve">y el particular. </w:t>
      </w:r>
    </w:p>
    <w:p w14:paraId="0380D9C4" w14:textId="77777777" w:rsidR="002C789B" w:rsidRPr="0044553E" w:rsidRDefault="002C789B" w:rsidP="002C789B">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lang w:val="es-ES"/>
        </w:rPr>
      </w:pPr>
      <w:r w:rsidRPr="0044553E">
        <w:rPr>
          <w:rFonts w:ascii="Verdana" w:eastAsia="Calibri" w:hAnsi="Verdana" w:cs="Arial"/>
          <w:sz w:val="22"/>
          <w:szCs w:val="22"/>
        </w:rPr>
        <w:t xml:space="preserve">En segundo lugar, respecto de la afirmación según la cual cuando el procedimiento administrativo de adquisición </w:t>
      </w:r>
      <w:r>
        <w:rPr>
          <w:rFonts w:ascii="Verdana" w:eastAsia="Calibri" w:hAnsi="Verdana" w:cs="Arial"/>
          <w:sz w:val="22"/>
          <w:szCs w:val="22"/>
        </w:rPr>
        <w:t xml:space="preserve">predial </w:t>
      </w:r>
      <w:r w:rsidRPr="0044553E">
        <w:rPr>
          <w:rFonts w:ascii="Verdana" w:eastAsia="Calibri" w:hAnsi="Verdana" w:cs="Arial"/>
          <w:sz w:val="22"/>
          <w:szCs w:val="22"/>
        </w:rPr>
        <w:t>culmina en la celebración de una promesa de compraventa o de un contrato de compraventa sí resulta aplicable la restricción del artículo 33 de la Ley 996 de 2005, se reitera la postura previamente sostenida</w:t>
      </w:r>
      <w:r>
        <w:rPr>
          <w:rFonts w:ascii="Verdana" w:eastAsia="Calibri" w:hAnsi="Verdana" w:cs="Arial"/>
          <w:sz w:val="22"/>
          <w:szCs w:val="22"/>
        </w:rPr>
        <w:t xml:space="preserve"> en los conceptos C-1512 y C-1529 </w:t>
      </w:r>
      <w:r w:rsidRPr="0044553E">
        <w:rPr>
          <w:rFonts w:ascii="Verdana" w:eastAsia="Calibri" w:hAnsi="Verdana" w:cs="Arial"/>
          <w:sz w:val="22"/>
          <w:szCs w:val="22"/>
        </w:rPr>
        <w:t>en la medida en que dichos negocios jurídicos implican la celebración de un contrato estatal</w:t>
      </w:r>
      <w:r>
        <w:rPr>
          <w:rFonts w:ascii="Verdana" w:eastAsia="Calibri" w:hAnsi="Verdana" w:cs="Arial"/>
          <w:sz w:val="22"/>
          <w:szCs w:val="22"/>
        </w:rPr>
        <w:t xml:space="preserve"> de forma directa</w:t>
      </w:r>
      <w:r w:rsidRPr="0044553E">
        <w:rPr>
          <w:rFonts w:ascii="Verdana" w:eastAsia="Calibri" w:hAnsi="Verdana" w:cs="Arial"/>
          <w:sz w:val="22"/>
          <w:szCs w:val="22"/>
        </w:rPr>
        <w:t>.</w:t>
      </w:r>
    </w:p>
    <w:p w14:paraId="012EE50F" w14:textId="77777777" w:rsidR="002C789B" w:rsidRPr="00A00771" w:rsidRDefault="002C789B" w:rsidP="002C789B">
      <w:pPr>
        <w:tabs>
          <w:tab w:val="left" w:pos="709"/>
        </w:tabs>
        <w:spacing w:before="120" w:after="120" w:line="276" w:lineRule="auto"/>
        <w:ind w:firstLine="709"/>
        <w:jc w:val="both"/>
        <w:rPr>
          <w:rFonts w:ascii="Verdana" w:eastAsia="Times New Roman" w:hAnsi="Verdana" w:cs="Arial"/>
          <w:lang w:val="es-ES" w:eastAsia="es-ES_tradnl"/>
        </w:rPr>
      </w:pPr>
      <w:r w:rsidRPr="00A00771">
        <w:rPr>
          <w:rFonts w:ascii="Verdana" w:eastAsia="Calibri" w:hAnsi="Verdana" w:cs="Arial"/>
          <w:lang w:eastAsia="es-CO"/>
        </w:rPr>
        <w:t>En efecto,</w:t>
      </w:r>
      <w:r>
        <w:rPr>
          <w:rFonts w:ascii="Verdana" w:eastAsia="Calibri" w:hAnsi="Verdana" w:cs="Arial"/>
          <w:lang w:eastAsia="es-CO"/>
        </w:rPr>
        <w:t xml:space="preserve"> en</w:t>
      </w:r>
      <w:r w:rsidRPr="00A00771">
        <w:rPr>
          <w:rFonts w:ascii="Verdana" w:eastAsia="Calibri" w:hAnsi="Verdana" w:cs="Arial"/>
          <w:lang w:eastAsia="es-CO"/>
        </w:rPr>
        <w:t xml:space="preserve"> la promesa de compraventa </w:t>
      </w:r>
      <w:r>
        <w:rPr>
          <w:rFonts w:ascii="Verdana" w:eastAsia="Calibri" w:hAnsi="Verdana" w:cs="Arial"/>
        </w:rPr>
        <w:t>y</w:t>
      </w:r>
      <w:r w:rsidRPr="00A00771">
        <w:rPr>
          <w:rFonts w:ascii="Verdana" w:eastAsia="Calibri" w:hAnsi="Verdana" w:cs="Arial"/>
          <w:lang w:eastAsia="es-CO"/>
        </w:rPr>
        <w:t xml:space="preserve"> </w:t>
      </w:r>
      <w:r>
        <w:rPr>
          <w:rFonts w:ascii="Verdana" w:eastAsia="Calibri" w:hAnsi="Verdana" w:cs="Arial"/>
          <w:lang w:eastAsia="es-CO"/>
        </w:rPr>
        <w:t xml:space="preserve">en </w:t>
      </w:r>
      <w:r w:rsidRPr="00A00771">
        <w:rPr>
          <w:rFonts w:ascii="Verdana" w:eastAsia="Calibri" w:hAnsi="Verdana" w:cs="Arial"/>
          <w:lang w:eastAsia="es-CO"/>
        </w:rPr>
        <w:t xml:space="preserve">el contrato de compraventa </w:t>
      </w:r>
      <w:r>
        <w:rPr>
          <w:rFonts w:ascii="Verdana" w:eastAsia="Times New Roman" w:hAnsi="Verdana" w:cs="Arial"/>
          <w:lang w:val="es-ES" w:eastAsia="es-ES_tradnl"/>
        </w:rPr>
        <w:t xml:space="preserve">participan entidades estatales y se invierten recursos de naturaleza pública, por lo cual puede afirmarse que estos actos jurídicos negociales son auténticos contratos estatales, según el criterio orgánico establecido en el artículo 32 de la Ley 80 de 1993, en concordancia el artículo 2 </w:t>
      </w:r>
      <w:r>
        <w:rPr>
          <w:rFonts w:ascii="Verdana" w:eastAsia="Times New Roman" w:hAnsi="Verdana" w:cs="Arial"/>
          <w:i/>
          <w:iCs/>
          <w:lang w:val="es-ES" w:eastAsia="es-ES_tradnl"/>
        </w:rPr>
        <w:t>ibidem</w:t>
      </w:r>
      <w:r>
        <w:rPr>
          <w:rFonts w:ascii="Verdana" w:eastAsia="Times New Roman" w:hAnsi="Verdana" w:cs="Arial"/>
          <w:lang w:val="es-ES" w:eastAsia="es-ES_tradnl"/>
        </w:rPr>
        <w:t xml:space="preserve"> y en armonía con lo dispuesto por el artículo 1 de la Ley 1150 de 2007. Estos negocios jurídicos </w:t>
      </w:r>
      <w:r w:rsidRPr="00A00771">
        <w:rPr>
          <w:rFonts w:ascii="Verdana" w:eastAsia="Calibri" w:hAnsi="Verdana" w:cs="Arial"/>
          <w:lang w:eastAsia="es-CO"/>
        </w:rPr>
        <w:t>constituyen formas de contratación directa, en cuanto su celebración se realiza con un sujeto determinado, sin convocatoria pública y sin posibilidad de concurrencia de una pluralidad de oferentes.</w:t>
      </w:r>
    </w:p>
    <w:p w14:paraId="7F163468" w14:textId="77777777" w:rsidR="002C789B" w:rsidRPr="0044553E" w:rsidRDefault="002C789B" w:rsidP="002C789B">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A00771">
        <w:rPr>
          <w:rFonts w:ascii="Verdana" w:eastAsia="Calibri" w:hAnsi="Verdana" w:cs="Arial"/>
          <w:sz w:val="22"/>
          <w:szCs w:val="22"/>
        </w:rPr>
        <w:t>Para sustentar esta conclusión, debe tenerse en cuenta que el alcance del artículo 33 de la Ley 996 de 2005, conforme a la interpretación realizada por el Consejo de Estado</w:t>
      </w:r>
      <w:r>
        <w:rPr>
          <w:rFonts w:ascii="Verdana" w:eastAsia="Calibri" w:hAnsi="Verdana" w:cs="Arial"/>
          <w:sz w:val="22"/>
          <w:szCs w:val="22"/>
        </w:rPr>
        <w:t xml:space="preserve"> explicada previamente</w:t>
      </w:r>
      <w:r w:rsidRPr="00A00771">
        <w:rPr>
          <w:rFonts w:ascii="Verdana" w:eastAsia="Calibri" w:hAnsi="Verdana" w:cs="Arial"/>
          <w:sz w:val="22"/>
          <w:szCs w:val="22"/>
        </w:rPr>
        <w:t>, no se limita a la figura formal de “contratación directa” prevista en el EGCAP. Por el contrario, comprende cualquier sistema de selección o procedimiento de contratación utilizado por las entidades estatales que no incluya convocatoria pública</w:t>
      </w:r>
      <w:r w:rsidRPr="0044553E">
        <w:rPr>
          <w:sz w:val="22"/>
          <w:szCs w:val="22"/>
        </w:rPr>
        <w:t xml:space="preserve"> </w:t>
      </w:r>
      <w:r w:rsidRPr="0044553E">
        <w:rPr>
          <w:rFonts w:ascii="Verdana" w:eastAsia="Calibri" w:hAnsi="Verdana" w:cs="Arial"/>
          <w:sz w:val="22"/>
          <w:szCs w:val="22"/>
        </w:rPr>
        <w:t>en alguna de sus etapas ni permita la participación de una pluralidad de oferentes, ya sea que se trate de mecanismos regulados por el Estatuto General de Contratación o por regímenes especiales.</w:t>
      </w:r>
    </w:p>
    <w:p w14:paraId="11E57052" w14:textId="77777777" w:rsidR="002C789B" w:rsidRPr="0044553E" w:rsidRDefault="002C789B" w:rsidP="002C789B">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EF7387">
        <w:rPr>
          <w:rFonts w:ascii="Verdana" w:eastAsia="Calibri" w:hAnsi="Verdana" w:cs="Arial"/>
          <w:sz w:val="22"/>
          <w:szCs w:val="22"/>
        </w:rPr>
        <w:lastRenderedPageBreak/>
        <w:t xml:space="preserve">Desde esta perspectiva, lo relevante no es el régimen jurídico del cual se derive el negocio jurídico, sino su naturaleza no competitiva y la ausencia de concurrencia, elementos que justifican la restricción impuesta por la </w:t>
      </w:r>
      <w:r>
        <w:rPr>
          <w:rFonts w:ascii="Verdana" w:eastAsia="Calibri" w:hAnsi="Verdana" w:cs="Arial"/>
          <w:sz w:val="22"/>
          <w:szCs w:val="22"/>
        </w:rPr>
        <w:t>L</w:t>
      </w:r>
      <w:r w:rsidRPr="00EF7387">
        <w:rPr>
          <w:rFonts w:ascii="Verdana" w:eastAsia="Calibri" w:hAnsi="Verdana" w:cs="Arial"/>
          <w:sz w:val="22"/>
          <w:szCs w:val="22"/>
        </w:rPr>
        <w:t xml:space="preserve">ey de </w:t>
      </w:r>
      <w:r>
        <w:rPr>
          <w:rFonts w:ascii="Verdana" w:eastAsia="Calibri" w:hAnsi="Verdana" w:cs="Arial"/>
          <w:sz w:val="22"/>
          <w:szCs w:val="22"/>
        </w:rPr>
        <w:t>G</w:t>
      </w:r>
      <w:r w:rsidRPr="00EF7387">
        <w:rPr>
          <w:rFonts w:ascii="Verdana" w:eastAsia="Calibri" w:hAnsi="Verdana" w:cs="Arial"/>
          <w:sz w:val="22"/>
          <w:szCs w:val="22"/>
        </w:rPr>
        <w:t>arantías.</w:t>
      </w:r>
      <w:r>
        <w:rPr>
          <w:rFonts w:ascii="Verdana" w:eastAsia="Calibri" w:hAnsi="Verdana" w:cs="Arial"/>
          <w:sz w:val="22"/>
          <w:szCs w:val="22"/>
        </w:rPr>
        <w:t xml:space="preserve"> </w:t>
      </w:r>
      <w:r w:rsidRPr="0044553E">
        <w:rPr>
          <w:rFonts w:ascii="Verdana" w:eastAsia="Calibri" w:hAnsi="Verdana" w:cs="Arial"/>
          <w:sz w:val="22"/>
          <w:szCs w:val="22"/>
        </w:rPr>
        <w:t xml:space="preserve">En este sentido, si bien la celebración de la promesa de compraventa o del contrato de compraventa se deriva de un procedimiento administrativo </w:t>
      </w:r>
      <w:r>
        <w:rPr>
          <w:rFonts w:ascii="Verdana" w:eastAsia="Calibri" w:hAnsi="Verdana" w:cs="Arial"/>
          <w:sz w:val="22"/>
          <w:szCs w:val="22"/>
        </w:rPr>
        <w:t xml:space="preserve">que se regula por reglas </w:t>
      </w:r>
      <w:r w:rsidRPr="0044553E">
        <w:rPr>
          <w:rFonts w:ascii="Verdana" w:eastAsia="Calibri" w:hAnsi="Verdana" w:cs="Arial"/>
          <w:sz w:val="22"/>
          <w:szCs w:val="22"/>
        </w:rPr>
        <w:t>especial</w:t>
      </w:r>
      <w:r>
        <w:rPr>
          <w:rFonts w:ascii="Verdana" w:eastAsia="Calibri" w:hAnsi="Verdana" w:cs="Arial"/>
          <w:sz w:val="22"/>
          <w:szCs w:val="22"/>
        </w:rPr>
        <w:t>es</w:t>
      </w:r>
      <w:r w:rsidRPr="0044553E">
        <w:rPr>
          <w:rFonts w:ascii="Verdana" w:eastAsia="Calibri" w:hAnsi="Verdana" w:cs="Arial"/>
          <w:sz w:val="22"/>
          <w:szCs w:val="22"/>
        </w:rPr>
        <w:t>, ello no desvirtúa su carácter de cont</w:t>
      </w:r>
      <w:r>
        <w:rPr>
          <w:rFonts w:ascii="Verdana" w:eastAsia="Calibri" w:hAnsi="Verdana" w:cs="Arial"/>
          <w:sz w:val="22"/>
          <w:szCs w:val="22"/>
        </w:rPr>
        <w:t>rato</w:t>
      </w:r>
      <w:r w:rsidRPr="0044553E">
        <w:rPr>
          <w:rFonts w:ascii="Verdana" w:eastAsia="Calibri" w:hAnsi="Verdana" w:cs="Arial"/>
          <w:sz w:val="22"/>
          <w:szCs w:val="22"/>
        </w:rPr>
        <w:t xml:space="preserve"> direct</w:t>
      </w:r>
      <w:r>
        <w:rPr>
          <w:rFonts w:ascii="Verdana" w:eastAsia="Calibri" w:hAnsi="Verdana" w:cs="Arial"/>
          <w:sz w:val="22"/>
          <w:szCs w:val="22"/>
        </w:rPr>
        <w:t>o</w:t>
      </w:r>
      <w:r w:rsidRPr="0044553E">
        <w:rPr>
          <w:rFonts w:ascii="Verdana" w:eastAsia="Calibri" w:hAnsi="Verdana" w:cs="Arial"/>
          <w:sz w:val="22"/>
          <w:szCs w:val="22"/>
        </w:rPr>
        <w:t>, en la medida en que la entidad estatal negocia y contrata con un único propietario, sin competencia entre oferentes, independientemente del contexto normativo que rodea la adquisición del inmueble.</w:t>
      </w:r>
      <w:r>
        <w:rPr>
          <w:rFonts w:ascii="Verdana" w:eastAsia="Calibri" w:hAnsi="Verdana" w:cs="Arial"/>
          <w:sz w:val="22"/>
          <w:szCs w:val="22"/>
        </w:rPr>
        <w:t xml:space="preserve"> </w:t>
      </w:r>
    </w:p>
    <w:p w14:paraId="2A12C671" w14:textId="77777777" w:rsidR="002C789B" w:rsidRDefault="002C789B" w:rsidP="002C789B">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7806D8">
        <w:rPr>
          <w:rFonts w:ascii="Verdana" w:eastAsia="Calibri" w:hAnsi="Verdana" w:cs="Arial"/>
          <w:sz w:val="22"/>
          <w:szCs w:val="22"/>
        </w:rPr>
        <w:t xml:space="preserve">En consecuencia, si bien el procedimiento administrativo de adquisición predial, </w:t>
      </w:r>
      <w:r>
        <w:rPr>
          <w:rFonts w:ascii="Verdana" w:eastAsia="Calibri" w:hAnsi="Verdana" w:cs="Arial"/>
          <w:sz w:val="22"/>
          <w:szCs w:val="22"/>
        </w:rPr>
        <w:t>por sí mismo</w:t>
      </w:r>
      <w:r w:rsidRPr="007806D8">
        <w:rPr>
          <w:rFonts w:ascii="Verdana" w:eastAsia="Calibri" w:hAnsi="Verdana" w:cs="Arial"/>
          <w:sz w:val="22"/>
          <w:szCs w:val="22"/>
        </w:rPr>
        <w:t xml:space="preserve">, no se encuentra sometido a las disposiciones </w:t>
      </w:r>
      <w:r>
        <w:rPr>
          <w:rFonts w:ascii="Verdana" w:eastAsia="Calibri" w:hAnsi="Verdana" w:cs="Arial"/>
          <w:sz w:val="22"/>
          <w:szCs w:val="22"/>
        </w:rPr>
        <w:t xml:space="preserve">al EGCAP </w:t>
      </w:r>
      <w:r w:rsidRPr="007806D8">
        <w:rPr>
          <w:rFonts w:ascii="Verdana" w:eastAsia="Calibri" w:hAnsi="Verdana" w:cs="Arial"/>
          <w:sz w:val="22"/>
          <w:szCs w:val="22"/>
        </w:rPr>
        <w:t xml:space="preserve">ni a la Ley de Garantías </w:t>
      </w:r>
      <w:r>
        <w:rPr>
          <w:rFonts w:ascii="Verdana" w:eastAsia="Calibri" w:hAnsi="Verdana" w:cs="Arial"/>
          <w:sz w:val="22"/>
          <w:szCs w:val="22"/>
        </w:rPr>
        <w:t xml:space="preserve">Electorales </w:t>
      </w:r>
      <w:r w:rsidRPr="007806D8">
        <w:rPr>
          <w:rFonts w:ascii="Verdana" w:eastAsia="Calibri" w:hAnsi="Verdana" w:cs="Arial"/>
          <w:sz w:val="22"/>
          <w:szCs w:val="22"/>
        </w:rPr>
        <w:t>en los términos previamente analizados, lo cierto es que el contrato de compraventa que pone fin a dicho procedimiento sí da lugar a la aplicación de la restricción prevista en el artículo 33 de la Ley 996 de 2005. Ello, en la medida en que se trata de un contrato estatal celebrado sin pluralidad de oferentes, circunstancia que activa la prohibición allí consagrada. Adicionalmente, dentro de las excepciones expresamente previstas por el legislador en dicha norma no se encuentran comprendidos los contratos que se deriven del procedimiento administrativo de adquisición</w:t>
      </w:r>
      <w:r>
        <w:rPr>
          <w:rFonts w:ascii="Verdana" w:eastAsia="Calibri" w:hAnsi="Verdana" w:cs="Arial"/>
          <w:sz w:val="22"/>
          <w:szCs w:val="22"/>
        </w:rPr>
        <w:t xml:space="preserve"> predial</w:t>
      </w:r>
      <w:r w:rsidRPr="007806D8">
        <w:rPr>
          <w:rFonts w:ascii="Verdana" w:eastAsia="Calibri" w:hAnsi="Verdana" w:cs="Arial"/>
          <w:sz w:val="22"/>
          <w:szCs w:val="22"/>
        </w:rPr>
        <w:t>, lo cual resulta relevante, pues de haber sido la intención del legislador exceptuar este tipo de negocios jurídicos, así lo habría señalado de manera expresa, tal como lo hizo respecto de otras hipótesis exceptuadas.</w:t>
      </w:r>
    </w:p>
    <w:p w14:paraId="2D53AFEC" w14:textId="77777777" w:rsidR="002C789B" w:rsidRPr="001D031E" w:rsidRDefault="002C789B" w:rsidP="002C789B">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Pr>
          <w:rFonts w:ascii="Verdana" w:eastAsia="Calibri" w:hAnsi="Verdana" w:cs="Arial"/>
          <w:sz w:val="22"/>
          <w:szCs w:val="22"/>
        </w:rPr>
        <w:t>Sobre el particular, se precisa que la Sala de Consulta y Servicio Civil del Consejo de Estado, en concepto del 21 de mayo del 2014</w:t>
      </w:r>
      <w:r>
        <w:rPr>
          <w:rStyle w:val="Refdenotaalpie"/>
          <w:rFonts w:ascii="Verdana" w:eastAsia="Calibri" w:hAnsi="Verdana" w:cs="Arial"/>
          <w:sz w:val="22"/>
          <w:szCs w:val="22"/>
        </w:rPr>
        <w:footnoteReference w:id="14"/>
      </w:r>
      <w:r>
        <w:rPr>
          <w:rFonts w:ascii="Verdana" w:eastAsia="Calibri" w:hAnsi="Verdana" w:cs="Arial"/>
          <w:sz w:val="22"/>
          <w:szCs w:val="22"/>
        </w:rPr>
        <w:t>, respecto de una consulta relacionada con la aplicación d</w:t>
      </w:r>
      <w:r w:rsidRPr="000634B9">
        <w:rPr>
          <w:rFonts w:ascii="Verdana" w:eastAsia="Calibri" w:hAnsi="Verdana" w:cs="Arial"/>
          <w:sz w:val="22"/>
          <w:szCs w:val="22"/>
        </w:rPr>
        <w:t>el artículo 33 de la Ley 996 de 2005, a los procesos que debe adelantar el INCODER para realizar la compraventa de algunos predios destinados a las Comunidades Étnicas</w:t>
      </w:r>
      <w:r>
        <w:rPr>
          <w:rFonts w:ascii="Verdana" w:eastAsia="Calibri" w:hAnsi="Verdana" w:cs="Arial"/>
          <w:sz w:val="22"/>
          <w:szCs w:val="22"/>
        </w:rPr>
        <w:t>, concluyó que “</w:t>
      </w:r>
      <w:r w:rsidRPr="00BB7F22">
        <w:rPr>
          <w:rFonts w:ascii="Verdana" w:eastAsia="Calibri" w:hAnsi="Verdana" w:cs="Arial"/>
          <w:sz w:val="22"/>
          <w:szCs w:val="22"/>
        </w:rPr>
        <w:t>el Instituto Colombiano de Desarrollo Rural –INCODER- no puede adelantar las contrataciones directas para adquirir los terrenos de que trata la Ley 160 de 1994, por cuanto se trata de una hipótesis que no cabe dentro de las excepciones previstas en el inciso último del artículo 33 de la Ley 996 de 2005</w:t>
      </w:r>
      <w:r>
        <w:rPr>
          <w:rFonts w:ascii="Verdana" w:eastAsia="Calibri" w:hAnsi="Verdana" w:cs="Arial"/>
          <w:sz w:val="22"/>
          <w:szCs w:val="22"/>
        </w:rPr>
        <w:t xml:space="preserve">”. </w:t>
      </w:r>
      <w:r>
        <w:rPr>
          <w:rFonts w:ascii="Verdana" w:hAnsi="Verdana" w:cs="Arial"/>
          <w:sz w:val="22"/>
          <w:szCs w:val="22"/>
          <w:lang w:val="es-ES" w:eastAsia="es-ES_tradnl"/>
        </w:rPr>
        <w:t>P</w:t>
      </w:r>
      <w:r w:rsidRPr="001D031E">
        <w:rPr>
          <w:rFonts w:ascii="Verdana" w:hAnsi="Verdana" w:cs="Arial"/>
          <w:sz w:val="22"/>
          <w:szCs w:val="22"/>
          <w:lang w:val="es-ES" w:eastAsia="es-ES_tradnl"/>
        </w:rPr>
        <w:t>ara argumentar dicha postura, el Consejo de Estado señaló lo siguiente:</w:t>
      </w:r>
      <w:r>
        <w:rPr>
          <w:rFonts w:ascii="Verdana" w:hAnsi="Verdana" w:cs="Arial"/>
          <w:lang w:val="es-ES" w:eastAsia="es-ES_tradnl"/>
        </w:rPr>
        <w:t xml:space="preserve"> </w:t>
      </w:r>
    </w:p>
    <w:p w14:paraId="7E90C686" w14:textId="77777777" w:rsidR="002C789B" w:rsidRDefault="002C789B" w:rsidP="002C789B">
      <w:pPr>
        <w:tabs>
          <w:tab w:val="left" w:pos="426"/>
        </w:tabs>
        <w:spacing w:after="0" w:line="276" w:lineRule="auto"/>
        <w:jc w:val="both"/>
        <w:rPr>
          <w:rFonts w:ascii="Verdana" w:eastAsia="Times New Roman" w:hAnsi="Verdana" w:cs="Arial"/>
          <w:lang w:val="es-ES" w:eastAsia="es-ES_tradnl"/>
        </w:rPr>
      </w:pPr>
    </w:p>
    <w:p w14:paraId="131D0210" w14:textId="77777777" w:rsidR="002C789B" w:rsidRPr="00D85C95" w:rsidRDefault="002C789B" w:rsidP="002C789B">
      <w:pPr>
        <w:spacing w:after="120" w:line="240" w:lineRule="auto"/>
        <w:ind w:left="709" w:right="709"/>
        <w:jc w:val="both"/>
        <w:rPr>
          <w:rFonts w:ascii="Verdana" w:eastAsia="Calibri" w:hAnsi="Verdana" w:cs="Arial"/>
          <w:b/>
          <w:bCs/>
          <w:i/>
          <w:iCs/>
          <w:sz w:val="20"/>
          <w:szCs w:val="20"/>
        </w:rPr>
      </w:pPr>
      <w:r>
        <w:rPr>
          <w:rFonts w:ascii="Verdana" w:eastAsia="Calibri" w:hAnsi="Verdana" w:cs="Arial"/>
          <w:sz w:val="20"/>
          <w:szCs w:val="20"/>
          <w:lang w:val="es-MX"/>
        </w:rPr>
        <w:lastRenderedPageBreak/>
        <w:t>“</w:t>
      </w:r>
      <w:r w:rsidRPr="00CC7726">
        <w:rPr>
          <w:rFonts w:ascii="Verdana" w:eastAsia="Calibri" w:hAnsi="Verdana" w:cs="Arial"/>
          <w:sz w:val="20"/>
          <w:szCs w:val="20"/>
        </w:rPr>
        <w:t xml:space="preserve">Así, en los casos de negociación directa de la Ley 160 de 1994 se tiene que la identificación y valoración de los predios la hace el INCODER. De igual forma, el instituto adelanta los trámites para hacer la oferta al propietario del predio y cumple con la obligación de pago frente al vendedor. </w:t>
      </w:r>
      <w:r w:rsidRPr="00D85C95">
        <w:rPr>
          <w:rFonts w:ascii="Verdana" w:eastAsia="Calibri" w:hAnsi="Verdana" w:cs="Arial"/>
          <w:b/>
          <w:bCs/>
          <w:i/>
          <w:iCs/>
          <w:sz w:val="20"/>
          <w:szCs w:val="20"/>
        </w:rPr>
        <w:t>Como se advierte, este proceso de compra de los predios obviamente no admite la posibilidad de que concurra pluralidad de oferentes ni de llevar a cabo un proceso de licitación pública.</w:t>
      </w:r>
    </w:p>
    <w:p w14:paraId="5AE4CB32" w14:textId="77777777" w:rsidR="002C789B" w:rsidRPr="009D26DE" w:rsidRDefault="002C789B" w:rsidP="002C789B">
      <w:pPr>
        <w:spacing w:after="12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 xml:space="preserve">Por tanto, </w:t>
      </w:r>
      <w:r w:rsidRPr="009D26DE">
        <w:rPr>
          <w:rFonts w:ascii="Verdana" w:eastAsia="Calibri" w:hAnsi="Verdana" w:cs="Arial"/>
          <w:sz w:val="20"/>
          <w:szCs w:val="20"/>
          <w:lang w:val="es-MX"/>
        </w:rPr>
        <w:t xml:space="preserve">si dentro de la etapa de negociación directa el INCODER logra el acuerdo de un particular para adquirir un predio con destino a las comunidades destinatarias de la Ley 160 de 1994, </w:t>
      </w:r>
      <w:r w:rsidRPr="00396998">
        <w:rPr>
          <w:rFonts w:ascii="Verdana" w:eastAsia="Calibri" w:hAnsi="Verdana" w:cs="Arial"/>
          <w:b/>
          <w:bCs/>
          <w:i/>
          <w:iCs/>
          <w:sz w:val="20"/>
          <w:szCs w:val="20"/>
          <w:lang w:val="es-MX"/>
        </w:rPr>
        <w:t>el negocio jurídico de compraventa de esos predios queda afectado por la prohibición temporal a la contratación directa, durante los cuatro (4) meses anteriores a la elección presidencial y hasta la realización de la elección en la segunda vuelta, consagrada en el artículo 33 de la Ley 996 de 2005.</w:t>
      </w:r>
      <w:r w:rsidRPr="009D26DE">
        <w:rPr>
          <w:rFonts w:ascii="Verdana" w:eastAsia="Calibri" w:hAnsi="Verdana" w:cs="Arial"/>
          <w:sz w:val="20"/>
          <w:szCs w:val="20"/>
          <w:lang w:val="es-MX"/>
        </w:rPr>
        <w:t xml:space="preserve"> </w:t>
      </w:r>
    </w:p>
    <w:p w14:paraId="16541D86" w14:textId="77777777" w:rsidR="002C789B" w:rsidRDefault="002C789B" w:rsidP="002C789B">
      <w:pPr>
        <w:spacing w:after="120" w:line="240" w:lineRule="auto"/>
        <w:ind w:left="709" w:right="709"/>
        <w:jc w:val="both"/>
        <w:rPr>
          <w:rFonts w:ascii="Verdana" w:eastAsia="Calibri" w:hAnsi="Verdana" w:cs="Arial"/>
          <w:sz w:val="20"/>
          <w:szCs w:val="20"/>
          <w:lang w:val="es-MX"/>
        </w:rPr>
      </w:pPr>
      <w:r w:rsidRPr="009D26DE">
        <w:rPr>
          <w:rFonts w:ascii="Verdana" w:eastAsia="Calibri" w:hAnsi="Verdana" w:cs="Arial"/>
          <w:sz w:val="20"/>
          <w:szCs w:val="20"/>
          <w:lang w:val="es-MX"/>
        </w:rPr>
        <w:t>Ahora bien, esta Sala ha sido enfática al señalar que las excepciones consagradas en el inciso segundo del artículo 33 son taxativas y su interpretación debe ser de carácter restrictivo. A partir de esta premisa concluye la Sala que la actividad contractual del INCODER en relación con la compraventa de los predios destinados a las Comunidades Étnicas no se ajusta a ninguna de las hipótesis exceptivas que consagra el artículo 33 de la Ley de Garantías Electorales</w:t>
      </w:r>
      <w:r>
        <w:rPr>
          <w:rFonts w:ascii="Verdana" w:eastAsia="Calibri" w:hAnsi="Verdana" w:cs="Arial"/>
          <w:sz w:val="20"/>
          <w:szCs w:val="20"/>
          <w:lang w:val="es-MX"/>
        </w:rPr>
        <w:t>”</w:t>
      </w:r>
      <w:r w:rsidRPr="009D26DE">
        <w:rPr>
          <w:rFonts w:ascii="Verdana" w:eastAsia="Calibri" w:hAnsi="Verdana" w:cs="Arial"/>
          <w:sz w:val="20"/>
          <w:szCs w:val="20"/>
          <w:lang w:val="es-MX"/>
        </w:rPr>
        <w:t>.</w:t>
      </w:r>
    </w:p>
    <w:p w14:paraId="33FD67C9" w14:textId="77777777" w:rsidR="002C789B" w:rsidRPr="009D26DE" w:rsidRDefault="002C789B" w:rsidP="002C789B">
      <w:pPr>
        <w:spacing w:after="0" w:line="240" w:lineRule="auto"/>
        <w:ind w:left="709" w:right="709"/>
        <w:jc w:val="both"/>
        <w:rPr>
          <w:rFonts w:ascii="Verdana" w:eastAsia="Calibri" w:hAnsi="Verdana" w:cs="Arial"/>
          <w:sz w:val="20"/>
          <w:szCs w:val="20"/>
          <w:lang w:val="es-MX"/>
        </w:rPr>
      </w:pPr>
    </w:p>
    <w:bookmarkEnd w:id="4"/>
    <w:p w14:paraId="1B835626" w14:textId="77777777" w:rsidR="002C789B" w:rsidRDefault="002C789B" w:rsidP="002C789B">
      <w:pPr>
        <w:spacing w:after="120" w:line="276" w:lineRule="auto"/>
        <w:ind w:firstLine="709"/>
        <w:jc w:val="both"/>
        <w:rPr>
          <w:rFonts w:ascii="Verdana" w:eastAsia="Calibri" w:hAnsi="Verdana" w:cs="Arial"/>
        </w:rPr>
      </w:pPr>
      <w:r>
        <w:rPr>
          <w:rFonts w:ascii="Verdana" w:eastAsia="Times New Roman" w:hAnsi="Verdana" w:cs="Arial"/>
          <w:bCs/>
          <w:lang w:val="es-MX" w:eastAsia="x-none"/>
        </w:rPr>
        <w:t xml:space="preserve">Conforme se desprende de lo anterior, el Consejo de Estado concluyó la aplicación del artículo 33 de la Ley de Garantías Electorales al procedimiento </w:t>
      </w:r>
      <w:r w:rsidRPr="00740990">
        <w:rPr>
          <w:rFonts w:ascii="Verdana" w:eastAsia="Times New Roman" w:hAnsi="Verdana" w:cs="Arial"/>
          <w:bCs/>
          <w:lang w:eastAsia="x-none"/>
        </w:rPr>
        <w:t>administrativo de adquisición de predios para las comunidades indígenas, afrocolombianas y demás minorías étnicas a cargo del INCODER</w:t>
      </w:r>
      <w:r>
        <w:rPr>
          <w:rFonts w:ascii="Verdana" w:eastAsia="Times New Roman" w:hAnsi="Verdana" w:cs="Arial"/>
          <w:bCs/>
          <w:lang w:eastAsia="x-none"/>
        </w:rPr>
        <w:t>, teniendo en cuenta que en este</w:t>
      </w:r>
      <w:r w:rsidRPr="00EB50CC">
        <w:rPr>
          <w:rFonts w:ascii="Verdana" w:eastAsia="Calibri" w:hAnsi="Verdana" w:cs="Arial"/>
          <w:b/>
          <w:bCs/>
          <w:i/>
          <w:iCs/>
          <w:sz w:val="20"/>
          <w:szCs w:val="20"/>
        </w:rPr>
        <w:t xml:space="preserve"> </w:t>
      </w:r>
      <w:r w:rsidRPr="007C4B33">
        <w:rPr>
          <w:rFonts w:ascii="Verdana" w:eastAsia="Calibri" w:hAnsi="Verdana" w:cs="Arial"/>
        </w:rPr>
        <w:t xml:space="preserve">no se admite la posibilidad de que concurra pluralidad de oferentes ni de llevar a cabo un proceso de licitación pública y </w:t>
      </w:r>
      <w:r>
        <w:rPr>
          <w:rFonts w:ascii="Verdana" w:eastAsia="Calibri" w:hAnsi="Verdana" w:cs="Arial"/>
        </w:rPr>
        <w:t>que</w:t>
      </w:r>
      <w:r w:rsidRPr="007C4B33">
        <w:rPr>
          <w:rFonts w:ascii="Verdana" w:eastAsia="Calibri" w:hAnsi="Verdana" w:cs="Arial"/>
        </w:rPr>
        <w:t xml:space="preserve"> conlleva</w:t>
      </w:r>
      <w:r>
        <w:rPr>
          <w:rFonts w:ascii="Verdana" w:eastAsia="Calibri" w:hAnsi="Verdana" w:cs="Arial"/>
        </w:rPr>
        <w:t xml:space="preserve"> la celebración de una compraventa en caso de que se logre acuerdo con el particular para adquirir el predio.</w:t>
      </w:r>
    </w:p>
    <w:p w14:paraId="188CB843" w14:textId="77777777" w:rsidR="002C789B" w:rsidRDefault="002C789B" w:rsidP="002C789B">
      <w:pPr>
        <w:spacing w:after="120" w:line="276" w:lineRule="auto"/>
        <w:ind w:firstLine="709"/>
        <w:jc w:val="both"/>
        <w:rPr>
          <w:rFonts w:ascii="Verdana" w:eastAsia="Calibri" w:hAnsi="Verdana" w:cs="Arial"/>
        </w:rPr>
      </w:pPr>
      <w:r w:rsidRPr="009B6C64">
        <w:rPr>
          <w:rFonts w:ascii="Verdana" w:eastAsia="Calibri" w:hAnsi="Verdana" w:cs="Arial"/>
        </w:rPr>
        <w:t xml:space="preserve">Lo anterior resulta especialmente </w:t>
      </w:r>
      <w:r>
        <w:rPr>
          <w:rFonts w:ascii="Verdana" w:eastAsia="Calibri" w:hAnsi="Verdana" w:cs="Arial"/>
        </w:rPr>
        <w:t>importante</w:t>
      </w:r>
      <w:r w:rsidRPr="009B6C64">
        <w:rPr>
          <w:rFonts w:ascii="Verdana" w:eastAsia="Calibri" w:hAnsi="Verdana" w:cs="Arial"/>
        </w:rPr>
        <w:t xml:space="preserve"> para el caso bajo estudio, ya que, aunque el procedimiento administrativo de adquisición </w:t>
      </w:r>
      <w:r>
        <w:rPr>
          <w:rFonts w:ascii="Verdana" w:eastAsia="Calibri" w:hAnsi="Verdana" w:cs="Arial"/>
        </w:rPr>
        <w:t xml:space="preserve">predial </w:t>
      </w:r>
      <w:r w:rsidRPr="009B6C64">
        <w:rPr>
          <w:rFonts w:ascii="Verdana" w:eastAsia="Calibri" w:hAnsi="Verdana" w:cs="Arial"/>
        </w:rPr>
        <w:t>adelantado por el INCODER presenta diferencias sustanciales frente al procedimiento de adquisición predial por razones de utilidad pública</w:t>
      </w:r>
      <w:r>
        <w:rPr>
          <w:rFonts w:ascii="Verdana" w:eastAsia="Calibri" w:hAnsi="Verdana" w:cs="Arial"/>
        </w:rPr>
        <w:t xml:space="preserve">, concretamente </w:t>
      </w:r>
      <w:r w:rsidRPr="009B6C64">
        <w:rPr>
          <w:rFonts w:ascii="Verdana" w:eastAsia="Calibri" w:hAnsi="Verdana" w:cs="Arial"/>
        </w:rPr>
        <w:t xml:space="preserve">en lo relativo a su objeto, </w:t>
      </w:r>
      <w:r>
        <w:rPr>
          <w:rFonts w:ascii="Verdana" w:eastAsia="Calibri" w:hAnsi="Verdana" w:cs="Arial"/>
        </w:rPr>
        <w:t xml:space="preserve">reglas, </w:t>
      </w:r>
      <w:r w:rsidRPr="009B6C64">
        <w:rPr>
          <w:rFonts w:ascii="Verdana" w:eastAsia="Calibri" w:hAnsi="Verdana" w:cs="Arial"/>
        </w:rPr>
        <w:t xml:space="preserve">a los sujetos destinatarios y a las autoridades competentes para su desarrollo, debe tenerse en cuenta que, </w:t>
      </w:r>
      <w:r>
        <w:rPr>
          <w:rFonts w:ascii="Verdana" w:eastAsia="Calibri" w:hAnsi="Verdana" w:cs="Arial"/>
        </w:rPr>
        <w:t xml:space="preserve">de acuerdo con </w:t>
      </w:r>
      <w:r w:rsidRPr="009B6C64">
        <w:rPr>
          <w:rFonts w:ascii="Verdana" w:eastAsia="Calibri" w:hAnsi="Verdana" w:cs="Arial"/>
        </w:rPr>
        <w:t xml:space="preserve">el análisis realizado por el Consejo de Estado en torno a la interpretación y aplicación del artículo 33 de la Ley 996 de 2005, ambos </w:t>
      </w:r>
      <w:r w:rsidRPr="009B6C64">
        <w:rPr>
          <w:rFonts w:ascii="Verdana" w:eastAsia="Calibri" w:hAnsi="Verdana" w:cs="Arial"/>
        </w:rPr>
        <w:lastRenderedPageBreak/>
        <w:t>procedimientos coinciden en elementos estructurales esenciales que adquieren relevancia para efectos de la aplicación de la Ley de Garantías.</w:t>
      </w:r>
    </w:p>
    <w:p w14:paraId="6985AE9D" w14:textId="77777777" w:rsidR="002C789B" w:rsidRDefault="002C789B" w:rsidP="002C789B">
      <w:pPr>
        <w:spacing w:after="120" w:line="276" w:lineRule="auto"/>
        <w:ind w:firstLine="709"/>
        <w:jc w:val="both"/>
        <w:rPr>
          <w:rFonts w:ascii="Verdana" w:eastAsia="Calibri" w:hAnsi="Verdana" w:cs="Arial"/>
        </w:rPr>
      </w:pPr>
      <w:r w:rsidRPr="00654C01">
        <w:rPr>
          <w:rFonts w:ascii="Verdana" w:eastAsia="Calibri" w:hAnsi="Verdana" w:cs="Arial"/>
        </w:rPr>
        <w:t>En particular, co</w:t>
      </w:r>
      <w:r>
        <w:rPr>
          <w:rFonts w:ascii="Verdana" w:eastAsia="Calibri" w:hAnsi="Verdana" w:cs="Arial"/>
        </w:rPr>
        <w:t>nvergen</w:t>
      </w:r>
      <w:r w:rsidRPr="00654C01">
        <w:rPr>
          <w:rFonts w:ascii="Verdana" w:eastAsia="Calibri" w:hAnsi="Verdana" w:cs="Arial"/>
        </w:rPr>
        <w:t xml:space="preserve"> en dos aspectos fundamentales: (i) no admiten la concurrencia de pluralidad de oferentes ni la realización de un proceso licitación pública, y (ii) en caso de que la etapa de negociación directa resulte exitosa, el procedimiento culmina con la suscripción de una promesa de compraventa y el posterior perfeccionamiento del contrato de compraventa. En ese sentido, aun cuando se trate de procedimientos administrativos distintos, la lógica interpretativa </w:t>
      </w:r>
      <w:r>
        <w:rPr>
          <w:rFonts w:ascii="Verdana" w:eastAsia="Calibri" w:hAnsi="Verdana" w:cs="Arial"/>
        </w:rPr>
        <w:t xml:space="preserve">de aplicación del artículo 33 </w:t>
      </w:r>
      <w:r w:rsidRPr="0004219C">
        <w:rPr>
          <w:rFonts w:ascii="Verdana" w:eastAsia="Calibri" w:hAnsi="Verdana" w:cs="Arial"/>
          <w:i/>
          <w:iCs/>
        </w:rPr>
        <w:t>ibidem</w:t>
      </w:r>
      <w:r>
        <w:rPr>
          <w:rFonts w:ascii="Verdana" w:eastAsia="Calibri" w:hAnsi="Verdana" w:cs="Arial"/>
        </w:rPr>
        <w:t xml:space="preserve"> </w:t>
      </w:r>
      <w:r w:rsidRPr="00654C01">
        <w:rPr>
          <w:rFonts w:ascii="Verdana" w:eastAsia="Calibri" w:hAnsi="Verdana" w:cs="Arial"/>
        </w:rPr>
        <w:t>empleada por el Consejo de Estado resulta plenamente aplicable al procedimiento de adquisición predial</w:t>
      </w:r>
      <w:r>
        <w:rPr>
          <w:rFonts w:ascii="Verdana" w:eastAsia="Calibri" w:hAnsi="Verdana" w:cs="Arial"/>
        </w:rPr>
        <w:t xml:space="preserve"> regulado por </w:t>
      </w:r>
      <w:r w:rsidRPr="007B37F8">
        <w:rPr>
          <w:rFonts w:ascii="Verdana" w:eastAsia="Calibri" w:hAnsi="Verdana" w:cs="Arial"/>
        </w:rPr>
        <w:t>Leyes 9 de 1989, 388 de 1997 y 1682 de 2013</w:t>
      </w:r>
      <w:r w:rsidRPr="00654C01">
        <w:rPr>
          <w:rFonts w:ascii="Verdana" w:eastAsia="Calibri" w:hAnsi="Verdana" w:cs="Arial"/>
        </w:rPr>
        <w:t>, en tanto este último tampoco contempla, por expresa disposición legal, una convocatoria pública</w:t>
      </w:r>
      <w:r>
        <w:rPr>
          <w:rFonts w:ascii="Verdana" w:eastAsia="Calibri" w:hAnsi="Verdana" w:cs="Arial"/>
        </w:rPr>
        <w:t>, ni concurrencia de oferentes</w:t>
      </w:r>
      <w:r w:rsidRPr="00654C01">
        <w:rPr>
          <w:rFonts w:ascii="Verdana" w:eastAsia="Calibri" w:hAnsi="Verdana" w:cs="Arial"/>
        </w:rPr>
        <w:t xml:space="preserve"> y puede igualmente concluir con la celebración de un contrato de compraventa</w:t>
      </w:r>
      <w:r>
        <w:rPr>
          <w:rFonts w:ascii="Verdana" w:eastAsia="Calibri" w:hAnsi="Verdana" w:cs="Arial"/>
        </w:rPr>
        <w:t xml:space="preserve"> cuando se llegue a un acuerdo con el particular</w:t>
      </w:r>
      <w:r w:rsidRPr="00654C01">
        <w:rPr>
          <w:rFonts w:ascii="Verdana" w:eastAsia="Calibri" w:hAnsi="Verdana" w:cs="Arial"/>
        </w:rPr>
        <w:t>.</w:t>
      </w:r>
    </w:p>
    <w:p w14:paraId="4888B9CA" w14:textId="77777777" w:rsidR="002C789B" w:rsidRDefault="002C789B" w:rsidP="002C789B">
      <w:pPr>
        <w:spacing w:after="120" w:line="276" w:lineRule="auto"/>
        <w:ind w:firstLine="709"/>
        <w:jc w:val="both"/>
        <w:rPr>
          <w:rFonts w:ascii="Verdana" w:eastAsia="Calibri" w:hAnsi="Verdana" w:cs="Arial"/>
        </w:rPr>
      </w:pPr>
      <w:r w:rsidRPr="00B1274A">
        <w:rPr>
          <w:rFonts w:ascii="Verdana" w:eastAsia="Calibri" w:hAnsi="Verdana" w:cs="Arial"/>
        </w:rPr>
        <w:t xml:space="preserve">Lo anterior no supone, en modo alguno, una transgresión al criterio de interpretación restrictiva que rige este tipo de prohibiciones. Por el contrario, se ajusta plenamente a la hermenéutica adoptada por el Consejo de Estado en sus distintos pronunciamientos, en los cuales ha precisado de manera inequívoca que </w:t>
      </w:r>
      <w:r>
        <w:rPr>
          <w:rFonts w:ascii="Verdana" w:eastAsia="Calibri" w:hAnsi="Verdana" w:cs="Arial"/>
        </w:rPr>
        <w:t>“</w:t>
      </w:r>
      <w:r w:rsidRPr="002273D0">
        <w:rPr>
          <w:rFonts w:ascii="Verdana" w:eastAsia="Calibri" w:hAnsi="Verdana" w:cs="Arial"/>
          <w:lang w:val="es-MX"/>
        </w:rPr>
        <w:t xml:space="preserve">el enunciado ´contratación directa´ es sinónimo de </w:t>
      </w:r>
      <w:r w:rsidRPr="00E44CB8">
        <w:rPr>
          <w:rFonts w:ascii="Verdana" w:eastAsia="Calibri" w:hAnsi="Verdana" w:cs="Arial"/>
          <w:i/>
          <w:iCs/>
          <w:lang w:val="es-MX"/>
        </w:rPr>
        <w:t>cualquier sistema que no implique convocatoria pública y posibilidad de pluralidad de oferentes, y que, además, no necesariamente hace referencia al procedimiento especial regulado por la ley de contratación estatal</w:t>
      </w:r>
      <w:r>
        <w:rPr>
          <w:rFonts w:ascii="Verdana" w:eastAsia="Calibri" w:hAnsi="Verdana" w:cs="Arial"/>
          <w:lang w:val="es-MX"/>
        </w:rPr>
        <w:t>”</w:t>
      </w:r>
      <w:r w:rsidRPr="002273D0">
        <w:rPr>
          <w:rFonts w:ascii="Verdana" w:eastAsia="Calibri" w:hAnsi="Verdana" w:cs="Arial"/>
        </w:rPr>
        <w:t>.</w:t>
      </w:r>
      <w:r w:rsidRPr="00B1274A">
        <w:rPr>
          <w:rFonts w:ascii="Verdana" w:eastAsia="Calibri" w:hAnsi="Verdana" w:cs="Arial"/>
        </w:rPr>
        <w:t xml:space="preserve"> Tales consideraciones, por lo demás, han sido reiteradas en el concepto previamente citado.</w:t>
      </w:r>
    </w:p>
    <w:p w14:paraId="404C64C8" w14:textId="77777777" w:rsidR="002C789B" w:rsidRDefault="002C789B" w:rsidP="002C789B">
      <w:pPr>
        <w:spacing w:after="120" w:line="276" w:lineRule="auto"/>
        <w:ind w:firstLine="709"/>
        <w:jc w:val="both"/>
        <w:rPr>
          <w:rFonts w:ascii="Verdana" w:eastAsia="Times New Roman" w:hAnsi="Verdana" w:cs="Arial"/>
          <w:bCs/>
          <w:lang w:val="es-MX" w:eastAsia="x-none"/>
        </w:rPr>
      </w:pPr>
      <w:r w:rsidRPr="00654C01">
        <w:rPr>
          <w:rFonts w:ascii="Verdana" w:eastAsia="Calibri" w:hAnsi="Verdana" w:cs="Arial"/>
        </w:rPr>
        <w:t xml:space="preserve"> Por consiguiente, para efectos del presente análisis, se considera que los argumentos desarrollados por el Consejo de Estado son válidos y suficientes para sostener la aplicación de la Ley de Garantías al contrato de compraventa que se derive de dicho procedimiento</w:t>
      </w:r>
      <w:r>
        <w:rPr>
          <w:rFonts w:ascii="Verdana" w:eastAsia="Calibri" w:hAnsi="Verdana" w:cs="Arial"/>
        </w:rPr>
        <w:t xml:space="preserve">. </w:t>
      </w:r>
      <w:proofErr w:type="gramStart"/>
      <w:r>
        <w:rPr>
          <w:rFonts w:ascii="Verdana" w:eastAsia="Calibri" w:hAnsi="Verdana" w:cs="Arial"/>
        </w:rPr>
        <w:t>Además</w:t>
      </w:r>
      <w:proofErr w:type="gramEnd"/>
      <w:r>
        <w:rPr>
          <w:rFonts w:ascii="Verdana" w:eastAsia="Calibri" w:hAnsi="Verdana" w:cs="Arial"/>
        </w:rPr>
        <w:t xml:space="preserve"> se reitera que dentro de las excepciones </w:t>
      </w:r>
      <w:r>
        <w:rPr>
          <w:rFonts w:ascii="Verdana" w:eastAsia="Times New Roman" w:hAnsi="Verdana" w:cs="Arial"/>
          <w:bCs/>
          <w:lang w:val="es-MX" w:eastAsia="x-none"/>
        </w:rPr>
        <w:t xml:space="preserve">establecidas en el inciso segundo del mismo artículo 33, no se contempló dicha contratación. </w:t>
      </w:r>
    </w:p>
    <w:p w14:paraId="4DC323CC" w14:textId="77777777" w:rsidR="002C789B" w:rsidRDefault="002C789B" w:rsidP="002C789B">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Aunado a lo anterior, vale la pena traer a colación lo dispuesto por el Consejo de Estado sobre la importancia de que </w:t>
      </w:r>
      <w:r w:rsidRPr="008D09BD">
        <w:rPr>
          <w:rFonts w:ascii="Verdana" w:eastAsia="Times New Roman" w:hAnsi="Verdana" w:cs="Arial"/>
          <w:bCs/>
          <w:lang w:eastAsia="x-none"/>
        </w:rPr>
        <w:t xml:space="preserve">las entidades </w:t>
      </w:r>
      <w:r>
        <w:rPr>
          <w:rFonts w:ascii="Verdana" w:eastAsia="Times New Roman" w:hAnsi="Verdana" w:cs="Arial"/>
          <w:bCs/>
          <w:lang w:eastAsia="x-none"/>
        </w:rPr>
        <w:t xml:space="preserve">planeen y prevean </w:t>
      </w:r>
      <w:r w:rsidRPr="008D09BD">
        <w:rPr>
          <w:rFonts w:ascii="Verdana" w:eastAsia="Times New Roman" w:hAnsi="Verdana" w:cs="Arial"/>
          <w:bCs/>
          <w:lang w:eastAsia="x-none"/>
        </w:rPr>
        <w:t xml:space="preserve">con suficiente antelación las gestiones necesarias para garantizar </w:t>
      </w:r>
      <w:r>
        <w:rPr>
          <w:rFonts w:ascii="Verdana" w:eastAsia="Times New Roman" w:hAnsi="Verdana" w:cs="Arial"/>
          <w:bCs/>
          <w:lang w:eastAsia="x-none"/>
        </w:rPr>
        <w:t>los objetivos “</w:t>
      </w:r>
      <w:r w:rsidRPr="008D09BD">
        <w:rPr>
          <w:rFonts w:ascii="Verdana" w:eastAsia="Times New Roman" w:hAnsi="Verdana" w:cs="Arial"/>
          <w:bCs/>
          <w:lang w:eastAsia="x-none"/>
        </w:rPr>
        <w:t>de manera que no se vean afectados los derechos de las comunidades beneficiarias por circunstancias anticipables como las que dan origen a la legislación protectora de la igualdad política</w:t>
      </w:r>
      <w:r>
        <w:rPr>
          <w:rFonts w:ascii="Verdana" w:eastAsia="Times New Roman" w:hAnsi="Verdana" w:cs="Arial"/>
          <w:bCs/>
          <w:lang w:eastAsia="x-none"/>
        </w:rPr>
        <w:t>”</w:t>
      </w:r>
      <w:r w:rsidRPr="008D09BD">
        <w:rPr>
          <w:rFonts w:ascii="Verdana" w:eastAsia="Times New Roman" w:hAnsi="Verdana" w:cs="Arial"/>
          <w:bCs/>
          <w:lang w:eastAsia="x-none"/>
        </w:rPr>
        <w:t>.</w:t>
      </w:r>
    </w:p>
    <w:p w14:paraId="52412C77" w14:textId="77777777" w:rsidR="002C789B" w:rsidRDefault="002C789B" w:rsidP="002C789B">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lastRenderedPageBreak/>
        <w:t xml:space="preserve">En suma, </w:t>
      </w:r>
      <w:r w:rsidRPr="00494FAF">
        <w:rPr>
          <w:rFonts w:ascii="Verdana" w:eastAsia="Times New Roman" w:hAnsi="Verdana" w:cs="Arial"/>
          <w:bCs/>
          <w:lang w:eastAsia="x-none"/>
        </w:rPr>
        <w:t>y dando alcance a</w:t>
      </w:r>
      <w:r>
        <w:rPr>
          <w:rFonts w:ascii="Verdana" w:eastAsia="Times New Roman" w:hAnsi="Verdana" w:cs="Arial"/>
          <w:bCs/>
          <w:lang w:eastAsia="x-none"/>
        </w:rPr>
        <w:t xml:space="preserve"> los conceptos C-1512 y C-1529 de 2025, </w:t>
      </w:r>
      <w:r w:rsidRPr="00494FAF">
        <w:rPr>
          <w:rFonts w:ascii="Verdana" w:eastAsia="Times New Roman" w:hAnsi="Verdana" w:cs="Arial"/>
          <w:bCs/>
          <w:lang w:eastAsia="x-none"/>
        </w:rPr>
        <w:t xml:space="preserve">debe precisarse que la restricción establecida en el artículo 33 de la Ley 996 de 2005 no resulta aplicable al procedimiento administrativo de adquisición </w:t>
      </w:r>
      <w:r>
        <w:rPr>
          <w:rFonts w:ascii="Verdana" w:eastAsia="Times New Roman" w:hAnsi="Verdana" w:cs="Arial"/>
          <w:bCs/>
          <w:lang w:eastAsia="x-none"/>
        </w:rPr>
        <w:t xml:space="preserve">predial </w:t>
      </w:r>
      <w:r w:rsidRPr="00494FAF">
        <w:rPr>
          <w:rFonts w:ascii="Verdana" w:eastAsia="Times New Roman" w:hAnsi="Verdana" w:cs="Arial"/>
          <w:bCs/>
          <w:lang w:eastAsia="x-none"/>
        </w:rPr>
        <w:t>considerado en sí mismo, ni a su etapa preparatoria o preliminar, en la medida en que dicha disposición se circunscribe a la celebración de contratos de manera directa y no a las actuaciones administrativas previas que puedan adelantarse con ese propósito</w:t>
      </w:r>
      <w:r>
        <w:rPr>
          <w:rFonts w:ascii="Verdana" w:eastAsia="Times New Roman" w:hAnsi="Verdana" w:cs="Arial"/>
          <w:bCs/>
          <w:lang w:eastAsia="x-none"/>
        </w:rPr>
        <w:t>, siempre que estas no impliquen la celebración de un contrato directo</w:t>
      </w:r>
      <w:r w:rsidRPr="00494FAF">
        <w:rPr>
          <w:rFonts w:ascii="Verdana" w:eastAsia="Times New Roman" w:hAnsi="Verdana" w:cs="Arial"/>
          <w:bCs/>
          <w:lang w:eastAsia="x-none"/>
        </w:rPr>
        <w:t xml:space="preserve">. En tal sentido, la gestión predial no se ve paralizada durante el período de restricción. No obstante, frente a la celebración de una promesa de compraventa o de un contrato de compraventa, sí resulta aplicable la restricción prevista en el citado artículo 33, razón por la cual se reitera la postura sostenida en los conceptos C-1512 y C-1529, en tanto dichos negocios jurídicos comportan la celebración </w:t>
      </w:r>
      <w:r>
        <w:rPr>
          <w:rFonts w:ascii="Verdana" w:eastAsia="Times New Roman" w:hAnsi="Verdana" w:cs="Arial"/>
          <w:bCs/>
          <w:lang w:eastAsia="x-none"/>
        </w:rPr>
        <w:t xml:space="preserve">directa </w:t>
      </w:r>
      <w:r w:rsidRPr="00494FAF">
        <w:rPr>
          <w:rFonts w:ascii="Verdana" w:eastAsia="Times New Roman" w:hAnsi="Verdana" w:cs="Arial"/>
          <w:bCs/>
          <w:lang w:eastAsia="x-none"/>
        </w:rPr>
        <w:t>de un contrato estatal.</w:t>
      </w:r>
    </w:p>
    <w:p w14:paraId="2953A587" w14:textId="77777777" w:rsidR="002C789B" w:rsidRDefault="002C789B" w:rsidP="002C789B">
      <w:pPr>
        <w:tabs>
          <w:tab w:val="left" w:pos="426"/>
        </w:tabs>
        <w:spacing w:after="120" w:line="276" w:lineRule="auto"/>
        <w:jc w:val="both"/>
        <w:rPr>
          <w:rFonts w:ascii="Verdana" w:eastAsia="Calibri" w:hAnsi="Verdana" w:cs="Arial"/>
          <w:lang w:val="es-ES"/>
        </w:rPr>
      </w:pPr>
      <w:r>
        <w:rPr>
          <w:rFonts w:ascii="Verdana" w:eastAsia="Calibri" w:hAnsi="Verdana" w:cs="Arial"/>
          <w:lang w:val="es-ES"/>
        </w:rPr>
        <w:t xml:space="preserve">iii. Al margen de lo expuesto, </w:t>
      </w:r>
      <w:r>
        <w:rPr>
          <w:rFonts w:ascii="Verdana" w:eastAsia="Calibri" w:hAnsi="Verdana" w:cs="Arial"/>
          <w:bCs/>
          <w:lang w:val="es-ES_tradnl"/>
        </w:rPr>
        <w:t xml:space="preserve">debe precisarse que la </w:t>
      </w:r>
      <w:r w:rsidRPr="008F0413">
        <w:rPr>
          <w:rFonts w:ascii="Verdana" w:eastAsia="Calibri" w:hAnsi="Verdana" w:cs="Arial"/>
          <w:bCs/>
          <w:lang w:val="es-ES_tradnl"/>
        </w:rPr>
        <w:t>competencia consultiva</w:t>
      </w:r>
      <w:r>
        <w:rPr>
          <w:rFonts w:ascii="Verdana" w:eastAsia="Calibri" w:hAnsi="Verdana" w:cs="Arial"/>
          <w:bCs/>
          <w:lang w:val="es-ES_tradnl"/>
        </w:rPr>
        <w:t xml:space="preserve"> contemplada en</w:t>
      </w:r>
      <w:r w:rsidRPr="00F47E0C">
        <w:rPr>
          <w:rFonts w:ascii="Verdana" w:eastAsia="Calibri" w:hAnsi="Verdana" w:cs="Arial"/>
          <w:color w:val="000000" w:themeColor="text1"/>
          <w:lang w:val="es-ES"/>
        </w:rPr>
        <w:t xml:space="preserve"> el numeral 5 del artículo 3 </w:t>
      </w:r>
      <w:r>
        <w:rPr>
          <w:rFonts w:ascii="Verdana" w:eastAsia="Calibri" w:hAnsi="Verdana" w:cs="Arial"/>
          <w:color w:val="000000" w:themeColor="text1"/>
          <w:lang w:val="es-ES"/>
        </w:rPr>
        <w:t xml:space="preserve">y numeral 11 artículo 8 </w:t>
      </w:r>
      <w:r>
        <w:rPr>
          <w:rFonts w:ascii="Verdana" w:eastAsia="Calibri" w:hAnsi="Verdana" w:cs="Arial"/>
          <w:color w:val="000000"/>
          <w:lang w:eastAsia="es-ES"/>
        </w:rPr>
        <w:t xml:space="preserve">del Decreto 4170 de 2011 </w:t>
      </w:r>
      <w:r w:rsidRPr="00E71075">
        <w:rPr>
          <w:rFonts w:ascii="Verdana" w:eastAsia="Calibri" w:hAnsi="Verdana" w:cs="Arial"/>
          <w:lang w:val="es-ES" w:eastAsia="es-ES_tradnl"/>
        </w:rPr>
        <w:t xml:space="preserve">quedó </w:t>
      </w:r>
      <w:r>
        <w:rPr>
          <w:rFonts w:ascii="Verdana" w:eastAsia="Calibri" w:hAnsi="Verdana" w:cs="Arial"/>
          <w:lang w:val="es-ES" w:eastAsia="es-ES_tradnl"/>
        </w:rPr>
        <w:t>determinada</w:t>
      </w:r>
      <w:r w:rsidRPr="00E71075">
        <w:rPr>
          <w:rFonts w:ascii="Verdana" w:eastAsia="Calibri" w:hAnsi="Verdana" w:cs="Arial"/>
          <w:lang w:val="es-ES" w:eastAsia="es-ES_tradnl"/>
        </w:rPr>
        <w:t xml:space="preserve"> dentro de unos límites precisos. </w:t>
      </w:r>
      <w:r>
        <w:rPr>
          <w:rFonts w:ascii="Verdana" w:eastAsia="Calibri" w:hAnsi="Verdana" w:cs="Arial"/>
          <w:lang w:val="es-ES" w:eastAsia="es-ES_tradnl"/>
        </w:rPr>
        <w:t>Esta competencia</w:t>
      </w:r>
      <w:r w:rsidRPr="00E71075">
        <w:rPr>
          <w:rFonts w:ascii="Verdana" w:eastAsia="Calibri" w:hAnsi="Verdana" w:cs="Arial"/>
          <w:lang w:val="es-ES" w:eastAsia="es-ES_tradnl"/>
        </w:rPr>
        <w:t xml:space="preserve"> </w:t>
      </w:r>
      <w:r>
        <w:rPr>
          <w:rFonts w:ascii="Verdana" w:eastAsia="Calibri" w:hAnsi="Verdana" w:cs="Arial"/>
          <w:lang w:val="es-ES" w:eastAsia="es-ES_tradnl"/>
        </w:rPr>
        <w:t>está</w:t>
      </w:r>
      <w:r w:rsidRPr="00E71075">
        <w:rPr>
          <w:rFonts w:ascii="Verdana" w:eastAsia="Calibri" w:hAnsi="Verdana" w:cs="Arial"/>
          <w:lang w:val="es-ES" w:eastAsia="es-ES_tradnl"/>
        </w:rPr>
        <w:t xml:space="preserve"> claramente delimitada en la expresión “</w:t>
      </w:r>
      <w:r>
        <w:rPr>
          <w:rFonts w:ascii="Verdana" w:eastAsia="Calibri" w:hAnsi="Verdana" w:cs="Arial"/>
          <w:lang w:eastAsia="es-ES_tradnl"/>
        </w:rPr>
        <w:t>A</w:t>
      </w:r>
      <w:r w:rsidRPr="003435F6">
        <w:rPr>
          <w:rFonts w:ascii="Verdana" w:eastAsia="Calibri" w:hAnsi="Verdana" w:cs="Arial"/>
          <w:lang w:eastAsia="es-ES_tradnl"/>
        </w:rPr>
        <w:t xml:space="preserve">bsolver consultas sobre la </w:t>
      </w:r>
      <w:r w:rsidRPr="003435F6">
        <w:rPr>
          <w:rFonts w:ascii="Verdana" w:eastAsia="Calibri" w:hAnsi="Verdana" w:cs="Arial"/>
          <w:i/>
          <w:iCs/>
          <w:lang w:eastAsia="es-ES_tradnl"/>
        </w:rPr>
        <w:t xml:space="preserve">aplicación </w:t>
      </w:r>
      <w:r w:rsidRPr="003435F6">
        <w:rPr>
          <w:rFonts w:ascii="Verdana" w:eastAsia="Calibri" w:hAnsi="Verdana" w:cs="Arial"/>
          <w:i/>
          <w:iCs/>
          <w:lang w:val="es-ES" w:eastAsia="es-ES_tradnl"/>
        </w:rPr>
        <w:t>de normas de carácter general</w:t>
      </w:r>
      <w:r w:rsidRPr="00E71075">
        <w:rPr>
          <w:rFonts w:ascii="Verdana" w:eastAsia="Calibri" w:hAnsi="Verdana" w:cs="Arial"/>
          <w:lang w:val="es-ES" w:eastAsia="es-ES_tradnl"/>
        </w:rPr>
        <w:t>”</w:t>
      </w:r>
      <w:r>
        <w:rPr>
          <w:rFonts w:ascii="Verdana" w:eastAsia="Calibri" w:hAnsi="Verdana" w:cs="Arial"/>
          <w:lang w:val="es-ES" w:eastAsia="es-ES_tradnl"/>
        </w:rPr>
        <w:t xml:space="preserve">, lo que significa </w:t>
      </w:r>
      <w:r w:rsidRPr="00E71075">
        <w:rPr>
          <w:rFonts w:ascii="Verdana" w:eastAsia="Calibri" w:hAnsi="Verdana" w:cs="Arial"/>
          <w:lang w:val="es-ES" w:eastAsia="es-ES_tradnl"/>
        </w:rPr>
        <w:t>no son admisibles las consultas que busquen la solución de problemas generados en procesos de contratación particulares o cuyo propósito implique la validación de las decisiones y/o actuaciones que “</w:t>
      </w:r>
      <w:r w:rsidRPr="00E71075">
        <w:rPr>
          <w:rFonts w:ascii="Verdana" w:eastAsia="Calibri" w:hAnsi="Verdana" w:cs="Arial"/>
          <w:i/>
          <w:iCs/>
          <w:lang w:val="es-ES" w:eastAsia="es-ES_tradnl"/>
        </w:rPr>
        <w:t>pueden</w:t>
      </w:r>
      <w:r w:rsidRPr="00E71075">
        <w:rPr>
          <w:rFonts w:ascii="Verdana" w:eastAsia="Calibri" w:hAnsi="Verdana" w:cs="Arial"/>
          <w:lang w:val="es-ES" w:eastAsia="es-ES_tradnl"/>
        </w:rPr>
        <w:t>” adelantar las autoridades y/o los part</w:t>
      </w:r>
      <w:r>
        <w:rPr>
          <w:rFonts w:ascii="Verdana" w:eastAsia="Calibri" w:hAnsi="Verdana" w:cs="Arial"/>
          <w:lang w:val="es-ES" w:eastAsia="es-ES_tradnl"/>
        </w:rPr>
        <w:t>ícipes</w:t>
      </w:r>
      <w:r w:rsidRPr="00E71075">
        <w:rPr>
          <w:rFonts w:ascii="Verdana" w:eastAsia="Calibri" w:hAnsi="Verdana" w:cs="Arial"/>
          <w:lang w:val="es-ES" w:eastAsia="es-ES_tradnl"/>
        </w:rPr>
        <w:t xml:space="preserve"> del sistema de compras públicas, en ejercicio de la actividad contractual de las autoridades</w:t>
      </w:r>
      <w:r>
        <w:rPr>
          <w:rFonts w:ascii="Verdana" w:eastAsia="Calibri" w:hAnsi="Verdana" w:cs="Arial"/>
          <w:lang w:val="es-ES" w:eastAsia="es-ES_tradnl"/>
        </w:rPr>
        <w:t xml:space="preserve">. </w:t>
      </w:r>
    </w:p>
    <w:p w14:paraId="0901ECC9" w14:textId="77777777" w:rsidR="002C789B" w:rsidRDefault="002C789B" w:rsidP="002C789B">
      <w:pPr>
        <w:tabs>
          <w:tab w:val="left" w:pos="426"/>
        </w:tabs>
        <w:spacing w:after="120" w:line="276" w:lineRule="auto"/>
        <w:ind w:firstLine="709"/>
        <w:jc w:val="both"/>
        <w:rPr>
          <w:rFonts w:ascii="Verdana" w:eastAsiaTheme="minorEastAsia" w:hAnsi="Verdana" w:cs="Arial"/>
          <w:spacing w:val="-9"/>
          <w:szCs w:val="24"/>
          <w:lang w:eastAsia="es-CO"/>
        </w:rPr>
      </w:pPr>
      <w:r>
        <w:rPr>
          <w:rFonts w:ascii="Verdana" w:eastAsia="Calibri" w:hAnsi="Verdana" w:cs="Arial"/>
          <w:color w:val="000000"/>
          <w:lang w:val="es-ES" w:eastAsia="es-ES"/>
        </w:rPr>
        <w:t xml:space="preserve">Asimismo, esas competencias </w:t>
      </w:r>
      <w:r w:rsidRPr="008F0413">
        <w:rPr>
          <w:rFonts w:ascii="Verdana" w:eastAsia="Calibri" w:hAnsi="Verdana" w:cs="Arial"/>
          <w:bCs/>
          <w:lang w:val="es-ES_tradnl"/>
        </w:rPr>
        <w:t>se relaciona con el artículo 28 de la Ley 1437 de 2011, sustituido por el artículo 1 de la Ley 1755,</w:t>
      </w:r>
      <w:r>
        <w:rPr>
          <w:rFonts w:ascii="Verdana" w:eastAsia="Calibri" w:hAnsi="Verdana" w:cs="Arial"/>
          <w:bCs/>
          <w:lang w:val="es-ES_tradnl"/>
        </w:rPr>
        <w:t xml:space="preserve"> por lo que</w:t>
      </w:r>
      <w:r w:rsidRPr="008F0413">
        <w:rPr>
          <w:rFonts w:ascii="Verdana" w:eastAsia="Calibri" w:hAnsi="Verdana" w:cs="Arial"/>
          <w:bCs/>
          <w:lang w:val="es-ES_tradnl"/>
        </w:rPr>
        <w:t xml:space="preserve"> </w:t>
      </w:r>
      <w:r>
        <w:rPr>
          <w:rFonts w:ascii="Verdana" w:eastAsia="Calibri" w:hAnsi="Verdana" w:cs="Arial"/>
          <w:color w:val="000000"/>
          <w:lang w:val="es-ES" w:eastAsia="es-ES"/>
        </w:rPr>
        <w:t xml:space="preserve">los conceptos emitidos por esta Subdirección en el marco de la función consultiva </w:t>
      </w:r>
      <w:bookmarkStart w:id="5" w:name="_Hlk200718672"/>
      <w:r>
        <w:rPr>
          <w:rFonts w:ascii="Verdana" w:eastAsia="Calibri" w:hAnsi="Verdana" w:cs="Arial"/>
          <w:color w:val="000000"/>
          <w:lang w:val="es-ES" w:eastAsia="es-ES"/>
        </w:rPr>
        <w:t>representan</w:t>
      </w:r>
      <w:r>
        <w:rPr>
          <w:rFonts w:ascii="Verdana" w:hAnsi="Verdana" w:cs="Arial"/>
          <w:lang w:eastAsia="es-ES"/>
        </w:rPr>
        <w:t xml:space="preserve"> una </w:t>
      </w:r>
      <w:r w:rsidRPr="008F0413">
        <w:rPr>
          <w:rFonts w:ascii="Verdana" w:eastAsia="Calibri" w:hAnsi="Verdana" w:cs="Arial"/>
          <w:bCs/>
          <w:lang w:val="es-ES_tradnl"/>
        </w:rPr>
        <w:t>posición hermenéutica respecto a las disposiciones normativas</w:t>
      </w:r>
      <w:r>
        <w:rPr>
          <w:rFonts w:ascii="Verdana" w:eastAsia="Calibri" w:hAnsi="Verdana" w:cs="Arial"/>
          <w:bCs/>
          <w:lang w:val="es-ES_tradnl"/>
        </w:rPr>
        <w:t xml:space="preserve"> del Sistema de Compras Públicas,</w:t>
      </w:r>
      <w:r w:rsidRPr="004E32E1">
        <w:rPr>
          <w:rFonts w:ascii="Verdana" w:hAnsi="Verdana" w:cs="Arial"/>
          <w:lang w:eastAsia="es-ES"/>
        </w:rPr>
        <w:t xml:space="preserve"> </w:t>
      </w:r>
      <w:bookmarkStart w:id="6" w:name="_Hlk42100007"/>
      <w:r>
        <w:rPr>
          <w:rFonts w:ascii="Verdana" w:hAnsi="Verdana" w:cs="Arial"/>
          <w:lang w:eastAsia="es-ES"/>
        </w:rPr>
        <w:t xml:space="preserve">que </w:t>
      </w:r>
      <w:r w:rsidRPr="00DF1D83">
        <w:rPr>
          <w:rFonts w:ascii="Verdana" w:eastAsia="Calibri" w:hAnsi="Verdana" w:cs="Arial"/>
          <w:bCs/>
          <w:lang w:val="es-ES_tradnl"/>
        </w:rPr>
        <w:t xml:space="preserve">no tienen efectos vinculantes </w:t>
      </w:r>
      <w:bookmarkEnd w:id="5"/>
      <w:r w:rsidRPr="00DF1D83">
        <w:rPr>
          <w:rFonts w:ascii="Verdana" w:eastAsia="Calibri" w:hAnsi="Verdana" w:cs="Arial"/>
          <w:bCs/>
          <w:lang w:val="es-ES_tradnl"/>
        </w:rPr>
        <w:t>en relación con una situación jurídica particular y concreta, y exponen un criterio que, aunque jurídicamente fundamentado, no representan la única interpretación válida del ordenamiento jurídico.</w:t>
      </w:r>
      <w:bookmarkEnd w:id="6"/>
      <w:r w:rsidRPr="0084273B">
        <w:rPr>
          <w:rFonts w:ascii="Verdana" w:eastAsiaTheme="minorEastAsia" w:hAnsi="Verdana" w:cs="Arial"/>
          <w:szCs w:val="24"/>
          <w:lang w:eastAsia="es-CO"/>
        </w:rPr>
        <w:t xml:space="preserve"> </w:t>
      </w:r>
      <w:r>
        <w:rPr>
          <w:rFonts w:ascii="Verdana" w:eastAsiaTheme="minorEastAsia" w:hAnsi="Verdana" w:cs="Arial"/>
          <w:szCs w:val="24"/>
          <w:lang w:eastAsia="es-CO"/>
        </w:rPr>
        <w:t>De este modo, las autoridades que ejercen funciones consultivas pueden expresar su</w:t>
      </w:r>
      <w:r>
        <w:rPr>
          <w:rFonts w:ascii="Verdana" w:eastAsiaTheme="minorEastAsia" w:hAnsi="Verdana" w:cs="Arial"/>
          <w:spacing w:val="1"/>
          <w:szCs w:val="24"/>
          <w:lang w:eastAsia="es-CO"/>
        </w:rPr>
        <w:t xml:space="preserve"> </w:t>
      </w:r>
      <w:r>
        <w:rPr>
          <w:rFonts w:ascii="Verdana" w:eastAsiaTheme="minorEastAsia" w:hAnsi="Verdana" w:cs="Arial"/>
          <w:szCs w:val="24"/>
          <w:lang w:eastAsia="es-CO"/>
        </w:rPr>
        <w:t>interpretación de un precepto normativo, que no excluye otras interpretaciones posibles, pues el derecho, como sistema normativo, es un lenguaje que, en ocasiones, se tiñe de vaguedad, en</w:t>
      </w:r>
      <w:r>
        <w:rPr>
          <w:rFonts w:ascii="Verdana" w:eastAsiaTheme="minorEastAsia" w:hAnsi="Verdana" w:cs="Arial"/>
          <w:spacing w:val="1"/>
          <w:szCs w:val="24"/>
          <w:lang w:eastAsia="es-CO"/>
        </w:rPr>
        <w:t xml:space="preserve"> </w:t>
      </w:r>
      <w:r>
        <w:rPr>
          <w:rFonts w:ascii="Verdana" w:eastAsiaTheme="minorEastAsia" w:hAnsi="Verdana" w:cs="Arial"/>
          <w:szCs w:val="24"/>
          <w:lang w:eastAsia="es-CO"/>
        </w:rPr>
        <w:t>virtud</w:t>
      </w:r>
      <w:r>
        <w:rPr>
          <w:rFonts w:ascii="Verdana" w:eastAsiaTheme="minorEastAsia" w:hAnsi="Verdana" w:cs="Arial"/>
          <w:spacing w:val="-10"/>
          <w:szCs w:val="24"/>
          <w:lang w:eastAsia="es-CO"/>
        </w:rPr>
        <w:t xml:space="preserve"> </w:t>
      </w:r>
      <w:r>
        <w:rPr>
          <w:rFonts w:ascii="Verdana" w:eastAsiaTheme="minorEastAsia" w:hAnsi="Verdana" w:cs="Arial"/>
          <w:szCs w:val="24"/>
          <w:lang w:eastAsia="es-CO"/>
        </w:rPr>
        <w:t>de</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la</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utilización</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de</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conceptos</w:t>
      </w:r>
      <w:r>
        <w:rPr>
          <w:rFonts w:ascii="Verdana" w:eastAsiaTheme="minorEastAsia" w:hAnsi="Verdana" w:cs="Arial"/>
          <w:spacing w:val="-10"/>
          <w:szCs w:val="24"/>
          <w:lang w:eastAsia="es-CO"/>
        </w:rPr>
        <w:t xml:space="preserve"> </w:t>
      </w:r>
      <w:r>
        <w:rPr>
          <w:rFonts w:ascii="Verdana" w:eastAsiaTheme="minorEastAsia" w:hAnsi="Verdana" w:cs="Arial"/>
          <w:szCs w:val="24"/>
          <w:lang w:eastAsia="es-CO"/>
        </w:rPr>
        <w:t>jurídicos</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indeterminados.</w:t>
      </w:r>
      <w:r>
        <w:rPr>
          <w:rFonts w:ascii="Verdana" w:eastAsiaTheme="minorEastAsia" w:hAnsi="Verdana" w:cs="Arial"/>
          <w:spacing w:val="-9"/>
          <w:szCs w:val="24"/>
          <w:lang w:eastAsia="es-CO"/>
        </w:rPr>
        <w:t xml:space="preserve"> </w:t>
      </w:r>
    </w:p>
    <w:p w14:paraId="29E58C19" w14:textId="77777777" w:rsidR="002C789B" w:rsidRPr="00D04935" w:rsidRDefault="002C789B" w:rsidP="002C789B">
      <w:pPr>
        <w:tabs>
          <w:tab w:val="left" w:pos="426"/>
        </w:tabs>
        <w:spacing w:after="120" w:line="276" w:lineRule="auto"/>
        <w:ind w:firstLine="709"/>
        <w:jc w:val="both"/>
        <w:rPr>
          <w:rFonts w:ascii="Verdana" w:eastAsia="Calibri" w:hAnsi="Verdana" w:cs="Arial"/>
          <w:lang w:val="es-ES"/>
        </w:rPr>
      </w:pPr>
      <w:r w:rsidRPr="008F0413">
        <w:rPr>
          <w:rFonts w:ascii="Verdana" w:eastAsia="Calibri" w:hAnsi="Verdana" w:cs="Arial"/>
          <w:bCs/>
          <w:lang w:val="es-ES_tradnl"/>
        </w:rPr>
        <w:lastRenderedPageBreak/>
        <w:t>En términos generales, lo que se busca es que la opinión jurídica de la entidad sirva a los ciudadanos y a la administración pública para el ejercicio de sus derechos y la defensa de sus intereses, y como criterio de orientación para el cumplimiento de sus competencias legales, sin que tome partida por uno u otro, pues a la autoridad que emite el concepto no le compete resolver una controversia o prevenir una problemática, esto es, no le corresponde determinar quién tienen la razón en su interpretación normativa.</w:t>
      </w:r>
    </w:p>
    <w:p w14:paraId="663C73F2" w14:textId="77777777" w:rsidR="002C789B" w:rsidRPr="00086CBB" w:rsidRDefault="002C789B" w:rsidP="002C789B">
      <w:pPr>
        <w:tabs>
          <w:tab w:val="left" w:pos="426"/>
        </w:tabs>
        <w:spacing w:after="120" w:line="276" w:lineRule="auto"/>
        <w:ind w:firstLine="709"/>
        <w:jc w:val="both"/>
        <w:rPr>
          <w:rFonts w:ascii="Verdana" w:eastAsia="Calibri" w:hAnsi="Verdana" w:cs="Arial"/>
          <w:bCs/>
          <w:color w:val="000000" w:themeColor="text1"/>
        </w:rPr>
      </w:pPr>
      <w:r w:rsidRPr="00F60A0F">
        <w:rPr>
          <w:rFonts w:ascii="Verdana" w:hAnsi="Verdana"/>
        </w:rPr>
        <w:t xml:space="preserve">Por tanto, </w:t>
      </w:r>
      <w:r>
        <w:rPr>
          <w:rFonts w:ascii="Verdana" w:hAnsi="Verdana"/>
        </w:rPr>
        <w:t xml:space="preserve">se reitera que </w:t>
      </w:r>
      <w:r>
        <w:rPr>
          <w:rFonts w:ascii="Verdana" w:eastAsia="Calibri" w:hAnsi="Verdana" w:cs="Arial"/>
          <w:bCs/>
          <w:color w:val="000000" w:themeColor="text1"/>
        </w:rPr>
        <w:t>el análisis requerido para resolver problemas específicos en torno a la gestión contractual de las entidades públicas y concretamente sobre la situación expuesta debe ser realizado por quienes tengan interés en ello, de acuerdo con lo explicado en este concepto.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838F517" w14:textId="77777777" w:rsidR="002C789B" w:rsidRDefault="002C789B" w:rsidP="002C789B">
      <w:pPr>
        <w:spacing w:after="12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7C1F3597" w14:textId="77777777" w:rsidR="002C789B" w:rsidRDefault="002C789B" w:rsidP="002C789B">
      <w:pPr>
        <w:spacing w:after="0" w:line="276" w:lineRule="auto"/>
        <w:ind w:firstLine="709"/>
        <w:jc w:val="both"/>
        <w:rPr>
          <w:rFonts w:ascii="Verdana" w:eastAsia="Calibri" w:hAnsi="Verdana" w:cs="Arial"/>
          <w:bCs/>
          <w:color w:val="000000" w:themeColor="text1"/>
        </w:rPr>
      </w:pPr>
    </w:p>
    <w:p w14:paraId="5457D193" w14:textId="77777777" w:rsidR="002C789B" w:rsidRDefault="002C789B" w:rsidP="002C789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Referencias normativas:</w:t>
      </w:r>
    </w:p>
    <w:p w14:paraId="480FC7A6" w14:textId="77777777" w:rsidR="002C789B" w:rsidRDefault="002C789B" w:rsidP="002C789B">
      <w:pPr>
        <w:widowControl w:val="0"/>
        <w:autoSpaceDE w:val="0"/>
        <w:autoSpaceDN w:val="0"/>
        <w:spacing w:after="0" w:line="276" w:lineRule="auto"/>
        <w:jc w:val="both"/>
        <w:rPr>
          <w:rFonts w:ascii="Verdana" w:hAnsi="Verdana" w:cs="Arial"/>
        </w:rPr>
      </w:pPr>
    </w:p>
    <w:tbl>
      <w:tblPr>
        <w:tblStyle w:val="Tablaconcuadrcula"/>
        <w:tblW w:w="8640"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2C789B" w14:paraId="637DC942" w14:textId="77777777" w:rsidTr="00061D75">
        <w:trPr>
          <w:trHeight w:val="870"/>
          <w:jc w:val="center"/>
        </w:trPr>
        <w:tc>
          <w:tcPr>
            <w:tcW w:w="8647" w:type="dxa"/>
            <w:tcBorders>
              <w:top w:val="dotted" w:sz="4" w:space="0" w:color="auto"/>
              <w:left w:val="dotted" w:sz="4" w:space="0" w:color="auto"/>
              <w:bottom w:val="dotted" w:sz="4" w:space="0" w:color="auto"/>
              <w:right w:val="dotted" w:sz="4" w:space="0" w:color="auto"/>
            </w:tcBorders>
            <w:hideMark/>
          </w:tcPr>
          <w:p w14:paraId="206AFD94" w14:textId="77777777" w:rsidR="002C789B" w:rsidRDefault="002C789B" w:rsidP="00061D75">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Constitución Política de 1991, artículos 127, 197 y 209.</w:t>
            </w:r>
          </w:p>
          <w:p w14:paraId="438EDB2D" w14:textId="77777777" w:rsidR="002C789B" w:rsidRDefault="002C789B" w:rsidP="00061D75">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Ley 80 de 1993, artículos 2, 32, 39 y 41.</w:t>
            </w:r>
          </w:p>
          <w:p w14:paraId="5A7B20F7" w14:textId="77777777" w:rsidR="002C789B" w:rsidRDefault="002C789B" w:rsidP="00061D75">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Ley 338 de 1997, artículos 58 y ss.</w:t>
            </w:r>
          </w:p>
          <w:p w14:paraId="40AC98D8" w14:textId="77777777" w:rsidR="002C789B" w:rsidRDefault="002C789B" w:rsidP="00061D75">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 xml:space="preserve">Ley 996 de 2005, artículo 33 </w:t>
            </w:r>
          </w:p>
          <w:p w14:paraId="38706CA3" w14:textId="77777777" w:rsidR="002C789B" w:rsidRDefault="002C789B" w:rsidP="00061D75">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Ley 1150 de 2007, artículos 1 y 2.</w:t>
            </w:r>
          </w:p>
          <w:p w14:paraId="4C047EB5" w14:textId="77777777" w:rsidR="002C789B" w:rsidRDefault="002C789B" w:rsidP="00061D75">
            <w:pPr>
              <w:pStyle w:val="Prrafodelista"/>
              <w:widowControl w:val="0"/>
              <w:numPr>
                <w:ilvl w:val="0"/>
                <w:numId w:val="17"/>
              </w:numPr>
              <w:autoSpaceDE w:val="0"/>
              <w:autoSpaceDN w:val="0"/>
              <w:spacing w:line="276" w:lineRule="auto"/>
              <w:ind w:left="714" w:hanging="357"/>
              <w:jc w:val="both"/>
              <w:rPr>
                <w:rFonts w:ascii="Verdana" w:hAnsi="Verdana" w:cs="Arial"/>
              </w:rPr>
            </w:pPr>
            <w:r>
              <w:rPr>
                <w:rFonts w:ascii="Verdana" w:hAnsi="Verdana" w:cs="Arial"/>
              </w:rPr>
              <w:t>Código Civil, artículo 1501.</w:t>
            </w:r>
          </w:p>
        </w:tc>
      </w:tr>
    </w:tbl>
    <w:p w14:paraId="6B9ECB35" w14:textId="77777777" w:rsidR="002C789B" w:rsidRDefault="002C789B" w:rsidP="002C789B">
      <w:pPr>
        <w:widowControl w:val="0"/>
        <w:autoSpaceDE w:val="0"/>
        <w:autoSpaceDN w:val="0"/>
        <w:spacing w:after="0" w:line="276" w:lineRule="auto"/>
        <w:jc w:val="both"/>
        <w:rPr>
          <w:rFonts w:ascii="Verdana" w:hAnsi="Verdana" w:cs="Arial"/>
        </w:rPr>
      </w:pPr>
    </w:p>
    <w:p w14:paraId="45E68F1D" w14:textId="77777777" w:rsidR="002C789B" w:rsidRDefault="002C789B" w:rsidP="002C789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390D23E0" w14:textId="77777777" w:rsidR="002C789B" w:rsidRDefault="002C789B" w:rsidP="002C789B">
      <w:pPr>
        <w:widowControl w:val="0"/>
        <w:autoSpaceDE w:val="0"/>
        <w:autoSpaceDN w:val="0"/>
        <w:spacing w:after="0" w:line="276" w:lineRule="auto"/>
        <w:jc w:val="both"/>
        <w:rPr>
          <w:rFonts w:ascii="Verdana" w:hAnsi="Verdana" w:cs="Arial"/>
        </w:rPr>
      </w:pPr>
    </w:p>
    <w:p w14:paraId="48262822" w14:textId="77777777" w:rsidR="002C789B" w:rsidRDefault="002C789B" w:rsidP="002C789B">
      <w:pPr>
        <w:widowControl w:val="0"/>
        <w:autoSpaceDE w:val="0"/>
        <w:autoSpaceDN w:val="0"/>
        <w:spacing w:after="0" w:line="276" w:lineRule="auto"/>
        <w:jc w:val="both"/>
        <w:rPr>
          <w:rStyle w:val="normaltextrun"/>
          <w:shd w:val="clear" w:color="auto" w:fill="FFFFFF"/>
        </w:rPr>
      </w:pPr>
      <w:r>
        <w:rPr>
          <w:rFonts w:ascii="Verdana" w:hAnsi="Verdana" w:cs="Arial"/>
          <w:shd w:val="clear" w:color="auto" w:fill="FFFFFF"/>
        </w:rPr>
        <w:t>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C-1512 del 27 de octubre de 2025, C-1529 del 4 de noviembre de 2025, entre otros</w:t>
      </w:r>
      <w:r>
        <w:rPr>
          <w:rFonts w:ascii="Verdana" w:hAnsi="Verdana"/>
        </w:rPr>
        <w:t>.</w:t>
      </w:r>
      <w:r>
        <w:rPr>
          <w:rFonts w:ascii="Verdana" w:hAnsi="Verdana" w:cs="Arial"/>
          <w:shd w:val="clear" w:color="auto" w:fill="FFFFFF"/>
        </w:rPr>
        <w:t xml:space="preserve"> Estos y otros </w:t>
      </w:r>
      <w:r>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7ADE7F6F" w14:textId="77777777" w:rsidR="002C789B" w:rsidRDefault="002C789B" w:rsidP="002C789B">
      <w:pPr>
        <w:widowControl w:val="0"/>
        <w:autoSpaceDE w:val="0"/>
        <w:autoSpaceDN w:val="0"/>
        <w:spacing w:after="0" w:line="276" w:lineRule="auto"/>
        <w:jc w:val="both"/>
        <w:rPr>
          <w:color w:val="000000" w:themeColor="text1"/>
        </w:rPr>
      </w:pPr>
    </w:p>
    <w:p w14:paraId="44CBB26B" w14:textId="77777777" w:rsidR="002C789B" w:rsidRPr="00F84F36" w:rsidRDefault="002C789B" w:rsidP="002C789B">
      <w:pPr>
        <w:spacing w:after="0"/>
        <w:jc w:val="both"/>
        <w:rPr>
          <w:rFonts w:ascii="Verdana" w:hAnsi="Verdana" w:cs="Arial"/>
          <w:color w:val="EE0000"/>
          <w:shd w:val="clear" w:color="auto" w:fill="FFFFFF"/>
        </w:rPr>
      </w:pPr>
      <w:r w:rsidRPr="008278B1">
        <w:rPr>
          <w:rFonts w:ascii="Verdana" w:hAnsi="Verdana" w:cs="Arial"/>
          <w:shd w:val="clear" w:color="auto" w:fill="FFFFFF"/>
        </w:rPr>
        <w:t>También le contamos que ya se encuentra disponible la </w:t>
      </w:r>
      <w:r w:rsidRPr="008278B1">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8278B1">
        <w:rPr>
          <w:rFonts w:ascii="Verdana" w:hAnsi="Verdana" w:cs="Arial"/>
          <w:shd w:val="clear" w:color="auto" w:fill="FFFFFF"/>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8278B1">
          <w:rPr>
            <w:rStyle w:val="Hipervnculo"/>
            <w:rFonts w:ascii="Verdana" w:hAnsi="Verdana"/>
          </w:rPr>
          <w:t>Guía de lineamientos de transparencia y selección objetiva para el departamento de La Guajira – Objetivo sexto constitucional de la Sentencia T-302 del 2017</w:t>
        </w:r>
      </w:hyperlink>
    </w:p>
    <w:p w14:paraId="55889EB1" w14:textId="77777777" w:rsidR="002C789B" w:rsidRPr="008278B1" w:rsidRDefault="002C789B" w:rsidP="002C789B">
      <w:pPr>
        <w:spacing w:after="0"/>
        <w:jc w:val="both"/>
        <w:rPr>
          <w:rFonts w:ascii="Verdana" w:hAnsi="Verdana" w:cs="Arial"/>
          <w:shd w:val="clear" w:color="auto" w:fill="FFFFFF"/>
        </w:rPr>
      </w:pPr>
    </w:p>
    <w:p w14:paraId="753CD4BF" w14:textId="77777777" w:rsidR="002C789B" w:rsidRPr="008278B1" w:rsidRDefault="002C789B" w:rsidP="002C789B">
      <w:pPr>
        <w:spacing w:after="0"/>
        <w:jc w:val="both"/>
        <w:rPr>
          <w:rFonts w:ascii="Verdana" w:hAnsi="Verdana" w:cs="Arial"/>
          <w:shd w:val="clear" w:color="auto" w:fill="FFFFFF"/>
        </w:rPr>
      </w:pPr>
      <w:r w:rsidRPr="008278B1">
        <w:rPr>
          <w:rFonts w:ascii="Verdana" w:hAnsi="Verdana" w:cs="Arial"/>
          <w:shd w:val="clear" w:color="auto" w:fill="FFFFFF"/>
        </w:rPr>
        <w:t xml:space="preserve">Por último, lo invitamos a seguirnos en las redes sociales en las cuales se difunde información institucional: </w:t>
      </w:r>
    </w:p>
    <w:p w14:paraId="39BAAB88" w14:textId="77777777" w:rsidR="002C789B" w:rsidRPr="008278B1" w:rsidRDefault="002C789B" w:rsidP="002C789B">
      <w:pPr>
        <w:spacing w:after="0"/>
        <w:jc w:val="both"/>
        <w:rPr>
          <w:rFonts w:ascii="Verdana" w:hAnsi="Verdana" w:cs="Arial"/>
          <w:shd w:val="clear" w:color="auto" w:fill="FFFFFF"/>
        </w:rPr>
      </w:pPr>
    </w:p>
    <w:p w14:paraId="49535BE5" w14:textId="77777777" w:rsidR="002C789B" w:rsidRPr="008278B1" w:rsidRDefault="002C789B" w:rsidP="002C789B">
      <w:pPr>
        <w:spacing w:after="0"/>
        <w:jc w:val="both"/>
        <w:rPr>
          <w:rFonts w:ascii="Verdana" w:hAnsi="Verdana" w:cs="Arial"/>
          <w:shd w:val="clear" w:color="auto" w:fill="FFFFFF"/>
        </w:rPr>
      </w:pPr>
      <w:r w:rsidRPr="008278B1">
        <w:rPr>
          <w:rFonts w:ascii="Verdana" w:hAnsi="Verdana" w:cs="Arial"/>
          <w:shd w:val="clear" w:color="auto" w:fill="FFFFFF"/>
        </w:rPr>
        <w:t xml:space="preserve">Twitter: </w:t>
      </w:r>
      <w:r w:rsidRPr="008278B1">
        <w:rPr>
          <w:rStyle w:val="Hipervnculo"/>
          <w:rFonts w:ascii="Verdana" w:hAnsi="Verdana"/>
          <w:lang w:val="es-ES"/>
        </w:rPr>
        <w:t>@colombiacompra</w:t>
      </w:r>
      <w:r w:rsidRPr="008278B1">
        <w:rPr>
          <w:rStyle w:val="Hipervnculo"/>
          <w:rFonts w:ascii="Verdana" w:hAnsi="Verdana"/>
          <w:color w:val="auto"/>
          <w:lang w:val="es-ES"/>
        </w:rPr>
        <w:t xml:space="preserve"> </w:t>
      </w:r>
    </w:p>
    <w:p w14:paraId="1DF931B7" w14:textId="77777777" w:rsidR="002C789B" w:rsidRPr="008278B1" w:rsidRDefault="002C789B" w:rsidP="002C789B">
      <w:pPr>
        <w:spacing w:after="0"/>
        <w:jc w:val="both"/>
        <w:rPr>
          <w:rFonts w:ascii="Verdana" w:hAnsi="Verdana" w:cs="Arial"/>
          <w:shd w:val="clear" w:color="auto" w:fill="FFFFFF"/>
        </w:rPr>
      </w:pPr>
      <w:r w:rsidRPr="008278B1">
        <w:rPr>
          <w:rFonts w:ascii="Verdana" w:hAnsi="Verdana" w:cs="Arial"/>
          <w:shd w:val="clear" w:color="auto" w:fill="FFFFFF"/>
        </w:rPr>
        <w:t>Facebook:</w:t>
      </w:r>
      <w:r w:rsidRPr="008278B1">
        <w:rPr>
          <w:rStyle w:val="Hipervnculo"/>
          <w:rFonts w:ascii="Verdana" w:hAnsi="Verdana"/>
          <w:lang w:val="es-ES"/>
        </w:rPr>
        <w:t xml:space="preserve"> ColombiaCompraEficiente</w:t>
      </w:r>
    </w:p>
    <w:p w14:paraId="7BF504EE" w14:textId="77777777" w:rsidR="002C789B" w:rsidRPr="008278B1" w:rsidRDefault="002C789B" w:rsidP="002C789B">
      <w:pPr>
        <w:spacing w:after="0"/>
        <w:jc w:val="both"/>
        <w:rPr>
          <w:rFonts w:ascii="Verdana" w:hAnsi="Verdana" w:cs="Arial"/>
          <w:shd w:val="clear" w:color="auto" w:fill="FFFFFF"/>
        </w:rPr>
      </w:pPr>
      <w:r w:rsidRPr="008278B1">
        <w:rPr>
          <w:rFonts w:ascii="Verdana" w:hAnsi="Verdana" w:cs="Arial"/>
          <w:shd w:val="clear" w:color="auto" w:fill="FFFFFF"/>
        </w:rPr>
        <w:t xml:space="preserve">LinkedIn: </w:t>
      </w:r>
      <w:r w:rsidRPr="008278B1">
        <w:rPr>
          <w:rStyle w:val="Hipervnculo"/>
          <w:rFonts w:ascii="Verdana" w:hAnsi="Verdana"/>
          <w:lang w:val="es-ES"/>
        </w:rPr>
        <w:t>Agencia Nacional de Contratación Pública - Colombia Compra Eficiente</w:t>
      </w:r>
      <w:r w:rsidRPr="008278B1">
        <w:rPr>
          <w:rFonts w:ascii="Verdana" w:hAnsi="Verdana" w:cs="Arial"/>
          <w:color w:val="0000FF"/>
          <w:shd w:val="clear" w:color="auto" w:fill="FFFFFF"/>
        </w:rPr>
        <w:t xml:space="preserve"> </w:t>
      </w:r>
    </w:p>
    <w:p w14:paraId="01CB1B4C" w14:textId="77777777" w:rsidR="002C789B" w:rsidRPr="008278B1" w:rsidRDefault="002C789B" w:rsidP="002C789B">
      <w:pPr>
        <w:spacing w:after="0"/>
        <w:jc w:val="both"/>
        <w:rPr>
          <w:rFonts w:ascii="Verdana" w:hAnsi="Verdana" w:cs="Arial"/>
          <w:shd w:val="clear" w:color="auto" w:fill="FFFFFF"/>
        </w:rPr>
      </w:pPr>
      <w:r w:rsidRPr="008278B1">
        <w:rPr>
          <w:rFonts w:ascii="Verdana" w:hAnsi="Verdana" w:cs="Arial"/>
          <w:shd w:val="clear" w:color="auto" w:fill="FFFFFF"/>
        </w:rPr>
        <w:t xml:space="preserve">Instagram: </w:t>
      </w:r>
      <w:r w:rsidRPr="008278B1">
        <w:rPr>
          <w:rStyle w:val="Hipervnculo"/>
          <w:rFonts w:ascii="Verdana" w:hAnsi="Verdana"/>
          <w:lang w:val="es-ES"/>
        </w:rPr>
        <w:t>@colombiacompraeficiente_cce</w:t>
      </w:r>
    </w:p>
    <w:p w14:paraId="67E2D766" w14:textId="77777777" w:rsidR="002C789B" w:rsidRPr="008278B1" w:rsidRDefault="002C789B" w:rsidP="002C789B">
      <w:pPr>
        <w:widowControl w:val="0"/>
        <w:autoSpaceDE w:val="0"/>
        <w:autoSpaceDN w:val="0"/>
        <w:spacing w:after="0" w:line="276" w:lineRule="auto"/>
        <w:jc w:val="both"/>
        <w:rPr>
          <w:rFonts w:ascii="Verdana" w:hAnsi="Verdana" w:cs="Arial"/>
          <w:lang w:val="es-ES"/>
        </w:rPr>
      </w:pPr>
    </w:p>
    <w:p w14:paraId="046E4505" w14:textId="77777777" w:rsidR="002C789B" w:rsidRPr="008278B1" w:rsidRDefault="002C789B" w:rsidP="002C789B">
      <w:pPr>
        <w:widowControl w:val="0"/>
        <w:autoSpaceDE w:val="0"/>
        <w:autoSpaceDN w:val="0"/>
        <w:spacing w:after="0" w:line="276" w:lineRule="auto"/>
        <w:jc w:val="both"/>
        <w:rPr>
          <w:rFonts w:ascii="Verdana" w:hAnsi="Verdana" w:cs="Arial"/>
          <w:lang w:val="es-ES"/>
        </w:rPr>
      </w:pPr>
      <w:r w:rsidRPr="008278B1">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55A7695" w14:textId="77777777" w:rsidR="002C789B" w:rsidRPr="008278B1" w:rsidRDefault="002C789B" w:rsidP="002C789B">
      <w:pPr>
        <w:widowControl w:val="0"/>
        <w:autoSpaceDE w:val="0"/>
        <w:autoSpaceDN w:val="0"/>
        <w:spacing w:after="0" w:line="276" w:lineRule="auto"/>
        <w:jc w:val="both"/>
        <w:rPr>
          <w:rFonts w:ascii="Verdana" w:hAnsi="Verdana" w:cs="Arial"/>
          <w:lang w:val="es-ES"/>
        </w:rPr>
      </w:pPr>
    </w:p>
    <w:p w14:paraId="097E6F81" w14:textId="3356DD57" w:rsidR="002C789B" w:rsidRPr="00BF2B1C" w:rsidRDefault="002C789B" w:rsidP="00BF2B1C">
      <w:pPr>
        <w:spacing w:after="0" w:line="276" w:lineRule="auto"/>
        <w:rPr>
          <w:rFonts w:ascii="Verdana" w:hAnsi="Verdana" w:cs="Arial"/>
          <w:lang w:val="es-ES" w:eastAsia="es-CO"/>
        </w:rPr>
      </w:pPr>
      <w:r w:rsidRPr="008278B1">
        <w:rPr>
          <w:rFonts w:ascii="Verdana" w:eastAsia="Times New Roman" w:hAnsi="Verdana" w:cs="Arial"/>
          <w:lang w:val="es-ES" w:eastAsia="es-CO"/>
        </w:rPr>
        <w:t>Atentamente,</w:t>
      </w:r>
      <w:r w:rsidRPr="008278B1">
        <w:rPr>
          <w:rFonts w:ascii="Verdana" w:hAnsi="Verdana" w:cs="Arial"/>
          <w:lang w:val="es-ES" w:eastAsia="es-CO"/>
        </w:rPr>
        <w:t xml:space="preserve"> </w:t>
      </w:r>
    </w:p>
    <w:p w14:paraId="5288647B" w14:textId="1B811969" w:rsidR="002C789B" w:rsidRPr="00A27102" w:rsidRDefault="00BF2B1C" w:rsidP="002C789B">
      <w:pPr>
        <w:spacing w:line="276" w:lineRule="auto"/>
        <w:jc w:val="center"/>
        <w:rPr>
          <w:rFonts w:ascii="Verdana" w:hAnsi="Verdana" w:cs="Arial"/>
          <w:color w:val="000000"/>
          <w:lang w:val="es-ES_tradnl" w:eastAsia="es-CO"/>
        </w:rPr>
      </w:pPr>
      <w:r w:rsidRPr="00BF2B1C">
        <w:rPr>
          <w:rFonts w:ascii="Verdana" w:hAnsi="Verdana" w:cs="Arial"/>
          <w:noProof/>
          <w:color w:val="000000"/>
          <w:lang w:val="es-ES_tradnl" w:eastAsia="es-CO"/>
        </w:rPr>
        <w:drawing>
          <wp:inline distT="0" distB="0" distL="0" distR="0" wp14:anchorId="42B89E8C" wp14:editId="103FE138">
            <wp:extent cx="2896004" cy="1209844"/>
            <wp:effectExtent l="0" t="0" r="0" b="9525"/>
            <wp:docPr id="91356209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562096" name="Imagen 1" descr="Texto&#10;&#10;El contenido generado por IA puede ser incorrecto."/>
                    <pic:cNvPicPr/>
                  </pic:nvPicPr>
                  <pic:blipFill>
                    <a:blip r:embed="rId14"/>
                    <a:stretch>
                      <a:fillRect/>
                    </a:stretch>
                  </pic:blipFill>
                  <pic:spPr>
                    <a:xfrm>
                      <a:off x="0" y="0"/>
                      <a:ext cx="2896004" cy="120984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C789B" w:rsidRPr="00A27102" w14:paraId="75713695" w14:textId="77777777" w:rsidTr="00061D75">
        <w:trPr>
          <w:trHeight w:val="315"/>
        </w:trPr>
        <w:tc>
          <w:tcPr>
            <w:tcW w:w="893" w:type="dxa"/>
            <w:vAlign w:val="center"/>
            <w:hideMark/>
          </w:tcPr>
          <w:p w14:paraId="55839A80" w14:textId="77777777" w:rsidR="002C789B" w:rsidRPr="00A27102" w:rsidRDefault="002C789B" w:rsidP="00061D75">
            <w:pPr>
              <w:contextualSpacing/>
              <w:rPr>
                <w:rFonts w:ascii="Verdana" w:hAnsi="Verdana" w:cs="Arial"/>
                <w:sz w:val="16"/>
                <w:szCs w:val="16"/>
                <w:lang w:val="es-ES" w:eastAsia="es-ES"/>
              </w:rPr>
            </w:pPr>
            <w:r w:rsidRPr="00A2710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4CAF5D8" w14:textId="77777777" w:rsidR="002C789B" w:rsidRPr="00A27102" w:rsidRDefault="002C789B" w:rsidP="00061D75">
            <w:pPr>
              <w:contextualSpacing/>
              <w:rPr>
                <w:rFonts w:ascii="Verdana" w:hAnsi="Verdana"/>
                <w:sz w:val="16"/>
                <w:szCs w:val="16"/>
              </w:rPr>
            </w:pPr>
            <w:r w:rsidRPr="00A27102">
              <w:rPr>
                <w:rFonts w:ascii="Verdana" w:hAnsi="Verdana"/>
                <w:sz w:val="16"/>
                <w:szCs w:val="16"/>
              </w:rPr>
              <w:t>Tatiana Baquero Iguarán</w:t>
            </w:r>
          </w:p>
          <w:p w14:paraId="69463509" w14:textId="77777777" w:rsidR="002C789B" w:rsidRDefault="002C789B" w:rsidP="00061D75">
            <w:pPr>
              <w:contextualSpacing/>
              <w:rPr>
                <w:rFonts w:ascii="Verdana" w:hAnsi="Verdana"/>
                <w:sz w:val="16"/>
                <w:szCs w:val="16"/>
              </w:rPr>
            </w:pPr>
            <w:r w:rsidRPr="00A27102">
              <w:rPr>
                <w:rFonts w:ascii="Verdana" w:hAnsi="Verdana"/>
                <w:sz w:val="16"/>
                <w:szCs w:val="16"/>
              </w:rPr>
              <w:t>Contratista de la Subdirección de Gestión Contractual</w:t>
            </w:r>
          </w:p>
          <w:p w14:paraId="456D84BE" w14:textId="77777777" w:rsidR="002C789B" w:rsidRPr="008278B1" w:rsidRDefault="002C789B" w:rsidP="00061D75">
            <w:pPr>
              <w:rPr>
                <w:rFonts w:ascii="Verdana" w:eastAsia="Times New Roman" w:hAnsi="Verdana" w:cs="Arial"/>
                <w:sz w:val="16"/>
                <w:szCs w:val="16"/>
                <w:lang w:eastAsia="es-ES"/>
              </w:rPr>
            </w:pPr>
            <w:r w:rsidRPr="008278B1">
              <w:rPr>
                <w:rFonts w:ascii="Verdana" w:eastAsia="Times New Roman" w:hAnsi="Verdana" w:cs="Arial"/>
                <w:sz w:val="16"/>
                <w:szCs w:val="16"/>
                <w:lang w:eastAsia="es-ES"/>
              </w:rPr>
              <w:t>Camila Alejandra Naranjo Gómez</w:t>
            </w:r>
          </w:p>
          <w:p w14:paraId="158A4B23" w14:textId="77777777" w:rsidR="002C789B" w:rsidRPr="00A27102" w:rsidRDefault="002C789B" w:rsidP="00061D75">
            <w:pPr>
              <w:contextualSpacing/>
              <w:rPr>
                <w:rFonts w:ascii="Verdana" w:eastAsia="Arial" w:hAnsi="Verdana" w:cs="Arial"/>
                <w:sz w:val="16"/>
                <w:szCs w:val="16"/>
              </w:rPr>
            </w:pPr>
            <w:r w:rsidRPr="008278B1">
              <w:rPr>
                <w:rFonts w:ascii="Verdana" w:eastAsia="Times New Roman" w:hAnsi="Verdana" w:cs="Arial"/>
                <w:sz w:val="16"/>
                <w:szCs w:val="16"/>
                <w:lang w:eastAsia="es-ES"/>
              </w:rPr>
              <w:t>Analista T2-1 de la Subdirección de Gestión Contractual</w:t>
            </w:r>
          </w:p>
        </w:tc>
      </w:tr>
      <w:tr w:rsidR="002C789B" w:rsidRPr="00A27102" w14:paraId="1CF1950E" w14:textId="77777777" w:rsidTr="00061D75">
        <w:trPr>
          <w:trHeight w:val="330"/>
        </w:trPr>
        <w:tc>
          <w:tcPr>
            <w:tcW w:w="893" w:type="dxa"/>
            <w:vAlign w:val="center"/>
            <w:hideMark/>
          </w:tcPr>
          <w:p w14:paraId="1347ED2A" w14:textId="77777777" w:rsidR="002C789B" w:rsidRPr="00A27102" w:rsidRDefault="002C789B" w:rsidP="00061D75">
            <w:pPr>
              <w:contextualSpacing/>
              <w:rPr>
                <w:rFonts w:ascii="Verdana" w:hAnsi="Verdana" w:cs="Arial"/>
                <w:sz w:val="16"/>
                <w:szCs w:val="16"/>
                <w:lang w:val="es-ES" w:eastAsia="es-ES"/>
              </w:rPr>
            </w:pPr>
            <w:r w:rsidRPr="00A2710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96221A0" w14:textId="77777777" w:rsidR="002C789B" w:rsidRPr="00A27102" w:rsidRDefault="002C789B" w:rsidP="00061D75">
            <w:pPr>
              <w:spacing w:before="100" w:beforeAutospacing="1" w:afterAutospacing="1"/>
              <w:contextualSpacing/>
              <w:textAlignment w:val="baseline"/>
              <w:rPr>
                <w:rFonts w:ascii="Verdana" w:eastAsia="Times New Roman" w:hAnsi="Verdana" w:cs="Arial"/>
                <w:sz w:val="16"/>
                <w:szCs w:val="16"/>
                <w:lang w:val="es-ES" w:eastAsia="es-ES_tradnl"/>
              </w:rPr>
            </w:pPr>
            <w:r w:rsidRPr="00A27102">
              <w:rPr>
                <w:rFonts w:ascii="Verdana" w:eastAsia="Times New Roman" w:hAnsi="Verdana" w:cs="Arial"/>
                <w:sz w:val="16"/>
                <w:szCs w:val="16"/>
                <w:lang w:val="es-ES" w:eastAsia="es-ES_tradnl"/>
              </w:rPr>
              <w:t>Alejandro Sarmiento Cantillo</w:t>
            </w:r>
          </w:p>
          <w:p w14:paraId="54B0C7E6" w14:textId="77777777" w:rsidR="002C789B" w:rsidRPr="00A27102" w:rsidRDefault="002C789B" w:rsidP="00061D75">
            <w:pPr>
              <w:contextualSpacing/>
              <w:textAlignment w:val="baseline"/>
              <w:rPr>
                <w:rFonts w:ascii="Verdana" w:eastAsia="Times New Roman" w:hAnsi="Verdana" w:cs="Segoe UI"/>
                <w:sz w:val="16"/>
                <w:szCs w:val="16"/>
                <w:lang w:eastAsia="es-ES_tradnl"/>
              </w:rPr>
            </w:pPr>
            <w:r w:rsidRPr="00A27102">
              <w:rPr>
                <w:rFonts w:ascii="Verdana" w:eastAsia="Times New Roman" w:hAnsi="Verdana" w:cs="Arial"/>
                <w:sz w:val="16"/>
                <w:szCs w:val="16"/>
                <w:lang w:val="es-ES" w:eastAsia="es-ES_tradnl"/>
              </w:rPr>
              <w:t>Gestor T1 ‒ 15 de la Subdirección de Gestión Contractual</w:t>
            </w:r>
            <w:r w:rsidRPr="00A27102">
              <w:rPr>
                <w:rFonts w:ascii="Verdana" w:eastAsia="Times New Roman" w:hAnsi="Verdana" w:cs="Arial"/>
                <w:sz w:val="16"/>
                <w:szCs w:val="16"/>
                <w:lang w:eastAsia="es-ES_tradnl"/>
              </w:rPr>
              <w:t> </w:t>
            </w:r>
          </w:p>
        </w:tc>
      </w:tr>
      <w:tr w:rsidR="002C789B" w:rsidRPr="00A27102" w14:paraId="25120DDE" w14:textId="77777777" w:rsidTr="00061D75">
        <w:trPr>
          <w:trHeight w:val="300"/>
        </w:trPr>
        <w:tc>
          <w:tcPr>
            <w:tcW w:w="893" w:type="dxa"/>
            <w:vAlign w:val="center"/>
          </w:tcPr>
          <w:p w14:paraId="7AEFED09" w14:textId="77777777" w:rsidR="002C789B" w:rsidRPr="00A27102" w:rsidRDefault="002C789B" w:rsidP="00061D75">
            <w:pPr>
              <w:contextualSpacing/>
              <w:rPr>
                <w:rFonts w:ascii="Verdana" w:hAnsi="Verdana" w:cs="Arial"/>
                <w:sz w:val="16"/>
                <w:szCs w:val="16"/>
                <w:lang w:val="es-ES" w:eastAsia="es-ES"/>
              </w:rPr>
            </w:pPr>
            <w:r w:rsidRPr="00A2710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655FE3" w14:textId="77777777" w:rsidR="002C789B" w:rsidRPr="00A27102" w:rsidRDefault="002C789B" w:rsidP="00061D75">
            <w:pPr>
              <w:contextualSpacing/>
              <w:rPr>
                <w:rFonts w:ascii="Verdana" w:eastAsia="Calibri" w:hAnsi="Verdana" w:cs="Arial"/>
                <w:sz w:val="16"/>
                <w:szCs w:val="16"/>
                <w:lang w:val="pt-BR" w:eastAsia="es-ES"/>
              </w:rPr>
            </w:pPr>
            <w:r w:rsidRPr="00A27102">
              <w:rPr>
                <w:rFonts w:ascii="Verdana" w:eastAsia="Calibri" w:hAnsi="Verdana" w:cs="Arial"/>
                <w:sz w:val="16"/>
                <w:szCs w:val="16"/>
                <w:lang w:val="pt-BR" w:eastAsia="es-ES"/>
              </w:rPr>
              <w:t>Carolina Quintero Gacharná</w:t>
            </w:r>
          </w:p>
          <w:p w14:paraId="091C7DC8" w14:textId="77777777" w:rsidR="002C789B" w:rsidRPr="00A27102" w:rsidRDefault="002C789B" w:rsidP="00061D75">
            <w:pPr>
              <w:contextualSpacing/>
              <w:rPr>
                <w:rFonts w:ascii="Verdana" w:eastAsia="Calibri" w:hAnsi="Verdana" w:cs="Arial"/>
                <w:sz w:val="16"/>
                <w:szCs w:val="16"/>
                <w:lang w:val="pt-BR" w:eastAsia="es-ES"/>
              </w:rPr>
            </w:pPr>
            <w:r w:rsidRPr="00A27102">
              <w:rPr>
                <w:rFonts w:ascii="Verdana" w:eastAsia="Calibri" w:hAnsi="Verdana" w:cs="Arial"/>
                <w:sz w:val="16"/>
                <w:szCs w:val="16"/>
                <w:lang w:eastAsia="es-ES"/>
              </w:rPr>
              <w:t>Subdirectora</w:t>
            </w:r>
            <w:r w:rsidRPr="00A27102">
              <w:rPr>
                <w:rFonts w:ascii="Verdana" w:eastAsia="Calibri" w:hAnsi="Verdana" w:cs="Arial"/>
                <w:sz w:val="16"/>
                <w:szCs w:val="16"/>
                <w:lang w:val="pt-BR" w:eastAsia="es-ES"/>
              </w:rPr>
              <w:t xml:space="preserve"> de Gestión Contratual ANCP – CCE</w:t>
            </w:r>
          </w:p>
        </w:tc>
      </w:tr>
    </w:tbl>
    <w:p w14:paraId="40AAB791" w14:textId="77777777" w:rsidR="002C789B" w:rsidRPr="008D78B9" w:rsidRDefault="002C789B" w:rsidP="002C789B">
      <w:r>
        <w:t xml:space="preserve"> </w:t>
      </w:r>
    </w:p>
    <w:p w14:paraId="0F293BF4" w14:textId="25E7CEC7" w:rsidR="00127233" w:rsidRPr="002C789B" w:rsidRDefault="00127233" w:rsidP="002C789B"/>
    <w:sectPr w:rsidR="00127233" w:rsidRPr="002C789B"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C2952F" w14:textId="77777777" w:rsidR="00671685" w:rsidRDefault="00671685" w:rsidP="004A1847">
      <w:pPr>
        <w:spacing w:after="0" w:line="240" w:lineRule="auto"/>
      </w:pPr>
      <w:r>
        <w:separator/>
      </w:r>
    </w:p>
  </w:endnote>
  <w:endnote w:type="continuationSeparator" w:id="0">
    <w:p w14:paraId="6C9D7DA7" w14:textId="77777777" w:rsidR="00671685" w:rsidRDefault="0067168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8D0677" w:rsidRDefault="356CEDFD" w:rsidP="356CEDFD">
    <w:pPr>
      <w:pBdr>
        <w:top w:val="nil"/>
        <w:left w:val="nil"/>
        <w:bottom w:val="nil"/>
        <w:right w:val="nil"/>
        <w:between w:val="nil"/>
      </w:pBdr>
      <w:tabs>
        <w:tab w:val="center" w:pos="4419"/>
        <w:tab w:val="right" w:pos="8838"/>
        <w:tab w:val="center" w:pos="5400"/>
      </w:tabs>
      <w:spacing w:after="0"/>
      <w:jc w:val="right"/>
      <w:rPr>
        <w:lang w:val="pt-BR"/>
      </w:rPr>
    </w:pPr>
    <w:r w:rsidRPr="008D0677">
      <w:rPr>
        <w:rFonts w:ascii="Century Gothic" w:eastAsia="Geo" w:hAnsi="Century Gothic" w:cs="Geo"/>
        <w:b/>
        <w:color w:val="000000" w:themeColor="text1"/>
        <w:sz w:val="16"/>
        <w:szCs w:val="16"/>
        <w:lang w:val="pt-BR" w:eastAsia="es-CO"/>
      </w:rPr>
      <w:t xml:space="preserve">Código: </w:t>
    </w:r>
    <w:r w:rsidRPr="008D0677">
      <w:rPr>
        <w:rFonts w:ascii="Century Gothic" w:eastAsia="Geo" w:hAnsi="Century Gothic" w:cs="Geo"/>
        <w:color w:val="000000" w:themeColor="text1"/>
        <w:sz w:val="16"/>
        <w:szCs w:val="16"/>
        <w:lang w:val="pt-BR" w:eastAsia="es-CO"/>
      </w:rPr>
      <w:t xml:space="preserve">CCE-REC-FM-17 </w:t>
    </w:r>
    <w:r w:rsidRPr="008D0677">
      <w:rPr>
        <w:rFonts w:ascii="Century Gothic" w:eastAsia="Geo" w:hAnsi="Century Gothic" w:cs="Geo"/>
        <w:b/>
        <w:color w:val="000000" w:themeColor="text1"/>
        <w:sz w:val="16"/>
        <w:szCs w:val="16"/>
        <w:lang w:val="pt-BR" w:eastAsia="es-CO"/>
      </w:rPr>
      <w:t>V</w:t>
    </w:r>
    <w:r w:rsidRPr="008D0677">
      <w:rPr>
        <w:rFonts w:ascii="Century Gothic" w:eastAsia="Arial Nova" w:hAnsi="Century Gothic" w:cs="Arial Nova"/>
        <w:b/>
        <w:color w:val="000000" w:themeColor="text1"/>
        <w:sz w:val="16"/>
        <w:szCs w:val="16"/>
        <w:lang w:val="pt-BR" w:eastAsia="es-CO"/>
      </w:rPr>
      <w:t xml:space="preserve">: </w:t>
    </w:r>
    <w:r w:rsidRPr="008D0677">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07485D" w14:textId="77777777" w:rsidR="00671685" w:rsidRDefault="00671685" w:rsidP="004A1847">
      <w:pPr>
        <w:spacing w:after="0" w:line="240" w:lineRule="auto"/>
      </w:pPr>
      <w:r>
        <w:separator/>
      </w:r>
    </w:p>
  </w:footnote>
  <w:footnote w:type="continuationSeparator" w:id="0">
    <w:p w14:paraId="17BB6529" w14:textId="77777777" w:rsidR="00671685" w:rsidRDefault="00671685" w:rsidP="004A1847">
      <w:pPr>
        <w:spacing w:after="0" w:line="240" w:lineRule="auto"/>
      </w:pPr>
      <w:r>
        <w:continuationSeparator/>
      </w:r>
    </w:p>
  </w:footnote>
  <w:footnote w:id="1">
    <w:p w14:paraId="0CE6A2BE" w14:textId="77777777" w:rsidR="002C789B" w:rsidRDefault="002C789B" w:rsidP="002C789B">
      <w:pPr>
        <w:spacing w:after="0" w:line="240" w:lineRule="auto"/>
        <w:ind w:firstLine="709"/>
        <w:jc w:val="both"/>
        <w:rPr>
          <w:rFonts w:ascii="Verdana" w:eastAsia="Times New Roman"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color w:val="000000"/>
          <w:sz w:val="16"/>
          <w:szCs w:val="16"/>
        </w:rPr>
        <w:t>“</w:t>
      </w:r>
      <w:bookmarkStart w:id="3" w:name="33"/>
      <w:r>
        <w:rPr>
          <w:rFonts w:ascii="Verdana" w:eastAsia="Times New Roman" w:hAnsi="Verdana" w:cs="Arial"/>
          <w:sz w:val="16"/>
          <w:szCs w:val="16"/>
        </w:rPr>
        <w:t>Artículo 33. Restricciones a la contratación pública.</w:t>
      </w:r>
      <w:bookmarkEnd w:id="3"/>
      <w:r>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06FE0381" w14:textId="77777777" w:rsidR="002C789B" w:rsidRDefault="002C789B" w:rsidP="002C789B">
      <w:pPr>
        <w:spacing w:after="0" w:line="240" w:lineRule="auto"/>
        <w:ind w:firstLine="709"/>
        <w:jc w:val="both"/>
        <w:rPr>
          <w:rFonts w:ascii="Verdana" w:eastAsia="Times New Roman" w:hAnsi="Verdana" w:cs="Arial"/>
          <w:sz w:val="16"/>
          <w:szCs w:val="16"/>
        </w:rPr>
      </w:pPr>
      <w:r>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color w:val="000000"/>
          <w:sz w:val="16"/>
          <w:szCs w:val="16"/>
        </w:rPr>
        <w:t>”</w:t>
      </w:r>
      <w:r>
        <w:rPr>
          <w:rFonts w:ascii="Verdana" w:eastAsia="Times New Roman" w:hAnsi="Verdana" w:cs="Arial"/>
          <w:sz w:val="16"/>
          <w:szCs w:val="16"/>
        </w:rPr>
        <w:t>.</w:t>
      </w:r>
    </w:p>
  </w:footnote>
  <w:footnote w:id="2">
    <w:p w14:paraId="59D93358" w14:textId="77777777" w:rsidR="002C789B" w:rsidRDefault="002C789B" w:rsidP="002C789B">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[25] </w:t>
      </w:r>
      <w:r>
        <w:rPr>
          <w:rFonts w:ascii="Verdana" w:hAnsi="Verdana" w:cs="Arial"/>
          <w:sz w:val="16"/>
          <w:szCs w:val="16"/>
        </w:rPr>
        <w:t>Cfr. Consejo de Estado. Sección Tercera. Sentencia de 3 de diciembre de 2007. Radicados: 24.715, 25.206, 25.409, 24.524, 27.834, 25.410, 26.105, 28.244, 31.447 -acumulados-“.</w:t>
      </w:r>
    </w:p>
  </w:footnote>
  <w:footnote w:id="3">
    <w:p w14:paraId="7C939BBE" w14:textId="77777777" w:rsidR="002C789B" w:rsidRDefault="002C789B" w:rsidP="002C789B">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[26] </w:t>
      </w:r>
      <w:r>
        <w:rPr>
          <w:rFonts w:ascii="Verdana" w:hAnsi="Verdana" w:cs="Arial"/>
          <w:sz w:val="16"/>
          <w:szCs w:val="16"/>
        </w:rPr>
        <w:t>Al respecto ver el concepto 1712 de 2 de febrero de 2006. Consejo de Estado Sala de Consulta y Servicio Civil”.</w:t>
      </w:r>
    </w:p>
  </w:footnote>
  <w:footnote w:id="4">
    <w:p w14:paraId="45CAD3FD" w14:textId="77777777" w:rsidR="002C789B" w:rsidRDefault="002C789B" w:rsidP="002C789B">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5">
    <w:p w14:paraId="11337671" w14:textId="77777777" w:rsidR="002C789B" w:rsidRDefault="002C789B" w:rsidP="002C789B">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Artículo 2. </w:t>
      </w:r>
    </w:p>
  </w:footnote>
  <w:footnote w:id="6">
    <w:p w14:paraId="7E53853E" w14:textId="77777777" w:rsidR="002C789B" w:rsidRDefault="002C789B" w:rsidP="002C789B">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i/>
          <w:sz w:val="16"/>
          <w:szCs w:val="16"/>
          <w:lang w:val="es-ES"/>
        </w:rPr>
        <w:t>Ídem</w:t>
      </w:r>
      <w:r>
        <w:rPr>
          <w:rFonts w:ascii="Verdana" w:hAnsi="Verdana" w:cs="Arial"/>
          <w:sz w:val="16"/>
          <w:szCs w:val="16"/>
          <w:lang w:val="es-ES"/>
        </w:rPr>
        <w:t>.</w:t>
      </w:r>
    </w:p>
  </w:footnote>
  <w:footnote w:id="7">
    <w:p w14:paraId="652BA491" w14:textId="77777777" w:rsidR="002C789B" w:rsidRDefault="002C789B" w:rsidP="002C789B">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Style w:val="Refdenotaalpie"/>
          <w:rFonts w:ascii="Verdana" w:hAnsi="Verdana" w:cs="Arial"/>
          <w:sz w:val="16"/>
          <w:szCs w:val="16"/>
        </w:rPr>
        <w:t xml:space="preserve"> </w:t>
      </w:r>
      <w:r>
        <w:rPr>
          <w:rFonts w:ascii="Verdana" w:hAnsi="Verdana" w:cs="Arial"/>
          <w:sz w:val="16"/>
          <w:szCs w:val="16"/>
          <w:lang w:val="es-ES"/>
        </w:rPr>
        <w:t xml:space="preserve">“[…] A este respecto, cabe recordar que el artículo 860 del Código de Comercio regula la licitación en el derecho privado”. </w:t>
      </w:r>
    </w:p>
  </w:footnote>
  <w:footnote w:id="8">
    <w:p w14:paraId="5655310E" w14:textId="77777777" w:rsidR="002C789B" w:rsidRDefault="002C789B" w:rsidP="002C789B">
      <w:pPr>
        <w:shd w:val="clear" w:color="auto" w:fill="FFFFFF"/>
        <w:spacing w:after="0" w:line="240" w:lineRule="auto"/>
        <w:ind w:firstLine="709"/>
        <w:jc w:val="both"/>
        <w:rPr>
          <w:rFonts w:ascii="Verdana" w:hAnsi="Verdana" w:cs="Arial"/>
          <w:sz w:val="16"/>
          <w:szCs w:val="16"/>
          <w:lang w:val="es-ES"/>
        </w:rPr>
      </w:pPr>
      <w:r>
        <w:rPr>
          <w:rStyle w:val="Refdenotaalpie"/>
          <w:rFonts w:ascii="Verdana" w:hAnsi="Verdana" w:cs="Arial"/>
          <w:sz w:val="16"/>
          <w:szCs w:val="16"/>
        </w:rPr>
        <w:footnoteRef/>
      </w:r>
      <w:r>
        <w:rPr>
          <w:rStyle w:val="Refdenotaalpie"/>
          <w:rFonts w:ascii="Verdana" w:hAnsi="Verdana" w:cs="Arial"/>
          <w:sz w:val="16"/>
          <w:szCs w:val="16"/>
        </w:rPr>
        <w:t xml:space="preserve"> </w:t>
      </w:r>
      <w:r>
        <w:rPr>
          <w:rFonts w:ascii="Verdana" w:hAnsi="Verdana" w:cs="Arial"/>
          <w:sz w:val="16"/>
          <w:szCs w:val="16"/>
          <w:lang w:val="es-ES"/>
        </w:rPr>
        <w:t>Consejo de Estado. Sala de Consulta y Servicio Civil, Concepto de 8 de mayo de 2018. Radicación Número: 11001-03-06-000-2018-00095-00(2382). C.P. Álvaro Namén Vargas.</w:t>
      </w:r>
    </w:p>
  </w:footnote>
  <w:footnote w:id="9">
    <w:p w14:paraId="1D47D2E2" w14:textId="77777777" w:rsidR="002C789B" w:rsidRDefault="002C789B" w:rsidP="002C789B">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08 de mayo de 2018. Exp. 2.382. C.P. Álvaro Namén Vargas.</w:t>
      </w:r>
    </w:p>
  </w:footnote>
  <w:footnote w:id="10">
    <w:p w14:paraId="6771F80C" w14:textId="77777777" w:rsidR="002C789B" w:rsidRDefault="002C789B" w:rsidP="002C789B">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1">
    <w:p w14:paraId="1A45DD4C" w14:textId="77777777" w:rsidR="002C789B" w:rsidRPr="005E6430" w:rsidRDefault="002C789B" w:rsidP="002C789B">
      <w:pPr>
        <w:pStyle w:val="Textonotapie"/>
        <w:ind w:firstLine="709"/>
        <w:jc w:val="both"/>
        <w:rPr>
          <w:lang w:val="es-CO"/>
        </w:rPr>
      </w:pPr>
      <w:r>
        <w:rPr>
          <w:rStyle w:val="Refdenotaalpie"/>
        </w:rPr>
        <w:footnoteRef/>
      </w:r>
      <w:r>
        <w:t xml:space="preserve"> </w:t>
      </w:r>
      <w:r>
        <w:rPr>
          <w:rFonts w:ascii="Verdana" w:hAnsi="Verdana" w:cs="Arial"/>
          <w:sz w:val="16"/>
          <w:szCs w:val="16"/>
        </w:rPr>
        <w:t xml:space="preserve">Consejo de Estado. Sala de </w:t>
      </w:r>
      <w:r w:rsidRPr="00DD3C4B">
        <w:rPr>
          <w:rFonts w:ascii="Verdana" w:hAnsi="Verdana" w:cs="Arial"/>
          <w:sz w:val="16"/>
          <w:szCs w:val="16"/>
        </w:rPr>
        <w:t>Consulta y Servicio Civil</w:t>
      </w:r>
      <w:r w:rsidRPr="00DD3C4B">
        <w:rPr>
          <w:rFonts w:ascii="Verdana" w:eastAsia="Times New Roman" w:hAnsi="Verdana" w:cs="Arial"/>
          <w:bCs/>
          <w:sz w:val="16"/>
          <w:szCs w:val="16"/>
          <w:lang w:val="es-ES_tradnl" w:eastAsia="x-none"/>
        </w:rPr>
        <w:t xml:space="preserve">. Conceptos 1727 de fecha 20 de febrero de 2006, </w:t>
      </w:r>
      <w:r w:rsidRPr="00DD3C4B">
        <w:rPr>
          <w:rFonts w:ascii="Verdana" w:eastAsia="Times New Roman" w:hAnsi="Verdana" w:cs="Arial"/>
          <w:bCs/>
          <w:sz w:val="16"/>
          <w:szCs w:val="16"/>
          <w:lang w:eastAsia="x-none"/>
        </w:rPr>
        <w:t>1738 del 6 de abril de 2006</w:t>
      </w:r>
    </w:p>
  </w:footnote>
  <w:footnote w:id="12">
    <w:p w14:paraId="05476688" w14:textId="77777777" w:rsidR="002C789B" w:rsidRDefault="002C789B" w:rsidP="002C789B">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ídem.</w:t>
      </w:r>
    </w:p>
  </w:footnote>
  <w:footnote w:id="13">
    <w:p w14:paraId="1F35328B" w14:textId="77777777" w:rsidR="002C789B" w:rsidRDefault="002C789B" w:rsidP="002C789B">
      <w:pPr>
        <w:pStyle w:val="Textonotapie"/>
        <w:ind w:firstLine="708"/>
        <w:jc w:val="both"/>
        <w:rPr>
          <w:rFonts w:ascii="Verdana" w:hAnsi="Verdana"/>
          <w:sz w:val="16"/>
          <w:szCs w:val="16"/>
          <w:lang w:val="es-ES"/>
        </w:rPr>
      </w:pPr>
      <w:r>
        <w:rPr>
          <w:rStyle w:val="Refdenotaalpie"/>
          <w:rFonts w:ascii="Verdana" w:hAnsi="Verdana"/>
          <w:sz w:val="16"/>
          <w:szCs w:val="16"/>
        </w:rPr>
        <w:footnoteRef/>
      </w:r>
      <w:r>
        <w:rPr>
          <w:rFonts w:ascii="Verdana" w:hAnsi="Verdana"/>
          <w:sz w:val="16"/>
          <w:szCs w:val="16"/>
        </w:rPr>
        <w:t xml:space="preserve"> Para Berrocal Guerrero, el acto administrativo es entendido como: […] TODA </w:t>
      </w:r>
      <w:r>
        <w:rPr>
          <w:rFonts w:ascii="Verdana" w:hAnsi="Verdana"/>
          <w:b/>
          <w:bCs/>
          <w:sz w:val="16"/>
          <w:szCs w:val="16"/>
        </w:rPr>
        <w:t>DECLARACIÓN</w:t>
      </w:r>
      <w:r>
        <w:rPr>
          <w:rFonts w:ascii="Verdana" w:hAnsi="Verdana"/>
          <w:sz w:val="16"/>
          <w:szCs w:val="16"/>
        </w:rPr>
        <w:t xml:space="preserve"> DE VOLUNTAD, JUICIO, COGNICIÓN O DESEO QUE SE PROFIERE DE MANERA </w:t>
      </w:r>
      <w:r>
        <w:rPr>
          <w:rFonts w:ascii="Verdana" w:hAnsi="Verdana"/>
          <w:b/>
          <w:bCs/>
          <w:sz w:val="16"/>
          <w:szCs w:val="16"/>
        </w:rPr>
        <w:t>UNILATERAL</w:t>
      </w:r>
      <w:r>
        <w:rPr>
          <w:rFonts w:ascii="Verdana" w:hAnsi="Verdana"/>
          <w:sz w:val="16"/>
          <w:szCs w:val="16"/>
        </w:rPr>
        <w:t xml:space="preserve">, EN EJERCICIO DE LA </w:t>
      </w:r>
      <w:r>
        <w:rPr>
          <w:rFonts w:ascii="Verdana" w:hAnsi="Verdana"/>
          <w:b/>
          <w:bCs/>
          <w:sz w:val="16"/>
          <w:szCs w:val="16"/>
        </w:rPr>
        <w:t>FUNCIÓN ADMINISTRATIVA</w:t>
      </w:r>
      <w:r>
        <w:rPr>
          <w:rFonts w:ascii="Verdana" w:hAnsi="Verdana"/>
          <w:sz w:val="16"/>
          <w:szCs w:val="16"/>
        </w:rPr>
        <w:t xml:space="preserve">, Y PRODUCE </w:t>
      </w:r>
      <w:r>
        <w:rPr>
          <w:rFonts w:ascii="Verdana" w:hAnsi="Verdana"/>
          <w:b/>
          <w:bCs/>
          <w:sz w:val="16"/>
          <w:szCs w:val="16"/>
        </w:rPr>
        <w:t>EFECTOS JURÍDICOS DIRECTOS O DEFINITIVOS</w:t>
      </w:r>
      <w:r>
        <w:rPr>
          <w:rFonts w:ascii="Verdana" w:hAnsi="Verdana"/>
          <w:sz w:val="16"/>
          <w:szCs w:val="16"/>
        </w:rPr>
        <w:t xml:space="preserve"> […] (Mayúsculas y negrillas propios del texto) (</w:t>
      </w:r>
      <w:r>
        <w:rPr>
          <w:rFonts w:ascii="Verdana" w:hAnsi="Verdana"/>
          <w:sz w:val="16"/>
          <w:szCs w:val="16"/>
          <w:lang w:val="es-ES"/>
        </w:rPr>
        <w:t>BERROCAL GUERRERO, Luis Enrique. Manual del acto administrativo. Según la Ley, la jurisprudencia y la doctrina. 7° ed. Bogotá: Librería Ediciones del Profesional Ltda, 2019, p. 114)</w:t>
      </w:r>
      <w:r>
        <w:rPr>
          <w:rFonts w:ascii="Verdana" w:hAnsi="Verdana"/>
          <w:sz w:val="16"/>
          <w:szCs w:val="16"/>
        </w:rPr>
        <w:t xml:space="preserve">. De igual modo, Marín Cortés expresa: “[…] </w:t>
      </w:r>
      <w:r>
        <w:rPr>
          <w:rFonts w:ascii="Verdana" w:hAnsi="Verdana"/>
          <w:sz w:val="16"/>
          <w:szCs w:val="16"/>
          <w:lang w:val="es-ES"/>
        </w:rPr>
        <w:t xml:space="preserve">i) una declaración de voluntad -y excepcionalmente la omisión que representa el silencio-, ii) de carácter unilateral, iii) que proviene de cualquier órgano del Estado cuando ejerce la función administrativa (a), o también cuando cumple funciones de control o electoral b), al igual que de los particulares cuando desempeñan las anteriores funciones públicas (c); y iv) produce efectos jurídicos” (MARÍN CORTÉS, Fabián Gonzalo. El concepto de acto administrativo. Texto inédito, p. 9).  </w:t>
      </w:r>
    </w:p>
  </w:footnote>
  <w:footnote w:id="14">
    <w:p w14:paraId="56E0CEBE" w14:textId="77777777" w:rsidR="002C789B" w:rsidRPr="00C9638B" w:rsidRDefault="002C789B" w:rsidP="002C789B">
      <w:pPr>
        <w:pStyle w:val="Textonotapie"/>
        <w:ind w:firstLine="709"/>
        <w:rPr>
          <w:lang w:val="es-CO"/>
        </w:rPr>
      </w:pPr>
      <w:r>
        <w:rPr>
          <w:rStyle w:val="Refdenotaalpie"/>
        </w:rPr>
        <w:footnoteRef/>
      </w:r>
      <w:r>
        <w:t xml:space="preserve"> </w:t>
      </w:r>
      <w:r>
        <w:rPr>
          <w:rFonts w:ascii="Verdana" w:hAnsi="Verdana" w:cs="Arial"/>
          <w:sz w:val="16"/>
          <w:szCs w:val="16"/>
        </w:rPr>
        <w:t xml:space="preserve">Consejo de Estado. Sala de </w:t>
      </w:r>
      <w:r w:rsidRPr="00DD3C4B">
        <w:rPr>
          <w:rFonts w:ascii="Verdana" w:hAnsi="Verdana" w:cs="Arial"/>
          <w:sz w:val="16"/>
          <w:szCs w:val="16"/>
        </w:rPr>
        <w:t>Consulta y Servicio Civil</w:t>
      </w:r>
      <w:r w:rsidRPr="00DD3C4B">
        <w:rPr>
          <w:rFonts w:ascii="Verdana" w:eastAsia="Times New Roman" w:hAnsi="Verdana" w:cs="Arial"/>
          <w:bCs/>
          <w:sz w:val="16"/>
          <w:szCs w:val="16"/>
          <w:lang w:val="es-ES_tradnl" w:eastAsia="x-none"/>
        </w:rPr>
        <w:t>. Concepto</w:t>
      </w:r>
      <w:r>
        <w:rPr>
          <w:rFonts w:ascii="Verdana" w:eastAsia="Times New Roman" w:hAnsi="Verdana" w:cs="Arial"/>
          <w:bCs/>
          <w:sz w:val="16"/>
          <w:szCs w:val="16"/>
          <w:lang w:val="es-ES_tradnl" w:eastAsia="x-none"/>
        </w:rPr>
        <w:t xml:space="preserve"> del 21 de mayo del 2014. </w:t>
      </w:r>
      <w:r w:rsidRPr="00CE1DD5">
        <w:rPr>
          <w:rFonts w:ascii="Verdana" w:eastAsia="Times New Roman" w:hAnsi="Verdana" w:cs="Arial"/>
          <w:bCs/>
          <w:sz w:val="16"/>
          <w:szCs w:val="16"/>
          <w:lang w:val="es-CO" w:eastAsia="x-none"/>
        </w:rPr>
        <w:t>Radicación número: 11001-03-06-000-2014-00119-00(2212)</w:t>
      </w:r>
      <w:r>
        <w:rPr>
          <w:rFonts w:ascii="Verdana" w:eastAsia="Times New Roman" w:hAnsi="Verdana" w:cs="Arial"/>
          <w:bCs/>
          <w:sz w:val="16"/>
          <w:szCs w:val="16"/>
          <w:lang w:val="es-CO" w:eastAsia="x-none"/>
        </w:rPr>
        <w:t>. C.P: Alvaro Namén Vargas.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D4078BE"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FA2609E8"/>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05397034">
    <w:abstractNumId w:val="0"/>
  </w:num>
  <w:num w:numId="17" w16cid:durableId="16386104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B50"/>
    <w:rsid w:val="00016F78"/>
    <w:rsid w:val="00021D4E"/>
    <w:rsid w:val="00046945"/>
    <w:rsid w:val="00061B2A"/>
    <w:rsid w:val="00082362"/>
    <w:rsid w:val="000A683E"/>
    <w:rsid w:val="000B19B9"/>
    <w:rsid w:val="000D0334"/>
    <w:rsid w:val="000D5DA7"/>
    <w:rsid w:val="000F6486"/>
    <w:rsid w:val="00116940"/>
    <w:rsid w:val="00125105"/>
    <w:rsid w:val="00127233"/>
    <w:rsid w:val="00152F52"/>
    <w:rsid w:val="0015699B"/>
    <w:rsid w:val="001A33BF"/>
    <w:rsid w:val="001E4177"/>
    <w:rsid w:val="001F0B24"/>
    <w:rsid w:val="001F7DC6"/>
    <w:rsid w:val="0022400B"/>
    <w:rsid w:val="002421BB"/>
    <w:rsid w:val="0025796E"/>
    <w:rsid w:val="00264158"/>
    <w:rsid w:val="00267067"/>
    <w:rsid w:val="002707A2"/>
    <w:rsid w:val="00287DA1"/>
    <w:rsid w:val="002951A0"/>
    <w:rsid w:val="002962BC"/>
    <w:rsid w:val="002A093D"/>
    <w:rsid w:val="002A0DD0"/>
    <w:rsid w:val="002A49AC"/>
    <w:rsid w:val="002A64FD"/>
    <w:rsid w:val="002C789B"/>
    <w:rsid w:val="002C7A84"/>
    <w:rsid w:val="002D1598"/>
    <w:rsid w:val="002E2BF8"/>
    <w:rsid w:val="002E4FD9"/>
    <w:rsid w:val="003020A6"/>
    <w:rsid w:val="00303FCC"/>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2020F"/>
    <w:rsid w:val="005566E8"/>
    <w:rsid w:val="005620D4"/>
    <w:rsid w:val="00574867"/>
    <w:rsid w:val="00591460"/>
    <w:rsid w:val="005A65E0"/>
    <w:rsid w:val="005C3777"/>
    <w:rsid w:val="005C5CDC"/>
    <w:rsid w:val="005D476C"/>
    <w:rsid w:val="00607E67"/>
    <w:rsid w:val="006200BF"/>
    <w:rsid w:val="0062095D"/>
    <w:rsid w:val="006219F8"/>
    <w:rsid w:val="006302F7"/>
    <w:rsid w:val="00646334"/>
    <w:rsid w:val="00646B9F"/>
    <w:rsid w:val="00665D70"/>
    <w:rsid w:val="00671685"/>
    <w:rsid w:val="006900D9"/>
    <w:rsid w:val="006B5F03"/>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526B1"/>
    <w:rsid w:val="00867F95"/>
    <w:rsid w:val="008843B6"/>
    <w:rsid w:val="00891928"/>
    <w:rsid w:val="008A446D"/>
    <w:rsid w:val="008B25F1"/>
    <w:rsid w:val="008D0677"/>
    <w:rsid w:val="008D180B"/>
    <w:rsid w:val="008F0EA7"/>
    <w:rsid w:val="00923EEF"/>
    <w:rsid w:val="009419F9"/>
    <w:rsid w:val="0095685E"/>
    <w:rsid w:val="00961B09"/>
    <w:rsid w:val="00965334"/>
    <w:rsid w:val="0097093E"/>
    <w:rsid w:val="009950F9"/>
    <w:rsid w:val="009A0DFA"/>
    <w:rsid w:val="009A1C6F"/>
    <w:rsid w:val="009B2D26"/>
    <w:rsid w:val="009C71FA"/>
    <w:rsid w:val="009C72E7"/>
    <w:rsid w:val="009C7F7E"/>
    <w:rsid w:val="009D0E56"/>
    <w:rsid w:val="009D3058"/>
    <w:rsid w:val="009F3A13"/>
    <w:rsid w:val="00A122D3"/>
    <w:rsid w:val="00A14468"/>
    <w:rsid w:val="00A17F13"/>
    <w:rsid w:val="00A20739"/>
    <w:rsid w:val="00A23AF9"/>
    <w:rsid w:val="00A33C78"/>
    <w:rsid w:val="00AB0ADB"/>
    <w:rsid w:val="00AE140A"/>
    <w:rsid w:val="00B00C0E"/>
    <w:rsid w:val="00B01B1A"/>
    <w:rsid w:val="00B0381D"/>
    <w:rsid w:val="00B44A47"/>
    <w:rsid w:val="00B72CD3"/>
    <w:rsid w:val="00B72FFF"/>
    <w:rsid w:val="00BC3D36"/>
    <w:rsid w:val="00BD54A6"/>
    <w:rsid w:val="00BD7F72"/>
    <w:rsid w:val="00BF2B1C"/>
    <w:rsid w:val="00BF7425"/>
    <w:rsid w:val="00C04FB3"/>
    <w:rsid w:val="00C11D8B"/>
    <w:rsid w:val="00C15139"/>
    <w:rsid w:val="00C330EB"/>
    <w:rsid w:val="00C50D69"/>
    <w:rsid w:val="00C5365C"/>
    <w:rsid w:val="00C754BE"/>
    <w:rsid w:val="00C76B1C"/>
    <w:rsid w:val="00C925AC"/>
    <w:rsid w:val="00CB6357"/>
    <w:rsid w:val="00CB747A"/>
    <w:rsid w:val="00CC1B26"/>
    <w:rsid w:val="00D361FD"/>
    <w:rsid w:val="00D423A2"/>
    <w:rsid w:val="00D44E26"/>
    <w:rsid w:val="00D520D8"/>
    <w:rsid w:val="00D56300"/>
    <w:rsid w:val="00D63AC2"/>
    <w:rsid w:val="00D7383B"/>
    <w:rsid w:val="00D7788A"/>
    <w:rsid w:val="00DA231B"/>
    <w:rsid w:val="00DB4488"/>
    <w:rsid w:val="00DC39FC"/>
    <w:rsid w:val="00DE6C3D"/>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C593C"/>
    <w:rsid w:val="00EC7180"/>
    <w:rsid w:val="00EE1AA8"/>
    <w:rsid w:val="00F23FEA"/>
    <w:rsid w:val="00F31EDC"/>
    <w:rsid w:val="00F35419"/>
    <w:rsid w:val="00F462B3"/>
    <w:rsid w:val="00F5664F"/>
    <w:rsid w:val="00F666C4"/>
    <w:rsid w:val="00F76AFC"/>
    <w:rsid w:val="00F84EE1"/>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uiPriority w:val="99"/>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2C789B"/>
    <w:rPr>
      <w:rFonts w:ascii="Geomanist Light" w:hAnsi="Geomanist Light"/>
      <w:lang w:val="es-ES"/>
    </w:rPr>
  </w:style>
  <w:style w:type="paragraph" w:customStyle="1" w:styleId="Appelnotedebasde">
    <w:name w:val="Appel note de bas de..."/>
    <w:basedOn w:val="Normal"/>
    <w:link w:val="Refdenotaalpie"/>
    <w:uiPriority w:val="99"/>
    <w:rsid w:val="002C789B"/>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istemagestiondocumental@idu.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2AE85C-81C0-4B5C-A004-FF5CC9E832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TotalTime>
  <Pages>21</Pages>
  <Words>7588</Words>
  <Characters>40829</Characters>
  <Application>Microsoft Office Word</Application>
  <DocSecurity>0</DocSecurity>
  <Lines>756</Lines>
  <Paragraphs>134</Paragraphs>
  <ScaleCrop>false</ScaleCrop>
  <Company/>
  <LinksUpToDate>false</LinksUpToDate>
  <CharactersWithSpaces>48283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9</cp:revision>
  <cp:lastPrinted>2023-01-10T21:18:00Z</cp:lastPrinted>
  <dcterms:created xsi:type="dcterms:W3CDTF">2026-01-09T20:24:00Z</dcterms:created>
  <dcterms:modified xsi:type="dcterms:W3CDTF">2026-01-27T20:10:00Z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