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1D5CB0" w14:textId="77777777" w:rsidR="001763DE" w:rsidRPr="00DA176D" w:rsidRDefault="001763DE" w:rsidP="001763DE">
      <w:pPr>
        <w:spacing w:after="0" w:line="240" w:lineRule="auto"/>
        <w:jc w:val="both"/>
        <w:rPr>
          <w:rFonts w:ascii="Verdana" w:eastAsia="Calibri" w:hAnsi="Verdana" w:cs="Arial"/>
          <w:b/>
          <w:bCs/>
          <w:kern w:val="2"/>
          <w:lang w:val="es-ES" w:eastAsia="es-ES"/>
          <w14:ligatures w14:val="standardContextual"/>
        </w:rPr>
      </w:pPr>
      <w:r w:rsidRPr="00DA176D">
        <w:rPr>
          <w:rFonts w:ascii="Verdana" w:eastAsia="Calibri" w:hAnsi="Verdana" w:cs="Arial"/>
          <w:b/>
          <w:bCs/>
          <w:kern w:val="2"/>
          <w:lang w:val="es-ES" w:eastAsia="es-ES"/>
          <w14:ligatures w14:val="standardContextual"/>
        </w:rPr>
        <w:t>EMPRESAS DE SERVICIOS PÚBLICOS DOMICILIARIOS– Régimen jurídico</w:t>
      </w:r>
    </w:p>
    <w:p w14:paraId="377992E5" w14:textId="77777777" w:rsidR="001763DE" w:rsidRPr="00DA176D" w:rsidRDefault="001763DE" w:rsidP="001763DE">
      <w:pPr>
        <w:spacing w:after="0" w:line="240" w:lineRule="auto"/>
        <w:rPr>
          <w:rFonts w:ascii="Verdana" w:eastAsia="Geomanist Light" w:hAnsi="Verdana" w:cs="Arial"/>
          <w:b/>
          <w:bCs/>
          <w:kern w:val="2"/>
          <w:sz w:val="20"/>
          <w:szCs w:val="20"/>
          <w:lang w:val="es-ES"/>
          <w14:ligatures w14:val="standardContextual"/>
        </w:rPr>
      </w:pPr>
    </w:p>
    <w:p w14:paraId="4E05358E" w14:textId="77777777" w:rsidR="001763DE" w:rsidRPr="00DA176D" w:rsidRDefault="001763DE" w:rsidP="001763DE">
      <w:pPr>
        <w:spacing w:after="0" w:line="240" w:lineRule="auto"/>
        <w:jc w:val="both"/>
        <w:rPr>
          <w:rFonts w:ascii="Verdana" w:eastAsia="Calibri" w:hAnsi="Verdana" w:cs="Arial"/>
          <w:kern w:val="2"/>
          <w:sz w:val="20"/>
          <w:szCs w:val="20"/>
          <w:lang w:val="es-ES_tradnl" w:eastAsia="es-ES_tradnl"/>
          <w14:ligatures w14:val="standardContextual"/>
        </w:rPr>
      </w:pPr>
      <w:r w:rsidRPr="00DA176D">
        <w:rPr>
          <w:rFonts w:ascii="Verdana" w:eastAsia="Arial" w:hAnsi="Verdana" w:cs="Arial"/>
          <w:kern w:val="2"/>
          <w:sz w:val="20"/>
          <w:szCs w:val="20"/>
          <w:lang w:eastAsia="es-CO"/>
          <w14:ligatures w14:val="standardContextual"/>
        </w:rPr>
        <w:t xml:space="preserve">En relación con el régimen de contratación de las empresas de servicios públicos, </w:t>
      </w:r>
      <w:r w:rsidRPr="00DA176D">
        <w:rPr>
          <w:rFonts w:ascii="Verdana" w:eastAsia="Calibri" w:hAnsi="Verdana" w:cs="Arial"/>
          <w:kern w:val="2"/>
          <w:sz w:val="20"/>
          <w:szCs w:val="20"/>
          <w:lang w:val="es-ES_tradnl" w:eastAsia="es-ES_tradnl"/>
          <w14:ligatures w14:val="standardContextual"/>
        </w:rPr>
        <w:t>el artículo 31 de la Ley 142 de 1994, modificado por el artículo 3 de la Ley 689 de 2001, dispone que</w:t>
      </w:r>
      <w:r w:rsidRPr="00DA176D">
        <w:rPr>
          <w:rFonts w:ascii="Verdana" w:eastAsia="Aptos" w:hAnsi="Verdana" w:cs="Arial"/>
          <w:kern w:val="2"/>
          <w:sz w:val="20"/>
          <w:szCs w:val="20"/>
          <w:bdr w:val="none" w:sz="0" w:space="0" w:color="auto" w:frame="1"/>
          <w14:ligatures w14:val="standardContextual"/>
        </w:rPr>
        <w:t xml:space="preserve"> los contratos que celebren las entidades estatales que prestan los servicios públicos domiciliarios </w:t>
      </w:r>
      <w:r w:rsidRPr="00DA176D">
        <w:rPr>
          <w:rFonts w:ascii="Verdana" w:eastAsia="Aptos" w:hAnsi="Verdana" w:cs="Arial"/>
          <w:i/>
          <w:kern w:val="2"/>
          <w:sz w:val="20"/>
          <w:szCs w:val="20"/>
          <w:bdr w:val="none" w:sz="0" w:space="0" w:color="auto" w:frame="1"/>
          <w14:ligatures w14:val="standardContextual"/>
        </w:rPr>
        <w:t>“no estarán sujetos a las disposiciones del Estatuto General de Contratación de la Administración Pública, salvo en lo que la presente ley disponga otra cosa”</w:t>
      </w:r>
      <w:r w:rsidRPr="00DA176D">
        <w:rPr>
          <w:rFonts w:ascii="Verdana" w:eastAsia="Calibri" w:hAnsi="Verdana" w:cs="Arial"/>
          <w:kern w:val="2"/>
          <w:sz w:val="20"/>
          <w:szCs w:val="20"/>
          <w:lang w:val="es-ES_tradnl" w:eastAsia="es-ES_tradnl"/>
          <w14:ligatures w14:val="standardContextual"/>
        </w:rPr>
        <w:t>. Por su parte, el artículo 32 de la Ley 142 consagra el régimen de derecho privado para las empresas de servicios públicos domiciliarios, indicando que sus actos se rigen por los principios y reglas aplicables a los particulares.</w:t>
      </w:r>
    </w:p>
    <w:p w14:paraId="38E464AC" w14:textId="77777777" w:rsidR="001763DE" w:rsidRPr="00DA176D" w:rsidRDefault="001763DE" w:rsidP="001763DE">
      <w:pPr>
        <w:spacing w:after="0" w:line="240" w:lineRule="auto"/>
        <w:jc w:val="both"/>
        <w:rPr>
          <w:rFonts w:ascii="Verdana" w:eastAsia="Calibri" w:hAnsi="Verdana" w:cs="Arial"/>
          <w:kern w:val="2"/>
          <w:sz w:val="20"/>
          <w:szCs w:val="20"/>
          <w:lang w:val="es-ES"/>
          <w14:ligatures w14:val="standardContextual"/>
        </w:rPr>
      </w:pPr>
    </w:p>
    <w:p w14:paraId="2CF6FD64" w14:textId="77777777" w:rsidR="001763DE" w:rsidRPr="00DA176D" w:rsidRDefault="001763DE" w:rsidP="001763DE">
      <w:pPr>
        <w:spacing w:after="0" w:line="240" w:lineRule="auto"/>
        <w:jc w:val="both"/>
        <w:rPr>
          <w:rFonts w:ascii="Verdana" w:eastAsia="Calibri" w:hAnsi="Verdana" w:cs="Arial"/>
          <w:kern w:val="2"/>
          <w:sz w:val="20"/>
          <w:szCs w:val="20"/>
          <w:lang w:val="es-ES" w:eastAsia="es-ES"/>
          <w14:ligatures w14:val="standardContextual"/>
        </w:rPr>
      </w:pPr>
      <w:r w:rsidRPr="00DA176D">
        <w:rPr>
          <w:rFonts w:ascii="Verdana" w:eastAsia="Times New Roman" w:hAnsi="Verdana" w:cs="Arial"/>
          <w:kern w:val="2"/>
          <w:sz w:val="20"/>
          <w:szCs w:val="20"/>
          <w:lang w:val="es-ES_tradnl" w:eastAsia="es-ES_tradnl"/>
          <w14:ligatures w14:val="standardContextual"/>
        </w:rPr>
        <w:t xml:space="preserve">Así, en la actividad contractual las empresas de servicios públicos se sujetan a las disposiciones del derecho privado, salvo en aquellos casos en que la normativa (Constitución Política, Ley 142 de 1994 u otras normas especiales) someta dicha actuación al </w:t>
      </w:r>
      <w:r w:rsidRPr="00DA176D">
        <w:rPr>
          <w:rFonts w:ascii="Verdana" w:eastAsia="Calibri" w:hAnsi="Verdana" w:cs="Arial"/>
          <w:kern w:val="2"/>
          <w:sz w:val="20"/>
          <w:szCs w:val="20"/>
          <w:lang w:val="es-ES" w:eastAsia="es-ES"/>
          <w14:ligatures w14:val="standardContextual"/>
        </w:rPr>
        <w:t>al Estatuto General de Contratación de la Administración Pública.</w:t>
      </w:r>
    </w:p>
    <w:p w14:paraId="1A63B62E" w14:textId="77777777" w:rsidR="001763DE" w:rsidRPr="00DA176D" w:rsidRDefault="001763DE" w:rsidP="001763DE">
      <w:pPr>
        <w:spacing w:after="0"/>
        <w:rPr>
          <w:rFonts w:ascii="Verdana" w:eastAsia="Calibri" w:hAnsi="Verdana" w:cs="Arial"/>
          <w:b/>
          <w:bCs/>
          <w:color w:val="EE0000"/>
          <w:lang w:val="es-ES"/>
        </w:rPr>
      </w:pPr>
    </w:p>
    <w:p w14:paraId="7E50B5CF" w14:textId="77777777" w:rsidR="001763DE" w:rsidRPr="00DA176D" w:rsidRDefault="001763DE" w:rsidP="001763DE">
      <w:pPr>
        <w:spacing w:after="0" w:line="240" w:lineRule="auto"/>
        <w:rPr>
          <w:rFonts w:ascii="Verdana" w:hAnsi="Verdana"/>
          <w:b/>
        </w:rPr>
      </w:pPr>
      <w:r w:rsidRPr="00DA176D">
        <w:rPr>
          <w:rFonts w:ascii="Verdana" w:hAnsi="Verdana"/>
          <w:b/>
        </w:rPr>
        <w:t xml:space="preserve">EMPRESAS DE SERVICIOS PÚBLICOS – Naturaleza – régimen especial </w:t>
      </w:r>
    </w:p>
    <w:p w14:paraId="795BC1C1" w14:textId="77777777" w:rsidR="001763DE" w:rsidRPr="00DA176D" w:rsidRDefault="001763DE" w:rsidP="001763DE">
      <w:pPr>
        <w:spacing w:after="0" w:line="240" w:lineRule="auto"/>
        <w:rPr>
          <w:rFonts w:ascii="Verdana" w:hAnsi="Verdana"/>
        </w:rPr>
      </w:pPr>
    </w:p>
    <w:p w14:paraId="5024F72F" w14:textId="77777777" w:rsidR="001763DE" w:rsidRPr="00DA176D" w:rsidRDefault="001763DE" w:rsidP="001763DE">
      <w:pPr>
        <w:spacing w:after="0" w:line="240" w:lineRule="auto"/>
        <w:jc w:val="both"/>
        <w:rPr>
          <w:rFonts w:ascii="Verdana" w:hAnsi="Verdana"/>
          <w:bCs/>
          <w:sz w:val="20"/>
          <w:lang w:val="es-ES_tradnl"/>
        </w:rPr>
      </w:pPr>
      <w:r w:rsidRPr="00DA176D">
        <w:rPr>
          <w:rFonts w:ascii="Verdana" w:hAnsi="Verdana"/>
          <w:bCs/>
          <w:sz w:val="20"/>
          <w:lang w:val="es-ES_tradnl"/>
        </w:rPr>
        <w:t xml:space="preserve">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 En otras palabras, aunque el artículo 14 de la Ley 142 de 1994 establece que las empresas prestadoras de servicios públicos domiciliarios pueden ser </w:t>
      </w:r>
      <w:r w:rsidRPr="00DA176D">
        <w:rPr>
          <w:rFonts w:ascii="Verdana" w:hAnsi="Verdana"/>
          <w:bCs/>
          <w:i/>
          <w:iCs/>
          <w:sz w:val="20"/>
          <w:lang w:val="es-ES_tradnl"/>
        </w:rPr>
        <w:t>oficiales</w:t>
      </w:r>
      <w:r w:rsidRPr="00DA176D">
        <w:rPr>
          <w:rFonts w:ascii="Verdana" w:hAnsi="Verdana"/>
          <w:bCs/>
          <w:sz w:val="20"/>
          <w:lang w:val="es-ES_tradnl"/>
        </w:rPr>
        <w:t xml:space="preserve">, </w:t>
      </w:r>
      <w:r w:rsidRPr="00DA176D">
        <w:rPr>
          <w:rFonts w:ascii="Verdana" w:hAnsi="Verdana"/>
          <w:bCs/>
          <w:i/>
          <w:iCs/>
          <w:sz w:val="20"/>
          <w:lang w:val="es-ES_tradnl"/>
        </w:rPr>
        <w:t>mixtas</w:t>
      </w:r>
      <w:r w:rsidRPr="00DA176D">
        <w:rPr>
          <w:rFonts w:ascii="Verdana" w:hAnsi="Verdana"/>
          <w:bCs/>
          <w:sz w:val="20"/>
          <w:lang w:val="es-ES_tradnl"/>
        </w:rPr>
        <w:t xml:space="preserve"> o </w:t>
      </w:r>
      <w:r w:rsidRPr="00DA176D">
        <w:rPr>
          <w:rFonts w:ascii="Verdana" w:hAnsi="Verdana"/>
          <w:bCs/>
          <w:i/>
          <w:iCs/>
          <w:sz w:val="20"/>
          <w:lang w:val="es-ES_tradnl"/>
        </w:rPr>
        <w:t>privadas</w:t>
      </w:r>
      <w:r w:rsidRPr="00DA176D">
        <w:rPr>
          <w:rFonts w:ascii="Verdana" w:hAnsi="Verdana"/>
          <w:bCs/>
          <w:sz w:val="20"/>
          <w:lang w:val="es-ES_tradnl"/>
        </w:rPr>
        <w:t xml:space="preserve">, estas tres especies ingresan en la categoría de las </w:t>
      </w:r>
      <w:r w:rsidRPr="00DA176D">
        <w:rPr>
          <w:rFonts w:ascii="Verdana" w:hAnsi="Verdana"/>
          <w:bCs/>
          <w:i/>
          <w:iCs/>
          <w:sz w:val="20"/>
          <w:lang w:val="es-ES_tradnl"/>
        </w:rPr>
        <w:t>entidades descentralizadas por servicios</w:t>
      </w:r>
      <w:r w:rsidRPr="00DA176D">
        <w:rPr>
          <w:rFonts w:ascii="Verdana" w:hAnsi="Verdana"/>
          <w:bCs/>
          <w:sz w:val="20"/>
          <w:lang w:val="es-ES_tradnl"/>
        </w:rPr>
        <w:t xml:space="preserve">, es decir, hacen parte de la Rama Ejecutiva del Orden Público.  </w:t>
      </w:r>
    </w:p>
    <w:p w14:paraId="352B9978" w14:textId="77777777" w:rsidR="001763DE" w:rsidRPr="00DA176D" w:rsidRDefault="001763DE" w:rsidP="001763DE">
      <w:pPr>
        <w:spacing w:after="0" w:line="240" w:lineRule="auto"/>
        <w:rPr>
          <w:rFonts w:ascii="Verdana" w:hAnsi="Verdana"/>
          <w:b/>
          <w:lang w:val="es-ES_tradnl"/>
        </w:rPr>
      </w:pPr>
    </w:p>
    <w:p w14:paraId="64AB70CD" w14:textId="77777777" w:rsidR="001763DE" w:rsidRPr="00DA176D" w:rsidRDefault="001763DE" w:rsidP="001763DE">
      <w:pPr>
        <w:spacing w:after="0" w:line="240" w:lineRule="auto"/>
        <w:jc w:val="both"/>
        <w:rPr>
          <w:rFonts w:ascii="Verdana" w:hAnsi="Verdana"/>
          <w:b/>
        </w:rPr>
      </w:pPr>
      <w:r w:rsidRPr="00DA176D">
        <w:rPr>
          <w:rFonts w:ascii="Verdana" w:hAnsi="Verdana"/>
          <w:b/>
        </w:rPr>
        <w:t xml:space="preserve">EMPRESAS DE SERVICIOS PÚBLICOS – Mixtas – Privadas con participación estatal </w:t>
      </w:r>
    </w:p>
    <w:p w14:paraId="20134B01" w14:textId="77777777" w:rsidR="001763DE" w:rsidRPr="00DA176D" w:rsidRDefault="001763DE" w:rsidP="001763DE">
      <w:pPr>
        <w:spacing w:after="0" w:line="240" w:lineRule="auto"/>
        <w:rPr>
          <w:rFonts w:ascii="Verdana" w:hAnsi="Verdana"/>
        </w:rPr>
      </w:pPr>
    </w:p>
    <w:p w14:paraId="1F3139BC" w14:textId="77777777" w:rsidR="001763DE" w:rsidRPr="00DA176D" w:rsidRDefault="001763DE" w:rsidP="001763DE">
      <w:pPr>
        <w:spacing w:after="0" w:line="240" w:lineRule="auto"/>
        <w:jc w:val="both"/>
        <w:rPr>
          <w:rFonts w:ascii="Verdana" w:hAnsi="Verdana"/>
          <w:sz w:val="20"/>
          <w:lang w:val="es-ES"/>
        </w:rPr>
      </w:pPr>
      <w:r w:rsidRPr="00DA176D">
        <w:rPr>
          <w:rFonts w:ascii="Verdana" w:hAnsi="Verdana"/>
          <w:bCs/>
          <w:sz w:val="20"/>
          <w:lang w:val="es-ES_tradnl"/>
        </w:rPr>
        <w:t xml:space="preserve">Al respecto, debe recordarse que en dicha Sentencia el alto tribunal afirmó que las empresas prestadoras de servicios públicos domiciliarios </w:t>
      </w:r>
      <w:r w:rsidRPr="00DA176D">
        <w:rPr>
          <w:rFonts w:ascii="Verdana" w:hAnsi="Verdana"/>
          <w:bCs/>
          <w:i/>
          <w:iCs/>
          <w:sz w:val="20"/>
          <w:lang w:val="es-ES_tradnl"/>
        </w:rPr>
        <w:t>mixtas y privadas</w:t>
      </w:r>
      <w:r w:rsidRPr="00DA176D">
        <w:rPr>
          <w:rFonts w:ascii="Verdana" w:hAnsi="Verdana"/>
          <w:bCs/>
          <w:sz w:val="20"/>
          <w:lang w:val="es-ES_tradnl"/>
        </w:rPr>
        <w:t xml:space="preserve"> con aportes estatales son tipos </w:t>
      </w:r>
      <w:r w:rsidRPr="00DA176D">
        <w:rPr>
          <w:rFonts w:ascii="Verdana" w:hAnsi="Verdana"/>
          <w:bCs/>
          <w:i/>
          <w:iCs/>
          <w:sz w:val="20"/>
          <w:lang w:val="es-ES_tradnl"/>
        </w:rPr>
        <w:t>especiales</w:t>
      </w:r>
      <w:r w:rsidRPr="00DA176D">
        <w:rPr>
          <w:rFonts w:ascii="Verdana" w:hAnsi="Verdana"/>
          <w:bCs/>
          <w:sz w:val="20"/>
          <w:lang w:val="es-ES_tradnl"/>
        </w:rPr>
        <w:t xml:space="preserve"> de entidades descentralizadas por servicios que, por tanto, no pueden enmarcarse en las otras especies de entidades descentralizadas por servicios enlistadas en el artículo 38 de la Ley 489 de 1998, es decir, que no cabe considerarlas, verbigracia, dentro de las sociedades públicas ni en las sociedades de economía mixta. </w:t>
      </w:r>
    </w:p>
    <w:p w14:paraId="3E80A901" w14:textId="77777777" w:rsidR="001763DE" w:rsidRPr="00DA176D" w:rsidRDefault="001763DE" w:rsidP="001763DE">
      <w:pPr>
        <w:spacing w:after="0" w:line="240" w:lineRule="auto"/>
        <w:jc w:val="both"/>
        <w:rPr>
          <w:rFonts w:ascii="Verdana" w:hAnsi="Verdana"/>
          <w:sz w:val="20"/>
          <w:lang w:val="es-ES"/>
        </w:rPr>
      </w:pPr>
    </w:p>
    <w:p w14:paraId="68E05EAE" w14:textId="77777777" w:rsidR="001763DE" w:rsidRDefault="001763DE" w:rsidP="001763DE">
      <w:pPr>
        <w:spacing w:after="0" w:line="240" w:lineRule="auto"/>
        <w:jc w:val="both"/>
        <w:rPr>
          <w:rFonts w:ascii="Verdana" w:hAnsi="Verdana"/>
          <w:sz w:val="20"/>
          <w:lang w:val="es-ES"/>
        </w:rPr>
      </w:pPr>
      <w:r w:rsidRPr="00DA176D">
        <w:rPr>
          <w:rFonts w:ascii="Verdana" w:hAnsi="Verdana"/>
          <w:sz w:val="20"/>
          <w:lang w:val="es-ES"/>
        </w:rPr>
        <w:t>Lo expuesto, permite resaltar la flexibilidad constitucional al legislador colombiano de incorporar empresas de servicios públicos —ya sean públicas, mixtas o privadas con participación estatal— dentro de la estructura de la Rama Ejecutiva. Esta posibilidad se justifica en el numeral 7° del artículo 150 de la Constitución, que otorga la competencia al Congreso la facultad de organizar la administración nacional. De esta manera, no es necesario que la empresa sea completamente pública para que pueda considerarse parte del Estado.</w:t>
      </w:r>
    </w:p>
    <w:p w14:paraId="1E8741B0" w14:textId="5F4AABE2" w:rsidR="00945B48" w:rsidRPr="00D97C1D" w:rsidRDefault="00945B48" w:rsidP="00D97C1D">
      <w:pPr>
        <w:spacing w:after="0" w:line="240" w:lineRule="auto"/>
        <w:jc w:val="both"/>
        <w:rPr>
          <w:rFonts w:ascii="Verdana" w:hAnsi="Verdana"/>
          <w:sz w:val="20"/>
          <w:lang w:val="es-ES"/>
        </w:rPr>
      </w:pPr>
      <w:r w:rsidRPr="005F0471">
        <w:rPr>
          <w:rFonts w:ascii="Verdana" w:hAnsi="Verdana"/>
        </w:rPr>
        <w:lastRenderedPageBreak/>
        <w:t xml:space="preserve">Bogotá D.C., </w:t>
      </w:r>
      <w:r w:rsidR="0091284D">
        <w:rPr>
          <w:rFonts w:ascii="Verdana" w:hAnsi="Verdana"/>
        </w:rPr>
        <w:t xml:space="preserve">15 </w:t>
      </w:r>
      <w:proofErr w:type="gramStart"/>
      <w:r w:rsidR="0091284D">
        <w:rPr>
          <w:rFonts w:ascii="Verdana" w:hAnsi="Verdana"/>
        </w:rPr>
        <w:t>Enero</w:t>
      </w:r>
      <w:proofErr w:type="gramEnd"/>
      <w:r w:rsidR="0091284D">
        <w:rPr>
          <w:rFonts w:ascii="Verdana" w:hAnsi="Verdana"/>
        </w:rPr>
        <w:t xml:space="preserve"> 2026</w:t>
      </w:r>
      <w:r w:rsidR="00913AA9" w:rsidRPr="00913AA9">
        <w:rPr>
          <w:noProof/>
        </w:rPr>
        <w:t xml:space="preserve"> </w:t>
      </w:r>
    </w:p>
    <w:p w14:paraId="45EFC8D7" w14:textId="0B6340EA" w:rsidR="00945B48" w:rsidRPr="005F0471" w:rsidRDefault="00945B48" w:rsidP="00945B48">
      <w:pPr>
        <w:spacing w:after="0"/>
        <w:rPr>
          <w:rFonts w:ascii="Verdana" w:hAnsi="Verdana"/>
          <w:lang w:val="es-ES"/>
        </w:rPr>
      </w:pPr>
    </w:p>
    <w:p w14:paraId="1AF8BA06" w14:textId="79BDF69E" w:rsidR="00945B48" w:rsidRPr="005F0471" w:rsidRDefault="00913AA9" w:rsidP="00945B48">
      <w:pPr>
        <w:spacing w:after="0" w:line="240" w:lineRule="auto"/>
        <w:rPr>
          <w:rFonts w:ascii="Verdana" w:hAnsi="Verdana"/>
          <w:lang w:val="es-ES"/>
        </w:rPr>
      </w:pPr>
      <w:bookmarkStart w:id="0" w:name="_Hlk143780582"/>
      <w:r w:rsidRPr="00913AA9">
        <w:rPr>
          <w:rFonts w:ascii="Verdana" w:hAnsi="Verdana"/>
          <w:noProof/>
        </w:rPr>
        <w:drawing>
          <wp:anchor distT="0" distB="0" distL="114300" distR="114300" simplePos="0" relativeHeight="251659264" behindDoc="1" locked="0" layoutInCell="1" allowOverlap="1" wp14:anchorId="295F59AE" wp14:editId="5066FCDB">
            <wp:simplePos x="0" y="0"/>
            <wp:positionH relativeFrom="column">
              <wp:posOffset>3391535</wp:posOffset>
            </wp:positionH>
            <wp:positionV relativeFrom="paragraph">
              <wp:posOffset>13970</wp:posOffset>
            </wp:positionV>
            <wp:extent cx="2376719" cy="702945"/>
            <wp:effectExtent l="0" t="0" r="5080" b="1905"/>
            <wp:wrapNone/>
            <wp:docPr id="173639895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398953"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376719" cy="702945"/>
                    </a:xfrm>
                    <a:prstGeom prst="rect">
                      <a:avLst/>
                    </a:prstGeom>
                  </pic:spPr>
                </pic:pic>
              </a:graphicData>
            </a:graphic>
            <wp14:sizeRelH relativeFrom="margin">
              <wp14:pctWidth>0</wp14:pctWidth>
            </wp14:sizeRelH>
            <wp14:sizeRelV relativeFrom="margin">
              <wp14:pctHeight>0</wp14:pctHeight>
            </wp14:sizeRelV>
          </wp:anchor>
        </w:drawing>
      </w:r>
      <w:r w:rsidR="00945B48" w:rsidRPr="005F0471">
        <w:rPr>
          <w:rFonts w:ascii="Verdana" w:eastAsia="Calibri" w:hAnsi="Verdana" w:cs="Arial"/>
          <w:lang w:val="es-ES" w:eastAsia="es-ES"/>
        </w:rPr>
        <w:t>Señor</w:t>
      </w:r>
    </w:p>
    <w:p w14:paraId="53052A75" w14:textId="77777777" w:rsidR="00945B48" w:rsidRPr="005F0471" w:rsidRDefault="00945B48" w:rsidP="00945B48">
      <w:pPr>
        <w:spacing w:after="0"/>
        <w:rPr>
          <w:rFonts w:ascii="Verdana" w:eastAsia="Calibri" w:hAnsi="Verdana" w:cs="Arial"/>
          <w:b/>
          <w:bCs/>
          <w:lang w:val="es-ES" w:eastAsia="es-ES"/>
        </w:rPr>
      </w:pPr>
      <w:r w:rsidRPr="005F0471">
        <w:rPr>
          <w:rFonts w:ascii="Verdana" w:eastAsia="Calibri" w:hAnsi="Verdana" w:cs="Arial"/>
          <w:b/>
          <w:bCs/>
          <w:lang w:val="es-ES" w:eastAsia="es-ES"/>
        </w:rPr>
        <w:t>Andrés Felipe Paternina</w:t>
      </w:r>
    </w:p>
    <w:p w14:paraId="083A9FC7" w14:textId="77777777" w:rsidR="00945B48" w:rsidRPr="00BC4191" w:rsidRDefault="00945B48" w:rsidP="00945B48">
      <w:pPr>
        <w:spacing w:after="0"/>
        <w:rPr>
          <w:rStyle w:val="Hipervnculo"/>
          <w:rFonts w:ascii="Verdana" w:hAnsi="Verdana"/>
          <w:color w:val="EE0000"/>
        </w:rPr>
      </w:pPr>
      <w:hyperlink r:id="rId12" w:history="1">
        <w:r w:rsidRPr="00FA4CFD">
          <w:rPr>
            <w:rStyle w:val="Hipervnculo"/>
            <w:rFonts w:ascii="Verdana" w:hAnsi="Verdana"/>
          </w:rPr>
          <w:t>andres.paternina01@correo.usa.edu.co</w:t>
        </w:r>
      </w:hyperlink>
      <w:r>
        <w:rPr>
          <w:rStyle w:val="Hipervnculo"/>
          <w:rFonts w:ascii="Verdana" w:hAnsi="Verdana"/>
          <w:color w:val="EE0000"/>
        </w:rPr>
        <w:t xml:space="preserve"> </w:t>
      </w:r>
    </w:p>
    <w:p w14:paraId="4C103D87" w14:textId="77777777" w:rsidR="00945B48" w:rsidRPr="006821F2" w:rsidRDefault="00945B48" w:rsidP="00945B48">
      <w:pPr>
        <w:spacing w:after="0"/>
        <w:rPr>
          <w:rFonts w:ascii="Verdana" w:eastAsia="Calibri" w:hAnsi="Verdana" w:cs="Arial"/>
          <w:lang w:val="es-ES" w:eastAsia="es-ES"/>
        </w:rPr>
      </w:pPr>
      <w:r w:rsidRPr="006821F2">
        <w:rPr>
          <w:rFonts w:ascii="Verdana" w:eastAsia="Calibri" w:hAnsi="Verdana" w:cs="Arial"/>
          <w:lang w:val="es-ES" w:eastAsia="es-ES"/>
        </w:rPr>
        <w:t xml:space="preserve">Sincelejo, Sucre </w:t>
      </w:r>
    </w:p>
    <w:p w14:paraId="261552A4" w14:textId="77777777" w:rsidR="00945B48" w:rsidRPr="00BC4191" w:rsidRDefault="00945B48" w:rsidP="00945B48">
      <w:pPr>
        <w:spacing w:after="0"/>
        <w:rPr>
          <w:rFonts w:ascii="Verdana" w:eastAsia="Calibri" w:hAnsi="Verdana" w:cs="Arial"/>
          <w:color w:val="EE0000"/>
          <w:lang w:val="es-ES" w:eastAsia="es-ES"/>
        </w:rPr>
      </w:pPr>
    </w:p>
    <w:p w14:paraId="1B1014F4" w14:textId="77777777" w:rsidR="00945B48" w:rsidRPr="00BC4191" w:rsidRDefault="00945B48" w:rsidP="00945B48">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945B48" w:rsidRPr="00BC4191" w14:paraId="00BA9C52" w14:textId="77777777" w:rsidTr="007E7A3C">
        <w:trPr>
          <w:trHeight w:val="300"/>
        </w:trPr>
        <w:tc>
          <w:tcPr>
            <w:tcW w:w="2410" w:type="dxa"/>
          </w:tcPr>
          <w:p w14:paraId="53009108" w14:textId="77777777" w:rsidR="00945B48" w:rsidRPr="0015727F" w:rsidRDefault="00945B48" w:rsidP="007E7A3C">
            <w:pPr>
              <w:ind w:left="-142"/>
              <w:jc w:val="both"/>
              <w:rPr>
                <w:rFonts w:ascii="Verdana" w:eastAsia="Calibri" w:hAnsi="Verdana" w:cs="Arial"/>
                <w:b/>
                <w:bCs/>
                <w:lang w:val="es-ES" w:eastAsia="es-ES_tradnl"/>
              </w:rPr>
            </w:pPr>
          </w:p>
        </w:tc>
        <w:tc>
          <w:tcPr>
            <w:tcW w:w="6100" w:type="dxa"/>
          </w:tcPr>
          <w:p w14:paraId="57C8C92E" w14:textId="77777777" w:rsidR="00945B48" w:rsidRPr="0015727F" w:rsidRDefault="00945B48" w:rsidP="007E7A3C">
            <w:pPr>
              <w:ind w:left="3"/>
              <w:jc w:val="both"/>
              <w:rPr>
                <w:rFonts w:ascii="Verdana" w:eastAsia="Calibri" w:hAnsi="Verdana" w:cs="Arial"/>
                <w:b/>
                <w:bCs/>
                <w:lang w:val="es-ES" w:eastAsia="es-ES"/>
              </w:rPr>
            </w:pPr>
            <w:r w:rsidRPr="0015727F">
              <w:rPr>
                <w:rFonts w:ascii="Verdana" w:eastAsia="Calibri" w:hAnsi="Verdana" w:cs="Arial"/>
                <w:b/>
                <w:bCs/>
                <w:lang w:val="es-ES" w:eastAsia="es-ES"/>
              </w:rPr>
              <w:t>Concepto C-1584 de 2025</w:t>
            </w:r>
          </w:p>
          <w:p w14:paraId="4CDACB6B" w14:textId="77777777" w:rsidR="00945B48" w:rsidRPr="0015727F" w:rsidRDefault="00945B48" w:rsidP="007E7A3C">
            <w:pPr>
              <w:ind w:left="3"/>
              <w:jc w:val="both"/>
              <w:rPr>
                <w:rFonts w:ascii="Verdana" w:eastAsia="Calibri" w:hAnsi="Verdana" w:cs="Arial"/>
                <w:b/>
                <w:bCs/>
                <w:lang w:val="es-ES" w:eastAsia="es-ES"/>
              </w:rPr>
            </w:pPr>
          </w:p>
        </w:tc>
      </w:tr>
      <w:tr w:rsidR="00945B48" w:rsidRPr="00BC4191" w14:paraId="15FF37D4" w14:textId="77777777" w:rsidTr="007E7A3C">
        <w:trPr>
          <w:trHeight w:val="300"/>
        </w:trPr>
        <w:tc>
          <w:tcPr>
            <w:tcW w:w="2410" w:type="dxa"/>
          </w:tcPr>
          <w:p w14:paraId="120B9E1B" w14:textId="77777777" w:rsidR="00945B48" w:rsidRPr="00BC4191" w:rsidRDefault="00945B48" w:rsidP="007E7A3C">
            <w:pPr>
              <w:ind w:left="424" w:firstLine="142"/>
              <w:jc w:val="both"/>
              <w:rPr>
                <w:rFonts w:ascii="Verdana" w:eastAsia="Calibri" w:hAnsi="Verdana" w:cs="Arial"/>
                <w:color w:val="EE0000"/>
                <w:lang w:val="es-ES" w:eastAsia="es-ES_tradnl"/>
              </w:rPr>
            </w:pPr>
            <w:r w:rsidRPr="00CC4FF4">
              <w:rPr>
                <w:rFonts w:ascii="Verdana" w:eastAsia="Calibri" w:hAnsi="Verdana" w:cs="Arial"/>
                <w:b/>
                <w:lang w:val="es-ES" w:eastAsia="es-ES_tradnl"/>
              </w:rPr>
              <w:t>Temas:</w:t>
            </w:r>
            <w:r w:rsidRPr="00CC4FF4">
              <w:rPr>
                <w:rFonts w:ascii="Verdana" w:eastAsia="Calibri" w:hAnsi="Verdana" w:cs="Arial"/>
                <w:lang w:val="es-ES" w:eastAsia="es-ES_tradnl"/>
              </w:rPr>
              <w:t xml:space="preserve">                  </w:t>
            </w:r>
          </w:p>
        </w:tc>
        <w:tc>
          <w:tcPr>
            <w:tcW w:w="6100" w:type="dxa"/>
          </w:tcPr>
          <w:p w14:paraId="62BD1AA5" w14:textId="77777777" w:rsidR="00945B48" w:rsidRPr="00DA176D" w:rsidRDefault="00945B48" w:rsidP="007E7A3C">
            <w:pPr>
              <w:tabs>
                <w:tab w:val="left" w:pos="3374"/>
              </w:tabs>
              <w:jc w:val="both"/>
              <w:rPr>
                <w:rFonts w:ascii="Verdana" w:eastAsia="Calibri" w:hAnsi="Verdana" w:cs="Arial"/>
              </w:rPr>
            </w:pPr>
            <w:r w:rsidRPr="00DA176D">
              <w:rPr>
                <w:rFonts w:ascii="Verdana" w:eastAsia="Calibri" w:hAnsi="Verdana" w:cs="Arial"/>
              </w:rPr>
              <w:t>EMPRESAS DE SERVICIOS PÚBLICOS DOMICILIARIOS– Régimen jurídico / EMPRESAS DE SERVICIOS PÚBLICOS – Naturaleza – régimen especial / EMPRESAS DE SERVICIOS PÚBLICOS – Mixtas – Privadas con participación estatal</w:t>
            </w:r>
          </w:p>
          <w:p w14:paraId="0BB41110" w14:textId="77777777" w:rsidR="00945B48" w:rsidRPr="00BC4191" w:rsidRDefault="00945B48" w:rsidP="007E7A3C">
            <w:pPr>
              <w:tabs>
                <w:tab w:val="left" w:pos="3374"/>
              </w:tabs>
              <w:jc w:val="both"/>
              <w:rPr>
                <w:rFonts w:ascii="Verdana" w:eastAsia="Calibri" w:hAnsi="Verdana" w:cs="Arial"/>
                <w:color w:val="EE0000"/>
              </w:rPr>
            </w:pPr>
          </w:p>
        </w:tc>
      </w:tr>
      <w:tr w:rsidR="00945B48" w:rsidRPr="00BC4191" w14:paraId="1D88F3EA" w14:textId="77777777" w:rsidTr="007E7A3C">
        <w:tc>
          <w:tcPr>
            <w:tcW w:w="2410" w:type="dxa"/>
          </w:tcPr>
          <w:p w14:paraId="7B0D8F83" w14:textId="77777777" w:rsidR="00945B48" w:rsidRPr="0015727F" w:rsidRDefault="00945B48" w:rsidP="007E7A3C">
            <w:pPr>
              <w:ind w:left="561"/>
              <w:jc w:val="both"/>
              <w:rPr>
                <w:rFonts w:ascii="Verdana" w:eastAsia="Calibri" w:hAnsi="Verdana" w:cs="Arial"/>
                <w:b/>
                <w:lang w:val="es-ES" w:eastAsia="es-ES_tradnl"/>
              </w:rPr>
            </w:pPr>
            <w:r w:rsidRPr="0015727F">
              <w:rPr>
                <w:rFonts w:ascii="Verdana" w:eastAsia="Calibri" w:hAnsi="Verdana" w:cs="Arial"/>
                <w:b/>
                <w:lang w:val="es-ES" w:eastAsia="es-ES_tradnl"/>
              </w:rPr>
              <w:t>Radicación:</w:t>
            </w:r>
            <w:r w:rsidRPr="0015727F">
              <w:rPr>
                <w:rFonts w:ascii="Verdana" w:eastAsia="Calibri" w:hAnsi="Verdana" w:cs="Arial"/>
                <w:lang w:val="es-ES" w:eastAsia="es-ES_tradnl"/>
              </w:rPr>
              <w:t xml:space="preserve">              </w:t>
            </w:r>
          </w:p>
        </w:tc>
        <w:tc>
          <w:tcPr>
            <w:tcW w:w="6100" w:type="dxa"/>
          </w:tcPr>
          <w:p w14:paraId="52478A14" w14:textId="77777777" w:rsidR="00945B48" w:rsidRPr="0015727F" w:rsidRDefault="00945B48" w:rsidP="007E7A3C">
            <w:pPr>
              <w:ind w:left="3"/>
              <w:jc w:val="both"/>
              <w:rPr>
                <w:rFonts w:ascii="Verdana" w:hAnsi="Verdana"/>
                <w:lang w:val="es-ES"/>
              </w:rPr>
            </w:pPr>
            <w:r w:rsidRPr="0015727F">
              <w:rPr>
                <w:rFonts w:ascii="Verdana" w:eastAsia="Calibri" w:hAnsi="Verdana" w:cs="Arial"/>
                <w:lang w:val="es-ES" w:eastAsia="es-ES"/>
              </w:rPr>
              <w:t>Respuesta a consulta con radicado No.</w:t>
            </w:r>
            <w:r>
              <w:rPr>
                <w:rFonts w:ascii="Verdana" w:eastAsia="Calibri" w:hAnsi="Verdana" w:cs="Arial"/>
                <w:lang w:val="es-ES" w:eastAsia="es-ES"/>
              </w:rPr>
              <w:t xml:space="preserve"> </w:t>
            </w:r>
            <w:r w:rsidRPr="000B7FCB">
              <w:rPr>
                <w:rFonts w:ascii="Verdana" w:eastAsia="Calibri" w:hAnsi="Verdana" w:cs="Arial"/>
                <w:lang w:val="es-ES" w:eastAsia="es-ES"/>
              </w:rPr>
              <w:t>1_2025_12_05_013750</w:t>
            </w:r>
          </w:p>
        </w:tc>
      </w:tr>
    </w:tbl>
    <w:p w14:paraId="2A0218E6" w14:textId="77777777" w:rsidR="00945B48" w:rsidRPr="00BC4191" w:rsidRDefault="00945B48" w:rsidP="00945B48">
      <w:pPr>
        <w:spacing w:after="0" w:line="276" w:lineRule="auto"/>
        <w:jc w:val="both"/>
        <w:rPr>
          <w:rFonts w:ascii="Verdana" w:eastAsia="Calibri" w:hAnsi="Verdana" w:cs="Arial"/>
          <w:color w:val="EE0000"/>
          <w:lang w:val="es-ES" w:eastAsia="es-ES"/>
        </w:rPr>
      </w:pPr>
    </w:p>
    <w:p w14:paraId="2D81EE92" w14:textId="77777777" w:rsidR="00945B48" w:rsidRPr="00BC4191" w:rsidRDefault="00945B48" w:rsidP="00945B48">
      <w:pPr>
        <w:spacing w:after="0" w:line="276" w:lineRule="auto"/>
        <w:jc w:val="both"/>
        <w:rPr>
          <w:rFonts w:ascii="Verdana" w:eastAsia="Calibri" w:hAnsi="Verdana" w:cs="Arial"/>
          <w:color w:val="EE0000"/>
          <w:lang w:val="es-ES" w:eastAsia="es-ES"/>
        </w:rPr>
      </w:pPr>
    </w:p>
    <w:p w14:paraId="6CAA27A9" w14:textId="77777777" w:rsidR="00945B48" w:rsidRPr="00CC4FF4" w:rsidRDefault="00945B48" w:rsidP="00945B48">
      <w:pPr>
        <w:spacing w:after="0" w:line="276" w:lineRule="auto"/>
        <w:jc w:val="both"/>
        <w:rPr>
          <w:rFonts w:ascii="Verdana" w:eastAsia="Calibri" w:hAnsi="Verdana" w:cs="Arial"/>
          <w:lang w:val="es-ES" w:eastAsia="es-ES"/>
        </w:rPr>
      </w:pPr>
      <w:r w:rsidRPr="00CC4FF4">
        <w:rPr>
          <w:rFonts w:ascii="Verdana" w:eastAsia="Calibri" w:hAnsi="Verdana" w:cs="Arial"/>
          <w:lang w:val="es-ES" w:eastAsia="es-ES"/>
        </w:rPr>
        <w:t>Estimado Señor Paternina,</w:t>
      </w:r>
    </w:p>
    <w:p w14:paraId="56C06951" w14:textId="77777777" w:rsidR="00945B48" w:rsidRPr="00BC4191" w:rsidRDefault="00945B48" w:rsidP="00945B48">
      <w:pPr>
        <w:tabs>
          <w:tab w:val="left" w:pos="3768"/>
        </w:tabs>
        <w:spacing w:after="0" w:line="276" w:lineRule="auto"/>
        <w:jc w:val="both"/>
        <w:rPr>
          <w:rFonts w:ascii="Verdana" w:eastAsia="Calibri" w:hAnsi="Verdana" w:cs="Arial"/>
          <w:color w:val="EE0000"/>
          <w:lang w:val="es-ES" w:eastAsia="es-ES"/>
        </w:rPr>
      </w:pPr>
      <w:r w:rsidRPr="00BC4191">
        <w:rPr>
          <w:rFonts w:ascii="Verdana" w:eastAsia="Calibri" w:hAnsi="Verdana" w:cs="Arial"/>
          <w:color w:val="EE0000"/>
          <w:lang w:val="es-ES" w:eastAsia="es-ES"/>
        </w:rPr>
        <w:tab/>
      </w:r>
    </w:p>
    <w:p w14:paraId="2E952A0F" w14:textId="77777777" w:rsidR="00945B48" w:rsidRPr="00CC4FF4" w:rsidRDefault="00945B48" w:rsidP="00945B48">
      <w:pPr>
        <w:spacing w:after="0" w:line="276" w:lineRule="auto"/>
        <w:jc w:val="both"/>
        <w:rPr>
          <w:rFonts w:ascii="Verdana" w:eastAsia="Calibri" w:hAnsi="Verdana" w:cs="Arial"/>
          <w:lang w:val="es-ES" w:eastAsia="es-ES"/>
        </w:rPr>
      </w:pPr>
      <w:r w:rsidRPr="00CC4FF4">
        <w:rPr>
          <w:rFonts w:ascii="Verdana" w:eastAsia="Calibri" w:hAnsi="Verdana" w:cs="Arial"/>
          <w:lang w:val="es-ES" w:eastAsia="es-ES"/>
        </w:rPr>
        <w:t>En ejercicio de la competencia otorgada por los artículos 3, numeral 5º, y 11, numeral 8º, del Decreto Ley 4170 de 2011,</w:t>
      </w:r>
      <w:r w:rsidRPr="00CC4FF4">
        <w:rPr>
          <w:rFonts w:ascii="Verdana" w:eastAsia="Arial MT" w:hAnsi="Verdana" w:cs="Arial MT"/>
          <w:lang w:val="es-ES" w:eastAsia="es-ES"/>
        </w:rPr>
        <w:t xml:space="preserve"> </w:t>
      </w:r>
      <w:r w:rsidRPr="00CC4FF4">
        <w:rPr>
          <w:rFonts w:ascii="Verdana" w:hAnsi="Verdana" w:cs="Arial"/>
          <w:lang w:val="es-ES"/>
        </w:rPr>
        <w:t xml:space="preserve">así como lo establecido en el artículo 4 de la Resolución 1707 de 2018 expedida por esta Entidad, </w:t>
      </w:r>
      <w:r w:rsidRPr="00CC4FF4">
        <w:rPr>
          <w:rFonts w:ascii="Verdana" w:eastAsia="Calibri" w:hAnsi="Verdana" w:cs="Arial"/>
          <w:lang w:val="es-ES" w:eastAsia="es-ES"/>
        </w:rPr>
        <w:t xml:space="preserve">la Agencia Nacional de Contratación Pública – Colombia Compra Eficiente– responde su solicitud de consulta de fecha 12 de diciembre de 2025, en la cual manifiesta lo siguiente: </w:t>
      </w:r>
    </w:p>
    <w:p w14:paraId="2B7B4EED" w14:textId="77777777" w:rsidR="00945B48" w:rsidRPr="009B406A" w:rsidRDefault="00945B48" w:rsidP="00945B48">
      <w:pPr>
        <w:tabs>
          <w:tab w:val="left" w:pos="142"/>
          <w:tab w:val="left" w:pos="284"/>
        </w:tabs>
        <w:spacing w:after="0" w:line="276" w:lineRule="auto"/>
        <w:contextualSpacing/>
        <w:jc w:val="both"/>
        <w:rPr>
          <w:rFonts w:ascii="Verdana" w:eastAsia="Century Gothic" w:hAnsi="Verdana" w:cs="Century Gothic"/>
          <w:b/>
          <w:bCs/>
          <w:lang w:val="es-ES"/>
        </w:rPr>
      </w:pPr>
    </w:p>
    <w:p w14:paraId="348FACE5" w14:textId="77777777" w:rsidR="00945B48" w:rsidRPr="009B406A" w:rsidRDefault="00945B48" w:rsidP="00945B48">
      <w:pPr>
        <w:spacing w:before="120" w:after="120"/>
        <w:ind w:left="709" w:right="709"/>
        <w:contextualSpacing/>
        <w:jc w:val="both"/>
        <w:rPr>
          <w:rFonts w:ascii="Verdana" w:eastAsia="Century Gothic" w:hAnsi="Verdana" w:cs="Century Gothic"/>
          <w:i/>
          <w:iCs/>
          <w:sz w:val="20"/>
          <w:szCs w:val="20"/>
          <w:lang w:val="es-ES"/>
        </w:rPr>
      </w:pPr>
      <w:r w:rsidRPr="009B406A">
        <w:rPr>
          <w:rFonts w:ascii="Verdana" w:eastAsia="Century Gothic" w:hAnsi="Verdana" w:cs="Century Gothic"/>
          <w:i/>
          <w:iCs/>
          <w:sz w:val="20"/>
          <w:szCs w:val="20"/>
          <w:lang w:val="es-ES"/>
        </w:rPr>
        <w:t>“UNA ENTIDAD QUE PRESTA EL SERVICIO PÚBLICO DOMICILIARIO DE AGUA POTABLE Y ALCANTARILLADO, EN EL QUE SU CAPITAL ESTÁ INTEGRADO POR LA ENTIDAD TERRITORIAL EN DONDE SU PARTICIPACIÓN ES DEL 50%, EL SECTOR PRIVADO EL 4.1% Y EL SOCIO OPERADOR EL 45.9%, LE ES APLICABLE LA LEY 80 DE 1993? CUÁL ES LA NATURALEZA JURÍDICA DE ESTA ENTIDAD, CONFORME A LO AQUÍ SEÑALADO.”</w:t>
      </w:r>
    </w:p>
    <w:p w14:paraId="06E89C05" w14:textId="77777777" w:rsidR="00945B48" w:rsidRPr="009B406A" w:rsidRDefault="00945B48" w:rsidP="00945B48">
      <w:pPr>
        <w:spacing w:before="120" w:after="120"/>
        <w:ind w:left="709" w:right="709"/>
        <w:contextualSpacing/>
        <w:jc w:val="both"/>
        <w:rPr>
          <w:rFonts w:ascii="Verdana" w:eastAsia="Century Gothic" w:hAnsi="Verdana" w:cs="Century Gothic"/>
          <w:i/>
          <w:iCs/>
          <w:sz w:val="20"/>
          <w:szCs w:val="20"/>
          <w:lang w:val="es-ES"/>
        </w:rPr>
      </w:pPr>
    </w:p>
    <w:p w14:paraId="24B62297" w14:textId="77777777" w:rsidR="00945B48" w:rsidRPr="009B406A" w:rsidRDefault="00945B48" w:rsidP="00945B48">
      <w:pPr>
        <w:spacing w:after="120" w:line="276" w:lineRule="auto"/>
        <w:ind w:firstLine="708"/>
        <w:jc w:val="both"/>
        <w:rPr>
          <w:rFonts w:ascii="Verdana" w:eastAsia="Calibri" w:hAnsi="Verdana" w:cs="Arial"/>
          <w:lang w:val="es-ES" w:eastAsia="es-ES"/>
        </w:rPr>
      </w:pPr>
      <w:r w:rsidRPr="009B40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9B406A">
        <w:rPr>
          <w:rFonts w:ascii="Verdana" w:eastAsia="Calibri" w:hAnsi="Verdana" w:cs="Arial"/>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B406A">
        <w:rPr>
          <w:rFonts w:ascii="Verdana" w:hAnsi="Verdana"/>
          <w:lang w:val="es-ES"/>
        </w:rPr>
        <w:tab/>
      </w:r>
    </w:p>
    <w:p w14:paraId="7A59CC39" w14:textId="77777777" w:rsidR="00945B48" w:rsidRPr="009B406A" w:rsidRDefault="00945B48" w:rsidP="00945B48">
      <w:pPr>
        <w:spacing w:after="0" w:line="276" w:lineRule="auto"/>
        <w:ind w:firstLine="709"/>
        <w:jc w:val="both"/>
        <w:rPr>
          <w:rFonts w:ascii="Verdana" w:eastAsia="Calibri" w:hAnsi="Verdana" w:cs="Arial"/>
          <w:lang w:val="es-ES" w:eastAsia="es-ES"/>
        </w:rPr>
      </w:pPr>
      <w:r w:rsidRPr="009B40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1FCB0F3" w14:textId="77777777" w:rsidR="00945B48" w:rsidRPr="00BC4191" w:rsidRDefault="00945B48" w:rsidP="00945B48">
      <w:pPr>
        <w:spacing w:after="0" w:line="276" w:lineRule="auto"/>
        <w:ind w:firstLine="709"/>
        <w:jc w:val="both"/>
        <w:rPr>
          <w:rFonts w:ascii="Verdana" w:eastAsia="Calibri" w:hAnsi="Verdana" w:cs="Arial"/>
          <w:color w:val="EE0000"/>
          <w:lang w:val="es-ES" w:eastAsia="es-ES"/>
        </w:rPr>
      </w:pPr>
    </w:p>
    <w:p w14:paraId="361D3910" w14:textId="77777777" w:rsidR="00945B48" w:rsidRPr="00025CC5" w:rsidRDefault="00945B48" w:rsidP="00945B48">
      <w:pPr>
        <w:tabs>
          <w:tab w:val="left" w:pos="142"/>
          <w:tab w:val="left" w:pos="284"/>
        </w:tabs>
        <w:spacing w:after="0" w:line="276" w:lineRule="auto"/>
        <w:contextualSpacing/>
        <w:jc w:val="both"/>
        <w:rPr>
          <w:rFonts w:ascii="Verdana" w:eastAsia="Century Gothic" w:hAnsi="Verdana" w:cs="Century Gothic"/>
          <w:b/>
          <w:lang w:val="es-ES"/>
        </w:rPr>
      </w:pPr>
      <w:r w:rsidRPr="00025CC5">
        <w:rPr>
          <w:rFonts w:ascii="Verdana" w:eastAsia="Century Gothic" w:hAnsi="Verdana" w:cs="Century Gothic"/>
          <w:b/>
          <w:lang w:val="es-ES"/>
        </w:rPr>
        <w:t>1. Problema planteado:</w:t>
      </w:r>
    </w:p>
    <w:p w14:paraId="1A22EC0A" w14:textId="77777777" w:rsidR="00945B48" w:rsidRPr="00025CC5" w:rsidRDefault="00945B48" w:rsidP="00945B48">
      <w:pPr>
        <w:tabs>
          <w:tab w:val="left" w:pos="426"/>
        </w:tabs>
        <w:spacing w:after="0" w:line="276" w:lineRule="auto"/>
        <w:jc w:val="both"/>
        <w:rPr>
          <w:rFonts w:ascii="Verdana" w:eastAsia="Century Gothic" w:hAnsi="Verdana" w:cs="Century Gothic"/>
          <w:lang w:val="es-ES"/>
        </w:rPr>
      </w:pPr>
    </w:p>
    <w:p w14:paraId="48C5EB36" w14:textId="0F101D59" w:rsidR="00945B48" w:rsidRPr="00274EDA" w:rsidRDefault="00945B48" w:rsidP="00945B48">
      <w:pPr>
        <w:spacing w:after="0" w:line="276" w:lineRule="auto"/>
        <w:jc w:val="both"/>
        <w:rPr>
          <w:rFonts w:ascii="Verdana" w:eastAsia="Century Gothic" w:hAnsi="Verdana" w:cs="Century Gothic"/>
          <w:color w:val="EE0000"/>
        </w:rPr>
      </w:pPr>
      <w:r w:rsidRPr="00025CC5">
        <w:rPr>
          <w:rFonts w:ascii="Verdana" w:eastAsia="Century Gothic" w:hAnsi="Verdana" w:cs="Century Gothic"/>
          <w:lang w:val="es-ES"/>
        </w:rPr>
        <w:t xml:space="preserve">De acuerdo con el contenido de su solicitud, esta Agencia resolverá </w:t>
      </w:r>
      <w:r>
        <w:rPr>
          <w:rFonts w:ascii="Verdana" w:eastAsia="Century Gothic" w:hAnsi="Verdana" w:cs="Century Gothic"/>
          <w:lang w:val="es-ES"/>
        </w:rPr>
        <w:t xml:space="preserve">el </w:t>
      </w:r>
      <w:r w:rsidRPr="00025CC5">
        <w:rPr>
          <w:rFonts w:ascii="Verdana" w:eastAsia="Century Gothic" w:hAnsi="Verdana" w:cs="Century Gothic"/>
          <w:lang w:val="es-ES"/>
        </w:rPr>
        <w:t>siguiente problema jurídico:</w:t>
      </w:r>
      <w:r>
        <w:rPr>
          <w:rFonts w:ascii="Verdana" w:eastAsia="Century Gothic" w:hAnsi="Verdana" w:cs="Century Gothic"/>
          <w:lang w:val="es-ES"/>
        </w:rPr>
        <w:t xml:space="preserve"> </w:t>
      </w:r>
      <w:r w:rsidRPr="00274EDA">
        <w:rPr>
          <w:rFonts w:ascii="Verdana" w:eastAsia="Century Gothic" w:hAnsi="Verdana" w:cs="Century Gothic"/>
        </w:rPr>
        <w:t>¿Una empresa de servicios públicos domiciliarios con capital mixto</w:t>
      </w:r>
      <w:r>
        <w:rPr>
          <w:rFonts w:ascii="Verdana" w:eastAsia="Century Gothic" w:hAnsi="Verdana" w:cs="Century Gothic"/>
        </w:rPr>
        <w:t>,</w:t>
      </w:r>
      <w:r w:rsidRPr="00274EDA">
        <w:rPr>
          <w:rFonts w:ascii="Verdana" w:eastAsia="Century Gothic" w:hAnsi="Verdana" w:cs="Century Gothic"/>
        </w:rPr>
        <w:t xml:space="preserve"> debe aplicar la Ley 80 de 1993?</w:t>
      </w:r>
      <w:r w:rsidR="00867864">
        <w:rPr>
          <w:rFonts w:ascii="Verdana" w:eastAsia="Century Gothic" w:hAnsi="Verdana" w:cs="Century Gothic"/>
        </w:rPr>
        <w:t xml:space="preserve">, en otras palabras ¿Cuál es el régimen de contratación aplicable a una empresa de servicios públicos domiciliarios </w:t>
      </w:r>
      <w:r w:rsidR="00306591">
        <w:rPr>
          <w:rFonts w:ascii="Verdana" w:eastAsia="Century Gothic" w:hAnsi="Verdana" w:cs="Century Gothic"/>
        </w:rPr>
        <w:t>de carácter</w:t>
      </w:r>
      <w:r w:rsidR="00867864">
        <w:rPr>
          <w:rFonts w:ascii="Verdana" w:eastAsia="Century Gothic" w:hAnsi="Verdana" w:cs="Century Gothic"/>
        </w:rPr>
        <w:t xml:space="preserve"> mixto</w:t>
      </w:r>
      <w:r w:rsidRPr="00274EDA">
        <w:rPr>
          <w:rFonts w:ascii="Verdana" w:eastAsia="Century Gothic" w:hAnsi="Verdana" w:cs="Century Gothic"/>
        </w:rPr>
        <w:t>?</w:t>
      </w:r>
    </w:p>
    <w:p w14:paraId="6BDD5D91" w14:textId="77777777" w:rsidR="00945B48" w:rsidRPr="00BC4191" w:rsidRDefault="00945B48" w:rsidP="00945B48">
      <w:pPr>
        <w:spacing w:after="0" w:line="276" w:lineRule="auto"/>
        <w:jc w:val="both"/>
        <w:rPr>
          <w:rFonts w:ascii="Verdana" w:eastAsia="Century Gothic" w:hAnsi="Verdana" w:cs="Century Gothic"/>
          <w:color w:val="EE0000"/>
        </w:rPr>
      </w:pPr>
    </w:p>
    <w:p w14:paraId="265B738C" w14:textId="77777777" w:rsidR="00945B48" w:rsidRPr="0063612B" w:rsidRDefault="00945B48" w:rsidP="00945B48">
      <w:pPr>
        <w:tabs>
          <w:tab w:val="left" w:pos="142"/>
          <w:tab w:val="left" w:pos="284"/>
        </w:tabs>
        <w:spacing w:after="0" w:line="276" w:lineRule="auto"/>
        <w:jc w:val="both"/>
        <w:rPr>
          <w:rFonts w:ascii="Verdana" w:eastAsia="Century Gothic" w:hAnsi="Verdana" w:cs="Century Gothic"/>
          <w:b/>
          <w:lang w:val="es-ES"/>
        </w:rPr>
      </w:pPr>
      <w:r w:rsidRPr="0063612B">
        <w:rPr>
          <w:rFonts w:ascii="Verdana" w:eastAsia="Century Gothic" w:hAnsi="Verdana" w:cs="Century Gothic"/>
          <w:b/>
          <w:lang w:val="es-ES"/>
        </w:rPr>
        <w:t>2. Respuesta:</w:t>
      </w:r>
    </w:p>
    <w:p w14:paraId="1D6C7CAE" w14:textId="77777777" w:rsidR="00945B48" w:rsidRPr="00BC4191" w:rsidRDefault="00945B48" w:rsidP="00945B48">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45B48" w:rsidRPr="00BC4191" w14:paraId="0E8F1A33" w14:textId="77777777" w:rsidTr="007E7A3C">
        <w:tc>
          <w:tcPr>
            <w:tcW w:w="8828" w:type="dxa"/>
          </w:tcPr>
          <w:p w14:paraId="65F7E93D" w14:textId="77777777" w:rsidR="00945B48" w:rsidRDefault="00945B48" w:rsidP="007E7A3C">
            <w:pPr>
              <w:spacing w:after="120" w:line="276" w:lineRule="auto"/>
              <w:jc w:val="both"/>
              <w:rPr>
                <w:rFonts w:ascii="Verdana" w:eastAsia="Calibri" w:hAnsi="Verdana" w:cs="Arial"/>
                <w:color w:val="000000"/>
                <w:lang w:val="es-ES"/>
              </w:rPr>
            </w:pPr>
            <w:r w:rsidRPr="0092486B">
              <w:rPr>
                <w:rFonts w:ascii="Verdana" w:eastAsia="Calibri" w:hAnsi="Verdana" w:cs="Arial"/>
              </w:rPr>
              <w:t xml:space="preserve">Las Empresas de Servicios Públicos tienen una naturaleza jurídica especial y, conforme al artículo 14 de la Ley 142 de 1994, cuentan con una clasificación particular que depende de la composición de su capital accionario, </w:t>
            </w:r>
            <w:r>
              <w:rPr>
                <w:rFonts w:ascii="Verdana" w:eastAsia="Calibri" w:hAnsi="Verdana" w:cs="Arial"/>
              </w:rPr>
              <w:t>pudiendo</w:t>
            </w:r>
            <w:r w:rsidRPr="0092486B">
              <w:rPr>
                <w:rFonts w:ascii="Verdana" w:eastAsia="Calibri" w:hAnsi="Verdana" w:cs="Arial"/>
              </w:rPr>
              <w:t xml:space="preserve"> ser oficiales, mixtas o privadas.</w:t>
            </w:r>
            <w:r>
              <w:rPr>
                <w:rFonts w:ascii="Verdana" w:eastAsia="Calibri" w:hAnsi="Verdana" w:cs="Arial"/>
                <w:szCs w:val="24"/>
                <w:lang w:val="es-ES" w:eastAsia="es-ES_tradnl"/>
              </w:rPr>
              <w:t xml:space="preserve"> Igualmente</w:t>
            </w:r>
            <w:r w:rsidRPr="00947B1E">
              <w:rPr>
                <w:rFonts w:ascii="Verdana" w:eastAsia="Calibri" w:hAnsi="Verdana" w:cs="Arial"/>
                <w:szCs w:val="24"/>
                <w:lang w:val="es-ES" w:eastAsia="es-ES_tradnl"/>
              </w:rPr>
              <w:t>, l</w:t>
            </w:r>
            <w:r w:rsidRPr="00947B1E">
              <w:rPr>
                <w:rFonts w:ascii="Verdana" w:eastAsia="Calibri" w:hAnsi="Verdana" w:cs="Arial"/>
                <w:lang w:val="es-ES"/>
              </w:rPr>
              <w:t xml:space="preserve">a Ley </w:t>
            </w:r>
            <w:r w:rsidRPr="0071096A">
              <w:rPr>
                <w:rFonts w:ascii="Verdana" w:eastAsia="Calibri" w:hAnsi="Verdana" w:cs="Arial"/>
                <w:color w:val="000000"/>
                <w:lang w:val="es-ES"/>
              </w:rPr>
              <w:t xml:space="preserve">142 de 1994 dispuso un régimen especial </w:t>
            </w:r>
            <w:r>
              <w:rPr>
                <w:rFonts w:ascii="Verdana" w:eastAsia="Calibri" w:hAnsi="Verdana" w:cs="Arial"/>
                <w:color w:val="000000"/>
                <w:lang w:val="es-ES"/>
              </w:rPr>
              <w:t xml:space="preserve">en el cual </w:t>
            </w:r>
            <w:r w:rsidRPr="0071096A">
              <w:rPr>
                <w:rFonts w:ascii="Verdana" w:eastAsia="Calibri" w:hAnsi="Verdana" w:cs="Arial"/>
                <w:color w:val="000000"/>
                <w:lang w:val="es-ES"/>
              </w:rPr>
              <w:t>la actividad contractual de las Empresas Prestadoras de Servicios Públicos no se encuentra sometida</w:t>
            </w:r>
            <w:r>
              <w:rPr>
                <w:rFonts w:ascii="Verdana" w:eastAsia="Calibri" w:hAnsi="Verdana" w:cs="Arial"/>
                <w:color w:val="000000"/>
                <w:lang w:val="es-ES"/>
              </w:rPr>
              <w:t xml:space="preserve"> </w:t>
            </w:r>
            <w:r w:rsidRPr="0071096A">
              <w:rPr>
                <w:rFonts w:ascii="Verdana" w:eastAsia="Calibri" w:hAnsi="Verdana" w:cs="Arial"/>
                <w:color w:val="000000"/>
                <w:lang w:val="es-ES"/>
              </w:rPr>
              <w:t xml:space="preserve">al </w:t>
            </w:r>
            <w:r>
              <w:rPr>
                <w:rFonts w:ascii="Verdana" w:eastAsia="Calibri" w:hAnsi="Verdana" w:cs="Arial"/>
                <w:color w:val="000000"/>
                <w:lang w:val="es-ES"/>
              </w:rPr>
              <w:t>Estatuto General de Contratación de la Administración Pública</w:t>
            </w:r>
            <w:r w:rsidRPr="0071096A">
              <w:rPr>
                <w:rFonts w:ascii="Verdana" w:eastAsia="Calibri" w:hAnsi="Verdana" w:cs="Arial"/>
                <w:color w:val="000000"/>
                <w:lang w:val="es-ES"/>
              </w:rPr>
              <w:t>, sino que se rige por lo establecido en su ley de creació</w:t>
            </w:r>
            <w:r>
              <w:rPr>
                <w:rFonts w:ascii="Verdana" w:eastAsia="Calibri" w:hAnsi="Verdana" w:cs="Arial"/>
                <w:color w:val="000000"/>
                <w:lang w:val="es-ES"/>
              </w:rPr>
              <w:t xml:space="preserve">n. </w:t>
            </w:r>
          </w:p>
          <w:p w14:paraId="72BBB4AE" w14:textId="77777777" w:rsidR="00945B48" w:rsidRDefault="00945B48" w:rsidP="007E7A3C">
            <w:pPr>
              <w:spacing w:after="120" w:line="276" w:lineRule="auto"/>
              <w:ind w:firstLine="708"/>
              <w:jc w:val="both"/>
              <w:rPr>
                <w:rFonts w:ascii="Verdana" w:eastAsia="Calibri" w:hAnsi="Verdana" w:cs="Arial"/>
                <w:color w:val="000000"/>
                <w:lang w:val="es-ES"/>
              </w:rPr>
            </w:pPr>
            <w:r w:rsidRPr="008A56E6">
              <w:rPr>
                <w:rFonts w:ascii="Verdana" w:eastAsia="Calibri" w:hAnsi="Verdana" w:cs="Arial"/>
                <w:color w:val="000000"/>
                <w:lang w:val="es-ES"/>
              </w:rPr>
              <w:t xml:space="preserve">En ese sentido, la mencionada ley remite a lo previsto en el parágrafo primero del artículo 32 de la Ley 80 de 1993, disposición que establece que </w:t>
            </w:r>
            <w:r w:rsidRPr="008A56E6">
              <w:rPr>
                <w:rFonts w:ascii="Verdana" w:eastAsia="Calibri" w:hAnsi="Verdana" w:cs="Arial"/>
                <w:color w:val="000000"/>
                <w:lang w:val="es-ES"/>
              </w:rPr>
              <w:lastRenderedPageBreak/>
              <w:t>los contratos allí señalados “no estarán sujetos a las disposiciones del Estatuto General de Contratación de la Administración Pública y se regirán por las disposiciones legales y reglamentarias aplicables a dichas actividades”.</w:t>
            </w:r>
          </w:p>
          <w:p w14:paraId="260F6A27" w14:textId="4710054C" w:rsidR="00945B48" w:rsidRPr="006C44E2" w:rsidRDefault="00945B48" w:rsidP="007E7A3C">
            <w:pPr>
              <w:spacing w:after="120" w:line="276" w:lineRule="auto"/>
              <w:ind w:firstLine="708"/>
              <w:jc w:val="both"/>
              <w:rPr>
                <w:rFonts w:ascii="Verdana" w:eastAsia="Calibri" w:hAnsi="Verdana" w:cs="Arial"/>
                <w:color w:val="000000"/>
              </w:rPr>
            </w:pPr>
            <w:r w:rsidRPr="00584823">
              <w:rPr>
                <w:rFonts w:ascii="Verdana" w:eastAsia="Calibri" w:hAnsi="Verdana" w:cs="Arial"/>
                <w:color w:val="000000"/>
              </w:rPr>
              <w:t xml:space="preserve">Ahora bien, para responder a su pregunta, de conformidad con lo dispuesto en el artículo 14, numeral 6, de la Ley 142 de 1994, se entiende por </w:t>
            </w:r>
            <w:r>
              <w:rPr>
                <w:rFonts w:ascii="Verdana" w:eastAsia="Calibri" w:hAnsi="Verdana" w:cs="Arial"/>
                <w:color w:val="000000"/>
              </w:rPr>
              <w:t>E</w:t>
            </w:r>
            <w:r w:rsidRPr="00584823">
              <w:rPr>
                <w:rFonts w:ascii="Verdana" w:eastAsia="Calibri" w:hAnsi="Verdana" w:cs="Arial"/>
                <w:color w:val="000000"/>
              </w:rPr>
              <w:t xml:space="preserve">mpresa de </w:t>
            </w:r>
            <w:r>
              <w:rPr>
                <w:rFonts w:ascii="Verdana" w:eastAsia="Calibri" w:hAnsi="Verdana" w:cs="Arial"/>
                <w:color w:val="000000"/>
              </w:rPr>
              <w:t>S</w:t>
            </w:r>
            <w:r w:rsidRPr="00584823">
              <w:rPr>
                <w:rFonts w:ascii="Verdana" w:eastAsia="Calibri" w:hAnsi="Verdana" w:cs="Arial"/>
                <w:color w:val="000000"/>
              </w:rPr>
              <w:t xml:space="preserve">ervicios </w:t>
            </w:r>
            <w:r>
              <w:rPr>
                <w:rFonts w:ascii="Verdana" w:eastAsia="Calibri" w:hAnsi="Verdana" w:cs="Arial"/>
                <w:color w:val="000000"/>
              </w:rPr>
              <w:t>P</w:t>
            </w:r>
            <w:r w:rsidRPr="00584823">
              <w:rPr>
                <w:rFonts w:ascii="Verdana" w:eastAsia="Calibri" w:hAnsi="Verdana" w:cs="Arial"/>
                <w:color w:val="000000"/>
              </w:rPr>
              <w:t xml:space="preserve">úblicos </w:t>
            </w:r>
            <w:r>
              <w:rPr>
                <w:rFonts w:ascii="Verdana" w:eastAsia="Calibri" w:hAnsi="Verdana" w:cs="Arial"/>
                <w:color w:val="000000"/>
              </w:rPr>
              <w:t>mixta,</w:t>
            </w:r>
            <w:r w:rsidRPr="00584823">
              <w:rPr>
                <w:rFonts w:ascii="Verdana" w:eastAsia="Calibri" w:hAnsi="Verdana" w:cs="Arial"/>
                <w:color w:val="000000"/>
              </w:rPr>
              <w:t xml:space="preserve"> aquella en cuyo capital la Nación, las entidades territoriales o las entidades descentralizadas de unas u otras tienen aportes </w:t>
            </w:r>
            <w:r w:rsidRPr="00584823">
              <w:rPr>
                <w:rFonts w:ascii="Verdana" w:eastAsia="Calibri" w:hAnsi="Verdana" w:cs="Arial"/>
                <w:i/>
                <w:iCs/>
                <w:color w:val="000000"/>
              </w:rPr>
              <w:t>iguales o superiores al cincuenta por ciento (50%).</w:t>
            </w:r>
            <w:r>
              <w:rPr>
                <w:rFonts w:ascii="Verdana" w:eastAsia="Calibri" w:hAnsi="Verdana" w:cs="Arial"/>
                <w:i/>
                <w:iCs/>
                <w:color w:val="000000"/>
              </w:rPr>
              <w:t xml:space="preserve"> </w:t>
            </w:r>
            <w:r w:rsidRPr="00B3567C">
              <w:rPr>
                <w:rFonts w:ascii="Verdana" w:eastAsia="Calibri" w:hAnsi="Verdana" w:cs="Arial"/>
                <w:color w:val="000000"/>
              </w:rPr>
              <w:t xml:space="preserve">En consecuencia, </w:t>
            </w:r>
            <w:r w:rsidRPr="00C57FBE">
              <w:rPr>
                <w:rFonts w:ascii="Verdana" w:eastAsia="Calibri" w:hAnsi="Verdana" w:cs="Arial"/>
                <w:i/>
                <w:iCs/>
                <w:color w:val="000000"/>
              </w:rPr>
              <w:t xml:space="preserve">en </w:t>
            </w:r>
            <w:r w:rsidRPr="00C17BDB">
              <w:rPr>
                <w:rFonts w:ascii="Verdana" w:eastAsia="Calibri" w:hAnsi="Verdana" w:cs="Arial"/>
                <w:color w:val="000000"/>
              </w:rPr>
              <w:t xml:space="preserve">el desarrollo de su actividad contractual, las Empresas de Servicios Públicos </w:t>
            </w:r>
            <w:r w:rsidR="00867864">
              <w:rPr>
                <w:rFonts w:ascii="Verdana" w:eastAsia="Calibri" w:hAnsi="Verdana" w:cs="Arial"/>
                <w:color w:val="000000"/>
              </w:rPr>
              <w:t>de carácter mixto</w:t>
            </w:r>
            <w:r w:rsidRPr="00C17BDB">
              <w:rPr>
                <w:rFonts w:ascii="Verdana" w:eastAsia="Calibri" w:hAnsi="Verdana" w:cs="Arial"/>
                <w:color w:val="000000"/>
              </w:rPr>
              <w:t xml:space="preserve"> se sujetan, en principio, a las disposiciones del derecho privado, salvo en aquellos eventos en los que la normativa vigente</w:t>
            </w:r>
            <w:r w:rsidR="00867864">
              <w:rPr>
                <w:rFonts w:ascii="Verdana" w:eastAsia="Calibri" w:hAnsi="Verdana" w:cs="Arial"/>
                <w:color w:val="000000"/>
              </w:rPr>
              <w:t xml:space="preserve">, como </w:t>
            </w:r>
            <w:r w:rsidRPr="00C17BDB">
              <w:rPr>
                <w:rFonts w:ascii="Verdana" w:eastAsia="Calibri" w:hAnsi="Verdana" w:cs="Arial"/>
                <w:color w:val="000000"/>
              </w:rPr>
              <w:t>la Constitución Política, la Ley 142 de 1994 u otras normas especiales</w:t>
            </w:r>
            <w:r w:rsidR="00867864">
              <w:rPr>
                <w:rFonts w:ascii="Verdana" w:eastAsia="Calibri" w:hAnsi="Verdana" w:cs="Arial"/>
                <w:color w:val="000000"/>
              </w:rPr>
              <w:t>,</w:t>
            </w:r>
            <w:r w:rsidRPr="00C17BDB">
              <w:rPr>
                <w:rFonts w:ascii="Verdana" w:eastAsia="Calibri" w:hAnsi="Verdana" w:cs="Arial"/>
                <w:color w:val="000000"/>
              </w:rPr>
              <w:t xml:space="preserve"> someta dicha actuación al Estatuto General de Contratación de la Administración Pública</w:t>
            </w:r>
            <w:r w:rsidRPr="00C57FBE">
              <w:rPr>
                <w:rFonts w:ascii="Verdana" w:eastAsia="Calibri" w:hAnsi="Verdana" w:cs="Arial"/>
                <w:i/>
                <w:iCs/>
                <w:color w:val="000000"/>
              </w:rPr>
              <w:t>.</w:t>
            </w:r>
            <w:r w:rsidR="0081637E">
              <w:rPr>
                <w:rFonts w:ascii="Verdana" w:eastAsia="Calibri" w:hAnsi="Verdana" w:cs="Arial"/>
                <w:i/>
                <w:iCs/>
                <w:color w:val="000000"/>
              </w:rPr>
              <w:t xml:space="preserve"> </w:t>
            </w:r>
            <w:r w:rsidR="0081637E">
              <w:rPr>
                <w:rFonts w:ascii="Verdana" w:eastAsia="Calibri" w:hAnsi="Verdana" w:cs="Arial"/>
                <w:color w:val="000000"/>
              </w:rPr>
              <w:t xml:space="preserve">En todo caso, es importante mencionar </w:t>
            </w:r>
            <w:proofErr w:type="gramStart"/>
            <w:r w:rsidR="0081637E">
              <w:rPr>
                <w:rFonts w:ascii="Verdana" w:eastAsia="Calibri" w:hAnsi="Verdana" w:cs="Arial"/>
                <w:color w:val="000000"/>
              </w:rPr>
              <w:t>que</w:t>
            </w:r>
            <w:proofErr w:type="gramEnd"/>
            <w:r w:rsidR="0081637E">
              <w:rPr>
                <w:rFonts w:ascii="Verdana" w:eastAsia="Calibri" w:hAnsi="Verdana" w:cs="Arial"/>
                <w:color w:val="000000"/>
              </w:rPr>
              <w:t xml:space="preserve"> pese a estar exceptuadas del Estatuto General de Contratación de la Administración Pública se sujetan a los principios de la función administrativa y fiscal establecidos en la Constitución Política, el régimen de inhabilidades, incompatibilidades y prohibiciones aplicables en materia de contratación estatal, conforme lo dispuesto en el artículo 13 de la Ley 1150 de 2007. </w:t>
            </w:r>
          </w:p>
          <w:p w14:paraId="38682639" w14:textId="77777777" w:rsidR="00945B48" w:rsidRPr="00BC4191" w:rsidRDefault="00945B48" w:rsidP="007E7A3C">
            <w:pPr>
              <w:spacing w:after="120" w:line="276" w:lineRule="auto"/>
              <w:ind w:firstLine="709"/>
              <w:jc w:val="both"/>
              <w:rPr>
                <w:rFonts w:ascii="Verdana" w:eastAsia="Calibri" w:hAnsi="Verdana" w:cs="Arial"/>
                <w:color w:val="EE0000"/>
              </w:rPr>
            </w:pPr>
            <w:r w:rsidRPr="004343C4">
              <w:rPr>
                <w:rFonts w:ascii="Verdana" w:eastAsia="Calibri" w:hAnsi="Verdana" w:cs="Arial"/>
                <w:bCs/>
              </w:rPr>
              <w:t xml:space="preserve">Al margen de la explicación precedente debe advertirse que </w:t>
            </w:r>
            <w:r w:rsidRPr="004343C4">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4343C4">
              <w:rPr>
                <w:rStyle w:val="apple-converted-space"/>
                <w:rFonts w:ascii="Verdana" w:hAnsi="Verdana"/>
              </w:rPr>
              <w:t> </w:t>
            </w:r>
            <w:r w:rsidRPr="004343C4">
              <w:rPr>
                <w:rStyle w:val="s15"/>
                <w:rFonts w:ascii="Verdana" w:hAnsi="Verdana"/>
              </w:rPr>
              <w:t>Por lo anterior, previo</w:t>
            </w:r>
            <w:r w:rsidRPr="004343C4">
              <w:rPr>
                <w:rStyle w:val="apple-converted-space"/>
                <w:rFonts w:ascii="Verdana" w:hAnsi="Verdana"/>
              </w:rPr>
              <w:t> </w:t>
            </w:r>
            <w:r w:rsidRPr="004343C4">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2ECC090" w14:textId="77777777" w:rsidR="00945B48" w:rsidRPr="00BC4191" w:rsidRDefault="00945B48" w:rsidP="00945B48">
      <w:pPr>
        <w:tabs>
          <w:tab w:val="left" w:pos="142"/>
          <w:tab w:val="left" w:pos="284"/>
        </w:tabs>
        <w:spacing w:after="0" w:line="276" w:lineRule="auto"/>
        <w:jc w:val="both"/>
        <w:rPr>
          <w:rFonts w:ascii="Verdana" w:eastAsia="Century Gothic" w:hAnsi="Verdana" w:cs="Century Gothic"/>
          <w:b/>
          <w:bCs/>
          <w:color w:val="EE0000"/>
          <w:lang w:val="es-ES"/>
        </w:rPr>
      </w:pPr>
    </w:p>
    <w:p w14:paraId="6FA42A54" w14:textId="77777777" w:rsidR="00945B48" w:rsidRDefault="00945B48" w:rsidP="00945B48">
      <w:pPr>
        <w:tabs>
          <w:tab w:val="left" w:pos="142"/>
          <w:tab w:val="left" w:pos="284"/>
        </w:tabs>
        <w:spacing w:after="0" w:line="276" w:lineRule="auto"/>
        <w:jc w:val="both"/>
        <w:rPr>
          <w:rFonts w:ascii="Verdana" w:eastAsia="Century Gothic" w:hAnsi="Verdana" w:cs="Century Gothic"/>
          <w:b/>
          <w:lang w:val="es-ES"/>
        </w:rPr>
      </w:pPr>
      <w:r w:rsidRPr="00FE2A2F">
        <w:rPr>
          <w:rFonts w:ascii="Verdana" w:eastAsia="Century Gothic" w:hAnsi="Verdana" w:cs="Century Gothic"/>
          <w:b/>
          <w:lang w:val="es-ES"/>
        </w:rPr>
        <w:t>3. Razones de la respuesta:</w:t>
      </w:r>
    </w:p>
    <w:p w14:paraId="07F8C670" w14:textId="77777777" w:rsidR="00945B48" w:rsidRPr="00FE2A2F" w:rsidRDefault="00945B48" w:rsidP="00945B48">
      <w:pPr>
        <w:tabs>
          <w:tab w:val="left" w:pos="142"/>
          <w:tab w:val="left" w:pos="284"/>
        </w:tabs>
        <w:spacing w:after="0" w:line="276" w:lineRule="auto"/>
        <w:jc w:val="both"/>
        <w:rPr>
          <w:rFonts w:ascii="Verdana" w:eastAsia="Century Gothic" w:hAnsi="Verdana" w:cs="Century Gothic"/>
          <w:b/>
          <w:lang w:val="es-ES"/>
        </w:rPr>
      </w:pPr>
    </w:p>
    <w:p w14:paraId="6DE17C25" w14:textId="77777777" w:rsidR="00945B48" w:rsidRDefault="00945B48" w:rsidP="00945B48">
      <w:pPr>
        <w:spacing w:after="0" w:line="276" w:lineRule="auto"/>
        <w:jc w:val="both"/>
        <w:rPr>
          <w:rFonts w:ascii="Verdana" w:eastAsia="Calibri" w:hAnsi="Verdana" w:cs="Arial"/>
          <w:lang w:val="es-ES"/>
        </w:rPr>
      </w:pPr>
      <w:bookmarkStart w:id="1" w:name="_Hlk102983874"/>
      <w:bookmarkStart w:id="2" w:name="_Hlk102388095"/>
      <w:r w:rsidRPr="003A0752">
        <w:rPr>
          <w:rFonts w:ascii="Verdana" w:eastAsia="Calibri" w:hAnsi="Verdana" w:cs="Arial"/>
          <w:lang w:val="es-ES"/>
        </w:rPr>
        <w:t>Lo anterior se sustenta en las siguientes consideraciones:</w:t>
      </w:r>
    </w:p>
    <w:p w14:paraId="7E647FE3" w14:textId="77777777" w:rsidR="00945B48" w:rsidRPr="00C71E6D" w:rsidRDefault="00945B48" w:rsidP="00945B48">
      <w:pPr>
        <w:spacing w:after="0" w:line="276" w:lineRule="auto"/>
        <w:jc w:val="both"/>
        <w:rPr>
          <w:rFonts w:ascii="Verdana" w:eastAsia="Calibri" w:hAnsi="Verdana" w:cs="Arial"/>
          <w:lang w:val="es-ES"/>
        </w:rPr>
      </w:pPr>
    </w:p>
    <w:p w14:paraId="708B2FC2" w14:textId="77777777" w:rsidR="00945B48" w:rsidRDefault="00945B48" w:rsidP="00945B48">
      <w:pPr>
        <w:widowControl w:val="0"/>
        <w:spacing w:after="0" w:line="276" w:lineRule="auto"/>
        <w:jc w:val="both"/>
        <w:rPr>
          <w:rFonts w:ascii="Verdana" w:eastAsia="Arial" w:hAnsi="Verdana" w:cs="Arial"/>
          <w:lang w:eastAsia="es-CO"/>
        </w:rPr>
      </w:pPr>
      <w:r>
        <w:rPr>
          <w:rFonts w:ascii="Verdana" w:eastAsia="Calibri" w:hAnsi="Verdana" w:cs="Arial"/>
          <w:lang w:val="es-ES_tradnl"/>
        </w:rPr>
        <w:t xml:space="preserve">i) </w:t>
      </w:r>
      <w:r>
        <w:rPr>
          <w:rFonts w:ascii="Verdana" w:eastAsia="Arial" w:hAnsi="Verdana" w:cs="Arial"/>
          <w:lang w:eastAsia="es-CO"/>
        </w:rPr>
        <w:t>E</w:t>
      </w:r>
      <w:r w:rsidRPr="004C01E1">
        <w:rPr>
          <w:rFonts w:ascii="Verdana" w:eastAsia="Arial" w:hAnsi="Verdana" w:cs="Arial"/>
          <w:lang w:eastAsia="es-CO"/>
        </w:rPr>
        <w:t xml:space="preserve">l artículo 14 de la Ley 142 de 1994 contiene las definiciones para la correcta aplicación e interpretación del régimen de servicios públicos domiciliarios. Esta </w:t>
      </w:r>
      <w:r w:rsidRPr="004C01E1">
        <w:rPr>
          <w:rFonts w:ascii="Verdana" w:eastAsia="Arial" w:hAnsi="Verdana" w:cs="Arial"/>
          <w:lang w:eastAsia="es-CO"/>
        </w:rPr>
        <w:lastRenderedPageBreak/>
        <w:t xml:space="preserve">norma define las Empresas de Servicios Públicos Oficial, la mixta y la privada, en los siguientes términos: </w:t>
      </w:r>
    </w:p>
    <w:p w14:paraId="26B40EE7" w14:textId="77777777" w:rsidR="00945B48" w:rsidRPr="006130BE" w:rsidRDefault="00945B48" w:rsidP="00945B48">
      <w:pPr>
        <w:widowControl w:val="0"/>
        <w:spacing w:after="0" w:line="276" w:lineRule="auto"/>
        <w:ind w:left="709" w:right="709"/>
        <w:jc w:val="both"/>
        <w:rPr>
          <w:rFonts w:ascii="Verdana" w:eastAsia="Arial" w:hAnsi="Verdana" w:cs="Arial"/>
          <w:lang w:eastAsia="es-CO"/>
        </w:rPr>
      </w:pPr>
    </w:p>
    <w:p w14:paraId="64AC7D45" w14:textId="77777777" w:rsidR="00945B48" w:rsidRPr="005F350E" w:rsidRDefault="00945B48" w:rsidP="00945B48">
      <w:pPr>
        <w:widowControl w:val="0"/>
        <w:numPr>
          <w:ilvl w:val="1"/>
          <w:numId w:val="17"/>
        </w:numPr>
        <w:tabs>
          <w:tab w:val="left" w:pos="1361"/>
        </w:tabs>
        <w:spacing w:after="0" w:line="240" w:lineRule="auto"/>
        <w:ind w:left="1259" w:right="709"/>
        <w:jc w:val="both"/>
        <w:rPr>
          <w:rFonts w:ascii="Verdana" w:eastAsia="Calibri" w:hAnsi="Verdana" w:cs="Calibri"/>
          <w:sz w:val="20"/>
          <w:szCs w:val="20"/>
          <w:lang w:eastAsia="es-CO"/>
        </w:rPr>
      </w:pPr>
      <w:r w:rsidRPr="004C01E1">
        <w:rPr>
          <w:rFonts w:ascii="Verdana" w:eastAsia="Arial" w:hAnsi="Verdana" w:cs="Arial"/>
          <w:sz w:val="20"/>
          <w:szCs w:val="20"/>
          <w:lang w:eastAsia="es-CO"/>
        </w:rPr>
        <w:t>“Empresa de servicios públicos oficial. Es aquella en cuyo capital la Nación, las entidades territoriales, o las entidades descentralizadas de aquella o estas tienen el 100% de los aportes.</w:t>
      </w:r>
    </w:p>
    <w:p w14:paraId="48C5D35E" w14:textId="77777777" w:rsidR="005F350E" w:rsidRPr="004C01E1" w:rsidRDefault="005F350E" w:rsidP="005F350E">
      <w:pPr>
        <w:widowControl w:val="0"/>
        <w:tabs>
          <w:tab w:val="left" w:pos="1361"/>
        </w:tabs>
        <w:spacing w:after="0" w:line="240" w:lineRule="auto"/>
        <w:ind w:left="1259" w:right="709"/>
        <w:jc w:val="both"/>
        <w:rPr>
          <w:rFonts w:ascii="Verdana" w:eastAsia="Calibri" w:hAnsi="Verdana" w:cs="Calibri"/>
          <w:sz w:val="20"/>
          <w:szCs w:val="20"/>
          <w:lang w:eastAsia="es-CO"/>
        </w:rPr>
      </w:pPr>
    </w:p>
    <w:p w14:paraId="484EB99A" w14:textId="77777777" w:rsidR="00945B48" w:rsidRPr="005F350E" w:rsidRDefault="00945B48" w:rsidP="00945B48">
      <w:pPr>
        <w:widowControl w:val="0"/>
        <w:numPr>
          <w:ilvl w:val="1"/>
          <w:numId w:val="17"/>
        </w:numPr>
        <w:tabs>
          <w:tab w:val="left" w:pos="1363"/>
        </w:tabs>
        <w:spacing w:after="0" w:line="240" w:lineRule="auto"/>
        <w:ind w:left="1259" w:right="709"/>
        <w:jc w:val="both"/>
        <w:rPr>
          <w:rFonts w:ascii="Verdana" w:eastAsia="Calibri" w:hAnsi="Verdana" w:cs="Calibri"/>
          <w:sz w:val="20"/>
          <w:szCs w:val="20"/>
          <w:lang w:eastAsia="es-CO"/>
        </w:rPr>
      </w:pPr>
      <w:r w:rsidRPr="004C01E1">
        <w:rPr>
          <w:rFonts w:ascii="Verdana" w:eastAsia="Arial" w:hAnsi="Verdana" w:cs="Arial"/>
          <w:sz w:val="20"/>
          <w:szCs w:val="20"/>
          <w:lang w:eastAsia="es-CO"/>
        </w:rPr>
        <w:t>Empresa de servicios públicos mixta. Es aquella en cuyo capital la Nación, las entidades territoriales, o las entidades descentralizadas de aquella o éstas tienen aportes iguales o superiores al 50%.</w:t>
      </w:r>
    </w:p>
    <w:p w14:paraId="5EFBF4D6" w14:textId="77777777" w:rsidR="005F350E" w:rsidRPr="004C01E1" w:rsidRDefault="005F350E" w:rsidP="005F350E">
      <w:pPr>
        <w:widowControl w:val="0"/>
        <w:tabs>
          <w:tab w:val="left" w:pos="1363"/>
        </w:tabs>
        <w:spacing w:after="0" w:line="240" w:lineRule="auto"/>
        <w:ind w:left="1259" w:right="709"/>
        <w:jc w:val="both"/>
        <w:rPr>
          <w:rFonts w:ascii="Verdana" w:eastAsia="Calibri" w:hAnsi="Verdana" w:cs="Calibri"/>
          <w:sz w:val="20"/>
          <w:szCs w:val="20"/>
          <w:lang w:eastAsia="es-CO"/>
        </w:rPr>
      </w:pPr>
    </w:p>
    <w:p w14:paraId="0F331440" w14:textId="77777777" w:rsidR="00945B48" w:rsidRDefault="00945B48" w:rsidP="00945B48">
      <w:pPr>
        <w:widowControl w:val="0"/>
        <w:numPr>
          <w:ilvl w:val="1"/>
          <w:numId w:val="17"/>
        </w:numPr>
        <w:tabs>
          <w:tab w:val="left" w:pos="1531"/>
        </w:tabs>
        <w:spacing w:after="0" w:line="240" w:lineRule="auto"/>
        <w:ind w:left="1259" w:right="709"/>
        <w:jc w:val="both"/>
        <w:rPr>
          <w:rFonts w:ascii="Verdana" w:eastAsia="Calibri" w:hAnsi="Verdana" w:cs="Calibri"/>
          <w:sz w:val="20"/>
          <w:szCs w:val="20"/>
          <w:lang w:eastAsia="es-CO"/>
        </w:rPr>
      </w:pPr>
      <w:r w:rsidRPr="004C01E1">
        <w:rPr>
          <w:rFonts w:ascii="Verdana" w:eastAsia="Arial" w:hAnsi="Verdana" w:cs="Arial"/>
          <w:sz w:val="20"/>
          <w:szCs w:val="20"/>
          <w:lang w:eastAsia="es-CO"/>
        </w:rPr>
        <w:t>Empresa de servicios públicos privada. Es aquella cuyo capital pertenece mayoritariamente a particulares, o a entidades surgidas de convenios internacionales que deseen someterse íntegramente para estos efectos a las reglas a las que se someten los particulares.”</w:t>
      </w:r>
    </w:p>
    <w:p w14:paraId="359CA3C8" w14:textId="77777777" w:rsidR="00945B48" w:rsidRPr="00480A3F" w:rsidRDefault="00945B48" w:rsidP="00945B48">
      <w:pPr>
        <w:widowControl w:val="0"/>
        <w:tabs>
          <w:tab w:val="left" w:pos="1531"/>
        </w:tabs>
        <w:spacing w:before="1" w:after="0" w:line="276" w:lineRule="auto"/>
        <w:ind w:left="1259" w:right="709"/>
        <w:jc w:val="both"/>
        <w:rPr>
          <w:rFonts w:ascii="Verdana" w:eastAsia="Calibri" w:hAnsi="Verdana" w:cs="Calibri"/>
          <w:lang w:eastAsia="es-CO"/>
        </w:rPr>
      </w:pPr>
    </w:p>
    <w:p w14:paraId="554402E7" w14:textId="77777777" w:rsidR="00945B48" w:rsidRDefault="00945B48" w:rsidP="00945B48">
      <w:pPr>
        <w:widowControl w:val="0"/>
        <w:spacing w:after="120" w:line="276" w:lineRule="auto"/>
        <w:ind w:firstLine="708"/>
        <w:jc w:val="both"/>
        <w:rPr>
          <w:rFonts w:ascii="Verdana" w:eastAsia="Arial" w:hAnsi="Verdana" w:cs="Arial"/>
          <w:lang w:eastAsia="es-CO"/>
        </w:rPr>
      </w:pPr>
      <w:r w:rsidRPr="004C01E1">
        <w:rPr>
          <w:rFonts w:ascii="Verdana" w:eastAsia="Arial" w:hAnsi="Verdana" w:cs="Arial"/>
          <w:lang w:eastAsia="es-CO"/>
        </w:rPr>
        <w:t xml:space="preserve">A su turno, el artículo 17 de la ley citada señala que “las empresas de servicios públicos son sociedades por acciones cuyo objeto es la prestación de los servicios públicos de que trata esta ley”. Lo cual significa que, en el evento de constituirse un prestador de estos servicios bajo la modalidad del numeral 1, del artículo 15 de la norma señalada, esta deberá conformarse bajo la forma societaria de una sociedad por acciones, respecto de las cuales en la actualidad existen tres tipos: i) sociedad anónima, </w:t>
      </w:r>
      <w:proofErr w:type="spellStart"/>
      <w:r w:rsidRPr="004C01E1">
        <w:rPr>
          <w:rFonts w:ascii="Verdana" w:eastAsia="Arial" w:hAnsi="Verdana" w:cs="Arial"/>
          <w:lang w:eastAsia="es-CO"/>
        </w:rPr>
        <w:t>ii</w:t>
      </w:r>
      <w:proofErr w:type="spellEnd"/>
      <w:r w:rsidRPr="004C01E1">
        <w:rPr>
          <w:rFonts w:ascii="Verdana" w:eastAsia="Arial" w:hAnsi="Verdana" w:cs="Arial"/>
          <w:lang w:eastAsia="es-CO"/>
        </w:rPr>
        <w:t xml:space="preserve">) sociedad en comandita por acciones, o </w:t>
      </w:r>
      <w:proofErr w:type="spellStart"/>
      <w:r w:rsidRPr="004C01E1">
        <w:rPr>
          <w:rFonts w:ascii="Verdana" w:eastAsia="Arial" w:hAnsi="Verdana" w:cs="Arial"/>
          <w:lang w:eastAsia="es-CO"/>
        </w:rPr>
        <w:t>iii</w:t>
      </w:r>
      <w:proofErr w:type="spellEnd"/>
      <w:r w:rsidRPr="004C01E1">
        <w:rPr>
          <w:rFonts w:ascii="Verdana" w:eastAsia="Arial" w:hAnsi="Verdana" w:cs="Arial"/>
          <w:lang w:eastAsia="es-CO"/>
        </w:rPr>
        <w:t>) Sociedad por Acciones Simplificada, ya que la legislación vigente así las tipifica</w:t>
      </w:r>
      <w:r w:rsidRPr="004C01E1">
        <w:rPr>
          <w:rFonts w:ascii="Verdana" w:eastAsia="Arial" w:hAnsi="Verdana" w:cs="Arial"/>
          <w:vertAlign w:val="superscript"/>
          <w:lang w:eastAsia="es-CO"/>
        </w:rPr>
        <w:footnoteReference w:id="1"/>
      </w:r>
      <w:r w:rsidRPr="004C01E1">
        <w:rPr>
          <w:rFonts w:ascii="Verdana" w:eastAsia="Arial" w:hAnsi="Verdana" w:cs="Arial"/>
          <w:lang w:eastAsia="es-CO"/>
        </w:rPr>
        <w:t>.</w:t>
      </w:r>
    </w:p>
    <w:p w14:paraId="2D302A31" w14:textId="77777777" w:rsidR="00945B48" w:rsidRDefault="00945B48" w:rsidP="00945B48">
      <w:pPr>
        <w:spacing w:after="0" w:line="276" w:lineRule="auto"/>
        <w:ind w:firstLine="709"/>
        <w:jc w:val="both"/>
        <w:rPr>
          <w:rFonts w:ascii="Verdana" w:eastAsia="Calibri" w:hAnsi="Verdana" w:cs="Arial"/>
          <w:bCs/>
          <w:lang w:val="es-ES"/>
        </w:rPr>
      </w:pPr>
      <w:r>
        <w:rPr>
          <w:rFonts w:ascii="Verdana" w:eastAsia="Calibri" w:hAnsi="Verdana" w:cs="Arial"/>
          <w:bCs/>
          <w:lang w:val="es-ES"/>
        </w:rPr>
        <w:t>L</w:t>
      </w:r>
      <w:r w:rsidRPr="0071096A">
        <w:rPr>
          <w:rFonts w:ascii="Verdana" w:eastAsia="Calibri" w:hAnsi="Verdana" w:cs="Arial"/>
          <w:bCs/>
          <w:lang w:val="es-ES"/>
        </w:rPr>
        <w:t>as Empresas Prestadoras de</w:t>
      </w:r>
      <w:r>
        <w:rPr>
          <w:rFonts w:ascii="Verdana" w:eastAsia="Calibri" w:hAnsi="Verdana" w:cs="Arial"/>
          <w:bCs/>
          <w:lang w:val="es-ES"/>
        </w:rPr>
        <w:t xml:space="preserve"> </w:t>
      </w:r>
      <w:r w:rsidRPr="0071096A">
        <w:rPr>
          <w:rFonts w:ascii="Verdana" w:eastAsia="Calibri" w:hAnsi="Verdana" w:cs="Arial"/>
          <w:bCs/>
          <w:lang w:val="es-ES"/>
        </w:rPr>
        <w:t>Servicio</w:t>
      </w:r>
      <w:r>
        <w:rPr>
          <w:rFonts w:ascii="Verdana" w:eastAsia="Calibri" w:hAnsi="Verdana" w:cs="Arial"/>
          <w:bCs/>
          <w:lang w:val="es-ES"/>
        </w:rPr>
        <w:t>s</w:t>
      </w:r>
      <w:r w:rsidRPr="0071096A">
        <w:rPr>
          <w:rFonts w:ascii="Verdana" w:eastAsia="Calibri" w:hAnsi="Verdana" w:cs="Arial"/>
          <w:bCs/>
          <w:lang w:val="es-ES"/>
        </w:rPr>
        <w:t xml:space="preserve"> Públicos</w:t>
      </w:r>
      <w:r>
        <w:rPr>
          <w:rFonts w:ascii="Verdana" w:eastAsia="Calibri" w:hAnsi="Verdana" w:cs="Arial"/>
          <w:bCs/>
          <w:lang w:val="es-ES"/>
        </w:rPr>
        <w:t xml:space="preserve"> tienen la naturaleza jurídica de</w:t>
      </w:r>
      <w:r w:rsidRPr="0071096A">
        <w:rPr>
          <w:rFonts w:ascii="Verdana" w:eastAsia="Calibri" w:hAnsi="Verdana" w:cs="Arial"/>
          <w:bCs/>
          <w:lang w:val="es-ES"/>
        </w:rPr>
        <w:t xml:space="preserve"> empresas que pertenecen a la </w:t>
      </w:r>
      <w:r w:rsidRPr="0071096A">
        <w:rPr>
          <w:rFonts w:ascii="Verdana" w:eastAsia="Calibri" w:hAnsi="Verdana" w:cs="Arial"/>
          <w:bCs/>
          <w:i/>
          <w:iCs/>
          <w:lang w:val="es-ES"/>
        </w:rPr>
        <w:t>rama ejecutiva</w:t>
      </w:r>
      <w:r w:rsidRPr="0071096A">
        <w:rPr>
          <w:rFonts w:ascii="Verdana" w:eastAsia="Calibri" w:hAnsi="Verdana" w:cs="Arial"/>
          <w:bCs/>
          <w:lang w:val="es-ES"/>
        </w:rPr>
        <w:t xml:space="preserve"> del poder público. El literal d) del artículo 38 de la Ley 489 de 1998 señala que las Empresas Sociales del Estado y las Empresas Oficiales de Servicios Públicos Domiciliarios pertenecen a las entidades de la Rama Ejecutiva del sector descentralizado por servicios.</w:t>
      </w:r>
      <w:r w:rsidRPr="008325C6">
        <w:rPr>
          <w:rFonts w:ascii="Verdana" w:eastAsia="Calibri" w:hAnsi="Verdana" w:cs="Arial"/>
          <w:bCs/>
          <w:lang w:val="es-ES"/>
        </w:rPr>
        <w:t xml:space="preserve"> </w:t>
      </w:r>
      <w:r w:rsidRPr="0071096A">
        <w:rPr>
          <w:rFonts w:ascii="Verdana" w:eastAsia="Calibri" w:hAnsi="Verdana" w:cs="Arial"/>
          <w:bCs/>
          <w:lang w:val="es-ES"/>
        </w:rPr>
        <w:t xml:space="preserve">Además de confirmar que las Empresas de Servicios Públicos pertenecen a la rama ejecutiva, la Corte Constitucional sostuvo que tienen el carácter de </w:t>
      </w:r>
      <w:r w:rsidRPr="0071096A">
        <w:rPr>
          <w:rFonts w:ascii="Verdana" w:eastAsia="Calibri" w:hAnsi="Verdana" w:cs="Arial"/>
          <w:bCs/>
          <w:i/>
          <w:iCs/>
          <w:lang w:val="es-ES"/>
        </w:rPr>
        <w:t>entidades descentralizadas por servicios</w:t>
      </w:r>
      <w:r w:rsidRPr="0071096A">
        <w:rPr>
          <w:rFonts w:ascii="Verdana" w:eastAsia="Calibri" w:hAnsi="Verdana" w:cs="Arial"/>
          <w:bCs/>
          <w:lang w:val="es-ES"/>
        </w:rPr>
        <w:t>, en los términos del artículo 68 de la Ley 489 de 1998</w:t>
      </w:r>
      <w:r>
        <w:rPr>
          <w:rFonts w:ascii="Verdana" w:eastAsia="Calibri" w:hAnsi="Verdana" w:cs="Arial"/>
          <w:bCs/>
          <w:lang w:val="es-ES"/>
        </w:rPr>
        <w:t>:</w:t>
      </w:r>
    </w:p>
    <w:p w14:paraId="2BCF5E36" w14:textId="77777777" w:rsidR="00945B48" w:rsidRPr="0071096A" w:rsidRDefault="00945B48" w:rsidP="00945B48">
      <w:pPr>
        <w:spacing w:after="0" w:line="276" w:lineRule="auto"/>
        <w:ind w:firstLine="709"/>
        <w:jc w:val="both"/>
        <w:rPr>
          <w:rFonts w:ascii="Verdana" w:eastAsia="Calibri" w:hAnsi="Verdana" w:cs="Arial"/>
          <w:bCs/>
          <w:lang w:val="es-ES"/>
        </w:rPr>
      </w:pPr>
    </w:p>
    <w:p w14:paraId="4D5E113D" w14:textId="77777777" w:rsidR="00945B48" w:rsidRPr="00480A3F" w:rsidRDefault="00945B48" w:rsidP="00945B48">
      <w:pPr>
        <w:spacing w:after="0" w:line="240" w:lineRule="auto"/>
        <w:ind w:left="709" w:right="709"/>
        <w:jc w:val="both"/>
        <w:rPr>
          <w:rFonts w:ascii="Verdana" w:eastAsia="Calibri" w:hAnsi="Verdana" w:cs="Arial"/>
          <w:bCs/>
          <w:sz w:val="20"/>
          <w:szCs w:val="20"/>
          <w:lang w:val="es-ES"/>
        </w:rPr>
      </w:pPr>
      <w:r w:rsidRPr="00480A3F">
        <w:rPr>
          <w:rFonts w:ascii="Verdana" w:eastAsia="Calibri" w:hAnsi="Verdana" w:cs="Arial"/>
          <w:bCs/>
          <w:sz w:val="20"/>
          <w:szCs w:val="20"/>
          <w:lang w:val="es-ES"/>
        </w:rPr>
        <w:lastRenderedPageBreak/>
        <w:t>“Nótese cómo una empresa de servicios públicos privada es aquella que mayoritariamente pertenece a particulares, lo cual a contrario sensu, significa que minoritariamente pertenece al Estado o a sus entidades. Y que una empresa de servicios públicos mixta es aquella en la cual el capital público es igual o superior al cincuenta por ciento (50%), lo cual significa que minoritariamente pertenece a particulares. Así las cosas, una y otra se conforman con aporte de capital público, por lo cual su exclusión de la estructura de la Rama Ejecutiva y de categoría jurídica denominada “entidades descentralizadas” resulta constitucionalmente cuestionable, toda vez que implica, a su vez, la exclusión de las consecuencias jurídicas derivadas de tal naturaleza jurídica, dispuestas expresamente por la Constitución</w:t>
      </w:r>
      <w:r>
        <w:rPr>
          <w:rFonts w:ascii="Verdana" w:eastAsia="Calibri" w:hAnsi="Verdana" w:cs="Arial"/>
          <w:bCs/>
          <w:sz w:val="20"/>
          <w:szCs w:val="20"/>
          <w:lang w:val="es-ES"/>
        </w:rPr>
        <w:t>”</w:t>
      </w:r>
      <w:r w:rsidRPr="00480A3F">
        <w:rPr>
          <w:rFonts w:ascii="Verdana" w:eastAsia="Calibri" w:hAnsi="Verdana" w:cs="Arial"/>
          <w:bCs/>
          <w:sz w:val="20"/>
          <w:szCs w:val="20"/>
          <w:lang w:val="es-ES"/>
        </w:rPr>
        <w:t>.</w:t>
      </w:r>
    </w:p>
    <w:p w14:paraId="2CC81FE9" w14:textId="77777777" w:rsidR="00945B48" w:rsidRPr="00480A3F" w:rsidRDefault="00945B48" w:rsidP="00945B48">
      <w:pPr>
        <w:spacing w:after="0" w:line="276" w:lineRule="auto"/>
        <w:ind w:left="709" w:right="709"/>
        <w:contextualSpacing/>
        <w:jc w:val="both"/>
        <w:rPr>
          <w:rFonts w:ascii="Verdana" w:eastAsia="Calibri" w:hAnsi="Verdana" w:cs="Arial"/>
          <w:bCs/>
          <w:lang w:val="es-ES"/>
        </w:rPr>
      </w:pPr>
    </w:p>
    <w:p w14:paraId="147D03D1" w14:textId="77777777" w:rsidR="00945B48" w:rsidRDefault="00945B48" w:rsidP="00945B48">
      <w:pPr>
        <w:spacing w:after="120" w:line="276" w:lineRule="auto"/>
        <w:ind w:firstLine="708"/>
        <w:jc w:val="both"/>
        <w:rPr>
          <w:rFonts w:ascii="Verdana" w:eastAsia="Calibri" w:hAnsi="Verdana" w:cs="Arial"/>
          <w:color w:val="000000"/>
          <w:szCs w:val="24"/>
          <w:lang w:val="es-ES_tradnl" w:eastAsia="es-ES_tradnl"/>
        </w:rPr>
      </w:pPr>
      <w:r w:rsidRPr="004C01E1">
        <w:rPr>
          <w:rFonts w:ascii="Verdana" w:eastAsia="Arial" w:hAnsi="Verdana" w:cs="Arial"/>
          <w:lang w:eastAsia="es-CO"/>
        </w:rPr>
        <w:t xml:space="preserve">En relación con el régimen de contratación de las empresas de servicios públicos, </w:t>
      </w:r>
      <w:r w:rsidRPr="004C01E1">
        <w:rPr>
          <w:rFonts w:ascii="Verdana" w:eastAsia="Calibri" w:hAnsi="Verdana" w:cs="Arial"/>
          <w:color w:val="000000"/>
          <w:szCs w:val="24"/>
          <w:lang w:val="es-ES_tradnl" w:eastAsia="es-ES_tradnl"/>
        </w:rPr>
        <w:t>el artículo 31 de la Ley 142 de 1994, modificado por el artículo 3 de la Ley 689 de 2001, dispone que</w:t>
      </w:r>
      <w:r w:rsidRPr="004C01E1">
        <w:rPr>
          <w:rFonts w:ascii="Verdana" w:eastAsia="Calibri" w:hAnsi="Verdana" w:cs="Arial"/>
          <w:color w:val="000000"/>
          <w:bdr w:val="none" w:sz="0" w:space="0" w:color="auto" w:frame="1"/>
        </w:rPr>
        <w:t xml:space="preserve"> los contratos que celebren las Entidades Estatales que prestan los Servicios Públicos Domiciliarios </w:t>
      </w:r>
      <w:r w:rsidRPr="004C01E1">
        <w:rPr>
          <w:rFonts w:ascii="Verdana" w:eastAsia="Calibri" w:hAnsi="Verdana" w:cs="Arial"/>
          <w:i/>
          <w:color w:val="000000"/>
          <w:bdr w:val="none" w:sz="0" w:space="0" w:color="auto" w:frame="1"/>
        </w:rPr>
        <w:t>“no estarán sujetos a las disposiciones del Estatuto General de Contratación de la Administración Pública, salvo en lo que la presente ley disponga otra cosa”</w:t>
      </w:r>
      <w:r w:rsidRPr="004C01E1">
        <w:rPr>
          <w:rFonts w:ascii="Verdana" w:eastAsia="Calibri" w:hAnsi="Verdana" w:cs="Arial"/>
          <w:color w:val="000000"/>
          <w:szCs w:val="24"/>
          <w:lang w:val="es-ES_tradnl" w:eastAsia="es-ES_tradnl"/>
        </w:rPr>
        <w:t>. Por su parte, el artículo 32 de la Ley 142 consagra el régimen de derecho privado para las Empresas de Servicios Públicos Domiciliarios, indicando que sus actos se rigen por los principios y reglas aplicables a los particulares</w:t>
      </w:r>
      <w:r w:rsidRPr="004C01E1">
        <w:rPr>
          <w:rFonts w:ascii="Verdana" w:eastAsia="Calibri" w:hAnsi="Verdana" w:cs="Arial"/>
          <w:color w:val="000000"/>
          <w:szCs w:val="24"/>
          <w:vertAlign w:val="superscript"/>
          <w:lang w:val="es-ES_tradnl" w:eastAsia="es-ES_tradnl"/>
        </w:rPr>
        <w:footnoteReference w:id="2"/>
      </w:r>
      <w:r w:rsidRPr="004C01E1">
        <w:rPr>
          <w:rFonts w:ascii="Verdana" w:eastAsia="Calibri" w:hAnsi="Verdana" w:cs="Arial"/>
          <w:color w:val="000000"/>
          <w:szCs w:val="24"/>
          <w:lang w:val="es-ES_tradnl" w:eastAsia="es-ES_tradnl"/>
        </w:rPr>
        <w:t>.</w:t>
      </w:r>
    </w:p>
    <w:p w14:paraId="1B08180F" w14:textId="77777777" w:rsidR="00945B48" w:rsidRDefault="00945B48" w:rsidP="00945B48">
      <w:pPr>
        <w:spacing w:after="0" w:line="276" w:lineRule="auto"/>
        <w:ind w:firstLine="709"/>
        <w:jc w:val="both"/>
        <w:rPr>
          <w:rFonts w:ascii="Verdana" w:eastAsia="Calibri" w:hAnsi="Verdana" w:cs="Arial"/>
          <w:color w:val="000000"/>
          <w:szCs w:val="24"/>
          <w:lang w:val="es-ES_tradnl" w:eastAsia="es-ES_tradnl"/>
        </w:rPr>
      </w:pPr>
      <w:r w:rsidRPr="004C01E1">
        <w:rPr>
          <w:rFonts w:ascii="Verdana" w:eastAsia="Times New Roman" w:hAnsi="Verdana" w:cs="Arial"/>
          <w:lang w:val="es-ES_tradnl" w:eastAsia="es-ES_tradnl"/>
          <w14:ligatures w14:val="standardContextual"/>
        </w:rPr>
        <w:t>Así, en la actividad contractual las Empresas de Servicios Públicos se sujetan a las disposiciones del derecho privado, salvo en aquellos casos en que la normativa (Constitución Política, Ley 142 de 1994 u otras normas especiales) someta dicha actuación a</w:t>
      </w:r>
      <w:r>
        <w:rPr>
          <w:rFonts w:ascii="Verdana" w:eastAsia="Calibri" w:hAnsi="Verdana" w:cs="Arial"/>
          <w:color w:val="000000"/>
          <w:lang w:val="es-ES" w:eastAsia="es-ES"/>
        </w:rPr>
        <w:t xml:space="preserve">l </w:t>
      </w:r>
      <w:r w:rsidRPr="004C01E1">
        <w:rPr>
          <w:rFonts w:ascii="Verdana" w:eastAsia="Calibri" w:hAnsi="Verdana" w:cs="Arial"/>
          <w:color w:val="000000"/>
          <w:lang w:val="es-ES" w:eastAsia="es-ES"/>
        </w:rPr>
        <w:t xml:space="preserve">Estatuto General de Contratación de la Administración Pública. Adicionalmente, su actuar se encuentra regido por </w:t>
      </w:r>
      <w:r w:rsidRPr="004C01E1">
        <w:rPr>
          <w:rFonts w:ascii="Verdana" w:eastAsia="Calibri" w:hAnsi="Verdana" w:cs="Arial"/>
          <w:color w:val="000000"/>
          <w:szCs w:val="24"/>
          <w:lang w:val="es-ES_tradnl" w:eastAsia="es-ES_tradnl"/>
        </w:rPr>
        <w:t xml:space="preserve">los principios de la función administrativa y de la gestión fiscal, previstos en los artículos 209 y 267 </w:t>
      </w:r>
      <w:r w:rsidRPr="004C01E1">
        <w:rPr>
          <w:rFonts w:ascii="Verdana" w:eastAsia="Calibri" w:hAnsi="Verdana" w:cs="Arial"/>
          <w:color w:val="000000"/>
          <w:szCs w:val="24"/>
          <w:lang w:val="es-ES_tradnl" w:eastAsia="es-ES_tradnl"/>
        </w:rPr>
        <w:lastRenderedPageBreak/>
        <w:t>de la Constitución, toda vez que así lo dispone el artículo 13 de la Ley 1150 de 2007</w:t>
      </w:r>
      <w:r w:rsidRPr="004C01E1">
        <w:rPr>
          <w:rFonts w:ascii="Verdana" w:eastAsia="Calibri" w:hAnsi="Verdana" w:cs="Arial"/>
          <w:color w:val="000000"/>
          <w:szCs w:val="24"/>
          <w:vertAlign w:val="superscript"/>
          <w:lang w:val="es-ES_tradnl" w:eastAsia="es-ES_tradnl"/>
        </w:rPr>
        <w:footnoteReference w:id="3"/>
      </w:r>
      <w:r w:rsidRPr="004C01E1">
        <w:rPr>
          <w:rFonts w:ascii="Verdana" w:eastAsia="Calibri" w:hAnsi="Verdana" w:cs="Arial"/>
          <w:color w:val="000000"/>
          <w:szCs w:val="24"/>
          <w:lang w:val="es-ES_tradnl" w:eastAsia="es-ES_tradnl"/>
        </w:rPr>
        <w:t>.</w:t>
      </w:r>
    </w:p>
    <w:p w14:paraId="208FB498" w14:textId="77777777" w:rsidR="00945B48" w:rsidRDefault="00945B48" w:rsidP="00945B48">
      <w:pPr>
        <w:spacing w:after="0" w:line="276" w:lineRule="auto"/>
        <w:ind w:firstLine="709"/>
        <w:jc w:val="both"/>
        <w:rPr>
          <w:rFonts w:ascii="Verdana" w:eastAsia="Calibri" w:hAnsi="Verdana" w:cs="Arial"/>
          <w:color w:val="000000"/>
          <w:szCs w:val="24"/>
          <w:lang w:val="es-ES_tradnl" w:eastAsia="es-ES_tradnl"/>
        </w:rPr>
      </w:pPr>
    </w:p>
    <w:p w14:paraId="440FE716" w14:textId="77777777" w:rsidR="00945B48" w:rsidRPr="00892F67" w:rsidRDefault="00945B48" w:rsidP="00945B48">
      <w:pPr>
        <w:spacing w:after="0" w:line="276" w:lineRule="auto"/>
        <w:jc w:val="both"/>
        <w:rPr>
          <w:rFonts w:ascii="Verdana" w:eastAsia="Calibri" w:hAnsi="Verdana" w:cs="Arial"/>
          <w:color w:val="000000" w:themeColor="text1"/>
          <w:lang w:val="es-ES"/>
        </w:rPr>
      </w:pPr>
      <w:proofErr w:type="spellStart"/>
      <w:r w:rsidRPr="00892F67">
        <w:rPr>
          <w:rFonts w:ascii="Verdana" w:eastAsia="Calibri" w:hAnsi="Verdana" w:cs="Arial"/>
          <w:lang w:val="es-ES_tradnl"/>
        </w:rPr>
        <w:t>ii</w:t>
      </w:r>
      <w:proofErr w:type="spellEnd"/>
      <w:r w:rsidRPr="00892F67">
        <w:rPr>
          <w:rFonts w:ascii="Verdana" w:eastAsia="Calibri" w:hAnsi="Verdana" w:cs="Arial"/>
          <w:lang w:val="es-ES_tradnl"/>
        </w:rPr>
        <w:t xml:space="preserve">) </w:t>
      </w:r>
      <w:r w:rsidRPr="00892F67">
        <w:rPr>
          <w:rFonts w:ascii="Verdana" w:hAnsi="Verdana" w:cs="Arial"/>
          <w:bCs/>
          <w:lang w:val="es-MX"/>
        </w:rPr>
        <w:t xml:space="preserve">En contraste, el inciso segundo del 365 constitucional dispone que “Los servicios públicos estarán sometidos al régimen jurídico que fije la ley, podrán ser prestados por el Estado, directa o indirectamente, por comunidades organizadas, o por particulares […]”. Por ello, el inciso primero del artículo 31 de la Ley 142 de 1994 dispuso expresamente que “Los contratos que celebren las </w:t>
      </w:r>
      <w:r w:rsidRPr="00892F67">
        <w:rPr>
          <w:rFonts w:ascii="Verdana" w:hAnsi="Verdana" w:cs="Arial"/>
          <w:bCs/>
          <w:i/>
          <w:iCs/>
          <w:lang w:val="es-MX"/>
        </w:rPr>
        <w:t>entidades estatales que prestan los servicios públicos</w:t>
      </w:r>
      <w:r w:rsidRPr="00892F67">
        <w:rPr>
          <w:rFonts w:ascii="Verdana" w:hAnsi="Verdana" w:cs="Arial"/>
          <w:bCs/>
          <w:lang w:val="es-MX"/>
        </w:rPr>
        <w:t xml:space="preserve"> a los que se refiere esta ley no estarán sujetos a las disposiciones del Estatuto General de Contratación de la Administración Pública, salvo en lo que la presente ley disponga otra cosa” (Énfasis fuera de texto). Asimismo, el inciso primero del artículo 32 </w:t>
      </w:r>
      <w:r w:rsidRPr="00892F67">
        <w:rPr>
          <w:rFonts w:ascii="Verdana" w:hAnsi="Verdana" w:cs="Arial"/>
          <w:bCs/>
          <w:i/>
          <w:iCs/>
          <w:lang w:val="es-MX"/>
        </w:rPr>
        <w:t>ibidem</w:t>
      </w:r>
      <w:r w:rsidRPr="00892F67">
        <w:rPr>
          <w:rFonts w:ascii="Verdana" w:hAnsi="Verdana" w:cs="Arial"/>
          <w:bCs/>
          <w:lang w:val="es-MX"/>
        </w:rPr>
        <w:t xml:space="preserve"> precisa lo siguiente: “Salvo en cuanto la Constitución Política o esta Ley dispongan expresamente lo contrario, la constitución, y los actos de todas las </w:t>
      </w:r>
      <w:r w:rsidRPr="00892F67">
        <w:rPr>
          <w:rFonts w:ascii="Verdana" w:hAnsi="Verdana" w:cs="Arial"/>
          <w:bCs/>
          <w:i/>
          <w:iCs/>
          <w:lang w:val="es-MX"/>
        </w:rPr>
        <w:t>empresas de servicios públicos</w:t>
      </w:r>
      <w:r w:rsidRPr="00892F67">
        <w:rPr>
          <w:rFonts w:ascii="Verdana" w:hAnsi="Verdana" w:cs="Arial"/>
          <w:bCs/>
          <w:lang w:val="es-MX"/>
        </w:rPr>
        <w:t xml:space="preserve">, así como los requeridos para la administración y el ejercicio de los derechos de todas las personas que sean socias de ellas, en lo no dispuesto en esta Ley, se regirán exclusivamente por las reglas del derecho privado” (Énfasis fuera de texto). </w:t>
      </w:r>
      <w:r w:rsidRPr="00892F67">
        <w:rPr>
          <w:rFonts w:ascii="Verdana" w:eastAsia="Calibri" w:hAnsi="Verdana" w:cs="Arial"/>
          <w:color w:val="000000" w:themeColor="text1"/>
          <w:lang w:val="es-ES"/>
        </w:rPr>
        <w:t xml:space="preserve">De esta manera, el máximo órgano de la Jurisdicción de lo Contencioso Administrativo considera que: </w:t>
      </w:r>
    </w:p>
    <w:p w14:paraId="312115DA" w14:textId="77777777" w:rsidR="00945B48" w:rsidRPr="00892F67" w:rsidRDefault="00945B48" w:rsidP="00945B48">
      <w:pPr>
        <w:spacing w:after="0" w:line="276" w:lineRule="auto"/>
        <w:jc w:val="both"/>
        <w:rPr>
          <w:rFonts w:ascii="Verdana" w:hAnsi="Verdana" w:cs="Arial"/>
        </w:rPr>
      </w:pPr>
    </w:p>
    <w:p w14:paraId="5D502462" w14:textId="77777777" w:rsidR="00945B48" w:rsidRPr="00892F67" w:rsidRDefault="00945B48" w:rsidP="00945B48">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892F67">
        <w:rPr>
          <w:rFonts w:ascii="Verdana" w:eastAsia="Calibri" w:hAnsi="Verdana" w:cs="Arial"/>
          <w:color w:val="000000" w:themeColor="text1"/>
          <w:sz w:val="20"/>
          <w:szCs w:val="20"/>
          <w:lang w:val="es-ES"/>
        </w:rPr>
        <w:t xml:space="preserve">“En este orden de ideas, el régimen jurídico aplicable a las empresas de servicios públicos domiciliarios en materia contractual es el propio del derecho común y sólo excepcionalmente se aplican las reglas del derecho público, es decir, las reglas de la Ley 80 de 1993. </w:t>
      </w:r>
    </w:p>
    <w:p w14:paraId="6690BBC9" w14:textId="77777777" w:rsidR="00945B48" w:rsidRPr="00892F67" w:rsidRDefault="00945B48" w:rsidP="00945B48">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5980F558" w14:textId="77777777" w:rsidR="00945B48" w:rsidRPr="00892F67" w:rsidRDefault="00945B48" w:rsidP="00945B48">
      <w:pPr>
        <w:tabs>
          <w:tab w:val="left" w:pos="426"/>
        </w:tabs>
        <w:spacing w:after="0" w:line="240" w:lineRule="auto"/>
        <w:ind w:left="709" w:right="709"/>
        <w:jc w:val="both"/>
        <w:rPr>
          <w:rFonts w:ascii="Verdana" w:eastAsia="Calibri" w:hAnsi="Verdana" w:cs="Arial"/>
          <w:color w:val="000000" w:themeColor="text1"/>
          <w:sz w:val="20"/>
          <w:szCs w:val="20"/>
          <w:lang w:val="es-ES"/>
        </w:rPr>
      </w:pPr>
      <w:r w:rsidRPr="00892F67">
        <w:rPr>
          <w:rFonts w:ascii="Verdana" w:eastAsia="Calibri" w:hAnsi="Verdana" w:cs="Arial"/>
          <w:color w:val="000000" w:themeColor="text1"/>
          <w:sz w:val="20"/>
          <w:szCs w:val="20"/>
          <w:lang w:val="es-ES"/>
        </w:rPr>
        <w:t xml:space="preserve">Dicho de otro modo, la regla general de aplicación del derecho común significa, que para la selección del contratista no se requiere aplicar los procedimientos a los que se refiere la Ley 80 de 1993; que las reglas de existencia del contrato no son las previstas en el artículo 41 del Estatuto General de Contratación Pública; que los requisitos de validez del contrato son los previstos en la legislación civil y comercial; que las cláusulas contractuales son las propias de los contratos entre particulares; que la ejecución del contrato debe realizarse conforme a las reglas ordinarias y </w:t>
      </w:r>
      <w:r w:rsidRPr="00892F67">
        <w:rPr>
          <w:rFonts w:ascii="Verdana" w:eastAsia="Calibri" w:hAnsi="Verdana" w:cs="Arial"/>
          <w:color w:val="000000" w:themeColor="text1"/>
          <w:sz w:val="20"/>
          <w:szCs w:val="20"/>
          <w:lang w:val="es-ES"/>
        </w:rPr>
        <w:lastRenderedPageBreak/>
        <w:t>no a las administrativas; y que en lo relacionado con la terminación, ampliación y liquidación de los contratos, deben aplicarse las reglas del derecho común”</w:t>
      </w:r>
      <w:r w:rsidRPr="00892F67">
        <w:rPr>
          <w:rStyle w:val="Refdenotaalpie"/>
          <w:rFonts w:ascii="Verdana" w:eastAsia="Calibri" w:hAnsi="Verdana" w:cs="Arial"/>
          <w:color w:val="000000" w:themeColor="text1"/>
          <w:sz w:val="20"/>
          <w:szCs w:val="20"/>
          <w:lang w:val="es-ES"/>
        </w:rPr>
        <w:footnoteReference w:id="4"/>
      </w:r>
      <w:r w:rsidRPr="00892F67">
        <w:rPr>
          <w:rFonts w:ascii="Verdana" w:eastAsia="Calibri" w:hAnsi="Verdana" w:cs="Arial"/>
          <w:color w:val="000000" w:themeColor="text1"/>
          <w:sz w:val="20"/>
          <w:szCs w:val="20"/>
          <w:lang w:val="es-ES"/>
        </w:rPr>
        <w:t>.</w:t>
      </w:r>
    </w:p>
    <w:p w14:paraId="43511D51" w14:textId="77777777" w:rsidR="00945B48" w:rsidRPr="00892F67" w:rsidRDefault="00945B48" w:rsidP="00945B48">
      <w:pPr>
        <w:tabs>
          <w:tab w:val="left" w:pos="426"/>
        </w:tabs>
        <w:spacing w:after="0" w:line="240" w:lineRule="auto"/>
        <w:ind w:left="709" w:right="709"/>
        <w:jc w:val="both"/>
        <w:rPr>
          <w:rFonts w:ascii="Verdana" w:eastAsia="Calibri" w:hAnsi="Verdana" w:cs="Arial"/>
          <w:color w:val="000000" w:themeColor="text1"/>
          <w:sz w:val="20"/>
          <w:szCs w:val="20"/>
          <w:lang w:val="es-ES"/>
        </w:rPr>
      </w:pPr>
    </w:p>
    <w:p w14:paraId="19DE78EE" w14:textId="77777777" w:rsidR="00945B48" w:rsidRPr="00892F67" w:rsidRDefault="00945B48" w:rsidP="00945B48">
      <w:pPr>
        <w:tabs>
          <w:tab w:val="left" w:pos="0"/>
        </w:tabs>
        <w:spacing w:after="120" w:line="276" w:lineRule="auto"/>
        <w:ind w:firstLine="709"/>
        <w:jc w:val="both"/>
        <w:rPr>
          <w:rFonts w:ascii="Verdana" w:eastAsia="Calibri" w:hAnsi="Verdana" w:cs="Arial"/>
          <w:bCs/>
          <w:color w:val="000000" w:themeColor="text1"/>
          <w:lang w:val="es-ES_tradnl"/>
        </w:rPr>
      </w:pPr>
      <w:r w:rsidRPr="00892F67">
        <w:rPr>
          <w:rFonts w:ascii="Verdana" w:eastAsia="Calibri" w:hAnsi="Verdana" w:cs="Arial"/>
          <w:bCs/>
          <w:color w:val="000000" w:themeColor="text1"/>
          <w:lang w:val="es-ES_tradnl"/>
        </w:rPr>
        <w:t>Respecto a las empresas prestadoras de servicios públicos domiciliarios, conviene señalar, acorde con lo expresado por la Corte Constitucional en la Sentencia C-736 de 2007, que aquellas son entidades descentralizadas por servicios, independientemente de la naturaleza y porcentaje de su capital</w:t>
      </w:r>
      <w:r w:rsidRPr="00892F67">
        <w:rPr>
          <w:rStyle w:val="Refdenotaalpie"/>
          <w:rFonts w:ascii="Verdana" w:eastAsia="Calibri" w:hAnsi="Verdana" w:cs="Arial"/>
          <w:bCs/>
          <w:color w:val="000000" w:themeColor="text1"/>
          <w:lang w:val="es-ES_tradnl"/>
        </w:rPr>
        <w:footnoteReference w:id="5"/>
      </w:r>
      <w:r w:rsidRPr="00892F67">
        <w:rPr>
          <w:rFonts w:ascii="Verdana" w:eastAsia="Calibri" w:hAnsi="Verdana" w:cs="Arial"/>
          <w:bCs/>
          <w:color w:val="000000" w:themeColor="text1"/>
          <w:lang w:val="es-ES_tradnl"/>
        </w:rPr>
        <w:t xml:space="preserve">. En otras palabras, aunque el artículo 14 de la Ley 142 de 1994 establece que las empresas prestadoras de servicios públicos domiciliarios pueden ser </w:t>
      </w:r>
      <w:r w:rsidRPr="00892F67">
        <w:rPr>
          <w:rFonts w:ascii="Verdana" w:eastAsia="Calibri" w:hAnsi="Verdana" w:cs="Arial"/>
          <w:bCs/>
          <w:i/>
          <w:iCs/>
          <w:color w:val="000000" w:themeColor="text1"/>
          <w:lang w:val="es-ES_tradnl"/>
        </w:rPr>
        <w:t>oficiales</w:t>
      </w:r>
      <w:r w:rsidRPr="00892F67">
        <w:rPr>
          <w:rFonts w:ascii="Verdana" w:eastAsia="Calibri" w:hAnsi="Verdana" w:cs="Arial"/>
          <w:bCs/>
          <w:color w:val="000000" w:themeColor="text1"/>
          <w:lang w:val="es-ES_tradnl"/>
        </w:rPr>
        <w:t xml:space="preserve">, </w:t>
      </w:r>
      <w:r w:rsidRPr="00892F67">
        <w:rPr>
          <w:rFonts w:ascii="Verdana" w:eastAsia="Calibri" w:hAnsi="Verdana" w:cs="Arial"/>
          <w:bCs/>
          <w:i/>
          <w:iCs/>
          <w:color w:val="000000" w:themeColor="text1"/>
          <w:lang w:val="es-ES_tradnl"/>
        </w:rPr>
        <w:t>mixtas</w:t>
      </w:r>
      <w:r w:rsidRPr="00892F67">
        <w:rPr>
          <w:rFonts w:ascii="Verdana" w:eastAsia="Calibri" w:hAnsi="Verdana" w:cs="Arial"/>
          <w:bCs/>
          <w:color w:val="000000" w:themeColor="text1"/>
          <w:lang w:val="es-ES_tradnl"/>
        </w:rPr>
        <w:t xml:space="preserve"> o </w:t>
      </w:r>
      <w:r w:rsidRPr="00892F67">
        <w:rPr>
          <w:rFonts w:ascii="Verdana" w:eastAsia="Calibri" w:hAnsi="Verdana" w:cs="Arial"/>
          <w:bCs/>
          <w:i/>
          <w:iCs/>
          <w:color w:val="000000" w:themeColor="text1"/>
          <w:lang w:val="es-ES_tradnl"/>
        </w:rPr>
        <w:t>privadas</w:t>
      </w:r>
      <w:r w:rsidRPr="00892F67">
        <w:rPr>
          <w:rFonts w:ascii="Verdana" w:eastAsia="Calibri" w:hAnsi="Verdana" w:cs="Arial"/>
          <w:bCs/>
          <w:color w:val="000000" w:themeColor="text1"/>
          <w:lang w:val="es-ES_tradnl"/>
        </w:rPr>
        <w:t xml:space="preserve">, estas tres especies ingresan en la categoría de las </w:t>
      </w:r>
      <w:r w:rsidRPr="00892F67">
        <w:rPr>
          <w:rFonts w:ascii="Verdana" w:eastAsia="Calibri" w:hAnsi="Verdana" w:cs="Arial"/>
          <w:bCs/>
          <w:i/>
          <w:iCs/>
          <w:color w:val="000000" w:themeColor="text1"/>
          <w:lang w:val="es-ES_tradnl"/>
        </w:rPr>
        <w:t>entidades descentralizadas por servicios</w:t>
      </w:r>
      <w:r w:rsidRPr="00892F67">
        <w:rPr>
          <w:rFonts w:ascii="Verdana" w:eastAsia="Calibri" w:hAnsi="Verdana" w:cs="Arial"/>
          <w:bCs/>
          <w:color w:val="000000" w:themeColor="text1"/>
          <w:lang w:val="es-ES_tradnl"/>
        </w:rPr>
        <w:t xml:space="preserve">, es decir, hacen parte de la Rama Ejecutiva del Orden Público.  </w:t>
      </w:r>
    </w:p>
    <w:p w14:paraId="06D20766" w14:textId="24793510" w:rsidR="00945B48" w:rsidRDefault="00945B48" w:rsidP="00945B48">
      <w:pPr>
        <w:tabs>
          <w:tab w:val="left" w:pos="0"/>
        </w:tabs>
        <w:spacing w:before="120" w:after="0" w:line="276" w:lineRule="auto"/>
        <w:ind w:firstLine="709"/>
        <w:jc w:val="both"/>
        <w:rPr>
          <w:rFonts w:ascii="Verdana" w:eastAsia="Calibri" w:hAnsi="Verdana" w:cs="Arial"/>
          <w:bCs/>
          <w:color w:val="000000" w:themeColor="text1"/>
          <w:lang w:val="es-ES_tradnl"/>
        </w:rPr>
      </w:pPr>
      <w:r w:rsidRPr="00892F67">
        <w:rPr>
          <w:rFonts w:ascii="Verdana" w:eastAsia="Calibri" w:hAnsi="Verdana" w:cs="Arial"/>
          <w:bCs/>
          <w:color w:val="000000" w:themeColor="text1"/>
          <w:lang w:val="es-ES_tradnl"/>
        </w:rPr>
        <w:t xml:space="preserve">Al respecto, debe recordarse que en dicha Sentencia el alto tribunal afirmó que las empresas prestadoras de servicios públicos domiciliarios </w:t>
      </w:r>
      <w:r w:rsidRPr="00892F67">
        <w:rPr>
          <w:rFonts w:ascii="Verdana" w:eastAsia="Calibri" w:hAnsi="Verdana" w:cs="Arial"/>
          <w:bCs/>
          <w:i/>
          <w:iCs/>
          <w:color w:val="000000" w:themeColor="text1"/>
          <w:lang w:val="es-ES_tradnl"/>
        </w:rPr>
        <w:t>mixtas y privadas</w:t>
      </w:r>
      <w:r w:rsidRPr="00892F67">
        <w:rPr>
          <w:rFonts w:ascii="Verdana" w:eastAsia="Calibri" w:hAnsi="Verdana" w:cs="Arial"/>
          <w:bCs/>
          <w:color w:val="000000" w:themeColor="text1"/>
          <w:lang w:val="es-ES_tradnl"/>
        </w:rPr>
        <w:t xml:space="preserve"> con aportes estatales son tipos </w:t>
      </w:r>
      <w:r w:rsidRPr="00892F67">
        <w:rPr>
          <w:rFonts w:ascii="Verdana" w:eastAsia="Calibri" w:hAnsi="Verdana" w:cs="Arial"/>
          <w:bCs/>
          <w:i/>
          <w:iCs/>
          <w:color w:val="000000" w:themeColor="text1"/>
          <w:lang w:val="es-ES_tradnl"/>
        </w:rPr>
        <w:t>especiales</w:t>
      </w:r>
      <w:r w:rsidRPr="00892F67">
        <w:rPr>
          <w:rFonts w:ascii="Verdana" w:eastAsia="Calibri" w:hAnsi="Verdana" w:cs="Arial"/>
          <w:bCs/>
          <w:color w:val="000000" w:themeColor="text1"/>
          <w:lang w:val="es-ES_tradnl"/>
        </w:rPr>
        <w:t xml:space="preserve"> de entidades descentralizadas por servicios que, por tanto, no pueden enmarcarse en las otras especies de entidades descentralizadas por servicios enlistadas en el artículo 38 de la Ley 489 de 1998, es decir, que no cabe considerarlas, verbigracia, dentro de las sociedades públicas ni en las sociedades de economía mixta. En dicho sentido, en el numeral 5.3. de la precitada Sentencia expresa:</w:t>
      </w:r>
      <w:r>
        <w:rPr>
          <w:rFonts w:ascii="Verdana" w:eastAsia="Calibri" w:hAnsi="Verdana" w:cs="Arial"/>
          <w:bCs/>
          <w:color w:val="000000" w:themeColor="text1"/>
          <w:lang w:val="es-ES_tradnl"/>
        </w:rPr>
        <w:t xml:space="preserve"> </w:t>
      </w:r>
    </w:p>
    <w:p w14:paraId="58F56454" w14:textId="77777777" w:rsidR="004075DF" w:rsidRDefault="004075DF" w:rsidP="006C44E2">
      <w:pPr>
        <w:tabs>
          <w:tab w:val="left" w:pos="0"/>
        </w:tabs>
        <w:spacing w:after="0" w:line="276" w:lineRule="auto"/>
        <w:ind w:firstLine="709"/>
        <w:jc w:val="both"/>
        <w:rPr>
          <w:rFonts w:ascii="Verdana" w:eastAsia="Calibri" w:hAnsi="Verdana" w:cs="Arial"/>
          <w:bCs/>
          <w:color w:val="000000" w:themeColor="text1"/>
          <w:lang w:val="es-ES_tradnl"/>
        </w:rPr>
      </w:pPr>
    </w:p>
    <w:p w14:paraId="42728BBA" w14:textId="5916C939" w:rsidR="00945B48" w:rsidRDefault="00945B48" w:rsidP="004075DF">
      <w:pPr>
        <w:tabs>
          <w:tab w:val="left" w:pos="0"/>
        </w:tabs>
        <w:spacing w:after="0" w:line="240" w:lineRule="auto"/>
        <w:ind w:left="709" w:right="709"/>
        <w:jc w:val="both"/>
        <w:rPr>
          <w:rFonts w:ascii="Verdana" w:eastAsia="Times New Roman" w:hAnsi="Verdana" w:cs="Arial"/>
          <w:sz w:val="20"/>
          <w:szCs w:val="20"/>
          <w:lang w:val="es-ES" w:eastAsia="es-ES"/>
        </w:rPr>
      </w:pPr>
      <w:r w:rsidRPr="00270257">
        <w:rPr>
          <w:rFonts w:ascii="Verdana" w:eastAsia="Calibri" w:hAnsi="Verdana" w:cs="Arial"/>
          <w:bCs/>
          <w:color w:val="000000" w:themeColor="text1"/>
          <w:sz w:val="20"/>
          <w:szCs w:val="20"/>
          <w:lang w:val="es-ES_tradnl"/>
        </w:rPr>
        <w:t>“</w:t>
      </w:r>
      <w:r w:rsidRPr="00270257">
        <w:rPr>
          <w:rFonts w:ascii="Verdana" w:eastAsia="Times New Roman" w:hAnsi="Verdana" w:cs="Arial"/>
          <w:sz w:val="20"/>
          <w:szCs w:val="20"/>
          <w:lang w:val="es-ES" w:eastAsia="es-ES"/>
        </w:rPr>
        <w:t xml:space="preserve">[…] desde la perspectiva constitucional, en el nivel nacional las empresas de servicios públicos públicas, mixtas o privadas en las </w:t>
      </w:r>
      <w:r w:rsidRPr="00270257">
        <w:rPr>
          <w:rFonts w:ascii="Verdana" w:eastAsia="Times New Roman" w:hAnsi="Verdana" w:cs="Arial"/>
          <w:i/>
          <w:sz w:val="20"/>
          <w:szCs w:val="20"/>
          <w:lang w:val="es-ES" w:eastAsia="es-ES"/>
        </w:rPr>
        <w:t>cuales haya cualquier porcentaje de capital público pueden formar parte de la estructura de la Rama Ejecutiva</w:t>
      </w:r>
      <w:r w:rsidRPr="00270257">
        <w:rPr>
          <w:rFonts w:ascii="Verdana" w:eastAsia="Times New Roman" w:hAnsi="Verdana" w:cs="Arial"/>
          <w:sz w:val="20"/>
          <w:szCs w:val="20"/>
          <w:lang w:val="es-ES" w:eastAsia="es-ES"/>
        </w:rPr>
        <w:t>, según lo disponga el legislador, que para esos efectos está revestido de las facultades que le confiere expresamente el numeral 7° del artículo150 superior (énfasis fuera de texto)”</w:t>
      </w:r>
      <w:r w:rsidRPr="00270257">
        <w:rPr>
          <w:rStyle w:val="Refdenotaalpie"/>
          <w:rFonts w:ascii="Verdana" w:eastAsia="Times New Roman" w:hAnsi="Verdana" w:cs="Arial"/>
          <w:sz w:val="20"/>
          <w:szCs w:val="20"/>
          <w:lang w:val="es-ES" w:eastAsia="es-ES"/>
        </w:rPr>
        <w:footnoteReference w:id="6"/>
      </w:r>
    </w:p>
    <w:p w14:paraId="5A328053" w14:textId="77777777" w:rsidR="004075DF" w:rsidRDefault="004075DF" w:rsidP="006C44E2">
      <w:pPr>
        <w:tabs>
          <w:tab w:val="left" w:pos="0"/>
        </w:tabs>
        <w:spacing w:after="0" w:line="276" w:lineRule="auto"/>
        <w:ind w:left="709" w:right="709"/>
        <w:jc w:val="both"/>
        <w:rPr>
          <w:rFonts w:ascii="Verdana" w:eastAsia="Times New Roman" w:hAnsi="Verdana" w:cs="Arial"/>
          <w:sz w:val="20"/>
          <w:szCs w:val="20"/>
          <w:lang w:val="es-ES" w:eastAsia="es-ES"/>
        </w:rPr>
      </w:pPr>
    </w:p>
    <w:p w14:paraId="3F6736D6" w14:textId="77777777" w:rsidR="00945B48" w:rsidRPr="00270257" w:rsidRDefault="00945B48" w:rsidP="006C44E2">
      <w:pPr>
        <w:tabs>
          <w:tab w:val="left" w:pos="0"/>
        </w:tabs>
        <w:spacing w:after="120" w:line="276" w:lineRule="auto"/>
        <w:jc w:val="both"/>
        <w:rPr>
          <w:rFonts w:ascii="Verdana" w:eastAsia="Times New Roman" w:hAnsi="Verdana" w:cs="Arial"/>
          <w:lang w:val="es-ES" w:eastAsia="es-ES"/>
        </w:rPr>
      </w:pPr>
      <w:r>
        <w:rPr>
          <w:rFonts w:ascii="Verdana" w:eastAsia="Times New Roman" w:hAnsi="Verdana" w:cs="Arial"/>
          <w:lang w:val="es-ES" w:eastAsia="es-ES"/>
        </w:rPr>
        <w:tab/>
        <w:t>Lo expuesto, permite resaltar</w:t>
      </w:r>
      <w:r w:rsidRPr="00270257">
        <w:rPr>
          <w:rFonts w:ascii="Verdana" w:eastAsia="Times New Roman" w:hAnsi="Verdana" w:cs="Arial"/>
          <w:lang w:val="es-ES" w:eastAsia="es-ES"/>
        </w:rPr>
        <w:t xml:space="preserve"> la flexibilidad constitucional al legislador colombiano</w:t>
      </w:r>
      <w:r>
        <w:rPr>
          <w:rFonts w:ascii="Verdana" w:eastAsia="Times New Roman" w:hAnsi="Verdana" w:cs="Arial"/>
          <w:lang w:val="es-ES" w:eastAsia="es-ES"/>
        </w:rPr>
        <w:t xml:space="preserve"> de</w:t>
      </w:r>
      <w:r w:rsidRPr="00270257">
        <w:rPr>
          <w:rFonts w:ascii="Verdana" w:eastAsia="Times New Roman" w:hAnsi="Verdana" w:cs="Arial"/>
          <w:lang w:val="es-ES" w:eastAsia="es-ES"/>
        </w:rPr>
        <w:t xml:space="preserve"> incorporar empresas de servicios públicos —ya sean públicas, mixtas o privadas con participación estatal— dentro de la estructura de la Rama Ejecutiva. Esta posibilida</w:t>
      </w:r>
      <w:r>
        <w:rPr>
          <w:rFonts w:ascii="Verdana" w:eastAsia="Times New Roman" w:hAnsi="Verdana" w:cs="Arial"/>
          <w:lang w:val="es-ES" w:eastAsia="es-ES"/>
        </w:rPr>
        <w:t>d se justifica</w:t>
      </w:r>
      <w:r w:rsidRPr="00270257">
        <w:rPr>
          <w:rFonts w:ascii="Verdana" w:eastAsia="Times New Roman" w:hAnsi="Verdana" w:cs="Arial"/>
          <w:lang w:val="es-ES" w:eastAsia="es-ES"/>
        </w:rPr>
        <w:t xml:space="preserve"> en el numeral 7° del artículo 150 de la Constitución, que </w:t>
      </w:r>
      <w:r>
        <w:rPr>
          <w:rFonts w:ascii="Verdana" w:eastAsia="Times New Roman" w:hAnsi="Verdana" w:cs="Arial"/>
          <w:lang w:val="es-ES" w:eastAsia="es-ES"/>
        </w:rPr>
        <w:t xml:space="preserve">otorga la competencia </w:t>
      </w:r>
      <w:r w:rsidRPr="00270257">
        <w:rPr>
          <w:rFonts w:ascii="Verdana" w:eastAsia="Times New Roman" w:hAnsi="Verdana" w:cs="Arial"/>
          <w:lang w:val="es-ES" w:eastAsia="es-ES"/>
        </w:rPr>
        <w:t xml:space="preserve">al Congreso la facultad de organizar la </w:t>
      </w:r>
      <w:r w:rsidRPr="00270257">
        <w:rPr>
          <w:rFonts w:ascii="Verdana" w:eastAsia="Times New Roman" w:hAnsi="Verdana" w:cs="Arial"/>
          <w:lang w:val="es-ES" w:eastAsia="es-ES"/>
        </w:rPr>
        <w:lastRenderedPageBreak/>
        <w:t>a</w:t>
      </w:r>
      <w:r>
        <w:rPr>
          <w:rFonts w:ascii="Verdana" w:eastAsia="Times New Roman" w:hAnsi="Verdana" w:cs="Arial"/>
          <w:lang w:val="es-ES" w:eastAsia="es-ES"/>
        </w:rPr>
        <w:t>dministración nacional. De esta manera, no</w:t>
      </w:r>
      <w:r w:rsidRPr="00270257">
        <w:rPr>
          <w:rFonts w:ascii="Verdana" w:eastAsia="Times New Roman" w:hAnsi="Verdana" w:cs="Arial"/>
          <w:lang w:val="es-ES" w:eastAsia="es-ES"/>
        </w:rPr>
        <w:t xml:space="preserve"> es necesario que la empresa sea completamente pública para que pueda </w:t>
      </w:r>
      <w:r>
        <w:rPr>
          <w:rFonts w:ascii="Verdana" w:eastAsia="Times New Roman" w:hAnsi="Verdana" w:cs="Arial"/>
          <w:lang w:val="es-ES" w:eastAsia="es-ES"/>
        </w:rPr>
        <w:t>considerarse parte del Estado.</w:t>
      </w:r>
    </w:p>
    <w:p w14:paraId="75AF8887" w14:textId="77777777" w:rsidR="00945B48" w:rsidRPr="00270257" w:rsidRDefault="00945B48" w:rsidP="00945B48">
      <w:pPr>
        <w:tabs>
          <w:tab w:val="left" w:pos="0"/>
        </w:tabs>
        <w:spacing w:before="120" w:after="0" w:line="276" w:lineRule="auto"/>
        <w:ind w:firstLine="709"/>
        <w:jc w:val="both"/>
        <w:rPr>
          <w:rFonts w:ascii="Verdana" w:eastAsia="Times New Roman" w:hAnsi="Verdana" w:cs="Arial"/>
          <w:sz w:val="20"/>
          <w:szCs w:val="20"/>
          <w:lang w:val="es-ES" w:eastAsia="es-ES"/>
        </w:rPr>
      </w:pPr>
      <w:r>
        <w:rPr>
          <w:rFonts w:ascii="Verdana" w:eastAsia="Times New Roman" w:hAnsi="Verdana" w:cs="Times New Roman"/>
          <w:lang w:val="es-ES" w:eastAsia="es-ES"/>
        </w:rPr>
        <w:t>Posteriormente, en la Sentencia precitada haciendo un análisis de los artículos 38 y 68 de la Ley 489 de 1998 sobre la integración de la Rama Ejecutiva del Poder Público en el orden nacional y cuáles son las entidades descentralizadas del orden nacional, solo se incluyen a las empresas de servicios públicos domiciliarios, pero no de manera expresa a las empresas mixtas o privadas de la misma naturaleza. En este sentido, se cuestiona la constitucionalidad de dichos artículos, teniendo en cuenta que los numerales 6 y 7 del artículo 14 de la Ley 142 de 1994 señalan que son tipos societarios con capital del Estado y de los particulares:</w:t>
      </w:r>
    </w:p>
    <w:p w14:paraId="6A15AC9C" w14:textId="77777777" w:rsidR="00945B48" w:rsidRDefault="00945B48" w:rsidP="00945B4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val="es-ES" w:eastAsia="es-ES"/>
        </w:rPr>
      </w:pPr>
    </w:p>
    <w:p w14:paraId="5C8BC964" w14:textId="77777777" w:rsidR="00945B48" w:rsidRPr="00585A53" w:rsidRDefault="00945B48" w:rsidP="00945B4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14.6. Empresa de servicios públicos mixta. Es aquella en cuyo capital la Nación, las entidades territoriales, o las entidades descentralizadas de aquella o </w:t>
      </w:r>
      <w:r w:rsidRPr="00585A53">
        <w:rPr>
          <w:rFonts w:ascii="Verdana" w:eastAsia="Times New Roman" w:hAnsi="Verdana" w:cs="Times New Roman"/>
          <w:i/>
          <w:sz w:val="20"/>
          <w:lang w:eastAsia="es-ES"/>
        </w:rPr>
        <w:t>éstas tienen aportes iguales o superiores al 50%. </w:t>
      </w:r>
    </w:p>
    <w:p w14:paraId="79B9F0AB" w14:textId="77777777" w:rsidR="00945B48" w:rsidRPr="00585A53" w:rsidRDefault="00945B48" w:rsidP="00945B4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w:t>
      </w:r>
    </w:p>
    <w:p w14:paraId="6D52CD2D" w14:textId="77777777" w:rsidR="00945B48" w:rsidRPr="00585A53" w:rsidRDefault="00945B48" w:rsidP="00945B4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40" w:lineRule="auto"/>
        <w:ind w:left="709" w:right="709"/>
        <w:jc w:val="both"/>
        <w:rPr>
          <w:rFonts w:ascii="Verdana" w:eastAsia="Times New Roman" w:hAnsi="Verdana" w:cs="Times New Roman"/>
          <w:sz w:val="20"/>
          <w:lang w:eastAsia="es-ES"/>
        </w:rPr>
      </w:pPr>
      <w:r w:rsidRPr="00585A53">
        <w:rPr>
          <w:rFonts w:ascii="Verdana" w:eastAsia="Times New Roman" w:hAnsi="Verdana" w:cs="Times New Roman"/>
          <w:sz w:val="20"/>
          <w:lang w:eastAsia="es-ES"/>
        </w:rPr>
        <w:t xml:space="preserve">14.7. Empresa de servicios públicos privada. Es aquella cuyo capital pertenece </w:t>
      </w:r>
      <w:r w:rsidRPr="00585A53">
        <w:rPr>
          <w:rFonts w:ascii="Verdana" w:eastAsia="Times New Roman" w:hAnsi="Verdana" w:cs="Times New Roman"/>
          <w:i/>
          <w:sz w:val="20"/>
          <w:lang w:eastAsia="es-ES"/>
        </w:rPr>
        <w:t>mayoritariamente</w:t>
      </w:r>
      <w:r w:rsidRPr="00585A53">
        <w:rPr>
          <w:rFonts w:ascii="Verdana" w:eastAsia="Times New Roman" w:hAnsi="Verdana" w:cs="Times New Roman"/>
          <w:sz w:val="20"/>
          <w:lang w:eastAsia="es-ES"/>
        </w:rPr>
        <w:t xml:space="preserve"> a particulares, o a entidades surgidas de convenios internacionales que deseen someterse íntegramente para estos efectos a las reglas a las que se someten los p</w:t>
      </w:r>
      <w:r>
        <w:rPr>
          <w:rFonts w:ascii="Verdana" w:eastAsia="Times New Roman" w:hAnsi="Verdana" w:cs="Times New Roman"/>
          <w:sz w:val="20"/>
          <w:lang w:eastAsia="es-ES"/>
        </w:rPr>
        <w:t xml:space="preserve">articulares (énfasis fuera de texto) </w:t>
      </w:r>
    </w:p>
    <w:p w14:paraId="1C961755" w14:textId="77777777" w:rsidR="00945B48" w:rsidRPr="00585A53" w:rsidRDefault="00945B48" w:rsidP="00945B48">
      <w:pPr>
        <w:tabs>
          <w:tab w:val="left" w:pos="720"/>
          <w:tab w:val="left" w:pos="1440"/>
          <w:tab w:val="left" w:pos="2160"/>
          <w:tab w:val="left" w:pos="2880"/>
          <w:tab w:val="left" w:pos="3600"/>
          <w:tab w:val="left" w:pos="4320"/>
          <w:tab w:val="left" w:pos="5040"/>
          <w:tab w:val="left" w:pos="5760"/>
          <w:tab w:val="left" w:pos="6480"/>
          <w:tab w:val="left" w:pos="7200"/>
          <w:tab w:val="left" w:pos="8640"/>
        </w:tabs>
        <w:spacing w:after="0" w:line="276" w:lineRule="auto"/>
        <w:jc w:val="both"/>
        <w:rPr>
          <w:rFonts w:ascii="Verdana" w:eastAsia="Times New Roman" w:hAnsi="Verdana" w:cs="Times New Roman"/>
          <w:lang w:eastAsia="es-ES"/>
        </w:rPr>
      </w:pPr>
    </w:p>
    <w:p w14:paraId="4509E594" w14:textId="77777777" w:rsidR="00945B48" w:rsidRDefault="00945B48" w:rsidP="00945B48">
      <w:pPr>
        <w:spacing w:after="120" w:line="276" w:lineRule="auto"/>
        <w:jc w:val="both"/>
        <w:rPr>
          <w:rFonts w:ascii="Verdana" w:eastAsia="Times New Roman" w:hAnsi="Verdana" w:cs="Times New Roman"/>
          <w:lang w:val="es-ES" w:eastAsia="es-ES"/>
        </w:rPr>
      </w:pPr>
      <w:r w:rsidRPr="00DE3ED2">
        <w:rPr>
          <w:rFonts w:ascii="Verdana" w:eastAsia="Times New Roman" w:hAnsi="Verdana" w:cs="Times New Roman"/>
          <w:lang w:val="es-ES" w:eastAsia="es-ES"/>
        </w:rPr>
        <w:tab/>
        <w:t xml:space="preserve">En este aspecto, la Sentencia expresa que una empresa de servicios públicos privada es aquella cuyo capital pertenece de forma mayoritaria a particulares, lo que implica que hay una participación minoritaria de las entidades del Estado. Mientras, una empresa de servicios públicos mixta es aquella en la cual el capital público </w:t>
      </w:r>
      <w:r w:rsidRPr="00E0284C">
        <w:rPr>
          <w:rFonts w:ascii="Verdana" w:eastAsia="Times New Roman" w:hAnsi="Verdana" w:cs="Times New Roman"/>
          <w:lang w:val="es-ES" w:eastAsia="es-ES"/>
        </w:rPr>
        <w:t>es igual o superior al</w:t>
      </w:r>
      <w:r w:rsidRPr="00DE3ED2">
        <w:rPr>
          <w:rFonts w:ascii="Verdana" w:eastAsia="Times New Roman" w:hAnsi="Verdana" w:cs="Times New Roman"/>
          <w:lang w:val="es-ES" w:eastAsia="es-ES"/>
        </w:rPr>
        <w:t xml:space="preserve"> cin</w:t>
      </w:r>
      <w:r>
        <w:rPr>
          <w:rFonts w:ascii="Verdana" w:eastAsia="Times New Roman" w:hAnsi="Verdana" w:cs="Times New Roman"/>
          <w:lang w:val="es-ES" w:eastAsia="es-ES"/>
        </w:rPr>
        <w:t>cuenta por ciento (50%), lo que implica</w:t>
      </w:r>
      <w:r w:rsidRPr="00DE3ED2">
        <w:rPr>
          <w:rFonts w:ascii="Verdana" w:eastAsia="Times New Roman" w:hAnsi="Verdana" w:cs="Times New Roman"/>
          <w:lang w:val="es-ES" w:eastAsia="es-ES"/>
        </w:rPr>
        <w:t xml:space="preserve"> </w:t>
      </w:r>
      <w:r w:rsidRPr="00E0284C">
        <w:rPr>
          <w:rFonts w:ascii="Verdana" w:eastAsia="Times New Roman" w:hAnsi="Verdana" w:cs="Times New Roman"/>
          <w:lang w:val="es-ES" w:eastAsia="es-ES"/>
        </w:rPr>
        <w:t>que</w:t>
      </w:r>
      <w:r>
        <w:rPr>
          <w:rFonts w:ascii="Verdana" w:eastAsia="Times New Roman" w:hAnsi="Verdana" w:cs="Times New Roman"/>
          <w:lang w:val="es-ES" w:eastAsia="es-ES"/>
        </w:rPr>
        <w:t>,</w:t>
      </w:r>
      <w:r w:rsidRPr="00E0284C">
        <w:rPr>
          <w:rFonts w:ascii="Verdana" w:eastAsia="Times New Roman" w:hAnsi="Verdana" w:cs="Times New Roman"/>
          <w:lang w:val="es-ES" w:eastAsia="es-ES"/>
        </w:rPr>
        <w:t xml:space="preserve"> </w:t>
      </w:r>
      <w:r w:rsidRPr="00E0284C">
        <w:rPr>
          <w:rFonts w:ascii="Verdana" w:eastAsia="Times New Roman" w:hAnsi="Verdana" w:cs="Times New Roman"/>
          <w:i/>
          <w:iCs/>
          <w:lang w:val="es-ES" w:eastAsia="es-ES"/>
        </w:rPr>
        <w:t xml:space="preserve">minoritariamente </w:t>
      </w:r>
      <w:r w:rsidRPr="00E0284C">
        <w:rPr>
          <w:rFonts w:ascii="Verdana" w:eastAsia="Times New Roman" w:hAnsi="Verdana" w:cs="Times New Roman"/>
          <w:lang w:val="es-ES" w:eastAsia="es-ES"/>
        </w:rPr>
        <w:t xml:space="preserve">pertenece a particulares. </w:t>
      </w:r>
    </w:p>
    <w:p w14:paraId="27B94678" w14:textId="77777777" w:rsidR="00945B48" w:rsidRPr="00FF6C85" w:rsidRDefault="00945B48" w:rsidP="00945B48">
      <w:pPr>
        <w:spacing w:after="120" w:line="276" w:lineRule="auto"/>
        <w:jc w:val="both"/>
        <w:rPr>
          <w:rFonts w:ascii="Verdana" w:eastAsia="Times New Roman" w:hAnsi="Verdana" w:cs="Times New Roman"/>
          <w:lang w:val="es-ES" w:eastAsia="es-ES"/>
        </w:rPr>
      </w:pPr>
      <w:r>
        <w:rPr>
          <w:rFonts w:ascii="Verdana" w:eastAsia="Times New Roman" w:hAnsi="Verdana" w:cs="Times New Roman"/>
          <w:lang w:val="es-ES" w:eastAsia="es-ES"/>
        </w:rPr>
        <w:tab/>
        <w:t>Posterior a estas precisiones, la Corte Constitucional</w:t>
      </w:r>
      <w:r w:rsidRPr="008B3502">
        <w:rPr>
          <w:rFonts w:ascii="Verdana" w:eastAsia="Calibri" w:hAnsi="Verdana" w:cs="Arial"/>
          <w:bCs/>
          <w:color w:val="000000" w:themeColor="text1"/>
          <w:lang w:val="es-ES"/>
        </w:rPr>
        <w:t>, al analizar el artículo 38 de la Ley 489 de 1998, concluyó que</w:t>
      </w:r>
      <w:r>
        <w:rPr>
          <w:rFonts w:ascii="Verdana" w:eastAsia="Calibri" w:hAnsi="Verdana" w:cs="Arial"/>
          <w:bCs/>
          <w:color w:val="000000" w:themeColor="text1"/>
          <w:lang w:val="es-ES"/>
        </w:rPr>
        <w:t>,</w:t>
      </w:r>
      <w:r w:rsidRPr="008B3502">
        <w:rPr>
          <w:rFonts w:ascii="Verdana" w:eastAsia="Calibri" w:hAnsi="Verdana" w:cs="Arial"/>
          <w:bCs/>
          <w:color w:val="000000" w:themeColor="text1"/>
          <w:lang w:val="es-ES"/>
        </w:rPr>
        <w:t xml:space="preserve"> aunque el literal d) menciona únicamente a las empresas oficiales de servicios públicos domiciliarios como parte de la Rama Ejecutiva, el literal g) permite una interpretación más amplia. Este último incluye a todas las entidades administrativas nacionales con personería jurídica creadas o autorizadas por la ley, lo que abarca también a las empresas de servicios públicos mixtas o privadas. Por tanto, estas empresas pueden considerarse parte del sector descentralizado de la Rama Ejecutiva, lo que</w:t>
      </w:r>
      <w:r>
        <w:rPr>
          <w:rFonts w:ascii="Verdana" w:eastAsia="Calibri" w:hAnsi="Verdana" w:cs="Arial"/>
          <w:bCs/>
          <w:color w:val="000000" w:themeColor="text1"/>
          <w:lang w:val="es-ES"/>
        </w:rPr>
        <w:t xml:space="preserve"> implica la declaratoria de </w:t>
      </w:r>
      <w:r w:rsidRPr="008B3502">
        <w:rPr>
          <w:rFonts w:ascii="Verdana" w:eastAsia="Calibri" w:hAnsi="Verdana" w:cs="Arial"/>
          <w:bCs/>
          <w:color w:val="000000" w:themeColor="text1"/>
          <w:lang w:val="es-ES"/>
        </w:rPr>
        <w:t xml:space="preserve">la </w:t>
      </w:r>
      <w:proofErr w:type="spellStart"/>
      <w:r w:rsidRPr="008B3502">
        <w:rPr>
          <w:rFonts w:ascii="Verdana" w:eastAsia="Calibri" w:hAnsi="Verdana" w:cs="Arial"/>
          <w:bCs/>
          <w:color w:val="000000" w:themeColor="text1"/>
          <w:lang w:val="es-ES"/>
        </w:rPr>
        <w:t>exequibilidad</w:t>
      </w:r>
      <w:proofErr w:type="spellEnd"/>
      <w:r w:rsidRPr="008B3502">
        <w:rPr>
          <w:rFonts w:ascii="Verdana" w:eastAsia="Calibri" w:hAnsi="Verdana" w:cs="Arial"/>
          <w:bCs/>
          <w:color w:val="000000" w:themeColor="text1"/>
          <w:lang w:val="es-ES"/>
        </w:rPr>
        <w:t xml:space="preserve"> de la norma demandada.</w:t>
      </w:r>
    </w:p>
    <w:p w14:paraId="09D12C0F" w14:textId="77777777" w:rsidR="00945B48" w:rsidRDefault="00945B48" w:rsidP="006C44E2">
      <w:pPr>
        <w:tabs>
          <w:tab w:val="left" w:pos="0"/>
        </w:tabs>
        <w:spacing w:after="120" w:line="276" w:lineRule="auto"/>
        <w:ind w:firstLine="709"/>
        <w:jc w:val="both"/>
        <w:rPr>
          <w:rFonts w:ascii="Verdana" w:eastAsia="Calibri" w:hAnsi="Verdana" w:cs="Arial"/>
          <w:bCs/>
          <w:color w:val="000000" w:themeColor="text1"/>
          <w:lang w:val="es-ES"/>
        </w:rPr>
      </w:pPr>
      <w:r w:rsidRPr="008B3502">
        <w:rPr>
          <w:rFonts w:ascii="Verdana" w:eastAsia="Calibri" w:hAnsi="Verdana" w:cs="Arial"/>
          <w:bCs/>
          <w:color w:val="000000" w:themeColor="text1"/>
          <w:lang w:val="es-ES"/>
        </w:rPr>
        <w:lastRenderedPageBreak/>
        <w:t xml:space="preserve">Respecto al artículo 68, aunque se </w:t>
      </w:r>
      <w:r>
        <w:rPr>
          <w:rFonts w:ascii="Verdana" w:eastAsia="Calibri" w:hAnsi="Verdana" w:cs="Arial"/>
          <w:bCs/>
          <w:color w:val="000000" w:themeColor="text1"/>
          <w:lang w:val="es-ES"/>
        </w:rPr>
        <w:t xml:space="preserve">refiere explícitamente </w:t>
      </w:r>
      <w:r w:rsidRPr="008B3502">
        <w:rPr>
          <w:rFonts w:ascii="Verdana" w:eastAsia="Calibri" w:hAnsi="Verdana" w:cs="Arial"/>
          <w:bCs/>
          <w:color w:val="000000" w:themeColor="text1"/>
          <w:lang w:val="es-ES"/>
        </w:rPr>
        <w:t xml:space="preserve">a las empresas oficiales como entidades descentralizadas, el legislador también incluye a otras entidades con personería jurídica, autonomía administrativa y patrimonio propio, cuyo objeto sea prestar servicios públicos o realizar actividades administrativas, industriales o comerciales. Esta redacción permite incluir a las empresas mixtas o privadas de servicios públicos como entidades descentralizadas del orden nacional. En consecuencia, la Corte no encuentra reparos de constitucionalidad y declara la norma ajustada a la </w:t>
      </w:r>
      <w:r>
        <w:rPr>
          <w:rFonts w:ascii="Verdana" w:eastAsia="Calibri" w:hAnsi="Verdana" w:cs="Arial"/>
          <w:bCs/>
          <w:color w:val="000000" w:themeColor="text1"/>
          <w:lang w:val="es-ES"/>
        </w:rPr>
        <w:t xml:space="preserve">Constitución Política. </w:t>
      </w:r>
    </w:p>
    <w:p w14:paraId="3893F359" w14:textId="77777777" w:rsidR="00945B48" w:rsidRDefault="00945B48" w:rsidP="00945B48">
      <w:pPr>
        <w:tabs>
          <w:tab w:val="left" w:pos="0"/>
        </w:tabs>
        <w:spacing w:before="120" w:after="0" w:line="276" w:lineRule="auto"/>
        <w:ind w:firstLine="709"/>
        <w:jc w:val="both"/>
        <w:rPr>
          <w:rFonts w:ascii="Verdana" w:eastAsia="Calibri" w:hAnsi="Verdana" w:cs="Arial"/>
          <w:bCs/>
          <w:color w:val="000000" w:themeColor="text1"/>
          <w:lang w:val="es-ES"/>
        </w:rPr>
      </w:pPr>
      <w:r>
        <w:rPr>
          <w:rFonts w:ascii="Verdana" w:eastAsia="Calibri" w:hAnsi="Verdana" w:cs="Arial"/>
          <w:bCs/>
          <w:color w:val="000000" w:themeColor="text1"/>
          <w:lang w:val="es-ES"/>
        </w:rPr>
        <w:t xml:space="preserve">Con respecto a este tema, hay doctrina que tiene sus observaciones frente a dicha Sentencia de Constitucionalidad, expresando: </w:t>
      </w:r>
    </w:p>
    <w:p w14:paraId="1EEB6424" w14:textId="77777777" w:rsidR="00945B48" w:rsidRDefault="00945B48" w:rsidP="006C44E2">
      <w:pPr>
        <w:tabs>
          <w:tab w:val="left" w:pos="0"/>
        </w:tabs>
        <w:spacing w:after="0" w:line="276" w:lineRule="auto"/>
        <w:ind w:firstLine="709"/>
        <w:jc w:val="both"/>
        <w:rPr>
          <w:rFonts w:ascii="Verdana" w:eastAsia="Calibri" w:hAnsi="Verdana" w:cs="Arial"/>
          <w:bCs/>
          <w:color w:val="000000" w:themeColor="text1"/>
          <w:lang w:val="es-ES"/>
        </w:rPr>
      </w:pPr>
    </w:p>
    <w:p w14:paraId="476D8581" w14:textId="77777777" w:rsidR="00391948" w:rsidRPr="00435AFF" w:rsidRDefault="00391948" w:rsidP="00391948">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De hecho, allí no se afirma, ni se deduce, que los operadores de los servicios públicos deban o tengan que ser entidades de naturaleza especial, y sobre todo distintas de los establecimientos públicos, de las empresas industriales y comerciales y de las sociedades de economía mixta. Más bien, se observa que la norma le concedió libertad de configuración al legislador para que hiciera en este tema lo que considerara más conveniente, y así debió reconocerlo la Corte.</w:t>
      </w:r>
    </w:p>
    <w:p w14:paraId="4FA78A31" w14:textId="77777777" w:rsidR="00391948" w:rsidRPr="00435AFF" w:rsidRDefault="00391948" w:rsidP="00391948">
      <w:pPr>
        <w:tabs>
          <w:tab w:val="left" w:pos="0"/>
        </w:tabs>
        <w:spacing w:after="0" w:line="240" w:lineRule="auto"/>
        <w:ind w:left="709" w:right="709"/>
        <w:jc w:val="both"/>
        <w:rPr>
          <w:rFonts w:ascii="Verdana" w:eastAsia="Calibri" w:hAnsi="Verdana" w:cs="Arial"/>
          <w:bCs/>
          <w:color w:val="000000" w:themeColor="text1"/>
          <w:sz w:val="20"/>
        </w:rPr>
      </w:pPr>
    </w:p>
    <w:p w14:paraId="4B0D3145" w14:textId="5BB7CC81" w:rsidR="00391948" w:rsidRPr="00435AFF" w:rsidRDefault="00391948" w:rsidP="00391948">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Ahora, el error de este criterio se proyecta en dos sentidos: de un lado, en el hecho de que no solo las empresas mixtas de servicios públicos domiciliarios son diferentes a las sociedades de economía mixta, y de otro, porque no pueden confundirse pues se viola la Constitución, ya que las empresas oficiales –algunas de las cuales son empresas industriales y comerciales del Estado- tampoco podrían tener esta naturaleza jurídica, porque se asimilarían a las empresas industriales y comerciales del Estado convencionales, de manera que se violaría la Constitución.</w:t>
      </w:r>
    </w:p>
    <w:p w14:paraId="236D9DE6" w14:textId="77777777" w:rsidR="00391948" w:rsidRPr="00435AFF" w:rsidRDefault="00391948" w:rsidP="00391948">
      <w:pPr>
        <w:tabs>
          <w:tab w:val="left" w:pos="0"/>
        </w:tabs>
        <w:spacing w:after="0" w:line="240" w:lineRule="auto"/>
        <w:ind w:left="709" w:right="709"/>
        <w:jc w:val="both"/>
        <w:rPr>
          <w:rFonts w:ascii="Verdana" w:eastAsia="Calibri" w:hAnsi="Verdana" w:cs="Arial"/>
          <w:bCs/>
          <w:color w:val="000000" w:themeColor="text1"/>
          <w:sz w:val="20"/>
        </w:rPr>
      </w:pPr>
    </w:p>
    <w:p w14:paraId="5407D1C6" w14:textId="62A624A0" w:rsidR="001B2245" w:rsidRPr="00435AFF" w:rsidRDefault="00391948" w:rsidP="00143880">
      <w:pPr>
        <w:tabs>
          <w:tab w:val="left" w:pos="0"/>
        </w:tabs>
        <w:spacing w:after="0" w:line="240" w:lineRule="auto"/>
        <w:ind w:left="709" w:right="709"/>
        <w:jc w:val="both"/>
        <w:rPr>
          <w:rFonts w:ascii="Verdana" w:eastAsia="Calibri" w:hAnsi="Verdana" w:cs="Arial"/>
          <w:bCs/>
          <w:color w:val="000000" w:themeColor="text1"/>
          <w:sz w:val="20"/>
        </w:rPr>
      </w:pPr>
      <w:r w:rsidRPr="00435AFF">
        <w:rPr>
          <w:rFonts w:ascii="Verdana" w:eastAsia="Calibri" w:hAnsi="Verdana" w:cs="Arial"/>
          <w:bCs/>
          <w:color w:val="000000" w:themeColor="text1"/>
          <w:sz w:val="20"/>
        </w:rPr>
        <w:t>Lo propio cabe decir de las empresas privadas que prestan servicios públicos domiciliarios, pues ellas no podrían ser "sociedades por acciones" convencionales -es decir, las del Código de Comercio-, sino que deben ser diferentes, so pena de violar la Constitución</w:t>
      </w:r>
      <w:r>
        <w:rPr>
          <w:rStyle w:val="Refdenotaalpie"/>
          <w:rFonts w:ascii="Verdana" w:eastAsia="Calibri" w:hAnsi="Verdana" w:cs="Arial"/>
          <w:bCs/>
          <w:color w:val="000000" w:themeColor="text1"/>
          <w:sz w:val="20"/>
        </w:rPr>
        <w:footnoteReference w:id="7"/>
      </w:r>
      <w:r w:rsidRPr="00435AFF">
        <w:rPr>
          <w:rFonts w:ascii="Verdana" w:eastAsia="Calibri" w:hAnsi="Verdana" w:cs="Arial"/>
          <w:bCs/>
          <w:color w:val="000000" w:themeColor="text1"/>
          <w:sz w:val="20"/>
        </w:rPr>
        <w:t>.</w:t>
      </w:r>
    </w:p>
    <w:p w14:paraId="55AF82E9" w14:textId="77777777" w:rsidR="00B114B8" w:rsidRDefault="00B114B8" w:rsidP="006C44E2">
      <w:pPr>
        <w:spacing w:after="120" w:line="276" w:lineRule="auto"/>
        <w:ind w:firstLine="708"/>
        <w:jc w:val="both"/>
        <w:rPr>
          <w:rFonts w:ascii="Verdana" w:eastAsia="Calibri" w:hAnsi="Verdana" w:cs="Arial"/>
          <w:color w:val="000000" w:themeColor="text1"/>
          <w:lang w:val="es-ES"/>
        </w:rPr>
      </w:pPr>
    </w:p>
    <w:p w14:paraId="3579F58C" w14:textId="49B59204" w:rsidR="00945B48" w:rsidRPr="00CF3F1B" w:rsidRDefault="00945B48" w:rsidP="006C44E2">
      <w:pPr>
        <w:spacing w:after="120" w:line="276" w:lineRule="auto"/>
        <w:ind w:firstLine="708"/>
        <w:jc w:val="both"/>
        <w:rPr>
          <w:rFonts w:ascii="Verdana" w:eastAsia="Calibri" w:hAnsi="Verdana" w:cs="Arial"/>
          <w:lang w:val="es-ES_tradnl"/>
        </w:rPr>
      </w:pPr>
      <w:r>
        <w:rPr>
          <w:rFonts w:ascii="Verdana" w:eastAsia="Calibri" w:hAnsi="Verdana" w:cs="Arial"/>
          <w:color w:val="000000" w:themeColor="text1"/>
          <w:lang w:val="es-ES"/>
        </w:rPr>
        <w:t xml:space="preserve">A pesar de las discusiones e implicaciones que pueda tener, es importante tener en cuenta lo expresado por la Corte Constitucional, siendo pertinente </w:t>
      </w:r>
      <w:r>
        <w:rPr>
          <w:rFonts w:ascii="Verdana" w:eastAsia="Calibri" w:hAnsi="Verdana" w:cs="Arial"/>
          <w:color w:val="000000" w:themeColor="text1"/>
          <w:lang w:val="es-ES"/>
        </w:rPr>
        <w:lastRenderedPageBreak/>
        <w:t xml:space="preserve">señalar que las empresas de servicios públicos mixtas y empresas privadas de servicios </w:t>
      </w:r>
      <w:r w:rsidRPr="00CF3F1B">
        <w:rPr>
          <w:rFonts w:ascii="Verdana" w:eastAsia="Calibri" w:hAnsi="Verdana" w:cs="Arial"/>
          <w:lang w:val="es-ES"/>
        </w:rPr>
        <w:t>públicos con participación pública son consideradas entidades descentralizadas por servicios.</w:t>
      </w:r>
    </w:p>
    <w:p w14:paraId="22CDD673" w14:textId="77777777" w:rsidR="00945B48" w:rsidRPr="00CF3F1B" w:rsidRDefault="00945B48" w:rsidP="00945B48">
      <w:pPr>
        <w:tabs>
          <w:tab w:val="left" w:pos="709"/>
        </w:tabs>
        <w:spacing w:after="0" w:line="276" w:lineRule="auto"/>
        <w:jc w:val="both"/>
        <w:rPr>
          <w:rFonts w:ascii="Verdana" w:eastAsia="Calibri" w:hAnsi="Verdana" w:cs="Arial"/>
          <w:bCs/>
        </w:rPr>
      </w:pPr>
      <w:r w:rsidRPr="00CF3F1B">
        <w:rPr>
          <w:rFonts w:ascii="Verdana" w:eastAsia="Calibri" w:hAnsi="Verdana" w:cs="Arial"/>
          <w:lang w:eastAsia="es-ES"/>
        </w:rPr>
        <w:tab/>
      </w:r>
      <w:r w:rsidRPr="00CF3F1B">
        <w:rPr>
          <w:rFonts w:ascii="Verdana" w:eastAsia="Calibri" w:hAnsi="Verdana" w:cs="Arial"/>
          <w:bCs/>
        </w:rPr>
        <w:t xml:space="preserve">Al margen de la explicación precedente debe advertirse que </w:t>
      </w:r>
      <w:r w:rsidRPr="00CF3F1B">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CF3F1B">
        <w:rPr>
          <w:rFonts w:ascii="Verdana" w:eastAsia="Calibri" w:hAnsi="Verdana" w:cs="Arial"/>
          <w:bCs/>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A8C468" w14:textId="77777777" w:rsidR="00945B48" w:rsidRPr="00BC4191" w:rsidRDefault="00945B48" w:rsidP="00945B48">
      <w:pPr>
        <w:tabs>
          <w:tab w:val="left" w:pos="709"/>
        </w:tabs>
        <w:spacing w:after="0" w:line="276" w:lineRule="auto"/>
        <w:jc w:val="both"/>
        <w:rPr>
          <w:rFonts w:ascii="Verdana" w:eastAsia="Calibri" w:hAnsi="Verdana" w:cs="Arial"/>
          <w:bCs/>
          <w:color w:val="EE0000"/>
        </w:rPr>
      </w:pPr>
    </w:p>
    <w:bookmarkEnd w:id="1"/>
    <w:bookmarkEnd w:id="2"/>
    <w:p w14:paraId="5E83A052" w14:textId="4842B9DB" w:rsidR="00945B48" w:rsidRPr="00FE2A2F" w:rsidRDefault="00945B48" w:rsidP="004075DF">
      <w:pPr>
        <w:spacing w:after="0" w:line="276" w:lineRule="auto"/>
        <w:jc w:val="both"/>
        <w:rPr>
          <w:rFonts w:ascii="Verdana" w:eastAsia="Century Gothic" w:hAnsi="Verdana" w:cs="Century Gothic"/>
          <w:b/>
          <w:lang w:val="es-ES"/>
        </w:rPr>
      </w:pPr>
      <w:r w:rsidRPr="00FE2A2F">
        <w:rPr>
          <w:rFonts w:ascii="Verdana" w:eastAsia="Century Gothic" w:hAnsi="Verdana" w:cs="Century Gothic"/>
          <w:b/>
          <w:lang w:val="es-ES"/>
        </w:rPr>
        <w:t>4. Referencias normativas, jurisprudenciales y otras fuentes:</w:t>
      </w:r>
    </w:p>
    <w:p w14:paraId="42E0DDA0" w14:textId="77777777" w:rsidR="004075DF" w:rsidRPr="004075DF" w:rsidRDefault="004075DF" w:rsidP="006C44E2">
      <w:pPr>
        <w:spacing w:after="0" w:line="276" w:lineRule="auto"/>
        <w:jc w:val="both"/>
        <w:rPr>
          <w:rFonts w:ascii="Verdana" w:eastAsia="Century Gothic" w:hAnsi="Verdana" w:cs="Century Gothic"/>
          <w:b/>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45B48" w:rsidRPr="00BC4191" w14:paraId="33396E98" w14:textId="77777777" w:rsidTr="007E7A3C">
        <w:trPr>
          <w:trHeight w:val="870"/>
        </w:trPr>
        <w:tc>
          <w:tcPr>
            <w:tcW w:w="8647" w:type="dxa"/>
          </w:tcPr>
          <w:p w14:paraId="7AAA621F" w14:textId="77777777" w:rsidR="00945B48" w:rsidRPr="00325F0C" w:rsidRDefault="00945B48" w:rsidP="006C44E2">
            <w:pPr>
              <w:widowControl w:val="0"/>
              <w:numPr>
                <w:ilvl w:val="0"/>
                <w:numId w:val="16"/>
              </w:numPr>
              <w:autoSpaceDE w:val="0"/>
              <w:autoSpaceDN w:val="0"/>
              <w:spacing w:line="276" w:lineRule="auto"/>
              <w:jc w:val="both"/>
              <w:rPr>
                <w:rFonts w:ascii="Verdana" w:eastAsia="Arial MT" w:hAnsi="Verdana" w:cs="Arial"/>
                <w:lang w:val="es-ES" w:eastAsia="es-ES" w:bidi="es-ES"/>
              </w:rPr>
            </w:pPr>
            <w:r w:rsidRPr="00B57A1B">
              <w:rPr>
                <w:rFonts w:ascii="Verdana" w:eastAsia="Arial MT" w:hAnsi="Verdana" w:cs="Arial"/>
                <w:lang w:val="es-ES" w:eastAsia="es-ES" w:bidi="es-ES"/>
              </w:rPr>
              <w:t xml:space="preserve">Ley 80 de 1993, </w:t>
            </w:r>
            <w:r>
              <w:rPr>
                <w:rFonts w:ascii="Verdana" w:eastAsia="Arial MT" w:hAnsi="Verdana" w:cs="Arial"/>
                <w:lang w:val="es-ES" w:eastAsia="es-ES" w:bidi="es-ES"/>
              </w:rPr>
              <w:t>artículo 32.</w:t>
            </w:r>
          </w:p>
          <w:p w14:paraId="75833486" w14:textId="77777777" w:rsidR="00945B48" w:rsidRPr="000321F7" w:rsidRDefault="00945B48" w:rsidP="006C44E2">
            <w:pPr>
              <w:pStyle w:val="Prrafodelista"/>
              <w:widowControl w:val="0"/>
              <w:numPr>
                <w:ilvl w:val="0"/>
                <w:numId w:val="16"/>
              </w:numPr>
              <w:autoSpaceDE w:val="0"/>
              <w:autoSpaceDN w:val="0"/>
              <w:spacing w:line="276" w:lineRule="auto"/>
              <w:contextualSpacing w:val="0"/>
              <w:jc w:val="both"/>
              <w:rPr>
                <w:rFonts w:ascii="Verdana" w:hAnsi="Verdana" w:cs="Arial"/>
              </w:rPr>
            </w:pPr>
            <w:r w:rsidRPr="000321F7">
              <w:rPr>
                <w:rFonts w:ascii="Verdana" w:hAnsi="Verdana" w:cs="Arial"/>
              </w:rPr>
              <w:t>Ley 142 de 1994, artículo</w:t>
            </w:r>
            <w:r>
              <w:rPr>
                <w:rFonts w:ascii="Verdana" w:hAnsi="Verdana" w:cs="Arial"/>
              </w:rPr>
              <w:t>s</w:t>
            </w:r>
            <w:r w:rsidRPr="000321F7">
              <w:rPr>
                <w:rFonts w:ascii="Verdana" w:hAnsi="Verdana" w:cs="Arial"/>
              </w:rPr>
              <w:t xml:space="preserve"> 14, 17, 31 y 32.</w:t>
            </w:r>
          </w:p>
          <w:p w14:paraId="4582DCDC" w14:textId="77777777" w:rsidR="00945B48" w:rsidRPr="000321F7" w:rsidRDefault="00945B48" w:rsidP="006C44E2">
            <w:pPr>
              <w:pStyle w:val="Prrafodelista"/>
              <w:widowControl w:val="0"/>
              <w:numPr>
                <w:ilvl w:val="0"/>
                <w:numId w:val="16"/>
              </w:numPr>
              <w:autoSpaceDE w:val="0"/>
              <w:autoSpaceDN w:val="0"/>
              <w:spacing w:line="276" w:lineRule="auto"/>
              <w:contextualSpacing w:val="0"/>
              <w:jc w:val="both"/>
              <w:rPr>
                <w:rFonts w:ascii="Verdana" w:hAnsi="Verdana" w:cs="Arial"/>
              </w:rPr>
            </w:pPr>
            <w:r w:rsidRPr="000321F7">
              <w:rPr>
                <w:rFonts w:ascii="Verdana" w:hAnsi="Verdana" w:cs="Arial"/>
              </w:rPr>
              <w:t>Ley 489 de 1998, artículo 38.</w:t>
            </w:r>
          </w:p>
          <w:p w14:paraId="485FB837" w14:textId="77777777" w:rsidR="00945B48" w:rsidRDefault="00945B48" w:rsidP="006C44E2">
            <w:pPr>
              <w:pStyle w:val="Prrafodelista"/>
              <w:widowControl w:val="0"/>
              <w:numPr>
                <w:ilvl w:val="0"/>
                <w:numId w:val="16"/>
              </w:numPr>
              <w:autoSpaceDE w:val="0"/>
              <w:autoSpaceDN w:val="0"/>
              <w:spacing w:line="276" w:lineRule="auto"/>
              <w:contextualSpacing w:val="0"/>
              <w:jc w:val="both"/>
              <w:rPr>
                <w:rFonts w:ascii="Verdana" w:hAnsi="Verdana" w:cs="Arial"/>
              </w:rPr>
            </w:pPr>
            <w:r w:rsidRPr="000321F7">
              <w:rPr>
                <w:rFonts w:ascii="Verdana" w:hAnsi="Verdana" w:cs="Arial"/>
              </w:rPr>
              <w:t>Ley 1150 de 2007, artículo 3 y 13.</w:t>
            </w:r>
          </w:p>
          <w:p w14:paraId="1B2AFD16" w14:textId="77777777" w:rsidR="00945B48" w:rsidRDefault="00945B48" w:rsidP="006C44E2">
            <w:pPr>
              <w:widowControl w:val="0"/>
              <w:numPr>
                <w:ilvl w:val="0"/>
                <w:numId w:val="16"/>
              </w:numPr>
              <w:autoSpaceDE w:val="0"/>
              <w:autoSpaceDN w:val="0"/>
              <w:spacing w:line="276" w:lineRule="auto"/>
              <w:jc w:val="both"/>
              <w:rPr>
                <w:rFonts w:ascii="Verdana" w:eastAsia="Arial MT" w:hAnsi="Verdana" w:cs="Arial"/>
                <w:lang w:val="es-ES" w:eastAsia="es-ES" w:bidi="es-ES"/>
              </w:rPr>
            </w:pPr>
            <w:r w:rsidRPr="007B7B6A">
              <w:rPr>
                <w:rFonts w:ascii="Verdana" w:eastAsia="Arial MT" w:hAnsi="Verdana" w:cs="Arial"/>
                <w:lang w:val="es-ES" w:eastAsia="es-ES" w:bidi="es-ES"/>
              </w:rPr>
              <w:t xml:space="preserve">Consejo De Estado. Sección Tercera. Subsección C. Sentencia del 13 de abril de 2011. </w:t>
            </w:r>
            <w:proofErr w:type="spellStart"/>
            <w:r w:rsidRPr="007B7B6A">
              <w:rPr>
                <w:rFonts w:ascii="Verdana" w:eastAsia="Arial MT" w:hAnsi="Verdana" w:cs="Arial"/>
                <w:lang w:val="es-ES" w:eastAsia="es-ES" w:bidi="es-ES"/>
              </w:rPr>
              <w:t>Exp</w:t>
            </w:r>
            <w:proofErr w:type="spellEnd"/>
            <w:r w:rsidRPr="007B7B6A">
              <w:rPr>
                <w:rFonts w:ascii="Verdana" w:eastAsia="Arial MT" w:hAnsi="Verdana" w:cs="Arial"/>
                <w:lang w:val="es-ES" w:eastAsia="es-ES" w:bidi="es-ES"/>
              </w:rPr>
              <w:t>. 37423. C.P. Jaime Orlando Santofimio Gamboa.</w:t>
            </w:r>
          </w:p>
          <w:p w14:paraId="5B3BE612" w14:textId="77777777" w:rsidR="00945B48" w:rsidRPr="001409F4" w:rsidRDefault="00945B48" w:rsidP="006C44E2">
            <w:pPr>
              <w:widowControl w:val="0"/>
              <w:numPr>
                <w:ilvl w:val="0"/>
                <w:numId w:val="16"/>
              </w:numPr>
              <w:autoSpaceDE w:val="0"/>
              <w:autoSpaceDN w:val="0"/>
              <w:spacing w:line="276" w:lineRule="auto"/>
              <w:jc w:val="both"/>
              <w:rPr>
                <w:rFonts w:ascii="Verdana" w:eastAsia="Arial MT" w:hAnsi="Verdana" w:cs="Arial"/>
                <w:lang w:val="es-ES" w:eastAsia="es-ES" w:bidi="es-ES"/>
              </w:rPr>
            </w:pPr>
            <w:r w:rsidRPr="0099359D">
              <w:rPr>
                <w:rFonts w:ascii="Verdana" w:eastAsia="Arial MT" w:hAnsi="Verdana" w:cs="Arial"/>
                <w:lang w:val="pt-BR" w:eastAsia="es-ES" w:bidi="es-ES"/>
              </w:rPr>
              <w:t xml:space="preserve">Corte Constitucional. Sentencia C-736 de 2007. </w:t>
            </w:r>
            <w:r w:rsidRPr="007B7B6A">
              <w:rPr>
                <w:rFonts w:ascii="Verdana" w:eastAsia="Arial MT" w:hAnsi="Verdana" w:cs="Arial"/>
                <w:lang w:val="es-ES" w:eastAsia="es-ES" w:bidi="es-ES"/>
              </w:rPr>
              <w:t>M.P. Marco Gerardo Monroy Cabra.</w:t>
            </w:r>
          </w:p>
          <w:p w14:paraId="23F61968" w14:textId="5A8D4C34" w:rsidR="00187D37" w:rsidRPr="00187D37" w:rsidRDefault="00945B48" w:rsidP="00187D37">
            <w:pPr>
              <w:pStyle w:val="Prrafodelista"/>
              <w:widowControl w:val="0"/>
              <w:numPr>
                <w:ilvl w:val="0"/>
                <w:numId w:val="16"/>
              </w:numPr>
              <w:autoSpaceDE w:val="0"/>
              <w:autoSpaceDN w:val="0"/>
              <w:spacing w:line="276" w:lineRule="auto"/>
              <w:contextualSpacing w:val="0"/>
              <w:jc w:val="both"/>
              <w:rPr>
                <w:rFonts w:ascii="Verdana" w:hAnsi="Verdana" w:cs="Arial"/>
              </w:rPr>
            </w:pPr>
            <w:r w:rsidRPr="004249E0">
              <w:rPr>
                <w:rFonts w:ascii="Verdana" w:hAnsi="Verdana"/>
                <w:lang w:val="es-CO"/>
              </w:rPr>
              <w:t>Superintendencia de Servicios Públicos Domiciliarios. Concepto 169 del 30 de marzo de 2023</w:t>
            </w:r>
            <w:r>
              <w:rPr>
                <w:rFonts w:ascii="Verdana" w:hAnsi="Verdana"/>
                <w:lang w:val="es-CO"/>
              </w:rPr>
              <w:t xml:space="preserve">. </w:t>
            </w:r>
            <w:hyperlink r:id="rId13" w:history="1">
              <w:r w:rsidRPr="004075DF">
                <w:rPr>
                  <w:rStyle w:val="Hipervnculo"/>
                  <w:rFonts w:ascii="Verdana" w:hAnsi="Verdana"/>
                  <w:lang w:val="es-CO"/>
                </w:rPr>
                <w:t>https://normas.cra.gov.co/gestor/docs/concepto_superservicios_0000169_2023.htm</w:t>
              </w:r>
            </w:hyperlink>
            <w:r w:rsidRPr="004075DF">
              <w:rPr>
                <w:rFonts w:ascii="Verdana" w:hAnsi="Verdana"/>
                <w:lang w:val="es-CO"/>
              </w:rPr>
              <w:t xml:space="preserve"> </w:t>
            </w:r>
          </w:p>
        </w:tc>
      </w:tr>
    </w:tbl>
    <w:p w14:paraId="3BCAC7E4" w14:textId="77777777" w:rsidR="003B45AD" w:rsidRDefault="003B45AD" w:rsidP="00945B48">
      <w:pPr>
        <w:tabs>
          <w:tab w:val="left" w:pos="142"/>
          <w:tab w:val="left" w:pos="284"/>
        </w:tabs>
        <w:spacing w:after="0" w:line="276" w:lineRule="auto"/>
        <w:jc w:val="both"/>
        <w:rPr>
          <w:rFonts w:ascii="Verdana" w:eastAsia="Century Gothic" w:hAnsi="Verdana" w:cs="Century Gothic"/>
          <w:b/>
          <w:lang w:val="es-ES"/>
        </w:rPr>
      </w:pPr>
    </w:p>
    <w:p w14:paraId="6DAA74DB" w14:textId="6D634F4A" w:rsidR="00945B48" w:rsidRPr="00F8741F" w:rsidRDefault="00945B48" w:rsidP="00945B48">
      <w:pPr>
        <w:tabs>
          <w:tab w:val="left" w:pos="142"/>
          <w:tab w:val="left" w:pos="284"/>
        </w:tabs>
        <w:spacing w:after="0" w:line="276" w:lineRule="auto"/>
        <w:jc w:val="both"/>
        <w:rPr>
          <w:rFonts w:ascii="Verdana" w:eastAsia="Century Gothic" w:hAnsi="Verdana" w:cs="Century Gothic"/>
          <w:b/>
          <w:lang w:val="es-ES"/>
        </w:rPr>
      </w:pPr>
      <w:r w:rsidRPr="00F8741F">
        <w:rPr>
          <w:rFonts w:ascii="Verdana" w:eastAsia="Century Gothic" w:hAnsi="Verdana" w:cs="Century Gothic"/>
          <w:b/>
          <w:lang w:val="es-ES"/>
        </w:rPr>
        <w:t>5. Doctrina de la Agencia Nacional de Contratación Pública:</w:t>
      </w:r>
    </w:p>
    <w:p w14:paraId="3F51EF18" w14:textId="77777777" w:rsidR="00945B48" w:rsidRPr="00BC4191" w:rsidRDefault="00945B48" w:rsidP="00945B48">
      <w:pPr>
        <w:widowControl w:val="0"/>
        <w:autoSpaceDE w:val="0"/>
        <w:autoSpaceDN w:val="0"/>
        <w:spacing w:after="0" w:line="276" w:lineRule="auto"/>
        <w:jc w:val="both"/>
        <w:rPr>
          <w:rFonts w:ascii="Verdana" w:hAnsi="Verdana" w:cs="Arial"/>
          <w:color w:val="EE0000"/>
          <w:lang w:val="es-ES"/>
        </w:rPr>
      </w:pPr>
    </w:p>
    <w:p w14:paraId="454E372C" w14:textId="77777777" w:rsidR="00945B48" w:rsidRPr="00BC4191" w:rsidRDefault="00945B48" w:rsidP="00945B48">
      <w:pPr>
        <w:spacing w:after="0" w:line="276" w:lineRule="auto"/>
        <w:jc w:val="both"/>
        <w:rPr>
          <w:rFonts w:ascii="Verdana" w:eastAsia="Aptos" w:hAnsi="Verdana" w:cs="Arial"/>
          <w:color w:val="EE0000"/>
          <w:shd w:val="clear" w:color="auto" w:fill="FFFFFF"/>
        </w:rPr>
      </w:pPr>
      <w:r w:rsidRPr="00AF5717">
        <w:rPr>
          <w:rFonts w:ascii="Verdana" w:eastAsia="Calibri" w:hAnsi="Verdana" w:cs="Arial"/>
          <w:lang w:val="es-ES"/>
        </w:rPr>
        <w:t xml:space="preserve">La Agencia Nacional de Contratación Pública – Colombia Compra Eficiente se ha referido </w:t>
      </w:r>
      <w:r w:rsidRPr="00AF5717">
        <w:rPr>
          <w:rFonts w:ascii="Verdana" w:hAnsi="Verdana" w:cs="Arial"/>
          <w:shd w:val="clear" w:color="auto" w:fill="FFFFFF"/>
          <w:lang w:val="es-ES"/>
        </w:rPr>
        <w:t xml:space="preserve">sobre las empresas de servicios públicos domiciliarios en los conceptos con radicado </w:t>
      </w:r>
      <w:r>
        <w:rPr>
          <w:rFonts w:ascii="Verdana" w:hAnsi="Verdana" w:cs="Arial"/>
          <w:shd w:val="clear" w:color="auto" w:fill="FFFFFF"/>
        </w:rPr>
        <w:t xml:space="preserve">C- 792 del 28 de noviembre de 2024, C- 429 del 13 de mayo de 2025, C-477 del 20 de mayo de 2025, C-1004 del 29 de agosto de 2025, C- 1012 del 4 de septiembre de 2025, C-1368 del 5 de noviembre de 2025, C-1519 </w:t>
      </w:r>
      <w:r>
        <w:rPr>
          <w:rFonts w:ascii="Verdana" w:hAnsi="Verdana" w:cs="Arial"/>
          <w:shd w:val="clear" w:color="auto" w:fill="FFFFFF"/>
        </w:rPr>
        <w:lastRenderedPageBreak/>
        <w:t>del 19 de noviembre de 2015, C-1605 del 15 de diciembre de 2025 y C-1606 del 15 de diciembre de 2025.</w:t>
      </w:r>
    </w:p>
    <w:p w14:paraId="64A76973" w14:textId="77777777" w:rsidR="00945B48" w:rsidRPr="008278B1" w:rsidRDefault="00945B48" w:rsidP="00945B48">
      <w:pPr>
        <w:spacing w:after="0" w:line="276" w:lineRule="auto"/>
        <w:jc w:val="both"/>
        <w:rPr>
          <w:rFonts w:ascii="Verdana" w:hAnsi="Verdana" w:cs="Arial"/>
          <w:shd w:val="clear" w:color="auto" w:fill="FFFFFF"/>
          <w:lang w:val="es-ES"/>
        </w:rPr>
      </w:pPr>
    </w:p>
    <w:p w14:paraId="05855226" w14:textId="77777777" w:rsidR="00945B48" w:rsidRPr="008278B1" w:rsidRDefault="00945B48" w:rsidP="006C44E2">
      <w:pPr>
        <w:spacing w:after="0" w:line="276" w:lineRule="auto"/>
        <w:jc w:val="both"/>
        <w:rPr>
          <w:rFonts w:ascii="Verdana" w:hAnsi="Verdana"/>
          <w:lang w:val="es-ES"/>
        </w:rPr>
      </w:pPr>
      <w:r w:rsidRPr="008278B1">
        <w:rPr>
          <w:rFonts w:ascii="Verdana" w:hAnsi="Verdana" w:cs="Arial"/>
          <w:shd w:val="clear" w:color="auto" w:fill="FFFFFF"/>
          <w:lang w:val="es-ES"/>
        </w:rPr>
        <w:t>Estos</w:t>
      </w:r>
      <w:r w:rsidRPr="008278B1">
        <w:rPr>
          <w:rFonts w:ascii="Verdana" w:hAnsi="Verdana"/>
          <w:lang w:val="es-ES"/>
        </w:rPr>
        <w:t xml:space="preserve"> y otros se encuentran disponibles para consulta en el Sistema de relatoría de la Agencia, al cual se puede acceder a través del siguiente enlace:</w:t>
      </w:r>
      <w:r w:rsidRPr="008278B1">
        <w:rPr>
          <w:rFonts w:ascii="Verdana" w:hAnsi="Verdana" w:cs="Arial"/>
          <w:shd w:val="clear" w:color="auto" w:fill="FFFFFF"/>
          <w:lang w:val="es-ES"/>
        </w:rPr>
        <w:t xml:space="preserve"> </w:t>
      </w:r>
      <w:hyperlink r:id="rId14" w:history="1">
        <w:r w:rsidRPr="004075DF">
          <w:rPr>
            <w:rStyle w:val="Hipervnculo"/>
            <w:rFonts w:ascii="Verdana" w:hAnsi="Verdana" w:cs="Arial"/>
            <w:shd w:val="clear" w:color="auto" w:fill="FFFFFF"/>
            <w:lang w:val="es-ES"/>
          </w:rPr>
          <w:t>https://relatoria.colombiacompra.gov.co/busqueda/conceptos</w:t>
        </w:r>
      </w:hyperlink>
    </w:p>
    <w:p w14:paraId="66AD2876" w14:textId="77777777" w:rsidR="00945B48" w:rsidRPr="008278B1" w:rsidRDefault="00945B48" w:rsidP="006C44E2">
      <w:pPr>
        <w:spacing w:after="0" w:line="276" w:lineRule="auto"/>
        <w:jc w:val="both"/>
        <w:rPr>
          <w:rFonts w:ascii="Verdana" w:hAnsi="Verdana" w:cs="Arial"/>
          <w:shd w:val="clear" w:color="auto" w:fill="FFFFFF"/>
          <w:lang w:val="es-ES"/>
        </w:rPr>
      </w:pPr>
    </w:p>
    <w:p w14:paraId="1BF61A99" w14:textId="77777777" w:rsidR="00945B48" w:rsidRPr="00F84F36" w:rsidRDefault="00945B48" w:rsidP="006C44E2">
      <w:pPr>
        <w:spacing w:after="0" w:line="276" w:lineRule="auto"/>
        <w:jc w:val="both"/>
        <w:rPr>
          <w:rFonts w:ascii="Verdana" w:hAnsi="Verdana" w:cs="Arial"/>
          <w:color w:val="EE0000"/>
          <w:shd w:val="clear" w:color="auto" w:fill="FFFFFF"/>
        </w:rPr>
      </w:pPr>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278B1">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278B1">
        <w:rPr>
          <w:rFonts w:ascii="Verdana" w:hAnsi="Verdana" w:cs="Arial"/>
          <w:shd w:val="clear" w:color="auto" w:fill="FFFFFF"/>
        </w:rPr>
        <w:t>Wayúu</w:t>
      </w:r>
      <w:proofErr w:type="spellEnd"/>
      <w:r w:rsidRPr="008278B1">
        <w:rPr>
          <w:rFonts w:ascii="Verdana" w:hAnsi="Verdana" w:cs="Arial"/>
          <w:shd w:val="clear" w:color="auto" w:fill="FFFFFF"/>
        </w:rPr>
        <w:t xml:space="preserve">. </w:t>
      </w:r>
      <w:r w:rsidRPr="004075DF">
        <w:rPr>
          <w:rFonts w:ascii="Verdana" w:hAnsi="Verdana" w:cs="Arial"/>
          <w:shd w:val="clear" w:color="auto" w:fill="FFFFFF"/>
        </w:rPr>
        <w:t>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4075DF">
          <w:rPr>
            <w:rStyle w:val="Hipervnculo"/>
            <w:rFonts w:ascii="Verdana" w:hAnsi="Verdana"/>
          </w:rPr>
          <w:t>Guía de lineamientos de transparencia y selección objetiva para el departamento de La Guajira – Objetivo sexto constitucional de la Sentencia T-302 del 2017</w:t>
        </w:r>
      </w:hyperlink>
    </w:p>
    <w:p w14:paraId="4B67305B" w14:textId="77777777" w:rsidR="00945B48" w:rsidRPr="008278B1" w:rsidRDefault="00945B48" w:rsidP="006C44E2">
      <w:pPr>
        <w:spacing w:after="0" w:line="276" w:lineRule="auto"/>
        <w:jc w:val="both"/>
        <w:rPr>
          <w:rFonts w:ascii="Verdana" w:hAnsi="Verdana" w:cs="Arial"/>
          <w:shd w:val="clear" w:color="auto" w:fill="FFFFFF"/>
        </w:rPr>
      </w:pPr>
    </w:p>
    <w:p w14:paraId="50B6E58E" w14:textId="77777777" w:rsidR="00945B48" w:rsidRPr="008278B1" w:rsidRDefault="00945B48" w:rsidP="006C44E2">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139151E7" w14:textId="77777777" w:rsidR="00945B48" w:rsidRPr="008278B1" w:rsidRDefault="00945B48" w:rsidP="006C44E2">
      <w:pPr>
        <w:spacing w:after="0" w:line="276" w:lineRule="auto"/>
        <w:jc w:val="both"/>
        <w:rPr>
          <w:rFonts w:ascii="Verdana" w:hAnsi="Verdana" w:cs="Arial"/>
          <w:shd w:val="clear" w:color="auto" w:fill="FFFFFF"/>
        </w:rPr>
      </w:pPr>
    </w:p>
    <w:p w14:paraId="48FFD22D" w14:textId="77777777" w:rsidR="00945B48" w:rsidRPr="008278B1" w:rsidRDefault="00945B48" w:rsidP="006C44E2">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Twitter: </w:t>
      </w:r>
      <w:r w:rsidRPr="008278B1">
        <w:rPr>
          <w:rStyle w:val="Hipervnculo"/>
          <w:rFonts w:ascii="Verdana" w:hAnsi="Verdana"/>
          <w:lang w:val="es-ES"/>
        </w:rPr>
        <w:t>@colombiacompra</w:t>
      </w:r>
      <w:r w:rsidRPr="008278B1">
        <w:rPr>
          <w:rStyle w:val="Hipervnculo"/>
          <w:rFonts w:ascii="Verdana" w:hAnsi="Verdana"/>
          <w:color w:val="auto"/>
          <w:lang w:val="es-ES"/>
        </w:rPr>
        <w:t xml:space="preserve"> </w:t>
      </w:r>
    </w:p>
    <w:p w14:paraId="192ED839" w14:textId="77777777" w:rsidR="00945B48" w:rsidRPr="008278B1" w:rsidRDefault="00945B48" w:rsidP="006C44E2">
      <w:pPr>
        <w:spacing w:after="0" w:line="276" w:lineRule="auto"/>
        <w:jc w:val="both"/>
        <w:rPr>
          <w:rFonts w:ascii="Verdana" w:hAnsi="Verdana" w:cs="Arial"/>
          <w:shd w:val="clear" w:color="auto" w:fill="FFFFFF"/>
        </w:rPr>
      </w:pPr>
      <w:r w:rsidRPr="008278B1">
        <w:rPr>
          <w:rFonts w:ascii="Verdana" w:hAnsi="Verdana" w:cs="Arial"/>
          <w:shd w:val="clear" w:color="auto" w:fill="FFFFFF"/>
        </w:rPr>
        <w:t>Facebook:</w:t>
      </w:r>
      <w:r w:rsidRPr="008278B1">
        <w:rPr>
          <w:rStyle w:val="Hipervnculo"/>
          <w:rFonts w:ascii="Verdana" w:hAnsi="Verdana"/>
          <w:lang w:val="es-ES"/>
        </w:rPr>
        <w:t xml:space="preserve"> </w:t>
      </w:r>
      <w:proofErr w:type="spellStart"/>
      <w:r w:rsidRPr="008278B1">
        <w:rPr>
          <w:rStyle w:val="Hipervnculo"/>
          <w:rFonts w:ascii="Verdana" w:hAnsi="Verdana"/>
          <w:lang w:val="es-ES"/>
        </w:rPr>
        <w:t>ColombiaCompraEficiente</w:t>
      </w:r>
      <w:proofErr w:type="spellEnd"/>
    </w:p>
    <w:p w14:paraId="3529CE50" w14:textId="77777777" w:rsidR="00945B48" w:rsidRPr="008278B1" w:rsidRDefault="00945B48" w:rsidP="006C44E2">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1FDC911B" w14:textId="77777777" w:rsidR="00945B48" w:rsidRPr="008278B1" w:rsidRDefault="00945B48" w:rsidP="006C44E2">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6BB77B91" w14:textId="77777777" w:rsidR="00945B48" w:rsidRPr="008278B1" w:rsidRDefault="00945B48" w:rsidP="00945B48">
      <w:pPr>
        <w:widowControl w:val="0"/>
        <w:autoSpaceDE w:val="0"/>
        <w:autoSpaceDN w:val="0"/>
        <w:spacing w:after="0" w:line="276" w:lineRule="auto"/>
        <w:jc w:val="both"/>
        <w:rPr>
          <w:rFonts w:ascii="Verdana" w:hAnsi="Verdana" w:cs="Arial"/>
          <w:lang w:val="es-ES"/>
        </w:rPr>
      </w:pPr>
    </w:p>
    <w:p w14:paraId="790C63CE" w14:textId="77777777" w:rsidR="00945B48" w:rsidRPr="008278B1" w:rsidRDefault="00945B48" w:rsidP="00945B48">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B5DD908" w14:textId="77777777" w:rsidR="00945B48" w:rsidRPr="008278B1" w:rsidRDefault="00945B48" w:rsidP="00945B48">
      <w:pPr>
        <w:widowControl w:val="0"/>
        <w:autoSpaceDE w:val="0"/>
        <w:autoSpaceDN w:val="0"/>
        <w:spacing w:after="0" w:line="276" w:lineRule="auto"/>
        <w:jc w:val="both"/>
        <w:rPr>
          <w:rFonts w:ascii="Verdana" w:hAnsi="Verdana" w:cs="Arial"/>
          <w:lang w:val="es-ES"/>
        </w:rPr>
      </w:pPr>
    </w:p>
    <w:p w14:paraId="0A5C0A36" w14:textId="77777777" w:rsidR="00945B48" w:rsidRPr="008278B1" w:rsidRDefault="00945B48" w:rsidP="00945B48">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0800684D" w14:textId="07AB12A6" w:rsidR="00945B48" w:rsidRPr="00F84F36" w:rsidRDefault="00945B48" w:rsidP="00945B48">
      <w:pPr>
        <w:spacing w:after="0" w:line="276" w:lineRule="auto"/>
        <w:jc w:val="center"/>
        <w:rPr>
          <w:rFonts w:ascii="Verdana" w:hAnsi="Verdana"/>
          <w:noProof/>
          <w:color w:val="EE0000"/>
        </w:rPr>
      </w:pPr>
    </w:p>
    <w:p w14:paraId="12AE0BAC" w14:textId="77777777" w:rsidR="00945B48" w:rsidRPr="00F84F36" w:rsidRDefault="00945B48" w:rsidP="00945B48">
      <w:pPr>
        <w:spacing w:after="0" w:line="276" w:lineRule="auto"/>
        <w:jc w:val="center"/>
        <w:rPr>
          <w:rFonts w:ascii="Verdana" w:hAnsi="Verdana"/>
          <w:noProof/>
          <w:color w:val="EE0000"/>
        </w:rPr>
      </w:pPr>
    </w:p>
    <w:p w14:paraId="3A0273B7" w14:textId="77777777" w:rsidR="00945B48" w:rsidRPr="00F84F36" w:rsidRDefault="00945B48" w:rsidP="00945B48">
      <w:pPr>
        <w:spacing w:after="0" w:line="276" w:lineRule="auto"/>
        <w:jc w:val="center"/>
        <w:rPr>
          <w:rFonts w:ascii="Verdana" w:hAnsi="Verdana"/>
          <w:noProof/>
          <w:color w:val="EE0000"/>
        </w:rPr>
      </w:pPr>
    </w:p>
    <w:p w14:paraId="0B1E1018" w14:textId="77777777" w:rsidR="00945B48" w:rsidRPr="00F84F36" w:rsidRDefault="00945B48" w:rsidP="00945B48">
      <w:pPr>
        <w:spacing w:after="0" w:line="276" w:lineRule="auto"/>
        <w:jc w:val="center"/>
        <w:rPr>
          <w:rFonts w:ascii="Verdana" w:hAnsi="Verdana"/>
          <w:noProof/>
          <w:color w:val="EE0000"/>
        </w:rPr>
      </w:pPr>
    </w:p>
    <w:p w14:paraId="5FC015DA" w14:textId="53EDAC60" w:rsidR="00EB18EF" w:rsidRPr="00EB18EF" w:rsidRDefault="00EB18EF" w:rsidP="00EB18EF">
      <w:pPr>
        <w:spacing w:after="0" w:line="276" w:lineRule="auto"/>
        <w:jc w:val="center"/>
        <w:rPr>
          <w:rFonts w:ascii="Verdana" w:hAnsi="Verdana" w:cs="Arial"/>
          <w:color w:val="EE0000"/>
          <w:lang w:val="es-ES" w:eastAsia="es-CO"/>
        </w:rPr>
      </w:pPr>
      <w:r w:rsidRPr="00EB18EF">
        <w:rPr>
          <w:rFonts w:ascii="Verdana" w:hAnsi="Verdana" w:cs="Arial"/>
          <w:noProof/>
          <w:color w:val="EE0000"/>
          <w:lang w:val="es-ES" w:eastAsia="es-CO"/>
        </w:rPr>
        <w:drawing>
          <wp:inline distT="0" distB="0" distL="0" distR="0" wp14:anchorId="7F7D295F" wp14:editId="0073F05D">
            <wp:extent cx="3047541" cy="1239520"/>
            <wp:effectExtent l="0" t="0" r="635" b="0"/>
            <wp:docPr id="107744195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441953" name="Imagen 1" descr="Texto&#10;&#10;El contenido generado por IA puede ser incorrecto."/>
                    <pic:cNvPicPr/>
                  </pic:nvPicPr>
                  <pic:blipFill>
                    <a:blip r:embed="rId16"/>
                    <a:stretch>
                      <a:fillRect/>
                    </a:stretch>
                  </pic:blipFill>
                  <pic:spPr>
                    <a:xfrm>
                      <a:off x="0" y="0"/>
                      <a:ext cx="3054807" cy="12424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45B48" w:rsidRPr="008278B1" w14:paraId="5C1D8B83" w14:textId="77777777" w:rsidTr="007E7A3C">
        <w:trPr>
          <w:trHeight w:val="315"/>
        </w:trPr>
        <w:tc>
          <w:tcPr>
            <w:tcW w:w="893" w:type="dxa"/>
            <w:vAlign w:val="center"/>
            <w:hideMark/>
          </w:tcPr>
          <w:p w14:paraId="107A2D76" w14:textId="77777777" w:rsidR="00945B48" w:rsidRPr="008278B1" w:rsidRDefault="00945B48" w:rsidP="007E7A3C">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A2EBAF8" w14:textId="77777777" w:rsidR="00945B48" w:rsidRPr="008278B1" w:rsidRDefault="00945B48" w:rsidP="007E7A3C">
            <w:pPr>
              <w:rPr>
                <w:rFonts w:ascii="Verdana" w:eastAsia="Times New Roman" w:hAnsi="Verdana" w:cs="Arial"/>
                <w:sz w:val="16"/>
                <w:szCs w:val="16"/>
                <w:lang w:eastAsia="es-ES"/>
              </w:rPr>
            </w:pPr>
            <w:r w:rsidRPr="008278B1">
              <w:rPr>
                <w:rFonts w:ascii="Verdana" w:eastAsia="Times New Roman" w:hAnsi="Verdana" w:cs="Arial"/>
                <w:sz w:val="16"/>
                <w:szCs w:val="16"/>
                <w:lang w:eastAsia="es-ES"/>
              </w:rPr>
              <w:t>Camila Alejandra Naranjo Gómez</w:t>
            </w:r>
          </w:p>
          <w:p w14:paraId="2DC7914A" w14:textId="77777777" w:rsidR="00945B48" w:rsidRPr="008278B1" w:rsidRDefault="00945B48" w:rsidP="007E7A3C">
            <w:pPr>
              <w:contextualSpacing/>
              <w:rPr>
                <w:rFonts w:ascii="Verdana" w:eastAsia="Arial" w:hAnsi="Verdana" w:cs="Arial"/>
                <w:sz w:val="16"/>
                <w:szCs w:val="16"/>
                <w:lang w:val="es-ES"/>
              </w:rPr>
            </w:pPr>
            <w:r w:rsidRPr="008278B1">
              <w:rPr>
                <w:rFonts w:ascii="Verdana" w:eastAsia="Times New Roman" w:hAnsi="Verdana" w:cs="Arial"/>
                <w:sz w:val="16"/>
                <w:szCs w:val="16"/>
                <w:lang w:eastAsia="es-ES"/>
              </w:rPr>
              <w:t>Analista T2-1 de la Subdirección de Gestión Contractual</w:t>
            </w:r>
          </w:p>
        </w:tc>
      </w:tr>
      <w:tr w:rsidR="00945B48" w:rsidRPr="00F84F36" w14:paraId="5FF0D2CF" w14:textId="77777777" w:rsidTr="007E7A3C">
        <w:trPr>
          <w:trHeight w:val="330"/>
        </w:trPr>
        <w:tc>
          <w:tcPr>
            <w:tcW w:w="893" w:type="dxa"/>
            <w:vAlign w:val="center"/>
            <w:hideMark/>
          </w:tcPr>
          <w:p w14:paraId="747E134D" w14:textId="77777777" w:rsidR="00945B48" w:rsidRPr="0025661F" w:rsidRDefault="00945B48" w:rsidP="007E7A3C">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B774B3" w14:textId="77777777" w:rsidR="00945B48" w:rsidRPr="0025661F" w:rsidRDefault="00945B48" w:rsidP="007E7A3C">
            <w:pPr>
              <w:rPr>
                <w:rFonts w:ascii="Verdana" w:eastAsia="Times New Roman" w:hAnsi="Verdana" w:cs="Arial"/>
                <w:color w:val="000000" w:themeColor="text1"/>
                <w:sz w:val="16"/>
                <w:szCs w:val="16"/>
                <w:lang w:eastAsia="es-ES"/>
              </w:rPr>
            </w:pPr>
            <w:r w:rsidRPr="0025661F">
              <w:rPr>
                <w:rFonts w:ascii="Verdana" w:eastAsia="Times New Roman" w:hAnsi="Verdana" w:cs="Arial"/>
                <w:color w:val="000000" w:themeColor="text1"/>
                <w:sz w:val="16"/>
                <w:szCs w:val="16"/>
                <w:lang w:eastAsia="es-ES"/>
              </w:rPr>
              <w:t>Diana Lucía Saavedra Castañeda</w:t>
            </w:r>
          </w:p>
          <w:p w14:paraId="5004B717" w14:textId="77777777" w:rsidR="00945B48" w:rsidRPr="0025661F" w:rsidRDefault="00945B48" w:rsidP="007E7A3C">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25661F">
              <w:rPr>
                <w:rFonts w:ascii="Verdana" w:hAnsi="Verdana" w:cs="Arial"/>
                <w:color w:val="000000" w:themeColor="text1"/>
                <w:sz w:val="16"/>
                <w:szCs w:val="16"/>
                <w:lang w:eastAsia="es-ES"/>
              </w:rPr>
              <w:t>Contratista de la Subdirección de Gestión Contractual</w:t>
            </w:r>
          </w:p>
        </w:tc>
      </w:tr>
      <w:tr w:rsidR="00945B48" w:rsidRPr="00F84F36" w14:paraId="06AE72B7" w14:textId="77777777" w:rsidTr="007E7A3C">
        <w:trPr>
          <w:trHeight w:val="300"/>
        </w:trPr>
        <w:tc>
          <w:tcPr>
            <w:tcW w:w="893" w:type="dxa"/>
            <w:vAlign w:val="center"/>
          </w:tcPr>
          <w:p w14:paraId="34D426CB" w14:textId="77777777" w:rsidR="00945B48" w:rsidRPr="008278B1" w:rsidRDefault="00945B48" w:rsidP="007E7A3C">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9E0FA2F" w14:textId="77777777" w:rsidR="00945B48" w:rsidRPr="008278B1" w:rsidRDefault="00945B48" w:rsidP="007E7A3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56EABF01" w14:textId="77777777" w:rsidR="00945B48" w:rsidRPr="008278B1" w:rsidRDefault="00945B48" w:rsidP="007E7A3C">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6D7398CA" w14:textId="77777777" w:rsidR="00945B48" w:rsidRPr="00F84F36" w:rsidRDefault="00945B48" w:rsidP="00945B48">
      <w:pPr>
        <w:spacing w:after="120" w:line="276" w:lineRule="auto"/>
        <w:jc w:val="both"/>
        <w:rPr>
          <w:rFonts w:ascii="Verdana" w:eastAsia="Century Gothic" w:hAnsi="Verdana" w:cs="Century Gothic"/>
          <w:b/>
          <w:color w:val="EE0000"/>
        </w:rPr>
      </w:pPr>
    </w:p>
    <w:bookmarkEnd w:id="0"/>
    <w:p w14:paraId="0F293BF4" w14:textId="589DE374" w:rsidR="00127233" w:rsidRPr="00945B48" w:rsidRDefault="00127233" w:rsidP="00945B48"/>
    <w:sectPr w:rsidR="00127233" w:rsidRPr="00945B4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598FC" w14:textId="77777777" w:rsidR="001D577F" w:rsidRDefault="001D577F" w:rsidP="004A1847">
      <w:pPr>
        <w:spacing w:after="0" w:line="240" w:lineRule="auto"/>
      </w:pPr>
      <w:r>
        <w:separator/>
      </w:r>
    </w:p>
  </w:endnote>
  <w:endnote w:type="continuationSeparator" w:id="0">
    <w:p w14:paraId="0CB565ED" w14:textId="77777777" w:rsidR="001D577F" w:rsidRDefault="001D577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3A6A3" w14:textId="77777777" w:rsidR="001D577F" w:rsidRDefault="001D577F" w:rsidP="004A1847">
      <w:pPr>
        <w:spacing w:after="0" w:line="240" w:lineRule="auto"/>
      </w:pPr>
      <w:r>
        <w:separator/>
      </w:r>
    </w:p>
  </w:footnote>
  <w:footnote w:type="continuationSeparator" w:id="0">
    <w:p w14:paraId="4DB1CA85" w14:textId="77777777" w:rsidR="001D577F" w:rsidRDefault="001D577F" w:rsidP="004A1847">
      <w:pPr>
        <w:spacing w:after="0" w:line="240" w:lineRule="auto"/>
      </w:pPr>
      <w:r>
        <w:continuationSeparator/>
      </w:r>
    </w:p>
  </w:footnote>
  <w:footnote w:id="1">
    <w:p w14:paraId="7B2B5D88" w14:textId="77777777" w:rsidR="00945B48" w:rsidRPr="00480A3F" w:rsidRDefault="00945B48" w:rsidP="00945B48">
      <w:pPr>
        <w:pStyle w:val="Textonotapie"/>
        <w:ind w:firstLine="707"/>
        <w:jc w:val="both"/>
        <w:rPr>
          <w:rFonts w:ascii="Verdana" w:hAnsi="Verdana"/>
          <w:sz w:val="16"/>
          <w:szCs w:val="16"/>
          <w:lang w:val="es-CO"/>
        </w:rPr>
      </w:pPr>
      <w:r w:rsidRPr="00480A3F">
        <w:rPr>
          <w:rStyle w:val="Refdenotaalpie"/>
          <w:rFonts w:ascii="Verdana" w:hAnsi="Verdana"/>
          <w:sz w:val="16"/>
          <w:szCs w:val="16"/>
        </w:rPr>
        <w:footnoteRef/>
      </w:r>
      <w:r w:rsidRPr="00480A3F">
        <w:rPr>
          <w:rFonts w:ascii="Verdana" w:hAnsi="Verdana"/>
          <w:sz w:val="16"/>
          <w:szCs w:val="16"/>
        </w:rPr>
        <w:t xml:space="preserve"> </w:t>
      </w:r>
      <w:r w:rsidRPr="00480A3F">
        <w:rPr>
          <w:rFonts w:ascii="Verdana" w:hAnsi="Verdana"/>
          <w:sz w:val="16"/>
          <w:szCs w:val="16"/>
          <w:lang w:val="es-CO"/>
        </w:rPr>
        <w:t xml:space="preserve">Superintendencia de Servicios Públicos Domiciliarios. Concepto 169 del 30 de marzo de 2023 disponible en el siguiente enlace: </w:t>
      </w:r>
      <w:hyperlink r:id="rId1" w:history="1">
        <w:r w:rsidRPr="00480A3F">
          <w:rPr>
            <w:rStyle w:val="Hipervnculo"/>
            <w:rFonts w:ascii="Verdana" w:hAnsi="Verdana"/>
            <w:sz w:val="16"/>
            <w:szCs w:val="16"/>
            <w:lang w:val="es-CO"/>
          </w:rPr>
          <w:t>https://normas.cra.gov.co/gestor/docs/concepto_superservicios_0000169_2023.htm</w:t>
        </w:r>
      </w:hyperlink>
      <w:r w:rsidRPr="00480A3F">
        <w:rPr>
          <w:rFonts w:ascii="Verdana" w:hAnsi="Verdana"/>
          <w:sz w:val="16"/>
          <w:szCs w:val="16"/>
          <w:lang w:val="es-CO"/>
        </w:rPr>
        <w:t xml:space="preserve"> </w:t>
      </w:r>
    </w:p>
    <w:p w14:paraId="49B015C7" w14:textId="77777777" w:rsidR="00945B48" w:rsidRPr="00480A3F" w:rsidRDefault="00945B48" w:rsidP="00945B48">
      <w:pPr>
        <w:pStyle w:val="Textonotapie"/>
        <w:ind w:firstLine="707"/>
        <w:jc w:val="both"/>
        <w:rPr>
          <w:rFonts w:ascii="Verdana" w:hAnsi="Verdana"/>
          <w:sz w:val="16"/>
          <w:szCs w:val="16"/>
          <w:lang w:val="es-CO"/>
        </w:rPr>
      </w:pPr>
    </w:p>
  </w:footnote>
  <w:footnote w:id="2">
    <w:p w14:paraId="03405860" w14:textId="77777777" w:rsidR="00945B48" w:rsidRPr="00480A3F" w:rsidRDefault="00945B48" w:rsidP="00945B48">
      <w:pPr>
        <w:pStyle w:val="Textonotapie"/>
        <w:ind w:firstLine="709"/>
        <w:jc w:val="both"/>
        <w:rPr>
          <w:rFonts w:ascii="Verdana" w:hAnsi="Verdana" w:cs="Arial"/>
          <w:color w:val="000000"/>
          <w:sz w:val="16"/>
          <w:szCs w:val="16"/>
        </w:rPr>
      </w:pPr>
      <w:r w:rsidRPr="00480A3F">
        <w:rPr>
          <w:rStyle w:val="Refdenotaalpie"/>
          <w:rFonts w:ascii="Verdana" w:hAnsi="Verdana" w:cs="Arial"/>
          <w:color w:val="000000"/>
          <w:sz w:val="16"/>
          <w:szCs w:val="16"/>
        </w:rPr>
        <w:footnoteRef/>
      </w:r>
      <w:r w:rsidRPr="00480A3F">
        <w:rPr>
          <w:rFonts w:ascii="Verdana" w:hAnsi="Verdana" w:cs="Arial"/>
          <w:color w:val="000000"/>
          <w:sz w:val="16"/>
          <w:szCs w:val="16"/>
        </w:rPr>
        <w:t xml:space="preserve"> Así lo establece la norma: “Salvo en cuanto la Constitución Política o esta Ley dispongan expresamente lo contrario, la constitución, y los actos de todas las empresas de servicios públicos, así como los requeridos para la administración y el ejercicio de los derechos de todas las personas que sean socias de ellas, en lo no dispuesto en esta Ley, se regirán exclusivamente por las reglas del derecho privado.</w:t>
      </w:r>
    </w:p>
    <w:p w14:paraId="568B0FA0" w14:textId="77777777" w:rsidR="00945B48" w:rsidRPr="00480A3F" w:rsidRDefault="00945B48" w:rsidP="00945B48">
      <w:pPr>
        <w:pStyle w:val="Textonotapie"/>
        <w:ind w:firstLine="709"/>
        <w:jc w:val="both"/>
        <w:rPr>
          <w:rFonts w:ascii="Verdana" w:hAnsi="Verdana" w:cs="Arial"/>
          <w:color w:val="000000"/>
          <w:sz w:val="16"/>
          <w:szCs w:val="16"/>
        </w:rPr>
      </w:pPr>
      <w:r w:rsidRPr="00480A3F">
        <w:rPr>
          <w:rFonts w:ascii="Verdana" w:hAnsi="Verdana" w:cs="Arial"/>
          <w:color w:val="000000"/>
          <w:sz w:val="16"/>
          <w:szCs w:val="16"/>
        </w:rPr>
        <w:t>La regla precedente se aplicará, inclusive, a las sociedades en las que las entidades públicas sean parte, sin atender al porcentaje que sus aportes representen dentro del capital social, ni a la naturaleza del acto o del derecho que se ejerce.</w:t>
      </w:r>
    </w:p>
    <w:p w14:paraId="2FE3422C" w14:textId="77777777" w:rsidR="00945B48" w:rsidRPr="00480A3F" w:rsidRDefault="00945B48" w:rsidP="00945B48">
      <w:pPr>
        <w:pStyle w:val="Textonotapie"/>
        <w:ind w:firstLine="709"/>
        <w:jc w:val="both"/>
        <w:rPr>
          <w:rFonts w:ascii="Verdana" w:hAnsi="Verdana" w:cs="Arial"/>
          <w:color w:val="000000"/>
          <w:sz w:val="16"/>
          <w:szCs w:val="16"/>
        </w:rPr>
      </w:pPr>
      <w:r w:rsidRPr="00480A3F">
        <w:rPr>
          <w:rFonts w:ascii="Verdana" w:hAnsi="Verdana" w:cs="Arial"/>
          <w:color w:val="000000"/>
          <w:sz w:val="16"/>
          <w:szCs w:val="16"/>
        </w:rPr>
        <w:t>Se entiende que la autorización para que una entidad pública haga parte de una empresa de servicios públicos organizada como sociedad por acciones, faculta a su representante legal, de acuerdo con los estatutos de la entidad, para realizar respecto de la sociedad, las acciones y los derechos inherentes a ellas [y] todos los actos que la ley y los estatutos permiten a los socios particulares”.</w:t>
      </w:r>
    </w:p>
    <w:p w14:paraId="3C6E62AF" w14:textId="77777777" w:rsidR="00945B48" w:rsidRPr="00480A3F" w:rsidRDefault="00945B48" w:rsidP="00945B48">
      <w:pPr>
        <w:pStyle w:val="Textonotapie"/>
        <w:ind w:firstLine="709"/>
        <w:jc w:val="both"/>
        <w:rPr>
          <w:rFonts w:ascii="Verdana" w:hAnsi="Verdana" w:cs="Arial"/>
          <w:color w:val="000000"/>
          <w:sz w:val="16"/>
          <w:szCs w:val="16"/>
        </w:rPr>
      </w:pPr>
    </w:p>
  </w:footnote>
  <w:footnote w:id="3">
    <w:p w14:paraId="71CC9F19" w14:textId="77777777" w:rsidR="00945B48" w:rsidRDefault="00945B48" w:rsidP="00945B48">
      <w:pPr>
        <w:spacing w:after="0" w:line="240" w:lineRule="auto"/>
        <w:ind w:firstLine="709"/>
        <w:jc w:val="both"/>
        <w:rPr>
          <w:rFonts w:ascii="Verdana" w:eastAsia="Calibri" w:hAnsi="Verdana" w:cs="Arial"/>
          <w:color w:val="000000"/>
          <w:sz w:val="16"/>
          <w:szCs w:val="16"/>
          <w:lang w:val="es-ES_tradnl"/>
        </w:rPr>
      </w:pPr>
      <w:r w:rsidRPr="0013167A">
        <w:rPr>
          <w:rStyle w:val="Refdenotaalpie"/>
          <w:rFonts w:ascii="Verdana" w:hAnsi="Verdana" w:cs="Arial"/>
          <w:color w:val="000000"/>
          <w:sz w:val="16"/>
          <w:szCs w:val="16"/>
        </w:rPr>
        <w:footnoteRef/>
      </w:r>
      <w:r w:rsidRPr="0013167A">
        <w:rPr>
          <w:rFonts w:ascii="Verdana" w:hAnsi="Verdana" w:cs="Arial"/>
          <w:color w:val="000000"/>
          <w:sz w:val="16"/>
          <w:szCs w:val="16"/>
        </w:rPr>
        <w:t xml:space="preserve"> </w:t>
      </w:r>
      <w:r w:rsidRPr="0013167A">
        <w:rPr>
          <w:rFonts w:ascii="Verdana" w:hAnsi="Verdana" w:cs="Arial"/>
          <w:color w:val="000000"/>
          <w:sz w:val="16"/>
          <w:szCs w:val="16"/>
          <w:lang w:val="es-ES"/>
        </w:rPr>
        <w:t>Esta norma dispone: “</w:t>
      </w:r>
      <w:r w:rsidRPr="0013167A">
        <w:rPr>
          <w:rFonts w:ascii="Verdana" w:eastAsia="Calibri" w:hAnsi="Verdana" w:cs="Arial"/>
          <w:color w:val="000000"/>
          <w:sz w:val="16"/>
          <w:szCs w:val="16"/>
          <w:lang w:val="es-ES_tradnl"/>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520085E1" w14:textId="77777777" w:rsidR="00945B48" w:rsidRPr="00C645FE" w:rsidRDefault="00945B48" w:rsidP="00945B48">
      <w:pPr>
        <w:spacing w:after="0" w:line="240" w:lineRule="auto"/>
        <w:ind w:firstLine="709"/>
        <w:jc w:val="both"/>
        <w:rPr>
          <w:rFonts w:ascii="Verdana" w:eastAsia="Calibri" w:hAnsi="Verdana" w:cs="Arial"/>
          <w:color w:val="000000"/>
          <w:sz w:val="16"/>
          <w:szCs w:val="16"/>
          <w:lang w:val="es-ES_tradnl"/>
        </w:rPr>
      </w:pPr>
    </w:p>
  </w:footnote>
  <w:footnote w:id="4">
    <w:p w14:paraId="791CF60E" w14:textId="77777777" w:rsidR="00945B48" w:rsidRPr="008F51F1" w:rsidRDefault="00945B48" w:rsidP="00945B48">
      <w:pPr>
        <w:pStyle w:val="Textonotapie"/>
        <w:ind w:firstLine="709"/>
        <w:jc w:val="both"/>
        <w:rPr>
          <w:rFonts w:ascii="Verdana" w:hAnsi="Verdana" w:cs="Arial"/>
          <w:color w:val="000000" w:themeColor="text1"/>
          <w:sz w:val="16"/>
          <w:szCs w:val="16"/>
        </w:rPr>
      </w:pPr>
      <w:r w:rsidRPr="008F51F1">
        <w:rPr>
          <w:rStyle w:val="Refdenotaalpie"/>
          <w:rFonts w:ascii="Verdana" w:hAnsi="Verdana" w:cs="Arial"/>
          <w:color w:val="000000" w:themeColor="text1"/>
          <w:sz w:val="16"/>
          <w:szCs w:val="16"/>
        </w:rPr>
        <w:footnoteRef/>
      </w:r>
      <w:r w:rsidRPr="008F51F1">
        <w:rPr>
          <w:rFonts w:ascii="Verdana" w:hAnsi="Verdana" w:cs="Arial"/>
          <w:color w:val="000000" w:themeColor="text1"/>
          <w:sz w:val="16"/>
          <w:szCs w:val="16"/>
        </w:rPr>
        <w:t xml:space="preserve"> Consejo de Estado. Sección Tercera. Subsección C. Sentencia del 13 de abril de 2011. Exp. 37423. C.P. Jaime Orlando Santofimio Gamboa. En similar sentido, puede verse: Consejo de Estado. Sección Tercera. Subsección B. Sentencia del 15 de noviembre de 2011. Exp. 21178. C.P. Ruth Stella Correa Palacio.</w:t>
      </w:r>
    </w:p>
  </w:footnote>
  <w:footnote w:id="5">
    <w:p w14:paraId="671877D0" w14:textId="77777777" w:rsidR="00945B48" w:rsidRPr="008F51F1" w:rsidRDefault="00945B48" w:rsidP="00945B48">
      <w:pPr>
        <w:pStyle w:val="Textonotapie"/>
        <w:ind w:firstLine="709"/>
        <w:jc w:val="both"/>
        <w:rPr>
          <w:rFonts w:ascii="Verdana" w:hAnsi="Verdana" w:cs="Arial"/>
          <w:color w:val="000000" w:themeColor="text1"/>
          <w:sz w:val="16"/>
          <w:szCs w:val="16"/>
          <w:lang w:val="es-ES"/>
        </w:rPr>
      </w:pPr>
      <w:r w:rsidRPr="008F51F1">
        <w:rPr>
          <w:rStyle w:val="Refdenotaalpie"/>
          <w:rFonts w:ascii="Verdana" w:hAnsi="Verdana" w:cs="Arial"/>
          <w:color w:val="000000" w:themeColor="text1"/>
          <w:sz w:val="16"/>
          <w:szCs w:val="16"/>
        </w:rPr>
        <w:footnoteRef/>
      </w:r>
      <w:r w:rsidRPr="008F51F1">
        <w:rPr>
          <w:rFonts w:ascii="Verdana" w:hAnsi="Verdana" w:cs="Arial"/>
          <w:color w:val="000000" w:themeColor="text1"/>
          <w:sz w:val="16"/>
          <w:szCs w:val="16"/>
          <w:lang w:val="pt-BR"/>
        </w:rPr>
        <w:t xml:space="preserve"> Corte Constitucional. Sentencia C-736 de 2007. </w:t>
      </w:r>
      <w:r w:rsidRPr="008F51F1">
        <w:rPr>
          <w:rFonts w:ascii="Verdana" w:hAnsi="Verdana" w:cs="Arial"/>
          <w:color w:val="000000" w:themeColor="text1"/>
          <w:sz w:val="16"/>
          <w:szCs w:val="16"/>
        </w:rPr>
        <w:t>M.P. Marco Gerardo Monroy Cabra.</w:t>
      </w:r>
    </w:p>
  </w:footnote>
  <w:footnote w:id="6">
    <w:p w14:paraId="30B942CD" w14:textId="77777777" w:rsidR="0079486B" w:rsidRPr="0079486B" w:rsidRDefault="00945B48" w:rsidP="0079486B">
      <w:pPr>
        <w:pStyle w:val="Textonotapie"/>
        <w:ind w:firstLine="708"/>
        <w:rPr>
          <w:rFonts w:ascii="Verdana" w:hAnsi="Verdana"/>
          <w:sz w:val="16"/>
          <w:szCs w:val="16"/>
        </w:rPr>
      </w:pPr>
      <w:r w:rsidRPr="008F51F1">
        <w:rPr>
          <w:rStyle w:val="Refdenotaalpie"/>
          <w:rFonts w:ascii="Verdana" w:hAnsi="Verdana"/>
          <w:sz w:val="16"/>
          <w:szCs w:val="16"/>
        </w:rPr>
        <w:footnoteRef/>
      </w:r>
      <w:r w:rsidRPr="008F51F1">
        <w:rPr>
          <w:rFonts w:ascii="Verdana" w:hAnsi="Verdana"/>
          <w:sz w:val="16"/>
          <w:szCs w:val="16"/>
        </w:rPr>
        <w:t xml:space="preserve"> Ibídem. </w:t>
      </w:r>
    </w:p>
  </w:footnote>
  <w:footnote w:id="7">
    <w:p w14:paraId="0F48BF94" w14:textId="77777777" w:rsidR="00391948" w:rsidRPr="009B151C" w:rsidRDefault="00391948" w:rsidP="00391948">
      <w:pPr>
        <w:pStyle w:val="Textonotapie"/>
        <w:ind w:firstLine="708"/>
        <w:jc w:val="both"/>
        <w:rPr>
          <w:rFonts w:ascii="Verdana" w:hAnsi="Verdana"/>
          <w:sz w:val="16"/>
          <w:szCs w:val="16"/>
          <w:lang w:val="es-CO"/>
        </w:rPr>
      </w:pPr>
      <w:r w:rsidRPr="009B151C">
        <w:rPr>
          <w:rStyle w:val="Refdenotaalpie"/>
          <w:rFonts w:ascii="Verdana" w:hAnsi="Verdana"/>
          <w:sz w:val="16"/>
          <w:szCs w:val="16"/>
        </w:rPr>
        <w:footnoteRef/>
      </w:r>
      <w:r w:rsidRPr="009B151C">
        <w:rPr>
          <w:rFonts w:ascii="Verdana" w:hAnsi="Verdana"/>
          <w:sz w:val="16"/>
          <w:szCs w:val="16"/>
        </w:rPr>
        <w:t xml:space="preserve"> MARÍN CORTES, Fabián Gonzalo. Los servicios semipúblicos domiciliarios. Bogotá: Temis, 2010. p. 160. Al respecto, la Doctrina también ha expresado frente a la Sentencia C-736 de 2007: </w:t>
      </w:r>
      <w:r w:rsidRPr="009B151C">
        <w:rPr>
          <w:rFonts w:ascii="Verdana" w:hAnsi="Verdana"/>
          <w:sz w:val="16"/>
          <w:szCs w:val="16"/>
          <w:lang w:val="es-CO"/>
        </w:rPr>
        <w:t xml:space="preserve">Por otra parte, esa misma Corporación -igualmente en cumplimiento de dicha providencia de constitucionalidad- estudió varios procesos en que hace parte una empresa de servicios públicos privada con aportes públicos (sin importar el monto), sobre la base de que se trata de una </w:t>
      </w:r>
      <w:r w:rsidRPr="009B151C">
        <w:rPr>
          <w:rFonts w:ascii="Verdana" w:hAnsi="Verdana"/>
          <w:i/>
          <w:iCs/>
          <w:sz w:val="16"/>
          <w:szCs w:val="16"/>
          <w:lang w:val="es-CO"/>
        </w:rPr>
        <w:t>“entidad estatal”</w:t>
      </w:r>
      <w:r w:rsidRPr="009B151C">
        <w:rPr>
          <w:rFonts w:ascii="Verdana" w:hAnsi="Verdana"/>
          <w:sz w:val="16"/>
          <w:szCs w:val="16"/>
          <w:lang w:val="es-CO"/>
        </w:rPr>
        <w:t>.  En esta oportunidad la Sala se limitó a obedecer el pronunciamiento de constitucionalidad.</w:t>
      </w:r>
    </w:p>
    <w:p w14:paraId="2CF63F99" w14:textId="68B2FD59" w:rsidR="00391948" w:rsidRPr="00143880" w:rsidRDefault="00391948" w:rsidP="00391948">
      <w:pPr>
        <w:pStyle w:val="Textonotapie"/>
        <w:ind w:firstLine="708"/>
        <w:jc w:val="both"/>
        <w:rPr>
          <w:rFonts w:ascii="Verdana" w:hAnsi="Verdana"/>
          <w:sz w:val="12"/>
          <w:szCs w:val="12"/>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05E411A"/>
    <w:multiLevelType w:val="multilevel"/>
    <w:tmpl w:val="F9586922"/>
    <w:lvl w:ilvl="0">
      <w:start w:val="14"/>
      <w:numFmt w:val="decimal"/>
      <w:lvlText w:val="%1"/>
      <w:lvlJc w:val="left"/>
      <w:pPr>
        <w:ind w:left="810" w:hanging="550"/>
      </w:pPr>
    </w:lvl>
    <w:lvl w:ilvl="1">
      <w:start w:val="5"/>
      <w:numFmt w:val="decimal"/>
      <w:lvlText w:val="%1.%2."/>
      <w:lvlJc w:val="left"/>
      <w:pPr>
        <w:ind w:left="810" w:hanging="550"/>
      </w:pPr>
      <w:rPr>
        <w:rFonts w:ascii="Arial" w:eastAsia="Arial" w:hAnsi="Arial" w:cs="Arial"/>
        <w:color w:val="000000"/>
        <w:sz w:val="20"/>
        <w:szCs w:val="20"/>
      </w:rPr>
    </w:lvl>
    <w:lvl w:ilvl="2">
      <w:start w:val="1"/>
      <w:numFmt w:val="bullet"/>
      <w:lvlText w:val="•"/>
      <w:lvlJc w:val="left"/>
      <w:pPr>
        <w:ind w:left="2484" w:hanging="550"/>
      </w:pPr>
    </w:lvl>
    <w:lvl w:ilvl="3">
      <w:start w:val="1"/>
      <w:numFmt w:val="bullet"/>
      <w:lvlText w:val="•"/>
      <w:lvlJc w:val="left"/>
      <w:pPr>
        <w:ind w:left="3316" w:hanging="550"/>
      </w:pPr>
    </w:lvl>
    <w:lvl w:ilvl="4">
      <w:start w:val="1"/>
      <w:numFmt w:val="bullet"/>
      <w:lvlText w:val="•"/>
      <w:lvlJc w:val="left"/>
      <w:pPr>
        <w:ind w:left="4148" w:hanging="550"/>
      </w:pPr>
    </w:lvl>
    <w:lvl w:ilvl="5">
      <w:start w:val="1"/>
      <w:numFmt w:val="bullet"/>
      <w:lvlText w:val="•"/>
      <w:lvlJc w:val="left"/>
      <w:pPr>
        <w:ind w:left="4980" w:hanging="550"/>
      </w:pPr>
    </w:lvl>
    <w:lvl w:ilvl="6">
      <w:start w:val="1"/>
      <w:numFmt w:val="bullet"/>
      <w:lvlText w:val="•"/>
      <w:lvlJc w:val="left"/>
      <w:pPr>
        <w:ind w:left="5812" w:hanging="550"/>
      </w:pPr>
    </w:lvl>
    <w:lvl w:ilvl="7">
      <w:start w:val="1"/>
      <w:numFmt w:val="bullet"/>
      <w:lvlText w:val="•"/>
      <w:lvlJc w:val="left"/>
      <w:pPr>
        <w:ind w:left="6644" w:hanging="550"/>
      </w:pPr>
    </w:lvl>
    <w:lvl w:ilvl="8">
      <w:start w:val="1"/>
      <w:numFmt w:val="bullet"/>
      <w:lvlText w:val="•"/>
      <w:lvlJc w:val="left"/>
      <w:pPr>
        <w:ind w:left="7476" w:hanging="55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448890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364E8"/>
    <w:rsid w:val="00143880"/>
    <w:rsid w:val="00155721"/>
    <w:rsid w:val="0015699B"/>
    <w:rsid w:val="0016379E"/>
    <w:rsid w:val="001763DE"/>
    <w:rsid w:val="00181AFE"/>
    <w:rsid w:val="00187D37"/>
    <w:rsid w:val="001A33BF"/>
    <w:rsid w:val="001A7853"/>
    <w:rsid w:val="001B0304"/>
    <w:rsid w:val="001B2245"/>
    <w:rsid w:val="001D577F"/>
    <w:rsid w:val="001E4177"/>
    <w:rsid w:val="001F0B24"/>
    <w:rsid w:val="001F7DC6"/>
    <w:rsid w:val="0022400B"/>
    <w:rsid w:val="002421BB"/>
    <w:rsid w:val="0025796E"/>
    <w:rsid w:val="002707A2"/>
    <w:rsid w:val="002951A0"/>
    <w:rsid w:val="002962BC"/>
    <w:rsid w:val="002A093D"/>
    <w:rsid w:val="002A0DD0"/>
    <w:rsid w:val="002A49AC"/>
    <w:rsid w:val="002A64FD"/>
    <w:rsid w:val="002B09FB"/>
    <w:rsid w:val="002B71EF"/>
    <w:rsid w:val="002C7A84"/>
    <w:rsid w:val="002E2BF8"/>
    <w:rsid w:val="002E4FD9"/>
    <w:rsid w:val="002E5F66"/>
    <w:rsid w:val="003058D8"/>
    <w:rsid w:val="0030657A"/>
    <w:rsid w:val="00306591"/>
    <w:rsid w:val="00321A80"/>
    <w:rsid w:val="00322A85"/>
    <w:rsid w:val="00324168"/>
    <w:rsid w:val="00330834"/>
    <w:rsid w:val="003448F4"/>
    <w:rsid w:val="00373AB0"/>
    <w:rsid w:val="00374F5E"/>
    <w:rsid w:val="00377E3E"/>
    <w:rsid w:val="00391948"/>
    <w:rsid w:val="00396771"/>
    <w:rsid w:val="003A779E"/>
    <w:rsid w:val="003B45AD"/>
    <w:rsid w:val="003D0F4D"/>
    <w:rsid w:val="003D5B0D"/>
    <w:rsid w:val="003E0499"/>
    <w:rsid w:val="003E4F80"/>
    <w:rsid w:val="003E6439"/>
    <w:rsid w:val="003F3941"/>
    <w:rsid w:val="00406575"/>
    <w:rsid w:val="004075DF"/>
    <w:rsid w:val="00414C74"/>
    <w:rsid w:val="0041716B"/>
    <w:rsid w:val="0042722E"/>
    <w:rsid w:val="0044528D"/>
    <w:rsid w:val="00466E39"/>
    <w:rsid w:val="00490BF5"/>
    <w:rsid w:val="004973FD"/>
    <w:rsid w:val="004A1847"/>
    <w:rsid w:val="004A305D"/>
    <w:rsid w:val="004B1955"/>
    <w:rsid w:val="004D7398"/>
    <w:rsid w:val="004F21C4"/>
    <w:rsid w:val="004F685F"/>
    <w:rsid w:val="00513E75"/>
    <w:rsid w:val="00550AAA"/>
    <w:rsid w:val="005566E8"/>
    <w:rsid w:val="005672FE"/>
    <w:rsid w:val="00574867"/>
    <w:rsid w:val="00591460"/>
    <w:rsid w:val="00596F11"/>
    <w:rsid w:val="005A4F6A"/>
    <w:rsid w:val="005A65E0"/>
    <w:rsid w:val="005C3777"/>
    <w:rsid w:val="005C5CDC"/>
    <w:rsid w:val="005D40FC"/>
    <w:rsid w:val="005D476C"/>
    <w:rsid w:val="005F350E"/>
    <w:rsid w:val="0061666E"/>
    <w:rsid w:val="00617344"/>
    <w:rsid w:val="006200BF"/>
    <w:rsid w:val="006219F8"/>
    <w:rsid w:val="006302F7"/>
    <w:rsid w:val="00646B9F"/>
    <w:rsid w:val="00665D70"/>
    <w:rsid w:val="00673EAF"/>
    <w:rsid w:val="006900D9"/>
    <w:rsid w:val="006B327C"/>
    <w:rsid w:val="006C44E2"/>
    <w:rsid w:val="006D16EE"/>
    <w:rsid w:val="006F3F19"/>
    <w:rsid w:val="00706C16"/>
    <w:rsid w:val="007340C3"/>
    <w:rsid w:val="00734C5B"/>
    <w:rsid w:val="0075235A"/>
    <w:rsid w:val="00756841"/>
    <w:rsid w:val="007649AB"/>
    <w:rsid w:val="00771D0C"/>
    <w:rsid w:val="00777D27"/>
    <w:rsid w:val="007833AC"/>
    <w:rsid w:val="00793573"/>
    <w:rsid w:val="0079486B"/>
    <w:rsid w:val="007B2084"/>
    <w:rsid w:val="007B268C"/>
    <w:rsid w:val="007B7171"/>
    <w:rsid w:val="007C0C0F"/>
    <w:rsid w:val="007C3DC2"/>
    <w:rsid w:val="007E5497"/>
    <w:rsid w:val="007E7A3C"/>
    <w:rsid w:val="007F5D24"/>
    <w:rsid w:val="00806F5F"/>
    <w:rsid w:val="0081637E"/>
    <w:rsid w:val="00820278"/>
    <w:rsid w:val="008258C9"/>
    <w:rsid w:val="00844AE9"/>
    <w:rsid w:val="00867864"/>
    <w:rsid w:val="00867F95"/>
    <w:rsid w:val="008843B6"/>
    <w:rsid w:val="00891928"/>
    <w:rsid w:val="008A2B2B"/>
    <w:rsid w:val="008A446D"/>
    <w:rsid w:val="008B25F1"/>
    <w:rsid w:val="008D180B"/>
    <w:rsid w:val="008F0EA7"/>
    <w:rsid w:val="0090472F"/>
    <w:rsid w:val="0091284D"/>
    <w:rsid w:val="00913AA9"/>
    <w:rsid w:val="00921A7D"/>
    <w:rsid w:val="00923EEF"/>
    <w:rsid w:val="009419F9"/>
    <w:rsid w:val="00945B48"/>
    <w:rsid w:val="00954A48"/>
    <w:rsid w:val="0095685E"/>
    <w:rsid w:val="00961B09"/>
    <w:rsid w:val="00965334"/>
    <w:rsid w:val="0097093E"/>
    <w:rsid w:val="00973E9A"/>
    <w:rsid w:val="00974CA6"/>
    <w:rsid w:val="009A0DFA"/>
    <w:rsid w:val="009A1C6F"/>
    <w:rsid w:val="009B151C"/>
    <w:rsid w:val="009B2D26"/>
    <w:rsid w:val="009C71FA"/>
    <w:rsid w:val="009C72E7"/>
    <w:rsid w:val="009C7F7E"/>
    <w:rsid w:val="009D3058"/>
    <w:rsid w:val="009F3A13"/>
    <w:rsid w:val="00A122D3"/>
    <w:rsid w:val="00A14468"/>
    <w:rsid w:val="00A17F13"/>
    <w:rsid w:val="00A20739"/>
    <w:rsid w:val="00A23AF9"/>
    <w:rsid w:val="00A33C78"/>
    <w:rsid w:val="00A41164"/>
    <w:rsid w:val="00A8215C"/>
    <w:rsid w:val="00AB0ADB"/>
    <w:rsid w:val="00AC3E30"/>
    <w:rsid w:val="00AC4F8F"/>
    <w:rsid w:val="00B00C0E"/>
    <w:rsid w:val="00B01B1A"/>
    <w:rsid w:val="00B0381D"/>
    <w:rsid w:val="00B0403A"/>
    <w:rsid w:val="00B114B8"/>
    <w:rsid w:val="00B409EB"/>
    <w:rsid w:val="00B44A47"/>
    <w:rsid w:val="00B72CD3"/>
    <w:rsid w:val="00B72FFF"/>
    <w:rsid w:val="00BC3D36"/>
    <w:rsid w:val="00BD54A6"/>
    <w:rsid w:val="00BD7F72"/>
    <w:rsid w:val="00BF7425"/>
    <w:rsid w:val="00C04FB3"/>
    <w:rsid w:val="00C11D8B"/>
    <w:rsid w:val="00C15139"/>
    <w:rsid w:val="00C17FA4"/>
    <w:rsid w:val="00C2698F"/>
    <w:rsid w:val="00C330EB"/>
    <w:rsid w:val="00C50610"/>
    <w:rsid w:val="00C50D69"/>
    <w:rsid w:val="00C5120A"/>
    <w:rsid w:val="00C5365C"/>
    <w:rsid w:val="00C754BE"/>
    <w:rsid w:val="00C76B1C"/>
    <w:rsid w:val="00C82FD9"/>
    <w:rsid w:val="00C925AC"/>
    <w:rsid w:val="00CB3173"/>
    <w:rsid w:val="00CB6357"/>
    <w:rsid w:val="00CC1B26"/>
    <w:rsid w:val="00D078B8"/>
    <w:rsid w:val="00D34064"/>
    <w:rsid w:val="00D361FD"/>
    <w:rsid w:val="00D423A2"/>
    <w:rsid w:val="00D44E26"/>
    <w:rsid w:val="00D45EC8"/>
    <w:rsid w:val="00D46FF3"/>
    <w:rsid w:val="00D520D8"/>
    <w:rsid w:val="00D616C5"/>
    <w:rsid w:val="00D63AC2"/>
    <w:rsid w:val="00D675A0"/>
    <w:rsid w:val="00D7383B"/>
    <w:rsid w:val="00D7788A"/>
    <w:rsid w:val="00D80A6E"/>
    <w:rsid w:val="00D81907"/>
    <w:rsid w:val="00D97C1D"/>
    <w:rsid w:val="00DA1E78"/>
    <w:rsid w:val="00DA231B"/>
    <w:rsid w:val="00DA5FCD"/>
    <w:rsid w:val="00DC39FC"/>
    <w:rsid w:val="00DF5254"/>
    <w:rsid w:val="00E02524"/>
    <w:rsid w:val="00E16408"/>
    <w:rsid w:val="00E20894"/>
    <w:rsid w:val="00E245AB"/>
    <w:rsid w:val="00E2764C"/>
    <w:rsid w:val="00E27F2E"/>
    <w:rsid w:val="00E50AFE"/>
    <w:rsid w:val="00E73498"/>
    <w:rsid w:val="00E75C92"/>
    <w:rsid w:val="00E771DC"/>
    <w:rsid w:val="00E8772A"/>
    <w:rsid w:val="00E90F6B"/>
    <w:rsid w:val="00E918E4"/>
    <w:rsid w:val="00E92C27"/>
    <w:rsid w:val="00EA0E3D"/>
    <w:rsid w:val="00EB18EF"/>
    <w:rsid w:val="00EC38A7"/>
    <w:rsid w:val="00EE1AA8"/>
    <w:rsid w:val="00EF0C37"/>
    <w:rsid w:val="00F025D3"/>
    <w:rsid w:val="00F23FEA"/>
    <w:rsid w:val="00F31EDC"/>
    <w:rsid w:val="00F41E95"/>
    <w:rsid w:val="00F462B3"/>
    <w:rsid w:val="00F5664F"/>
    <w:rsid w:val="00F666C4"/>
    <w:rsid w:val="00F76AFC"/>
    <w:rsid w:val="00FA47C0"/>
    <w:rsid w:val="00FA707C"/>
    <w:rsid w:val="00FB5DD1"/>
    <w:rsid w:val="00FC2B5D"/>
    <w:rsid w:val="00FF1449"/>
    <w:rsid w:val="00FF68BD"/>
    <w:rsid w:val="00FF701A"/>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1A28513-6EEF-4C08-BB3B-717A68E11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945B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5B48"/>
    <w:rPr>
      <w:rFonts w:ascii="Geomanist Light" w:hAnsi="Geomanist Light"/>
      <w:lang w:val="es-ES"/>
    </w:rPr>
  </w:style>
  <w:style w:type="character" w:customStyle="1" w:styleId="s15">
    <w:name w:val="s15"/>
    <w:basedOn w:val="Fuentedeprrafopredeter"/>
    <w:rsid w:val="00945B48"/>
  </w:style>
  <w:style w:type="character" w:customStyle="1" w:styleId="apple-converted-space">
    <w:name w:val="apple-converted-space"/>
    <w:basedOn w:val="Fuentedeprrafopredeter"/>
    <w:rsid w:val="00945B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ormas.cra.gov.co/gestor/docs/concepto_superservicios_0000169_2023.ht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s.paternina01@correo.usa.edu.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normas.cra.gov.co/gestor/docs/concepto_superservicios_0000169_2023.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4F3D50E-1DC6-491C-B17A-55B76B8BAD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D642A7-8805-486F-8F42-128530836780}">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13</Pages>
  <Words>4104</Words>
  <Characters>22737</Characters>
  <Application>Microsoft Office Word</Application>
  <DocSecurity>0</DocSecurity>
  <Lines>464</Lines>
  <Paragraphs>108</Paragraphs>
  <ScaleCrop>false</ScaleCrop>
  <Company/>
  <LinksUpToDate>false</LinksUpToDate>
  <CharactersWithSpaces>26733</CharactersWithSpaces>
  <SharedDoc>false</SharedDoc>
  <HLinks>
    <vt:vector size="30" baseType="variant">
      <vt:variant>
        <vt:i4>3276900</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3735642</vt:i4>
      </vt:variant>
      <vt:variant>
        <vt:i4>3</vt:i4>
      </vt:variant>
      <vt:variant>
        <vt:i4>0</vt:i4>
      </vt:variant>
      <vt:variant>
        <vt:i4>5</vt:i4>
      </vt:variant>
      <vt:variant>
        <vt:lpwstr>https://normas.cra.gov.co/gestor/docs/concepto_superservicios_0000169_2023.htm</vt:lpwstr>
      </vt:variant>
      <vt:variant>
        <vt:lpwstr/>
      </vt:variant>
      <vt:variant>
        <vt:i4>5046311</vt:i4>
      </vt:variant>
      <vt:variant>
        <vt:i4>0</vt:i4>
      </vt:variant>
      <vt:variant>
        <vt:i4>0</vt:i4>
      </vt:variant>
      <vt:variant>
        <vt:i4>5</vt:i4>
      </vt:variant>
      <vt:variant>
        <vt:lpwstr>mailto:andres.paternina01@correo.usa.edu.co</vt:lpwstr>
      </vt:variant>
      <vt:variant>
        <vt:lpwstr/>
      </vt:variant>
      <vt:variant>
        <vt:i4>3735642</vt:i4>
      </vt:variant>
      <vt:variant>
        <vt:i4>0</vt:i4>
      </vt:variant>
      <vt:variant>
        <vt:i4>0</vt:i4>
      </vt:variant>
      <vt:variant>
        <vt:i4>5</vt:i4>
      </vt:variant>
      <vt:variant>
        <vt:lpwstr>https://normas.cra.gov.co/gestor/docs/concepto_superservicios_0000169_2023.htm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2026-01-15T14:44:00Z</dcterms:created>
  <dcterms:modified xsi:type="dcterms:W3CDTF">2026-01-20T19:26:00Z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