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8671CB" w14:textId="77777777" w:rsidR="0029749B" w:rsidRPr="00AF1555" w:rsidRDefault="0029749B" w:rsidP="0029749B">
      <w:pPr>
        <w:spacing w:after="0" w:line="240" w:lineRule="auto"/>
        <w:jc w:val="both"/>
        <w:rPr>
          <w:rFonts w:ascii="Verdana" w:eastAsia="Calibri" w:hAnsi="Verdana" w:cs="Arial"/>
          <w:b/>
          <w:sz w:val="20"/>
          <w:szCs w:val="20"/>
          <w:lang w:val="es-ES"/>
        </w:rPr>
      </w:pPr>
      <w:r w:rsidRPr="00817818">
        <w:rPr>
          <w:rFonts w:ascii="Verdana" w:eastAsia="Calibri" w:hAnsi="Verdana" w:cs="Arial"/>
          <w:b/>
          <w:lang w:val="es-ES"/>
        </w:rPr>
        <w:t>SISTEMA GENERAL DE REGALÍAS – Ley 2056 de 2020 – Finalidad – Objeto</w:t>
      </w:r>
    </w:p>
    <w:p w14:paraId="2AC874AE" w14:textId="77777777" w:rsidR="0029749B" w:rsidRDefault="0029749B" w:rsidP="0029749B">
      <w:pPr>
        <w:spacing w:after="0" w:line="240" w:lineRule="auto"/>
        <w:jc w:val="both"/>
        <w:rPr>
          <w:rFonts w:ascii="Verdana" w:eastAsia="Calibri" w:hAnsi="Verdana" w:cs="Arial"/>
          <w:bCs/>
          <w:sz w:val="20"/>
          <w:szCs w:val="20"/>
          <w:lang w:val="es-ES"/>
        </w:rPr>
      </w:pPr>
    </w:p>
    <w:p w14:paraId="6637F983" w14:textId="0C2D6DDE" w:rsidR="009C75C3" w:rsidRPr="009C75C3" w:rsidRDefault="009C75C3" w:rsidP="009C75C3">
      <w:pPr>
        <w:spacing w:after="0" w:line="240" w:lineRule="auto"/>
        <w:jc w:val="both"/>
        <w:rPr>
          <w:rFonts w:ascii="Verdana" w:hAnsi="Verdana" w:cs="Arial"/>
          <w:noProof/>
          <w:sz w:val="20"/>
          <w:szCs w:val="20"/>
        </w:rPr>
      </w:pPr>
      <w:r w:rsidRPr="009C75C3">
        <w:rPr>
          <w:rFonts w:ascii="Verdana" w:hAnsi="Verdana" w:cs="Arial"/>
          <w:noProof/>
          <w:sz w:val="20"/>
          <w:szCs w:val="20"/>
        </w:rPr>
        <w:t xml:space="preserve">La Ley 2056 de 2020 establece las reglas generales para los proyectos de inversión en el Sistema General de Regalías. </w:t>
      </w:r>
      <w:r w:rsidRPr="009C75C3">
        <w:rPr>
          <w:rFonts w:ascii="Verdana" w:hAnsi="Verdana" w:cs="Arial"/>
          <w:sz w:val="20"/>
          <w:szCs w:val="20"/>
        </w:rPr>
        <w:t xml:space="preserve">Los artículos 31 de la Ley 2056 de 2020 y 1.2.1.2.22 del Decreto 1821 de 2020 – Decreto Único Reglamentario del Sistema General de Regalías – indican que, como síntesis del ciclo de los proyectos de inversión, será </w:t>
      </w:r>
      <w:r w:rsidRPr="009C75C3">
        <w:rPr>
          <w:rFonts w:ascii="Verdana" w:hAnsi="Verdana" w:cs="Arial"/>
          <w:i/>
          <w:iCs/>
          <w:sz w:val="20"/>
          <w:szCs w:val="20"/>
        </w:rPr>
        <w:t>designada</w:t>
      </w:r>
      <w:r w:rsidRPr="009C75C3">
        <w:rPr>
          <w:rFonts w:ascii="Verdana" w:hAnsi="Verdana" w:cs="Arial"/>
          <w:sz w:val="20"/>
          <w:szCs w:val="20"/>
        </w:rPr>
        <w:t xml:space="preserve"> una entidad ejecutora, la cual estará encargada de su materialización. Al efecto, la entidad ejecutora deberá cumplir con los requisitos establecidos en las normas del sector al que pertenezca el proyecto.</w:t>
      </w:r>
    </w:p>
    <w:p w14:paraId="5D2C16A4" w14:textId="77777777" w:rsidR="0029749B" w:rsidRPr="00AF1555" w:rsidRDefault="0029749B" w:rsidP="0029749B">
      <w:pPr>
        <w:spacing w:after="0" w:line="240" w:lineRule="auto"/>
        <w:rPr>
          <w:rFonts w:ascii="Verdana" w:eastAsia="Geomanist Light" w:hAnsi="Verdana" w:cs="Arial"/>
          <w:color w:val="000000" w:themeColor="text1"/>
          <w:sz w:val="20"/>
          <w:szCs w:val="20"/>
          <w:lang w:val="es-ES_tradnl"/>
        </w:rPr>
      </w:pPr>
    </w:p>
    <w:p w14:paraId="7F6D6891" w14:textId="77777777" w:rsidR="0029749B" w:rsidRPr="00AF1555" w:rsidRDefault="0029749B" w:rsidP="0029749B">
      <w:pPr>
        <w:spacing w:after="0" w:line="240" w:lineRule="auto"/>
        <w:jc w:val="both"/>
        <w:rPr>
          <w:rFonts w:ascii="Verdana" w:eastAsia="Calibri" w:hAnsi="Verdana" w:cs="Arial"/>
          <w:b/>
          <w:sz w:val="20"/>
          <w:szCs w:val="20"/>
          <w:lang w:val="es-ES"/>
        </w:rPr>
      </w:pPr>
      <w:r>
        <w:rPr>
          <w:rFonts w:ascii="Verdana" w:eastAsia="Calibri" w:hAnsi="Verdana" w:cs="Arial"/>
          <w:b/>
          <w:lang w:val="es-ES"/>
        </w:rPr>
        <w:t>ENTIDADES EJECUTORAS</w:t>
      </w:r>
      <w:r w:rsidRPr="00817818">
        <w:rPr>
          <w:rFonts w:ascii="Verdana" w:eastAsia="Calibri" w:hAnsi="Verdana" w:cs="Arial"/>
          <w:b/>
          <w:lang w:val="es-ES"/>
        </w:rPr>
        <w:t xml:space="preserve"> – </w:t>
      </w:r>
      <w:r>
        <w:rPr>
          <w:rFonts w:ascii="Verdana" w:eastAsia="Calibri" w:hAnsi="Verdana" w:cs="Arial"/>
          <w:b/>
          <w:lang w:val="es-ES"/>
        </w:rPr>
        <w:t>Designación</w:t>
      </w:r>
      <w:r w:rsidRPr="00817818">
        <w:rPr>
          <w:rFonts w:ascii="Verdana" w:eastAsia="Calibri" w:hAnsi="Verdana" w:cs="Arial"/>
          <w:b/>
          <w:lang w:val="es-ES"/>
        </w:rPr>
        <w:t xml:space="preserve"> – </w:t>
      </w:r>
      <w:r>
        <w:rPr>
          <w:rFonts w:ascii="Verdana" w:eastAsia="Calibri" w:hAnsi="Verdana" w:cs="Arial"/>
          <w:b/>
          <w:lang w:val="es-ES"/>
        </w:rPr>
        <w:t>Acto administrativo</w:t>
      </w:r>
    </w:p>
    <w:p w14:paraId="23517E76" w14:textId="77777777" w:rsidR="0029749B" w:rsidRDefault="0029749B" w:rsidP="0029749B">
      <w:pPr>
        <w:spacing w:after="0" w:line="240" w:lineRule="auto"/>
        <w:jc w:val="both"/>
        <w:rPr>
          <w:rFonts w:ascii="Verdana" w:eastAsia="Calibri" w:hAnsi="Verdana" w:cs="Arial"/>
          <w:bCs/>
          <w:sz w:val="20"/>
          <w:szCs w:val="20"/>
          <w:lang w:val="es-ES"/>
        </w:rPr>
      </w:pPr>
    </w:p>
    <w:p w14:paraId="086D2B0B" w14:textId="77777777" w:rsidR="0029749B" w:rsidRDefault="0029749B" w:rsidP="0029749B">
      <w:pPr>
        <w:spacing w:after="0" w:line="240" w:lineRule="auto"/>
        <w:jc w:val="both"/>
        <w:rPr>
          <w:rFonts w:ascii="Verdana" w:eastAsia="Calibri" w:hAnsi="Verdana" w:cs="Arial"/>
          <w:bCs/>
          <w:sz w:val="20"/>
          <w:szCs w:val="20"/>
          <w:lang w:val="es-ES"/>
        </w:rPr>
      </w:pPr>
      <w:r w:rsidRPr="00817818">
        <w:rPr>
          <w:rFonts w:ascii="Verdana" w:eastAsia="Calibri" w:hAnsi="Verdana" w:cs="Arial"/>
          <w:bCs/>
          <w:sz w:val="20"/>
          <w:szCs w:val="20"/>
          <w:lang w:val="es-ES"/>
        </w:rPr>
        <w:t>La designación de la entidad ejecutora en los proyectos adelantados con cargo al Sistema General de Regalías corresponde a un acto administrativo, pues se trata de una declaración unilateral de voluntad de un órgano del Estado que ejerce función administrativa y que produce efectos jurídicos. Una vez concurren sus elementos de existencia, la validez depende de la competencia de funcionario, la ausencia de desviación de poder, la licitud del objeto, entre otras. Al ser un acto administrativo, la designación no corresponde a un contrato estatal, de forma que ni siquiera tiene la naturaleza de un convenio interadministrativo. En consecuencia, la designación no requiere aceptación de la entidad ejecutora ni ésta se considera contratista de los órganos de que tratan los artículos 35 y 36 de la Ley 2056 de 2020.</w:t>
      </w:r>
    </w:p>
    <w:p w14:paraId="5166DF04" w14:textId="77777777" w:rsidR="0029749B" w:rsidRDefault="0029749B" w:rsidP="001E5AD4">
      <w:pPr>
        <w:snapToGrid w:val="0"/>
        <w:contextualSpacing/>
        <w:jc w:val="both"/>
        <w:rPr>
          <w:rFonts w:ascii="Verdana" w:eastAsia="Calibri" w:hAnsi="Verdana" w:cs="Arial"/>
          <w:b/>
          <w:bCs/>
          <w:lang w:val="es-ES" w:eastAsia="es-ES"/>
        </w:rPr>
      </w:pPr>
    </w:p>
    <w:p w14:paraId="445D4BFA" w14:textId="7608F9DF" w:rsidR="0088688C" w:rsidRPr="001E5AD4" w:rsidRDefault="0088688C" w:rsidP="001E5AD4">
      <w:pPr>
        <w:snapToGrid w:val="0"/>
        <w:contextualSpacing/>
        <w:jc w:val="both"/>
        <w:rPr>
          <w:rFonts w:ascii="Verdana" w:eastAsia="Calibri" w:hAnsi="Verdana" w:cs="Arial"/>
          <w:b/>
          <w:bCs/>
          <w:lang w:val="es-ES" w:eastAsia="es-ES"/>
        </w:rPr>
      </w:pPr>
      <w:r w:rsidRPr="001E5AD4">
        <w:rPr>
          <w:rFonts w:ascii="Verdana" w:eastAsia="Calibri" w:hAnsi="Verdana" w:cs="Arial"/>
          <w:b/>
          <w:bCs/>
          <w:lang w:val="es-ES" w:eastAsia="es-ES"/>
        </w:rPr>
        <w:t>LEY DE GARANTÍAS ELECTORALES – Finalidad</w:t>
      </w:r>
    </w:p>
    <w:p w14:paraId="1792DDF6" w14:textId="77777777" w:rsidR="001E5AD4" w:rsidRPr="001E5AD4" w:rsidRDefault="001E5AD4" w:rsidP="001E5AD4">
      <w:pPr>
        <w:snapToGrid w:val="0"/>
        <w:spacing w:after="0" w:line="240" w:lineRule="auto"/>
        <w:contextualSpacing/>
        <w:jc w:val="both"/>
        <w:rPr>
          <w:rFonts w:ascii="Verdana" w:eastAsia="Calibri" w:hAnsi="Verdana" w:cs="Arial"/>
          <w:sz w:val="20"/>
          <w:szCs w:val="20"/>
          <w:lang w:val="es-ES" w:eastAsia="es-ES"/>
        </w:rPr>
      </w:pPr>
    </w:p>
    <w:p w14:paraId="2D5909A2" w14:textId="721C2E28" w:rsidR="0088688C" w:rsidRPr="001E5AD4" w:rsidRDefault="0088688C" w:rsidP="001E5AD4">
      <w:pPr>
        <w:tabs>
          <w:tab w:val="left" w:pos="426"/>
        </w:tabs>
        <w:snapToGrid w:val="0"/>
        <w:spacing w:after="0" w:line="240" w:lineRule="auto"/>
        <w:contextualSpacing/>
        <w:jc w:val="both"/>
        <w:rPr>
          <w:rFonts w:ascii="Verdana" w:eastAsia="Calibri" w:hAnsi="Verdana" w:cs="Arial"/>
          <w:sz w:val="20"/>
          <w:szCs w:val="20"/>
          <w:lang w:val="es-ES"/>
        </w:rPr>
      </w:pPr>
      <w:r w:rsidRPr="001E5AD4">
        <w:rPr>
          <w:rFonts w:ascii="Verdana" w:eastAsia="Times New Roman" w:hAnsi="Verdana" w:cs="Arial"/>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1E5AD4">
        <w:rPr>
          <w:rFonts w:ascii="Verdana" w:eastAsia="Calibri" w:hAnsi="Verdana" w:cs="Arial"/>
          <w:sz w:val="20"/>
          <w:szCs w:val="20"/>
          <w:lang w:val="es-ES"/>
        </w:rPr>
        <w:t xml:space="preserve"> </w:t>
      </w:r>
    </w:p>
    <w:p w14:paraId="27EABF83" w14:textId="77777777" w:rsidR="0088688C" w:rsidRPr="001E5AD4" w:rsidRDefault="0088688C" w:rsidP="001E5AD4">
      <w:pPr>
        <w:snapToGrid w:val="0"/>
        <w:spacing w:after="0" w:line="240" w:lineRule="auto"/>
        <w:contextualSpacing/>
        <w:jc w:val="both"/>
        <w:rPr>
          <w:rFonts w:ascii="Verdana" w:eastAsia="Calibri" w:hAnsi="Verdana" w:cs="Arial"/>
          <w:sz w:val="20"/>
          <w:szCs w:val="20"/>
          <w:lang w:val="es-ES" w:eastAsia="es-ES"/>
        </w:rPr>
      </w:pPr>
    </w:p>
    <w:p w14:paraId="31BC7B38" w14:textId="77777777" w:rsidR="0088688C" w:rsidRPr="001E5AD4" w:rsidRDefault="0088688C" w:rsidP="001E5AD4">
      <w:pPr>
        <w:snapToGrid w:val="0"/>
        <w:contextualSpacing/>
        <w:jc w:val="both"/>
        <w:rPr>
          <w:rFonts w:ascii="Verdana" w:eastAsia="Calibri" w:hAnsi="Verdana" w:cs="Arial"/>
          <w:b/>
          <w:bCs/>
          <w:sz w:val="20"/>
          <w:szCs w:val="20"/>
          <w:lang w:val="es-ES" w:eastAsia="es-ES"/>
        </w:rPr>
      </w:pPr>
      <w:r w:rsidRPr="001E5AD4">
        <w:rPr>
          <w:rFonts w:ascii="Verdana" w:eastAsia="Calibri" w:hAnsi="Verdana" w:cs="Arial"/>
          <w:b/>
          <w:bCs/>
          <w:lang w:val="es-ES" w:eastAsia="es-ES"/>
        </w:rPr>
        <w:t>LEY DE GARANTÍAS ELECTORALES ‒ Restricciones ‒ Contratación ‒ Tipos de elección</w:t>
      </w:r>
    </w:p>
    <w:p w14:paraId="40041FB1" w14:textId="77777777" w:rsidR="001E5AD4" w:rsidRPr="001E5AD4" w:rsidRDefault="001E5AD4" w:rsidP="001E5AD4">
      <w:pPr>
        <w:snapToGrid w:val="0"/>
        <w:spacing w:after="0" w:line="240" w:lineRule="auto"/>
        <w:contextualSpacing/>
        <w:jc w:val="both"/>
        <w:rPr>
          <w:rFonts w:ascii="Verdana" w:eastAsia="Calibri" w:hAnsi="Verdana" w:cs="Arial"/>
          <w:sz w:val="20"/>
          <w:szCs w:val="20"/>
          <w:lang w:val="es-ES" w:eastAsia="es-ES"/>
        </w:rPr>
      </w:pPr>
    </w:p>
    <w:p w14:paraId="36E03940" w14:textId="54D896FC" w:rsidR="0088688C" w:rsidRDefault="0088688C" w:rsidP="001E5AD4">
      <w:pPr>
        <w:snapToGrid w:val="0"/>
        <w:spacing w:after="0" w:line="240" w:lineRule="auto"/>
        <w:contextualSpacing/>
        <w:jc w:val="both"/>
        <w:rPr>
          <w:rFonts w:ascii="Verdana" w:eastAsia="Calibri" w:hAnsi="Verdana" w:cs="Arial"/>
          <w:sz w:val="20"/>
          <w:szCs w:val="20"/>
          <w:lang w:val="es-ES"/>
        </w:rPr>
      </w:pPr>
      <w:r w:rsidRPr="001E5AD4">
        <w:rPr>
          <w:rFonts w:ascii="Verdana" w:eastAsia="Calibri" w:hAnsi="Verdana" w:cs="Arial"/>
          <w:sz w:val="20"/>
          <w:szCs w:val="20"/>
          <w:lang w:val="es-ES"/>
        </w:rPr>
        <w:t xml:space="preserve">Por un lado, el </w:t>
      </w:r>
      <w:r w:rsidRPr="001E5AD4">
        <w:rPr>
          <w:rFonts w:ascii="Verdana" w:eastAsia="Calibri" w:hAnsi="Verdana" w:cs="Arial"/>
          <w:i/>
          <w:iCs/>
          <w:sz w:val="20"/>
          <w:szCs w:val="20"/>
          <w:lang w:val="es-ES"/>
        </w:rPr>
        <w:t xml:space="preserve">artículo 33 </w:t>
      </w:r>
      <w:r w:rsidRPr="001E5AD4">
        <w:rPr>
          <w:rFonts w:ascii="Verdana" w:eastAsia="Calibri" w:hAnsi="Verdana" w:cs="Arial"/>
          <w:sz w:val="20"/>
          <w:szCs w:val="20"/>
          <w:lang w:val="es-ES"/>
        </w:rPr>
        <w:t xml:space="preserve">de la Ley 996 de 2005 prohíbe “[…] la contratación directa por parte de </w:t>
      </w:r>
      <w:r w:rsidRPr="001E5AD4">
        <w:rPr>
          <w:rFonts w:ascii="Verdana" w:eastAsia="Calibri" w:hAnsi="Verdana" w:cs="Arial"/>
          <w:i/>
          <w:iCs/>
          <w:sz w:val="20"/>
          <w:szCs w:val="20"/>
          <w:lang w:val="es-ES"/>
        </w:rPr>
        <w:t>todos los entes del Estado</w:t>
      </w:r>
      <w:r w:rsidRPr="001E5AD4">
        <w:rPr>
          <w:rFonts w:ascii="Verdana" w:eastAsia="Calibri" w:hAnsi="Verdana" w:cs="Arial"/>
          <w:sz w:val="20"/>
          <w:szCs w:val="20"/>
          <w:lang w:val="es-ES"/>
        </w:rPr>
        <w:t xml:space="preserve">” durante los cuatro (4) meses anteriores a las </w:t>
      </w:r>
      <w:r w:rsidRPr="001E5AD4">
        <w:rPr>
          <w:rFonts w:ascii="Verdana" w:eastAsia="Calibri" w:hAnsi="Verdana" w:cs="Arial"/>
          <w:i/>
          <w:iCs/>
          <w:sz w:val="20"/>
          <w:szCs w:val="20"/>
          <w:lang w:val="es-ES"/>
        </w:rPr>
        <w:t>elecciones presidenciales</w:t>
      </w:r>
      <w:r w:rsidRPr="001E5AD4">
        <w:rPr>
          <w:rFonts w:ascii="Verdana" w:eastAsia="Calibri" w:hAnsi="Verdana" w:cs="Arial"/>
          <w:sz w:val="20"/>
          <w:szCs w:val="20"/>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3CA84248" w14:textId="77777777" w:rsidR="001E5AD4" w:rsidRPr="001E5AD4" w:rsidRDefault="001E5AD4" w:rsidP="001E5AD4">
      <w:pPr>
        <w:snapToGrid w:val="0"/>
        <w:spacing w:after="0" w:line="240" w:lineRule="auto"/>
        <w:contextualSpacing/>
        <w:jc w:val="both"/>
        <w:rPr>
          <w:rFonts w:ascii="Verdana" w:eastAsia="Calibri" w:hAnsi="Verdana" w:cs="Arial"/>
          <w:sz w:val="20"/>
          <w:szCs w:val="20"/>
          <w:lang w:val="es-ES"/>
        </w:rPr>
      </w:pPr>
    </w:p>
    <w:p w14:paraId="5301165A" w14:textId="142532D7" w:rsidR="0088688C" w:rsidRPr="001E5AD4" w:rsidRDefault="0088688C" w:rsidP="001E5AD4">
      <w:pPr>
        <w:widowControl w:val="0"/>
        <w:autoSpaceDE w:val="0"/>
        <w:autoSpaceDN w:val="0"/>
        <w:snapToGrid w:val="0"/>
        <w:spacing w:after="0" w:line="240" w:lineRule="auto"/>
        <w:ind w:right="113"/>
        <w:contextualSpacing/>
        <w:jc w:val="both"/>
        <w:rPr>
          <w:rFonts w:ascii="Verdana" w:eastAsia="Arial" w:hAnsi="Verdana" w:cs="Arial"/>
          <w:sz w:val="20"/>
          <w:szCs w:val="20"/>
          <w:lang w:val="es-ES" w:eastAsia="es-ES" w:bidi="es-ES"/>
        </w:rPr>
      </w:pPr>
      <w:r w:rsidRPr="001E5AD4">
        <w:rPr>
          <w:rFonts w:ascii="Verdana" w:eastAsia="Calibri" w:hAnsi="Verdana" w:cs="Arial"/>
          <w:sz w:val="20"/>
          <w:szCs w:val="20"/>
          <w:lang w:val="es-ES"/>
        </w:rPr>
        <w:t xml:space="preserve">Por otro lado, </w:t>
      </w:r>
      <w:r w:rsidRPr="001E5AD4">
        <w:rPr>
          <w:rFonts w:ascii="Verdana" w:eastAsia="Calibri" w:hAnsi="Verdana" w:cs="Arial"/>
          <w:i/>
          <w:iCs/>
          <w:sz w:val="20"/>
          <w:szCs w:val="20"/>
          <w:lang w:val="es-ES"/>
        </w:rPr>
        <w:t xml:space="preserve">el parágrafo del artículo 38 </w:t>
      </w:r>
      <w:r w:rsidRPr="001E5AD4">
        <w:rPr>
          <w:rFonts w:ascii="Verdana" w:eastAsia="Calibri" w:hAnsi="Verdana" w:cs="Arial"/>
          <w:sz w:val="20"/>
          <w:szCs w:val="20"/>
          <w:lang w:val="es-ES"/>
        </w:rPr>
        <w:t xml:space="preserve">de la Ley 996 de 2005 prevé una restricción, aplicable respecto de </w:t>
      </w:r>
      <w:r w:rsidRPr="001E5AD4">
        <w:rPr>
          <w:rFonts w:ascii="Verdana" w:eastAsia="Calibri" w:hAnsi="Verdana" w:cs="Arial"/>
          <w:i/>
          <w:iCs/>
          <w:sz w:val="20"/>
          <w:szCs w:val="20"/>
          <w:lang w:val="es-ES"/>
        </w:rPr>
        <w:t>cualquier tipo de contienda electoral</w:t>
      </w:r>
      <w:r w:rsidRPr="001E5AD4">
        <w:rPr>
          <w:rFonts w:ascii="Verdana" w:eastAsia="Calibri" w:hAnsi="Verdana" w:cs="Arial"/>
          <w:sz w:val="20"/>
          <w:szCs w:val="20"/>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1E5AD4">
        <w:rPr>
          <w:rFonts w:ascii="Verdana" w:eastAsia="Arial" w:hAnsi="Verdana" w:cs="Arial"/>
          <w:sz w:val="20"/>
          <w:szCs w:val="20"/>
          <w:lang w:val="es-ES" w:eastAsia="es-ES" w:bidi="es-ES"/>
        </w:rPr>
        <w:t xml:space="preserve"> </w:t>
      </w:r>
    </w:p>
    <w:p w14:paraId="2164E635" w14:textId="77777777" w:rsidR="0088688C" w:rsidRPr="001E5AD4" w:rsidRDefault="0088688C" w:rsidP="001E5AD4">
      <w:pPr>
        <w:snapToGrid w:val="0"/>
        <w:spacing w:after="0" w:line="240" w:lineRule="auto"/>
        <w:contextualSpacing/>
        <w:jc w:val="both"/>
        <w:rPr>
          <w:rFonts w:ascii="Verdana" w:eastAsia="Calibri" w:hAnsi="Verdana" w:cs="Arial"/>
          <w:sz w:val="20"/>
          <w:szCs w:val="20"/>
          <w:lang w:val="es-ES" w:eastAsia="es-ES"/>
        </w:rPr>
      </w:pPr>
    </w:p>
    <w:p w14:paraId="6C7581FA" w14:textId="77777777" w:rsidR="0088688C" w:rsidRPr="001E5AD4" w:rsidRDefault="0088688C" w:rsidP="001E5AD4">
      <w:pPr>
        <w:snapToGrid w:val="0"/>
        <w:spacing w:after="0" w:line="240" w:lineRule="auto"/>
        <w:contextualSpacing/>
        <w:jc w:val="both"/>
        <w:rPr>
          <w:rFonts w:ascii="Verdana" w:eastAsia="Calibri" w:hAnsi="Verdana" w:cs="Arial"/>
          <w:b/>
          <w:bCs/>
          <w:lang w:val="es-ES" w:eastAsia="es-ES"/>
        </w:rPr>
      </w:pPr>
      <w:r w:rsidRPr="001E5AD4">
        <w:rPr>
          <w:rFonts w:ascii="Verdana" w:eastAsia="Calibri" w:hAnsi="Verdana" w:cs="Arial"/>
          <w:b/>
          <w:bCs/>
          <w:lang w:val="es-ES" w:eastAsia="es-ES"/>
        </w:rPr>
        <w:t>LEY DE GARANTÍAS ELECTORALES ‒ Artículo 33 ‒ Ámbito material</w:t>
      </w:r>
    </w:p>
    <w:p w14:paraId="236BD93D" w14:textId="77777777" w:rsidR="001E5AD4" w:rsidRDefault="001E5AD4" w:rsidP="001E5AD4">
      <w:pPr>
        <w:snapToGrid w:val="0"/>
        <w:spacing w:after="0" w:line="240" w:lineRule="auto"/>
        <w:contextualSpacing/>
        <w:jc w:val="both"/>
        <w:rPr>
          <w:rFonts w:ascii="Verdana" w:eastAsia="Times New Roman" w:hAnsi="Verdana" w:cs="Arial"/>
          <w:sz w:val="20"/>
          <w:szCs w:val="20"/>
          <w:lang w:val="es-ES"/>
        </w:rPr>
      </w:pPr>
    </w:p>
    <w:p w14:paraId="6D17E240" w14:textId="30681149" w:rsidR="0088688C" w:rsidRPr="001E5AD4" w:rsidRDefault="0088688C" w:rsidP="001E5AD4">
      <w:pPr>
        <w:snapToGrid w:val="0"/>
        <w:spacing w:after="0" w:line="240" w:lineRule="auto"/>
        <w:contextualSpacing/>
        <w:jc w:val="both"/>
        <w:rPr>
          <w:rFonts w:ascii="Verdana" w:eastAsia="Times New Roman" w:hAnsi="Verdana" w:cs="Arial"/>
          <w:sz w:val="20"/>
          <w:szCs w:val="20"/>
          <w:lang w:val="es-ES"/>
        </w:rPr>
      </w:pPr>
      <w:r w:rsidRPr="001E5AD4">
        <w:rPr>
          <w:rFonts w:ascii="Verdana" w:eastAsia="Times New Roman" w:hAnsi="Verdana" w:cs="Arial"/>
          <w:sz w:val="20"/>
          <w:szCs w:val="20"/>
          <w:lang w:val="es-ES"/>
        </w:rPr>
        <w:t xml:space="preserve">De lo anterior se desprende que la restricción aplica, sin perjuicio de las excepciones establecidas en la misma ley, para celebrar </w:t>
      </w:r>
      <w:r w:rsidRPr="001E5AD4">
        <w:rPr>
          <w:rFonts w:ascii="Verdana" w:eastAsia="Times New Roman" w:hAnsi="Verdana" w:cs="Arial"/>
          <w:i/>
          <w:iCs/>
          <w:sz w:val="20"/>
          <w:szCs w:val="20"/>
          <w:lang w:val="es-ES"/>
        </w:rPr>
        <w:t>cualquier contrato o convenio de forma directa</w:t>
      </w:r>
      <w:r w:rsidRPr="001E5AD4">
        <w:rPr>
          <w:rFonts w:ascii="Verdana" w:eastAsia="Times New Roman" w:hAnsi="Verdana" w:cs="Arial"/>
          <w:sz w:val="20"/>
          <w:szCs w:val="20"/>
          <w:lang w:val="es-ES"/>
        </w:rPr>
        <w:t>,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320E63D0" w14:textId="77777777" w:rsidR="0088688C" w:rsidRPr="001E5AD4" w:rsidRDefault="0088688C" w:rsidP="001E5AD4">
      <w:pPr>
        <w:snapToGrid w:val="0"/>
        <w:spacing w:after="0" w:line="240" w:lineRule="auto"/>
        <w:contextualSpacing/>
        <w:jc w:val="both"/>
        <w:rPr>
          <w:rFonts w:ascii="Verdana" w:eastAsia="Calibri" w:hAnsi="Verdana" w:cs="Arial"/>
          <w:sz w:val="20"/>
          <w:szCs w:val="20"/>
          <w:lang w:val="es-ES" w:eastAsia="es-ES"/>
        </w:rPr>
      </w:pPr>
    </w:p>
    <w:p w14:paraId="2034672A" w14:textId="51FD222F" w:rsidR="0088688C" w:rsidRPr="001E5AD4" w:rsidRDefault="0088688C" w:rsidP="001E5AD4">
      <w:pPr>
        <w:snapToGrid w:val="0"/>
        <w:spacing w:after="0" w:line="240" w:lineRule="auto"/>
        <w:contextualSpacing/>
        <w:jc w:val="both"/>
        <w:rPr>
          <w:rFonts w:ascii="Verdana" w:eastAsia="Arial" w:hAnsi="Verdana" w:cs="Arial"/>
          <w:b/>
          <w:bCs/>
          <w:color w:val="000000" w:themeColor="text1"/>
        </w:rPr>
      </w:pPr>
      <w:r w:rsidRPr="001E5AD4">
        <w:rPr>
          <w:rFonts w:ascii="Verdana" w:eastAsia="Calibri" w:hAnsi="Verdana" w:cs="Arial"/>
          <w:b/>
          <w:bCs/>
          <w:lang w:val="es-ES" w:eastAsia="es-ES"/>
        </w:rPr>
        <w:t xml:space="preserve">LEY DE GARANTÍAS ELECTORALES ‒ Aplicación ‒ </w:t>
      </w:r>
      <w:r w:rsidR="00820866">
        <w:rPr>
          <w:rFonts w:ascii="Verdana" w:eastAsia="Calibri" w:hAnsi="Verdana" w:cs="Arial"/>
          <w:b/>
          <w:bCs/>
          <w:lang w:val="es-ES" w:eastAsia="es-ES"/>
        </w:rPr>
        <w:t>Acto de designación SGR</w:t>
      </w:r>
    </w:p>
    <w:p w14:paraId="0A4A6811" w14:textId="77777777" w:rsidR="001E5AD4" w:rsidRDefault="001E5AD4" w:rsidP="001E5AD4">
      <w:pPr>
        <w:snapToGrid w:val="0"/>
        <w:contextualSpacing/>
        <w:jc w:val="both"/>
        <w:rPr>
          <w:rFonts w:ascii="Verdana" w:eastAsia="Arial" w:hAnsi="Verdana" w:cs="Arial"/>
          <w:color w:val="000000" w:themeColor="text1"/>
          <w:sz w:val="20"/>
          <w:szCs w:val="20"/>
        </w:rPr>
      </w:pPr>
    </w:p>
    <w:p w14:paraId="024A4413" w14:textId="77777777" w:rsidR="00820866" w:rsidRPr="00820866" w:rsidRDefault="00820866" w:rsidP="00820866">
      <w:pPr>
        <w:spacing w:after="0" w:line="240" w:lineRule="auto"/>
        <w:jc w:val="both"/>
        <w:rPr>
          <w:rFonts w:ascii="Verdana" w:hAnsi="Verdana" w:cs="Arial"/>
          <w:bCs/>
          <w:sz w:val="20"/>
          <w:szCs w:val="20"/>
          <w:lang w:val="es-ES_tradnl" w:eastAsia="es-CO"/>
        </w:rPr>
      </w:pPr>
      <w:r w:rsidRPr="00820866">
        <w:rPr>
          <w:rFonts w:ascii="Verdana" w:hAnsi="Verdana" w:cs="Arial"/>
          <w:sz w:val="20"/>
          <w:szCs w:val="20"/>
        </w:rPr>
        <w:t>Bajo estas consideraciones, de cara a la consulta planteada, se puede afirmar que a la designación</w:t>
      </w:r>
      <w:r w:rsidRPr="00820866">
        <w:rPr>
          <w:rFonts w:ascii="Verdana" w:eastAsia="Calibri" w:hAnsi="Verdana" w:cs="Arial"/>
          <w:sz w:val="20"/>
          <w:szCs w:val="20"/>
        </w:rPr>
        <w:t xml:space="preserve"> </w:t>
      </w:r>
      <w:r w:rsidRPr="00820866">
        <w:rPr>
          <w:rFonts w:ascii="Verdana" w:eastAsia="Calibri" w:hAnsi="Verdana" w:cs="Arial"/>
          <w:bCs/>
          <w:color w:val="000000" w:themeColor="text1"/>
          <w:sz w:val="20"/>
          <w:szCs w:val="20"/>
        </w:rPr>
        <w:t>de la entidad ejecutora en los proyectos adelantados con cargo al Sistema General de Regalías,</w:t>
      </w:r>
      <w:r w:rsidRPr="00820866">
        <w:rPr>
          <w:rFonts w:ascii="Verdana" w:hAnsi="Verdana" w:cs="Arial"/>
          <w:bCs/>
          <w:sz w:val="20"/>
          <w:szCs w:val="20"/>
          <w:lang w:val="es-ES_tradnl" w:eastAsia="es-CO"/>
        </w:rPr>
        <w:t xml:space="preserve"> al tratarse de un acto administrativo, no le resulta aplicable las restricciones previstas en los artículos 33 y 38 de la Ley 996 de 2005, porque lo que en estos preceptos se prohíbe es </w:t>
      </w:r>
      <w:r w:rsidRPr="00820866">
        <w:rPr>
          <w:rFonts w:ascii="Verdana" w:hAnsi="Verdana" w:cs="Arial"/>
          <w:bCs/>
          <w:sz w:val="20"/>
          <w:szCs w:val="20"/>
          <w:lang w:val="es-MX" w:eastAsia="x-none"/>
        </w:rPr>
        <w:t>celebrar cualquier contrato de forma directa</w:t>
      </w:r>
      <w:r w:rsidRPr="00820866">
        <w:rPr>
          <w:rFonts w:ascii="Verdana" w:hAnsi="Verdana" w:cs="Arial"/>
          <w:bCs/>
          <w:sz w:val="20"/>
          <w:szCs w:val="20"/>
          <w:lang w:val="es-ES_tradnl" w:eastAsia="es-CO"/>
        </w:rPr>
        <w:t xml:space="preserve"> y “celebrar convenios interadministrativos para la ejecución de recursos públicos”. En este sentido, </w:t>
      </w:r>
      <w:r w:rsidRPr="00820866">
        <w:rPr>
          <w:rFonts w:ascii="Verdana" w:eastAsia="Times New Roman" w:hAnsi="Verdana" w:cs="Arial"/>
          <w:sz w:val="20"/>
          <w:szCs w:val="20"/>
          <w:lang w:val="es-ES"/>
        </w:rPr>
        <w:t xml:space="preserve">la celebración de estos contratos de forma directa y de convenios interadministrativo </w:t>
      </w:r>
      <w:r w:rsidRPr="00820866">
        <w:rPr>
          <w:rFonts w:ascii="Verdana" w:hAnsi="Verdana" w:cs="Arial"/>
          <w:bCs/>
          <w:sz w:val="20"/>
          <w:szCs w:val="20"/>
          <w:lang w:val="es-ES_tradnl" w:eastAsia="es-CO"/>
        </w:rPr>
        <w:t xml:space="preserve">son </w:t>
      </w:r>
      <w:r w:rsidRPr="00820866">
        <w:rPr>
          <w:rFonts w:ascii="Verdana" w:hAnsi="Verdana" w:cs="Arial"/>
          <w:bCs/>
          <w:i/>
          <w:iCs/>
          <w:sz w:val="20"/>
          <w:szCs w:val="20"/>
          <w:lang w:val="es-ES_tradnl" w:eastAsia="es-CO"/>
        </w:rPr>
        <w:t>acuerdos de voluntades</w:t>
      </w:r>
      <w:r w:rsidRPr="00820866">
        <w:rPr>
          <w:rFonts w:ascii="Verdana" w:hAnsi="Verdana" w:cs="Arial"/>
          <w:bCs/>
          <w:sz w:val="20"/>
          <w:szCs w:val="20"/>
          <w:lang w:val="es-ES_tradnl" w:eastAsia="es-CO"/>
        </w:rPr>
        <w:t xml:space="preserve">, o sea un acto jurídico </w:t>
      </w:r>
      <w:r w:rsidRPr="00820866">
        <w:rPr>
          <w:rFonts w:ascii="Verdana" w:hAnsi="Verdana" w:cs="Arial"/>
          <w:bCs/>
          <w:i/>
          <w:iCs/>
          <w:sz w:val="20"/>
          <w:szCs w:val="20"/>
          <w:lang w:val="es-ES_tradnl" w:eastAsia="es-CO"/>
        </w:rPr>
        <w:t>bilateral</w:t>
      </w:r>
      <w:r w:rsidRPr="00820866">
        <w:rPr>
          <w:rFonts w:ascii="Verdana" w:hAnsi="Verdana" w:cs="Arial"/>
          <w:bCs/>
          <w:sz w:val="20"/>
          <w:szCs w:val="20"/>
          <w:lang w:val="es-ES_tradnl" w:eastAsia="es-CO"/>
        </w:rPr>
        <w:t xml:space="preserve"> o que participa de la forma contractual, de conformidad con el artículo 1495 del Código Civil. En cambio, la forma jurídica de designación que se desprende del artículo 37 de la Ley 2056 de 2020 </w:t>
      </w:r>
      <w:r w:rsidRPr="00820866">
        <w:rPr>
          <w:rFonts w:ascii="Verdana" w:hAnsi="Verdana" w:cs="Arial"/>
          <w:bCs/>
          <w:i/>
          <w:iCs/>
          <w:sz w:val="20"/>
          <w:szCs w:val="20"/>
          <w:lang w:val="es-ES_tradnl" w:eastAsia="es-CO"/>
        </w:rPr>
        <w:t>es el acto administrativo</w:t>
      </w:r>
      <w:r w:rsidRPr="00820866">
        <w:rPr>
          <w:rFonts w:ascii="Verdana" w:hAnsi="Verdana" w:cs="Arial"/>
          <w:bCs/>
          <w:sz w:val="20"/>
          <w:szCs w:val="20"/>
          <w:lang w:val="es-ES_tradnl" w:eastAsia="es-CO"/>
        </w:rPr>
        <w:t xml:space="preserve">, no el convenio interadministrativo. Si el artículo 33 y el parágrafo del artículo 38 de la Ley 996 de 2005 prohibieron la celebración directa de contratos y la suscripción de convenios interadministrativos para la ejecución de recursos públicos, no puede entenderse </w:t>
      </w:r>
      <w:r w:rsidRPr="00820866">
        <w:rPr>
          <w:rFonts w:ascii="Verdana" w:hAnsi="Verdana" w:cs="Arial"/>
          <w:bCs/>
          <w:i/>
          <w:iCs/>
          <w:sz w:val="20"/>
          <w:szCs w:val="20"/>
          <w:lang w:val="es-ES_tradnl" w:eastAsia="es-CO"/>
        </w:rPr>
        <w:t>también</w:t>
      </w:r>
      <w:r w:rsidRPr="00820866">
        <w:rPr>
          <w:rFonts w:ascii="Verdana" w:hAnsi="Verdana" w:cs="Arial"/>
          <w:bCs/>
          <w:sz w:val="20"/>
          <w:szCs w:val="20"/>
          <w:lang w:val="es-ES_tradnl" w:eastAsia="es-CO"/>
        </w:rPr>
        <w:t xml:space="preserve"> prohibida la designación del ente ejecutor, porque se estaría incluyendo una circunstancia que el supuesto de hecho de la restricción no contempla. </w:t>
      </w:r>
    </w:p>
    <w:p w14:paraId="6028760F" w14:textId="77777777" w:rsidR="001E5AD4" w:rsidRDefault="001E5AD4" w:rsidP="00927895">
      <w:pPr>
        <w:spacing w:after="0"/>
        <w:rPr>
          <w:rFonts w:ascii="Verdana" w:hAnsi="Verdana"/>
          <w:lang w:val="es-ES"/>
        </w:rPr>
      </w:pPr>
    </w:p>
    <w:p w14:paraId="17409724" w14:textId="77777777" w:rsidR="001E5AD4" w:rsidRDefault="001E5AD4" w:rsidP="00927895">
      <w:pPr>
        <w:spacing w:after="0"/>
        <w:rPr>
          <w:rFonts w:ascii="Verdana" w:hAnsi="Verdana"/>
          <w:lang w:val="es-ES"/>
        </w:rPr>
      </w:pPr>
    </w:p>
    <w:p w14:paraId="3E58F383" w14:textId="77777777" w:rsidR="001E5AD4" w:rsidRDefault="001E5AD4" w:rsidP="00927895">
      <w:pPr>
        <w:spacing w:after="0"/>
        <w:rPr>
          <w:rFonts w:ascii="Verdana" w:hAnsi="Verdana"/>
          <w:lang w:val="es-ES"/>
        </w:rPr>
      </w:pPr>
    </w:p>
    <w:p w14:paraId="33615388" w14:textId="77777777" w:rsidR="001E5AD4" w:rsidRDefault="001E5AD4" w:rsidP="00927895">
      <w:pPr>
        <w:spacing w:after="0"/>
        <w:rPr>
          <w:rFonts w:ascii="Verdana" w:hAnsi="Verdana"/>
          <w:lang w:val="es-ES"/>
        </w:rPr>
      </w:pPr>
    </w:p>
    <w:p w14:paraId="0DAB5BF9" w14:textId="77777777" w:rsidR="001E5AD4" w:rsidRDefault="001E5AD4" w:rsidP="00927895">
      <w:pPr>
        <w:spacing w:after="0"/>
        <w:rPr>
          <w:rFonts w:ascii="Verdana" w:hAnsi="Verdana"/>
          <w:lang w:val="es-ES"/>
        </w:rPr>
      </w:pPr>
    </w:p>
    <w:p w14:paraId="0D0B3B0A" w14:textId="77777777" w:rsidR="001E5AD4" w:rsidRDefault="001E5AD4" w:rsidP="00927895">
      <w:pPr>
        <w:spacing w:after="0"/>
        <w:rPr>
          <w:rFonts w:ascii="Verdana" w:hAnsi="Verdana"/>
          <w:lang w:val="es-ES"/>
        </w:rPr>
      </w:pPr>
    </w:p>
    <w:p w14:paraId="20F6021F" w14:textId="1CE5BBFA" w:rsidR="007A74DB" w:rsidRPr="00A27102" w:rsidRDefault="007A74DB" w:rsidP="007A74DB">
      <w:pPr>
        <w:spacing w:after="0" w:line="240" w:lineRule="auto"/>
        <w:rPr>
          <w:rFonts w:ascii="Verdana" w:eastAsia="Geomanist Light" w:hAnsi="Verdana" w:cs="Arial"/>
          <w:color w:val="201F1E"/>
          <w:lang w:val="es-MX"/>
        </w:rPr>
      </w:pPr>
      <w:r w:rsidRPr="00A27102">
        <w:rPr>
          <w:rFonts w:ascii="Verdana" w:eastAsia="Geomanist Light" w:hAnsi="Verdana" w:cs="Arial"/>
          <w:color w:val="000000" w:themeColor="text1"/>
          <w:lang w:val="es-MX"/>
        </w:rPr>
        <w:lastRenderedPageBreak/>
        <w:t>Bogotá D.C., </w:t>
      </w:r>
      <w:r w:rsidR="00CF7791">
        <w:rPr>
          <w:rFonts w:ascii="Verdana" w:eastAsia="Geomanist Light" w:hAnsi="Verdana" w:cs="Arial"/>
          <w:color w:val="201F1E"/>
          <w:lang w:val="es-MX"/>
        </w:rPr>
        <w:t>1</w:t>
      </w:r>
      <w:r w:rsidR="009C75C3">
        <w:rPr>
          <w:rFonts w:ascii="Verdana" w:eastAsia="Geomanist Light" w:hAnsi="Verdana" w:cs="Arial"/>
          <w:color w:val="201F1E"/>
          <w:lang w:val="es-MX"/>
        </w:rPr>
        <w:t>0</w:t>
      </w:r>
      <w:r w:rsidR="00CF7791">
        <w:rPr>
          <w:rFonts w:ascii="Verdana" w:eastAsia="Geomanist Light" w:hAnsi="Verdana" w:cs="Arial"/>
          <w:color w:val="201F1E"/>
          <w:lang w:val="es-MX"/>
        </w:rPr>
        <w:t xml:space="preserve"> de diciembre de 2025</w:t>
      </w:r>
    </w:p>
    <w:p w14:paraId="18BC3236" w14:textId="00A92604" w:rsidR="007A74DB" w:rsidRDefault="007A74DB" w:rsidP="00CF7791">
      <w:pPr>
        <w:spacing w:after="0"/>
        <w:jc w:val="right"/>
        <w:rPr>
          <w:rFonts w:ascii="Verdana" w:hAnsi="Verdana"/>
          <w:lang w:val="es-ES"/>
        </w:rPr>
      </w:pPr>
    </w:p>
    <w:p w14:paraId="06DEF805" w14:textId="742405CC" w:rsidR="007A74DB" w:rsidRPr="00FC6F34" w:rsidRDefault="006503AA" w:rsidP="007A74DB">
      <w:pPr>
        <w:spacing w:after="0"/>
        <w:rPr>
          <w:rFonts w:ascii="Verdana" w:hAnsi="Verdana"/>
          <w:lang w:val="es-ES"/>
        </w:rPr>
      </w:pPr>
      <w:r w:rsidRPr="00CF7791">
        <w:rPr>
          <w:rFonts w:ascii="Verdana" w:hAnsi="Verdana"/>
          <w:noProof/>
          <w:lang w:val="es-ES"/>
        </w:rPr>
        <w:drawing>
          <wp:anchor distT="0" distB="0" distL="114300" distR="114300" simplePos="0" relativeHeight="251658240" behindDoc="0" locked="0" layoutInCell="1" allowOverlap="1" wp14:anchorId="2723F662" wp14:editId="2DBC62E5">
            <wp:simplePos x="0" y="0"/>
            <wp:positionH relativeFrom="margin">
              <wp:posOffset>3038475</wp:posOffset>
            </wp:positionH>
            <wp:positionV relativeFrom="paragraph">
              <wp:posOffset>170815</wp:posOffset>
            </wp:positionV>
            <wp:extent cx="2570480" cy="791845"/>
            <wp:effectExtent l="0" t="0" r="1270" b="8255"/>
            <wp:wrapSquare wrapText="bothSides"/>
            <wp:docPr id="54471992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70480" cy="79184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2DD8659" w14:textId="77777777" w:rsidR="007A74DB" w:rsidRDefault="007A74DB" w:rsidP="007A74DB">
      <w:pPr>
        <w:spacing w:after="0" w:line="240" w:lineRule="auto"/>
        <w:rPr>
          <w:rFonts w:ascii="Verdana" w:eastAsia="Calibri" w:hAnsi="Verdana" w:cs="Arial"/>
          <w:color w:val="000000" w:themeColor="text1"/>
          <w:lang w:val="es-ES" w:eastAsia="es-ES"/>
        </w:rPr>
      </w:pPr>
      <w:bookmarkStart w:id="0" w:name="_Hlk143780582"/>
      <w:r>
        <w:rPr>
          <w:rFonts w:ascii="Verdana" w:eastAsia="Calibri" w:hAnsi="Verdana" w:cs="Arial"/>
          <w:color w:val="000000" w:themeColor="text1"/>
          <w:lang w:val="es-ES" w:eastAsia="es-ES"/>
        </w:rPr>
        <w:t>Señor</w:t>
      </w:r>
    </w:p>
    <w:p w14:paraId="7777D673" w14:textId="77777777" w:rsidR="007A74DB" w:rsidRPr="006713F3" w:rsidRDefault="007A74DB" w:rsidP="007A74DB">
      <w:pPr>
        <w:spacing w:after="0" w:line="240" w:lineRule="auto"/>
        <w:rPr>
          <w:rFonts w:ascii="Verdana" w:eastAsia="Calibri" w:hAnsi="Verdana" w:cs="Arial"/>
          <w:b/>
          <w:bCs/>
          <w:color w:val="000000" w:themeColor="text1"/>
          <w:lang w:val="es-ES" w:eastAsia="es-ES"/>
        </w:rPr>
      </w:pPr>
      <w:r>
        <w:rPr>
          <w:rFonts w:ascii="Verdana" w:eastAsia="Calibri" w:hAnsi="Verdana" w:cs="Arial"/>
          <w:b/>
          <w:bCs/>
          <w:color w:val="000000" w:themeColor="text1"/>
          <w:lang w:val="es-ES" w:eastAsia="es-ES"/>
        </w:rPr>
        <w:t xml:space="preserve">Jorge Andrés Baquero Vanegas </w:t>
      </w:r>
      <w:r w:rsidRPr="006713F3">
        <w:rPr>
          <w:rFonts w:ascii="Verdana" w:eastAsia="Calibri" w:hAnsi="Verdana" w:cs="Arial"/>
          <w:b/>
          <w:bCs/>
          <w:color w:val="000000" w:themeColor="text1"/>
          <w:lang w:val="es-ES" w:eastAsia="es-ES"/>
        </w:rPr>
        <w:t xml:space="preserve"> </w:t>
      </w:r>
    </w:p>
    <w:p w14:paraId="4B6AFCFA" w14:textId="77777777" w:rsidR="007A74DB" w:rsidRPr="006713F3" w:rsidRDefault="007A74DB" w:rsidP="007A74DB">
      <w:pPr>
        <w:spacing w:after="0" w:line="240" w:lineRule="auto"/>
        <w:rPr>
          <w:rFonts w:ascii="Verdana" w:eastAsia="Calibri" w:hAnsi="Verdana" w:cs="Arial"/>
          <w:b/>
          <w:bCs/>
          <w:color w:val="000000" w:themeColor="text1"/>
          <w:lang w:val="es-ES" w:eastAsia="es-ES"/>
        </w:rPr>
      </w:pPr>
      <w:r w:rsidRPr="006713F3">
        <w:rPr>
          <w:rFonts w:ascii="Verdana" w:eastAsia="Calibri" w:hAnsi="Verdana" w:cs="Arial"/>
          <w:b/>
          <w:bCs/>
          <w:color w:val="000000" w:themeColor="text1"/>
          <w:lang w:val="es-ES" w:eastAsia="es-ES"/>
        </w:rPr>
        <w:t>Dire</w:t>
      </w:r>
      <w:r>
        <w:rPr>
          <w:rFonts w:ascii="Verdana" w:eastAsia="Calibri" w:hAnsi="Verdana" w:cs="Arial"/>
          <w:b/>
          <w:bCs/>
          <w:color w:val="000000" w:themeColor="text1"/>
          <w:lang w:val="es-ES" w:eastAsia="es-ES"/>
        </w:rPr>
        <w:t xml:space="preserve">ctor ejecutivo </w:t>
      </w:r>
      <w:r w:rsidRPr="006713F3">
        <w:rPr>
          <w:rFonts w:ascii="Verdana" w:eastAsia="Calibri" w:hAnsi="Verdana" w:cs="Arial"/>
          <w:b/>
          <w:bCs/>
          <w:color w:val="000000" w:themeColor="text1"/>
          <w:lang w:val="es-ES" w:eastAsia="es-ES"/>
        </w:rPr>
        <w:t xml:space="preserve"> </w:t>
      </w:r>
    </w:p>
    <w:p w14:paraId="6277DEC1" w14:textId="77777777" w:rsidR="007A74DB" w:rsidRPr="006713F3" w:rsidRDefault="007A74DB" w:rsidP="007A74DB">
      <w:pPr>
        <w:spacing w:after="0" w:line="240" w:lineRule="auto"/>
        <w:rPr>
          <w:rFonts w:ascii="Verdana" w:eastAsia="Calibri" w:hAnsi="Verdana" w:cs="Arial"/>
          <w:b/>
          <w:bCs/>
          <w:color w:val="000000" w:themeColor="text1"/>
          <w:lang w:val="es-ES" w:eastAsia="es-ES"/>
        </w:rPr>
      </w:pPr>
      <w:r>
        <w:rPr>
          <w:rFonts w:ascii="Verdana" w:eastAsia="Calibri" w:hAnsi="Verdana" w:cs="Arial"/>
          <w:b/>
          <w:bCs/>
          <w:color w:val="000000" w:themeColor="text1"/>
          <w:lang w:val="es-ES" w:eastAsia="es-ES"/>
        </w:rPr>
        <w:t>ASOSUPRO</w:t>
      </w:r>
    </w:p>
    <w:p w14:paraId="2BA98D72" w14:textId="77777777" w:rsidR="007A74DB" w:rsidRPr="006713F3" w:rsidRDefault="007A74DB" w:rsidP="007A74DB">
      <w:pPr>
        <w:spacing w:after="0" w:line="240" w:lineRule="auto"/>
        <w:jc w:val="both"/>
        <w:rPr>
          <w:rFonts w:ascii="Verdana" w:hAnsi="Verdana"/>
          <w:lang w:val="es-ES"/>
        </w:rPr>
      </w:pPr>
      <w:hyperlink r:id="rId12" w:history="1">
        <w:r w:rsidRPr="00B55C5D">
          <w:rPr>
            <w:rStyle w:val="Hipervnculo"/>
            <w:rFonts w:ascii="Verdana" w:hAnsi="Verdana"/>
            <w:lang w:val="es-ES"/>
          </w:rPr>
          <w:t>juridica@asosupro.gov.co</w:t>
        </w:r>
      </w:hyperlink>
      <w:r>
        <w:rPr>
          <w:rFonts w:ascii="Verdana" w:hAnsi="Verdana"/>
          <w:lang w:val="es-ES"/>
        </w:rPr>
        <w:t xml:space="preserve">, </w:t>
      </w:r>
      <w:hyperlink r:id="rId13" w:history="1">
        <w:r w:rsidRPr="00B55C5D">
          <w:rPr>
            <w:rStyle w:val="Hipervnculo"/>
            <w:rFonts w:ascii="Verdana" w:hAnsi="Verdana"/>
            <w:lang w:val="es-ES"/>
          </w:rPr>
          <w:t>direccionejecutiva@asosupro.gov.co</w:t>
        </w:r>
      </w:hyperlink>
      <w:r>
        <w:rPr>
          <w:rFonts w:ascii="Verdana" w:hAnsi="Verdana"/>
          <w:lang w:val="es-ES"/>
        </w:rPr>
        <w:t xml:space="preserve">, </w:t>
      </w:r>
      <w:hyperlink r:id="rId14" w:history="1">
        <w:r w:rsidRPr="00B55C5D">
          <w:rPr>
            <w:rStyle w:val="Hipervnculo"/>
            <w:rFonts w:ascii="Verdana" w:hAnsi="Verdana"/>
            <w:lang w:val="es-ES"/>
          </w:rPr>
          <w:t>info@asosupro.gov.co</w:t>
        </w:r>
      </w:hyperlink>
      <w:r>
        <w:rPr>
          <w:rFonts w:ascii="Verdana" w:hAnsi="Verdana"/>
          <w:lang w:val="es-ES"/>
        </w:rPr>
        <w:t xml:space="preserve">, </w:t>
      </w:r>
      <w:hyperlink r:id="rId15" w:history="1">
        <w:r w:rsidRPr="00B55C5D">
          <w:rPr>
            <w:rStyle w:val="Hipervnculo"/>
            <w:rFonts w:ascii="Verdana" w:hAnsi="Verdana"/>
            <w:lang w:val="es-ES"/>
          </w:rPr>
          <w:t>juridica@asosupro.gov.co</w:t>
        </w:r>
      </w:hyperlink>
      <w:r>
        <w:rPr>
          <w:rFonts w:ascii="Verdana" w:hAnsi="Verdana"/>
          <w:lang w:val="es-ES"/>
        </w:rPr>
        <w:t xml:space="preserve"> </w:t>
      </w:r>
    </w:p>
    <w:p w14:paraId="22A42782" w14:textId="77777777" w:rsidR="007A74DB" w:rsidRPr="00BC4697" w:rsidRDefault="007A74DB" w:rsidP="007A74DB">
      <w:pPr>
        <w:spacing w:after="0" w:line="240" w:lineRule="auto"/>
        <w:rPr>
          <w:rFonts w:ascii="Verdana" w:eastAsia="Calibri" w:hAnsi="Verdana" w:cs="Arial"/>
          <w:color w:val="000000" w:themeColor="text1"/>
          <w:lang w:eastAsia="es-ES"/>
        </w:rPr>
      </w:pPr>
      <w:r>
        <w:rPr>
          <w:rFonts w:ascii="Verdana" w:hAnsi="Verdana"/>
          <w:lang w:val="es-ES"/>
        </w:rPr>
        <w:t>Villavicencio, Meta</w:t>
      </w:r>
    </w:p>
    <w:p w14:paraId="0E8C5895" w14:textId="77777777" w:rsidR="007A74DB" w:rsidRPr="00FC6F34" w:rsidRDefault="007A74DB" w:rsidP="007A74DB">
      <w:pPr>
        <w:spacing w:after="0" w:line="240" w:lineRule="auto"/>
        <w:rPr>
          <w:rFonts w:ascii="Verdana" w:eastAsia="Calibri" w:hAnsi="Verdana" w:cs="Arial"/>
          <w:b/>
          <w:bCs/>
          <w:color w:val="000000" w:themeColor="text1"/>
          <w:lang w:val="es-ES" w:eastAsia="es-ES"/>
        </w:rPr>
      </w:pPr>
    </w:p>
    <w:tbl>
      <w:tblPr>
        <w:tblStyle w:val="Tablaconcuadrcula"/>
        <w:tblW w:w="9062"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566"/>
        <w:gridCol w:w="6496"/>
      </w:tblGrid>
      <w:tr w:rsidR="007A74DB" w:rsidRPr="00FC6F34" w14:paraId="5585450C" w14:textId="77777777" w:rsidTr="00FE6ED8">
        <w:trPr>
          <w:trHeight w:val="304"/>
        </w:trPr>
        <w:tc>
          <w:tcPr>
            <w:tcW w:w="2566" w:type="dxa"/>
          </w:tcPr>
          <w:p w14:paraId="392F0201" w14:textId="77777777" w:rsidR="007A74DB" w:rsidRPr="00FC6F34" w:rsidRDefault="007A74DB" w:rsidP="00FE6ED8">
            <w:pPr>
              <w:ind w:left="-142"/>
              <w:jc w:val="both"/>
              <w:rPr>
                <w:rFonts w:ascii="Verdana" w:eastAsia="Calibri" w:hAnsi="Verdana" w:cs="Arial"/>
                <w:b/>
                <w:bCs/>
                <w:color w:val="000000" w:themeColor="text1"/>
                <w:lang w:val="es-ES" w:eastAsia="es-ES_tradnl"/>
              </w:rPr>
            </w:pPr>
          </w:p>
        </w:tc>
        <w:tc>
          <w:tcPr>
            <w:tcW w:w="6496" w:type="dxa"/>
          </w:tcPr>
          <w:p w14:paraId="5B6CAAD7" w14:textId="77777777" w:rsidR="007A74DB" w:rsidRDefault="007A74DB" w:rsidP="00FE6ED8">
            <w:pPr>
              <w:ind w:left="3"/>
              <w:jc w:val="both"/>
              <w:rPr>
                <w:rFonts w:ascii="Verdana" w:eastAsia="Calibri" w:hAnsi="Verdana" w:cs="Arial"/>
                <w:b/>
                <w:bCs/>
                <w:color w:val="000000" w:themeColor="text1"/>
                <w:lang w:val="es-ES" w:eastAsia="es-ES"/>
              </w:rPr>
            </w:pPr>
          </w:p>
          <w:p w14:paraId="72E2E912" w14:textId="038530AB" w:rsidR="007A74DB" w:rsidRPr="00FC6F34" w:rsidRDefault="007A74DB" w:rsidP="00FE6ED8">
            <w:pPr>
              <w:ind w:left="3"/>
              <w:jc w:val="both"/>
              <w:rPr>
                <w:rFonts w:ascii="Verdana" w:eastAsia="Calibri" w:hAnsi="Verdana" w:cs="Arial"/>
                <w:b/>
                <w:bCs/>
                <w:color w:val="000000" w:themeColor="text1"/>
                <w:lang w:val="es-ES" w:eastAsia="es-ES"/>
              </w:rPr>
            </w:pPr>
            <w:r w:rsidRPr="00FC6F34">
              <w:rPr>
                <w:rFonts w:ascii="Verdana" w:eastAsia="Calibri" w:hAnsi="Verdana" w:cs="Arial"/>
                <w:b/>
                <w:bCs/>
                <w:color w:val="000000" w:themeColor="text1"/>
                <w:lang w:val="es-ES" w:eastAsia="es-ES"/>
              </w:rPr>
              <w:t>Concepto C-</w:t>
            </w:r>
            <w:r>
              <w:rPr>
                <w:rFonts w:ascii="Verdana" w:eastAsia="Calibri" w:hAnsi="Verdana" w:cs="Arial"/>
                <w:b/>
                <w:bCs/>
                <w:color w:val="000000" w:themeColor="text1"/>
                <w:lang w:val="es-ES" w:eastAsia="es-ES"/>
              </w:rPr>
              <w:t>1613</w:t>
            </w:r>
            <w:r w:rsidR="00B75762">
              <w:rPr>
                <w:rFonts w:ascii="Verdana" w:eastAsia="Calibri" w:hAnsi="Verdana" w:cs="Arial"/>
                <w:b/>
                <w:bCs/>
                <w:color w:val="000000" w:themeColor="text1"/>
                <w:lang w:val="es-ES" w:eastAsia="es-ES"/>
              </w:rPr>
              <w:t>A</w:t>
            </w:r>
            <w:r>
              <w:rPr>
                <w:rFonts w:ascii="Verdana" w:eastAsia="Calibri" w:hAnsi="Verdana" w:cs="Arial"/>
                <w:b/>
                <w:bCs/>
                <w:color w:val="000000" w:themeColor="text1"/>
                <w:lang w:val="es-ES" w:eastAsia="es-ES"/>
              </w:rPr>
              <w:t xml:space="preserve"> </w:t>
            </w:r>
            <w:r w:rsidRPr="00FC6F34">
              <w:rPr>
                <w:rFonts w:ascii="Verdana" w:eastAsia="Calibri" w:hAnsi="Verdana" w:cs="Arial"/>
                <w:b/>
                <w:bCs/>
                <w:color w:val="000000" w:themeColor="text1"/>
                <w:lang w:val="es-ES" w:eastAsia="es-ES"/>
              </w:rPr>
              <w:t>de 2025</w:t>
            </w:r>
          </w:p>
          <w:p w14:paraId="0614581F" w14:textId="77777777" w:rsidR="007A74DB" w:rsidRPr="00FC6F34" w:rsidRDefault="007A74DB" w:rsidP="00FE6ED8">
            <w:pPr>
              <w:ind w:left="3"/>
              <w:jc w:val="both"/>
              <w:rPr>
                <w:rFonts w:ascii="Verdana" w:eastAsia="Calibri" w:hAnsi="Verdana" w:cs="Arial"/>
                <w:b/>
                <w:bCs/>
                <w:color w:val="000000" w:themeColor="text1"/>
                <w:lang w:val="es-ES" w:eastAsia="es-ES"/>
              </w:rPr>
            </w:pPr>
          </w:p>
        </w:tc>
      </w:tr>
      <w:tr w:rsidR="007A74DB" w:rsidRPr="00FC6F34" w14:paraId="39C6E64F" w14:textId="77777777" w:rsidTr="00FE6ED8">
        <w:trPr>
          <w:trHeight w:val="304"/>
        </w:trPr>
        <w:tc>
          <w:tcPr>
            <w:tcW w:w="2566" w:type="dxa"/>
          </w:tcPr>
          <w:p w14:paraId="74B6C881" w14:textId="77777777" w:rsidR="007A74DB" w:rsidRPr="00FC6F34" w:rsidRDefault="007A74DB" w:rsidP="00FE6ED8">
            <w:pPr>
              <w:ind w:left="424" w:firstLine="142"/>
              <w:jc w:val="both"/>
              <w:rPr>
                <w:rFonts w:ascii="Verdana" w:eastAsia="Calibri" w:hAnsi="Verdana" w:cs="Arial"/>
                <w:color w:val="000000" w:themeColor="text1"/>
                <w:lang w:val="es-ES" w:eastAsia="es-ES_tradnl"/>
              </w:rPr>
            </w:pPr>
            <w:r w:rsidRPr="00FC6F34">
              <w:rPr>
                <w:rFonts w:ascii="Verdana" w:eastAsia="Calibri" w:hAnsi="Verdana" w:cs="Arial"/>
                <w:b/>
                <w:color w:val="000000" w:themeColor="text1"/>
                <w:lang w:val="es-ES" w:eastAsia="es-ES_tradnl"/>
              </w:rPr>
              <w:t>Temas:</w:t>
            </w:r>
            <w:r w:rsidRPr="00FC6F34">
              <w:rPr>
                <w:rFonts w:ascii="Verdana" w:eastAsia="Calibri" w:hAnsi="Verdana" w:cs="Arial"/>
                <w:color w:val="000000" w:themeColor="text1"/>
                <w:lang w:val="es-ES" w:eastAsia="es-ES_tradnl"/>
              </w:rPr>
              <w:t xml:space="preserve">                  </w:t>
            </w:r>
          </w:p>
        </w:tc>
        <w:tc>
          <w:tcPr>
            <w:tcW w:w="6496" w:type="dxa"/>
          </w:tcPr>
          <w:p w14:paraId="2336F354" w14:textId="77777777" w:rsidR="007A74DB" w:rsidRDefault="007A74DB" w:rsidP="00FE6ED8">
            <w:pPr>
              <w:spacing w:line="276" w:lineRule="auto"/>
              <w:jc w:val="both"/>
              <w:rPr>
                <w:rFonts w:ascii="Verdana" w:eastAsia="Arial" w:hAnsi="Verdana" w:cs="Arial"/>
                <w:bCs/>
                <w:color w:val="000000" w:themeColor="text1"/>
              </w:rPr>
            </w:pPr>
            <w:r w:rsidRPr="00817818">
              <w:rPr>
                <w:rFonts w:ascii="Verdana" w:eastAsia="Calibri" w:hAnsi="Verdana" w:cs="Arial"/>
                <w:lang w:val="es-ES" w:eastAsia="es-ES"/>
              </w:rPr>
              <w:t>SISTEMA GENERAL DE REGALÍAS – Ley 2056 de 2020 – Finalidad – Objeto</w:t>
            </w:r>
            <w:r>
              <w:rPr>
                <w:rFonts w:ascii="Verdana" w:eastAsia="Calibri" w:hAnsi="Verdana" w:cs="Arial"/>
                <w:lang w:val="es-ES" w:eastAsia="es-ES"/>
              </w:rPr>
              <w:t xml:space="preserve"> / </w:t>
            </w:r>
            <w:r w:rsidRPr="00817818">
              <w:rPr>
                <w:rFonts w:ascii="Verdana" w:eastAsia="Calibri" w:hAnsi="Verdana" w:cs="Arial"/>
                <w:lang w:val="es-ES" w:eastAsia="es-ES"/>
              </w:rPr>
              <w:t>ENTIDADES EJECUTORAS – Designación – Acto administrativo</w:t>
            </w:r>
            <w:r>
              <w:rPr>
                <w:rFonts w:ascii="Verdana" w:eastAsia="Calibri" w:hAnsi="Verdana" w:cs="Arial"/>
                <w:lang w:val="es-ES" w:eastAsia="es-ES"/>
              </w:rPr>
              <w:t xml:space="preserve"> / </w:t>
            </w:r>
            <w:r w:rsidRPr="00FC6F34">
              <w:rPr>
                <w:rFonts w:ascii="Verdana" w:eastAsia="Calibri" w:hAnsi="Verdana" w:cs="Arial"/>
                <w:lang w:val="es-ES" w:eastAsia="es-ES"/>
              </w:rPr>
              <w:t>LEY DE GARANTÍAS ELECTORALES – Finalidad / LEY DE GARANTÍAS ELECTORALES ‒ Restricciones ‒ Contratación ‒ Tipos de elección / LEY DE GARANTÍAS ELECTORALES ‒ Artículo 33 ‒ Ámbito material</w:t>
            </w:r>
            <w:r>
              <w:rPr>
                <w:rFonts w:ascii="Verdana" w:eastAsia="Calibri" w:hAnsi="Verdana" w:cs="Arial"/>
                <w:lang w:val="es-ES" w:eastAsia="es-ES"/>
              </w:rPr>
              <w:t xml:space="preserve"> / </w:t>
            </w:r>
            <w:r w:rsidRPr="00FC6F34">
              <w:rPr>
                <w:rFonts w:ascii="Verdana" w:eastAsia="Calibri" w:hAnsi="Verdana" w:cs="Arial"/>
                <w:lang w:val="es-ES" w:eastAsia="es-ES"/>
              </w:rPr>
              <w:t xml:space="preserve">LEY DE GARANTÍAS ELECTORALES ‒ </w:t>
            </w:r>
            <w:r>
              <w:rPr>
                <w:rFonts w:ascii="Verdana" w:eastAsia="Calibri" w:hAnsi="Verdana" w:cs="Arial"/>
                <w:lang w:val="es-ES" w:eastAsia="es-ES"/>
              </w:rPr>
              <w:t xml:space="preserve">Aplicación </w:t>
            </w:r>
            <w:r w:rsidRPr="00FC6F34">
              <w:rPr>
                <w:rFonts w:ascii="Verdana" w:eastAsia="Calibri" w:hAnsi="Verdana" w:cs="Arial"/>
                <w:lang w:val="es-ES" w:eastAsia="es-ES"/>
              </w:rPr>
              <w:t>‒</w:t>
            </w:r>
            <w:r>
              <w:rPr>
                <w:rFonts w:ascii="Verdana" w:eastAsia="Calibri" w:hAnsi="Verdana" w:cs="Arial"/>
                <w:lang w:val="es-ES" w:eastAsia="es-ES"/>
              </w:rPr>
              <w:t xml:space="preserve"> Acto de designación SGR</w:t>
            </w:r>
          </w:p>
          <w:p w14:paraId="0E2197BD" w14:textId="77777777" w:rsidR="007A74DB" w:rsidRPr="00FC6F34" w:rsidRDefault="007A74DB" w:rsidP="00FE6ED8">
            <w:pPr>
              <w:spacing w:line="276" w:lineRule="auto"/>
              <w:jc w:val="both"/>
              <w:rPr>
                <w:rFonts w:ascii="Verdana" w:eastAsia="Calibri" w:hAnsi="Verdana" w:cs="Arial"/>
                <w:color w:val="000000" w:themeColor="text1"/>
                <w:lang w:val="es-ES" w:eastAsia="es-ES"/>
              </w:rPr>
            </w:pPr>
          </w:p>
        </w:tc>
      </w:tr>
      <w:tr w:rsidR="007A74DB" w:rsidRPr="00FC6F34" w14:paraId="6E5D9746" w14:textId="77777777" w:rsidTr="00FE6ED8">
        <w:trPr>
          <w:trHeight w:val="770"/>
        </w:trPr>
        <w:tc>
          <w:tcPr>
            <w:tcW w:w="2566" w:type="dxa"/>
          </w:tcPr>
          <w:p w14:paraId="1E7E2477" w14:textId="77777777" w:rsidR="007A74DB" w:rsidRPr="00FC6F34" w:rsidRDefault="007A74DB" w:rsidP="00FE6ED8">
            <w:pPr>
              <w:ind w:left="561"/>
              <w:jc w:val="both"/>
              <w:rPr>
                <w:rFonts w:ascii="Verdana" w:eastAsia="Calibri" w:hAnsi="Verdana" w:cs="Arial"/>
                <w:b/>
                <w:color w:val="000000" w:themeColor="text1"/>
                <w:lang w:val="es-ES" w:eastAsia="es-ES_tradnl"/>
              </w:rPr>
            </w:pPr>
            <w:r w:rsidRPr="00FC6F34">
              <w:rPr>
                <w:rFonts w:ascii="Verdana" w:eastAsia="Calibri" w:hAnsi="Verdana" w:cs="Arial"/>
                <w:b/>
                <w:color w:val="000000" w:themeColor="text1"/>
                <w:lang w:val="es-ES" w:eastAsia="es-ES_tradnl"/>
              </w:rPr>
              <w:t>Radicación:</w:t>
            </w:r>
            <w:r w:rsidRPr="00FC6F34">
              <w:rPr>
                <w:rFonts w:ascii="Verdana" w:eastAsia="Calibri" w:hAnsi="Verdana" w:cs="Arial"/>
                <w:color w:val="000000" w:themeColor="text1"/>
                <w:lang w:val="es-ES" w:eastAsia="es-ES_tradnl"/>
              </w:rPr>
              <w:t xml:space="preserve">              </w:t>
            </w:r>
          </w:p>
        </w:tc>
        <w:tc>
          <w:tcPr>
            <w:tcW w:w="6496" w:type="dxa"/>
          </w:tcPr>
          <w:p w14:paraId="6849B2CF" w14:textId="77777777" w:rsidR="007A74DB" w:rsidRPr="00FC6F34" w:rsidRDefault="007A74DB" w:rsidP="00FE6ED8">
            <w:pPr>
              <w:ind w:left="3"/>
              <w:jc w:val="both"/>
              <w:rPr>
                <w:rFonts w:ascii="Verdana" w:hAnsi="Verdana"/>
                <w:color w:val="000000"/>
                <w:lang w:val="es-ES"/>
              </w:rPr>
            </w:pPr>
            <w:r w:rsidRPr="00FC6F34">
              <w:rPr>
                <w:rFonts w:ascii="Verdana" w:eastAsia="Calibri" w:hAnsi="Verdana" w:cs="Arial"/>
                <w:color w:val="000000" w:themeColor="text1"/>
                <w:lang w:val="es-ES" w:eastAsia="es-ES"/>
              </w:rPr>
              <w:t xml:space="preserve">Respuesta a </w:t>
            </w:r>
            <w:r>
              <w:rPr>
                <w:rFonts w:ascii="Verdana" w:eastAsia="Calibri" w:hAnsi="Verdana" w:cs="Arial"/>
                <w:color w:val="000000" w:themeColor="text1"/>
                <w:lang w:val="es-ES" w:eastAsia="es-ES"/>
              </w:rPr>
              <w:t xml:space="preserve">las </w:t>
            </w:r>
            <w:r w:rsidRPr="00FC6F34">
              <w:rPr>
                <w:rFonts w:ascii="Verdana" w:eastAsia="Calibri" w:hAnsi="Verdana" w:cs="Arial"/>
                <w:color w:val="000000" w:themeColor="text1"/>
                <w:lang w:val="es-ES" w:eastAsia="es-ES"/>
              </w:rPr>
              <w:t>consulta</w:t>
            </w:r>
            <w:r>
              <w:rPr>
                <w:rFonts w:ascii="Verdana" w:eastAsia="Calibri" w:hAnsi="Verdana" w:cs="Arial"/>
                <w:color w:val="000000" w:themeColor="text1"/>
                <w:lang w:val="es-ES" w:eastAsia="es-ES"/>
              </w:rPr>
              <w:t>s</w:t>
            </w:r>
            <w:r w:rsidRPr="00FC6F34">
              <w:rPr>
                <w:rFonts w:ascii="Verdana" w:eastAsia="Calibri" w:hAnsi="Verdana" w:cs="Arial"/>
                <w:color w:val="000000" w:themeColor="text1"/>
                <w:lang w:val="es-ES" w:eastAsia="es-ES"/>
              </w:rPr>
              <w:t xml:space="preserve"> con radicado</w:t>
            </w:r>
            <w:r>
              <w:rPr>
                <w:rFonts w:ascii="Verdana" w:eastAsia="Calibri" w:hAnsi="Verdana" w:cs="Arial"/>
                <w:color w:val="000000" w:themeColor="text1"/>
                <w:lang w:val="es-ES" w:eastAsia="es-ES"/>
              </w:rPr>
              <w:t>s</w:t>
            </w:r>
            <w:r w:rsidRPr="00FC6F34">
              <w:rPr>
                <w:rFonts w:ascii="Verdana" w:eastAsia="Calibri" w:hAnsi="Verdana" w:cs="Arial"/>
                <w:color w:val="000000" w:themeColor="text1"/>
                <w:lang w:val="es-ES" w:eastAsia="es-ES"/>
              </w:rPr>
              <w:t xml:space="preserve"> No</w:t>
            </w:r>
            <w:r>
              <w:rPr>
                <w:rFonts w:ascii="Verdana" w:eastAsia="Calibri" w:hAnsi="Verdana" w:cs="Arial"/>
                <w:color w:val="000000" w:themeColor="text1"/>
                <w:lang w:val="es-ES" w:eastAsia="es-ES"/>
              </w:rPr>
              <w:t>s</w:t>
            </w:r>
            <w:r w:rsidRPr="00FC6F34">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 xml:space="preserve"> </w:t>
            </w:r>
            <w:r w:rsidRPr="000204C4">
              <w:rPr>
                <w:rFonts w:ascii="Verdana" w:eastAsia="Calibri" w:hAnsi="Verdana" w:cs="Arial"/>
                <w:color w:val="000000" w:themeColor="text1"/>
                <w:lang w:val="es-ES" w:eastAsia="es-ES"/>
              </w:rPr>
              <w:t xml:space="preserve">1_2025_10_31_012321 </w:t>
            </w:r>
            <w:r>
              <w:rPr>
                <w:rFonts w:ascii="Verdana" w:eastAsia="Calibri" w:hAnsi="Verdana" w:cs="Arial"/>
                <w:color w:val="000000" w:themeColor="text1"/>
                <w:lang w:val="es-ES" w:eastAsia="es-ES"/>
              </w:rPr>
              <w:t>y</w:t>
            </w:r>
            <w:r w:rsidRPr="000204C4">
              <w:rPr>
                <w:rFonts w:ascii="Verdana" w:eastAsia="Calibri" w:hAnsi="Verdana" w:cs="Arial"/>
                <w:color w:val="000000" w:themeColor="text1"/>
                <w:lang w:val="es-ES" w:eastAsia="es-ES"/>
              </w:rPr>
              <w:t xml:space="preserve"> 1_2025_10_31_012320</w:t>
            </w:r>
          </w:p>
        </w:tc>
      </w:tr>
    </w:tbl>
    <w:p w14:paraId="17813DBC" w14:textId="77777777" w:rsidR="007A74DB" w:rsidRPr="00FC6F34" w:rsidRDefault="007A74DB" w:rsidP="007A74DB">
      <w:pPr>
        <w:spacing w:after="0" w:line="276" w:lineRule="auto"/>
        <w:jc w:val="both"/>
        <w:rPr>
          <w:rFonts w:ascii="Verdana" w:eastAsia="Calibri" w:hAnsi="Verdana" w:cs="Arial"/>
          <w:color w:val="000000" w:themeColor="text1"/>
          <w:lang w:val="es-ES" w:eastAsia="es-ES"/>
        </w:rPr>
      </w:pPr>
    </w:p>
    <w:p w14:paraId="542A1EF3" w14:textId="77777777" w:rsidR="007A74DB" w:rsidRPr="00FC6F34" w:rsidRDefault="007A74DB" w:rsidP="007A74DB">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o</w:t>
      </w:r>
      <w:r w:rsidRPr="00FC6F34">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señor Baquero</w:t>
      </w:r>
      <w:r w:rsidRPr="00FC6F34">
        <w:rPr>
          <w:rFonts w:ascii="Verdana" w:eastAsia="Calibri" w:hAnsi="Verdana" w:cs="Arial"/>
          <w:color w:val="000000" w:themeColor="text1"/>
          <w:lang w:val="es-ES" w:eastAsia="es-ES"/>
        </w:rPr>
        <w:t>:</w:t>
      </w:r>
    </w:p>
    <w:p w14:paraId="6EF23F52" w14:textId="77777777" w:rsidR="007A74DB" w:rsidRPr="00FC6F34" w:rsidRDefault="007A74DB" w:rsidP="007A74DB">
      <w:pPr>
        <w:tabs>
          <w:tab w:val="left" w:pos="3768"/>
        </w:tabs>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ab/>
      </w:r>
    </w:p>
    <w:p w14:paraId="5E740DF8" w14:textId="77777777" w:rsidR="007A74DB" w:rsidRPr="00FC6F34" w:rsidRDefault="007A74DB" w:rsidP="007A74DB">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En ejercicio de la competencia otorgada por los artículos 3, numeral 5º, y 11, numeral 8º, del Decreto Ley 4170 de 2011,</w:t>
      </w:r>
      <w:r w:rsidRPr="00FC6F34">
        <w:rPr>
          <w:rFonts w:ascii="Verdana" w:eastAsia="Arial MT" w:hAnsi="Verdana" w:cs="Arial MT"/>
          <w:color w:val="000000" w:themeColor="text1"/>
          <w:lang w:val="es-ES" w:eastAsia="es-ES"/>
        </w:rPr>
        <w:t xml:space="preserve"> </w:t>
      </w:r>
      <w:r w:rsidRPr="00FC6F34">
        <w:rPr>
          <w:rFonts w:ascii="Verdana" w:hAnsi="Verdana" w:cs="Arial"/>
          <w:color w:val="000000" w:themeColor="text1"/>
          <w:lang w:val="es-ES"/>
        </w:rPr>
        <w:t>así como lo establecido</w:t>
      </w:r>
      <w:r>
        <w:rPr>
          <w:rFonts w:ascii="Verdana" w:hAnsi="Verdana" w:cs="Arial"/>
          <w:color w:val="000000" w:themeColor="text1"/>
          <w:lang w:val="es-ES"/>
        </w:rPr>
        <w:t xml:space="preserve"> por la</w:t>
      </w:r>
      <w:r w:rsidRPr="00FC6F34">
        <w:rPr>
          <w:rFonts w:ascii="Verdana" w:hAnsi="Verdana" w:cs="Arial"/>
          <w:color w:val="000000" w:themeColor="text1"/>
          <w:lang w:val="es-ES"/>
        </w:rPr>
        <w:t xml:space="preserve"> </w:t>
      </w:r>
      <w:r w:rsidRPr="00A27102">
        <w:rPr>
          <w:rFonts w:ascii="Verdana" w:hAnsi="Verdana" w:cs="Arial"/>
        </w:rPr>
        <w:t>Resolución 469 de 2025 expedida por esta Entidad</w:t>
      </w:r>
      <w:r w:rsidRPr="00FC6F34">
        <w:rPr>
          <w:rFonts w:ascii="Verdana" w:hAnsi="Verdana" w:cs="Arial"/>
          <w:color w:val="000000" w:themeColor="text1"/>
          <w:lang w:val="es-ES"/>
        </w:rPr>
        <w:t xml:space="preserve">, </w:t>
      </w:r>
      <w:r w:rsidRPr="00FC6F34">
        <w:rPr>
          <w:rFonts w:ascii="Verdana" w:eastAsia="Calibri" w:hAnsi="Verdana" w:cs="Arial"/>
          <w:color w:val="000000" w:themeColor="text1"/>
          <w:lang w:val="es-ES" w:eastAsia="es-ES"/>
        </w:rPr>
        <w:t xml:space="preserve">la Agencia Nacional de Contratación Pública – Colombia Compra Eficiente– responde su solicitud </w:t>
      </w:r>
      <w:r>
        <w:rPr>
          <w:rFonts w:ascii="Verdana" w:eastAsia="Calibri" w:hAnsi="Verdana" w:cs="Arial"/>
          <w:color w:val="000000" w:themeColor="text1"/>
          <w:lang w:val="es-ES" w:eastAsia="es-ES"/>
        </w:rPr>
        <w:t>remitida por competencia por el Departamento Nacional de Planeación el</w:t>
      </w:r>
      <w:r w:rsidRPr="00FC6F34">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 xml:space="preserve">31 </w:t>
      </w:r>
      <w:r w:rsidRPr="00FC6F34">
        <w:rPr>
          <w:rFonts w:ascii="Verdana" w:eastAsia="Calibri" w:hAnsi="Verdana" w:cs="Arial"/>
          <w:color w:val="000000" w:themeColor="text1"/>
          <w:lang w:val="es-ES" w:eastAsia="es-ES"/>
        </w:rPr>
        <w:t xml:space="preserve">de </w:t>
      </w:r>
      <w:r>
        <w:rPr>
          <w:rFonts w:ascii="Verdana" w:eastAsia="Calibri" w:hAnsi="Verdana" w:cs="Arial"/>
          <w:color w:val="000000" w:themeColor="text1"/>
          <w:lang w:val="es-ES" w:eastAsia="es-ES"/>
        </w:rPr>
        <w:t>octubre</w:t>
      </w:r>
      <w:r w:rsidRPr="00FC6F34">
        <w:rPr>
          <w:rFonts w:ascii="Verdana" w:eastAsia="Calibri" w:hAnsi="Verdana" w:cs="Arial"/>
          <w:color w:val="000000" w:themeColor="text1"/>
          <w:lang w:val="es-ES" w:eastAsia="es-ES"/>
        </w:rPr>
        <w:t xml:space="preserve"> de 2025, en la</w:t>
      </w:r>
      <w:r>
        <w:rPr>
          <w:rFonts w:ascii="Verdana" w:eastAsia="Calibri" w:hAnsi="Verdana" w:cs="Arial"/>
          <w:color w:val="000000" w:themeColor="text1"/>
          <w:lang w:val="es-ES" w:eastAsia="es-ES"/>
        </w:rPr>
        <w:t xml:space="preserve"> cual pregunta</w:t>
      </w:r>
      <w:r w:rsidRPr="00FC6F34">
        <w:rPr>
          <w:rFonts w:ascii="Verdana" w:eastAsia="Calibri" w:hAnsi="Verdana" w:cs="Arial"/>
          <w:color w:val="000000" w:themeColor="text1"/>
          <w:lang w:val="es-ES" w:eastAsia="es-ES"/>
        </w:rPr>
        <w:t xml:space="preserve"> lo siguiente: </w:t>
      </w:r>
    </w:p>
    <w:p w14:paraId="2548D390" w14:textId="77777777" w:rsidR="007A74DB" w:rsidRPr="00BF306B" w:rsidRDefault="007A74DB" w:rsidP="007A74DB">
      <w:pPr>
        <w:tabs>
          <w:tab w:val="left" w:pos="142"/>
          <w:tab w:val="left" w:pos="284"/>
        </w:tabs>
        <w:spacing w:after="0" w:line="276" w:lineRule="auto"/>
        <w:contextualSpacing/>
        <w:jc w:val="both"/>
        <w:rPr>
          <w:rFonts w:ascii="Verdana" w:eastAsia="Century Gothic" w:hAnsi="Verdana" w:cs="Century Gothic"/>
          <w:b/>
          <w:color w:val="000000" w:themeColor="text1"/>
          <w:sz w:val="20"/>
          <w:szCs w:val="20"/>
          <w:lang w:val="es-ES"/>
        </w:rPr>
      </w:pPr>
    </w:p>
    <w:p w14:paraId="75E90770" w14:textId="77777777" w:rsidR="007A74DB" w:rsidRDefault="007A74DB" w:rsidP="007A74DB">
      <w:pPr>
        <w:spacing w:after="0" w:line="240" w:lineRule="auto"/>
        <w:ind w:left="709" w:right="709"/>
        <w:jc w:val="both"/>
        <w:rPr>
          <w:rFonts w:ascii="Verdana" w:eastAsia="Century Gothic" w:hAnsi="Verdana" w:cs="Century Gothic"/>
          <w:i/>
          <w:color w:val="000000" w:themeColor="text1"/>
          <w:sz w:val="20"/>
          <w:szCs w:val="20"/>
          <w:lang w:val="es-ES"/>
        </w:rPr>
      </w:pPr>
      <w:r w:rsidRPr="001A70DA">
        <w:rPr>
          <w:rFonts w:ascii="Verdana" w:eastAsia="Century Gothic" w:hAnsi="Verdana" w:cs="Century Gothic"/>
          <w:i/>
          <w:color w:val="000000" w:themeColor="text1"/>
          <w:sz w:val="20"/>
          <w:szCs w:val="20"/>
          <w:lang w:val="es-ES"/>
        </w:rPr>
        <w:t>“</w:t>
      </w:r>
      <w:r>
        <w:rPr>
          <w:rFonts w:ascii="Verdana" w:eastAsia="Century Gothic" w:hAnsi="Verdana" w:cs="Century Gothic"/>
          <w:i/>
          <w:color w:val="000000" w:themeColor="text1"/>
          <w:sz w:val="20"/>
          <w:szCs w:val="20"/>
          <w:lang w:val="es-ES"/>
        </w:rPr>
        <w:t xml:space="preserve">Por medio de la presente, me permito solicitar de manera respetuosa, emitir concepto sobra la procedencia de realizar designaciones como ente </w:t>
      </w:r>
      <w:r>
        <w:rPr>
          <w:rFonts w:ascii="Verdana" w:eastAsia="Century Gothic" w:hAnsi="Verdana" w:cs="Century Gothic"/>
          <w:i/>
          <w:color w:val="000000" w:themeColor="text1"/>
          <w:sz w:val="20"/>
          <w:szCs w:val="20"/>
          <w:lang w:val="es-ES"/>
        </w:rPr>
        <w:lastRenderedPageBreak/>
        <w:t>ejecutor durante la vigencia de la Ley de Garantías Electorales, conforme a lo establecido en la Ley 996 de 2005.</w:t>
      </w:r>
    </w:p>
    <w:p w14:paraId="07CF4283" w14:textId="77777777" w:rsidR="007A74DB" w:rsidRDefault="007A74DB" w:rsidP="007A74DB">
      <w:pPr>
        <w:spacing w:after="0" w:line="240" w:lineRule="auto"/>
        <w:ind w:left="709" w:right="709"/>
        <w:jc w:val="both"/>
        <w:rPr>
          <w:rFonts w:ascii="Verdana" w:eastAsia="Century Gothic" w:hAnsi="Verdana" w:cs="Century Gothic"/>
          <w:i/>
          <w:color w:val="000000" w:themeColor="text1"/>
          <w:sz w:val="20"/>
          <w:szCs w:val="20"/>
          <w:lang w:val="es-ES"/>
        </w:rPr>
      </w:pPr>
    </w:p>
    <w:p w14:paraId="35374194" w14:textId="77777777" w:rsidR="007A74DB" w:rsidRDefault="007A74DB" w:rsidP="007A74DB">
      <w:pPr>
        <w:spacing w:after="0" w:line="240" w:lineRule="auto"/>
        <w:ind w:left="709" w:right="709"/>
        <w:jc w:val="both"/>
        <w:rPr>
          <w:rFonts w:ascii="Verdana" w:hAnsi="Verdana"/>
          <w:sz w:val="20"/>
          <w:szCs w:val="20"/>
        </w:rPr>
      </w:pPr>
      <w:r>
        <w:rPr>
          <w:rFonts w:ascii="Verdana" w:eastAsia="Century Gothic" w:hAnsi="Verdana" w:cs="Century Gothic"/>
          <w:i/>
          <w:color w:val="000000" w:themeColor="text1"/>
          <w:sz w:val="20"/>
          <w:szCs w:val="20"/>
          <w:lang w:val="es-ES"/>
        </w:rPr>
        <w:t xml:space="preserve">En particular, se requiere precisar si es jurídicamente viable que una entidad territorial, como una Gobernación, designe mediante acto administrativo a una asociación de municipios como ente ejecutor durante el periodo de aplicación de la citada ley, o si dicha actuación se encuentra dentro de las prohibiciones establecidas en ella”. </w:t>
      </w:r>
    </w:p>
    <w:p w14:paraId="23DBA821" w14:textId="77777777" w:rsidR="007A74DB" w:rsidRPr="00FC6F34" w:rsidRDefault="007A74DB" w:rsidP="007A74DB">
      <w:pPr>
        <w:spacing w:after="0" w:line="276" w:lineRule="auto"/>
        <w:ind w:right="709"/>
        <w:jc w:val="both"/>
        <w:rPr>
          <w:rFonts w:ascii="Verdana" w:eastAsia="Calibri" w:hAnsi="Verdana" w:cs="Arial"/>
          <w:lang w:val="es-ES"/>
        </w:rPr>
      </w:pPr>
    </w:p>
    <w:p w14:paraId="3CCDB9E7" w14:textId="77777777" w:rsidR="007A74DB" w:rsidRPr="00FC6F34" w:rsidRDefault="007A74DB" w:rsidP="007A74DB">
      <w:pPr>
        <w:spacing w:after="120" w:line="276" w:lineRule="auto"/>
        <w:ind w:firstLine="708"/>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C6F34">
        <w:rPr>
          <w:lang w:val="es-ES"/>
        </w:rPr>
        <w:tab/>
      </w:r>
    </w:p>
    <w:p w14:paraId="3B61AA6F" w14:textId="77777777" w:rsidR="007A74DB" w:rsidRPr="00FC6F34" w:rsidRDefault="007A74DB" w:rsidP="007A74DB">
      <w:pPr>
        <w:spacing w:after="0" w:line="276" w:lineRule="auto"/>
        <w:ind w:firstLine="709"/>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Arial"/>
          <w:color w:val="000000" w:themeColor="text1"/>
          <w:lang w:val="es-ES" w:eastAsia="es-ES"/>
        </w:rPr>
        <w:t>los</w:t>
      </w:r>
      <w:r w:rsidRPr="00FC6F34">
        <w:rPr>
          <w:rFonts w:ascii="Verdana" w:eastAsia="Calibri" w:hAnsi="Verdana" w:cs="Arial"/>
          <w:color w:val="000000" w:themeColor="text1"/>
          <w:lang w:val="es-ES" w:eastAsia="es-ES"/>
        </w:rPr>
        <w:t xml:space="preserve"> problema</w:t>
      </w:r>
      <w:r>
        <w:rPr>
          <w:rFonts w:ascii="Verdana" w:eastAsia="Calibri" w:hAnsi="Verdana" w:cs="Arial"/>
          <w:color w:val="000000" w:themeColor="text1"/>
          <w:lang w:val="es-ES" w:eastAsia="es-ES"/>
        </w:rPr>
        <w:t>s</w:t>
      </w:r>
      <w:r w:rsidRPr="00FC6F34">
        <w:rPr>
          <w:rFonts w:ascii="Verdana" w:eastAsia="Calibri" w:hAnsi="Verdana" w:cs="Arial"/>
          <w:color w:val="000000" w:themeColor="text1"/>
          <w:lang w:val="es-ES" w:eastAsia="es-ES"/>
        </w:rPr>
        <w:t xml:space="preserve"> jurídico</w:t>
      </w:r>
      <w:r>
        <w:rPr>
          <w:rFonts w:ascii="Verdana" w:eastAsia="Calibri" w:hAnsi="Verdana" w:cs="Arial"/>
          <w:color w:val="000000" w:themeColor="text1"/>
          <w:lang w:val="es-ES" w:eastAsia="es-ES"/>
        </w:rPr>
        <w:t>s</w:t>
      </w:r>
      <w:r w:rsidRPr="00FC6F34">
        <w:rPr>
          <w:rFonts w:ascii="Verdana" w:eastAsia="Calibri" w:hAnsi="Verdana" w:cs="Arial"/>
          <w:color w:val="000000" w:themeColor="text1"/>
          <w:lang w:val="es-ES" w:eastAsia="es-ES"/>
        </w:rPr>
        <w:t xml:space="preserve"> de su consulta. </w:t>
      </w:r>
    </w:p>
    <w:p w14:paraId="2CD44429" w14:textId="77777777" w:rsidR="007A74DB" w:rsidRPr="00FC6F34" w:rsidRDefault="007A74DB" w:rsidP="007A74DB">
      <w:pPr>
        <w:spacing w:after="0" w:line="276" w:lineRule="auto"/>
        <w:ind w:firstLine="709"/>
        <w:jc w:val="both"/>
        <w:rPr>
          <w:rFonts w:ascii="Verdana" w:eastAsia="Calibri" w:hAnsi="Verdana" w:cs="Arial"/>
          <w:color w:val="000000" w:themeColor="text1"/>
          <w:lang w:val="es-ES" w:eastAsia="es-ES"/>
        </w:rPr>
      </w:pPr>
    </w:p>
    <w:p w14:paraId="66479895" w14:textId="77777777" w:rsidR="007A74DB" w:rsidRPr="00FC6F34" w:rsidRDefault="007A74DB" w:rsidP="007A74DB">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Problema planteado:</w:t>
      </w:r>
    </w:p>
    <w:p w14:paraId="63B5751A" w14:textId="77777777" w:rsidR="007A74DB" w:rsidRPr="00FC6F34" w:rsidRDefault="007A74DB" w:rsidP="007A74DB">
      <w:pPr>
        <w:tabs>
          <w:tab w:val="left" w:pos="426"/>
        </w:tabs>
        <w:spacing w:after="0" w:line="276" w:lineRule="auto"/>
        <w:jc w:val="both"/>
        <w:rPr>
          <w:rFonts w:ascii="Verdana" w:eastAsia="Century Gothic" w:hAnsi="Verdana" w:cs="Century Gothic"/>
          <w:color w:val="000000" w:themeColor="text1"/>
          <w:lang w:val="es-ES"/>
        </w:rPr>
      </w:pPr>
    </w:p>
    <w:p w14:paraId="435A52A4" w14:textId="77777777" w:rsidR="007A74DB" w:rsidRPr="00FC6F34" w:rsidRDefault="007A74DB" w:rsidP="007A74DB">
      <w:pPr>
        <w:spacing w:after="0" w:line="276" w:lineRule="auto"/>
        <w:jc w:val="both"/>
        <w:rPr>
          <w:rFonts w:ascii="Verdana" w:eastAsia="Century Gothic" w:hAnsi="Verdana" w:cs="Century Gothic"/>
          <w:color w:val="000000" w:themeColor="text1"/>
          <w:lang w:val="es-ES"/>
        </w:rPr>
      </w:pPr>
      <w:r w:rsidRPr="00FC6F34">
        <w:rPr>
          <w:rFonts w:ascii="Verdana" w:eastAsia="Century Gothic" w:hAnsi="Verdana" w:cs="Century Gothic"/>
          <w:color w:val="000000" w:themeColor="text1"/>
          <w:lang w:val="es-ES"/>
        </w:rPr>
        <w:t xml:space="preserve">De acuerdo con el contenido de su solicitud, esta Agencia resolverá </w:t>
      </w:r>
      <w:r>
        <w:rPr>
          <w:rFonts w:ascii="Verdana" w:eastAsia="Century Gothic" w:hAnsi="Verdana" w:cs="Century Gothic"/>
          <w:color w:val="000000" w:themeColor="text1"/>
          <w:lang w:val="es-ES"/>
        </w:rPr>
        <w:t>los</w:t>
      </w:r>
      <w:r w:rsidRPr="00FC6F34">
        <w:rPr>
          <w:rFonts w:ascii="Verdana" w:eastAsia="Century Gothic" w:hAnsi="Verdana" w:cs="Century Gothic"/>
          <w:color w:val="000000" w:themeColor="text1"/>
          <w:lang w:val="es-ES"/>
        </w:rPr>
        <w:t xml:space="preserve"> siguiente</w:t>
      </w:r>
      <w:r>
        <w:rPr>
          <w:rFonts w:ascii="Verdana" w:eastAsia="Century Gothic" w:hAnsi="Verdana" w:cs="Century Gothic"/>
          <w:color w:val="000000" w:themeColor="text1"/>
          <w:lang w:val="es-ES"/>
        </w:rPr>
        <w:t>s</w:t>
      </w:r>
      <w:r w:rsidRPr="00FC6F34">
        <w:rPr>
          <w:rFonts w:ascii="Verdana" w:eastAsia="Century Gothic" w:hAnsi="Verdana" w:cs="Century Gothic"/>
          <w:color w:val="000000" w:themeColor="text1"/>
          <w:lang w:val="es-ES"/>
        </w:rPr>
        <w:t xml:space="preserve"> problema</w:t>
      </w:r>
      <w:r>
        <w:rPr>
          <w:rFonts w:ascii="Verdana" w:eastAsia="Century Gothic" w:hAnsi="Verdana" w:cs="Century Gothic"/>
          <w:color w:val="000000" w:themeColor="text1"/>
          <w:lang w:val="es-ES"/>
        </w:rPr>
        <w:t>s</w:t>
      </w:r>
      <w:r w:rsidRPr="00FC6F34">
        <w:rPr>
          <w:rFonts w:ascii="Verdana" w:eastAsia="Century Gothic" w:hAnsi="Verdana" w:cs="Century Gothic"/>
          <w:color w:val="000000" w:themeColor="text1"/>
          <w:lang w:val="es-ES"/>
        </w:rPr>
        <w:t xml:space="preserve"> jurídico</w:t>
      </w:r>
      <w:r>
        <w:rPr>
          <w:rFonts w:ascii="Verdana" w:eastAsia="Century Gothic" w:hAnsi="Verdana" w:cs="Century Gothic"/>
          <w:color w:val="000000" w:themeColor="text1"/>
          <w:lang w:val="es-ES"/>
        </w:rPr>
        <w:t>s</w:t>
      </w:r>
      <w:r w:rsidRPr="00FC6F34">
        <w:rPr>
          <w:rFonts w:ascii="Verdana" w:eastAsia="Century Gothic" w:hAnsi="Verdana" w:cs="Century Gothic"/>
          <w:color w:val="000000" w:themeColor="text1"/>
          <w:lang w:val="es-ES"/>
        </w:rPr>
        <w:t>:</w:t>
      </w:r>
      <w:r>
        <w:rPr>
          <w:rFonts w:ascii="Verdana" w:eastAsia="Century Gothic" w:hAnsi="Verdana" w:cs="Century Gothic"/>
          <w:color w:val="000000" w:themeColor="text1"/>
          <w:lang w:val="es-ES"/>
        </w:rPr>
        <w:t xml:space="preserve"> i) </w:t>
      </w:r>
      <w:r>
        <w:rPr>
          <w:rFonts w:ascii="Verdana" w:eastAsia="Century Gothic" w:hAnsi="Verdana" w:cs="Century Gothic"/>
        </w:rPr>
        <w:t xml:space="preserve">¿cuál es la naturaleza jurídica del acto mediante el cual se designa a la entidad ejecutora en los proyectos adelantados con cargo al Sistema General de Regalías?, y </w:t>
      </w:r>
      <w:proofErr w:type="spellStart"/>
      <w:r>
        <w:rPr>
          <w:rFonts w:ascii="Verdana" w:eastAsia="Century Gothic" w:hAnsi="Verdana" w:cs="Century Gothic"/>
        </w:rPr>
        <w:t>ii</w:t>
      </w:r>
      <w:proofErr w:type="spellEnd"/>
      <w:r>
        <w:rPr>
          <w:rFonts w:ascii="Verdana" w:eastAsia="Century Gothic" w:hAnsi="Verdana" w:cs="Century Gothic"/>
        </w:rPr>
        <w:t xml:space="preserve">) </w:t>
      </w:r>
      <w:r w:rsidRPr="004D22F7">
        <w:rPr>
          <w:rFonts w:ascii="Verdana" w:eastAsia="Century Gothic" w:hAnsi="Verdana" w:cs="Century Gothic"/>
          <w:iCs/>
          <w:color w:val="000000" w:themeColor="text1"/>
          <w:lang w:val="es-ES"/>
        </w:rPr>
        <w:t>¿</w:t>
      </w:r>
      <w:r>
        <w:rPr>
          <w:rFonts w:ascii="Verdana" w:eastAsia="Century Gothic" w:hAnsi="Verdana" w:cs="Century Gothic"/>
          <w:iCs/>
          <w:color w:val="000000" w:themeColor="text1"/>
          <w:lang w:val="es-ES"/>
        </w:rPr>
        <w:t xml:space="preserve">aplican </w:t>
      </w:r>
      <w:r>
        <w:rPr>
          <w:rFonts w:ascii="Verdana" w:eastAsia="Century Gothic" w:hAnsi="Verdana" w:cs="Century Gothic"/>
        </w:rPr>
        <w:t>las restricciones previstas en los artículos 33 y 38 de la Ley 996 de 2005 frente al acto de designación de la entidad ejecutora en el marco del Sistema General de Regalías</w:t>
      </w:r>
      <w:r>
        <w:rPr>
          <w:rFonts w:ascii="Verdana" w:eastAsia="Century Gothic" w:hAnsi="Verdana" w:cs="Century Gothic"/>
          <w:iCs/>
          <w:color w:val="000000" w:themeColor="text1"/>
          <w:lang w:val="es-ES"/>
        </w:rPr>
        <w:t>?</w:t>
      </w:r>
    </w:p>
    <w:p w14:paraId="7B214281" w14:textId="77777777" w:rsidR="007A74DB" w:rsidRPr="00FC6F34" w:rsidRDefault="007A74DB" w:rsidP="007A74DB">
      <w:pPr>
        <w:spacing w:after="0" w:line="276" w:lineRule="auto"/>
        <w:jc w:val="both"/>
        <w:rPr>
          <w:rFonts w:ascii="Verdana" w:eastAsia="Calibri" w:hAnsi="Verdana" w:cs="Arial"/>
          <w:color w:val="000000" w:themeColor="text1"/>
          <w:lang w:val="es-ES"/>
        </w:rPr>
      </w:pPr>
    </w:p>
    <w:p w14:paraId="46014267" w14:textId="77777777" w:rsidR="007A74DB" w:rsidRPr="00FC6F34" w:rsidRDefault="007A74DB" w:rsidP="007A74DB">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Respuesta:</w:t>
      </w:r>
    </w:p>
    <w:p w14:paraId="395D46DB" w14:textId="77777777" w:rsidR="007A74DB" w:rsidRPr="00FC6F34" w:rsidRDefault="007A74DB" w:rsidP="007A74DB">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A74DB" w:rsidRPr="00FC6F34" w14:paraId="5E835297" w14:textId="77777777" w:rsidTr="00FE6ED8">
        <w:tc>
          <w:tcPr>
            <w:tcW w:w="8828" w:type="dxa"/>
          </w:tcPr>
          <w:p w14:paraId="4A740671" w14:textId="77777777" w:rsidR="007A74DB" w:rsidRDefault="007A74DB" w:rsidP="00FE6ED8">
            <w:pPr>
              <w:spacing w:after="120" w:line="276" w:lineRule="auto"/>
              <w:jc w:val="both"/>
              <w:rPr>
                <w:rFonts w:ascii="Verdana" w:hAnsi="Verdana"/>
              </w:rPr>
            </w:pPr>
            <w:r>
              <w:rPr>
                <w:rFonts w:ascii="Verdana" w:hAnsi="Verdana"/>
              </w:rPr>
              <w:t>i. L</w:t>
            </w:r>
            <w:r w:rsidRPr="007A47F9">
              <w:rPr>
                <w:rFonts w:ascii="Verdana" w:hAnsi="Verdana"/>
              </w:rPr>
              <w:t>a designación de la entidad ejecutora en los proyectos adelantados con cargo al Sistema General de Regalías corresponde a un acto administrativo</w:t>
            </w:r>
            <w:r>
              <w:rPr>
                <w:rFonts w:ascii="Verdana" w:hAnsi="Verdana"/>
              </w:rPr>
              <w:t xml:space="preserve">, pues se trata de </w:t>
            </w:r>
            <w:r w:rsidRPr="00AC291C">
              <w:rPr>
                <w:rFonts w:ascii="Verdana" w:eastAsia="Calibri" w:hAnsi="Verdana" w:cs="Arial"/>
              </w:rPr>
              <w:t>una declaración unilateral de voluntad de un órgano del Estado que ejerce función administrativa y que produce efectos jurídicos</w:t>
            </w:r>
            <w:r w:rsidRPr="007A47F9">
              <w:rPr>
                <w:rFonts w:ascii="Verdana" w:hAnsi="Verdana"/>
              </w:rPr>
              <w:t>. Una vez concurren sus elementos de existencia, la validez depende de la competencia de funcionario, la ausencia de desviación de poder, la licitud del objeto, entre otras. Al ser un acto administrativo, la designación no corresponde a un contrato estatal, de forma que ni siquiera tiene la naturaleza de un convenio interadministrativo. En consecuencia, la designación no requiere aceptación de la entidad ejecutora ni ésta se considera contratista de los órganos de que tratan los artículos 35 y 36 de la Ley 2056 de 2020.</w:t>
            </w:r>
          </w:p>
          <w:p w14:paraId="6027F072" w14:textId="77777777" w:rsidR="007A74DB" w:rsidRPr="003E638E" w:rsidRDefault="007A74DB" w:rsidP="00FE6ED8">
            <w:pPr>
              <w:spacing w:after="120" w:line="276" w:lineRule="auto"/>
              <w:jc w:val="both"/>
              <w:rPr>
                <w:rFonts w:ascii="Verdana" w:eastAsia="Arial" w:hAnsi="Verdana" w:cs="Arial"/>
                <w:lang w:val="es-ES" w:eastAsia="es-ES" w:bidi="es-ES"/>
              </w:rPr>
            </w:pPr>
            <w:proofErr w:type="spellStart"/>
            <w:r>
              <w:rPr>
                <w:rFonts w:ascii="Verdana" w:hAnsi="Verdana"/>
              </w:rPr>
              <w:t>ii</w:t>
            </w:r>
            <w:proofErr w:type="spellEnd"/>
            <w:r>
              <w:rPr>
                <w:rFonts w:ascii="Verdana" w:hAnsi="Verdana"/>
              </w:rPr>
              <w:t>. L</w:t>
            </w:r>
            <w:r w:rsidRPr="003E638E">
              <w:rPr>
                <w:rFonts w:ascii="Verdana" w:eastAsia="Arial" w:hAnsi="Verdana" w:cs="Arial"/>
                <w:lang w:val="es-ES" w:eastAsia="es-ES" w:bidi="es-ES"/>
              </w:rPr>
              <w:t>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p>
          <w:p w14:paraId="7740259E" w14:textId="77777777" w:rsidR="007A74DB" w:rsidRPr="00FC6F34" w:rsidRDefault="007A74DB" w:rsidP="00FE6ED8">
            <w:pPr>
              <w:spacing w:after="120" w:line="276" w:lineRule="auto"/>
              <w:ind w:firstLine="708"/>
              <w:jc w:val="both"/>
              <w:rPr>
                <w:rFonts w:ascii="Verdana" w:eastAsia="Calibri" w:hAnsi="Verdana" w:cs="Arial"/>
                <w:lang w:val="es-ES"/>
              </w:rPr>
            </w:pPr>
            <w:r w:rsidRPr="00FC6F34">
              <w:rPr>
                <w:rFonts w:ascii="Verdana" w:eastAsia="Calibri" w:hAnsi="Verdana" w:cs="Arial"/>
                <w:lang w:val="es-ES"/>
              </w:rPr>
              <w:t xml:space="preserve">Por un lado, el </w:t>
            </w:r>
            <w:r w:rsidRPr="00FC6F34">
              <w:rPr>
                <w:rFonts w:ascii="Verdana" w:eastAsia="Calibri" w:hAnsi="Verdana" w:cs="Arial"/>
                <w:i/>
                <w:iCs/>
                <w:lang w:val="es-ES"/>
              </w:rPr>
              <w:t xml:space="preserve">artículo 33 </w:t>
            </w:r>
            <w:r w:rsidRPr="00FC6F34">
              <w:rPr>
                <w:rFonts w:ascii="Verdana" w:eastAsia="Calibri" w:hAnsi="Verdana" w:cs="Arial"/>
                <w:lang w:val="es-ES"/>
              </w:rPr>
              <w:t xml:space="preserve">de la Ley 996 de 2005 prohíbe “[…] la contratación directa por parte de </w:t>
            </w:r>
            <w:r w:rsidRPr="00FC6F34">
              <w:rPr>
                <w:rFonts w:ascii="Verdana" w:eastAsia="Calibri" w:hAnsi="Verdana" w:cs="Arial"/>
                <w:i/>
                <w:iCs/>
                <w:lang w:val="es-ES"/>
              </w:rPr>
              <w:t>todos los entes del Estado</w:t>
            </w:r>
            <w:r w:rsidRPr="00FC6F34">
              <w:rPr>
                <w:rFonts w:ascii="Verdana" w:eastAsia="Calibri" w:hAnsi="Verdana" w:cs="Arial"/>
                <w:lang w:val="es-ES"/>
              </w:rPr>
              <w:t xml:space="preserve">” durante los cuatro (4) meses anteriores a las </w:t>
            </w:r>
            <w:r w:rsidRPr="00FC6F34">
              <w:rPr>
                <w:rFonts w:ascii="Verdana" w:eastAsia="Calibri" w:hAnsi="Verdana" w:cs="Arial"/>
                <w:i/>
                <w:iCs/>
                <w:lang w:val="es-ES"/>
              </w:rPr>
              <w:t>elecciones presidenciales</w:t>
            </w:r>
            <w:r w:rsidRPr="00FC6F34">
              <w:rPr>
                <w:rFonts w:ascii="Verdana" w:eastAsia="Calibri" w:hAnsi="Verdana" w:cs="Arial"/>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72F0274A" w14:textId="77777777" w:rsidR="007A74DB" w:rsidRDefault="007A74DB" w:rsidP="00FE6ED8">
            <w:pPr>
              <w:widowControl w:val="0"/>
              <w:autoSpaceDE w:val="0"/>
              <w:autoSpaceDN w:val="0"/>
              <w:spacing w:after="120" w:line="276" w:lineRule="auto"/>
              <w:ind w:right="113" w:firstLine="709"/>
              <w:jc w:val="both"/>
              <w:rPr>
                <w:rFonts w:ascii="Verdana" w:eastAsia="Arial" w:hAnsi="Verdana" w:cs="Arial"/>
                <w:lang w:val="es-ES" w:eastAsia="es-ES" w:bidi="es-ES"/>
              </w:rPr>
            </w:pPr>
            <w:r w:rsidRPr="00FC6F34">
              <w:rPr>
                <w:rFonts w:ascii="Verdana" w:eastAsia="Calibri" w:hAnsi="Verdana" w:cs="Arial"/>
                <w:lang w:val="es-ES"/>
              </w:rPr>
              <w:t xml:space="preserve">Por otro lado, </w:t>
            </w:r>
            <w:r w:rsidRPr="00FC6F34">
              <w:rPr>
                <w:rFonts w:ascii="Verdana" w:eastAsia="Calibri" w:hAnsi="Verdana" w:cs="Arial"/>
                <w:i/>
                <w:iCs/>
                <w:lang w:val="es-ES"/>
              </w:rPr>
              <w:t xml:space="preserve">el parágrafo del artículo 38 </w:t>
            </w:r>
            <w:r w:rsidRPr="00FC6F34">
              <w:rPr>
                <w:rFonts w:ascii="Verdana" w:eastAsia="Calibri" w:hAnsi="Verdana" w:cs="Arial"/>
                <w:lang w:val="es-ES"/>
              </w:rPr>
              <w:t xml:space="preserve">de la Ley 996 de 2005 prevé una restricción, aplicable respecto de </w:t>
            </w:r>
            <w:r w:rsidRPr="00FC6F34">
              <w:rPr>
                <w:rFonts w:ascii="Verdana" w:eastAsia="Calibri" w:hAnsi="Verdana" w:cs="Arial"/>
                <w:i/>
                <w:iCs/>
                <w:lang w:val="es-ES"/>
              </w:rPr>
              <w:t>cualquier tipo de contienda electoral</w:t>
            </w:r>
            <w:r w:rsidRPr="00FC6F34">
              <w:rPr>
                <w:rFonts w:ascii="Verdana" w:eastAsia="Calibri" w:hAnsi="Verdana" w:cs="Arial"/>
                <w:lang w:val="es-ES"/>
              </w:rPr>
              <w:t xml:space="preserve">, que prohíbe a los gobernadores, alcaldes municipales o distritales, secretarios, gerentes y directores de entidades descentralizadas del orden </w:t>
            </w:r>
            <w:r w:rsidRPr="00FC6F34">
              <w:rPr>
                <w:rFonts w:ascii="Verdana" w:eastAsia="Calibri" w:hAnsi="Verdana" w:cs="Arial"/>
                <w:lang w:val="es-ES"/>
              </w:rPr>
              <w:lastRenderedPageBreak/>
              <w:t xml:space="preserve">municipal, departamental o distrital “[…] </w:t>
            </w:r>
            <w:r w:rsidRPr="00856D2C">
              <w:rPr>
                <w:rFonts w:ascii="Verdana" w:eastAsia="Calibri" w:hAnsi="Verdana" w:cs="Arial"/>
                <w:i/>
                <w:iCs/>
                <w:lang w:val="es-ES"/>
              </w:rPr>
              <w:t>celebrar convenios interadministrativos para la ejecución de recursos públicos</w:t>
            </w:r>
            <w:r w:rsidRPr="00FC6F34">
              <w:rPr>
                <w:rFonts w:ascii="Verdana" w:eastAsia="Calibri" w:hAnsi="Verdana" w:cs="Arial"/>
                <w:lang w:val="es-ES"/>
              </w:rPr>
              <w:t>, ni participar, promover y destinar recursos públicos de las entidades a su cargo, como tampoco de las que participen como miembros de sus juntas directivas, en o para reuniones de carácter proselitista”</w:t>
            </w:r>
            <w:r w:rsidRPr="00FC6F34">
              <w:rPr>
                <w:rFonts w:ascii="Verdana" w:eastAsia="Calibri" w:hAnsi="Verdana" w:cs="Arial"/>
                <w:vertAlign w:val="superscript"/>
                <w:lang w:val="es-ES"/>
              </w:rPr>
              <w:footnoteReference w:id="2"/>
            </w:r>
            <w:r w:rsidRPr="00FC6F34">
              <w:rPr>
                <w:rFonts w:ascii="Verdana" w:eastAsia="Calibri" w:hAnsi="Verdana" w:cs="Arial"/>
                <w:lang w:val="es-ES"/>
              </w:rPr>
              <w:t>.</w:t>
            </w:r>
            <w:r w:rsidRPr="00FC6F34">
              <w:rPr>
                <w:rFonts w:ascii="Verdana" w:eastAsia="Arial" w:hAnsi="Verdana" w:cs="Arial"/>
                <w:lang w:val="es-ES" w:eastAsia="es-ES" w:bidi="es-ES"/>
              </w:rPr>
              <w:t xml:space="preserve"> </w:t>
            </w:r>
          </w:p>
          <w:p w14:paraId="02203CB2" w14:textId="77777777" w:rsidR="007A74DB" w:rsidRDefault="007A74DB" w:rsidP="00FE6ED8">
            <w:pPr>
              <w:widowControl w:val="0"/>
              <w:autoSpaceDE w:val="0"/>
              <w:autoSpaceDN w:val="0"/>
              <w:spacing w:after="120" w:line="276" w:lineRule="auto"/>
              <w:ind w:right="113" w:firstLine="709"/>
              <w:jc w:val="both"/>
              <w:rPr>
                <w:rFonts w:ascii="Verdana" w:eastAsia="Arial" w:hAnsi="Verdana" w:cs="Arial"/>
                <w:lang w:val="es-ES" w:eastAsia="es-ES" w:bidi="es-ES"/>
              </w:rPr>
            </w:pPr>
            <w:r>
              <w:rPr>
                <w:rFonts w:ascii="Verdana" w:eastAsia="Times New Roman" w:hAnsi="Verdana" w:cs="Arial"/>
                <w:lang w:eastAsia="es-CO"/>
              </w:rPr>
              <w:t>A</w:t>
            </w:r>
            <w:r w:rsidRPr="00C55BDE">
              <w:rPr>
                <w:rFonts w:ascii="Verdana" w:eastAsia="Times New Roman" w:hAnsi="Verdana" w:cs="Arial"/>
                <w:lang w:eastAsia="es-CO"/>
              </w:rPr>
              <w:t xml:space="preserve">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C55BDE">
              <w:rPr>
                <w:rFonts w:ascii="Verdana" w:eastAsia="Times New Roman" w:hAnsi="Verdana" w:cs="Arial"/>
                <w:i/>
                <w:iCs/>
                <w:lang w:eastAsia="es-CO"/>
              </w:rPr>
              <w:t>contratos interadministrativos</w:t>
            </w:r>
            <w:r w:rsidRPr="00C55BDE">
              <w:rPr>
                <w:rFonts w:ascii="Verdana" w:eastAsia="Times New Roman" w:hAnsi="Verdana" w:cs="Arial"/>
                <w:lang w:eastAsia="es-CO"/>
              </w:rPr>
              <w:t>, esta prohibición solo aplicaría a los convenios interadministrativos que impliquen la ejecución de recursos públicos</w:t>
            </w:r>
            <w:r>
              <w:rPr>
                <w:rFonts w:ascii="Verdana" w:eastAsia="Times New Roman" w:hAnsi="Verdana" w:cs="Arial"/>
                <w:lang w:eastAsia="es-CO"/>
              </w:rPr>
              <w:t>.</w:t>
            </w:r>
          </w:p>
          <w:p w14:paraId="29C5210D" w14:textId="77777777" w:rsidR="007A74DB" w:rsidRDefault="007A74DB" w:rsidP="00FE6ED8">
            <w:pPr>
              <w:spacing w:after="120" w:line="276" w:lineRule="auto"/>
              <w:ind w:firstLine="709"/>
              <w:jc w:val="both"/>
              <w:rPr>
                <w:rFonts w:ascii="Verdana" w:hAnsi="Verdana" w:cs="Arial"/>
                <w:bCs/>
                <w:lang w:val="es-ES_tradnl" w:eastAsia="es-CO"/>
              </w:rPr>
            </w:pPr>
            <w:r>
              <w:rPr>
                <w:rFonts w:ascii="Verdana" w:hAnsi="Verdana" w:cs="Arial"/>
              </w:rPr>
              <w:t>Bajo estas consideraciones, de cara a la consulta planteada, se puede afirmar que a la designación</w:t>
            </w:r>
            <w:r>
              <w:rPr>
                <w:rFonts w:ascii="Verdana" w:eastAsia="Calibri" w:hAnsi="Verdana" w:cs="Arial"/>
              </w:rPr>
              <w:t xml:space="preserve"> </w:t>
            </w:r>
            <w:r>
              <w:rPr>
                <w:rFonts w:ascii="Verdana" w:eastAsia="Calibri" w:hAnsi="Verdana" w:cs="Arial"/>
                <w:bCs/>
                <w:color w:val="000000" w:themeColor="text1"/>
              </w:rPr>
              <w:t>de la entidad ejecutora en los proyectos adelantados con cargo al Sistema General de Regalías,</w:t>
            </w:r>
            <w:r>
              <w:rPr>
                <w:rFonts w:ascii="Verdana" w:hAnsi="Verdana" w:cs="Arial"/>
                <w:bCs/>
                <w:lang w:val="es-ES_tradnl" w:eastAsia="es-CO"/>
              </w:rPr>
              <w:t xml:space="preserve"> al tratarse de un acto administrativo, no le resulta aplicable las restricciones previstas en los artículos 33 y 38 de la Ley 996 de 2005, porque lo que en estos preceptos se prohíbe es </w:t>
            </w:r>
            <w:r>
              <w:rPr>
                <w:rFonts w:ascii="Verdana" w:hAnsi="Verdana" w:cs="Arial"/>
                <w:bCs/>
                <w:lang w:val="es-MX" w:eastAsia="x-none"/>
              </w:rPr>
              <w:t>celebrar cualquier contrato de forma directa</w:t>
            </w:r>
            <w:r>
              <w:rPr>
                <w:rFonts w:ascii="Verdana" w:hAnsi="Verdana" w:cs="Arial"/>
                <w:bCs/>
                <w:lang w:val="es-ES_tradnl" w:eastAsia="es-CO"/>
              </w:rPr>
              <w:t xml:space="preserve"> y “celebrar convenios interadministrativos para la ejecución de recursos públicos”. En este sentido, </w:t>
            </w:r>
            <w:r>
              <w:rPr>
                <w:rFonts w:ascii="Verdana" w:eastAsia="Times New Roman" w:hAnsi="Verdana" w:cs="Arial"/>
                <w:lang w:val="es-ES"/>
              </w:rPr>
              <w:t xml:space="preserve">la celebración de estos contratos de forma directa y de convenios interadministrativo </w:t>
            </w:r>
            <w:r>
              <w:rPr>
                <w:rFonts w:ascii="Verdana" w:hAnsi="Verdana" w:cs="Arial"/>
                <w:bCs/>
                <w:lang w:val="es-ES_tradnl" w:eastAsia="es-CO"/>
              </w:rPr>
              <w:t xml:space="preserve">son </w:t>
            </w:r>
            <w:r>
              <w:rPr>
                <w:rFonts w:ascii="Verdana" w:hAnsi="Verdana" w:cs="Arial"/>
                <w:bCs/>
                <w:i/>
                <w:iCs/>
                <w:lang w:val="es-ES_tradnl" w:eastAsia="es-CO"/>
              </w:rPr>
              <w:t>acuerdos de voluntades</w:t>
            </w:r>
            <w:r>
              <w:rPr>
                <w:rFonts w:ascii="Verdana" w:hAnsi="Verdana" w:cs="Arial"/>
                <w:bCs/>
                <w:lang w:val="es-ES_tradnl" w:eastAsia="es-CO"/>
              </w:rPr>
              <w:t xml:space="preserve">, o sea un acto jurídico </w:t>
            </w:r>
            <w:r>
              <w:rPr>
                <w:rFonts w:ascii="Verdana" w:hAnsi="Verdana" w:cs="Arial"/>
                <w:bCs/>
                <w:i/>
                <w:iCs/>
                <w:lang w:val="es-ES_tradnl" w:eastAsia="es-CO"/>
              </w:rPr>
              <w:t>bilateral</w:t>
            </w:r>
            <w:r>
              <w:rPr>
                <w:rFonts w:ascii="Verdana" w:hAnsi="Verdana" w:cs="Arial"/>
                <w:bCs/>
                <w:lang w:val="es-ES_tradnl" w:eastAsia="es-CO"/>
              </w:rPr>
              <w:t xml:space="preserve"> o que participa de la forma contractual, de conformidad con el artículo 1495 del Código Civil. En cambio, la forma jurídica de designación que se desprende del artículo 37 de la Ley 2056 de 2020 </w:t>
            </w:r>
            <w:r>
              <w:rPr>
                <w:rFonts w:ascii="Verdana" w:hAnsi="Verdana" w:cs="Arial"/>
                <w:bCs/>
                <w:i/>
                <w:iCs/>
                <w:lang w:val="es-ES_tradnl" w:eastAsia="es-CO"/>
              </w:rPr>
              <w:t>es el acto administrativo</w:t>
            </w:r>
            <w:r>
              <w:rPr>
                <w:rFonts w:ascii="Verdana" w:hAnsi="Verdana" w:cs="Arial"/>
                <w:bCs/>
                <w:lang w:val="es-ES_tradnl" w:eastAsia="es-CO"/>
              </w:rPr>
              <w:t xml:space="preserve">, no el convenio interadministrativo. Si el artículo 33 y el parágrafo del artículo 38 de la Ley 996 de 2005 prohibieron la celebración directa de contratos y la suscripción de convenios interadministrativos para la ejecución de recursos públicos, no puede entenderse </w:t>
            </w:r>
            <w:r>
              <w:rPr>
                <w:rFonts w:ascii="Verdana" w:hAnsi="Verdana" w:cs="Arial"/>
                <w:bCs/>
                <w:i/>
                <w:iCs/>
                <w:lang w:val="es-ES_tradnl" w:eastAsia="es-CO"/>
              </w:rPr>
              <w:t>también</w:t>
            </w:r>
            <w:r>
              <w:rPr>
                <w:rFonts w:ascii="Verdana" w:hAnsi="Verdana" w:cs="Arial"/>
                <w:bCs/>
                <w:lang w:val="es-ES_tradnl" w:eastAsia="es-CO"/>
              </w:rPr>
              <w:t xml:space="preserve"> prohibida la designación del ente ejecutor, porque se estaría incluyendo una circunstancia que el supuesto de hecho de la restricción no contempla. </w:t>
            </w:r>
          </w:p>
          <w:p w14:paraId="0A91C5E5" w14:textId="77777777" w:rsidR="007A74DB" w:rsidRPr="00531419" w:rsidRDefault="007A74DB" w:rsidP="00FE6ED8">
            <w:pPr>
              <w:spacing w:after="120" w:line="276" w:lineRule="auto"/>
              <w:ind w:firstLine="708"/>
              <w:jc w:val="both"/>
              <w:rPr>
                <w:rFonts w:ascii="Verdana" w:eastAsia="Arial" w:hAnsi="Verdana" w:cs="Arial"/>
                <w:color w:val="000000" w:themeColor="text1"/>
                <w:lang w:val="es-ES"/>
              </w:rPr>
            </w:pPr>
            <w:r>
              <w:rPr>
                <w:rFonts w:ascii="Verdana" w:eastAsia="Arial" w:hAnsi="Verdana" w:cs="Arial"/>
                <w:color w:val="000000" w:themeColor="text1"/>
                <w:lang w:val="es-ES"/>
              </w:rPr>
              <w:lastRenderedPageBreak/>
              <w:t>En este sentido</w:t>
            </w:r>
            <w:r w:rsidRPr="00531419">
              <w:rPr>
                <w:rFonts w:ascii="Verdana" w:eastAsia="Arial" w:hAnsi="Verdana" w:cs="Arial"/>
                <w:color w:val="000000" w:themeColor="text1"/>
                <w:lang w:val="es-ES"/>
              </w:rPr>
              <w:t>, no se considera que la designación de un ente ejecutor en el marco del Sistema General de Regalías se encuentre comprendida dentro de las prohibiciones establecidas por la Ley de Garantías Electorales. Sin embargo, ello no exime la aplicación de dichas restricciones a los contratos directos o a los convenios interadministrativos que se celebren para la ejecución de los recursos con posterioridad a esa designación y que se encuentren dentro del ámbito de aplicación de las prohibiciones previstas en los artículos 33 y 38 de la Ley 996 de 2005.</w:t>
            </w:r>
          </w:p>
          <w:p w14:paraId="1561A854" w14:textId="77777777" w:rsidR="007A74DB" w:rsidRPr="00E528DA" w:rsidRDefault="007A74DB" w:rsidP="00FE6ED8">
            <w:pPr>
              <w:spacing w:after="120" w:line="276" w:lineRule="auto"/>
              <w:ind w:firstLine="708"/>
              <w:jc w:val="both"/>
              <w:rPr>
                <w:rFonts w:ascii="Verdana" w:eastAsia="Arial" w:hAnsi="Verdana" w:cs="Arial"/>
                <w:color w:val="000000" w:themeColor="text1"/>
                <w:lang w:val="es-ES"/>
              </w:rPr>
            </w:pPr>
            <w:r w:rsidRPr="00531419">
              <w:rPr>
                <w:rFonts w:ascii="Verdana" w:eastAsia="Arial" w:hAnsi="Verdana" w:cs="Arial"/>
                <w:color w:val="000000" w:themeColor="text1"/>
                <w:lang w:val="es-ES"/>
              </w:rPr>
              <w:t xml:space="preserve">En otras palabras, una vez efectuado </w:t>
            </w:r>
            <w:r>
              <w:rPr>
                <w:rFonts w:ascii="Verdana" w:eastAsia="Arial" w:hAnsi="Verdana" w:cs="Arial"/>
                <w:color w:val="000000" w:themeColor="text1"/>
                <w:lang w:val="es-ES"/>
              </w:rPr>
              <w:t xml:space="preserve">la designación </w:t>
            </w:r>
            <w:r w:rsidRPr="00531419">
              <w:rPr>
                <w:rFonts w:ascii="Verdana" w:eastAsia="Arial" w:hAnsi="Verdana" w:cs="Arial"/>
                <w:color w:val="000000" w:themeColor="text1"/>
                <w:lang w:val="es-ES"/>
              </w:rPr>
              <w:t xml:space="preserve">del ente ejecutor, este deberá observar estrictamente las limitaciones impuestas por la Ley de Garantías </w:t>
            </w:r>
            <w:r>
              <w:rPr>
                <w:rFonts w:ascii="Verdana" w:eastAsia="Arial" w:hAnsi="Verdana" w:cs="Arial"/>
                <w:color w:val="000000" w:themeColor="text1"/>
                <w:lang w:val="es-ES"/>
              </w:rPr>
              <w:t xml:space="preserve">Electorales </w:t>
            </w:r>
            <w:r w:rsidRPr="00531419">
              <w:rPr>
                <w:rFonts w:ascii="Verdana" w:eastAsia="Arial" w:hAnsi="Verdana" w:cs="Arial"/>
                <w:color w:val="000000" w:themeColor="text1"/>
                <w:lang w:val="es-ES"/>
              </w:rPr>
              <w:t>durante todo el periodo en que dichas prohibiciones se mantengan vigentes. Esto implica que, aunque la designación en sí misma no está restringida,</w:t>
            </w:r>
            <w:r>
              <w:rPr>
                <w:rFonts w:ascii="Verdana" w:eastAsia="Arial" w:hAnsi="Verdana" w:cs="Arial"/>
                <w:color w:val="000000" w:themeColor="text1"/>
                <w:lang w:val="es-ES"/>
              </w:rPr>
              <w:t xml:space="preserve"> es indispensable analizar </w:t>
            </w:r>
            <w:r w:rsidRPr="00697201">
              <w:rPr>
                <w:rFonts w:ascii="Verdana" w:eastAsia="Arial" w:hAnsi="Verdana" w:cs="Arial"/>
                <w:color w:val="000000" w:themeColor="text1"/>
              </w:rPr>
              <w:t>si los contratos que se celebren con posterioridad a dicha designación están sujetos a las restricciones previstas en esta normativa.</w:t>
            </w:r>
          </w:p>
        </w:tc>
      </w:tr>
    </w:tbl>
    <w:p w14:paraId="6F044DE8" w14:textId="77777777" w:rsidR="007A74DB" w:rsidRPr="00FC6F34" w:rsidRDefault="007A74DB" w:rsidP="007A74DB">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132DC26F" w14:textId="77777777" w:rsidR="007A74DB" w:rsidRPr="00FC6F34" w:rsidRDefault="007A74DB" w:rsidP="007A74DB">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Razones de la respuesta:</w:t>
      </w:r>
    </w:p>
    <w:p w14:paraId="5D88C742" w14:textId="77777777" w:rsidR="007A74DB" w:rsidRPr="00FC6F34" w:rsidRDefault="007A74DB" w:rsidP="007A74DB">
      <w:pPr>
        <w:spacing w:after="0" w:line="276" w:lineRule="auto"/>
        <w:jc w:val="both"/>
        <w:rPr>
          <w:rFonts w:ascii="Verdana" w:eastAsia="Calibri" w:hAnsi="Verdana" w:cs="Arial"/>
          <w:color w:val="000000" w:themeColor="text1"/>
          <w:lang w:val="es-ES"/>
        </w:rPr>
      </w:pPr>
    </w:p>
    <w:p w14:paraId="63510BE3" w14:textId="77777777" w:rsidR="007A74DB" w:rsidRDefault="007A74DB" w:rsidP="007A74DB">
      <w:pPr>
        <w:tabs>
          <w:tab w:val="left" w:pos="426"/>
        </w:tabs>
        <w:spacing w:after="120" w:line="276" w:lineRule="auto"/>
        <w:jc w:val="both"/>
        <w:rPr>
          <w:rFonts w:ascii="Verdana" w:eastAsia="Calibri" w:hAnsi="Verdana" w:cs="Arial"/>
          <w:noProof/>
          <w:lang w:val="es-ES_tradnl"/>
        </w:rPr>
      </w:pPr>
      <w:bookmarkStart w:id="1" w:name="_Hlk102983874"/>
      <w:bookmarkStart w:id="2" w:name="_Hlk102388095"/>
      <w:r w:rsidRPr="00FC6F34">
        <w:rPr>
          <w:rFonts w:ascii="Verdana" w:eastAsia="Calibri" w:hAnsi="Verdana" w:cs="Arial"/>
          <w:color w:val="000000" w:themeColor="text1"/>
          <w:lang w:val="es-ES"/>
        </w:rPr>
        <w:t>i</w:t>
      </w:r>
      <w:r>
        <w:rPr>
          <w:rFonts w:ascii="Verdana" w:eastAsia="Calibri" w:hAnsi="Verdana" w:cs="Arial"/>
          <w:color w:val="000000" w:themeColor="text1"/>
          <w:lang w:val="es-ES"/>
        </w:rPr>
        <w:t>.</w:t>
      </w:r>
      <w:r w:rsidRPr="00DE07BF">
        <w:rPr>
          <w:rFonts w:ascii="Verdana" w:hAnsi="Verdana" w:cs="Arial"/>
          <w:noProof/>
        </w:rPr>
        <w:t xml:space="preserve"> </w:t>
      </w:r>
      <w:r>
        <w:rPr>
          <w:rFonts w:ascii="Verdana" w:eastAsia="Times New Roman" w:hAnsi="Verdana" w:cs="Arial"/>
          <w:bCs/>
          <w:lang w:eastAsia="es-CO"/>
        </w:rPr>
        <w:t>La</w:t>
      </w:r>
      <w:r w:rsidRPr="003E638E">
        <w:rPr>
          <w:rFonts w:ascii="Verdana" w:eastAsia="Times New Roman" w:hAnsi="Verdana" w:cs="Arial"/>
          <w:bCs/>
          <w:lang w:eastAsia="es-CO"/>
        </w:rPr>
        <w:t xml:space="preserve"> Ley 996 de 2005, conocida como </w:t>
      </w:r>
      <w:r>
        <w:rPr>
          <w:rFonts w:ascii="Verdana" w:eastAsia="Times New Roman" w:hAnsi="Verdana" w:cs="Arial"/>
          <w:bCs/>
          <w:lang w:eastAsia="es-CO"/>
        </w:rPr>
        <w:t>“</w:t>
      </w:r>
      <w:r w:rsidRPr="003E638E">
        <w:rPr>
          <w:rFonts w:ascii="Verdana" w:eastAsia="Times New Roman" w:hAnsi="Verdana" w:cs="Arial"/>
          <w:bCs/>
          <w:lang w:eastAsia="es-CO"/>
        </w:rPr>
        <w:t>Ley de Garantías Electorales</w:t>
      </w:r>
      <w:r>
        <w:rPr>
          <w:rFonts w:ascii="Verdana" w:eastAsia="Times New Roman" w:hAnsi="Verdana" w:cs="Arial"/>
          <w:bCs/>
          <w:lang w:eastAsia="es-CO"/>
        </w:rPr>
        <w:t>”</w:t>
      </w:r>
      <w:r w:rsidRPr="003E638E">
        <w:rPr>
          <w:rFonts w:ascii="Verdana" w:eastAsia="Times New Roman" w:hAnsi="Verdana" w:cs="Arial"/>
          <w:bCs/>
          <w:lang w:eastAsia="es-CO"/>
        </w:rPr>
        <w:t xml:space="preserve">, </w:t>
      </w:r>
      <w:r>
        <w:rPr>
          <w:rFonts w:ascii="Verdana" w:eastAsia="Times New Roman" w:hAnsi="Verdana" w:cs="Arial"/>
          <w:bCs/>
          <w:lang w:eastAsia="es-CO"/>
        </w:rPr>
        <w:t xml:space="preserve">tiene como propósito </w:t>
      </w:r>
      <w:r w:rsidRPr="003E638E">
        <w:rPr>
          <w:rFonts w:ascii="Verdana" w:eastAsia="Times New Roman" w:hAnsi="Verdana" w:cs="Arial"/>
          <w:bCs/>
          <w:lang w:eastAsia="es-CO"/>
        </w:rPr>
        <w:t xml:space="preserve">evitar la injerencia inadecuada de intereses particulares en el ejercicio de la función pública. Esta ley </w:t>
      </w:r>
      <w:r>
        <w:rPr>
          <w:rFonts w:ascii="Verdana" w:eastAsia="Times New Roman" w:hAnsi="Verdana" w:cs="Arial"/>
          <w:bCs/>
          <w:lang w:eastAsia="es-CO"/>
        </w:rPr>
        <w:t>busca</w:t>
      </w:r>
      <w:r w:rsidRPr="003E638E">
        <w:rPr>
          <w:rFonts w:ascii="Verdana" w:eastAsia="Times New Roman" w:hAnsi="Verdana" w:cs="Arial"/>
          <w:bCs/>
          <w:lang w:eastAsia="es-CO"/>
        </w:rPr>
        <w:t xml:space="preserve"> evitar cualquier tipo de arbitrariedad, de ventaja injustificada, de uso irregular de los recursos del Estado en las campañas o falta de garantías en la elección presidencial</w:t>
      </w:r>
      <w:r w:rsidRPr="003E638E">
        <w:rPr>
          <w:rStyle w:val="Refdenotaalpie"/>
          <w:rFonts w:ascii="Verdana" w:eastAsia="Times New Roman" w:hAnsi="Verdana" w:cs="Arial"/>
          <w:bCs/>
          <w:lang w:eastAsia="es-CO"/>
        </w:rPr>
        <w:footnoteReference w:id="3"/>
      </w:r>
      <w:r w:rsidRPr="003E638E">
        <w:rPr>
          <w:rFonts w:ascii="Verdana" w:eastAsia="Times New Roman" w:hAnsi="Verdana" w:cs="Arial"/>
          <w:bCs/>
          <w:lang w:eastAsia="es-CO"/>
        </w:rPr>
        <w:t>. En esta medida, introduce limitaciones para realizar nombramientos, postulaciones, contrataciones o cualquier otro tipo de actividad que implique destinación de recursos públicos bajo el devenir propio de las entidades estatales.</w:t>
      </w:r>
      <w:r w:rsidRPr="003E638E">
        <w:rPr>
          <w:rFonts w:ascii="Verdana" w:eastAsia="Calibri" w:hAnsi="Verdana" w:cs="Arial"/>
          <w:noProof/>
          <w:lang w:val="es-ES_tradnl"/>
        </w:rPr>
        <w:t xml:space="preserve"> </w:t>
      </w:r>
    </w:p>
    <w:p w14:paraId="3741E64C" w14:textId="77777777" w:rsidR="007A74DB" w:rsidRPr="003E638E" w:rsidRDefault="007A74DB" w:rsidP="007A74DB">
      <w:pPr>
        <w:spacing w:after="0" w:line="276" w:lineRule="auto"/>
        <w:ind w:firstLine="709"/>
        <w:jc w:val="both"/>
        <w:rPr>
          <w:rFonts w:ascii="Verdana" w:eastAsia="Times New Roman" w:hAnsi="Verdana" w:cs="Arial"/>
          <w:bCs/>
          <w:lang w:eastAsia="es-CO"/>
        </w:rPr>
      </w:pPr>
      <w:bookmarkStart w:id="3" w:name="_Hlk78818186"/>
      <w:r w:rsidRPr="003E638E">
        <w:rPr>
          <w:rFonts w:ascii="Verdana" w:eastAsia="Times New Roman" w:hAnsi="Verdana" w:cs="Arial"/>
          <w:bCs/>
          <w:lang w:eastAsia="es-CO"/>
        </w:rPr>
        <w:t xml:space="preserve">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3"/>
      <w:r w:rsidRPr="003E638E">
        <w:rPr>
          <w:rFonts w:ascii="Verdana" w:eastAsia="Times New Roman" w:hAnsi="Verdana" w:cs="Arial"/>
          <w:bCs/>
          <w:lang w:eastAsia="es-CO"/>
        </w:rPr>
        <w:t xml:space="preserve">Por ello, varias de las disposiciones de la Ley 996 de 2005, al contener normas prohibitivas, no admiten una interpretación amplia, sino que </w:t>
      </w:r>
      <w:r w:rsidRPr="003E638E">
        <w:rPr>
          <w:rFonts w:ascii="Verdana" w:eastAsia="Times New Roman" w:hAnsi="Verdana" w:cs="Arial"/>
          <w:bCs/>
          <w:lang w:eastAsia="es-CO"/>
        </w:rPr>
        <w:lastRenderedPageBreak/>
        <w:t>deben interpretarse restrictivamente. En efecto, la Sala de Consulta y Servicio Civil del Consejo de Estado al analizar la referida ley, precisó lo siguiente:</w:t>
      </w:r>
    </w:p>
    <w:p w14:paraId="762CBB7C" w14:textId="77777777" w:rsidR="007A74DB" w:rsidRPr="003E638E" w:rsidRDefault="007A74DB" w:rsidP="007A74DB">
      <w:pPr>
        <w:spacing w:after="0"/>
        <w:ind w:firstLine="709"/>
        <w:jc w:val="both"/>
        <w:rPr>
          <w:rFonts w:ascii="Verdana" w:eastAsia="Times New Roman" w:hAnsi="Verdana" w:cs="Arial"/>
          <w:bCs/>
          <w:lang w:eastAsia="es-CO"/>
        </w:rPr>
      </w:pPr>
    </w:p>
    <w:p w14:paraId="2D2187FF" w14:textId="77777777" w:rsidR="007A74DB" w:rsidRDefault="007A74DB" w:rsidP="007A74DB">
      <w:pPr>
        <w:spacing w:after="120" w:line="240" w:lineRule="auto"/>
        <w:ind w:left="709" w:right="709"/>
        <w:jc w:val="both"/>
        <w:rPr>
          <w:rFonts w:ascii="Verdana" w:eastAsia="Times New Roman" w:hAnsi="Verdana" w:cs="Arial"/>
          <w:bCs/>
          <w:sz w:val="20"/>
          <w:szCs w:val="20"/>
          <w:lang w:eastAsia="es-CO"/>
        </w:rPr>
      </w:pPr>
      <w:r>
        <w:rPr>
          <w:rFonts w:ascii="Verdana" w:eastAsia="Times New Roman" w:hAnsi="Verdana" w:cs="Arial"/>
          <w:bCs/>
          <w:sz w:val="20"/>
          <w:szCs w:val="20"/>
          <w:lang w:eastAsia="es-CO"/>
        </w:rPr>
        <w:t xml:space="preserve">“(…) </w:t>
      </w:r>
      <w:r w:rsidRPr="003E638E">
        <w:rPr>
          <w:rFonts w:ascii="Verdana" w:eastAsia="Times New Roman" w:hAnsi="Verdana" w:cs="Arial"/>
          <w:bCs/>
          <w:sz w:val="20"/>
          <w:szCs w:val="20"/>
          <w:lang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3E638E">
        <w:rPr>
          <w:rFonts w:ascii="Verdana" w:eastAsia="Times New Roman" w:hAnsi="Verdana" w:cs="Arial"/>
          <w:bCs/>
          <w:sz w:val="20"/>
          <w:szCs w:val="20"/>
          <w:lang w:eastAsia="es-CO"/>
        </w:rPr>
        <w:t>legis</w:t>
      </w:r>
      <w:proofErr w:type="spellEnd"/>
      <w:r w:rsidRPr="003E638E">
        <w:rPr>
          <w:rFonts w:ascii="Verdana" w:eastAsia="Times New Roman" w:hAnsi="Verdana" w:cs="Arial"/>
          <w:bCs/>
          <w:sz w:val="20"/>
          <w:szCs w:val="20"/>
          <w:lang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7A6B1687" w14:textId="77777777" w:rsidR="007A74DB" w:rsidRPr="003E638E" w:rsidRDefault="007A74DB" w:rsidP="007A74DB">
      <w:pPr>
        <w:spacing w:after="120" w:line="240" w:lineRule="auto"/>
        <w:ind w:left="709" w:right="709"/>
        <w:jc w:val="both"/>
        <w:rPr>
          <w:rFonts w:ascii="Verdana" w:eastAsia="Times New Roman" w:hAnsi="Verdana" w:cs="Arial"/>
          <w:bCs/>
          <w:sz w:val="20"/>
          <w:szCs w:val="20"/>
          <w:lang w:eastAsia="es-CO"/>
        </w:rPr>
      </w:pPr>
      <w:r w:rsidRPr="003E638E">
        <w:rPr>
          <w:rFonts w:ascii="Verdana" w:eastAsia="Times New Roman" w:hAnsi="Verdana" w:cs="Arial"/>
          <w:bCs/>
          <w:sz w:val="20"/>
          <w:szCs w:val="20"/>
          <w:lang w:eastAsia="es-CO"/>
        </w:rPr>
        <w:t>La jurisprudencia de la Corte Constitucional</w:t>
      </w:r>
      <w:r w:rsidRPr="003E638E">
        <w:rPr>
          <w:rStyle w:val="Refdenotaalpie"/>
          <w:rFonts w:ascii="Verdana" w:eastAsia="Times New Roman" w:hAnsi="Verdana" w:cs="Arial"/>
          <w:bCs/>
          <w:sz w:val="20"/>
          <w:szCs w:val="20"/>
          <w:lang w:eastAsia="es-CO"/>
        </w:rPr>
        <w:footnoteReference w:id="4"/>
      </w:r>
      <w:r w:rsidRPr="003E638E">
        <w:rPr>
          <w:rFonts w:ascii="Verdana" w:eastAsia="Times New Roman" w:hAnsi="Verdana" w:cs="Arial"/>
          <w:bCs/>
          <w:sz w:val="20"/>
          <w:szCs w:val="20"/>
          <w:lang w:eastAsia="es-CO"/>
        </w:rPr>
        <w:t> y del Consejo de Estado</w:t>
      </w:r>
      <w:r w:rsidRPr="003E638E">
        <w:rPr>
          <w:rStyle w:val="Refdenotaalpie"/>
          <w:rFonts w:ascii="Verdana" w:eastAsia="Times New Roman" w:hAnsi="Verdana" w:cs="Arial"/>
          <w:bCs/>
          <w:sz w:val="20"/>
          <w:szCs w:val="20"/>
          <w:lang w:eastAsia="es-CO"/>
        </w:rPr>
        <w:footnoteReference w:id="5"/>
      </w:r>
      <w:r w:rsidRPr="003E638E">
        <w:rPr>
          <w:rFonts w:ascii="Verdana" w:eastAsia="Times New Roman" w:hAnsi="Verdana" w:cs="Arial"/>
          <w:bCs/>
          <w:sz w:val="20"/>
          <w:szCs w:val="20"/>
          <w:lang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Pr>
          <w:rFonts w:ascii="Verdana" w:eastAsia="Times New Roman" w:hAnsi="Verdana" w:cs="Arial"/>
          <w:bCs/>
          <w:sz w:val="20"/>
          <w:szCs w:val="20"/>
          <w:lang w:eastAsia="es-CO"/>
        </w:rPr>
        <w:t>”</w:t>
      </w:r>
      <w:r w:rsidRPr="003E638E">
        <w:rPr>
          <w:rStyle w:val="Refdenotaalpie"/>
          <w:rFonts w:ascii="Verdana" w:eastAsia="Times New Roman" w:hAnsi="Verdana" w:cs="Arial"/>
          <w:bCs/>
          <w:sz w:val="20"/>
          <w:szCs w:val="20"/>
          <w:lang w:eastAsia="es-CO"/>
        </w:rPr>
        <w:footnoteReference w:id="6"/>
      </w:r>
      <w:r w:rsidRPr="003E638E">
        <w:rPr>
          <w:rFonts w:ascii="Verdana" w:eastAsia="Times New Roman" w:hAnsi="Verdana" w:cs="Arial"/>
          <w:bCs/>
          <w:sz w:val="20"/>
          <w:szCs w:val="20"/>
          <w:lang w:eastAsia="es-CO"/>
        </w:rPr>
        <w:t>.</w:t>
      </w:r>
    </w:p>
    <w:p w14:paraId="794C3186" w14:textId="77777777" w:rsidR="007A74DB" w:rsidRPr="00990FC7" w:rsidRDefault="007A74DB" w:rsidP="007A74DB">
      <w:pPr>
        <w:spacing w:after="0" w:line="240" w:lineRule="auto"/>
        <w:ind w:right="709"/>
        <w:rPr>
          <w:rFonts w:ascii="Arial" w:eastAsia="Times New Roman" w:hAnsi="Arial" w:cs="Arial"/>
          <w:bCs/>
          <w:sz w:val="21"/>
          <w:szCs w:val="21"/>
          <w:lang w:eastAsia="es-CO"/>
        </w:rPr>
      </w:pPr>
    </w:p>
    <w:p w14:paraId="7B14E4E0" w14:textId="77777777" w:rsidR="007A74DB" w:rsidRPr="003E638E" w:rsidRDefault="007A74DB" w:rsidP="007A74DB">
      <w:pPr>
        <w:spacing w:after="120" w:line="276" w:lineRule="auto"/>
        <w:jc w:val="both"/>
        <w:rPr>
          <w:rFonts w:ascii="Verdana" w:eastAsia="Arial" w:hAnsi="Verdana" w:cs="Arial"/>
          <w:lang w:val="es-ES" w:eastAsia="es-ES" w:bidi="es-ES"/>
        </w:rPr>
      </w:pPr>
      <w:r w:rsidRPr="00990FC7">
        <w:rPr>
          <w:rFonts w:ascii="Arial" w:eastAsia="Times New Roman" w:hAnsi="Arial" w:cs="Arial"/>
          <w:bCs/>
          <w:lang w:eastAsia="es-CO"/>
        </w:rPr>
        <w:tab/>
      </w:r>
      <w:r w:rsidRPr="003E638E">
        <w:rPr>
          <w:rFonts w:ascii="Verdana" w:eastAsia="Times New Roman" w:hAnsi="Verdana" w:cs="Arial"/>
          <w:bCs/>
          <w:lang w:eastAsia="es-CO"/>
        </w:rPr>
        <w:t>De</w:t>
      </w:r>
      <w:r w:rsidRPr="003E638E">
        <w:rPr>
          <w:rFonts w:ascii="Verdana" w:eastAsia="Arial" w:hAnsi="Verdana" w:cs="Arial"/>
          <w:lang w:val="es-ES" w:eastAsia="es-ES" w:bidi="es-ES"/>
        </w:rPr>
        <w:t xml:space="preserve"> conformidad con lo anterior, </w:t>
      </w:r>
      <w:bookmarkStart w:id="4" w:name="_Hlk77236098"/>
      <w:r w:rsidRPr="003E638E">
        <w:rPr>
          <w:rFonts w:ascii="Verdana" w:eastAsia="Arial" w:hAnsi="Verdana" w:cs="Arial"/>
          <w:lang w:val="es-ES" w:eastAsia="es-ES" w:bidi="es-ES"/>
        </w:rPr>
        <w:t xml:space="preserve">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w:t>
      </w:r>
      <w:r w:rsidRPr="003E638E">
        <w:rPr>
          <w:rFonts w:ascii="Verdana" w:eastAsia="Arial" w:hAnsi="Verdana" w:cs="Arial"/>
          <w:lang w:val="es-ES" w:eastAsia="es-ES" w:bidi="es-ES"/>
        </w:rPr>
        <w:lastRenderedPageBreak/>
        <w:t>y las demás que se adelanten para la elección de los demás cargos de elección popular, tanto a nivel nacional como a nivel territorial.</w:t>
      </w:r>
      <w:bookmarkEnd w:id="4"/>
    </w:p>
    <w:p w14:paraId="6B9D67AC" w14:textId="77777777" w:rsidR="007A74DB" w:rsidRPr="00FC6F34" w:rsidRDefault="007A74DB" w:rsidP="007A74DB">
      <w:pPr>
        <w:spacing w:after="120" w:line="276" w:lineRule="auto"/>
        <w:ind w:firstLine="708"/>
        <w:jc w:val="both"/>
        <w:rPr>
          <w:rFonts w:ascii="Verdana" w:eastAsia="Calibri" w:hAnsi="Verdana" w:cs="Arial"/>
          <w:lang w:val="es-ES"/>
        </w:rPr>
      </w:pPr>
      <w:r w:rsidRPr="00FC6F34">
        <w:rPr>
          <w:rFonts w:ascii="Verdana" w:eastAsia="Calibri" w:hAnsi="Verdana" w:cs="Arial"/>
          <w:lang w:val="es-ES"/>
        </w:rPr>
        <w:t xml:space="preserve">Por un lado, el </w:t>
      </w:r>
      <w:r w:rsidRPr="00FC6F34">
        <w:rPr>
          <w:rFonts w:ascii="Verdana" w:eastAsia="Calibri" w:hAnsi="Verdana" w:cs="Arial"/>
          <w:i/>
          <w:iCs/>
          <w:lang w:val="es-ES"/>
        </w:rPr>
        <w:t xml:space="preserve">artículo 33 </w:t>
      </w:r>
      <w:r w:rsidRPr="00FC6F34">
        <w:rPr>
          <w:rFonts w:ascii="Verdana" w:eastAsia="Calibri" w:hAnsi="Verdana" w:cs="Arial"/>
          <w:lang w:val="es-ES"/>
        </w:rPr>
        <w:t xml:space="preserve">de la Ley 996 de 2005 prohíbe “[…] la contratación directa por parte de </w:t>
      </w:r>
      <w:r w:rsidRPr="00FC6F34">
        <w:rPr>
          <w:rFonts w:ascii="Verdana" w:eastAsia="Calibri" w:hAnsi="Verdana" w:cs="Arial"/>
          <w:i/>
          <w:iCs/>
          <w:lang w:val="es-ES"/>
        </w:rPr>
        <w:t>todos los entes del Estado</w:t>
      </w:r>
      <w:r w:rsidRPr="00FC6F34">
        <w:rPr>
          <w:rFonts w:ascii="Verdana" w:eastAsia="Calibri" w:hAnsi="Verdana" w:cs="Arial"/>
          <w:lang w:val="es-ES"/>
        </w:rPr>
        <w:t xml:space="preserve">” durante los cuatro (4) meses anteriores a las </w:t>
      </w:r>
      <w:r w:rsidRPr="00FC6F34">
        <w:rPr>
          <w:rFonts w:ascii="Verdana" w:eastAsia="Calibri" w:hAnsi="Verdana" w:cs="Arial"/>
          <w:i/>
          <w:iCs/>
          <w:lang w:val="es-ES"/>
        </w:rPr>
        <w:t>elecciones presidenciales</w:t>
      </w:r>
      <w:r w:rsidRPr="00FC6F34">
        <w:rPr>
          <w:rFonts w:ascii="Verdana" w:eastAsia="Calibri" w:hAnsi="Verdana" w:cs="Arial"/>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C6F34">
        <w:rPr>
          <w:rFonts w:ascii="Verdana" w:eastAsia="Calibri" w:hAnsi="Verdana" w:cs="Arial"/>
          <w:vertAlign w:val="superscript"/>
          <w:lang w:val="es-ES"/>
        </w:rPr>
        <w:footnoteReference w:id="7"/>
      </w:r>
      <w:r w:rsidRPr="00FC6F34">
        <w:rPr>
          <w:rFonts w:ascii="Verdana" w:eastAsia="Calibri" w:hAnsi="Verdana" w:cs="Arial"/>
          <w:lang w:val="es-ES"/>
        </w:rPr>
        <w:t>.</w:t>
      </w:r>
    </w:p>
    <w:p w14:paraId="109F2CE5" w14:textId="77777777" w:rsidR="007A74DB" w:rsidRPr="00FC6F34" w:rsidRDefault="007A74DB" w:rsidP="007A74DB">
      <w:pPr>
        <w:widowControl w:val="0"/>
        <w:autoSpaceDE w:val="0"/>
        <w:autoSpaceDN w:val="0"/>
        <w:spacing w:after="120" w:line="276" w:lineRule="auto"/>
        <w:ind w:right="113" w:firstLine="709"/>
        <w:jc w:val="both"/>
        <w:rPr>
          <w:rFonts w:ascii="Verdana" w:eastAsia="Arial" w:hAnsi="Verdana" w:cs="Arial"/>
          <w:lang w:val="es-ES" w:eastAsia="es-ES" w:bidi="es-ES"/>
        </w:rPr>
      </w:pPr>
      <w:r w:rsidRPr="00FC6F34">
        <w:rPr>
          <w:rFonts w:ascii="Verdana" w:eastAsia="Calibri" w:hAnsi="Verdana" w:cs="Arial"/>
          <w:lang w:val="es-ES"/>
        </w:rPr>
        <w:t xml:space="preserve">Por otro lado, </w:t>
      </w:r>
      <w:r w:rsidRPr="00FC6F34">
        <w:rPr>
          <w:rFonts w:ascii="Verdana" w:eastAsia="Calibri" w:hAnsi="Verdana" w:cs="Arial"/>
          <w:i/>
          <w:iCs/>
          <w:lang w:val="es-ES"/>
        </w:rPr>
        <w:t xml:space="preserve">el parágrafo del artículo 38 </w:t>
      </w:r>
      <w:r w:rsidRPr="00FC6F34">
        <w:rPr>
          <w:rFonts w:ascii="Verdana" w:eastAsia="Calibri" w:hAnsi="Verdana" w:cs="Arial"/>
          <w:lang w:val="es-ES"/>
        </w:rPr>
        <w:t xml:space="preserve">de la Ley 996 de 2005 prevé una restricción, aplicable respecto de </w:t>
      </w:r>
      <w:r w:rsidRPr="00FC6F34">
        <w:rPr>
          <w:rFonts w:ascii="Verdana" w:eastAsia="Calibri" w:hAnsi="Verdana" w:cs="Arial"/>
          <w:i/>
          <w:iCs/>
          <w:lang w:val="es-ES"/>
        </w:rPr>
        <w:t>cualquier tipo de contienda electoral</w:t>
      </w:r>
      <w:r w:rsidRPr="00FC6F34">
        <w:rPr>
          <w:rFonts w:ascii="Verdana" w:eastAsia="Calibri" w:hAnsi="Verdana" w:cs="Arial"/>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C6F34">
        <w:rPr>
          <w:rFonts w:ascii="Verdana" w:eastAsia="Calibri" w:hAnsi="Verdana" w:cs="Arial"/>
          <w:vertAlign w:val="superscript"/>
          <w:lang w:val="es-ES"/>
        </w:rPr>
        <w:footnoteReference w:id="8"/>
      </w:r>
      <w:r w:rsidRPr="00FC6F34">
        <w:rPr>
          <w:rFonts w:ascii="Verdana" w:eastAsia="Calibri" w:hAnsi="Verdana" w:cs="Arial"/>
          <w:lang w:val="es-ES"/>
        </w:rPr>
        <w:t>.</w:t>
      </w:r>
      <w:r w:rsidRPr="00FC6F34">
        <w:rPr>
          <w:rFonts w:ascii="Verdana" w:eastAsia="Arial" w:hAnsi="Verdana" w:cs="Arial"/>
          <w:lang w:val="es-ES" w:eastAsia="es-ES" w:bidi="es-ES"/>
        </w:rPr>
        <w:t xml:space="preserve"> </w:t>
      </w:r>
    </w:p>
    <w:p w14:paraId="458A06F6" w14:textId="77777777" w:rsidR="007A74DB" w:rsidRPr="00FC6F34" w:rsidRDefault="007A74DB" w:rsidP="007A74DB">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FC6F34">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señala:</w:t>
      </w:r>
    </w:p>
    <w:p w14:paraId="5B39E6EE" w14:textId="77777777" w:rsidR="007A74DB" w:rsidRPr="00FC6F34" w:rsidRDefault="007A74DB" w:rsidP="007A74DB">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575D10F3" w14:textId="77777777" w:rsidR="007A74DB" w:rsidRPr="00FC6F34" w:rsidRDefault="007A74DB" w:rsidP="007A74DB">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FC6F34">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w:t>
      </w:r>
      <w:r w:rsidRPr="00FC6F34">
        <w:rPr>
          <w:rFonts w:ascii="Verdana" w:eastAsia="Arial" w:hAnsi="Verdana" w:cs="Arial"/>
          <w:sz w:val="20"/>
          <w:szCs w:val="20"/>
          <w:lang w:val="es-ES" w:eastAsia="es-ES" w:bidi="es-ES"/>
        </w:rPr>
        <w:lastRenderedPageBreak/>
        <w:t xml:space="preserve">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FC6F34">
        <w:rPr>
          <w:rFonts w:ascii="Verdana" w:eastAsia="Arial" w:hAnsi="Verdana" w:cs="Arial"/>
          <w:sz w:val="20"/>
          <w:szCs w:val="20"/>
          <w:lang w:val="es-ES" w:eastAsia="es-ES" w:bidi="es-ES"/>
        </w:rPr>
        <w:t>Presidente</w:t>
      </w:r>
      <w:proofErr w:type="gramEnd"/>
      <w:r w:rsidRPr="00FC6F34">
        <w:rPr>
          <w:rFonts w:ascii="Verdana" w:eastAsia="Arial" w:hAnsi="Verdana" w:cs="Arial"/>
          <w:sz w:val="20"/>
          <w:szCs w:val="20"/>
          <w:lang w:val="es-ES" w:eastAsia="es-ES" w:bidi="es-ES"/>
        </w:rPr>
        <w:t xml:space="preserve"> de la República, a las autoridades territoriales allí mencionadas sólo se aplican las restricciones contenidas en el parágrafo del artículo 38”.</w:t>
      </w:r>
      <w:r w:rsidRPr="00FC6F34">
        <w:rPr>
          <w:rFonts w:ascii="Verdana" w:eastAsia="Arial" w:hAnsi="Verdana" w:cs="Arial"/>
          <w:sz w:val="20"/>
          <w:szCs w:val="20"/>
          <w:vertAlign w:val="superscript"/>
          <w:lang w:val="es-ES" w:eastAsia="es-ES" w:bidi="es-ES"/>
        </w:rPr>
        <w:footnoteReference w:id="9"/>
      </w:r>
    </w:p>
    <w:p w14:paraId="286027F9" w14:textId="77777777" w:rsidR="007A74DB" w:rsidRPr="00FC6F34" w:rsidRDefault="007A74DB" w:rsidP="007A74DB">
      <w:pPr>
        <w:widowControl w:val="0"/>
        <w:autoSpaceDE w:val="0"/>
        <w:autoSpaceDN w:val="0"/>
        <w:spacing w:after="0" w:line="276" w:lineRule="auto"/>
        <w:contextualSpacing/>
        <w:rPr>
          <w:rFonts w:ascii="Verdana" w:eastAsia="Arial" w:hAnsi="Verdana" w:cs="Arial"/>
          <w:lang w:val="es-ES" w:eastAsia="es-ES" w:bidi="es-ES"/>
        </w:rPr>
      </w:pPr>
    </w:p>
    <w:p w14:paraId="0BEA524D" w14:textId="77777777" w:rsidR="007A74DB" w:rsidRPr="00FC6F34" w:rsidRDefault="007A74DB" w:rsidP="007A74DB">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FC6F34">
        <w:rPr>
          <w:rFonts w:ascii="Verdana" w:eastAsia="Arial" w:hAnsi="Verdana" w:cs="Arial"/>
          <w:i/>
          <w:lang w:val="es-ES" w:eastAsia="es-ES" w:bidi="es-ES"/>
        </w:rPr>
        <w:t>En primer lugar</w:t>
      </w:r>
      <w:r w:rsidRPr="00FC6F34">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C6F34">
        <w:rPr>
          <w:rFonts w:ascii="Verdana" w:eastAsia="Arial" w:hAnsi="Verdana" w:cs="Arial"/>
          <w:i/>
          <w:lang w:val="es-ES" w:eastAsia="es-ES" w:bidi="es-ES"/>
        </w:rPr>
        <w:t>En segundo lugar</w:t>
      </w:r>
      <w:r w:rsidRPr="00FC6F34">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37641B75" w14:textId="77777777" w:rsidR="007A74DB" w:rsidRPr="00FC6F34" w:rsidRDefault="007A74DB" w:rsidP="007A74DB">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de la República, aplican las restricciones del artículo 33 con sus excepciones, así como las del parágrafo del artículo 38, a todos los entes del Estado. En cambio, tratándose de elecciones en general, excluyendo las correspondientes al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de la República, las </w:t>
      </w:r>
      <w:r w:rsidRPr="00FC6F34">
        <w:rPr>
          <w:rFonts w:ascii="Verdana" w:eastAsia="Arial" w:hAnsi="Verdana" w:cs="Arial"/>
          <w:lang w:val="es-ES" w:eastAsia="es-ES" w:bidi="es-ES"/>
        </w:rPr>
        <w:lastRenderedPageBreak/>
        <w:t>autoridades allí mencionadas sólo deben aplicar las restricciones contenidas en el parágrafo del artículo 38.</w:t>
      </w:r>
    </w:p>
    <w:p w14:paraId="167E15EC" w14:textId="77777777" w:rsidR="007A74DB" w:rsidRDefault="007A74DB" w:rsidP="007A74DB">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o el </w:t>
      </w:r>
      <w:proofErr w:type="gramStart"/>
      <w:r w:rsidRPr="00FC6F34">
        <w:rPr>
          <w:rFonts w:ascii="Verdana" w:eastAsia="Arial" w:hAnsi="Verdana" w:cs="Arial"/>
          <w:lang w:val="es-ES" w:eastAsia="es-ES" w:bidi="es-ES"/>
        </w:rPr>
        <w:t>Vicepresidente</w:t>
      </w:r>
      <w:proofErr w:type="gramEnd"/>
      <w:r w:rsidRPr="00FC6F34">
        <w:rPr>
          <w:rFonts w:ascii="Verdana" w:eastAsia="Arial" w:hAnsi="Verdana" w:cs="Arial"/>
          <w:lang w:val="es-ES" w:eastAsia="es-ES" w:bidi="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y el </w:t>
      </w:r>
      <w:proofErr w:type="gramStart"/>
      <w:r w:rsidRPr="00FC6F34">
        <w:rPr>
          <w:rFonts w:ascii="Verdana" w:eastAsia="Arial" w:hAnsi="Verdana" w:cs="Arial"/>
          <w:lang w:val="es-ES" w:eastAsia="es-ES" w:bidi="es-ES"/>
        </w:rPr>
        <w:t>Vicepresidente</w:t>
      </w:r>
      <w:proofErr w:type="gramEnd"/>
      <w:r w:rsidRPr="00FC6F34">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sidRPr="00FC6F34">
        <w:rPr>
          <w:rFonts w:ascii="Verdana" w:eastAsia="Arial" w:hAnsi="Verdana" w:cs="Arial"/>
          <w:lang w:val="es-ES" w:eastAsia="es-ES" w:bidi="es-ES"/>
        </w:rPr>
        <w:t>Vicepresidente</w:t>
      </w:r>
      <w:proofErr w:type="gramEnd"/>
      <w:r w:rsidRPr="00FC6F34">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7E1BBDF8" w14:textId="77777777" w:rsidR="007A74DB" w:rsidRDefault="007A74DB" w:rsidP="007A74DB">
      <w:pPr>
        <w:spacing w:after="0" w:line="276" w:lineRule="auto"/>
        <w:jc w:val="both"/>
        <w:rPr>
          <w:rFonts w:ascii="Verdana" w:hAnsi="Verdana" w:cs="Arial"/>
          <w:bCs/>
          <w:lang w:val="es-MX" w:eastAsia="es-CO"/>
        </w:rPr>
      </w:pPr>
      <w:proofErr w:type="spellStart"/>
      <w:r>
        <w:rPr>
          <w:rFonts w:ascii="Verdana" w:eastAsia="Arial" w:hAnsi="Verdana" w:cs="Arial"/>
          <w:lang w:val="es-ES" w:eastAsia="es-ES" w:bidi="es-ES"/>
        </w:rPr>
        <w:t>ii</w:t>
      </w:r>
      <w:proofErr w:type="spellEnd"/>
      <w:r>
        <w:rPr>
          <w:rFonts w:ascii="Verdana" w:eastAsia="Arial" w:hAnsi="Verdana" w:cs="Arial"/>
          <w:lang w:val="es-ES" w:eastAsia="es-ES" w:bidi="es-ES"/>
        </w:rPr>
        <w:t xml:space="preserve">. </w:t>
      </w:r>
      <w:r>
        <w:rPr>
          <w:rFonts w:ascii="Verdana" w:hAnsi="Verdana" w:cs="Arial"/>
          <w:bCs/>
          <w:lang w:val="es-MX" w:eastAsia="x-none"/>
        </w:rPr>
        <w:t xml:space="preserve">El ámbito material de la prohibición contenida en el artículo 33 de la ley 996 de 2005 está delimitado por la expresión </w:t>
      </w:r>
      <w:r>
        <w:rPr>
          <w:rFonts w:ascii="Verdana" w:eastAsia="Calibri" w:hAnsi="Verdana" w:cs="Arial"/>
          <w:bCs/>
          <w:sz w:val="20"/>
          <w:szCs w:val="20"/>
          <w:lang w:val="es-MX"/>
        </w:rPr>
        <w:t>“</w:t>
      </w:r>
      <w:r>
        <w:rPr>
          <w:rFonts w:ascii="Verdana" w:hAnsi="Verdana" w:cs="Arial"/>
          <w:bCs/>
          <w:lang w:val="es-MX" w:eastAsia="x-none"/>
        </w:rPr>
        <w:t>queda prohibida la contratación directa</w:t>
      </w:r>
      <w:r>
        <w:rPr>
          <w:rFonts w:ascii="Verdana" w:hAnsi="Verdana" w:cs="Arial"/>
          <w:sz w:val="20"/>
          <w:szCs w:val="20"/>
          <w:lang w:val="es-MX"/>
        </w:rPr>
        <w:t>”</w:t>
      </w:r>
      <w:r>
        <w:rPr>
          <w:rFonts w:ascii="Verdana" w:hAnsi="Verdana" w:cs="Arial"/>
          <w:bCs/>
          <w:lang w:val="es-MX" w:eastAsia="x-none"/>
        </w:rPr>
        <w:t xml:space="preserve">. </w:t>
      </w:r>
      <w:r>
        <w:rPr>
          <w:rFonts w:ascii="Verdana" w:hAnsi="Verdana" w:cs="Arial"/>
          <w:lang w:val="es-MX" w:eastAsia="es-CO"/>
        </w:rPr>
        <w:t xml:space="preserve"> A propósito de </w:t>
      </w:r>
      <w:r>
        <w:rPr>
          <w:rFonts w:ascii="Verdana" w:hAnsi="Verdana" w:cs="Arial"/>
          <w:lang w:eastAsia="es-CO"/>
        </w:rPr>
        <w:t>esta restricción de la Ley de Garantías Electorales, la Sala de Consulta y Servicio Civil del Consejo de Estado ha considerado que:</w:t>
      </w:r>
    </w:p>
    <w:p w14:paraId="0953DEFD" w14:textId="77777777" w:rsidR="007A74DB" w:rsidRDefault="007A74DB" w:rsidP="007A74DB">
      <w:pPr>
        <w:spacing w:after="0" w:line="276" w:lineRule="auto"/>
        <w:ind w:left="708" w:right="709"/>
        <w:jc w:val="both"/>
        <w:rPr>
          <w:rFonts w:ascii="Verdana" w:hAnsi="Verdana" w:cs="Arial"/>
          <w:lang w:val="es-MX"/>
        </w:rPr>
      </w:pPr>
    </w:p>
    <w:p w14:paraId="719E482E" w14:textId="77777777" w:rsidR="007A74DB" w:rsidRDefault="007A74DB" w:rsidP="007A74DB">
      <w:pPr>
        <w:spacing w:after="120"/>
        <w:ind w:left="709" w:right="709"/>
        <w:jc w:val="both"/>
        <w:rPr>
          <w:rFonts w:ascii="Verdana" w:hAnsi="Verdana" w:cs="Arial"/>
          <w:sz w:val="20"/>
          <w:szCs w:val="20"/>
          <w:lang w:val="es-MX"/>
        </w:rPr>
      </w:pPr>
      <w:r>
        <w:rPr>
          <w:rFonts w:ascii="Verdana" w:hAnsi="Verdana" w:cs="Arial"/>
          <w:sz w:val="18"/>
          <w:szCs w:val="18"/>
          <w:lang w:val="es-MX"/>
        </w:rPr>
        <w:t>“</w:t>
      </w:r>
      <w:r>
        <w:rPr>
          <w:rFonts w:ascii="Verdana"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Pr>
          <w:rFonts w:ascii="Verdana" w:hAnsi="Verdana" w:cs="Arial"/>
          <w:sz w:val="20"/>
          <w:szCs w:val="20"/>
          <w:vertAlign w:val="superscript"/>
          <w:lang w:eastAsia="es-CO"/>
        </w:rPr>
        <w:footnoteReference w:id="10"/>
      </w:r>
      <w:r>
        <w:rPr>
          <w:rFonts w:ascii="Verdana" w:hAnsi="Verdana" w:cs="Arial"/>
          <w:sz w:val="20"/>
          <w:szCs w:val="20"/>
          <w:lang w:val="es-MX"/>
        </w:rPr>
        <w:t>.</w:t>
      </w:r>
    </w:p>
    <w:p w14:paraId="6043F65C" w14:textId="77777777" w:rsidR="007A74DB" w:rsidRDefault="007A74DB" w:rsidP="007A74DB">
      <w:pPr>
        <w:spacing w:after="0"/>
        <w:ind w:left="708" w:right="709"/>
        <w:jc w:val="both"/>
        <w:rPr>
          <w:rFonts w:ascii="Verdana" w:hAnsi="Verdana" w:cs="Arial"/>
          <w:sz w:val="20"/>
          <w:szCs w:val="20"/>
          <w:lang w:val="es-MX"/>
        </w:rPr>
      </w:pPr>
      <w:r>
        <w:rPr>
          <w:rFonts w:ascii="Verdana" w:hAnsi="Verdana" w:cs="Arial"/>
          <w:sz w:val="20"/>
          <w:szCs w:val="20"/>
          <w:lang w:val="es-MX"/>
        </w:rPr>
        <w:t xml:space="preserve">Esta Sala ha entendido </w:t>
      </w:r>
      <w:proofErr w:type="gramStart"/>
      <w:r>
        <w:rPr>
          <w:rFonts w:ascii="Verdana" w:hAnsi="Verdana" w:cs="Arial"/>
          <w:sz w:val="20"/>
          <w:szCs w:val="20"/>
          <w:lang w:val="es-MX"/>
        </w:rPr>
        <w:t>que</w:t>
      </w:r>
      <w:proofErr w:type="gramEnd"/>
      <w:r>
        <w:rPr>
          <w:rFonts w:ascii="Verdana" w:hAnsi="Verdana" w:cs="Arial"/>
          <w:sz w:val="20"/>
          <w:szCs w:val="20"/>
          <w:lang w:val="es-MX"/>
        </w:rPr>
        <w:t xml:space="preserv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Pr>
          <w:rFonts w:ascii="Verdana" w:hAnsi="Verdana" w:cs="Arial"/>
          <w:sz w:val="20"/>
          <w:szCs w:val="20"/>
          <w:vertAlign w:val="superscript"/>
          <w:lang w:val="es-MX"/>
        </w:rPr>
        <w:footnoteReference w:id="11"/>
      </w:r>
      <w:r>
        <w:rPr>
          <w:rFonts w:ascii="Verdana" w:hAnsi="Verdana" w:cs="Arial"/>
          <w:sz w:val="20"/>
          <w:szCs w:val="20"/>
          <w:vertAlign w:val="superscript"/>
          <w:lang w:val="es-MX"/>
        </w:rPr>
        <w:t>.</w:t>
      </w:r>
      <w:r>
        <w:rPr>
          <w:rFonts w:ascii="Verdana" w:hAnsi="Verdana" w:cs="Arial"/>
          <w:sz w:val="20"/>
          <w:szCs w:val="20"/>
          <w:lang w:val="es-MX"/>
        </w:rPr>
        <w:t xml:space="preserve"> Por tanto, no son materia de la prohibición las demás </w:t>
      </w:r>
      <w:r>
        <w:rPr>
          <w:rFonts w:ascii="Verdana" w:hAnsi="Verdana" w:cs="Arial"/>
          <w:sz w:val="20"/>
          <w:szCs w:val="20"/>
          <w:lang w:val="es-MX"/>
        </w:rPr>
        <w:lastRenderedPageBreak/>
        <w:t>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hAnsi="Verdana" w:cs="Arial"/>
          <w:sz w:val="20"/>
          <w:szCs w:val="20"/>
          <w:vertAlign w:val="superscript"/>
          <w:lang w:eastAsia="es-CO"/>
        </w:rPr>
        <w:footnoteReference w:id="12"/>
      </w:r>
      <w:r>
        <w:rPr>
          <w:rFonts w:ascii="Verdana" w:hAnsi="Verdana" w:cs="Arial"/>
          <w:sz w:val="20"/>
          <w:szCs w:val="20"/>
          <w:lang w:val="es-MX"/>
        </w:rPr>
        <w:t>.</w:t>
      </w:r>
    </w:p>
    <w:p w14:paraId="2A4F05C2" w14:textId="77777777" w:rsidR="007A74DB" w:rsidRDefault="007A74DB" w:rsidP="007A74DB">
      <w:pPr>
        <w:shd w:val="clear" w:color="auto" w:fill="FFFFFF"/>
        <w:spacing w:after="0" w:line="276" w:lineRule="auto"/>
        <w:ind w:firstLine="709"/>
        <w:jc w:val="both"/>
        <w:rPr>
          <w:rFonts w:ascii="Verdana" w:hAnsi="Verdana" w:cs="Arial"/>
          <w:lang w:eastAsia="x-none"/>
        </w:rPr>
      </w:pPr>
    </w:p>
    <w:p w14:paraId="349CB141" w14:textId="77777777" w:rsidR="007A74DB" w:rsidRDefault="007A74DB" w:rsidP="007A74DB">
      <w:pPr>
        <w:spacing w:after="120" w:line="276" w:lineRule="auto"/>
        <w:ind w:firstLine="708"/>
        <w:jc w:val="both"/>
        <w:rPr>
          <w:rFonts w:ascii="Verdana" w:hAnsi="Verdana" w:cs="Arial"/>
          <w:bCs/>
          <w:lang w:eastAsia="x-none"/>
        </w:rPr>
      </w:pPr>
      <w:r>
        <w:rPr>
          <w:rFonts w:ascii="Verdana" w:hAnsi="Verdana" w:cs="Arial"/>
          <w:lang w:eastAsia="x-none"/>
        </w:rPr>
        <w:t xml:space="preserve">De acuerdo con el citado concepto, la prohibición del artículo 33 de la Ley de Garantías Electorales se refiere a </w:t>
      </w:r>
      <w:r>
        <w:rPr>
          <w:rFonts w:ascii="Verdana" w:hAnsi="Verdana" w:cs="Arial"/>
          <w:sz w:val="19"/>
          <w:szCs w:val="19"/>
          <w:lang w:eastAsia="en-GB"/>
        </w:rPr>
        <w:t>“</w:t>
      </w:r>
      <w:r>
        <w:rPr>
          <w:rFonts w:ascii="Verdana" w:hAnsi="Verdana" w:cs="Arial"/>
          <w:lang w:eastAsia="x-none"/>
        </w:rPr>
        <w:t>cualquier sistema que no implique convocatoria pública y posibilidad de pluralidad de oferentes</w:t>
      </w:r>
      <w:r>
        <w:rPr>
          <w:rFonts w:ascii="Verdana" w:hAnsi="Verdana" w:cs="Arial"/>
          <w:lang w:eastAsia="en-GB"/>
        </w:rPr>
        <w:t>”</w:t>
      </w:r>
      <w:r>
        <w:rPr>
          <w:rFonts w:ascii="Verdana" w:hAnsi="Verdana" w:cs="Arial"/>
          <w:lang w:eastAsia="x-none"/>
        </w:rPr>
        <w:t>, por lo que excluye las demás modalidades de contratación previstas en la Ley 1150 de 2007, es decir, la licitación pública, la selección abreviada y el concurso de méritos u otros previstos en normas especiales. Esta posición es congruente con la expedición de la Ley 1150 de 2007 que, entre otras reformas, introdujo la selección abreviada, rediseñó el concurso de méritos</w:t>
      </w:r>
      <w:r>
        <w:rPr>
          <w:rFonts w:ascii="Verdana" w:hAnsi="Verdana" w:cs="Arial"/>
          <w:vertAlign w:val="superscript"/>
          <w:lang w:val="en-GB" w:eastAsia="x-none"/>
        </w:rPr>
        <w:footnoteReference w:id="13"/>
      </w:r>
      <w:r>
        <w:rPr>
          <w:rFonts w:ascii="Verdana" w:hAnsi="Verdana" w:cs="Arial"/>
          <w:lang w:eastAsia="x-none"/>
        </w:rPr>
        <w:t xml:space="preserve"> y sistematizó las causales de contratación directa</w:t>
      </w:r>
      <w:r>
        <w:rPr>
          <w:rFonts w:ascii="Verdana" w:hAnsi="Verdana" w:cs="Arial"/>
          <w:vertAlign w:val="superscript"/>
          <w:lang w:val="en-GB" w:eastAsia="x-none"/>
        </w:rPr>
        <w:footnoteReference w:id="14"/>
      </w:r>
      <w:r>
        <w:rPr>
          <w:rFonts w:ascii="Verdana" w:hAnsi="Verdana" w:cs="Arial"/>
          <w:lang w:eastAsia="x-none"/>
        </w:rPr>
        <w:t xml:space="preserve">. </w:t>
      </w:r>
    </w:p>
    <w:p w14:paraId="7A48D2EA" w14:textId="77777777" w:rsidR="007A74DB" w:rsidRDefault="007A74DB" w:rsidP="007A74DB">
      <w:pPr>
        <w:spacing w:after="120" w:line="276" w:lineRule="auto"/>
        <w:ind w:firstLine="708"/>
        <w:jc w:val="both"/>
        <w:rPr>
          <w:rFonts w:ascii="Verdana" w:hAnsi="Verdana" w:cs="Arial"/>
          <w:lang w:val="es-MX" w:eastAsia="x-none"/>
        </w:rPr>
      </w:pPr>
      <w:r>
        <w:rPr>
          <w:rFonts w:ascii="Verdana" w:hAnsi="Verdana" w:cs="Arial"/>
          <w:lang w:eastAsia="x-none"/>
        </w:rPr>
        <w:t xml:space="preserve">De esta forma, con fundamento en la evolución de la normativa sobre la contratación pública, se ha depurado la noción de </w:t>
      </w:r>
      <w:r>
        <w:rPr>
          <w:rFonts w:ascii="Verdana" w:hAnsi="Verdana" w:cs="Arial"/>
          <w:sz w:val="19"/>
          <w:szCs w:val="19"/>
          <w:lang w:eastAsia="en-GB"/>
        </w:rPr>
        <w:t>“</w:t>
      </w:r>
      <w:r>
        <w:rPr>
          <w:rFonts w:ascii="Verdana" w:hAnsi="Verdana" w:cs="Arial"/>
          <w:lang w:eastAsia="x-none"/>
        </w:rPr>
        <w:t>contratación directa</w:t>
      </w:r>
      <w:r>
        <w:rPr>
          <w:rFonts w:ascii="Verdana" w:hAnsi="Verdana" w:cs="Arial"/>
          <w:lang w:eastAsia="en-GB"/>
        </w:rPr>
        <w:t>”</w:t>
      </w:r>
      <w:r>
        <w:rPr>
          <w:rFonts w:ascii="Verdana" w:hAnsi="Verdana" w:cs="Arial"/>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Pr>
          <w:rFonts w:ascii="Verdana" w:hAnsi="Verdana" w:cs="Arial"/>
          <w:vertAlign w:val="superscript"/>
          <w:lang w:val="en-GB" w:eastAsia="x-none"/>
        </w:rPr>
        <w:footnoteReference w:id="15"/>
      </w:r>
      <w:r>
        <w:rPr>
          <w:rFonts w:ascii="Verdana" w:hAnsi="Verdana" w:cs="Arial"/>
          <w:lang w:eastAsia="x-none"/>
        </w:rPr>
        <w:t>, han establecido sistemas de contratación que implican convocatoria pública y participación de varios oferentes</w:t>
      </w:r>
      <w:r>
        <w:rPr>
          <w:rFonts w:ascii="Verdana" w:hAnsi="Verdana" w:cs="Arial"/>
          <w:lang w:eastAsia="en-GB"/>
        </w:rPr>
        <w:t>”</w:t>
      </w:r>
      <w:r>
        <w:rPr>
          <w:rFonts w:ascii="Verdana" w:hAnsi="Verdana" w:cs="Arial"/>
          <w:lang w:eastAsia="x-none"/>
        </w:rPr>
        <w:t xml:space="preserve">. </w:t>
      </w:r>
    </w:p>
    <w:p w14:paraId="56D06613" w14:textId="77777777" w:rsidR="007A74DB" w:rsidRDefault="007A74DB" w:rsidP="007A74DB">
      <w:pPr>
        <w:spacing w:after="120" w:line="276" w:lineRule="auto"/>
        <w:ind w:firstLine="708"/>
        <w:jc w:val="both"/>
        <w:rPr>
          <w:rFonts w:ascii="Verdana" w:hAnsi="Verdana" w:cs="Arial"/>
          <w:bCs/>
          <w:lang w:val="es-MX" w:eastAsia="es-CO"/>
        </w:rPr>
      </w:pPr>
      <w:r>
        <w:rPr>
          <w:rFonts w:ascii="Verdana" w:hAnsi="Verdana" w:cs="Arial"/>
          <w:bCs/>
          <w:lang w:val="es-MX" w:eastAsia="x-none"/>
        </w:rPr>
        <w:t>E</w:t>
      </w:r>
      <w:r>
        <w:rPr>
          <w:rFonts w:ascii="Verdana" w:hAnsi="Verdana" w:cs="Arial"/>
          <w:lang w:eastAsia="x-none"/>
        </w:rPr>
        <w:t xml:space="preserv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w:t>
      </w:r>
      <w:r>
        <w:rPr>
          <w:rFonts w:ascii="Verdana" w:hAnsi="Verdana" w:cs="Arial"/>
          <w:lang w:eastAsia="x-none"/>
        </w:rPr>
        <w:lastRenderedPageBreak/>
        <w:t>inscribirse en forma previa se haga de manera pública, y que se permita la participación de una pluralidad de oferentes</w:t>
      </w:r>
      <w:r>
        <w:rPr>
          <w:rFonts w:ascii="Verdana" w:hAnsi="Verdana" w:cs="Arial"/>
          <w:vertAlign w:val="superscript"/>
          <w:lang w:eastAsia="x-none"/>
        </w:rPr>
        <w:footnoteReference w:id="16"/>
      </w:r>
      <w:r>
        <w:rPr>
          <w:rFonts w:ascii="Verdana" w:hAnsi="Verdana" w:cs="Arial"/>
          <w:lang w:eastAsia="x-none"/>
        </w:rPr>
        <w:t xml:space="preserve">. </w:t>
      </w:r>
    </w:p>
    <w:p w14:paraId="13E8C58A" w14:textId="77777777" w:rsidR="007A74DB" w:rsidRDefault="007A74DB" w:rsidP="007A74DB">
      <w:pPr>
        <w:spacing w:after="120" w:line="276" w:lineRule="auto"/>
        <w:ind w:firstLine="708"/>
        <w:jc w:val="both"/>
        <w:rPr>
          <w:rFonts w:ascii="Verdana" w:hAnsi="Verdana" w:cs="Arial"/>
          <w:bCs/>
          <w:lang w:val="es-MX" w:eastAsia="es-CO"/>
        </w:rPr>
      </w:pPr>
      <w:r>
        <w:rPr>
          <w:rFonts w:ascii="Verdana" w:hAnsi="Verdana" w:cs="Arial"/>
          <w:bCs/>
          <w:lang w:val="es-MX" w:eastAsia="es-CO"/>
        </w:rPr>
        <w:t>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63EF026B" w14:textId="77777777" w:rsidR="007A74DB" w:rsidRDefault="007A74DB" w:rsidP="007A74DB">
      <w:pPr>
        <w:spacing w:after="120" w:line="276" w:lineRule="auto"/>
        <w:ind w:firstLine="708"/>
        <w:jc w:val="both"/>
        <w:rPr>
          <w:rFonts w:ascii="Verdana" w:hAnsi="Verdana" w:cs="Arial"/>
          <w:bCs/>
          <w:lang w:val="es-MX" w:eastAsia="x-none"/>
        </w:rPr>
      </w:pPr>
      <w:r>
        <w:rPr>
          <w:rFonts w:ascii="Verdana" w:hAnsi="Verdana" w:cs="Arial"/>
          <w:bCs/>
          <w:lang w:val="es-MX"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Pr>
          <w:rFonts w:ascii="Verdana" w:hAnsi="Verdana" w:cs="Arial"/>
          <w:vertAlign w:val="superscript"/>
          <w:lang w:eastAsia="x-none"/>
        </w:rPr>
        <w:footnoteReference w:id="17"/>
      </w:r>
      <w:r>
        <w:rPr>
          <w:rFonts w:ascii="Verdana" w:hAnsi="Verdana" w:cs="Arial"/>
          <w:bCs/>
          <w:lang w:val="es-MX" w:eastAsia="x-none"/>
        </w:rPr>
        <w:t>.</w:t>
      </w:r>
      <w:r>
        <w:rPr>
          <w:rFonts w:ascii="Verdana" w:hAnsi="Verdana" w:cs="Arial"/>
          <w:vertAlign w:val="superscript"/>
          <w:lang w:val="es-MX" w:eastAsia="x-none"/>
        </w:rPr>
        <w:t xml:space="preserve"> </w:t>
      </w:r>
    </w:p>
    <w:p w14:paraId="633CA10E" w14:textId="77777777" w:rsidR="007A74DB" w:rsidRDefault="007A74DB" w:rsidP="007A74DB">
      <w:pPr>
        <w:spacing w:after="120" w:line="276" w:lineRule="auto"/>
        <w:ind w:firstLine="708"/>
        <w:jc w:val="both"/>
        <w:rPr>
          <w:rFonts w:ascii="Verdana" w:hAnsi="Verdana" w:cs="Arial"/>
          <w:lang w:eastAsia="x-none"/>
        </w:rPr>
      </w:pPr>
      <w:r>
        <w:rPr>
          <w:rFonts w:ascii="Verdana" w:hAnsi="Verdana" w:cs="Arial"/>
          <w:bCs/>
          <w:lang w:val="es-MX" w:eastAsia="x-none"/>
        </w:rPr>
        <w:t xml:space="preserve">De lo anterior se desprende que la restricción aplica, sin perjuicio de las excepciones establecidas en la misma ley, para </w:t>
      </w:r>
      <w:bookmarkStart w:id="5" w:name="_Hlk215951696"/>
      <w:r>
        <w:rPr>
          <w:rFonts w:ascii="Verdana" w:hAnsi="Verdana" w:cs="Arial"/>
          <w:bCs/>
          <w:lang w:val="es-MX" w:eastAsia="x-none"/>
        </w:rPr>
        <w:t>celebrar cualquier contrato de forma directa</w:t>
      </w:r>
      <w:bookmarkEnd w:id="5"/>
      <w:r>
        <w:rPr>
          <w:rFonts w:ascii="Verdana" w:hAnsi="Verdana" w:cs="Arial"/>
          <w:bCs/>
          <w:lang w:val="es-MX" w:eastAsia="x-none"/>
        </w:rPr>
        <w:t>, esto es, sin que exista un proceso abierto y competitivo.</w:t>
      </w:r>
      <w:r>
        <w:rPr>
          <w:rFonts w:ascii="Verdana" w:hAnsi="Verdana" w:cs="Arial"/>
          <w:lang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la disposición pueden las entidades públicas seguir contratando bajo estos sistemas.</w:t>
      </w:r>
    </w:p>
    <w:p w14:paraId="27FB7C4A" w14:textId="77777777" w:rsidR="007A74DB" w:rsidRDefault="007A74DB" w:rsidP="007A74DB">
      <w:pPr>
        <w:spacing w:after="120" w:line="276" w:lineRule="auto"/>
        <w:ind w:firstLine="708"/>
        <w:jc w:val="both"/>
        <w:rPr>
          <w:rFonts w:ascii="Verdana" w:hAnsi="Verdana" w:cs="Arial"/>
          <w:bCs/>
          <w:lang w:val="es-MX" w:eastAsia="x-none"/>
        </w:rPr>
      </w:pPr>
      <w:bookmarkStart w:id="6" w:name="_Hlk77237094"/>
      <w:r>
        <w:rPr>
          <w:rFonts w:ascii="Verdana" w:hAnsi="Verdana" w:cs="Arial"/>
          <w:bCs/>
          <w:lang w:val="es-MX" w:eastAsia="es-CO"/>
        </w:rPr>
        <w:t xml:space="preserve">Como en otras oportunidades lo ha manifestado esta Agencia, las prórrogas, modificaciones o adiciones de los contratos suscritos antes de la </w:t>
      </w:r>
      <w:proofErr w:type="gramStart"/>
      <w:r>
        <w:rPr>
          <w:rFonts w:ascii="Verdana" w:hAnsi="Verdana" w:cs="Arial"/>
          <w:bCs/>
          <w:lang w:val="es-MX" w:eastAsia="es-CO"/>
        </w:rPr>
        <w:t>entrada en vigencia</w:t>
      </w:r>
      <w:proofErr w:type="gramEnd"/>
      <w:r>
        <w:rPr>
          <w:rFonts w:ascii="Verdana" w:hAnsi="Verdana" w:cs="Arial"/>
          <w:bCs/>
          <w:lang w:val="es-MX" w:eastAsia="es-CO"/>
        </w:rPr>
        <w:t xml:space="preserve"> de las prohibiciones anotadas, así como la cesión de </w:t>
      </w:r>
      <w:proofErr w:type="gramStart"/>
      <w:r>
        <w:rPr>
          <w:rFonts w:ascii="Verdana" w:hAnsi="Verdana" w:cs="Arial"/>
          <w:bCs/>
          <w:lang w:val="es-MX" w:eastAsia="es-CO"/>
        </w:rPr>
        <w:t>los mismos</w:t>
      </w:r>
      <w:proofErr w:type="gramEnd"/>
      <w:r>
        <w:rPr>
          <w:rFonts w:ascii="Verdana"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bookmarkEnd w:id="6"/>
    </w:p>
    <w:p w14:paraId="75DBF36E" w14:textId="77777777" w:rsidR="007A74DB" w:rsidRDefault="007A74DB" w:rsidP="007A74DB">
      <w:pPr>
        <w:spacing w:after="120" w:line="276" w:lineRule="auto"/>
        <w:ind w:firstLine="708"/>
        <w:jc w:val="both"/>
        <w:rPr>
          <w:rFonts w:ascii="Verdana" w:hAnsi="Verdana" w:cs="Arial"/>
          <w:bCs/>
          <w:lang w:val="es-MX" w:eastAsia="es-CO"/>
        </w:rPr>
      </w:pPr>
      <w:r>
        <w:rPr>
          <w:rFonts w:ascii="Verdana" w:hAnsi="Verdana" w:cs="Arial"/>
          <w:bCs/>
          <w:lang w:val="es-MX" w:eastAsia="x-none"/>
        </w:rPr>
        <w:t xml:space="preserve">De otro lado, las excepciones a la restricción prevista en la Ley de Garantías, con fundamento en las cuales podrán las entidades públicas adelantar </w:t>
      </w:r>
      <w:r>
        <w:rPr>
          <w:rFonts w:ascii="Verdana" w:hAnsi="Verdana" w:cs="Arial"/>
          <w:bCs/>
          <w:lang w:val="es-MX" w:eastAsia="x-none"/>
        </w:rPr>
        <w:lastRenderedPageBreak/>
        <w:t xml:space="preserve">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Pr>
          <w:rFonts w:ascii="Verdana" w:hAnsi="Verdana" w:cs="Arial"/>
          <w:bCs/>
          <w:lang w:val="es-MX" w:eastAsia="x-none"/>
        </w:rPr>
        <w:t>ii</w:t>
      </w:r>
      <w:proofErr w:type="spellEnd"/>
      <w:r>
        <w:rPr>
          <w:rFonts w:ascii="Verdana" w:hAnsi="Verdana" w:cs="Arial"/>
          <w:bCs/>
          <w:lang w:val="es-MX" w:eastAsia="x-none"/>
        </w:rPr>
        <w:t xml:space="preserve">) los contratos de crédito público; </w:t>
      </w:r>
      <w:proofErr w:type="spellStart"/>
      <w:r>
        <w:rPr>
          <w:rFonts w:ascii="Verdana" w:hAnsi="Verdana" w:cs="Arial"/>
          <w:bCs/>
          <w:lang w:val="es-MX" w:eastAsia="x-none"/>
        </w:rPr>
        <w:t>iii</w:t>
      </w:r>
      <w:proofErr w:type="spellEnd"/>
      <w:r>
        <w:rPr>
          <w:rFonts w:ascii="Verdana" w:hAnsi="Verdana" w:cs="Arial"/>
          <w:bCs/>
          <w:lang w:val="es-MX" w:eastAsia="x-none"/>
        </w:rPr>
        <w:t xml:space="preserve">) los requeridos para cubrir las emergencias educativas, sanitarias y desastres; </w:t>
      </w:r>
      <w:proofErr w:type="spellStart"/>
      <w:r>
        <w:rPr>
          <w:rFonts w:ascii="Verdana" w:hAnsi="Verdana" w:cs="Arial"/>
          <w:bCs/>
          <w:lang w:val="es-MX" w:eastAsia="x-none"/>
        </w:rPr>
        <w:t>iv</w:t>
      </w:r>
      <w:proofErr w:type="spellEnd"/>
      <w:r>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Pr>
          <w:rFonts w:ascii="Verdana" w:hAnsi="Verdana" w:cs="Arial"/>
          <w:bCs/>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1216A6EB" w14:textId="77777777" w:rsidR="007A74DB" w:rsidRDefault="007A74DB" w:rsidP="007A74DB">
      <w:pPr>
        <w:spacing w:after="120" w:line="276" w:lineRule="auto"/>
        <w:ind w:firstLine="709"/>
        <w:jc w:val="both"/>
        <w:rPr>
          <w:rFonts w:ascii="Verdana" w:hAnsi="Verdana" w:cs="Arial"/>
          <w:bCs/>
          <w:lang w:val="es-MX" w:eastAsia="x-none"/>
        </w:rPr>
      </w:pPr>
      <w:r>
        <w:rPr>
          <w:rFonts w:ascii="Verdana" w:hAnsi="Verdana" w:cs="Arial"/>
          <w:bCs/>
          <w:lang w:val="es-MX" w:eastAsia="x-none"/>
        </w:rPr>
        <w:t>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Pr>
          <w:rFonts w:ascii="Verdana" w:hAnsi="Verdana" w:cs="Arial"/>
          <w:vertAlign w:val="superscript"/>
          <w:lang w:val="es-MX"/>
        </w:rPr>
        <w:footnoteReference w:id="18"/>
      </w:r>
      <w:r>
        <w:rPr>
          <w:rFonts w:ascii="Verdana"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0A0E44D7" w14:textId="77777777" w:rsidR="007A74DB" w:rsidRDefault="007A74DB" w:rsidP="007A74DB">
      <w:pPr>
        <w:spacing w:after="0" w:line="276" w:lineRule="auto"/>
        <w:ind w:firstLine="709"/>
        <w:jc w:val="both"/>
        <w:rPr>
          <w:rFonts w:ascii="Verdana" w:hAnsi="Verdana" w:cs="Arial"/>
          <w:bCs/>
          <w:lang w:val="es-MX" w:eastAsia="x-none"/>
        </w:rPr>
      </w:pPr>
      <w:r>
        <w:rPr>
          <w:rFonts w:ascii="Verdana" w:hAnsi="Verdana" w:cs="Arial"/>
          <w:bCs/>
          <w:lang w:val="es-MX" w:eastAsia="x-none"/>
        </w:rPr>
        <w:t>Respecto de los sujetos destinatarios, el artículo 33 de la Ley 996 de 2005 señala expresamente que son “todos los entes del Estado”, expresión que contempla a los diferentes organismos o entidades autorizadas por la ley para suscribir contratos.</w:t>
      </w:r>
      <w:r>
        <w:rPr>
          <w:rFonts w:ascii="Verdana" w:hAnsi="Verdana" w:cs="Arial"/>
          <w:lang w:val="es-MX"/>
        </w:rPr>
        <w:t xml:space="preserve"> </w:t>
      </w:r>
      <w:r>
        <w:rPr>
          <w:rFonts w:ascii="Verdana" w:hAnsi="Verdana" w:cs="Arial"/>
          <w:bCs/>
          <w:lang w:val="es-MX" w:eastAsia="x-none"/>
        </w:rPr>
        <w:t>En efecto, tal como lo ha sostenido el Consejo de Estado, el vocablo “todos” utilizado por el legislador comprende</w:t>
      </w:r>
      <w:r>
        <w:rPr>
          <w:rFonts w:ascii="Verdana" w:hAnsi="Verdana" w:cs="Arial"/>
          <w:lang w:val="es-MX"/>
        </w:rPr>
        <w:t xml:space="preserve"> </w:t>
      </w:r>
      <w:r>
        <w:rPr>
          <w:rFonts w:ascii="Verdana"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w:t>
      </w:r>
      <w:r>
        <w:rPr>
          <w:rFonts w:ascii="Verdana" w:hAnsi="Verdana" w:cs="Arial"/>
          <w:bCs/>
          <w:lang w:val="es-MX" w:eastAsia="x-none"/>
        </w:rPr>
        <w:lastRenderedPageBreak/>
        <w:t xml:space="preserve">de la Administración Pública. El Consejo de Estado, en Concepto con radicado 1727 de fecha 20 de febrero de 2006, consideró que: </w:t>
      </w:r>
    </w:p>
    <w:p w14:paraId="607399CF" w14:textId="77777777" w:rsidR="007A74DB" w:rsidRDefault="007A74DB" w:rsidP="007A74DB">
      <w:pPr>
        <w:spacing w:after="0" w:line="276" w:lineRule="auto"/>
        <w:ind w:firstLine="708"/>
        <w:jc w:val="both"/>
        <w:rPr>
          <w:rFonts w:ascii="Verdana" w:hAnsi="Verdana" w:cs="Arial"/>
          <w:bCs/>
          <w:lang w:val="es-MX" w:eastAsia="x-none"/>
        </w:rPr>
      </w:pPr>
    </w:p>
    <w:p w14:paraId="4DE092C2" w14:textId="77777777" w:rsidR="007A74DB" w:rsidRDefault="007A74DB" w:rsidP="007A74DB">
      <w:pPr>
        <w:spacing w:after="0" w:line="240" w:lineRule="auto"/>
        <w:ind w:left="708" w:right="709"/>
        <w:jc w:val="both"/>
        <w:rPr>
          <w:rFonts w:ascii="Verdana" w:hAnsi="Verdana" w:cs="Arial"/>
          <w:bCs/>
          <w:sz w:val="20"/>
          <w:szCs w:val="20"/>
          <w:lang w:val="es-MX" w:eastAsia="es-CO"/>
        </w:rPr>
      </w:pPr>
      <w:r>
        <w:rPr>
          <w:rFonts w:ascii="Verdana" w:hAnsi="Verdana" w:cs="Arial"/>
          <w:bCs/>
          <w:sz w:val="20"/>
          <w:szCs w:val="20"/>
          <w:lang w:val="es-MX" w:eastAsia="x-none"/>
        </w:rPr>
        <w:t xml:space="preserve">“El artículo 33 de la ley 996 de 2005, </w:t>
      </w:r>
      <w:bookmarkStart w:id="7" w:name="_Hlk75787147"/>
      <w:r>
        <w:rPr>
          <w:rFonts w:ascii="Verdana" w:hAnsi="Verdana" w:cs="Arial"/>
          <w:bCs/>
          <w:sz w:val="20"/>
          <w:szCs w:val="20"/>
          <w:lang w:val="es-MX" w:eastAsia="x-none"/>
        </w:rPr>
        <w:t>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Pr>
          <w:rFonts w:ascii="Verdana" w:hAnsi="Verdana" w:cs="Arial"/>
          <w:bCs/>
          <w:sz w:val="20"/>
          <w:szCs w:val="20"/>
          <w:vertAlign w:val="superscript"/>
          <w:lang w:val="es-MX" w:eastAsia="x-none"/>
        </w:rPr>
        <w:footnoteReference w:id="19"/>
      </w:r>
      <w:r>
        <w:rPr>
          <w:rFonts w:ascii="Verdana" w:hAnsi="Verdana" w:cs="Arial"/>
          <w:bCs/>
          <w:sz w:val="20"/>
          <w:szCs w:val="20"/>
          <w:lang w:val="es-MX" w:eastAsia="x-none"/>
        </w:rPr>
        <w:t>.</w:t>
      </w:r>
      <w:r>
        <w:rPr>
          <w:rFonts w:ascii="Verdana" w:hAnsi="Verdana" w:cs="Arial"/>
          <w:bCs/>
          <w:sz w:val="20"/>
          <w:szCs w:val="20"/>
          <w:lang w:val="es-MX" w:eastAsia="es-CO"/>
        </w:rPr>
        <w:t xml:space="preserve"> </w:t>
      </w:r>
    </w:p>
    <w:p w14:paraId="3B6B0048" w14:textId="77777777" w:rsidR="007A74DB" w:rsidRDefault="007A74DB" w:rsidP="007A74DB">
      <w:pPr>
        <w:spacing w:after="0" w:line="276" w:lineRule="auto"/>
        <w:ind w:firstLine="708"/>
        <w:jc w:val="both"/>
        <w:rPr>
          <w:rFonts w:ascii="Verdana" w:hAnsi="Verdana" w:cs="Arial"/>
          <w:bCs/>
          <w:lang w:val="es-MX" w:eastAsia="es-CO"/>
        </w:rPr>
      </w:pPr>
    </w:p>
    <w:p w14:paraId="12F6A1E6" w14:textId="77777777" w:rsidR="007A74DB" w:rsidRDefault="007A74DB" w:rsidP="007A74DB">
      <w:pPr>
        <w:spacing w:after="0" w:line="276" w:lineRule="auto"/>
        <w:ind w:firstLine="708"/>
        <w:jc w:val="both"/>
        <w:rPr>
          <w:rFonts w:ascii="Verdana" w:hAnsi="Verdana" w:cs="Arial"/>
          <w:lang w:val="es-MX"/>
        </w:rPr>
      </w:pPr>
      <w:r>
        <w:rPr>
          <w:rFonts w:ascii="Verdana" w:hAnsi="Verdana" w:cs="Arial"/>
          <w:bCs/>
          <w:lang w:val="es-MX" w:eastAsia="x-none"/>
        </w:rPr>
        <w:t>De igual forma, en Concepto con radicado 1738 de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bookmarkStart w:id="8" w:name="_Hlk75758868"/>
      <w:bookmarkStart w:id="9" w:name="_Hlk75741220"/>
      <w:r>
        <w:rPr>
          <w:rFonts w:ascii="Verdana" w:hAnsi="Verdana" w:cs="Arial"/>
          <w:vertAlign w:val="superscript"/>
          <w:lang w:val="es-MX"/>
        </w:rPr>
        <w:footnoteReference w:id="20"/>
      </w:r>
      <w:bookmarkEnd w:id="8"/>
      <w:bookmarkEnd w:id="9"/>
      <w:r>
        <w:rPr>
          <w:rFonts w:ascii="Verdana" w:hAnsi="Verdana" w:cs="Arial"/>
          <w:bCs/>
          <w:lang w:val="es-MX" w:eastAsia="x-none"/>
        </w:rPr>
        <w:t>.</w:t>
      </w:r>
      <w:r>
        <w:rPr>
          <w:rFonts w:ascii="Verdana" w:hAnsi="Verdana" w:cs="Arial"/>
          <w:lang w:val="es-MX"/>
        </w:rPr>
        <w:t xml:space="preserve"> Sin embargo, debe precisarse el siguiente aspecto que distinguió la Sala de Consulta y Servicio Civil:</w:t>
      </w:r>
    </w:p>
    <w:p w14:paraId="1AADC2EF" w14:textId="77777777" w:rsidR="007A74DB" w:rsidRDefault="007A74DB" w:rsidP="007A74DB">
      <w:pPr>
        <w:spacing w:after="0" w:line="276" w:lineRule="auto"/>
        <w:jc w:val="both"/>
        <w:rPr>
          <w:rFonts w:ascii="Verdana" w:hAnsi="Verdana" w:cs="Arial"/>
          <w:lang w:val="es-MX"/>
        </w:rPr>
      </w:pPr>
    </w:p>
    <w:p w14:paraId="171BFE27" w14:textId="77777777" w:rsidR="007A74DB" w:rsidRDefault="007A74DB" w:rsidP="007A74DB">
      <w:pPr>
        <w:spacing w:after="0" w:line="240" w:lineRule="auto"/>
        <w:ind w:left="708" w:right="709"/>
        <w:jc w:val="both"/>
        <w:rPr>
          <w:rFonts w:ascii="Verdana" w:hAnsi="Verdana" w:cs="Arial"/>
          <w:sz w:val="20"/>
          <w:szCs w:val="20"/>
          <w:lang w:val="es-MX"/>
        </w:rPr>
      </w:pPr>
      <w:bookmarkStart w:id="11" w:name="_Hlk75811446"/>
      <w:r>
        <w:rPr>
          <w:rFonts w:ascii="Verdana" w:hAnsi="Verdana" w:cs="Arial"/>
          <w:sz w:val="20"/>
          <w:szCs w:val="20"/>
          <w:lang w:val="es-MX"/>
        </w:rPr>
        <w:t xml:space="preserve">“En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w:t>
      </w:r>
      <w:r>
        <w:rPr>
          <w:rFonts w:ascii="Verdana" w:hAnsi="Verdana" w:cs="Arial"/>
          <w:sz w:val="20"/>
          <w:szCs w:val="20"/>
          <w:lang w:val="es-MX"/>
        </w:rPr>
        <w:lastRenderedPageBreak/>
        <w:t>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bookmarkEnd w:id="11"/>
      <w:r>
        <w:rPr>
          <w:rFonts w:ascii="Verdana" w:hAnsi="Verdana" w:cs="Arial"/>
          <w:sz w:val="20"/>
          <w:szCs w:val="20"/>
          <w:lang w:val="es-MX"/>
        </w:rPr>
        <w:t>”</w:t>
      </w:r>
      <w:r>
        <w:rPr>
          <w:vertAlign w:val="superscript"/>
        </w:rPr>
        <w:footnoteReference w:id="21"/>
      </w:r>
      <w:r>
        <w:rPr>
          <w:rFonts w:ascii="Verdana" w:hAnsi="Verdana" w:cs="Arial"/>
          <w:bCs/>
          <w:sz w:val="20"/>
          <w:szCs w:val="20"/>
          <w:lang w:val="es-MX" w:eastAsia="x-none"/>
        </w:rPr>
        <w:t>.</w:t>
      </w:r>
    </w:p>
    <w:p w14:paraId="27F1E1E8" w14:textId="77777777" w:rsidR="007A74DB" w:rsidRDefault="007A74DB" w:rsidP="007A74DB">
      <w:pPr>
        <w:spacing w:after="0" w:line="276" w:lineRule="auto"/>
        <w:jc w:val="both"/>
        <w:rPr>
          <w:rFonts w:ascii="Verdana" w:hAnsi="Verdana" w:cs="Arial"/>
          <w:lang w:val="es-MX"/>
        </w:rPr>
      </w:pPr>
    </w:p>
    <w:p w14:paraId="05743C8E" w14:textId="77777777" w:rsidR="007A74DB" w:rsidRDefault="007A74DB" w:rsidP="007A74DB">
      <w:pPr>
        <w:spacing w:after="120" w:line="276" w:lineRule="auto"/>
        <w:ind w:firstLine="709"/>
        <w:jc w:val="both"/>
        <w:rPr>
          <w:rFonts w:ascii="Verdana" w:hAnsi="Verdana" w:cs="Arial"/>
          <w:bCs/>
          <w:lang w:val="es-MX" w:eastAsia="x-none"/>
        </w:rPr>
      </w:pPr>
      <w:r>
        <w:rPr>
          <w:rFonts w:ascii="Verdana" w:hAnsi="Verdana" w:cs="Arial"/>
          <w:lang w:val="es-MX"/>
        </w:rPr>
        <w:t>Aplicando este razonamiento,</w:t>
      </w:r>
      <w:bookmarkStart w:id="12" w:name="_Hlk75811096"/>
      <w:r>
        <w:rPr>
          <w:rFonts w:ascii="Verdana" w:hAnsi="Verdana" w:cs="Arial"/>
          <w:lang w:val="es-MX"/>
        </w:rPr>
        <w:t xml:space="preserve"> se tiene que las empresas industriales y comerciales del estado y a las empresas de servicios públicos oficiales y mixtas no pueden adquirir los suministros de bienes y servicios necesarios para la realización de su actividad por contratación directa sino por mecanismos competitivos que impliquen convocatoria pública y la posibilidad de pluralidad de oferentes, pero, “es obvio que si una de estas entidades va a prestar un servicio a un particular, lo puede hacer, pues estos se ofrecen a toda la comunidad en condiciones de igualdad. Si se supusiera que está prohibida su contratación directa, significaría la parálisis de tal actividad de interés público, lo que de ninguna manera es lo querido por la ley 996 de 2005</w:t>
      </w:r>
      <w:bookmarkEnd w:id="12"/>
      <w:r>
        <w:rPr>
          <w:rFonts w:ascii="Verdana" w:hAnsi="Verdana" w:cs="Arial"/>
          <w:lang w:val="es-MX"/>
        </w:rPr>
        <w:t>”</w:t>
      </w:r>
      <w:r w:rsidRPr="00C173AD">
        <w:rPr>
          <w:vertAlign w:val="superscript"/>
        </w:rPr>
        <w:footnoteReference w:id="22"/>
      </w:r>
      <w:r w:rsidRPr="00C173AD">
        <w:rPr>
          <w:rFonts w:ascii="Verdana" w:hAnsi="Verdana" w:cs="Arial"/>
          <w:vertAlign w:val="superscript"/>
          <w:lang w:val="es-MX"/>
        </w:rPr>
        <w:t>.</w:t>
      </w:r>
    </w:p>
    <w:bookmarkEnd w:id="7"/>
    <w:p w14:paraId="5743BAB3" w14:textId="77777777" w:rsidR="007A74DB" w:rsidRPr="0087361B" w:rsidRDefault="007A74DB" w:rsidP="007A74DB">
      <w:pPr>
        <w:spacing w:after="120" w:line="276" w:lineRule="auto"/>
        <w:ind w:firstLine="708"/>
        <w:jc w:val="both"/>
        <w:rPr>
          <w:rFonts w:ascii="Verdana" w:hAnsi="Verdana" w:cs="Arial"/>
          <w:bCs/>
          <w:lang w:val="es-MX" w:eastAsia="x-none"/>
        </w:rPr>
      </w:pPr>
      <w:r>
        <w:rPr>
          <w:rFonts w:ascii="Verdana" w:hAnsi="Verdana" w:cs="Arial"/>
          <w:lang w:val="es-MX"/>
        </w:rPr>
        <w:t xml:space="preserve">Por lo tanto, la restricción prevista en la Ley 996 de 2005, </w:t>
      </w:r>
      <w:r>
        <w:rPr>
          <w:rFonts w:ascii="Verdana" w:hAnsi="Verdana" w:cs="Arial"/>
          <w:bCs/>
          <w:lang w:val="es-MX" w:eastAsia="x-none"/>
        </w:rPr>
        <w:t>teniendo en cuenta la finalidad de la ley de garantías electorales, cobija a cualquier ente público que pueda a través de la contratación directa romper el equilibrio entre los candidatos en desarrollo de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w:t>
      </w:r>
    </w:p>
    <w:p w14:paraId="5C5E37D2" w14:textId="77777777" w:rsidR="007A74DB" w:rsidRPr="005D6BDD" w:rsidRDefault="007A74DB" w:rsidP="007A74DB">
      <w:pPr>
        <w:spacing w:after="120" w:line="276" w:lineRule="auto"/>
        <w:jc w:val="both"/>
        <w:rPr>
          <w:rFonts w:ascii="Verdana" w:eastAsia="Times New Roman" w:hAnsi="Verdana" w:cs="Arial"/>
          <w:lang w:val="es-MX" w:eastAsia="x-none"/>
        </w:rPr>
      </w:pPr>
      <w:proofErr w:type="spellStart"/>
      <w:r w:rsidRPr="00FC6F34">
        <w:rPr>
          <w:rFonts w:ascii="Verdana" w:eastAsia="Calibri" w:hAnsi="Verdana" w:cs="Arial"/>
          <w:lang w:val="es-ES"/>
        </w:rPr>
        <w:t>ii</w:t>
      </w:r>
      <w:r>
        <w:rPr>
          <w:rFonts w:ascii="Verdana" w:eastAsia="Calibri" w:hAnsi="Verdana" w:cs="Arial"/>
          <w:lang w:val="es-ES"/>
        </w:rPr>
        <w:t>i</w:t>
      </w:r>
      <w:proofErr w:type="spellEnd"/>
      <w:r w:rsidRPr="00FC6F34">
        <w:rPr>
          <w:rFonts w:ascii="Verdana" w:eastAsia="Calibri" w:hAnsi="Verdana" w:cs="Arial"/>
          <w:lang w:val="es-ES"/>
        </w:rPr>
        <w:t xml:space="preserve">) </w:t>
      </w:r>
      <w:r>
        <w:rPr>
          <w:rFonts w:ascii="Verdana" w:eastAsia="Arial" w:hAnsi="Verdana" w:cs="Arial"/>
          <w:lang w:val="es-ES" w:eastAsia="es-ES" w:bidi="es-ES"/>
        </w:rPr>
        <w:t>También</w:t>
      </w:r>
      <w:r>
        <w:rPr>
          <w:rFonts w:ascii="Verdana" w:eastAsia="Calibri" w:hAnsi="Verdana" w:cs="Arial"/>
          <w:lang w:eastAsia="es-ES" w:bidi="es-ES"/>
        </w:rPr>
        <w:t xml:space="preserve"> resulta necesario precisar el alcance de la prohibición </w:t>
      </w:r>
      <w:r>
        <w:rPr>
          <w:rFonts w:ascii="Verdana" w:eastAsia="Arial" w:hAnsi="Verdana" w:cs="Arial"/>
          <w:lang w:val="es-ES" w:eastAsia="es-ES" w:bidi="es-ES"/>
        </w:rPr>
        <w:t>establecida en e</w:t>
      </w:r>
      <w:r>
        <w:rPr>
          <w:rFonts w:ascii="Verdana" w:eastAsia="Calibri" w:hAnsi="Verdana" w:cs="Arial"/>
        </w:rPr>
        <w:t xml:space="preserve">l parágrafo del artículo 38 de la Ley 996 de 2005. La citada norma dispone: “[l]os Gobernadores, </w:t>
      </w:r>
      <w:proofErr w:type="gramStart"/>
      <w:r>
        <w:rPr>
          <w:rFonts w:ascii="Verdana" w:eastAsia="Calibri" w:hAnsi="Verdana" w:cs="Arial"/>
        </w:rPr>
        <w:t>Alcaldes</w:t>
      </w:r>
      <w:proofErr w:type="gramEnd"/>
      <w:r>
        <w:rPr>
          <w:rFonts w:ascii="Verdana" w:eastAsia="Calibri" w:hAnsi="Verdana" w:cs="Arial"/>
        </w:rPr>
        <w:t xml:space="preserve"> Municipales y/o Distritales, </w:t>
      </w:r>
      <w:proofErr w:type="gramStart"/>
      <w:r>
        <w:rPr>
          <w:rFonts w:ascii="Verdana" w:eastAsia="Calibri" w:hAnsi="Verdana" w:cs="Arial"/>
        </w:rPr>
        <w:t>Secretarios</w:t>
      </w:r>
      <w:proofErr w:type="gramEnd"/>
      <w:r>
        <w:rPr>
          <w:rFonts w:ascii="Verdana" w:eastAsia="Calibri" w:hAnsi="Verdana" w:cs="Arial"/>
        </w:rPr>
        <w:t xml:space="preserve">, Gerentes y directores de Entidades Descentralizadas del orden Municipal, Departamental o Distrital, dentro de los cuatro (4) meses anteriores a las elecciones, no podrán celebrar </w:t>
      </w:r>
      <w:r>
        <w:rPr>
          <w:rFonts w:ascii="Verdana" w:eastAsia="Calibri" w:hAnsi="Verdana" w:cs="Arial"/>
          <w:i/>
          <w:iCs/>
        </w:rPr>
        <w:t>convenios interadministrativos</w:t>
      </w:r>
      <w:r>
        <w:rPr>
          <w:rFonts w:ascii="Verdana" w:eastAsia="Calibri" w:hAnsi="Verdana" w:cs="Arial"/>
        </w:rPr>
        <w:t xml:space="preserve"> para la ejecución de recursos públicos”.</w:t>
      </w:r>
      <w:r>
        <w:rPr>
          <w:rFonts w:ascii="Verdana" w:eastAsia="Times New Roman" w:hAnsi="Verdana" w:cs="Arial"/>
          <w:lang w:val="es-MX" w:eastAsia="x-none"/>
        </w:rPr>
        <w:t xml:space="preserve"> [Énfasis fuera del texto original]</w:t>
      </w:r>
    </w:p>
    <w:p w14:paraId="2590687B" w14:textId="77777777" w:rsidR="007A74DB" w:rsidRDefault="007A74DB" w:rsidP="007A74DB">
      <w:pPr>
        <w:spacing w:after="120" w:line="276" w:lineRule="auto"/>
        <w:ind w:firstLine="709"/>
        <w:jc w:val="both"/>
        <w:rPr>
          <w:rFonts w:ascii="Verdana" w:eastAsia="Calibri" w:hAnsi="Verdana" w:cs="Arial"/>
          <w:lang w:eastAsia="es-ES"/>
        </w:rPr>
      </w:pPr>
      <w:r w:rsidRPr="00E56814">
        <w:rPr>
          <w:rFonts w:ascii="Verdana" w:eastAsia="Times New Roman" w:hAnsi="Verdana" w:cs="Arial"/>
          <w:lang w:val="es-ES" w:eastAsia="es-ES_tradnl"/>
        </w:rPr>
        <w:lastRenderedPageBreak/>
        <w:t xml:space="preserve">Para tales efectos, debe precisarse que </w:t>
      </w:r>
      <w:r w:rsidRPr="00E56814">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sidRPr="00E56814">
        <w:rPr>
          <w:rFonts w:ascii="Verdana" w:eastAsia="Calibri"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E56814">
        <w:rPr>
          <w:rFonts w:ascii="Verdana" w:eastAsia="Calibri" w:hAnsi="Verdana" w:cs="Arial"/>
          <w:vertAlign w:val="superscript"/>
          <w:lang w:eastAsia="es-ES"/>
        </w:rPr>
        <w:footnoteReference w:id="23"/>
      </w:r>
      <w:r w:rsidRPr="00E56814">
        <w:rPr>
          <w:rFonts w:ascii="Verdana" w:eastAsia="Calibri" w:hAnsi="Verdana" w:cs="Arial"/>
          <w:lang w:eastAsia="es-ES"/>
        </w:rPr>
        <w:t>.</w:t>
      </w:r>
    </w:p>
    <w:p w14:paraId="3004ED75" w14:textId="77777777" w:rsidR="007A74DB" w:rsidRPr="000F2131" w:rsidRDefault="007A74DB" w:rsidP="007A74DB">
      <w:pPr>
        <w:spacing w:before="120" w:after="0" w:line="276" w:lineRule="auto"/>
        <w:ind w:firstLine="708"/>
        <w:jc w:val="both"/>
        <w:rPr>
          <w:rFonts w:ascii="Verdana" w:eastAsia="Calibri" w:hAnsi="Verdana" w:cs="Times New Roman"/>
          <w:sz w:val="24"/>
          <w:szCs w:val="24"/>
          <w:lang w:eastAsia="es-CO"/>
        </w:rPr>
      </w:pPr>
      <w:r w:rsidRPr="000F2131">
        <w:rPr>
          <w:rFonts w:ascii="Verdana" w:eastAsia="Calibri" w:hAnsi="Verdana" w:cs="Arial"/>
          <w:lang w:val="es-ES_tradnl"/>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000F2131">
        <w:rPr>
          <w:rFonts w:ascii="Verdana" w:eastAsia="Calibri" w:hAnsi="Verdana" w:cs="Arial"/>
          <w:vertAlign w:val="superscript"/>
          <w:lang w:val="es-ES_tradnl"/>
        </w:rPr>
        <w:footnoteReference w:id="24"/>
      </w:r>
      <w:r w:rsidRPr="000F2131">
        <w:rPr>
          <w:rFonts w:ascii="Verdana" w:eastAsia="Calibri" w:hAnsi="Verdana" w:cs="Arial"/>
          <w:lang w:val="es-ES_tradnl"/>
        </w:rPr>
        <w:t>, pues, de acuerdo con lo anotado, esta clase de acuerdos de voluntades se definen por un criterio orgánico, por lo que uno de sus elementos esenciales es que en los extremos de la relación jurídico negocial concurran personas de derecho público</w:t>
      </w:r>
      <w:r w:rsidRPr="000F2131">
        <w:rPr>
          <w:rFonts w:ascii="Verdana" w:eastAsia="Calibri" w:hAnsi="Verdana" w:cs="Times New Roman"/>
          <w:sz w:val="24"/>
          <w:szCs w:val="24"/>
          <w:lang w:eastAsia="es-CO"/>
        </w:rPr>
        <w:t>.</w:t>
      </w:r>
    </w:p>
    <w:p w14:paraId="481672E0" w14:textId="77777777" w:rsidR="007A74DB" w:rsidRPr="00C55BDE" w:rsidRDefault="007A74DB" w:rsidP="007A74DB">
      <w:pPr>
        <w:spacing w:before="120" w:after="0" w:line="276" w:lineRule="auto"/>
        <w:ind w:firstLine="708"/>
        <w:jc w:val="both"/>
        <w:rPr>
          <w:rFonts w:ascii="Verdana" w:eastAsia="Times New Roman" w:hAnsi="Verdana" w:cs="Arial"/>
          <w:lang w:val="es-MX" w:eastAsia="es-CO"/>
        </w:rPr>
      </w:pPr>
      <w:r w:rsidRPr="00C55BDE">
        <w:rPr>
          <w:rFonts w:ascii="Verdana" w:eastAsia="Arial" w:hAnsi="Verdana" w:cs="Arial"/>
          <w:lang w:val="es-MX" w:eastAsia="es-ES" w:bidi="es-ES"/>
        </w:rPr>
        <w:t>De esta manera, se</w:t>
      </w:r>
      <w:r w:rsidRPr="00C55BDE">
        <w:rPr>
          <w:rFonts w:ascii="Verdana" w:eastAsia="Times New Roman" w:hAnsi="Verdana" w:cs="Arial"/>
          <w:lang w:eastAsia="es-CO"/>
        </w:rPr>
        <w:t xml:space="preserve"> observa que </w:t>
      </w:r>
      <w:r w:rsidRPr="00C55BDE">
        <w:rPr>
          <w:rFonts w:ascii="Verdana" w:eastAsia="Times New Roman" w:hAnsi="Verdana" w:cs="Arial"/>
          <w:lang w:val="es-MX" w:eastAsia="es-CO"/>
        </w:rPr>
        <w:t xml:space="preserve">el parágrafo del artículo 38 de la Ley 996 de 2005 prohíbe a los </w:t>
      </w:r>
      <w:proofErr w:type="gramStart"/>
      <w:r w:rsidRPr="00C55BDE">
        <w:rPr>
          <w:rFonts w:ascii="Verdana" w:eastAsia="Times New Roman" w:hAnsi="Verdana" w:cs="Arial"/>
          <w:lang w:val="es-MX" w:eastAsia="es-CO"/>
        </w:rPr>
        <w:t>Alcaldes</w:t>
      </w:r>
      <w:proofErr w:type="gramEnd"/>
      <w:r w:rsidRPr="00C55BDE">
        <w:rPr>
          <w:rFonts w:ascii="Verdana" w:eastAsia="Times New Roman" w:hAnsi="Verdana" w:cs="Arial"/>
          <w:lang w:val="es-MX" w:eastAsia="es-CO"/>
        </w:rPr>
        <w:t xml:space="preserve">, Gobernadores, </w:t>
      </w:r>
      <w:proofErr w:type="gramStart"/>
      <w:r w:rsidRPr="00C55BDE">
        <w:rPr>
          <w:rFonts w:ascii="Verdana" w:eastAsia="Times New Roman" w:hAnsi="Verdana" w:cs="Arial"/>
          <w:lang w:val="es-MX" w:eastAsia="es-CO"/>
        </w:rPr>
        <w:t>Secretarios</w:t>
      </w:r>
      <w:proofErr w:type="gramEnd"/>
      <w:r w:rsidRPr="00C55BDE">
        <w:rPr>
          <w:rFonts w:ascii="Verdana" w:eastAsia="Times New Roman" w:hAnsi="Verdana" w:cs="Arial"/>
          <w:lang w:val="es-MX" w:eastAsia="es-CO"/>
        </w:rPr>
        <w:t xml:space="preserve">, Gerentes y </w:t>
      </w:r>
      <w:proofErr w:type="gramStart"/>
      <w:r w:rsidRPr="00C55BDE">
        <w:rPr>
          <w:rFonts w:ascii="Verdana" w:eastAsia="Times New Roman" w:hAnsi="Verdana" w:cs="Arial"/>
          <w:lang w:val="es-MX" w:eastAsia="es-CO"/>
        </w:rPr>
        <w:t>Directores</w:t>
      </w:r>
      <w:proofErr w:type="gramEnd"/>
      <w:r w:rsidRPr="00C55BDE">
        <w:rPr>
          <w:rFonts w:ascii="Verdana" w:eastAsia="Times New Roman" w:hAnsi="Verdana" w:cs="Arial"/>
          <w:lang w:val="es-MX" w:eastAsia="es-CO"/>
        </w:rPr>
        <w:t xml:space="preserve"> de las entidades del orden municipal, departamental o distrital celebrar </w:t>
      </w:r>
      <w:r w:rsidRPr="00C55BDE">
        <w:rPr>
          <w:rFonts w:ascii="Verdana" w:eastAsia="Times New Roman" w:hAnsi="Verdana" w:cs="Arial"/>
          <w:i/>
          <w:iCs/>
          <w:lang w:val="es-MX" w:eastAsia="es-CO"/>
        </w:rPr>
        <w:t>convenios interadministrativos</w:t>
      </w:r>
      <w:r w:rsidRPr="00C55BDE">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C55BDE">
        <w:rPr>
          <w:rFonts w:ascii="Verdana" w:eastAsia="Times New Roman" w:hAnsi="Verdana" w:cs="Arial"/>
          <w:i/>
          <w:lang w:val="es-MX" w:eastAsia="es-CO"/>
        </w:rPr>
        <w:t>ibidem</w:t>
      </w:r>
      <w:r w:rsidRPr="00C55BDE">
        <w:rPr>
          <w:rFonts w:ascii="Verdana" w:eastAsia="Times New Roman" w:hAnsi="Verdana" w:cs="Arial"/>
          <w:lang w:val="es-MX" w:eastAsia="es-CO"/>
        </w:rPr>
        <w:t xml:space="preserve">, no podrá celebrar tales </w:t>
      </w:r>
      <w:r w:rsidRPr="00C55BDE">
        <w:rPr>
          <w:rFonts w:ascii="Verdana" w:eastAsia="Times New Roman" w:hAnsi="Verdana" w:cs="Arial"/>
          <w:i/>
          <w:iCs/>
          <w:lang w:val="es-MX" w:eastAsia="es-CO"/>
        </w:rPr>
        <w:t>convenios</w:t>
      </w:r>
      <w:r w:rsidRPr="00C55BDE">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2041DF42" w14:textId="77777777" w:rsidR="007A74DB" w:rsidRDefault="007A74DB" w:rsidP="007A74DB">
      <w:pPr>
        <w:spacing w:before="120" w:after="0" w:line="276" w:lineRule="auto"/>
        <w:ind w:firstLine="708"/>
        <w:jc w:val="both"/>
        <w:rPr>
          <w:rFonts w:ascii="Verdana" w:eastAsia="Times New Roman" w:hAnsi="Verdana" w:cs="Arial"/>
          <w:lang w:eastAsia="es-CO"/>
        </w:rPr>
      </w:pPr>
      <w:r w:rsidRPr="00C55BDE">
        <w:rPr>
          <w:rFonts w:ascii="Verdana" w:eastAsia="Times New Roman" w:hAnsi="Verdana" w:cs="Arial"/>
          <w:lang w:val="es-MX" w:eastAsia="es-CO"/>
        </w:rPr>
        <w:t xml:space="preserve">Respecto del alcance de esta prohibición la Circular Externa No. 006 de 2025 expedida por la ANCP -CCE, en los literales </w:t>
      </w:r>
      <w:proofErr w:type="spellStart"/>
      <w:r w:rsidRPr="00C55BDE">
        <w:rPr>
          <w:rFonts w:ascii="Verdana" w:eastAsia="Times New Roman" w:hAnsi="Verdana" w:cs="Arial"/>
          <w:lang w:val="es-MX" w:eastAsia="es-CO"/>
        </w:rPr>
        <w:t>ii</w:t>
      </w:r>
      <w:proofErr w:type="spellEnd"/>
      <w:r w:rsidRPr="00C55BDE">
        <w:rPr>
          <w:rFonts w:ascii="Verdana" w:eastAsia="Times New Roman" w:hAnsi="Verdana" w:cs="Arial"/>
          <w:lang w:val="es-MX" w:eastAsia="es-CO"/>
        </w:rPr>
        <w:t xml:space="preserve">) y </w:t>
      </w:r>
      <w:proofErr w:type="spellStart"/>
      <w:r w:rsidRPr="00C55BDE">
        <w:rPr>
          <w:rFonts w:ascii="Verdana" w:eastAsia="Times New Roman" w:hAnsi="Verdana" w:cs="Arial"/>
          <w:lang w:val="es-MX" w:eastAsia="es-CO"/>
        </w:rPr>
        <w:t>iv</w:t>
      </w:r>
      <w:proofErr w:type="spellEnd"/>
      <w:r w:rsidRPr="00C55BDE">
        <w:rPr>
          <w:rFonts w:ascii="Verdana" w:eastAsia="Times New Roman" w:hAnsi="Verdana" w:cs="Arial"/>
          <w:lang w:val="es-MX" w:eastAsia="es-CO"/>
        </w:rPr>
        <w:t>) del numeral 2</w:t>
      </w:r>
      <w:r w:rsidRPr="00C55BDE">
        <w:rPr>
          <w:rFonts w:ascii="Verdana" w:eastAsia="Times New Roman" w:hAnsi="Verdana" w:cs="Arial"/>
          <w:lang w:eastAsia="es-CO"/>
        </w:rPr>
        <w:t>,</w:t>
      </w:r>
      <w:r w:rsidRPr="00C55BDE">
        <w:rPr>
          <w:rFonts w:ascii="Verdana" w:eastAsia="Times New Roman" w:hAnsi="Verdana" w:cs="Arial"/>
          <w:lang w:val="es-MX" w:eastAsia="es-CO"/>
        </w:rPr>
        <w:t xml:space="preserve"> indica que el </w:t>
      </w:r>
      <w:r w:rsidRPr="00C55BDE">
        <w:rPr>
          <w:rFonts w:ascii="Verdana" w:eastAsia="Times New Roman" w:hAnsi="Verdana" w:cs="Arial"/>
          <w:lang w:eastAsia="es-CO"/>
        </w:rPr>
        <w:t xml:space="preserve">parágrafo del artículo 38 de la Ley 996 de 2005 cobija expresamente a los </w:t>
      </w:r>
      <w:r w:rsidRPr="00C55BDE">
        <w:rPr>
          <w:rFonts w:ascii="Verdana" w:eastAsia="Times New Roman" w:hAnsi="Verdana" w:cs="Arial"/>
          <w:i/>
          <w:iCs/>
          <w:lang w:eastAsia="es-CO"/>
        </w:rPr>
        <w:t>convenios interadministrativos</w:t>
      </w:r>
      <w:r w:rsidRPr="00C55BDE">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w:t>
      </w:r>
      <w:r w:rsidRPr="00C55BDE">
        <w:rPr>
          <w:rFonts w:ascii="Verdana" w:eastAsia="Times New Roman" w:hAnsi="Verdana" w:cs="Arial"/>
          <w:lang w:eastAsia="es-CO"/>
        </w:rPr>
        <w:lastRenderedPageBreak/>
        <w:t xml:space="preserve">los sujetos allí señalados, </w:t>
      </w:r>
      <w:r w:rsidRPr="00C55BDE">
        <w:rPr>
          <w:rFonts w:ascii="Verdana" w:eastAsia="Times New Roman" w:hAnsi="Verdana" w:cs="Arial"/>
          <w:i/>
          <w:iCs/>
          <w:lang w:eastAsia="es-CO"/>
        </w:rPr>
        <w:t>“aunque se configure alguno de los supuestos de excepción que señaló el inciso final del artículo 33”.</w:t>
      </w:r>
      <w:r w:rsidRPr="00C55BDE">
        <w:rPr>
          <w:rFonts w:ascii="Verdana" w:eastAsia="Times New Roman" w:hAnsi="Verdana" w:cs="Arial"/>
          <w:lang w:eastAsia="es-CO"/>
        </w:rPr>
        <w:t xml:space="preserve"> </w:t>
      </w:r>
    </w:p>
    <w:p w14:paraId="1A1E9F53" w14:textId="77777777" w:rsidR="007A74DB" w:rsidRPr="00C55BDE" w:rsidRDefault="007A74DB" w:rsidP="007A74DB">
      <w:pPr>
        <w:spacing w:before="120" w:after="0" w:line="276" w:lineRule="auto"/>
        <w:ind w:firstLine="708"/>
        <w:jc w:val="both"/>
        <w:rPr>
          <w:rFonts w:ascii="Verdana" w:eastAsia="Times New Roman" w:hAnsi="Verdana" w:cs="Arial"/>
          <w:lang w:eastAsia="es-CO"/>
        </w:rPr>
      </w:pPr>
      <w:r>
        <w:rPr>
          <w:rFonts w:ascii="Verdana" w:eastAsia="Times New Roman" w:hAnsi="Verdana" w:cs="Arial"/>
          <w:lang w:eastAsia="es-CO"/>
        </w:rPr>
        <w:t xml:space="preserve">Asimismo, respecto de los sujetos </w:t>
      </w:r>
      <w:r w:rsidRPr="005173C4">
        <w:rPr>
          <w:rFonts w:ascii="Verdana" w:eastAsia="Times New Roman" w:hAnsi="Verdana" w:cs="Arial"/>
          <w:lang w:eastAsia="es-CO"/>
        </w:rPr>
        <w:t>que tienen prohibido celebrar convenios interadministrativos</w:t>
      </w:r>
      <w:r>
        <w:rPr>
          <w:rFonts w:ascii="Verdana" w:eastAsia="Times New Roman" w:hAnsi="Verdana" w:cs="Arial"/>
          <w:lang w:eastAsia="es-CO"/>
        </w:rPr>
        <w:t xml:space="preserve"> se precisa que</w:t>
      </w:r>
      <w:r w:rsidRPr="005173C4">
        <w:rPr>
          <w:rFonts w:ascii="Verdana" w:eastAsia="Times New Roman" w:hAnsi="Verdana" w:cs="Arial"/>
          <w:lang w:eastAsia="es-CO"/>
        </w:rPr>
        <w:t xml:space="preserve"> </w:t>
      </w:r>
      <w:r>
        <w:rPr>
          <w:rFonts w:ascii="Verdana" w:eastAsia="Times New Roman" w:hAnsi="Verdana" w:cs="Arial"/>
          <w:lang w:eastAsia="es-CO"/>
        </w:rPr>
        <w:t>“l</w:t>
      </w:r>
      <w:r w:rsidRPr="005173C4">
        <w:rPr>
          <w:rFonts w:ascii="Verdana" w:eastAsia="Times New Roman" w:hAnsi="Verdana" w:cs="Arial"/>
          <w:lang w:eastAsia="es-CO"/>
        </w:rPr>
        <w:t xml:space="preserve">a norma señala expresamente los sujetos a quienes aplica la prohibición, es decir: a los </w:t>
      </w:r>
      <w:proofErr w:type="gramStart"/>
      <w:r w:rsidRPr="00C54178">
        <w:rPr>
          <w:rFonts w:ascii="Verdana" w:eastAsia="Times New Roman" w:hAnsi="Verdana" w:cs="Arial"/>
          <w:i/>
          <w:iCs/>
          <w:lang w:eastAsia="es-CO"/>
        </w:rPr>
        <w:t>Alcaldes</w:t>
      </w:r>
      <w:proofErr w:type="gramEnd"/>
      <w:r w:rsidRPr="00C54178">
        <w:rPr>
          <w:rFonts w:ascii="Verdana" w:eastAsia="Times New Roman" w:hAnsi="Verdana" w:cs="Arial"/>
          <w:i/>
          <w:iCs/>
          <w:lang w:eastAsia="es-CO"/>
        </w:rPr>
        <w:t xml:space="preserve">, Gobernadores, </w:t>
      </w:r>
      <w:proofErr w:type="gramStart"/>
      <w:r w:rsidRPr="00C54178">
        <w:rPr>
          <w:rFonts w:ascii="Verdana" w:eastAsia="Times New Roman" w:hAnsi="Verdana" w:cs="Arial"/>
          <w:i/>
          <w:iCs/>
          <w:lang w:eastAsia="es-CO"/>
        </w:rPr>
        <w:t>Secretarios</w:t>
      </w:r>
      <w:proofErr w:type="gramEnd"/>
      <w:r w:rsidRPr="00C54178">
        <w:rPr>
          <w:rFonts w:ascii="Verdana" w:eastAsia="Times New Roman" w:hAnsi="Verdana" w:cs="Arial"/>
          <w:i/>
          <w:iCs/>
          <w:lang w:eastAsia="es-CO"/>
        </w:rPr>
        <w:t xml:space="preserve">, Gerentes y </w:t>
      </w:r>
      <w:proofErr w:type="gramStart"/>
      <w:r w:rsidRPr="00C54178">
        <w:rPr>
          <w:rFonts w:ascii="Verdana" w:eastAsia="Times New Roman" w:hAnsi="Verdana" w:cs="Arial"/>
          <w:i/>
          <w:iCs/>
          <w:lang w:eastAsia="es-CO"/>
        </w:rPr>
        <w:t>Directores</w:t>
      </w:r>
      <w:proofErr w:type="gramEnd"/>
      <w:r w:rsidRPr="00C54178">
        <w:rPr>
          <w:rFonts w:ascii="Verdana" w:eastAsia="Times New Roman" w:hAnsi="Verdana" w:cs="Arial"/>
          <w:i/>
          <w:iCs/>
          <w:lang w:eastAsia="es-CO"/>
        </w:rPr>
        <w:t xml:space="preserve"> de las entidades descentralizadas del orden municipal, departamental o distrital</w:t>
      </w:r>
      <w:r w:rsidRPr="005173C4">
        <w:rPr>
          <w:rFonts w:ascii="Verdana" w:eastAsia="Times New Roman" w:hAnsi="Verdana" w:cs="Arial"/>
          <w:lang w:eastAsia="es-CO"/>
        </w:rPr>
        <w:t xml:space="preserve">. En consecuencia, no se extiende a sujetos adicionales o distintos a los referidos, </w:t>
      </w:r>
      <w:r w:rsidRPr="000673BA">
        <w:rPr>
          <w:rFonts w:ascii="Verdana" w:eastAsia="Times New Roman" w:hAnsi="Verdana" w:cs="Arial"/>
          <w:i/>
          <w:iCs/>
          <w:lang w:eastAsia="es-CO"/>
        </w:rPr>
        <w:t>de modo que no cobija a todos los entes públicos que tienen la facultad de contratar</w:t>
      </w:r>
      <w:r w:rsidRPr="005173C4">
        <w:rPr>
          <w:rFonts w:ascii="Verdana" w:eastAsia="Times New Roman" w:hAnsi="Verdana" w:cs="Arial"/>
          <w:lang w:eastAsia="es-CO"/>
        </w:rPr>
        <w:t>, como ocurre con la prohibición del artículo 33</w:t>
      </w:r>
      <w:r>
        <w:rPr>
          <w:rFonts w:ascii="Verdana" w:eastAsia="Times New Roman" w:hAnsi="Verdana" w:cs="Arial"/>
          <w:lang w:eastAsia="es-CO"/>
        </w:rPr>
        <w:t>”</w:t>
      </w:r>
      <w:r w:rsidRPr="005173C4">
        <w:rPr>
          <w:rFonts w:ascii="Verdana" w:eastAsia="Times New Roman" w:hAnsi="Verdana" w:cs="Arial"/>
          <w:lang w:eastAsia="es-CO"/>
        </w:rPr>
        <w:t>.</w:t>
      </w:r>
    </w:p>
    <w:p w14:paraId="23D2FD69" w14:textId="77777777" w:rsidR="007A74DB" w:rsidRPr="00C55BDE" w:rsidRDefault="007A74DB" w:rsidP="007A74DB">
      <w:pPr>
        <w:spacing w:before="120" w:after="0" w:line="276" w:lineRule="auto"/>
        <w:ind w:firstLine="708"/>
        <w:jc w:val="both"/>
        <w:rPr>
          <w:rFonts w:ascii="Verdana" w:eastAsia="Times New Roman" w:hAnsi="Verdana" w:cs="Arial"/>
          <w:lang w:val="es-MX" w:eastAsia="es-CO"/>
        </w:rPr>
      </w:pPr>
      <w:r>
        <w:rPr>
          <w:rFonts w:ascii="Verdana" w:eastAsia="Times New Roman" w:hAnsi="Verdana" w:cs="Arial"/>
          <w:lang w:eastAsia="es-CO"/>
        </w:rPr>
        <w:t>En este contexto, e</w:t>
      </w:r>
      <w:r w:rsidRPr="00C55BDE">
        <w:rPr>
          <w:rFonts w:ascii="Verdana" w:eastAsia="Times New Roman" w:hAnsi="Verdana" w:cs="Arial"/>
          <w:lang w:eastAsia="es-CO"/>
        </w:rPr>
        <w:t xml:space="preserve">s importante tener en cuenta que el ámbito de aplicación de la restricción prevista en el parágrafo del artículo 38 de la Ley 996 de 2005 solo se extiende a los </w:t>
      </w:r>
      <w:r w:rsidRPr="00C55BDE">
        <w:rPr>
          <w:rFonts w:ascii="Verdana" w:eastAsia="Times New Roman" w:hAnsi="Verdana" w:cs="Arial"/>
          <w:i/>
          <w:iCs/>
          <w:lang w:eastAsia="es-CO"/>
        </w:rPr>
        <w:t>convenios interadministrativos</w:t>
      </w:r>
      <w:r w:rsidRPr="00C55BDE">
        <w:rPr>
          <w:rFonts w:ascii="Verdana" w:eastAsia="Times New Roman" w:hAnsi="Verdana" w:cs="Arial"/>
          <w:lang w:eastAsia="es-CO"/>
        </w:rPr>
        <w:t xml:space="preserve"> en los que se contemple la </w:t>
      </w:r>
      <w:r w:rsidRPr="00C55BDE">
        <w:rPr>
          <w:rFonts w:ascii="Verdana" w:eastAsia="Times New Roman" w:hAnsi="Verdana" w:cs="Arial"/>
          <w:i/>
          <w:iCs/>
          <w:lang w:eastAsia="es-CO"/>
        </w:rPr>
        <w:t>ejecución de recursos públicos</w:t>
      </w:r>
      <w:r w:rsidRPr="00C55BDE">
        <w:rPr>
          <w:rFonts w:ascii="Verdana" w:eastAsia="Times New Roman" w:hAnsi="Verdana" w:cs="Arial"/>
          <w:lang w:eastAsia="es-CO"/>
        </w:rPr>
        <w:t xml:space="preserve">. Esto significa que la prohibición no resulta aplicable a </w:t>
      </w:r>
      <w:r w:rsidRPr="00C55BDE">
        <w:rPr>
          <w:rFonts w:ascii="Verdana" w:eastAsia="Times New Roman" w:hAnsi="Verdana" w:cs="Arial"/>
          <w:i/>
          <w:iCs/>
          <w:lang w:eastAsia="es-CO"/>
        </w:rPr>
        <w:t>convenios interadministrativos a título gratuito,</w:t>
      </w:r>
      <w:r w:rsidRPr="00C55BDE">
        <w:rPr>
          <w:rFonts w:ascii="Verdana" w:eastAsia="Times New Roman" w:hAnsi="Verdana" w:cs="Arial"/>
          <w:lang w:eastAsia="es-CO"/>
        </w:rPr>
        <w:t xml:space="preserve"> los cuales pueden celebrarse válidamente durante la vigencia de la mencionada restricción. </w:t>
      </w:r>
    </w:p>
    <w:p w14:paraId="705058D8" w14:textId="77777777" w:rsidR="007A74DB" w:rsidRPr="00C55BDE" w:rsidRDefault="007A74DB" w:rsidP="007A74DB">
      <w:pPr>
        <w:spacing w:before="120" w:after="0" w:line="276" w:lineRule="auto"/>
        <w:ind w:firstLine="708"/>
        <w:jc w:val="both"/>
        <w:rPr>
          <w:rFonts w:ascii="Verdana" w:eastAsia="Times New Roman" w:hAnsi="Verdana" w:cs="Arial"/>
          <w:lang w:eastAsia="es-CO"/>
        </w:rPr>
      </w:pPr>
      <w:r w:rsidRPr="00C55BDE">
        <w:rPr>
          <w:rFonts w:ascii="Verdana" w:eastAsia="Times New Roman" w:hAnsi="Verdana" w:cs="Arial"/>
          <w:lang w:eastAsia="es-CO"/>
        </w:rPr>
        <w:t xml:space="preserve">En este punto, teniendo en cuenta lo señalado en el contenido de su petición, vale la pena destacar </w:t>
      </w:r>
      <w:proofErr w:type="gramStart"/>
      <w:r w:rsidRPr="00C55BDE">
        <w:rPr>
          <w:rFonts w:ascii="Verdana" w:eastAsia="Times New Roman" w:hAnsi="Verdana" w:cs="Arial"/>
          <w:lang w:eastAsia="es-CO"/>
        </w:rPr>
        <w:t>que</w:t>
      </w:r>
      <w:proofErr w:type="gramEnd"/>
      <w:r w:rsidRPr="00C55BDE">
        <w:rPr>
          <w:rFonts w:ascii="Verdana" w:eastAsia="Times New Roman" w:hAnsi="Verdana" w:cs="Arial"/>
          <w:lang w:eastAsia="es-CO"/>
        </w:rPr>
        <w:t xml:space="preserve"> </w:t>
      </w:r>
      <w:r w:rsidRPr="00C55BDE">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C55BDE">
        <w:rPr>
          <w:rFonts w:ascii="Verdana" w:hAnsi="Verdana" w:cs="Arial"/>
        </w:rPr>
        <w:t>numeral 16.2 de la Circular Externa Única de 2022 expedida por la Agencia Nacional de Contratación Pública -Colombia Compra Eficiente-, concretamente, respecto de los siguientes apartes normativos</w:t>
      </w:r>
      <w:r w:rsidRPr="00C55BDE">
        <w:rPr>
          <w:rFonts w:ascii="Verdana" w:hAnsi="Verdana" w:cs="Arial"/>
          <w:vertAlign w:val="superscript"/>
        </w:rPr>
        <w:footnoteReference w:id="25"/>
      </w:r>
      <w:r w:rsidRPr="00C55BDE">
        <w:rPr>
          <w:rFonts w:ascii="Verdana" w:hAnsi="Verdana" w:cs="Arial"/>
        </w:rPr>
        <w:t xml:space="preserve">: </w:t>
      </w:r>
    </w:p>
    <w:p w14:paraId="556D3D0B" w14:textId="77777777" w:rsidR="007A74DB" w:rsidRPr="00C55BDE" w:rsidRDefault="007A74DB" w:rsidP="007A74DB">
      <w:pPr>
        <w:spacing w:after="0" w:line="276" w:lineRule="auto"/>
        <w:ind w:firstLine="709"/>
        <w:jc w:val="both"/>
        <w:rPr>
          <w:rFonts w:ascii="Verdana" w:hAnsi="Verdana" w:cs="Arial"/>
        </w:rPr>
      </w:pPr>
    </w:p>
    <w:p w14:paraId="5ACBC276" w14:textId="77777777" w:rsidR="007A74DB" w:rsidRPr="00C55BDE" w:rsidRDefault="007A74DB" w:rsidP="007A74DB">
      <w:pPr>
        <w:spacing w:after="0" w:line="240" w:lineRule="auto"/>
        <w:ind w:left="709" w:right="709"/>
        <w:jc w:val="both"/>
        <w:rPr>
          <w:rFonts w:ascii="Verdana" w:hAnsi="Verdana" w:cs="Arial"/>
          <w:sz w:val="20"/>
          <w:szCs w:val="20"/>
        </w:rPr>
      </w:pPr>
      <w:r>
        <w:rPr>
          <w:rFonts w:ascii="Verdana" w:hAnsi="Verdana" w:cs="Arial"/>
          <w:sz w:val="20"/>
          <w:szCs w:val="20"/>
          <w:lang w:val="es-MX"/>
        </w:rPr>
        <w:t>“</w:t>
      </w:r>
      <w:r w:rsidRPr="00C55BDE">
        <w:rPr>
          <w:rFonts w:ascii="Verdana" w:hAnsi="Verdana" w:cs="Arial"/>
          <w:sz w:val="20"/>
          <w:szCs w:val="20"/>
          <w:lang w:val="es-MX"/>
        </w:rPr>
        <w:t>i)</w:t>
      </w:r>
      <w:r w:rsidRPr="00C55BDE">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55EFFF2F" w14:textId="77777777" w:rsidR="007A74DB" w:rsidRPr="00C55BDE" w:rsidRDefault="007A74DB" w:rsidP="007A74DB">
      <w:pPr>
        <w:spacing w:after="0" w:line="240" w:lineRule="auto"/>
        <w:ind w:left="709" w:right="709"/>
        <w:jc w:val="both"/>
        <w:rPr>
          <w:rFonts w:ascii="Verdana" w:hAnsi="Verdana" w:cs="Arial"/>
          <w:sz w:val="20"/>
          <w:szCs w:val="20"/>
        </w:rPr>
      </w:pPr>
    </w:p>
    <w:p w14:paraId="731D9180" w14:textId="77777777" w:rsidR="007A74DB" w:rsidRPr="00C55BDE" w:rsidRDefault="007A74DB" w:rsidP="007A74DB">
      <w:pPr>
        <w:spacing w:after="0" w:line="240" w:lineRule="auto"/>
        <w:ind w:left="709" w:right="709"/>
        <w:jc w:val="both"/>
        <w:rPr>
          <w:rFonts w:ascii="Verdana" w:hAnsi="Verdana" w:cs="Arial"/>
          <w:sz w:val="20"/>
          <w:szCs w:val="20"/>
        </w:rPr>
      </w:pPr>
      <w:proofErr w:type="spellStart"/>
      <w:r w:rsidRPr="00C55BDE">
        <w:rPr>
          <w:rFonts w:ascii="Verdana" w:hAnsi="Verdana" w:cs="Arial"/>
          <w:sz w:val="20"/>
          <w:szCs w:val="20"/>
        </w:rPr>
        <w:t>ii</w:t>
      </w:r>
      <w:proofErr w:type="spellEnd"/>
      <w:r w:rsidRPr="00C55BDE">
        <w:rPr>
          <w:rFonts w:ascii="Verdana" w:hAnsi="Verdana" w:cs="Arial"/>
          <w:sz w:val="20"/>
          <w:szCs w:val="20"/>
        </w:rPr>
        <w:t xml:space="preserve">) la expresión y el siguiente párrafo contenidos en el inciso cuarto “contratos” y “En este sentido, la prohibición que establece el parágrafo </w:t>
      </w:r>
      <w:r w:rsidRPr="00C55BDE">
        <w:rPr>
          <w:rFonts w:ascii="Verdana" w:hAnsi="Verdana" w:cs="Arial"/>
          <w:sz w:val="20"/>
          <w:szCs w:val="20"/>
        </w:rPr>
        <w:lastRenderedPageBreak/>
        <w:t xml:space="preserve">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5063DD20" w14:textId="77777777" w:rsidR="007A74DB" w:rsidRPr="00C55BDE" w:rsidRDefault="007A74DB" w:rsidP="007A74DB">
      <w:pPr>
        <w:spacing w:after="0" w:line="276" w:lineRule="auto"/>
        <w:ind w:left="709" w:right="709"/>
        <w:jc w:val="both"/>
        <w:rPr>
          <w:rFonts w:ascii="Verdana" w:hAnsi="Verdana" w:cs="Arial"/>
        </w:rPr>
      </w:pPr>
    </w:p>
    <w:p w14:paraId="2226F7C2" w14:textId="77777777" w:rsidR="007A74DB" w:rsidRPr="00C55BDE" w:rsidRDefault="007A74DB" w:rsidP="007A74DB">
      <w:pPr>
        <w:spacing w:after="120" w:line="276" w:lineRule="auto"/>
        <w:ind w:firstLine="709"/>
        <w:jc w:val="both"/>
        <w:rPr>
          <w:rFonts w:ascii="Verdana" w:eastAsia="Arial" w:hAnsi="Verdana" w:cs="Arial"/>
          <w:i/>
          <w:iCs/>
          <w:lang w:eastAsia="es-ES" w:bidi="es-ES"/>
        </w:rPr>
      </w:pPr>
      <w:r w:rsidRPr="00C55BDE">
        <w:rPr>
          <w:rFonts w:ascii="Verdana" w:eastAsia="Arial" w:hAnsi="Verdana" w:cs="Arial"/>
          <w:lang w:val="es-MX" w:eastAsia="es-ES" w:bidi="es-ES"/>
        </w:rPr>
        <w:t xml:space="preserve">De conformidad con los argumentos de dicha providencia, se parte de la distinción entre los conceptos </w:t>
      </w:r>
      <w:r w:rsidRPr="00C55BDE">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C55BDE">
        <w:rPr>
          <w:rFonts w:ascii="Verdana" w:hAnsi="Verdana"/>
          <w:sz w:val="24"/>
          <w:szCs w:val="24"/>
          <w:lang w:eastAsia="es-CO"/>
        </w:rPr>
        <w:t xml:space="preserve"> </w:t>
      </w:r>
      <w:r w:rsidRPr="00C55BDE">
        <w:rPr>
          <w:rFonts w:ascii="Verdana" w:eastAsia="Arial" w:hAnsi="Verdana" w:cs="Arial"/>
          <w:lang w:eastAsia="es-ES" w:bidi="es-ES"/>
        </w:rPr>
        <w:t xml:space="preserve">En este sentido, en relación con el parágrafo del artículo 38 de la Ley 996 de 2005 concluyó que </w:t>
      </w:r>
      <w:r w:rsidRPr="00C55BDE">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C55BDE">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C55BDE">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4BFB8CDE" w14:textId="77777777" w:rsidR="007A74DB" w:rsidRPr="00C55BDE" w:rsidRDefault="007A74DB" w:rsidP="007A74DB">
      <w:pPr>
        <w:spacing w:after="120" w:line="276" w:lineRule="auto"/>
        <w:ind w:firstLine="709"/>
        <w:jc w:val="both"/>
        <w:rPr>
          <w:rFonts w:ascii="Verdana" w:eastAsia="Arial" w:hAnsi="Verdana" w:cs="Arial"/>
          <w:lang w:eastAsia="es-ES" w:bidi="es-ES"/>
        </w:rPr>
      </w:pPr>
      <w:r w:rsidRPr="00C55BDE">
        <w:rPr>
          <w:rFonts w:ascii="Verdana" w:eastAsia="Arial" w:hAnsi="Verdana" w:cs="Arial"/>
          <w:lang w:eastAsia="es-ES" w:bidi="es-ES"/>
        </w:rPr>
        <w:t>De igual manera, mediante auto del 6 de noviembre de 2025, el Consejo de Estado, Subsección A de la Sección Tercera, decretó</w:t>
      </w:r>
      <w:r w:rsidRPr="00C55BDE">
        <w:rPr>
          <w:rFonts w:ascii="Verdana" w:eastAsia="Arial" w:hAnsi="Verdana" w:cs="Arial"/>
          <w:b/>
          <w:bCs/>
          <w:lang w:eastAsia="es-ES" w:bidi="es-ES"/>
        </w:rPr>
        <w:t xml:space="preserve"> </w:t>
      </w:r>
      <w:r w:rsidRPr="00C55BDE">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C55BDE">
        <w:rPr>
          <w:rFonts w:ascii="Verdana" w:eastAsia="Arial" w:hAnsi="Verdana" w:cs="Arial"/>
          <w:vertAlign w:val="superscript"/>
          <w:lang w:eastAsia="es-ES" w:bidi="es-ES"/>
        </w:rPr>
        <w:footnoteReference w:id="26"/>
      </w:r>
      <w:r w:rsidRPr="00C55BDE">
        <w:rPr>
          <w:rFonts w:ascii="Verdana" w:eastAsia="Arial" w:hAnsi="Verdana" w:cs="Arial"/>
          <w:lang w:eastAsia="es-ES" w:bidi="es-ES"/>
        </w:rPr>
        <w:t xml:space="preserve">. Para tales </w:t>
      </w:r>
      <w:r w:rsidRPr="00C55BDE">
        <w:rPr>
          <w:rFonts w:ascii="Verdana" w:eastAsia="Arial" w:hAnsi="Verdana" w:cs="Arial"/>
          <w:lang w:eastAsia="es-ES" w:bidi="es-ES"/>
        </w:rPr>
        <w:lastRenderedPageBreak/>
        <w:t xml:space="preserve">efectos, el alto tribunal resaltó la interpretación restrictiva de las normas que contienen prohibiciones, como la del parágrafo del artículo 38 de la Ley 996 de 2005, por manera que se excluye la analogía </w:t>
      </w:r>
      <w:proofErr w:type="spellStart"/>
      <w:r w:rsidRPr="00C55BDE">
        <w:rPr>
          <w:rFonts w:ascii="Verdana" w:eastAsia="Arial" w:hAnsi="Verdana" w:cs="Arial"/>
          <w:lang w:eastAsia="es-ES" w:bidi="es-ES"/>
        </w:rPr>
        <w:t>legis</w:t>
      </w:r>
      <w:proofErr w:type="spellEnd"/>
      <w:r w:rsidRPr="00C55BDE">
        <w:rPr>
          <w:rFonts w:ascii="Verdana" w:eastAsia="Arial" w:hAnsi="Verdana" w:cs="Arial"/>
          <w:lang w:eastAsia="es-ES" w:bidi="es-ES"/>
        </w:rPr>
        <w:t xml:space="preserve"> o iuris y la interpretación extensiva y reiteró los argumentos sobre la diferencia entre contratos y convenios interadministrativos. </w:t>
      </w:r>
    </w:p>
    <w:p w14:paraId="0C57EDC1" w14:textId="77777777" w:rsidR="007A74DB" w:rsidRPr="00C55BDE" w:rsidRDefault="007A74DB" w:rsidP="007A74DB">
      <w:pPr>
        <w:spacing w:after="120" w:line="276" w:lineRule="auto"/>
        <w:ind w:firstLine="709"/>
        <w:jc w:val="both"/>
        <w:rPr>
          <w:rFonts w:ascii="Verdana" w:eastAsia="Times New Roman" w:hAnsi="Verdana" w:cs="Times New Roman"/>
          <w:lang w:eastAsia="es-ES"/>
        </w:rPr>
      </w:pPr>
      <w:r w:rsidRPr="00C55BDE">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00C55BDE">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2448B512" w14:textId="77777777" w:rsidR="007A74DB" w:rsidRPr="00C55BDE" w:rsidRDefault="007A74DB" w:rsidP="007A74DB">
      <w:pPr>
        <w:spacing w:after="120" w:line="276" w:lineRule="auto"/>
        <w:ind w:firstLine="709"/>
        <w:jc w:val="both"/>
        <w:rPr>
          <w:rFonts w:ascii="Verdana" w:eastAsia="Times New Roman" w:hAnsi="Verdana" w:cs="Times New Roman"/>
          <w:lang w:eastAsia="es-ES"/>
        </w:rPr>
      </w:pPr>
      <w:r w:rsidRPr="00C55BDE">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00C55BDE">
        <w:rPr>
          <w:rStyle w:val="Refdenotaalpie"/>
          <w:rFonts w:ascii="Verdana" w:eastAsia="Times New Roman" w:hAnsi="Verdana" w:cs="Times New Roman"/>
          <w:lang w:eastAsia="es-ES"/>
        </w:rPr>
        <w:footnoteReference w:id="27"/>
      </w:r>
      <w:r w:rsidRPr="00C55BDE">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1457309C" w14:textId="77777777" w:rsidR="007A74DB" w:rsidRPr="00C55BDE" w:rsidRDefault="007A74DB" w:rsidP="007A74DB">
      <w:pPr>
        <w:spacing w:after="120" w:line="276" w:lineRule="auto"/>
        <w:ind w:firstLine="709"/>
        <w:jc w:val="both"/>
        <w:rPr>
          <w:rFonts w:ascii="Verdana" w:eastAsia="Times New Roman" w:hAnsi="Verdana" w:cs="Times New Roman"/>
          <w:lang w:eastAsia="es-ES"/>
        </w:rPr>
      </w:pPr>
      <w:r w:rsidRPr="00C55BDE">
        <w:rPr>
          <w:rFonts w:ascii="Verdana" w:eastAsia="Times New Roman" w:hAnsi="Verdana" w:cs="Times New Roman"/>
          <w:lang w:eastAsia="es-ES"/>
        </w:rPr>
        <w:t xml:space="preserve">A juicio de la Sala, aunque el propósito de la Circular Externa era legítimo —evitar el uso indebido de recursos en época electoral—, el numeral 16.2. </w:t>
      </w:r>
      <w:r w:rsidRPr="00C55BDE">
        <w:rPr>
          <w:rFonts w:ascii="Verdana" w:eastAsia="Times New Roman" w:hAnsi="Verdana" w:cs="Times New Roman"/>
          <w:lang w:eastAsia="es-ES"/>
        </w:rPr>
        <w:lastRenderedPageBreak/>
        <w:t xml:space="preserve">desconoció el alcance literal del artículo 38 de la Ley 996 de 2005 y los límites de la potestad reglamentaria, lo que configuró un vicio de contenido. </w:t>
      </w:r>
    </w:p>
    <w:p w14:paraId="6FF08592" w14:textId="77777777" w:rsidR="007A74DB" w:rsidRDefault="007A74DB" w:rsidP="007A74DB">
      <w:pPr>
        <w:spacing w:after="120" w:line="276" w:lineRule="auto"/>
        <w:ind w:firstLine="709"/>
        <w:jc w:val="both"/>
        <w:rPr>
          <w:rFonts w:ascii="Verdana" w:eastAsia="Times New Roman" w:hAnsi="Verdana" w:cs="Arial"/>
          <w:lang w:eastAsia="es-CO"/>
        </w:rPr>
      </w:pPr>
      <w:r w:rsidRPr="00C55BDE">
        <w:rPr>
          <w:rFonts w:ascii="Verdana" w:eastAsia="Times New Roman" w:hAnsi="Verdana" w:cs="Arial"/>
          <w:lang w:eastAsia="es-CO"/>
        </w:rPr>
        <w:t xml:space="preserve">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C55BDE">
        <w:rPr>
          <w:rFonts w:ascii="Verdana" w:eastAsia="Times New Roman" w:hAnsi="Verdana" w:cs="Arial"/>
          <w:i/>
          <w:iCs/>
          <w:lang w:eastAsia="es-CO"/>
        </w:rPr>
        <w:t>contratos interadministrativos</w:t>
      </w:r>
      <w:r w:rsidRPr="00C55BDE">
        <w:rPr>
          <w:rFonts w:ascii="Verdana" w:eastAsia="Times New Roman" w:hAnsi="Verdana" w:cs="Arial"/>
          <w:lang w:eastAsia="es-CO"/>
        </w:rPr>
        <w:t>, esta prohibición solo aplicaría a los convenios interadministrativos que impliquen la ejecución de recursos públicos</w:t>
      </w:r>
      <w:r w:rsidRPr="00C55BDE">
        <w:rPr>
          <w:rStyle w:val="Refdenotaalpie"/>
          <w:rFonts w:ascii="Verdana" w:eastAsia="Times New Roman" w:hAnsi="Verdana" w:cs="Arial"/>
          <w:lang w:eastAsia="es-CO"/>
        </w:rPr>
        <w:footnoteReference w:id="28"/>
      </w:r>
      <w:r w:rsidRPr="00C55BDE">
        <w:rPr>
          <w:rFonts w:ascii="Verdana" w:eastAsia="Times New Roman" w:hAnsi="Verdana" w:cs="Arial"/>
          <w:lang w:eastAsia="es-CO"/>
        </w:rPr>
        <w:t>.</w:t>
      </w:r>
    </w:p>
    <w:p w14:paraId="79411504" w14:textId="77777777" w:rsidR="007A74DB" w:rsidRDefault="007A74DB" w:rsidP="007A74DB">
      <w:pPr>
        <w:spacing w:after="120" w:line="276" w:lineRule="auto"/>
        <w:jc w:val="both"/>
        <w:rPr>
          <w:rFonts w:ascii="Verdana" w:hAnsi="Verdana" w:cs="Arial"/>
          <w:noProof/>
        </w:rPr>
      </w:pPr>
      <w:proofErr w:type="spellStart"/>
      <w:r>
        <w:rPr>
          <w:rFonts w:ascii="Verdana" w:eastAsia="Times New Roman" w:hAnsi="Verdana" w:cs="Arial"/>
          <w:bCs/>
          <w:lang w:val="es-MX" w:eastAsia="x-none"/>
        </w:rPr>
        <w:t>iv</w:t>
      </w:r>
      <w:proofErr w:type="spellEnd"/>
      <w:r>
        <w:rPr>
          <w:rFonts w:ascii="Verdana" w:eastAsia="Times New Roman" w:hAnsi="Verdana" w:cs="Arial"/>
          <w:bCs/>
          <w:lang w:val="es-MX" w:eastAsia="x-none"/>
        </w:rPr>
        <w:t xml:space="preserve">. Ahora bien, teniendo en cuenta estas precisiones, es necesario revisar si al acto de designación de un ente ejecutor en el marco de los dispuesto en el Sistema General de Regalías le aplican las restricciones expuestas establecidas en Ley 996 de 2005. Para tales efectos, es pertinente indicar que </w:t>
      </w:r>
      <w:r>
        <w:rPr>
          <w:rFonts w:ascii="Verdana" w:hAnsi="Verdana" w:cs="Arial"/>
          <w:noProof/>
        </w:rPr>
        <w:t>l</w:t>
      </w:r>
      <w:r w:rsidRPr="0015567A">
        <w:rPr>
          <w:rFonts w:ascii="Verdana" w:hAnsi="Verdana" w:cs="Arial"/>
          <w:noProof/>
        </w:rPr>
        <w:t>a Ley 2056 de 2020 establece las reglas generales para los proyectos de inversión en el Sistema General de Regalías</w:t>
      </w:r>
      <w:r>
        <w:rPr>
          <w:rFonts w:ascii="Verdana" w:hAnsi="Verdana" w:cs="Arial"/>
          <w:noProof/>
        </w:rPr>
        <w:t xml:space="preserve">. </w:t>
      </w:r>
    </w:p>
    <w:p w14:paraId="50D038B5" w14:textId="77777777" w:rsidR="007A74DB" w:rsidRPr="0041095A" w:rsidRDefault="007A74DB" w:rsidP="007A74DB">
      <w:pPr>
        <w:spacing w:after="120" w:line="276" w:lineRule="auto"/>
        <w:ind w:firstLine="709"/>
        <w:jc w:val="both"/>
        <w:rPr>
          <w:rFonts w:ascii="Verdana" w:hAnsi="Verdana" w:cs="Arial"/>
        </w:rPr>
      </w:pPr>
      <w:r>
        <w:rPr>
          <w:rFonts w:ascii="Verdana" w:hAnsi="Verdana" w:cs="Arial"/>
        </w:rPr>
        <w:t>L</w:t>
      </w:r>
      <w:r w:rsidRPr="0041095A">
        <w:rPr>
          <w:rFonts w:ascii="Verdana" w:hAnsi="Verdana" w:cs="Arial"/>
        </w:rPr>
        <w:t xml:space="preserve">os artículos 31 de la Ley 2056 de 2020 y 1.2.1.2.22 del Decreto 1821 de 2020 – Decreto Único Reglamentario del Sistema General de Regalías – indican que, como síntesis del ciclo de los proyectos de inversión, será </w:t>
      </w:r>
      <w:r w:rsidRPr="00F716AE">
        <w:rPr>
          <w:rFonts w:ascii="Verdana" w:hAnsi="Verdana" w:cs="Arial"/>
          <w:i/>
          <w:iCs/>
        </w:rPr>
        <w:t>designada</w:t>
      </w:r>
      <w:r w:rsidRPr="0041095A">
        <w:rPr>
          <w:rFonts w:ascii="Verdana" w:hAnsi="Verdana" w:cs="Arial"/>
        </w:rPr>
        <w:t xml:space="preserve"> una entidad ejecutora, la cual estará encargada de su materialización. Al efecto, la entidad ejecutora deberá cumplir con los requisitos establecidos en las normas del sector al que pertenezca el proyecto.</w:t>
      </w:r>
    </w:p>
    <w:p w14:paraId="5F1C5424" w14:textId="77777777" w:rsidR="007A74DB" w:rsidRPr="0041095A" w:rsidRDefault="007A74DB" w:rsidP="007A74DB">
      <w:pPr>
        <w:spacing w:after="120" w:line="276" w:lineRule="auto"/>
        <w:ind w:firstLine="709"/>
        <w:jc w:val="both"/>
        <w:rPr>
          <w:rFonts w:ascii="Verdana" w:hAnsi="Verdana" w:cs="Arial"/>
        </w:rPr>
      </w:pPr>
      <w:r w:rsidRPr="0041095A">
        <w:rPr>
          <w:rFonts w:ascii="Verdana" w:hAnsi="Verdana" w:cs="Arial"/>
        </w:rPr>
        <w:t xml:space="preserve">De conformidad con el literal b) del artículo 1.2.10.1.2 del Decreto 1821 de 2020, son entidades ejecutoras las: “entidades de naturaleza pública, esquemas asociativos territoriales, las señaladas en el parágrafo primero del artículo 84 y el parágrafo primero del artículo 98 de la Ley 2056 de 2020 designadas para la ejecución de proyectos de inversión financiados con recursos del SGR por las instancias competentes para su aprobación, así como los ejecutores de que trata el artículo 54 de la Ley 2056 de 2020”. </w:t>
      </w:r>
    </w:p>
    <w:p w14:paraId="5CD4C17E" w14:textId="77777777" w:rsidR="007A74DB" w:rsidRPr="00C30604" w:rsidRDefault="007A74DB" w:rsidP="007A74DB">
      <w:pPr>
        <w:spacing w:after="120" w:line="276" w:lineRule="auto"/>
        <w:ind w:firstLine="709"/>
        <w:jc w:val="both"/>
        <w:rPr>
          <w:rFonts w:ascii="Verdana" w:hAnsi="Verdana" w:cs="Arial"/>
        </w:rPr>
      </w:pPr>
      <w:r w:rsidRPr="0041095A">
        <w:rPr>
          <w:rFonts w:ascii="Verdana" w:hAnsi="Verdana" w:cs="Arial"/>
        </w:rPr>
        <w:t xml:space="preserve">Sobre el particular, el Departamento Nacional de Planeación ha señalado que, teniendo en cuenta la normativa del Sistema General de Regalías, es posible concluir que, las instancias encargadas de designar al ejecutor de los proyectos de inversión financiados con recursos de Asignaciones Directas, la Asignación </w:t>
      </w:r>
      <w:r w:rsidRPr="0041095A">
        <w:rPr>
          <w:rFonts w:ascii="Verdana" w:hAnsi="Verdana" w:cs="Arial"/>
        </w:rPr>
        <w:lastRenderedPageBreak/>
        <w:t xml:space="preserve">para la Inversión Local y de la Asignación para la Inversión Regional en cabeza de los departamentos podrán </w:t>
      </w:r>
      <w:r w:rsidRPr="00F716AE">
        <w:rPr>
          <w:rFonts w:ascii="Verdana" w:hAnsi="Verdana" w:cs="Arial"/>
          <w:i/>
          <w:iCs/>
        </w:rPr>
        <w:t>designar</w:t>
      </w:r>
      <w:r w:rsidRPr="0041095A">
        <w:rPr>
          <w:rFonts w:ascii="Verdana" w:hAnsi="Verdana" w:cs="Arial"/>
        </w:rPr>
        <w:t xml:space="preserve"> como tal a aquellas asociaciones o personas jurídicas creadas en virtud del artículo 96 de la Ley 489 de 1998</w:t>
      </w:r>
      <w:r>
        <w:rPr>
          <w:rFonts w:ascii="Verdana" w:hAnsi="Verdana" w:cs="Arial"/>
        </w:rPr>
        <w:t>.</w:t>
      </w:r>
    </w:p>
    <w:p w14:paraId="690FE57F" w14:textId="77777777" w:rsidR="007A74DB" w:rsidRDefault="007A74DB" w:rsidP="007A74DB">
      <w:pPr>
        <w:spacing w:after="120" w:line="276" w:lineRule="auto"/>
        <w:ind w:firstLine="709"/>
        <w:jc w:val="both"/>
        <w:rPr>
          <w:rFonts w:ascii="Verdana" w:hAnsi="Verdana" w:cs="Arial"/>
        </w:rPr>
      </w:pPr>
      <w:r>
        <w:rPr>
          <w:rFonts w:ascii="Verdana" w:hAnsi="Verdana" w:cs="Arial"/>
        </w:rPr>
        <w:t>E</w:t>
      </w:r>
      <w:r w:rsidRPr="0015567A">
        <w:rPr>
          <w:rFonts w:ascii="Verdana" w:hAnsi="Verdana" w:cs="Arial"/>
        </w:rPr>
        <w:t xml:space="preserve">l artículo 37 de la Ley 2056 de 2020 dispone que los proyectos de inversión que se financien con cargo al Sistema General de Regalías serán ejecutados por quien </w:t>
      </w:r>
      <w:r w:rsidRPr="00335DB4">
        <w:rPr>
          <w:rFonts w:ascii="Verdana" w:hAnsi="Verdana" w:cs="Arial"/>
          <w:i/>
          <w:iCs/>
        </w:rPr>
        <w:t>designe</w:t>
      </w:r>
      <w:r w:rsidRPr="0015567A">
        <w:rPr>
          <w:rFonts w:ascii="Verdana" w:hAnsi="Verdana" w:cs="Arial"/>
        </w:rPr>
        <w:t xml:space="preserve"> las entidades u órganos de que tratan los artículos 35 y 36 </w:t>
      </w:r>
      <w:r w:rsidRPr="0015567A">
        <w:rPr>
          <w:rFonts w:ascii="Verdana" w:hAnsi="Verdana" w:cs="Arial"/>
          <w:i/>
          <w:iCs/>
        </w:rPr>
        <w:t>ibidem</w:t>
      </w:r>
      <w:r w:rsidRPr="0015567A">
        <w:rPr>
          <w:rFonts w:ascii="Verdana" w:hAnsi="Verdana" w:cs="Arial"/>
        </w:rPr>
        <w:t xml:space="preserve">. También agrega que la entidad pública ejecutora tiene el deber de adelantar la contratación de la interventoría, de conformidad con lo previsto en la presente ley. Las entidades ejecutoras de recursos del Sistema son responsables de suministrar de forma veraz, oportuna e idónea, la información de la gestión de los proyectos que se requiera e implementar las actuaciones pertinentes para encauzar el desempeño de los proyectos de inversión y decidir, de manera motivada, sobre la continuidad de </w:t>
      </w:r>
      <w:proofErr w:type="gramStart"/>
      <w:r w:rsidRPr="0015567A">
        <w:rPr>
          <w:rFonts w:ascii="Verdana" w:hAnsi="Verdana" w:cs="Arial"/>
        </w:rPr>
        <w:t>los mismos</w:t>
      </w:r>
      <w:proofErr w:type="gramEnd"/>
      <w:r w:rsidRPr="0015567A">
        <w:rPr>
          <w:rFonts w:ascii="Verdana" w:hAnsi="Verdana" w:cs="Arial"/>
        </w:rPr>
        <w:t xml:space="preserve">, sin perjuicio de las acciones de control a las que haya lugar. </w:t>
      </w:r>
    </w:p>
    <w:p w14:paraId="21E43A77" w14:textId="77777777" w:rsidR="007A74DB" w:rsidRPr="00DE07BF" w:rsidRDefault="007A74DB" w:rsidP="007A74DB">
      <w:pPr>
        <w:spacing w:after="120" w:line="276" w:lineRule="auto"/>
        <w:ind w:firstLine="709"/>
        <w:jc w:val="both"/>
        <w:rPr>
          <w:rFonts w:ascii="Verdana" w:hAnsi="Verdana" w:cs="Arial"/>
        </w:rPr>
      </w:pPr>
      <w:r>
        <w:rPr>
          <w:rFonts w:ascii="Verdana" w:hAnsi="Verdana" w:cs="Arial"/>
        </w:rPr>
        <w:t xml:space="preserve">Las normas precitadas no señalan el alcance del verbo “designar”, por lo </w:t>
      </w:r>
      <w:r>
        <w:rPr>
          <w:rFonts w:ascii="Verdana" w:eastAsia="Calibri" w:hAnsi="Verdana" w:cs="Arial"/>
          <w:bCs/>
          <w:color w:val="000000" w:themeColor="text1"/>
        </w:rPr>
        <w:t xml:space="preserve">es necesario aplicar las reglas generales sobre el alcance de los términos consagrados en el ordenamiento jurídico. </w:t>
      </w:r>
      <w:r w:rsidRPr="00B620EA">
        <w:rPr>
          <w:rFonts w:ascii="Verdana" w:eastAsia="Calibri" w:hAnsi="Verdana" w:cs="Arial"/>
          <w:bCs/>
          <w:color w:val="000000" w:themeColor="text1"/>
        </w:rPr>
        <w:t>Al respecto, el artículo 28 del Código Civil dispone que “Las palabras de la ley se entenderán en su sentido natural y obvio, según el uso general de las mismas palabras; pero cuando el legislador las haya definido expresamente para ciertas materias, se les dará en éstas su significado legal”</w:t>
      </w:r>
      <w:r>
        <w:rPr>
          <w:rFonts w:ascii="Verdana" w:eastAsia="Calibri" w:hAnsi="Verdana" w:cs="Arial"/>
          <w:bCs/>
          <w:color w:val="000000" w:themeColor="text1"/>
        </w:rPr>
        <w:t>; i</w:t>
      </w:r>
      <w:r w:rsidRPr="00B620EA">
        <w:rPr>
          <w:rFonts w:ascii="Verdana" w:eastAsia="Calibri" w:hAnsi="Verdana" w:cs="Arial"/>
          <w:bCs/>
          <w:color w:val="000000" w:themeColor="text1"/>
        </w:rPr>
        <w:t xml:space="preserve">gualmente, el artículo 29 </w:t>
      </w:r>
      <w:r w:rsidRPr="00240A54">
        <w:rPr>
          <w:rFonts w:ascii="Verdana" w:eastAsia="Calibri" w:hAnsi="Verdana" w:cs="Arial"/>
          <w:bCs/>
          <w:i/>
          <w:iCs/>
          <w:color w:val="000000" w:themeColor="text1"/>
        </w:rPr>
        <w:t>ibidem</w:t>
      </w:r>
      <w:r w:rsidRPr="00B620EA">
        <w:rPr>
          <w:rFonts w:ascii="Verdana" w:eastAsia="Calibri" w:hAnsi="Verdana" w:cs="Arial"/>
          <w:bCs/>
          <w:color w:val="000000" w:themeColor="text1"/>
        </w:rPr>
        <w:t xml:space="preserve"> prescribe lo siguiente: “Las palabras técnicas de toda ciencia o arte se tomarán en el sentido que les den los que profesan la misma ciencia o arte; a menos que aparezca claramente que se han formado en sentido diverso”</w:t>
      </w:r>
      <w:r>
        <w:rPr>
          <w:rStyle w:val="Refdenotaalpie"/>
          <w:rFonts w:ascii="Verdana" w:eastAsia="Calibri" w:hAnsi="Verdana" w:cs="Arial"/>
          <w:bCs/>
          <w:color w:val="000000" w:themeColor="text1"/>
        </w:rPr>
        <w:footnoteReference w:id="29"/>
      </w:r>
      <w:r>
        <w:rPr>
          <w:rFonts w:ascii="Verdana" w:eastAsia="Calibri" w:hAnsi="Verdana" w:cs="Arial"/>
          <w:bCs/>
          <w:color w:val="000000" w:themeColor="text1"/>
        </w:rPr>
        <w:t>.</w:t>
      </w:r>
    </w:p>
    <w:p w14:paraId="4BA3AE56" w14:textId="77777777" w:rsidR="007A74DB" w:rsidRDefault="007A74DB" w:rsidP="007A74DB">
      <w:pPr>
        <w:spacing w:after="0" w:line="276" w:lineRule="auto"/>
        <w:ind w:firstLine="709"/>
        <w:jc w:val="both"/>
        <w:rPr>
          <w:rFonts w:ascii="Verdana" w:eastAsia="Calibri" w:hAnsi="Verdana" w:cs="Arial"/>
          <w:bCs/>
          <w:color w:val="000000" w:themeColor="text1"/>
        </w:rPr>
      </w:pPr>
      <w:r>
        <w:rPr>
          <w:rFonts w:ascii="Verdana" w:eastAsia="Calibri" w:hAnsi="Verdana" w:cs="Arial"/>
          <w:bCs/>
          <w:color w:val="000000" w:themeColor="text1"/>
        </w:rPr>
        <w:t xml:space="preserve">Conforme al diccionario de la RAE, </w:t>
      </w:r>
      <w:r>
        <w:rPr>
          <w:rFonts w:ascii="Verdana" w:hAnsi="Verdana" w:cs="Arial"/>
        </w:rPr>
        <w:t>“designar” corresponde a “</w:t>
      </w:r>
      <w:r w:rsidRPr="00594523">
        <w:rPr>
          <w:rFonts w:ascii="Verdana" w:eastAsia="Calibri" w:hAnsi="Verdana" w:cs="Arial"/>
          <w:bCs/>
          <w:color w:val="000000" w:themeColor="text1"/>
        </w:rPr>
        <w:t>Señalar o destinar a alguien o algo para determinado fin</w:t>
      </w:r>
      <w:r>
        <w:rPr>
          <w:rFonts w:ascii="Verdana" w:eastAsia="Calibri" w:hAnsi="Verdana" w:cs="Arial"/>
          <w:bCs/>
          <w:color w:val="000000" w:themeColor="text1"/>
        </w:rPr>
        <w:t>”</w:t>
      </w:r>
      <w:r w:rsidRPr="00594523">
        <w:rPr>
          <w:rFonts w:ascii="Verdana" w:eastAsia="Calibri" w:hAnsi="Verdana" w:cs="Arial"/>
          <w:bCs/>
          <w:color w:val="000000" w:themeColor="text1"/>
        </w:rPr>
        <w:t>.</w:t>
      </w:r>
      <w:r>
        <w:rPr>
          <w:rFonts w:ascii="Verdana" w:eastAsia="Calibri" w:hAnsi="Verdana" w:cs="Arial"/>
          <w:bCs/>
          <w:color w:val="000000" w:themeColor="text1"/>
        </w:rPr>
        <w:t xml:space="preserve"> El significado de esta palabra indica la naturaleza jurídica del acto que designa a la entidad ejecutora de los </w:t>
      </w:r>
      <w:r>
        <w:rPr>
          <w:rFonts w:ascii="Verdana" w:eastAsia="Calibri" w:hAnsi="Verdana" w:cs="Arial"/>
          <w:bCs/>
          <w:color w:val="000000" w:themeColor="text1"/>
        </w:rPr>
        <w:lastRenderedPageBreak/>
        <w:t>proyectos adelantados con cargo al Sistema General de Regalías, pues se trata de una actuación unilateral que no requiere aceptación o consentimiento por parte del destinatario. Ello hace que, conforme a la doctrina sentada por la ANCP – CCE en el Concepto C-489 del 1˚ de agosto de 2022, la designación del ejecutor tenga la naturaleza de un acto administrativo, no de un contrato estatal. En torno a estas dos manifestaciones de la actuación administrativa, la doctrina sostiene que:</w:t>
      </w:r>
    </w:p>
    <w:p w14:paraId="6164018A" w14:textId="77777777" w:rsidR="007A74DB" w:rsidRDefault="007A74DB" w:rsidP="007A74DB">
      <w:pPr>
        <w:spacing w:after="0" w:line="276" w:lineRule="auto"/>
        <w:ind w:firstLine="709"/>
        <w:jc w:val="both"/>
        <w:rPr>
          <w:rFonts w:ascii="Verdana" w:eastAsia="Calibri" w:hAnsi="Verdana" w:cs="Arial"/>
          <w:bCs/>
          <w:color w:val="000000" w:themeColor="text1"/>
        </w:rPr>
      </w:pPr>
    </w:p>
    <w:p w14:paraId="549C0557" w14:textId="77777777" w:rsidR="007A74DB" w:rsidRPr="002D7472" w:rsidRDefault="007A74DB" w:rsidP="007A74DB">
      <w:pPr>
        <w:spacing w:after="0" w:line="240" w:lineRule="auto"/>
        <w:ind w:left="709" w:right="709"/>
        <w:jc w:val="both"/>
        <w:rPr>
          <w:rFonts w:ascii="Verdana" w:eastAsia="Calibri" w:hAnsi="Verdana" w:cs="Arial"/>
          <w:bCs/>
          <w:color w:val="000000" w:themeColor="text1"/>
          <w:sz w:val="20"/>
          <w:szCs w:val="20"/>
        </w:rPr>
      </w:pPr>
      <w:r w:rsidRPr="002D7472">
        <w:rPr>
          <w:rFonts w:ascii="Verdana" w:eastAsia="Calibri" w:hAnsi="Verdana" w:cs="Arial"/>
          <w:bCs/>
          <w:color w:val="000000" w:themeColor="text1"/>
          <w:sz w:val="20"/>
          <w:szCs w:val="20"/>
        </w:rPr>
        <w:t>“Las diferencias entre el contrato (acto bilateral) y el acto administrativo (acto unilateral) son mayores que las similitudes y marcan dos instituciones bien diversas del derecho administrativo. Cualquier libro de la materia con uno o más acápites especiales sobre los contratos administrativos, muestra de hecho cómo no es posible analizar conjuntamente los contratos y los actos unilaterales de la administración. De allí se sigue, para nosotros, que tampoco conviene conceptuarlos conjuntamente”</w:t>
      </w:r>
      <w:r w:rsidRPr="002D7472">
        <w:rPr>
          <w:rStyle w:val="Refdenotaalpie"/>
          <w:rFonts w:ascii="Verdana" w:eastAsia="Calibri" w:hAnsi="Verdana" w:cs="Arial"/>
          <w:bCs/>
          <w:color w:val="000000" w:themeColor="text1"/>
          <w:sz w:val="20"/>
          <w:szCs w:val="20"/>
        </w:rPr>
        <w:footnoteReference w:id="30"/>
      </w:r>
      <w:r w:rsidRPr="002D7472">
        <w:rPr>
          <w:rFonts w:ascii="Verdana" w:eastAsia="Calibri" w:hAnsi="Verdana" w:cs="Arial"/>
          <w:bCs/>
          <w:color w:val="000000" w:themeColor="text1"/>
          <w:sz w:val="20"/>
          <w:szCs w:val="20"/>
        </w:rPr>
        <w:t>.</w:t>
      </w:r>
    </w:p>
    <w:p w14:paraId="0085BE44" w14:textId="77777777" w:rsidR="007A74DB" w:rsidRDefault="007A74DB" w:rsidP="007A74DB">
      <w:pPr>
        <w:spacing w:after="0" w:line="276" w:lineRule="auto"/>
        <w:jc w:val="both"/>
        <w:rPr>
          <w:rFonts w:ascii="Verdana" w:eastAsia="Calibri" w:hAnsi="Verdana" w:cs="Arial"/>
          <w:bCs/>
          <w:color w:val="000000" w:themeColor="text1"/>
        </w:rPr>
      </w:pPr>
    </w:p>
    <w:p w14:paraId="25E0DA25" w14:textId="77777777" w:rsidR="007A74DB" w:rsidRDefault="007A74DB" w:rsidP="007A74DB">
      <w:pPr>
        <w:spacing w:after="120" w:line="276" w:lineRule="auto"/>
        <w:ind w:firstLine="709"/>
        <w:jc w:val="both"/>
        <w:rPr>
          <w:rFonts w:ascii="Verdana" w:eastAsia="Calibri" w:hAnsi="Verdana" w:cs="Arial"/>
          <w:bCs/>
          <w:color w:val="000000" w:themeColor="text1"/>
        </w:rPr>
      </w:pPr>
      <w:r>
        <w:rPr>
          <w:rFonts w:ascii="Verdana" w:eastAsia="Calibri" w:hAnsi="Verdana" w:cs="Arial"/>
          <w:bCs/>
          <w:color w:val="000000" w:themeColor="text1"/>
        </w:rPr>
        <w:t xml:space="preserve">En efecto, </w:t>
      </w:r>
      <w:r w:rsidRPr="0053322E">
        <w:rPr>
          <w:rFonts w:ascii="Verdana" w:eastAsia="Calibri" w:hAnsi="Verdana" w:cs="Arial"/>
          <w:bCs/>
          <w:color w:val="000000" w:themeColor="text1"/>
        </w:rPr>
        <w:t xml:space="preserve">el </w:t>
      </w:r>
      <w:r w:rsidRPr="0053322E">
        <w:rPr>
          <w:rFonts w:ascii="Verdana" w:eastAsia="Calibri" w:hAnsi="Verdana" w:cs="Arial"/>
          <w:bCs/>
          <w:i/>
          <w:iCs/>
          <w:color w:val="000000" w:themeColor="text1"/>
        </w:rPr>
        <w:t>contrato</w:t>
      </w:r>
      <w:r w:rsidRPr="0053322E">
        <w:rPr>
          <w:rFonts w:ascii="Verdana" w:eastAsia="Calibri" w:hAnsi="Verdana" w:cs="Arial"/>
          <w:bCs/>
          <w:color w:val="000000" w:themeColor="text1"/>
        </w:rPr>
        <w:t xml:space="preserve"> es un acuerdo de voluntades para producir obligaciones. Como dispone el artículo 1495 del Código Civil, </w:t>
      </w:r>
      <w:r>
        <w:rPr>
          <w:rFonts w:ascii="Verdana" w:eastAsia="Calibri" w:hAnsi="Verdana" w:cs="Arial"/>
          <w:bCs/>
          <w:color w:val="000000" w:themeColor="text1"/>
          <w:sz w:val="20"/>
          <w:szCs w:val="20"/>
        </w:rPr>
        <w:t>“</w:t>
      </w:r>
      <w:r w:rsidRPr="0053322E">
        <w:rPr>
          <w:rFonts w:ascii="Verdana" w:eastAsia="Calibri" w:hAnsi="Verdana" w:cs="Arial"/>
          <w:bCs/>
          <w:color w:val="000000" w:themeColor="text1"/>
        </w:rPr>
        <w:t>[…] es un acto por el cual una parte se obliga para con otra a dar, hacer o no hacer alguna cosa […]</w:t>
      </w:r>
      <w:r>
        <w:rPr>
          <w:rFonts w:ascii="Verdana" w:eastAsia="Calibri" w:hAnsi="Verdana" w:cs="Arial"/>
          <w:bCs/>
          <w:color w:val="000000" w:themeColor="text1"/>
        </w:rPr>
        <w:t>”</w:t>
      </w:r>
      <w:r w:rsidRPr="0053322E">
        <w:rPr>
          <w:rFonts w:ascii="Verdana" w:eastAsia="Calibri" w:hAnsi="Verdana" w:cs="Arial"/>
          <w:bCs/>
          <w:color w:val="000000" w:themeColor="text1"/>
        </w:rPr>
        <w:t xml:space="preserve">. Si bien es una manifestación de voluntad, el surgimiento del contrato estatal requiere el concurso de por lo menos dos (2) personas, uno de las cuales será necesariamente un sujeto de derecho público. De esta definición no se desprende que </w:t>
      </w:r>
      <w:r>
        <w:rPr>
          <w:rFonts w:ascii="Verdana" w:eastAsia="Calibri" w:hAnsi="Verdana" w:cs="Arial"/>
          <w:bCs/>
          <w:color w:val="000000" w:themeColor="text1"/>
        </w:rPr>
        <w:t>el acto que designa a la entidad ejecutora de los proyectos adelantados con cargo al Sistema General de Regalías</w:t>
      </w:r>
      <w:r w:rsidRPr="0053322E">
        <w:rPr>
          <w:rFonts w:ascii="Verdana" w:eastAsia="Calibri" w:hAnsi="Verdana" w:cs="Arial"/>
          <w:bCs/>
          <w:color w:val="000000" w:themeColor="text1"/>
        </w:rPr>
        <w:t xml:space="preserve"> responda a esta idea, máxime cuando basta la manifestación unilateral para su expedición. </w:t>
      </w:r>
    </w:p>
    <w:p w14:paraId="3E1D940F" w14:textId="77777777" w:rsidR="007A74DB" w:rsidRPr="00AC291C" w:rsidRDefault="007A74DB" w:rsidP="007A74DB">
      <w:pPr>
        <w:spacing w:after="0" w:line="276" w:lineRule="auto"/>
        <w:ind w:firstLine="708"/>
        <w:jc w:val="both"/>
        <w:rPr>
          <w:rFonts w:ascii="Verdana" w:eastAsia="Calibri" w:hAnsi="Verdana" w:cs="Arial"/>
        </w:rPr>
      </w:pPr>
      <w:bookmarkStart w:id="13" w:name="_Hlk37098745"/>
      <w:r>
        <w:rPr>
          <w:rFonts w:ascii="Verdana" w:eastAsia="Calibri" w:hAnsi="Verdana" w:cs="Arial"/>
        </w:rPr>
        <w:t>Por ello, la Agencia estima que la designación del ejecutor</w:t>
      </w:r>
      <w:r w:rsidRPr="00AC291C">
        <w:rPr>
          <w:rFonts w:ascii="Verdana" w:eastAsia="Calibri" w:hAnsi="Verdana" w:cs="Arial"/>
        </w:rPr>
        <w:t xml:space="preserve"> es un </w:t>
      </w:r>
      <w:r w:rsidRPr="00AC291C">
        <w:rPr>
          <w:rFonts w:ascii="Verdana" w:eastAsia="Calibri" w:hAnsi="Verdana" w:cs="Arial"/>
          <w:i/>
          <w:iCs/>
        </w:rPr>
        <w:t>acto administrativo</w:t>
      </w:r>
      <w:r w:rsidRPr="00AC291C">
        <w:rPr>
          <w:rFonts w:ascii="Verdana" w:eastAsia="Calibri" w:hAnsi="Verdana" w:cs="Arial"/>
        </w:rPr>
        <w:t xml:space="preserve">, esto es, </w:t>
      </w:r>
      <w:bookmarkStart w:id="14" w:name="_Hlk37098142"/>
      <w:r w:rsidRPr="00AC291C">
        <w:rPr>
          <w:rFonts w:ascii="Verdana" w:eastAsia="Calibri" w:hAnsi="Verdana" w:cs="Arial"/>
        </w:rPr>
        <w:t>una declaración unilateral de voluntad de un órgano del Estado que ejerce función administrativa y que produce efectos jurídicos</w:t>
      </w:r>
      <w:bookmarkEnd w:id="14"/>
      <w:r w:rsidRPr="00AC291C">
        <w:rPr>
          <w:rFonts w:ascii="Verdana" w:eastAsia="Calibri" w:hAnsi="Verdana" w:cs="Arial"/>
        </w:rPr>
        <w:t xml:space="preserve">. En efecto, que sea una declaración de voluntad supone que este documento no es una operación, un hecho o una omisión, pues mientras la primera implica la realización de actividades materiales para el cumplimiento de una decisión previa, las restantes se relacionan con circunstancias ajenas al querer de las entidades públicas, las cuales tienen origen en determinados sucesos físicos –como la ruina de un edificio– o en la abstenciones de la Administración –como la accidentalidad vial derivada de la ausencia en el mantenimiento de las </w:t>
      </w:r>
      <w:r w:rsidRPr="00AC291C">
        <w:rPr>
          <w:rFonts w:ascii="Verdana" w:eastAsia="Calibri" w:hAnsi="Verdana" w:cs="Arial"/>
        </w:rPr>
        <w:lastRenderedPageBreak/>
        <w:t>carreteras–. Además, que sea una declaración unilateral explica por</w:t>
      </w:r>
      <w:r>
        <w:rPr>
          <w:rFonts w:ascii="Verdana" w:eastAsia="Calibri" w:hAnsi="Verdana" w:cs="Arial"/>
        </w:rPr>
        <w:t xml:space="preserve"> </w:t>
      </w:r>
      <w:r w:rsidRPr="00AC291C">
        <w:rPr>
          <w:rFonts w:ascii="Verdana" w:eastAsia="Calibri" w:hAnsi="Verdana" w:cs="Arial"/>
        </w:rPr>
        <w:t>qué los actos administrativos se diferencian de los contratos, pues aquellos excluyen el concurso de voluntades entre dos (2) o más personas; motivo por el cual, no es necesario el consentimiento para su expedición</w:t>
      </w:r>
      <w:bookmarkEnd w:id="13"/>
      <w:r w:rsidRPr="00AC291C">
        <w:rPr>
          <w:rFonts w:ascii="Verdana" w:eastAsia="Calibri" w:hAnsi="Verdana" w:cs="Arial"/>
        </w:rPr>
        <w:t xml:space="preserve">. No en vano, la jurisprudencia explica </w:t>
      </w:r>
      <w:r>
        <w:rPr>
          <w:rFonts w:ascii="Verdana" w:eastAsia="Calibri" w:hAnsi="Verdana" w:cs="Arial"/>
        </w:rPr>
        <w:t>lo siguiente</w:t>
      </w:r>
      <w:r w:rsidRPr="00AC291C">
        <w:rPr>
          <w:rFonts w:ascii="Verdana" w:eastAsia="Calibri" w:hAnsi="Verdana" w:cs="Arial"/>
        </w:rPr>
        <w:t xml:space="preserve">:  </w:t>
      </w:r>
    </w:p>
    <w:p w14:paraId="0FC5E7E5" w14:textId="77777777" w:rsidR="007A74DB" w:rsidRPr="00AC291C" w:rsidRDefault="007A74DB" w:rsidP="007A74DB">
      <w:pPr>
        <w:spacing w:after="0" w:line="276" w:lineRule="auto"/>
        <w:jc w:val="both"/>
        <w:rPr>
          <w:rFonts w:ascii="Verdana" w:eastAsia="Calibri" w:hAnsi="Verdana" w:cs="Arial"/>
        </w:rPr>
      </w:pPr>
    </w:p>
    <w:p w14:paraId="365DEF4B" w14:textId="77777777" w:rsidR="007A74DB" w:rsidRPr="00312D9E" w:rsidRDefault="007A74DB" w:rsidP="007A74DB">
      <w:pPr>
        <w:spacing w:after="120" w:line="240" w:lineRule="auto"/>
        <w:ind w:left="709" w:right="709"/>
        <w:jc w:val="both"/>
        <w:rPr>
          <w:rFonts w:ascii="Verdana" w:eastAsia="Calibri" w:hAnsi="Verdana" w:cs="Arial"/>
          <w:sz w:val="20"/>
          <w:szCs w:val="20"/>
        </w:rPr>
      </w:pPr>
      <w:r w:rsidRPr="00312D9E">
        <w:rPr>
          <w:rFonts w:ascii="Verdana" w:eastAsia="Calibri" w:hAnsi="Verdana" w:cs="Arial"/>
          <w:sz w:val="20"/>
          <w:szCs w:val="20"/>
        </w:rPr>
        <w:t>“Por acto administrativo […] se entiende toda manifestación unilateral, por regla general de voluntad, de quienes ejercen funciones administrativas, tendiente a la producción de efectos jurídicos.</w:t>
      </w:r>
    </w:p>
    <w:p w14:paraId="4CB1E570" w14:textId="77777777" w:rsidR="007A74DB" w:rsidRPr="00312D9E" w:rsidRDefault="007A74DB" w:rsidP="007A74DB">
      <w:pPr>
        <w:spacing w:after="0" w:line="240" w:lineRule="auto"/>
        <w:ind w:left="709" w:right="709"/>
        <w:jc w:val="both"/>
        <w:rPr>
          <w:rFonts w:ascii="Verdana" w:eastAsia="Calibri" w:hAnsi="Verdana" w:cs="Arial"/>
          <w:sz w:val="20"/>
          <w:szCs w:val="20"/>
        </w:rPr>
      </w:pPr>
      <w:r w:rsidRPr="00312D9E">
        <w:rPr>
          <w:rFonts w:ascii="Verdana" w:eastAsia="Calibri" w:hAnsi="Verdana" w:cs="Arial"/>
          <w:sz w:val="20"/>
          <w:szCs w:val="20"/>
        </w:rPr>
        <w:t>De esta manera se dice que son 5 los elementos claves para llegar a la conclusión de que existe un acto administrativo: (i) la expresión o manifestación concreta de la administración; (</w:t>
      </w:r>
      <w:proofErr w:type="spellStart"/>
      <w:r w:rsidRPr="00312D9E">
        <w:rPr>
          <w:rFonts w:ascii="Verdana" w:eastAsia="Calibri" w:hAnsi="Verdana" w:cs="Arial"/>
          <w:sz w:val="20"/>
          <w:szCs w:val="20"/>
        </w:rPr>
        <w:t>ii</w:t>
      </w:r>
      <w:proofErr w:type="spellEnd"/>
      <w:r w:rsidRPr="00312D9E">
        <w:rPr>
          <w:rFonts w:ascii="Verdana" w:eastAsia="Calibri" w:hAnsi="Verdana" w:cs="Arial"/>
          <w:sz w:val="20"/>
          <w:szCs w:val="20"/>
        </w:rPr>
        <w:t>) la expresión unilateral del querer de la administración; (</w:t>
      </w:r>
      <w:proofErr w:type="spellStart"/>
      <w:r w:rsidRPr="00312D9E">
        <w:rPr>
          <w:rFonts w:ascii="Verdana" w:eastAsia="Calibri" w:hAnsi="Verdana" w:cs="Arial"/>
          <w:sz w:val="20"/>
          <w:szCs w:val="20"/>
        </w:rPr>
        <w:t>iii</w:t>
      </w:r>
      <w:proofErr w:type="spellEnd"/>
      <w:r w:rsidRPr="00312D9E">
        <w:rPr>
          <w:rFonts w:ascii="Verdana" w:eastAsia="Calibri" w:hAnsi="Verdana" w:cs="Arial"/>
          <w:sz w:val="20"/>
          <w:szCs w:val="20"/>
        </w:rPr>
        <w:t>) el ejercicio de la función administrativa mediante la declaración de la voluntad de la administración; (</w:t>
      </w:r>
      <w:proofErr w:type="spellStart"/>
      <w:r w:rsidRPr="00312D9E">
        <w:rPr>
          <w:rFonts w:ascii="Verdana" w:eastAsia="Calibri" w:hAnsi="Verdana" w:cs="Arial"/>
          <w:sz w:val="20"/>
          <w:szCs w:val="20"/>
        </w:rPr>
        <w:t>iv</w:t>
      </w:r>
      <w:proofErr w:type="spellEnd"/>
      <w:r w:rsidRPr="00312D9E">
        <w:rPr>
          <w:rFonts w:ascii="Verdana" w:eastAsia="Calibri" w:hAnsi="Verdana" w:cs="Arial"/>
          <w:sz w:val="20"/>
          <w:szCs w:val="20"/>
        </w:rPr>
        <w:t>) que su contenido material equivalga al ejercicio de una función administrativa así provenga de cualquiera de los órganos del poder público o de particulares; (v) que posea la fuerza suficiente para decidir y crear situaciones jurídicas a partir de su contenido, de manera que esta se configura como la característica reveladora o de mayor importancia”</w:t>
      </w:r>
      <w:r w:rsidRPr="00312D9E">
        <w:rPr>
          <w:rStyle w:val="Refdenotaalpie"/>
          <w:rFonts w:ascii="Verdana" w:eastAsia="Calibri" w:hAnsi="Verdana" w:cs="Arial"/>
          <w:sz w:val="20"/>
          <w:szCs w:val="20"/>
        </w:rPr>
        <w:footnoteReference w:id="31"/>
      </w:r>
      <w:r w:rsidRPr="00312D9E">
        <w:rPr>
          <w:rFonts w:ascii="Verdana" w:eastAsia="Calibri" w:hAnsi="Verdana" w:cs="Arial"/>
          <w:sz w:val="20"/>
          <w:szCs w:val="20"/>
        </w:rPr>
        <w:t>.</w:t>
      </w:r>
    </w:p>
    <w:p w14:paraId="5FBBE7AE" w14:textId="77777777" w:rsidR="007A74DB" w:rsidRPr="00312D9E" w:rsidRDefault="007A74DB" w:rsidP="007A74DB">
      <w:pPr>
        <w:spacing w:after="0" w:line="276" w:lineRule="auto"/>
        <w:jc w:val="both"/>
        <w:rPr>
          <w:rFonts w:ascii="Verdana" w:eastAsia="Calibri" w:hAnsi="Verdana" w:cs="Arial"/>
          <w:sz w:val="20"/>
          <w:szCs w:val="20"/>
        </w:rPr>
      </w:pPr>
    </w:p>
    <w:p w14:paraId="46B3F0ED" w14:textId="77777777" w:rsidR="007A74DB" w:rsidRPr="00AC291C" w:rsidRDefault="007A74DB" w:rsidP="007A74DB">
      <w:pPr>
        <w:spacing w:after="120" w:line="276" w:lineRule="auto"/>
        <w:ind w:firstLine="708"/>
        <w:jc w:val="both"/>
        <w:rPr>
          <w:rFonts w:ascii="Verdana" w:eastAsia="Calibri" w:hAnsi="Verdana" w:cs="Arial"/>
        </w:rPr>
      </w:pPr>
      <w:r w:rsidRPr="00AC291C">
        <w:rPr>
          <w:rFonts w:ascii="Verdana" w:eastAsia="Calibri" w:hAnsi="Verdana" w:cs="Arial"/>
        </w:rPr>
        <w:t xml:space="preserve">Aunque el criterio de exclusión es útil para identificar la naturaleza jurídica de determinadas actuaciones públicas en casos dudosos, </w:t>
      </w:r>
      <w:r>
        <w:rPr>
          <w:rFonts w:ascii="Verdana" w:eastAsia="Calibri" w:hAnsi="Verdana" w:cs="Arial"/>
          <w:bCs/>
          <w:color w:val="000000" w:themeColor="text1"/>
        </w:rPr>
        <w:t>la designación de la entidad ejecutora de los proyectos adelantados con cargo al Sistema General de Regalía</w:t>
      </w:r>
      <w:r w:rsidRPr="00AC291C">
        <w:rPr>
          <w:rFonts w:ascii="Verdana" w:eastAsia="Calibri" w:hAnsi="Verdana" w:cs="Arial"/>
        </w:rPr>
        <w:t xml:space="preserve"> cumple con todos los elementos que caracterizan los actos administrativos. Por un lado, se trata de una </w:t>
      </w:r>
      <w:r w:rsidRPr="00AC291C">
        <w:rPr>
          <w:rFonts w:ascii="Verdana" w:eastAsia="Calibri" w:hAnsi="Verdana" w:cs="Arial"/>
          <w:i/>
          <w:iCs/>
        </w:rPr>
        <w:t>manifestación de voluntad</w:t>
      </w:r>
      <w:r w:rsidRPr="00AC291C">
        <w:rPr>
          <w:rFonts w:ascii="Verdana" w:eastAsia="Calibri" w:hAnsi="Verdana" w:cs="Arial"/>
        </w:rPr>
        <w:t xml:space="preserve">, es decir, mediante dicho documento se toma una decisión que no se confunde con un acto de conocimiento o de deseo. En efecto, a diferencia de los conceptos o los exhortos, a través </w:t>
      </w:r>
      <w:r>
        <w:rPr>
          <w:rFonts w:ascii="Verdana" w:eastAsia="Calibri" w:hAnsi="Verdana" w:cs="Arial"/>
        </w:rPr>
        <w:t>de la designación</w:t>
      </w:r>
      <w:r w:rsidRPr="00AC291C">
        <w:rPr>
          <w:rFonts w:ascii="Verdana" w:eastAsia="Calibri" w:hAnsi="Verdana" w:cs="Arial"/>
        </w:rPr>
        <w:t xml:space="preserve"> l</w:t>
      </w:r>
      <w:r>
        <w:rPr>
          <w:rFonts w:ascii="Verdana" w:eastAsia="Calibri" w:hAnsi="Verdana" w:cs="Arial"/>
        </w:rPr>
        <w:t>os órganos competentes</w:t>
      </w:r>
      <w:r w:rsidRPr="00AC291C">
        <w:rPr>
          <w:rFonts w:ascii="Verdana" w:eastAsia="Calibri" w:hAnsi="Verdana" w:cs="Arial"/>
        </w:rPr>
        <w:t xml:space="preserve"> define</w:t>
      </w:r>
      <w:r>
        <w:rPr>
          <w:rFonts w:ascii="Verdana" w:eastAsia="Calibri" w:hAnsi="Verdana" w:cs="Arial"/>
        </w:rPr>
        <w:t>n</w:t>
      </w:r>
      <w:r w:rsidRPr="00AC291C">
        <w:rPr>
          <w:rFonts w:ascii="Verdana" w:eastAsia="Calibri" w:hAnsi="Verdana" w:cs="Arial"/>
        </w:rPr>
        <w:t xml:space="preserve"> </w:t>
      </w:r>
      <w:r>
        <w:rPr>
          <w:rFonts w:ascii="Verdana" w:eastAsia="Calibri" w:hAnsi="Verdana" w:cs="Arial"/>
        </w:rPr>
        <w:t>al ejecutor del respectivo proyecto</w:t>
      </w:r>
      <w:r w:rsidRPr="00AC291C">
        <w:rPr>
          <w:rFonts w:ascii="Verdana" w:eastAsia="Calibri" w:hAnsi="Verdana" w:cs="Arial"/>
        </w:rPr>
        <w:t>, es decir, no se expresa alguna opinión sobre un punto de derecho ni se formulan solitudes a otros sujetos. Al respecto, si bien la diferencia entre declaraciones de voluntad, conocimiento y deseo es borrosa en casos como las certificaciones y las circulares de servicio, se considera que lo determinante no es esta clasificación sino la existencia de una declaración que decida algo y que provenga de quien tiene</w:t>
      </w:r>
      <w:r>
        <w:rPr>
          <w:rFonts w:ascii="Verdana" w:eastAsia="Calibri" w:hAnsi="Verdana" w:cs="Arial"/>
        </w:rPr>
        <w:t xml:space="preserve"> la facultad</w:t>
      </w:r>
      <w:r w:rsidRPr="00AC291C">
        <w:rPr>
          <w:rFonts w:ascii="Verdana" w:eastAsia="Calibri" w:hAnsi="Verdana" w:cs="Arial"/>
        </w:rPr>
        <w:t xml:space="preserve"> para hacerlo</w:t>
      </w:r>
      <w:r w:rsidRPr="00AC291C">
        <w:rPr>
          <w:rStyle w:val="Refdenotaalpie"/>
          <w:rFonts w:ascii="Verdana" w:eastAsia="Calibri" w:hAnsi="Verdana" w:cs="Arial"/>
        </w:rPr>
        <w:footnoteReference w:id="32"/>
      </w:r>
      <w:r w:rsidRPr="00AC291C">
        <w:rPr>
          <w:rFonts w:ascii="Verdana" w:eastAsia="Calibri" w:hAnsi="Verdana" w:cs="Arial"/>
        </w:rPr>
        <w:t>.</w:t>
      </w:r>
    </w:p>
    <w:p w14:paraId="002E9176" w14:textId="77777777" w:rsidR="007A74DB" w:rsidRPr="00AC291C" w:rsidRDefault="007A74DB" w:rsidP="007A74DB">
      <w:pPr>
        <w:spacing w:after="120" w:line="276" w:lineRule="auto"/>
        <w:jc w:val="both"/>
        <w:rPr>
          <w:rFonts w:ascii="Verdana" w:eastAsia="Calibri" w:hAnsi="Verdana" w:cs="Arial"/>
        </w:rPr>
      </w:pPr>
      <w:r w:rsidRPr="00AC291C">
        <w:rPr>
          <w:rFonts w:ascii="Verdana" w:eastAsia="Calibri" w:hAnsi="Verdana" w:cs="Arial"/>
        </w:rPr>
        <w:tab/>
        <w:t xml:space="preserve">Igualmente, </w:t>
      </w:r>
      <w:r>
        <w:rPr>
          <w:rFonts w:ascii="Verdana" w:eastAsia="Calibri" w:hAnsi="Verdana" w:cs="Arial"/>
        </w:rPr>
        <w:t>la designación del ejecutor</w:t>
      </w:r>
      <w:r w:rsidRPr="00AC291C">
        <w:rPr>
          <w:rFonts w:ascii="Verdana" w:eastAsia="Calibri" w:hAnsi="Verdana" w:cs="Arial"/>
        </w:rPr>
        <w:t xml:space="preserve"> es una </w:t>
      </w:r>
      <w:r w:rsidRPr="00AC291C">
        <w:rPr>
          <w:rFonts w:ascii="Verdana" w:eastAsia="Calibri" w:hAnsi="Verdana" w:cs="Arial"/>
          <w:i/>
          <w:iCs/>
        </w:rPr>
        <w:t>expresión unilateral de la voluntad</w:t>
      </w:r>
      <w:r w:rsidRPr="00AC291C">
        <w:rPr>
          <w:rFonts w:ascii="Verdana" w:eastAsia="Calibri" w:hAnsi="Verdana" w:cs="Arial"/>
        </w:rPr>
        <w:t xml:space="preserve">. Esta forma de actuación representa la esencia del derecho </w:t>
      </w:r>
      <w:r w:rsidRPr="00AC291C">
        <w:rPr>
          <w:rFonts w:ascii="Verdana" w:eastAsia="Calibri" w:hAnsi="Verdana" w:cs="Arial"/>
        </w:rPr>
        <w:lastRenderedPageBreak/>
        <w:t>administrativo, pues en el derecho privado –salvo excepciones– los actos jurídicos son resultado del concurso de voluntades. Aunque es razonable que las personas se rijan por el principio de coordinación en el ámbito civil y comercial, las relaciones en el ámbito de lo público se rigen por el principio de subordinación</w:t>
      </w:r>
      <w:r w:rsidRPr="00AC291C">
        <w:rPr>
          <w:rStyle w:val="Refdenotaalpie"/>
          <w:rFonts w:ascii="Verdana" w:eastAsia="Calibri" w:hAnsi="Verdana" w:cs="Arial"/>
        </w:rPr>
        <w:footnoteReference w:id="33"/>
      </w:r>
      <w:r w:rsidRPr="00AC291C">
        <w:rPr>
          <w:rFonts w:ascii="Verdana" w:eastAsia="Calibri" w:hAnsi="Verdana" w:cs="Arial"/>
        </w:rPr>
        <w:t xml:space="preserve">. En consecuencia, a diferencia de los contratos estatales, la entidad no requiere del consentimiento previo </w:t>
      </w:r>
      <w:r>
        <w:rPr>
          <w:rFonts w:ascii="Verdana" w:eastAsia="Calibri" w:hAnsi="Verdana" w:cs="Arial"/>
        </w:rPr>
        <w:t>de la entidad designada</w:t>
      </w:r>
      <w:r w:rsidRPr="00AC291C">
        <w:rPr>
          <w:rFonts w:ascii="Verdana" w:eastAsia="Calibri" w:hAnsi="Verdana" w:cs="Arial"/>
        </w:rPr>
        <w:t>, idea que fundamenta el cumplimiento de elemento característico de la definición de acto administrativo</w:t>
      </w:r>
      <w:r>
        <w:rPr>
          <w:rStyle w:val="Refdenotaalpie"/>
          <w:rFonts w:ascii="Verdana" w:eastAsia="Calibri" w:hAnsi="Verdana" w:cs="Arial"/>
        </w:rPr>
        <w:footnoteReference w:id="34"/>
      </w:r>
      <w:r w:rsidRPr="00AC291C">
        <w:rPr>
          <w:rFonts w:ascii="Verdana" w:eastAsia="Calibri" w:hAnsi="Verdana" w:cs="Arial"/>
        </w:rPr>
        <w:t xml:space="preserve">. </w:t>
      </w:r>
    </w:p>
    <w:p w14:paraId="158F1BC9" w14:textId="77777777" w:rsidR="007A74DB" w:rsidRPr="00AC291C" w:rsidRDefault="007A74DB" w:rsidP="007A74DB">
      <w:pPr>
        <w:spacing w:after="120" w:line="276" w:lineRule="auto"/>
        <w:jc w:val="both"/>
        <w:rPr>
          <w:rFonts w:ascii="Verdana" w:eastAsia="Calibri" w:hAnsi="Verdana" w:cs="Arial"/>
        </w:rPr>
      </w:pPr>
      <w:r w:rsidRPr="00AC291C">
        <w:rPr>
          <w:rFonts w:ascii="Verdana" w:eastAsia="Calibri" w:hAnsi="Verdana" w:cs="Arial"/>
        </w:rPr>
        <w:tab/>
        <w:t xml:space="preserve">Además, esta decisión unilateral depende de un </w:t>
      </w:r>
      <w:r w:rsidRPr="00AC291C">
        <w:rPr>
          <w:rFonts w:ascii="Verdana" w:eastAsia="Calibri" w:hAnsi="Verdana" w:cs="Arial"/>
          <w:i/>
          <w:iCs/>
        </w:rPr>
        <w:t>órgano estatal en cumplimiento de la función administrativa</w:t>
      </w:r>
      <w:r>
        <w:rPr>
          <w:rFonts w:ascii="Verdana" w:eastAsia="Calibri" w:hAnsi="Verdana" w:cs="Arial"/>
        </w:rPr>
        <w:t>, la cual se define tanto</w:t>
      </w:r>
      <w:r w:rsidRPr="00B33A59">
        <w:rPr>
          <w:rFonts w:ascii="Verdana" w:eastAsia="Calibri" w:hAnsi="Verdana" w:cs="Arial"/>
          <w:color w:val="000000" w:themeColor="text1"/>
          <w:lang w:val="es-ES_tradnl"/>
        </w:rPr>
        <w:t xml:space="preserve"> desde un punto de vista negativo</w:t>
      </w:r>
      <w:r>
        <w:rPr>
          <w:rFonts w:ascii="Verdana" w:eastAsia="Calibri" w:hAnsi="Verdana" w:cs="Arial"/>
          <w:color w:val="000000" w:themeColor="text1"/>
          <w:lang w:val="es-ES_tradnl"/>
        </w:rPr>
        <w:t xml:space="preserve"> como</w:t>
      </w:r>
      <w:r w:rsidRPr="00B33A59">
        <w:rPr>
          <w:rFonts w:ascii="Verdana" w:eastAsia="Calibri" w:hAnsi="Verdana" w:cs="Arial"/>
          <w:color w:val="000000" w:themeColor="text1"/>
          <w:lang w:val="es-ES_tradnl"/>
        </w:rPr>
        <w:t xml:space="preserve"> positivo. En la primera perspectiva, tiene carácter residual y, por tanto, corresponde a las potestades que </w:t>
      </w:r>
      <w:proofErr w:type="gramStart"/>
      <w:r w:rsidRPr="00B33A59">
        <w:rPr>
          <w:rFonts w:ascii="Verdana" w:eastAsia="Calibri" w:hAnsi="Verdana" w:cs="Arial"/>
          <w:color w:val="000000" w:themeColor="text1"/>
          <w:lang w:val="es-ES_tradnl"/>
        </w:rPr>
        <w:t>le</w:t>
      </w:r>
      <w:proofErr w:type="gramEnd"/>
      <w:r w:rsidRPr="00B33A59">
        <w:rPr>
          <w:rFonts w:ascii="Verdana" w:eastAsia="Calibri" w:hAnsi="Verdana" w:cs="Arial"/>
          <w:color w:val="000000" w:themeColor="text1"/>
          <w:lang w:val="es-ES_tradnl"/>
        </w:rPr>
        <w:t xml:space="preserve"> quedan a las entidades </w:t>
      </w:r>
      <w:r>
        <w:rPr>
          <w:rFonts w:ascii="Verdana" w:eastAsia="Calibri" w:hAnsi="Verdana" w:cs="Arial"/>
          <w:color w:val="000000" w:themeColor="text1"/>
          <w:lang w:val="es-ES_tradnl"/>
        </w:rPr>
        <w:t>del Estado</w:t>
      </w:r>
      <w:r w:rsidRPr="00B33A59">
        <w:rPr>
          <w:rFonts w:ascii="Verdana" w:eastAsia="Calibri" w:hAnsi="Verdana" w:cs="Arial"/>
          <w:color w:val="000000" w:themeColor="text1"/>
          <w:lang w:val="es-ES_tradnl"/>
        </w:rPr>
        <w:t xml:space="preserve"> después de restar aquellas que impliquen la facultad de dictar normas generales obligatorias para los ciudadanos, resolver controversias con efectos de cosa juzgada o ejercer atribuciones en el ámbito fiscal, disciplinario o electoral</w:t>
      </w:r>
      <w:r w:rsidRPr="00B33A59">
        <w:rPr>
          <w:rStyle w:val="Refdenotaalpie"/>
          <w:rFonts w:ascii="Verdana" w:eastAsia="Calibri" w:hAnsi="Verdana" w:cs="Arial"/>
          <w:color w:val="000000" w:themeColor="text1"/>
          <w:lang w:val="es-ES_tradnl"/>
        </w:rPr>
        <w:footnoteReference w:id="35"/>
      </w:r>
      <w:r w:rsidRPr="00B33A59">
        <w:rPr>
          <w:rFonts w:ascii="Verdana" w:eastAsia="Calibri" w:hAnsi="Verdana" w:cs="Arial"/>
          <w:color w:val="000000" w:themeColor="text1"/>
          <w:lang w:val="es-ES_tradnl"/>
        </w:rPr>
        <w:t>. Por otra parte, también puede definirse como toda actividad concreta dirigida a la realización de los fines del Estado, así como a la integración de la actividad individual en vista del interés general</w:t>
      </w:r>
      <w:r w:rsidRPr="00B33A59">
        <w:rPr>
          <w:rStyle w:val="Refdenotaalpie"/>
          <w:rFonts w:ascii="Verdana" w:eastAsia="Calibri" w:hAnsi="Verdana" w:cs="Arial"/>
          <w:color w:val="000000" w:themeColor="text1"/>
          <w:lang w:val="es-ES_tradnl"/>
        </w:rPr>
        <w:footnoteReference w:id="36"/>
      </w:r>
      <w:r w:rsidRPr="00B33A59">
        <w:rPr>
          <w:rFonts w:ascii="Verdana" w:eastAsia="Calibri" w:hAnsi="Verdana" w:cs="Arial"/>
          <w:color w:val="000000" w:themeColor="text1"/>
          <w:lang w:val="es-ES_tradnl"/>
        </w:rPr>
        <w:t>.</w:t>
      </w:r>
      <w:r>
        <w:rPr>
          <w:rFonts w:ascii="Verdana" w:eastAsia="Calibri" w:hAnsi="Verdana" w:cs="Arial"/>
          <w:color w:val="000000" w:themeColor="text1"/>
          <w:lang w:val="es-ES_tradnl"/>
        </w:rPr>
        <w:t xml:space="preserve"> Así, la designación del ejecutor en los proyectos de inversión del </w:t>
      </w:r>
      <w:r>
        <w:rPr>
          <w:rFonts w:ascii="Verdana" w:eastAsia="Calibri" w:hAnsi="Verdana" w:cs="Arial"/>
          <w:bCs/>
          <w:color w:val="000000" w:themeColor="text1"/>
        </w:rPr>
        <w:t xml:space="preserve">Sistema General de Regalías no corresponde al ejercicio de otras funciones del Estado –legislativa, judicial, de control o electoral–, además de que busca la satisfacción del bien común. </w:t>
      </w:r>
    </w:p>
    <w:p w14:paraId="2E299F2D" w14:textId="77777777" w:rsidR="007A74DB" w:rsidRPr="00AC291C" w:rsidRDefault="007A74DB" w:rsidP="007A74DB">
      <w:pPr>
        <w:spacing w:after="120" w:line="276" w:lineRule="auto"/>
        <w:jc w:val="both"/>
        <w:rPr>
          <w:rFonts w:ascii="Verdana" w:eastAsia="Calibri" w:hAnsi="Verdana" w:cs="Arial"/>
        </w:rPr>
      </w:pPr>
      <w:r>
        <w:rPr>
          <w:rFonts w:ascii="Arial" w:eastAsia="Calibri" w:hAnsi="Arial" w:cs="Arial"/>
        </w:rPr>
        <w:lastRenderedPageBreak/>
        <w:tab/>
      </w:r>
      <w:r w:rsidRPr="00AC291C">
        <w:rPr>
          <w:rFonts w:ascii="Verdana" w:eastAsia="Calibri" w:hAnsi="Verdana" w:cs="Arial"/>
        </w:rPr>
        <w:t xml:space="preserve">Por último, </w:t>
      </w:r>
      <w:r>
        <w:rPr>
          <w:rFonts w:ascii="Verdana" w:eastAsia="Calibri" w:hAnsi="Verdana" w:cs="Arial"/>
        </w:rPr>
        <w:t>la designación del ejecutor</w:t>
      </w:r>
      <w:r w:rsidRPr="00AC291C">
        <w:rPr>
          <w:rFonts w:ascii="Verdana" w:eastAsia="Calibri" w:hAnsi="Verdana" w:cs="Arial"/>
        </w:rPr>
        <w:t xml:space="preserve"> implica una </w:t>
      </w:r>
      <w:r w:rsidRPr="00AC291C">
        <w:rPr>
          <w:rFonts w:ascii="Verdana" w:eastAsia="Calibri" w:hAnsi="Verdana" w:cs="Arial"/>
          <w:i/>
          <w:iCs/>
        </w:rPr>
        <w:t>decisión que produce efectos jurídicos</w:t>
      </w:r>
      <w:r w:rsidRPr="00AC291C">
        <w:rPr>
          <w:rFonts w:ascii="Verdana" w:eastAsia="Calibri" w:hAnsi="Verdana" w:cs="Arial"/>
        </w:rPr>
        <w:t>, creando, modificando o extinguiendo situaciones jurídicas</w:t>
      </w:r>
      <w:r w:rsidRPr="00AC291C">
        <w:rPr>
          <w:rStyle w:val="Refdenotaalpie"/>
          <w:rFonts w:ascii="Verdana" w:eastAsia="Calibri" w:hAnsi="Verdana" w:cs="Arial"/>
        </w:rPr>
        <w:footnoteReference w:id="37"/>
      </w:r>
      <w:r w:rsidRPr="00AC291C">
        <w:rPr>
          <w:rFonts w:ascii="Verdana" w:eastAsia="Calibri" w:hAnsi="Verdana" w:cs="Arial"/>
        </w:rPr>
        <w:t>. Su expedición no sólo implica el cumplimiento de un debe</w:t>
      </w:r>
      <w:r>
        <w:rPr>
          <w:rFonts w:ascii="Verdana" w:eastAsia="Calibri" w:hAnsi="Verdana" w:cs="Arial"/>
        </w:rPr>
        <w:t>r</w:t>
      </w:r>
      <w:r w:rsidRPr="00AC291C">
        <w:rPr>
          <w:rFonts w:ascii="Verdana" w:eastAsia="Calibri" w:hAnsi="Verdana" w:cs="Arial"/>
        </w:rPr>
        <w:t xml:space="preserve"> legal, sino que también </w:t>
      </w:r>
      <w:r>
        <w:rPr>
          <w:rFonts w:ascii="Verdana" w:eastAsia="Calibri" w:hAnsi="Verdana" w:cs="Arial"/>
        </w:rPr>
        <w:t>obliga al destinatario a hacer uso eficaz y eficiente de los recursos asignados para la ejecución del proyecto</w:t>
      </w:r>
      <w:r w:rsidRPr="00AC291C">
        <w:rPr>
          <w:rFonts w:ascii="Verdana" w:eastAsia="Calibri" w:hAnsi="Verdana" w:cs="Arial"/>
        </w:rPr>
        <w:t xml:space="preserve">. </w:t>
      </w:r>
      <w:r>
        <w:rPr>
          <w:rFonts w:ascii="Verdana" w:eastAsia="Calibri" w:hAnsi="Verdana" w:cs="Arial"/>
        </w:rPr>
        <w:t>De esta manera la entidad ejecutora tiene el deber de velar por el cumplimiento oportuno de las metas propuestas y rendir cuentas las gestiones realizadas.</w:t>
      </w:r>
    </w:p>
    <w:p w14:paraId="0DCC4930" w14:textId="77777777" w:rsidR="007A74DB" w:rsidRDefault="007A74DB" w:rsidP="007A74DB">
      <w:pPr>
        <w:spacing w:after="120" w:line="276" w:lineRule="auto"/>
        <w:ind w:firstLine="709"/>
        <w:jc w:val="both"/>
        <w:rPr>
          <w:rFonts w:ascii="Verdana" w:hAnsi="Verdana" w:cs="Arial"/>
        </w:rPr>
      </w:pPr>
      <w:bookmarkStart w:id="16" w:name="_Hlk37098845"/>
      <w:r w:rsidRPr="00AC291C">
        <w:rPr>
          <w:rFonts w:ascii="Verdana" w:eastAsia="Calibri" w:hAnsi="Verdana" w:cs="Arial"/>
        </w:rPr>
        <w:t xml:space="preserve">Analizados estos elementos, </w:t>
      </w:r>
      <w:r>
        <w:rPr>
          <w:rFonts w:ascii="Verdana" w:eastAsia="Calibri" w:hAnsi="Verdana" w:cs="Arial"/>
        </w:rPr>
        <w:t>la Agencia</w:t>
      </w:r>
      <w:r w:rsidRPr="00AC291C">
        <w:rPr>
          <w:rFonts w:ascii="Verdana" w:eastAsia="Calibri" w:hAnsi="Verdana" w:cs="Arial"/>
        </w:rPr>
        <w:t xml:space="preserve"> concluye que </w:t>
      </w:r>
      <w:bookmarkStart w:id="17" w:name="_Hlk215870370"/>
      <w:r>
        <w:rPr>
          <w:rFonts w:ascii="Verdana" w:eastAsia="Calibri" w:hAnsi="Verdana" w:cs="Arial"/>
        </w:rPr>
        <w:t xml:space="preserve">la </w:t>
      </w:r>
      <w:r>
        <w:rPr>
          <w:rFonts w:ascii="Verdana" w:eastAsia="Calibri" w:hAnsi="Verdana" w:cs="Arial"/>
          <w:bCs/>
          <w:color w:val="000000" w:themeColor="text1"/>
        </w:rPr>
        <w:t>designación de la entidad ejecutora en los proyectos adelantados con cargo al Sistema General de Regalías</w:t>
      </w:r>
      <w:bookmarkEnd w:id="17"/>
      <w:r w:rsidRPr="00AC291C">
        <w:rPr>
          <w:rFonts w:ascii="Verdana" w:eastAsia="Calibri" w:hAnsi="Verdana" w:cs="Arial"/>
        </w:rPr>
        <w:t xml:space="preserve"> </w:t>
      </w:r>
      <w:r>
        <w:rPr>
          <w:rFonts w:ascii="Verdana" w:eastAsia="Calibri" w:hAnsi="Verdana" w:cs="Arial"/>
        </w:rPr>
        <w:t>corresponde a</w:t>
      </w:r>
      <w:r w:rsidRPr="00AC291C">
        <w:rPr>
          <w:rFonts w:ascii="Verdana" w:eastAsia="Calibri" w:hAnsi="Verdana" w:cs="Arial"/>
        </w:rPr>
        <w:t xml:space="preserve"> un acto administrativo con independencia de que adopte el nombre de decreto, resolución, acuerdo, etc., pues lo determinante es el cumplimiento los requisitos que determinan su naturaleza</w:t>
      </w:r>
      <w:r>
        <w:rPr>
          <w:rFonts w:ascii="Verdana" w:eastAsia="Calibri" w:hAnsi="Verdana" w:cs="Arial"/>
        </w:rPr>
        <w:t>. U</w:t>
      </w:r>
      <w:r w:rsidRPr="00AC291C">
        <w:rPr>
          <w:rFonts w:ascii="Verdana" w:eastAsia="Calibri" w:hAnsi="Verdana" w:cs="Arial"/>
        </w:rPr>
        <w:t>na vez concurren sus elementos de existencia, la validez depende de la competencia de funcionario, la ausencia de desviación de poder, la licitud del objeto, entre otras</w:t>
      </w:r>
      <w:bookmarkEnd w:id="16"/>
      <w:r w:rsidRPr="00AC291C">
        <w:rPr>
          <w:rFonts w:ascii="Verdana" w:eastAsia="Calibri" w:hAnsi="Verdana" w:cs="Arial"/>
        </w:rPr>
        <w:t>.</w:t>
      </w:r>
      <w:r>
        <w:rPr>
          <w:rFonts w:ascii="Verdana" w:eastAsia="Calibri" w:hAnsi="Verdana" w:cs="Arial"/>
        </w:rPr>
        <w:t xml:space="preserve"> Al ser un acto administrativo, la designación no corresponde a un contrato estatal, de forma que ni siquiera tiene la naturaleza de un convenio interadministrativo</w:t>
      </w:r>
      <w:r>
        <w:rPr>
          <w:rStyle w:val="Refdenotaalpie"/>
          <w:rFonts w:ascii="Verdana" w:eastAsia="Calibri" w:hAnsi="Verdana" w:cs="Arial"/>
        </w:rPr>
        <w:footnoteReference w:id="38"/>
      </w:r>
      <w:r>
        <w:rPr>
          <w:rFonts w:ascii="Verdana" w:eastAsia="Calibri" w:hAnsi="Verdana" w:cs="Arial"/>
        </w:rPr>
        <w:t xml:space="preserve">. En consecuencia, la designación no requiere aceptación de la entidad ejecutora ni ésta se considera contratista </w:t>
      </w:r>
      <w:r>
        <w:rPr>
          <w:rFonts w:ascii="Verdana" w:hAnsi="Verdana" w:cs="Arial"/>
        </w:rPr>
        <w:t>de los</w:t>
      </w:r>
      <w:r w:rsidRPr="0015567A">
        <w:rPr>
          <w:rFonts w:ascii="Verdana" w:hAnsi="Verdana" w:cs="Arial"/>
        </w:rPr>
        <w:t xml:space="preserve"> órganos de que tratan los artículos 35 y 36</w:t>
      </w:r>
      <w:r>
        <w:rPr>
          <w:rFonts w:ascii="Verdana" w:hAnsi="Verdana" w:cs="Arial"/>
        </w:rPr>
        <w:t xml:space="preserve"> de la </w:t>
      </w:r>
      <w:r w:rsidRPr="00BD247A">
        <w:rPr>
          <w:rFonts w:ascii="Verdana" w:hAnsi="Verdana" w:cs="Arial"/>
        </w:rPr>
        <w:t>Ley 2056 de 2020</w:t>
      </w:r>
      <w:r>
        <w:rPr>
          <w:rFonts w:ascii="Verdana" w:hAnsi="Verdana" w:cs="Arial"/>
        </w:rPr>
        <w:t>.</w:t>
      </w:r>
    </w:p>
    <w:p w14:paraId="71207932" w14:textId="77777777" w:rsidR="007A74DB" w:rsidRDefault="007A74DB" w:rsidP="007A74DB">
      <w:pPr>
        <w:spacing w:before="120" w:line="276" w:lineRule="auto"/>
        <w:ind w:firstLine="709"/>
        <w:jc w:val="both"/>
        <w:rPr>
          <w:rFonts w:ascii="Verdana" w:hAnsi="Verdana" w:cs="Arial"/>
          <w:bCs/>
          <w:lang w:val="es-ES_tradnl" w:eastAsia="es-CO"/>
        </w:rPr>
      </w:pPr>
      <w:r>
        <w:rPr>
          <w:rFonts w:ascii="Verdana" w:hAnsi="Verdana" w:cs="Arial"/>
        </w:rPr>
        <w:t>Bajo estas consideraciones, de cara a la consulta planteada, se puede afirmar que a la designación</w:t>
      </w:r>
      <w:r>
        <w:rPr>
          <w:rFonts w:ascii="Verdana" w:eastAsia="Calibri" w:hAnsi="Verdana" w:cs="Arial"/>
        </w:rPr>
        <w:t xml:space="preserve"> </w:t>
      </w:r>
      <w:r>
        <w:rPr>
          <w:rFonts w:ascii="Verdana" w:eastAsia="Calibri" w:hAnsi="Verdana" w:cs="Arial"/>
          <w:bCs/>
          <w:color w:val="000000" w:themeColor="text1"/>
        </w:rPr>
        <w:t>de la entidad ejecutora en los proyectos adelantados con cargo al Sistema General de Regalías,</w:t>
      </w:r>
      <w:r>
        <w:rPr>
          <w:rFonts w:ascii="Verdana" w:hAnsi="Verdana" w:cs="Arial"/>
          <w:bCs/>
          <w:lang w:val="es-ES_tradnl" w:eastAsia="es-CO"/>
        </w:rPr>
        <w:t xml:space="preserve"> al tratarse de un acto administrativo, no le resulta aplicable las restricciones previstas en los artículos 33 y 38 de la Ley 996 de 2005, porque lo que en estos preceptos se prohíbe es </w:t>
      </w:r>
      <w:r>
        <w:rPr>
          <w:rFonts w:ascii="Verdana" w:hAnsi="Verdana" w:cs="Arial"/>
          <w:bCs/>
          <w:lang w:val="es-MX" w:eastAsia="x-none"/>
        </w:rPr>
        <w:t>celebrar cualquier contrato de forma directa</w:t>
      </w:r>
      <w:r>
        <w:rPr>
          <w:rFonts w:ascii="Verdana" w:hAnsi="Verdana" w:cs="Arial"/>
          <w:bCs/>
          <w:lang w:val="es-ES_tradnl" w:eastAsia="es-CO"/>
        </w:rPr>
        <w:t xml:space="preserve"> y “celebrar convenios interadministrativos para la ejecución de recursos públicos”. En este sentido, </w:t>
      </w:r>
      <w:r>
        <w:rPr>
          <w:rFonts w:ascii="Verdana" w:eastAsia="Times New Roman" w:hAnsi="Verdana" w:cs="Arial"/>
          <w:lang w:val="es-ES"/>
        </w:rPr>
        <w:t xml:space="preserve">la celebración de estos contratos de forma directa y de convenios interadministrativo </w:t>
      </w:r>
      <w:r>
        <w:rPr>
          <w:rFonts w:ascii="Verdana" w:hAnsi="Verdana" w:cs="Arial"/>
          <w:bCs/>
          <w:lang w:val="es-ES_tradnl" w:eastAsia="es-CO"/>
        </w:rPr>
        <w:t xml:space="preserve">son </w:t>
      </w:r>
      <w:r>
        <w:rPr>
          <w:rFonts w:ascii="Verdana" w:hAnsi="Verdana" w:cs="Arial"/>
          <w:bCs/>
          <w:i/>
          <w:iCs/>
          <w:lang w:val="es-ES_tradnl" w:eastAsia="es-CO"/>
        </w:rPr>
        <w:t>acuerdos de voluntades</w:t>
      </w:r>
      <w:r>
        <w:rPr>
          <w:rFonts w:ascii="Verdana" w:hAnsi="Verdana" w:cs="Arial"/>
          <w:bCs/>
          <w:lang w:val="es-ES_tradnl" w:eastAsia="es-CO"/>
        </w:rPr>
        <w:t xml:space="preserve">, o sea un acto jurídico </w:t>
      </w:r>
      <w:r>
        <w:rPr>
          <w:rFonts w:ascii="Verdana" w:hAnsi="Verdana" w:cs="Arial"/>
          <w:bCs/>
          <w:i/>
          <w:iCs/>
          <w:lang w:val="es-ES_tradnl" w:eastAsia="es-CO"/>
        </w:rPr>
        <w:t>bilateral</w:t>
      </w:r>
      <w:r>
        <w:rPr>
          <w:rFonts w:ascii="Verdana" w:hAnsi="Verdana" w:cs="Arial"/>
          <w:bCs/>
          <w:lang w:val="es-ES_tradnl" w:eastAsia="es-CO"/>
        </w:rPr>
        <w:t xml:space="preserve"> o que participa de la forma contractual, de conformidad con el artículo 1495 del Código Civil. En cambio, la forma jurídica de designación que se desprende del artículo 37 de la Ley 2056 de 2020 </w:t>
      </w:r>
      <w:r>
        <w:rPr>
          <w:rFonts w:ascii="Verdana" w:hAnsi="Verdana" w:cs="Arial"/>
          <w:bCs/>
          <w:i/>
          <w:iCs/>
          <w:lang w:val="es-ES_tradnl" w:eastAsia="es-CO"/>
        </w:rPr>
        <w:t>es el acto administrativo</w:t>
      </w:r>
      <w:r>
        <w:rPr>
          <w:rFonts w:ascii="Verdana" w:hAnsi="Verdana" w:cs="Arial"/>
          <w:bCs/>
          <w:lang w:val="es-ES_tradnl" w:eastAsia="es-CO"/>
        </w:rPr>
        <w:t xml:space="preserve">, no el convenio interadministrativo. Si el artículo 33 y el parágrafo del artículo 38 de la Ley 996 </w:t>
      </w:r>
      <w:r>
        <w:rPr>
          <w:rFonts w:ascii="Verdana" w:hAnsi="Verdana" w:cs="Arial"/>
          <w:bCs/>
          <w:lang w:val="es-ES_tradnl" w:eastAsia="es-CO"/>
        </w:rPr>
        <w:lastRenderedPageBreak/>
        <w:t xml:space="preserve">de 2005 prohibieron la celebración directa de contratos y la suscripción de convenios interadministrativos para la ejecución de recursos públicos, no puede entenderse </w:t>
      </w:r>
      <w:r>
        <w:rPr>
          <w:rFonts w:ascii="Verdana" w:hAnsi="Verdana" w:cs="Arial"/>
          <w:bCs/>
          <w:i/>
          <w:iCs/>
          <w:lang w:val="es-ES_tradnl" w:eastAsia="es-CO"/>
        </w:rPr>
        <w:t>también</w:t>
      </w:r>
      <w:r>
        <w:rPr>
          <w:rFonts w:ascii="Verdana" w:hAnsi="Verdana" w:cs="Arial"/>
          <w:bCs/>
          <w:lang w:val="es-ES_tradnl" w:eastAsia="es-CO"/>
        </w:rPr>
        <w:t xml:space="preserve"> prohibida la designación del ente ejecutor, porque se estaría incluyendo una circunstancia que el supuesto de hecho de la restricción no contempla. </w:t>
      </w:r>
    </w:p>
    <w:p w14:paraId="05D66D4D" w14:textId="77777777" w:rsidR="007A74DB" w:rsidRPr="007562F6" w:rsidRDefault="007A74DB" w:rsidP="007A74DB">
      <w:pPr>
        <w:spacing w:before="120" w:line="276" w:lineRule="auto"/>
        <w:ind w:firstLine="709"/>
        <w:jc w:val="both"/>
        <w:rPr>
          <w:rFonts w:ascii="Verdana" w:hAnsi="Verdana" w:cs="Arial"/>
          <w:bCs/>
          <w:lang w:val="es-ES_tradnl" w:eastAsia="es-CO"/>
        </w:rPr>
      </w:pPr>
      <w:r>
        <w:rPr>
          <w:rFonts w:ascii="Verdana" w:hAnsi="Verdana" w:cs="Arial"/>
          <w:bCs/>
          <w:lang w:val="es-ES_tradnl" w:eastAsia="es-CO"/>
        </w:rPr>
        <w:t>Debe destacarse que las disposiciones normativas que establecen prohibiciones deben interpretarse restrictivamente, para no ampliar de manera injustificada sus supuestos de hecho a circunstancias que, en sentido lógico, no caben en aquellos. La Sala de Consulta y Servicio Civil del Consejo de Estado así lo sostuvo, refiriéndose, precisamente, al alcance de las limitaciones contractuales contenidas en la ley de garantías electorales. Al respecto, afirmó:</w:t>
      </w:r>
    </w:p>
    <w:p w14:paraId="0E2BD973" w14:textId="77777777" w:rsidR="007A74DB" w:rsidRDefault="007A74DB" w:rsidP="007A74DB">
      <w:pPr>
        <w:pStyle w:val="NormalWeb"/>
        <w:shd w:val="clear" w:color="auto" w:fill="FFFFFF"/>
        <w:spacing w:before="0" w:beforeAutospacing="0" w:after="0" w:afterAutospacing="0" w:line="276" w:lineRule="auto"/>
        <w:ind w:left="709" w:right="709"/>
        <w:jc w:val="both"/>
        <w:rPr>
          <w:rFonts w:ascii="Verdana" w:hAnsi="Verdana" w:cs="Arial"/>
          <w:color w:val="333333"/>
          <w:sz w:val="21"/>
          <w:szCs w:val="21"/>
          <w:lang w:val="es-ES_tradnl"/>
        </w:rPr>
      </w:pPr>
    </w:p>
    <w:p w14:paraId="4341C647" w14:textId="77777777" w:rsidR="007A74DB" w:rsidRDefault="007A74DB" w:rsidP="007A74DB">
      <w:pPr>
        <w:shd w:val="clear" w:color="auto" w:fill="FFFFFF"/>
        <w:spacing w:after="0" w:line="240" w:lineRule="auto"/>
        <w:ind w:left="709" w:right="709"/>
        <w:jc w:val="both"/>
        <w:rPr>
          <w:rFonts w:ascii="Verdana" w:eastAsia="Times New Roman" w:hAnsi="Verdana" w:cs="Arial"/>
          <w:color w:val="000000"/>
          <w:sz w:val="20"/>
          <w:szCs w:val="20"/>
          <w:lang w:val="es-ES" w:eastAsia="es-CO"/>
        </w:rPr>
      </w:pPr>
      <w:r>
        <w:rPr>
          <w:rFonts w:ascii="Verdana" w:eastAsia="Times New Roman" w:hAnsi="Verdana" w:cs="Arial"/>
          <w:color w:val="000000"/>
          <w:sz w:val="20"/>
          <w:szCs w:val="20"/>
          <w:lang w:val="es-ES"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Pr>
          <w:rFonts w:ascii="Verdana" w:eastAsia="Times New Roman" w:hAnsi="Verdana" w:cs="Arial"/>
          <w:i/>
          <w:iCs/>
          <w:color w:val="000000"/>
          <w:sz w:val="20"/>
          <w:szCs w:val="20"/>
          <w:lang w:val="es-ES" w:eastAsia="es-CO"/>
        </w:rPr>
        <w:t>legis</w:t>
      </w:r>
      <w:proofErr w:type="spellEnd"/>
      <w:r>
        <w:rPr>
          <w:rFonts w:ascii="Verdana" w:eastAsia="Times New Roman" w:hAnsi="Verdana" w:cs="Arial"/>
          <w:i/>
          <w:iCs/>
          <w:color w:val="000000"/>
          <w:sz w:val="20"/>
          <w:szCs w:val="20"/>
          <w:lang w:val="es-ES" w:eastAsia="es-CO"/>
        </w:rPr>
        <w:t> </w:t>
      </w:r>
      <w:r>
        <w:rPr>
          <w:rFonts w:ascii="Verdana" w:eastAsia="Times New Roman" w:hAnsi="Verdana" w:cs="Arial"/>
          <w:color w:val="000000"/>
          <w:sz w:val="20"/>
          <w:szCs w:val="20"/>
          <w:lang w:val="es-ES" w:eastAsia="es-CO"/>
        </w:rPr>
        <w:t>o </w:t>
      </w:r>
      <w:r>
        <w:rPr>
          <w:rFonts w:ascii="Verdana" w:eastAsia="Times New Roman" w:hAnsi="Verdana" w:cs="Arial"/>
          <w:i/>
          <w:iCs/>
          <w:color w:val="000000"/>
          <w:sz w:val="20"/>
          <w:szCs w:val="20"/>
          <w:lang w:val="es-ES" w:eastAsia="es-CO"/>
        </w:rPr>
        <w:t>iuris</w:t>
      </w:r>
      <w:r>
        <w:rPr>
          <w:rFonts w:ascii="Verdana" w:eastAsia="Times New Roman" w:hAnsi="Verdana" w:cs="Arial"/>
          <w:color w:val="000000"/>
          <w:sz w:val="20"/>
          <w:szCs w:val="20"/>
          <w:lang w:val="es-ES" w:eastAsia="es-CO"/>
        </w:rPr>
        <w:t>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4D605FCB" w14:textId="77777777" w:rsidR="007A74DB" w:rsidRDefault="007A74DB" w:rsidP="007A74DB">
      <w:pPr>
        <w:shd w:val="clear" w:color="auto" w:fill="FFFFFF"/>
        <w:spacing w:after="0" w:line="240" w:lineRule="auto"/>
        <w:ind w:left="709" w:right="709"/>
        <w:jc w:val="both"/>
        <w:rPr>
          <w:rFonts w:ascii="Verdana" w:eastAsia="Times New Roman" w:hAnsi="Verdana" w:cs="Arial"/>
          <w:color w:val="000000"/>
          <w:sz w:val="20"/>
          <w:szCs w:val="20"/>
          <w:lang w:val="es-ES_tradnl" w:eastAsia="es-CO"/>
        </w:rPr>
      </w:pPr>
      <w:r>
        <w:rPr>
          <w:rFonts w:ascii="Verdana" w:eastAsia="Times New Roman" w:hAnsi="Verdana" w:cs="Arial"/>
          <w:color w:val="000000"/>
          <w:sz w:val="20"/>
          <w:szCs w:val="20"/>
          <w:lang w:val="es-ES_tradnl" w:eastAsia="es-CO"/>
        </w:rPr>
        <w:t>[…]</w:t>
      </w:r>
    </w:p>
    <w:p w14:paraId="0547CBF6" w14:textId="77777777" w:rsidR="007A74DB" w:rsidRDefault="007A74DB" w:rsidP="007A74DB">
      <w:pPr>
        <w:shd w:val="clear" w:color="auto" w:fill="FFFFFF"/>
        <w:spacing w:before="120" w:after="0" w:line="240" w:lineRule="auto"/>
        <w:ind w:left="709" w:right="709"/>
        <w:jc w:val="both"/>
        <w:rPr>
          <w:rFonts w:ascii="Verdana" w:eastAsia="Times New Roman" w:hAnsi="Verdana" w:cs="Arial"/>
          <w:color w:val="000000"/>
          <w:sz w:val="20"/>
          <w:szCs w:val="20"/>
          <w:lang w:val="es-ES" w:eastAsia="es-CO"/>
        </w:rPr>
      </w:pPr>
      <w:r>
        <w:rPr>
          <w:rFonts w:ascii="Verdana" w:eastAsia="Times New Roman" w:hAnsi="Verdana" w:cs="Arial"/>
          <w:color w:val="000000"/>
          <w:sz w:val="20"/>
          <w:szCs w:val="20"/>
          <w:lang w:val="es-ES" w:eastAsia="es-CO"/>
        </w:rPr>
        <w:t>Así, en esta materia cobra importancia la regla de hermenéutica consagrada en el artículo 31 del Código Civil, según la cual, </w:t>
      </w:r>
      <w:r>
        <w:rPr>
          <w:rFonts w:ascii="Verdana" w:eastAsia="Times New Roman" w:hAnsi="Verdana" w:cs="Arial"/>
          <w:i/>
          <w:iCs/>
          <w:color w:val="000000"/>
          <w:sz w:val="20"/>
          <w:szCs w:val="20"/>
          <w:lang w:val="es-ES" w:eastAsia="es-CO"/>
        </w:rPr>
        <w:t>‘[l]o favorable u odioso de una disposición no se tomará en cuenta para ampliar o restringir su interpretación. La extensión que deba darse a toda ley se determinará por su genuino sentido, y según las reglas de interpretación…’ (‘</w:t>
      </w:r>
      <w:proofErr w:type="spellStart"/>
      <w:r>
        <w:rPr>
          <w:rFonts w:ascii="Verdana" w:eastAsia="Times New Roman" w:hAnsi="Verdana" w:cs="Arial"/>
          <w:i/>
          <w:iCs/>
          <w:color w:val="000000"/>
          <w:sz w:val="20"/>
          <w:szCs w:val="20"/>
          <w:lang w:val="es-ES" w:eastAsia="es-CO"/>
        </w:rPr>
        <w:t>favorabilia</w:t>
      </w:r>
      <w:proofErr w:type="spellEnd"/>
      <w:r>
        <w:rPr>
          <w:rFonts w:ascii="Verdana" w:eastAsia="Times New Roman" w:hAnsi="Verdana" w:cs="Arial"/>
          <w:i/>
          <w:iCs/>
          <w:color w:val="000000"/>
          <w:sz w:val="20"/>
          <w:szCs w:val="20"/>
          <w:lang w:val="es-ES" w:eastAsia="es-CO"/>
        </w:rPr>
        <w:t xml:space="preserve"> sunt </w:t>
      </w:r>
      <w:proofErr w:type="spellStart"/>
      <w:r>
        <w:rPr>
          <w:rFonts w:ascii="Verdana" w:eastAsia="Times New Roman" w:hAnsi="Verdana" w:cs="Arial"/>
          <w:i/>
          <w:iCs/>
          <w:color w:val="000000"/>
          <w:sz w:val="20"/>
          <w:szCs w:val="20"/>
          <w:lang w:val="es-ES" w:eastAsia="es-CO"/>
        </w:rPr>
        <w:t>amplianda</w:t>
      </w:r>
      <w:proofErr w:type="spellEnd"/>
      <w:r>
        <w:rPr>
          <w:rFonts w:ascii="Verdana" w:eastAsia="Times New Roman" w:hAnsi="Verdana" w:cs="Arial"/>
          <w:i/>
          <w:iCs/>
          <w:color w:val="000000"/>
          <w:sz w:val="20"/>
          <w:szCs w:val="20"/>
          <w:lang w:val="es-ES" w:eastAsia="es-CO"/>
        </w:rPr>
        <w:t xml:space="preserve">, odiosa sunt </w:t>
      </w:r>
      <w:proofErr w:type="spellStart"/>
      <w:r>
        <w:rPr>
          <w:rFonts w:ascii="Verdana" w:eastAsia="Times New Roman" w:hAnsi="Verdana" w:cs="Arial"/>
          <w:i/>
          <w:iCs/>
          <w:color w:val="000000"/>
          <w:sz w:val="20"/>
          <w:szCs w:val="20"/>
          <w:lang w:val="es-ES" w:eastAsia="es-CO"/>
        </w:rPr>
        <w:t>restringenda</w:t>
      </w:r>
      <w:proofErr w:type="spellEnd"/>
      <w:r>
        <w:rPr>
          <w:rFonts w:ascii="Verdana" w:eastAsia="Times New Roman" w:hAnsi="Verdana" w:cs="Arial"/>
          <w:i/>
          <w:iCs/>
          <w:color w:val="000000"/>
          <w:sz w:val="20"/>
          <w:szCs w:val="20"/>
          <w:lang w:val="es-ES" w:eastAsia="es-CO"/>
        </w:rPr>
        <w:t>’); </w:t>
      </w:r>
      <w:r>
        <w:rPr>
          <w:rFonts w:ascii="Verdana" w:eastAsia="Times New Roman" w:hAnsi="Verdana" w:cs="Arial"/>
          <w:color w:val="000000"/>
          <w:sz w:val="20"/>
          <w:szCs w:val="20"/>
          <w:lang w:val="es-ES" w:eastAsia="es-CO"/>
        </w:rPr>
        <w:t>y de ahí la proscripción de las interpretaciones extensivas de las normas prohibitivas, tal y como lo precisó la Corte Suprema de Justicia, al señalar que </w:t>
      </w:r>
      <w:r>
        <w:rPr>
          <w:rFonts w:ascii="Verdana" w:eastAsia="Times New Roman" w:hAnsi="Verdana" w:cs="Arial"/>
          <w:i/>
          <w:iCs/>
          <w:color w:val="000000"/>
          <w:sz w:val="20"/>
          <w:szCs w:val="20"/>
          <w:lang w:val="es-ES" w:eastAsia="es-CO"/>
        </w:rPr>
        <w:t>‘[e]n la interpretación de las leyes prohibitivas no deben buscarse analogías o razones para hacerlas extensivas a casos no comprendidos claramente en la prohibición’.</w:t>
      </w:r>
      <w:r>
        <w:rPr>
          <w:rFonts w:ascii="Verdana" w:eastAsia="Times New Roman" w:hAnsi="Verdana" w:cs="Arial"/>
          <w:color w:val="000000"/>
          <w:sz w:val="20"/>
          <w:szCs w:val="20"/>
          <w:lang w:val="es-ES" w:eastAsia="es-CO"/>
        </w:rPr>
        <w:t> </w:t>
      </w:r>
    </w:p>
    <w:p w14:paraId="2E684E59" w14:textId="77777777" w:rsidR="007A74DB" w:rsidRDefault="007A74DB" w:rsidP="007A74DB">
      <w:pPr>
        <w:pStyle w:val="NormalWeb"/>
        <w:shd w:val="clear" w:color="auto" w:fill="FFFFFF"/>
        <w:spacing w:before="120" w:beforeAutospacing="0" w:after="0" w:afterAutospacing="0"/>
        <w:ind w:left="709" w:right="709"/>
        <w:jc w:val="both"/>
        <w:rPr>
          <w:rFonts w:ascii="Verdana" w:hAnsi="Verdana" w:cs="Arial"/>
          <w:color w:val="000000" w:themeColor="text1"/>
          <w:sz w:val="20"/>
          <w:szCs w:val="20"/>
          <w:lang w:val="es-ES_tradnl"/>
        </w:rPr>
      </w:pPr>
      <w:r>
        <w:rPr>
          <w:rFonts w:ascii="Verdana" w:hAnsi="Verdana" w:cs="Arial"/>
          <w:color w:val="000000"/>
          <w:sz w:val="20"/>
          <w:szCs w:val="20"/>
          <w:lang w:val="es-ES_tradnl" w:eastAsia="es-ES_tradnl"/>
        </w:rPr>
        <w:t>En consecuencia, la interpretación y aplicación restrictiva es una regla que rige tratándose de normas prohibitivas, dado que consagran limitaciones al ejercicio de un derecho o de competencias señaladas en la ley, criterio hermenéutico que responde al principio de taxatividad, de acuerdo con el cual solo operan las prohibiciones que en forma precisa establece el legislador”</w:t>
      </w:r>
      <w:r>
        <w:rPr>
          <w:rStyle w:val="Refdenotaalpie"/>
          <w:rFonts w:ascii="Verdana" w:hAnsi="Verdana" w:cs="Arial"/>
          <w:color w:val="000000" w:themeColor="text1"/>
          <w:sz w:val="20"/>
          <w:szCs w:val="20"/>
          <w:lang w:val="es-ES_tradnl"/>
        </w:rPr>
        <w:footnoteReference w:id="39"/>
      </w:r>
      <w:r>
        <w:rPr>
          <w:rFonts w:ascii="Verdana" w:hAnsi="Verdana" w:cs="Arial"/>
          <w:color w:val="000000" w:themeColor="text1"/>
          <w:sz w:val="20"/>
          <w:szCs w:val="20"/>
          <w:lang w:val="es-ES_tradnl"/>
        </w:rPr>
        <w:t>.</w:t>
      </w:r>
    </w:p>
    <w:p w14:paraId="729265B9" w14:textId="77777777" w:rsidR="007A74DB" w:rsidRDefault="007A74DB" w:rsidP="007A74DB">
      <w:pPr>
        <w:pStyle w:val="NormalWeb"/>
        <w:shd w:val="clear" w:color="auto" w:fill="FFFFFF"/>
        <w:spacing w:before="0" w:beforeAutospacing="0" w:after="0" w:afterAutospacing="0" w:line="276" w:lineRule="auto"/>
        <w:ind w:left="709" w:right="709"/>
        <w:jc w:val="both"/>
        <w:rPr>
          <w:rFonts w:ascii="Verdana" w:hAnsi="Verdana" w:cs="Arial"/>
          <w:color w:val="333333"/>
          <w:sz w:val="21"/>
          <w:szCs w:val="21"/>
          <w:lang w:val="es-ES_tradnl"/>
        </w:rPr>
      </w:pPr>
    </w:p>
    <w:p w14:paraId="75556FA7" w14:textId="77777777" w:rsidR="007A74DB" w:rsidRPr="00531419" w:rsidRDefault="007A74DB" w:rsidP="007A74DB">
      <w:pPr>
        <w:spacing w:after="120" w:line="276" w:lineRule="auto"/>
        <w:ind w:firstLine="708"/>
        <w:jc w:val="both"/>
        <w:rPr>
          <w:rFonts w:ascii="Verdana" w:eastAsia="Arial" w:hAnsi="Verdana" w:cs="Arial"/>
          <w:color w:val="000000" w:themeColor="text1"/>
          <w:lang w:val="es-ES"/>
        </w:rPr>
      </w:pPr>
      <w:r>
        <w:rPr>
          <w:rFonts w:ascii="Verdana" w:eastAsia="Arial" w:hAnsi="Verdana" w:cs="Arial"/>
          <w:color w:val="000000" w:themeColor="text1"/>
          <w:lang w:val="es-ES"/>
        </w:rPr>
        <w:t>En este sentido</w:t>
      </w:r>
      <w:r w:rsidRPr="00531419">
        <w:rPr>
          <w:rFonts w:ascii="Verdana" w:eastAsia="Arial" w:hAnsi="Verdana" w:cs="Arial"/>
          <w:color w:val="000000" w:themeColor="text1"/>
          <w:lang w:val="es-ES"/>
        </w:rPr>
        <w:t>, no se considera que la designación de un ente ejecutor en el marco del Sistema General de Regalías se encuentre comprendida dentro de las prohibiciones establecidas por la Ley de Garantías Electorales</w:t>
      </w:r>
      <w:r>
        <w:rPr>
          <w:rFonts w:ascii="Verdana" w:eastAsia="Arial" w:hAnsi="Verdana" w:cs="Arial"/>
          <w:color w:val="000000" w:themeColor="text1"/>
          <w:lang w:val="es-ES"/>
        </w:rPr>
        <w:t>, al tratarse de un acto administrativo</w:t>
      </w:r>
      <w:r w:rsidRPr="00531419">
        <w:rPr>
          <w:rFonts w:ascii="Verdana" w:eastAsia="Arial" w:hAnsi="Verdana" w:cs="Arial"/>
          <w:color w:val="000000" w:themeColor="text1"/>
          <w:lang w:val="es-ES"/>
        </w:rPr>
        <w:t>. Sin embargo, ello no exime la aplicación de dichas restricciones a los contratos directos o a los convenios interadministrativos que se celebren para la ejecución de los recursos con posterioridad a esa designación y que se encuentren dentro del ámbito de aplicación de las prohibiciones previstas en los artículos 33 y 38 de la Ley 996 de 2005.</w:t>
      </w:r>
    </w:p>
    <w:p w14:paraId="69A946D6" w14:textId="77777777" w:rsidR="007A74DB" w:rsidRDefault="007A74DB" w:rsidP="007A74DB">
      <w:pPr>
        <w:spacing w:after="120" w:line="276" w:lineRule="auto"/>
        <w:ind w:firstLine="708"/>
        <w:jc w:val="both"/>
        <w:rPr>
          <w:rFonts w:ascii="Verdana" w:eastAsia="Arial" w:hAnsi="Verdana" w:cs="Arial"/>
          <w:color w:val="000000" w:themeColor="text1"/>
          <w:lang w:val="es-ES"/>
        </w:rPr>
      </w:pPr>
      <w:r w:rsidRPr="00531419">
        <w:rPr>
          <w:rFonts w:ascii="Verdana" w:eastAsia="Arial" w:hAnsi="Verdana" w:cs="Arial"/>
          <w:color w:val="000000" w:themeColor="text1"/>
          <w:lang w:val="es-ES"/>
        </w:rPr>
        <w:t xml:space="preserve">En otras palabras, una vez efectuado </w:t>
      </w:r>
      <w:r>
        <w:rPr>
          <w:rFonts w:ascii="Verdana" w:eastAsia="Arial" w:hAnsi="Verdana" w:cs="Arial"/>
          <w:color w:val="000000" w:themeColor="text1"/>
          <w:lang w:val="es-ES"/>
        </w:rPr>
        <w:t xml:space="preserve">la designación </w:t>
      </w:r>
      <w:r w:rsidRPr="00531419">
        <w:rPr>
          <w:rFonts w:ascii="Verdana" w:eastAsia="Arial" w:hAnsi="Verdana" w:cs="Arial"/>
          <w:color w:val="000000" w:themeColor="text1"/>
          <w:lang w:val="es-ES"/>
        </w:rPr>
        <w:t xml:space="preserve">del ente ejecutor, este deberá observar estrictamente las limitaciones impuestas por la Ley de Garantías </w:t>
      </w:r>
      <w:r>
        <w:rPr>
          <w:rFonts w:ascii="Verdana" w:eastAsia="Arial" w:hAnsi="Verdana" w:cs="Arial"/>
          <w:color w:val="000000" w:themeColor="text1"/>
          <w:lang w:val="es-ES"/>
        </w:rPr>
        <w:t xml:space="preserve">Electorales </w:t>
      </w:r>
      <w:r w:rsidRPr="00531419">
        <w:rPr>
          <w:rFonts w:ascii="Verdana" w:eastAsia="Arial" w:hAnsi="Verdana" w:cs="Arial"/>
          <w:color w:val="000000" w:themeColor="text1"/>
          <w:lang w:val="es-ES"/>
        </w:rPr>
        <w:t>durante todo el periodo en que dichas prohibiciones se mantengan vigentes. Esto implica que, aunque la designación en sí misma no está restringida,</w:t>
      </w:r>
      <w:r>
        <w:rPr>
          <w:rFonts w:ascii="Verdana" w:eastAsia="Arial" w:hAnsi="Verdana" w:cs="Arial"/>
          <w:color w:val="000000" w:themeColor="text1"/>
          <w:lang w:val="es-ES"/>
        </w:rPr>
        <w:t xml:space="preserve"> es indispensable analizar </w:t>
      </w:r>
      <w:r w:rsidRPr="00697201">
        <w:rPr>
          <w:rFonts w:ascii="Verdana" w:eastAsia="Arial" w:hAnsi="Verdana" w:cs="Arial"/>
          <w:color w:val="000000" w:themeColor="text1"/>
        </w:rPr>
        <w:t>si los contratos que se celebren con posterioridad a dicha designación están sujetos a las restricciones previstas en esta normativa.</w:t>
      </w:r>
    </w:p>
    <w:p w14:paraId="1E0F729C" w14:textId="77777777" w:rsidR="007A74DB" w:rsidRPr="00584759" w:rsidRDefault="007A74DB" w:rsidP="007A74DB">
      <w:pPr>
        <w:spacing w:after="120" w:line="276" w:lineRule="auto"/>
        <w:ind w:firstLine="708"/>
        <w:jc w:val="both"/>
        <w:rPr>
          <w:rFonts w:ascii="Verdana" w:eastAsia="Times New Roman" w:hAnsi="Verdana" w:cs="Arial"/>
          <w:bCs/>
          <w:lang w:val="es-ES" w:eastAsia="es-CO"/>
        </w:rPr>
      </w:pPr>
      <w:r w:rsidRPr="00FC6F34">
        <w:rPr>
          <w:rFonts w:ascii="Verdana" w:eastAsia="Arial" w:hAnsi="Verdana" w:cs="Arial"/>
          <w:color w:val="000000" w:themeColor="text1"/>
          <w:lang w:val="es-ES"/>
        </w:rPr>
        <w:t xml:space="preserve">Finalmente, es importante advertir que </w:t>
      </w:r>
      <w:r w:rsidRPr="00FC6F34">
        <w:rPr>
          <w:rFonts w:ascii="Verdana" w:eastAsia="Times New Roman" w:hAnsi="Verdana" w:cs="Arial"/>
          <w:lang w:val="es-ES"/>
        </w:rPr>
        <w:t xml:space="preserve">compete a cada </w:t>
      </w:r>
      <w:r>
        <w:rPr>
          <w:rFonts w:ascii="Verdana" w:eastAsia="Times New Roman" w:hAnsi="Verdana" w:cs="Arial"/>
          <w:lang w:val="es-ES"/>
        </w:rPr>
        <w:t>E</w:t>
      </w:r>
      <w:r w:rsidRPr="00FC6F34">
        <w:rPr>
          <w:rFonts w:ascii="Verdana" w:eastAsia="Times New Roman" w:hAnsi="Verdana" w:cs="Arial"/>
          <w:lang w:val="es-ES"/>
        </w:rPr>
        <w:t xml:space="preserve">ntidad </w:t>
      </w:r>
      <w:r>
        <w:rPr>
          <w:rFonts w:ascii="Verdana" w:eastAsia="Times New Roman" w:hAnsi="Verdana" w:cs="Arial"/>
          <w:lang w:val="es-ES"/>
        </w:rPr>
        <w:t>E</w:t>
      </w:r>
      <w:r w:rsidRPr="00FC6F34">
        <w:rPr>
          <w:rFonts w:ascii="Verdana" w:eastAsia="Times New Roman" w:hAnsi="Verdana" w:cs="Arial"/>
          <w:lang w:val="es-ES"/>
        </w:rPr>
        <w:t>statal que considera celebrar un contrato específico definir si este se enmarca</w:t>
      </w:r>
      <w:r>
        <w:rPr>
          <w:rFonts w:ascii="Verdana" w:eastAsia="Times New Roman" w:hAnsi="Verdana" w:cs="Arial"/>
          <w:lang w:val="es-ES"/>
        </w:rPr>
        <w:t xml:space="preserve"> en alguna de las prohibiciones de la Ley de Garantías Electorales</w:t>
      </w:r>
      <w:r w:rsidRPr="00FC6F34">
        <w:rPr>
          <w:rFonts w:ascii="Verdana" w:eastAsia="Times New Roman" w:hAnsi="Verdana" w:cs="Arial"/>
          <w:lang w:val="es-ES"/>
        </w:rPr>
        <w:t xml:space="preserve">. </w:t>
      </w:r>
      <w:r w:rsidRPr="00FC6F34">
        <w:rPr>
          <w:rFonts w:ascii="Verdana" w:eastAsia="Times New Roman" w:hAnsi="Verdana" w:cs="Arial"/>
          <w:color w:val="000000" w:themeColor="text1"/>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p w14:paraId="51AC8F9B" w14:textId="77777777" w:rsidR="007A74DB" w:rsidRPr="00FC6F34" w:rsidRDefault="007A74DB" w:rsidP="007A74DB">
      <w:pPr>
        <w:spacing w:after="0" w:line="276" w:lineRule="auto"/>
        <w:ind w:firstLine="708"/>
        <w:jc w:val="both"/>
        <w:rPr>
          <w:rFonts w:ascii="Verdana" w:eastAsia="Calibri" w:hAnsi="Verdana" w:cs="Arial"/>
          <w:lang w:val="es-ES"/>
        </w:rPr>
      </w:pPr>
    </w:p>
    <w:bookmarkEnd w:id="1"/>
    <w:bookmarkEnd w:id="2"/>
    <w:p w14:paraId="640E0B57" w14:textId="77777777" w:rsidR="007A74DB" w:rsidRPr="00FC6F34" w:rsidRDefault="007A74DB" w:rsidP="007A74DB">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D04763">
        <w:rPr>
          <w:rFonts w:ascii="Verdana" w:eastAsia="Century Gothic" w:hAnsi="Verdana" w:cs="Century Gothic"/>
          <w:b/>
          <w:color w:val="000000" w:themeColor="text1"/>
        </w:rPr>
        <w:t>Referencias normativas, jurisprudenciales y otras fuentes:</w:t>
      </w:r>
    </w:p>
    <w:p w14:paraId="09D6073D" w14:textId="77777777" w:rsidR="007A74DB" w:rsidRPr="00FC6F34" w:rsidRDefault="007A74DB" w:rsidP="007A74DB">
      <w:pPr>
        <w:widowControl w:val="0"/>
        <w:autoSpaceDE w:val="0"/>
        <w:autoSpaceDN w:val="0"/>
        <w:spacing w:after="0" w:line="276" w:lineRule="auto"/>
        <w:jc w:val="both"/>
        <w:rPr>
          <w:rFonts w:ascii="Verdana" w:hAnsi="Verdana" w:cs="Arial"/>
          <w:color w:val="000000" w:themeColor="text1"/>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A74DB" w:rsidRPr="00FC6F34" w14:paraId="5D05BD55" w14:textId="77777777" w:rsidTr="00FE6ED8">
        <w:trPr>
          <w:trHeight w:val="870"/>
        </w:trPr>
        <w:tc>
          <w:tcPr>
            <w:tcW w:w="8647" w:type="dxa"/>
          </w:tcPr>
          <w:p w14:paraId="72E06196" w14:textId="77777777" w:rsidR="007A74DB" w:rsidRPr="00FC6F34" w:rsidRDefault="007A74DB" w:rsidP="007A74DB">
            <w:pPr>
              <w:widowControl w:val="0"/>
              <w:numPr>
                <w:ilvl w:val="0"/>
                <w:numId w:val="16"/>
              </w:numPr>
              <w:autoSpaceDE w:val="0"/>
              <w:autoSpaceDN w:val="0"/>
              <w:spacing w:before="120" w:after="120"/>
              <w:jc w:val="both"/>
              <w:rPr>
                <w:rFonts w:ascii="Verdana" w:eastAsia="Arial MT" w:hAnsi="Verdana" w:cs="Arial"/>
                <w:lang w:val="es-ES" w:eastAsia="es-ES" w:bidi="es-ES"/>
              </w:rPr>
            </w:pPr>
            <w:r w:rsidRPr="00FC6F34">
              <w:rPr>
                <w:rFonts w:ascii="Verdana" w:eastAsia="Arial MT" w:hAnsi="Verdana" w:cs="Arial"/>
                <w:lang w:val="es-ES" w:eastAsia="es-ES" w:bidi="es-ES"/>
              </w:rPr>
              <w:t>Constitución Política, artículo 127.</w:t>
            </w:r>
          </w:p>
          <w:p w14:paraId="250C9AB3" w14:textId="77777777" w:rsidR="007A74DB" w:rsidRPr="00FC6F34" w:rsidRDefault="007A74DB" w:rsidP="007A74DB">
            <w:pPr>
              <w:widowControl w:val="0"/>
              <w:numPr>
                <w:ilvl w:val="0"/>
                <w:numId w:val="16"/>
              </w:numPr>
              <w:autoSpaceDE w:val="0"/>
              <w:autoSpaceDN w:val="0"/>
              <w:spacing w:after="120"/>
              <w:jc w:val="both"/>
              <w:rPr>
                <w:rFonts w:ascii="Verdana" w:eastAsia="Arial MT" w:hAnsi="Verdana" w:cs="Arial"/>
                <w:lang w:val="es-ES" w:eastAsia="es-ES" w:bidi="es-ES"/>
              </w:rPr>
            </w:pPr>
            <w:r w:rsidRPr="00FC6F34">
              <w:rPr>
                <w:rFonts w:ascii="Verdana" w:eastAsia="Arial MT" w:hAnsi="Verdana" w:cs="Arial"/>
                <w:bCs/>
                <w:lang w:val="es-ES" w:eastAsia="es-ES" w:bidi="es-ES"/>
              </w:rPr>
              <w:t>Ley 996 de 2005</w:t>
            </w:r>
            <w:r>
              <w:rPr>
                <w:rFonts w:ascii="Verdana" w:eastAsia="Arial MT" w:hAnsi="Verdana" w:cs="Arial"/>
                <w:bCs/>
                <w:lang w:val="es-ES" w:eastAsia="es-ES" w:bidi="es-ES"/>
              </w:rPr>
              <w:t xml:space="preserve">, </w:t>
            </w:r>
            <w:r w:rsidRPr="00FC6F34">
              <w:rPr>
                <w:rFonts w:ascii="Verdana" w:eastAsia="Arial MT" w:hAnsi="Verdana" w:cs="Arial"/>
                <w:bCs/>
                <w:lang w:val="es-ES" w:eastAsia="es-ES" w:bidi="es-ES"/>
              </w:rPr>
              <w:t>artículos 33 y 38.</w:t>
            </w:r>
          </w:p>
          <w:p w14:paraId="6F978B62" w14:textId="77777777" w:rsidR="007A74DB" w:rsidRPr="00FC6F34" w:rsidRDefault="007A74DB" w:rsidP="007A74DB">
            <w:pPr>
              <w:widowControl w:val="0"/>
              <w:numPr>
                <w:ilvl w:val="0"/>
                <w:numId w:val="16"/>
              </w:numPr>
              <w:autoSpaceDE w:val="0"/>
              <w:autoSpaceDN w:val="0"/>
              <w:spacing w:after="120"/>
              <w:jc w:val="both"/>
              <w:rPr>
                <w:rFonts w:ascii="Verdana" w:eastAsia="Arial MT" w:hAnsi="Verdana" w:cs="Arial"/>
                <w:lang w:val="es-ES" w:eastAsia="es-ES" w:bidi="es-ES"/>
              </w:rPr>
            </w:pPr>
            <w:r>
              <w:rPr>
                <w:rFonts w:ascii="Verdana" w:eastAsia="Arial MT" w:hAnsi="Verdana" w:cs="Arial"/>
                <w:lang w:val="es-ES" w:eastAsia="es-ES" w:bidi="es-ES"/>
              </w:rPr>
              <w:t>Ley 2056 de 2020, artículo 37</w:t>
            </w:r>
            <w:r w:rsidRPr="00FC6F34">
              <w:rPr>
                <w:rFonts w:ascii="Verdana" w:eastAsia="Arial MT" w:hAnsi="Verdana" w:cs="Arial"/>
                <w:lang w:val="es-ES" w:eastAsia="es-ES" w:bidi="es-ES"/>
              </w:rPr>
              <w:t xml:space="preserve"> </w:t>
            </w:r>
          </w:p>
          <w:p w14:paraId="23CB1DF2" w14:textId="77777777" w:rsidR="007A74DB" w:rsidRPr="00FC6F34" w:rsidRDefault="007A74DB" w:rsidP="007A74DB">
            <w:pPr>
              <w:widowControl w:val="0"/>
              <w:numPr>
                <w:ilvl w:val="0"/>
                <w:numId w:val="16"/>
              </w:numPr>
              <w:autoSpaceDE w:val="0"/>
              <w:autoSpaceDN w:val="0"/>
              <w:spacing w:after="120"/>
              <w:jc w:val="both"/>
              <w:rPr>
                <w:rFonts w:ascii="Verdana" w:eastAsia="Calibri" w:hAnsi="Verdana" w:cs="Arial"/>
                <w:lang w:val="es-ES"/>
              </w:rPr>
            </w:pPr>
            <w:r w:rsidRPr="00FC6F34">
              <w:rPr>
                <w:rFonts w:ascii="Verdana" w:eastAsia="Calibri" w:hAnsi="Verdana" w:cs="Arial"/>
                <w:lang w:val="es-ES"/>
              </w:rPr>
              <w:t xml:space="preserve">Consejo de Estado, Sección Primera. Sentencia de 3 de marzo de </w:t>
            </w:r>
            <w:r w:rsidRPr="00FC6F34">
              <w:rPr>
                <w:rFonts w:ascii="Verdana" w:eastAsia="Calibri" w:hAnsi="Verdana" w:cs="Arial"/>
                <w:lang w:val="es-ES"/>
              </w:rPr>
              <w:lastRenderedPageBreak/>
              <w:t xml:space="preserve">2005, </w:t>
            </w:r>
            <w:proofErr w:type="spellStart"/>
            <w:r w:rsidRPr="00FC6F34">
              <w:rPr>
                <w:rFonts w:ascii="Verdana" w:eastAsia="Calibri" w:hAnsi="Verdana" w:cs="Arial"/>
                <w:lang w:val="es-ES"/>
              </w:rPr>
              <w:t>Exp</w:t>
            </w:r>
            <w:proofErr w:type="spellEnd"/>
            <w:r w:rsidRPr="00FC6F34">
              <w:rPr>
                <w:rFonts w:ascii="Verdana" w:eastAsia="Calibri" w:hAnsi="Verdana" w:cs="Arial"/>
                <w:lang w:val="es-ES"/>
              </w:rPr>
              <w:t xml:space="preserve">. 2004-00823-01(PI). </w:t>
            </w:r>
          </w:p>
          <w:p w14:paraId="4248A3C2" w14:textId="77777777" w:rsidR="007A74DB" w:rsidRPr="00FC6F34" w:rsidRDefault="007A74DB" w:rsidP="007A74DB">
            <w:pPr>
              <w:widowControl w:val="0"/>
              <w:numPr>
                <w:ilvl w:val="0"/>
                <w:numId w:val="16"/>
              </w:numPr>
              <w:autoSpaceDE w:val="0"/>
              <w:autoSpaceDN w:val="0"/>
              <w:spacing w:after="120"/>
              <w:jc w:val="both"/>
              <w:rPr>
                <w:rFonts w:ascii="Verdana" w:eastAsia="Calibri" w:hAnsi="Verdana" w:cs="Arial"/>
                <w:lang w:val="es-ES"/>
              </w:rPr>
            </w:pPr>
            <w:r w:rsidRPr="00FC6F34">
              <w:rPr>
                <w:rFonts w:ascii="Verdana" w:eastAsia="Calibri" w:hAnsi="Verdana" w:cs="Arial"/>
                <w:lang w:val="es-ES"/>
              </w:rPr>
              <w:t xml:space="preserve">Consejo de Estado, Sala de Consulta y Servicio Civil, Concepto de fecha 24 de julio de 2013, Rad. 2166, C. P. Álvaro Namén Vargas. </w:t>
            </w:r>
          </w:p>
          <w:p w14:paraId="77BF10F5" w14:textId="77777777" w:rsidR="007A74DB" w:rsidRPr="00FC6F34" w:rsidRDefault="007A74DB" w:rsidP="007A74DB">
            <w:pPr>
              <w:pStyle w:val="Prrafodelista"/>
              <w:numPr>
                <w:ilvl w:val="0"/>
                <w:numId w:val="16"/>
              </w:numPr>
              <w:spacing w:before="120" w:after="120" w:line="276" w:lineRule="auto"/>
              <w:contextualSpacing w:val="0"/>
              <w:jc w:val="both"/>
              <w:rPr>
                <w:rFonts w:ascii="Verdana" w:hAnsi="Verdana" w:cs="Arial"/>
              </w:rPr>
            </w:pPr>
            <w:r w:rsidRPr="00FC6F34">
              <w:rPr>
                <w:rFonts w:ascii="Verdana" w:eastAsia="Calibri" w:hAnsi="Verdana" w:cs="Arial"/>
              </w:rPr>
              <w:t>Consejo de Estado. Sala de Consulta y Servicio Civil. Concepto del 17 de febrero de 2015. C.P. William Zambrano Cetina. Radicación No. 11001-03-06-000-2015-00164-00(2269).</w:t>
            </w:r>
          </w:p>
          <w:p w14:paraId="77FA6BC8" w14:textId="77777777" w:rsidR="007A74DB" w:rsidRPr="00997373" w:rsidRDefault="007A74DB" w:rsidP="007A74DB">
            <w:pPr>
              <w:pStyle w:val="Prrafodelista"/>
              <w:numPr>
                <w:ilvl w:val="0"/>
                <w:numId w:val="16"/>
              </w:numPr>
              <w:spacing w:before="120" w:after="120" w:line="276" w:lineRule="auto"/>
              <w:contextualSpacing w:val="0"/>
              <w:jc w:val="both"/>
              <w:rPr>
                <w:rFonts w:ascii="Verdana" w:hAnsi="Verdana" w:cs="Arial"/>
              </w:rPr>
            </w:pPr>
            <w:r w:rsidRPr="00FC6F34">
              <w:rPr>
                <w:rFonts w:ascii="Verdana" w:eastAsia="Calibri" w:hAnsi="Verdana" w:cs="Arial"/>
              </w:rPr>
              <w:t>Consejo de Estado, Sala de Consulta y Servicio Civil, Concepto de fecha 8 de mayo de 2018, No. 2382. C. P. Álvaro Namén Vargas</w:t>
            </w:r>
            <w:r w:rsidRPr="00997373">
              <w:rPr>
                <w:rFonts w:ascii="Verdana" w:hAnsi="Verdana" w:cs="Arial"/>
              </w:rPr>
              <w:t>.</w:t>
            </w:r>
          </w:p>
        </w:tc>
      </w:tr>
    </w:tbl>
    <w:p w14:paraId="403D5273" w14:textId="77777777" w:rsidR="007A74DB" w:rsidRPr="00FC6F34" w:rsidRDefault="007A74DB" w:rsidP="007A74DB">
      <w:pPr>
        <w:widowControl w:val="0"/>
        <w:autoSpaceDE w:val="0"/>
        <w:autoSpaceDN w:val="0"/>
        <w:spacing w:after="0" w:line="276" w:lineRule="auto"/>
        <w:jc w:val="both"/>
        <w:rPr>
          <w:rFonts w:ascii="Verdana" w:hAnsi="Verdana" w:cs="Arial"/>
          <w:color w:val="000000" w:themeColor="text1"/>
          <w:lang w:val="es-ES"/>
        </w:rPr>
      </w:pPr>
    </w:p>
    <w:p w14:paraId="0B90E730" w14:textId="77777777" w:rsidR="007A74DB" w:rsidRPr="00FC6F34" w:rsidRDefault="007A74DB" w:rsidP="007A74DB">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5.Doctrina de la Agencia Nacional de Contratación Pública:</w:t>
      </w:r>
    </w:p>
    <w:p w14:paraId="5101D502" w14:textId="77777777" w:rsidR="007A74DB" w:rsidRPr="00FC6F34" w:rsidRDefault="007A74DB" w:rsidP="007A74DB">
      <w:pPr>
        <w:widowControl w:val="0"/>
        <w:autoSpaceDE w:val="0"/>
        <w:autoSpaceDN w:val="0"/>
        <w:spacing w:after="0" w:line="276" w:lineRule="auto"/>
        <w:jc w:val="both"/>
        <w:rPr>
          <w:rFonts w:ascii="Verdana" w:hAnsi="Verdana" w:cs="Arial"/>
          <w:color w:val="000000" w:themeColor="text1"/>
          <w:lang w:val="es-ES"/>
        </w:rPr>
      </w:pPr>
    </w:p>
    <w:p w14:paraId="4E558CE3" w14:textId="77777777" w:rsidR="007A74DB" w:rsidRPr="00982071" w:rsidRDefault="007A74DB" w:rsidP="007A74DB">
      <w:pPr>
        <w:jc w:val="both"/>
        <w:rPr>
          <w:rFonts w:ascii="Arial" w:eastAsia="Calibri" w:hAnsi="Arial" w:cs="Arial"/>
          <w:b/>
          <w:bCs/>
          <w:color w:val="000000" w:themeColor="text1"/>
          <w:lang w:val="es-ES_tradnl"/>
        </w:rPr>
      </w:pPr>
      <w:r w:rsidRPr="00FC6F34">
        <w:rPr>
          <w:rFonts w:ascii="Verdana" w:eastAsia="Calibri" w:hAnsi="Verdana" w:cs="Arial"/>
          <w:lang w:val="es-ES"/>
        </w:rPr>
        <w:t xml:space="preserve">La Agencia Nacional de Contratación Pública – Colombia Compra Eficiente se ha referido </w:t>
      </w:r>
      <w:r w:rsidRPr="00FC6F34">
        <w:rPr>
          <w:rFonts w:ascii="Verdana" w:hAnsi="Verdana" w:cs="Arial"/>
          <w:shd w:val="clear" w:color="auto" w:fill="FFFFFF"/>
          <w:lang w:val="es-ES"/>
        </w:rPr>
        <w:t>sobre la Ley de Garantías Electorales en los conceptos con radicado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C-180 del 21 de marzo de 2025, C-317 del 25 de abril de 2025, C-510 del 4 de junio de 2025, C -635 del 27 de junio de 2025, C–750 de 17 de julio 2025, C-729 del 15 de Julio de 2015</w:t>
      </w:r>
      <w:r>
        <w:rPr>
          <w:rFonts w:ascii="Verdana" w:hAnsi="Verdana" w:cs="Arial"/>
          <w:shd w:val="clear" w:color="auto" w:fill="FFFFFF"/>
          <w:lang w:val="es-ES"/>
        </w:rPr>
        <w:t>,</w:t>
      </w:r>
      <w:r w:rsidRPr="00FC6F34">
        <w:rPr>
          <w:rFonts w:ascii="Verdana" w:hAnsi="Verdana" w:cs="Arial"/>
          <w:shd w:val="clear" w:color="auto" w:fill="FFFFFF"/>
          <w:lang w:val="es-ES"/>
        </w:rPr>
        <w:t xml:space="preserve"> C-273-A de 2025</w:t>
      </w:r>
      <w:r>
        <w:rPr>
          <w:rFonts w:ascii="Verdana" w:hAnsi="Verdana" w:cs="Arial"/>
          <w:shd w:val="clear" w:color="auto" w:fill="FFFFFF"/>
          <w:lang w:val="es-ES"/>
        </w:rPr>
        <w:t>,  C-1274 de 2025, C-1488 de 2025 entre otros</w:t>
      </w:r>
      <w:r w:rsidRPr="00FC6F34">
        <w:rPr>
          <w:rFonts w:ascii="Verdana" w:hAnsi="Verdana" w:cs="Arial"/>
          <w:shd w:val="clear" w:color="auto" w:fill="FFFFFF"/>
          <w:lang w:val="es-ES"/>
        </w:rPr>
        <w:t>. Estos</w:t>
      </w:r>
      <w:r w:rsidRPr="00FC6F34">
        <w:rPr>
          <w:rFonts w:ascii="Verdana" w:hAnsi="Verdana"/>
          <w:lang w:val="es-ES"/>
        </w:rPr>
        <w:t xml:space="preserve"> y otros se encuentran disponibles para consulta en el Sistema de relatoría de la Agencia, al cual se puede acceder a través del siguiente enlace:</w:t>
      </w:r>
      <w:r w:rsidRPr="00FC6F34">
        <w:rPr>
          <w:rFonts w:ascii="Verdana" w:hAnsi="Verdana" w:cs="Arial"/>
          <w:shd w:val="clear" w:color="auto" w:fill="FFFFFF"/>
          <w:lang w:val="es-ES"/>
        </w:rPr>
        <w:t xml:space="preserve"> </w:t>
      </w:r>
      <w:hyperlink r:id="rId16" w:history="1">
        <w:r w:rsidRPr="00FC6F34">
          <w:rPr>
            <w:rFonts w:ascii="Verdana" w:hAnsi="Verdana" w:cs="Arial"/>
            <w:color w:val="0000FF"/>
            <w:u w:val="single"/>
            <w:shd w:val="clear" w:color="auto" w:fill="FFFFFF"/>
            <w:lang w:val="es-ES"/>
          </w:rPr>
          <w:t>https://relatoria.colombiacompra.gov.co/busqueda/concept os</w:t>
        </w:r>
      </w:hyperlink>
      <w:r w:rsidRPr="00FC6F34">
        <w:rPr>
          <w:rFonts w:ascii="Verdana" w:hAnsi="Verdana" w:cs="Arial"/>
          <w:shd w:val="clear" w:color="auto" w:fill="FFFFFF"/>
          <w:lang w:val="es-ES"/>
        </w:rPr>
        <w:t>.</w:t>
      </w:r>
      <w:r w:rsidRPr="00FC6F34">
        <w:rPr>
          <w:rFonts w:ascii="Verdana" w:hAnsi="Verdana" w:cs="Arial"/>
          <w:color w:val="FF0000"/>
          <w:shd w:val="clear" w:color="auto" w:fill="FFFFFF"/>
          <w:lang w:val="es-ES"/>
        </w:rPr>
        <w:t xml:space="preserve"> </w:t>
      </w:r>
      <w:r w:rsidRPr="00FC6F34">
        <w:rPr>
          <w:rFonts w:ascii="Verdana" w:hAnsi="Verdana" w:cs="Arial"/>
          <w:color w:val="000000" w:themeColor="text1"/>
          <w:shd w:val="clear" w:color="auto" w:fill="FFFFFF"/>
          <w:lang w:val="es-ES"/>
        </w:rPr>
        <w:t>  </w:t>
      </w:r>
    </w:p>
    <w:p w14:paraId="430AAE2A" w14:textId="77777777" w:rsidR="007A74DB" w:rsidRPr="00FC6F34" w:rsidRDefault="007A74DB" w:rsidP="007A74DB">
      <w:pPr>
        <w:widowControl w:val="0"/>
        <w:autoSpaceDE w:val="0"/>
        <w:autoSpaceDN w:val="0"/>
        <w:spacing w:after="0" w:line="276" w:lineRule="auto"/>
        <w:jc w:val="both"/>
        <w:rPr>
          <w:rFonts w:ascii="Verdana" w:hAnsi="Verdana" w:cs="Arial"/>
          <w:lang w:val="es-ES"/>
        </w:rPr>
      </w:pPr>
      <w:r w:rsidRPr="00FC6F34">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BC868F6" w14:textId="77777777" w:rsidR="007A74DB" w:rsidRPr="00FC6F34" w:rsidRDefault="007A74DB" w:rsidP="007A74DB">
      <w:pPr>
        <w:widowControl w:val="0"/>
        <w:autoSpaceDE w:val="0"/>
        <w:autoSpaceDN w:val="0"/>
        <w:spacing w:after="0" w:line="276" w:lineRule="auto"/>
        <w:jc w:val="both"/>
        <w:rPr>
          <w:rFonts w:ascii="Verdana" w:hAnsi="Verdana" w:cs="Arial"/>
          <w:lang w:val="es-ES"/>
        </w:rPr>
      </w:pPr>
    </w:p>
    <w:p w14:paraId="226F67D5" w14:textId="77777777" w:rsidR="007A74DB" w:rsidRPr="00FC6F34" w:rsidRDefault="007A74DB" w:rsidP="007A74DB">
      <w:pPr>
        <w:spacing w:after="0" w:line="276" w:lineRule="auto"/>
        <w:rPr>
          <w:rFonts w:ascii="Verdana" w:hAnsi="Verdana" w:cs="Arial"/>
          <w:color w:val="000000" w:themeColor="text1"/>
          <w:lang w:val="es-ES" w:eastAsia="es-CO"/>
        </w:rPr>
      </w:pPr>
      <w:r w:rsidRPr="00FC6F34">
        <w:rPr>
          <w:rFonts w:ascii="Verdana" w:eastAsia="Times New Roman" w:hAnsi="Verdana" w:cs="Arial"/>
          <w:color w:val="000000" w:themeColor="text1"/>
          <w:lang w:val="es-ES" w:eastAsia="es-CO"/>
        </w:rPr>
        <w:t>Atentamente,</w:t>
      </w:r>
      <w:r w:rsidRPr="00FC6F34">
        <w:rPr>
          <w:rFonts w:ascii="Verdana" w:hAnsi="Verdana" w:cs="Arial"/>
          <w:color w:val="000000" w:themeColor="text1"/>
          <w:lang w:val="es-ES" w:eastAsia="es-CO"/>
        </w:rPr>
        <w:t xml:space="preserve"> </w:t>
      </w:r>
    </w:p>
    <w:bookmarkEnd w:id="0"/>
    <w:p w14:paraId="26EF0E47" w14:textId="77777777" w:rsidR="007A74DB" w:rsidRPr="00FC6F34" w:rsidRDefault="007A74DB" w:rsidP="007A74DB">
      <w:pPr>
        <w:rPr>
          <w:lang w:val="es-ES"/>
        </w:rPr>
      </w:pPr>
    </w:p>
    <w:p w14:paraId="3C03809A" w14:textId="78D51085" w:rsidR="007A74DB" w:rsidRPr="00A27102" w:rsidRDefault="00B06048" w:rsidP="007A74DB">
      <w:pPr>
        <w:spacing w:line="276" w:lineRule="auto"/>
        <w:jc w:val="center"/>
        <w:rPr>
          <w:rFonts w:ascii="Verdana" w:hAnsi="Verdana" w:cs="Arial"/>
          <w:color w:val="000000"/>
          <w:lang w:val="es-ES_tradnl" w:eastAsia="es-CO"/>
        </w:rPr>
      </w:pPr>
      <w:r w:rsidRPr="002C3AD6">
        <w:rPr>
          <w:rFonts w:ascii="Century Gothic" w:hAnsi="Century Gothic"/>
          <w:noProof/>
        </w:rPr>
        <w:lastRenderedPageBreak/>
        <w:drawing>
          <wp:inline distT="0" distB="0" distL="0" distR="0" wp14:anchorId="20E7BF58" wp14:editId="75A464B6">
            <wp:extent cx="3771900" cy="1318260"/>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772426" cy="1318444"/>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A74DB" w:rsidRPr="00A27102" w14:paraId="7153342C" w14:textId="77777777" w:rsidTr="00FE6ED8">
        <w:trPr>
          <w:trHeight w:val="315"/>
        </w:trPr>
        <w:tc>
          <w:tcPr>
            <w:tcW w:w="893" w:type="dxa"/>
            <w:vAlign w:val="center"/>
            <w:hideMark/>
          </w:tcPr>
          <w:p w14:paraId="6D69605F" w14:textId="77777777" w:rsidR="007A74DB" w:rsidRPr="00A27102" w:rsidRDefault="007A74DB" w:rsidP="00FE6ED8">
            <w:pPr>
              <w:contextualSpacing/>
              <w:rPr>
                <w:rFonts w:ascii="Verdana" w:hAnsi="Verdana" w:cs="Arial"/>
                <w:sz w:val="16"/>
                <w:szCs w:val="16"/>
                <w:lang w:val="es-ES" w:eastAsia="es-ES"/>
              </w:rPr>
            </w:pPr>
            <w:r w:rsidRPr="00A27102">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EA300D6" w14:textId="77777777" w:rsidR="007A74DB" w:rsidRPr="00A27102" w:rsidRDefault="007A74DB" w:rsidP="00FE6ED8">
            <w:pPr>
              <w:contextualSpacing/>
              <w:rPr>
                <w:rFonts w:ascii="Verdana" w:hAnsi="Verdana"/>
                <w:sz w:val="16"/>
                <w:szCs w:val="16"/>
              </w:rPr>
            </w:pPr>
            <w:r w:rsidRPr="00A27102">
              <w:rPr>
                <w:rFonts w:ascii="Verdana" w:hAnsi="Verdana"/>
                <w:sz w:val="16"/>
                <w:szCs w:val="16"/>
              </w:rPr>
              <w:t>Tatiana Baquero Iguarán</w:t>
            </w:r>
          </w:p>
          <w:p w14:paraId="4E641A56" w14:textId="77777777" w:rsidR="007A74DB" w:rsidRPr="00A27102" w:rsidRDefault="007A74DB" w:rsidP="00FE6ED8">
            <w:pPr>
              <w:contextualSpacing/>
              <w:rPr>
                <w:rFonts w:ascii="Verdana" w:eastAsia="Arial" w:hAnsi="Verdana" w:cs="Arial"/>
                <w:sz w:val="16"/>
                <w:szCs w:val="16"/>
              </w:rPr>
            </w:pPr>
            <w:r w:rsidRPr="00A27102">
              <w:rPr>
                <w:rFonts w:ascii="Verdana" w:hAnsi="Verdana"/>
                <w:sz w:val="16"/>
                <w:szCs w:val="16"/>
              </w:rPr>
              <w:t>Contratista de la Subdirección de Gestión Contractual</w:t>
            </w:r>
          </w:p>
        </w:tc>
      </w:tr>
      <w:tr w:rsidR="007A74DB" w:rsidRPr="00A27102" w14:paraId="21953AB8" w14:textId="77777777" w:rsidTr="00FE6ED8">
        <w:trPr>
          <w:trHeight w:val="330"/>
        </w:trPr>
        <w:tc>
          <w:tcPr>
            <w:tcW w:w="893" w:type="dxa"/>
            <w:vAlign w:val="center"/>
            <w:hideMark/>
          </w:tcPr>
          <w:p w14:paraId="20058182" w14:textId="77777777" w:rsidR="007A74DB" w:rsidRPr="00A27102" w:rsidRDefault="007A74DB" w:rsidP="00FE6ED8">
            <w:pPr>
              <w:contextualSpacing/>
              <w:rPr>
                <w:rFonts w:ascii="Verdana" w:hAnsi="Verdana" w:cs="Arial"/>
                <w:sz w:val="16"/>
                <w:szCs w:val="16"/>
                <w:lang w:val="es-ES" w:eastAsia="es-ES"/>
              </w:rPr>
            </w:pPr>
            <w:r w:rsidRPr="00A27102">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E462615" w14:textId="77777777" w:rsidR="007A74DB" w:rsidRPr="00A27102" w:rsidRDefault="007A74DB" w:rsidP="00FE6ED8">
            <w:pPr>
              <w:spacing w:before="100" w:beforeAutospacing="1" w:afterAutospacing="1"/>
              <w:contextualSpacing/>
              <w:textAlignment w:val="baseline"/>
              <w:rPr>
                <w:rFonts w:ascii="Verdana" w:eastAsia="Times New Roman" w:hAnsi="Verdana" w:cs="Arial"/>
                <w:sz w:val="16"/>
                <w:szCs w:val="16"/>
                <w:lang w:val="es-ES" w:eastAsia="es-ES_tradnl"/>
              </w:rPr>
            </w:pPr>
            <w:r w:rsidRPr="00A27102">
              <w:rPr>
                <w:rFonts w:ascii="Verdana" w:eastAsia="Times New Roman" w:hAnsi="Verdana" w:cs="Arial"/>
                <w:sz w:val="16"/>
                <w:szCs w:val="16"/>
                <w:lang w:val="es-ES" w:eastAsia="es-ES_tradnl"/>
              </w:rPr>
              <w:t>Alejandro Sarmiento Cantillo</w:t>
            </w:r>
          </w:p>
          <w:p w14:paraId="342F9C8A" w14:textId="77777777" w:rsidR="007A74DB" w:rsidRPr="00A27102" w:rsidRDefault="007A74DB" w:rsidP="00FE6ED8">
            <w:pPr>
              <w:contextualSpacing/>
              <w:textAlignment w:val="baseline"/>
              <w:rPr>
                <w:rFonts w:ascii="Verdana" w:eastAsia="Times New Roman" w:hAnsi="Verdana" w:cs="Segoe UI"/>
                <w:sz w:val="16"/>
                <w:szCs w:val="16"/>
                <w:lang w:eastAsia="es-ES_tradnl"/>
              </w:rPr>
            </w:pPr>
            <w:r w:rsidRPr="00A27102">
              <w:rPr>
                <w:rFonts w:ascii="Verdana" w:eastAsia="Times New Roman" w:hAnsi="Verdana" w:cs="Arial"/>
                <w:sz w:val="16"/>
                <w:szCs w:val="16"/>
                <w:lang w:val="es-ES" w:eastAsia="es-ES_tradnl"/>
              </w:rPr>
              <w:t>Gestor T1 ‒ 15 de la Subdirección de Gestión Contractual</w:t>
            </w:r>
            <w:r w:rsidRPr="00A27102">
              <w:rPr>
                <w:rFonts w:ascii="Verdana" w:eastAsia="Times New Roman" w:hAnsi="Verdana" w:cs="Arial"/>
                <w:sz w:val="16"/>
                <w:szCs w:val="16"/>
                <w:lang w:eastAsia="es-ES_tradnl"/>
              </w:rPr>
              <w:t> </w:t>
            </w:r>
          </w:p>
        </w:tc>
      </w:tr>
      <w:tr w:rsidR="007A74DB" w:rsidRPr="00A27102" w14:paraId="3B3B8310" w14:textId="77777777" w:rsidTr="00FE6ED8">
        <w:trPr>
          <w:trHeight w:val="300"/>
        </w:trPr>
        <w:tc>
          <w:tcPr>
            <w:tcW w:w="893" w:type="dxa"/>
            <w:vAlign w:val="center"/>
          </w:tcPr>
          <w:p w14:paraId="74FA5D7D" w14:textId="77777777" w:rsidR="007A74DB" w:rsidRPr="00A27102" w:rsidRDefault="007A74DB" w:rsidP="00FE6ED8">
            <w:pPr>
              <w:contextualSpacing/>
              <w:rPr>
                <w:rFonts w:ascii="Verdana" w:hAnsi="Verdana" w:cs="Arial"/>
                <w:sz w:val="16"/>
                <w:szCs w:val="16"/>
                <w:lang w:val="es-ES" w:eastAsia="es-ES"/>
              </w:rPr>
            </w:pPr>
            <w:r w:rsidRPr="00A27102">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3E16A8A" w14:textId="77777777" w:rsidR="007A74DB" w:rsidRPr="00A27102" w:rsidRDefault="007A74DB" w:rsidP="00FE6ED8">
            <w:pPr>
              <w:contextualSpacing/>
              <w:rPr>
                <w:rFonts w:ascii="Verdana" w:eastAsia="Calibri" w:hAnsi="Verdana" w:cs="Arial"/>
                <w:sz w:val="16"/>
                <w:szCs w:val="16"/>
                <w:lang w:val="pt-BR" w:eastAsia="es-ES"/>
              </w:rPr>
            </w:pPr>
            <w:r w:rsidRPr="00A27102">
              <w:rPr>
                <w:rFonts w:ascii="Verdana" w:eastAsia="Calibri" w:hAnsi="Verdana" w:cs="Arial"/>
                <w:sz w:val="16"/>
                <w:szCs w:val="16"/>
                <w:lang w:val="pt-BR" w:eastAsia="es-ES"/>
              </w:rPr>
              <w:t xml:space="preserve">Carolina Quintero </w:t>
            </w:r>
            <w:proofErr w:type="spellStart"/>
            <w:r w:rsidRPr="00A27102">
              <w:rPr>
                <w:rFonts w:ascii="Verdana" w:eastAsia="Calibri" w:hAnsi="Verdana" w:cs="Arial"/>
                <w:sz w:val="16"/>
                <w:szCs w:val="16"/>
                <w:lang w:val="pt-BR" w:eastAsia="es-ES"/>
              </w:rPr>
              <w:t>Gacharná</w:t>
            </w:r>
            <w:proofErr w:type="spellEnd"/>
          </w:p>
          <w:p w14:paraId="39C0F9CA" w14:textId="77777777" w:rsidR="007A74DB" w:rsidRPr="00A27102" w:rsidRDefault="007A74DB" w:rsidP="00FE6ED8">
            <w:pPr>
              <w:contextualSpacing/>
              <w:rPr>
                <w:rFonts w:ascii="Verdana" w:eastAsia="Calibri" w:hAnsi="Verdana" w:cs="Arial"/>
                <w:sz w:val="16"/>
                <w:szCs w:val="16"/>
                <w:lang w:val="pt-BR" w:eastAsia="es-ES"/>
              </w:rPr>
            </w:pPr>
            <w:r w:rsidRPr="00A27102">
              <w:rPr>
                <w:rFonts w:ascii="Verdana" w:eastAsia="Calibri" w:hAnsi="Verdana" w:cs="Arial"/>
                <w:sz w:val="16"/>
                <w:szCs w:val="16"/>
                <w:lang w:eastAsia="es-ES"/>
              </w:rPr>
              <w:t>Subdirectora</w:t>
            </w:r>
            <w:r w:rsidRPr="00A27102">
              <w:rPr>
                <w:rFonts w:ascii="Verdana" w:eastAsia="Calibri" w:hAnsi="Verdana" w:cs="Arial"/>
                <w:sz w:val="16"/>
                <w:szCs w:val="16"/>
                <w:lang w:val="pt-BR" w:eastAsia="es-ES"/>
              </w:rPr>
              <w:t xml:space="preserve"> de Gestión Contratual ANCP – CCE</w:t>
            </w:r>
          </w:p>
        </w:tc>
      </w:tr>
    </w:tbl>
    <w:p w14:paraId="751FDDFE" w14:textId="77777777" w:rsidR="007A74DB" w:rsidRPr="000E6D6F" w:rsidRDefault="007A74DB" w:rsidP="007A74DB"/>
    <w:p w14:paraId="7C7B46ED" w14:textId="77777777" w:rsidR="001E5AD4" w:rsidRDefault="001E5AD4" w:rsidP="00927895">
      <w:pPr>
        <w:spacing w:after="0"/>
        <w:rPr>
          <w:rFonts w:ascii="Verdana" w:hAnsi="Verdana"/>
          <w:lang w:val="es-ES"/>
        </w:rPr>
      </w:pPr>
    </w:p>
    <w:sectPr w:rsidR="001E5AD4"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87344D" w14:textId="77777777" w:rsidR="00153E50" w:rsidRDefault="00153E50" w:rsidP="004A1847">
      <w:pPr>
        <w:spacing w:after="0" w:line="240" w:lineRule="auto"/>
      </w:pPr>
      <w:r>
        <w:separator/>
      </w:r>
    </w:p>
  </w:endnote>
  <w:endnote w:type="continuationSeparator" w:id="0">
    <w:p w14:paraId="027168D4" w14:textId="77777777" w:rsidR="00153E50" w:rsidRDefault="00153E50" w:rsidP="004A1847">
      <w:pPr>
        <w:spacing w:after="0" w:line="240" w:lineRule="auto"/>
      </w:pPr>
      <w:r>
        <w:continuationSeparator/>
      </w:r>
    </w:p>
  </w:endnote>
  <w:endnote w:type="continuationNotice" w:id="1">
    <w:p w14:paraId="51402F91" w14:textId="77777777" w:rsidR="00153E50" w:rsidRDefault="00153E5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F1AAB1" w14:textId="77777777" w:rsidR="00153E50" w:rsidRDefault="00153E50" w:rsidP="004A1847">
      <w:pPr>
        <w:spacing w:after="0" w:line="240" w:lineRule="auto"/>
      </w:pPr>
      <w:r>
        <w:separator/>
      </w:r>
    </w:p>
  </w:footnote>
  <w:footnote w:type="continuationSeparator" w:id="0">
    <w:p w14:paraId="358FBD5A" w14:textId="77777777" w:rsidR="00153E50" w:rsidRDefault="00153E50" w:rsidP="004A1847">
      <w:pPr>
        <w:spacing w:after="0" w:line="240" w:lineRule="auto"/>
      </w:pPr>
      <w:r>
        <w:continuationSeparator/>
      </w:r>
    </w:p>
  </w:footnote>
  <w:footnote w:type="continuationNotice" w:id="1">
    <w:p w14:paraId="0B2304B9" w14:textId="77777777" w:rsidR="00153E50" w:rsidRDefault="00153E50">
      <w:pPr>
        <w:spacing w:after="0" w:line="240" w:lineRule="auto"/>
      </w:pPr>
    </w:p>
  </w:footnote>
  <w:footnote w:id="2">
    <w:p w14:paraId="025A98BD" w14:textId="77777777" w:rsidR="007A74DB" w:rsidRPr="0016660C" w:rsidRDefault="007A74DB" w:rsidP="007A74DB">
      <w:pPr>
        <w:pStyle w:val="NormalWeb"/>
        <w:spacing w:before="0" w:beforeAutospacing="0" w:after="0" w:afterAutospacing="0"/>
        <w:ind w:firstLine="709"/>
        <w:contextualSpacing/>
        <w:jc w:val="both"/>
        <w:rPr>
          <w:rFonts w:ascii="Verdana" w:hAnsi="Verdana" w:cs="Arial"/>
          <w:sz w:val="16"/>
          <w:szCs w:val="16"/>
          <w:lang w:val="es-MX"/>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eastAsia="Calibri" w:hAnsi="Verdana" w:cs="Arial"/>
          <w:color w:val="000000"/>
          <w:sz w:val="16"/>
          <w:szCs w:val="16"/>
        </w:rPr>
        <w:t>“</w:t>
      </w:r>
      <w:r w:rsidRPr="0016660C">
        <w:rPr>
          <w:rFonts w:ascii="Verdana" w:hAnsi="Verdana" w:cs="Arial"/>
          <w:sz w:val="16"/>
          <w:szCs w:val="16"/>
          <w:lang w:val="es-MX"/>
        </w:rPr>
        <w:t>Artículo 38. Prohibiciones para los servidores públicos. A los empleados del Estado les está prohibido: […]</w:t>
      </w:r>
    </w:p>
    <w:p w14:paraId="68A23059" w14:textId="77777777" w:rsidR="007A74DB" w:rsidRPr="0016660C" w:rsidRDefault="007A74DB" w:rsidP="007A74DB">
      <w:pPr>
        <w:pStyle w:val="NormalWeb"/>
        <w:spacing w:before="0" w:beforeAutospacing="0" w:after="0" w:afterAutospacing="0"/>
        <w:ind w:firstLine="709"/>
        <w:contextualSpacing/>
        <w:jc w:val="both"/>
        <w:rPr>
          <w:rFonts w:ascii="Verdana" w:hAnsi="Verdana" w:cs="Arial"/>
          <w:sz w:val="16"/>
          <w:szCs w:val="16"/>
          <w:lang w:val="es-MX"/>
        </w:rPr>
      </w:pPr>
      <w:r w:rsidRPr="0016660C">
        <w:rPr>
          <w:rStyle w:val="baj"/>
          <w:rFonts w:ascii="Verdana" w:hAnsi="Verdana" w:cs="Arial"/>
          <w:sz w:val="16"/>
          <w:szCs w:val="16"/>
          <w:lang w:val="es-MX"/>
        </w:rPr>
        <w:t>Parágrafo.</w:t>
      </w:r>
      <w:r w:rsidRPr="0016660C">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16660C">
        <w:rPr>
          <w:rFonts w:ascii="Verdana" w:eastAsia="Calibri" w:hAnsi="Verdana" w:cs="Arial"/>
          <w:color w:val="000000"/>
          <w:sz w:val="16"/>
          <w:szCs w:val="16"/>
        </w:rPr>
        <w:t>”</w:t>
      </w:r>
      <w:r w:rsidRPr="0016660C">
        <w:rPr>
          <w:rFonts w:ascii="Verdana" w:hAnsi="Verdana" w:cs="Arial"/>
          <w:sz w:val="16"/>
          <w:szCs w:val="16"/>
          <w:lang w:val="es-MX"/>
        </w:rPr>
        <w:t>.</w:t>
      </w:r>
    </w:p>
  </w:footnote>
  <w:footnote w:id="3">
    <w:p w14:paraId="3125AE30" w14:textId="77777777" w:rsidR="007A74DB" w:rsidRPr="00D42A84" w:rsidRDefault="007A74DB" w:rsidP="007A74DB">
      <w:pPr>
        <w:pStyle w:val="Textonotapie"/>
        <w:ind w:firstLine="709"/>
        <w:rPr>
          <w:rFonts w:ascii="Verdana" w:hAnsi="Verdana" w:cs="Arial"/>
          <w:sz w:val="16"/>
          <w:szCs w:val="16"/>
        </w:rPr>
      </w:pPr>
      <w:r w:rsidRPr="00D42A84">
        <w:rPr>
          <w:rStyle w:val="Refdenotaalpie"/>
          <w:rFonts w:ascii="Verdana" w:hAnsi="Verdana" w:cs="Arial"/>
          <w:sz w:val="16"/>
          <w:szCs w:val="16"/>
        </w:rPr>
        <w:footnoteRef/>
      </w:r>
      <w:r w:rsidRPr="00D42A84">
        <w:rPr>
          <w:rFonts w:ascii="Verdana" w:hAnsi="Verdana" w:cs="Arial"/>
          <w:sz w:val="16"/>
          <w:szCs w:val="16"/>
        </w:rPr>
        <w:t xml:space="preserve"> Gaceta del Congreso de la República No. 71 del 2005.</w:t>
      </w:r>
    </w:p>
  </w:footnote>
  <w:footnote w:id="4">
    <w:p w14:paraId="0D98287B" w14:textId="77777777" w:rsidR="007A74DB" w:rsidRPr="00D42A84" w:rsidRDefault="007A74DB" w:rsidP="007A74DB">
      <w:pPr>
        <w:pStyle w:val="Textonotapie"/>
        <w:ind w:firstLine="709"/>
        <w:jc w:val="both"/>
        <w:rPr>
          <w:rFonts w:ascii="Verdana" w:hAnsi="Verdana" w:cs="Arial"/>
          <w:sz w:val="16"/>
          <w:szCs w:val="16"/>
          <w:lang w:val="es-CO"/>
        </w:rPr>
      </w:pPr>
      <w:r w:rsidRPr="00D42A84">
        <w:rPr>
          <w:rStyle w:val="Refdenotaalpie"/>
          <w:rFonts w:ascii="Verdana" w:hAnsi="Verdana" w:cs="Arial"/>
          <w:sz w:val="16"/>
          <w:szCs w:val="16"/>
        </w:rPr>
        <w:footnoteRef/>
      </w:r>
      <w:r w:rsidRPr="00D42A84">
        <w:rPr>
          <w:rFonts w:ascii="Verdana" w:hAnsi="Verdana" w:cs="Arial"/>
          <w:sz w:val="16"/>
          <w:szCs w:val="16"/>
        </w:rPr>
        <w:t xml:space="preserve"> </w:t>
      </w:r>
      <w:r w:rsidRPr="00D42A84">
        <w:rPr>
          <w:rFonts w:ascii="Verdana" w:hAnsi="Verdana" w:cs="Arial"/>
          <w:sz w:val="16"/>
          <w:szCs w:val="16"/>
          <w:lang w:val="es-CO"/>
        </w:rPr>
        <w:t xml:space="preserve">Corte Constitucional. Sentencias: C-233 de 4 de abril de 2002. M.P: Álvaro Tafur Galvis; C-551 de 9 de julio de 2003. M.P: Eduardo Montealegre Lynnet; C-353 de 20 de mayo de 2009. M.P: Jorge Iván Palacio </w:t>
      </w:r>
      <w:proofErr w:type="spellStart"/>
      <w:r w:rsidRPr="00D42A84">
        <w:rPr>
          <w:rFonts w:ascii="Verdana" w:hAnsi="Verdana" w:cs="Arial"/>
          <w:sz w:val="16"/>
          <w:szCs w:val="16"/>
          <w:lang w:val="es-CO"/>
        </w:rPr>
        <w:t>Palacio</w:t>
      </w:r>
      <w:proofErr w:type="spellEnd"/>
      <w:r w:rsidRPr="00D42A84">
        <w:rPr>
          <w:rFonts w:ascii="Verdana" w:hAnsi="Verdana" w:cs="Arial"/>
          <w:sz w:val="16"/>
          <w:szCs w:val="16"/>
          <w:lang w:val="es-CO"/>
        </w:rPr>
        <w:t>; C-541 de 30 de junio de 2010. M.P: Gabriel Eduardo Mendoza Martelo; entre otras.</w:t>
      </w:r>
    </w:p>
    <w:p w14:paraId="21559D46" w14:textId="77777777" w:rsidR="007A74DB" w:rsidRPr="00D42A84" w:rsidRDefault="007A74DB" w:rsidP="007A74DB">
      <w:pPr>
        <w:pStyle w:val="Textonotapie"/>
        <w:ind w:firstLine="709"/>
        <w:jc w:val="both"/>
        <w:rPr>
          <w:rFonts w:ascii="Verdana" w:hAnsi="Verdana" w:cs="Arial"/>
          <w:sz w:val="16"/>
          <w:szCs w:val="16"/>
        </w:rPr>
      </w:pPr>
    </w:p>
  </w:footnote>
  <w:footnote w:id="5">
    <w:p w14:paraId="6C7F4ECF" w14:textId="77777777" w:rsidR="007A74DB" w:rsidRPr="00D42A84" w:rsidRDefault="007A74DB" w:rsidP="007A74DB">
      <w:pPr>
        <w:pStyle w:val="Textonotapie"/>
        <w:ind w:firstLine="709"/>
        <w:jc w:val="both"/>
        <w:rPr>
          <w:rFonts w:ascii="Verdana" w:hAnsi="Verdana" w:cs="Arial"/>
          <w:sz w:val="16"/>
          <w:szCs w:val="16"/>
          <w:lang w:val="es-CO"/>
        </w:rPr>
      </w:pPr>
      <w:r w:rsidRPr="00D42A84">
        <w:rPr>
          <w:rStyle w:val="Refdenotaalpie"/>
          <w:rFonts w:ascii="Verdana" w:hAnsi="Verdana" w:cs="Arial"/>
          <w:sz w:val="16"/>
          <w:szCs w:val="16"/>
        </w:rPr>
        <w:footnoteRef/>
      </w:r>
      <w:r w:rsidRPr="00D42A84">
        <w:rPr>
          <w:rFonts w:ascii="Verdana" w:hAnsi="Verdana" w:cs="Arial"/>
          <w:sz w:val="16"/>
          <w:szCs w:val="16"/>
          <w:lang w:val="es-CO"/>
        </w:rPr>
        <w:t xml:space="preserve"> Consejo de Estado. Sala de lo Contencioso Administrativo. Sección Primera. Sentencia de 3 de marzo de 2005. Radicado: 25001-23-15-000-2004-00823-01 (PI). C.P: Camilo Arciniegas Andrade. Ver también, Consejo de Estado. Sala de lo Contencioso Administrativo. Sección Tercera. Sentencia de 22 de enero de 2002. Radicado: 2001-0148-01 y, Consejo de Estado. Sala de lo Contencioso Administrativo. Sección Tercera. Sentencia de 20 de noviembre de 2001. Radicado: 2001-0130-01(PI), entre otras.</w:t>
      </w:r>
    </w:p>
    <w:p w14:paraId="6AFF46DE" w14:textId="77777777" w:rsidR="007A74DB" w:rsidRPr="00D42A84" w:rsidRDefault="007A74DB" w:rsidP="007A74DB">
      <w:pPr>
        <w:pStyle w:val="Textonotapie"/>
        <w:ind w:firstLine="709"/>
        <w:jc w:val="both"/>
        <w:rPr>
          <w:rFonts w:ascii="Verdana" w:hAnsi="Verdana" w:cs="Arial"/>
          <w:sz w:val="16"/>
          <w:szCs w:val="16"/>
          <w:lang w:val="es-CO"/>
        </w:rPr>
      </w:pPr>
    </w:p>
  </w:footnote>
  <w:footnote w:id="6">
    <w:p w14:paraId="5E4EB399" w14:textId="77777777" w:rsidR="007A74DB" w:rsidRPr="002817AD" w:rsidRDefault="007A74DB" w:rsidP="007A74DB">
      <w:pPr>
        <w:pStyle w:val="Textonotapie"/>
        <w:ind w:firstLine="709"/>
        <w:jc w:val="both"/>
        <w:rPr>
          <w:rFonts w:ascii="Verdana" w:hAnsi="Verdana" w:cs="Arial"/>
          <w:sz w:val="16"/>
          <w:szCs w:val="16"/>
        </w:rPr>
      </w:pPr>
      <w:r w:rsidRPr="00D42A84">
        <w:rPr>
          <w:rStyle w:val="Refdenotaalpie"/>
          <w:rFonts w:ascii="Verdana" w:hAnsi="Verdana" w:cs="Arial"/>
          <w:sz w:val="16"/>
          <w:szCs w:val="16"/>
        </w:rPr>
        <w:footnoteRef/>
      </w:r>
      <w:r w:rsidRPr="00D42A84">
        <w:rPr>
          <w:rFonts w:ascii="Verdana" w:hAnsi="Verdana" w:cs="Arial"/>
          <w:sz w:val="16"/>
          <w:szCs w:val="16"/>
        </w:rPr>
        <w:t xml:space="preserve"> Consejo de Estado, Sala de Consulta y Servicio Civil de fecha 24 de julio de 2013, radicado 2166, </w:t>
      </w:r>
      <w:proofErr w:type="gramStart"/>
      <w:r w:rsidRPr="00D42A84">
        <w:rPr>
          <w:rFonts w:ascii="Verdana" w:hAnsi="Verdana" w:cs="Arial"/>
          <w:sz w:val="16"/>
          <w:szCs w:val="16"/>
        </w:rPr>
        <w:t>Consejero</w:t>
      </w:r>
      <w:proofErr w:type="gramEnd"/>
      <w:r w:rsidRPr="00D42A84">
        <w:rPr>
          <w:rFonts w:ascii="Verdana" w:hAnsi="Verdana" w:cs="Arial"/>
          <w:sz w:val="16"/>
          <w:szCs w:val="16"/>
        </w:rPr>
        <w:t xml:space="preserve"> Ponente: Álvaro Namén Vargas</w:t>
      </w:r>
      <w:r w:rsidRPr="002817AD">
        <w:rPr>
          <w:rFonts w:ascii="Verdana" w:hAnsi="Verdana" w:cs="Arial"/>
          <w:sz w:val="16"/>
          <w:szCs w:val="16"/>
        </w:rPr>
        <w:t xml:space="preserve">.  </w:t>
      </w:r>
    </w:p>
  </w:footnote>
  <w:footnote w:id="7">
    <w:p w14:paraId="0C4CE5A7" w14:textId="77777777" w:rsidR="007A74DB" w:rsidRPr="0016660C" w:rsidRDefault="007A74DB" w:rsidP="007A74DB">
      <w:pPr>
        <w:spacing w:after="0" w:line="240" w:lineRule="auto"/>
        <w:ind w:firstLine="709"/>
        <w:contextualSpacing/>
        <w:jc w:val="both"/>
        <w:rPr>
          <w:rFonts w:ascii="Verdana" w:eastAsia="Times New Roman"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eastAsia="Calibri" w:hAnsi="Verdana" w:cs="Arial"/>
          <w:color w:val="000000"/>
          <w:sz w:val="16"/>
          <w:szCs w:val="16"/>
        </w:rPr>
        <w:t>“</w:t>
      </w:r>
      <w:r w:rsidRPr="0016660C">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7D12EED0" w14:textId="77777777" w:rsidR="007A74DB" w:rsidRPr="0016660C" w:rsidRDefault="007A74DB" w:rsidP="007A74DB">
      <w:pPr>
        <w:spacing w:after="0" w:line="240" w:lineRule="auto"/>
        <w:ind w:firstLine="709"/>
        <w:contextualSpacing/>
        <w:jc w:val="both"/>
        <w:rPr>
          <w:rFonts w:ascii="Verdana" w:eastAsia="Times New Roman" w:hAnsi="Verdana" w:cs="Arial"/>
          <w:sz w:val="16"/>
          <w:szCs w:val="16"/>
        </w:rPr>
      </w:pPr>
      <w:r w:rsidRPr="0016660C">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16660C">
        <w:rPr>
          <w:rFonts w:ascii="Verdana" w:eastAsia="Calibri" w:hAnsi="Verdana" w:cs="Arial"/>
          <w:color w:val="000000"/>
          <w:sz w:val="16"/>
          <w:szCs w:val="16"/>
        </w:rPr>
        <w:t>”</w:t>
      </w:r>
      <w:r w:rsidRPr="0016660C">
        <w:rPr>
          <w:rFonts w:ascii="Verdana" w:eastAsia="Times New Roman" w:hAnsi="Verdana" w:cs="Arial"/>
          <w:sz w:val="16"/>
          <w:szCs w:val="16"/>
        </w:rPr>
        <w:t>.</w:t>
      </w:r>
    </w:p>
  </w:footnote>
  <w:footnote w:id="8">
    <w:p w14:paraId="5A6095C6" w14:textId="77777777" w:rsidR="007A74DB" w:rsidRPr="0016660C" w:rsidRDefault="007A74DB" w:rsidP="007A74DB">
      <w:pPr>
        <w:pStyle w:val="NormalWeb"/>
        <w:spacing w:before="0" w:beforeAutospacing="0" w:after="0" w:afterAutospacing="0"/>
        <w:ind w:firstLine="709"/>
        <w:contextualSpacing/>
        <w:jc w:val="both"/>
        <w:rPr>
          <w:rFonts w:ascii="Verdana" w:hAnsi="Verdana" w:cs="Arial"/>
          <w:sz w:val="16"/>
          <w:szCs w:val="16"/>
          <w:lang w:val="es-MX"/>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eastAsia="Calibri" w:hAnsi="Verdana" w:cs="Arial"/>
          <w:color w:val="000000"/>
          <w:sz w:val="16"/>
          <w:szCs w:val="16"/>
        </w:rPr>
        <w:t>“</w:t>
      </w:r>
      <w:r w:rsidRPr="0016660C">
        <w:rPr>
          <w:rFonts w:ascii="Verdana" w:hAnsi="Verdana" w:cs="Arial"/>
          <w:sz w:val="16"/>
          <w:szCs w:val="16"/>
          <w:lang w:val="es-MX"/>
        </w:rPr>
        <w:t>Artículo 38. Prohibiciones para los servidores públicos. A los empleados del Estado les está prohibido: […]</w:t>
      </w:r>
    </w:p>
    <w:p w14:paraId="465EC2A4" w14:textId="77777777" w:rsidR="007A74DB" w:rsidRPr="0016660C" w:rsidRDefault="007A74DB" w:rsidP="007A74DB">
      <w:pPr>
        <w:pStyle w:val="NormalWeb"/>
        <w:spacing w:before="0" w:beforeAutospacing="0" w:after="0" w:afterAutospacing="0"/>
        <w:ind w:firstLine="709"/>
        <w:contextualSpacing/>
        <w:jc w:val="both"/>
        <w:rPr>
          <w:rFonts w:ascii="Verdana" w:hAnsi="Verdana" w:cs="Arial"/>
          <w:sz w:val="16"/>
          <w:szCs w:val="16"/>
          <w:lang w:val="es-MX"/>
        </w:rPr>
      </w:pPr>
      <w:r w:rsidRPr="0016660C">
        <w:rPr>
          <w:rStyle w:val="baj"/>
          <w:rFonts w:ascii="Verdana" w:hAnsi="Verdana" w:cs="Arial"/>
          <w:sz w:val="16"/>
          <w:szCs w:val="16"/>
          <w:lang w:val="es-MX"/>
        </w:rPr>
        <w:t>Parágrafo.</w:t>
      </w:r>
      <w:r w:rsidRPr="0016660C">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16660C">
        <w:rPr>
          <w:rFonts w:ascii="Verdana" w:eastAsia="Calibri" w:hAnsi="Verdana" w:cs="Arial"/>
          <w:color w:val="000000"/>
          <w:sz w:val="16"/>
          <w:szCs w:val="16"/>
        </w:rPr>
        <w:t>”</w:t>
      </w:r>
      <w:r w:rsidRPr="0016660C">
        <w:rPr>
          <w:rFonts w:ascii="Verdana" w:hAnsi="Verdana" w:cs="Arial"/>
          <w:sz w:val="16"/>
          <w:szCs w:val="16"/>
          <w:lang w:val="es-MX"/>
        </w:rPr>
        <w:t>.</w:t>
      </w:r>
    </w:p>
  </w:footnote>
  <w:footnote w:id="9">
    <w:p w14:paraId="3C5DF521" w14:textId="77777777" w:rsidR="007A74DB" w:rsidRPr="0016660C" w:rsidRDefault="007A74DB" w:rsidP="007A74DB">
      <w:pPr>
        <w:spacing w:after="0" w:line="240" w:lineRule="auto"/>
        <w:ind w:left="100" w:right="244" w:firstLine="709"/>
        <w:contextualSpacing/>
        <w:jc w:val="both"/>
        <w:rPr>
          <w:rFonts w:ascii="Verdana" w:hAnsi="Verdana" w:cs="Arial"/>
          <w:sz w:val="16"/>
          <w:szCs w:val="16"/>
          <w:lang w:val="es-ES"/>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0">
    <w:p w14:paraId="7B91CDDF" w14:textId="77777777" w:rsidR="007A74DB" w:rsidRDefault="007A74DB" w:rsidP="007A74DB">
      <w:pPr>
        <w:pStyle w:val="Textonotapie"/>
        <w:ind w:right="51"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sz w:val="16"/>
          <w:szCs w:val="16"/>
          <w:lang w:val="es-ES"/>
        </w:rPr>
        <w:t xml:space="preserve">[25] </w:t>
      </w:r>
      <w:r>
        <w:rPr>
          <w:rFonts w:ascii="Verdana" w:hAnsi="Verdana" w:cs="Arial"/>
          <w:sz w:val="16"/>
          <w:szCs w:val="16"/>
        </w:rPr>
        <w:t>Cfr. Consejo de Estado. Sección Tercera. Sentencia de 3 de diciembre de 2007. Radicados: 24.715, 25.206, 25.409, 24.524, 27.834, 25.410, 26.105, 28.244, 31.447 -acumulados-”.</w:t>
      </w:r>
    </w:p>
  </w:footnote>
  <w:footnote w:id="11">
    <w:p w14:paraId="2393F0E1" w14:textId="77777777" w:rsidR="007A74DB" w:rsidRDefault="007A74DB" w:rsidP="007A74DB">
      <w:pPr>
        <w:pStyle w:val="Textonotapie"/>
        <w:ind w:right="51"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sz w:val="16"/>
          <w:szCs w:val="16"/>
          <w:lang w:val="es-ES"/>
        </w:rPr>
        <w:t xml:space="preserve">[26] </w:t>
      </w:r>
      <w:r>
        <w:rPr>
          <w:rFonts w:ascii="Verdana" w:hAnsi="Verdana" w:cs="Arial"/>
          <w:sz w:val="16"/>
          <w:szCs w:val="16"/>
        </w:rPr>
        <w:t>Al respecto ver el concepto 1712 de 2 de febrero de 2006. Consejo de Estado Sala de Consulta y Servicio Civil”.</w:t>
      </w:r>
    </w:p>
  </w:footnote>
  <w:footnote w:id="12">
    <w:p w14:paraId="7D8CADCB" w14:textId="77777777" w:rsidR="007A74DB" w:rsidRDefault="007A74DB" w:rsidP="007A74DB">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3">
    <w:p w14:paraId="18F43E95" w14:textId="77777777" w:rsidR="007A74DB" w:rsidRDefault="007A74DB" w:rsidP="007A74DB">
      <w:pPr>
        <w:pStyle w:val="Textonotapie"/>
        <w:ind w:firstLine="709"/>
        <w:jc w:val="both"/>
        <w:rPr>
          <w:rFonts w:ascii="Verdana" w:hAnsi="Verdana" w:cs="Arial"/>
          <w:sz w:val="16"/>
          <w:szCs w:val="16"/>
          <w:lang w:val="es-ES"/>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sz w:val="16"/>
          <w:szCs w:val="16"/>
          <w:lang w:val="es-ES"/>
        </w:rPr>
        <w:t xml:space="preserve">Artículo 2. </w:t>
      </w:r>
    </w:p>
  </w:footnote>
  <w:footnote w:id="14">
    <w:p w14:paraId="6D119B17" w14:textId="77777777" w:rsidR="007A74DB" w:rsidRDefault="007A74DB" w:rsidP="007A74DB">
      <w:pPr>
        <w:pStyle w:val="Textonotapie"/>
        <w:ind w:firstLine="709"/>
        <w:jc w:val="both"/>
        <w:rPr>
          <w:rFonts w:ascii="Verdana" w:hAnsi="Verdana" w:cs="Arial"/>
          <w:sz w:val="16"/>
          <w:szCs w:val="16"/>
          <w:lang w:val="es-ES"/>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i/>
          <w:sz w:val="16"/>
          <w:szCs w:val="16"/>
          <w:lang w:val="es-ES"/>
        </w:rPr>
        <w:t>Ibidem</w:t>
      </w:r>
      <w:r>
        <w:rPr>
          <w:rFonts w:ascii="Verdana" w:hAnsi="Verdana" w:cs="Arial"/>
          <w:sz w:val="16"/>
          <w:szCs w:val="16"/>
          <w:lang w:val="es-ES"/>
        </w:rPr>
        <w:t>.</w:t>
      </w:r>
    </w:p>
  </w:footnote>
  <w:footnote w:id="15">
    <w:p w14:paraId="5777ADB3" w14:textId="77777777" w:rsidR="007A74DB" w:rsidRDefault="007A74DB" w:rsidP="007A74DB">
      <w:pPr>
        <w:pStyle w:val="Textonotapie"/>
        <w:ind w:firstLine="709"/>
        <w:jc w:val="both"/>
        <w:rPr>
          <w:rFonts w:ascii="Verdana" w:hAnsi="Verdana" w:cs="Arial"/>
          <w:sz w:val="16"/>
          <w:szCs w:val="16"/>
          <w:lang w:val="es-ES"/>
        </w:rPr>
      </w:pPr>
      <w:r>
        <w:rPr>
          <w:rStyle w:val="Refdenotaalpie"/>
          <w:rFonts w:ascii="Verdana" w:hAnsi="Verdana" w:cs="Arial"/>
          <w:sz w:val="16"/>
          <w:szCs w:val="16"/>
        </w:rPr>
        <w:footnoteRef/>
      </w:r>
      <w:r>
        <w:rPr>
          <w:rStyle w:val="Refdenotaalpie"/>
          <w:rFonts w:ascii="Verdana" w:hAnsi="Verdana" w:cs="Arial"/>
          <w:sz w:val="16"/>
          <w:szCs w:val="16"/>
        </w:rPr>
        <w:t xml:space="preserve"> </w:t>
      </w:r>
      <w:r>
        <w:rPr>
          <w:rFonts w:ascii="Verdana" w:hAnsi="Verdana" w:cs="Arial"/>
          <w:sz w:val="16"/>
          <w:szCs w:val="16"/>
          <w:lang w:val="es-ES"/>
        </w:rPr>
        <w:t xml:space="preserve">“[…] A este respecto, cabe recordar que el artículo 860 del Código de Comercio regula la licitación en el derecho privado”. </w:t>
      </w:r>
    </w:p>
  </w:footnote>
  <w:footnote w:id="16">
    <w:p w14:paraId="254F9F0B" w14:textId="77777777" w:rsidR="007A74DB" w:rsidRDefault="007A74DB" w:rsidP="007A74DB">
      <w:pPr>
        <w:shd w:val="clear" w:color="auto" w:fill="FFFFFF"/>
        <w:spacing w:after="0"/>
        <w:ind w:firstLine="709"/>
        <w:jc w:val="both"/>
        <w:rPr>
          <w:rFonts w:ascii="Verdana" w:hAnsi="Verdana" w:cs="Arial"/>
          <w:sz w:val="16"/>
          <w:szCs w:val="16"/>
          <w:lang w:val="es-ES"/>
        </w:rPr>
      </w:pPr>
      <w:r>
        <w:rPr>
          <w:rStyle w:val="Refdenotaalpie"/>
          <w:rFonts w:ascii="Verdana" w:hAnsi="Verdana" w:cs="Arial"/>
          <w:sz w:val="16"/>
          <w:szCs w:val="16"/>
        </w:rPr>
        <w:footnoteRef/>
      </w:r>
      <w:r>
        <w:rPr>
          <w:rStyle w:val="Refdenotaalpie"/>
          <w:rFonts w:ascii="Verdana" w:hAnsi="Verdana" w:cs="Arial"/>
          <w:sz w:val="16"/>
          <w:szCs w:val="16"/>
        </w:rPr>
        <w:t xml:space="preserve"> </w:t>
      </w:r>
      <w:r>
        <w:rPr>
          <w:rFonts w:ascii="Verdana" w:hAnsi="Verdana" w:cs="Arial"/>
          <w:sz w:val="16"/>
          <w:szCs w:val="16"/>
          <w:lang w:val="es-ES"/>
        </w:rPr>
        <w:t>Consejo de Estado. Sala de Consulta y Servicio Civil, Concepto de 8 de mayo de 2018. Radicación Número: 11001-03-06-000-2018-00095-00(2382). Consejero Ponente: Álvaro Namén Vargas.</w:t>
      </w:r>
    </w:p>
  </w:footnote>
  <w:footnote w:id="17">
    <w:p w14:paraId="7A953BDD" w14:textId="77777777" w:rsidR="007A74DB" w:rsidRDefault="007A74DB" w:rsidP="007A74DB">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del 08 de mayo de 2018. </w:t>
      </w:r>
      <w:proofErr w:type="spellStart"/>
      <w:r>
        <w:rPr>
          <w:rFonts w:ascii="Verdana" w:hAnsi="Verdana" w:cs="Arial"/>
          <w:sz w:val="16"/>
          <w:szCs w:val="16"/>
        </w:rPr>
        <w:t>Exp</w:t>
      </w:r>
      <w:proofErr w:type="spellEnd"/>
      <w:r>
        <w:rPr>
          <w:rFonts w:ascii="Verdana" w:hAnsi="Verdana" w:cs="Arial"/>
          <w:sz w:val="16"/>
          <w:szCs w:val="16"/>
        </w:rPr>
        <w:t>. 2.382. C.P. Álvaro Namén Vargas.</w:t>
      </w:r>
    </w:p>
  </w:footnote>
  <w:footnote w:id="18">
    <w:p w14:paraId="4A268971" w14:textId="77777777" w:rsidR="007A74DB" w:rsidRDefault="007A74DB" w:rsidP="007A74DB">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w:t>
      </w:r>
      <w:proofErr w:type="spellStart"/>
      <w:r>
        <w:rPr>
          <w:rFonts w:ascii="Verdana" w:hAnsi="Verdana" w:cs="Arial"/>
          <w:sz w:val="16"/>
          <w:szCs w:val="16"/>
        </w:rPr>
        <w:t>N°</w:t>
      </w:r>
      <w:proofErr w:type="spellEnd"/>
      <w:r>
        <w:rPr>
          <w:rFonts w:ascii="Verdana" w:hAnsi="Verdana" w:cs="Arial"/>
          <w:sz w:val="16"/>
          <w:szCs w:val="16"/>
        </w:rPr>
        <w:t xml:space="preserve"> 216/05 Senado, </w:t>
      </w:r>
      <w:proofErr w:type="spellStart"/>
      <w:r>
        <w:rPr>
          <w:rFonts w:ascii="Verdana" w:hAnsi="Verdana" w:cs="Arial"/>
          <w:sz w:val="16"/>
          <w:szCs w:val="16"/>
        </w:rPr>
        <w:t>N°</w:t>
      </w:r>
      <w:proofErr w:type="spellEnd"/>
      <w:r>
        <w:rPr>
          <w:rFonts w:ascii="Verdana" w:hAnsi="Verdana" w:cs="Arial"/>
          <w:sz w:val="16"/>
          <w:szCs w:val="16"/>
        </w:rPr>
        <w:t xml:space="preserve"> 235-Cámara que dio lugar a la Ley de Garantías Electorales.</w:t>
      </w:r>
    </w:p>
  </w:footnote>
  <w:footnote w:id="19">
    <w:p w14:paraId="43738D24" w14:textId="77777777" w:rsidR="007A74DB" w:rsidRDefault="007A74DB" w:rsidP="007A74DB">
      <w:pPr>
        <w:spacing w:after="0"/>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0">
    <w:p w14:paraId="42FA76CB" w14:textId="77777777" w:rsidR="007A74DB" w:rsidRDefault="007A74DB" w:rsidP="007A74DB">
      <w:pPr>
        <w:pStyle w:val="Textonotapie"/>
        <w:ind w:right="51"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bookmarkStart w:id="10" w:name="_Hlk75633115"/>
      <w:r>
        <w:rPr>
          <w:rFonts w:ascii="Verdana" w:hAnsi="Verdana" w:cs="Arial"/>
          <w:sz w:val="16"/>
          <w:szCs w:val="16"/>
        </w:rPr>
        <w:t xml:space="preserve">Consejo de Estado. Sala de Consulta y Servicio Civil. Concepto </w:t>
      </w:r>
      <w:bookmarkEnd w:id="10"/>
      <w:r>
        <w:rPr>
          <w:rFonts w:ascii="Verdana" w:hAnsi="Verdana" w:cs="Arial"/>
          <w:sz w:val="16"/>
          <w:szCs w:val="16"/>
        </w:rPr>
        <w:t>de 6 de abril de 2006. Radicación Número: 11001-03-06-000-2006-00038-00(1738). Consejero Ponente: Enrique José Arboleda Perdomo:</w:t>
      </w:r>
      <w:r>
        <w:rPr>
          <w:rFonts w:ascii="Verdana" w:eastAsia="Times New Roman" w:hAnsi="Verdana" w:cs="Arial"/>
          <w:bCs/>
          <w:sz w:val="16"/>
          <w:szCs w:val="16"/>
          <w:lang w:eastAsia="x-none"/>
        </w:rPr>
        <w:t xml:space="preserve"> “</w:t>
      </w:r>
      <w:r>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Pr>
          <w:rFonts w:ascii="Verdana" w:eastAsia="Times New Roman" w:hAnsi="Verdana" w:cs="Arial"/>
          <w:bCs/>
          <w:sz w:val="16"/>
          <w:szCs w:val="16"/>
          <w:lang w:eastAsia="x-none"/>
        </w:rPr>
        <w:t>”.</w:t>
      </w:r>
    </w:p>
  </w:footnote>
  <w:footnote w:id="21">
    <w:p w14:paraId="1DAC25FC" w14:textId="77777777" w:rsidR="007A74DB" w:rsidRDefault="007A74DB" w:rsidP="007A74DB">
      <w:pPr>
        <w:pStyle w:val="Textonotapie"/>
        <w:ind w:right="51"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 6 de abril de 2006. Radicación Número: 11001-03-06-000-2006-00038-00(1738). Consejero Ponente: Enrique José Arboleda Perdomo.</w:t>
      </w:r>
    </w:p>
  </w:footnote>
  <w:footnote w:id="22">
    <w:p w14:paraId="7039FF06" w14:textId="77777777" w:rsidR="007A74DB" w:rsidRDefault="007A74DB" w:rsidP="007A74DB">
      <w:pPr>
        <w:pStyle w:val="Textonotapie"/>
        <w:ind w:right="51"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w:t>
      </w:r>
      <w:r>
        <w:rPr>
          <w:rFonts w:ascii="Verdana" w:hAnsi="Verdana" w:cs="Arial"/>
          <w:i/>
          <w:iCs/>
          <w:sz w:val="16"/>
          <w:szCs w:val="16"/>
        </w:rPr>
        <w:t>ibidem</w:t>
      </w:r>
      <w:r>
        <w:rPr>
          <w:rFonts w:ascii="Verdana" w:hAnsi="Verdana" w:cs="Arial"/>
          <w:sz w:val="16"/>
          <w:szCs w:val="16"/>
        </w:rPr>
        <w:t>.</w:t>
      </w:r>
    </w:p>
  </w:footnote>
  <w:footnote w:id="23">
    <w:p w14:paraId="7BF97825" w14:textId="77777777" w:rsidR="007A74DB" w:rsidRPr="00363473" w:rsidRDefault="007A74DB" w:rsidP="007A74DB">
      <w:pPr>
        <w:pStyle w:val="Textonotapie"/>
        <w:ind w:firstLine="709"/>
        <w:jc w:val="both"/>
        <w:rPr>
          <w:rFonts w:ascii="Verdana" w:hAnsi="Verdana"/>
          <w:sz w:val="14"/>
          <w:szCs w:val="14"/>
          <w:lang w:val="es-CO"/>
        </w:rPr>
      </w:pPr>
      <w:r w:rsidRPr="00363473">
        <w:rPr>
          <w:rStyle w:val="Refdenotaalpie"/>
          <w:rFonts w:ascii="Verdana" w:hAnsi="Verdana"/>
          <w:sz w:val="14"/>
          <w:szCs w:val="14"/>
        </w:rPr>
        <w:footnoteRef/>
      </w:r>
      <w:r w:rsidRPr="00363473">
        <w:rPr>
          <w:rFonts w:ascii="Verdana" w:hAnsi="Verdana"/>
          <w:sz w:val="14"/>
          <w:szCs w:val="14"/>
        </w:rPr>
        <w:t xml:space="preserve"> </w:t>
      </w:r>
      <w:r w:rsidRPr="00363473">
        <w:rPr>
          <w:rFonts w:ascii="Verdana" w:hAnsi="Verdana" w:cs="Arial"/>
          <w:sz w:val="14"/>
          <w:szCs w:val="14"/>
        </w:rPr>
        <w:t xml:space="preserve">Consejo de Estado -Sección Tercera-. Sentencia del </w:t>
      </w:r>
      <w:r w:rsidRPr="00363473">
        <w:rPr>
          <w:rFonts w:ascii="Verdana" w:hAnsi="Verdana" w:cs="Arial"/>
          <w:bCs/>
          <w:iCs/>
          <w:sz w:val="14"/>
          <w:szCs w:val="14"/>
        </w:rPr>
        <w:t>21 de febrero de 2025. Radicación Número: 68.280. CP: José Roberto Sáchica Méndez.</w:t>
      </w:r>
    </w:p>
  </w:footnote>
  <w:footnote w:id="24">
    <w:p w14:paraId="2C832418" w14:textId="77777777" w:rsidR="007A74DB" w:rsidRPr="00363473" w:rsidRDefault="007A74DB" w:rsidP="007A74DB">
      <w:pPr>
        <w:pStyle w:val="Textonotapie"/>
        <w:ind w:firstLine="708"/>
        <w:jc w:val="both"/>
        <w:rPr>
          <w:rFonts w:ascii="Verdana" w:hAnsi="Verdana" w:cs="Arial"/>
          <w:sz w:val="14"/>
          <w:szCs w:val="14"/>
        </w:rPr>
      </w:pPr>
      <w:r w:rsidRPr="00363473">
        <w:rPr>
          <w:rFonts w:ascii="Verdana" w:hAnsi="Verdana"/>
          <w:sz w:val="14"/>
          <w:szCs w:val="14"/>
          <w:vertAlign w:val="superscript"/>
        </w:rPr>
        <w:footnoteRef/>
      </w:r>
      <w:r w:rsidRPr="00363473">
        <w:rPr>
          <w:rFonts w:ascii="Verdana" w:hAnsi="Verdana" w:cs="Arial"/>
          <w:sz w:val="14"/>
          <w:szCs w:val="14"/>
          <w:vertAlign w:val="superscript"/>
        </w:rPr>
        <w:t xml:space="preserve"> </w:t>
      </w:r>
      <w:r w:rsidRPr="00363473">
        <w:rPr>
          <w:rFonts w:ascii="Verdana" w:hAnsi="Verdana" w:cs="Arial"/>
          <w:sz w:val="14"/>
          <w:szCs w:val="14"/>
        </w:rPr>
        <w:t>Código Civil: «Artículo 27. Cuando el sentido de la ley sea claro, no se desatenderá su tenor a pretexto de consultar su espíritu».</w:t>
      </w:r>
    </w:p>
  </w:footnote>
  <w:footnote w:id="25">
    <w:p w14:paraId="3E0C81EA" w14:textId="77777777" w:rsidR="007A74DB" w:rsidRPr="00454929" w:rsidRDefault="007A74DB" w:rsidP="007A74DB">
      <w:pPr>
        <w:pStyle w:val="Textonotapie"/>
        <w:ind w:firstLine="709"/>
        <w:contextualSpacing/>
        <w:jc w:val="both"/>
        <w:rPr>
          <w:rFonts w:ascii="Verdana" w:hAnsi="Verdana"/>
          <w:sz w:val="16"/>
          <w:szCs w:val="16"/>
          <w:lang w:val="es-CO"/>
        </w:rPr>
      </w:pPr>
      <w:r w:rsidRPr="00454929">
        <w:rPr>
          <w:rStyle w:val="Refdenotaalpie"/>
          <w:rFonts w:ascii="Verdana" w:hAnsi="Verdana"/>
          <w:sz w:val="16"/>
          <w:szCs w:val="16"/>
        </w:rPr>
        <w:footnoteRef/>
      </w:r>
      <w:r w:rsidRPr="00454929">
        <w:rPr>
          <w:rFonts w:ascii="Verdana" w:hAnsi="Verdana"/>
          <w:sz w:val="16"/>
          <w:szCs w:val="16"/>
          <w:lang w:val="es-CO"/>
        </w:rPr>
        <w:t xml:space="preserve"> Consejo de Estado, Sección Tercera. Auto del 4 de octubre de 2024. </w:t>
      </w:r>
      <w:proofErr w:type="spellStart"/>
      <w:r w:rsidRPr="00454929">
        <w:rPr>
          <w:rFonts w:ascii="Verdana" w:hAnsi="Verdana"/>
          <w:sz w:val="16"/>
          <w:szCs w:val="16"/>
          <w:lang w:val="es-CO"/>
        </w:rPr>
        <w:t>Exp</w:t>
      </w:r>
      <w:proofErr w:type="spellEnd"/>
      <w:r w:rsidRPr="00454929">
        <w:rPr>
          <w:rFonts w:ascii="Verdana" w:hAnsi="Verdana"/>
          <w:sz w:val="16"/>
          <w:szCs w:val="16"/>
          <w:lang w:val="es-CO"/>
        </w:rPr>
        <w:t>. 70.313. C.P: Fredy Ibarra Martínez.</w:t>
      </w:r>
    </w:p>
  </w:footnote>
  <w:footnote w:id="26">
    <w:p w14:paraId="00E0B5A5" w14:textId="77777777" w:rsidR="007A74DB" w:rsidRPr="00454929" w:rsidRDefault="007A74DB" w:rsidP="007A74DB">
      <w:pPr>
        <w:pStyle w:val="Textonotapie"/>
        <w:ind w:firstLine="709"/>
        <w:contextualSpacing/>
        <w:jc w:val="both"/>
        <w:rPr>
          <w:rFonts w:ascii="Verdana" w:hAnsi="Verdana"/>
          <w:sz w:val="16"/>
          <w:szCs w:val="16"/>
          <w:lang w:val="es-CO"/>
        </w:rPr>
      </w:pPr>
      <w:r w:rsidRPr="00454929">
        <w:rPr>
          <w:rStyle w:val="Refdenotaalpie"/>
          <w:rFonts w:ascii="Verdana" w:hAnsi="Verdana"/>
          <w:sz w:val="16"/>
          <w:szCs w:val="16"/>
        </w:rPr>
        <w:footnoteRef/>
      </w:r>
      <w:r w:rsidRPr="00454929">
        <w:rPr>
          <w:rFonts w:ascii="Verdana" w:hAnsi="Verdana"/>
          <w:sz w:val="16"/>
          <w:szCs w:val="16"/>
        </w:rPr>
        <w:t xml:space="preserve"> La parte resolutiva del auto dispone lo siguiente; “</w:t>
      </w:r>
      <w:r w:rsidRPr="00301509">
        <w:rPr>
          <w:rFonts w:ascii="Verdana" w:hAnsi="Verdana"/>
          <w:bCs/>
          <w:sz w:val="16"/>
          <w:szCs w:val="16"/>
          <w:lang w:val="es-CO"/>
        </w:rPr>
        <w:t>PRIMERO: DECRETAR la</w:t>
      </w:r>
      <w:r w:rsidRPr="00454929">
        <w:rPr>
          <w:rFonts w:ascii="Verdana" w:hAnsi="Verdana"/>
          <w:sz w:val="16"/>
          <w:szCs w:val="16"/>
          <w:lang w:val="es-CO"/>
        </w:rPr>
        <w:t xml:space="preserve"> suspensión provisional de los apartes cuestionados del inciso segundo del numeral 16.2 de la Circular Externa única, versión 3 del 27 de diciembre de 2023, expedida por la Agencia Nacional de Contratación Pública – Colombia Compra Eficiente, según el cual </w:t>
      </w:r>
      <w:r w:rsidRPr="00454929">
        <w:rPr>
          <w:rFonts w:ascii="Verdana" w:hAnsi="Verdana"/>
          <w:i/>
          <w:sz w:val="16"/>
          <w:szCs w:val="16"/>
          <w:lang w:val="es-CO"/>
        </w:rPr>
        <w:t>“[e]</w:t>
      </w:r>
      <w:proofErr w:type="spellStart"/>
      <w:r w:rsidRPr="00454929">
        <w:rPr>
          <w:rFonts w:ascii="Verdana" w:hAnsi="Verdana"/>
          <w:i/>
          <w:sz w:val="16"/>
          <w:szCs w:val="16"/>
          <w:lang w:val="es-CO"/>
        </w:rPr>
        <w:t>sta</w:t>
      </w:r>
      <w:proofErr w:type="spellEnd"/>
      <w:r w:rsidRPr="00454929">
        <w:rPr>
          <w:rFonts w:ascii="Verdana" w:hAnsi="Verdana"/>
          <w:i/>
          <w:sz w:val="16"/>
          <w:szCs w:val="16"/>
          <w:lang w:val="es-CO"/>
        </w:rPr>
        <w:t xml:space="preserve">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454929">
        <w:rPr>
          <w:rFonts w:ascii="Verdana" w:hAnsi="Verdana"/>
          <w:sz w:val="16"/>
          <w:szCs w:val="16"/>
          <w:lang w:val="es-CO"/>
        </w:rPr>
        <w:t xml:space="preserve">, por las razones expuestas en precedencia. </w:t>
      </w:r>
    </w:p>
    <w:p w14:paraId="47A520EE" w14:textId="77777777" w:rsidR="007A74DB" w:rsidRPr="00454929" w:rsidRDefault="007A74DB" w:rsidP="007A74DB">
      <w:pPr>
        <w:pStyle w:val="Textonotapie"/>
        <w:ind w:firstLine="709"/>
        <w:contextualSpacing/>
        <w:jc w:val="both"/>
        <w:rPr>
          <w:rFonts w:ascii="Verdana" w:hAnsi="Verdana"/>
          <w:sz w:val="16"/>
          <w:szCs w:val="16"/>
          <w:lang w:val="es-CO"/>
        </w:rPr>
      </w:pPr>
      <w:r w:rsidRPr="00301509">
        <w:rPr>
          <w:rFonts w:ascii="Verdana" w:hAnsi="Verdana"/>
          <w:bCs/>
          <w:sz w:val="16"/>
          <w:szCs w:val="16"/>
          <w:lang w:val="es-CO"/>
        </w:rPr>
        <w:t>SEGUNDO: DECRETAR</w:t>
      </w:r>
      <w:r w:rsidRPr="00454929">
        <w:rPr>
          <w:rFonts w:ascii="Verdana" w:hAnsi="Verdana"/>
          <w:b/>
          <w:sz w:val="16"/>
          <w:szCs w:val="16"/>
          <w:lang w:val="es-CO"/>
        </w:rPr>
        <w:t xml:space="preserve"> </w:t>
      </w:r>
      <w:r w:rsidRPr="00454929">
        <w:rPr>
          <w:rFonts w:ascii="Verdana" w:hAnsi="Verdana"/>
          <w:sz w:val="16"/>
          <w:szCs w:val="16"/>
          <w:lang w:val="es-CO"/>
        </w:rPr>
        <w:t>la suspensión provisional de la expresión “</w:t>
      </w:r>
      <w:r w:rsidRPr="00454929">
        <w:rPr>
          <w:rFonts w:ascii="Verdana" w:hAnsi="Verdana"/>
          <w:i/>
          <w:sz w:val="16"/>
          <w:szCs w:val="16"/>
          <w:lang w:val="es-CO"/>
        </w:rPr>
        <w:t>contratos</w:t>
      </w:r>
      <w:r w:rsidRPr="00454929">
        <w:rPr>
          <w:rFonts w:ascii="Verdana" w:hAnsi="Verdana"/>
          <w:sz w:val="16"/>
          <w:szCs w:val="16"/>
          <w:lang w:val="es-CO"/>
        </w:rPr>
        <w:t xml:space="preserve">” y del párrafo </w:t>
      </w:r>
      <w:r w:rsidRPr="00454929">
        <w:rPr>
          <w:rFonts w:ascii="Verdana" w:hAnsi="Verdana"/>
          <w:i/>
          <w:sz w:val="16"/>
          <w:szCs w:val="16"/>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454929">
        <w:rPr>
          <w:rFonts w:ascii="Verdana" w:hAnsi="Verdana"/>
          <w:sz w:val="16"/>
          <w:szCs w:val="16"/>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w:t>
      </w:r>
      <w:proofErr w:type="spellStart"/>
      <w:r w:rsidRPr="00454929">
        <w:rPr>
          <w:rFonts w:ascii="Verdana" w:hAnsi="Verdana"/>
          <w:sz w:val="16"/>
          <w:szCs w:val="16"/>
          <w:lang w:val="es-CO"/>
        </w:rPr>
        <w:t>Exp</w:t>
      </w:r>
      <w:proofErr w:type="spellEnd"/>
      <w:r w:rsidRPr="00454929">
        <w:rPr>
          <w:rFonts w:ascii="Verdana" w:hAnsi="Verdana"/>
          <w:sz w:val="16"/>
          <w:szCs w:val="16"/>
          <w:lang w:val="es-CO"/>
        </w:rPr>
        <w:t xml:space="preserve">. 72.424. C.P: Fernando Alexei Pardo </w:t>
      </w:r>
      <w:proofErr w:type="spellStart"/>
      <w:r w:rsidRPr="00454929">
        <w:rPr>
          <w:rFonts w:ascii="Verdana" w:hAnsi="Verdana"/>
          <w:sz w:val="16"/>
          <w:szCs w:val="16"/>
          <w:lang w:val="es-CO"/>
        </w:rPr>
        <w:t>Florez</w:t>
      </w:r>
      <w:proofErr w:type="spellEnd"/>
      <w:r w:rsidRPr="00454929">
        <w:rPr>
          <w:rFonts w:ascii="Verdana" w:hAnsi="Verdana"/>
          <w:sz w:val="16"/>
          <w:szCs w:val="16"/>
          <w:lang w:val="es-CO"/>
        </w:rPr>
        <w:t xml:space="preserve">. </w:t>
      </w:r>
    </w:p>
  </w:footnote>
  <w:footnote w:id="27">
    <w:p w14:paraId="24ED27D3" w14:textId="77777777" w:rsidR="007A74DB" w:rsidRDefault="007A74DB" w:rsidP="007A74DB">
      <w:pPr>
        <w:spacing w:after="0" w:line="240" w:lineRule="auto"/>
        <w:ind w:firstLine="709"/>
        <w:contextualSpacing/>
        <w:jc w:val="both"/>
        <w:rPr>
          <w:rFonts w:ascii="Verdana" w:eastAsia="Times New Roman" w:hAnsi="Verdana" w:cs="Times New Roman"/>
          <w:sz w:val="16"/>
          <w:szCs w:val="16"/>
          <w:lang w:eastAsia="es-ES"/>
        </w:rPr>
      </w:pPr>
      <w:r w:rsidRPr="00454929">
        <w:rPr>
          <w:rStyle w:val="Refdenotaalpie"/>
          <w:rFonts w:ascii="Verdana" w:hAnsi="Verdana"/>
          <w:sz w:val="16"/>
          <w:szCs w:val="16"/>
        </w:rPr>
        <w:footnoteRef/>
      </w:r>
      <w:r w:rsidRPr="00454929">
        <w:rPr>
          <w:rFonts w:ascii="Verdana" w:hAnsi="Verdana"/>
          <w:sz w:val="16"/>
          <w:szCs w:val="16"/>
        </w:rPr>
        <w:t xml:space="preserve"> </w:t>
      </w:r>
      <w:r w:rsidRPr="00454929">
        <w:rPr>
          <w:rFonts w:ascii="Verdana" w:eastAsia="Times New Roman" w:hAnsi="Verdana" w:cs="Times New Roman"/>
          <w:sz w:val="16"/>
          <w:szCs w:val="16"/>
          <w:lang w:eastAsia="es-ES"/>
        </w:rPr>
        <w:t xml:space="preserve">Consejo de Estado. Sala de lo Contencioso Administrativo. Sección Tercera. Subsección B. 17 de octubre de 2025. Magistrado Ponente: Fredy Ibarra Martínez.  </w:t>
      </w:r>
      <w:r w:rsidRPr="00454929">
        <w:rPr>
          <w:rFonts w:ascii="Verdana" w:hAnsi="Verdana"/>
          <w:sz w:val="16"/>
          <w:szCs w:val="16"/>
        </w:rPr>
        <w:t xml:space="preserve">La parte de la providencia señala: </w:t>
      </w:r>
      <w:r w:rsidRPr="00454929">
        <w:rPr>
          <w:rFonts w:ascii="Verdana" w:eastAsia="Times New Roman" w:hAnsi="Verdana" w:cs="Times New Roman"/>
          <w:sz w:val="16"/>
          <w:szCs w:val="16"/>
          <w:lang w:eastAsia="es-ES"/>
        </w:rPr>
        <w:t xml:space="preserve">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roofErr w:type="spellStart"/>
      <w:r w:rsidRPr="00454929">
        <w:rPr>
          <w:rFonts w:ascii="Verdana" w:eastAsia="Times New Roman" w:hAnsi="Verdana" w:cs="Times New Roman"/>
          <w:sz w:val="16"/>
          <w:szCs w:val="16"/>
          <w:lang w:eastAsia="es-ES"/>
        </w:rPr>
        <w:t>ii</w:t>
      </w:r>
      <w:proofErr w:type="spellEnd"/>
      <w:r w:rsidRPr="00454929">
        <w:rPr>
          <w:rFonts w:ascii="Verdana" w:eastAsia="Times New Roman" w:hAnsi="Verdana" w:cs="Times New Roman"/>
          <w:sz w:val="16"/>
          <w:szCs w:val="16"/>
          <w:lang w:eastAsia="es-ES"/>
        </w:rPr>
        <w:t>)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p w14:paraId="391D9508" w14:textId="77777777" w:rsidR="007A74DB" w:rsidRPr="00454929" w:rsidRDefault="007A74DB" w:rsidP="007A74DB">
      <w:pPr>
        <w:spacing w:after="0" w:line="240" w:lineRule="auto"/>
        <w:ind w:firstLine="709"/>
        <w:contextualSpacing/>
        <w:jc w:val="both"/>
        <w:rPr>
          <w:rFonts w:ascii="Verdana" w:eastAsia="Times New Roman" w:hAnsi="Verdana" w:cs="Times New Roman"/>
          <w:sz w:val="16"/>
          <w:szCs w:val="16"/>
          <w:lang w:eastAsia="es-ES"/>
        </w:rPr>
      </w:pPr>
    </w:p>
  </w:footnote>
  <w:footnote w:id="28">
    <w:p w14:paraId="3EEB2368" w14:textId="77777777" w:rsidR="007A74DB" w:rsidRPr="00454929" w:rsidRDefault="007A74DB" w:rsidP="007A74DB">
      <w:pPr>
        <w:pStyle w:val="Textonotapie"/>
        <w:ind w:firstLine="709"/>
        <w:rPr>
          <w:rFonts w:ascii="Verdana" w:hAnsi="Verdana"/>
          <w:sz w:val="16"/>
          <w:szCs w:val="16"/>
          <w:lang w:val="es-CO"/>
        </w:rPr>
      </w:pPr>
      <w:r w:rsidRPr="00454929">
        <w:rPr>
          <w:rStyle w:val="Refdenotaalpie"/>
          <w:rFonts w:ascii="Verdana" w:hAnsi="Verdana"/>
          <w:sz w:val="16"/>
          <w:szCs w:val="16"/>
        </w:rPr>
        <w:footnoteRef/>
      </w:r>
      <w:r w:rsidRPr="00454929">
        <w:rPr>
          <w:rFonts w:ascii="Verdana" w:hAnsi="Verdana"/>
          <w:sz w:val="16"/>
          <w:szCs w:val="16"/>
        </w:rPr>
        <w:t xml:space="preserve"> No </w:t>
      </w:r>
      <w:proofErr w:type="gramStart"/>
      <w:r w:rsidRPr="00454929">
        <w:rPr>
          <w:rFonts w:ascii="Verdana" w:hAnsi="Verdana"/>
          <w:sz w:val="16"/>
          <w:szCs w:val="16"/>
        </w:rPr>
        <w:t>obstante</w:t>
      </w:r>
      <w:proofErr w:type="gramEnd"/>
      <w:r w:rsidRPr="00454929">
        <w:rPr>
          <w:rFonts w:ascii="Verdana" w:hAnsi="Verdana"/>
          <w:sz w:val="16"/>
          <w:szCs w:val="16"/>
        </w:rPr>
        <w:t xml:space="preserv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 w:id="29">
    <w:p w14:paraId="5DBA1BE7" w14:textId="77777777" w:rsidR="007A74DB" w:rsidRPr="00F473B6" w:rsidRDefault="007A74DB" w:rsidP="007A74DB">
      <w:pPr>
        <w:pStyle w:val="Textonotapie"/>
        <w:ind w:firstLine="708"/>
        <w:jc w:val="both"/>
        <w:rPr>
          <w:rFonts w:ascii="Verdana" w:hAnsi="Verdana"/>
          <w:sz w:val="16"/>
          <w:szCs w:val="16"/>
          <w:lang w:val="es-CO"/>
        </w:rPr>
      </w:pPr>
      <w:r w:rsidRPr="00F473B6">
        <w:rPr>
          <w:rStyle w:val="Refdenotaalpie"/>
          <w:rFonts w:ascii="Verdana" w:hAnsi="Verdana"/>
          <w:sz w:val="16"/>
          <w:szCs w:val="16"/>
        </w:rPr>
        <w:footnoteRef/>
      </w:r>
      <w:r w:rsidRPr="00F473B6">
        <w:rPr>
          <w:rFonts w:ascii="Verdana" w:hAnsi="Verdana"/>
          <w:sz w:val="16"/>
          <w:szCs w:val="16"/>
        </w:rPr>
        <w:t xml:space="preserve"> Sobre el alcance de las normas equivalentes en el Código Civil chileno, CLARO SOLAR explica lo siguiente: “Las palabras de que el legislador se sirve pueden tener dos significaciones: el sentido vulgar y el sentido técnico. Según el artículo 20, ‘</w:t>
      </w:r>
      <w:r w:rsidRPr="00F473B6">
        <w:rPr>
          <w:rFonts w:ascii="Verdana" w:hAnsi="Verdana"/>
          <w:i/>
          <w:iCs/>
          <w:sz w:val="16"/>
          <w:szCs w:val="16"/>
        </w:rPr>
        <w:t>las palabras de la ley se entenderán en su sentido natural y obvio, según el uso general de las mismas palabras</w:t>
      </w:r>
      <w:r w:rsidRPr="00F473B6">
        <w:rPr>
          <w:rFonts w:ascii="Verdana" w:hAnsi="Verdana"/>
          <w:sz w:val="16"/>
          <w:szCs w:val="16"/>
        </w:rPr>
        <w:t>’, es decir, el uso de la gente educada. El Diccionario de la Lengua publicado por la Real Academia Española goza a este respecto de gran autoridad. ‘</w:t>
      </w:r>
      <w:r w:rsidRPr="00F473B6">
        <w:rPr>
          <w:rFonts w:ascii="Verdana" w:hAnsi="Verdana"/>
          <w:i/>
          <w:iCs/>
          <w:sz w:val="16"/>
          <w:szCs w:val="16"/>
        </w:rPr>
        <w:t>Pero cuando el legislador</w:t>
      </w:r>
      <w:r w:rsidRPr="00F473B6">
        <w:rPr>
          <w:rFonts w:ascii="Verdana" w:hAnsi="Verdana"/>
          <w:sz w:val="16"/>
          <w:szCs w:val="16"/>
        </w:rPr>
        <w:t xml:space="preserve">, agrega el artículo 20, </w:t>
      </w:r>
      <w:r w:rsidRPr="00F473B6">
        <w:rPr>
          <w:rFonts w:ascii="Verdana" w:hAnsi="Verdana"/>
          <w:i/>
          <w:iCs/>
          <w:sz w:val="16"/>
          <w:szCs w:val="16"/>
        </w:rPr>
        <w:t>las haya definido expresamente para ciertas materias se les dará en éstas su significado legal</w:t>
      </w:r>
      <w:r w:rsidRPr="00F473B6">
        <w:rPr>
          <w:rFonts w:ascii="Verdana" w:hAnsi="Verdana"/>
          <w:sz w:val="16"/>
          <w:szCs w:val="16"/>
        </w:rPr>
        <w:t>’. Por la inversa, según el artículo 21, ‘las palabras técnicas de toda ciencia o arte se tomarán en el sentido que les den los que profesan la misma ciencia o arte; a menos que aparezca claramente que se han tomado en sentido diverso’. Es de suponer que el legislador conozca bastante el idioma en que legisla y sea suficientemente instruido en la ciencia o arte para dar a las palabras de la lengua y a las palabras especiales de la ciencia o arte a que se refiere, el significado que les es propio; en el caso contrario, es necesario que ello aparezca de manifiesto y con toda claridad” (CLARO SOLAR, Luis. Explicaciones de derecho civil chileno y comparado. Volumen I. Tomo I. Santiago: Editorial Jurídica de Chile, 2013. p. 117. Énfasis dentro del texto).</w:t>
      </w:r>
    </w:p>
  </w:footnote>
  <w:footnote w:id="30">
    <w:p w14:paraId="47CD65ED" w14:textId="77777777" w:rsidR="007A74DB" w:rsidRPr="001B4DB7" w:rsidRDefault="007A74DB" w:rsidP="007A74DB">
      <w:pPr>
        <w:pStyle w:val="Textonotapie"/>
        <w:ind w:firstLine="708"/>
        <w:jc w:val="both"/>
        <w:rPr>
          <w:rFonts w:ascii="Verdana" w:hAnsi="Verdana"/>
          <w:sz w:val="16"/>
          <w:szCs w:val="16"/>
        </w:rPr>
      </w:pPr>
      <w:r w:rsidRPr="007E4770">
        <w:rPr>
          <w:rStyle w:val="Refdenotaalpie"/>
          <w:rFonts w:ascii="Verdana" w:hAnsi="Verdana"/>
          <w:sz w:val="16"/>
          <w:szCs w:val="16"/>
        </w:rPr>
        <w:footnoteRef/>
      </w:r>
      <w:r w:rsidRPr="007E4770">
        <w:rPr>
          <w:rFonts w:ascii="Verdana" w:hAnsi="Verdana"/>
          <w:sz w:val="16"/>
          <w:szCs w:val="16"/>
        </w:rPr>
        <w:t xml:space="preserve"> </w:t>
      </w:r>
      <w:r>
        <w:rPr>
          <w:rFonts w:ascii="Verdana" w:hAnsi="Verdana"/>
          <w:sz w:val="16"/>
          <w:szCs w:val="16"/>
        </w:rPr>
        <w:t xml:space="preserve">GORDILLO, Agustin. </w:t>
      </w:r>
      <w:r w:rsidRPr="001B4DB7">
        <w:rPr>
          <w:rFonts w:ascii="Verdana" w:hAnsi="Verdana"/>
          <w:sz w:val="16"/>
          <w:szCs w:val="16"/>
        </w:rPr>
        <w:t>Actos administrativos, reglamentos y contratos</w:t>
      </w:r>
      <w:r>
        <w:rPr>
          <w:rFonts w:ascii="Verdana" w:hAnsi="Verdana"/>
          <w:sz w:val="16"/>
          <w:szCs w:val="16"/>
        </w:rPr>
        <w:t xml:space="preserve"> </w:t>
      </w:r>
      <w:r w:rsidRPr="001B4DB7">
        <w:rPr>
          <w:rFonts w:ascii="Verdana" w:hAnsi="Verdana"/>
          <w:sz w:val="16"/>
          <w:szCs w:val="16"/>
        </w:rPr>
        <w:t>administrativos</w:t>
      </w:r>
      <w:r>
        <w:rPr>
          <w:rFonts w:ascii="Verdana" w:hAnsi="Verdana"/>
          <w:sz w:val="16"/>
          <w:szCs w:val="16"/>
        </w:rPr>
        <w:t xml:space="preserve">. Consultado el 14 de noviembre de 2024 en la página web </w:t>
      </w:r>
      <w:hyperlink r:id="rId1" w:history="1">
        <w:r w:rsidRPr="00A02C6C">
          <w:rPr>
            <w:rStyle w:val="Hipervnculo"/>
            <w:rFonts w:ascii="Verdana" w:hAnsi="Verdana"/>
            <w:sz w:val="16"/>
            <w:szCs w:val="16"/>
          </w:rPr>
          <w:t>https://www.gordillo.com/pdf_tomo3/capitulo4.pdf</w:t>
        </w:r>
      </w:hyperlink>
      <w:r>
        <w:rPr>
          <w:rFonts w:ascii="Verdana" w:hAnsi="Verdana"/>
          <w:sz w:val="16"/>
          <w:szCs w:val="16"/>
        </w:rPr>
        <w:t xml:space="preserve">. </w:t>
      </w:r>
    </w:p>
  </w:footnote>
  <w:footnote w:id="31">
    <w:p w14:paraId="2DCC1C5A" w14:textId="77777777" w:rsidR="007A74DB" w:rsidRPr="00F473B6" w:rsidRDefault="007A74DB" w:rsidP="007A74DB">
      <w:pPr>
        <w:pStyle w:val="Textonotapie"/>
        <w:ind w:firstLine="708"/>
        <w:jc w:val="both"/>
        <w:rPr>
          <w:rFonts w:ascii="Verdana" w:hAnsi="Verdana" w:cs="Arial"/>
          <w:sz w:val="16"/>
          <w:szCs w:val="16"/>
          <w:lang w:val="es-CO"/>
        </w:rPr>
      </w:pPr>
      <w:r w:rsidRPr="00F473B6">
        <w:rPr>
          <w:rStyle w:val="Refdenotaalpie"/>
          <w:rFonts w:ascii="Verdana" w:hAnsi="Verdana"/>
          <w:sz w:val="16"/>
          <w:szCs w:val="16"/>
        </w:rPr>
        <w:footnoteRef/>
      </w:r>
      <w:r w:rsidRPr="00F473B6">
        <w:rPr>
          <w:rFonts w:ascii="Verdana" w:hAnsi="Verdana"/>
          <w:sz w:val="16"/>
          <w:szCs w:val="16"/>
        </w:rPr>
        <w:t xml:space="preserve"> </w:t>
      </w:r>
      <w:r w:rsidRPr="00F473B6">
        <w:rPr>
          <w:rFonts w:ascii="Verdana" w:hAnsi="Verdana" w:cs="Arial"/>
          <w:sz w:val="16"/>
          <w:szCs w:val="16"/>
          <w:lang w:val="es-CO"/>
        </w:rPr>
        <w:t>CONSEJO DE ESTADO. Sección Tercera. Subsección C. Sentencia del 23 de octubre de 2017. Rad. 53.206. C.P. Jaime Orlando Santofimio Gamboa.</w:t>
      </w:r>
    </w:p>
  </w:footnote>
  <w:footnote w:id="32">
    <w:p w14:paraId="0A6867B7" w14:textId="77777777" w:rsidR="007A74DB" w:rsidRPr="00F473B6" w:rsidRDefault="007A74DB" w:rsidP="007A74DB">
      <w:pPr>
        <w:pStyle w:val="Textonotapie"/>
        <w:ind w:firstLine="708"/>
        <w:jc w:val="both"/>
        <w:rPr>
          <w:rFonts w:ascii="Verdana" w:hAnsi="Verdana" w:cs="Arial"/>
          <w:sz w:val="16"/>
          <w:szCs w:val="16"/>
          <w:lang w:val="es-CO"/>
        </w:rPr>
      </w:pPr>
      <w:r w:rsidRPr="00F473B6">
        <w:rPr>
          <w:rStyle w:val="Refdenotaalpie"/>
          <w:rFonts w:ascii="Verdana" w:hAnsi="Verdana"/>
          <w:sz w:val="16"/>
          <w:szCs w:val="16"/>
        </w:rPr>
        <w:footnoteRef/>
      </w:r>
      <w:r w:rsidRPr="00F473B6">
        <w:rPr>
          <w:rFonts w:ascii="Verdana" w:hAnsi="Verdana"/>
          <w:sz w:val="16"/>
          <w:szCs w:val="16"/>
        </w:rPr>
        <w:t xml:space="preserve"> </w:t>
      </w:r>
      <w:bookmarkStart w:id="15" w:name="_Hlk37089949"/>
      <w:r w:rsidRPr="00F473B6">
        <w:rPr>
          <w:rFonts w:ascii="Verdana" w:hAnsi="Verdana" w:cs="Arial"/>
          <w:sz w:val="16"/>
          <w:szCs w:val="16"/>
          <w:lang w:val="es-CO"/>
        </w:rPr>
        <w:t xml:space="preserve">MARÍN CORTÉS, Fabián Gonzalo. El concepto de acto administrativo. Texto inédito. p. 13.  </w:t>
      </w:r>
      <w:bookmarkEnd w:id="15"/>
    </w:p>
  </w:footnote>
  <w:footnote w:id="33">
    <w:p w14:paraId="625F81BD" w14:textId="77777777" w:rsidR="007A74DB" w:rsidRPr="00F473B6" w:rsidRDefault="007A74DB" w:rsidP="007A74DB">
      <w:pPr>
        <w:pStyle w:val="Textonotapie"/>
        <w:ind w:firstLine="708"/>
        <w:jc w:val="both"/>
        <w:rPr>
          <w:rFonts w:ascii="Verdana" w:hAnsi="Verdana" w:cs="Arial"/>
          <w:sz w:val="16"/>
          <w:szCs w:val="16"/>
          <w:lang w:val="es-CO"/>
        </w:rPr>
      </w:pPr>
      <w:r w:rsidRPr="00F473B6">
        <w:rPr>
          <w:rStyle w:val="Refdenotaalpie"/>
          <w:rFonts w:ascii="Verdana" w:hAnsi="Verdana"/>
          <w:sz w:val="16"/>
          <w:szCs w:val="16"/>
        </w:rPr>
        <w:footnoteRef/>
      </w:r>
      <w:r w:rsidRPr="00F473B6">
        <w:rPr>
          <w:rFonts w:ascii="Verdana" w:hAnsi="Verdana"/>
          <w:sz w:val="16"/>
          <w:szCs w:val="16"/>
        </w:rPr>
        <w:t xml:space="preserve"> </w:t>
      </w:r>
      <w:r w:rsidRPr="00F473B6">
        <w:rPr>
          <w:rFonts w:ascii="Verdana" w:hAnsi="Verdana" w:cs="Arial"/>
          <w:sz w:val="16"/>
          <w:szCs w:val="16"/>
          <w:lang w:val="es-CO"/>
        </w:rPr>
        <w:t xml:space="preserve">No en vano, se explica que “[…] la administración puede modificar las situaciones jurídicas por su sola voluntad, sin el consentimiento de los interesados. Es esta una prerrogativa característica de la potestad pública. La decisión ejecutoria es el acto por el cual la administración pone en marcha este poder de modificación unilateral de las situaciones jurídicas. Es el procedimiento tipo de la acción administrativa, el más utilizado en la práctica y el más característico desde el punto de vista doctrinal” (RIVERO, Jean. Derecho administrativo. Novena Edición. Caracas: Universidad Central de Venezuela, 1984. p. 100). </w:t>
      </w:r>
    </w:p>
  </w:footnote>
  <w:footnote w:id="34">
    <w:p w14:paraId="05011A96" w14:textId="77777777" w:rsidR="007A74DB" w:rsidRPr="00954863" w:rsidRDefault="007A74DB" w:rsidP="007A74DB">
      <w:pPr>
        <w:pStyle w:val="Textonotapie"/>
        <w:ind w:firstLine="708"/>
        <w:jc w:val="both"/>
        <w:rPr>
          <w:rFonts w:ascii="Verdana" w:hAnsi="Verdana"/>
          <w:sz w:val="16"/>
          <w:szCs w:val="16"/>
          <w:lang w:val="es-CO"/>
        </w:rPr>
      </w:pPr>
      <w:r w:rsidRPr="00954863">
        <w:rPr>
          <w:rStyle w:val="Refdenotaalpie"/>
          <w:rFonts w:ascii="Verdana" w:hAnsi="Verdana"/>
          <w:sz w:val="16"/>
          <w:szCs w:val="16"/>
        </w:rPr>
        <w:footnoteRef/>
      </w:r>
      <w:r w:rsidRPr="00954863">
        <w:rPr>
          <w:rFonts w:ascii="Verdana" w:hAnsi="Verdana"/>
          <w:sz w:val="16"/>
          <w:szCs w:val="16"/>
        </w:rPr>
        <w:t xml:space="preserve"> </w:t>
      </w:r>
      <w:r>
        <w:rPr>
          <w:rFonts w:ascii="Verdana" w:hAnsi="Verdana"/>
          <w:sz w:val="16"/>
          <w:szCs w:val="16"/>
        </w:rPr>
        <w:t>Como explica la doctrina, “</w:t>
      </w:r>
      <w:r w:rsidRPr="00954863">
        <w:rPr>
          <w:rFonts w:ascii="Verdana" w:hAnsi="Verdana"/>
          <w:sz w:val="16"/>
          <w:szCs w:val="16"/>
        </w:rPr>
        <w:t>La unilateralidad en el Derecho administrativo hay que encontrarla en el origen de la relación jurídica y de aquí la irrelevancia de la voluntad del administrado que, aunque ponga en marcha un procedimiento y el acto que se dicte al final sea a su petición, no tiene fuerza suficiente para generar un contrato. De mantener una tesis contractualista habría que llegar a consecuencias aberrantes porque serían contratos, es decir, actos bilaterales por su origen, los convenios expropiatorios, la imposición de multas con aceptación, el servicio militar como voluntario, los recursos administrativos estimados y, en fin, todo acto jurídico procedente de la Administración a instancia de parte se transformaría en un contrato</w:t>
      </w:r>
      <w:r>
        <w:rPr>
          <w:rFonts w:ascii="Verdana" w:hAnsi="Verdana"/>
          <w:sz w:val="16"/>
          <w:szCs w:val="16"/>
        </w:rPr>
        <w:t xml:space="preserve">” (Cfr. </w:t>
      </w:r>
      <w:r w:rsidRPr="00954863">
        <w:rPr>
          <w:rFonts w:ascii="Verdana" w:hAnsi="Verdana"/>
          <w:sz w:val="16"/>
          <w:szCs w:val="16"/>
        </w:rPr>
        <w:t xml:space="preserve">GARCÍA-TREVIJANO FOS, José Antonio. Los actos administrativos. Madrid: </w:t>
      </w:r>
      <w:proofErr w:type="spellStart"/>
      <w:r w:rsidRPr="00954863">
        <w:rPr>
          <w:rFonts w:ascii="Verdana" w:hAnsi="Verdana"/>
          <w:sz w:val="16"/>
          <w:szCs w:val="16"/>
        </w:rPr>
        <w:t>Civitas</w:t>
      </w:r>
      <w:proofErr w:type="spellEnd"/>
      <w:r w:rsidRPr="00954863">
        <w:rPr>
          <w:rFonts w:ascii="Verdana" w:hAnsi="Verdana"/>
          <w:sz w:val="16"/>
          <w:szCs w:val="16"/>
        </w:rPr>
        <w:t>, 1986. pp. 95-97</w:t>
      </w:r>
      <w:r>
        <w:rPr>
          <w:rFonts w:ascii="Verdana" w:hAnsi="Verdana"/>
          <w:sz w:val="16"/>
          <w:szCs w:val="16"/>
        </w:rPr>
        <w:t>)</w:t>
      </w:r>
      <w:r w:rsidRPr="00954863">
        <w:rPr>
          <w:rFonts w:ascii="Verdana" w:hAnsi="Verdana"/>
          <w:sz w:val="16"/>
          <w:szCs w:val="16"/>
        </w:rPr>
        <w:t>.</w:t>
      </w:r>
    </w:p>
  </w:footnote>
  <w:footnote w:id="35">
    <w:p w14:paraId="1665A7B0" w14:textId="77777777" w:rsidR="007A74DB" w:rsidRPr="00F473B6" w:rsidRDefault="007A74DB" w:rsidP="007A74DB">
      <w:pPr>
        <w:pStyle w:val="Textonotapie"/>
        <w:ind w:firstLine="708"/>
        <w:jc w:val="both"/>
        <w:rPr>
          <w:rFonts w:ascii="Verdana" w:hAnsi="Verdana"/>
          <w:sz w:val="16"/>
          <w:szCs w:val="16"/>
        </w:rPr>
      </w:pPr>
      <w:r w:rsidRPr="00F473B6">
        <w:rPr>
          <w:rStyle w:val="Refdenotaalpie"/>
          <w:rFonts w:ascii="Verdana" w:hAnsi="Verdana"/>
          <w:sz w:val="16"/>
          <w:szCs w:val="16"/>
        </w:rPr>
        <w:footnoteRef/>
      </w:r>
      <w:r w:rsidRPr="00F473B6">
        <w:rPr>
          <w:rFonts w:ascii="Verdana" w:hAnsi="Verdana"/>
          <w:sz w:val="16"/>
          <w:szCs w:val="16"/>
        </w:rPr>
        <w:t xml:space="preserve"> Para la doctrina, “Todas las variantes en la determinación del concepto de administración coinciden […] en que la presentan como aquel residuo que una vez eliminada resulta al desglosar del complejo de la total actividad del Estado, la legislativa y la judicial. Todas las nuevas concepciones viables de la administración tienen además de común que la determinan, expresamente, de una manera mediata y negativa; el concepto de administración es el resultado de una </w:t>
      </w:r>
      <w:r w:rsidRPr="00F473B6">
        <w:rPr>
          <w:rFonts w:ascii="Verdana" w:hAnsi="Verdana"/>
          <w:i/>
          <w:iCs/>
          <w:sz w:val="16"/>
          <w:szCs w:val="16"/>
        </w:rPr>
        <w:t>sustracción, en el que el minuendo lo constituyen la suma de las actividades del Estado y el sustraendo la suma de legislación y justicia</w:t>
      </w:r>
      <w:r w:rsidRPr="00F473B6">
        <w:rPr>
          <w:rFonts w:ascii="Verdana" w:hAnsi="Verdana"/>
          <w:sz w:val="16"/>
          <w:szCs w:val="16"/>
        </w:rPr>
        <w:t xml:space="preserve">” (MERKL, Adolf. Teoría general de derecho administrativo. Santiago: Editorial Olejnik, 2018. pp. 21-22. Énfasis dentro del texto). </w:t>
      </w:r>
    </w:p>
  </w:footnote>
  <w:footnote w:id="36">
    <w:p w14:paraId="54DED172" w14:textId="77777777" w:rsidR="007A74DB" w:rsidRPr="00F473B6" w:rsidRDefault="007A74DB" w:rsidP="007A74DB">
      <w:pPr>
        <w:pStyle w:val="Textonotapie"/>
        <w:ind w:firstLine="708"/>
        <w:jc w:val="both"/>
        <w:rPr>
          <w:rFonts w:ascii="Verdana" w:hAnsi="Verdana"/>
          <w:sz w:val="16"/>
          <w:szCs w:val="16"/>
        </w:rPr>
      </w:pPr>
      <w:r w:rsidRPr="00F473B6">
        <w:rPr>
          <w:rStyle w:val="Refdenotaalpie"/>
          <w:rFonts w:ascii="Verdana" w:hAnsi="Verdana"/>
          <w:sz w:val="16"/>
          <w:szCs w:val="16"/>
        </w:rPr>
        <w:footnoteRef/>
      </w:r>
      <w:r w:rsidRPr="00214330">
        <w:rPr>
          <w:rFonts w:ascii="Verdana" w:hAnsi="Verdana"/>
          <w:sz w:val="16"/>
          <w:szCs w:val="16"/>
          <w:lang w:val="pt-BR"/>
        </w:rPr>
        <w:t xml:space="preserve"> Cfr. DROMI, José Roberto. Manual de </w:t>
      </w:r>
      <w:proofErr w:type="spellStart"/>
      <w:r w:rsidRPr="00214330">
        <w:rPr>
          <w:rFonts w:ascii="Verdana" w:hAnsi="Verdana"/>
          <w:sz w:val="16"/>
          <w:szCs w:val="16"/>
          <w:lang w:val="pt-BR"/>
        </w:rPr>
        <w:t>derecho</w:t>
      </w:r>
      <w:proofErr w:type="spellEnd"/>
      <w:r w:rsidRPr="00214330">
        <w:rPr>
          <w:rFonts w:ascii="Verdana" w:hAnsi="Verdana"/>
          <w:sz w:val="16"/>
          <w:szCs w:val="16"/>
          <w:lang w:val="pt-BR"/>
        </w:rPr>
        <w:t xml:space="preserve"> administrativo. </w:t>
      </w:r>
      <w:r w:rsidRPr="00F473B6">
        <w:rPr>
          <w:rFonts w:ascii="Verdana" w:hAnsi="Verdana"/>
          <w:sz w:val="16"/>
          <w:szCs w:val="16"/>
        </w:rPr>
        <w:t>Tomo I. Buenos Aires: Astrea, 1987. p. 47.</w:t>
      </w:r>
    </w:p>
  </w:footnote>
  <w:footnote w:id="37">
    <w:p w14:paraId="0315D956" w14:textId="77777777" w:rsidR="007A74DB" w:rsidRPr="00F473B6" w:rsidRDefault="007A74DB" w:rsidP="007A74DB">
      <w:pPr>
        <w:pStyle w:val="Textonotapie"/>
        <w:ind w:firstLine="708"/>
        <w:rPr>
          <w:rFonts w:ascii="Verdana" w:hAnsi="Verdana"/>
          <w:sz w:val="16"/>
          <w:szCs w:val="16"/>
          <w:lang w:val="es-ES"/>
        </w:rPr>
      </w:pPr>
      <w:r w:rsidRPr="00F473B6">
        <w:rPr>
          <w:rStyle w:val="Refdenotaalpie"/>
          <w:rFonts w:ascii="Verdana" w:hAnsi="Verdana"/>
          <w:sz w:val="16"/>
          <w:szCs w:val="16"/>
        </w:rPr>
        <w:footnoteRef/>
      </w:r>
      <w:r w:rsidRPr="00F473B6">
        <w:rPr>
          <w:rFonts w:ascii="Verdana" w:hAnsi="Verdana"/>
          <w:sz w:val="16"/>
          <w:szCs w:val="16"/>
        </w:rPr>
        <w:t xml:space="preserve"> </w:t>
      </w:r>
      <w:r w:rsidRPr="00F473B6">
        <w:rPr>
          <w:rFonts w:ascii="Verdana" w:hAnsi="Verdana" w:cs="Arial"/>
          <w:sz w:val="16"/>
          <w:szCs w:val="16"/>
          <w:lang w:val="es-CO"/>
        </w:rPr>
        <w:t xml:space="preserve">MARÍN CORTÉS, Fabián Gonzalo. El concepto de acto administrativo. Texto inédito. pp. 53-54.  </w:t>
      </w:r>
    </w:p>
  </w:footnote>
  <w:footnote w:id="38">
    <w:p w14:paraId="783F6053" w14:textId="77777777" w:rsidR="007A74DB" w:rsidRPr="00575605" w:rsidRDefault="007A74DB" w:rsidP="007A74DB">
      <w:pPr>
        <w:pStyle w:val="Textonotapie"/>
        <w:ind w:firstLine="708"/>
        <w:jc w:val="both"/>
        <w:rPr>
          <w:rFonts w:ascii="Verdana" w:hAnsi="Verdana"/>
          <w:sz w:val="16"/>
          <w:szCs w:val="16"/>
        </w:rPr>
      </w:pPr>
      <w:r w:rsidRPr="00575605">
        <w:rPr>
          <w:rStyle w:val="Refdenotaalpie"/>
          <w:rFonts w:ascii="Verdana" w:hAnsi="Verdana"/>
          <w:sz w:val="16"/>
          <w:szCs w:val="16"/>
        </w:rPr>
        <w:footnoteRef/>
      </w:r>
      <w:r w:rsidRPr="00575605">
        <w:rPr>
          <w:rFonts w:ascii="Verdana" w:hAnsi="Verdana"/>
          <w:sz w:val="16"/>
          <w:szCs w:val="16"/>
        </w:rPr>
        <w:t xml:space="preserve"> </w:t>
      </w:r>
      <w:r>
        <w:rPr>
          <w:rFonts w:ascii="Verdana" w:hAnsi="Verdana"/>
          <w:sz w:val="16"/>
          <w:szCs w:val="16"/>
        </w:rPr>
        <w:t xml:space="preserve">Como explicó la Agencia en el </w:t>
      </w:r>
      <w:r w:rsidRPr="000163E3">
        <w:rPr>
          <w:rFonts w:ascii="Verdana" w:hAnsi="Verdana"/>
          <w:sz w:val="16"/>
          <w:szCs w:val="16"/>
        </w:rPr>
        <w:t>Concepto C-489 del 1˚ de agosto de 2022</w:t>
      </w:r>
      <w:r>
        <w:rPr>
          <w:rFonts w:ascii="Verdana" w:hAnsi="Verdana"/>
          <w:sz w:val="16"/>
          <w:szCs w:val="16"/>
        </w:rPr>
        <w:t xml:space="preserve">: “[…] </w:t>
      </w:r>
      <w:r w:rsidRPr="000163E3">
        <w:rPr>
          <w:rFonts w:ascii="Verdana" w:hAnsi="Verdana"/>
          <w:sz w:val="16"/>
          <w:szCs w:val="16"/>
        </w:rPr>
        <w:t xml:space="preserve">la decisión de designar como ejecutora a determinada entidad de recursos del SGR, corresponde a una decisión unilateral materializada mediante un acto administrativo, de lo que se colige que no corresponden a </w:t>
      </w:r>
      <w:r>
        <w:rPr>
          <w:rFonts w:ascii="Verdana" w:hAnsi="Verdana"/>
          <w:sz w:val="16"/>
          <w:szCs w:val="16"/>
        </w:rPr>
        <w:t>‘</w:t>
      </w:r>
      <w:r w:rsidRPr="000163E3">
        <w:rPr>
          <w:rFonts w:ascii="Verdana" w:hAnsi="Verdana"/>
          <w:sz w:val="16"/>
          <w:szCs w:val="16"/>
        </w:rPr>
        <w:t xml:space="preserve">contratos o convenios interadministrativos o de cualquier otra </w:t>
      </w:r>
      <w:proofErr w:type="gramStart"/>
      <w:r w:rsidRPr="000163E3">
        <w:rPr>
          <w:rFonts w:ascii="Verdana" w:hAnsi="Verdana"/>
          <w:sz w:val="16"/>
          <w:szCs w:val="16"/>
        </w:rPr>
        <w:t>índole</w:t>
      </w:r>
      <w:r>
        <w:rPr>
          <w:rFonts w:ascii="Verdana" w:hAnsi="Verdana"/>
          <w:sz w:val="16"/>
          <w:szCs w:val="16"/>
        </w:rPr>
        <w:t>‘</w:t>
      </w:r>
      <w:proofErr w:type="gramEnd"/>
      <w:r>
        <w:rPr>
          <w:rFonts w:ascii="Verdana" w:hAnsi="Verdana"/>
          <w:sz w:val="16"/>
          <w:szCs w:val="16"/>
        </w:rPr>
        <w:t xml:space="preserve">“. </w:t>
      </w:r>
    </w:p>
  </w:footnote>
  <w:footnote w:id="39">
    <w:p w14:paraId="325F572D" w14:textId="77777777" w:rsidR="007A74DB" w:rsidRDefault="007A74DB" w:rsidP="007A74DB">
      <w:pPr>
        <w:pStyle w:val="Textonotapie"/>
        <w:ind w:firstLine="709"/>
        <w:jc w:val="both"/>
        <w:rPr>
          <w:rFonts w:ascii="Verdana" w:hAnsi="Verdana" w:cs="Arial"/>
          <w:sz w:val="16"/>
          <w:szCs w:val="16"/>
          <w:lang w:val="es-ES"/>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sz w:val="16"/>
          <w:szCs w:val="16"/>
          <w:lang w:val="es-ES"/>
        </w:rPr>
        <w:t>Consejo de Estado. Sala de Consulta y Servicio Civil. Concepto del 24 de julio de 2013. Consejero Ponente: Álvaro Namén Vargas. Número interno: 2166.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97E2709"/>
    <w:multiLevelType w:val="hybridMultilevel"/>
    <w:tmpl w:val="527A8C5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153255849">
    <w:abstractNumId w:val="8"/>
  </w:num>
  <w:num w:numId="17" w16cid:durableId="133768369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15B2"/>
    <w:rsid w:val="000037FA"/>
    <w:rsid w:val="0000638F"/>
    <w:rsid w:val="00012144"/>
    <w:rsid w:val="00014CF2"/>
    <w:rsid w:val="00016F78"/>
    <w:rsid w:val="0002029B"/>
    <w:rsid w:val="000204C4"/>
    <w:rsid w:val="00022D0A"/>
    <w:rsid w:val="00022DC8"/>
    <w:rsid w:val="00025859"/>
    <w:rsid w:val="00032636"/>
    <w:rsid w:val="00034F14"/>
    <w:rsid w:val="00035108"/>
    <w:rsid w:val="00037D0B"/>
    <w:rsid w:val="00044408"/>
    <w:rsid w:val="00046945"/>
    <w:rsid w:val="00061B2A"/>
    <w:rsid w:val="00073BF5"/>
    <w:rsid w:val="000771F0"/>
    <w:rsid w:val="00077B44"/>
    <w:rsid w:val="000800AC"/>
    <w:rsid w:val="00082362"/>
    <w:rsid w:val="00083023"/>
    <w:rsid w:val="0008513D"/>
    <w:rsid w:val="00085D81"/>
    <w:rsid w:val="00086D90"/>
    <w:rsid w:val="00095522"/>
    <w:rsid w:val="000A683E"/>
    <w:rsid w:val="000B19B9"/>
    <w:rsid w:val="000B3801"/>
    <w:rsid w:val="000C04C3"/>
    <w:rsid w:val="000C6630"/>
    <w:rsid w:val="000C7500"/>
    <w:rsid w:val="000D0334"/>
    <w:rsid w:val="000D092C"/>
    <w:rsid w:val="000D3BF9"/>
    <w:rsid w:val="000E1B4F"/>
    <w:rsid w:val="000E2D1A"/>
    <w:rsid w:val="000E4620"/>
    <w:rsid w:val="000F2131"/>
    <w:rsid w:val="000F6486"/>
    <w:rsid w:val="00104697"/>
    <w:rsid w:val="00105B59"/>
    <w:rsid w:val="001102C3"/>
    <w:rsid w:val="00110454"/>
    <w:rsid w:val="00114F95"/>
    <w:rsid w:val="00116EDE"/>
    <w:rsid w:val="00117E41"/>
    <w:rsid w:val="001245C5"/>
    <w:rsid w:val="00124CBC"/>
    <w:rsid w:val="00125105"/>
    <w:rsid w:val="00127233"/>
    <w:rsid w:val="00130797"/>
    <w:rsid w:val="0014165C"/>
    <w:rsid w:val="001454C6"/>
    <w:rsid w:val="00150BFF"/>
    <w:rsid w:val="001512F4"/>
    <w:rsid w:val="00153204"/>
    <w:rsid w:val="00153E50"/>
    <w:rsid w:val="00155B17"/>
    <w:rsid w:val="001622F7"/>
    <w:rsid w:val="00167B36"/>
    <w:rsid w:val="00175B20"/>
    <w:rsid w:val="0017623F"/>
    <w:rsid w:val="00193FFF"/>
    <w:rsid w:val="00194B53"/>
    <w:rsid w:val="001A326C"/>
    <w:rsid w:val="001A70DA"/>
    <w:rsid w:val="001A79A5"/>
    <w:rsid w:val="001C27C7"/>
    <w:rsid w:val="001C3054"/>
    <w:rsid w:val="001C3B9A"/>
    <w:rsid w:val="001C4ADB"/>
    <w:rsid w:val="001C7B22"/>
    <w:rsid w:val="001D3A49"/>
    <w:rsid w:val="001E39A2"/>
    <w:rsid w:val="001E3D06"/>
    <w:rsid w:val="001E4177"/>
    <w:rsid w:val="001E5236"/>
    <w:rsid w:val="001E5A46"/>
    <w:rsid w:val="001E5AD4"/>
    <w:rsid w:val="001F002F"/>
    <w:rsid w:val="001F0253"/>
    <w:rsid w:val="001F10C9"/>
    <w:rsid w:val="001F5A10"/>
    <w:rsid w:val="001F7DC6"/>
    <w:rsid w:val="002044A6"/>
    <w:rsid w:val="00204834"/>
    <w:rsid w:val="002067F5"/>
    <w:rsid w:val="00210741"/>
    <w:rsid w:val="002125C8"/>
    <w:rsid w:val="002146D6"/>
    <w:rsid w:val="0022048C"/>
    <w:rsid w:val="002227FB"/>
    <w:rsid w:val="00222B1F"/>
    <w:rsid w:val="00222B46"/>
    <w:rsid w:val="0022574A"/>
    <w:rsid w:val="00233044"/>
    <w:rsid w:val="002421BB"/>
    <w:rsid w:val="00243685"/>
    <w:rsid w:val="00257118"/>
    <w:rsid w:val="0025796E"/>
    <w:rsid w:val="00260785"/>
    <w:rsid w:val="002705E0"/>
    <w:rsid w:val="002707A2"/>
    <w:rsid w:val="00273A02"/>
    <w:rsid w:val="002740FF"/>
    <w:rsid w:val="00274A9E"/>
    <w:rsid w:val="00275455"/>
    <w:rsid w:val="00275581"/>
    <w:rsid w:val="00280EFB"/>
    <w:rsid w:val="00282D7F"/>
    <w:rsid w:val="00283F8C"/>
    <w:rsid w:val="00285863"/>
    <w:rsid w:val="0028677B"/>
    <w:rsid w:val="00287CFF"/>
    <w:rsid w:val="0029347E"/>
    <w:rsid w:val="002951A0"/>
    <w:rsid w:val="002962BC"/>
    <w:rsid w:val="0029749B"/>
    <w:rsid w:val="002A093D"/>
    <w:rsid w:val="002A0DD0"/>
    <w:rsid w:val="002A2712"/>
    <w:rsid w:val="002A49AC"/>
    <w:rsid w:val="002A64FD"/>
    <w:rsid w:val="002B205C"/>
    <w:rsid w:val="002B25E0"/>
    <w:rsid w:val="002B2AB8"/>
    <w:rsid w:val="002B432D"/>
    <w:rsid w:val="002C7A84"/>
    <w:rsid w:val="002D0559"/>
    <w:rsid w:val="002D366F"/>
    <w:rsid w:val="002D66EC"/>
    <w:rsid w:val="002D7472"/>
    <w:rsid w:val="002D7B14"/>
    <w:rsid w:val="002E4FD9"/>
    <w:rsid w:val="002E740E"/>
    <w:rsid w:val="002E7827"/>
    <w:rsid w:val="002F1143"/>
    <w:rsid w:val="00312D9E"/>
    <w:rsid w:val="00317467"/>
    <w:rsid w:val="003214E2"/>
    <w:rsid w:val="00322A85"/>
    <w:rsid w:val="00324168"/>
    <w:rsid w:val="003242C3"/>
    <w:rsid w:val="00330994"/>
    <w:rsid w:val="00335DB4"/>
    <w:rsid w:val="00340517"/>
    <w:rsid w:val="003448F4"/>
    <w:rsid w:val="003518DE"/>
    <w:rsid w:val="00352506"/>
    <w:rsid w:val="00363F80"/>
    <w:rsid w:val="0037004C"/>
    <w:rsid w:val="00373094"/>
    <w:rsid w:val="00374F5E"/>
    <w:rsid w:val="00376700"/>
    <w:rsid w:val="00377E3E"/>
    <w:rsid w:val="00380CCD"/>
    <w:rsid w:val="00380E25"/>
    <w:rsid w:val="0039092E"/>
    <w:rsid w:val="003A10B0"/>
    <w:rsid w:val="003A779E"/>
    <w:rsid w:val="003B6ABF"/>
    <w:rsid w:val="003C1AA8"/>
    <w:rsid w:val="003C5467"/>
    <w:rsid w:val="003C7700"/>
    <w:rsid w:val="003D0F4D"/>
    <w:rsid w:val="003D180E"/>
    <w:rsid w:val="003D5B0D"/>
    <w:rsid w:val="003D7039"/>
    <w:rsid w:val="003E0499"/>
    <w:rsid w:val="003E608C"/>
    <w:rsid w:val="003F3941"/>
    <w:rsid w:val="003F7FAC"/>
    <w:rsid w:val="00402BA2"/>
    <w:rsid w:val="00406575"/>
    <w:rsid w:val="0041095A"/>
    <w:rsid w:val="00411102"/>
    <w:rsid w:val="00414C74"/>
    <w:rsid w:val="00426310"/>
    <w:rsid w:val="0042722E"/>
    <w:rsid w:val="00430AEE"/>
    <w:rsid w:val="004364BE"/>
    <w:rsid w:val="00440D75"/>
    <w:rsid w:val="00441B42"/>
    <w:rsid w:val="00442E6D"/>
    <w:rsid w:val="0044528D"/>
    <w:rsid w:val="00452F94"/>
    <w:rsid w:val="004550CD"/>
    <w:rsid w:val="00463393"/>
    <w:rsid w:val="0046359C"/>
    <w:rsid w:val="0046511B"/>
    <w:rsid w:val="004739C7"/>
    <w:rsid w:val="0047421D"/>
    <w:rsid w:val="00486687"/>
    <w:rsid w:val="0049167A"/>
    <w:rsid w:val="00493D36"/>
    <w:rsid w:val="00495727"/>
    <w:rsid w:val="004A0628"/>
    <w:rsid w:val="004A1847"/>
    <w:rsid w:val="004A305D"/>
    <w:rsid w:val="004A30C9"/>
    <w:rsid w:val="004A4952"/>
    <w:rsid w:val="004A4AF7"/>
    <w:rsid w:val="004C040C"/>
    <w:rsid w:val="004C3267"/>
    <w:rsid w:val="004C4D35"/>
    <w:rsid w:val="004C751A"/>
    <w:rsid w:val="004D22F7"/>
    <w:rsid w:val="004D7161"/>
    <w:rsid w:val="004E4C40"/>
    <w:rsid w:val="004E7FAE"/>
    <w:rsid w:val="004F21C4"/>
    <w:rsid w:val="004F364D"/>
    <w:rsid w:val="004F6478"/>
    <w:rsid w:val="004F685F"/>
    <w:rsid w:val="00503786"/>
    <w:rsid w:val="00516129"/>
    <w:rsid w:val="005169C2"/>
    <w:rsid w:val="005301FB"/>
    <w:rsid w:val="00531419"/>
    <w:rsid w:val="005317FE"/>
    <w:rsid w:val="00535EC6"/>
    <w:rsid w:val="005566E8"/>
    <w:rsid w:val="005576FC"/>
    <w:rsid w:val="00560352"/>
    <w:rsid w:val="00574867"/>
    <w:rsid w:val="005830F1"/>
    <w:rsid w:val="00591460"/>
    <w:rsid w:val="0059160A"/>
    <w:rsid w:val="0059174D"/>
    <w:rsid w:val="00596962"/>
    <w:rsid w:val="005972A9"/>
    <w:rsid w:val="005A4205"/>
    <w:rsid w:val="005C1345"/>
    <w:rsid w:val="005C3777"/>
    <w:rsid w:val="005C3D06"/>
    <w:rsid w:val="005C409D"/>
    <w:rsid w:val="005C5CDC"/>
    <w:rsid w:val="005C692A"/>
    <w:rsid w:val="005D1521"/>
    <w:rsid w:val="005D476C"/>
    <w:rsid w:val="005D6497"/>
    <w:rsid w:val="005D6BDD"/>
    <w:rsid w:val="005E4DF7"/>
    <w:rsid w:val="005E50BD"/>
    <w:rsid w:val="005E5315"/>
    <w:rsid w:val="005E7883"/>
    <w:rsid w:val="005F6411"/>
    <w:rsid w:val="006123C9"/>
    <w:rsid w:val="006157C1"/>
    <w:rsid w:val="00615AA5"/>
    <w:rsid w:val="006173B4"/>
    <w:rsid w:val="00620D70"/>
    <w:rsid w:val="006219F8"/>
    <w:rsid w:val="006253D4"/>
    <w:rsid w:val="00625A56"/>
    <w:rsid w:val="006302F7"/>
    <w:rsid w:val="00631BAB"/>
    <w:rsid w:val="00634C61"/>
    <w:rsid w:val="00640803"/>
    <w:rsid w:val="0064149B"/>
    <w:rsid w:val="006503AA"/>
    <w:rsid w:val="0066305C"/>
    <w:rsid w:val="00665D70"/>
    <w:rsid w:val="006713F3"/>
    <w:rsid w:val="00675C09"/>
    <w:rsid w:val="00680407"/>
    <w:rsid w:val="00680683"/>
    <w:rsid w:val="00680E31"/>
    <w:rsid w:val="00682D45"/>
    <w:rsid w:val="006900D9"/>
    <w:rsid w:val="00690228"/>
    <w:rsid w:val="00697201"/>
    <w:rsid w:val="006A60AE"/>
    <w:rsid w:val="006A760C"/>
    <w:rsid w:val="006B01A1"/>
    <w:rsid w:val="006B1E12"/>
    <w:rsid w:val="006B54D1"/>
    <w:rsid w:val="006B714E"/>
    <w:rsid w:val="006B7447"/>
    <w:rsid w:val="006E051E"/>
    <w:rsid w:val="006E1FD3"/>
    <w:rsid w:val="006F33E3"/>
    <w:rsid w:val="006F4526"/>
    <w:rsid w:val="0070052E"/>
    <w:rsid w:val="00706C16"/>
    <w:rsid w:val="00722D0F"/>
    <w:rsid w:val="00730C53"/>
    <w:rsid w:val="00732781"/>
    <w:rsid w:val="007327A0"/>
    <w:rsid w:val="00737252"/>
    <w:rsid w:val="007400E0"/>
    <w:rsid w:val="007413D9"/>
    <w:rsid w:val="00742264"/>
    <w:rsid w:val="00751D89"/>
    <w:rsid w:val="007562F6"/>
    <w:rsid w:val="00756841"/>
    <w:rsid w:val="00756ADB"/>
    <w:rsid w:val="00757C42"/>
    <w:rsid w:val="007649AB"/>
    <w:rsid w:val="00771489"/>
    <w:rsid w:val="00771D0C"/>
    <w:rsid w:val="00774A2B"/>
    <w:rsid w:val="0077551B"/>
    <w:rsid w:val="00775C8B"/>
    <w:rsid w:val="007813F7"/>
    <w:rsid w:val="007833AC"/>
    <w:rsid w:val="00785A8A"/>
    <w:rsid w:val="007967DC"/>
    <w:rsid w:val="007A0E99"/>
    <w:rsid w:val="007A347D"/>
    <w:rsid w:val="007A4265"/>
    <w:rsid w:val="007A4B29"/>
    <w:rsid w:val="007A74DB"/>
    <w:rsid w:val="007A7952"/>
    <w:rsid w:val="007B268C"/>
    <w:rsid w:val="007B7171"/>
    <w:rsid w:val="007C0C0F"/>
    <w:rsid w:val="007C3DC2"/>
    <w:rsid w:val="007C6AE0"/>
    <w:rsid w:val="007D4A91"/>
    <w:rsid w:val="007D6FE2"/>
    <w:rsid w:val="007E3119"/>
    <w:rsid w:val="007E39C6"/>
    <w:rsid w:val="007E5497"/>
    <w:rsid w:val="007E5BB4"/>
    <w:rsid w:val="007F10FB"/>
    <w:rsid w:val="007F24DD"/>
    <w:rsid w:val="007F33F9"/>
    <w:rsid w:val="007F4A1F"/>
    <w:rsid w:val="007F5B93"/>
    <w:rsid w:val="00806F5F"/>
    <w:rsid w:val="008151C0"/>
    <w:rsid w:val="00820278"/>
    <w:rsid w:val="00820866"/>
    <w:rsid w:val="00823AC6"/>
    <w:rsid w:val="008259CF"/>
    <w:rsid w:val="00825F17"/>
    <w:rsid w:val="00832694"/>
    <w:rsid w:val="008339F3"/>
    <w:rsid w:val="0083573A"/>
    <w:rsid w:val="00842812"/>
    <w:rsid w:val="00842E4F"/>
    <w:rsid w:val="00844717"/>
    <w:rsid w:val="00852168"/>
    <w:rsid w:val="00854D37"/>
    <w:rsid w:val="00854F25"/>
    <w:rsid w:val="00856D2C"/>
    <w:rsid w:val="00862772"/>
    <w:rsid w:val="00867F95"/>
    <w:rsid w:val="0087361B"/>
    <w:rsid w:val="00875668"/>
    <w:rsid w:val="00875B07"/>
    <w:rsid w:val="008843B6"/>
    <w:rsid w:val="0088442B"/>
    <w:rsid w:val="0088688C"/>
    <w:rsid w:val="00886D64"/>
    <w:rsid w:val="00891928"/>
    <w:rsid w:val="008919B5"/>
    <w:rsid w:val="008937A4"/>
    <w:rsid w:val="00897A3A"/>
    <w:rsid w:val="008A446D"/>
    <w:rsid w:val="008B3B0A"/>
    <w:rsid w:val="008C4E48"/>
    <w:rsid w:val="008D180B"/>
    <w:rsid w:val="008D4A0E"/>
    <w:rsid w:val="008D7289"/>
    <w:rsid w:val="008E4A24"/>
    <w:rsid w:val="008F0EA7"/>
    <w:rsid w:val="008F4A45"/>
    <w:rsid w:val="008F7B5D"/>
    <w:rsid w:val="00901B4F"/>
    <w:rsid w:val="00903345"/>
    <w:rsid w:val="00915AF2"/>
    <w:rsid w:val="00923EEF"/>
    <w:rsid w:val="00923EFF"/>
    <w:rsid w:val="00926A9E"/>
    <w:rsid w:val="00927895"/>
    <w:rsid w:val="00937849"/>
    <w:rsid w:val="009419F9"/>
    <w:rsid w:val="00942490"/>
    <w:rsid w:val="009448A1"/>
    <w:rsid w:val="00944C59"/>
    <w:rsid w:val="0095685E"/>
    <w:rsid w:val="00960775"/>
    <w:rsid w:val="00961B09"/>
    <w:rsid w:val="00964263"/>
    <w:rsid w:val="00965334"/>
    <w:rsid w:val="0097093E"/>
    <w:rsid w:val="0097371E"/>
    <w:rsid w:val="0097674C"/>
    <w:rsid w:val="00980D80"/>
    <w:rsid w:val="0098326D"/>
    <w:rsid w:val="00985C60"/>
    <w:rsid w:val="009877E9"/>
    <w:rsid w:val="009879EA"/>
    <w:rsid w:val="0099029B"/>
    <w:rsid w:val="00991461"/>
    <w:rsid w:val="00993CBB"/>
    <w:rsid w:val="00997373"/>
    <w:rsid w:val="009A0DFA"/>
    <w:rsid w:val="009A5FFF"/>
    <w:rsid w:val="009A6E12"/>
    <w:rsid w:val="009B25A8"/>
    <w:rsid w:val="009B2D26"/>
    <w:rsid w:val="009C1DAD"/>
    <w:rsid w:val="009C71FA"/>
    <w:rsid w:val="009C72E7"/>
    <w:rsid w:val="009C75C3"/>
    <w:rsid w:val="009D273D"/>
    <w:rsid w:val="009D3058"/>
    <w:rsid w:val="009D774D"/>
    <w:rsid w:val="009E4BFA"/>
    <w:rsid w:val="009E5EA3"/>
    <w:rsid w:val="009F3A13"/>
    <w:rsid w:val="00A0159D"/>
    <w:rsid w:val="00A01788"/>
    <w:rsid w:val="00A03407"/>
    <w:rsid w:val="00A07365"/>
    <w:rsid w:val="00A1080A"/>
    <w:rsid w:val="00A119E3"/>
    <w:rsid w:val="00A11BEB"/>
    <w:rsid w:val="00A122D3"/>
    <w:rsid w:val="00A12B5E"/>
    <w:rsid w:val="00A1443D"/>
    <w:rsid w:val="00A17F13"/>
    <w:rsid w:val="00A20739"/>
    <w:rsid w:val="00A20CB1"/>
    <w:rsid w:val="00A26574"/>
    <w:rsid w:val="00A33C78"/>
    <w:rsid w:val="00A40CCD"/>
    <w:rsid w:val="00A43251"/>
    <w:rsid w:val="00A46FA6"/>
    <w:rsid w:val="00A55690"/>
    <w:rsid w:val="00A56975"/>
    <w:rsid w:val="00A625D5"/>
    <w:rsid w:val="00A76106"/>
    <w:rsid w:val="00A774D0"/>
    <w:rsid w:val="00A869CD"/>
    <w:rsid w:val="00AA2000"/>
    <w:rsid w:val="00AA4151"/>
    <w:rsid w:val="00AA751D"/>
    <w:rsid w:val="00AB0ADB"/>
    <w:rsid w:val="00AB2201"/>
    <w:rsid w:val="00AB619D"/>
    <w:rsid w:val="00AC7D5A"/>
    <w:rsid w:val="00AC7E32"/>
    <w:rsid w:val="00AD027B"/>
    <w:rsid w:val="00AD0D4A"/>
    <w:rsid w:val="00AD1DF8"/>
    <w:rsid w:val="00AD5B6E"/>
    <w:rsid w:val="00AE3BAD"/>
    <w:rsid w:val="00AE7D7A"/>
    <w:rsid w:val="00AF09AE"/>
    <w:rsid w:val="00AF133B"/>
    <w:rsid w:val="00AF33D9"/>
    <w:rsid w:val="00AF5434"/>
    <w:rsid w:val="00AF7609"/>
    <w:rsid w:val="00B00C0E"/>
    <w:rsid w:val="00B01B1A"/>
    <w:rsid w:val="00B02A6D"/>
    <w:rsid w:val="00B06048"/>
    <w:rsid w:val="00B13179"/>
    <w:rsid w:val="00B35B71"/>
    <w:rsid w:val="00B44A47"/>
    <w:rsid w:val="00B44B98"/>
    <w:rsid w:val="00B5322B"/>
    <w:rsid w:val="00B55D09"/>
    <w:rsid w:val="00B64A68"/>
    <w:rsid w:val="00B72CD3"/>
    <w:rsid w:val="00B72FFF"/>
    <w:rsid w:val="00B75762"/>
    <w:rsid w:val="00B801E0"/>
    <w:rsid w:val="00B81A79"/>
    <w:rsid w:val="00B879B3"/>
    <w:rsid w:val="00BB3DA3"/>
    <w:rsid w:val="00BB4946"/>
    <w:rsid w:val="00BC3586"/>
    <w:rsid w:val="00BC3D36"/>
    <w:rsid w:val="00BC67D4"/>
    <w:rsid w:val="00BC6BD6"/>
    <w:rsid w:val="00BD008C"/>
    <w:rsid w:val="00BD218B"/>
    <w:rsid w:val="00BD7F72"/>
    <w:rsid w:val="00BF306B"/>
    <w:rsid w:val="00BF367C"/>
    <w:rsid w:val="00BF408C"/>
    <w:rsid w:val="00C00508"/>
    <w:rsid w:val="00C02544"/>
    <w:rsid w:val="00C04FB3"/>
    <w:rsid w:val="00C14B99"/>
    <w:rsid w:val="00C173AD"/>
    <w:rsid w:val="00C220CC"/>
    <w:rsid w:val="00C27077"/>
    <w:rsid w:val="00C30604"/>
    <w:rsid w:val="00C3283C"/>
    <w:rsid w:val="00C330EB"/>
    <w:rsid w:val="00C3559F"/>
    <w:rsid w:val="00C45727"/>
    <w:rsid w:val="00C46F0E"/>
    <w:rsid w:val="00C65BAD"/>
    <w:rsid w:val="00C66CFF"/>
    <w:rsid w:val="00C73141"/>
    <w:rsid w:val="00C748B3"/>
    <w:rsid w:val="00C754BE"/>
    <w:rsid w:val="00C76B1C"/>
    <w:rsid w:val="00C77EA5"/>
    <w:rsid w:val="00C8362E"/>
    <w:rsid w:val="00C90A1D"/>
    <w:rsid w:val="00C93FFE"/>
    <w:rsid w:val="00CB0F20"/>
    <w:rsid w:val="00CB398B"/>
    <w:rsid w:val="00CB6357"/>
    <w:rsid w:val="00CC0BEF"/>
    <w:rsid w:val="00CC1B26"/>
    <w:rsid w:val="00CC2653"/>
    <w:rsid w:val="00CC3A0C"/>
    <w:rsid w:val="00CD3419"/>
    <w:rsid w:val="00CD39C7"/>
    <w:rsid w:val="00CD4B40"/>
    <w:rsid w:val="00CE0FF1"/>
    <w:rsid w:val="00CE3D2F"/>
    <w:rsid w:val="00CF0E56"/>
    <w:rsid w:val="00CF4F4C"/>
    <w:rsid w:val="00CF7791"/>
    <w:rsid w:val="00D15328"/>
    <w:rsid w:val="00D2342A"/>
    <w:rsid w:val="00D2437D"/>
    <w:rsid w:val="00D24803"/>
    <w:rsid w:val="00D2506C"/>
    <w:rsid w:val="00D26024"/>
    <w:rsid w:val="00D33CB6"/>
    <w:rsid w:val="00D369A0"/>
    <w:rsid w:val="00D423A2"/>
    <w:rsid w:val="00D43C1A"/>
    <w:rsid w:val="00D46BBF"/>
    <w:rsid w:val="00D47D3D"/>
    <w:rsid w:val="00D520CE"/>
    <w:rsid w:val="00D520D8"/>
    <w:rsid w:val="00D53A36"/>
    <w:rsid w:val="00D60BA2"/>
    <w:rsid w:val="00D62DB1"/>
    <w:rsid w:val="00D63AC2"/>
    <w:rsid w:val="00D7163F"/>
    <w:rsid w:val="00D71DB7"/>
    <w:rsid w:val="00D7383B"/>
    <w:rsid w:val="00D87836"/>
    <w:rsid w:val="00D912B2"/>
    <w:rsid w:val="00D94438"/>
    <w:rsid w:val="00D946B0"/>
    <w:rsid w:val="00DA1601"/>
    <w:rsid w:val="00DA231B"/>
    <w:rsid w:val="00DA4565"/>
    <w:rsid w:val="00DA74A0"/>
    <w:rsid w:val="00DC39FC"/>
    <w:rsid w:val="00DC61D8"/>
    <w:rsid w:val="00DD1135"/>
    <w:rsid w:val="00DD566D"/>
    <w:rsid w:val="00DD5702"/>
    <w:rsid w:val="00DD6EDF"/>
    <w:rsid w:val="00DE02FD"/>
    <w:rsid w:val="00DE07BF"/>
    <w:rsid w:val="00DE22E1"/>
    <w:rsid w:val="00DE72C0"/>
    <w:rsid w:val="00DF00B7"/>
    <w:rsid w:val="00DF524E"/>
    <w:rsid w:val="00DF5254"/>
    <w:rsid w:val="00E0581A"/>
    <w:rsid w:val="00E05DA0"/>
    <w:rsid w:val="00E0661A"/>
    <w:rsid w:val="00E07945"/>
    <w:rsid w:val="00E1179D"/>
    <w:rsid w:val="00E16408"/>
    <w:rsid w:val="00E20894"/>
    <w:rsid w:val="00E245AB"/>
    <w:rsid w:val="00E2764C"/>
    <w:rsid w:val="00E27F2E"/>
    <w:rsid w:val="00E34BEA"/>
    <w:rsid w:val="00E40B3B"/>
    <w:rsid w:val="00E50AFE"/>
    <w:rsid w:val="00E524CC"/>
    <w:rsid w:val="00E528DA"/>
    <w:rsid w:val="00E52901"/>
    <w:rsid w:val="00E56814"/>
    <w:rsid w:val="00E6370E"/>
    <w:rsid w:val="00E652CA"/>
    <w:rsid w:val="00E66717"/>
    <w:rsid w:val="00E66AD4"/>
    <w:rsid w:val="00E75C92"/>
    <w:rsid w:val="00E771DC"/>
    <w:rsid w:val="00E82811"/>
    <w:rsid w:val="00E87434"/>
    <w:rsid w:val="00E8772A"/>
    <w:rsid w:val="00E90495"/>
    <w:rsid w:val="00E90F6B"/>
    <w:rsid w:val="00E92C27"/>
    <w:rsid w:val="00E94C79"/>
    <w:rsid w:val="00E96322"/>
    <w:rsid w:val="00E966D4"/>
    <w:rsid w:val="00EA0C68"/>
    <w:rsid w:val="00EA0E3D"/>
    <w:rsid w:val="00EA203A"/>
    <w:rsid w:val="00EB0AA1"/>
    <w:rsid w:val="00EB3E46"/>
    <w:rsid w:val="00EC227B"/>
    <w:rsid w:val="00EC38A7"/>
    <w:rsid w:val="00EC5084"/>
    <w:rsid w:val="00EC679A"/>
    <w:rsid w:val="00ED20B8"/>
    <w:rsid w:val="00ED5FD4"/>
    <w:rsid w:val="00ED66F4"/>
    <w:rsid w:val="00EE17D8"/>
    <w:rsid w:val="00EE1AA8"/>
    <w:rsid w:val="00EE44AA"/>
    <w:rsid w:val="00EF1EE0"/>
    <w:rsid w:val="00EF2181"/>
    <w:rsid w:val="00EF6953"/>
    <w:rsid w:val="00F00473"/>
    <w:rsid w:val="00F146F4"/>
    <w:rsid w:val="00F155DF"/>
    <w:rsid w:val="00F1796B"/>
    <w:rsid w:val="00F20EBE"/>
    <w:rsid w:val="00F2346B"/>
    <w:rsid w:val="00F31EDC"/>
    <w:rsid w:val="00F36228"/>
    <w:rsid w:val="00F36F01"/>
    <w:rsid w:val="00F37AF9"/>
    <w:rsid w:val="00F41A63"/>
    <w:rsid w:val="00F41CF9"/>
    <w:rsid w:val="00F462B3"/>
    <w:rsid w:val="00F502D3"/>
    <w:rsid w:val="00F52FD5"/>
    <w:rsid w:val="00F5664F"/>
    <w:rsid w:val="00F60A2F"/>
    <w:rsid w:val="00F628BB"/>
    <w:rsid w:val="00F629B6"/>
    <w:rsid w:val="00F663FB"/>
    <w:rsid w:val="00F666C4"/>
    <w:rsid w:val="00F716AE"/>
    <w:rsid w:val="00F728DC"/>
    <w:rsid w:val="00F76AFC"/>
    <w:rsid w:val="00F908CE"/>
    <w:rsid w:val="00F923E5"/>
    <w:rsid w:val="00F95342"/>
    <w:rsid w:val="00F97A4F"/>
    <w:rsid w:val="00FA47C0"/>
    <w:rsid w:val="00FA74F9"/>
    <w:rsid w:val="00FB5DD1"/>
    <w:rsid w:val="00FB76DE"/>
    <w:rsid w:val="00FC14D1"/>
    <w:rsid w:val="00FC2B5D"/>
    <w:rsid w:val="00FC7375"/>
    <w:rsid w:val="00FC79C8"/>
    <w:rsid w:val="00FD2AE6"/>
    <w:rsid w:val="00FE6593"/>
    <w:rsid w:val="00FF1449"/>
    <w:rsid w:val="00FF6E5B"/>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38F43A54-EBE6-E045-BD46-C5AD2082C1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927895"/>
    <w:pPr>
      <w:spacing w:line="240" w:lineRule="exact"/>
    </w:pPr>
    <w:rPr>
      <w:vertAlign w:val="superscript"/>
    </w:rPr>
  </w:style>
  <w:style w:type="character" w:customStyle="1" w:styleId="baj">
    <w:name w:val="b_aj"/>
    <w:basedOn w:val="Fuentedeprrafopredeter"/>
    <w:rsid w:val="00927895"/>
  </w:style>
  <w:style w:type="character" w:customStyle="1" w:styleId="NormalWebCar">
    <w:name w:val="Normal (Web) Car"/>
    <w:link w:val="NormalWeb"/>
    <w:uiPriority w:val="99"/>
    <w:locked/>
    <w:rsid w:val="00927895"/>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27895"/>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direccionejecutiva@asosupro.gov.co"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juridica@asosupro.gov.co"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relatoria.colombiacompra.gov.co/busqueda/concept%20o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mailto:juridica@asosupro.gov.co"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info@asosupro.gov.c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gordillo.com/pdf_tomo3/capitulo4.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8D0EC19D-8EB1-4F67-93AC-AABA439309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9d85dbaf-23eb-4e57-a637-93dcacc8b1a1"/>
    <ds:schemaRef ds:uri="http://purl.org/dc/terms/"/>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a6cb9e4b-f1d1-4245-83ec-6cad768d538a"/>
    <ds:schemaRef ds:uri="http://schemas.microsoft.com/office/2006/metadata/properties"/>
    <ds:schemaRef ds:uri="http://www.w3.org/XML/1998/namespace"/>
    <ds:schemaRef ds:uri="http://purl.org/dc/dcmitype/"/>
  </ds:schemaRefs>
</ds:datastoreItem>
</file>

<file path=customXml/itemProps4.xml><?xml version="1.0" encoding="utf-8"?>
<ds:datastoreItem xmlns:ds="http://schemas.openxmlformats.org/officeDocument/2006/customXml" ds:itemID="{E8AA3217-32F5-4050-8A97-63B507DA8025}">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30</Pages>
  <Words>10239</Words>
  <Characters>55086</Characters>
  <Application>Microsoft Office Word</Application>
  <DocSecurity>0</DocSecurity>
  <Lines>1001</Lines>
  <Paragraphs>162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65163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2023-01-10T18:18:00Z</cp:lastPrinted>
  <dcterms:created xsi:type="dcterms:W3CDTF">2026-01-08T22:58:00Z</dcterms:created>
  <dcterms:modified xsi:type="dcterms:W3CDTF">2026-01-08T22:58:00Z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