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0D56E9" w14:textId="77777777" w:rsidR="00A9029C" w:rsidRPr="00107753" w:rsidRDefault="00A9029C" w:rsidP="00A9029C">
      <w:pPr>
        <w:spacing w:after="0" w:line="240" w:lineRule="auto"/>
        <w:jc w:val="both"/>
        <w:rPr>
          <w:rFonts w:ascii="Verdana" w:eastAsia="Calibri" w:hAnsi="Verdana" w:cs="Arial"/>
          <w:b/>
          <w:lang w:val="es-ES_tradnl"/>
        </w:rPr>
      </w:pPr>
      <w:bookmarkStart w:id="0" w:name="_Hlk143780582"/>
      <w:r w:rsidRPr="00107753">
        <w:rPr>
          <w:rFonts w:ascii="Verdana" w:eastAsia="Calibri" w:hAnsi="Verdana" w:cs="Arial"/>
          <w:b/>
          <w:lang w:val="es-ES_tradnl" w:eastAsia="es-ES_tradnl"/>
        </w:rPr>
        <w:t xml:space="preserve">PUBLICIDAD – SECOP – Entidades exceptuadas </w:t>
      </w:r>
    </w:p>
    <w:p w14:paraId="03CC1DE9" w14:textId="77777777" w:rsidR="00A9029C" w:rsidRDefault="00A9029C" w:rsidP="00A9029C">
      <w:pPr>
        <w:spacing w:after="0" w:line="240" w:lineRule="auto"/>
        <w:jc w:val="both"/>
        <w:rPr>
          <w:rFonts w:ascii="Verdana" w:eastAsia="Calibri" w:hAnsi="Verdana" w:cs="Arial"/>
          <w:b/>
          <w:sz w:val="20"/>
          <w:szCs w:val="20"/>
          <w:lang w:val="es-ES_tradnl"/>
        </w:rPr>
      </w:pPr>
    </w:p>
    <w:p w14:paraId="5E0A5016" w14:textId="75AB91F9" w:rsidR="00A9029C" w:rsidRPr="00A9029C" w:rsidRDefault="00A9029C" w:rsidP="00A9029C">
      <w:pPr>
        <w:spacing w:after="0" w:line="240" w:lineRule="auto"/>
        <w:jc w:val="both"/>
        <w:rPr>
          <w:rFonts w:ascii="Verdana" w:eastAsia="Calibri" w:hAnsi="Verdana" w:cs="Arial"/>
          <w:sz w:val="20"/>
          <w:szCs w:val="20"/>
          <w:lang w:val="es-ES"/>
        </w:rPr>
      </w:pPr>
      <w:r>
        <w:rPr>
          <w:rFonts w:ascii="Verdana" w:eastAsia="Calibri" w:hAnsi="Verdana" w:cs="Arial"/>
          <w:sz w:val="20"/>
          <w:szCs w:val="20"/>
          <w:lang w:val="es-ES"/>
        </w:rPr>
        <w:t>T</w:t>
      </w:r>
      <w:r w:rsidRPr="00A9029C">
        <w:rPr>
          <w:rFonts w:ascii="Verdana" w:eastAsia="Calibri" w:hAnsi="Verdana" w:cs="Arial"/>
          <w:sz w:val="20"/>
          <w:szCs w:val="20"/>
          <w:lang w:val="es-ES"/>
        </w:rPr>
        <w:t>ratándose del deber de publicación de las entidades exceptuadas del Estatuto General de Contratación de la Administración Pública resulta particularmente relevante lo dispuesto en el artículo 53 de la Ley 2195 de 2022, mediante el cual se adiciona el artículo 13 de la Ley 1150 de 2007</w:t>
      </w:r>
    </w:p>
    <w:p w14:paraId="4CAF3C20" w14:textId="77777777" w:rsidR="00A9029C" w:rsidRPr="00107753" w:rsidRDefault="00A9029C" w:rsidP="00A9029C">
      <w:pPr>
        <w:spacing w:after="0" w:line="240" w:lineRule="auto"/>
        <w:jc w:val="both"/>
        <w:rPr>
          <w:rFonts w:ascii="Verdana" w:eastAsia="Calibri" w:hAnsi="Verdana" w:cs="Arial"/>
          <w:color w:val="000000" w:themeColor="text1"/>
          <w:sz w:val="20"/>
          <w:szCs w:val="20"/>
          <w:lang w:val="es-ES_tradnl"/>
        </w:rPr>
      </w:pPr>
    </w:p>
    <w:p w14:paraId="79A2732F" w14:textId="77777777" w:rsidR="00A9029C" w:rsidRPr="00107753" w:rsidRDefault="00A9029C" w:rsidP="00A9029C">
      <w:pPr>
        <w:spacing w:after="0" w:line="240" w:lineRule="auto"/>
        <w:jc w:val="both"/>
        <w:rPr>
          <w:rFonts w:ascii="Verdana" w:eastAsia="Calibri" w:hAnsi="Verdana" w:cs="Arial"/>
          <w:b/>
          <w:lang w:val="es-ES_tradnl" w:eastAsia="es-ES_tradnl"/>
        </w:rPr>
      </w:pPr>
      <w:r w:rsidRPr="00107753">
        <w:rPr>
          <w:rFonts w:ascii="Verdana" w:eastAsia="Calibri" w:hAnsi="Verdana" w:cs="Arial"/>
          <w:b/>
          <w:lang w:val="es-ES_tradnl" w:eastAsia="es-ES_tradnl"/>
        </w:rPr>
        <w:t>PUBLICIDAD – SECOP – Fundamento Normativo – Ley 1712 de 2014 –</w:t>
      </w:r>
      <w:r w:rsidRPr="00107753">
        <w:rPr>
          <w:rFonts w:ascii="Verdana" w:eastAsia="Calibri" w:hAnsi="Verdana" w:cs="Arial"/>
          <w:b/>
          <w:lang w:val="es-ES_tradnl"/>
        </w:rPr>
        <w:t xml:space="preserve"> Decreto 1081 de 2015</w:t>
      </w:r>
      <w:r w:rsidRPr="00107753">
        <w:rPr>
          <w:rFonts w:ascii="Verdana" w:eastAsia="Calibri" w:hAnsi="Verdana" w:cs="Arial"/>
          <w:b/>
          <w:lang w:val="es-ES_tradnl" w:eastAsia="es-ES_tradnl"/>
        </w:rPr>
        <w:t xml:space="preserve"> </w:t>
      </w:r>
    </w:p>
    <w:p w14:paraId="6829D0ED" w14:textId="77777777" w:rsidR="00A9029C" w:rsidRDefault="00A9029C" w:rsidP="00A9029C">
      <w:pPr>
        <w:widowControl w:val="0"/>
        <w:tabs>
          <w:tab w:val="left" w:pos="728"/>
        </w:tabs>
        <w:autoSpaceDE w:val="0"/>
        <w:autoSpaceDN w:val="0"/>
        <w:spacing w:after="120" w:line="276" w:lineRule="auto"/>
        <w:jc w:val="both"/>
        <w:rPr>
          <w:rFonts w:ascii="Verdana" w:eastAsia="Calibri" w:hAnsi="Verdana" w:cs="Arial"/>
          <w:bCs/>
          <w:sz w:val="20"/>
          <w:szCs w:val="20"/>
          <w:lang w:val="es-ES_tradnl"/>
        </w:rPr>
      </w:pPr>
    </w:p>
    <w:p w14:paraId="0EBC5B17" w14:textId="5D2FEED0" w:rsidR="00A9029C" w:rsidRPr="00A9029C" w:rsidRDefault="00A9029C" w:rsidP="00A9029C">
      <w:pPr>
        <w:spacing w:after="0" w:line="240" w:lineRule="auto"/>
        <w:jc w:val="both"/>
        <w:rPr>
          <w:rFonts w:ascii="Verdana" w:eastAsia="Calibri" w:hAnsi="Verdana" w:cs="Arial"/>
          <w:sz w:val="20"/>
          <w:szCs w:val="20"/>
          <w:lang w:val="es-ES_tradnl" w:eastAsia="es-ES_tradnl"/>
        </w:rPr>
      </w:pPr>
      <w:r w:rsidRPr="00A9029C">
        <w:rPr>
          <w:rFonts w:ascii="Verdana" w:eastAsia="Calibri" w:hAnsi="Verdana" w:cs="Arial"/>
          <w:sz w:val="20"/>
          <w:szCs w:val="20"/>
          <w:lang w:val="es-ES_tradnl" w:eastAsia="es-ES_tradnl"/>
        </w:rPr>
        <w:t>La Ley 1712 de 2014, por medio de la cual se crea la Ley de Transparencia y del Derecho de Acceso a la Información Pública Nacional y se dictan otras disposiciones, identifica como principios que orientan el derecho de acceso a la información pública, el principio de máxima publicidad, el principio de transparencia en la información y el principio de buena fe.</w:t>
      </w:r>
    </w:p>
    <w:p w14:paraId="2709B839" w14:textId="77777777" w:rsidR="00A9029C" w:rsidRPr="00A9029C" w:rsidRDefault="00A9029C" w:rsidP="00A9029C">
      <w:pPr>
        <w:spacing w:after="0" w:line="240" w:lineRule="auto"/>
        <w:jc w:val="both"/>
        <w:rPr>
          <w:rFonts w:ascii="Verdana" w:hAnsi="Verdana" w:cs="Arial"/>
        </w:rPr>
      </w:pPr>
    </w:p>
    <w:p w14:paraId="6531E7C9" w14:textId="77777777" w:rsidR="00A9029C" w:rsidRPr="00107753" w:rsidRDefault="00A9029C" w:rsidP="00A9029C">
      <w:pPr>
        <w:spacing w:after="0" w:line="240" w:lineRule="auto"/>
        <w:jc w:val="both"/>
        <w:rPr>
          <w:rFonts w:ascii="Verdana" w:eastAsia="Calibri" w:hAnsi="Verdana" w:cs="Arial"/>
          <w:b/>
          <w:lang w:val="es-ES_tradnl" w:eastAsia="es-ES_tradnl"/>
        </w:rPr>
      </w:pPr>
      <w:r w:rsidRPr="00107753">
        <w:rPr>
          <w:rFonts w:ascii="Verdana" w:eastAsia="Calibri" w:hAnsi="Verdana" w:cs="Arial"/>
          <w:b/>
          <w:lang w:val="es-ES_tradnl" w:eastAsia="es-ES_tradnl"/>
        </w:rPr>
        <w:t xml:space="preserve">PUBLICIDAD – SECOP – Fundamento Normativo – </w:t>
      </w:r>
      <w:r w:rsidRPr="00107753">
        <w:rPr>
          <w:rFonts w:ascii="Verdana" w:eastAsia="Calibri" w:hAnsi="Verdana" w:cs="Arial"/>
          <w:b/>
          <w:lang w:val="es-ES_tradnl"/>
        </w:rPr>
        <w:t xml:space="preserve">Ley 1150 de 2007 - </w:t>
      </w:r>
      <w:r w:rsidRPr="00107753">
        <w:rPr>
          <w:rFonts w:ascii="Verdana" w:eastAsia="Calibri" w:hAnsi="Verdana" w:cs="Arial"/>
          <w:b/>
          <w:lang w:val="es-ES_tradnl" w:eastAsia="es-ES_tradnl"/>
        </w:rPr>
        <w:t xml:space="preserve">Ley 2195 de 2022 </w:t>
      </w:r>
    </w:p>
    <w:p w14:paraId="4696014E" w14:textId="77777777" w:rsidR="00A9029C" w:rsidRPr="00107753" w:rsidRDefault="00A9029C" w:rsidP="00A9029C">
      <w:pPr>
        <w:spacing w:after="0" w:line="240" w:lineRule="auto"/>
        <w:jc w:val="both"/>
        <w:rPr>
          <w:rFonts w:ascii="Verdana" w:eastAsia="Calibri" w:hAnsi="Verdana" w:cs="Arial"/>
          <w:b/>
          <w:sz w:val="20"/>
          <w:szCs w:val="20"/>
          <w:lang w:val="es-ES_tradnl"/>
        </w:rPr>
      </w:pPr>
    </w:p>
    <w:p w14:paraId="6C3C2DD5" w14:textId="77777777" w:rsidR="00425428" w:rsidRDefault="00A9029C" w:rsidP="00425428">
      <w:pPr>
        <w:pStyle w:val="Textoindependiente"/>
        <w:spacing w:line="276" w:lineRule="auto"/>
        <w:jc w:val="both"/>
        <w:rPr>
          <w:rFonts w:ascii="Verdana" w:eastAsia="Calibri" w:hAnsi="Verdana" w:cs="Arial"/>
          <w:sz w:val="20"/>
          <w:szCs w:val="20"/>
          <w:lang w:val="es-ES_tradnl" w:eastAsia="es-ES_tradnl"/>
        </w:rPr>
      </w:pPr>
      <w:r w:rsidRPr="00A9029C">
        <w:rPr>
          <w:rFonts w:ascii="Verdana" w:eastAsia="Calibri" w:hAnsi="Verdana" w:cs="Arial"/>
          <w:sz w:val="20"/>
          <w:szCs w:val="20"/>
          <w:lang w:val="es-ES_tradnl" w:eastAsia="es-ES_tradnl"/>
        </w:rPr>
        <w:t>Asimismo, de acuerdo con el literal g) del artículo 11 de la misma Ley, todos los destinatarios de la ley de transparencia deben garantizar la publicidad de “sus procedimientos, lineamientos, políticas en materia de adquisiciones y compras, así como todos los datos de adjudicación y ejecución de contratos, incluidos concursos y licitaciones”, y esta información también debe estar en el SECOP. Además de lo anterior, es de precisar que el artículo 3 de la Ley 1150 de 2007 ya había establecido que el Sistema Electrónico para la Contratación Pública – SECOP “Contará con la información oficial de la contratación realizada con dineros públicos</w:t>
      </w:r>
      <w:r w:rsidR="00425428">
        <w:rPr>
          <w:rFonts w:eastAsia="Calibri"/>
          <w:sz w:val="20"/>
          <w:szCs w:val="20"/>
          <w:lang w:val="es-ES_tradnl" w:eastAsia="es-ES_tradnl"/>
        </w:rPr>
        <w:t>”</w:t>
      </w:r>
      <w:r w:rsidRPr="00A9029C">
        <w:rPr>
          <w:rFonts w:ascii="Verdana" w:eastAsia="Calibri" w:hAnsi="Verdana" w:cs="Arial"/>
          <w:sz w:val="20"/>
          <w:szCs w:val="20"/>
          <w:lang w:val="es-ES_tradnl" w:eastAsia="es-ES_tradnl"/>
        </w:rPr>
        <w:t>.</w:t>
      </w:r>
    </w:p>
    <w:p w14:paraId="200E4278" w14:textId="77777777" w:rsidR="00425428" w:rsidRDefault="00425428" w:rsidP="00425428">
      <w:pPr>
        <w:pStyle w:val="Textoindependiente"/>
        <w:spacing w:line="276" w:lineRule="auto"/>
        <w:jc w:val="both"/>
        <w:rPr>
          <w:rFonts w:ascii="Verdana" w:eastAsia="Calibri" w:hAnsi="Verdana" w:cs="Arial"/>
          <w:sz w:val="20"/>
          <w:szCs w:val="20"/>
          <w:lang w:val="es-ES_tradnl" w:eastAsia="es-ES_tradnl"/>
        </w:rPr>
      </w:pPr>
    </w:p>
    <w:p w14:paraId="39CCEB90" w14:textId="5BB73F8F" w:rsidR="00A9029C" w:rsidRPr="00A9029C" w:rsidRDefault="00A9029C" w:rsidP="00425428">
      <w:pPr>
        <w:pStyle w:val="Textoindependiente"/>
        <w:spacing w:line="276" w:lineRule="auto"/>
        <w:jc w:val="both"/>
        <w:rPr>
          <w:rFonts w:ascii="Verdana" w:eastAsia="Calibri" w:hAnsi="Verdana" w:cs="Arial"/>
          <w:sz w:val="20"/>
          <w:szCs w:val="20"/>
          <w:lang w:val="es-ES_tradnl" w:eastAsia="es-ES_tradnl"/>
        </w:rPr>
      </w:pPr>
      <w:r w:rsidRPr="00A9029C">
        <w:rPr>
          <w:rFonts w:ascii="Verdana" w:eastAsia="Calibri" w:hAnsi="Verdana" w:cs="Arial"/>
          <w:sz w:val="20"/>
          <w:szCs w:val="20"/>
          <w:lang w:val="es-ES_tradnl" w:eastAsia="es-ES_tradnl"/>
        </w:rPr>
        <w:t>Las anteriores disposiciones normativas fueron complementadas con la expedición de la Ley 2195 de 2022, por medio de la cual se adoptan medidas en materia de transparencia, prevención y lucha contra la corrupción. Según el artículo 1, esta Ley “[…] tiene por objeto adoptar disposiciones tendientes a prevenir los actos de corrupción, a reforzar la articulación y coordinación de las entidades del Estado y a recuperar los daños ocasionados por dichos actos con el fin de asegurar promover la cultura de la legalidad e integridad y recuperar la confianza ciudadana y el respeto por lo público”.</w:t>
      </w:r>
    </w:p>
    <w:p w14:paraId="44E5AE12" w14:textId="77777777" w:rsidR="00A9029C" w:rsidRPr="00A9029C" w:rsidRDefault="00A9029C" w:rsidP="00A9029C">
      <w:pPr>
        <w:spacing w:after="0"/>
        <w:rPr>
          <w:rFonts w:ascii="Verdana" w:eastAsia="Calibri" w:hAnsi="Verdana" w:cs="Arial"/>
          <w:sz w:val="20"/>
          <w:szCs w:val="20"/>
          <w:lang w:val="es-ES_tradnl" w:eastAsia="es-ES_tradnl"/>
        </w:rPr>
      </w:pPr>
    </w:p>
    <w:p w14:paraId="1112FC73" w14:textId="77777777" w:rsidR="00A9029C" w:rsidRDefault="00A9029C" w:rsidP="00C15139">
      <w:pPr>
        <w:spacing w:after="0"/>
        <w:rPr>
          <w:rFonts w:ascii="Verdana" w:hAnsi="Verdana"/>
        </w:rPr>
      </w:pPr>
    </w:p>
    <w:p w14:paraId="57DFAD37" w14:textId="77777777" w:rsidR="00A9029C" w:rsidRDefault="00A9029C" w:rsidP="00C15139">
      <w:pPr>
        <w:spacing w:after="0"/>
        <w:rPr>
          <w:rFonts w:ascii="Verdana" w:hAnsi="Verdana"/>
        </w:rPr>
      </w:pPr>
    </w:p>
    <w:p w14:paraId="467DC6A3" w14:textId="77777777" w:rsidR="00A9029C" w:rsidRDefault="00A9029C" w:rsidP="00C15139">
      <w:pPr>
        <w:spacing w:after="0"/>
        <w:rPr>
          <w:rFonts w:ascii="Verdana" w:hAnsi="Verdana"/>
        </w:rPr>
      </w:pPr>
    </w:p>
    <w:p w14:paraId="6B494BD4" w14:textId="77777777" w:rsidR="00A9029C" w:rsidRDefault="00A9029C" w:rsidP="00C15139">
      <w:pPr>
        <w:spacing w:after="0"/>
        <w:rPr>
          <w:rFonts w:ascii="Verdana" w:hAnsi="Verdana"/>
        </w:rPr>
      </w:pPr>
    </w:p>
    <w:p w14:paraId="6B5F82A9" w14:textId="77777777" w:rsidR="00A9029C" w:rsidRDefault="00A9029C" w:rsidP="00C15139">
      <w:pPr>
        <w:spacing w:after="0"/>
        <w:rPr>
          <w:rFonts w:ascii="Verdana" w:hAnsi="Verdana"/>
        </w:rPr>
      </w:pPr>
    </w:p>
    <w:p w14:paraId="12443EE0" w14:textId="0A9CAFE3" w:rsidR="00C15139" w:rsidRPr="00725A15" w:rsidRDefault="00C15139" w:rsidP="00C15139">
      <w:pPr>
        <w:spacing w:after="0"/>
        <w:rPr>
          <w:rFonts w:ascii="Verdana" w:hAnsi="Verdana"/>
        </w:rPr>
      </w:pPr>
      <w:r w:rsidRPr="00725A15">
        <w:rPr>
          <w:rFonts w:ascii="Verdana" w:hAnsi="Verdana"/>
        </w:rPr>
        <w:t xml:space="preserve">Bogotá D.C., </w:t>
      </w:r>
      <w:r w:rsidR="00A9029C">
        <w:rPr>
          <w:rFonts w:ascii="Verdana" w:hAnsi="Verdana"/>
        </w:rPr>
        <w:t xml:space="preserve">30 </w:t>
      </w:r>
      <w:proofErr w:type="gramStart"/>
      <w:r w:rsidR="00A9029C">
        <w:rPr>
          <w:rFonts w:ascii="Verdana" w:hAnsi="Verdana"/>
        </w:rPr>
        <w:t>Diciembre</w:t>
      </w:r>
      <w:proofErr w:type="gramEnd"/>
      <w:r w:rsidR="00A9029C">
        <w:rPr>
          <w:rFonts w:ascii="Verdana" w:hAnsi="Verdana"/>
        </w:rPr>
        <w:t xml:space="preserve"> 2025</w:t>
      </w:r>
      <w:r w:rsidRPr="00725A15">
        <w:rPr>
          <w:rFonts w:ascii="Verdana" w:hAnsi="Verdana"/>
        </w:rPr>
        <w:tab/>
      </w:r>
      <w:r w:rsidRPr="00725A15">
        <w:rPr>
          <w:rFonts w:ascii="Verdana" w:hAnsi="Verdana"/>
        </w:rPr>
        <w:br/>
      </w:r>
    </w:p>
    <w:p w14:paraId="01AB1523" w14:textId="77777777" w:rsidR="00616202" w:rsidRPr="00725A15" w:rsidRDefault="00616202" w:rsidP="00616202">
      <w:pPr>
        <w:spacing w:after="0" w:line="240" w:lineRule="auto"/>
        <w:jc w:val="both"/>
        <w:rPr>
          <w:rFonts w:ascii="Verdana" w:eastAsia="Calibri" w:hAnsi="Verdana" w:cs="Arial"/>
          <w:lang w:val="es-ES" w:eastAsia="es-ES"/>
        </w:rPr>
      </w:pPr>
      <w:bookmarkStart w:id="1" w:name="_Hlk218015357"/>
      <w:r w:rsidRPr="00725A15">
        <w:rPr>
          <w:rFonts w:ascii="Verdana" w:eastAsia="Calibri" w:hAnsi="Verdana" w:cs="Arial"/>
          <w:lang w:val="es-ES" w:eastAsia="es-ES"/>
        </w:rPr>
        <w:t>Señora</w:t>
      </w:r>
    </w:p>
    <w:p w14:paraId="1B5693F1" w14:textId="77777777" w:rsidR="00616202" w:rsidRPr="00725A15" w:rsidRDefault="00616202" w:rsidP="00616202">
      <w:pPr>
        <w:spacing w:after="0" w:line="240" w:lineRule="auto"/>
        <w:jc w:val="both"/>
        <w:rPr>
          <w:rFonts w:ascii="Verdana" w:eastAsia="Calibri" w:hAnsi="Verdana" w:cs="Arial"/>
          <w:b/>
          <w:lang w:eastAsia="es-ES"/>
        </w:rPr>
      </w:pPr>
      <w:r w:rsidRPr="00725A15">
        <w:rPr>
          <w:rFonts w:ascii="Verdana" w:eastAsia="Calibri" w:hAnsi="Verdana" w:cs="Arial"/>
          <w:b/>
          <w:lang w:eastAsia="es-ES"/>
        </w:rPr>
        <w:t>MÓNICA JULIANA RODRÍGUEZ CASTAÑEDA</w:t>
      </w:r>
    </w:p>
    <w:p w14:paraId="63764F2E" w14:textId="77777777" w:rsidR="00616202" w:rsidRPr="00725A15" w:rsidRDefault="00616202" w:rsidP="00616202">
      <w:pPr>
        <w:spacing w:after="0" w:line="240" w:lineRule="auto"/>
        <w:jc w:val="both"/>
        <w:rPr>
          <w:rFonts w:ascii="Verdana" w:eastAsia="Geomanist Light" w:hAnsi="Verdana" w:cs="Arial"/>
          <w:color w:val="000000" w:themeColor="text1"/>
        </w:rPr>
      </w:pPr>
      <w:r w:rsidRPr="00725A15">
        <w:rPr>
          <w:rFonts w:ascii="Verdana" w:eastAsia="Times New Roman" w:hAnsi="Verdana" w:cs="Calibri"/>
          <w:color w:val="1F4E78"/>
          <w:u w:val="single"/>
          <w:lang w:eastAsia="es-CO"/>
        </w:rPr>
        <w:t>monicarodriguez.abogadafa@gmail.com</w:t>
      </w:r>
      <w:r w:rsidRPr="00725A15">
        <w:rPr>
          <w:rFonts w:ascii="Verdana" w:eastAsia="Geomanist Light" w:hAnsi="Verdana" w:cs="Arial"/>
          <w:color w:val="000000" w:themeColor="text1"/>
        </w:rPr>
        <w:t xml:space="preserve"> </w:t>
      </w:r>
    </w:p>
    <w:p w14:paraId="4CC88541" w14:textId="77777777" w:rsidR="00616202" w:rsidRPr="00725A15" w:rsidRDefault="00616202" w:rsidP="00616202">
      <w:pPr>
        <w:spacing w:after="0" w:line="240" w:lineRule="auto"/>
        <w:jc w:val="both"/>
        <w:rPr>
          <w:rFonts w:ascii="Verdana" w:eastAsia="Calibri" w:hAnsi="Verdana" w:cs="Arial"/>
          <w:lang w:val="it-IT" w:eastAsia="es-ES"/>
        </w:rPr>
      </w:pPr>
      <w:r w:rsidRPr="00725A15">
        <w:rPr>
          <w:rFonts w:ascii="Verdana" w:eastAsia="Geomanist Light" w:hAnsi="Verdana" w:cs="Arial"/>
          <w:color w:val="000000" w:themeColor="text1"/>
          <w:lang w:val="it-IT"/>
        </w:rPr>
        <w:t>Bogotá D.C</w:t>
      </w:r>
    </w:p>
    <w:p w14:paraId="43ACFDE2" w14:textId="77777777" w:rsidR="00616202" w:rsidRDefault="00616202" w:rsidP="00616202">
      <w:pPr>
        <w:spacing w:after="0" w:line="240" w:lineRule="auto"/>
        <w:jc w:val="both"/>
        <w:rPr>
          <w:rFonts w:ascii="Verdana" w:eastAsia="Calibri" w:hAnsi="Verdana" w:cs="Arial"/>
          <w:b/>
          <w:bCs/>
          <w:color w:val="000000"/>
          <w:lang w:val="it-IT" w:eastAsia="es-ES_tradnl"/>
        </w:rPr>
      </w:pPr>
    </w:p>
    <w:p w14:paraId="2C95085E" w14:textId="070FE08E" w:rsidR="00A9029C" w:rsidRDefault="00A9029C" w:rsidP="00A9029C">
      <w:pPr>
        <w:spacing w:after="0" w:line="240" w:lineRule="auto"/>
        <w:jc w:val="right"/>
        <w:rPr>
          <w:rFonts w:ascii="Verdana" w:eastAsia="Calibri" w:hAnsi="Verdana" w:cs="Arial"/>
          <w:b/>
          <w:bCs/>
          <w:color w:val="000000"/>
          <w:lang w:val="it-IT" w:eastAsia="es-ES_tradnl"/>
        </w:rPr>
      </w:pPr>
      <w:r w:rsidRPr="00A9029C">
        <w:rPr>
          <w:rFonts w:ascii="Verdana" w:eastAsia="Calibri" w:hAnsi="Verdana" w:cs="Arial"/>
          <w:b/>
          <w:bCs/>
          <w:noProof/>
          <w:color w:val="000000"/>
          <w:lang w:val="it-IT" w:eastAsia="es-ES_tradnl"/>
        </w:rPr>
        <w:drawing>
          <wp:inline distT="0" distB="0" distL="0" distR="0" wp14:anchorId="07266149" wp14:editId="666EDBC0">
            <wp:extent cx="3772227" cy="1066892"/>
            <wp:effectExtent l="0" t="0" r="0" b="0"/>
            <wp:docPr id="109011847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0118477" name=""/>
                    <pic:cNvPicPr/>
                  </pic:nvPicPr>
                  <pic:blipFill>
                    <a:blip r:embed="rId10"/>
                    <a:stretch>
                      <a:fillRect/>
                    </a:stretch>
                  </pic:blipFill>
                  <pic:spPr>
                    <a:xfrm>
                      <a:off x="0" y="0"/>
                      <a:ext cx="3772227" cy="1066892"/>
                    </a:xfrm>
                    <a:prstGeom prst="rect">
                      <a:avLst/>
                    </a:prstGeom>
                  </pic:spPr>
                </pic:pic>
              </a:graphicData>
            </a:graphic>
          </wp:inline>
        </w:drawing>
      </w:r>
    </w:p>
    <w:p w14:paraId="5803895E" w14:textId="77777777" w:rsidR="00A9029C" w:rsidRPr="00725A15" w:rsidRDefault="00A9029C" w:rsidP="00616202">
      <w:pPr>
        <w:spacing w:after="0" w:line="240" w:lineRule="auto"/>
        <w:jc w:val="both"/>
        <w:rPr>
          <w:rFonts w:ascii="Verdana" w:eastAsia="Calibri" w:hAnsi="Verdana" w:cs="Arial"/>
          <w:b/>
          <w:bCs/>
          <w:color w:val="000000"/>
          <w:lang w:val="it-IT"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616202" w:rsidRPr="00725A15" w14:paraId="543B17B6" w14:textId="77777777" w:rsidTr="001724C6">
        <w:trPr>
          <w:trHeight w:val="884"/>
        </w:trPr>
        <w:tc>
          <w:tcPr>
            <w:tcW w:w="2689" w:type="dxa"/>
          </w:tcPr>
          <w:p w14:paraId="7505FFDB" w14:textId="77777777" w:rsidR="00616202" w:rsidRPr="00725A15" w:rsidRDefault="00616202" w:rsidP="001724C6">
            <w:pPr>
              <w:jc w:val="both"/>
              <w:rPr>
                <w:rFonts w:ascii="Verdana" w:eastAsia="Calibri" w:hAnsi="Verdana" w:cs="Arial"/>
                <w:b/>
                <w:bCs/>
                <w:color w:val="7030A0"/>
                <w:lang w:val="it-IT" w:eastAsia="es-ES_tradnl"/>
              </w:rPr>
            </w:pPr>
          </w:p>
        </w:tc>
        <w:tc>
          <w:tcPr>
            <w:tcW w:w="6100" w:type="dxa"/>
          </w:tcPr>
          <w:p w14:paraId="02355CF0" w14:textId="77777777" w:rsidR="00616202" w:rsidRPr="00725A15" w:rsidRDefault="00616202" w:rsidP="001724C6">
            <w:pPr>
              <w:jc w:val="both"/>
              <w:rPr>
                <w:rFonts w:ascii="Verdana" w:eastAsia="Calibri" w:hAnsi="Verdana" w:cs="Arial"/>
                <w:b/>
                <w:bCs/>
                <w:color w:val="7030A0"/>
                <w:lang w:val="es-ES" w:eastAsia="es-ES"/>
              </w:rPr>
            </w:pPr>
            <w:r w:rsidRPr="00725A15">
              <w:rPr>
                <w:rFonts w:ascii="Verdana" w:eastAsia="Calibri" w:hAnsi="Verdana" w:cs="Arial"/>
                <w:b/>
                <w:bCs/>
                <w:lang w:val="es-ES" w:eastAsia="es-ES"/>
              </w:rPr>
              <w:t>Concepto C – 1692 de 2025</w:t>
            </w:r>
          </w:p>
        </w:tc>
      </w:tr>
      <w:tr w:rsidR="00616202" w:rsidRPr="00725A15" w14:paraId="6032B8D3" w14:textId="77777777" w:rsidTr="001724C6">
        <w:trPr>
          <w:trHeight w:val="884"/>
        </w:trPr>
        <w:tc>
          <w:tcPr>
            <w:tcW w:w="2689" w:type="dxa"/>
          </w:tcPr>
          <w:p w14:paraId="7A09879E" w14:textId="77777777" w:rsidR="00616202" w:rsidRPr="00725A15" w:rsidRDefault="00616202" w:rsidP="001724C6">
            <w:pPr>
              <w:jc w:val="both"/>
              <w:rPr>
                <w:rFonts w:ascii="Verdana" w:eastAsia="Calibri" w:hAnsi="Verdana" w:cs="Arial"/>
                <w:color w:val="000000"/>
                <w:lang w:val="es-ES_tradnl" w:eastAsia="es-ES_tradnl"/>
              </w:rPr>
            </w:pPr>
            <w:r w:rsidRPr="00725A15">
              <w:rPr>
                <w:rFonts w:ascii="Verdana" w:eastAsia="Calibri" w:hAnsi="Verdana" w:cs="Arial"/>
                <w:b/>
                <w:color w:val="000000"/>
                <w:lang w:val="es-ES_tradnl" w:eastAsia="es-ES_tradnl"/>
              </w:rPr>
              <w:t>Temas:</w:t>
            </w:r>
            <w:r w:rsidRPr="00725A15">
              <w:rPr>
                <w:rFonts w:ascii="Verdana" w:eastAsia="Calibri" w:hAnsi="Verdana" w:cs="Arial"/>
                <w:color w:val="000000"/>
                <w:lang w:val="es-ES_tradnl" w:eastAsia="es-ES_tradnl"/>
              </w:rPr>
              <w:t xml:space="preserve">                   </w:t>
            </w:r>
          </w:p>
        </w:tc>
        <w:tc>
          <w:tcPr>
            <w:tcW w:w="6100" w:type="dxa"/>
          </w:tcPr>
          <w:p w14:paraId="5AA4BBD2" w14:textId="77777777" w:rsidR="00616202" w:rsidRPr="00725A15" w:rsidRDefault="00616202" w:rsidP="001724C6">
            <w:pPr>
              <w:jc w:val="both"/>
              <w:rPr>
                <w:rFonts w:ascii="Verdana" w:eastAsia="Calibri" w:hAnsi="Verdana" w:cs="Arial"/>
                <w:bCs/>
                <w:lang w:val="es-ES_tradnl" w:eastAsia="es-ES_tradnl"/>
              </w:rPr>
            </w:pPr>
            <w:r w:rsidRPr="00725A15">
              <w:rPr>
                <w:rFonts w:ascii="Verdana" w:eastAsia="Calibri" w:hAnsi="Verdana" w:cs="Arial"/>
                <w:bCs/>
                <w:lang w:val="es-ES_tradnl" w:eastAsia="es-ES_tradnl"/>
              </w:rPr>
              <w:t>PUBLICIDAD – SECOP – Entidades exceptuadas / PUBLICIDAD – SECOP – Fundamento Normativo – Ley 1712 de 2014 –</w:t>
            </w:r>
            <w:r w:rsidRPr="00725A15">
              <w:rPr>
                <w:rFonts w:ascii="Verdana" w:eastAsia="Calibri" w:hAnsi="Verdana" w:cs="Arial"/>
                <w:bCs/>
                <w:lang w:val="es-ES_tradnl"/>
              </w:rPr>
              <w:t xml:space="preserve"> Decreto 1081 de 2015</w:t>
            </w:r>
            <w:r w:rsidRPr="00725A15">
              <w:rPr>
                <w:rFonts w:ascii="Verdana" w:eastAsia="Calibri" w:hAnsi="Verdana" w:cs="Arial"/>
                <w:bCs/>
                <w:lang w:val="es-ES_tradnl" w:eastAsia="es-ES_tradnl"/>
              </w:rPr>
              <w:t xml:space="preserve"> / PUBLICIDAD – SECOP – Fundamento Normativo – </w:t>
            </w:r>
            <w:r w:rsidRPr="00725A15">
              <w:rPr>
                <w:rFonts w:ascii="Verdana" w:eastAsia="Calibri" w:hAnsi="Verdana" w:cs="Arial"/>
                <w:bCs/>
                <w:lang w:val="es-ES_tradnl"/>
              </w:rPr>
              <w:t xml:space="preserve">Ley 1150 de 2007 - </w:t>
            </w:r>
            <w:r w:rsidRPr="00725A15">
              <w:rPr>
                <w:rFonts w:ascii="Verdana" w:eastAsia="Calibri" w:hAnsi="Verdana" w:cs="Arial"/>
                <w:bCs/>
                <w:lang w:val="es-ES_tradnl" w:eastAsia="es-ES_tradnl"/>
              </w:rPr>
              <w:t xml:space="preserve">Ley 2195 de 2022 </w:t>
            </w:r>
          </w:p>
          <w:p w14:paraId="7CC65834" w14:textId="77777777" w:rsidR="00616202" w:rsidRPr="00725A15" w:rsidRDefault="00616202" w:rsidP="001724C6">
            <w:pPr>
              <w:spacing w:line="276" w:lineRule="auto"/>
              <w:jc w:val="both"/>
              <w:rPr>
                <w:rFonts w:ascii="Verdana" w:eastAsia="Calibri" w:hAnsi="Verdana" w:cs="Arial"/>
                <w:lang w:val="es-ES" w:eastAsia="es-ES"/>
              </w:rPr>
            </w:pPr>
            <w:r w:rsidRPr="00725A15">
              <w:rPr>
                <w:rFonts w:ascii="Verdana" w:eastAsia="Calibri" w:hAnsi="Verdana" w:cs="Arial"/>
                <w:lang w:val="es-ES" w:eastAsia="es-ES"/>
              </w:rPr>
              <w:t xml:space="preserve">  </w:t>
            </w:r>
          </w:p>
        </w:tc>
      </w:tr>
      <w:tr w:rsidR="00616202" w:rsidRPr="00725A15" w14:paraId="6513B312" w14:textId="77777777" w:rsidTr="001724C6">
        <w:tc>
          <w:tcPr>
            <w:tcW w:w="2689" w:type="dxa"/>
          </w:tcPr>
          <w:p w14:paraId="14E97343" w14:textId="77777777" w:rsidR="00616202" w:rsidRPr="00725A15" w:rsidRDefault="00616202" w:rsidP="001724C6">
            <w:pPr>
              <w:jc w:val="both"/>
              <w:rPr>
                <w:rFonts w:ascii="Verdana" w:eastAsia="Calibri" w:hAnsi="Verdana" w:cs="Arial"/>
                <w:b/>
                <w:lang w:val="es-ES_tradnl" w:eastAsia="es-ES_tradnl"/>
              </w:rPr>
            </w:pPr>
            <w:r w:rsidRPr="00725A15">
              <w:rPr>
                <w:rFonts w:ascii="Verdana" w:eastAsia="Calibri" w:hAnsi="Verdana" w:cs="Arial"/>
                <w:b/>
                <w:lang w:val="es-ES_tradnl" w:eastAsia="es-ES_tradnl"/>
              </w:rPr>
              <w:t>Radicación:</w:t>
            </w:r>
            <w:r w:rsidRPr="00725A15">
              <w:rPr>
                <w:rFonts w:ascii="Verdana" w:eastAsia="Calibri" w:hAnsi="Verdana" w:cs="Arial"/>
                <w:lang w:val="es-ES_tradnl" w:eastAsia="es-ES_tradnl"/>
              </w:rPr>
              <w:t xml:space="preserve">               </w:t>
            </w:r>
          </w:p>
        </w:tc>
        <w:tc>
          <w:tcPr>
            <w:tcW w:w="6100" w:type="dxa"/>
          </w:tcPr>
          <w:p w14:paraId="5AF78770" w14:textId="5189DDE4" w:rsidR="00616202" w:rsidRPr="00725A15" w:rsidRDefault="00616202" w:rsidP="001724C6">
            <w:pPr>
              <w:spacing w:line="276" w:lineRule="auto"/>
              <w:jc w:val="both"/>
              <w:rPr>
                <w:rFonts w:ascii="Verdana" w:eastAsia="Calibri" w:hAnsi="Verdana" w:cs="Arial"/>
                <w:lang w:eastAsia="es-ES_tradnl"/>
              </w:rPr>
            </w:pPr>
            <w:r w:rsidRPr="00725A15">
              <w:rPr>
                <w:rFonts w:ascii="Verdana" w:eastAsia="Calibri" w:hAnsi="Verdana" w:cs="Arial"/>
                <w:lang w:val="es-ES_tradnl" w:eastAsia="es-ES_tradnl"/>
              </w:rPr>
              <w:t xml:space="preserve">Respuesta a la consulta con radicado No. </w:t>
            </w:r>
            <w:r w:rsidRPr="00725A15">
              <w:rPr>
                <w:rFonts w:ascii="Verdana" w:eastAsia="Calibri" w:hAnsi="Verdana" w:cs="Arial"/>
                <w:lang w:eastAsia="es-ES_tradnl"/>
              </w:rPr>
              <w:t>1_2025_11_14_012901</w:t>
            </w:r>
            <w:r w:rsidR="0056680B">
              <w:rPr>
                <w:rFonts w:ascii="Verdana" w:eastAsia="Calibri" w:hAnsi="Verdana" w:cs="Arial"/>
                <w:lang w:val="es-ES_tradnl" w:eastAsia="es-ES_tradnl"/>
              </w:rPr>
              <w:t xml:space="preserve"> </w:t>
            </w:r>
          </w:p>
        </w:tc>
      </w:tr>
    </w:tbl>
    <w:p w14:paraId="3FC99C25" w14:textId="77777777" w:rsidR="00616202" w:rsidRPr="00725A15" w:rsidRDefault="00616202" w:rsidP="00616202">
      <w:pPr>
        <w:spacing w:after="0" w:line="240" w:lineRule="auto"/>
        <w:jc w:val="both"/>
        <w:rPr>
          <w:rFonts w:ascii="Verdana" w:eastAsia="Calibri" w:hAnsi="Verdana" w:cs="Arial"/>
          <w:color w:val="000000"/>
          <w:lang w:val="es-ES_tradnl" w:eastAsia="es-ES_tradnl"/>
        </w:rPr>
      </w:pPr>
    </w:p>
    <w:p w14:paraId="347812C8" w14:textId="77777777" w:rsidR="00616202" w:rsidRPr="00725A15" w:rsidRDefault="00616202" w:rsidP="00616202">
      <w:pPr>
        <w:spacing w:after="0" w:line="240" w:lineRule="auto"/>
        <w:jc w:val="both"/>
        <w:rPr>
          <w:rFonts w:ascii="Verdana" w:eastAsia="Calibri" w:hAnsi="Verdana" w:cs="Arial"/>
          <w:color w:val="000000"/>
          <w:lang w:val="es-ES_tradnl" w:eastAsia="es-ES_tradnl"/>
        </w:rPr>
      </w:pPr>
    </w:p>
    <w:p w14:paraId="7D75463D" w14:textId="77777777" w:rsidR="00616202" w:rsidRPr="00725A15" w:rsidRDefault="00616202" w:rsidP="00616202">
      <w:pPr>
        <w:spacing w:after="0" w:line="276" w:lineRule="auto"/>
        <w:jc w:val="both"/>
        <w:rPr>
          <w:rFonts w:ascii="Verdana" w:eastAsia="Calibri" w:hAnsi="Verdana" w:cs="Arial"/>
          <w:lang w:val="es-ES" w:eastAsia="es-ES"/>
        </w:rPr>
      </w:pPr>
      <w:r w:rsidRPr="00725A15">
        <w:rPr>
          <w:rFonts w:ascii="Verdana" w:eastAsia="Calibri" w:hAnsi="Verdana" w:cs="Arial"/>
          <w:lang w:val="es-ES" w:eastAsia="es-ES"/>
        </w:rPr>
        <w:t xml:space="preserve">Estimada señora Rodriguez: </w:t>
      </w:r>
    </w:p>
    <w:p w14:paraId="17148C39" w14:textId="77777777" w:rsidR="00616202" w:rsidRPr="00725A15" w:rsidRDefault="00616202" w:rsidP="00616202">
      <w:pPr>
        <w:tabs>
          <w:tab w:val="left" w:pos="3768"/>
        </w:tabs>
        <w:spacing w:after="0" w:line="276" w:lineRule="auto"/>
        <w:jc w:val="both"/>
        <w:rPr>
          <w:rFonts w:ascii="Verdana" w:eastAsia="Calibri" w:hAnsi="Verdana" w:cs="Arial"/>
          <w:color w:val="000000" w:themeColor="text1"/>
          <w:lang w:val="es-ES" w:eastAsia="es-ES"/>
        </w:rPr>
      </w:pPr>
      <w:r w:rsidRPr="00725A15">
        <w:rPr>
          <w:rFonts w:ascii="Verdana" w:eastAsia="Calibri" w:hAnsi="Verdana" w:cs="Arial"/>
          <w:color w:val="000000" w:themeColor="text1"/>
          <w:lang w:val="es-ES" w:eastAsia="es-ES"/>
        </w:rPr>
        <w:tab/>
      </w:r>
    </w:p>
    <w:p w14:paraId="0A541624" w14:textId="366B11E6" w:rsidR="00616202" w:rsidRPr="00725A15" w:rsidRDefault="00616202" w:rsidP="00616202">
      <w:pPr>
        <w:spacing w:after="0" w:line="276" w:lineRule="auto"/>
        <w:jc w:val="both"/>
        <w:rPr>
          <w:rFonts w:ascii="Verdana" w:eastAsia="Calibri" w:hAnsi="Verdana" w:cs="Arial"/>
          <w:color w:val="7030A0"/>
          <w:lang w:val="es-ES" w:eastAsia="es-ES"/>
        </w:rPr>
      </w:pPr>
      <w:r w:rsidRPr="00725A15">
        <w:rPr>
          <w:rFonts w:ascii="Verdana" w:eastAsia="Calibri" w:hAnsi="Verdana" w:cs="Arial"/>
          <w:color w:val="000000" w:themeColor="text1"/>
          <w:lang w:val="es-ES" w:eastAsia="es-ES"/>
        </w:rPr>
        <w:t>En ejercicio de la competencia otorgada por los artículos 3, numeral 5º, y 11, numeral 8º, del Decreto Ley 4170 de 2011,</w:t>
      </w:r>
      <w:r w:rsidRPr="00725A15">
        <w:rPr>
          <w:rFonts w:ascii="Verdana" w:eastAsia="Arial MT" w:hAnsi="Verdana" w:cs="Arial MT"/>
          <w:lang w:val="es-ES" w:eastAsia="es-ES"/>
        </w:rPr>
        <w:t xml:space="preserve"> </w:t>
      </w:r>
      <w:r w:rsidRPr="00725A15">
        <w:rPr>
          <w:rFonts w:ascii="Verdana" w:hAnsi="Verdana" w:cs="Arial"/>
        </w:rPr>
        <w:t xml:space="preserve">así como lo establecido en el artículo 4 de la Resolución 1707 de 2018 expedida por esta Entidad, </w:t>
      </w:r>
      <w:r w:rsidRPr="00725A15">
        <w:rPr>
          <w:rFonts w:ascii="Verdana" w:eastAsia="Calibri" w:hAnsi="Verdana" w:cs="Arial"/>
          <w:color w:val="000000" w:themeColor="text1"/>
          <w:lang w:val="es-ES" w:eastAsia="es-ES"/>
        </w:rPr>
        <w:t xml:space="preserve">la Agencia Nacional de Contratación Pública – Colombia Compra Eficiente responde la solicitud de consulta de </w:t>
      </w:r>
      <w:r w:rsidRPr="00725A15">
        <w:rPr>
          <w:rFonts w:ascii="Verdana" w:eastAsia="Calibri" w:hAnsi="Verdana" w:cs="Arial"/>
          <w:lang w:val="es-ES" w:eastAsia="es-ES"/>
        </w:rPr>
        <w:t>fecha 21 de octubre de 2025 frente a la Contraloría General de la República, remitida por competencia a esta entidad –conforme al artículo 21 de la Ley 1437 de 2011– mediante correo electrónico del 14 de noviembre de la presente anualidad,</w:t>
      </w:r>
      <w:r w:rsidR="0056680B">
        <w:rPr>
          <w:rFonts w:ascii="Verdana" w:eastAsia="Calibri" w:hAnsi="Verdana" w:cs="Arial"/>
          <w:lang w:val="es-ES" w:eastAsia="es-ES"/>
        </w:rPr>
        <w:t xml:space="preserve"> reiterado el 17 de diciembre,</w:t>
      </w:r>
      <w:r w:rsidRPr="00725A15">
        <w:rPr>
          <w:rFonts w:ascii="Verdana" w:eastAsia="Calibri" w:hAnsi="Verdana" w:cs="Arial"/>
          <w:lang w:val="es-ES" w:eastAsia="es-ES"/>
        </w:rPr>
        <w:t xml:space="preserve"> en la cual plantea que: </w:t>
      </w:r>
    </w:p>
    <w:p w14:paraId="56E215BB" w14:textId="77777777" w:rsidR="00616202" w:rsidRPr="00725A15" w:rsidRDefault="00616202" w:rsidP="00616202">
      <w:pPr>
        <w:pStyle w:val="Prrafodelista"/>
        <w:tabs>
          <w:tab w:val="left" w:pos="142"/>
          <w:tab w:val="left" w:pos="284"/>
        </w:tabs>
        <w:spacing w:after="0" w:line="276" w:lineRule="auto"/>
        <w:ind w:left="0"/>
        <w:jc w:val="both"/>
        <w:rPr>
          <w:rFonts w:ascii="Verdana" w:eastAsia="Century Gothic" w:hAnsi="Verdana" w:cs="Century Gothic"/>
          <w:b/>
          <w:bCs/>
        </w:rPr>
      </w:pPr>
    </w:p>
    <w:p w14:paraId="3A6878AE" w14:textId="77777777" w:rsidR="00616202" w:rsidRPr="00725A15" w:rsidRDefault="00616202" w:rsidP="00616202">
      <w:pPr>
        <w:spacing w:after="0" w:line="240" w:lineRule="auto"/>
        <w:ind w:left="709" w:right="709"/>
        <w:jc w:val="both"/>
        <w:rPr>
          <w:rFonts w:ascii="Verdana" w:eastAsia="Century Gothic" w:hAnsi="Verdana" w:cs="Century Gothic"/>
          <w:sz w:val="21"/>
          <w:szCs w:val="21"/>
        </w:rPr>
      </w:pPr>
      <w:r w:rsidRPr="00725A15">
        <w:rPr>
          <w:rFonts w:ascii="Verdana" w:eastAsia="Century Gothic" w:hAnsi="Verdana" w:cs="Century Gothic"/>
        </w:rPr>
        <w:lastRenderedPageBreak/>
        <w:t>“</w:t>
      </w:r>
      <w:r w:rsidRPr="00725A15">
        <w:rPr>
          <w:rFonts w:ascii="Verdana" w:eastAsia="Century Gothic" w:hAnsi="Verdana" w:cs="Century Gothic"/>
          <w:sz w:val="21"/>
          <w:szCs w:val="21"/>
        </w:rPr>
        <w:t xml:space="preserve">En atención a lo dispuesto en la Ley 2195 de 2022, al establecer lo siguiente: “Artículo 53. Adiciónese los siguientes incisos al artículo 13 de la Ley 1150 de 2007, el cual quedará así: </w:t>
      </w:r>
    </w:p>
    <w:p w14:paraId="54EA8B91" w14:textId="77777777" w:rsidR="00616202" w:rsidRPr="00725A15" w:rsidRDefault="00616202" w:rsidP="00616202">
      <w:pPr>
        <w:spacing w:after="0" w:line="240" w:lineRule="auto"/>
        <w:ind w:left="709" w:right="709"/>
        <w:jc w:val="both"/>
        <w:rPr>
          <w:rFonts w:ascii="Verdana" w:eastAsia="Century Gothic" w:hAnsi="Verdana" w:cs="Century Gothic"/>
          <w:sz w:val="21"/>
          <w:szCs w:val="21"/>
        </w:rPr>
      </w:pPr>
    </w:p>
    <w:p w14:paraId="44F92A25" w14:textId="77777777" w:rsidR="00616202" w:rsidRPr="00725A15" w:rsidRDefault="00616202" w:rsidP="00616202">
      <w:pPr>
        <w:spacing w:after="0" w:line="240" w:lineRule="auto"/>
        <w:ind w:left="709" w:right="709"/>
        <w:jc w:val="both"/>
        <w:rPr>
          <w:rFonts w:ascii="Verdana" w:eastAsia="Century Gothic" w:hAnsi="Verdana" w:cs="Century Gothic"/>
          <w:sz w:val="21"/>
          <w:szCs w:val="21"/>
        </w:rPr>
      </w:pPr>
      <w:r w:rsidRPr="00725A15">
        <w:rPr>
          <w:rFonts w:ascii="Verdana" w:eastAsia="Century Gothic" w:hAnsi="Verdana" w:cs="Century Gothic"/>
          <w:sz w:val="21"/>
          <w:szCs w:val="21"/>
        </w:rPr>
        <w:t xml:space="preserve">Artículo 13. Principios generales de la actividad contractual para entidades no sometidas al Estatuto General de Contratación de la Administración Pública. Las entidades estatales que por disposición legal cuenten con un régimen contractual excepcional al del Estatuto General de Contratación de la Administración Pública, aplicarán en desarrollo de su actividad contractual, acorde con su régimen legal especial, los principios de la función administrativa y de la gestión fiscal de que tratan los artículos 209 y 267 de la Constitución Política, respectivamente según sea el caso y estarán sometidas al régimen de inhabilidades e incompatibilidades previsto legalmente para la contratación estatal. </w:t>
      </w:r>
    </w:p>
    <w:p w14:paraId="25D29992" w14:textId="77777777" w:rsidR="00616202" w:rsidRPr="00725A15" w:rsidRDefault="00616202" w:rsidP="00616202">
      <w:pPr>
        <w:spacing w:after="0" w:line="240" w:lineRule="auto"/>
        <w:ind w:left="709" w:right="709"/>
        <w:jc w:val="both"/>
        <w:rPr>
          <w:rFonts w:ascii="Verdana" w:eastAsia="Century Gothic" w:hAnsi="Verdana" w:cs="Century Gothic"/>
          <w:sz w:val="21"/>
          <w:szCs w:val="21"/>
        </w:rPr>
      </w:pPr>
    </w:p>
    <w:p w14:paraId="1B5A3E7F" w14:textId="77777777" w:rsidR="00616202" w:rsidRPr="00725A15" w:rsidRDefault="00616202" w:rsidP="00616202">
      <w:pPr>
        <w:spacing w:after="0" w:line="240" w:lineRule="auto"/>
        <w:ind w:left="709" w:right="709"/>
        <w:jc w:val="both"/>
        <w:rPr>
          <w:rFonts w:ascii="Verdana" w:eastAsia="Century Gothic" w:hAnsi="Verdana" w:cs="Century Gothic"/>
          <w:sz w:val="21"/>
          <w:szCs w:val="21"/>
        </w:rPr>
      </w:pPr>
      <w:r w:rsidRPr="00725A15">
        <w:rPr>
          <w:rFonts w:ascii="Verdana" w:eastAsia="Century Gothic" w:hAnsi="Verdana" w:cs="Century Gothic"/>
          <w:sz w:val="21"/>
          <w:szCs w:val="21"/>
        </w:rPr>
        <w:t xml:space="preserve">En desarrollo de los anteriores principios, deberán publicar los documentos relacionados con su actividad contractual en el Sistema Electrónico para la Contratación Pública (SECOP II) o la plataforma transaccional que haga sus veces. Para los efectos de este artículo, se entiende por actividad contractual los documentos, contratos, actos e información generada por oferentes, contratista, contratante, supervisor o interventor, tanto en la etapa precontractual, como en la contractual y la </w:t>
      </w:r>
      <w:proofErr w:type="spellStart"/>
      <w:r w:rsidRPr="00725A15">
        <w:rPr>
          <w:rFonts w:ascii="Verdana" w:eastAsia="Century Gothic" w:hAnsi="Verdana" w:cs="Century Gothic"/>
          <w:sz w:val="21"/>
          <w:szCs w:val="21"/>
        </w:rPr>
        <w:t>postcontractual</w:t>
      </w:r>
      <w:proofErr w:type="spellEnd"/>
      <w:r w:rsidRPr="00725A15">
        <w:rPr>
          <w:rFonts w:ascii="Verdana" w:eastAsia="Century Gothic" w:hAnsi="Verdana" w:cs="Century Gothic"/>
          <w:sz w:val="21"/>
          <w:szCs w:val="21"/>
        </w:rPr>
        <w:t xml:space="preserve">. A partir de la </w:t>
      </w:r>
      <w:proofErr w:type="gramStart"/>
      <w:r w:rsidRPr="00725A15">
        <w:rPr>
          <w:rFonts w:ascii="Verdana" w:eastAsia="Century Gothic" w:hAnsi="Verdana" w:cs="Century Gothic"/>
          <w:sz w:val="21"/>
          <w:szCs w:val="21"/>
        </w:rPr>
        <w:t>entrada en vigencia</w:t>
      </w:r>
      <w:proofErr w:type="gramEnd"/>
      <w:r w:rsidRPr="00725A15">
        <w:rPr>
          <w:rFonts w:ascii="Verdana" w:eastAsia="Century Gothic" w:hAnsi="Verdana" w:cs="Century Gothic"/>
          <w:sz w:val="21"/>
          <w:szCs w:val="21"/>
        </w:rPr>
        <w:t xml:space="preserve"> de la presente Ley, se establecerá un periodo de transición de seis (6) meses, para que las entidades den cumplimiento efectivo a lo aquí establecido.” (Negrilla y subrayado fuera del texto) La ley, y en particular el artículo previamente mencionado, detalla los documentos sobre los cuales recae la obligación de publicación en la plataforma SECOP II. No obstante, de acuerdo con dicho contenido, no se evidencia que la norma, y especialmente el artículo 53 de la Ley 2195 de 2022, haga referencia de manera taxativa al término para la publicación en dicha plataforma. </w:t>
      </w:r>
    </w:p>
    <w:p w14:paraId="701C5A69" w14:textId="77777777" w:rsidR="00616202" w:rsidRPr="00725A15" w:rsidRDefault="00616202" w:rsidP="00616202">
      <w:pPr>
        <w:spacing w:after="0" w:line="240" w:lineRule="auto"/>
        <w:ind w:left="709" w:right="709"/>
        <w:jc w:val="both"/>
        <w:rPr>
          <w:rFonts w:ascii="Verdana" w:eastAsia="Century Gothic" w:hAnsi="Verdana" w:cs="Century Gothic"/>
          <w:sz w:val="21"/>
          <w:szCs w:val="21"/>
        </w:rPr>
      </w:pPr>
    </w:p>
    <w:p w14:paraId="0AC56AE7" w14:textId="77777777" w:rsidR="00616202" w:rsidRPr="00725A15" w:rsidRDefault="00616202" w:rsidP="00616202">
      <w:pPr>
        <w:spacing w:after="0" w:line="240" w:lineRule="auto"/>
        <w:ind w:left="709" w:right="709"/>
        <w:jc w:val="both"/>
        <w:rPr>
          <w:rFonts w:ascii="Verdana" w:eastAsia="Century Gothic" w:hAnsi="Verdana" w:cs="Century Gothic"/>
          <w:sz w:val="21"/>
          <w:szCs w:val="21"/>
        </w:rPr>
      </w:pPr>
      <w:r w:rsidRPr="00725A15">
        <w:rPr>
          <w:rFonts w:ascii="Verdana" w:eastAsia="Century Gothic" w:hAnsi="Verdana" w:cs="Century Gothic"/>
          <w:sz w:val="21"/>
          <w:szCs w:val="21"/>
        </w:rPr>
        <w:t xml:space="preserve">De esta manera, ¿debe entenderse que las empresas o entidades sometidas a régimen exceptuado pueden realizar la publicación en la plataforma SECOP II dentro del término que consideren prudente para efectuar dicha actividad? ¿Es válido interpretar el artículo 53 de la Ley 2195 de 2022 a partir de la consideración anteriormente expuesta? </w:t>
      </w:r>
    </w:p>
    <w:p w14:paraId="52A2E407" w14:textId="77777777" w:rsidR="00616202" w:rsidRPr="00725A15" w:rsidRDefault="00616202" w:rsidP="00616202">
      <w:pPr>
        <w:spacing w:after="0" w:line="240" w:lineRule="auto"/>
        <w:ind w:left="709" w:right="709"/>
        <w:jc w:val="both"/>
        <w:rPr>
          <w:rFonts w:ascii="Verdana" w:eastAsia="Century Gothic" w:hAnsi="Verdana" w:cs="Century Gothic"/>
          <w:sz w:val="21"/>
          <w:szCs w:val="21"/>
        </w:rPr>
      </w:pPr>
    </w:p>
    <w:p w14:paraId="4E12BEA7" w14:textId="77777777" w:rsidR="00616202" w:rsidRPr="00725A15" w:rsidRDefault="00616202" w:rsidP="00616202">
      <w:pPr>
        <w:spacing w:after="0" w:line="240" w:lineRule="auto"/>
        <w:ind w:left="709" w:right="709"/>
        <w:jc w:val="both"/>
        <w:rPr>
          <w:rFonts w:ascii="Verdana" w:eastAsia="Century Gothic" w:hAnsi="Verdana" w:cs="Century Gothic"/>
          <w:sz w:val="21"/>
          <w:szCs w:val="21"/>
        </w:rPr>
      </w:pPr>
      <w:r w:rsidRPr="00725A15">
        <w:rPr>
          <w:rFonts w:ascii="Verdana" w:eastAsia="Century Gothic" w:hAnsi="Verdana" w:cs="Century Gothic"/>
          <w:sz w:val="21"/>
          <w:szCs w:val="21"/>
        </w:rPr>
        <w:t xml:space="preserve">2. Sin perjuicio de lo anterior, lo cierto es que el decreto 1082 de 2015 dispuso el término con el que cuentan las entidades estatales para publicar su actividad contractual en la plataforma SECOP II así: “ARTÍCULO 2.2.1.1.1.7.1. Publicidad en el SECOP. La Entidad Estatal </w:t>
      </w:r>
      <w:r w:rsidRPr="00725A15">
        <w:rPr>
          <w:rFonts w:ascii="Verdana" w:eastAsia="Century Gothic" w:hAnsi="Verdana" w:cs="Century Gothic"/>
          <w:sz w:val="21"/>
          <w:szCs w:val="21"/>
        </w:rPr>
        <w:lastRenderedPageBreak/>
        <w:t xml:space="preserve">está obligada a publicar en el SECOP los Documentos del Proceso y los actos administrativos del Proceso de Contratación, dentro de los tres (3) días siguientes a su expedición. La oferta que debe ser publicada es la del adjudicatario del Proceso de Contratación. Los documentos de las operaciones que se realicen en bolsa de productos no tienen que ser publicados en el SECOP. La Entidad Estatal está obligada a publicar oportunamente el aviso de convocatoria o la invitación en los Procesos de Contratación de mínima cuantía y el proyecto de pliegos de condiciones en el SECOP para que los interesados en el Proceso de Contratación puedan presentar observaciones o solicitar aclaraciones en el término previsto para el efecto en el artículo 2.2.1.1.2.1.4 del presente decreto.” (Negrilla y subrayado fuera del texto) Este decreto </w:t>
      </w:r>
      <w:proofErr w:type="gramStart"/>
      <w:r w:rsidRPr="00725A15">
        <w:rPr>
          <w:rFonts w:ascii="Verdana" w:eastAsia="Century Gothic" w:hAnsi="Verdana" w:cs="Century Gothic"/>
          <w:sz w:val="21"/>
          <w:szCs w:val="21"/>
        </w:rPr>
        <w:t>entró en vigencia</w:t>
      </w:r>
      <w:proofErr w:type="gramEnd"/>
      <w:r w:rsidRPr="00725A15">
        <w:rPr>
          <w:rFonts w:ascii="Verdana" w:eastAsia="Century Gothic" w:hAnsi="Verdana" w:cs="Century Gothic"/>
          <w:sz w:val="21"/>
          <w:szCs w:val="21"/>
        </w:rPr>
        <w:t xml:space="preserve"> siete (7) años antes de la promulgación de la Ley 2195 de 2022. </w:t>
      </w:r>
    </w:p>
    <w:p w14:paraId="4028EBE7" w14:textId="77777777" w:rsidR="00616202" w:rsidRPr="00725A15" w:rsidRDefault="00616202" w:rsidP="00616202">
      <w:pPr>
        <w:spacing w:after="0" w:line="240" w:lineRule="auto"/>
        <w:ind w:left="709" w:right="709"/>
        <w:jc w:val="both"/>
        <w:rPr>
          <w:rFonts w:ascii="Verdana" w:eastAsia="Century Gothic" w:hAnsi="Verdana" w:cs="Century Gothic"/>
          <w:sz w:val="21"/>
          <w:szCs w:val="21"/>
        </w:rPr>
      </w:pPr>
    </w:p>
    <w:p w14:paraId="7CEED195" w14:textId="77777777" w:rsidR="00616202" w:rsidRPr="00725A15" w:rsidRDefault="00616202" w:rsidP="00616202">
      <w:pPr>
        <w:spacing w:after="0" w:line="240" w:lineRule="auto"/>
        <w:ind w:left="709" w:right="709"/>
        <w:jc w:val="both"/>
        <w:rPr>
          <w:rFonts w:ascii="Verdana" w:eastAsia="Century Gothic" w:hAnsi="Verdana" w:cs="Century Gothic"/>
          <w:sz w:val="21"/>
          <w:szCs w:val="21"/>
        </w:rPr>
      </w:pPr>
      <w:proofErr w:type="gramStart"/>
      <w:r w:rsidRPr="00725A15">
        <w:rPr>
          <w:rFonts w:ascii="Verdana" w:eastAsia="Century Gothic" w:hAnsi="Verdana" w:cs="Century Gothic"/>
          <w:sz w:val="21"/>
          <w:szCs w:val="21"/>
        </w:rPr>
        <w:t>¿El artículo 53 de la Ley 2195 de 2022 debe aplicarse en concordancia con lo dispuesto en el artículo 2.</w:t>
      </w:r>
      <w:proofErr w:type="gramEnd"/>
      <w:r w:rsidRPr="00725A15">
        <w:rPr>
          <w:rFonts w:ascii="Verdana" w:eastAsia="Century Gothic" w:hAnsi="Verdana" w:cs="Century Gothic"/>
          <w:sz w:val="21"/>
          <w:szCs w:val="21"/>
        </w:rPr>
        <w:t xml:space="preserve">2.1.1.1.7.1 del Decreto 1082 de 2015? Aun teniendo en cuenta </w:t>
      </w:r>
      <w:proofErr w:type="gramStart"/>
      <w:r w:rsidRPr="00725A15">
        <w:rPr>
          <w:rFonts w:ascii="Verdana" w:eastAsia="Century Gothic" w:hAnsi="Verdana" w:cs="Century Gothic"/>
          <w:sz w:val="21"/>
          <w:szCs w:val="21"/>
        </w:rPr>
        <w:t>que</w:t>
      </w:r>
      <w:proofErr w:type="gramEnd"/>
      <w:r w:rsidRPr="00725A15">
        <w:rPr>
          <w:rFonts w:ascii="Verdana" w:eastAsia="Century Gothic" w:hAnsi="Verdana" w:cs="Century Gothic"/>
          <w:sz w:val="21"/>
          <w:szCs w:val="21"/>
        </w:rPr>
        <w:t xml:space="preserve"> en el decreto, en la Subsección 7 -Publicidad-, se establece su aplicación a las entidades estatales que se encuentran totalmente sometidas al Estatuto General de Contratación de la Administración Pública, no se hace una referencia taxativa a dicha vinculación normativa respecto de las empresas o entidades con capital mixto, las empresas de servicios públicos domiciliarios y demás organizaciones sometidas a régimen exceptuado. </w:t>
      </w:r>
    </w:p>
    <w:p w14:paraId="70EB4B12" w14:textId="77777777" w:rsidR="00616202" w:rsidRPr="00725A15" w:rsidRDefault="00616202" w:rsidP="00616202">
      <w:pPr>
        <w:spacing w:after="0" w:line="240" w:lineRule="auto"/>
        <w:ind w:left="709" w:right="709"/>
        <w:jc w:val="both"/>
        <w:rPr>
          <w:rFonts w:ascii="Verdana" w:eastAsia="Century Gothic" w:hAnsi="Verdana" w:cs="Century Gothic"/>
          <w:sz w:val="21"/>
          <w:szCs w:val="21"/>
        </w:rPr>
      </w:pPr>
    </w:p>
    <w:p w14:paraId="0DABDAD1" w14:textId="77777777" w:rsidR="00616202" w:rsidRPr="00725A15" w:rsidRDefault="00616202" w:rsidP="00616202">
      <w:pPr>
        <w:spacing w:after="0" w:line="240" w:lineRule="auto"/>
        <w:ind w:left="709" w:right="709"/>
        <w:jc w:val="both"/>
        <w:rPr>
          <w:rFonts w:ascii="Verdana" w:eastAsia="Century Gothic" w:hAnsi="Verdana" w:cs="Century Gothic"/>
          <w:sz w:val="21"/>
          <w:szCs w:val="21"/>
          <w:lang w:val="es-ES"/>
        </w:rPr>
      </w:pPr>
      <w:r w:rsidRPr="00725A15">
        <w:rPr>
          <w:rFonts w:ascii="Verdana" w:eastAsia="Century Gothic" w:hAnsi="Verdana" w:cs="Century Gothic"/>
          <w:sz w:val="21"/>
          <w:szCs w:val="21"/>
        </w:rPr>
        <w:t>3. De esta manera, y en concordancia con las normas citadas en los puntos anteriores, solicitamos se dé respuesta a los interrogantes expuestos en cada uno de ellos. Así mismo, solicitamos se nos brinde claridad normativa respecto de la obligación de publicidad en la plataforma SECOP II para las entidades o empresas que cuenten con un régimen contractual exceptuado</w:t>
      </w:r>
      <w:r w:rsidRPr="00725A15">
        <w:rPr>
          <w:rFonts w:ascii="Verdana" w:eastAsia="Century Gothic" w:hAnsi="Verdana" w:cs="Century Gothic"/>
          <w:sz w:val="21"/>
          <w:szCs w:val="21"/>
          <w:lang w:val="es-ES"/>
        </w:rPr>
        <w:t xml:space="preserve">”. </w:t>
      </w:r>
    </w:p>
    <w:p w14:paraId="14F63F59" w14:textId="77777777" w:rsidR="00616202" w:rsidRPr="00725A15" w:rsidRDefault="00616202" w:rsidP="00616202">
      <w:pPr>
        <w:pStyle w:val="Prrafodelista"/>
        <w:tabs>
          <w:tab w:val="left" w:pos="142"/>
          <w:tab w:val="left" w:pos="284"/>
        </w:tabs>
        <w:spacing w:after="0" w:line="276" w:lineRule="auto"/>
        <w:ind w:left="0"/>
        <w:jc w:val="both"/>
        <w:rPr>
          <w:rFonts w:ascii="Verdana" w:eastAsia="Century Gothic" w:hAnsi="Verdana" w:cs="Century Gothic"/>
          <w:b/>
          <w:bCs/>
        </w:rPr>
      </w:pPr>
    </w:p>
    <w:p w14:paraId="45E8EE62" w14:textId="77777777" w:rsidR="00616202" w:rsidRPr="00725A15" w:rsidRDefault="00616202" w:rsidP="00616202">
      <w:pPr>
        <w:spacing w:after="120" w:line="276" w:lineRule="auto"/>
        <w:ind w:firstLine="709"/>
        <w:jc w:val="both"/>
        <w:rPr>
          <w:rFonts w:ascii="Verdana" w:eastAsia="Calibri" w:hAnsi="Verdana" w:cs="Arial"/>
          <w:color w:val="000000"/>
          <w:lang w:val="es-ES" w:eastAsia="es-ES"/>
        </w:rPr>
      </w:pPr>
      <w:r w:rsidRPr="00725A15">
        <w:rPr>
          <w:rFonts w:ascii="Verdana" w:eastAsia="Calibri" w:hAnsi="Verdana" w:cs="Arial"/>
          <w:color w:val="000000"/>
          <w:lang w:val="es-ES" w:eastAsia="es-ES"/>
        </w:rPr>
        <w:t xml:space="preserve">De manera preliminar, resulta necesario acotar que esta entidad sólo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concretos de todos los partícipes del sistema de compra pública. La competencia de esta entidad se fija con límites claros, con el objeto de evitar que la Agencia actúe como una instancia de validación de las actuaciones de las entidades sujetas a la Ley 80 de 1993 o de los demás </w:t>
      </w:r>
      <w:r w:rsidRPr="00725A15">
        <w:rPr>
          <w:rFonts w:ascii="Verdana" w:eastAsia="Calibri" w:hAnsi="Verdana" w:cs="Arial"/>
          <w:color w:val="000000"/>
          <w:lang w:val="es-ES" w:eastAsia="es-ES"/>
        </w:rPr>
        <w:lastRenderedPageBreak/>
        <w:t xml:space="preserve">participantes de la contratación pública. Esta competencia de interpretación de normas generales, por definición, no puede extenderse a la resolución de controversias ni a brindar asesorías sobre casos puntuales. </w:t>
      </w:r>
      <w:r w:rsidRPr="00725A15">
        <w:rPr>
          <w:rFonts w:ascii="Verdana" w:eastAsia="Calibri" w:hAnsi="Verdana" w:cs="Arial"/>
          <w:color w:val="000000"/>
          <w:lang w:val="es-ES_tradnl" w:eastAsia="es-ES_tradnl"/>
        </w:rPr>
        <w:tab/>
      </w:r>
    </w:p>
    <w:p w14:paraId="140DF029" w14:textId="77777777" w:rsidR="00616202" w:rsidRPr="00725A15" w:rsidRDefault="00616202" w:rsidP="00616202">
      <w:pPr>
        <w:spacing w:after="0" w:line="276" w:lineRule="auto"/>
        <w:ind w:firstLine="709"/>
        <w:jc w:val="both"/>
        <w:rPr>
          <w:rFonts w:ascii="Verdana" w:eastAsia="Calibri" w:hAnsi="Verdana" w:cs="Arial"/>
          <w:color w:val="000000"/>
          <w:lang w:val="es-ES" w:eastAsia="es-ES"/>
        </w:rPr>
      </w:pPr>
      <w:r w:rsidRPr="00725A15">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las circunstancias específicas que la hayan motivado, pero haciendo unas consideraciones sobre las normas generales relacionadas con el</w:t>
      </w:r>
      <w:r w:rsidRPr="00725A15">
        <w:rPr>
          <w:rFonts w:ascii="Verdana" w:eastAsia="Calibri" w:hAnsi="Verdana" w:cs="Arial"/>
          <w:color w:val="7030A0"/>
          <w:lang w:val="es-ES" w:eastAsia="es-ES"/>
        </w:rPr>
        <w:t xml:space="preserve"> </w:t>
      </w:r>
      <w:r w:rsidRPr="00725A15">
        <w:rPr>
          <w:rFonts w:ascii="Verdana" w:eastAsia="Calibri" w:hAnsi="Verdana" w:cs="Arial"/>
          <w:color w:val="000000"/>
          <w:lang w:val="es-ES" w:eastAsia="es-ES"/>
        </w:rPr>
        <w:t>problema</w:t>
      </w:r>
      <w:r w:rsidRPr="00725A15">
        <w:rPr>
          <w:rFonts w:ascii="Verdana" w:eastAsia="Calibri" w:hAnsi="Verdana" w:cs="Arial"/>
          <w:color w:val="7030A0"/>
          <w:lang w:val="es-ES" w:eastAsia="es-ES"/>
        </w:rPr>
        <w:t xml:space="preserve"> </w:t>
      </w:r>
      <w:r w:rsidRPr="00725A15">
        <w:rPr>
          <w:rFonts w:ascii="Verdana" w:eastAsia="Calibri" w:hAnsi="Verdana" w:cs="Arial"/>
          <w:color w:val="000000"/>
          <w:lang w:val="es-ES" w:eastAsia="es-ES"/>
        </w:rPr>
        <w:t>jurídico</w:t>
      </w:r>
      <w:r w:rsidRPr="00725A15">
        <w:rPr>
          <w:rFonts w:ascii="Verdana" w:eastAsia="Calibri" w:hAnsi="Verdana" w:cs="Arial"/>
          <w:color w:val="7030A0"/>
          <w:lang w:val="es-ES" w:eastAsia="es-ES"/>
        </w:rPr>
        <w:t xml:space="preserve"> </w:t>
      </w:r>
      <w:r w:rsidRPr="00725A15">
        <w:rPr>
          <w:rFonts w:ascii="Verdana" w:eastAsia="Calibri" w:hAnsi="Verdana" w:cs="Arial"/>
          <w:color w:val="000000"/>
          <w:lang w:val="es-ES" w:eastAsia="es-ES"/>
        </w:rPr>
        <w:t xml:space="preserve">de su consulta.  </w:t>
      </w:r>
    </w:p>
    <w:p w14:paraId="75C2FE1A" w14:textId="77777777" w:rsidR="00616202" w:rsidRPr="00725A15" w:rsidRDefault="00616202" w:rsidP="00616202">
      <w:pPr>
        <w:spacing w:after="0" w:line="276" w:lineRule="auto"/>
        <w:ind w:firstLine="709"/>
        <w:jc w:val="both"/>
        <w:rPr>
          <w:rFonts w:ascii="Verdana" w:eastAsia="Calibri" w:hAnsi="Verdana" w:cs="Arial"/>
          <w:color w:val="000000"/>
          <w:lang w:val="es-ES" w:eastAsia="es-ES"/>
        </w:rPr>
      </w:pPr>
    </w:p>
    <w:p w14:paraId="549B27E6" w14:textId="77777777" w:rsidR="00616202" w:rsidRPr="00725A15" w:rsidRDefault="00616202" w:rsidP="00616202">
      <w:pPr>
        <w:spacing w:after="0" w:line="276" w:lineRule="auto"/>
        <w:ind w:firstLine="709"/>
        <w:jc w:val="both"/>
        <w:rPr>
          <w:rFonts w:ascii="Verdana" w:eastAsia="Calibri" w:hAnsi="Verdana" w:cs="Arial"/>
          <w:color w:val="000000"/>
          <w:lang w:val="es-ES" w:eastAsia="es-ES"/>
        </w:rPr>
      </w:pPr>
    </w:p>
    <w:p w14:paraId="5F569784" w14:textId="77777777" w:rsidR="00616202" w:rsidRPr="00725A15" w:rsidRDefault="00616202" w:rsidP="00616202">
      <w:pPr>
        <w:pStyle w:val="Prrafodelista"/>
        <w:numPr>
          <w:ilvl w:val="0"/>
          <w:numId w:val="17"/>
        </w:numPr>
        <w:tabs>
          <w:tab w:val="left" w:pos="142"/>
          <w:tab w:val="left" w:pos="284"/>
        </w:tabs>
        <w:spacing w:after="0" w:line="276" w:lineRule="auto"/>
        <w:jc w:val="both"/>
        <w:rPr>
          <w:rFonts w:ascii="Verdana" w:eastAsia="Century Gothic" w:hAnsi="Verdana" w:cs="Century Gothic"/>
          <w:b/>
          <w:bCs/>
        </w:rPr>
      </w:pPr>
      <w:r w:rsidRPr="00725A15">
        <w:rPr>
          <w:rFonts w:ascii="Verdana" w:eastAsia="Century Gothic" w:hAnsi="Verdana" w:cs="Century Gothic"/>
          <w:b/>
          <w:bCs/>
        </w:rPr>
        <w:t>Problema planteado:</w:t>
      </w:r>
    </w:p>
    <w:p w14:paraId="17FF918D" w14:textId="77777777" w:rsidR="00616202" w:rsidRPr="00725A15" w:rsidRDefault="00616202" w:rsidP="00616202">
      <w:pPr>
        <w:tabs>
          <w:tab w:val="left" w:pos="426"/>
        </w:tabs>
        <w:spacing w:after="0" w:line="276" w:lineRule="auto"/>
        <w:jc w:val="both"/>
        <w:rPr>
          <w:rFonts w:ascii="Verdana" w:eastAsia="Century Gothic" w:hAnsi="Verdana" w:cs="Century Gothic"/>
          <w:lang w:val="es-ES"/>
        </w:rPr>
      </w:pPr>
    </w:p>
    <w:p w14:paraId="427F8598" w14:textId="1B4BFEB9" w:rsidR="00616202" w:rsidRPr="00725A15" w:rsidRDefault="00616202" w:rsidP="00616202">
      <w:pPr>
        <w:spacing w:after="0" w:line="276" w:lineRule="auto"/>
        <w:jc w:val="both"/>
        <w:rPr>
          <w:rFonts w:ascii="Verdana" w:eastAsia="Century Gothic" w:hAnsi="Verdana" w:cs="Century Gothic"/>
        </w:rPr>
      </w:pPr>
      <w:r w:rsidRPr="00725A15">
        <w:rPr>
          <w:rFonts w:ascii="Verdana" w:eastAsia="Century Gothic" w:hAnsi="Verdana" w:cs="Century Gothic"/>
        </w:rPr>
        <w:t xml:space="preserve">De acuerdo con el contenido de su solicitud, esta Agencia resolverá el siguiente problema jurídico: </w:t>
      </w:r>
      <w:r w:rsidR="00360C4F" w:rsidRPr="00725A15">
        <w:rPr>
          <w:rFonts w:ascii="Verdana" w:eastAsia="Century Gothic" w:hAnsi="Verdana" w:cs="Century Gothic"/>
        </w:rPr>
        <w:t>¿Cuál es el alcance de la obligación de publicar la actividad contractual en la plataforma transaccional del SECOP para las entidades exceptuadas?</w:t>
      </w:r>
    </w:p>
    <w:p w14:paraId="3134FAFA" w14:textId="77777777" w:rsidR="00616202" w:rsidRPr="00725A15" w:rsidRDefault="00616202" w:rsidP="00616202">
      <w:pPr>
        <w:spacing w:after="0" w:line="276" w:lineRule="auto"/>
        <w:jc w:val="both"/>
        <w:rPr>
          <w:rFonts w:ascii="Verdana" w:eastAsia="Calibri" w:hAnsi="Verdana" w:cs="Arial"/>
          <w:color w:val="7030A0"/>
        </w:rPr>
      </w:pPr>
    </w:p>
    <w:p w14:paraId="588D0BBB" w14:textId="77777777" w:rsidR="00616202" w:rsidRPr="00725A15" w:rsidRDefault="00616202" w:rsidP="00616202">
      <w:pPr>
        <w:pStyle w:val="Prrafodelista"/>
        <w:numPr>
          <w:ilvl w:val="0"/>
          <w:numId w:val="17"/>
        </w:numPr>
        <w:tabs>
          <w:tab w:val="left" w:pos="142"/>
          <w:tab w:val="left" w:pos="284"/>
        </w:tabs>
        <w:spacing w:after="0" w:line="276" w:lineRule="auto"/>
        <w:jc w:val="both"/>
        <w:rPr>
          <w:rFonts w:ascii="Verdana" w:eastAsia="Century Gothic" w:hAnsi="Verdana" w:cs="Century Gothic"/>
          <w:b/>
          <w:bCs/>
        </w:rPr>
      </w:pPr>
      <w:r w:rsidRPr="00725A15">
        <w:rPr>
          <w:rFonts w:ascii="Verdana" w:eastAsia="Century Gothic" w:hAnsi="Verdana" w:cs="Century Gothic"/>
          <w:b/>
          <w:bCs/>
        </w:rPr>
        <w:t>Respuesta:</w:t>
      </w:r>
    </w:p>
    <w:p w14:paraId="3607E6A4" w14:textId="77777777" w:rsidR="00616202" w:rsidRPr="00725A15" w:rsidRDefault="00616202" w:rsidP="00616202">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616202" w:rsidRPr="00725A15" w14:paraId="31B0D97A" w14:textId="77777777" w:rsidTr="001724C6">
        <w:trPr>
          <w:jc w:val="center"/>
        </w:trPr>
        <w:tc>
          <w:tcPr>
            <w:tcW w:w="8828" w:type="dxa"/>
          </w:tcPr>
          <w:p w14:paraId="7E020159" w14:textId="2A2AB7B3" w:rsidR="00360C4F" w:rsidRPr="00725A15" w:rsidRDefault="00360C4F" w:rsidP="00360C4F">
            <w:pPr>
              <w:spacing w:after="120" w:line="276" w:lineRule="auto"/>
              <w:jc w:val="both"/>
              <w:rPr>
                <w:rFonts w:ascii="Verdana" w:eastAsia="Calibri" w:hAnsi="Verdana" w:cs="Arial"/>
                <w:color w:val="000000" w:themeColor="text1"/>
              </w:rPr>
            </w:pPr>
            <w:bookmarkStart w:id="2" w:name="_Hlk171694685"/>
            <w:r w:rsidRPr="00725A15">
              <w:rPr>
                <w:rFonts w:ascii="Verdana" w:eastAsia="Calibri" w:hAnsi="Verdana" w:cs="Arial"/>
                <w:shd w:val="clear" w:color="auto" w:fill="FFFFFF"/>
                <w:lang w:val="es-ES"/>
              </w:rPr>
              <w:t>En relación con el problema jurídico</w:t>
            </w:r>
            <w:r w:rsidRPr="00725A15">
              <w:rPr>
                <w:rFonts w:ascii="Verdana" w:eastAsia="Calibri" w:hAnsi="Verdana" w:cs="Arial"/>
                <w:lang w:val="es-ES" w:eastAsia="es-ES"/>
              </w:rPr>
              <w:t xml:space="preserve">, debe señalarse que, tratándose del deber de publicación de las entidades exceptuadas del Estatuto General de Contratación de la Administración Pública resulta particularmente relevante lo dispuesto en el artículo 53 de la Ley 2195 de 2022, </w:t>
            </w:r>
            <w:r w:rsidRPr="00725A15">
              <w:rPr>
                <w:rFonts w:ascii="Verdana" w:hAnsi="Verdana" w:cs="Arial"/>
                <w:bCs/>
              </w:rPr>
              <w:t>mediante el cual se adiciona el artículo 13 de la Ley 1150 de 2007. La referida disposición les asigna la obligación a las entidades que por disposición legal cuenten con un régimen contractual excepcional al del Estatuto General de Contratación de la Administración Pública de publicar los documentos relacionados con su actividad contractual en el Sistema Electrónico para la Contratación Pública –SECOP II- o la plataforma transaccional que haga sus veces</w:t>
            </w:r>
            <w:r w:rsidRPr="00725A15">
              <w:rPr>
                <w:rFonts w:ascii="Verdana" w:eastAsia="Calibri" w:hAnsi="Verdana" w:cs="Arial"/>
                <w:color w:val="000000" w:themeColor="text1"/>
              </w:rPr>
              <w:t xml:space="preserve">, sin incluir ninguna excepción relacionada con la naturaleza u objeto contractual. </w:t>
            </w:r>
          </w:p>
          <w:p w14:paraId="0E65A110" w14:textId="0FF700C0" w:rsidR="00221F6C" w:rsidRPr="00725A15" w:rsidRDefault="00221F6C" w:rsidP="00221F6C">
            <w:pPr>
              <w:spacing w:after="120" w:line="276" w:lineRule="auto"/>
              <w:jc w:val="both"/>
              <w:rPr>
                <w:rFonts w:ascii="Verdana" w:hAnsi="Verdana" w:cs="Arial"/>
                <w:bCs/>
              </w:rPr>
            </w:pPr>
            <w:r w:rsidRPr="00725A15">
              <w:rPr>
                <w:rFonts w:ascii="Verdana" w:eastAsia="Calibri" w:hAnsi="Verdana" w:cs="Arial"/>
                <w:lang w:val="es-ES" w:eastAsia="es-ES"/>
              </w:rPr>
              <w:t xml:space="preserve">          </w:t>
            </w:r>
            <w:r w:rsidR="00311CE4" w:rsidRPr="00311CE4">
              <w:rPr>
                <w:rFonts w:ascii="Verdana" w:eastAsia="Calibri" w:hAnsi="Verdana" w:cs="Arial"/>
                <w:lang w:eastAsia="es-ES"/>
              </w:rPr>
              <w:t xml:space="preserve">No obstante, es necesario precisar que la publicación en el SECOP de los documentos relacionados con la actividad contractual ya era obligatoria para las entidades que cuentan con un régimen especial. El artículo 53 de la Ley 2195 de 2022 —que modifica el artículo 13 de la Ley 1150 de 2007— complementa dicho deber al exigir que esta actividad se tramite a través del </w:t>
            </w:r>
            <w:r w:rsidR="00311CE4" w:rsidRPr="00311CE4">
              <w:rPr>
                <w:rFonts w:ascii="Verdana" w:eastAsia="Calibri" w:hAnsi="Verdana" w:cs="Arial"/>
                <w:lang w:eastAsia="es-ES"/>
              </w:rPr>
              <w:lastRenderedPageBreak/>
              <w:t>SECOP II. En otras palabras, mediante el artículo 53 de la Ley 2195 de 2022, el Congreso de la República dispuso que las entidades estatales exceptuadas del Estatuto General de Contratación de la Administración Pública deben adelantar su actividad contractual en el SECOP II, esto es, en la plataforma transaccional vigente.</w:t>
            </w:r>
            <w:r w:rsidRPr="00725A15">
              <w:rPr>
                <w:rFonts w:ascii="Verdana" w:hAnsi="Verdana" w:cs="Arial"/>
                <w:bCs/>
              </w:rPr>
              <w:t xml:space="preserve"> </w:t>
            </w:r>
          </w:p>
          <w:p w14:paraId="6BE09CE1" w14:textId="61EB65CC" w:rsidR="00221F6C" w:rsidRPr="00725A15" w:rsidRDefault="00221F6C" w:rsidP="00221F6C">
            <w:pPr>
              <w:spacing w:after="120" w:line="276" w:lineRule="auto"/>
              <w:ind w:firstLine="708"/>
              <w:jc w:val="both"/>
              <w:rPr>
                <w:rFonts w:ascii="Verdana" w:hAnsi="Verdana" w:cs="Arial"/>
                <w:bCs/>
              </w:rPr>
            </w:pPr>
            <w:r w:rsidRPr="00725A15">
              <w:rPr>
                <w:rFonts w:ascii="Verdana" w:hAnsi="Verdana" w:cs="Arial"/>
                <w:bCs/>
              </w:rPr>
              <w:t>Respecto al término para publicar los documentos en el SECOP II, sin perjuicio del uso eminentemente transaccional de la plataforma, debe señalarse que la Ley 1712 de 2014, fue reglamentada por el Decreto 103 de 2015, hoy compilado en el Decreto 1081 de 2015. Este último señala, en el artículo 2.1.1.2.1.7, que las entidades deberán publicar en el SECOP la información de su gestión contractual</w:t>
            </w:r>
            <w:r w:rsidRPr="00725A15">
              <w:rPr>
                <w:rFonts w:ascii="Verdana" w:hAnsi="Verdana"/>
                <w:bCs/>
              </w:rPr>
              <w:footnoteReference w:id="1"/>
            </w:r>
            <w:r w:rsidRPr="00725A15">
              <w:rPr>
                <w:rFonts w:ascii="Verdana" w:hAnsi="Verdana" w:cs="Arial"/>
                <w:bCs/>
              </w:rPr>
              <w:t>. El inciso segundo de dicho artículo precisa el momento para realizar la publicación, remitiendo al mismo plazo establecido en el artículo 2.2.1.1.1.7.1 del Decreto 1082 de 2015, esto es, dentro de los tres (3) días siguientes a la expedición del documento. En efecto, el inciso indicado establece: “Los sujetos obligados que contratan con cargo a recursos públicos deben publicar la información de su gestión contractual en el plazo previsto en el artículo 19 del Decreto 1510 de 2013, o el que lo modifique, sustituya o adicione”. Cabe aclarar que el artículo 19 indicado fue compilado en el artículo 2.2.1.1.1.7.1 del Decreto 1082 de 2015. En este sentido, se colige que el artículo 2.1.1.2.1.7 del Decreto 1081 de 2015 estableció el mismo término de publicidad de los sujetos que contraten con cargo a recursos públicos, al establecido para las entidades sometidas al EGCAP, esto es, los tres (3) días siguientes a la expedición del documento.</w:t>
            </w:r>
          </w:p>
          <w:p w14:paraId="53899581" w14:textId="77777777" w:rsidR="00221F6C" w:rsidRPr="00725A15" w:rsidRDefault="00221F6C" w:rsidP="00221F6C">
            <w:pPr>
              <w:spacing w:line="276" w:lineRule="auto"/>
              <w:ind w:firstLine="709"/>
              <w:contextualSpacing/>
              <w:jc w:val="both"/>
              <w:rPr>
                <w:rFonts w:ascii="Verdana" w:hAnsi="Verdana" w:cs="Arial"/>
                <w:bCs/>
              </w:rPr>
            </w:pPr>
            <w:r w:rsidRPr="00725A15">
              <w:rPr>
                <w:rFonts w:ascii="Verdana" w:hAnsi="Verdana" w:cs="Arial"/>
                <w:bCs/>
              </w:rPr>
              <w:t xml:space="preserve">Así las cosas, se concluye que el plazo dado a las entidades para cumplir con la obligación de publicar los documentos relacionados con su actividad contractual en el SECOP proviene de un mandato legal y reglamentario, por lo </w:t>
            </w:r>
            <w:r w:rsidRPr="00725A15">
              <w:rPr>
                <w:rFonts w:ascii="Verdana" w:hAnsi="Verdana" w:cs="Arial"/>
                <w:bCs/>
              </w:rPr>
              <w:lastRenderedPageBreak/>
              <w:t xml:space="preserve">que esta Agencia no puede contradecir las normas que regulan la materia y fijar un plazo diferente al señalado. </w:t>
            </w:r>
          </w:p>
          <w:p w14:paraId="3AF56013" w14:textId="1BE51A54" w:rsidR="00221F6C" w:rsidRPr="00725A15" w:rsidRDefault="00221F6C" w:rsidP="00221F6C">
            <w:pPr>
              <w:spacing w:before="120" w:after="120" w:line="276" w:lineRule="auto"/>
              <w:jc w:val="both"/>
              <w:rPr>
                <w:rFonts w:ascii="Verdana" w:hAnsi="Verdana" w:cs="Arial"/>
                <w:bCs/>
              </w:rPr>
            </w:pPr>
            <w:r w:rsidRPr="00725A15">
              <w:rPr>
                <w:rFonts w:ascii="Verdana" w:hAnsi="Verdana" w:cs="Arial"/>
                <w:bCs/>
              </w:rPr>
              <w:t xml:space="preserve">          Tal y como se señaló en las consideraciones del presente concepto, es preciso advertir que el artículo 53 de la Ley 2195 de 2022 hace referencia a la obligación de las entidades exceptuadas de publicar los documentos relacionados con su actividad contractual, la cual define como “[…] los documentos, contratos, actos e información generada por oferentes, contratista, contratante, supervisor o interventor, tanto en la etapa precontractual, como en la contractual y la </w:t>
            </w:r>
            <w:proofErr w:type="spellStart"/>
            <w:r w:rsidRPr="00725A15">
              <w:rPr>
                <w:rFonts w:ascii="Verdana" w:hAnsi="Verdana" w:cs="Arial"/>
                <w:bCs/>
              </w:rPr>
              <w:t>postcontractual</w:t>
            </w:r>
            <w:proofErr w:type="spellEnd"/>
            <w:r w:rsidRPr="00725A15">
              <w:rPr>
                <w:rFonts w:ascii="Verdana" w:hAnsi="Verdana" w:cs="Arial"/>
                <w:bCs/>
              </w:rPr>
              <w:t>”. En ese sentido, la citada disposición establece el deber de publicar toda aquella información relacionada con el respectivo contrato, sin incluir ninguna excepción relacionada con la naturaleza u objeto contractual. Por lo tanto, para que las entidades exceptuadas cumplan con el deber de publicidad consagrado en el artículo 53 de la Ley 2195 de 2022, se requiere que publiquen en el SECOP II todo documento expedido durante las diferentes etapas del proceso contractual, abarcando desde la fase previa a su celebración, pasando por la ejecución y hasta la fase posterior a su ejecución.</w:t>
            </w:r>
          </w:p>
          <w:p w14:paraId="644FC642" w14:textId="25D9E704" w:rsidR="00221F6C" w:rsidRPr="00725A15" w:rsidRDefault="00221F6C" w:rsidP="00221F6C">
            <w:pPr>
              <w:spacing w:after="120" w:line="276" w:lineRule="auto"/>
              <w:ind w:firstLine="709"/>
              <w:jc w:val="both"/>
              <w:rPr>
                <w:rFonts w:ascii="Verdana" w:eastAsia="Calibri" w:hAnsi="Verdana" w:cs="Arial"/>
                <w:shd w:val="clear" w:color="auto" w:fill="FFFFFF"/>
                <w:lang w:val="es-ES"/>
              </w:rPr>
            </w:pPr>
            <w:r w:rsidRPr="00725A15">
              <w:rPr>
                <w:rFonts w:ascii="Verdana" w:eastAsia="Calibri" w:hAnsi="Verdana" w:cs="Arial"/>
                <w:shd w:val="clear" w:color="auto" w:fill="FFFFFF"/>
                <w:lang w:val="es-ES"/>
              </w:rPr>
              <w:t xml:space="preserve">En ese mismo sentido, la </w:t>
            </w:r>
            <w:r w:rsidRPr="00725A15">
              <w:rPr>
                <w:rFonts w:ascii="Verdana" w:eastAsia="Calibri" w:hAnsi="Verdana" w:cs="Arial"/>
                <w:lang w:val="es-ES"/>
              </w:rPr>
              <w:t xml:space="preserve">Circular 002 del 23 de agosto de 2024, expedida por la Agencia Nacional de Contratación Pública – Colombia Compra Eficiente, a través de la cual se dictan lineamientos para la aplicación del artículo 53 de la Ley 2195 de 2022, en el literal d) –denominado “Procedencia de los recursos como punto de partida para la publicación en el SECOP II”–, señala: </w:t>
            </w:r>
            <w:r w:rsidRPr="00725A15">
              <w:rPr>
                <w:rFonts w:ascii="Verdana" w:eastAsia="Calibri" w:hAnsi="Verdana" w:cs="Arial"/>
                <w:color w:val="000000"/>
              </w:rPr>
              <w:t>“La obligación de publicar la actividad contractual siempre ha estado encaminada a que se publique aquella información relacionada con la ejecución de dineros públicos. Por tal razón, puede concluirse, a la luz de las disposiciones que regulan la materia, que el artículo 53 –al ampliar la obligación de las entidades con regímenes especiales de publicar su actividad contractual en el SECOP II– se refiere a aquella actividad contractual cuya fuente de financiación provenga de recursos públicos.”</w:t>
            </w:r>
          </w:p>
          <w:p w14:paraId="662B999C" w14:textId="24563C17" w:rsidR="00616202" w:rsidRPr="00725A15" w:rsidRDefault="00445BBA" w:rsidP="00725A15">
            <w:pPr>
              <w:spacing w:line="276" w:lineRule="auto"/>
              <w:jc w:val="both"/>
              <w:rPr>
                <w:rFonts w:ascii="Verdana" w:hAnsi="Verdana"/>
                <w:color w:val="000000"/>
              </w:rPr>
            </w:pPr>
            <w:r w:rsidRPr="00725A15">
              <w:rPr>
                <w:rFonts w:ascii="Verdana" w:eastAsia="Calibri" w:hAnsi="Verdana" w:cs="Arial"/>
              </w:rPr>
              <w:t xml:space="preserve">        </w:t>
            </w:r>
            <w:r w:rsidR="00221F6C" w:rsidRPr="00725A15">
              <w:rPr>
                <w:rFonts w:ascii="Verdana" w:hAnsi="Verdana" w:cs="Arial"/>
                <w:bCs/>
              </w:rPr>
              <w:t xml:space="preserve">Ahora bien, le corresponderá a cada entidad definir cuáles de las actividades que desarrolla se encuentran cobijadas por el deber de publicidad explicado en las consideraciones anteriores, con el fin de determinar si son objeto de la obligación consagrada en el artículo objeto de estudio. Para el caso de la vinculación de profesionales médicos esta Agencia debe señalar que no es posible pronunciarse sobre estos casos particulares, debido al ámbito de </w:t>
            </w:r>
            <w:r w:rsidR="00221F6C" w:rsidRPr="00725A15">
              <w:rPr>
                <w:rFonts w:ascii="Verdana" w:hAnsi="Verdana" w:cs="Arial"/>
                <w:bCs/>
              </w:rPr>
              <w:lastRenderedPageBreak/>
              <w:t xml:space="preserve">competencias señalado en las consideraciones y, adicionalmente, dado que no se conoce la naturaleza de la vinculación de estos profesionales, de lo cual dependerá si rige o no la obligación de publicar los documentos relacionados con la actividad contractual. </w:t>
            </w:r>
            <w:r w:rsidRPr="00725A15">
              <w:rPr>
                <w:rFonts w:ascii="Verdana" w:eastAsia="Calibri" w:hAnsi="Verdana" w:cs="Arial"/>
                <w:lang w:val="es-ES"/>
              </w:rPr>
              <w:t xml:space="preserve">         </w:t>
            </w:r>
          </w:p>
        </w:tc>
      </w:tr>
      <w:bookmarkEnd w:id="2"/>
    </w:tbl>
    <w:p w14:paraId="6893F50F" w14:textId="77777777" w:rsidR="00616202" w:rsidRPr="00725A15" w:rsidRDefault="00616202" w:rsidP="00616202">
      <w:pPr>
        <w:tabs>
          <w:tab w:val="left" w:pos="142"/>
          <w:tab w:val="left" w:pos="284"/>
        </w:tabs>
        <w:spacing w:after="0" w:line="276" w:lineRule="auto"/>
        <w:jc w:val="both"/>
        <w:rPr>
          <w:rFonts w:ascii="Verdana" w:eastAsia="Century Gothic" w:hAnsi="Verdana" w:cs="Century Gothic"/>
          <w:b/>
          <w:bCs/>
          <w:lang w:val="es-ES"/>
        </w:rPr>
      </w:pPr>
    </w:p>
    <w:p w14:paraId="0F2D3531" w14:textId="77777777" w:rsidR="00616202" w:rsidRPr="00725A15" w:rsidRDefault="00616202" w:rsidP="00616202">
      <w:pPr>
        <w:numPr>
          <w:ilvl w:val="0"/>
          <w:numId w:val="17"/>
        </w:numPr>
        <w:tabs>
          <w:tab w:val="left" w:pos="142"/>
          <w:tab w:val="left" w:pos="284"/>
        </w:tabs>
        <w:spacing w:after="0" w:line="276" w:lineRule="auto"/>
        <w:jc w:val="both"/>
        <w:rPr>
          <w:rFonts w:ascii="Verdana" w:eastAsia="Century Gothic" w:hAnsi="Verdana" w:cs="Century Gothic"/>
          <w:b/>
          <w:bCs/>
          <w:lang w:val="es-ES"/>
        </w:rPr>
      </w:pPr>
      <w:r w:rsidRPr="00725A15">
        <w:rPr>
          <w:rFonts w:ascii="Verdana" w:eastAsia="Century Gothic" w:hAnsi="Verdana" w:cs="Century Gothic"/>
          <w:b/>
          <w:bCs/>
          <w:lang w:val="es-ES"/>
        </w:rPr>
        <w:t>Razones de la respuesta:</w:t>
      </w:r>
    </w:p>
    <w:p w14:paraId="545E4C20" w14:textId="77777777" w:rsidR="00616202" w:rsidRPr="00725A15" w:rsidRDefault="00616202" w:rsidP="00616202">
      <w:pPr>
        <w:spacing w:after="0" w:line="276" w:lineRule="auto"/>
        <w:jc w:val="both"/>
        <w:rPr>
          <w:rFonts w:ascii="Verdana" w:eastAsia="Calibri" w:hAnsi="Verdana" w:cs="Arial"/>
          <w:color w:val="7030A0"/>
          <w:lang w:val="es-ES"/>
        </w:rPr>
      </w:pPr>
    </w:p>
    <w:p w14:paraId="409B51B9" w14:textId="77777777" w:rsidR="00616202" w:rsidRPr="00725A15" w:rsidRDefault="00616202" w:rsidP="00616202">
      <w:pPr>
        <w:spacing w:after="0" w:line="276" w:lineRule="auto"/>
        <w:jc w:val="both"/>
        <w:rPr>
          <w:rFonts w:ascii="Verdana" w:eastAsia="Calibri" w:hAnsi="Verdana" w:cs="Arial"/>
          <w:lang w:val="es-ES"/>
        </w:rPr>
      </w:pPr>
      <w:r w:rsidRPr="00725A15">
        <w:rPr>
          <w:rFonts w:ascii="Verdana" w:eastAsia="Calibri" w:hAnsi="Verdana" w:cs="Arial"/>
          <w:lang w:val="es-ES"/>
        </w:rPr>
        <w:t>Lo anterior se sustenta en las siguientes consideraciones:</w:t>
      </w:r>
    </w:p>
    <w:p w14:paraId="02D54FD0" w14:textId="77777777" w:rsidR="00221F6C" w:rsidRPr="00725A15" w:rsidRDefault="00221F6C" w:rsidP="00616202">
      <w:pPr>
        <w:spacing w:after="0" w:line="276" w:lineRule="auto"/>
        <w:jc w:val="both"/>
        <w:rPr>
          <w:rFonts w:ascii="Verdana" w:eastAsia="Calibri" w:hAnsi="Verdana" w:cs="Arial"/>
          <w:lang w:val="es-ES"/>
        </w:rPr>
      </w:pPr>
    </w:p>
    <w:p w14:paraId="0FF02B13" w14:textId="10709513" w:rsidR="00221F6C" w:rsidRPr="00725A15" w:rsidRDefault="00221F6C" w:rsidP="00221F6C">
      <w:pPr>
        <w:pStyle w:val="Textoindependiente"/>
        <w:spacing w:line="276" w:lineRule="auto"/>
        <w:jc w:val="both"/>
        <w:rPr>
          <w:rFonts w:ascii="Verdana" w:hAnsi="Verdana" w:cs="Arial"/>
          <w:sz w:val="22"/>
          <w:szCs w:val="22"/>
        </w:rPr>
      </w:pPr>
      <w:bookmarkStart w:id="3" w:name="_Hlk109055109"/>
      <w:bookmarkStart w:id="4" w:name="_Hlk109111865"/>
      <w:r w:rsidRPr="00725A15">
        <w:rPr>
          <w:rFonts w:ascii="Verdana" w:hAnsi="Verdana" w:cs="Arial"/>
          <w:sz w:val="22"/>
          <w:szCs w:val="22"/>
        </w:rPr>
        <w:t xml:space="preserve">La Ley 1712 de 2014, por medio de la cual se crea la Ley de Transparencia y del Derecho de Acceso a la Información Pública Nacional y se dictan otras disposiciones, identifica como principios que orientan el derecho de acceso a la información pública, el principio de máxima publicidad, el principio de transparencia en la información y el principio de buena fe. El principio de máxima publicidad establece que </w:t>
      </w:r>
      <w:r w:rsidR="00725A15">
        <w:rPr>
          <w:rFonts w:ascii="Verdana" w:hAnsi="Verdana" w:cs="Arial"/>
          <w:sz w:val="22"/>
          <w:szCs w:val="22"/>
        </w:rPr>
        <w:t>“</w:t>
      </w:r>
      <w:r w:rsidRPr="00725A15">
        <w:rPr>
          <w:rFonts w:ascii="Verdana" w:hAnsi="Verdana" w:cs="Arial"/>
          <w:sz w:val="22"/>
          <w:szCs w:val="22"/>
        </w:rPr>
        <w:t>toda información en posesión, bajo control o custodia de un sujeto obligado es pública y no podrá ser reservada o limitada sino por disposición constitucional o legal</w:t>
      </w:r>
      <w:r w:rsidR="00725A15">
        <w:rPr>
          <w:rFonts w:ascii="Verdana" w:hAnsi="Verdana" w:cs="Arial"/>
          <w:sz w:val="22"/>
          <w:szCs w:val="22"/>
        </w:rPr>
        <w:t>”</w:t>
      </w:r>
      <w:r w:rsidRPr="00725A15">
        <w:rPr>
          <w:rStyle w:val="Refdenotaalpie"/>
          <w:rFonts w:ascii="Verdana" w:hAnsi="Verdana" w:cs="Arial"/>
          <w:sz w:val="22"/>
          <w:szCs w:val="22"/>
        </w:rPr>
        <w:footnoteReference w:id="2"/>
      </w:r>
      <w:r w:rsidRPr="00725A15">
        <w:rPr>
          <w:rFonts w:ascii="Verdana" w:hAnsi="Verdana" w:cs="Arial"/>
          <w:sz w:val="22"/>
          <w:szCs w:val="22"/>
        </w:rPr>
        <w:t>. El principio de transparencia en la información alude al deber de los sujetos de proporcionar y facilitar el acceso a la misma en los términos más amplios posibles, a través de los medios y procedimientos que establezca la</w:t>
      </w:r>
      <w:r w:rsidRPr="00725A15">
        <w:rPr>
          <w:rFonts w:ascii="Verdana" w:hAnsi="Verdana" w:cs="Arial"/>
          <w:spacing w:val="-2"/>
          <w:sz w:val="22"/>
          <w:szCs w:val="22"/>
        </w:rPr>
        <w:t xml:space="preserve"> </w:t>
      </w:r>
      <w:r w:rsidRPr="00725A15">
        <w:rPr>
          <w:rFonts w:ascii="Verdana" w:hAnsi="Verdana" w:cs="Arial"/>
          <w:sz w:val="22"/>
          <w:szCs w:val="22"/>
        </w:rPr>
        <w:t>ley</w:t>
      </w:r>
      <w:r w:rsidRPr="00725A15">
        <w:rPr>
          <w:rStyle w:val="Refdenotaalpie"/>
          <w:rFonts w:ascii="Verdana" w:hAnsi="Verdana" w:cs="Arial"/>
          <w:sz w:val="22"/>
          <w:szCs w:val="22"/>
        </w:rPr>
        <w:footnoteReference w:id="3"/>
      </w:r>
      <w:r w:rsidRPr="00725A15">
        <w:rPr>
          <w:rFonts w:ascii="Verdana" w:hAnsi="Verdana" w:cs="Arial"/>
          <w:sz w:val="22"/>
          <w:szCs w:val="22"/>
        </w:rPr>
        <w:t>. Y el principio de buena fe hace referencia al deber de todo sujeto obligado de cumplir con las obligaciones derivadas del derecho de acceso a la información pública con motivación honesta, leal y desprovista de cualquier intención dolosa o culposa</w:t>
      </w:r>
      <w:bookmarkEnd w:id="3"/>
      <w:r w:rsidRPr="00725A15">
        <w:rPr>
          <w:rStyle w:val="Refdenotaalpie"/>
          <w:rFonts w:ascii="Verdana" w:hAnsi="Verdana" w:cs="Arial"/>
          <w:sz w:val="22"/>
          <w:szCs w:val="22"/>
        </w:rPr>
        <w:footnoteReference w:id="4"/>
      </w:r>
      <w:r w:rsidRPr="00725A15">
        <w:rPr>
          <w:rFonts w:ascii="Verdana" w:hAnsi="Verdana" w:cs="Arial"/>
          <w:sz w:val="22"/>
          <w:szCs w:val="22"/>
        </w:rPr>
        <w:t xml:space="preserve">. </w:t>
      </w:r>
    </w:p>
    <w:p w14:paraId="0BB13F50" w14:textId="77777777" w:rsidR="00221F6C" w:rsidRPr="00725A15" w:rsidRDefault="00221F6C" w:rsidP="00221F6C">
      <w:pPr>
        <w:pStyle w:val="Textoindependiente"/>
        <w:spacing w:line="276" w:lineRule="auto"/>
        <w:ind w:firstLine="708"/>
        <w:jc w:val="both"/>
        <w:rPr>
          <w:rFonts w:ascii="Verdana" w:hAnsi="Verdana" w:cs="Arial"/>
          <w:sz w:val="22"/>
          <w:szCs w:val="22"/>
        </w:rPr>
      </w:pPr>
      <w:r w:rsidRPr="00725A15">
        <w:rPr>
          <w:rFonts w:ascii="Verdana" w:hAnsi="Verdana" w:cs="Arial"/>
          <w:sz w:val="22"/>
          <w:szCs w:val="22"/>
        </w:rPr>
        <w:lastRenderedPageBreak/>
        <w:t xml:space="preserve">La citada Ley establece, en el literal e) del artículo 9, que los </w:t>
      </w:r>
      <w:r w:rsidRPr="00725A15">
        <w:rPr>
          <w:rFonts w:ascii="Verdana" w:hAnsi="Verdana" w:cs="Arial"/>
          <w:i/>
          <w:iCs/>
          <w:sz w:val="22"/>
          <w:szCs w:val="22"/>
        </w:rPr>
        <w:t xml:space="preserve">sujetos obligados </w:t>
      </w:r>
      <w:r w:rsidRPr="00725A15">
        <w:rPr>
          <w:rFonts w:ascii="Verdana" w:hAnsi="Verdana" w:cs="Arial"/>
          <w:sz w:val="22"/>
          <w:szCs w:val="22"/>
        </w:rPr>
        <w:t xml:space="preserve">deben publicar la información relativa a su contratación. </w:t>
      </w:r>
      <w:r w:rsidRPr="00725A15">
        <w:rPr>
          <w:rFonts w:ascii="Verdana" w:eastAsia="Arial MT" w:hAnsi="Verdana" w:cs="Arial"/>
          <w:sz w:val="22"/>
          <w:szCs w:val="22"/>
          <w:lang w:val="es-ES" w:eastAsia="en-US"/>
        </w:rPr>
        <w:t xml:space="preserve">El artículo 5 </w:t>
      </w:r>
      <w:r w:rsidRPr="00725A15">
        <w:rPr>
          <w:rFonts w:ascii="Verdana" w:eastAsia="Arial MT" w:hAnsi="Verdana" w:cs="Arial"/>
          <w:i/>
          <w:iCs/>
          <w:sz w:val="22"/>
          <w:szCs w:val="22"/>
          <w:lang w:val="es-ES" w:eastAsia="en-US"/>
        </w:rPr>
        <w:t>ibidem</w:t>
      </w:r>
      <w:r w:rsidRPr="00725A15">
        <w:rPr>
          <w:rFonts w:ascii="Verdana" w:eastAsia="Arial MT" w:hAnsi="Verdana" w:cs="Arial"/>
          <w:sz w:val="22"/>
          <w:szCs w:val="22"/>
          <w:lang w:val="es-ES" w:eastAsia="en-US"/>
        </w:rPr>
        <w:t>, al describir qué se entiende por sujetos obligados, consagra una lista cuyo propósito es incluir a cualquier entidad, órgano, organismo, o persona natural que desempeñe funciones públicas o administre recursos públicos. También son sujetos obligados las empresas públicas, las empresas del Estado y las sociedades en las que el Estado tenga participación, sin que importe su monto</w:t>
      </w:r>
      <w:bookmarkEnd w:id="4"/>
      <w:r w:rsidRPr="00725A15">
        <w:rPr>
          <w:rStyle w:val="Refdenotaalpie"/>
          <w:rFonts w:ascii="Verdana" w:hAnsi="Verdana" w:cs="Arial"/>
          <w:sz w:val="22"/>
          <w:szCs w:val="22"/>
        </w:rPr>
        <w:footnoteReference w:id="5"/>
      </w:r>
      <w:r w:rsidRPr="00725A15">
        <w:rPr>
          <w:rFonts w:ascii="Verdana" w:eastAsia="Arial MT" w:hAnsi="Verdana" w:cs="Arial"/>
          <w:sz w:val="22"/>
          <w:szCs w:val="22"/>
          <w:lang w:val="es-ES" w:eastAsia="en-US"/>
        </w:rPr>
        <w:t>.</w:t>
      </w:r>
      <w:r w:rsidRPr="00725A15">
        <w:rPr>
          <w:rFonts w:ascii="Verdana" w:hAnsi="Verdana" w:cs="Arial"/>
          <w:sz w:val="22"/>
          <w:szCs w:val="22"/>
        </w:rPr>
        <w:t xml:space="preserve"> </w:t>
      </w:r>
    </w:p>
    <w:p w14:paraId="29D69783" w14:textId="77777777" w:rsidR="00221F6C" w:rsidRPr="00725A15" w:rsidRDefault="00221F6C" w:rsidP="00221F6C">
      <w:pPr>
        <w:pStyle w:val="Textoindependiente"/>
        <w:spacing w:before="2" w:line="276" w:lineRule="auto"/>
        <w:ind w:firstLine="709"/>
        <w:jc w:val="both"/>
        <w:rPr>
          <w:rFonts w:ascii="Verdana" w:hAnsi="Verdana" w:cs="Arial"/>
          <w:sz w:val="22"/>
          <w:szCs w:val="22"/>
        </w:rPr>
      </w:pPr>
      <w:r w:rsidRPr="00725A15">
        <w:rPr>
          <w:rFonts w:ascii="Verdana" w:hAnsi="Verdana" w:cs="Arial"/>
          <w:sz w:val="22"/>
          <w:szCs w:val="22"/>
        </w:rPr>
        <w:t>La anterior obligación fue desarrollada por el artículo 2.1.1.2.1.7. del Decreto Único Reglamentario 1081 de 2015</w:t>
      </w:r>
      <w:r w:rsidRPr="00725A15">
        <w:rPr>
          <w:rStyle w:val="Refdenotaalpie"/>
          <w:rFonts w:ascii="Verdana" w:hAnsi="Verdana" w:cs="Arial"/>
          <w:sz w:val="22"/>
          <w:szCs w:val="22"/>
        </w:rPr>
        <w:footnoteReference w:id="6"/>
      </w:r>
      <w:r w:rsidRPr="00725A15">
        <w:rPr>
          <w:rFonts w:ascii="Verdana" w:hAnsi="Verdana" w:cs="Arial"/>
          <w:sz w:val="22"/>
          <w:szCs w:val="22"/>
        </w:rPr>
        <w:t>, el cual dispone que la publicación de la información contractual de los sujetos obligados,</w:t>
      </w:r>
      <w:r w:rsidRPr="00725A15">
        <w:rPr>
          <w:rFonts w:ascii="Verdana" w:hAnsi="Verdana" w:cs="Arial"/>
          <w:spacing w:val="3"/>
          <w:sz w:val="22"/>
          <w:szCs w:val="22"/>
        </w:rPr>
        <w:t xml:space="preserve"> </w:t>
      </w:r>
      <w:r w:rsidRPr="00725A15">
        <w:rPr>
          <w:rFonts w:ascii="Verdana" w:hAnsi="Verdana" w:cs="Arial"/>
          <w:sz w:val="22"/>
          <w:szCs w:val="22"/>
        </w:rPr>
        <w:t xml:space="preserve">que contratan con cargo a recursos públicos, debe hacerse en el Sistema Electrónico de Contratación Pública ─ SECOP. </w:t>
      </w:r>
    </w:p>
    <w:p w14:paraId="287F3FF4" w14:textId="7723F395" w:rsidR="00221F6C" w:rsidRPr="00725A15" w:rsidRDefault="00221F6C" w:rsidP="00221F6C">
      <w:pPr>
        <w:pStyle w:val="Textoindependiente"/>
        <w:spacing w:line="276" w:lineRule="auto"/>
        <w:ind w:firstLine="709"/>
        <w:jc w:val="both"/>
        <w:rPr>
          <w:rFonts w:ascii="Verdana" w:hAnsi="Verdana" w:cs="Arial"/>
          <w:sz w:val="22"/>
          <w:szCs w:val="22"/>
        </w:rPr>
      </w:pPr>
      <w:r w:rsidRPr="00725A15">
        <w:rPr>
          <w:rFonts w:ascii="Verdana" w:hAnsi="Verdana" w:cs="Arial"/>
          <w:sz w:val="22"/>
          <w:szCs w:val="22"/>
        </w:rPr>
        <w:t xml:space="preserve">Asimismo, de acuerdo con el literal g) del artículo 11 de la misma Ley, todos los destinatarios de la ley de transparencia deben garantizar la publicidad de </w:t>
      </w:r>
      <w:r w:rsidR="00725A15">
        <w:rPr>
          <w:rFonts w:ascii="Verdana" w:hAnsi="Verdana" w:cs="Arial"/>
          <w:sz w:val="22"/>
          <w:szCs w:val="22"/>
        </w:rPr>
        <w:t>“</w:t>
      </w:r>
      <w:r w:rsidRPr="00725A15">
        <w:rPr>
          <w:rFonts w:ascii="Verdana" w:hAnsi="Verdana" w:cs="Arial"/>
          <w:sz w:val="22"/>
          <w:szCs w:val="22"/>
        </w:rPr>
        <w:t>sus procedimientos, lineamientos, políticas en materia de adquisiciones y compras, así como todos los datos de adjudicación y ejecución de contratos, incluidos concursos y licitaciones</w:t>
      </w:r>
      <w:r w:rsidR="00725A15">
        <w:rPr>
          <w:rFonts w:ascii="Verdana" w:hAnsi="Verdana" w:cs="Arial"/>
          <w:sz w:val="22"/>
          <w:szCs w:val="22"/>
        </w:rPr>
        <w:t>”</w:t>
      </w:r>
      <w:r w:rsidRPr="00725A15">
        <w:rPr>
          <w:rFonts w:ascii="Verdana" w:hAnsi="Verdana" w:cs="Arial"/>
          <w:sz w:val="22"/>
          <w:szCs w:val="22"/>
        </w:rPr>
        <w:t xml:space="preserve">, y esta información también debe estar en el SECOP. Además de lo anterior, es de precisar que el artículo 3 de la Ley 1150 de 2007 ya había establecido que el Sistema Electrónico para la Contratación </w:t>
      </w:r>
      <w:r w:rsidRPr="00725A15">
        <w:rPr>
          <w:rFonts w:ascii="Verdana" w:hAnsi="Verdana" w:cs="Arial"/>
          <w:sz w:val="22"/>
          <w:szCs w:val="22"/>
        </w:rPr>
        <w:lastRenderedPageBreak/>
        <w:t xml:space="preserve">Pública – SECOP </w:t>
      </w:r>
      <w:r w:rsidR="00725A15">
        <w:rPr>
          <w:rFonts w:ascii="Verdana" w:hAnsi="Verdana" w:cs="Arial"/>
          <w:sz w:val="22"/>
          <w:szCs w:val="22"/>
        </w:rPr>
        <w:t>“</w:t>
      </w:r>
      <w:r w:rsidRPr="00725A15">
        <w:rPr>
          <w:rFonts w:ascii="Verdana" w:hAnsi="Verdana" w:cs="Arial"/>
          <w:sz w:val="22"/>
          <w:szCs w:val="22"/>
        </w:rPr>
        <w:t>Contará con la información oficial de la contratación realizada con dineros públicos</w:t>
      </w:r>
      <w:r w:rsidR="00725A15">
        <w:rPr>
          <w:rFonts w:ascii="Verdana" w:hAnsi="Verdana" w:cs="Arial"/>
          <w:sz w:val="22"/>
          <w:szCs w:val="22"/>
        </w:rPr>
        <w:t>”</w:t>
      </w:r>
      <w:r w:rsidRPr="00725A15">
        <w:rPr>
          <w:rStyle w:val="Refdenotaalpie"/>
          <w:rFonts w:ascii="Verdana" w:hAnsi="Verdana" w:cs="Arial"/>
          <w:sz w:val="22"/>
          <w:szCs w:val="22"/>
        </w:rPr>
        <w:footnoteReference w:id="7"/>
      </w:r>
      <w:r w:rsidRPr="00725A15">
        <w:rPr>
          <w:rFonts w:ascii="Verdana" w:hAnsi="Verdana" w:cs="Arial"/>
          <w:sz w:val="22"/>
          <w:szCs w:val="22"/>
        </w:rPr>
        <w:t>.</w:t>
      </w:r>
    </w:p>
    <w:p w14:paraId="34C5326E" w14:textId="3453F571" w:rsidR="00221F6C" w:rsidRPr="00725A15" w:rsidRDefault="00221F6C" w:rsidP="00221F6C">
      <w:pPr>
        <w:spacing w:after="0" w:line="276" w:lineRule="auto"/>
        <w:ind w:firstLine="709"/>
        <w:contextualSpacing/>
        <w:jc w:val="both"/>
        <w:rPr>
          <w:rFonts w:ascii="Verdana" w:hAnsi="Verdana" w:cs="Arial"/>
        </w:rPr>
      </w:pPr>
      <w:bookmarkStart w:id="6" w:name="_Hlk109111930"/>
      <w:r w:rsidRPr="00725A15">
        <w:rPr>
          <w:rFonts w:ascii="Verdana" w:hAnsi="Verdana" w:cs="Arial"/>
        </w:rPr>
        <w:t xml:space="preserve">Las anteriores disposiciones normativas fueron complementadas con la expedición de la Ley 2195 de 2022, por medio de la cual se adoptan medidas en materia de transparencia, prevención y lucha contra la corrupción. </w:t>
      </w:r>
      <w:r w:rsidRPr="00725A15">
        <w:rPr>
          <w:rFonts w:ascii="Verdana" w:eastAsia="Calibri" w:hAnsi="Verdana" w:cs="Arial"/>
          <w:lang w:val="es-ES_tradnl" w:eastAsia="es-ES_tradnl"/>
        </w:rPr>
        <w:t xml:space="preserve">Según el artículo 1, esta Ley </w:t>
      </w:r>
      <w:r w:rsidR="00725A15">
        <w:rPr>
          <w:rFonts w:ascii="Verdana" w:eastAsia="Calibri" w:hAnsi="Verdana" w:cs="Arial"/>
          <w:lang w:val="es-ES_tradnl" w:eastAsia="es-ES_tradnl"/>
        </w:rPr>
        <w:t>“</w:t>
      </w:r>
      <w:r w:rsidRPr="00725A15">
        <w:rPr>
          <w:rFonts w:ascii="Verdana" w:eastAsia="Times New Roman" w:hAnsi="Verdana" w:cs="Arial"/>
          <w:lang w:val="es-ES_tradnl" w:eastAsia="es-ES_tradnl"/>
        </w:rPr>
        <w:t xml:space="preserve">[…] </w:t>
      </w:r>
      <w:r w:rsidRPr="00725A15">
        <w:rPr>
          <w:rFonts w:ascii="Verdana" w:eastAsia="Calibri" w:hAnsi="Verdana" w:cs="Arial"/>
          <w:lang w:val="es-ES_tradnl" w:eastAsia="es-ES_tradnl"/>
        </w:rPr>
        <w:t>tiene por objeto adoptar disposiciones tendientes a prevenir los actos de corrupción, a reforzar la articulación y coordinación de las entidades del Estado y a recuperar los daños ocasionados por dichos actos con el fin de asegurar promover la cultura de la legalidad e integridad y recuperar la confianza ciudadana y el respeto por lo público</w:t>
      </w:r>
      <w:r w:rsidR="00725A15">
        <w:rPr>
          <w:rFonts w:ascii="Verdana" w:eastAsia="Calibri" w:hAnsi="Verdana" w:cs="Arial"/>
          <w:lang w:val="es-ES_tradnl" w:eastAsia="es-ES_tradnl"/>
        </w:rPr>
        <w:t>”</w:t>
      </w:r>
      <w:r w:rsidRPr="00725A15">
        <w:rPr>
          <w:rFonts w:ascii="Verdana" w:eastAsia="Calibri" w:hAnsi="Verdana" w:cs="Arial"/>
          <w:lang w:val="es-ES_tradnl" w:eastAsia="es-ES_tradnl"/>
        </w:rPr>
        <w:t xml:space="preserve">. Dentro del capítulo VIII de esta Ley, que lleva por título </w:t>
      </w:r>
      <w:r w:rsidR="00725A15">
        <w:rPr>
          <w:rFonts w:ascii="Verdana" w:eastAsia="Calibri" w:hAnsi="Verdana" w:cs="Arial"/>
          <w:lang w:val="es-ES_tradnl" w:eastAsia="es-ES_tradnl"/>
        </w:rPr>
        <w:t>“</w:t>
      </w:r>
      <w:r w:rsidRPr="00725A15">
        <w:rPr>
          <w:rFonts w:ascii="Verdana" w:eastAsia="Calibri" w:hAnsi="Verdana" w:cs="Arial"/>
          <w:lang w:val="es-ES_tradnl" w:eastAsia="es-ES_tradnl"/>
        </w:rPr>
        <w:t>Disposiciones en materia contractual para la moralización y la transparencia</w:t>
      </w:r>
      <w:r w:rsidR="00725A15">
        <w:rPr>
          <w:rFonts w:ascii="Verdana" w:eastAsia="Calibri" w:hAnsi="Verdana" w:cs="Arial"/>
          <w:lang w:val="es-ES_tradnl" w:eastAsia="es-ES_tradnl"/>
        </w:rPr>
        <w:t>”</w:t>
      </w:r>
      <w:r w:rsidRPr="00725A15">
        <w:rPr>
          <w:rFonts w:ascii="Verdana" w:eastAsia="Calibri" w:hAnsi="Verdana" w:cs="Arial"/>
          <w:lang w:val="es-ES_tradnl" w:eastAsia="es-ES_tradnl"/>
        </w:rPr>
        <w:t xml:space="preserve">, se ubica </w:t>
      </w:r>
      <w:r w:rsidRPr="00725A15">
        <w:rPr>
          <w:rFonts w:ascii="Verdana" w:hAnsi="Verdana" w:cs="Arial"/>
        </w:rPr>
        <w:t xml:space="preserve">el artículo 53, mediante el cual se adiciona el artículo 13 de la Ley 1150 de 2007. La referida disposición les asigna la obligación a las entidades estatales que por disposición legal cuenten con un régimen contractual excepcional al del Estatuto General de Contratación de la Administración Pública de publicar los documentos relacionados con su actividad contractual en el Sistema Electrónico para la Contratación Pública –SECOP II- o la plataforma transaccional que haga sus veces. </w:t>
      </w:r>
      <w:bookmarkEnd w:id="6"/>
      <w:r w:rsidRPr="00725A15">
        <w:rPr>
          <w:rFonts w:ascii="Verdana" w:hAnsi="Verdana" w:cs="Arial"/>
        </w:rPr>
        <w:t>Al respecto, la norma citada de manera expresa señala:</w:t>
      </w:r>
    </w:p>
    <w:p w14:paraId="0C2C880C" w14:textId="77777777" w:rsidR="00221F6C" w:rsidRPr="00725A15" w:rsidRDefault="00221F6C" w:rsidP="00221F6C">
      <w:pPr>
        <w:spacing w:after="0" w:line="240" w:lineRule="auto"/>
        <w:ind w:firstLine="301"/>
        <w:contextualSpacing/>
        <w:rPr>
          <w:rFonts w:ascii="Verdana" w:hAnsi="Verdana"/>
        </w:rPr>
      </w:pPr>
    </w:p>
    <w:p w14:paraId="236BDEEC" w14:textId="77777777" w:rsidR="00221F6C" w:rsidRPr="00725A15" w:rsidRDefault="00221F6C" w:rsidP="00221F6C">
      <w:pPr>
        <w:spacing w:after="0" w:line="240" w:lineRule="auto"/>
        <w:ind w:left="709" w:right="709"/>
        <w:contextualSpacing/>
        <w:jc w:val="both"/>
        <w:rPr>
          <w:rFonts w:ascii="Verdana" w:eastAsia="Calibri" w:hAnsi="Verdana" w:cs="Arial"/>
          <w:sz w:val="21"/>
          <w:szCs w:val="21"/>
        </w:rPr>
      </w:pPr>
      <w:r w:rsidRPr="00725A15">
        <w:rPr>
          <w:rFonts w:ascii="Verdana" w:eastAsia="Calibri" w:hAnsi="Verdana" w:cs="Arial"/>
          <w:sz w:val="21"/>
          <w:szCs w:val="21"/>
        </w:rPr>
        <w:t>Adiciónese los siguientes incisos al artículo 13 de la Ley 1150 de 2007, el cual quedará así:</w:t>
      </w:r>
    </w:p>
    <w:p w14:paraId="7C53BDCD" w14:textId="77777777" w:rsidR="00221F6C" w:rsidRPr="00725A15" w:rsidRDefault="00221F6C" w:rsidP="00221F6C">
      <w:pPr>
        <w:spacing w:after="0" w:line="240" w:lineRule="auto"/>
        <w:ind w:left="709" w:right="709"/>
        <w:contextualSpacing/>
        <w:jc w:val="both"/>
        <w:rPr>
          <w:rFonts w:ascii="Verdana" w:eastAsia="Calibri" w:hAnsi="Verdana" w:cs="Arial"/>
          <w:sz w:val="21"/>
          <w:szCs w:val="21"/>
        </w:rPr>
      </w:pPr>
    </w:p>
    <w:p w14:paraId="33A558E9" w14:textId="77777777" w:rsidR="00221F6C" w:rsidRPr="00725A15" w:rsidRDefault="00221F6C" w:rsidP="00221F6C">
      <w:pPr>
        <w:spacing w:after="0" w:line="240" w:lineRule="auto"/>
        <w:ind w:left="709" w:right="709"/>
        <w:contextualSpacing/>
        <w:jc w:val="both"/>
        <w:rPr>
          <w:rFonts w:ascii="Verdana" w:eastAsia="Calibri" w:hAnsi="Verdana" w:cs="Arial"/>
          <w:sz w:val="21"/>
          <w:szCs w:val="21"/>
        </w:rPr>
      </w:pPr>
      <w:r w:rsidRPr="00725A15">
        <w:rPr>
          <w:rFonts w:ascii="Verdana" w:eastAsia="Calibri" w:hAnsi="Verdana" w:cs="Arial"/>
          <w:sz w:val="21"/>
          <w:szCs w:val="21"/>
        </w:rPr>
        <w:t xml:space="preserve">Artículo 13. PRINCIPIOS GENERALES DE LA ACTIVIDAD CONTRACTUAL PARA ENTIDADES NO SOMETIDAS AL ESTATUTO GENERAL DE CONTRATACIÓN DE LA ADMINISTRACIÓN PÚBLICA. Las entidades estatales que por disposición legal cuenten con un régimen contractual excepcional al del Estatuto General de Contratación de la Administración Pública, aplicarán en desarrollo de su actividad contractual, acorde con su régimen legal especial, los principios de la función administrativa y de la gestión fiscal de que tratan los artículos 209 y 267 de la Constitución Política, respectivamente según sea el </w:t>
      </w:r>
      <w:r w:rsidRPr="00725A15">
        <w:rPr>
          <w:rFonts w:ascii="Verdana" w:eastAsia="Calibri" w:hAnsi="Verdana" w:cs="Arial"/>
          <w:sz w:val="21"/>
          <w:szCs w:val="21"/>
        </w:rPr>
        <w:lastRenderedPageBreak/>
        <w:t>caso y estarán sometidas al régimen de inhabilidades e incompatibilidades previsto legalmente para la contratación estatal.</w:t>
      </w:r>
    </w:p>
    <w:p w14:paraId="6950AACC" w14:textId="77777777" w:rsidR="00221F6C" w:rsidRPr="00725A15" w:rsidRDefault="00221F6C" w:rsidP="00221F6C">
      <w:pPr>
        <w:spacing w:after="0" w:line="240" w:lineRule="auto"/>
        <w:ind w:left="709" w:right="709"/>
        <w:contextualSpacing/>
        <w:jc w:val="both"/>
        <w:rPr>
          <w:rFonts w:ascii="Verdana" w:eastAsia="Calibri" w:hAnsi="Verdana" w:cs="Arial"/>
          <w:sz w:val="21"/>
          <w:szCs w:val="21"/>
        </w:rPr>
      </w:pPr>
    </w:p>
    <w:p w14:paraId="56B5513D" w14:textId="77777777" w:rsidR="00221F6C" w:rsidRPr="00725A15" w:rsidRDefault="00221F6C" w:rsidP="00221F6C">
      <w:pPr>
        <w:spacing w:after="0" w:line="240" w:lineRule="auto"/>
        <w:ind w:left="709" w:right="709"/>
        <w:contextualSpacing/>
        <w:jc w:val="both"/>
        <w:rPr>
          <w:rFonts w:ascii="Verdana" w:eastAsia="Calibri" w:hAnsi="Verdana" w:cs="Arial"/>
          <w:i/>
          <w:iCs/>
          <w:sz w:val="21"/>
          <w:szCs w:val="21"/>
        </w:rPr>
      </w:pPr>
      <w:r w:rsidRPr="00725A15">
        <w:rPr>
          <w:rFonts w:ascii="Verdana" w:eastAsia="Calibri" w:hAnsi="Verdana" w:cs="Arial"/>
          <w:i/>
          <w:iCs/>
          <w:sz w:val="21"/>
          <w:szCs w:val="21"/>
        </w:rPr>
        <w:t xml:space="preserve">En desarrollo de los anteriores principios, deberán publicar los documentos relacionados con su actividad contractual en el Sistema Electrónico para la Contratación Pública –SECOP II– o la plataforma transaccional que haga sus veces. Para los efectos de este artículo, se entiende por actividad contractual los documentos, contratos, actos e información generada por oferentes, contratista, contratante, supervisor o interventor, tanto en la etapa precontractual, como en la contractual y la </w:t>
      </w:r>
      <w:proofErr w:type="spellStart"/>
      <w:r w:rsidRPr="00725A15">
        <w:rPr>
          <w:rFonts w:ascii="Verdana" w:eastAsia="Calibri" w:hAnsi="Verdana" w:cs="Arial"/>
          <w:i/>
          <w:iCs/>
          <w:sz w:val="21"/>
          <w:szCs w:val="21"/>
        </w:rPr>
        <w:t>postcontractual</w:t>
      </w:r>
      <w:proofErr w:type="spellEnd"/>
      <w:r w:rsidRPr="00725A15">
        <w:rPr>
          <w:rFonts w:ascii="Verdana" w:eastAsia="Calibri" w:hAnsi="Verdana" w:cs="Arial"/>
          <w:i/>
          <w:iCs/>
          <w:sz w:val="21"/>
          <w:szCs w:val="21"/>
        </w:rPr>
        <w:t>.</w:t>
      </w:r>
    </w:p>
    <w:p w14:paraId="04FA780A" w14:textId="77777777" w:rsidR="00221F6C" w:rsidRPr="00725A15" w:rsidRDefault="00221F6C" w:rsidP="00221F6C">
      <w:pPr>
        <w:spacing w:after="0" w:line="240" w:lineRule="auto"/>
        <w:ind w:left="709" w:right="709"/>
        <w:contextualSpacing/>
        <w:jc w:val="both"/>
        <w:rPr>
          <w:rFonts w:ascii="Verdana" w:eastAsia="Calibri" w:hAnsi="Verdana" w:cs="Arial"/>
          <w:sz w:val="21"/>
          <w:szCs w:val="21"/>
        </w:rPr>
      </w:pPr>
    </w:p>
    <w:p w14:paraId="17DBDA2C" w14:textId="77777777" w:rsidR="00221F6C" w:rsidRPr="00725A15" w:rsidRDefault="00221F6C" w:rsidP="00221F6C">
      <w:pPr>
        <w:spacing w:after="0" w:line="240" w:lineRule="auto"/>
        <w:ind w:left="709" w:right="709"/>
        <w:contextualSpacing/>
        <w:jc w:val="both"/>
        <w:rPr>
          <w:rFonts w:ascii="Verdana" w:eastAsia="Calibri" w:hAnsi="Verdana" w:cs="Arial"/>
          <w:sz w:val="21"/>
          <w:szCs w:val="21"/>
        </w:rPr>
      </w:pPr>
      <w:r w:rsidRPr="00725A15">
        <w:rPr>
          <w:rFonts w:ascii="Verdana" w:eastAsia="Calibri" w:hAnsi="Verdana" w:cs="Arial"/>
          <w:sz w:val="21"/>
          <w:szCs w:val="21"/>
        </w:rPr>
        <w:t xml:space="preserve">A partir de la </w:t>
      </w:r>
      <w:proofErr w:type="gramStart"/>
      <w:r w:rsidRPr="00725A15">
        <w:rPr>
          <w:rFonts w:ascii="Verdana" w:eastAsia="Calibri" w:hAnsi="Verdana" w:cs="Arial"/>
          <w:sz w:val="21"/>
          <w:szCs w:val="21"/>
        </w:rPr>
        <w:t>entrada en vigencia</w:t>
      </w:r>
      <w:proofErr w:type="gramEnd"/>
      <w:r w:rsidRPr="00725A15">
        <w:rPr>
          <w:rFonts w:ascii="Verdana" w:eastAsia="Calibri" w:hAnsi="Verdana" w:cs="Arial"/>
          <w:sz w:val="21"/>
          <w:szCs w:val="21"/>
        </w:rPr>
        <w:t xml:space="preserve"> de la presente Ley, se establecerá un periodo de transición de seis (6) meses, para que las entidades den cumplimiento efectivo a lo aquí establecido. (Cursiva fuera del original).</w:t>
      </w:r>
    </w:p>
    <w:p w14:paraId="684D88D9" w14:textId="77777777" w:rsidR="00221F6C" w:rsidRPr="00725A15" w:rsidRDefault="00221F6C" w:rsidP="00221F6C">
      <w:pPr>
        <w:spacing w:after="0" w:line="240" w:lineRule="auto"/>
        <w:ind w:firstLine="709"/>
        <w:contextualSpacing/>
        <w:jc w:val="both"/>
        <w:rPr>
          <w:rFonts w:ascii="Verdana" w:eastAsia="Calibri" w:hAnsi="Verdana"/>
          <w:lang w:val="es-ES_tradnl"/>
        </w:rPr>
      </w:pPr>
    </w:p>
    <w:p w14:paraId="0187D5E3" w14:textId="77E86C57" w:rsidR="00221F6C" w:rsidRPr="00725A15" w:rsidRDefault="00221F6C" w:rsidP="00221F6C">
      <w:pPr>
        <w:spacing w:after="120" w:line="276" w:lineRule="auto"/>
        <w:ind w:firstLine="709"/>
        <w:jc w:val="both"/>
        <w:rPr>
          <w:rFonts w:ascii="Verdana" w:eastAsia="Calibri" w:hAnsi="Verdana" w:cs="Arial"/>
          <w:lang w:val="es-ES_tradnl" w:eastAsia="es-ES_tradnl"/>
        </w:rPr>
      </w:pPr>
      <w:r w:rsidRPr="00725A15">
        <w:rPr>
          <w:rFonts w:ascii="Verdana" w:eastAsia="Calibri" w:hAnsi="Verdana" w:cs="Arial"/>
          <w:lang w:val="es-ES_tradnl"/>
        </w:rPr>
        <w:t xml:space="preserve">Cabe destacar que cuando la norma trascrita hace referencia a que el mencionado deber de publicidad debe cumplirse en el SECOP II o </w:t>
      </w:r>
      <w:r w:rsidR="00725A15">
        <w:rPr>
          <w:rFonts w:ascii="Verdana" w:hAnsi="Verdana" w:cs="Arial"/>
        </w:rPr>
        <w:t>“</w:t>
      </w:r>
      <w:r w:rsidRPr="00725A15">
        <w:rPr>
          <w:rFonts w:ascii="Verdana" w:eastAsia="Calibri" w:hAnsi="Verdana" w:cs="Arial"/>
          <w:lang w:val="es-ES_tradnl"/>
        </w:rPr>
        <w:t>la plataforma transaccional que haga sus veces</w:t>
      </w:r>
      <w:r w:rsidR="00725A15">
        <w:rPr>
          <w:rFonts w:ascii="Verdana" w:hAnsi="Verdana" w:cs="Arial"/>
        </w:rPr>
        <w:t>”</w:t>
      </w:r>
      <w:r w:rsidRPr="00725A15">
        <w:rPr>
          <w:rFonts w:ascii="Verdana" w:eastAsia="Calibri" w:hAnsi="Verdana" w:cs="Arial"/>
          <w:lang w:val="es-ES_tradnl"/>
        </w:rPr>
        <w:t xml:space="preserve">, esta expresión debe interpretarse bajo el entendido de que si bien el SECOP II es la plataforma oficial que actualmente se utiliza como mecanismo transaccional, en caso de que dicha plataforma sea remplazada por otra que tenga una denominación distinta, las entidades que tienen un régimen exceptuado deben continuar publicando la documentación de su actividad contractual en la nueva plataforma. En ese sentido, la locución </w:t>
      </w:r>
      <w:r w:rsidR="00725A15">
        <w:rPr>
          <w:rFonts w:ascii="Verdana" w:hAnsi="Verdana" w:cs="Arial"/>
        </w:rPr>
        <w:t>“</w:t>
      </w:r>
      <w:r w:rsidRPr="00725A15">
        <w:rPr>
          <w:rFonts w:ascii="Verdana" w:eastAsia="Calibri" w:hAnsi="Verdana" w:cs="Arial"/>
          <w:lang w:val="es-ES_tradnl"/>
        </w:rPr>
        <w:t>la plataforma que haga sus veces</w:t>
      </w:r>
      <w:r w:rsidR="00725A15">
        <w:rPr>
          <w:rFonts w:ascii="Verdana" w:hAnsi="Verdana" w:cs="Arial"/>
        </w:rPr>
        <w:t>”</w:t>
      </w:r>
      <w:r w:rsidRPr="00725A15">
        <w:rPr>
          <w:rFonts w:ascii="Verdana" w:eastAsia="Calibri" w:hAnsi="Verdana" w:cs="Arial"/>
          <w:lang w:val="es-ES_tradnl"/>
        </w:rPr>
        <w:t xml:space="preserve"> no puede interpretarse como una autorización para que las entidades obligadas en virtud del artículo 53 de la Ley 2195 de 2022 pueden emplear sus páginas web o sus propios portales electrónicos para cumplir con el deber de publicidad que les asiste. </w:t>
      </w:r>
      <w:r w:rsidRPr="00725A15">
        <w:rPr>
          <w:rFonts w:ascii="Verdana" w:eastAsia="Calibri" w:hAnsi="Verdana" w:cs="Arial"/>
          <w:lang w:val="es-ES_tradnl" w:eastAsia="es-ES_tradnl"/>
        </w:rPr>
        <w:t>Con esto se logra que la ciudadanía pueda encontrar en un mismo sistema la gestión de la actividad contractual del Estado, garantizándose en mayor grado la transparencia y el acceso a la documentación pública.</w:t>
      </w:r>
    </w:p>
    <w:p w14:paraId="53250BE7" w14:textId="73BFC444" w:rsidR="00221F6C" w:rsidRPr="00725A15" w:rsidRDefault="00221F6C" w:rsidP="6A56FCEA">
      <w:pPr>
        <w:spacing w:before="120" w:after="120" w:line="276" w:lineRule="auto"/>
        <w:ind w:firstLine="709"/>
        <w:jc w:val="both"/>
        <w:rPr>
          <w:rFonts w:ascii="Verdana" w:eastAsia="Calibri" w:hAnsi="Verdana" w:cs="Arial"/>
          <w:lang w:val="es-ES"/>
        </w:rPr>
      </w:pPr>
      <w:bookmarkStart w:id="7" w:name="_Hlk109111956"/>
      <w:r w:rsidRPr="6A56FCEA">
        <w:rPr>
          <w:rFonts w:ascii="Verdana" w:eastAsia="Calibri" w:hAnsi="Verdana" w:cs="Arial"/>
          <w:lang w:val="es-ES"/>
        </w:rPr>
        <w:t xml:space="preserve">En cuanto a los documentos que deben ser publicados en el SECOP II a efectos de dar cumplimiento al mandato consagrado en el artículo 53 de la Ley 2195 de 2022, es preciso advertir que la disposición hace referencia a los documentos relacionados con su </w:t>
      </w:r>
      <w:r w:rsidRPr="6A56FCEA">
        <w:rPr>
          <w:rFonts w:ascii="Verdana" w:eastAsia="Calibri" w:hAnsi="Verdana" w:cs="Arial"/>
          <w:i/>
          <w:iCs/>
          <w:lang w:val="es-ES"/>
        </w:rPr>
        <w:t>actividad contractual,</w:t>
      </w:r>
      <w:r w:rsidRPr="6A56FCEA">
        <w:rPr>
          <w:rFonts w:ascii="Verdana" w:eastAsia="Calibri" w:hAnsi="Verdana" w:cs="Arial"/>
          <w:lang w:val="es-ES"/>
        </w:rPr>
        <w:t xml:space="preserve"> la cual define como </w:t>
      </w:r>
      <w:r w:rsidR="00725A15" w:rsidRPr="6A56FCEA">
        <w:rPr>
          <w:rFonts w:ascii="Verdana" w:eastAsia="Calibri" w:hAnsi="Verdana" w:cs="Arial"/>
          <w:lang w:val="es-ES"/>
        </w:rPr>
        <w:t>“</w:t>
      </w:r>
      <w:r w:rsidRPr="6A56FCEA">
        <w:rPr>
          <w:rFonts w:ascii="Verdana" w:eastAsia="Calibri" w:hAnsi="Verdana" w:cs="Arial"/>
          <w:lang w:val="es-ES"/>
        </w:rPr>
        <w:t>[…] los documentos, contratos, actos e información generada por oferentes, contratista, contratante, supervisor o interventor, tanto en la etapa precontractual, como en la contractual y la postcontractual</w:t>
      </w:r>
      <w:r w:rsidR="00725A15" w:rsidRPr="6A56FCEA">
        <w:rPr>
          <w:rFonts w:ascii="Verdana" w:eastAsia="Calibri" w:hAnsi="Verdana" w:cs="Arial"/>
          <w:lang w:val="es-ES"/>
        </w:rPr>
        <w:t>”</w:t>
      </w:r>
      <w:r w:rsidRPr="6A56FCEA">
        <w:rPr>
          <w:rFonts w:ascii="Verdana" w:eastAsia="Calibri" w:hAnsi="Verdana" w:cs="Arial"/>
          <w:lang w:val="es-ES"/>
        </w:rPr>
        <w:t xml:space="preserve">. En ese sentido, el </w:t>
      </w:r>
      <w:r w:rsidRPr="6A56FCEA">
        <w:rPr>
          <w:rFonts w:ascii="Verdana" w:eastAsia="Calibri" w:hAnsi="Verdana" w:cs="Arial"/>
          <w:lang w:val="es-ES"/>
        </w:rPr>
        <w:lastRenderedPageBreak/>
        <w:t xml:space="preserve">artículo 53 de la Ley 2195 de 2022 establece el deber de publicar toda aquella información relacionada con el respectivo contrato, sin incluir ninguna excepción relacionada con la naturaleza u objeto contractual, por lo que no puede colegirse que los procesos de contratación relacionados con asuntos </w:t>
      </w:r>
      <w:r w:rsidR="00725A15" w:rsidRPr="6A56FCEA">
        <w:rPr>
          <w:rFonts w:ascii="Verdana" w:eastAsia="Calibri" w:hAnsi="Verdana" w:cs="Arial"/>
          <w:i/>
          <w:iCs/>
          <w:lang w:val="es-ES"/>
        </w:rPr>
        <w:t>“</w:t>
      </w:r>
      <w:r w:rsidRPr="6A56FCEA">
        <w:rPr>
          <w:rFonts w:ascii="Verdana" w:eastAsia="Calibri" w:hAnsi="Verdana" w:cs="Arial"/>
          <w:i/>
          <w:iCs/>
          <w:lang w:val="es-ES"/>
        </w:rPr>
        <w:t>no misionales</w:t>
      </w:r>
      <w:r w:rsidR="00725A15" w:rsidRPr="6A56FCEA">
        <w:rPr>
          <w:rFonts w:ascii="Verdana" w:eastAsia="Calibri" w:hAnsi="Verdana" w:cs="Arial"/>
          <w:i/>
          <w:iCs/>
          <w:lang w:val="es-ES"/>
        </w:rPr>
        <w:t>”</w:t>
      </w:r>
      <w:r w:rsidRPr="6A56FCEA">
        <w:rPr>
          <w:rFonts w:ascii="Verdana" w:eastAsia="Calibri" w:hAnsi="Verdana" w:cs="Arial"/>
          <w:lang w:val="es-ES"/>
        </w:rPr>
        <w:t xml:space="preserve"> estén </w:t>
      </w:r>
      <w:r w:rsidRPr="6A56FCEA">
        <w:rPr>
          <w:rFonts w:ascii="Verdana" w:eastAsia="Calibri" w:hAnsi="Verdana" w:cs="Arial"/>
          <w:i/>
          <w:iCs/>
          <w:lang w:val="es-ES"/>
        </w:rPr>
        <w:t>per se</w:t>
      </w:r>
      <w:r w:rsidRPr="6A56FCEA">
        <w:rPr>
          <w:rFonts w:ascii="Verdana" w:eastAsia="Calibri" w:hAnsi="Verdana" w:cs="Arial"/>
          <w:lang w:val="es-ES"/>
        </w:rPr>
        <w:t xml:space="preserve"> excluidos del deber de publicidad. </w:t>
      </w:r>
    </w:p>
    <w:bookmarkEnd w:id="7"/>
    <w:p w14:paraId="3B08AF38" w14:textId="77777777" w:rsidR="00725A15" w:rsidRPr="00725A15" w:rsidRDefault="00725A15" w:rsidP="00725A15">
      <w:pPr>
        <w:spacing w:after="120" w:line="276" w:lineRule="auto"/>
        <w:ind w:firstLine="360"/>
        <w:jc w:val="both"/>
        <w:rPr>
          <w:rFonts w:ascii="Verdana" w:eastAsia="Calibri" w:hAnsi="Verdana" w:cs="Arial"/>
          <w:lang w:val="es-ES_tradnl" w:eastAsia="es-ES_tradnl"/>
        </w:rPr>
      </w:pPr>
      <w:r w:rsidRPr="00725A15">
        <w:rPr>
          <w:rFonts w:ascii="Verdana" w:eastAsia="Calibri" w:hAnsi="Verdana" w:cs="Arial"/>
          <w:lang w:val="es-ES_tradnl" w:eastAsia="es-ES_tradnl"/>
        </w:rPr>
        <w:t>Con el propósito de garantizar el cumplimiento del mencionado deber de publicidad, la Agencia Nacional de Contratación Pública - Colombia Compra Eficiente, en su calidad de administrador del SECOP, en los términos establecidos en el numeral 8 del artículo 3 del Decreto-Ley 4170</w:t>
      </w:r>
      <w:r w:rsidRPr="00725A15">
        <w:rPr>
          <w:rFonts w:ascii="Verdana" w:eastAsia="Calibri" w:hAnsi="Verdana" w:cs="Arial"/>
          <w:vertAlign w:val="superscript"/>
          <w:lang w:val="es-ES_tradnl" w:eastAsia="es-ES_tradnl"/>
        </w:rPr>
        <w:footnoteReference w:id="8"/>
      </w:r>
      <w:r w:rsidRPr="00725A15">
        <w:rPr>
          <w:rFonts w:ascii="Verdana" w:eastAsia="Calibri" w:hAnsi="Verdana" w:cs="Arial"/>
          <w:lang w:val="es-ES_tradnl" w:eastAsia="es-ES_tradnl"/>
        </w:rPr>
        <w:t>, tiene dispuesto dos módulos para las entidades estatales con régimen especial, los cuales son:</w:t>
      </w:r>
    </w:p>
    <w:p w14:paraId="5736DD79" w14:textId="77777777" w:rsidR="00725A15" w:rsidRPr="00725A15" w:rsidRDefault="00725A15" w:rsidP="00725A15">
      <w:pPr>
        <w:numPr>
          <w:ilvl w:val="0"/>
          <w:numId w:val="20"/>
        </w:numPr>
        <w:spacing w:after="120" w:line="276" w:lineRule="auto"/>
        <w:jc w:val="both"/>
        <w:rPr>
          <w:rFonts w:ascii="Verdana" w:hAnsi="Verdana" w:cs="Arial"/>
          <w:u w:val="single"/>
          <w:lang w:val="es-MX" w:eastAsia="es-ES"/>
        </w:rPr>
      </w:pPr>
      <w:r w:rsidRPr="00725A15">
        <w:rPr>
          <w:rFonts w:ascii="Verdana" w:eastAsia="Times New Roman" w:hAnsi="Verdana" w:cs="Arial"/>
          <w:b/>
          <w:bCs/>
          <w:lang w:val="es-MX" w:eastAsia="es-ES"/>
        </w:rPr>
        <w:t>Contratación Régimen Especial (con ofertas)</w:t>
      </w:r>
      <w:r w:rsidRPr="00725A15">
        <w:rPr>
          <w:rFonts w:ascii="Verdana" w:eastAsia="Calibri" w:hAnsi="Verdana" w:cs="Arial"/>
          <w:iCs/>
          <w:vertAlign w:val="superscript"/>
          <w:lang w:val="es-ES"/>
        </w:rPr>
        <w:footnoteReference w:id="9"/>
      </w:r>
      <w:r w:rsidRPr="00725A15">
        <w:rPr>
          <w:rFonts w:ascii="Verdana" w:eastAsia="Times New Roman" w:hAnsi="Verdana" w:cs="Arial"/>
          <w:b/>
          <w:bCs/>
          <w:lang w:val="es-MX" w:eastAsia="es-ES"/>
        </w:rPr>
        <w:t>:</w:t>
      </w:r>
      <w:r w:rsidRPr="00725A15">
        <w:rPr>
          <w:rFonts w:ascii="Verdana" w:eastAsia="Times New Roman" w:hAnsi="Verdana" w:cs="Arial"/>
          <w:lang w:val="es-MX" w:eastAsia="es-ES"/>
        </w:rPr>
        <w:t xml:space="preserve"> Permite a las entidades gestionar sus procesos competitivos de contratación. Mediante este módulo las entidades pueden adelantar el proceso de contratación de manera transaccional, es decir, que </w:t>
      </w:r>
      <w:r w:rsidRPr="00725A15">
        <w:rPr>
          <w:rFonts w:ascii="Verdana" w:eastAsia="Times New Roman" w:hAnsi="Verdana" w:cs="Arial"/>
          <w:lang w:val="es-MX" w:eastAsia="es-CO"/>
        </w:rPr>
        <w:t xml:space="preserve">a través de este módulo las entidades estatales pueden estructurar el proceso de contratación, recibir ofertas de los proveedores, generar el contrato de electrónico y realizar la gestión contractual. </w:t>
      </w:r>
    </w:p>
    <w:p w14:paraId="6EDB42EC" w14:textId="77777777" w:rsidR="00725A15" w:rsidRPr="00725A15" w:rsidRDefault="00725A15" w:rsidP="00725A15">
      <w:pPr>
        <w:numPr>
          <w:ilvl w:val="0"/>
          <w:numId w:val="20"/>
        </w:numPr>
        <w:spacing w:after="120" w:line="276" w:lineRule="auto"/>
        <w:jc w:val="both"/>
        <w:rPr>
          <w:rFonts w:ascii="Verdana" w:hAnsi="Verdana" w:cs="Arial"/>
          <w:u w:val="single"/>
          <w:lang w:val="es-MX" w:eastAsia="es-ES"/>
        </w:rPr>
      </w:pPr>
      <w:r w:rsidRPr="00725A15">
        <w:rPr>
          <w:rFonts w:ascii="Verdana" w:eastAsia="Times New Roman" w:hAnsi="Verdana" w:cs="Arial"/>
          <w:b/>
          <w:bCs/>
          <w:lang w:val="es-MX" w:eastAsia="es-ES"/>
        </w:rPr>
        <w:t>Contratación Régimen Especial (sin ofertas)</w:t>
      </w:r>
      <w:r w:rsidRPr="00725A15">
        <w:rPr>
          <w:rFonts w:ascii="Verdana" w:eastAsia="Calibri" w:hAnsi="Verdana" w:cs="Arial"/>
          <w:iCs/>
          <w:vertAlign w:val="superscript"/>
          <w:lang w:val="es-ES"/>
        </w:rPr>
        <w:footnoteReference w:id="10"/>
      </w:r>
      <w:r w:rsidRPr="00725A15">
        <w:rPr>
          <w:rFonts w:ascii="Verdana" w:eastAsia="Times New Roman" w:hAnsi="Verdana" w:cs="Arial"/>
          <w:b/>
          <w:bCs/>
          <w:lang w:val="es-MX" w:eastAsia="es-ES"/>
        </w:rPr>
        <w:t>:</w:t>
      </w:r>
      <w:r w:rsidRPr="00725A15">
        <w:rPr>
          <w:rFonts w:ascii="Verdana" w:eastAsia="Times New Roman" w:hAnsi="Verdana" w:cs="Arial"/>
          <w:lang w:val="es-MX" w:eastAsia="es-ES"/>
        </w:rPr>
        <w:t xml:space="preserve"> Este módulo permite a las entidades gestionar sus procesos de selección directos. Asimismo, este módulo </w:t>
      </w:r>
      <w:r w:rsidRPr="00725A15">
        <w:rPr>
          <w:rFonts w:ascii="Verdana" w:hAnsi="Verdana" w:cs="Arial"/>
          <w:lang w:val="es-MX"/>
        </w:rPr>
        <w:t xml:space="preserve">permite estructurar los procesos de contratación, publicar documentos generados por fuera de la plataforma y realizar la gestión contractual en línea. </w:t>
      </w:r>
    </w:p>
    <w:p w14:paraId="6CA33B03" w14:textId="77777777" w:rsidR="00725A15" w:rsidRPr="00725A15" w:rsidRDefault="00725A15" w:rsidP="00725A15">
      <w:pPr>
        <w:autoSpaceDE w:val="0"/>
        <w:autoSpaceDN w:val="0"/>
        <w:adjustRightInd w:val="0"/>
        <w:spacing w:after="120" w:line="276" w:lineRule="auto"/>
        <w:ind w:firstLine="708"/>
        <w:jc w:val="both"/>
        <w:rPr>
          <w:rFonts w:ascii="Verdana" w:eastAsia="Calibri" w:hAnsi="Verdana" w:cs="Arial"/>
          <w:iCs/>
          <w:lang w:val="es-ES" w:eastAsia="es-ES_tradnl"/>
        </w:rPr>
      </w:pPr>
      <w:r w:rsidRPr="00725A15">
        <w:rPr>
          <w:rFonts w:ascii="Verdana" w:eastAsia="Calibri" w:hAnsi="Verdana" w:cs="Arial"/>
          <w:iCs/>
          <w:lang w:val="es-ES" w:eastAsia="es-ES_tradnl"/>
        </w:rPr>
        <w:t xml:space="preserve">Ahora bien, </w:t>
      </w:r>
      <w:bookmarkStart w:id="8" w:name="_Hlk109112150"/>
      <w:r w:rsidRPr="00725A15">
        <w:rPr>
          <w:rFonts w:ascii="Verdana" w:eastAsia="Calibri" w:hAnsi="Verdana" w:cs="Arial"/>
          <w:iCs/>
          <w:lang w:val="es-ES" w:eastAsia="es-ES_tradnl"/>
        </w:rPr>
        <w:t xml:space="preserve">dado que el artículo 53 de la Ley 2195 de 2022 no cambió la forma en que se perfeccionan los contratos suscritos por estas entidades </w:t>
      </w:r>
      <w:r w:rsidRPr="00725A15">
        <w:rPr>
          <w:rFonts w:ascii="Verdana" w:eastAsia="Calibri" w:hAnsi="Verdana" w:cs="Arial"/>
          <w:iCs/>
          <w:lang w:val="es-ES" w:eastAsia="es-ES_tradnl"/>
        </w:rPr>
        <w:lastRenderedPageBreak/>
        <w:t>exceptuadas, para cumplir con el deber de publicidad que les asiste, estas podrán elegir cualquiera de las siguientes opciones:</w:t>
      </w:r>
    </w:p>
    <w:p w14:paraId="4D1BD5DB" w14:textId="77777777" w:rsidR="00725A15" w:rsidRPr="00725A15" w:rsidRDefault="00725A15" w:rsidP="00725A15">
      <w:pPr>
        <w:numPr>
          <w:ilvl w:val="0"/>
          <w:numId w:val="19"/>
        </w:numPr>
        <w:autoSpaceDE w:val="0"/>
        <w:autoSpaceDN w:val="0"/>
        <w:adjustRightInd w:val="0"/>
        <w:spacing w:after="120" w:line="276" w:lineRule="auto"/>
        <w:jc w:val="both"/>
        <w:rPr>
          <w:rFonts w:ascii="Verdana" w:eastAsia="Calibri" w:hAnsi="Verdana" w:cs="Arial"/>
          <w:iCs/>
          <w:lang w:val="es-ES"/>
        </w:rPr>
      </w:pPr>
      <w:r w:rsidRPr="00725A15">
        <w:rPr>
          <w:rFonts w:ascii="Verdana" w:hAnsi="Verdana" w:cs="Arial"/>
          <w:lang w:val="es-ES"/>
        </w:rPr>
        <w:t>F</w:t>
      </w:r>
      <w:proofErr w:type="spellStart"/>
      <w:r w:rsidRPr="00725A15">
        <w:rPr>
          <w:rFonts w:ascii="Verdana" w:hAnsi="Verdana" w:cs="Arial"/>
          <w:lang w:val="es-MX"/>
        </w:rPr>
        <w:t>irmar</w:t>
      </w:r>
      <w:proofErr w:type="spellEnd"/>
      <w:r w:rsidRPr="00725A15">
        <w:rPr>
          <w:rFonts w:ascii="Verdana" w:hAnsi="Verdana" w:cs="Arial"/>
          <w:lang w:val="es-MX"/>
        </w:rPr>
        <w:t xml:space="preserve"> el contrato electrónicamente, es decir, realizar un uso transaccional de la plataforma.</w:t>
      </w:r>
    </w:p>
    <w:p w14:paraId="3FE7FE76" w14:textId="77777777" w:rsidR="00725A15" w:rsidRPr="00725A15" w:rsidRDefault="00725A15" w:rsidP="00725A15">
      <w:pPr>
        <w:numPr>
          <w:ilvl w:val="0"/>
          <w:numId w:val="19"/>
        </w:numPr>
        <w:autoSpaceDE w:val="0"/>
        <w:autoSpaceDN w:val="0"/>
        <w:adjustRightInd w:val="0"/>
        <w:spacing w:after="120" w:line="276" w:lineRule="auto"/>
        <w:jc w:val="both"/>
        <w:rPr>
          <w:rFonts w:ascii="Verdana" w:hAnsi="Verdana" w:cs="Arial"/>
          <w:lang w:val="es-MX"/>
        </w:rPr>
      </w:pPr>
      <w:r w:rsidRPr="00725A15">
        <w:rPr>
          <w:rFonts w:ascii="Verdana" w:hAnsi="Verdana" w:cs="Arial"/>
          <w:lang w:val="es-MX"/>
        </w:rPr>
        <w:t>Firmar el contrato en físico y publica los documentos de ejecución en la etapa precontractual del SECOP II, es decir, realizar un uso publicitario de la plataforma.</w:t>
      </w:r>
    </w:p>
    <w:p w14:paraId="4219CEC8" w14:textId="109CFC86" w:rsidR="00725A15" w:rsidRPr="00725A15" w:rsidRDefault="00725A15" w:rsidP="00725A15">
      <w:pPr>
        <w:autoSpaceDE w:val="0"/>
        <w:autoSpaceDN w:val="0"/>
        <w:adjustRightInd w:val="0"/>
        <w:spacing w:after="120" w:line="276" w:lineRule="auto"/>
        <w:ind w:firstLine="708"/>
        <w:jc w:val="both"/>
        <w:rPr>
          <w:rFonts w:ascii="Verdana" w:eastAsia="Times New Roman" w:hAnsi="Verdana" w:cs="Arial"/>
          <w:lang w:eastAsia="es-ES_tradnl"/>
        </w:rPr>
      </w:pPr>
      <w:r w:rsidRPr="00725A15">
        <w:rPr>
          <w:rFonts w:ascii="Verdana" w:eastAsia="Times New Roman" w:hAnsi="Verdana" w:cs="Arial"/>
          <w:lang w:eastAsia="es-ES_tradnl"/>
        </w:rPr>
        <w:t xml:space="preserve">En el primer caso, si la entidad opta por hacer uso de la plataforma de manera transaccional (firmando el contrato electrónicamente), deberá utilizar el módulo de </w:t>
      </w:r>
      <w:r>
        <w:rPr>
          <w:rFonts w:ascii="Verdana" w:eastAsia="Times New Roman" w:hAnsi="Verdana" w:cs="Arial"/>
          <w:lang w:eastAsia="es-ES_tradnl"/>
        </w:rPr>
        <w:t>“</w:t>
      </w:r>
      <w:r w:rsidRPr="00725A15">
        <w:rPr>
          <w:rFonts w:ascii="Verdana" w:eastAsia="Times New Roman" w:hAnsi="Verdana" w:cs="Arial"/>
          <w:lang w:eastAsia="es-ES_tradnl"/>
        </w:rPr>
        <w:t>Contratación Régimen Especial</w:t>
      </w:r>
      <w:r>
        <w:rPr>
          <w:rFonts w:ascii="Verdana" w:eastAsia="Times New Roman" w:hAnsi="Verdana" w:cs="Arial"/>
          <w:lang w:eastAsia="es-ES_tradnl"/>
        </w:rPr>
        <w:t>”</w:t>
      </w:r>
      <w:r w:rsidRPr="00725A15">
        <w:rPr>
          <w:rFonts w:ascii="Verdana" w:eastAsia="Times New Roman" w:hAnsi="Verdana" w:cs="Arial"/>
          <w:lang w:eastAsia="es-ES_tradnl"/>
        </w:rPr>
        <w:t>, estructurar el proceso de contratación, generar el contrato electrónico y realizar la gestión contractual en línea a través de la plataforma.</w:t>
      </w:r>
    </w:p>
    <w:p w14:paraId="731EA74B" w14:textId="48EAF4D9" w:rsidR="00725A15" w:rsidRPr="00725A15" w:rsidRDefault="00725A15" w:rsidP="00725A15">
      <w:pPr>
        <w:autoSpaceDE w:val="0"/>
        <w:autoSpaceDN w:val="0"/>
        <w:adjustRightInd w:val="0"/>
        <w:spacing w:after="120" w:line="276" w:lineRule="auto"/>
        <w:ind w:firstLine="357"/>
        <w:jc w:val="both"/>
        <w:rPr>
          <w:rFonts w:ascii="Verdana" w:eastAsia="Times New Roman" w:hAnsi="Verdana" w:cs="Arial"/>
          <w:lang w:eastAsia="es-ES_tradnl"/>
        </w:rPr>
      </w:pPr>
      <w:r w:rsidRPr="00725A15">
        <w:rPr>
          <w:rFonts w:ascii="Verdana" w:eastAsia="Times New Roman" w:hAnsi="Verdana" w:cs="Arial"/>
          <w:lang w:eastAsia="es-ES_tradnl"/>
        </w:rPr>
        <w:t xml:space="preserve">En el segundo caso, si decide utilizar el SECOP II como herramienta de publicidad, deberá crear el proceso de contratación en el SECOP II mediante el módulo </w:t>
      </w:r>
      <w:r>
        <w:rPr>
          <w:rFonts w:ascii="Verdana" w:eastAsia="Times New Roman" w:hAnsi="Verdana" w:cs="Arial"/>
          <w:lang w:eastAsia="es-ES_tradnl"/>
        </w:rPr>
        <w:t>“</w:t>
      </w:r>
      <w:r w:rsidRPr="00725A15">
        <w:rPr>
          <w:rFonts w:ascii="Verdana" w:eastAsia="Times New Roman" w:hAnsi="Verdana" w:cs="Arial"/>
          <w:i/>
          <w:iCs/>
          <w:lang w:eastAsia="es-ES_tradnl"/>
        </w:rPr>
        <w:t>Contratación Régimen Especial (sin ofertas)</w:t>
      </w:r>
      <w:r>
        <w:rPr>
          <w:rFonts w:ascii="Verdana" w:eastAsia="Times New Roman" w:hAnsi="Verdana" w:cs="Arial"/>
          <w:i/>
          <w:iCs/>
          <w:lang w:eastAsia="es-ES_tradnl"/>
        </w:rPr>
        <w:t>”</w:t>
      </w:r>
      <w:r w:rsidRPr="00725A15">
        <w:rPr>
          <w:rFonts w:ascii="Verdana" w:eastAsia="Times New Roman" w:hAnsi="Verdana" w:cs="Arial"/>
          <w:lang w:eastAsia="es-ES_tradnl"/>
        </w:rPr>
        <w:t xml:space="preserve">, cargar todos los documentos del proceso en la sección dispuesta para ello y publicar el proceso. La publicación de los documentos de la gestión contractual, incluido el contrato firmado manuscritamente, se debe realizar mediante modificaciones al proceso a través de la opción “Modificaciones/Adendas”. Sin embargo, las entidades públicas deberán tener en cuenta </w:t>
      </w:r>
      <w:proofErr w:type="gramStart"/>
      <w:r w:rsidRPr="00725A15">
        <w:rPr>
          <w:rFonts w:ascii="Verdana" w:eastAsia="Times New Roman" w:hAnsi="Verdana" w:cs="Arial"/>
          <w:lang w:eastAsia="es-ES_tradnl"/>
        </w:rPr>
        <w:t>que</w:t>
      </w:r>
      <w:proofErr w:type="gramEnd"/>
      <w:r w:rsidRPr="00725A15">
        <w:rPr>
          <w:rFonts w:ascii="Verdana" w:eastAsia="Times New Roman" w:hAnsi="Verdana" w:cs="Arial"/>
          <w:lang w:eastAsia="es-ES_tradnl"/>
        </w:rPr>
        <w:t xml:space="preserve"> si utilizan esta opción, no deben dar clic en “</w:t>
      </w:r>
      <w:r w:rsidRPr="00725A15">
        <w:rPr>
          <w:rFonts w:ascii="Verdana" w:eastAsia="Times New Roman" w:hAnsi="Verdana" w:cs="Arial"/>
          <w:i/>
          <w:iCs/>
          <w:lang w:eastAsia="es-ES_tradnl"/>
        </w:rPr>
        <w:t>Finalizar</w:t>
      </w:r>
      <w:r w:rsidRPr="00725A15">
        <w:rPr>
          <w:rFonts w:ascii="Verdana" w:eastAsia="Times New Roman" w:hAnsi="Verdana" w:cs="Arial"/>
          <w:lang w:eastAsia="es-ES_tradnl"/>
        </w:rPr>
        <w:t>” después de publicar el proceso, en tanto que la plataforma cierra el expediente y no permite la publicación posterior de ningún otro documento.</w:t>
      </w:r>
    </w:p>
    <w:bookmarkEnd w:id="8"/>
    <w:p w14:paraId="0734DECF" w14:textId="77777777" w:rsidR="0056680B" w:rsidRDefault="00725A15" w:rsidP="00725A15">
      <w:pPr>
        <w:spacing w:after="120" w:line="276" w:lineRule="auto"/>
        <w:ind w:firstLine="709"/>
        <w:jc w:val="both"/>
        <w:rPr>
          <w:rFonts w:ascii="Verdana" w:eastAsia="Calibri" w:hAnsi="Verdana" w:cs="Arial"/>
          <w:lang w:val="es-ES"/>
        </w:rPr>
      </w:pPr>
      <w:r w:rsidRPr="00725A15">
        <w:rPr>
          <w:rFonts w:ascii="Verdana" w:eastAsia="Calibri" w:hAnsi="Verdana" w:cs="Arial"/>
          <w:lang w:val="es-ES_tradnl" w:eastAsia="es-ES_tradnl"/>
        </w:rPr>
        <w:t xml:space="preserve">Ahora bien, respecto al término para publicar los documentos en el SECOP II, debe señalarse, tal y como se expuso en el numeral anterior, que </w:t>
      </w:r>
      <w:r w:rsidRPr="00725A15">
        <w:rPr>
          <w:rFonts w:ascii="Verdana" w:eastAsia="Calibri" w:hAnsi="Verdana" w:cs="Arial"/>
          <w:lang w:val="es-ES"/>
        </w:rPr>
        <w:t xml:space="preserve">el deber de publicar los documentos relacionados con la contratación también se encuentra regulado en la Ley 1712 de 2014, que señala en el literal g) del artículo 11, que todo sujeto obligado debe publicar sus procedimientos, lineamientos, políticas en materia de adquisiciones y compras, así como todos los datos de adjudicación y ejecución de sus contratos. Esta obligación, en principio, fue reglamentada por el Decreto 103 de 2015, hoy compilado en el Decreto 1081 de 2015. Este último señala en el artículo 2.1.1.2.1.7, que las entidades deberán publicar en el SECOP </w:t>
      </w:r>
      <w:r w:rsidRPr="00725A15">
        <w:rPr>
          <w:rFonts w:ascii="Verdana" w:hAnsi="Verdana" w:cs="Arial"/>
          <w:lang w:val="es-ES"/>
        </w:rPr>
        <w:t>la información de su gestión contractual</w:t>
      </w:r>
      <w:r w:rsidRPr="00725A15">
        <w:rPr>
          <w:rStyle w:val="Refdenotaalpie"/>
          <w:rFonts w:ascii="Verdana" w:hAnsi="Verdana" w:cs="Arial"/>
          <w:lang w:val="es-ES"/>
        </w:rPr>
        <w:footnoteReference w:id="11"/>
      </w:r>
      <w:r w:rsidRPr="00725A15">
        <w:rPr>
          <w:rFonts w:ascii="Verdana" w:eastAsia="Calibri" w:hAnsi="Verdana" w:cs="Arial"/>
          <w:lang w:val="es-ES"/>
        </w:rPr>
        <w:t xml:space="preserve">. Asimismo, este precepto consagra </w:t>
      </w:r>
      <w:r w:rsidRPr="00725A15">
        <w:rPr>
          <w:rFonts w:ascii="Verdana" w:eastAsia="Calibri" w:hAnsi="Verdana" w:cs="Arial"/>
          <w:lang w:val="es-ES"/>
        </w:rPr>
        <w:lastRenderedPageBreak/>
        <w:t xml:space="preserve">que: </w:t>
      </w:r>
      <w:r>
        <w:rPr>
          <w:rFonts w:ascii="Verdana" w:eastAsia="Calibri" w:hAnsi="Verdana" w:cs="Arial"/>
          <w:lang w:val="es-ES"/>
        </w:rPr>
        <w:t>“</w:t>
      </w:r>
      <w:r w:rsidRPr="00725A15">
        <w:rPr>
          <w:rFonts w:ascii="Verdana" w:eastAsia="Calibri" w:hAnsi="Verdana" w:cs="Arial"/>
          <w:lang w:val="es-ES"/>
        </w:rPr>
        <w:t>De conformidad con el literal (c) del artículo 3 de la Ley 1150 de 2007, el sistema de información del Estado en el cual los sujetos obligados que contratan con cargo a recursos públicos deben cumplir la obligación de publicar la información de su gestión contractual es el Sistema Electrónico para la Contratación Pública (SECOP)</w:t>
      </w:r>
      <w:r>
        <w:rPr>
          <w:rFonts w:ascii="Verdana" w:eastAsia="Calibri" w:hAnsi="Verdana" w:cs="Arial"/>
          <w:lang w:val="es-ES"/>
        </w:rPr>
        <w:t>”</w:t>
      </w:r>
      <w:r w:rsidRPr="00725A15">
        <w:rPr>
          <w:rFonts w:ascii="Verdana" w:eastAsia="Calibri" w:hAnsi="Verdana" w:cs="Arial"/>
          <w:lang w:val="es-ES"/>
        </w:rPr>
        <w:t xml:space="preserve">. </w:t>
      </w:r>
    </w:p>
    <w:p w14:paraId="3E65BF3D" w14:textId="1254711C" w:rsidR="00725A15" w:rsidRPr="0056680B" w:rsidRDefault="00725A15" w:rsidP="0056680B">
      <w:pPr>
        <w:spacing w:after="120" w:line="276" w:lineRule="auto"/>
        <w:ind w:firstLine="709"/>
        <w:jc w:val="both"/>
        <w:rPr>
          <w:rFonts w:ascii="Verdana" w:eastAsia="Calibri" w:hAnsi="Verdana" w:cs="Arial"/>
          <w:lang w:val="es-ES_tradnl"/>
        </w:rPr>
      </w:pPr>
      <w:r w:rsidRPr="00725A15">
        <w:rPr>
          <w:rFonts w:ascii="Verdana" w:eastAsia="Calibri" w:hAnsi="Verdana" w:cs="Arial"/>
          <w:lang w:val="es-ES"/>
        </w:rPr>
        <w:t xml:space="preserve">En armonía con lo anterior, el inciso segundo de dicho artículo precisa el momento para realizar la publicación, remitiendo al mismo plazo establecido en el artículo 2.2.1.1.1.7.1 del Decreto 1082 de 2015, esto es, dentro de los tres (3) días siguientes a la expedición del documento. En efecto, el inciso indicado establece: </w:t>
      </w:r>
      <w:r>
        <w:rPr>
          <w:rFonts w:ascii="Verdana" w:eastAsia="Calibri" w:hAnsi="Verdana" w:cs="Arial"/>
          <w:lang w:val="es-ES"/>
        </w:rPr>
        <w:t>“</w:t>
      </w:r>
      <w:r w:rsidRPr="00725A15">
        <w:rPr>
          <w:rFonts w:ascii="Verdana" w:eastAsia="Calibri" w:hAnsi="Verdana" w:cs="Arial"/>
          <w:lang w:val="es-ES"/>
        </w:rPr>
        <w:t>Los sujetos obligados que contratan con cargo a recursos públicos deben publicar la información de su gestión contractual en el plazo previsto en el artículo 19 del Decreto 1510 de 2013, o el que lo modifique, sustituya o adicione</w:t>
      </w:r>
      <w:r>
        <w:rPr>
          <w:rFonts w:ascii="Verdana" w:eastAsia="Calibri" w:hAnsi="Verdana" w:cs="Arial"/>
          <w:lang w:val="es-ES"/>
        </w:rPr>
        <w:t>”</w:t>
      </w:r>
      <w:r w:rsidRPr="00725A15">
        <w:rPr>
          <w:rFonts w:ascii="Verdana" w:eastAsia="Calibri" w:hAnsi="Verdana" w:cs="Arial"/>
          <w:lang w:val="es-ES"/>
        </w:rPr>
        <w:t xml:space="preserve">. Cabe aclarar que el artículo 19 indicado fue compilado en el artículo 2.2.1.1.1.7.1 del Decreto 1082 de 2015. </w:t>
      </w:r>
    </w:p>
    <w:p w14:paraId="60664AD2" w14:textId="7FB55CCE" w:rsidR="00725A15" w:rsidRDefault="00725A15" w:rsidP="00725A15">
      <w:pPr>
        <w:spacing w:after="0" w:line="276" w:lineRule="auto"/>
        <w:ind w:firstLine="708"/>
        <w:contextualSpacing/>
        <w:jc w:val="both"/>
        <w:rPr>
          <w:rFonts w:ascii="Verdana" w:hAnsi="Verdana" w:cs="Arial"/>
          <w:color w:val="333333"/>
          <w:shd w:val="clear" w:color="auto" w:fill="FFFFFF"/>
        </w:rPr>
      </w:pPr>
      <w:r w:rsidRPr="00725A15">
        <w:rPr>
          <w:rFonts w:ascii="Verdana" w:eastAsia="Calibri" w:hAnsi="Verdana" w:cs="Arial"/>
          <w:lang w:val="es-ES" w:eastAsia="es-ES_tradnl"/>
        </w:rPr>
        <w:t xml:space="preserve">De </w:t>
      </w:r>
      <w:r w:rsidRPr="00311CE4">
        <w:rPr>
          <w:rFonts w:ascii="Verdana" w:eastAsia="Calibri" w:hAnsi="Verdana" w:cs="Arial"/>
          <w:lang w:val="es-ES" w:eastAsia="es-ES_tradnl"/>
        </w:rPr>
        <w:t xml:space="preserve">conformidad con lo expuesto se concluye que el término que tienen las </w:t>
      </w:r>
      <w:r w:rsidRPr="00311CE4">
        <w:rPr>
          <w:rFonts w:ascii="Verdana" w:hAnsi="Verdana" w:cs="Arial"/>
          <w:shd w:val="clear" w:color="auto" w:fill="FFFFFF"/>
        </w:rPr>
        <w:t xml:space="preserve">entidades estatales que por disposición legal cuenten con un régimen contractual excepcional al del Estatuto General de Contratación de la Administración Pública, para publicar en el SECOP II es de </w:t>
      </w:r>
      <w:r w:rsidR="0056680B">
        <w:rPr>
          <w:rFonts w:ascii="Verdana" w:hAnsi="Verdana" w:cs="Arial"/>
          <w:shd w:val="clear" w:color="auto" w:fill="FFFFFF"/>
        </w:rPr>
        <w:t>(</w:t>
      </w:r>
      <w:r w:rsidRPr="00311CE4">
        <w:rPr>
          <w:rFonts w:ascii="Verdana" w:hAnsi="Verdana" w:cs="Arial"/>
          <w:shd w:val="clear" w:color="auto" w:fill="FFFFFF"/>
        </w:rPr>
        <w:t>3</w:t>
      </w:r>
      <w:r w:rsidR="0056680B">
        <w:rPr>
          <w:rFonts w:ascii="Verdana" w:hAnsi="Verdana" w:cs="Arial"/>
          <w:shd w:val="clear" w:color="auto" w:fill="FFFFFF"/>
        </w:rPr>
        <w:t>)</w:t>
      </w:r>
      <w:r w:rsidRPr="00311CE4">
        <w:rPr>
          <w:rFonts w:ascii="Verdana" w:hAnsi="Verdana" w:cs="Arial"/>
          <w:shd w:val="clear" w:color="auto" w:fill="FFFFFF"/>
        </w:rPr>
        <w:t xml:space="preserve"> días. Lo anterior, sin perjuicio de que dichas entidades hagan uso transaccional de la plataforma, caso en el cual la publicación de los documentos deberá hacerse en tiempo real, </w:t>
      </w:r>
      <w:proofErr w:type="gramStart"/>
      <w:r w:rsidRPr="00311CE4">
        <w:rPr>
          <w:rFonts w:ascii="Verdana" w:hAnsi="Verdana" w:cs="Arial"/>
          <w:shd w:val="clear" w:color="auto" w:fill="FFFFFF"/>
        </w:rPr>
        <w:t>de acuerdo al</w:t>
      </w:r>
      <w:proofErr w:type="gramEnd"/>
      <w:r w:rsidRPr="00311CE4">
        <w:rPr>
          <w:rFonts w:ascii="Verdana" w:hAnsi="Verdana" w:cs="Arial"/>
          <w:shd w:val="clear" w:color="auto" w:fill="FFFFFF"/>
        </w:rPr>
        <w:t xml:space="preserve"> cronograma definido para el proceso de selección.</w:t>
      </w:r>
    </w:p>
    <w:p w14:paraId="04EB02CB" w14:textId="77777777" w:rsidR="00725A15" w:rsidRPr="00725A15" w:rsidRDefault="00725A15" w:rsidP="00725A15">
      <w:pPr>
        <w:spacing w:after="0" w:line="276" w:lineRule="auto"/>
        <w:ind w:firstLine="708"/>
        <w:contextualSpacing/>
        <w:jc w:val="both"/>
        <w:rPr>
          <w:rFonts w:ascii="Verdana" w:eastAsia="Calibri" w:hAnsi="Verdana" w:cs="Arial"/>
          <w:lang w:val="es-ES" w:eastAsia="es-ES_tradnl"/>
        </w:rPr>
      </w:pPr>
    </w:p>
    <w:p w14:paraId="4547FBD9" w14:textId="77777777" w:rsidR="00360C4F" w:rsidRPr="00725A15" w:rsidRDefault="00360C4F" w:rsidP="00360C4F">
      <w:pPr>
        <w:spacing w:after="120" w:line="276" w:lineRule="auto"/>
        <w:ind w:firstLine="708"/>
        <w:jc w:val="both"/>
        <w:rPr>
          <w:rFonts w:ascii="Verdana" w:eastAsia="Calibri" w:hAnsi="Verdana" w:cs="Arial"/>
          <w:color w:val="000000" w:themeColor="text1"/>
        </w:rPr>
      </w:pPr>
      <w:r w:rsidRPr="00725A15">
        <w:rPr>
          <w:rFonts w:ascii="Verdana" w:eastAsia="Calibri" w:hAnsi="Verdana" w:cs="Arial"/>
          <w:color w:val="000000" w:themeColor="text1"/>
        </w:rPr>
        <w:t xml:space="preserve">Además, el artículo 53 de la Ley 2195 de 2022 establece el deber de publicar toda aquella información relacionada con el respectivo contrato, sin incluir ninguna excepción relacionada con la naturaleza u objeto contractual. Por lo tanto, para que las entidades exceptuadas cumplan con el deber de publicidad consagrado en el artículo 53 de la Ley 2195 de 2022, se requiere que publiquen </w:t>
      </w:r>
      <w:r w:rsidRPr="00725A15">
        <w:rPr>
          <w:rFonts w:ascii="Verdana" w:eastAsia="Calibri" w:hAnsi="Verdana" w:cs="Arial"/>
          <w:color w:val="000000" w:themeColor="text1"/>
        </w:rPr>
        <w:lastRenderedPageBreak/>
        <w:t xml:space="preserve">en el SECOP II todo documento expedido durante las diferentes etapas del proceso contractual, abarcando desde la fase previa a su celebración, pasando por la ejecución y hasta la fase posterior a su ejecución. </w:t>
      </w:r>
    </w:p>
    <w:p w14:paraId="75957AF0" w14:textId="77777777" w:rsidR="00360C4F" w:rsidRPr="00725A15" w:rsidRDefault="00360C4F" w:rsidP="00360C4F">
      <w:pPr>
        <w:spacing w:after="120" w:line="276" w:lineRule="auto"/>
        <w:ind w:firstLine="708"/>
        <w:jc w:val="both"/>
        <w:rPr>
          <w:rFonts w:ascii="Verdana" w:eastAsia="Calibri" w:hAnsi="Verdana" w:cs="Arial"/>
          <w:color w:val="000000" w:themeColor="text1"/>
        </w:rPr>
      </w:pPr>
      <w:r w:rsidRPr="00725A15">
        <w:rPr>
          <w:rFonts w:ascii="Verdana" w:eastAsia="Calibri" w:hAnsi="Verdana" w:cs="Arial"/>
          <w:color w:val="000000" w:themeColor="text1"/>
        </w:rPr>
        <w:t>Adicionalmente se aclara que, el cumplimiento del deber de publicación de la documentación contractual debe armonizarse con las normas aplicables al tipo de información que estas contienen</w:t>
      </w:r>
      <w:r w:rsidRPr="00725A15">
        <w:rPr>
          <w:rStyle w:val="Refdenotaalpie"/>
          <w:rFonts w:ascii="Verdana" w:eastAsia="Calibri" w:hAnsi="Verdana" w:cs="Arial"/>
          <w:color w:val="000000" w:themeColor="text1"/>
        </w:rPr>
        <w:footnoteReference w:id="12"/>
      </w:r>
      <w:r w:rsidRPr="00725A15">
        <w:rPr>
          <w:rFonts w:ascii="Verdana" w:eastAsia="Calibri" w:hAnsi="Verdana" w:cs="Arial"/>
          <w:color w:val="000000" w:themeColor="text1"/>
        </w:rPr>
        <w:t>. Lo anterior significa que, respecto de datos sensibles, información sometida a reserva o de la cual proceda un tratamiento especial que impida su publicidad, las entidades deberán proceder de conformidad con el tratamiento que impongan tales normas, tema que se retomará más adelante.</w:t>
      </w:r>
    </w:p>
    <w:p w14:paraId="029A317E" w14:textId="77777777" w:rsidR="00360C4F" w:rsidRPr="00725A15" w:rsidRDefault="00360C4F" w:rsidP="00360C4F">
      <w:pPr>
        <w:spacing w:after="120" w:line="276" w:lineRule="auto"/>
        <w:jc w:val="both"/>
        <w:rPr>
          <w:rFonts w:ascii="Verdana" w:eastAsia="Calibri" w:hAnsi="Verdana" w:cs="Arial"/>
          <w:color w:val="000000" w:themeColor="text1"/>
        </w:rPr>
      </w:pPr>
      <w:r w:rsidRPr="00725A15">
        <w:rPr>
          <w:rFonts w:ascii="Verdana" w:eastAsia="Calibri" w:hAnsi="Verdana" w:cs="Arial"/>
          <w:color w:val="000000" w:themeColor="text1"/>
        </w:rPr>
        <w:tab/>
        <w:t>Teniendo en cuenta el marco normativo antes reseñado, la Circular Externa Única expedida por la Agencia Nacional de Contratación Pública - Colombia Compra Eficiente</w:t>
      </w:r>
      <w:r w:rsidRPr="00725A15">
        <w:rPr>
          <w:rStyle w:val="Refdenotaalpie"/>
          <w:rFonts w:ascii="Verdana" w:eastAsia="Calibri" w:hAnsi="Verdana" w:cs="Arial"/>
          <w:color w:val="000000" w:themeColor="text1"/>
        </w:rPr>
        <w:footnoteReference w:id="13"/>
      </w:r>
      <w:r w:rsidRPr="00725A15">
        <w:rPr>
          <w:rFonts w:ascii="Verdana" w:eastAsia="Calibri" w:hAnsi="Verdana" w:cs="Arial"/>
          <w:color w:val="000000" w:themeColor="text1"/>
        </w:rPr>
        <w:t xml:space="preserve"> - estableció que todas las entidades del Estado tienen el deber de publicar oportunamente la información oficial de la contratación en el SECOP, sin distinción de su régimen jurídico, naturaleza jurídica o la pertenencia a una u otra rama del poder público</w:t>
      </w:r>
      <w:r w:rsidRPr="00725A15">
        <w:rPr>
          <w:rStyle w:val="Refdenotaalpie"/>
          <w:rFonts w:ascii="Verdana" w:eastAsia="Calibri" w:hAnsi="Verdana" w:cs="Arial"/>
          <w:color w:val="000000" w:themeColor="text1"/>
        </w:rPr>
        <w:footnoteReference w:id="14"/>
      </w:r>
      <w:r w:rsidRPr="00725A15">
        <w:rPr>
          <w:rFonts w:ascii="Verdana" w:eastAsia="Calibri" w:hAnsi="Verdana" w:cs="Arial"/>
          <w:color w:val="000000" w:themeColor="text1"/>
        </w:rPr>
        <w:t>. De igual forma, en la Circular Externa No. 002 del 23 de agosto de 2024</w:t>
      </w:r>
      <w:r w:rsidRPr="00725A15">
        <w:rPr>
          <w:rStyle w:val="Refdenotaalpie"/>
          <w:rFonts w:ascii="Verdana" w:eastAsia="Calibri" w:hAnsi="Verdana" w:cs="Arial"/>
          <w:color w:val="000000" w:themeColor="text1"/>
        </w:rPr>
        <w:footnoteReference w:id="15"/>
      </w:r>
      <w:r w:rsidRPr="00725A15">
        <w:rPr>
          <w:rFonts w:ascii="Verdana" w:eastAsia="Calibri" w:hAnsi="Verdana" w:cs="Arial"/>
          <w:color w:val="000000" w:themeColor="text1"/>
        </w:rPr>
        <w:t xml:space="preserve">, estableció los </w:t>
      </w:r>
      <w:r w:rsidRPr="00725A15">
        <w:rPr>
          <w:rFonts w:ascii="Verdana" w:eastAsia="Calibri" w:hAnsi="Verdana" w:cs="Arial"/>
          <w:color w:val="000000" w:themeColor="text1"/>
        </w:rPr>
        <w:lastRenderedPageBreak/>
        <w:t>lineamientos para la aplicación del artículo 53 de la Ley 2195 de 2022 por parte de las Entidades Estales que por disposición legal cuentan con un régimen contractual excepcional al del Estatuto General de Contratación de la Administración Pública.</w:t>
      </w:r>
    </w:p>
    <w:p w14:paraId="7420561C" w14:textId="77777777" w:rsidR="00360C4F" w:rsidRPr="00725A15" w:rsidRDefault="00360C4F" w:rsidP="00360C4F">
      <w:pPr>
        <w:spacing w:after="0" w:line="276" w:lineRule="auto"/>
        <w:ind w:firstLine="708"/>
        <w:contextualSpacing/>
        <w:jc w:val="both"/>
        <w:rPr>
          <w:rFonts w:ascii="Verdana" w:eastAsia="Calibri" w:hAnsi="Verdana" w:cs="Arial"/>
          <w:lang w:val="es-ES"/>
        </w:rPr>
      </w:pPr>
      <w:r w:rsidRPr="00725A15">
        <w:rPr>
          <w:rFonts w:ascii="Verdana" w:eastAsia="Calibri" w:hAnsi="Verdana" w:cs="Arial"/>
          <w:shd w:val="clear" w:color="auto" w:fill="FFFFFF"/>
          <w:lang w:val="es-ES"/>
        </w:rPr>
        <w:t xml:space="preserve">En consonancia con la interpretación antes expuesta, </w:t>
      </w:r>
      <w:r w:rsidRPr="00725A15">
        <w:rPr>
          <w:rFonts w:ascii="Verdana" w:eastAsia="Calibri" w:hAnsi="Verdana" w:cs="Arial"/>
          <w:lang w:val="es-ES"/>
        </w:rPr>
        <w:t>la Circular 002 del 23 de agosto de 2024</w:t>
      </w:r>
      <w:r w:rsidRPr="00725A15">
        <w:rPr>
          <w:rFonts w:ascii="Verdana" w:eastAsia="Aptos" w:hAnsi="Verdana" w:cs="Times New Roman"/>
          <w:vertAlign w:val="superscript"/>
          <w:lang w:val="es-ES"/>
        </w:rPr>
        <w:footnoteReference w:id="16"/>
      </w:r>
      <w:r w:rsidRPr="00725A15">
        <w:rPr>
          <w:rFonts w:ascii="Verdana" w:eastAsia="Calibri" w:hAnsi="Verdana" w:cs="Arial"/>
          <w:lang w:val="es-ES"/>
        </w:rPr>
        <w:t>, expedida por la Agencia Nacional de Contratación Pública – Colombia Compra Eficiente, a través de la cual se dictan lineamientos para la aplicación del artículo 53 de la Ley 2195 de 2022, en el literal d) –denominado “Procedencia de los recursos como punto de partida para la publicación en el SECOP II”–, señala:</w:t>
      </w:r>
    </w:p>
    <w:p w14:paraId="179456E7" w14:textId="77777777" w:rsidR="00360C4F" w:rsidRPr="00725A15" w:rsidRDefault="00360C4F" w:rsidP="00360C4F">
      <w:pPr>
        <w:spacing w:after="0" w:line="276" w:lineRule="auto"/>
        <w:ind w:firstLine="709"/>
        <w:jc w:val="both"/>
        <w:rPr>
          <w:rFonts w:ascii="Verdana" w:eastAsia="Calibri" w:hAnsi="Verdana" w:cs="Arial"/>
          <w:sz w:val="21"/>
          <w:szCs w:val="21"/>
          <w:lang w:val="es-ES"/>
        </w:rPr>
      </w:pPr>
    </w:p>
    <w:p w14:paraId="30D69098" w14:textId="77777777" w:rsidR="00360C4F" w:rsidRPr="00725A15" w:rsidRDefault="00360C4F" w:rsidP="00360C4F">
      <w:pPr>
        <w:spacing w:after="0" w:line="240" w:lineRule="auto"/>
        <w:ind w:left="709" w:right="709"/>
        <w:jc w:val="both"/>
        <w:rPr>
          <w:rFonts w:ascii="Verdana" w:eastAsia="Calibri" w:hAnsi="Verdana" w:cs="Arial"/>
          <w:color w:val="000000"/>
          <w:sz w:val="21"/>
          <w:szCs w:val="21"/>
        </w:rPr>
      </w:pPr>
      <w:r w:rsidRPr="00725A15">
        <w:rPr>
          <w:rFonts w:ascii="Verdana" w:eastAsia="Calibri" w:hAnsi="Verdana" w:cs="Arial"/>
          <w:color w:val="000000"/>
          <w:sz w:val="21"/>
          <w:szCs w:val="21"/>
        </w:rPr>
        <w:t xml:space="preserve">“La obligación de publicar la actividad contractual siempre ha estado encaminada a que se publique aquella información relacionada con la ejecución de dineros públicos. Por tal razón, puede concluirse, a la luz de las disposiciones que regulan la materia, que el artículo 53 –al ampliar la obligación de las entidades con regímenes especiales de publicar su actividad contractual en el SECOP II– se refiere a aquella actividad contractual cuya fuente de financiación provenga de recursos públicos. De conformidad con lo expuesto, teniendo en cuenta que el artículo 53 complementa la disposición contenida en el artículo 3 de la Ley 1150 de 2007, debe entenderse que la contratación a la que se refiere es aquella </w:t>
      </w:r>
      <w:bookmarkStart w:id="9" w:name="_Hlk186230457"/>
      <w:r w:rsidRPr="00725A15">
        <w:rPr>
          <w:rFonts w:ascii="Verdana" w:eastAsia="Calibri" w:hAnsi="Verdana" w:cs="Arial"/>
          <w:color w:val="000000"/>
          <w:sz w:val="21"/>
          <w:szCs w:val="21"/>
        </w:rPr>
        <w:t>realizada con recursos públicos</w:t>
      </w:r>
      <w:bookmarkEnd w:id="9"/>
      <w:r w:rsidRPr="00725A15">
        <w:rPr>
          <w:rFonts w:ascii="Verdana" w:eastAsia="Calibri" w:hAnsi="Verdana" w:cs="Arial"/>
          <w:color w:val="000000"/>
          <w:sz w:val="21"/>
          <w:szCs w:val="21"/>
        </w:rPr>
        <w:t>, cuya información es la que debe publicarse en el SECOP II”.</w:t>
      </w:r>
    </w:p>
    <w:p w14:paraId="3275E54C" w14:textId="77777777" w:rsidR="00360C4F" w:rsidRPr="00725A15" w:rsidRDefault="00360C4F" w:rsidP="00360C4F">
      <w:pPr>
        <w:spacing w:after="0" w:line="276" w:lineRule="auto"/>
        <w:ind w:left="709" w:right="616"/>
        <w:jc w:val="both"/>
        <w:rPr>
          <w:rFonts w:ascii="Verdana" w:eastAsia="Calibri" w:hAnsi="Verdana" w:cs="Arial"/>
          <w:color w:val="000000"/>
          <w:lang w:val="es-ES_tradnl"/>
        </w:rPr>
      </w:pPr>
    </w:p>
    <w:p w14:paraId="6FEA526C" w14:textId="053B5DAB" w:rsidR="00360C4F" w:rsidRPr="00725A15" w:rsidRDefault="00360C4F" w:rsidP="00360C4F">
      <w:pPr>
        <w:spacing w:after="120" w:line="276" w:lineRule="auto"/>
        <w:ind w:firstLine="709"/>
        <w:jc w:val="both"/>
        <w:rPr>
          <w:rFonts w:ascii="Verdana" w:eastAsia="Calibri" w:hAnsi="Verdana" w:cs="Arial"/>
          <w:shd w:val="clear" w:color="auto" w:fill="FFFFFF"/>
        </w:rPr>
      </w:pPr>
      <w:r w:rsidRPr="00725A15">
        <w:rPr>
          <w:rFonts w:ascii="Verdana" w:eastAsia="Calibri" w:hAnsi="Verdana" w:cs="Arial"/>
          <w:lang w:val="es-ES"/>
        </w:rPr>
        <w:t>De conformidad con lo anterior, debe entenderse que la contratación a la que se refiere el artículo 53 de la Ley 2195 de 202</w:t>
      </w:r>
      <w:r w:rsidR="00725A15" w:rsidRPr="00725A15">
        <w:rPr>
          <w:rFonts w:ascii="Verdana" w:eastAsia="Calibri" w:hAnsi="Verdana" w:cs="Arial"/>
          <w:lang w:val="es-ES"/>
        </w:rPr>
        <w:t>2</w:t>
      </w:r>
      <w:r w:rsidRPr="00725A15">
        <w:rPr>
          <w:rFonts w:ascii="Verdana" w:eastAsia="Calibri" w:hAnsi="Verdana" w:cs="Arial"/>
          <w:lang w:val="es-ES"/>
        </w:rPr>
        <w:t xml:space="preserve">, es aquella realizada con cargo a recursos públicos, cuya información es la que debe publicarse en el SECOP II, acorde con la interpretación sistemática que permite armonizar la referida norma con todo el contexto normativo que establece que en dicha plataforma se debe publicar sólo la información relativa a la actividad contractual financiada dineros públicos. </w:t>
      </w:r>
      <w:r w:rsidRPr="00725A15">
        <w:rPr>
          <w:rFonts w:ascii="Verdana" w:eastAsia="Calibri" w:hAnsi="Verdana" w:cs="Arial"/>
          <w:shd w:val="clear" w:color="auto" w:fill="FFFFFF"/>
        </w:rPr>
        <w:t xml:space="preserve">En consideración a esto, resulta claro que la obligatoriedad de publicar la actividad contractual establecida en el artículo 13 de la Ley 1150 de 2007, adicionado por el artículo 53 de la Ley 2195 de 2022, se refiere a la contratación financiada con recursos públicos, deviniendo en </w:t>
      </w:r>
      <w:r w:rsidRPr="00725A15">
        <w:rPr>
          <w:rFonts w:ascii="Verdana" w:eastAsia="Calibri" w:hAnsi="Verdana" w:cs="Arial"/>
          <w:shd w:val="clear" w:color="auto" w:fill="FFFFFF"/>
        </w:rPr>
        <w:lastRenderedPageBreak/>
        <w:t xml:space="preserve">potestativa la publicación de la contratación </w:t>
      </w:r>
      <w:r w:rsidRPr="00725A15">
        <w:rPr>
          <w:rFonts w:ascii="Verdana" w:eastAsia="Calibri" w:hAnsi="Verdana" w:cs="Arial"/>
          <w:shd w:val="clear" w:color="auto" w:fill="FFFFFF"/>
          <w:lang w:val="es-ES"/>
        </w:rPr>
        <w:t xml:space="preserve">desarrollada con otro tipo de recursos. </w:t>
      </w:r>
    </w:p>
    <w:p w14:paraId="0B68F3D2" w14:textId="77777777" w:rsidR="00360C4F" w:rsidRPr="00725A15" w:rsidRDefault="00360C4F" w:rsidP="00360C4F">
      <w:pPr>
        <w:spacing w:after="0" w:line="276" w:lineRule="auto"/>
        <w:ind w:firstLine="708"/>
        <w:jc w:val="both"/>
        <w:rPr>
          <w:rFonts w:ascii="Verdana" w:eastAsia="Aptos" w:hAnsi="Verdana" w:cs="Arial"/>
          <w:shd w:val="clear" w:color="auto" w:fill="FFFFFF"/>
        </w:rPr>
      </w:pPr>
      <w:r w:rsidRPr="00725A15">
        <w:rPr>
          <w:rFonts w:ascii="Verdana" w:eastAsia="Calibri" w:hAnsi="Verdana" w:cs="Arial"/>
          <w:color w:val="000000" w:themeColor="text1"/>
        </w:rPr>
        <w:t>Finalmente, se advierte que la Agencia Nacional de Contratación Pública – Colombia Compra Eficiente, por vía consultiva, no puede definir un criterio universal y absoluto sobre la materia que se aborda, sino que brinda elementos hermenéuticos de carácter general para que los partícipes del sistema de compras y contratación pública adopten la decisión que corresponda, lo cual es acorde con el principio de juridicidad. Por lo que, e</w:t>
      </w:r>
      <w:r w:rsidRPr="00725A15">
        <w:rPr>
          <w:rFonts w:ascii="Verdana" w:eastAsia="Aptos" w:hAnsi="Verdana" w:cs="Arial"/>
          <w:shd w:val="clear" w:color="auto" w:fill="FFFFFF"/>
        </w:rPr>
        <w:t xml:space="preserve">n todo caso, corresponde a cada entidad de régimen especial de contratación dar cumplimiento al deber de publicación que les asiste en relación con su actividad contractual en cumplimiento del artículo 53 de la Ley 2195 de 2022. </w:t>
      </w:r>
    </w:p>
    <w:p w14:paraId="6D2E3D1A" w14:textId="77777777" w:rsidR="00616202" w:rsidRPr="00725A15" w:rsidRDefault="00616202" w:rsidP="00616202">
      <w:pPr>
        <w:tabs>
          <w:tab w:val="left" w:pos="709"/>
        </w:tabs>
        <w:spacing w:after="0" w:line="276" w:lineRule="auto"/>
        <w:jc w:val="both"/>
        <w:rPr>
          <w:rFonts w:ascii="Verdana" w:eastAsia="Calibri" w:hAnsi="Verdana" w:cs="Arial"/>
          <w:color w:val="000000" w:themeColor="text1"/>
        </w:rPr>
      </w:pPr>
    </w:p>
    <w:p w14:paraId="21EB05E2" w14:textId="77777777" w:rsidR="00616202" w:rsidRPr="00725A15" w:rsidRDefault="00616202" w:rsidP="00616202">
      <w:pPr>
        <w:numPr>
          <w:ilvl w:val="0"/>
          <w:numId w:val="17"/>
        </w:numPr>
        <w:tabs>
          <w:tab w:val="left" w:pos="142"/>
          <w:tab w:val="left" w:pos="284"/>
        </w:tabs>
        <w:spacing w:after="0" w:line="276" w:lineRule="auto"/>
        <w:jc w:val="both"/>
        <w:rPr>
          <w:rFonts w:ascii="Verdana" w:eastAsia="Century Gothic" w:hAnsi="Verdana" w:cs="Century Gothic"/>
          <w:b/>
          <w:bCs/>
          <w:lang w:val="es-ES"/>
        </w:rPr>
      </w:pPr>
      <w:r w:rsidRPr="00725A15">
        <w:rPr>
          <w:rFonts w:ascii="Verdana" w:eastAsia="Century Gothic" w:hAnsi="Verdana" w:cs="Century Gothic"/>
          <w:b/>
          <w:bCs/>
          <w:lang w:val="es-ES"/>
        </w:rPr>
        <w:t>Referencias normativas:</w:t>
      </w:r>
    </w:p>
    <w:p w14:paraId="504D7742" w14:textId="77777777" w:rsidR="00616202" w:rsidRPr="00725A15" w:rsidRDefault="00616202" w:rsidP="00616202">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616202" w:rsidRPr="00725A15" w14:paraId="788F0A50" w14:textId="77777777" w:rsidTr="001724C6">
        <w:trPr>
          <w:trHeight w:val="870"/>
          <w:jc w:val="center"/>
        </w:trPr>
        <w:tc>
          <w:tcPr>
            <w:tcW w:w="8647" w:type="dxa"/>
          </w:tcPr>
          <w:p w14:paraId="46E4F5BE" w14:textId="77777777" w:rsidR="00616202" w:rsidRPr="00725A15" w:rsidRDefault="00616202" w:rsidP="00616202">
            <w:pPr>
              <w:widowControl w:val="0"/>
              <w:numPr>
                <w:ilvl w:val="0"/>
                <w:numId w:val="16"/>
              </w:numPr>
              <w:autoSpaceDE w:val="0"/>
              <w:autoSpaceDN w:val="0"/>
              <w:spacing w:after="120" w:line="276" w:lineRule="auto"/>
              <w:ind w:left="714" w:hanging="357"/>
              <w:jc w:val="both"/>
              <w:rPr>
                <w:rFonts w:ascii="Verdana" w:hAnsi="Verdana" w:cs="Arial"/>
                <w:color w:val="000000" w:themeColor="text1"/>
                <w:lang w:val="es-ES_tradnl"/>
              </w:rPr>
            </w:pPr>
            <w:r w:rsidRPr="00725A15">
              <w:rPr>
                <w:rFonts w:ascii="Verdana" w:hAnsi="Verdana" w:cs="Arial"/>
                <w:lang w:val="es-ES"/>
              </w:rPr>
              <w:t>Constitución Política de Colombia, artículos 74 y 209.</w:t>
            </w:r>
          </w:p>
          <w:p w14:paraId="58B460E6" w14:textId="77777777" w:rsidR="00616202" w:rsidRPr="00725A15" w:rsidRDefault="00616202" w:rsidP="00616202">
            <w:pPr>
              <w:widowControl w:val="0"/>
              <w:numPr>
                <w:ilvl w:val="0"/>
                <w:numId w:val="16"/>
              </w:numPr>
              <w:autoSpaceDE w:val="0"/>
              <w:autoSpaceDN w:val="0"/>
              <w:spacing w:after="120" w:line="276" w:lineRule="auto"/>
              <w:ind w:left="714" w:hanging="357"/>
              <w:jc w:val="both"/>
              <w:rPr>
                <w:rFonts w:ascii="Verdana" w:hAnsi="Verdana" w:cs="Arial"/>
                <w:color w:val="000000" w:themeColor="text1"/>
                <w:lang w:val="es-ES_tradnl"/>
              </w:rPr>
            </w:pPr>
            <w:r w:rsidRPr="00725A15">
              <w:rPr>
                <w:rFonts w:ascii="Verdana" w:hAnsi="Verdana" w:cs="Arial"/>
                <w:lang w:val="es-ES"/>
              </w:rPr>
              <w:t>Ley 100 de 1993, artículos 177, 180 y 181.</w:t>
            </w:r>
          </w:p>
          <w:p w14:paraId="1AF64075" w14:textId="77777777" w:rsidR="00616202" w:rsidRPr="00725A15" w:rsidRDefault="00616202" w:rsidP="00616202">
            <w:pPr>
              <w:widowControl w:val="0"/>
              <w:numPr>
                <w:ilvl w:val="0"/>
                <w:numId w:val="16"/>
              </w:numPr>
              <w:autoSpaceDE w:val="0"/>
              <w:autoSpaceDN w:val="0"/>
              <w:spacing w:after="120" w:line="276" w:lineRule="auto"/>
              <w:ind w:left="714" w:hanging="357"/>
              <w:jc w:val="both"/>
              <w:rPr>
                <w:rFonts w:ascii="Verdana" w:hAnsi="Verdana" w:cs="Arial"/>
                <w:color w:val="000000" w:themeColor="text1"/>
                <w:lang w:val="es-ES_tradnl"/>
              </w:rPr>
            </w:pPr>
            <w:r w:rsidRPr="00725A15">
              <w:rPr>
                <w:rFonts w:ascii="Verdana" w:hAnsi="Verdana" w:cs="Arial"/>
                <w:lang w:val="es-ES"/>
              </w:rPr>
              <w:t>Ley 1150 de 2007, artículos 3, 13 y 33.</w:t>
            </w:r>
          </w:p>
          <w:p w14:paraId="7413875E" w14:textId="77777777" w:rsidR="00616202" w:rsidRPr="00725A15" w:rsidRDefault="00616202" w:rsidP="00616202">
            <w:pPr>
              <w:widowControl w:val="0"/>
              <w:numPr>
                <w:ilvl w:val="0"/>
                <w:numId w:val="16"/>
              </w:numPr>
              <w:autoSpaceDE w:val="0"/>
              <w:autoSpaceDN w:val="0"/>
              <w:spacing w:after="120" w:line="276" w:lineRule="auto"/>
              <w:ind w:left="714" w:hanging="357"/>
              <w:jc w:val="both"/>
              <w:rPr>
                <w:rFonts w:ascii="Verdana" w:hAnsi="Verdana" w:cs="Arial"/>
                <w:color w:val="000000" w:themeColor="text1"/>
                <w:lang w:val="es-ES_tradnl"/>
              </w:rPr>
            </w:pPr>
            <w:r w:rsidRPr="00725A15">
              <w:rPr>
                <w:rFonts w:ascii="Verdana" w:hAnsi="Verdana" w:cs="Arial"/>
                <w:lang w:val="es-ES"/>
              </w:rPr>
              <w:t>Ley 1266 de 2008, artículo 3.</w:t>
            </w:r>
          </w:p>
          <w:p w14:paraId="2C3D0A33" w14:textId="77777777" w:rsidR="00616202" w:rsidRPr="00725A15" w:rsidRDefault="00616202" w:rsidP="00616202">
            <w:pPr>
              <w:widowControl w:val="0"/>
              <w:numPr>
                <w:ilvl w:val="0"/>
                <w:numId w:val="16"/>
              </w:numPr>
              <w:autoSpaceDE w:val="0"/>
              <w:autoSpaceDN w:val="0"/>
              <w:spacing w:after="120" w:line="276" w:lineRule="auto"/>
              <w:ind w:left="714" w:hanging="357"/>
              <w:jc w:val="both"/>
              <w:rPr>
                <w:rFonts w:ascii="Verdana" w:hAnsi="Verdana" w:cs="Arial"/>
                <w:color w:val="000000" w:themeColor="text1"/>
                <w:lang w:val="es-ES_tradnl"/>
              </w:rPr>
            </w:pPr>
            <w:r w:rsidRPr="00725A15">
              <w:rPr>
                <w:rFonts w:ascii="Verdana" w:hAnsi="Verdana" w:cs="Arial"/>
                <w:lang w:val="es-ES"/>
              </w:rPr>
              <w:t>Ley 1437 de 2011, artículos 3, 21, 28, 24, 25 y 112.</w:t>
            </w:r>
          </w:p>
          <w:p w14:paraId="3CBD137B" w14:textId="77777777" w:rsidR="00616202" w:rsidRPr="00725A15" w:rsidRDefault="00616202" w:rsidP="00616202">
            <w:pPr>
              <w:widowControl w:val="0"/>
              <w:numPr>
                <w:ilvl w:val="0"/>
                <w:numId w:val="16"/>
              </w:numPr>
              <w:autoSpaceDE w:val="0"/>
              <w:autoSpaceDN w:val="0"/>
              <w:spacing w:after="120" w:line="276" w:lineRule="auto"/>
              <w:ind w:left="714" w:hanging="357"/>
              <w:jc w:val="both"/>
              <w:rPr>
                <w:rFonts w:ascii="Verdana" w:hAnsi="Verdana" w:cs="Arial"/>
                <w:color w:val="000000" w:themeColor="text1"/>
                <w:lang w:val="es-ES_tradnl"/>
              </w:rPr>
            </w:pPr>
            <w:r w:rsidRPr="00725A15">
              <w:rPr>
                <w:rFonts w:ascii="Verdana" w:hAnsi="Verdana" w:cs="Arial"/>
                <w:lang w:val="es-ES"/>
              </w:rPr>
              <w:t xml:space="preserve">Ley 1581 de 2012, artículos 3 y 5. </w:t>
            </w:r>
          </w:p>
          <w:p w14:paraId="3CA11E11" w14:textId="77777777" w:rsidR="00616202" w:rsidRPr="00725A15" w:rsidRDefault="00616202" w:rsidP="00616202">
            <w:pPr>
              <w:widowControl w:val="0"/>
              <w:numPr>
                <w:ilvl w:val="0"/>
                <w:numId w:val="16"/>
              </w:numPr>
              <w:autoSpaceDE w:val="0"/>
              <w:autoSpaceDN w:val="0"/>
              <w:spacing w:after="120" w:line="276" w:lineRule="auto"/>
              <w:ind w:left="714" w:hanging="357"/>
              <w:jc w:val="both"/>
              <w:rPr>
                <w:rFonts w:ascii="Verdana" w:hAnsi="Verdana" w:cs="Arial"/>
                <w:color w:val="000000" w:themeColor="text1"/>
                <w:lang w:val="es-ES_tradnl"/>
              </w:rPr>
            </w:pPr>
            <w:r w:rsidRPr="00725A15">
              <w:rPr>
                <w:rFonts w:ascii="Verdana" w:hAnsi="Verdana" w:cs="Arial"/>
                <w:lang w:val="es-ES"/>
              </w:rPr>
              <w:t>Ley 1712 de 2014, artículos 5, 6, 11, 18, 19 y 21.</w:t>
            </w:r>
          </w:p>
          <w:p w14:paraId="0C0B377D" w14:textId="77777777" w:rsidR="00616202" w:rsidRPr="00725A15" w:rsidRDefault="00616202" w:rsidP="00616202">
            <w:pPr>
              <w:widowControl w:val="0"/>
              <w:numPr>
                <w:ilvl w:val="0"/>
                <w:numId w:val="16"/>
              </w:numPr>
              <w:autoSpaceDE w:val="0"/>
              <w:autoSpaceDN w:val="0"/>
              <w:spacing w:after="120" w:line="276" w:lineRule="auto"/>
              <w:ind w:left="714" w:hanging="357"/>
              <w:jc w:val="both"/>
              <w:rPr>
                <w:rFonts w:ascii="Verdana" w:hAnsi="Verdana" w:cs="Arial"/>
                <w:color w:val="000000" w:themeColor="text1"/>
                <w:lang w:val="es-ES_tradnl"/>
              </w:rPr>
            </w:pPr>
            <w:r w:rsidRPr="00725A15">
              <w:rPr>
                <w:rFonts w:ascii="Verdana" w:hAnsi="Verdana" w:cs="Arial"/>
                <w:lang w:val="es-ES"/>
              </w:rPr>
              <w:t>Ley 2195 de 2022, artículos 1 y 53.</w:t>
            </w:r>
          </w:p>
          <w:p w14:paraId="255C6A90" w14:textId="77777777" w:rsidR="00616202" w:rsidRPr="00725A15" w:rsidRDefault="00616202" w:rsidP="00616202">
            <w:pPr>
              <w:widowControl w:val="0"/>
              <w:numPr>
                <w:ilvl w:val="0"/>
                <w:numId w:val="16"/>
              </w:numPr>
              <w:autoSpaceDE w:val="0"/>
              <w:autoSpaceDN w:val="0"/>
              <w:spacing w:after="120" w:line="276" w:lineRule="auto"/>
              <w:ind w:left="714" w:hanging="357"/>
              <w:jc w:val="both"/>
              <w:rPr>
                <w:rFonts w:ascii="Verdana" w:hAnsi="Verdana" w:cs="Arial"/>
                <w:color w:val="000000" w:themeColor="text1"/>
                <w:lang w:val="es-ES_tradnl"/>
              </w:rPr>
            </w:pPr>
            <w:r w:rsidRPr="00725A15">
              <w:rPr>
                <w:rFonts w:ascii="Verdana" w:hAnsi="Verdana" w:cs="Arial"/>
                <w:lang w:val="es-ES"/>
              </w:rPr>
              <w:t>Decreto Ley 4170 de 2011, artículo 1.</w:t>
            </w:r>
          </w:p>
          <w:p w14:paraId="6570D9F9" w14:textId="77777777" w:rsidR="00616202" w:rsidRPr="00725A15" w:rsidRDefault="00616202" w:rsidP="00616202">
            <w:pPr>
              <w:widowControl w:val="0"/>
              <w:numPr>
                <w:ilvl w:val="0"/>
                <w:numId w:val="16"/>
              </w:numPr>
              <w:autoSpaceDE w:val="0"/>
              <w:autoSpaceDN w:val="0"/>
              <w:spacing w:after="120" w:line="276" w:lineRule="auto"/>
              <w:ind w:left="714" w:hanging="357"/>
              <w:jc w:val="both"/>
              <w:rPr>
                <w:rFonts w:ascii="Verdana" w:hAnsi="Verdana" w:cs="Arial"/>
                <w:color w:val="000000" w:themeColor="text1"/>
                <w:lang w:val="es-ES_tradnl"/>
              </w:rPr>
            </w:pPr>
            <w:r w:rsidRPr="00725A15">
              <w:rPr>
                <w:rFonts w:ascii="Verdana" w:hAnsi="Verdana" w:cs="Arial"/>
                <w:lang w:val="es-ES"/>
              </w:rPr>
              <w:t xml:space="preserve">Decreto 1074 de 2015, artículo </w:t>
            </w:r>
            <w:r w:rsidRPr="00725A15">
              <w:rPr>
                <w:rFonts w:ascii="Verdana" w:eastAsia="Calibri" w:hAnsi="Verdana" w:cs="Arial"/>
                <w:color w:val="000000"/>
                <w:lang w:val="es-ES_tradnl" w:eastAsia="en-GB"/>
              </w:rPr>
              <w:t>2.2.2.25.1.3.</w:t>
            </w:r>
          </w:p>
          <w:p w14:paraId="3567001F" w14:textId="77777777" w:rsidR="00616202" w:rsidRPr="00725A15" w:rsidRDefault="00616202" w:rsidP="00616202">
            <w:pPr>
              <w:widowControl w:val="0"/>
              <w:numPr>
                <w:ilvl w:val="0"/>
                <w:numId w:val="16"/>
              </w:numPr>
              <w:autoSpaceDE w:val="0"/>
              <w:autoSpaceDN w:val="0"/>
              <w:spacing w:after="120" w:line="276" w:lineRule="auto"/>
              <w:ind w:left="714" w:hanging="357"/>
              <w:jc w:val="both"/>
              <w:rPr>
                <w:rFonts w:ascii="Verdana" w:hAnsi="Verdana" w:cs="Arial"/>
                <w:color w:val="000000" w:themeColor="text1"/>
                <w:lang w:val="es-ES_tradnl"/>
              </w:rPr>
            </w:pPr>
            <w:r w:rsidRPr="00725A15">
              <w:rPr>
                <w:rFonts w:ascii="Verdana" w:hAnsi="Verdana" w:cs="Arial"/>
                <w:lang w:val="es-ES"/>
              </w:rPr>
              <w:t>Decreto 1081 de 2015, artículo 2.1.1.2.1.7.</w:t>
            </w:r>
          </w:p>
          <w:p w14:paraId="4B7C76DC" w14:textId="77777777" w:rsidR="00616202" w:rsidRPr="00725A15" w:rsidRDefault="00616202" w:rsidP="00616202">
            <w:pPr>
              <w:widowControl w:val="0"/>
              <w:numPr>
                <w:ilvl w:val="0"/>
                <w:numId w:val="16"/>
              </w:numPr>
              <w:autoSpaceDE w:val="0"/>
              <w:autoSpaceDN w:val="0"/>
              <w:spacing w:after="120" w:line="276" w:lineRule="auto"/>
              <w:ind w:left="714" w:hanging="357"/>
              <w:jc w:val="both"/>
              <w:rPr>
                <w:rFonts w:ascii="Verdana" w:hAnsi="Verdana" w:cs="Arial"/>
                <w:color w:val="000000" w:themeColor="text1"/>
                <w:lang w:val="es-ES_tradnl"/>
              </w:rPr>
            </w:pPr>
            <w:r w:rsidRPr="00725A15">
              <w:rPr>
                <w:rFonts w:ascii="Verdana" w:hAnsi="Verdana" w:cs="Arial"/>
                <w:lang w:val="es-ES"/>
              </w:rPr>
              <w:t>Decreto 1082 de 2015, artículos 2.2.1.1.1.3.1 y 2.2.1.1.1.7.1.</w:t>
            </w:r>
          </w:p>
          <w:p w14:paraId="00E8A859" w14:textId="77777777" w:rsidR="00616202" w:rsidRPr="00725A15" w:rsidRDefault="00616202" w:rsidP="001724C6">
            <w:pPr>
              <w:widowControl w:val="0"/>
              <w:autoSpaceDE w:val="0"/>
              <w:autoSpaceDN w:val="0"/>
              <w:spacing w:after="120" w:line="276" w:lineRule="auto"/>
              <w:ind w:left="357"/>
              <w:jc w:val="both"/>
              <w:rPr>
                <w:rFonts w:ascii="Verdana" w:hAnsi="Verdana" w:cs="Arial"/>
                <w:color w:val="000000" w:themeColor="text1"/>
                <w:lang w:val="es-ES_tradnl"/>
              </w:rPr>
            </w:pPr>
            <w:r w:rsidRPr="00725A15">
              <w:rPr>
                <w:rFonts w:ascii="Verdana" w:hAnsi="Verdana" w:cs="Arial"/>
                <w:color w:val="000000" w:themeColor="text1"/>
                <w:lang w:val="es-ES_tradnl"/>
              </w:rPr>
              <w:t xml:space="preserve"> </w:t>
            </w:r>
          </w:p>
        </w:tc>
      </w:tr>
    </w:tbl>
    <w:p w14:paraId="228B90CF" w14:textId="77777777" w:rsidR="00616202" w:rsidRPr="00725A15" w:rsidRDefault="00616202" w:rsidP="00616202">
      <w:pPr>
        <w:widowControl w:val="0"/>
        <w:autoSpaceDE w:val="0"/>
        <w:autoSpaceDN w:val="0"/>
        <w:spacing w:after="0" w:line="276" w:lineRule="auto"/>
        <w:jc w:val="both"/>
        <w:rPr>
          <w:rFonts w:ascii="Verdana" w:hAnsi="Verdana" w:cs="Arial"/>
        </w:rPr>
      </w:pPr>
    </w:p>
    <w:p w14:paraId="5F3F09DF" w14:textId="77777777" w:rsidR="00616202" w:rsidRPr="00725A15" w:rsidRDefault="00616202" w:rsidP="00616202">
      <w:pPr>
        <w:numPr>
          <w:ilvl w:val="0"/>
          <w:numId w:val="17"/>
        </w:numPr>
        <w:tabs>
          <w:tab w:val="left" w:pos="142"/>
          <w:tab w:val="left" w:pos="284"/>
        </w:tabs>
        <w:spacing w:after="0" w:line="276" w:lineRule="auto"/>
        <w:jc w:val="both"/>
        <w:rPr>
          <w:rFonts w:ascii="Verdana" w:eastAsia="Century Gothic" w:hAnsi="Verdana" w:cs="Century Gothic"/>
          <w:b/>
          <w:bCs/>
          <w:lang w:val="es-ES"/>
        </w:rPr>
      </w:pPr>
      <w:r w:rsidRPr="00725A15">
        <w:rPr>
          <w:rFonts w:ascii="Verdana" w:eastAsia="Century Gothic" w:hAnsi="Verdana" w:cs="Century Gothic"/>
          <w:b/>
          <w:bCs/>
          <w:lang w:val="es-ES"/>
        </w:rPr>
        <w:t>Doctrina de la Agencia Nacional de Contratación Pública:</w:t>
      </w:r>
    </w:p>
    <w:p w14:paraId="106AA474" w14:textId="77777777" w:rsidR="00616202" w:rsidRPr="00725A15" w:rsidRDefault="00616202" w:rsidP="00616202">
      <w:pPr>
        <w:widowControl w:val="0"/>
        <w:autoSpaceDE w:val="0"/>
        <w:autoSpaceDN w:val="0"/>
        <w:spacing w:after="0" w:line="276" w:lineRule="auto"/>
        <w:jc w:val="both"/>
        <w:rPr>
          <w:rFonts w:ascii="Verdana" w:hAnsi="Verdana" w:cs="Arial"/>
        </w:rPr>
      </w:pPr>
    </w:p>
    <w:p w14:paraId="6633B3F4" w14:textId="77777777" w:rsidR="00616202" w:rsidRPr="00725A15" w:rsidRDefault="00616202" w:rsidP="00616202">
      <w:pPr>
        <w:widowControl w:val="0"/>
        <w:autoSpaceDE w:val="0"/>
        <w:autoSpaceDN w:val="0"/>
        <w:spacing w:after="0" w:line="276" w:lineRule="auto"/>
        <w:jc w:val="both"/>
        <w:rPr>
          <w:rFonts w:ascii="Verdana" w:hAnsi="Verdana"/>
        </w:rPr>
      </w:pPr>
      <w:r w:rsidRPr="00725A15">
        <w:rPr>
          <w:rFonts w:ascii="Verdana" w:hAnsi="Verdana" w:cs="Arial"/>
          <w:shd w:val="clear" w:color="auto" w:fill="FFFFFF"/>
        </w:rPr>
        <w:t xml:space="preserve">Esta Subdirección se ha pronunciado sobre los fundamentos normativos del </w:t>
      </w:r>
      <w:r w:rsidRPr="00725A15">
        <w:rPr>
          <w:rFonts w:ascii="Verdana" w:hAnsi="Verdana" w:cs="Arial"/>
          <w:shd w:val="clear" w:color="auto" w:fill="FFFFFF"/>
        </w:rPr>
        <w:lastRenderedPageBreak/>
        <w:t>deber de publicar la documentación contractual en las Sistema Electrónico de Contratación Pública–SECOP–, han sido materia de estudio de la doctrina de esta Subdirección en los Conceptos CU-003 del 15 de enero de 2020 y CU-367 del 23 de julio de 2020, reiterados en los Conceptos C-433 de 24 de julio de 2020, C-468 del 24 de julio de 2020, C-474 de 24 de julio de 2020, C-488 del 28 de julio de 2020, C-544 del 21 de agosto de 2020, C-575 del 27 de agosto de 2020, C-643 del 26 de octubre de 2020, C-661 del 17 de noviembre de 2020, C-094 del 13 de abril de 2021, C-068 del 22 de abril de 2021, C-185 del 29 de abril de 2021, C-472 del 6 de septiembre de 2021, C-074 del 10 de marzo de 2022, C-083 del 18 de marzo de 2022, C-135 del 28 de marzo de 2022, C-332 del 24 de mayo de 2022, C-337 del 25 de mayo de 2022, C-355 del 2 de junio de 2022, C-379 del 22 de junio de 2022 y C-794 del 10 de julio de 2025. De igual manera, esta Subdirección se ha referido al alcance de lo dispuesto en el artículo 53 de la Ley 2195 de 2022 en los conceptos C-049 del 7 de marzo de 2022, C-120 del 22 de marzo de 2022, C-124 del 22 de marzo de 2022, C-132 del 28 de marzo de 2022, C-337 del 25 de mayo de 2022, C-348 del 13 de junio de 2022, C-357 del 13 de junio de 2022, C-422 del 13 de julio de 2022, C-475 del 26 de julio de 2022, C-480 del 18 de julio de 2022, C-492 del 2 de agosto de 2022, C-495 del 2 de agosto de 2022, C-510 del 8 de agosto de 2022, C-508 de 30 de agosto de 2022, C-457 del 24 de octubre de 2023, C-460 del 30 de noviembre de 2023, C-592 del 7 de octubre de 2024 y C-794 del 2 de julio de 2025</w:t>
      </w:r>
      <w:r w:rsidRPr="00725A15">
        <w:rPr>
          <w:rFonts w:ascii="Verdana" w:hAnsi="Verdana"/>
        </w:rPr>
        <w:t xml:space="preserve">. </w:t>
      </w:r>
      <w:r w:rsidRPr="00725A15">
        <w:rPr>
          <w:rFonts w:ascii="Verdana" w:hAnsi="Verdana" w:cs="Arial"/>
          <w:shd w:val="clear" w:color="auto" w:fill="FFFFFF"/>
        </w:rPr>
        <w:t xml:space="preserve">Estos y otros se encuentran disponibles para consulta en el Sistema de relatoría de la Agencia, al cual puede accederse a través del siguiente enlace: </w:t>
      </w:r>
      <w:hyperlink r:id="rId11" w:history="1">
        <w:r w:rsidRPr="00725A15">
          <w:rPr>
            <w:rFonts w:ascii="Verdana" w:hAnsi="Verdana" w:cs="Arial"/>
            <w:color w:val="0000FF"/>
            <w:u w:val="single"/>
            <w:shd w:val="clear" w:color="auto" w:fill="FFFFFF"/>
          </w:rPr>
          <w:t>https://relatoria.colombiacompra.gov.co/busqueda/conceptos</w:t>
        </w:r>
      </w:hyperlink>
      <w:r w:rsidRPr="00725A15">
        <w:rPr>
          <w:rFonts w:ascii="Verdana" w:hAnsi="Verdana" w:cs="Arial"/>
          <w:shd w:val="clear" w:color="auto" w:fill="FFFFFF"/>
        </w:rPr>
        <w:t xml:space="preserve">. </w:t>
      </w:r>
      <w:r w:rsidRPr="00725A15">
        <w:rPr>
          <w:rFonts w:ascii="Verdana" w:hAnsi="Verdana" w:cs="Arial"/>
          <w:color w:val="FF0000"/>
          <w:shd w:val="clear" w:color="auto" w:fill="FFFFFF"/>
          <w:lang w:val="es-ES"/>
        </w:rPr>
        <w:t xml:space="preserve"> </w:t>
      </w:r>
    </w:p>
    <w:p w14:paraId="4D7574D7" w14:textId="77777777" w:rsidR="00616202" w:rsidRPr="00725A15" w:rsidRDefault="00616202" w:rsidP="00616202">
      <w:pPr>
        <w:widowControl w:val="0"/>
        <w:autoSpaceDE w:val="0"/>
        <w:autoSpaceDN w:val="0"/>
        <w:spacing w:after="0" w:line="276" w:lineRule="auto"/>
        <w:jc w:val="both"/>
        <w:rPr>
          <w:rFonts w:ascii="Verdana" w:hAnsi="Verdana" w:cs="Arial"/>
          <w:color w:val="FF0000"/>
          <w:shd w:val="clear" w:color="auto" w:fill="FFFFFF"/>
          <w:lang w:val="es-ES_tradnl"/>
        </w:rPr>
      </w:pPr>
      <w:r w:rsidRPr="00725A15">
        <w:rPr>
          <w:rFonts w:ascii="Verdana" w:hAnsi="Verdana" w:cs="Arial"/>
          <w:color w:val="000000" w:themeColor="text1"/>
          <w:shd w:val="clear" w:color="auto" w:fill="FFFFFF"/>
          <w:lang w:val="es-ES_tradnl"/>
        </w:rPr>
        <w:t xml:space="preserve"> </w:t>
      </w:r>
      <w:r w:rsidRPr="00725A15">
        <w:rPr>
          <w:rFonts w:ascii="Verdana" w:hAnsi="Verdana" w:cs="Arial"/>
          <w:color w:val="FF0000"/>
          <w:shd w:val="clear" w:color="auto" w:fill="FFFFFF"/>
          <w:lang w:val="es-ES_tradnl"/>
        </w:rPr>
        <w:t xml:space="preserve">        </w:t>
      </w:r>
    </w:p>
    <w:p w14:paraId="2E1037AB" w14:textId="77777777" w:rsidR="00616202" w:rsidRPr="00725A15" w:rsidRDefault="00616202" w:rsidP="00616202">
      <w:pPr>
        <w:widowControl w:val="0"/>
        <w:autoSpaceDE w:val="0"/>
        <w:autoSpaceDN w:val="0"/>
        <w:spacing w:after="0" w:line="276" w:lineRule="auto"/>
        <w:jc w:val="both"/>
        <w:rPr>
          <w:rFonts w:ascii="Verdana" w:hAnsi="Verdana" w:cs="Arial"/>
          <w:lang w:val="es-ES_tradnl"/>
        </w:rPr>
      </w:pPr>
      <w:r w:rsidRPr="00725A15">
        <w:rPr>
          <w:rFonts w:ascii="Verdana" w:hAnsi="Verdana" w:cs="Arial"/>
        </w:rPr>
        <w:t xml:space="preserve">Este concepto tiene el alcance previsto en el artículo 28 del Código de Procedimiento Administrativo y de lo Contencioso Administrativo </w:t>
      </w:r>
      <w:r w:rsidRPr="00725A15">
        <w:rPr>
          <w:rFonts w:ascii="Verdana" w:hAnsi="Verdana" w:cs="Arial"/>
          <w:lang w:val="es-ES_tradnl"/>
        </w:rPr>
        <w:t>y las expresiones aquí utilizadas con mayúscula inicial deben ser entendidas con el significado que les otorga el artículo 2.2.1.1.1.3.1. del Decreto 1082 de 2015.</w:t>
      </w:r>
    </w:p>
    <w:p w14:paraId="3F34739D" w14:textId="77777777" w:rsidR="00616202" w:rsidRPr="00725A15" w:rsidRDefault="00616202" w:rsidP="00616202">
      <w:pPr>
        <w:widowControl w:val="0"/>
        <w:autoSpaceDE w:val="0"/>
        <w:autoSpaceDN w:val="0"/>
        <w:spacing w:after="0" w:line="276" w:lineRule="auto"/>
        <w:jc w:val="both"/>
        <w:rPr>
          <w:rFonts w:ascii="Verdana" w:hAnsi="Verdana" w:cs="Arial"/>
        </w:rPr>
      </w:pPr>
    </w:p>
    <w:p w14:paraId="5A44155E" w14:textId="77777777" w:rsidR="00616202" w:rsidRPr="00725A15" w:rsidRDefault="00616202" w:rsidP="00616202">
      <w:pPr>
        <w:spacing w:after="0" w:line="240" w:lineRule="auto"/>
        <w:rPr>
          <w:rFonts w:ascii="Verdana" w:hAnsi="Verdana" w:cs="Arial"/>
          <w:lang w:eastAsia="es-CO"/>
        </w:rPr>
      </w:pPr>
      <w:r w:rsidRPr="00725A15">
        <w:rPr>
          <w:rFonts w:ascii="Verdana" w:eastAsia="Times New Roman" w:hAnsi="Verdana" w:cs="Arial"/>
          <w:lang w:eastAsia="es-CO"/>
        </w:rPr>
        <w:t>Atentamente,</w:t>
      </w:r>
      <w:r w:rsidRPr="00725A15">
        <w:rPr>
          <w:rFonts w:ascii="Verdana" w:hAnsi="Verdana" w:cs="Arial"/>
          <w:lang w:eastAsia="es-CO"/>
        </w:rPr>
        <w:t xml:space="preserve"> </w:t>
      </w:r>
    </w:p>
    <w:p w14:paraId="00F48DFF" w14:textId="77777777" w:rsidR="00616202" w:rsidRPr="00725A15" w:rsidRDefault="00616202" w:rsidP="00616202">
      <w:pPr>
        <w:spacing w:after="0" w:line="240" w:lineRule="auto"/>
        <w:rPr>
          <w:rFonts w:ascii="Verdana" w:hAnsi="Verdana" w:cs="Arial"/>
          <w:lang w:eastAsia="es-CO"/>
        </w:rPr>
      </w:pPr>
    </w:p>
    <w:p w14:paraId="40F810C1" w14:textId="26D4A701" w:rsidR="00616202" w:rsidRPr="00725A15" w:rsidRDefault="00A9029C" w:rsidP="00616202">
      <w:pPr>
        <w:spacing w:after="0" w:line="240" w:lineRule="auto"/>
        <w:jc w:val="center"/>
        <w:rPr>
          <w:rFonts w:ascii="Verdana" w:hAnsi="Verdana"/>
        </w:rPr>
      </w:pPr>
      <w:r w:rsidRPr="002C3AD6">
        <w:rPr>
          <w:rFonts w:ascii="Century Gothic" w:hAnsi="Century Gothic"/>
          <w:noProof/>
        </w:rPr>
        <w:lastRenderedPageBreak/>
        <w:drawing>
          <wp:inline distT="0" distB="0" distL="0" distR="0" wp14:anchorId="47178F1B" wp14:editId="6DD9CC0F">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2"/>
                    <a:stretch>
                      <a:fillRect/>
                    </a:stretch>
                  </pic:blipFill>
                  <pic:spPr>
                    <a:xfrm>
                      <a:off x="0" y="0"/>
                      <a:ext cx="3772426" cy="1400370"/>
                    </a:xfrm>
                    <a:prstGeom prst="rect">
                      <a:avLst/>
                    </a:prstGeom>
                  </pic:spPr>
                </pic:pic>
              </a:graphicData>
            </a:graphic>
          </wp:inline>
        </w:drawing>
      </w:r>
    </w:p>
    <w:p w14:paraId="07A7A0E6" w14:textId="77777777" w:rsidR="00616202" w:rsidRPr="00725A15" w:rsidRDefault="00616202" w:rsidP="00616202">
      <w:pPr>
        <w:spacing w:line="276" w:lineRule="auto"/>
        <w:jc w:val="center"/>
        <w:rPr>
          <w:rFonts w:ascii="Verdana" w:hAnsi="Verdana" w:cs="Arial"/>
          <w:color w:val="000000"/>
          <w:lang w:val="es-ES_tradnl"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616202" w:rsidRPr="00311CE4" w14:paraId="2651A9CD" w14:textId="77777777" w:rsidTr="001724C6">
        <w:trPr>
          <w:trHeight w:val="315"/>
        </w:trPr>
        <w:tc>
          <w:tcPr>
            <w:tcW w:w="893" w:type="dxa"/>
            <w:vAlign w:val="center"/>
            <w:hideMark/>
          </w:tcPr>
          <w:p w14:paraId="44D43BE5" w14:textId="77777777" w:rsidR="00616202" w:rsidRPr="00311CE4" w:rsidRDefault="00616202" w:rsidP="001724C6">
            <w:pPr>
              <w:spacing w:line="276" w:lineRule="auto"/>
              <w:jc w:val="both"/>
              <w:rPr>
                <w:rFonts w:ascii="Verdana" w:hAnsi="Verdana"/>
                <w:sz w:val="16"/>
                <w:szCs w:val="16"/>
              </w:rPr>
            </w:pPr>
            <w:r w:rsidRPr="00311CE4">
              <w:rPr>
                <w:rFonts w:ascii="Verdana" w:hAnsi="Verdana"/>
                <w:sz w:val="16"/>
                <w:szCs w:val="16"/>
              </w:rPr>
              <w:t>Elaboró:</w:t>
            </w:r>
          </w:p>
        </w:tc>
        <w:tc>
          <w:tcPr>
            <w:tcW w:w="5628" w:type="dxa"/>
            <w:tcBorders>
              <w:top w:val="nil"/>
              <w:left w:val="nil"/>
              <w:bottom w:val="dotted" w:sz="4" w:space="0" w:color="7F7F7F"/>
              <w:right w:val="nil"/>
            </w:tcBorders>
            <w:vAlign w:val="center"/>
            <w:hideMark/>
          </w:tcPr>
          <w:p w14:paraId="1D0A9DB4" w14:textId="77777777" w:rsidR="00616202" w:rsidRPr="00311CE4" w:rsidRDefault="00616202" w:rsidP="001724C6">
            <w:pPr>
              <w:spacing w:line="276" w:lineRule="auto"/>
              <w:jc w:val="both"/>
              <w:rPr>
                <w:rFonts w:ascii="Verdana" w:hAnsi="Verdana"/>
                <w:sz w:val="16"/>
                <w:szCs w:val="16"/>
              </w:rPr>
            </w:pPr>
            <w:r w:rsidRPr="00311CE4">
              <w:rPr>
                <w:rFonts w:ascii="Verdana" w:hAnsi="Verdana"/>
                <w:sz w:val="16"/>
                <w:szCs w:val="16"/>
              </w:rPr>
              <w:t xml:space="preserve">Diana Carolina Blanco Rodriguez </w:t>
            </w:r>
          </w:p>
          <w:p w14:paraId="3B50D03E" w14:textId="77777777" w:rsidR="00616202" w:rsidRPr="00311CE4" w:rsidRDefault="00616202" w:rsidP="001724C6">
            <w:pPr>
              <w:spacing w:line="276" w:lineRule="auto"/>
              <w:jc w:val="both"/>
              <w:rPr>
                <w:rFonts w:ascii="Verdana" w:hAnsi="Verdana"/>
                <w:sz w:val="16"/>
                <w:szCs w:val="16"/>
              </w:rPr>
            </w:pPr>
            <w:r w:rsidRPr="00311CE4">
              <w:rPr>
                <w:rFonts w:ascii="Verdana" w:hAnsi="Verdana"/>
                <w:sz w:val="16"/>
                <w:szCs w:val="16"/>
              </w:rPr>
              <w:t>Contratista de la Subdirección de Gestión Contractual</w:t>
            </w:r>
          </w:p>
        </w:tc>
      </w:tr>
      <w:tr w:rsidR="00616202" w:rsidRPr="00311CE4" w14:paraId="14235A99" w14:textId="77777777" w:rsidTr="001724C6">
        <w:trPr>
          <w:trHeight w:val="330"/>
        </w:trPr>
        <w:tc>
          <w:tcPr>
            <w:tcW w:w="893" w:type="dxa"/>
            <w:vAlign w:val="center"/>
            <w:hideMark/>
          </w:tcPr>
          <w:p w14:paraId="25EBD7B2" w14:textId="77777777" w:rsidR="00616202" w:rsidRPr="00311CE4" w:rsidRDefault="00616202" w:rsidP="001724C6">
            <w:pPr>
              <w:spacing w:line="276" w:lineRule="auto"/>
              <w:jc w:val="both"/>
              <w:rPr>
                <w:rFonts w:ascii="Verdana" w:hAnsi="Verdana"/>
                <w:sz w:val="16"/>
                <w:szCs w:val="16"/>
              </w:rPr>
            </w:pPr>
            <w:r w:rsidRPr="00311CE4">
              <w:rPr>
                <w:rFonts w:ascii="Verdana" w:hAnsi="Verdana"/>
                <w:sz w:val="16"/>
                <w:szCs w:val="16"/>
              </w:rPr>
              <w:t>Revisó:</w:t>
            </w:r>
          </w:p>
        </w:tc>
        <w:tc>
          <w:tcPr>
            <w:tcW w:w="5628" w:type="dxa"/>
            <w:tcBorders>
              <w:top w:val="dotted" w:sz="4" w:space="0" w:color="7F7F7F"/>
              <w:left w:val="nil"/>
              <w:bottom w:val="dotted" w:sz="4" w:space="0" w:color="7F7F7F"/>
              <w:right w:val="nil"/>
            </w:tcBorders>
            <w:vAlign w:val="center"/>
            <w:hideMark/>
          </w:tcPr>
          <w:p w14:paraId="63BE804F" w14:textId="77777777" w:rsidR="00616202" w:rsidRPr="00311CE4" w:rsidRDefault="00616202" w:rsidP="001724C6">
            <w:pPr>
              <w:spacing w:line="276" w:lineRule="auto"/>
              <w:jc w:val="both"/>
              <w:rPr>
                <w:rFonts w:ascii="Verdana" w:hAnsi="Verdana"/>
                <w:sz w:val="16"/>
                <w:szCs w:val="16"/>
              </w:rPr>
            </w:pPr>
            <w:r w:rsidRPr="00311CE4">
              <w:rPr>
                <w:rFonts w:ascii="Verdana" w:hAnsi="Verdana"/>
                <w:sz w:val="16"/>
                <w:szCs w:val="16"/>
              </w:rPr>
              <w:t>Diana Lucía Saavedra Castañeda</w:t>
            </w:r>
          </w:p>
          <w:p w14:paraId="1E4D3CD4" w14:textId="77777777" w:rsidR="00616202" w:rsidRPr="00311CE4" w:rsidRDefault="00616202" w:rsidP="001724C6">
            <w:pPr>
              <w:spacing w:line="276" w:lineRule="auto"/>
              <w:jc w:val="both"/>
              <w:rPr>
                <w:rFonts w:ascii="Verdana" w:hAnsi="Verdana"/>
                <w:sz w:val="16"/>
                <w:szCs w:val="16"/>
              </w:rPr>
            </w:pPr>
            <w:r w:rsidRPr="00311CE4">
              <w:rPr>
                <w:rFonts w:ascii="Verdana" w:hAnsi="Verdana"/>
                <w:sz w:val="16"/>
                <w:szCs w:val="16"/>
              </w:rPr>
              <w:t>Contratista de la Subdirección de Gestión Contractual </w:t>
            </w:r>
          </w:p>
        </w:tc>
      </w:tr>
      <w:tr w:rsidR="00616202" w:rsidRPr="00311CE4" w14:paraId="03C6196C" w14:textId="77777777" w:rsidTr="001724C6">
        <w:trPr>
          <w:trHeight w:val="300"/>
        </w:trPr>
        <w:tc>
          <w:tcPr>
            <w:tcW w:w="893" w:type="dxa"/>
            <w:vAlign w:val="center"/>
            <w:hideMark/>
          </w:tcPr>
          <w:p w14:paraId="2B57614C" w14:textId="77777777" w:rsidR="00616202" w:rsidRPr="00311CE4" w:rsidRDefault="00616202" w:rsidP="001724C6">
            <w:pPr>
              <w:spacing w:line="276" w:lineRule="auto"/>
              <w:jc w:val="both"/>
              <w:rPr>
                <w:rFonts w:ascii="Verdana" w:hAnsi="Verdana"/>
                <w:sz w:val="16"/>
                <w:szCs w:val="16"/>
              </w:rPr>
            </w:pPr>
            <w:r w:rsidRPr="00311CE4">
              <w:rPr>
                <w:rFonts w:ascii="Verdana" w:hAnsi="Verdana"/>
                <w:sz w:val="16"/>
                <w:szCs w:val="16"/>
              </w:rPr>
              <w:t>Aprobó:</w:t>
            </w:r>
          </w:p>
        </w:tc>
        <w:tc>
          <w:tcPr>
            <w:tcW w:w="5628" w:type="dxa"/>
            <w:tcBorders>
              <w:top w:val="dotted" w:sz="4" w:space="0" w:color="7F7F7F"/>
              <w:left w:val="nil"/>
              <w:bottom w:val="dotted" w:sz="4" w:space="0" w:color="7F7F7F"/>
              <w:right w:val="nil"/>
            </w:tcBorders>
            <w:vAlign w:val="center"/>
            <w:hideMark/>
          </w:tcPr>
          <w:p w14:paraId="523C5F8C" w14:textId="77777777" w:rsidR="00616202" w:rsidRPr="00311CE4" w:rsidRDefault="00616202" w:rsidP="001724C6">
            <w:pPr>
              <w:spacing w:line="276" w:lineRule="auto"/>
              <w:jc w:val="both"/>
              <w:rPr>
                <w:rFonts w:ascii="Verdana" w:hAnsi="Verdana"/>
                <w:sz w:val="16"/>
                <w:szCs w:val="16"/>
                <w:lang w:val="pt-BR"/>
              </w:rPr>
            </w:pPr>
            <w:r w:rsidRPr="00311CE4">
              <w:rPr>
                <w:rFonts w:ascii="Verdana" w:hAnsi="Verdana"/>
                <w:sz w:val="16"/>
                <w:szCs w:val="16"/>
                <w:lang w:val="pt-BR"/>
              </w:rPr>
              <w:t xml:space="preserve">Carolina Quintero </w:t>
            </w:r>
            <w:proofErr w:type="spellStart"/>
            <w:r w:rsidRPr="00311CE4">
              <w:rPr>
                <w:rFonts w:ascii="Verdana" w:hAnsi="Verdana"/>
                <w:sz w:val="16"/>
                <w:szCs w:val="16"/>
                <w:lang w:val="pt-BR"/>
              </w:rPr>
              <w:t>Gacharná</w:t>
            </w:r>
            <w:proofErr w:type="spellEnd"/>
          </w:p>
          <w:p w14:paraId="712A6DE0" w14:textId="77777777" w:rsidR="00616202" w:rsidRPr="00311CE4" w:rsidRDefault="00616202" w:rsidP="001724C6">
            <w:pPr>
              <w:spacing w:line="276" w:lineRule="auto"/>
              <w:jc w:val="both"/>
              <w:rPr>
                <w:rFonts w:ascii="Verdana" w:hAnsi="Verdana"/>
                <w:sz w:val="16"/>
                <w:szCs w:val="16"/>
                <w:lang w:val="pt-BR"/>
              </w:rPr>
            </w:pPr>
            <w:r w:rsidRPr="00311CE4">
              <w:rPr>
                <w:rFonts w:ascii="Verdana" w:hAnsi="Verdana"/>
                <w:sz w:val="16"/>
                <w:szCs w:val="16"/>
              </w:rPr>
              <w:t>Subdirectora</w:t>
            </w:r>
            <w:r w:rsidRPr="00311CE4">
              <w:rPr>
                <w:rFonts w:ascii="Verdana" w:hAnsi="Verdana"/>
                <w:sz w:val="16"/>
                <w:szCs w:val="16"/>
                <w:lang w:val="pt-BR"/>
              </w:rPr>
              <w:t xml:space="preserve"> de Gestión Contratual ANCP – CCE</w:t>
            </w:r>
          </w:p>
        </w:tc>
      </w:tr>
    </w:tbl>
    <w:p w14:paraId="61C9FF34" w14:textId="77777777" w:rsidR="00616202" w:rsidRPr="00311CE4" w:rsidRDefault="00616202" w:rsidP="00616202">
      <w:pPr>
        <w:spacing w:after="0"/>
        <w:rPr>
          <w:rFonts w:ascii="Verdana" w:hAnsi="Verdana"/>
          <w:sz w:val="16"/>
          <w:szCs w:val="16"/>
        </w:rPr>
      </w:pPr>
    </w:p>
    <w:bookmarkEnd w:id="0"/>
    <w:bookmarkEnd w:id="1"/>
    <w:p w14:paraId="249B4F8A" w14:textId="77777777" w:rsidR="00616202" w:rsidRPr="00725A15" w:rsidRDefault="00616202" w:rsidP="00C15139">
      <w:pPr>
        <w:spacing w:after="0"/>
        <w:rPr>
          <w:rFonts w:ascii="Verdana" w:hAnsi="Verdana"/>
        </w:rPr>
      </w:pPr>
    </w:p>
    <w:sectPr w:rsidR="00616202" w:rsidRPr="00725A15" w:rsidSect="007C0C0F">
      <w:headerReference w:type="default" r:id="rId13"/>
      <w:footerReference w:type="default" r:id="rId14"/>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6F2D57" w14:textId="77777777" w:rsidR="000D6FB2" w:rsidRDefault="000D6FB2" w:rsidP="004A1847">
      <w:pPr>
        <w:spacing w:after="0" w:line="240" w:lineRule="auto"/>
      </w:pPr>
      <w:r>
        <w:separator/>
      </w:r>
    </w:p>
  </w:endnote>
  <w:endnote w:type="continuationSeparator" w:id="0">
    <w:p w14:paraId="1A81E3B7" w14:textId="77777777" w:rsidR="000D6FB2" w:rsidRDefault="000D6FB2"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manist Light">
    <w:altName w:val="Calibri"/>
    <w:charset w:val="00"/>
    <w:family w:val="auto"/>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0"/>
    <w:family w:val="auto"/>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7E49D5" w14:textId="77777777" w:rsidR="000D6FB2" w:rsidRDefault="000D6FB2" w:rsidP="004A1847">
      <w:pPr>
        <w:spacing w:after="0" w:line="240" w:lineRule="auto"/>
      </w:pPr>
      <w:r>
        <w:separator/>
      </w:r>
    </w:p>
  </w:footnote>
  <w:footnote w:type="continuationSeparator" w:id="0">
    <w:p w14:paraId="056711C1" w14:textId="77777777" w:rsidR="000D6FB2" w:rsidRDefault="000D6FB2" w:rsidP="004A1847">
      <w:pPr>
        <w:spacing w:after="0" w:line="240" w:lineRule="auto"/>
      </w:pPr>
      <w:r>
        <w:continuationSeparator/>
      </w:r>
    </w:p>
  </w:footnote>
  <w:footnote w:id="1">
    <w:p w14:paraId="575E2E5B" w14:textId="58D3ADA2" w:rsidR="00221F6C" w:rsidRPr="00D77B72" w:rsidRDefault="00221F6C" w:rsidP="00221F6C">
      <w:pPr>
        <w:pStyle w:val="NormalWeb"/>
        <w:spacing w:before="0" w:beforeAutospacing="0" w:after="0" w:afterAutospacing="0"/>
        <w:ind w:firstLine="708"/>
        <w:jc w:val="both"/>
        <w:rPr>
          <w:rFonts w:ascii="Arial" w:hAnsi="Arial" w:cs="Arial"/>
          <w:color w:val="000000"/>
          <w:sz w:val="19"/>
          <w:szCs w:val="19"/>
        </w:rPr>
      </w:pPr>
      <w:r w:rsidRPr="00D77B72">
        <w:rPr>
          <w:rStyle w:val="Refdenotaalpie"/>
          <w:rFonts w:ascii="Arial" w:hAnsi="Arial" w:cs="Arial"/>
          <w:sz w:val="19"/>
          <w:szCs w:val="19"/>
        </w:rPr>
        <w:footnoteRef/>
      </w:r>
      <w:r w:rsidRPr="00D77B72">
        <w:rPr>
          <w:rFonts w:ascii="Arial" w:hAnsi="Arial" w:cs="Arial"/>
          <w:sz w:val="19"/>
          <w:szCs w:val="19"/>
        </w:rPr>
        <w:t xml:space="preserve"> Decreto 1081 de 2015 </w:t>
      </w:r>
      <w:r w:rsidR="00725A15">
        <w:rPr>
          <w:rFonts w:ascii="Arial" w:hAnsi="Arial" w:cs="Arial"/>
          <w:sz w:val="19"/>
          <w:szCs w:val="19"/>
        </w:rPr>
        <w:t>“</w:t>
      </w:r>
      <w:r w:rsidRPr="00D77B72">
        <w:rPr>
          <w:rFonts w:ascii="Arial" w:hAnsi="Arial" w:cs="Arial"/>
          <w:color w:val="000000"/>
          <w:sz w:val="19"/>
          <w:szCs w:val="19"/>
        </w:rPr>
        <w:t>Artículo 2.1.1.2.1.7. Publicación de la información contractual. De conformidad con el literal (c) del artículo 3° de la Ley 1150 de 2007, el sistema de información del Estado en el cual los sujetos obligados que contratan con cargo a recursos públicos deben cumplir la obligación de publicar la información de su gestión contractual es el Sistema Electrónico para la Contratación Pública (SECOP). </w:t>
      </w:r>
    </w:p>
    <w:p w14:paraId="53254EC5" w14:textId="7C3B6F3C" w:rsidR="00221F6C" w:rsidRPr="00D77B72" w:rsidRDefault="00221F6C" w:rsidP="00221F6C">
      <w:pPr>
        <w:spacing w:after="0" w:line="240" w:lineRule="auto"/>
        <w:jc w:val="both"/>
        <w:rPr>
          <w:rFonts w:ascii="Arial" w:eastAsia="Times New Roman" w:hAnsi="Arial" w:cs="Arial"/>
          <w:color w:val="000000"/>
          <w:sz w:val="19"/>
          <w:szCs w:val="19"/>
          <w:lang w:eastAsia="es-CO"/>
        </w:rPr>
      </w:pPr>
      <w:r w:rsidRPr="00D77B72">
        <w:rPr>
          <w:rFonts w:ascii="Arial" w:eastAsia="Times New Roman" w:hAnsi="Arial" w:cs="Arial"/>
          <w:color w:val="000000"/>
          <w:sz w:val="19"/>
          <w:szCs w:val="19"/>
          <w:lang w:eastAsia="es-CO"/>
        </w:rPr>
        <w:t>  </w:t>
      </w:r>
      <w:r w:rsidRPr="00D77B72">
        <w:rPr>
          <w:rFonts w:ascii="Arial" w:eastAsia="Times New Roman" w:hAnsi="Arial" w:cs="Arial"/>
          <w:color w:val="000000"/>
          <w:sz w:val="19"/>
          <w:szCs w:val="19"/>
          <w:lang w:eastAsia="es-CO"/>
        </w:rPr>
        <w:tab/>
      </w:r>
      <w:r w:rsidR="00725A15">
        <w:rPr>
          <w:rFonts w:ascii="Arial" w:eastAsia="Times New Roman" w:hAnsi="Arial" w:cs="Arial"/>
          <w:color w:val="000000"/>
          <w:sz w:val="19"/>
          <w:szCs w:val="19"/>
          <w:lang w:eastAsia="es-CO"/>
        </w:rPr>
        <w:t>“</w:t>
      </w:r>
      <w:r w:rsidRPr="00D77B72">
        <w:rPr>
          <w:rFonts w:ascii="Arial" w:eastAsia="Times New Roman" w:hAnsi="Arial" w:cs="Arial"/>
          <w:color w:val="000000"/>
          <w:sz w:val="19"/>
          <w:szCs w:val="19"/>
          <w:lang w:eastAsia="es-CO"/>
        </w:rPr>
        <w:t>Los sujetos obligados que contratan con cargo a recursos públicos deben publicar la información de su gestión contractual en el plazo previsto en el artículo 19 del Decreto 1510 de 2013, o el que lo modifique, sustituya o adicione. </w:t>
      </w:r>
    </w:p>
    <w:p w14:paraId="594BC31E" w14:textId="701DB904" w:rsidR="00221F6C" w:rsidRPr="00D77B72" w:rsidRDefault="00221F6C" w:rsidP="00221F6C">
      <w:pPr>
        <w:spacing w:after="0" w:line="240" w:lineRule="auto"/>
        <w:jc w:val="both"/>
        <w:rPr>
          <w:rFonts w:ascii="Arial" w:hAnsi="Arial" w:cs="Arial"/>
          <w:sz w:val="19"/>
          <w:szCs w:val="19"/>
        </w:rPr>
      </w:pPr>
      <w:r w:rsidRPr="00D77B72">
        <w:rPr>
          <w:rFonts w:ascii="Arial" w:eastAsia="Times New Roman" w:hAnsi="Arial" w:cs="Arial"/>
          <w:color w:val="000000"/>
          <w:sz w:val="19"/>
          <w:szCs w:val="19"/>
          <w:lang w:eastAsia="es-CO"/>
        </w:rPr>
        <w:t>  </w:t>
      </w:r>
      <w:r w:rsidRPr="00D77B72">
        <w:rPr>
          <w:rFonts w:ascii="Arial" w:eastAsia="Times New Roman" w:hAnsi="Arial" w:cs="Arial"/>
          <w:color w:val="000000"/>
          <w:sz w:val="19"/>
          <w:szCs w:val="19"/>
          <w:lang w:eastAsia="es-CO"/>
        </w:rPr>
        <w:tab/>
      </w:r>
      <w:r w:rsidR="00725A15">
        <w:rPr>
          <w:rFonts w:ascii="Arial" w:eastAsia="Times New Roman" w:hAnsi="Arial" w:cs="Arial"/>
          <w:color w:val="000000"/>
          <w:sz w:val="19"/>
          <w:szCs w:val="19"/>
          <w:lang w:eastAsia="es-CO"/>
        </w:rPr>
        <w:t>“</w:t>
      </w:r>
      <w:r w:rsidRPr="00D77B72">
        <w:rPr>
          <w:rFonts w:ascii="Arial" w:eastAsia="Times New Roman" w:hAnsi="Arial" w:cs="Arial"/>
          <w:color w:val="000000"/>
          <w:sz w:val="19"/>
          <w:szCs w:val="19"/>
          <w:lang w:eastAsia="es-CO"/>
        </w:rPr>
        <w:t>Los sujetos obligados que contratan con recursos públicos y recursos privados, deben publicar la información de su gestión contractual con cargo a recursos públicos en el Sistema Electrónico para la Contratación Pública (SECOP)</w:t>
      </w:r>
      <w:r w:rsidR="00725A15">
        <w:rPr>
          <w:rFonts w:ascii="Arial" w:hAnsi="Arial" w:cs="Arial"/>
          <w:sz w:val="19"/>
          <w:szCs w:val="19"/>
        </w:rPr>
        <w:t>”</w:t>
      </w:r>
      <w:r w:rsidRPr="00D77B72">
        <w:rPr>
          <w:rFonts w:ascii="Arial" w:hAnsi="Arial" w:cs="Arial"/>
          <w:sz w:val="19"/>
          <w:szCs w:val="19"/>
        </w:rPr>
        <w:t>.</w:t>
      </w:r>
    </w:p>
    <w:p w14:paraId="4A8930C9" w14:textId="77777777" w:rsidR="00221F6C" w:rsidRPr="00D77B72" w:rsidRDefault="00221F6C" w:rsidP="00221F6C">
      <w:pPr>
        <w:spacing w:after="0" w:line="240" w:lineRule="auto"/>
        <w:jc w:val="both"/>
        <w:rPr>
          <w:rFonts w:ascii="Arial" w:eastAsia="Times New Roman" w:hAnsi="Arial" w:cs="Arial"/>
          <w:color w:val="000000"/>
          <w:sz w:val="19"/>
          <w:szCs w:val="19"/>
          <w:lang w:eastAsia="es-CO"/>
        </w:rPr>
      </w:pPr>
    </w:p>
  </w:footnote>
  <w:footnote w:id="2">
    <w:p w14:paraId="3DF1645D" w14:textId="7239860D" w:rsidR="00221F6C" w:rsidRPr="00D77B72" w:rsidRDefault="00221F6C" w:rsidP="00221F6C">
      <w:pPr>
        <w:spacing w:after="0" w:line="240" w:lineRule="auto"/>
        <w:ind w:firstLine="707"/>
        <w:jc w:val="both"/>
        <w:rPr>
          <w:rFonts w:ascii="Arial" w:hAnsi="Arial" w:cs="Arial"/>
          <w:sz w:val="19"/>
          <w:szCs w:val="19"/>
        </w:rPr>
      </w:pPr>
      <w:r w:rsidRPr="00D77B72">
        <w:rPr>
          <w:rStyle w:val="Refdenotaalpie"/>
          <w:rFonts w:ascii="Arial" w:hAnsi="Arial" w:cs="Arial"/>
          <w:sz w:val="19"/>
          <w:szCs w:val="19"/>
        </w:rPr>
        <w:footnoteRef/>
      </w:r>
      <w:r w:rsidRPr="00D77B72">
        <w:rPr>
          <w:rFonts w:ascii="Arial" w:hAnsi="Arial" w:cs="Arial"/>
          <w:sz w:val="19"/>
          <w:szCs w:val="19"/>
          <w:vertAlign w:val="superscript"/>
        </w:rPr>
        <w:t xml:space="preserve"> </w:t>
      </w:r>
      <w:r w:rsidRPr="00D77B72">
        <w:rPr>
          <w:rFonts w:ascii="Arial" w:hAnsi="Arial" w:cs="Arial"/>
          <w:sz w:val="19"/>
          <w:szCs w:val="19"/>
        </w:rPr>
        <w:t xml:space="preserve">Ley 1712 de 2014: </w:t>
      </w:r>
      <w:r w:rsidR="00725A15">
        <w:rPr>
          <w:rFonts w:ascii="Arial" w:hAnsi="Arial" w:cs="Arial"/>
          <w:sz w:val="19"/>
          <w:szCs w:val="19"/>
        </w:rPr>
        <w:t>“</w:t>
      </w:r>
      <w:r w:rsidRPr="00D77B72">
        <w:rPr>
          <w:rFonts w:ascii="Arial" w:hAnsi="Arial" w:cs="Arial"/>
          <w:sz w:val="19"/>
          <w:szCs w:val="19"/>
        </w:rPr>
        <w:t>Artículo 2. Toda información en posesión, bajo control o custodia de un sujeto obligado es pública y no podrá ser reservada o limitada sino por disposición constitucional o legal, de conformidad con la presente ley</w:t>
      </w:r>
      <w:r w:rsidR="00725A15">
        <w:rPr>
          <w:rFonts w:ascii="Arial" w:hAnsi="Arial" w:cs="Arial"/>
          <w:sz w:val="19"/>
          <w:szCs w:val="19"/>
        </w:rPr>
        <w:t>”</w:t>
      </w:r>
      <w:r w:rsidRPr="00D77B72">
        <w:rPr>
          <w:rFonts w:ascii="Arial" w:hAnsi="Arial" w:cs="Arial"/>
          <w:sz w:val="19"/>
          <w:szCs w:val="19"/>
        </w:rPr>
        <w:t>.</w:t>
      </w:r>
    </w:p>
  </w:footnote>
  <w:footnote w:id="3">
    <w:p w14:paraId="70A40C3D" w14:textId="77777777" w:rsidR="00221F6C" w:rsidRPr="00D77B72" w:rsidRDefault="00221F6C" w:rsidP="00221F6C">
      <w:pPr>
        <w:pStyle w:val="Textonotapie"/>
        <w:jc w:val="both"/>
        <w:rPr>
          <w:rFonts w:ascii="Arial" w:hAnsi="Arial" w:cs="Arial"/>
          <w:sz w:val="19"/>
          <w:szCs w:val="19"/>
        </w:rPr>
      </w:pPr>
    </w:p>
    <w:p w14:paraId="607672CC" w14:textId="4ACD98CB" w:rsidR="00221F6C" w:rsidRPr="00D77B72" w:rsidRDefault="00221F6C" w:rsidP="00221F6C">
      <w:pPr>
        <w:pStyle w:val="Textonotapie"/>
        <w:ind w:firstLine="707"/>
        <w:jc w:val="both"/>
        <w:rPr>
          <w:rFonts w:ascii="Arial" w:hAnsi="Arial" w:cs="Arial"/>
          <w:sz w:val="19"/>
          <w:szCs w:val="19"/>
          <w:lang w:val="es-CO"/>
        </w:rPr>
      </w:pPr>
      <w:r w:rsidRPr="00D77B72">
        <w:rPr>
          <w:rStyle w:val="Refdenotaalpie"/>
          <w:rFonts w:ascii="Arial" w:hAnsi="Arial" w:cs="Arial"/>
          <w:sz w:val="19"/>
          <w:szCs w:val="19"/>
        </w:rPr>
        <w:footnoteRef/>
      </w:r>
      <w:r w:rsidRPr="00D77B72">
        <w:rPr>
          <w:rFonts w:ascii="Arial" w:hAnsi="Arial" w:cs="Arial"/>
          <w:sz w:val="19"/>
          <w:szCs w:val="19"/>
          <w:vertAlign w:val="superscript"/>
        </w:rPr>
        <w:t xml:space="preserve"> </w:t>
      </w:r>
      <w:r w:rsidRPr="00D77B72">
        <w:rPr>
          <w:rFonts w:ascii="Arial" w:hAnsi="Arial" w:cs="Arial"/>
          <w:sz w:val="19"/>
          <w:szCs w:val="19"/>
        </w:rPr>
        <w:t xml:space="preserve">Ley 1712 de 2014: </w:t>
      </w:r>
      <w:r w:rsidR="00725A15">
        <w:rPr>
          <w:rFonts w:ascii="Arial" w:hAnsi="Arial" w:cs="Arial"/>
          <w:sz w:val="19"/>
          <w:szCs w:val="19"/>
        </w:rPr>
        <w:t>“</w:t>
      </w:r>
      <w:r w:rsidRPr="00D77B72">
        <w:rPr>
          <w:rFonts w:ascii="Arial" w:hAnsi="Arial" w:cs="Arial"/>
          <w:sz w:val="19"/>
          <w:szCs w:val="19"/>
        </w:rPr>
        <w:t xml:space="preserve">Artículo 3. </w:t>
      </w:r>
      <w:bookmarkStart w:id="5" w:name="3"/>
      <w:r w:rsidRPr="00D77B72">
        <w:rPr>
          <w:rFonts w:ascii="Arial" w:hAnsi="Arial" w:cs="Arial"/>
          <w:sz w:val="19"/>
          <w:szCs w:val="19"/>
          <w:lang w:val="es-CO"/>
        </w:rPr>
        <w:t>Otros principios de la transparencia y acceso a la información pública.</w:t>
      </w:r>
      <w:bookmarkEnd w:id="5"/>
      <w:r w:rsidRPr="00D77B72">
        <w:rPr>
          <w:rFonts w:ascii="Arial" w:hAnsi="Arial" w:cs="Arial"/>
          <w:sz w:val="19"/>
          <w:szCs w:val="19"/>
          <w:lang w:val="es-CO"/>
        </w:rPr>
        <w:t> </w:t>
      </w:r>
    </w:p>
    <w:p w14:paraId="3B1EF904" w14:textId="77777777" w:rsidR="00221F6C" w:rsidRPr="00D77B72" w:rsidRDefault="00221F6C" w:rsidP="00221F6C">
      <w:pPr>
        <w:pStyle w:val="Textonotapie"/>
        <w:ind w:firstLine="707"/>
        <w:jc w:val="both"/>
        <w:rPr>
          <w:rFonts w:ascii="Arial" w:hAnsi="Arial" w:cs="Arial"/>
          <w:sz w:val="19"/>
          <w:szCs w:val="19"/>
          <w:lang w:val="es-CO"/>
        </w:rPr>
      </w:pPr>
      <w:r w:rsidRPr="00D77B72">
        <w:rPr>
          <w:rFonts w:ascii="Arial" w:hAnsi="Arial" w:cs="Arial"/>
          <w:sz w:val="19"/>
          <w:szCs w:val="19"/>
          <w:lang w:val="es-CO"/>
        </w:rPr>
        <w:t>[…]</w:t>
      </w:r>
    </w:p>
    <w:p w14:paraId="2E43E06D" w14:textId="77777777" w:rsidR="00221F6C" w:rsidRPr="00D77B72" w:rsidRDefault="00221F6C" w:rsidP="00221F6C">
      <w:pPr>
        <w:pStyle w:val="Textonotapie"/>
        <w:ind w:firstLine="707"/>
        <w:jc w:val="both"/>
        <w:rPr>
          <w:rFonts w:ascii="Arial" w:hAnsi="Arial" w:cs="Arial"/>
          <w:sz w:val="19"/>
          <w:szCs w:val="19"/>
        </w:rPr>
      </w:pPr>
      <w:r w:rsidRPr="00D77B72">
        <w:rPr>
          <w:rStyle w:val="baj"/>
          <w:rFonts w:ascii="Arial" w:hAnsi="Arial" w:cs="Arial"/>
          <w:b/>
          <w:bCs/>
          <w:sz w:val="19"/>
          <w:szCs w:val="19"/>
        </w:rPr>
        <w:t>Principio de transparencia</w:t>
      </w:r>
      <w:r w:rsidRPr="00D77B72">
        <w:rPr>
          <w:rFonts w:ascii="Arial" w:hAnsi="Arial" w:cs="Arial"/>
          <w:sz w:val="19"/>
          <w:szCs w:val="19"/>
        </w:rPr>
        <w:t xml:space="preserve">. Principio conforme al cual toda la información en poder de los sujetos obligados definidos en esta ley se presume pública, en </w:t>
      </w:r>
      <w:r w:rsidRPr="00D77B72">
        <w:rPr>
          <w:rFonts w:ascii="Arial" w:hAnsi="Arial" w:cs="Arial"/>
          <w:sz w:val="19"/>
          <w:szCs w:val="19"/>
        </w:rPr>
        <w:t>consecuencia de lo cual dichos sujetos están en el deber de proporcionar y facilitar el acceso a la misma en los términos más amplios posibles y a través de los medios y procedimientos que al efecto establezca la ley, excluyendo solo aquello que esté sujeto a las excepciones constitucionales y legales y bajo el cumplimiento de los requisitos establecidos en esta ley.</w:t>
      </w:r>
    </w:p>
    <w:p w14:paraId="7D05847E" w14:textId="77777777" w:rsidR="00221F6C" w:rsidRPr="00D77B72" w:rsidRDefault="00221F6C" w:rsidP="00221F6C">
      <w:pPr>
        <w:pStyle w:val="Textonotapie"/>
        <w:jc w:val="both"/>
        <w:rPr>
          <w:rFonts w:ascii="Arial" w:hAnsi="Arial" w:cs="Arial"/>
          <w:sz w:val="19"/>
          <w:szCs w:val="19"/>
          <w:lang w:val="es-CO"/>
        </w:rPr>
      </w:pPr>
    </w:p>
  </w:footnote>
  <w:footnote w:id="4">
    <w:p w14:paraId="57B8E03D" w14:textId="55B1B326" w:rsidR="00221F6C" w:rsidRPr="00D77B72" w:rsidRDefault="00221F6C" w:rsidP="00221F6C">
      <w:pPr>
        <w:pStyle w:val="Textonotapie"/>
        <w:ind w:firstLine="707"/>
        <w:jc w:val="both"/>
        <w:rPr>
          <w:rFonts w:ascii="Arial" w:hAnsi="Arial" w:cs="Arial"/>
          <w:sz w:val="19"/>
          <w:szCs w:val="19"/>
          <w:lang w:val="es-CO"/>
        </w:rPr>
      </w:pPr>
      <w:r w:rsidRPr="00D77B72">
        <w:rPr>
          <w:rStyle w:val="Refdenotaalpie"/>
          <w:rFonts w:ascii="Arial" w:hAnsi="Arial" w:cs="Arial"/>
          <w:sz w:val="19"/>
          <w:szCs w:val="19"/>
        </w:rPr>
        <w:footnoteRef/>
      </w:r>
      <w:r w:rsidRPr="00D77B72">
        <w:rPr>
          <w:rFonts w:ascii="Arial" w:hAnsi="Arial" w:cs="Arial"/>
          <w:sz w:val="19"/>
          <w:szCs w:val="19"/>
          <w:vertAlign w:val="superscript"/>
        </w:rPr>
        <w:t xml:space="preserve"> </w:t>
      </w:r>
      <w:r w:rsidRPr="00D77B72">
        <w:rPr>
          <w:rFonts w:ascii="Arial" w:hAnsi="Arial" w:cs="Arial"/>
          <w:sz w:val="19"/>
          <w:szCs w:val="19"/>
        </w:rPr>
        <w:t xml:space="preserve">Ley 1712 de 2014: </w:t>
      </w:r>
      <w:r w:rsidR="00725A15">
        <w:rPr>
          <w:rFonts w:ascii="Arial" w:hAnsi="Arial" w:cs="Arial"/>
          <w:sz w:val="19"/>
          <w:szCs w:val="19"/>
        </w:rPr>
        <w:t>“</w:t>
      </w:r>
      <w:r w:rsidRPr="00D77B72">
        <w:rPr>
          <w:rFonts w:ascii="Arial" w:hAnsi="Arial" w:cs="Arial"/>
          <w:sz w:val="19"/>
          <w:szCs w:val="19"/>
        </w:rPr>
        <w:t xml:space="preserve">Artículo 3. </w:t>
      </w:r>
      <w:r w:rsidRPr="00D77B72">
        <w:rPr>
          <w:rFonts w:ascii="Arial" w:hAnsi="Arial" w:cs="Arial"/>
          <w:sz w:val="19"/>
          <w:szCs w:val="19"/>
          <w:lang w:val="es-CO"/>
        </w:rPr>
        <w:t>Otros principios de la transparencia y acceso a la información pública. </w:t>
      </w:r>
    </w:p>
    <w:p w14:paraId="6A7F77C6" w14:textId="77777777" w:rsidR="00221F6C" w:rsidRPr="00D77B72" w:rsidRDefault="00221F6C" w:rsidP="00221F6C">
      <w:pPr>
        <w:pStyle w:val="Textonotapie"/>
        <w:ind w:firstLine="707"/>
        <w:jc w:val="both"/>
        <w:rPr>
          <w:rFonts w:ascii="Arial" w:hAnsi="Arial" w:cs="Arial"/>
          <w:sz w:val="19"/>
          <w:szCs w:val="19"/>
          <w:lang w:val="es-ES"/>
        </w:rPr>
      </w:pPr>
      <w:r w:rsidRPr="00D77B72">
        <w:rPr>
          <w:rFonts w:ascii="Arial" w:hAnsi="Arial" w:cs="Arial"/>
          <w:sz w:val="19"/>
          <w:szCs w:val="19"/>
          <w:lang w:val="es-ES"/>
        </w:rPr>
        <w:t>[…]</w:t>
      </w:r>
    </w:p>
    <w:p w14:paraId="3722CB2F" w14:textId="77777777" w:rsidR="00221F6C" w:rsidRPr="00D77B72" w:rsidRDefault="00221F6C" w:rsidP="00221F6C">
      <w:pPr>
        <w:pStyle w:val="Textonotapie"/>
        <w:ind w:firstLine="707"/>
        <w:jc w:val="both"/>
        <w:rPr>
          <w:rFonts w:ascii="Arial" w:hAnsi="Arial" w:cs="Arial"/>
          <w:sz w:val="19"/>
          <w:szCs w:val="19"/>
          <w:lang w:val="es-ES"/>
        </w:rPr>
      </w:pPr>
      <w:r w:rsidRPr="00D77B72">
        <w:rPr>
          <w:rStyle w:val="baj"/>
          <w:rFonts w:ascii="Arial" w:hAnsi="Arial" w:cs="Arial"/>
          <w:b/>
          <w:bCs/>
          <w:sz w:val="19"/>
          <w:szCs w:val="19"/>
        </w:rPr>
        <w:t>Principio de buena fe</w:t>
      </w:r>
      <w:r w:rsidRPr="00D77B72">
        <w:rPr>
          <w:rFonts w:ascii="Arial" w:hAnsi="Arial" w:cs="Arial"/>
          <w:sz w:val="19"/>
          <w:szCs w:val="19"/>
        </w:rPr>
        <w:t>. En virtud del cual todo sujeto obligado, al cumplir con las obligaciones derivadas del derecho de acceso a la información pública, lo hará con motivación honesta, leal y desprovista de cualquier intención dolosa o culposa.</w:t>
      </w:r>
    </w:p>
  </w:footnote>
  <w:footnote w:id="5">
    <w:p w14:paraId="4CD9A543" w14:textId="77777777" w:rsidR="00221F6C" w:rsidRPr="00D77B72" w:rsidRDefault="00221F6C" w:rsidP="00221F6C">
      <w:pPr>
        <w:spacing w:after="0" w:line="240" w:lineRule="auto"/>
        <w:ind w:firstLine="707"/>
        <w:jc w:val="both"/>
        <w:rPr>
          <w:rFonts w:ascii="Arial" w:hAnsi="Arial" w:cs="Arial"/>
          <w:sz w:val="19"/>
          <w:szCs w:val="19"/>
        </w:rPr>
      </w:pPr>
    </w:p>
    <w:p w14:paraId="54A5D75A" w14:textId="3C6C44DC" w:rsidR="00221F6C" w:rsidRPr="00D77B72" w:rsidRDefault="00221F6C" w:rsidP="00221F6C">
      <w:pPr>
        <w:spacing w:after="0" w:line="240" w:lineRule="auto"/>
        <w:ind w:firstLine="707"/>
        <w:jc w:val="both"/>
        <w:rPr>
          <w:rFonts w:ascii="Arial" w:hAnsi="Arial" w:cs="Arial"/>
          <w:sz w:val="19"/>
          <w:szCs w:val="19"/>
        </w:rPr>
      </w:pPr>
      <w:r w:rsidRPr="00D77B72">
        <w:rPr>
          <w:rStyle w:val="Refdenotaalpie"/>
          <w:rFonts w:ascii="Arial" w:hAnsi="Arial" w:cs="Arial"/>
          <w:sz w:val="19"/>
          <w:szCs w:val="19"/>
        </w:rPr>
        <w:footnoteRef/>
      </w:r>
      <w:r w:rsidRPr="00D77B72">
        <w:rPr>
          <w:rFonts w:ascii="Arial" w:hAnsi="Arial" w:cs="Arial"/>
          <w:sz w:val="19"/>
          <w:szCs w:val="19"/>
        </w:rPr>
        <w:t xml:space="preserve"> Ley 1712 de 2014: </w:t>
      </w:r>
      <w:r w:rsidR="00725A15">
        <w:rPr>
          <w:rFonts w:ascii="Arial" w:hAnsi="Arial" w:cs="Arial"/>
          <w:sz w:val="19"/>
          <w:szCs w:val="19"/>
        </w:rPr>
        <w:t>“</w:t>
      </w:r>
      <w:r w:rsidRPr="00D77B72">
        <w:rPr>
          <w:rFonts w:ascii="Arial" w:hAnsi="Arial" w:cs="Arial"/>
          <w:sz w:val="19"/>
          <w:szCs w:val="19"/>
        </w:rPr>
        <w:t>Artículo 5. Ámbito de aplicación. Las disposiciones de esta ley serán aplicables a las siguientes personas en calidad de sujetos obligados:</w:t>
      </w:r>
    </w:p>
    <w:p w14:paraId="794373A1" w14:textId="00DF6681" w:rsidR="00221F6C" w:rsidRPr="00D77B72" w:rsidRDefault="00725A15" w:rsidP="00221F6C">
      <w:pPr>
        <w:spacing w:after="0" w:line="240" w:lineRule="auto"/>
        <w:ind w:firstLine="707"/>
        <w:jc w:val="both"/>
        <w:rPr>
          <w:rFonts w:ascii="Arial" w:hAnsi="Arial" w:cs="Arial"/>
          <w:sz w:val="19"/>
          <w:szCs w:val="19"/>
        </w:rPr>
      </w:pPr>
      <w:r>
        <w:rPr>
          <w:rFonts w:ascii="Arial" w:hAnsi="Arial" w:cs="Arial"/>
          <w:sz w:val="19"/>
          <w:szCs w:val="19"/>
        </w:rPr>
        <w:t>“</w:t>
      </w:r>
      <w:r w:rsidR="00221F6C" w:rsidRPr="00D77B72">
        <w:rPr>
          <w:rFonts w:ascii="Arial" w:hAnsi="Arial" w:cs="Arial"/>
          <w:sz w:val="19"/>
          <w:szCs w:val="19"/>
        </w:rPr>
        <w:t>a) Toda entidad pública, incluyendo las pertenecientes a todas las Ramas del Poder Público, en todos los niveles de la estructura estatal, central o descentralizada por servicios o territorialmente, en los órdenes nacional, departamental, municipal y distrital</w:t>
      </w:r>
      <w:r>
        <w:rPr>
          <w:rFonts w:ascii="Arial" w:hAnsi="Arial" w:cs="Arial"/>
          <w:sz w:val="19"/>
          <w:szCs w:val="19"/>
        </w:rPr>
        <w:t>”</w:t>
      </w:r>
      <w:r w:rsidR="00221F6C" w:rsidRPr="00D77B72">
        <w:rPr>
          <w:rFonts w:ascii="Arial" w:hAnsi="Arial" w:cs="Arial"/>
          <w:sz w:val="19"/>
          <w:szCs w:val="19"/>
        </w:rPr>
        <w:t>.</w:t>
      </w:r>
    </w:p>
    <w:p w14:paraId="2BB7E2D2" w14:textId="77777777" w:rsidR="00221F6C" w:rsidRPr="00D77B72" w:rsidRDefault="00221F6C" w:rsidP="00221F6C">
      <w:pPr>
        <w:pStyle w:val="Textonotapie"/>
        <w:jc w:val="both"/>
        <w:rPr>
          <w:rFonts w:ascii="Arial" w:hAnsi="Arial" w:cs="Arial"/>
          <w:sz w:val="19"/>
          <w:szCs w:val="19"/>
        </w:rPr>
      </w:pPr>
    </w:p>
  </w:footnote>
  <w:footnote w:id="6">
    <w:p w14:paraId="48856B87" w14:textId="601C1D44" w:rsidR="00221F6C" w:rsidRPr="00D77B72" w:rsidRDefault="00221F6C" w:rsidP="00221F6C">
      <w:pPr>
        <w:spacing w:after="0" w:line="240" w:lineRule="auto"/>
        <w:ind w:firstLine="709"/>
        <w:jc w:val="both"/>
        <w:rPr>
          <w:rFonts w:ascii="Arial" w:hAnsi="Arial" w:cs="Arial"/>
          <w:sz w:val="19"/>
          <w:szCs w:val="19"/>
        </w:rPr>
      </w:pPr>
      <w:r w:rsidRPr="00D77B72">
        <w:rPr>
          <w:rStyle w:val="Refdenotaalpie"/>
          <w:rFonts w:ascii="Arial" w:hAnsi="Arial" w:cs="Arial"/>
          <w:sz w:val="19"/>
          <w:szCs w:val="19"/>
        </w:rPr>
        <w:footnoteRef/>
      </w:r>
      <w:r w:rsidRPr="00D77B72">
        <w:rPr>
          <w:rFonts w:ascii="Arial" w:hAnsi="Arial" w:cs="Arial"/>
          <w:sz w:val="19"/>
          <w:szCs w:val="19"/>
        </w:rPr>
        <w:t xml:space="preserve"> </w:t>
      </w:r>
      <w:r w:rsidR="00725A15">
        <w:rPr>
          <w:rFonts w:ascii="Arial" w:hAnsi="Arial" w:cs="Arial"/>
          <w:sz w:val="19"/>
          <w:szCs w:val="19"/>
        </w:rPr>
        <w:t>“</w:t>
      </w:r>
      <w:r w:rsidRPr="00D77B72">
        <w:rPr>
          <w:rFonts w:ascii="Arial" w:hAnsi="Arial" w:cs="Arial"/>
          <w:sz w:val="19"/>
          <w:szCs w:val="19"/>
        </w:rPr>
        <w:t>Artículo 2.1.1.2.1.7. Publicación de la información contractual. De conformidad con el literal (c) del artículo 3° de la Ley 1150 de 2007, el sistema de información del Estado en el cual los sujetos obligados que contratan con cargo a recursos públicos deben cumplir la obligación de publicar la información de su gestión contractual es el Sistema Electrónico para la Contratación Pública [SECOP]</w:t>
      </w:r>
    </w:p>
    <w:p w14:paraId="417B00B2" w14:textId="77777777" w:rsidR="00221F6C" w:rsidRPr="00D77B72" w:rsidRDefault="00221F6C" w:rsidP="00221F6C">
      <w:pPr>
        <w:spacing w:after="0" w:line="240" w:lineRule="auto"/>
        <w:ind w:firstLine="708"/>
        <w:jc w:val="both"/>
        <w:rPr>
          <w:rFonts w:ascii="Arial" w:hAnsi="Arial" w:cs="Arial"/>
          <w:sz w:val="19"/>
          <w:szCs w:val="19"/>
        </w:rPr>
      </w:pPr>
      <w:r w:rsidRPr="00D77B72">
        <w:rPr>
          <w:rFonts w:ascii="Arial" w:hAnsi="Arial" w:cs="Arial"/>
          <w:sz w:val="19"/>
          <w:szCs w:val="19"/>
        </w:rPr>
        <w:t>[…].</w:t>
      </w:r>
    </w:p>
    <w:p w14:paraId="26D680A9" w14:textId="6C885176" w:rsidR="00221F6C" w:rsidRPr="00D77B72" w:rsidRDefault="00725A15" w:rsidP="00221F6C">
      <w:pPr>
        <w:spacing w:after="0" w:line="240" w:lineRule="auto"/>
        <w:ind w:firstLine="709"/>
        <w:jc w:val="both"/>
        <w:rPr>
          <w:rFonts w:ascii="Arial" w:hAnsi="Arial" w:cs="Arial"/>
          <w:sz w:val="19"/>
          <w:szCs w:val="19"/>
        </w:rPr>
      </w:pPr>
      <w:r>
        <w:rPr>
          <w:rFonts w:ascii="Arial" w:hAnsi="Arial" w:cs="Arial"/>
          <w:sz w:val="19"/>
          <w:szCs w:val="19"/>
        </w:rPr>
        <w:t>“</w:t>
      </w:r>
      <w:r w:rsidR="00221F6C" w:rsidRPr="00D77B72">
        <w:rPr>
          <w:rFonts w:ascii="Arial" w:hAnsi="Arial" w:cs="Arial"/>
          <w:sz w:val="19"/>
          <w:szCs w:val="19"/>
        </w:rPr>
        <w:t>Los sujetos obligados que contratan con recursos públicos y recursos privados, deben publicar la información de su gestión contractual con cargo a recursos públicos en el Sistema Electrónico para la Contratación Pública [SECOP]</w:t>
      </w:r>
      <w:r>
        <w:rPr>
          <w:rFonts w:ascii="Arial" w:hAnsi="Arial" w:cs="Arial"/>
          <w:sz w:val="19"/>
          <w:szCs w:val="19"/>
        </w:rPr>
        <w:t>”</w:t>
      </w:r>
      <w:r w:rsidR="00221F6C" w:rsidRPr="00D77B72">
        <w:rPr>
          <w:rFonts w:ascii="Arial" w:hAnsi="Arial" w:cs="Arial"/>
          <w:sz w:val="19"/>
          <w:szCs w:val="19"/>
        </w:rPr>
        <w:t>.</w:t>
      </w:r>
    </w:p>
    <w:p w14:paraId="0E129EA0" w14:textId="77777777" w:rsidR="00221F6C" w:rsidRPr="00D77B72" w:rsidRDefault="00221F6C" w:rsidP="00221F6C">
      <w:pPr>
        <w:pStyle w:val="Textonotapie"/>
        <w:jc w:val="both"/>
        <w:rPr>
          <w:rFonts w:ascii="Arial" w:hAnsi="Arial" w:cs="Arial"/>
          <w:sz w:val="19"/>
          <w:szCs w:val="19"/>
        </w:rPr>
      </w:pPr>
    </w:p>
  </w:footnote>
  <w:footnote w:id="7">
    <w:p w14:paraId="7B5C21AF" w14:textId="23ECC7F4" w:rsidR="00221F6C" w:rsidRPr="008F04CD" w:rsidRDefault="00221F6C" w:rsidP="00221F6C">
      <w:pPr>
        <w:spacing w:after="0" w:line="240" w:lineRule="auto"/>
        <w:ind w:firstLine="709"/>
        <w:jc w:val="both"/>
        <w:rPr>
          <w:rFonts w:ascii="Arial" w:hAnsi="Arial" w:cs="Arial"/>
          <w:sz w:val="19"/>
          <w:szCs w:val="19"/>
        </w:rPr>
      </w:pPr>
      <w:r>
        <w:rPr>
          <w:rStyle w:val="Refdenotaalpie"/>
        </w:rPr>
        <w:footnoteRef/>
      </w:r>
      <w:r>
        <w:t xml:space="preserve"> </w:t>
      </w:r>
      <w:r w:rsidR="00725A15">
        <w:t>“</w:t>
      </w:r>
      <w:r>
        <w:t xml:space="preserve">[…] </w:t>
      </w:r>
      <w:r w:rsidRPr="008F04CD">
        <w:rPr>
          <w:rFonts w:ascii="Arial" w:hAnsi="Arial" w:cs="Arial"/>
          <w:sz w:val="19"/>
          <w:szCs w:val="19"/>
        </w:rPr>
        <w:t xml:space="preserve">El Gobierno Nacional desarrollará el Sistema Electrónico para la Contratación Pública, </w:t>
      </w:r>
      <w:r w:rsidRPr="008F04CD">
        <w:rPr>
          <w:rFonts w:ascii="Arial" w:hAnsi="Arial" w:cs="Arial"/>
          <w:sz w:val="19"/>
          <w:szCs w:val="19"/>
        </w:rPr>
        <w:t>Secop, el cual:</w:t>
      </w:r>
    </w:p>
    <w:p w14:paraId="1885344E" w14:textId="496D4991" w:rsidR="00221F6C" w:rsidRPr="008F04CD" w:rsidRDefault="00725A15" w:rsidP="00221F6C">
      <w:pPr>
        <w:spacing w:after="0" w:line="240" w:lineRule="auto"/>
        <w:ind w:firstLine="709"/>
        <w:jc w:val="both"/>
        <w:rPr>
          <w:rFonts w:ascii="Arial" w:hAnsi="Arial" w:cs="Arial"/>
          <w:sz w:val="19"/>
          <w:szCs w:val="19"/>
        </w:rPr>
      </w:pPr>
      <w:r>
        <w:rPr>
          <w:rFonts w:ascii="Arial" w:hAnsi="Arial" w:cs="Arial"/>
          <w:sz w:val="19"/>
          <w:szCs w:val="19"/>
        </w:rPr>
        <w:t>“</w:t>
      </w:r>
      <w:r w:rsidR="00221F6C" w:rsidRPr="008F04CD">
        <w:rPr>
          <w:rFonts w:ascii="Arial" w:hAnsi="Arial" w:cs="Arial"/>
          <w:sz w:val="19"/>
          <w:szCs w:val="19"/>
        </w:rPr>
        <w:t>[…]</w:t>
      </w:r>
    </w:p>
    <w:p w14:paraId="49346662" w14:textId="29612036" w:rsidR="00221F6C" w:rsidRPr="008F04CD" w:rsidRDefault="00725A15" w:rsidP="00221F6C">
      <w:pPr>
        <w:spacing w:after="0" w:line="240" w:lineRule="auto"/>
        <w:ind w:firstLine="709"/>
        <w:jc w:val="both"/>
        <w:rPr>
          <w:rFonts w:ascii="Arial" w:hAnsi="Arial" w:cs="Arial"/>
          <w:sz w:val="19"/>
          <w:szCs w:val="19"/>
        </w:rPr>
      </w:pPr>
      <w:r>
        <w:rPr>
          <w:rFonts w:ascii="Arial" w:hAnsi="Arial" w:cs="Arial"/>
          <w:sz w:val="19"/>
          <w:szCs w:val="19"/>
        </w:rPr>
        <w:t>“</w:t>
      </w:r>
      <w:r w:rsidR="00221F6C" w:rsidRPr="008F04CD">
        <w:rPr>
          <w:rFonts w:ascii="Arial" w:hAnsi="Arial" w:cs="Arial"/>
          <w:sz w:val="19"/>
          <w:szCs w:val="19"/>
        </w:rPr>
        <w:t>c) Contará con la información oficial de la contratación realizada con dineros públicos, para lo cual establecerá los patrones a que haya lugar y se encargará de su difusión a través de canales electrónicos […]</w:t>
      </w:r>
      <w:r>
        <w:rPr>
          <w:rFonts w:ascii="Arial" w:hAnsi="Arial" w:cs="Arial"/>
          <w:sz w:val="19"/>
          <w:szCs w:val="19"/>
        </w:rPr>
        <w:t>”</w:t>
      </w:r>
      <w:r w:rsidR="00221F6C">
        <w:rPr>
          <w:rFonts w:ascii="Arial" w:hAnsi="Arial" w:cs="Arial"/>
          <w:sz w:val="19"/>
          <w:szCs w:val="19"/>
        </w:rPr>
        <w:t>.</w:t>
      </w:r>
    </w:p>
  </w:footnote>
  <w:footnote w:id="8">
    <w:p w14:paraId="4F5134F4" w14:textId="4686F4CF" w:rsidR="00725A15" w:rsidRPr="00D77B72" w:rsidRDefault="00725A15" w:rsidP="00725A15">
      <w:pPr>
        <w:pStyle w:val="Textonotapie"/>
        <w:ind w:firstLine="708"/>
        <w:jc w:val="both"/>
        <w:rPr>
          <w:rFonts w:ascii="Arial" w:hAnsi="Arial" w:cs="Arial"/>
          <w:sz w:val="19"/>
          <w:szCs w:val="19"/>
        </w:rPr>
      </w:pPr>
      <w:r w:rsidRPr="00D77B72">
        <w:rPr>
          <w:rStyle w:val="Refdenotaalpie"/>
          <w:rFonts w:ascii="Arial" w:hAnsi="Arial" w:cs="Arial"/>
          <w:sz w:val="19"/>
          <w:szCs w:val="19"/>
        </w:rPr>
        <w:footnoteRef/>
      </w:r>
      <w:r w:rsidRPr="00D77B72">
        <w:rPr>
          <w:rFonts w:ascii="Arial" w:hAnsi="Arial" w:cs="Arial"/>
          <w:sz w:val="19"/>
          <w:szCs w:val="19"/>
        </w:rPr>
        <w:t xml:space="preserve"> Decreto 4170 de 2011: </w:t>
      </w:r>
      <w:r>
        <w:rPr>
          <w:rFonts w:ascii="Arial" w:hAnsi="Arial" w:cs="Arial"/>
          <w:sz w:val="19"/>
          <w:szCs w:val="19"/>
        </w:rPr>
        <w:t>“</w:t>
      </w:r>
      <w:r w:rsidRPr="00D77B72">
        <w:rPr>
          <w:rFonts w:ascii="Arial" w:hAnsi="Arial" w:cs="Arial"/>
          <w:sz w:val="19"/>
          <w:szCs w:val="19"/>
        </w:rPr>
        <w:t>Artículo 3. Funciones: La Agencia Nacional de Contratación Pública –Colombia Compra Eficiente– ejercerá las siguientes funciones: [...]</w:t>
      </w:r>
    </w:p>
    <w:p w14:paraId="7969463C" w14:textId="0E53A8ED" w:rsidR="00725A15" w:rsidRPr="00D77B72" w:rsidRDefault="00725A15" w:rsidP="00725A15">
      <w:pPr>
        <w:pStyle w:val="Textonotapie"/>
        <w:ind w:firstLine="708"/>
        <w:jc w:val="both"/>
        <w:rPr>
          <w:rFonts w:ascii="Arial" w:hAnsi="Arial" w:cs="Arial"/>
          <w:sz w:val="19"/>
          <w:szCs w:val="19"/>
        </w:rPr>
      </w:pPr>
      <w:r>
        <w:rPr>
          <w:rFonts w:ascii="Arial" w:hAnsi="Arial" w:cs="Arial"/>
          <w:sz w:val="19"/>
          <w:szCs w:val="19"/>
        </w:rPr>
        <w:t>“</w:t>
      </w:r>
      <w:r w:rsidRPr="00D77B72">
        <w:rPr>
          <w:rFonts w:ascii="Arial" w:hAnsi="Arial" w:cs="Arial"/>
          <w:sz w:val="19"/>
          <w:szCs w:val="19"/>
        </w:rPr>
        <w:t>8. Desarrollar y administrar el Sistema Electrónico para la Contratación Pública (SECOP) o el que haga sus veces, y gestionar nuevos desarrollos tecnológicos en los asuntos de su competencia, teniendo en cuenta los parámetros fijados por el Consejo Directivo. [...]</w:t>
      </w:r>
      <w:r>
        <w:rPr>
          <w:rFonts w:ascii="Arial" w:hAnsi="Arial" w:cs="Arial"/>
          <w:sz w:val="19"/>
          <w:szCs w:val="19"/>
        </w:rPr>
        <w:t>”</w:t>
      </w:r>
      <w:r w:rsidRPr="00D77B72">
        <w:rPr>
          <w:rFonts w:ascii="Arial" w:hAnsi="Arial" w:cs="Arial"/>
          <w:sz w:val="19"/>
          <w:szCs w:val="19"/>
        </w:rPr>
        <w:t>.</w:t>
      </w:r>
    </w:p>
    <w:p w14:paraId="56B86495" w14:textId="77777777" w:rsidR="00725A15" w:rsidRPr="00D77B72" w:rsidRDefault="00725A15" w:rsidP="00725A15">
      <w:pPr>
        <w:pStyle w:val="Textonotapie"/>
        <w:jc w:val="both"/>
        <w:rPr>
          <w:rFonts w:ascii="Arial" w:hAnsi="Arial" w:cs="Arial"/>
          <w:sz w:val="19"/>
          <w:szCs w:val="19"/>
          <w:lang w:val="es-ES"/>
        </w:rPr>
      </w:pPr>
    </w:p>
  </w:footnote>
  <w:footnote w:id="9">
    <w:p w14:paraId="7AF77A79" w14:textId="77777777" w:rsidR="00725A15" w:rsidRPr="00D77B72" w:rsidRDefault="00725A15" w:rsidP="00725A15">
      <w:pPr>
        <w:pStyle w:val="Textonotapie"/>
        <w:ind w:firstLine="708"/>
        <w:jc w:val="both"/>
        <w:rPr>
          <w:rStyle w:val="Hipervnculo"/>
          <w:rFonts w:ascii="Arial" w:hAnsi="Arial" w:cs="Arial"/>
          <w:sz w:val="19"/>
          <w:szCs w:val="19"/>
        </w:rPr>
      </w:pPr>
      <w:r w:rsidRPr="00D77B72">
        <w:rPr>
          <w:rStyle w:val="Refdenotaalpie"/>
          <w:rFonts w:ascii="Arial" w:hAnsi="Arial" w:cs="Arial"/>
          <w:sz w:val="19"/>
          <w:szCs w:val="19"/>
        </w:rPr>
        <w:footnoteRef/>
      </w:r>
      <w:r w:rsidRPr="00D77B72">
        <w:rPr>
          <w:rFonts w:ascii="Arial" w:hAnsi="Arial" w:cs="Arial"/>
          <w:sz w:val="19"/>
          <w:szCs w:val="19"/>
        </w:rPr>
        <w:t xml:space="preserve"> En el siguiente link se puede consultar la Guía para gestionar o publicar los procesos de Régimen Especial con oferta en el SECOP II:  </w:t>
      </w:r>
      <w:hyperlink r:id="rId1" w:history="1">
        <w:r w:rsidRPr="00D77B72">
          <w:rPr>
            <w:rStyle w:val="Hipervnculo"/>
            <w:rFonts w:ascii="Arial" w:hAnsi="Arial" w:cs="Arial"/>
            <w:sz w:val="19"/>
            <w:szCs w:val="19"/>
          </w:rPr>
          <w:t>https://www.colombiacompra.gov.co/node/23628</w:t>
        </w:r>
      </w:hyperlink>
    </w:p>
    <w:p w14:paraId="032265B4" w14:textId="77777777" w:rsidR="00725A15" w:rsidRPr="00D77B72" w:rsidRDefault="00725A15" w:rsidP="00725A15">
      <w:pPr>
        <w:pStyle w:val="Textonotapie"/>
        <w:ind w:firstLine="708"/>
        <w:jc w:val="both"/>
        <w:rPr>
          <w:rFonts w:ascii="Arial" w:hAnsi="Arial" w:cs="Arial"/>
          <w:sz w:val="19"/>
          <w:szCs w:val="19"/>
        </w:rPr>
      </w:pPr>
      <w:r w:rsidRPr="00D77B72">
        <w:rPr>
          <w:rFonts w:ascii="Arial" w:hAnsi="Arial" w:cs="Arial"/>
          <w:sz w:val="19"/>
          <w:szCs w:val="19"/>
        </w:rPr>
        <w:t xml:space="preserve"> </w:t>
      </w:r>
    </w:p>
  </w:footnote>
  <w:footnote w:id="10">
    <w:p w14:paraId="59A453AD" w14:textId="77777777" w:rsidR="00725A15" w:rsidRPr="00D77B72" w:rsidRDefault="00725A15" w:rsidP="00725A15">
      <w:pPr>
        <w:pStyle w:val="Textonotapie"/>
        <w:ind w:firstLine="708"/>
        <w:jc w:val="both"/>
        <w:rPr>
          <w:rFonts w:ascii="Arial" w:hAnsi="Arial" w:cs="Arial"/>
          <w:sz w:val="19"/>
          <w:szCs w:val="19"/>
        </w:rPr>
      </w:pPr>
      <w:r w:rsidRPr="00D77B72">
        <w:rPr>
          <w:rStyle w:val="Refdenotaalpie"/>
          <w:rFonts w:ascii="Arial" w:hAnsi="Arial" w:cs="Arial"/>
          <w:sz w:val="19"/>
          <w:szCs w:val="19"/>
        </w:rPr>
        <w:footnoteRef/>
      </w:r>
      <w:r w:rsidRPr="00D77B72">
        <w:rPr>
          <w:rFonts w:ascii="Arial" w:hAnsi="Arial" w:cs="Arial"/>
          <w:sz w:val="19"/>
          <w:szCs w:val="19"/>
        </w:rPr>
        <w:t xml:space="preserve"> En el siguiente link se puede consultar la Guía para gestionar o publicar los procesos de Régimen Especial sin oferta en el SECOP II:   </w:t>
      </w:r>
      <w:hyperlink r:id="rId2" w:history="1">
        <w:r w:rsidRPr="00D77B72">
          <w:rPr>
            <w:rStyle w:val="Hipervnculo"/>
            <w:rFonts w:ascii="Arial" w:hAnsi="Arial" w:cs="Arial"/>
            <w:sz w:val="19"/>
            <w:szCs w:val="19"/>
          </w:rPr>
          <w:t>https://www.colombiacompra.gov.co/node/30741</w:t>
        </w:r>
      </w:hyperlink>
    </w:p>
  </w:footnote>
  <w:footnote w:id="11">
    <w:p w14:paraId="102AF0EA" w14:textId="0B1249BB" w:rsidR="00725A15" w:rsidRPr="00D77B72" w:rsidRDefault="00725A15" w:rsidP="00725A15">
      <w:pPr>
        <w:pStyle w:val="NormalWeb"/>
        <w:spacing w:before="0" w:beforeAutospacing="0" w:after="0" w:afterAutospacing="0"/>
        <w:ind w:firstLine="708"/>
        <w:jc w:val="both"/>
        <w:rPr>
          <w:rFonts w:ascii="Arial" w:hAnsi="Arial" w:cs="Arial"/>
          <w:color w:val="000000"/>
          <w:sz w:val="19"/>
          <w:szCs w:val="19"/>
        </w:rPr>
      </w:pPr>
      <w:r w:rsidRPr="00D77B72">
        <w:rPr>
          <w:rStyle w:val="Refdenotaalpie"/>
          <w:rFonts w:ascii="Arial" w:hAnsi="Arial" w:cs="Arial"/>
          <w:sz w:val="19"/>
          <w:szCs w:val="19"/>
        </w:rPr>
        <w:footnoteRef/>
      </w:r>
      <w:r w:rsidRPr="00D77B72">
        <w:rPr>
          <w:rFonts w:ascii="Arial" w:hAnsi="Arial" w:cs="Arial"/>
          <w:sz w:val="19"/>
          <w:szCs w:val="19"/>
        </w:rPr>
        <w:t xml:space="preserve"> Decreto 1081 de 2015 </w:t>
      </w:r>
      <w:r>
        <w:rPr>
          <w:rFonts w:ascii="Arial" w:hAnsi="Arial" w:cs="Arial"/>
          <w:sz w:val="19"/>
          <w:szCs w:val="19"/>
        </w:rPr>
        <w:t>“</w:t>
      </w:r>
      <w:r w:rsidRPr="00D77B72">
        <w:rPr>
          <w:rFonts w:ascii="Arial" w:hAnsi="Arial" w:cs="Arial"/>
          <w:color w:val="000000"/>
          <w:sz w:val="19"/>
          <w:szCs w:val="19"/>
        </w:rPr>
        <w:t>Artículo 2.1.1.2.1.7. Publicación de la información contractual. De conformidad con el literal (c) del artículo 3° de la Ley 1150 de 2007, el sistema de información del Estado en el cual los sujetos obligados que contratan con cargo a recursos públicos deben cumplir la obligación de publicar la información de su gestión contractual es el Sistema Electrónico para la Contratación Pública (SECOP). </w:t>
      </w:r>
    </w:p>
    <w:p w14:paraId="5A68FC0D" w14:textId="0102FF7F" w:rsidR="00725A15" w:rsidRPr="00D77B72" w:rsidRDefault="00725A15" w:rsidP="00725A15">
      <w:pPr>
        <w:spacing w:after="0" w:line="240" w:lineRule="auto"/>
        <w:jc w:val="both"/>
        <w:rPr>
          <w:rFonts w:ascii="Arial" w:eastAsia="Times New Roman" w:hAnsi="Arial" w:cs="Arial"/>
          <w:color w:val="000000"/>
          <w:sz w:val="19"/>
          <w:szCs w:val="19"/>
          <w:lang w:eastAsia="es-CO"/>
        </w:rPr>
      </w:pPr>
      <w:r w:rsidRPr="00D77B72">
        <w:rPr>
          <w:rFonts w:ascii="Arial" w:eastAsia="Times New Roman" w:hAnsi="Arial" w:cs="Arial"/>
          <w:color w:val="000000"/>
          <w:sz w:val="19"/>
          <w:szCs w:val="19"/>
          <w:lang w:eastAsia="es-CO"/>
        </w:rPr>
        <w:t>  </w:t>
      </w:r>
      <w:r w:rsidRPr="00D77B72">
        <w:rPr>
          <w:rFonts w:ascii="Arial" w:eastAsia="Times New Roman" w:hAnsi="Arial" w:cs="Arial"/>
          <w:color w:val="000000"/>
          <w:sz w:val="19"/>
          <w:szCs w:val="19"/>
          <w:lang w:eastAsia="es-CO"/>
        </w:rPr>
        <w:tab/>
      </w:r>
      <w:r>
        <w:rPr>
          <w:rFonts w:ascii="Arial" w:eastAsia="Times New Roman" w:hAnsi="Arial" w:cs="Arial"/>
          <w:color w:val="000000"/>
          <w:sz w:val="19"/>
          <w:szCs w:val="19"/>
          <w:lang w:eastAsia="es-CO"/>
        </w:rPr>
        <w:t>“</w:t>
      </w:r>
      <w:r w:rsidRPr="00D77B72">
        <w:rPr>
          <w:rFonts w:ascii="Arial" w:eastAsia="Times New Roman" w:hAnsi="Arial" w:cs="Arial"/>
          <w:color w:val="000000"/>
          <w:sz w:val="19"/>
          <w:szCs w:val="19"/>
          <w:lang w:eastAsia="es-CO"/>
        </w:rPr>
        <w:t>Los sujetos obligados que contratan con cargo a recursos públicos deben publicar la información de su gestión contractual en el plazo previsto en el artículo 19 del Decreto 1510 de 2013, o el que lo modifique, sustituya o adicione. </w:t>
      </w:r>
    </w:p>
    <w:p w14:paraId="089A5DA9" w14:textId="336A1273" w:rsidR="00725A15" w:rsidRPr="00D77B72" w:rsidRDefault="00725A15" w:rsidP="00725A15">
      <w:pPr>
        <w:spacing w:after="0" w:line="240" w:lineRule="auto"/>
        <w:jc w:val="both"/>
        <w:rPr>
          <w:rFonts w:ascii="Arial" w:hAnsi="Arial" w:cs="Arial"/>
          <w:sz w:val="19"/>
          <w:szCs w:val="19"/>
        </w:rPr>
      </w:pPr>
      <w:r w:rsidRPr="00D77B72">
        <w:rPr>
          <w:rFonts w:ascii="Arial" w:eastAsia="Times New Roman" w:hAnsi="Arial" w:cs="Arial"/>
          <w:color w:val="000000"/>
          <w:sz w:val="19"/>
          <w:szCs w:val="19"/>
          <w:lang w:eastAsia="es-CO"/>
        </w:rPr>
        <w:t>  </w:t>
      </w:r>
      <w:r w:rsidRPr="00D77B72">
        <w:rPr>
          <w:rFonts w:ascii="Arial" w:eastAsia="Times New Roman" w:hAnsi="Arial" w:cs="Arial"/>
          <w:color w:val="000000"/>
          <w:sz w:val="19"/>
          <w:szCs w:val="19"/>
          <w:lang w:eastAsia="es-CO"/>
        </w:rPr>
        <w:tab/>
      </w:r>
      <w:r>
        <w:rPr>
          <w:rFonts w:ascii="Arial" w:eastAsia="Times New Roman" w:hAnsi="Arial" w:cs="Arial"/>
          <w:color w:val="000000"/>
          <w:sz w:val="19"/>
          <w:szCs w:val="19"/>
          <w:lang w:eastAsia="es-CO"/>
        </w:rPr>
        <w:t>“</w:t>
      </w:r>
      <w:r w:rsidRPr="00D77B72">
        <w:rPr>
          <w:rFonts w:ascii="Arial" w:eastAsia="Times New Roman" w:hAnsi="Arial" w:cs="Arial"/>
          <w:color w:val="000000"/>
          <w:sz w:val="19"/>
          <w:szCs w:val="19"/>
          <w:lang w:eastAsia="es-CO"/>
        </w:rPr>
        <w:t>Los sujetos obligados que contratan con recursos públicos y recursos privados, deben publicar la información de su gestión contractual con cargo a recursos públicos en el Sistema Electrónico para la Contratación Pública (SECOP)</w:t>
      </w:r>
      <w:r>
        <w:rPr>
          <w:rFonts w:ascii="Arial" w:hAnsi="Arial" w:cs="Arial"/>
          <w:sz w:val="19"/>
          <w:szCs w:val="19"/>
        </w:rPr>
        <w:t>”</w:t>
      </w:r>
      <w:r w:rsidRPr="00D77B72">
        <w:rPr>
          <w:rFonts w:ascii="Arial" w:hAnsi="Arial" w:cs="Arial"/>
          <w:sz w:val="19"/>
          <w:szCs w:val="19"/>
        </w:rPr>
        <w:t>.</w:t>
      </w:r>
    </w:p>
    <w:p w14:paraId="2507D531" w14:textId="77777777" w:rsidR="00725A15" w:rsidRPr="00D77B72" w:rsidRDefault="00725A15" w:rsidP="00725A15">
      <w:pPr>
        <w:spacing w:after="0" w:line="240" w:lineRule="auto"/>
        <w:jc w:val="both"/>
        <w:rPr>
          <w:rFonts w:ascii="Arial" w:eastAsia="Times New Roman" w:hAnsi="Arial" w:cs="Arial"/>
          <w:color w:val="000000"/>
          <w:sz w:val="19"/>
          <w:szCs w:val="19"/>
          <w:lang w:eastAsia="es-CO"/>
        </w:rPr>
      </w:pPr>
    </w:p>
  </w:footnote>
  <w:footnote w:id="12">
    <w:p w14:paraId="3CE66248" w14:textId="77777777" w:rsidR="00360C4F" w:rsidRPr="008F5C50" w:rsidRDefault="00360C4F" w:rsidP="00360C4F">
      <w:pPr>
        <w:pStyle w:val="Textonotapie"/>
        <w:ind w:firstLine="708"/>
        <w:jc w:val="both"/>
        <w:rPr>
          <w:rFonts w:ascii="Verdana" w:hAnsi="Verdana"/>
          <w:sz w:val="14"/>
          <w:szCs w:val="14"/>
          <w:lang w:val="es-CO"/>
        </w:rPr>
      </w:pPr>
      <w:r w:rsidRPr="008F5C50">
        <w:rPr>
          <w:rStyle w:val="Refdenotaalpie"/>
          <w:rFonts w:ascii="Verdana" w:hAnsi="Verdana"/>
          <w:sz w:val="14"/>
          <w:szCs w:val="14"/>
        </w:rPr>
        <w:footnoteRef/>
      </w:r>
      <w:r w:rsidRPr="008F5C50">
        <w:rPr>
          <w:rFonts w:ascii="Verdana" w:hAnsi="Verdana"/>
          <w:sz w:val="14"/>
          <w:szCs w:val="14"/>
        </w:rPr>
        <w:t xml:space="preserve"> </w:t>
      </w:r>
      <w:r w:rsidRPr="008F5C50">
        <w:rPr>
          <w:rFonts w:ascii="Verdana" w:hAnsi="Verdana"/>
          <w:sz w:val="14"/>
          <w:szCs w:val="14"/>
          <w:lang w:val="es-CO"/>
        </w:rPr>
        <w:t xml:space="preserve">Ley 1437 de 2011: “Artículo 24. Informaciones y documentos reservados. Solo tendrán carácter reservado las informaciones y documentos expresamente sometidos a reserva por la Constitución Política o la ley, y en especial: </w:t>
      </w:r>
    </w:p>
    <w:p w14:paraId="6D553DFE" w14:textId="77777777" w:rsidR="00360C4F" w:rsidRPr="008F5C50" w:rsidRDefault="00360C4F" w:rsidP="00360C4F">
      <w:pPr>
        <w:pStyle w:val="Textonotapie"/>
        <w:ind w:firstLine="708"/>
        <w:jc w:val="both"/>
        <w:rPr>
          <w:rFonts w:ascii="Verdana" w:hAnsi="Verdana"/>
          <w:sz w:val="14"/>
          <w:szCs w:val="14"/>
          <w:lang w:val="es-CO"/>
        </w:rPr>
      </w:pPr>
      <w:r w:rsidRPr="008F5C50">
        <w:rPr>
          <w:rFonts w:ascii="Verdana" w:hAnsi="Verdana"/>
          <w:sz w:val="14"/>
          <w:szCs w:val="14"/>
          <w:lang w:val="es-CO"/>
        </w:rPr>
        <w:t xml:space="preserve">1. Los relacionados con la defensa o seguridad nacionales. </w:t>
      </w:r>
    </w:p>
    <w:p w14:paraId="7A38314E" w14:textId="77777777" w:rsidR="00360C4F" w:rsidRPr="008F5C50" w:rsidRDefault="00360C4F" w:rsidP="00360C4F">
      <w:pPr>
        <w:pStyle w:val="Textonotapie"/>
        <w:ind w:firstLine="708"/>
        <w:jc w:val="both"/>
        <w:rPr>
          <w:rFonts w:ascii="Verdana" w:hAnsi="Verdana"/>
          <w:sz w:val="14"/>
          <w:szCs w:val="14"/>
          <w:lang w:val="es-CO"/>
        </w:rPr>
      </w:pPr>
      <w:r w:rsidRPr="008F5C50">
        <w:rPr>
          <w:rFonts w:ascii="Verdana" w:hAnsi="Verdana"/>
          <w:sz w:val="14"/>
          <w:szCs w:val="14"/>
          <w:lang w:val="es-CO"/>
        </w:rPr>
        <w:t xml:space="preserve">2. Las instrucciones en materia diplomática o sobre negociaciones reservadas. </w:t>
      </w:r>
    </w:p>
    <w:p w14:paraId="58C87D3D" w14:textId="77777777" w:rsidR="00360C4F" w:rsidRPr="008F5C50" w:rsidRDefault="00360C4F" w:rsidP="00360C4F">
      <w:pPr>
        <w:pStyle w:val="Textonotapie"/>
        <w:ind w:firstLine="708"/>
        <w:jc w:val="both"/>
        <w:rPr>
          <w:rFonts w:ascii="Verdana" w:hAnsi="Verdana"/>
          <w:sz w:val="14"/>
          <w:szCs w:val="14"/>
          <w:lang w:val="es-CO"/>
        </w:rPr>
      </w:pPr>
      <w:r w:rsidRPr="008F5C50">
        <w:rPr>
          <w:rFonts w:ascii="Verdana" w:hAnsi="Verdana"/>
          <w:sz w:val="14"/>
          <w:szCs w:val="14"/>
          <w:lang w:val="es-CO"/>
        </w:rPr>
        <w:t xml:space="preserve">3. Los que involucren derechos a la privacidad e intimidad de las personas, incluidas en las hojas de vida, la historia laboral y los expedientes pensionales y demás registros de personal que obren en los archivos de las instituciones públicas o privadas, así como la historia clínica. </w:t>
      </w:r>
    </w:p>
    <w:p w14:paraId="1E796966" w14:textId="77777777" w:rsidR="00360C4F" w:rsidRPr="008F5C50" w:rsidRDefault="00360C4F" w:rsidP="00360C4F">
      <w:pPr>
        <w:pStyle w:val="Textonotapie"/>
        <w:ind w:firstLine="708"/>
        <w:jc w:val="both"/>
        <w:rPr>
          <w:rFonts w:ascii="Verdana" w:hAnsi="Verdana"/>
          <w:sz w:val="14"/>
          <w:szCs w:val="14"/>
          <w:lang w:val="es-CO"/>
        </w:rPr>
      </w:pPr>
      <w:r w:rsidRPr="008F5C50">
        <w:rPr>
          <w:rFonts w:ascii="Verdana" w:hAnsi="Verdana"/>
          <w:sz w:val="14"/>
          <w:szCs w:val="14"/>
          <w:lang w:val="es-CO"/>
        </w:rPr>
        <w:t xml:space="preserve">4. Los relativos a las condiciones financieras de las operaciones de crédito público y tesorería que realice la nación, así como a los estudios técnicos de valoración de los activos de la nación. Estos documentos e informaciones estarán sometidos a reserva por un término de seis (6) meses contados a partir de la realización de la respectiva operación. </w:t>
      </w:r>
    </w:p>
    <w:p w14:paraId="32CD3889" w14:textId="77777777" w:rsidR="00360C4F" w:rsidRPr="008F5C50" w:rsidRDefault="00360C4F" w:rsidP="00360C4F">
      <w:pPr>
        <w:pStyle w:val="Textonotapie"/>
        <w:ind w:firstLine="708"/>
        <w:jc w:val="both"/>
        <w:rPr>
          <w:rFonts w:ascii="Verdana" w:hAnsi="Verdana"/>
          <w:sz w:val="14"/>
          <w:szCs w:val="14"/>
          <w:lang w:val="es-CO"/>
        </w:rPr>
      </w:pPr>
      <w:r w:rsidRPr="008F5C50">
        <w:rPr>
          <w:rFonts w:ascii="Verdana" w:hAnsi="Verdana"/>
          <w:sz w:val="14"/>
          <w:szCs w:val="14"/>
          <w:lang w:val="es-CO"/>
        </w:rPr>
        <w:t xml:space="preserve">5. Los datos referentes a la información financiera y comercial, en los términos de la Ley Estatutaria 1266 de 2008. </w:t>
      </w:r>
    </w:p>
    <w:p w14:paraId="05FEA861" w14:textId="77777777" w:rsidR="00360C4F" w:rsidRPr="008F5C50" w:rsidRDefault="00360C4F" w:rsidP="00360C4F">
      <w:pPr>
        <w:pStyle w:val="Textonotapie"/>
        <w:ind w:firstLine="708"/>
        <w:jc w:val="both"/>
        <w:rPr>
          <w:rFonts w:ascii="Verdana" w:hAnsi="Verdana"/>
          <w:sz w:val="14"/>
          <w:szCs w:val="14"/>
          <w:lang w:val="es-CO"/>
        </w:rPr>
      </w:pPr>
      <w:r w:rsidRPr="008F5C50">
        <w:rPr>
          <w:rFonts w:ascii="Verdana" w:hAnsi="Verdana"/>
          <w:sz w:val="14"/>
          <w:szCs w:val="14"/>
          <w:lang w:val="es-CO"/>
        </w:rPr>
        <w:t xml:space="preserve">6. Los protegidos por el secreto comercial o industrial, así como los planes estratégicos de las empresas públicas de servicios públicos. </w:t>
      </w:r>
    </w:p>
    <w:p w14:paraId="158E4517" w14:textId="77777777" w:rsidR="00360C4F" w:rsidRPr="008F5C50" w:rsidRDefault="00360C4F" w:rsidP="00360C4F">
      <w:pPr>
        <w:pStyle w:val="Textonotapie"/>
        <w:ind w:firstLine="708"/>
        <w:jc w:val="both"/>
        <w:rPr>
          <w:rFonts w:ascii="Verdana" w:hAnsi="Verdana"/>
          <w:sz w:val="14"/>
          <w:szCs w:val="14"/>
          <w:lang w:val="es-CO"/>
        </w:rPr>
      </w:pPr>
      <w:r w:rsidRPr="008F5C50">
        <w:rPr>
          <w:rFonts w:ascii="Verdana" w:hAnsi="Verdana"/>
          <w:sz w:val="14"/>
          <w:szCs w:val="14"/>
          <w:lang w:val="es-CO"/>
        </w:rPr>
        <w:t xml:space="preserve">7. Los amparados por el secreto profesional. </w:t>
      </w:r>
    </w:p>
    <w:p w14:paraId="0DFD5182" w14:textId="77777777" w:rsidR="00360C4F" w:rsidRPr="008F5C50" w:rsidRDefault="00360C4F" w:rsidP="00360C4F">
      <w:pPr>
        <w:pStyle w:val="Textonotapie"/>
        <w:ind w:firstLine="708"/>
        <w:jc w:val="both"/>
        <w:rPr>
          <w:rFonts w:ascii="Verdana" w:hAnsi="Verdana"/>
          <w:sz w:val="14"/>
          <w:szCs w:val="14"/>
          <w:lang w:val="es-CO"/>
        </w:rPr>
      </w:pPr>
      <w:r w:rsidRPr="008F5C50">
        <w:rPr>
          <w:rFonts w:ascii="Verdana" w:hAnsi="Verdana"/>
          <w:sz w:val="14"/>
          <w:szCs w:val="14"/>
          <w:lang w:val="es-CO"/>
        </w:rPr>
        <w:t xml:space="preserve">8. Los datos genéticos humanos. </w:t>
      </w:r>
    </w:p>
    <w:p w14:paraId="4A2CAD03" w14:textId="77777777" w:rsidR="00360C4F" w:rsidRPr="008F5C50" w:rsidRDefault="00360C4F" w:rsidP="00360C4F">
      <w:pPr>
        <w:pStyle w:val="Textonotapie"/>
        <w:ind w:firstLine="708"/>
        <w:jc w:val="both"/>
        <w:rPr>
          <w:rFonts w:ascii="Verdana" w:hAnsi="Verdana"/>
          <w:sz w:val="14"/>
          <w:szCs w:val="14"/>
          <w:lang w:val="es-CO"/>
        </w:rPr>
      </w:pPr>
      <w:r w:rsidRPr="008F5C50">
        <w:rPr>
          <w:rFonts w:ascii="Verdana" w:hAnsi="Verdana"/>
          <w:sz w:val="14"/>
          <w:szCs w:val="14"/>
          <w:lang w:val="es-CO"/>
        </w:rPr>
        <w:t>Parágrafo. Para efecto de la solicitud de información de carácter reservado, enunciada en los numerales 3, 5, 6 y 7 solo podrá ser solicitada por el titular de la información, por sus apoderados o por personas autorizadas con facultad expresa para acceder a esa información”.</w:t>
      </w:r>
    </w:p>
    <w:p w14:paraId="2EF61C31" w14:textId="77777777" w:rsidR="00360C4F" w:rsidRPr="008F5C50" w:rsidRDefault="00360C4F" w:rsidP="00360C4F">
      <w:pPr>
        <w:pStyle w:val="Textonotapie"/>
        <w:ind w:firstLine="708"/>
        <w:jc w:val="both"/>
        <w:rPr>
          <w:rFonts w:ascii="Verdana" w:hAnsi="Verdana"/>
          <w:sz w:val="14"/>
          <w:szCs w:val="14"/>
          <w:lang w:val="es-CO"/>
        </w:rPr>
      </w:pPr>
    </w:p>
  </w:footnote>
  <w:footnote w:id="13">
    <w:p w14:paraId="32A43DF2" w14:textId="77777777" w:rsidR="00360C4F" w:rsidRPr="008F5C50" w:rsidRDefault="00360C4F" w:rsidP="00360C4F">
      <w:pPr>
        <w:pStyle w:val="Textonotapie"/>
        <w:ind w:firstLine="708"/>
        <w:jc w:val="both"/>
        <w:rPr>
          <w:rFonts w:ascii="Verdana" w:hAnsi="Verdana"/>
          <w:sz w:val="14"/>
          <w:szCs w:val="14"/>
        </w:rPr>
      </w:pPr>
      <w:r w:rsidRPr="0044221C">
        <w:rPr>
          <w:rStyle w:val="Refdenotaalpie"/>
          <w:rFonts w:ascii="Verdana" w:hAnsi="Verdana"/>
          <w:sz w:val="14"/>
          <w:szCs w:val="14"/>
        </w:rPr>
        <w:footnoteRef/>
      </w:r>
      <w:r w:rsidRPr="0044221C">
        <w:rPr>
          <w:rFonts w:ascii="Verdana" w:hAnsi="Verdana"/>
          <w:sz w:val="14"/>
          <w:szCs w:val="14"/>
        </w:rPr>
        <w:t xml:space="preserve"> </w:t>
      </w:r>
      <w:r w:rsidRPr="0044221C">
        <w:rPr>
          <w:rFonts w:ascii="Verdana" w:eastAsia="Calibri" w:hAnsi="Verdana" w:cs="Arial"/>
          <w:color w:val="000000" w:themeColor="text1"/>
          <w:sz w:val="14"/>
          <w:szCs w:val="14"/>
        </w:rPr>
        <w:t xml:space="preserve">Agencia Nacional de Contratación Pública - Colombia Compra Eficiente. Circular Externa Única. Disponible en: </w:t>
      </w:r>
      <w:hyperlink r:id="rId3" w:history="1">
        <w:r w:rsidRPr="0044221C">
          <w:rPr>
            <w:rStyle w:val="Hipervnculo"/>
            <w:rFonts w:ascii="Verdana" w:hAnsi="Verdana"/>
            <w:sz w:val="14"/>
            <w:szCs w:val="14"/>
          </w:rPr>
          <w:t>https://www.colombiacompra.gov.co/normativa-y-relatoria/circular-unica-externa</w:t>
        </w:r>
      </w:hyperlink>
      <w:r w:rsidRPr="0044221C">
        <w:rPr>
          <w:rFonts w:ascii="Verdana" w:hAnsi="Verdana"/>
          <w:sz w:val="14"/>
          <w:szCs w:val="14"/>
        </w:rPr>
        <w:t xml:space="preserve"> </w:t>
      </w:r>
    </w:p>
    <w:p w14:paraId="61E944F4" w14:textId="77777777" w:rsidR="00360C4F" w:rsidRPr="0044221C" w:rsidRDefault="00360C4F" w:rsidP="00360C4F">
      <w:pPr>
        <w:pStyle w:val="Textonotapie"/>
        <w:ind w:firstLine="708"/>
        <w:jc w:val="both"/>
        <w:rPr>
          <w:rFonts w:ascii="Verdana" w:hAnsi="Verdana"/>
          <w:sz w:val="14"/>
          <w:szCs w:val="14"/>
        </w:rPr>
      </w:pPr>
    </w:p>
  </w:footnote>
  <w:footnote w:id="14">
    <w:p w14:paraId="4D072EE3" w14:textId="77777777" w:rsidR="00360C4F" w:rsidRPr="008F5C50" w:rsidRDefault="00360C4F" w:rsidP="00360C4F">
      <w:pPr>
        <w:pStyle w:val="Textonotapie"/>
        <w:ind w:firstLine="708"/>
        <w:jc w:val="both"/>
        <w:rPr>
          <w:rFonts w:ascii="Verdana" w:hAnsi="Verdana"/>
          <w:sz w:val="14"/>
          <w:szCs w:val="14"/>
          <w:lang w:val="es-CO"/>
        </w:rPr>
      </w:pPr>
      <w:r w:rsidRPr="008F5C50">
        <w:rPr>
          <w:rStyle w:val="Refdenotaalpie"/>
          <w:rFonts w:ascii="Verdana" w:hAnsi="Verdana"/>
          <w:sz w:val="14"/>
          <w:szCs w:val="14"/>
        </w:rPr>
        <w:footnoteRef/>
      </w:r>
      <w:r w:rsidRPr="008F5C50">
        <w:rPr>
          <w:rFonts w:ascii="Verdana" w:hAnsi="Verdana"/>
          <w:sz w:val="14"/>
          <w:szCs w:val="14"/>
        </w:rPr>
        <w:t xml:space="preserve"> </w:t>
      </w:r>
      <w:r w:rsidRPr="008F5C50">
        <w:rPr>
          <w:rFonts w:ascii="Verdana" w:hAnsi="Verdana"/>
          <w:sz w:val="14"/>
          <w:szCs w:val="14"/>
          <w:lang w:val="es-CO"/>
        </w:rPr>
        <w:t xml:space="preserve">“Numeral 1.1 Las Entidades Estatales de acuerdo con la definición del Decreto Reglamentario 1082 de 2015. </w:t>
      </w:r>
    </w:p>
    <w:p w14:paraId="279EAA09" w14:textId="77777777" w:rsidR="00360C4F" w:rsidRPr="008F5C50" w:rsidRDefault="00360C4F" w:rsidP="00360C4F">
      <w:pPr>
        <w:pStyle w:val="Textonotapie"/>
        <w:ind w:firstLine="708"/>
        <w:jc w:val="both"/>
        <w:rPr>
          <w:rFonts w:ascii="Verdana" w:hAnsi="Verdana"/>
          <w:sz w:val="14"/>
          <w:szCs w:val="14"/>
          <w:lang w:val="es-CO"/>
        </w:rPr>
      </w:pPr>
      <w:r w:rsidRPr="008F5C50">
        <w:rPr>
          <w:rFonts w:ascii="Verdana" w:hAnsi="Verdana"/>
          <w:sz w:val="14"/>
          <w:szCs w:val="14"/>
          <w:lang w:val="es-CO"/>
        </w:rPr>
        <w:t xml:space="preserve">A partir del 18 de julio de 2022, las Entidades Estatales que por disposición legal cuenten con un régimen contractual excepcional al del Estatuto General de Contratación de la Administración Pública, deberán publicar en el SECOP II, todos los documentos relacionados con su actividad contractual, de conformidad con lo señalado en el artículo 53 de la Ley 2195 de 2022. </w:t>
      </w:r>
    </w:p>
    <w:p w14:paraId="0CEDE082" w14:textId="77777777" w:rsidR="00360C4F" w:rsidRDefault="00360C4F" w:rsidP="00360C4F">
      <w:pPr>
        <w:pStyle w:val="Textonotapie"/>
        <w:ind w:firstLine="708"/>
        <w:jc w:val="both"/>
        <w:rPr>
          <w:rFonts w:ascii="Verdana" w:hAnsi="Verdana"/>
          <w:sz w:val="14"/>
          <w:szCs w:val="14"/>
          <w:lang w:val="es-CO"/>
        </w:rPr>
      </w:pPr>
      <w:r w:rsidRPr="008F5C50">
        <w:rPr>
          <w:rFonts w:ascii="Verdana" w:hAnsi="Verdana"/>
          <w:sz w:val="14"/>
          <w:szCs w:val="14"/>
          <w:lang w:val="es-CO"/>
        </w:rPr>
        <w:t>Los particulares deberán publicar la información oficial de la contratación realizada con cargo a recursos públicos. Estos deberán realizar la publicación a través del módulo “Régimen Especial”.</w:t>
      </w:r>
    </w:p>
    <w:p w14:paraId="1CCA8869" w14:textId="77777777" w:rsidR="00360C4F" w:rsidRPr="008F5C50" w:rsidRDefault="00360C4F" w:rsidP="00360C4F">
      <w:pPr>
        <w:pStyle w:val="Textonotapie"/>
        <w:ind w:firstLine="708"/>
        <w:jc w:val="both"/>
        <w:rPr>
          <w:rFonts w:ascii="Verdana" w:hAnsi="Verdana"/>
          <w:sz w:val="14"/>
          <w:szCs w:val="14"/>
          <w:lang w:val="es-CO"/>
        </w:rPr>
      </w:pPr>
    </w:p>
  </w:footnote>
  <w:footnote w:id="15">
    <w:p w14:paraId="20DFEBEE" w14:textId="77777777" w:rsidR="00360C4F" w:rsidRPr="0044221C" w:rsidRDefault="00360C4F" w:rsidP="00360C4F">
      <w:pPr>
        <w:pStyle w:val="Textonotapie"/>
        <w:ind w:firstLine="708"/>
        <w:jc w:val="both"/>
        <w:rPr>
          <w:rFonts w:ascii="Verdana" w:hAnsi="Verdana"/>
          <w:sz w:val="14"/>
          <w:szCs w:val="14"/>
        </w:rPr>
      </w:pPr>
      <w:r w:rsidRPr="0044221C">
        <w:rPr>
          <w:rStyle w:val="Refdenotaalpie"/>
          <w:rFonts w:ascii="Verdana" w:hAnsi="Verdana"/>
          <w:sz w:val="14"/>
          <w:szCs w:val="14"/>
        </w:rPr>
        <w:footnoteRef/>
      </w:r>
      <w:r w:rsidRPr="0044221C">
        <w:rPr>
          <w:rFonts w:ascii="Verdana" w:hAnsi="Verdana"/>
          <w:sz w:val="14"/>
          <w:szCs w:val="14"/>
        </w:rPr>
        <w:t xml:space="preserve"> </w:t>
      </w:r>
      <w:r w:rsidRPr="008F5C50">
        <w:rPr>
          <w:rFonts w:ascii="Verdana" w:eastAsia="Calibri" w:hAnsi="Verdana" w:cs="Arial"/>
          <w:color w:val="000000" w:themeColor="text1"/>
          <w:sz w:val="14"/>
          <w:szCs w:val="14"/>
        </w:rPr>
        <w:t xml:space="preserve">Agencia Nacional de Contratación Pública - Colombia Compra Eficiente. Circular Externa No. 002 de 2024. Disponible en: </w:t>
      </w:r>
      <w:r w:rsidRPr="0044221C">
        <w:rPr>
          <w:rFonts w:ascii="Verdana" w:hAnsi="Verdana"/>
          <w:sz w:val="14"/>
          <w:szCs w:val="14"/>
        </w:rPr>
        <w:t xml:space="preserve"> </w:t>
      </w:r>
      <w:hyperlink r:id="rId4" w:history="1">
        <w:r w:rsidRPr="0044221C">
          <w:rPr>
            <w:rStyle w:val="Hipervnculo"/>
            <w:rFonts w:ascii="Verdana" w:hAnsi="Verdana"/>
            <w:sz w:val="14"/>
            <w:szCs w:val="14"/>
          </w:rPr>
          <w:t>https://www.colombiacompra.gov.co/wp-content/uploads/2025/03/doc-20240823-wa0021.pdf</w:t>
        </w:r>
      </w:hyperlink>
      <w:r>
        <w:rPr>
          <w:rFonts w:ascii="Verdana" w:hAnsi="Verdana"/>
          <w:sz w:val="14"/>
          <w:szCs w:val="14"/>
        </w:rPr>
        <w:t xml:space="preserve"> </w:t>
      </w:r>
    </w:p>
  </w:footnote>
  <w:footnote w:id="16">
    <w:p w14:paraId="04D690A9" w14:textId="77777777" w:rsidR="00360C4F" w:rsidRPr="0044221C" w:rsidRDefault="00360C4F" w:rsidP="00360C4F">
      <w:pPr>
        <w:autoSpaceDE w:val="0"/>
        <w:autoSpaceDN w:val="0"/>
        <w:adjustRightInd w:val="0"/>
        <w:spacing w:after="0" w:line="240" w:lineRule="auto"/>
        <w:ind w:firstLine="708"/>
        <w:jc w:val="both"/>
        <w:rPr>
          <w:rFonts w:ascii="Verdana" w:eastAsia="Calibri" w:hAnsi="Verdana" w:cs="Arial"/>
          <w:sz w:val="14"/>
          <w:szCs w:val="14"/>
          <w:lang w:val="es-ES" w:eastAsia="es-ES_tradnl"/>
        </w:rPr>
      </w:pPr>
      <w:r w:rsidRPr="0044221C">
        <w:rPr>
          <w:rStyle w:val="Refdenotaalpie"/>
          <w:rFonts w:ascii="Verdana" w:hAnsi="Verdana" w:cs="Arial"/>
          <w:sz w:val="14"/>
          <w:szCs w:val="14"/>
        </w:rPr>
        <w:footnoteRef/>
      </w:r>
      <w:r w:rsidRPr="0044221C">
        <w:rPr>
          <w:rFonts w:ascii="Verdana" w:hAnsi="Verdana" w:cs="Arial"/>
          <w:sz w:val="14"/>
          <w:szCs w:val="14"/>
        </w:rPr>
        <w:t xml:space="preserve"> Disponible en el siguiente enlace: </w:t>
      </w:r>
      <w:hyperlink r:id="rId5" w:history="1">
        <w:r w:rsidRPr="0044221C">
          <w:rPr>
            <w:rStyle w:val="Hipervnculo"/>
            <w:rFonts w:ascii="Verdana" w:hAnsi="Verdana" w:cs="Arial"/>
            <w:sz w:val="14"/>
            <w:szCs w:val="14"/>
          </w:rPr>
          <w:t>https://www.colombiacompra.gov.co/sites/cce_public/files/cce_circulares/doc-20240823-wa0021.pdf</w:t>
        </w:r>
      </w:hyperlink>
      <w:r w:rsidRPr="0044221C">
        <w:rPr>
          <w:rFonts w:ascii="Verdana" w:hAnsi="Verdana" w:cs="Arial"/>
          <w:sz w:val="14"/>
          <w:szCs w:val="14"/>
        </w:rPr>
        <w:t xml:space="preserve"> </w:t>
      </w:r>
    </w:p>
    <w:p w14:paraId="36784D81" w14:textId="77777777" w:rsidR="00360C4F" w:rsidRPr="0044221C" w:rsidRDefault="00360C4F" w:rsidP="00360C4F">
      <w:pPr>
        <w:autoSpaceDE w:val="0"/>
        <w:autoSpaceDN w:val="0"/>
        <w:adjustRightInd w:val="0"/>
        <w:spacing w:after="0" w:line="240" w:lineRule="auto"/>
        <w:ind w:firstLine="708"/>
        <w:jc w:val="both"/>
        <w:rPr>
          <w:rFonts w:ascii="Verdana" w:eastAsia="Times New Roman" w:hAnsi="Verdana" w:cs="Arial"/>
          <w:sz w:val="14"/>
          <w:szCs w:val="14"/>
          <w:lang w:eastAsia="es-ES_tradnl"/>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97758607"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289744715" name="Imagen 2897447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5pt;height:12.5pt" o:bullet="t">
        <v:imagedata r:id="rId1" o:title="mso1B13"/>
      </v:shape>
    </w:pict>
  </w:numPicBullet>
  <w:abstractNum w:abstractNumId="0" w15:restartNumberingAfterBreak="0">
    <w:nsid w:val="01E4309D"/>
    <w:multiLevelType w:val="hybridMultilevel"/>
    <w:tmpl w:val="B0E2594A"/>
    <w:lvl w:ilvl="0" w:tplc="008E945A">
      <w:start w:val="1"/>
      <w:numFmt w:val="bullet"/>
      <w:lvlText w:val=""/>
      <w:lvlJc w:val="left"/>
      <w:pPr>
        <w:ind w:left="720" w:hanging="360"/>
      </w:pPr>
      <w:rPr>
        <w:rFonts w:ascii="Symbol" w:hAnsi="Symbol" w:hint="default"/>
        <w:color w:val="000000" w:themeColor="text1"/>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06E958FB"/>
    <w:multiLevelType w:val="hybridMultilevel"/>
    <w:tmpl w:val="CFB63380"/>
    <w:lvl w:ilvl="0" w:tplc="53E29190">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18E5EF0"/>
    <w:multiLevelType w:val="hybridMultilevel"/>
    <w:tmpl w:val="BAEA2E5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7"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2" w15:restartNumberingAfterBreak="0">
    <w:nsid w:val="40F82114"/>
    <w:multiLevelType w:val="hybridMultilevel"/>
    <w:tmpl w:val="B6C06020"/>
    <w:lvl w:ilvl="0" w:tplc="2F4CFC7C">
      <w:start w:val="1"/>
      <w:numFmt w:val="decimal"/>
      <w:lvlText w:val="%1."/>
      <w:lvlJc w:val="left"/>
      <w:pPr>
        <w:ind w:left="720" w:hanging="360"/>
      </w:pPr>
      <w:rPr>
        <w:rFonts w:ascii="Arial" w:eastAsiaTheme="minorHAnsi" w:hAnsi="Arial" w:cs="Arial"/>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4"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8"/>
  </w:num>
  <w:num w:numId="2" w16cid:durableId="19822139">
    <w:abstractNumId w:val="2"/>
  </w:num>
  <w:num w:numId="3" w16cid:durableId="876742304">
    <w:abstractNumId w:val="5"/>
  </w:num>
  <w:num w:numId="4" w16cid:durableId="24518640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6"/>
  </w:num>
  <w:num w:numId="7" w16cid:durableId="1946422806">
    <w:abstractNumId w:val="7"/>
  </w:num>
  <w:num w:numId="8" w16cid:durableId="152644682">
    <w:abstractNumId w:val="15"/>
  </w:num>
  <w:num w:numId="9" w16cid:durableId="1317221377">
    <w:abstractNumId w:val="9"/>
  </w:num>
  <w:num w:numId="10" w16cid:durableId="1471245386">
    <w:abstractNumId w:val="14"/>
  </w:num>
  <w:num w:numId="11" w16cid:durableId="289172385">
    <w:abstractNumId w:val="10"/>
  </w:num>
  <w:num w:numId="12" w16cid:durableId="1470781324">
    <w:abstractNumId w:val="1"/>
  </w:num>
  <w:num w:numId="13" w16cid:durableId="1512908409">
    <w:abstractNumId w:val="4"/>
  </w:num>
  <w:num w:numId="14" w16cid:durableId="895897244">
    <w:abstractNumId w:val="17"/>
  </w:num>
  <w:num w:numId="15" w16cid:durableId="390349800">
    <w:abstractNumId w:val="13"/>
  </w:num>
  <w:num w:numId="16" w16cid:durableId="679089576">
    <w:abstractNumId w:val="11"/>
  </w:num>
  <w:num w:numId="17" w16cid:durableId="1339963199">
    <w:abstractNumId w:val="3"/>
  </w:num>
  <w:num w:numId="18" w16cid:durableId="1328823183">
    <w:abstractNumId w:val="6"/>
  </w:num>
  <w:num w:numId="19" w16cid:durableId="2043675015">
    <w:abstractNumId w:val="12"/>
  </w:num>
  <w:num w:numId="20" w16cid:durableId="125535586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30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57D4"/>
    <w:rsid w:val="00046945"/>
    <w:rsid w:val="00061B2A"/>
    <w:rsid w:val="00082362"/>
    <w:rsid w:val="000A683E"/>
    <w:rsid w:val="000B19B9"/>
    <w:rsid w:val="000D0334"/>
    <w:rsid w:val="000D5DA7"/>
    <w:rsid w:val="000D6FB2"/>
    <w:rsid w:val="000F6486"/>
    <w:rsid w:val="00116940"/>
    <w:rsid w:val="00121C31"/>
    <w:rsid w:val="00125105"/>
    <w:rsid w:val="00127233"/>
    <w:rsid w:val="0015699B"/>
    <w:rsid w:val="00172A4D"/>
    <w:rsid w:val="00190DA7"/>
    <w:rsid w:val="001A1AAC"/>
    <w:rsid w:val="001A33BF"/>
    <w:rsid w:val="001E4177"/>
    <w:rsid w:val="001F0B24"/>
    <w:rsid w:val="001F7DC6"/>
    <w:rsid w:val="00221F6C"/>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118BD"/>
    <w:rsid w:val="00311CE4"/>
    <w:rsid w:val="00322A85"/>
    <w:rsid w:val="00324168"/>
    <w:rsid w:val="00330834"/>
    <w:rsid w:val="00334620"/>
    <w:rsid w:val="003448F4"/>
    <w:rsid w:val="00360C4F"/>
    <w:rsid w:val="00374F5E"/>
    <w:rsid w:val="00377E3E"/>
    <w:rsid w:val="003A779E"/>
    <w:rsid w:val="003D0F4D"/>
    <w:rsid w:val="003D5B0D"/>
    <w:rsid w:val="003E0499"/>
    <w:rsid w:val="003E4F80"/>
    <w:rsid w:val="003E6439"/>
    <w:rsid w:val="003F3941"/>
    <w:rsid w:val="00405F91"/>
    <w:rsid w:val="00406575"/>
    <w:rsid w:val="00411199"/>
    <w:rsid w:val="00414C74"/>
    <w:rsid w:val="00425428"/>
    <w:rsid w:val="0042722E"/>
    <w:rsid w:val="0044528D"/>
    <w:rsid w:val="00445BBA"/>
    <w:rsid w:val="00466E39"/>
    <w:rsid w:val="004842CC"/>
    <w:rsid w:val="004A1847"/>
    <w:rsid w:val="004A305D"/>
    <w:rsid w:val="004F21C4"/>
    <w:rsid w:val="004F685F"/>
    <w:rsid w:val="00547D59"/>
    <w:rsid w:val="005566E8"/>
    <w:rsid w:val="0056680B"/>
    <w:rsid w:val="00574867"/>
    <w:rsid w:val="00591460"/>
    <w:rsid w:val="005A65E0"/>
    <w:rsid w:val="005B61AC"/>
    <w:rsid w:val="005C3777"/>
    <w:rsid w:val="005C5CDC"/>
    <w:rsid w:val="005D476C"/>
    <w:rsid w:val="00616202"/>
    <w:rsid w:val="006200BF"/>
    <w:rsid w:val="006219F8"/>
    <w:rsid w:val="006302F7"/>
    <w:rsid w:val="00646B9F"/>
    <w:rsid w:val="00665D70"/>
    <w:rsid w:val="006900D9"/>
    <w:rsid w:val="00706C16"/>
    <w:rsid w:val="00725A15"/>
    <w:rsid w:val="007340C3"/>
    <w:rsid w:val="0075235A"/>
    <w:rsid w:val="00756841"/>
    <w:rsid w:val="007649AB"/>
    <w:rsid w:val="00771D0C"/>
    <w:rsid w:val="007833AC"/>
    <w:rsid w:val="007A65B3"/>
    <w:rsid w:val="007B268C"/>
    <w:rsid w:val="007B7171"/>
    <w:rsid w:val="007C0C0F"/>
    <w:rsid w:val="007C3DC2"/>
    <w:rsid w:val="007D033B"/>
    <w:rsid w:val="007E5497"/>
    <w:rsid w:val="00806F5F"/>
    <w:rsid w:val="00820278"/>
    <w:rsid w:val="008258C9"/>
    <w:rsid w:val="00844AE9"/>
    <w:rsid w:val="00867F95"/>
    <w:rsid w:val="008843B6"/>
    <w:rsid w:val="00891928"/>
    <w:rsid w:val="008A446D"/>
    <w:rsid w:val="008B25F1"/>
    <w:rsid w:val="008D078A"/>
    <w:rsid w:val="008D180B"/>
    <w:rsid w:val="008F0EA7"/>
    <w:rsid w:val="00923EEF"/>
    <w:rsid w:val="009419F9"/>
    <w:rsid w:val="009526DA"/>
    <w:rsid w:val="0095685E"/>
    <w:rsid w:val="00961B09"/>
    <w:rsid w:val="00965334"/>
    <w:rsid w:val="0097093E"/>
    <w:rsid w:val="009A05B7"/>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42BA8"/>
    <w:rsid w:val="00A9029C"/>
    <w:rsid w:val="00AB0ADB"/>
    <w:rsid w:val="00AC42D2"/>
    <w:rsid w:val="00AD0845"/>
    <w:rsid w:val="00B00C0E"/>
    <w:rsid w:val="00B01B1A"/>
    <w:rsid w:val="00B0381D"/>
    <w:rsid w:val="00B44A47"/>
    <w:rsid w:val="00B64291"/>
    <w:rsid w:val="00B72CD3"/>
    <w:rsid w:val="00B72FFF"/>
    <w:rsid w:val="00B94A85"/>
    <w:rsid w:val="00BC3D36"/>
    <w:rsid w:val="00BD54A6"/>
    <w:rsid w:val="00BD7F72"/>
    <w:rsid w:val="00BF7425"/>
    <w:rsid w:val="00C04FB3"/>
    <w:rsid w:val="00C11D8B"/>
    <w:rsid w:val="00C15139"/>
    <w:rsid w:val="00C311F6"/>
    <w:rsid w:val="00C330EB"/>
    <w:rsid w:val="00C50D69"/>
    <w:rsid w:val="00C5365C"/>
    <w:rsid w:val="00C754BE"/>
    <w:rsid w:val="00C76B1C"/>
    <w:rsid w:val="00C81617"/>
    <w:rsid w:val="00C925AC"/>
    <w:rsid w:val="00CB6357"/>
    <w:rsid w:val="00CC1B26"/>
    <w:rsid w:val="00D361FD"/>
    <w:rsid w:val="00D423A2"/>
    <w:rsid w:val="00D44E26"/>
    <w:rsid w:val="00D520D8"/>
    <w:rsid w:val="00D63AC2"/>
    <w:rsid w:val="00D7383B"/>
    <w:rsid w:val="00D7788A"/>
    <w:rsid w:val="00DA231B"/>
    <w:rsid w:val="00DB0AFC"/>
    <w:rsid w:val="00DC39FC"/>
    <w:rsid w:val="00DD5622"/>
    <w:rsid w:val="00DF5254"/>
    <w:rsid w:val="00E02524"/>
    <w:rsid w:val="00E16408"/>
    <w:rsid w:val="00E20894"/>
    <w:rsid w:val="00E245AB"/>
    <w:rsid w:val="00E2764C"/>
    <w:rsid w:val="00E27F2E"/>
    <w:rsid w:val="00E32788"/>
    <w:rsid w:val="00E50AFE"/>
    <w:rsid w:val="00E75C92"/>
    <w:rsid w:val="00E771DC"/>
    <w:rsid w:val="00E8772A"/>
    <w:rsid w:val="00E90F6B"/>
    <w:rsid w:val="00E92C27"/>
    <w:rsid w:val="00EA0E3D"/>
    <w:rsid w:val="00EC38A7"/>
    <w:rsid w:val="00EE1AA8"/>
    <w:rsid w:val="00F23FEA"/>
    <w:rsid w:val="00F278EF"/>
    <w:rsid w:val="00F31EDC"/>
    <w:rsid w:val="00F430A9"/>
    <w:rsid w:val="00F462B3"/>
    <w:rsid w:val="00F5664F"/>
    <w:rsid w:val="00F666C4"/>
    <w:rsid w:val="00F76AFC"/>
    <w:rsid w:val="00FA47C0"/>
    <w:rsid w:val="00FB5DD1"/>
    <w:rsid w:val="00FC0DB5"/>
    <w:rsid w:val="00FC2B5D"/>
    <w:rsid w:val="00FF1449"/>
    <w:rsid w:val="00FF7963"/>
    <w:rsid w:val="071B8F93"/>
    <w:rsid w:val="09908A09"/>
    <w:rsid w:val="0FF4CCA8"/>
    <w:rsid w:val="13CFC91B"/>
    <w:rsid w:val="19A2EC2C"/>
    <w:rsid w:val="2859CA1B"/>
    <w:rsid w:val="32A4F9CF"/>
    <w:rsid w:val="356CEDFD"/>
    <w:rsid w:val="69614A15"/>
    <w:rsid w:val="6A56FCEA"/>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616202"/>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616202"/>
    <w:rPr>
      <w:rFonts w:ascii="Geomanist Light" w:hAnsi="Geomanist Light"/>
      <w:lang w:val="es-ES"/>
    </w:rPr>
  </w:style>
  <w:style w:type="character" w:customStyle="1" w:styleId="NormalWebCar">
    <w:name w:val="Normal (Web) Car"/>
    <w:link w:val="NormalWeb"/>
    <w:uiPriority w:val="99"/>
    <w:rsid w:val="00221F6C"/>
    <w:rPr>
      <w:rFonts w:ascii="Times New Roman" w:eastAsia="Times New Roman" w:hAnsi="Times New Roman" w:cs="Times New Roman"/>
      <w:sz w:val="24"/>
      <w:szCs w:val="24"/>
      <w:lang w:eastAsia="es-CO"/>
    </w:rPr>
  </w:style>
  <w:style w:type="paragraph" w:styleId="Textoindependiente">
    <w:name w:val="Body Text"/>
    <w:basedOn w:val="Normal"/>
    <w:link w:val="TextoindependienteCar"/>
    <w:rsid w:val="00221F6C"/>
    <w:pPr>
      <w:spacing w:after="120" w:line="240" w:lineRule="auto"/>
    </w:pPr>
    <w:rPr>
      <w:rFonts w:ascii="Times New Roman" w:eastAsia="Times New Roman" w:hAnsi="Times New Roman" w:cs="Times New Roman"/>
      <w:sz w:val="24"/>
      <w:szCs w:val="24"/>
      <w:lang w:eastAsia="es-CO"/>
    </w:rPr>
  </w:style>
  <w:style w:type="character" w:customStyle="1" w:styleId="TextoindependienteCar">
    <w:name w:val="Texto independiente Car"/>
    <w:basedOn w:val="Fuentedeprrafopredeter"/>
    <w:link w:val="Textoindependiente"/>
    <w:rsid w:val="00221F6C"/>
    <w:rPr>
      <w:rFonts w:ascii="Times New Roman" w:eastAsia="Times New Roman" w:hAnsi="Times New Roman" w:cs="Times New Roman"/>
      <w:sz w:val="24"/>
      <w:szCs w:val="24"/>
      <w:lang w:eastAsia="es-CO"/>
    </w:rPr>
  </w:style>
  <w:style w:type="character" w:customStyle="1" w:styleId="baj">
    <w:name w:val="b_aj"/>
    <w:basedOn w:val="Fuentedeprrafopredeter"/>
    <w:rsid w:val="00221F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relatoria.colombiacompra.gov.co/busqueda/conceptos"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_rels/footnotes.xml.rels><?xml version="1.0" encoding="UTF-8" standalone="yes"?>
<Relationships xmlns="http://schemas.openxmlformats.org/package/2006/relationships"><Relationship Id="rId3" Type="http://schemas.openxmlformats.org/officeDocument/2006/relationships/hyperlink" Target="https://www.colombiacompra.gov.co/normativa-y-relatoria/circular-unica-externa" TargetMode="External"/><Relationship Id="rId2" Type="http://schemas.openxmlformats.org/officeDocument/2006/relationships/hyperlink" Target="https://www.colombiacompra.gov.co/node/30741" TargetMode="External"/><Relationship Id="rId1" Type="http://schemas.openxmlformats.org/officeDocument/2006/relationships/hyperlink" Target="https://www.colombiacompra.gov.co/node/23628" TargetMode="External"/><Relationship Id="rId5" Type="http://schemas.openxmlformats.org/officeDocument/2006/relationships/hyperlink" Target="https://www.colombiacompra.gov.co/sites/cce_public/files/cce_circulares/doc-20240823-wa0021.pdf" TargetMode="External"/><Relationship Id="rId4" Type="http://schemas.openxmlformats.org/officeDocument/2006/relationships/hyperlink" Target="https://www.colombiacompra.gov.co/wp-content/uploads/2025/03/doc-20240823-wa0021.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purl.org/dc/terms/"/>
    <ds:schemaRef ds:uri="http://schemas.openxmlformats.org/package/2006/metadata/core-properties"/>
    <ds:schemaRef ds:uri="http://purl.org/dc/dcmitype/"/>
    <ds:schemaRef ds:uri="http://schemas.microsoft.com/office/infopath/2007/PartnerControls"/>
    <ds:schemaRef ds:uri="http://schemas.microsoft.com/office/2006/documentManagement/types"/>
    <ds:schemaRef ds:uri="http://purl.org/dc/elements/1.1/"/>
    <ds:schemaRef ds:uri="a6cb9e4b-f1d1-4245-83ec-6cad768d538a"/>
    <ds:schemaRef ds:uri="9d85dbaf-23eb-4e57-a637-93dcacc8b1a1"/>
    <ds:schemaRef ds:uri="http://www.w3.org/XML/1998/namespace"/>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435234A7-8021-4BA9-A49C-97266BFBBD4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4</TotalTime>
  <Pages>19</Pages>
  <Words>5674</Words>
  <Characters>29906</Characters>
  <Application>Microsoft Office Word</Application>
  <DocSecurity>0</DocSecurity>
  <Lines>586</Lines>
  <Paragraphs>113</Paragraphs>
  <ScaleCrop>false</ScaleCrop>
  <Company/>
  <LinksUpToDate>false</LinksUpToDate>
  <CharactersWithSpaces>35467</CharactersWithSpaces>
  <SharedDoc>false</SharedDoc>
  <HLinks>
    <vt:vector size="36" baseType="variant">
      <vt:variant>
        <vt:i4>7471218</vt:i4>
      </vt:variant>
      <vt:variant>
        <vt:i4>0</vt:i4>
      </vt:variant>
      <vt:variant>
        <vt:i4>0</vt:i4>
      </vt:variant>
      <vt:variant>
        <vt:i4>5</vt:i4>
      </vt:variant>
      <vt:variant>
        <vt:lpwstr>https://relatoria.colombiacompra.gov.co/busqueda/conceptos</vt:lpwstr>
      </vt:variant>
      <vt:variant>
        <vt:lpwstr/>
      </vt:variant>
      <vt:variant>
        <vt:i4>5177425</vt:i4>
      </vt:variant>
      <vt:variant>
        <vt:i4>12</vt:i4>
      </vt:variant>
      <vt:variant>
        <vt:i4>0</vt:i4>
      </vt:variant>
      <vt:variant>
        <vt:i4>5</vt:i4>
      </vt:variant>
      <vt:variant>
        <vt:lpwstr>https://www.colombiacompra.gov.co/sites/cce_public/files/cce_circulares/doc-20240823-wa0021.pdf</vt:lpwstr>
      </vt:variant>
      <vt:variant>
        <vt:lpwstr/>
      </vt:variant>
      <vt:variant>
        <vt:i4>5046283</vt:i4>
      </vt:variant>
      <vt:variant>
        <vt:i4>9</vt:i4>
      </vt:variant>
      <vt:variant>
        <vt:i4>0</vt:i4>
      </vt:variant>
      <vt:variant>
        <vt:i4>5</vt:i4>
      </vt:variant>
      <vt:variant>
        <vt:lpwstr>https://www.colombiacompra.gov.co/wp-content/uploads/2025/03/doc-20240823-wa0021.pdf</vt:lpwstr>
      </vt:variant>
      <vt:variant>
        <vt:lpwstr/>
      </vt:variant>
      <vt:variant>
        <vt:i4>3014713</vt:i4>
      </vt:variant>
      <vt:variant>
        <vt:i4>6</vt:i4>
      </vt:variant>
      <vt:variant>
        <vt:i4>0</vt:i4>
      </vt:variant>
      <vt:variant>
        <vt:i4>5</vt:i4>
      </vt:variant>
      <vt:variant>
        <vt:lpwstr>https://www.colombiacompra.gov.co/normativa-y-relatoria/circular-unica-externa</vt:lpwstr>
      </vt:variant>
      <vt:variant>
        <vt:lpwstr/>
      </vt:variant>
      <vt:variant>
        <vt:i4>5701654</vt:i4>
      </vt:variant>
      <vt:variant>
        <vt:i4>3</vt:i4>
      </vt:variant>
      <vt:variant>
        <vt:i4>0</vt:i4>
      </vt:variant>
      <vt:variant>
        <vt:i4>5</vt:i4>
      </vt:variant>
      <vt:variant>
        <vt:lpwstr>https://www.colombiacompra.gov.co/node/30741</vt:lpwstr>
      </vt:variant>
      <vt:variant>
        <vt:lpwstr/>
      </vt:variant>
      <vt:variant>
        <vt:i4>6160403</vt:i4>
      </vt:variant>
      <vt:variant>
        <vt:i4>0</vt:i4>
      </vt:variant>
      <vt:variant>
        <vt:i4>0</vt:i4>
      </vt:variant>
      <vt:variant>
        <vt:i4>5</vt:i4>
      </vt:variant>
      <vt:variant>
        <vt:lpwstr>https://www.colombiacompra.gov.co/node/23628</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2</cp:revision>
  <cp:lastPrinted>2023-01-10T21:18:00Z</cp:lastPrinted>
  <dcterms:created xsi:type="dcterms:W3CDTF">2026-01-06T13:49:00Z</dcterms:created>
  <dcterms:modified xsi:type="dcterms:W3CDTF">2026-01-06T13:49:00Z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