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44116" w14:textId="77777777" w:rsidR="00F775E9" w:rsidRPr="00523932" w:rsidRDefault="00F775E9" w:rsidP="00F775E9">
      <w:pPr>
        <w:spacing w:after="0" w:line="240" w:lineRule="auto"/>
        <w:jc w:val="both"/>
        <w:rPr>
          <w:rFonts w:ascii="Verdana" w:eastAsia="Calibri" w:hAnsi="Verdana" w:cs="Arial"/>
          <w:b/>
          <w:lang w:val="es-MX" w:eastAsia="es-ES_tradnl"/>
        </w:rPr>
      </w:pPr>
      <w:bookmarkStart w:id="0" w:name="_Hlk143780582"/>
      <w:r w:rsidRPr="00523932">
        <w:rPr>
          <w:rFonts w:ascii="Verdana" w:eastAsia="Calibri" w:hAnsi="Verdana" w:cs="Arial"/>
          <w:b/>
          <w:lang w:val="es-MX" w:eastAsia="es-ES_tradnl"/>
        </w:rPr>
        <w:t>INHABILIDADES – Definición – Finalidad – Limitación capacidad contractual</w:t>
      </w:r>
    </w:p>
    <w:p w14:paraId="4821DAA9" w14:textId="77777777" w:rsidR="00F775E9" w:rsidRPr="00523932" w:rsidRDefault="00F775E9" w:rsidP="00F775E9">
      <w:pPr>
        <w:spacing w:after="0" w:line="240" w:lineRule="auto"/>
        <w:rPr>
          <w:rFonts w:ascii="Verdana" w:eastAsia="Calibri" w:hAnsi="Verdana" w:cs="Arial"/>
          <w:bCs/>
          <w:sz w:val="20"/>
          <w:szCs w:val="20"/>
          <w:lang w:val="es-MX" w:eastAsia="es-ES_tradnl"/>
        </w:rPr>
      </w:pPr>
    </w:p>
    <w:p w14:paraId="55CE4DED" w14:textId="77777777" w:rsidR="00F775E9" w:rsidRPr="00523932" w:rsidRDefault="00F775E9" w:rsidP="00F775E9">
      <w:pPr>
        <w:spacing w:after="0" w:line="240" w:lineRule="auto"/>
        <w:jc w:val="both"/>
        <w:rPr>
          <w:rFonts w:ascii="Verdana" w:eastAsia="Geomanist Light" w:hAnsi="Verdana" w:cs="Arial"/>
          <w:color w:val="000000" w:themeColor="text1"/>
          <w:sz w:val="20"/>
          <w:szCs w:val="20"/>
          <w:lang w:val="es-MX"/>
        </w:rPr>
      </w:pPr>
      <w:r w:rsidRPr="00523932">
        <w:rPr>
          <w:rFonts w:ascii="Verdana" w:eastAsia="Geomanist Light" w:hAnsi="Verdana" w:cs="Arial"/>
          <w:color w:val="000000" w:themeColor="text1"/>
          <w:sz w:val="20"/>
          <w:szCs w:val="20"/>
          <w:lang w:val="es-MX"/>
        </w:rPr>
        <w:t>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 La consagración limitaciones que afectan la capacidad jurídica para contratar desarrolla los principios de la función administrativa consagrados en el artículo 209 de la Constitución Política, con especial énfasis el de moralidad.</w:t>
      </w:r>
    </w:p>
    <w:p w14:paraId="66905057" w14:textId="77777777" w:rsidR="00F775E9" w:rsidRPr="00523932" w:rsidRDefault="00F775E9" w:rsidP="00F775E9">
      <w:pPr>
        <w:spacing w:after="0" w:line="240" w:lineRule="auto"/>
        <w:jc w:val="both"/>
        <w:rPr>
          <w:rFonts w:ascii="Verdana" w:eastAsia="Geomanist Light" w:hAnsi="Verdana" w:cs="Arial"/>
          <w:color w:val="000000" w:themeColor="text1"/>
          <w:sz w:val="20"/>
          <w:szCs w:val="20"/>
          <w:lang w:val="es-MX"/>
        </w:rPr>
      </w:pPr>
    </w:p>
    <w:p w14:paraId="4967123D" w14:textId="2A60BFDD" w:rsidR="00F775E9" w:rsidRPr="00523932" w:rsidRDefault="00F775E9" w:rsidP="00F775E9">
      <w:pPr>
        <w:spacing w:after="0" w:line="240" w:lineRule="auto"/>
        <w:jc w:val="both"/>
        <w:rPr>
          <w:rFonts w:ascii="Verdana" w:eastAsia="Calibri" w:hAnsi="Verdana" w:cs="Arial"/>
          <w:b/>
          <w:lang w:val="es-MX" w:eastAsia="es-ES_tradnl"/>
        </w:rPr>
      </w:pPr>
      <w:r w:rsidRPr="00523932">
        <w:rPr>
          <w:rFonts w:ascii="Verdana" w:eastAsia="Calibri" w:hAnsi="Verdana" w:cs="Arial"/>
          <w:b/>
          <w:lang w:val="es-MX" w:eastAsia="es-ES_tradnl"/>
        </w:rPr>
        <w:t xml:space="preserve">CONTRATACIÓN ESTATAL – Capacidad – Validez contratos – Régimen de contratación – </w:t>
      </w:r>
      <w:r w:rsidR="00E96A1C">
        <w:rPr>
          <w:rFonts w:ascii="Verdana" w:eastAsia="Calibri" w:hAnsi="Verdana" w:cs="Arial"/>
          <w:b/>
          <w:lang w:val="es-MX" w:eastAsia="es-ES_tradnl"/>
        </w:rPr>
        <w:t>Artículo 127 constitucional – Inhabilidad de carácter general</w:t>
      </w:r>
    </w:p>
    <w:p w14:paraId="123398F0" w14:textId="77777777" w:rsidR="00F775E9" w:rsidRPr="00523932" w:rsidRDefault="00F775E9" w:rsidP="00F775E9">
      <w:pPr>
        <w:spacing w:after="0" w:line="240" w:lineRule="auto"/>
        <w:jc w:val="both"/>
        <w:rPr>
          <w:rFonts w:ascii="Verdana" w:eastAsia="Calibri" w:hAnsi="Verdana" w:cs="Arial"/>
          <w:bCs/>
          <w:sz w:val="20"/>
          <w:szCs w:val="20"/>
          <w:lang w:val="es-MX" w:eastAsia="es-ES_tradnl"/>
        </w:rPr>
      </w:pPr>
    </w:p>
    <w:p w14:paraId="607EDC71" w14:textId="77777777" w:rsidR="00F775E9" w:rsidRPr="00523932" w:rsidRDefault="00F775E9" w:rsidP="00F775E9">
      <w:pPr>
        <w:spacing w:after="0" w:line="240" w:lineRule="auto"/>
        <w:jc w:val="both"/>
        <w:rPr>
          <w:rFonts w:ascii="Verdana" w:eastAsia="Calibri" w:hAnsi="Verdana" w:cs="Arial"/>
          <w:bCs/>
          <w:sz w:val="20"/>
          <w:szCs w:val="20"/>
          <w:lang w:val="es-MX" w:eastAsia="es-ES_tradnl"/>
        </w:rPr>
      </w:pPr>
      <w:r w:rsidRPr="00523932">
        <w:rPr>
          <w:rFonts w:ascii="Verdana" w:eastAsia="Calibri" w:hAnsi="Verdana" w:cs="Arial"/>
          <w:bCs/>
          <w:sz w:val="20"/>
          <w:szCs w:val="20"/>
          <w:lang w:val="es-MX" w:eastAsia="es-ES_tradnl"/>
        </w:rPr>
        <w:t>[…] en la contratación estatal, la capacidad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 –, se destaca el régimen de inhabilidades e incompatibilidades como un conjunto de normas que imponen restricciones para los sujetos que, eventualmente, pretendan participar en los procedimientos de selección o celebrar contratos con las entidades estatales.</w:t>
      </w:r>
    </w:p>
    <w:p w14:paraId="7DDBD029" w14:textId="77777777" w:rsidR="00F775E9" w:rsidRPr="00523932" w:rsidRDefault="00F775E9" w:rsidP="00F775E9">
      <w:pPr>
        <w:spacing w:after="0" w:line="240" w:lineRule="auto"/>
        <w:jc w:val="both"/>
        <w:rPr>
          <w:rFonts w:ascii="Verdana" w:eastAsia="Calibri" w:hAnsi="Verdana" w:cs="Arial"/>
          <w:bCs/>
          <w:sz w:val="20"/>
          <w:szCs w:val="20"/>
          <w:lang w:val="es-MX" w:eastAsia="es-ES_tradnl"/>
        </w:rPr>
      </w:pPr>
    </w:p>
    <w:p w14:paraId="74CDB16C" w14:textId="77777777" w:rsidR="00F775E9" w:rsidRPr="00523932" w:rsidRDefault="00F775E9" w:rsidP="00F775E9">
      <w:pPr>
        <w:spacing w:after="0" w:line="240" w:lineRule="auto"/>
        <w:jc w:val="both"/>
        <w:rPr>
          <w:rFonts w:ascii="Verdana" w:eastAsia="Calibri" w:hAnsi="Verdana" w:cs="Arial"/>
          <w:bCs/>
          <w:sz w:val="20"/>
          <w:szCs w:val="20"/>
          <w:lang w:val="es-MX" w:eastAsia="es-ES_tradnl"/>
        </w:rPr>
      </w:pPr>
      <w:r w:rsidRPr="00523932">
        <w:rPr>
          <w:rFonts w:ascii="Verdana" w:eastAsia="Calibri" w:hAnsi="Verdana" w:cs="Arial"/>
          <w:bCs/>
          <w:sz w:val="20"/>
          <w:szCs w:val="20"/>
          <w:lang w:val="es-MX" w:eastAsia="es-ES_tradnl"/>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0523932">
        <w:rPr>
          <w:rFonts w:ascii="Verdana" w:eastAsia="Calibri" w:hAnsi="Verdana" w:cs="Arial"/>
          <w:bCs/>
          <w:sz w:val="20"/>
          <w:szCs w:val="20"/>
          <w:lang w:val="es-MX" w:eastAsia="es-ES_tradnl"/>
        </w:rPr>
        <w:t>ii</w:t>
      </w:r>
      <w:proofErr w:type="spellEnd"/>
      <w:r w:rsidRPr="00523932">
        <w:rPr>
          <w:rFonts w:ascii="Verdana" w:eastAsia="Calibri" w:hAnsi="Verdana" w:cs="Arial"/>
          <w:bCs/>
          <w:sz w:val="20"/>
          <w:szCs w:val="20"/>
          <w:lang w:val="es-MX" w:eastAsia="es-ES_tradnl"/>
        </w:rPr>
        <w:t xml:space="preserve">) de vínculos personales relativos al parentesco o al estado civil o </w:t>
      </w:r>
      <w:proofErr w:type="spellStart"/>
      <w:r w:rsidRPr="00523932">
        <w:rPr>
          <w:rFonts w:ascii="Verdana" w:eastAsia="Calibri" w:hAnsi="Verdana" w:cs="Arial"/>
          <w:bCs/>
          <w:sz w:val="20"/>
          <w:szCs w:val="20"/>
          <w:lang w:val="es-MX" w:eastAsia="es-ES_tradnl"/>
        </w:rPr>
        <w:t>iii</w:t>
      </w:r>
      <w:proofErr w:type="spellEnd"/>
      <w:r w:rsidRPr="00523932">
        <w:rPr>
          <w:rFonts w:ascii="Verdana" w:eastAsia="Calibri" w:hAnsi="Verdana" w:cs="Arial"/>
          <w:bCs/>
          <w:sz w:val="20"/>
          <w:szCs w:val="20"/>
          <w:lang w:val="es-MX" w:eastAsia="es-ES_tradnl"/>
        </w:rPr>
        <w:t xml:space="preserve">)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w:t>
      </w:r>
      <w:r w:rsidRPr="00523932">
        <w:rPr>
          <w:rFonts w:ascii="Verdana" w:eastAsia="Calibri" w:hAnsi="Verdana" w:cs="Arial"/>
          <w:bCs/>
          <w:sz w:val="20"/>
          <w:szCs w:val="20"/>
          <w:lang w:val="es-MX" w:eastAsia="es-ES_tradnl"/>
        </w:rPr>
        <w:lastRenderedPageBreak/>
        <w:t>de la capacidad contractual. De manera que la presencia de ellas impide que se puedan celebrar contratos con el Estado o participar en procedimientos de selección de las entidades estatales, por lo que de cualquiera de ellas se derivan los mismos efectos jurídicos.</w:t>
      </w:r>
    </w:p>
    <w:p w14:paraId="121C783E" w14:textId="77777777" w:rsidR="00F775E9" w:rsidRPr="00523932" w:rsidRDefault="00F775E9" w:rsidP="00F775E9">
      <w:pPr>
        <w:spacing w:after="0" w:line="240" w:lineRule="auto"/>
        <w:jc w:val="both"/>
        <w:rPr>
          <w:rFonts w:ascii="Verdana" w:eastAsia="Geomanist Light" w:hAnsi="Verdana" w:cs="Arial"/>
          <w:color w:val="000000" w:themeColor="text1"/>
          <w:sz w:val="20"/>
          <w:szCs w:val="20"/>
          <w:lang w:val="es-MX"/>
        </w:rPr>
      </w:pPr>
    </w:p>
    <w:p w14:paraId="693DADAD" w14:textId="77777777" w:rsidR="00F775E9" w:rsidRDefault="00F775E9" w:rsidP="00F775E9">
      <w:pPr>
        <w:rPr>
          <w:rFonts w:ascii="Verdana" w:eastAsia="Geomanist Light" w:hAnsi="Verdana" w:cs="Arial"/>
          <w:color w:val="000000" w:themeColor="text1"/>
          <w:lang w:val="es-MX"/>
        </w:rPr>
      </w:pPr>
      <w:r>
        <w:rPr>
          <w:rFonts w:ascii="Verdana" w:eastAsia="Geomanist Light" w:hAnsi="Verdana" w:cs="Arial"/>
          <w:color w:val="000000" w:themeColor="text1"/>
          <w:lang w:val="es-MX"/>
        </w:rPr>
        <w:br w:type="page"/>
      </w:r>
    </w:p>
    <w:p w14:paraId="1468C46D" w14:textId="7C1771EC" w:rsidR="00C15139" w:rsidRPr="0024624F" w:rsidRDefault="00C15139" w:rsidP="00C15139">
      <w:pPr>
        <w:spacing w:after="0"/>
        <w:rPr>
          <w:rFonts w:ascii="Verdana" w:hAnsi="Verdana"/>
        </w:rPr>
      </w:pPr>
      <w:r w:rsidRPr="0024624F">
        <w:rPr>
          <w:rFonts w:ascii="Verdana" w:hAnsi="Verdana"/>
        </w:rPr>
        <w:lastRenderedPageBreak/>
        <w:t xml:space="preserve">Bogotá D.C., </w:t>
      </w:r>
      <w:r w:rsidR="00F775E9">
        <w:rPr>
          <w:rFonts w:ascii="Verdana" w:hAnsi="Verdana"/>
        </w:rPr>
        <w:t xml:space="preserve">30 </w:t>
      </w:r>
      <w:proofErr w:type="gramStart"/>
      <w:r w:rsidR="00F775E9">
        <w:rPr>
          <w:rFonts w:ascii="Verdana" w:hAnsi="Verdana"/>
        </w:rPr>
        <w:t>Diciembre</w:t>
      </w:r>
      <w:proofErr w:type="gramEnd"/>
      <w:r w:rsidR="00F775E9">
        <w:rPr>
          <w:rFonts w:ascii="Verdana" w:hAnsi="Verdana"/>
        </w:rPr>
        <w:t xml:space="preserve"> 2025</w:t>
      </w:r>
      <w:r w:rsidRPr="000E2B93">
        <w:rPr>
          <w:rFonts w:ascii="Verdana" w:hAnsi="Verdana"/>
        </w:rPr>
        <w:tab/>
      </w:r>
      <w:r w:rsidRPr="000E2B93">
        <w:rPr>
          <w:rFonts w:ascii="Verdana" w:hAnsi="Verdana"/>
        </w:rPr>
        <w:br/>
      </w:r>
      <w:r w:rsidRPr="0024624F">
        <w:rPr>
          <w:rFonts w:ascii="Verdana" w:hAnsi="Verdana"/>
        </w:rPr>
        <w:tab/>
      </w:r>
    </w:p>
    <w:bookmarkEnd w:id="0"/>
    <w:p w14:paraId="0F293BF4" w14:textId="1BB982EE" w:rsidR="00127233" w:rsidRDefault="00127233" w:rsidP="004D6931">
      <w:pPr>
        <w:spacing w:after="0" w:line="240" w:lineRule="auto"/>
        <w:jc w:val="both"/>
        <w:textAlignment w:val="baseline"/>
        <w:rPr>
          <w:rFonts w:ascii="Verdana" w:eastAsia="Times New Roman" w:hAnsi="Verdana" w:cs="Segoe UI"/>
          <w:lang w:eastAsia="es-CO"/>
        </w:rPr>
      </w:pPr>
    </w:p>
    <w:p w14:paraId="5E4FF9CC" w14:textId="77777777" w:rsidR="00C23516" w:rsidRPr="00C45BF5" w:rsidRDefault="00C23516" w:rsidP="00C23516">
      <w:pPr>
        <w:spacing w:after="0" w:line="240" w:lineRule="auto"/>
        <w:jc w:val="both"/>
        <w:rPr>
          <w:rFonts w:ascii="Verdana" w:eastAsia="Calibri" w:hAnsi="Verdana" w:cs="Arial"/>
          <w:lang w:val="es-ES" w:eastAsia="es-ES"/>
        </w:rPr>
      </w:pPr>
      <w:r w:rsidRPr="00C45BF5">
        <w:rPr>
          <w:rFonts w:ascii="Verdana" w:eastAsia="Calibri" w:hAnsi="Verdana" w:cs="Arial"/>
          <w:lang w:val="es-ES" w:eastAsia="es-ES"/>
        </w:rPr>
        <w:t>Señor</w:t>
      </w:r>
    </w:p>
    <w:p w14:paraId="3D2EF16F" w14:textId="77777777" w:rsidR="00C23516" w:rsidRPr="00D00265" w:rsidRDefault="00C23516" w:rsidP="00C23516">
      <w:pPr>
        <w:spacing w:after="0" w:line="240" w:lineRule="auto"/>
        <w:rPr>
          <w:rFonts w:ascii="Verdana" w:eastAsia="Calibri" w:hAnsi="Verdana" w:cs="Arial"/>
          <w:b/>
          <w:bCs/>
          <w:lang w:val="es-ES" w:eastAsia="es-ES"/>
        </w:rPr>
      </w:pPr>
      <w:r w:rsidRPr="00D00265">
        <w:rPr>
          <w:rFonts w:ascii="Verdana" w:eastAsia="Calibri" w:hAnsi="Verdana" w:cs="Arial"/>
          <w:b/>
          <w:bCs/>
          <w:lang w:val="es-ES" w:eastAsia="es-ES"/>
        </w:rPr>
        <w:t xml:space="preserve">Fernando Mauricio Iglesias Gaona </w:t>
      </w:r>
    </w:p>
    <w:p w14:paraId="4CF0FF7F" w14:textId="77777777" w:rsidR="00C23516" w:rsidRPr="00D00265" w:rsidRDefault="00C23516" w:rsidP="00C23516">
      <w:pPr>
        <w:spacing w:after="0" w:line="240" w:lineRule="auto"/>
        <w:rPr>
          <w:rFonts w:ascii="Verdana" w:eastAsia="Calibri" w:hAnsi="Verdana" w:cs="Arial"/>
          <w:u w:val="single"/>
          <w:lang w:val="es-ES" w:eastAsia="es-ES"/>
        </w:rPr>
      </w:pPr>
      <w:hyperlink r:id="rId10" w:history="1">
        <w:r w:rsidRPr="00D00265">
          <w:rPr>
            <w:rFonts w:ascii="Verdana" w:eastAsia="Calibri" w:hAnsi="Verdana" w:cs="Arial"/>
            <w:u w:val="single"/>
            <w:lang w:val="es-ES" w:eastAsia="es-ES"/>
          </w:rPr>
          <w:t>frenandoiglesias@gmail.com</w:t>
        </w:r>
      </w:hyperlink>
    </w:p>
    <w:p w14:paraId="5486929D" w14:textId="77777777" w:rsidR="00C23516" w:rsidRPr="00C45BF5" w:rsidRDefault="00C23516" w:rsidP="00C23516">
      <w:pPr>
        <w:spacing w:after="0" w:line="240" w:lineRule="auto"/>
        <w:rPr>
          <w:rFonts w:ascii="Verdana" w:eastAsia="Calibri" w:hAnsi="Verdana" w:cs="Arial"/>
          <w:lang w:val="es-ES" w:eastAsia="es-ES"/>
        </w:rPr>
      </w:pPr>
      <w:r w:rsidRPr="00C45BF5">
        <w:rPr>
          <w:rFonts w:ascii="Verdana" w:eastAsia="Calibri" w:hAnsi="Verdana" w:cs="Arial"/>
          <w:lang w:val="es-ES" w:eastAsia="es-ES"/>
        </w:rPr>
        <w:t xml:space="preserve">Bogotá D.C. </w:t>
      </w:r>
    </w:p>
    <w:p w14:paraId="49B364F4" w14:textId="77777777" w:rsidR="00C23516" w:rsidRDefault="00C23516" w:rsidP="00C23516">
      <w:pPr>
        <w:spacing w:after="0" w:line="240" w:lineRule="auto"/>
        <w:rPr>
          <w:rFonts w:ascii="Verdana" w:eastAsia="Calibri" w:hAnsi="Verdana" w:cs="Arial"/>
          <w:b/>
          <w:bCs/>
          <w:color w:val="000000"/>
          <w:lang w:val="es-ES_tradnl" w:eastAsia="es-ES_tradnl"/>
        </w:rPr>
      </w:pPr>
    </w:p>
    <w:p w14:paraId="79B7C17F" w14:textId="6DF98C54" w:rsidR="00F775E9" w:rsidRPr="00C45BF5" w:rsidRDefault="00F775E9" w:rsidP="00F775E9">
      <w:pPr>
        <w:spacing w:after="0" w:line="240" w:lineRule="auto"/>
        <w:jc w:val="right"/>
        <w:rPr>
          <w:rFonts w:ascii="Verdana" w:eastAsia="Calibri" w:hAnsi="Verdana" w:cs="Arial"/>
          <w:b/>
          <w:bCs/>
          <w:color w:val="000000"/>
          <w:lang w:val="es-ES_tradnl" w:eastAsia="es-ES_tradnl"/>
        </w:rPr>
      </w:pPr>
      <w:r w:rsidRPr="00F775E9">
        <w:rPr>
          <w:rFonts w:ascii="Verdana" w:eastAsia="Calibri" w:hAnsi="Verdana" w:cs="Arial"/>
          <w:b/>
          <w:bCs/>
          <w:noProof/>
          <w:color w:val="000000"/>
          <w:lang w:val="es-ES_tradnl" w:eastAsia="es-ES_tradnl"/>
        </w:rPr>
        <w:drawing>
          <wp:inline distT="0" distB="0" distL="0" distR="0" wp14:anchorId="198976FE" wp14:editId="49A6A725">
            <wp:extent cx="3558848" cy="1104996"/>
            <wp:effectExtent l="0" t="0" r="3810" b="0"/>
            <wp:docPr id="12091570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157067" name=""/>
                    <pic:cNvPicPr/>
                  </pic:nvPicPr>
                  <pic:blipFill>
                    <a:blip r:embed="rId11"/>
                    <a:stretch>
                      <a:fillRect/>
                    </a:stretch>
                  </pic:blipFill>
                  <pic:spPr>
                    <a:xfrm>
                      <a:off x="0" y="0"/>
                      <a:ext cx="3558848" cy="1104996"/>
                    </a:xfrm>
                    <a:prstGeom prst="rect">
                      <a:avLst/>
                    </a:prstGeom>
                  </pic:spPr>
                </pic:pic>
              </a:graphicData>
            </a:graphic>
          </wp:inline>
        </w:drawing>
      </w:r>
    </w:p>
    <w:p w14:paraId="0234CF45" w14:textId="77777777" w:rsidR="00C23516" w:rsidRPr="00C45BF5" w:rsidRDefault="00C23516" w:rsidP="00C23516">
      <w:pPr>
        <w:spacing w:after="0" w:line="240" w:lineRule="auto"/>
        <w:rPr>
          <w:rFonts w:ascii="Verdana" w:eastAsia="Calibri" w:hAnsi="Verdana" w:cs="Arial"/>
          <w:b/>
          <w:bCs/>
          <w:color w:val="000000"/>
          <w:lang w:val="es-ES_tradnl" w:eastAsia="es-ES_tradnl"/>
        </w:rPr>
      </w:pPr>
    </w:p>
    <w:tbl>
      <w:tblPr>
        <w:tblStyle w:val="Tablaconcuadrcula"/>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5958"/>
      </w:tblGrid>
      <w:tr w:rsidR="00C23516" w:rsidRPr="00C45BF5" w14:paraId="0B163912" w14:textId="77777777" w:rsidTr="00B250E5">
        <w:trPr>
          <w:trHeight w:val="168"/>
        </w:trPr>
        <w:tc>
          <w:tcPr>
            <w:tcW w:w="2689" w:type="dxa"/>
          </w:tcPr>
          <w:p w14:paraId="3F002963" w14:textId="77777777" w:rsidR="00C23516" w:rsidRPr="00C45BF5" w:rsidRDefault="00C23516" w:rsidP="00B250E5">
            <w:pPr>
              <w:jc w:val="both"/>
              <w:rPr>
                <w:rFonts w:ascii="Verdana" w:eastAsia="Calibri" w:hAnsi="Verdana" w:cs="Arial"/>
                <w:b/>
                <w:bCs/>
                <w:color w:val="7030A0"/>
                <w:lang w:val="es-ES_tradnl" w:eastAsia="es-ES_tradnl"/>
              </w:rPr>
            </w:pPr>
          </w:p>
        </w:tc>
        <w:tc>
          <w:tcPr>
            <w:tcW w:w="5958" w:type="dxa"/>
          </w:tcPr>
          <w:p w14:paraId="044091F7" w14:textId="77777777" w:rsidR="00C23516" w:rsidRPr="00C45BF5" w:rsidRDefault="00C23516" w:rsidP="00B250E5">
            <w:pPr>
              <w:jc w:val="both"/>
              <w:rPr>
                <w:rFonts w:ascii="Verdana" w:eastAsia="Calibri" w:hAnsi="Verdana" w:cs="Arial"/>
                <w:b/>
                <w:bCs/>
                <w:lang w:val="es-ES" w:eastAsia="es-ES"/>
              </w:rPr>
            </w:pPr>
            <w:r w:rsidRPr="00C45BF5">
              <w:rPr>
                <w:rFonts w:ascii="Verdana" w:eastAsia="Calibri" w:hAnsi="Verdana" w:cs="Arial"/>
                <w:b/>
                <w:bCs/>
                <w:lang w:val="es-ES" w:eastAsia="es-ES"/>
              </w:rPr>
              <w:t xml:space="preserve">Concepto C – </w:t>
            </w:r>
            <w:r>
              <w:rPr>
                <w:rFonts w:ascii="Verdana" w:eastAsia="Calibri" w:hAnsi="Verdana" w:cs="Arial"/>
                <w:b/>
                <w:bCs/>
                <w:lang w:val="es-ES" w:eastAsia="es-ES"/>
              </w:rPr>
              <w:t>1698</w:t>
            </w:r>
            <w:r w:rsidRPr="00C45BF5">
              <w:rPr>
                <w:rFonts w:ascii="Verdana" w:eastAsia="Calibri" w:hAnsi="Verdana" w:cs="Arial"/>
                <w:b/>
                <w:bCs/>
                <w:lang w:val="es-ES" w:eastAsia="es-ES"/>
              </w:rPr>
              <w:t xml:space="preserve"> de 2025</w:t>
            </w:r>
          </w:p>
          <w:p w14:paraId="3C2C506D" w14:textId="77777777" w:rsidR="00C23516" w:rsidRPr="00C45BF5" w:rsidRDefault="00C23516" w:rsidP="00B250E5">
            <w:pPr>
              <w:jc w:val="both"/>
              <w:rPr>
                <w:rFonts w:ascii="Verdana" w:eastAsia="Calibri" w:hAnsi="Verdana" w:cs="Arial"/>
                <w:b/>
                <w:bCs/>
                <w:color w:val="7030A0"/>
                <w:lang w:val="es-ES" w:eastAsia="es-ES"/>
              </w:rPr>
            </w:pPr>
          </w:p>
        </w:tc>
      </w:tr>
      <w:tr w:rsidR="00C23516" w:rsidRPr="00C45BF5" w14:paraId="139CA6C6" w14:textId="77777777" w:rsidTr="00B250E5">
        <w:trPr>
          <w:trHeight w:val="884"/>
        </w:trPr>
        <w:tc>
          <w:tcPr>
            <w:tcW w:w="2689" w:type="dxa"/>
          </w:tcPr>
          <w:p w14:paraId="6E982859" w14:textId="77777777" w:rsidR="00C23516" w:rsidRPr="00C45BF5" w:rsidRDefault="00C23516" w:rsidP="00B250E5">
            <w:pPr>
              <w:jc w:val="both"/>
              <w:rPr>
                <w:rFonts w:ascii="Verdana" w:eastAsia="Calibri" w:hAnsi="Verdana" w:cs="Arial"/>
                <w:color w:val="000000"/>
                <w:lang w:val="es-ES_tradnl" w:eastAsia="es-ES_tradnl"/>
              </w:rPr>
            </w:pPr>
            <w:r w:rsidRPr="00C45BF5">
              <w:rPr>
                <w:rFonts w:ascii="Verdana" w:eastAsia="Calibri" w:hAnsi="Verdana" w:cs="Arial"/>
                <w:b/>
                <w:color w:val="000000"/>
                <w:lang w:val="es-ES_tradnl" w:eastAsia="es-ES_tradnl"/>
              </w:rPr>
              <w:t>Temas:</w:t>
            </w:r>
            <w:r w:rsidRPr="00C45BF5">
              <w:rPr>
                <w:rFonts w:ascii="Verdana" w:eastAsia="Calibri" w:hAnsi="Verdana" w:cs="Arial"/>
                <w:color w:val="000000"/>
                <w:lang w:val="es-ES_tradnl" w:eastAsia="es-ES_tradnl"/>
              </w:rPr>
              <w:t xml:space="preserve">                   </w:t>
            </w:r>
          </w:p>
        </w:tc>
        <w:tc>
          <w:tcPr>
            <w:tcW w:w="5958" w:type="dxa"/>
          </w:tcPr>
          <w:p w14:paraId="5E50E31A" w14:textId="77777777" w:rsidR="00C23516" w:rsidRPr="00C45BF5" w:rsidRDefault="00C23516" w:rsidP="00B250E5">
            <w:pPr>
              <w:jc w:val="both"/>
              <w:rPr>
                <w:rFonts w:ascii="Verdana" w:eastAsia="Calibri" w:hAnsi="Verdana" w:cs="Arial"/>
                <w:lang w:val="es-ES" w:eastAsia="es-ES"/>
              </w:rPr>
            </w:pPr>
            <w:r w:rsidRPr="00C45BF5">
              <w:rPr>
                <w:rFonts w:ascii="Verdana" w:eastAsia="Calibri" w:hAnsi="Verdana" w:cs="Arial"/>
                <w:lang w:val="es-ES" w:eastAsia="es-ES"/>
              </w:rPr>
              <w:t>INHABILIDADES – Definición – Finalidad – Limitación capacidad contractual / CONTRATACIÓN ESTATAL – Capacidad – Validez contratos – Régimen de contratación – Artículo 127 constitucional – Inhabilidad de carácter general</w:t>
            </w:r>
          </w:p>
          <w:p w14:paraId="6025578D" w14:textId="77777777" w:rsidR="00C23516" w:rsidRPr="00C45BF5" w:rsidRDefault="00C23516" w:rsidP="00B250E5">
            <w:pPr>
              <w:jc w:val="both"/>
              <w:rPr>
                <w:rFonts w:ascii="Verdana" w:eastAsia="Calibri" w:hAnsi="Verdana" w:cs="Arial"/>
                <w:lang w:val="es-ES" w:eastAsia="es-ES"/>
              </w:rPr>
            </w:pPr>
            <w:r w:rsidRPr="00C45BF5">
              <w:rPr>
                <w:rFonts w:ascii="Verdana" w:eastAsia="Calibri" w:hAnsi="Verdana" w:cs="Arial"/>
                <w:lang w:val="es-ES" w:eastAsia="es-ES"/>
              </w:rPr>
              <w:t xml:space="preserve">  </w:t>
            </w:r>
          </w:p>
        </w:tc>
      </w:tr>
      <w:tr w:rsidR="00C23516" w:rsidRPr="00C45BF5" w14:paraId="5C228721" w14:textId="77777777" w:rsidTr="00B250E5">
        <w:tc>
          <w:tcPr>
            <w:tcW w:w="2689" w:type="dxa"/>
          </w:tcPr>
          <w:p w14:paraId="7BB6B8A4" w14:textId="77777777" w:rsidR="00C23516" w:rsidRPr="00C45BF5" w:rsidRDefault="00C23516" w:rsidP="00B250E5">
            <w:pPr>
              <w:jc w:val="both"/>
              <w:rPr>
                <w:rFonts w:ascii="Verdana" w:eastAsia="Calibri" w:hAnsi="Verdana" w:cs="Arial"/>
                <w:b/>
                <w:lang w:val="es-ES_tradnl" w:eastAsia="es-ES_tradnl"/>
              </w:rPr>
            </w:pPr>
            <w:r w:rsidRPr="00C45BF5">
              <w:rPr>
                <w:rFonts w:ascii="Verdana" w:eastAsia="Calibri" w:hAnsi="Verdana" w:cs="Arial"/>
                <w:b/>
                <w:lang w:val="es-ES_tradnl" w:eastAsia="es-ES_tradnl"/>
              </w:rPr>
              <w:t>Radicación:</w:t>
            </w:r>
            <w:r w:rsidRPr="00C45BF5">
              <w:rPr>
                <w:rFonts w:ascii="Verdana" w:eastAsia="Calibri" w:hAnsi="Verdana" w:cs="Arial"/>
                <w:lang w:val="es-ES_tradnl" w:eastAsia="es-ES_tradnl"/>
              </w:rPr>
              <w:t xml:space="preserve">               </w:t>
            </w:r>
          </w:p>
        </w:tc>
        <w:tc>
          <w:tcPr>
            <w:tcW w:w="5958" w:type="dxa"/>
          </w:tcPr>
          <w:p w14:paraId="2BD66D0E" w14:textId="77777777" w:rsidR="00C23516" w:rsidRPr="00C45BF5" w:rsidRDefault="00C23516" w:rsidP="00B250E5">
            <w:pPr>
              <w:jc w:val="both"/>
              <w:rPr>
                <w:rFonts w:ascii="Verdana" w:eastAsia="Calibri" w:hAnsi="Verdana" w:cs="Arial"/>
                <w:lang w:eastAsia="es-ES_tradnl"/>
              </w:rPr>
            </w:pPr>
            <w:r w:rsidRPr="00C45BF5">
              <w:rPr>
                <w:rFonts w:ascii="Verdana" w:eastAsia="Calibri" w:hAnsi="Verdana" w:cs="Arial"/>
                <w:lang w:val="es-ES_tradnl" w:eastAsia="es-ES_tradnl"/>
              </w:rPr>
              <w:t xml:space="preserve">Respuesta a la consulta con radicado No. </w:t>
            </w:r>
            <w:r w:rsidRPr="00D00265">
              <w:rPr>
                <w:rFonts w:ascii="Verdana" w:eastAsia="Calibri" w:hAnsi="Verdana" w:cs="Arial"/>
                <w:lang w:val="es-ES_tradnl" w:eastAsia="es-ES_tradnl"/>
              </w:rPr>
              <w:t>1_2025_11_18_012976</w:t>
            </w:r>
            <w:r w:rsidRPr="00C45BF5">
              <w:rPr>
                <w:rFonts w:ascii="Verdana" w:eastAsia="Calibri" w:hAnsi="Verdana" w:cs="Arial"/>
                <w:lang w:val="es-ES_tradnl" w:eastAsia="es-ES_tradnl"/>
              </w:rPr>
              <w:t xml:space="preserve">                                    </w:t>
            </w:r>
          </w:p>
        </w:tc>
      </w:tr>
    </w:tbl>
    <w:p w14:paraId="33A6DD0C" w14:textId="77777777" w:rsidR="00C23516" w:rsidRPr="00C45BF5" w:rsidRDefault="00C23516" w:rsidP="00C23516">
      <w:pPr>
        <w:spacing w:after="0" w:line="240" w:lineRule="auto"/>
        <w:jc w:val="both"/>
        <w:rPr>
          <w:rFonts w:ascii="Verdana" w:eastAsia="Calibri" w:hAnsi="Verdana" w:cs="Arial"/>
          <w:color w:val="000000"/>
          <w:lang w:val="es-ES_tradnl" w:eastAsia="es-ES_tradnl"/>
        </w:rPr>
      </w:pPr>
    </w:p>
    <w:p w14:paraId="237AE9F5" w14:textId="77777777" w:rsidR="00C23516" w:rsidRPr="00C45BF5" w:rsidRDefault="00C23516" w:rsidP="00C23516">
      <w:pPr>
        <w:spacing w:after="0" w:line="240" w:lineRule="auto"/>
        <w:jc w:val="both"/>
        <w:rPr>
          <w:rFonts w:ascii="Verdana" w:eastAsia="Calibri" w:hAnsi="Verdana" w:cs="Arial"/>
          <w:color w:val="000000"/>
          <w:lang w:val="es-ES_tradnl" w:eastAsia="es-ES_tradnl"/>
        </w:rPr>
      </w:pPr>
    </w:p>
    <w:p w14:paraId="3D6E1241" w14:textId="77777777" w:rsidR="00C23516" w:rsidRPr="00C45BF5" w:rsidRDefault="00C23516" w:rsidP="00C23516">
      <w:pPr>
        <w:spacing w:after="0" w:line="276" w:lineRule="auto"/>
        <w:jc w:val="both"/>
        <w:rPr>
          <w:rFonts w:ascii="Verdana" w:eastAsia="Calibri" w:hAnsi="Verdana" w:cs="Arial"/>
          <w:lang w:val="es-ES" w:eastAsia="es-ES"/>
        </w:rPr>
      </w:pPr>
      <w:r w:rsidRPr="00C45BF5">
        <w:rPr>
          <w:rFonts w:ascii="Verdana" w:eastAsia="Calibri" w:hAnsi="Verdana" w:cs="Arial"/>
          <w:lang w:val="es-ES" w:eastAsia="es-ES"/>
        </w:rPr>
        <w:t xml:space="preserve">Estimado señor </w:t>
      </w:r>
      <w:r>
        <w:rPr>
          <w:rFonts w:ascii="Verdana" w:eastAsia="Calibri" w:hAnsi="Verdana" w:cs="Arial"/>
          <w:lang w:val="es-ES" w:eastAsia="es-ES"/>
        </w:rPr>
        <w:t>Iglesias Gaona</w:t>
      </w:r>
      <w:r w:rsidRPr="00C45BF5">
        <w:rPr>
          <w:rFonts w:ascii="Verdana" w:eastAsia="Calibri" w:hAnsi="Verdana" w:cs="Arial"/>
          <w:lang w:val="es-ES" w:eastAsia="es-ES"/>
        </w:rPr>
        <w:t xml:space="preserve">: </w:t>
      </w:r>
    </w:p>
    <w:p w14:paraId="42BF0E92" w14:textId="77777777" w:rsidR="00C23516" w:rsidRPr="00C45BF5" w:rsidRDefault="00C23516" w:rsidP="00C23516">
      <w:pPr>
        <w:tabs>
          <w:tab w:val="left" w:pos="3768"/>
        </w:tabs>
        <w:spacing w:after="0" w:line="276" w:lineRule="auto"/>
        <w:jc w:val="both"/>
        <w:rPr>
          <w:rFonts w:ascii="Verdana" w:eastAsia="Calibri" w:hAnsi="Verdana" w:cs="Arial"/>
          <w:color w:val="000000" w:themeColor="text1"/>
          <w:lang w:val="es-ES" w:eastAsia="es-ES"/>
        </w:rPr>
      </w:pPr>
      <w:r w:rsidRPr="00C45BF5">
        <w:rPr>
          <w:rFonts w:ascii="Verdana" w:eastAsia="Calibri" w:hAnsi="Verdana" w:cs="Arial"/>
          <w:color w:val="000000" w:themeColor="text1"/>
          <w:lang w:val="es-ES" w:eastAsia="es-ES"/>
        </w:rPr>
        <w:tab/>
      </w:r>
    </w:p>
    <w:p w14:paraId="369ED167" w14:textId="77777777" w:rsidR="00C23516" w:rsidRPr="00277E26" w:rsidRDefault="00C23516" w:rsidP="00C23516">
      <w:pPr>
        <w:spacing w:after="0" w:line="276" w:lineRule="auto"/>
        <w:jc w:val="both"/>
        <w:rPr>
          <w:rFonts w:ascii="Verdana" w:eastAsia="Calibri" w:hAnsi="Verdana" w:cs="Arial"/>
          <w:color w:val="7030A0"/>
          <w:lang w:val="es-ES" w:eastAsia="es-ES"/>
        </w:rPr>
      </w:pPr>
      <w:r w:rsidRPr="00277E26">
        <w:rPr>
          <w:rFonts w:ascii="Verdana" w:eastAsia="Calibri" w:hAnsi="Verdana" w:cs="Arial"/>
          <w:color w:val="000000" w:themeColor="text1"/>
          <w:lang w:val="es-ES" w:eastAsia="es-ES"/>
        </w:rPr>
        <w:t>En ejercicio de la competencia otorgada por los artículos 3, numeral 5º, y 11, numeral 8º, del Decreto Ley 4170 de 2011,</w:t>
      </w:r>
      <w:r w:rsidRPr="00277E26">
        <w:rPr>
          <w:rFonts w:ascii="Verdana" w:eastAsia="Arial MT" w:hAnsi="Verdana" w:cs="Arial MT"/>
          <w:lang w:val="es-ES" w:eastAsia="es-ES"/>
        </w:rPr>
        <w:t xml:space="preserve"> </w:t>
      </w:r>
      <w:r w:rsidRPr="00277E26">
        <w:rPr>
          <w:rFonts w:ascii="Verdana" w:hAnsi="Verdana" w:cs="Arial"/>
        </w:rPr>
        <w:t xml:space="preserve">así como lo establecido en el artículo 4 de la Resolución 1707 de 2018 expedida por esta Entidad, </w:t>
      </w:r>
      <w:r w:rsidRPr="00277E26">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277E26">
        <w:rPr>
          <w:rFonts w:ascii="Verdana" w:eastAsia="Calibri" w:hAnsi="Verdana" w:cs="Arial"/>
          <w:lang w:val="es-ES" w:eastAsia="es-ES"/>
        </w:rPr>
        <w:t xml:space="preserve">fecha </w:t>
      </w:r>
      <w:r>
        <w:rPr>
          <w:rFonts w:ascii="Verdana" w:eastAsia="Calibri" w:hAnsi="Verdana" w:cs="Arial"/>
          <w:lang w:val="es-ES" w:eastAsia="es-ES"/>
        </w:rPr>
        <w:t>18 de noviembre de 2025</w:t>
      </w:r>
      <w:r w:rsidRPr="00277E26">
        <w:rPr>
          <w:rFonts w:ascii="Verdana" w:eastAsia="Calibri" w:hAnsi="Verdana" w:cs="Arial"/>
          <w:lang w:val="es-ES" w:eastAsia="es-ES"/>
        </w:rPr>
        <w:t xml:space="preserve">, en la cual </w:t>
      </w:r>
      <w:r>
        <w:rPr>
          <w:rFonts w:ascii="Verdana" w:eastAsia="Calibri" w:hAnsi="Verdana" w:cs="Arial"/>
          <w:lang w:val="es-ES" w:eastAsia="es-ES"/>
        </w:rPr>
        <w:t>solicita:</w:t>
      </w:r>
      <w:r w:rsidRPr="00277E26">
        <w:rPr>
          <w:rFonts w:ascii="Verdana" w:eastAsia="Calibri" w:hAnsi="Verdana" w:cs="Arial"/>
          <w:lang w:val="es-ES" w:eastAsia="es-ES"/>
        </w:rPr>
        <w:t xml:space="preserve"> </w:t>
      </w:r>
    </w:p>
    <w:p w14:paraId="05D43882" w14:textId="77777777" w:rsidR="00C23516" w:rsidRPr="00277E26" w:rsidRDefault="00C23516" w:rsidP="00C23516">
      <w:pPr>
        <w:pStyle w:val="Prrafodelista"/>
        <w:tabs>
          <w:tab w:val="left" w:pos="142"/>
          <w:tab w:val="left" w:pos="284"/>
        </w:tabs>
        <w:spacing w:after="0" w:line="276" w:lineRule="auto"/>
        <w:ind w:left="0"/>
        <w:jc w:val="both"/>
        <w:rPr>
          <w:rFonts w:ascii="Verdana" w:eastAsia="Century Gothic" w:hAnsi="Verdana" w:cs="Century Gothic"/>
          <w:b/>
          <w:bCs/>
        </w:rPr>
      </w:pPr>
    </w:p>
    <w:p w14:paraId="39888FC5" w14:textId="77777777" w:rsidR="00C23516" w:rsidRPr="00D519F0" w:rsidRDefault="00C23516" w:rsidP="00C23516">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rPr>
        <w:t>“</w:t>
      </w:r>
      <w:r w:rsidRPr="00D00265">
        <w:rPr>
          <w:rFonts w:ascii="Verdana" w:eastAsia="Century Gothic" w:hAnsi="Verdana" w:cs="Century Gothic"/>
          <w:sz w:val="20"/>
          <w:szCs w:val="20"/>
        </w:rPr>
        <w:t xml:space="preserve">De conformidad, con lo estipulado en el parágrafo de artículo 29 de la Ley 1123 de 2007, que dice: "Los abogados titulados e inscritos que se desempeñen como profesores de universidades oficiales podrán ejercer la profesión de la abogacía, siempre que su ejercicio no interfiera las funciones del </w:t>
      </w:r>
      <w:proofErr w:type="gramStart"/>
      <w:r w:rsidRPr="00D00265">
        <w:rPr>
          <w:rFonts w:ascii="Verdana" w:eastAsia="Century Gothic" w:hAnsi="Verdana" w:cs="Century Gothic"/>
          <w:sz w:val="20"/>
          <w:szCs w:val="20"/>
        </w:rPr>
        <w:t>docente.(...)</w:t>
      </w:r>
      <w:proofErr w:type="gramEnd"/>
      <w:r w:rsidRPr="00D00265">
        <w:rPr>
          <w:rFonts w:ascii="Verdana" w:eastAsia="Century Gothic" w:hAnsi="Verdana" w:cs="Century Gothic"/>
          <w:sz w:val="20"/>
          <w:szCs w:val="20"/>
        </w:rPr>
        <w:t xml:space="preserve">". ¿Puede un abogado docente de planta de </w:t>
      </w:r>
      <w:r w:rsidRPr="00D00265">
        <w:rPr>
          <w:rFonts w:ascii="Verdana" w:eastAsia="Century Gothic" w:hAnsi="Verdana" w:cs="Century Gothic"/>
          <w:sz w:val="20"/>
          <w:szCs w:val="20"/>
        </w:rPr>
        <w:lastRenderedPageBreak/>
        <w:t xml:space="preserve">universidades oficiales, suscribir contratos de </w:t>
      </w:r>
      <w:proofErr w:type="spellStart"/>
      <w:r w:rsidRPr="00D00265">
        <w:rPr>
          <w:rFonts w:ascii="Verdana" w:eastAsia="Century Gothic" w:hAnsi="Verdana" w:cs="Century Gothic"/>
          <w:sz w:val="20"/>
          <w:szCs w:val="20"/>
        </w:rPr>
        <w:t>prestacion</w:t>
      </w:r>
      <w:proofErr w:type="spellEnd"/>
      <w:r w:rsidRPr="00D00265">
        <w:rPr>
          <w:rFonts w:ascii="Verdana" w:eastAsia="Century Gothic" w:hAnsi="Verdana" w:cs="Century Gothic"/>
          <w:sz w:val="20"/>
          <w:szCs w:val="20"/>
        </w:rPr>
        <w:t xml:space="preserve"> de servicios profesionales como asesor </w:t>
      </w:r>
      <w:proofErr w:type="spellStart"/>
      <w:r w:rsidRPr="00D00265">
        <w:rPr>
          <w:rFonts w:ascii="Verdana" w:eastAsia="Century Gothic" w:hAnsi="Verdana" w:cs="Century Gothic"/>
          <w:sz w:val="20"/>
          <w:szCs w:val="20"/>
        </w:rPr>
        <w:t>juridico</w:t>
      </w:r>
      <w:proofErr w:type="spellEnd"/>
      <w:r w:rsidRPr="00D00265">
        <w:rPr>
          <w:rFonts w:ascii="Verdana" w:eastAsia="Century Gothic" w:hAnsi="Verdana" w:cs="Century Gothic"/>
          <w:sz w:val="20"/>
          <w:szCs w:val="20"/>
        </w:rPr>
        <w:t xml:space="preserve"> con entidades </w:t>
      </w:r>
      <w:proofErr w:type="spellStart"/>
      <w:r w:rsidRPr="00D00265">
        <w:rPr>
          <w:rFonts w:ascii="Verdana" w:eastAsia="Century Gothic" w:hAnsi="Verdana" w:cs="Century Gothic"/>
          <w:sz w:val="20"/>
          <w:szCs w:val="20"/>
        </w:rPr>
        <w:t>publicas</w:t>
      </w:r>
      <w:proofErr w:type="spellEnd"/>
      <w:r w:rsidRPr="00D00265">
        <w:rPr>
          <w:rFonts w:ascii="Verdana" w:eastAsia="Century Gothic" w:hAnsi="Verdana" w:cs="Century Gothic"/>
          <w:sz w:val="20"/>
          <w:szCs w:val="20"/>
        </w:rPr>
        <w:t xml:space="preserve">, por ejemplo, entidades territoriales; o incurre en violación al literal f) del artículo 8 de la Ley 80 de 1993, por ser servidores </w:t>
      </w:r>
      <w:proofErr w:type="gramStart"/>
      <w:r w:rsidRPr="00D00265">
        <w:rPr>
          <w:rFonts w:ascii="Verdana" w:eastAsia="Century Gothic" w:hAnsi="Verdana" w:cs="Century Gothic"/>
          <w:sz w:val="20"/>
          <w:szCs w:val="20"/>
        </w:rPr>
        <w:t>públicos?.</w:t>
      </w:r>
      <w:proofErr w:type="gramEnd"/>
      <w:r w:rsidRPr="00D00265">
        <w:rPr>
          <w:rFonts w:ascii="Verdana" w:eastAsia="Century Gothic" w:hAnsi="Verdana" w:cs="Century Gothic"/>
          <w:sz w:val="20"/>
          <w:szCs w:val="20"/>
        </w:rPr>
        <w:t xml:space="preserve"> O solo puede litigar aceptando poderes de </w:t>
      </w:r>
      <w:proofErr w:type="gramStart"/>
      <w:r w:rsidRPr="00D00265">
        <w:rPr>
          <w:rFonts w:ascii="Verdana" w:eastAsia="Century Gothic" w:hAnsi="Verdana" w:cs="Century Gothic"/>
          <w:sz w:val="20"/>
          <w:szCs w:val="20"/>
        </w:rPr>
        <w:t>particulares?.</w:t>
      </w:r>
      <w:proofErr w:type="gramEnd"/>
      <w:r w:rsidRPr="00D519F0">
        <w:rPr>
          <w:rFonts w:ascii="Verdana" w:eastAsia="Century Gothic" w:hAnsi="Verdana" w:cs="Century Gothic"/>
          <w:sz w:val="20"/>
          <w:szCs w:val="20"/>
          <w:lang w:val="es-ES"/>
        </w:rPr>
        <w:t>[…]”.</w:t>
      </w:r>
      <w:r w:rsidRPr="008D28F5">
        <w:rPr>
          <w:rFonts w:ascii="Verdana" w:eastAsia="Century Gothic" w:hAnsi="Verdana" w:cs="Century Gothic"/>
          <w:sz w:val="20"/>
          <w:szCs w:val="20"/>
          <w:lang w:val="es-ES"/>
        </w:rPr>
        <w:t xml:space="preserve"> </w:t>
      </w:r>
    </w:p>
    <w:p w14:paraId="4700496A" w14:textId="77777777" w:rsidR="00C23516" w:rsidRPr="00277E26" w:rsidRDefault="00C23516" w:rsidP="00C23516">
      <w:pPr>
        <w:spacing w:after="0" w:line="276" w:lineRule="auto"/>
        <w:jc w:val="both"/>
        <w:rPr>
          <w:rFonts w:ascii="Verdana" w:eastAsia="Calibri" w:hAnsi="Verdana" w:cs="Arial"/>
          <w:color w:val="000000"/>
          <w:lang w:val="es-ES" w:eastAsia="es-ES"/>
        </w:rPr>
      </w:pPr>
    </w:p>
    <w:p w14:paraId="710D40F8" w14:textId="77777777" w:rsidR="00C23516" w:rsidRPr="00277E26" w:rsidRDefault="00C23516" w:rsidP="00C23516">
      <w:pPr>
        <w:spacing w:after="120" w:line="276" w:lineRule="auto"/>
        <w:ind w:firstLine="709"/>
        <w:jc w:val="both"/>
        <w:rPr>
          <w:rFonts w:ascii="Verdana" w:eastAsia="Calibri" w:hAnsi="Verdana" w:cs="Arial"/>
          <w:color w:val="000000"/>
          <w:lang w:val="es-ES" w:eastAsia="es-ES"/>
        </w:rPr>
      </w:pPr>
      <w:r w:rsidRPr="00277E26">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77E26">
        <w:rPr>
          <w:rFonts w:ascii="Verdana" w:eastAsia="Calibri" w:hAnsi="Verdana" w:cs="Arial"/>
          <w:color w:val="000000"/>
          <w:lang w:val="es-ES_tradnl" w:eastAsia="es-ES_tradnl"/>
        </w:rPr>
        <w:tab/>
      </w:r>
    </w:p>
    <w:p w14:paraId="248265A7" w14:textId="77777777" w:rsidR="00C23516" w:rsidRPr="00277E26" w:rsidRDefault="00C23516" w:rsidP="00C23516">
      <w:pPr>
        <w:spacing w:after="0" w:line="276" w:lineRule="auto"/>
        <w:ind w:firstLine="709"/>
        <w:jc w:val="both"/>
        <w:rPr>
          <w:rFonts w:ascii="Verdana" w:eastAsia="Calibri" w:hAnsi="Verdana" w:cs="Arial"/>
          <w:color w:val="000000"/>
          <w:lang w:val="es-ES" w:eastAsia="es-ES"/>
        </w:rPr>
      </w:pPr>
      <w:r w:rsidRPr="00277E26">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que la hayan motivado, pero </w:t>
      </w:r>
      <w:r>
        <w:rPr>
          <w:rFonts w:ascii="Verdana" w:eastAsia="Calibri" w:hAnsi="Verdana" w:cs="Arial"/>
          <w:color w:val="000000"/>
          <w:lang w:val="es-ES" w:eastAsia="es-ES"/>
        </w:rPr>
        <w:t>señalando</w:t>
      </w:r>
      <w:r w:rsidRPr="00277E26">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277E26">
        <w:rPr>
          <w:rFonts w:ascii="Verdana" w:eastAsia="Calibri" w:hAnsi="Verdana" w:cs="Arial"/>
          <w:color w:val="000000"/>
          <w:lang w:val="es-ES" w:eastAsia="es-ES"/>
        </w:rPr>
        <w:t>unas consideraciones sobre las normas generales relacionadas con el</w:t>
      </w:r>
      <w:r w:rsidRPr="00277E26">
        <w:rPr>
          <w:rFonts w:ascii="Verdana" w:eastAsia="Calibri" w:hAnsi="Verdana" w:cs="Arial"/>
          <w:color w:val="7030A0"/>
          <w:lang w:val="es-ES" w:eastAsia="es-ES"/>
        </w:rPr>
        <w:t xml:space="preserve"> </w:t>
      </w:r>
      <w:r w:rsidRPr="00277E26">
        <w:rPr>
          <w:rFonts w:ascii="Verdana" w:eastAsia="Calibri" w:hAnsi="Verdana" w:cs="Arial"/>
          <w:color w:val="000000"/>
          <w:lang w:val="es-ES" w:eastAsia="es-ES"/>
        </w:rPr>
        <w:t>problema</w:t>
      </w:r>
      <w:r w:rsidRPr="00277E26">
        <w:rPr>
          <w:rFonts w:ascii="Verdana" w:eastAsia="Calibri" w:hAnsi="Verdana" w:cs="Arial"/>
          <w:color w:val="7030A0"/>
          <w:lang w:val="es-ES" w:eastAsia="es-ES"/>
        </w:rPr>
        <w:t xml:space="preserve"> </w:t>
      </w:r>
      <w:r w:rsidRPr="00277E26">
        <w:rPr>
          <w:rFonts w:ascii="Verdana" w:eastAsia="Calibri" w:hAnsi="Verdana" w:cs="Arial"/>
          <w:color w:val="000000"/>
          <w:lang w:val="es-ES" w:eastAsia="es-ES"/>
        </w:rPr>
        <w:t>jurídico</w:t>
      </w:r>
      <w:r w:rsidRPr="00277E26">
        <w:rPr>
          <w:rFonts w:ascii="Verdana" w:eastAsia="Calibri" w:hAnsi="Verdana" w:cs="Arial"/>
          <w:color w:val="7030A0"/>
          <w:lang w:val="es-ES" w:eastAsia="es-ES"/>
        </w:rPr>
        <w:t xml:space="preserve"> </w:t>
      </w:r>
      <w:r w:rsidRPr="00277E26">
        <w:rPr>
          <w:rFonts w:ascii="Verdana" w:eastAsia="Calibri" w:hAnsi="Verdana" w:cs="Arial"/>
          <w:color w:val="000000"/>
          <w:lang w:val="es-ES" w:eastAsia="es-ES"/>
        </w:rPr>
        <w:t xml:space="preserve">de su consulta. </w:t>
      </w:r>
    </w:p>
    <w:p w14:paraId="39827F60" w14:textId="77777777" w:rsidR="00C23516" w:rsidRPr="00277E26" w:rsidRDefault="00C23516" w:rsidP="00C23516">
      <w:pPr>
        <w:spacing w:after="0" w:line="276" w:lineRule="auto"/>
        <w:ind w:firstLine="709"/>
        <w:jc w:val="both"/>
        <w:rPr>
          <w:rFonts w:ascii="Verdana" w:eastAsia="Calibri" w:hAnsi="Verdana" w:cs="Arial"/>
          <w:color w:val="000000"/>
          <w:lang w:val="es-ES" w:eastAsia="es-ES"/>
        </w:rPr>
      </w:pPr>
    </w:p>
    <w:p w14:paraId="5E5D5932" w14:textId="77777777" w:rsidR="00C23516" w:rsidRPr="00277E26" w:rsidRDefault="00C23516" w:rsidP="00C2351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277E26">
        <w:rPr>
          <w:rFonts w:ascii="Verdana" w:eastAsia="Century Gothic" w:hAnsi="Verdana" w:cs="Century Gothic"/>
          <w:b/>
          <w:bCs/>
        </w:rPr>
        <w:t>Problema planteado:</w:t>
      </w:r>
    </w:p>
    <w:p w14:paraId="3E33AC67" w14:textId="77777777" w:rsidR="00C23516" w:rsidRPr="00277E26" w:rsidRDefault="00C23516" w:rsidP="00C23516">
      <w:pPr>
        <w:tabs>
          <w:tab w:val="left" w:pos="426"/>
        </w:tabs>
        <w:spacing w:after="0" w:line="276" w:lineRule="auto"/>
        <w:jc w:val="both"/>
        <w:rPr>
          <w:rFonts w:ascii="Verdana" w:eastAsia="Century Gothic" w:hAnsi="Verdana" w:cs="Century Gothic"/>
          <w:lang w:val="es-ES"/>
        </w:rPr>
      </w:pPr>
    </w:p>
    <w:p w14:paraId="5F69D211" w14:textId="4CEE03AB" w:rsidR="00C23516" w:rsidRPr="00277E26" w:rsidRDefault="00C23516" w:rsidP="00C23516">
      <w:pPr>
        <w:spacing w:after="0" w:line="276" w:lineRule="auto"/>
        <w:jc w:val="both"/>
        <w:rPr>
          <w:rFonts w:ascii="Verdana" w:eastAsia="Century Gothic" w:hAnsi="Verdana" w:cs="Century Gothic"/>
        </w:rPr>
      </w:pPr>
      <w:r w:rsidRPr="00277E26">
        <w:rPr>
          <w:rFonts w:ascii="Verdana" w:eastAsia="Century Gothic" w:hAnsi="Verdana" w:cs="Century Gothic"/>
        </w:rPr>
        <w:t xml:space="preserve">De </w:t>
      </w:r>
      <w:r w:rsidRPr="00145947">
        <w:rPr>
          <w:rFonts w:ascii="Verdana" w:eastAsia="Calibri" w:hAnsi="Verdana" w:cs="Arial"/>
          <w:color w:val="000000"/>
          <w:lang w:val="es-ES" w:eastAsia="es-ES"/>
        </w:rPr>
        <w:t xml:space="preserve">acuerdo con el contenido de su solicitud, esta Agencia resolverá el siguiente problema jurídico: i. ¿Es posible que un servidor público pueda ser contratista del estado? </w:t>
      </w:r>
      <w:proofErr w:type="spellStart"/>
      <w:r w:rsidRPr="00145947">
        <w:rPr>
          <w:rFonts w:ascii="Verdana" w:eastAsia="Calibri" w:hAnsi="Verdana" w:cs="Arial"/>
          <w:color w:val="000000"/>
          <w:lang w:val="es-ES" w:eastAsia="es-ES"/>
        </w:rPr>
        <w:t>ii</w:t>
      </w:r>
      <w:proofErr w:type="spellEnd"/>
      <w:r w:rsidRPr="00145947">
        <w:rPr>
          <w:rFonts w:ascii="Verdana" w:eastAsia="Calibri" w:hAnsi="Verdana" w:cs="Arial"/>
          <w:color w:val="000000"/>
          <w:lang w:val="es-ES" w:eastAsia="es-ES"/>
        </w:rPr>
        <w:t>. ¿</w:t>
      </w:r>
      <w:r w:rsidR="00D50B27">
        <w:rPr>
          <w:rFonts w:ascii="Verdana" w:eastAsia="Times New Roman" w:hAnsi="Verdana" w:cs="Arial"/>
          <w:lang w:eastAsia="es-CO"/>
        </w:rPr>
        <w:t xml:space="preserve">Cuáles son las </w:t>
      </w:r>
      <w:r w:rsidR="00D50B27" w:rsidRPr="00AA13FF">
        <w:rPr>
          <w:rFonts w:ascii="Verdana" w:eastAsia="Times New Roman" w:hAnsi="Verdana" w:cs="Arial"/>
          <w:lang w:eastAsia="es-CO"/>
        </w:rPr>
        <w:t xml:space="preserve">excepciones generales a la prohibición Constitucional de recibir más de una asignación del </w:t>
      </w:r>
      <w:r w:rsidR="00D50B27">
        <w:rPr>
          <w:rFonts w:ascii="Verdana" w:eastAsia="Times New Roman" w:hAnsi="Verdana" w:cs="Arial"/>
          <w:lang w:eastAsia="es-CO"/>
        </w:rPr>
        <w:t>público</w:t>
      </w:r>
      <w:r w:rsidRPr="006A09D6">
        <w:rPr>
          <w:rFonts w:ascii="Verdana" w:hAnsi="Verdana"/>
        </w:rPr>
        <w:t xml:space="preserve">?  </w:t>
      </w:r>
    </w:p>
    <w:p w14:paraId="79ACD088" w14:textId="77777777" w:rsidR="00C23516" w:rsidRPr="00277E26" w:rsidRDefault="00C23516" w:rsidP="00C23516">
      <w:pPr>
        <w:spacing w:after="0" w:line="276" w:lineRule="auto"/>
        <w:jc w:val="both"/>
        <w:rPr>
          <w:rFonts w:ascii="Verdana" w:eastAsia="Calibri" w:hAnsi="Verdana" w:cs="Arial"/>
          <w:color w:val="7030A0"/>
        </w:rPr>
      </w:pPr>
    </w:p>
    <w:p w14:paraId="75C8E2FF" w14:textId="77777777" w:rsidR="00C23516" w:rsidRPr="00277E26" w:rsidRDefault="00C23516" w:rsidP="00C235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77E26">
        <w:rPr>
          <w:rFonts w:ascii="Verdana" w:eastAsia="Century Gothic" w:hAnsi="Verdana" w:cs="Century Gothic"/>
          <w:b/>
          <w:bCs/>
        </w:rPr>
        <w:t>Respuesta:</w:t>
      </w:r>
    </w:p>
    <w:p w14:paraId="36B93890" w14:textId="77777777" w:rsidR="00C23516" w:rsidRPr="00277E26" w:rsidRDefault="00C23516" w:rsidP="00C2351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23516" w:rsidRPr="00593A5F" w14:paraId="692CAD82" w14:textId="77777777" w:rsidTr="00B250E5">
        <w:trPr>
          <w:jc w:val="center"/>
        </w:trPr>
        <w:tc>
          <w:tcPr>
            <w:tcW w:w="8828" w:type="dxa"/>
          </w:tcPr>
          <w:p w14:paraId="3BE734A5" w14:textId="7E2E8A59" w:rsidR="00FF1B23" w:rsidRPr="00FF1B23" w:rsidRDefault="00FF1B23" w:rsidP="00EE75E5">
            <w:pPr>
              <w:pStyle w:val="Prrafodelista"/>
              <w:spacing w:line="276" w:lineRule="auto"/>
              <w:ind w:left="175"/>
              <w:jc w:val="both"/>
              <w:rPr>
                <w:rFonts w:ascii="Verdana" w:eastAsia="Arial" w:hAnsi="Verdana" w:cs="Arial"/>
              </w:rPr>
            </w:pPr>
            <w:bookmarkStart w:id="1" w:name="_Hlk171694685"/>
            <w:r w:rsidRPr="00FF1B23">
              <w:rPr>
                <w:rFonts w:ascii="Verdana" w:eastAsia="Century Gothic" w:hAnsi="Verdana" w:cs="Century Gothic"/>
              </w:rPr>
              <w:t xml:space="preserve">De conformidad con el artículo 127 de la Constitución Política, </w:t>
            </w:r>
            <w:r w:rsidRPr="00FF1B23">
              <w:rPr>
                <w:rFonts w:ascii="Verdana" w:eastAsia="Arial" w:hAnsi="Verdana" w:cs="Arial"/>
              </w:rPr>
              <w:t xml:space="preserve">los servidores públicos no pueden celebrar contratos con entidades públicas, por sí o por interpuesta persona, salvo las excepciones que establezca la ley. Esta </w:t>
            </w:r>
            <w:r w:rsidRPr="00FF1B23">
              <w:rPr>
                <w:rFonts w:ascii="Verdana" w:eastAsia="Arial" w:hAnsi="Verdana" w:cs="Arial"/>
              </w:rPr>
              <w:lastRenderedPageBreak/>
              <w:t>prohibición busca evitar conflictos de interés y garantizar los principios de moralidad, transparencia e imparcialidad en la función pública.</w:t>
            </w:r>
          </w:p>
          <w:p w14:paraId="677CA846" w14:textId="77777777" w:rsidR="00FF1B23" w:rsidRPr="00FF1B23" w:rsidRDefault="00FF1B23" w:rsidP="00FF1B23">
            <w:pPr>
              <w:pStyle w:val="Prrafodelista"/>
              <w:spacing w:line="276" w:lineRule="auto"/>
              <w:ind w:left="175"/>
              <w:jc w:val="both"/>
              <w:rPr>
                <w:rFonts w:ascii="Verdana" w:eastAsia="Arial" w:hAnsi="Verdana" w:cs="Arial"/>
              </w:rPr>
            </w:pPr>
          </w:p>
          <w:p w14:paraId="2FDB62E0" w14:textId="2591121F" w:rsidR="00FF1B23" w:rsidRDefault="00FF1B23" w:rsidP="00FF1B23">
            <w:pPr>
              <w:spacing w:line="276" w:lineRule="auto"/>
              <w:ind w:left="175"/>
              <w:jc w:val="both"/>
              <w:rPr>
                <w:rFonts w:ascii="Verdana" w:eastAsia="Arial" w:hAnsi="Verdana" w:cs="Arial"/>
                <w:lang w:val="es-ES"/>
              </w:rPr>
            </w:pPr>
            <w:r>
              <w:rPr>
                <w:rFonts w:ascii="Verdana" w:eastAsia="Arial" w:hAnsi="Verdana" w:cs="Arial"/>
                <w:lang w:val="es-ES"/>
              </w:rPr>
              <w:t xml:space="preserve">       </w:t>
            </w:r>
            <w:r w:rsidRPr="00FF1B23">
              <w:rPr>
                <w:rFonts w:ascii="Verdana" w:eastAsia="Arial" w:hAnsi="Verdana" w:cs="Arial"/>
                <w:lang w:val="es-ES"/>
              </w:rPr>
              <w:t>En desarrollo de dicho mandato constitucional, la normativa contractual —en especial la Ley 80 de 1993— establece como inhabilidad para contratar con el Estado la condición de servidor público, durante el tiempo en que se ejerza el cargo.</w:t>
            </w:r>
          </w:p>
          <w:p w14:paraId="0F014CEF" w14:textId="77777777" w:rsidR="00FF1B23" w:rsidRPr="00FF1B23" w:rsidRDefault="00FF1B23" w:rsidP="00FF1B23">
            <w:pPr>
              <w:spacing w:line="276" w:lineRule="auto"/>
              <w:ind w:left="175"/>
              <w:jc w:val="both"/>
              <w:rPr>
                <w:rFonts w:ascii="Verdana" w:eastAsia="Arial" w:hAnsi="Verdana" w:cs="Arial"/>
                <w:lang w:val="es-ES"/>
              </w:rPr>
            </w:pPr>
          </w:p>
          <w:p w14:paraId="0E6D096A" w14:textId="26F794A5" w:rsidR="00FF1B23" w:rsidRPr="00FF1B23" w:rsidRDefault="00FF1B23" w:rsidP="00FF1B23">
            <w:pPr>
              <w:spacing w:line="276" w:lineRule="auto"/>
              <w:ind w:left="175"/>
              <w:jc w:val="both"/>
              <w:rPr>
                <w:rFonts w:ascii="Verdana" w:eastAsia="Arial" w:hAnsi="Verdana" w:cs="Arial"/>
                <w:lang w:val="es-ES"/>
              </w:rPr>
            </w:pPr>
            <w:r w:rsidRPr="00FF1B23">
              <w:rPr>
                <w:rFonts w:ascii="Verdana" w:eastAsia="Arial" w:hAnsi="Verdana" w:cs="Arial"/>
                <w:lang w:val="es-ES"/>
              </w:rPr>
              <w:t>No obstante, la ley ha previsto excepciones específicas</w:t>
            </w:r>
            <w:r>
              <w:rPr>
                <w:rFonts w:ascii="Verdana" w:eastAsia="Arial" w:hAnsi="Verdana" w:cs="Arial"/>
                <w:lang w:val="es-ES"/>
              </w:rPr>
              <w:t xml:space="preserve"> como se detalla en el desarrollo del segundo problema jurídico. </w:t>
            </w:r>
          </w:p>
          <w:p w14:paraId="25D9B025" w14:textId="77777777" w:rsidR="00C23516" w:rsidRPr="00FF1B23" w:rsidRDefault="00C23516" w:rsidP="00B250E5">
            <w:pPr>
              <w:spacing w:line="276" w:lineRule="auto"/>
              <w:ind w:firstLine="709"/>
              <w:jc w:val="both"/>
              <w:rPr>
                <w:rFonts w:ascii="Verdana" w:eastAsia="Century Gothic" w:hAnsi="Verdana" w:cs="Century Gothic"/>
              </w:rPr>
            </w:pPr>
          </w:p>
          <w:p w14:paraId="04FC69FD" w14:textId="398C6ED1" w:rsidR="00D50B27" w:rsidRPr="00D50B27" w:rsidRDefault="00EE75E5" w:rsidP="00EE75E5">
            <w:pPr>
              <w:pStyle w:val="Textoindependiente"/>
              <w:spacing w:line="276" w:lineRule="auto"/>
              <w:jc w:val="both"/>
              <w:rPr>
                <w:rFonts w:ascii="Verdana" w:hAnsi="Verdana"/>
              </w:rPr>
            </w:pPr>
            <w:bookmarkStart w:id="2" w:name="_Hlk191371886"/>
            <w:proofErr w:type="spellStart"/>
            <w:r>
              <w:rPr>
                <w:rFonts w:ascii="Verdana" w:eastAsia="Times New Roman" w:hAnsi="Verdana"/>
                <w:lang w:eastAsia="es-CO"/>
              </w:rPr>
              <w:t>ii</w:t>
            </w:r>
            <w:proofErr w:type="spellEnd"/>
            <w:r>
              <w:rPr>
                <w:rFonts w:ascii="Verdana" w:eastAsia="Times New Roman" w:hAnsi="Verdana"/>
                <w:lang w:eastAsia="es-CO"/>
              </w:rPr>
              <w:t xml:space="preserve">. </w:t>
            </w:r>
            <w:r w:rsidR="00D50B27">
              <w:rPr>
                <w:rFonts w:ascii="Verdana" w:eastAsia="Times New Roman" w:hAnsi="Verdana"/>
                <w:lang w:eastAsia="es-CO"/>
              </w:rPr>
              <w:t xml:space="preserve">En cuanto al segundo problema jurídico, </w:t>
            </w:r>
            <w:r w:rsidR="00D50B27" w:rsidRPr="004D2D88">
              <w:rPr>
                <w:rFonts w:ascii="Verdana" w:hAnsi="Verdana"/>
              </w:rPr>
              <w:t>la restricción prevista en el artículo 128 de la Constitución Política, también aplica para una persona que</w:t>
            </w:r>
            <w:r w:rsidR="00D50B27">
              <w:rPr>
                <w:rFonts w:ascii="Verdana" w:hAnsi="Verdana"/>
              </w:rPr>
              <w:t>,</w:t>
            </w:r>
            <w:r w:rsidR="00D50B27" w:rsidRPr="004D2D88">
              <w:rPr>
                <w:rFonts w:ascii="Verdana" w:hAnsi="Verdana"/>
              </w:rPr>
              <w:t xml:space="preserve"> </w:t>
            </w:r>
            <w:r w:rsidR="00D50B27">
              <w:rPr>
                <w:rFonts w:ascii="Verdana" w:hAnsi="Verdana"/>
              </w:rPr>
              <w:t xml:space="preserve">siendo servidor público, </w:t>
            </w:r>
            <w:r w:rsidR="00D50B27" w:rsidRPr="004D2D88">
              <w:rPr>
                <w:rFonts w:ascii="Verdana" w:hAnsi="Verdana"/>
              </w:rPr>
              <w:t>se vincule simultáneamente a través de un contrato de prestación de servicios</w:t>
            </w:r>
            <w:r w:rsidR="00D50B27">
              <w:rPr>
                <w:rFonts w:ascii="Verdana" w:hAnsi="Verdana"/>
              </w:rPr>
              <w:t xml:space="preserve"> con una entidad del estado sea del orden central o descentralizado, a excepción de los eventos definidos en el artículo 19 de la Ley 4 de 1992, </w:t>
            </w:r>
            <w:r w:rsidR="00D50B27" w:rsidRPr="00AA13FF">
              <w:rPr>
                <w:rFonts w:ascii="Verdana" w:eastAsia="Times New Roman" w:hAnsi="Verdana"/>
                <w:lang w:eastAsia="es-CO"/>
              </w:rPr>
              <w:t>dicha norma consagra:</w:t>
            </w:r>
          </w:p>
          <w:p w14:paraId="627AC89A" w14:textId="77777777" w:rsidR="00D50B27" w:rsidRPr="00D50B27" w:rsidRDefault="00D50B27" w:rsidP="00D50B27">
            <w:pPr>
              <w:spacing w:line="276" w:lineRule="auto"/>
              <w:ind w:left="33"/>
              <w:jc w:val="both"/>
              <w:rPr>
                <w:rFonts w:ascii="Verdana" w:eastAsia="Times New Roman" w:hAnsi="Verdana" w:cs="Arial"/>
                <w:sz w:val="21"/>
                <w:szCs w:val="21"/>
                <w:lang w:eastAsia="es-CO"/>
              </w:rPr>
            </w:pPr>
            <w:r w:rsidRPr="00AA13FF">
              <w:rPr>
                <w:rFonts w:ascii="Verdana" w:eastAsia="Times New Roman" w:hAnsi="Verdana" w:cs="Arial"/>
                <w:lang w:eastAsia="es-CO"/>
              </w:rPr>
              <w:t> </w:t>
            </w:r>
          </w:p>
          <w:p w14:paraId="1B6EB6E8" w14:textId="77777777" w:rsidR="00D50B27" w:rsidRPr="00D50B27" w:rsidRDefault="00D50B27" w:rsidP="00D50B27">
            <w:pPr>
              <w:ind w:left="709" w:right="709"/>
              <w:jc w:val="both"/>
              <w:rPr>
                <w:rFonts w:ascii="Verdana" w:eastAsia="Times New Roman" w:hAnsi="Verdana" w:cs="Arial"/>
                <w:sz w:val="21"/>
                <w:szCs w:val="21"/>
                <w:lang w:eastAsia="es-CO"/>
              </w:rPr>
            </w:pPr>
            <w:r w:rsidRPr="00D50B27">
              <w:rPr>
                <w:rFonts w:ascii="Verdana" w:eastAsia="Times New Roman" w:hAnsi="Verdana" w:cs="Arial"/>
                <w:sz w:val="21"/>
                <w:szCs w:val="21"/>
                <w:lang w:eastAsia="es-CO"/>
              </w:rPr>
              <w:t>“</w:t>
            </w:r>
            <w:r w:rsidRPr="00D50B27">
              <w:rPr>
                <w:rFonts w:ascii="Verdana" w:eastAsia="Times New Roman" w:hAnsi="Verdana" w:cs="Arial"/>
                <w:b/>
                <w:bCs/>
                <w:sz w:val="21"/>
                <w:szCs w:val="21"/>
                <w:lang w:eastAsia="es-CO"/>
              </w:rPr>
              <w:t xml:space="preserve">Artículo </w:t>
            </w:r>
            <w:hyperlink r:id="rId12" w:anchor="19" w:history="1">
              <w:r w:rsidRPr="00D50B27">
                <w:rPr>
                  <w:rStyle w:val="Hipervnculo"/>
                  <w:rFonts w:ascii="Verdana" w:hAnsi="Verdana" w:cs="Arial"/>
                  <w:b/>
                  <w:bCs/>
                  <w:color w:val="auto"/>
                  <w:sz w:val="21"/>
                  <w:szCs w:val="21"/>
                  <w:u w:val="none"/>
                </w:rPr>
                <w:t>19</w:t>
              </w:r>
            </w:hyperlink>
            <w:r w:rsidRPr="00D50B27">
              <w:rPr>
                <w:rFonts w:ascii="Verdana" w:eastAsia="Times New Roman" w:hAnsi="Verdana" w:cs="Arial"/>
                <w:b/>
                <w:bCs/>
                <w:sz w:val="21"/>
                <w:szCs w:val="21"/>
                <w:lang w:eastAsia="es-CO"/>
              </w:rPr>
              <w:t>.-</w:t>
            </w:r>
            <w:r w:rsidRPr="00D50B27">
              <w:rPr>
                <w:rFonts w:ascii="Verdana" w:eastAsia="Times New Roman" w:hAnsi="Verdana" w:cs="Arial"/>
                <w:sz w:val="21"/>
                <w:szCs w:val="21"/>
                <w:lang w:eastAsia="es-CO"/>
              </w:rPr>
              <w:t>Nadie podrá desempeñar simultáneamente más de un empleo público, ni recibir más de una asignación que provenga del Tesoro Público, o de empresas o de instituciones en las que tenga parte mayoritaria el Estado. Exceptúense las siguientes asignaciones:</w:t>
            </w:r>
          </w:p>
          <w:p w14:paraId="016B9889" w14:textId="77777777" w:rsidR="00D50B27" w:rsidRPr="00D50B27" w:rsidRDefault="00D50B27" w:rsidP="00D50B27">
            <w:pPr>
              <w:ind w:left="709" w:right="709" w:firstLine="708"/>
              <w:jc w:val="both"/>
              <w:rPr>
                <w:rFonts w:ascii="Verdana" w:eastAsia="Times New Roman" w:hAnsi="Verdana" w:cs="Arial"/>
                <w:sz w:val="21"/>
                <w:szCs w:val="21"/>
                <w:lang w:eastAsia="es-CO"/>
              </w:rPr>
            </w:pPr>
            <w:r w:rsidRPr="00D50B27">
              <w:rPr>
                <w:rFonts w:ascii="Verdana" w:eastAsia="Times New Roman" w:hAnsi="Verdana" w:cs="Arial"/>
                <w:sz w:val="21"/>
                <w:szCs w:val="21"/>
                <w:lang w:eastAsia="es-CO"/>
              </w:rPr>
              <w:t> </w:t>
            </w:r>
          </w:p>
          <w:p w14:paraId="17C7605E" w14:textId="77777777" w:rsidR="00D50B27" w:rsidRPr="00D50B27" w:rsidRDefault="00D50B27" w:rsidP="00D50B27">
            <w:pPr>
              <w:ind w:left="709" w:right="709"/>
              <w:jc w:val="both"/>
              <w:rPr>
                <w:rFonts w:ascii="Verdana" w:eastAsia="Times New Roman" w:hAnsi="Verdana" w:cs="Arial"/>
                <w:sz w:val="21"/>
                <w:szCs w:val="21"/>
                <w:lang w:eastAsia="es-CO"/>
              </w:rPr>
            </w:pPr>
            <w:r w:rsidRPr="00D50B27">
              <w:rPr>
                <w:rFonts w:ascii="Verdana" w:eastAsia="Times New Roman" w:hAnsi="Verdana" w:cs="Arial"/>
                <w:sz w:val="21"/>
                <w:szCs w:val="21"/>
                <w:lang w:eastAsia="es-CO"/>
              </w:rPr>
              <w:t>a. Las que reciban los profesores universitarios que se desempeñen como asesores de la rama legislativa;</w:t>
            </w:r>
          </w:p>
          <w:p w14:paraId="56C8AA26" w14:textId="77777777" w:rsidR="00D50B27" w:rsidRPr="00D50B27" w:rsidRDefault="00D50B27" w:rsidP="00D50B27">
            <w:pPr>
              <w:ind w:left="709" w:right="709"/>
              <w:jc w:val="both"/>
              <w:rPr>
                <w:rFonts w:ascii="Verdana" w:eastAsia="Times New Roman" w:hAnsi="Verdana" w:cs="Arial"/>
                <w:sz w:val="21"/>
                <w:szCs w:val="21"/>
                <w:lang w:eastAsia="es-CO"/>
              </w:rPr>
            </w:pPr>
            <w:r w:rsidRPr="00D50B27">
              <w:rPr>
                <w:rFonts w:ascii="Verdana" w:eastAsia="Times New Roman" w:hAnsi="Verdana" w:cs="Arial"/>
                <w:sz w:val="21"/>
                <w:szCs w:val="21"/>
                <w:lang w:eastAsia="es-CO"/>
              </w:rPr>
              <w:t>b. Las percibidas por el personal con asignación de retiro o pensión militar o policial de la Fuerza Pública;</w:t>
            </w:r>
          </w:p>
          <w:p w14:paraId="6B345B64" w14:textId="77777777" w:rsidR="00D50B27" w:rsidRPr="00D50B27" w:rsidRDefault="00D50B27" w:rsidP="00D50B27">
            <w:pPr>
              <w:ind w:left="709" w:right="709"/>
              <w:jc w:val="both"/>
              <w:rPr>
                <w:rFonts w:ascii="Verdana" w:eastAsia="Times New Roman" w:hAnsi="Verdana" w:cs="Arial"/>
                <w:sz w:val="21"/>
                <w:szCs w:val="21"/>
                <w:lang w:eastAsia="es-CO"/>
              </w:rPr>
            </w:pPr>
            <w:r w:rsidRPr="00D50B27">
              <w:rPr>
                <w:rFonts w:ascii="Verdana" w:eastAsia="Times New Roman" w:hAnsi="Verdana" w:cs="Arial"/>
                <w:sz w:val="21"/>
                <w:szCs w:val="21"/>
                <w:lang w:eastAsia="es-CO"/>
              </w:rPr>
              <w:t>c. Las percibidas por concepto de sustitución pensional;</w:t>
            </w:r>
          </w:p>
          <w:p w14:paraId="52A2FCEB" w14:textId="77777777" w:rsidR="00D50B27" w:rsidRPr="00D50B27" w:rsidRDefault="00D50B27" w:rsidP="00D50B27">
            <w:pPr>
              <w:ind w:right="709" w:firstLine="708"/>
              <w:jc w:val="both"/>
              <w:rPr>
                <w:rFonts w:ascii="Verdana" w:eastAsia="Times New Roman" w:hAnsi="Verdana" w:cs="Arial"/>
                <w:sz w:val="21"/>
                <w:szCs w:val="21"/>
                <w:u w:val="single"/>
                <w:lang w:eastAsia="es-CO"/>
              </w:rPr>
            </w:pPr>
            <w:r w:rsidRPr="00D50B27">
              <w:rPr>
                <w:rFonts w:ascii="Verdana" w:eastAsia="Times New Roman" w:hAnsi="Verdana" w:cs="Arial"/>
                <w:sz w:val="21"/>
                <w:szCs w:val="21"/>
                <w:lang w:eastAsia="es-CO"/>
              </w:rPr>
              <w:t xml:space="preserve">d. </w:t>
            </w:r>
            <w:r w:rsidRPr="00D50B27">
              <w:rPr>
                <w:rFonts w:ascii="Verdana" w:eastAsia="Times New Roman" w:hAnsi="Verdana" w:cs="Arial"/>
                <w:sz w:val="21"/>
                <w:szCs w:val="21"/>
                <w:u w:val="single"/>
                <w:lang w:eastAsia="es-CO"/>
              </w:rPr>
              <w:t>Los honorarios percibidos por concepto de hora-cátedra; </w:t>
            </w:r>
          </w:p>
          <w:p w14:paraId="51CDAB4C" w14:textId="77777777" w:rsidR="00D50B27" w:rsidRPr="00D50B27" w:rsidRDefault="00D50B27" w:rsidP="00D50B27">
            <w:pPr>
              <w:ind w:left="709" w:right="709"/>
              <w:jc w:val="both"/>
              <w:rPr>
                <w:rFonts w:ascii="Verdana" w:eastAsia="Times New Roman" w:hAnsi="Verdana" w:cs="Arial"/>
                <w:sz w:val="21"/>
                <w:szCs w:val="21"/>
                <w:lang w:eastAsia="es-CO"/>
              </w:rPr>
            </w:pPr>
            <w:r w:rsidRPr="00D50B27">
              <w:rPr>
                <w:rFonts w:ascii="Verdana" w:eastAsia="Times New Roman" w:hAnsi="Verdana" w:cs="Arial"/>
                <w:sz w:val="21"/>
                <w:szCs w:val="21"/>
                <w:lang w:eastAsia="es-CO"/>
              </w:rPr>
              <w:t>e. Los honorarios percibidos por concepto de servicios profesionales de salud. </w:t>
            </w:r>
          </w:p>
          <w:p w14:paraId="5A3159F9" w14:textId="77777777" w:rsidR="00D50B27" w:rsidRPr="00D50B27" w:rsidRDefault="00D50B27" w:rsidP="00D50B27">
            <w:pPr>
              <w:ind w:left="709" w:right="709"/>
              <w:jc w:val="both"/>
              <w:rPr>
                <w:rFonts w:ascii="Verdana" w:eastAsia="Times New Roman" w:hAnsi="Verdana" w:cs="Arial"/>
                <w:sz w:val="21"/>
                <w:szCs w:val="21"/>
                <w:lang w:eastAsia="es-CO"/>
              </w:rPr>
            </w:pPr>
            <w:r w:rsidRPr="00D50B27">
              <w:rPr>
                <w:rFonts w:ascii="Verdana" w:eastAsia="Times New Roman" w:hAnsi="Verdana" w:cs="Arial"/>
                <w:sz w:val="21"/>
                <w:szCs w:val="21"/>
                <w:lang w:eastAsia="es-CO"/>
              </w:rPr>
              <w:t xml:space="preserve">f. Los honorarios percibidos por los miembros de las juntas directivas, </w:t>
            </w:r>
            <w:proofErr w:type="gramStart"/>
            <w:r w:rsidRPr="00D50B27">
              <w:rPr>
                <w:rFonts w:ascii="Verdana" w:eastAsia="Times New Roman" w:hAnsi="Verdana" w:cs="Arial"/>
                <w:sz w:val="21"/>
                <w:szCs w:val="21"/>
                <w:lang w:eastAsia="es-CO"/>
              </w:rPr>
              <w:t>en razón de</w:t>
            </w:r>
            <w:proofErr w:type="gramEnd"/>
            <w:r w:rsidRPr="00D50B27">
              <w:rPr>
                <w:rFonts w:ascii="Verdana" w:eastAsia="Times New Roman" w:hAnsi="Verdana" w:cs="Arial"/>
                <w:sz w:val="21"/>
                <w:szCs w:val="21"/>
                <w:lang w:eastAsia="es-CO"/>
              </w:rPr>
              <w:t xml:space="preserve"> su asistencia a las mismas, siempre que no se trate de más de dos juntas.</w:t>
            </w:r>
          </w:p>
          <w:p w14:paraId="32559DB8" w14:textId="77777777" w:rsidR="00D50B27" w:rsidRPr="00D50B27" w:rsidRDefault="00D50B27" w:rsidP="00D50B27">
            <w:pPr>
              <w:ind w:left="709" w:right="709"/>
              <w:jc w:val="both"/>
              <w:rPr>
                <w:rFonts w:ascii="Verdana" w:eastAsia="Times New Roman" w:hAnsi="Verdana" w:cs="Arial"/>
                <w:sz w:val="21"/>
                <w:szCs w:val="21"/>
                <w:lang w:eastAsia="es-CO"/>
              </w:rPr>
            </w:pPr>
            <w:r w:rsidRPr="00D50B27">
              <w:rPr>
                <w:rFonts w:ascii="Verdana" w:eastAsia="Times New Roman" w:hAnsi="Verdana" w:cs="Arial"/>
                <w:sz w:val="21"/>
                <w:szCs w:val="21"/>
                <w:lang w:eastAsia="es-CO"/>
              </w:rPr>
              <w:t xml:space="preserve">g. Las que a la fecha de </w:t>
            </w:r>
            <w:proofErr w:type="gramStart"/>
            <w:r w:rsidRPr="00D50B27">
              <w:rPr>
                <w:rFonts w:ascii="Verdana" w:eastAsia="Times New Roman" w:hAnsi="Verdana" w:cs="Arial"/>
                <w:sz w:val="21"/>
                <w:szCs w:val="21"/>
                <w:lang w:eastAsia="es-CO"/>
              </w:rPr>
              <w:t>entrar en vigencia</w:t>
            </w:r>
            <w:proofErr w:type="gramEnd"/>
            <w:r w:rsidRPr="00D50B27">
              <w:rPr>
                <w:rFonts w:ascii="Verdana" w:eastAsia="Times New Roman" w:hAnsi="Verdana" w:cs="Arial"/>
                <w:sz w:val="21"/>
                <w:szCs w:val="21"/>
                <w:lang w:eastAsia="es-CO"/>
              </w:rPr>
              <w:t xml:space="preserve"> la presente Ley beneficien a los servidores oficiales docentes pensionados.</w:t>
            </w:r>
          </w:p>
          <w:p w14:paraId="199063C7" w14:textId="77777777" w:rsidR="00D50B27" w:rsidRPr="00D50B27" w:rsidRDefault="00D50B27" w:rsidP="00D50B27">
            <w:pPr>
              <w:ind w:left="709" w:right="709" w:firstLine="708"/>
              <w:jc w:val="both"/>
              <w:rPr>
                <w:rFonts w:ascii="Verdana" w:eastAsia="Times New Roman" w:hAnsi="Verdana" w:cs="Arial"/>
                <w:sz w:val="21"/>
                <w:szCs w:val="21"/>
                <w:lang w:eastAsia="es-CO"/>
              </w:rPr>
            </w:pPr>
            <w:r w:rsidRPr="00D50B27">
              <w:rPr>
                <w:rFonts w:ascii="Verdana" w:eastAsia="Times New Roman" w:hAnsi="Verdana" w:cs="Arial"/>
                <w:b/>
                <w:bCs/>
                <w:sz w:val="21"/>
                <w:szCs w:val="21"/>
                <w:lang w:eastAsia="es-CO"/>
              </w:rPr>
              <w:t> </w:t>
            </w:r>
          </w:p>
          <w:p w14:paraId="53508B27" w14:textId="77777777" w:rsidR="00D50B27" w:rsidRPr="00D50B27" w:rsidRDefault="00D50B27" w:rsidP="00D50B27">
            <w:pPr>
              <w:ind w:left="709" w:right="709"/>
              <w:jc w:val="both"/>
              <w:rPr>
                <w:rFonts w:ascii="Verdana" w:eastAsia="Times New Roman" w:hAnsi="Verdana" w:cs="Arial"/>
                <w:sz w:val="21"/>
                <w:szCs w:val="21"/>
                <w:lang w:eastAsia="es-CO"/>
              </w:rPr>
            </w:pPr>
            <w:r w:rsidRPr="00D50B27">
              <w:rPr>
                <w:rFonts w:ascii="Verdana" w:eastAsia="Times New Roman" w:hAnsi="Verdana" w:cs="Arial"/>
                <w:b/>
                <w:bCs/>
                <w:sz w:val="21"/>
                <w:szCs w:val="21"/>
                <w:lang w:eastAsia="es-CO"/>
              </w:rPr>
              <w:lastRenderedPageBreak/>
              <w:t>PARÁGRAFO.</w:t>
            </w:r>
            <w:r w:rsidRPr="00D50B27">
              <w:rPr>
                <w:rFonts w:ascii="Verdana" w:eastAsia="Times New Roman" w:hAnsi="Verdana" w:cs="Arial"/>
                <w:sz w:val="21"/>
                <w:szCs w:val="21"/>
                <w:lang w:eastAsia="es-CO"/>
              </w:rPr>
              <w:t> No se podrán recibir honorarios que sumados correspondan a más de ocho (8) horas diarias de trabajo a varias entidades”.</w:t>
            </w:r>
          </w:p>
          <w:p w14:paraId="40AE97A5" w14:textId="77777777" w:rsidR="00D50B27" w:rsidRPr="00D50B27" w:rsidRDefault="00D50B27" w:rsidP="00D50B27">
            <w:pPr>
              <w:pStyle w:val="Textoindependiente"/>
              <w:spacing w:line="276" w:lineRule="auto"/>
              <w:ind w:firstLine="708"/>
              <w:jc w:val="both"/>
              <w:rPr>
                <w:rFonts w:ascii="Verdana" w:hAnsi="Verdana"/>
                <w:lang w:val="es-CO"/>
              </w:rPr>
            </w:pPr>
          </w:p>
          <w:p w14:paraId="389B9837" w14:textId="445544B7" w:rsidR="00D50B27" w:rsidRDefault="00FF1B23" w:rsidP="00D50B27">
            <w:p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         </w:t>
            </w:r>
            <w:r w:rsidR="00D50B27" w:rsidRPr="00D50B27">
              <w:rPr>
                <w:rFonts w:ascii="Verdana" w:eastAsia="Arial MT" w:hAnsi="Verdana" w:cs="Arial"/>
                <w:lang w:eastAsia="es-ES" w:bidi="es-ES"/>
              </w:rPr>
              <w:t xml:space="preserve">Lo anterior obedece a que el artículo 128 de la Constitución Política prohíbe, de manera general, que una misma persona, en su condición de servidor público, reciba más de una asignación proveniente del Tesoro Público o de entidades con participación mayoritaria del Estado, salvo las excepciones expresamente previstas en la ley. Dentro de dichas excepciones se encuentra, para el caso específico objeto de su consulta, la </w:t>
            </w:r>
            <w:r w:rsidR="00D50B27" w:rsidRPr="00D50B27">
              <w:rPr>
                <w:rFonts w:ascii="Verdana" w:eastAsia="Arial MT" w:hAnsi="Verdana" w:cs="Arial"/>
                <w:b/>
                <w:bCs/>
                <w:lang w:eastAsia="es-ES" w:bidi="es-ES"/>
              </w:rPr>
              <w:t>hora cátedra</w:t>
            </w:r>
            <w:r w:rsidR="00D50B27" w:rsidRPr="00D50B27">
              <w:rPr>
                <w:rFonts w:ascii="Verdana" w:eastAsia="Arial MT" w:hAnsi="Verdana" w:cs="Arial"/>
                <w:lang w:eastAsia="es-ES" w:bidi="es-ES"/>
              </w:rPr>
              <w:t>.</w:t>
            </w:r>
          </w:p>
          <w:p w14:paraId="465F4ED4" w14:textId="77777777" w:rsidR="00FF1B23" w:rsidRPr="00FF1B23" w:rsidRDefault="00FF1B23" w:rsidP="00D50B27">
            <w:pPr>
              <w:spacing w:line="276" w:lineRule="auto"/>
              <w:jc w:val="both"/>
              <w:rPr>
                <w:rFonts w:ascii="Verdana" w:eastAsia="Arial MT" w:hAnsi="Verdana" w:cs="Arial"/>
                <w:lang w:eastAsia="es-ES" w:bidi="es-ES"/>
              </w:rPr>
            </w:pPr>
          </w:p>
          <w:p w14:paraId="678C5AE3" w14:textId="68FDFE6D" w:rsidR="00FF1B23" w:rsidRPr="00FF1B23" w:rsidRDefault="00FF1B23" w:rsidP="00D50B27">
            <w:p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          </w:t>
            </w:r>
            <w:r w:rsidRPr="00FF1B23">
              <w:rPr>
                <w:rFonts w:ascii="Verdana" w:eastAsia="Arial MT" w:hAnsi="Verdana" w:cs="Arial"/>
                <w:lang w:eastAsia="es-ES" w:bidi="es-ES"/>
              </w:rPr>
              <w:t>En consecuencia, un servidor público solo podrá ser contratista del Estado cuando exista una habilitación legal expresa y siempre que se garantice la ausencia de conflicto de intereses y el cumplimiento de los principios que rigen la función administrativa.</w:t>
            </w:r>
          </w:p>
          <w:p w14:paraId="7ABACE77" w14:textId="77777777" w:rsidR="00D50B27" w:rsidRDefault="00D50B27" w:rsidP="00D50B27">
            <w:pPr>
              <w:spacing w:line="276" w:lineRule="auto"/>
              <w:jc w:val="both"/>
              <w:rPr>
                <w:rFonts w:ascii="Verdana" w:eastAsia="Arial MT" w:hAnsi="Verdana" w:cs="Arial"/>
                <w:lang w:eastAsia="es-ES" w:bidi="es-ES"/>
              </w:rPr>
            </w:pPr>
          </w:p>
          <w:p w14:paraId="2B474B9E" w14:textId="58AE7A6D" w:rsidR="00C23516" w:rsidRPr="00D50B27" w:rsidRDefault="00C23516" w:rsidP="00D50B27">
            <w:pPr>
              <w:spacing w:line="276" w:lineRule="auto"/>
              <w:jc w:val="both"/>
              <w:rPr>
                <w:rFonts w:ascii="Verdana" w:eastAsia="Century Gothic" w:hAnsi="Verdana" w:cs="Century Gothic"/>
                <w:lang w:val="es-ES"/>
              </w:rPr>
            </w:pPr>
            <w:r w:rsidRPr="00D50B27">
              <w:rPr>
                <w:rFonts w:ascii="Verdana" w:eastAsia="Arial MT" w:hAnsi="Verdana" w:cs="Arial"/>
                <w:lang w:eastAsia="es-ES" w:bidi="es-ES"/>
              </w:rPr>
              <w:t>En todo caso, corresponde a la entidad estatal contratante determinar en cada caso concreto si se cumplen o no los supuestos de hecho y condiciones que dan lugar a la configuración de la referida inhabilidad.</w:t>
            </w:r>
            <w:bookmarkEnd w:id="2"/>
          </w:p>
        </w:tc>
      </w:tr>
    </w:tbl>
    <w:p w14:paraId="72094E82" w14:textId="77777777" w:rsidR="00C23516" w:rsidRPr="00277E26" w:rsidRDefault="00C23516" w:rsidP="00C23516">
      <w:pPr>
        <w:tabs>
          <w:tab w:val="left" w:pos="142"/>
          <w:tab w:val="left" w:pos="284"/>
        </w:tabs>
        <w:spacing w:after="0" w:line="276" w:lineRule="auto"/>
        <w:jc w:val="both"/>
        <w:rPr>
          <w:rFonts w:ascii="Verdana" w:eastAsia="Century Gothic" w:hAnsi="Verdana" w:cs="Century Gothic"/>
          <w:b/>
          <w:bCs/>
          <w:lang w:val="es-ES"/>
        </w:rPr>
      </w:pPr>
    </w:p>
    <w:bookmarkEnd w:id="1"/>
    <w:p w14:paraId="6A15BBD9" w14:textId="77777777" w:rsidR="00C23516" w:rsidRPr="00277E26" w:rsidRDefault="00C23516" w:rsidP="00C235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277E26">
        <w:rPr>
          <w:rFonts w:ascii="Verdana" w:eastAsia="Century Gothic" w:hAnsi="Verdana" w:cs="Century Gothic"/>
          <w:b/>
          <w:bCs/>
        </w:rPr>
        <w:t>Razones de la respuesta:</w:t>
      </w:r>
    </w:p>
    <w:p w14:paraId="5ED45FF4" w14:textId="77777777" w:rsidR="00C23516" w:rsidRPr="00277E26" w:rsidRDefault="00C23516" w:rsidP="00C23516">
      <w:pPr>
        <w:spacing w:after="0" w:line="276" w:lineRule="auto"/>
        <w:jc w:val="both"/>
        <w:rPr>
          <w:rFonts w:ascii="Verdana" w:eastAsia="Calibri" w:hAnsi="Verdana" w:cs="Arial"/>
          <w:color w:val="7030A0"/>
          <w:lang w:val="es-ES"/>
        </w:rPr>
      </w:pPr>
    </w:p>
    <w:p w14:paraId="1471F19B" w14:textId="77777777" w:rsidR="00C23516" w:rsidRPr="00277E26" w:rsidRDefault="00C23516" w:rsidP="00C23516">
      <w:pPr>
        <w:spacing w:after="0" w:line="276" w:lineRule="auto"/>
        <w:jc w:val="both"/>
        <w:rPr>
          <w:rFonts w:ascii="Verdana" w:eastAsia="Calibri" w:hAnsi="Verdana" w:cs="Arial"/>
          <w:lang w:val="es-ES"/>
        </w:rPr>
      </w:pPr>
      <w:r w:rsidRPr="00277E26">
        <w:rPr>
          <w:rFonts w:ascii="Verdana" w:eastAsia="Calibri" w:hAnsi="Verdana" w:cs="Arial"/>
          <w:lang w:val="es-ES"/>
        </w:rPr>
        <w:t>Lo anterior se sustenta en las siguientes consideraciones:</w:t>
      </w:r>
    </w:p>
    <w:p w14:paraId="724E723D" w14:textId="77777777" w:rsidR="00C23516" w:rsidRPr="002E58FC" w:rsidRDefault="00C23516" w:rsidP="00C23516">
      <w:pPr>
        <w:spacing w:after="0" w:line="276" w:lineRule="auto"/>
        <w:jc w:val="both"/>
        <w:rPr>
          <w:rFonts w:ascii="Verdana" w:eastAsia="Calibri" w:hAnsi="Verdana" w:cs="Arial"/>
          <w:lang w:val="es-ES"/>
        </w:rPr>
      </w:pPr>
    </w:p>
    <w:p w14:paraId="4681916F" w14:textId="36793EA8" w:rsidR="00C23516" w:rsidRPr="00E96901" w:rsidRDefault="00C23516" w:rsidP="00B35C07">
      <w:pPr>
        <w:pStyle w:val="Sinespaciado"/>
        <w:numPr>
          <w:ilvl w:val="0"/>
          <w:numId w:val="19"/>
        </w:numPr>
        <w:spacing w:after="120" w:line="276" w:lineRule="auto"/>
        <w:ind w:left="0" w:firstLine="0"/>
        <w:jc w:val="both"/>
        <w:rPr>
          <w:rFonts w:ascii="Verdana" w:hAnsi="Verdana" w:cs="Arial"/>
          <w:sz w:val="22"/>
        </w:rPr>
      </w:pPr>
      <w:r w:rsidRPr="00E96901">
        <w:rPr>
          <w:rFonts w:ascii="Verdana" w:hAnsi="Verdana" w:cs="Arial"/>
          <w:sz w:val="22"/>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73B53227" w14:textId="77777777" w:rsidR="00C23516" w:rsidRPr="00E96901" w:rsidRDefault="00C23516" w:rsidP="00C23516">
      <w:pPr>
        <w:spacing w:after="120" w:line="276" w:lineRule="auto"/>
        <w:ind w:firstLine="709"/>
        <w:jc w:val="both"/>
        <w:rPr>
          <w:rFonts w:ascii="Verdana" w:hAnsi="Verdana" w:cs="Arial"/>
        </w:rPr>
      </w:pPr>
      <w:r w:rsidRPr="00E96901">
        <w:rPr>
          <w:rFonts w:ascii="Verdana" w:hAnsi="Verdana" w:cs="Arial"/>
        </w:rPr>
        <w:t xml:space="preserve">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w:t>
      </w:r>
      <w:r w:rsidRPr="00E96901">
        <w:rPr>
          <w:rFonts w:ascii="Verdana" w:hAnsi="Verdana" w:cs="Arial"/>
        </w:rPr>
        <w:lastRenderedPageBreak/>
        <w:t>a la falta de aptitud o a la carencia de una cualidad, calidad o requisito en el sujeto incapacitado quien por esta razón no podrá hacer parte de una relación contractual”</w:t>
      </w:r>
      <w:r w:rsidRPr="00E96901">
        <w:rPr>
          <w:rStyle w:val="Refdenotaalpie"/>
          <w:rFonts w:ascii="Verdana" w:hAnsi="Verdana" w:cs="Arial"/>
        </w:rPr>
        <w:footnoteReference w:id="1"/>
      </w:r>
      <w:r w:rsidRPr="00E96901">
        <w:rPr>
          <w:rFonts w:ascii="Verdana" w:hAnsi="Verdana" w:cs="Arial"/>
        </w:rPr>
        <w:t>.</w:t>
      </w:r>
    </w:p>
    <w:p w14:paraId="0951F26A" w14:textId="77777777" w:rsidR="00C23516" w:rsidRPr="00E96901" w:rsidRDefault="00C23516" w:rsidP="00C23516">
      <w:pPr>
        <w:pStyle w:val="Sinespaciado"/>
        <w:spacing w:line="276" w:lineRule="auto"/>
        <w:ind w:firstLine="709"/>
        <w:jc w:val="both"/>
        <w:rPr>
          <w:rFonts w:ascii="Verdana" w:hAnsi="Verdana" w:cs="Arial"/>
          <w:sz w:val="22"/>
        </w:rPr>
      </w:pPr>
      <w:r w:rsidRPr="00E96901">
        <w:rPr>
          <w:rFonts w:ascii="Verdana" w:hAnsi="Verdana"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27CD83E2" w14:textId="77777777" w:rsidR="00C23516" w:rsidRPr="00E96901" w:rsidRDefault="00C23516" w:rsidP="00C23516">
      <w:pPr>
        <w:pStyle w:val="Sinespaciado"/>
        <w:spacing w:line="276" w:lineRule="auto"/>
        <w:jc w:val="both"/>
        <w:rPr>
          <w:rFonts w:ascii="Verdana" w:hAnsi="Verdana" w:cs="Arial"/>
          <w:sz w:val="22"/>
        </w:rPr>
      </w:pPr>
    </w:p>
    <w:p w14:paraId="1249317F" w14:textId="77777777" w:rsidR="00C23516" w:rsidRDefault="00C23516" w:rsidP="00C23516">
      <w:pPr>
        <w:pStyle w:val="NormalWeb"/>
        <w:shd w:val="clear" w:color="auto" w:fill="FFFFFF"/>
        <w:spacing w:before="0" w:beforeAutospacing="0" w:after="0" w:afterAutospacing="0"/>
        <w:ind w:left="709" w:right="709"/>
        <w:jc w:val="both"/>
        <w:rPr>
          <w:rFonts w:ascii="Verdana" w:hAnsi="Verdana" w:cs="Arial"/>
          <w:sz w:val="20"/>
          <w:szCs w:val="20"/>
          <w:lang w:val="es-ES"/>
        </w:rPr>
      </w:pPr>
      <w:r w:rsidRPr="00D519F0">
        <w:rPr>
          <w:rFonts w:ascii="Verdana"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1CFC980D" w14:textId="77777777" w:rsidR="00C23516" w:rsidRPr="00D519F0" w:rsidRDefault="00C23516" w:rsidP="00C23516">
      <w:pPr>
        <w:pStyle w:val="NormalWeb"/>
        <w:shd w:val="clear" w:color="auto" w:fill="FFFFFF"/>
        <w:spacing w:before="0" w:beforeAutospacing="0" w:after="0" w:afterAutospacing="0"/>
        <w:ind w:left="709" w:right="709"/>
        <w:jc w:val="both"/>
        <w:rPr>
          <w:rFonts w:ascii="Verdana" w:hAnsi="Verdana" w:cs="Arial"/>
          <w:sz w:val="20"/>
          <w:szCs w:val="20"/>
          <w:lang w:val="es-ES"/>
        </w:rPr>
      </w:pPr>
    </w:p>
    <w:p w14:paraId="2161E611" w14:textId="77777777" w:rsidR="00C23516" w:rsidRPr="00D519F0" w:rsidRDefault="00C23516" w:rsidP="00C23516">
      <w:pPr>
        <w:pStyle w:val="NormalWeb"/>
        <w:shd w:val="clear" w:color="auto" w:fill="FFFFFF"/>
        <w:spacing w:before="0" w:beforeAutospacing="0" w:after="0" w:afterAutospacing="0"/>
        <w:ind w:left="709" w:right="709"/>
        <w:jc w:val="both"/>
        <w:rPr>
          <w:rFonts w:ascii="Verdana" w:hAnsi="Verdana" w:cs="Arial"/>
          <w:sz w:val="20"/>
          <w:szCs w:val="20"/>
          <w:lang w:val="es-ES"/>
        </w:rPr>
      </w:pPr>
      <w:r w:rsidRPr="00D519F0">
        <w:rPr>
          <w:rFonts w:ascii="Verdana"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D519F0">
        <w:rPr>
          <w:rStyle w:val="Refdenotaalpie"/>
          <w:rFonts w:ascii="Verdana" w:hAnsi="Verdana" w:cs="Arial"/>
          <w:sz w:val="20"/>
          <w:szCs w:val="20"/>
          <w:lang w:val="es-ES"/>
        </w:rPr>
        <w:footnoteReference w:id="2"/>
      </w:r>
      <w:r w:rsidRPr="00D519F0">
        <w:rPr>
          <w:rFonts w:ascii="Verdana" w:hAnsi="Verdana" w:cs="Arial"/>
          <w:sz w:val="20"/>
          <w:szCs w:val="20"/>
          <w:lang w:val="es-ES"/>
        </w:rPr>
        <w:t>.</w:t>
      </w:r>
    </w:p>
    <w:p w14:paraId="43C3EE9F" w14:textId="77777777" w:rsidR="00C23516" w:rsidRPr="00E96901" w:rsidRDefault="00C23516" w:rsidP="00C23516">
      <w:pPr>
        <w:pStyle w:val="NormalWeb"/>
        <w:shd w:val="clear" w:color="auto" w:fill="FFFFFF"/>
        <w:spacing w:before="0" w:beforeAutospacing="0" w:after="0" w:afterAutospacing="0" w:line="276" w:lineRule="auto"/>
        <w:ind w:left="709" w:right="709"/>
        <w:jc w:val="both"/>
        <w:rPr>
          <w:rFonts w:ascii="Verdana" w:hAnsi="Verdana" w:cs="Arial"/>
          <w:sz w:val="22"/>
          <w:szCs w:val="22"/>
          <w:lang w:val="es-ES"/>
        </w:rPr>
      </w:pPr>
    </w:p>
    <w:p w14:paraId="4EA61870" w14:textId="77777777" w:rsidR="00C23516" w:rsidRPr="00E96901" w:rsidRDefault="00C23516" w:rsidP="00C23516">
      <w:pPr>
        <w:pStyle w:val="Sinespaciado"/>
        <w:spacing w:line="276" w:lineRule="auto"/>
        <w:ind w:firstLine="709"/>
        <w:jc w:val="both"/>
        <w:rPr>
          <w:rFonts w:ascii="Verdana" w:hAnsi="Verdana" w:cs="Arial"/>
          <w:sz w:val="22"/>
        </w:rPr>
      </w:pPr>
      <w:r w:rsidRPr="00E96901">
        <w:rPr>
          <w:rFonts w:ascii="Verdana" w:hAnsi="Verdana"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w:t>
      </w:r>
      <w:r w:rsidRPr="00E96901">
        <w:rPr>
          <w:rFonts w:ascii="Verdana" w:hAnsi="Verdana" w:cs="Arial"/>
          <w:sz w:val="22"/>
        </w:rPr>
        <w:lastRenderedPageBreak/>
        <w:t xml:space="preserve">justificadas en la salvaguarda del interés general y que su lectura e interpretación es taxativa y restrictiva: </w:t>
      </w:r>
    </w:p>
    <w:p w14:paraId="55044FE3" w14:textId="77777777" w:rsidR="00C23516" w:rsidRPr="00E96901" w:rsidRDefault="00C23516" w:rsidP="00C23516">
      <w:pPr>
        <w:pStyle w:val="Sinespaciado"/>
        <w:spacing w:line="276" w:lineRule="auto"/>
        <w:ind w:firstLine="709"/>
        <w:jc w:val="both"/>
        <w:rPr>
          <w:rFonts w:ascii="Verdana" w:hAnsi="Verdana" w:cs="Arial"/>
          <w:sz w:val="22"/>
        </w:rPr>
      </w:pPr>
    </w:p>
    <w:p w14:paraId="21799115" w14:textId="77777777" w:rsidR="00C23516" w:rsidRDefault="00C23516" w:rsidP="00C23516">
      <w:pPr>
        <w:spacing w:after="0" w:line="240" w:lineRule="auto"/>
        <w:ind w:left="709" w:right="709"/>
        <w:jc w:val="both"/>
        <w:rPr>
          <w:rFonts w:ascii="Verdana" w:hAnsi="Verdana" w:cs="Arial"/>
          <w:sz w:val="20"/>
          <w:szCs w:val="20"/>
        </w:rPr>
      </w:pPr>
      <w:r w:rsidRPr="00D519F0">
        <w:rPr>
          <w:rFonts w:ascii="Verdana" w:hAnsi="Verdana" w:cs="Arial"/>
          <w:sz w:val="20"/>
          <w:szCs w:val="20"/>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D519F0">
        <w:rPr>
          <w:rFonts w:ascii="Verdana" w:hAnsi="Verdana" w:cs="Arial"/>
          <w:sz w:val="20"/>
          <w:szCs w:val="20"/>
        </w:rPr>
        <w:t>incompatibilidades,</w:t>
      </w:r>
      <w:proofErr w:type="gramEnd"/>
      <w:r w:rsidRPr="00D519F0">
        <w:rPr>
          <w:rFonts w:ascii="Verdana" w:hAnsi="Verdana" w:cs="Arial"/>
          <w:sz w:val="20"/>
          <w:szCs w:val="20"/>
        </w:rPr>
        <w:t xml:space="preserve"> se erige en causal de nulidad del contrato celebrado en esas condiciones (ley 80 de 1993, art. 44).</w:t>
      </w:r>
    </w:p>
    <w:p w14:paraId="4FBF8F65" w14:textId="77777777" w:rsidR="00C23516" w:rsidRPr="00D519F0" w:rsidRDefault="00C23516" w:rsidP="00C23516">
      <w:pPr>
        <w:spacing w:after="0" w:line="240" w:lineRule="auto"/>
        <w:ind w:left="709" w:right="709"/>
        <w:jc w:val="both"/>
        <w:rPr>
          <w:rFonts w:ascii="Verdana" w:hAnsi="Verdana" w:cs="Arial"/>
          <w:sz w:val="20"/>
          <w:szCs w:val="20"/>
        </w:rPr>
      </w:pPr>
    </w:p>
    <w:p w14:paraId="02ECFB73" w14:textId="77777777" w:rsidR="00C23516" w:rsidRPr="00D519F0" w:rsidRDefault="00C23516" w:rsidP="00C23516">
      <w:pPr>
        <w:spacing w:after="0" w:line="240" w:lineRule="auto"/>
        <w:ind w:left="709" w:right="709"/>
        <w:jc w:val="both"/>
        <w:rPr>
          <w:rFonts w:ascii="Verdana" w:hAnsi="Verdana" w:cs="Arial"/>
          <w:sz w:val="20"/>
          <w:szCs w:val="20"/>
        </w:rPr>
      </w:pPr>
      <w:r w:rsidRPr="00D519F0">
        <w:rPr>
          <w:rFonts w:ascii="Verdana" w:hAnsi="Verdana" w:cs="Arial"/>
          <w:sz w:val="20"/>
          <w:szCs w:val="20"/>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D519F0">
        <w:rPr>
          <w:rStyle w:val="Refdenotaalpie"/>
          <w:rFonts w:ascii="Verdana" w:hAnsi="Verdana" w:cs="Arial"/>
          <w:sz w:val="20"/>
          <w:szCs w:val="20"/>
        </w:rPr>
        <w:footnoteReference w:id="3"/>
      </w:r>
      <w:r w:rsidRPr="00D519F0">
        <w:rPr>
          <w:rFonts w:ascii="Verdana" w:hAnsi="Verdana" w:cs="Arial"/>
          <w:sz w:val="20"/>
          <w:szCs w:val="20"/>
        </w:rPr>
        <w:t>.</w:t>
      </w:r>
    </w:p>
    <w:p w14:paraId="58771184" w14:textId="77777777" w:rsidR="00C23516" w:rsidRPr="00E96901" w:rsidRDefault="00C23516" w:rsidP="00C23516">
      <w:pPr>
        <w:spacing w:after="0" w:line="276" w:lineRule="auto"/>
        <w:ind w:right="709"/>
        <w:jc w:val="both"/>
        <w:rPr>
          <w:rFonts w:ascii="Verdana" w:hAnsi="Verdana" w:cs="Arial"/>
        </w:rPr>
      </w:pPr>
    </w:p>
    <w:p w14:paraId="6AE7CB45" w14:textId="77777777" w:rsidR="00C23516" w:rsidRPr="00E96901" w:rsidRDefault="00C23516" w:rsidP="00C23516">
      <w:pPr>
        <w:spacing w:after="0" w:line="276" w:lineRule="auto"/>
        <w:ind w:firstLine="709"/>
        <w:jc w:val="both"/>
        <w:rPr>
          <w:rFonts w:ascii="Verdana" w:hAnsi="Verdana" w:cs="Arial"/>
        </w:rPr>
      </w:pPr>
      <w:r w:rsidRPr="00E96901">
        <w:rPr>
          <w:rFonts w:ascii="Verdana" w:hAnsi="Verdana" w:cs="Arial"/>
        </w:rPr>
        <w:t>Además, la Corte Constitucional explica que el legislador tiene la competencia para determinar qué hechos o situaciones generan inhabilidad para contratar, pues este régimen es un aspecto propio del Estatuto General de Contratación de la Administración Pública</w:t>
      </w:r>
      <w:r>
        <w:rPr>
          <w:rFonts w:ascii="Verdana" w:hAnsi="Verdana" w:cs="Arial"/>
        </w:rPr>
        <w:t xml:space="preserve"> – en adelante EGCAP –</w:t>
      </w:r>
      <w:r w:rsidRPr="00E96901">
        <w:rPr>
          <w:rFonts w:ascii="Verdana" w:hAnsi="Verdana" w:cs="Arial"/>
        </w:rPr>
        <w:t>, cuya expedición compete al Congreso de la República a la luz del artículo 150 de la Constitución Política, y que en esta materia rige el principio de legalidad:</w:t>
      </w:r>
    </w:p>
    <w:p w14:paraId="596E107F" w14:textId="77777777" w:rsidR="00C23516" w:rsidRPr="00E96901" w:rsidRDefault="00C23516" w:rsidP="00C23516">
      <w:pPr>
        <w:pStyle w:val="Sinespaciado"/>
        <w:tabs>
          <w:tab w:val="left" w:pos="1532"/>
        </w:tabs>
        <w:spacing w:line="276" w:lineRule="auto"/>
        <w:jc w:val="both"/>
        <w:rPr>
          <w:rFonts w:ascii="Verdana" w:hAnsi="Verdana" w:cs="Arial"/>
          <w:sz w:val="22"/>
        </w:rPr>
      </w:pPr>
    </w:p>
    <w:p w14:paraId="6E7BD0D8" w14:textId="77777777" w:rsidR="00C23516" w:rsidRDefault="00C23516" w:rsidP="00C23516">
      <w:pPr>
        <w:spacing w:after="0" w:line="240" w:lineRule="auto"/>
        <w:ind w:left="709" w:right="709"/>
        <w:jc w:val="both"/>
        <w:rPr>
          <w:rFonts w:ascii="Verdana" w:hAnsi="Verdana" w:cs="Arial"/>
          <w:sz w:val="20"/>
          <w:szCs w:val="20"/>
        </w:rPr>
      </w:pPr>
      <w:r w:rsidRPr="00D519F0">
        <w:rPr>
          <w:rFonts w:ascii="Verdana" w:hAnsi="Verdana" w:cs="Arial"/>
          <w:sz w:val="20"/>
          <w:szCs w:val="20"/>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D519F0">
        <w:rPr>
          <w:rFonts w:ascii="Verdana" w:hAnsi="Verdana" w:cs="Arial"/>
          <w:i/>
          <w:iCs/>
          <w:sz w:val="20"/>
          <w:szCs w:val="20"/>
        </w:rPr>
        <w:t xml:space="preserve">pro </w:t>
      </w:r>
      <w:proofErr w:type="spellStart"/>
      <w:r w:rsidRPr="00D519F0">
        <w:rPr>
          <w:rFonts w:ascii="Verdana" w:hAnsi="Verdana" w:cs="Arial"/>
          <w:i/>
          <w:iCs/>
          <w:sz w:val="20"/>
          <w:szCs w:val="20"/>
        </w:rPr>
        <w:t>libertate</w:t>
      </w:r>
      <w:proofErr w:type="spellEnd"/>
      <w:r w:rsidRPr="00D519F0">
        <w:rPr>
          <w:rFonts w:ascii="Verdana" w:hAnsi="Verdana" w:cs="Arial"/>
          <w:sz w:val="20"/>
          <w:szCs w:val="20"/>
        </w:rPr>
        <w:t xml:space="preserve">, sino el de legalidad, el que ordena que la función pública debe </w:t>
      </w:r>
      <w:r w:rsidRPr="00D519F0">
        <w:rPr>
          <w:rFonts w:ascii="Verdana" w:hAnsi="Verdana" w:cs="Arial"/>
          <w:sz w:val="20"/>
          <w:szCs w:val="20"/>
        </w:rPr>
        <w:lastRenderedPageBreak/>
        <w:t xml:space="preserve">someterse estrictamente a lo que disponga la Constitución y la ley (CP art. 6). </w:t>
      </w:r>
    </w:p>
    <w:p w14:paraId="1F07E036" w14:textId="77777777" w:rsidR="00C23516" w:rsidRPr="00D519F0" w:rsidRDefault="00C23516" w:rsidP="00C23516">
      <w:pPr>
        <w:spacing w:after="0" w:line="240" w:lineRule="auto"/>
        <w:ind w:left="709" w:right="709"/>
        <w:jc w:val="both"/>
        <w:rPr>
          <w:rFonts w:ascii="Verdana" w:hAnsi="Verdana" w:cs="Arial"/>
          <w:sz w:val="20"/>
          <w:szCs w:val="20"/>
        </w:rPr>
      </w:pPr>
    </w:p>
    <w:p w14:paraId="0C314745" w14:textId="77777777" w:rsidR="00C23516" w:rsidRPr="00D519F0" w:rsidRDefault="00C23516" w:rsidP="00C23516">
      <w:pPr>
        <w:spacing w:after="0" w:line="240" w:lineRule="auto"/>
        <w:ind w:left="709" w:right="709"/>
        <w:jc w:val="both"/>
        <w:rPr>
          <w:rFonts w:ascii="Verdana" w:hAnsi="Verdana" w:cs="Arial"/>
          <w:sz w:val="20"/>
          <w:szCs w:val="20"/>
        </w:rPr>
      </w:pPr>
      <w:r w:rsidRPr="00D519F0">
        <w:rPr>
          <w:rFonts w:ascii="Verdana" w:hAnsi="Verdana" w:cs="Arial"/>
          <w:sz w:val="20"/>
          <w:szCs w:val="20"/>
        </w:rPr>
        <w:t xml:space="preserve">[…] </w:t>
      </w:r>
    </w:p>
    <w:p w14:paraId="5987D8C3" w14:textId="77777777" w:rsidR="00C23516" w:rsidRDefault="00C23516" w:rsidP="00C23516">
      <w:pPr>
        <w:spacing w:after="0" w:line="240" w:lineRule="auto"/>
        <w:ind w:left="709" w:right="709"/>
        <w:jc w:val="both"/>
        <w:rPr>
          <w:rFonts w:ascii="Verdana" w:hAnsi="Verdana" w:cs="Arial"/>
          <w:sz w:val="20"/>
          <w:szCs w:val="20"/>
        </w:rPr>
      </w:pPr>
    </w:p>
    <w:p w14:paraId="4B93A19B" w14:textId="77777777" w:rsidR="00C23516" w:rsidRPr="00D519F0" w:rsidRDefault="00C23516" w:rsidP="00C23516">
      <w:pPr>
        <w:spacing w:after="0" w:line="240" w:lineRule="auto"/>
        <w:ind w:left="709" w:right="709"/>
        <w:jc w:val="both"/>
        <w:rPr>
          <w:rFonts w:ascii="Verdana" w:hAnsi="Verdana" w:cs="Arial"/>
          <w:sz w:val="20"/>
          <w:szCs w:val="20"/>
        </w:rPr>
      </w:pPr>
      <w:r w:rsidRPr="00D519F0">
        <w:rPr>
          <w:rFonts w:ascii="Verdana" w:hAnsi="Verdana" w:cs="Arial"/>
          <w:sz w:val="20"/>
          <w:szCs w:val="20"/>
        </w:rPr>
        <w:t xml:space="preserve">Se comprende con facilidad que el régimen de inhabilidades e </w:t>
      </w:r>
      <w:proofErr w:type="gramStart"/>
      <w:r w:rsidRPr="00D519F0">
        <w:rPr>
          <w:rFonts w:ascii="Verdana" w:hAnsi="Verdana" w:cs="Arial"/>
          <w:sz w:val="20"/>
          <w:szCs w:val="20"/>
        </w:rPr>
        <w:t>incompatibilidades,</w:t>
      </w:r>
      <w:proofErr w:type="gramEnd"/>
      <w:r w:rsidRPr="00D519F0">
        <w:rPr>
          <w:rFonts w:ascii="Verdana" w:hAnsi="Verdana" w:cs="Arial"/>
          <w:sz w:val="20"/>
          <w:szCs w:val="20"/>
        </w:rPr>
        <w:t xml:space="preserve"> corresponde a una materia de normal y obligada inclusión en un estatuto contractual. El legislador, a quien se ha confiado expedir el indicado estatuto, tiene, pues, competencia para establecerlo (CP art. 150)”</w:t>
      </w:r>
      <w:r w:rsidRPr="00D519F0">
        <w:rPr>
          <w:rStyle w:val="Refdenotaalpie"/>
          <w:rFonts w:ascii="Verdana" w:hAnsi="Verdana" w:cs="Arial"/>
          <w:sz w:val="20"/>
          <w:szCs w:val="20"/>
        </w:rPr>
        <w:footnoteReference w:id="4"/>
      </w:r>
      <w:r w:rsidRPr="00D519F0">
        <w:rPr>
          <w:rFonts w:ascii="Verdana" w:hAnsi="Verdana" w:cs="Arial"/>
          <w:sz w:val="20"/>
          <w:szCs w:val="20"/>
        </w:rPr>
        <w:t>.</w:t>
      </w:r>
    </w:p>
    <w:p w14:paraId="79AB9F4E" w14:textId="77777777" w:rsidR="00C23516" w:rsidRPr="00E96901" w:rsidRDefault="00C23516" w:rsidP="00C23516">
      <w:pPr>
        <w:spacing w:after="0" w:line="276" w:lineRule="auto"/>
        <w:ind w:left="709" w:right="709"/>
        <w:jc w:val="both"/>
        <w:rPr>
          <w:rFonts w:ascii="Verdana" w:hAnsi="Verdana" w:cs="Arial"/>
        </w:rPr>
      </w:pPr>
    </w:p>
    <w:p w14:paraId="480B7809" w14:textId="77777777" w:rsidR="00C23516" w:rsidRPr="00E96901" w:rsidRDefault="00C23516" w:rsidP="00C23516">
      <w:pPr>
        <w:spacing w:line="276" w:lineRule="auto"/>
        <w:ind w:firstLine="709"/>
        <w:jc w:val="both"/>
        <w:rPr>
          <w:rFonts w:ascii="Verdana" w:hAnsi="Verdana" w:cs="Arial"/>
        </w:rPr>
      </w:pPr>
      <w:r w:rsidRPr="00E96901">
        <w:rPr>
          <w:rFonts w:ascii="Verdana" w:hAnsi="Verdana" w:cs="Arial"/>
        </w:rPr>
        <w:t xml:space="preserve">Conviene también distinguir las fuentes de las inhabilidades, las cuales han sido clasificadas en dos (2) grupos: i) inhabilidades-sanción y </w:t>
      </w:r>
      <w:proofErr w:type="spellStart"/>
      <w:r w:rsidRPr="00E96901">
        <w:rPr>
          <w:rFonts w:ascii="Verdana" w:hAnsi="Verdana" w:cs="Arial"/>
        </w:rPr>
        <w:t>ii</w:t>
      </w:r>
      <w:proofErr w:type="spellEnd"/>
      <w:r w:rsidRPr="00E96901">
        <w:rPr>
          <w:rFonts w:ascii="Verdana" w:hAnsi="Verdana" w:cs="Arial"/>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E96901">
        <w:rPr>
          <w:rStyle w:val="Refdenotaalpie"/>
          <w:rFonts w:ascii="Verdana" w:hAnsi="Verdana" w:cs="Arial"/>
        </w:rPr>
        <w:footnoteReference w:id="5"/>
      </w:r>
      <w:r w:rsidRPr="00E96901">
        <w:rPr>
          <w:rFonts w:ascii="Verdana" w:hAnsi="Verdana" w:cs="Arial"/>
        </w:rPr>
        <w:t>.</w:t>
      </w:r>
    </w:p>
    <w:p w14:paraId="7B08BF1E" w14:textId="77777777" w:rsidR="00C23516" w:rsidRPr="00E96901" w:rsidRDefault="00C23516" w:rsidP="00C23516">
      <w:pPr>
        <w:spacing w:before="120" w:after="120" w:line="276" w:lineRule="auto"/>
        <w:ind w:firstLine="709"/>
        <w:jc w:val="both"/>
        <w:rPr>
          <w:rFonts w:ascii="Verdana" w:hAnsi="Verdana" w:cs="Arial"/>
        </w:rPr>
      </w:pPr>
      <w:r w:rsidRPr="00E96901">
        <w:rPr>
          <w:rFonts w:ascii="Verdana" w:hAnsi="Verdana" w:cs="Arial"/>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id="3" w:name="_Hlk40976328"/>
      <w:r w:rsidRPr="00E96901">
        <w:rPr>
          <w:rFonts w:ascii="Verdana"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3"/>
    </w:p>
    <w:p w14:paraId="1998D78A" w14:textId="77777777" w:rsidR="00C23516" w:rsidRPr="00E96901" w:rsidRDefault="00C23516" w:rsidP="00C23516">
      <w:pPr>
        <w:spacing w:after="120" w:line="276" w:lineRule="auto"/>
        <w:ind w:firstLine="708"/>
        <w:jc w:val="both"/>
        <w:rPr>
          <w:rFonts w:ascii="Verdana" w:eastAsia="Calibri" w:hAnsi="Verdana" w:cs="Arial"/>
          <w:lang w:val="es-ES_tradnl"/>
        </w:rPr>
      </w:pPr>
      <w:r w:rsidRPr="00E96901">
        <w:rPr>
          <w:rFonts w:ascii="Verdana" w:eastAsia="Calibri" w:hAnsi="Verdana" w:cs="Arial"/>
          <w:i/>
          <w:iCs/>
          <w:lang w:val="es-ES_tradnl"/>
        </w:rPr>
        <w:lastRenderedPageBreak/>
        <w:t>Igualmente</w:t>
      </w:r>
      <w:r w:rsidRPr="00E96901">
        <w:rPr>
          <w:rFonts w:ascii="Verdana" w:eastAsia="Calibri" w:hAnsi="Verdana" w:cs="Arial"/>
          <w:lang w:val="es-ES_tradnl"/>
        </w:rPr>
        <w:t xml:space="preserve">, </w:t>
      </w:r>
      <w:bookmarkStart w:id="4" w:name="_Hlk135133412"/>
      <w:r w:rsidRPr="00E96901">
        <w:rPr>
          <w:rFonts w:ascii="Verdana" w:eastAsia="Calibri" w:hAnsi="Verdana" w:cs="Arial"/>
          <w:lang w:val="es-ES_tradnl"/>
        </w:rPr>
        <w:t xml:space="preserve">en la contratación estatal, la </w:t>
      </w:r>
      <w:r w:rsidRPr="00E96901">
        <w:rPr>
          <w:rFonts w:ascii="Verdana" w:eastAsia="Calibri" w:hAnsi="Verdana" w:cs="Arial"/>
          <w:i/>
          <w:iCs/>
          <w:lang w:val="es-ES_tradnl"/>
        </w:rPr>
        <w:t>capacidad</w:t>
      </w:r>
      <w:r w:rsidRPr="00E96901">
        <w:rPr>
          <w:rFonts w:ascii="Verdana" w:eastAsia="Calibri" w:hAnsi="Verdana" w:cs="Arial"/>
          <w:lang w:val="es-ES_tradnl"/>
        </w:rPr>
        <w:t xml:space="preserve"> también es un requisito de validez de los contratos, tanto en el régimen de las entidades sujetas al EGCAP</w:t>
      </w:r>
      <w:r w:rsidRPr="00E96901">
        <w:rPr>
          <w:rStyle w:val="Refdenotaalpie"/>
          <w:rFonts w:ascii="Verdana" w:eastAsia="Calibri" w:hAnsi="Verdana" w:cs="Arial"/>
          <w:lang w:val="es-ES_tradnl"/>
        </w:rPr>
        <w:footnoteReference w:id="6"/>
      </w:r>
      <w:r w:rsidRPr="00E96901">
        <w:rPr>
          <w:rFonts w:ascii="Verdana" w:eastAsia="Calibri" w:hAnsi="Verdana" w:cs="Arial"/>
          <w:lang w:val="es-ES_tradnl"/>
        </w:rPr>
        <w:t xml:space="preserve"> como en el de las entidades exceptuadas de aquel</w:t>
      </w:r>
      <w:r w:rsidRPr="00E96901">
        <w:rPr>
          <w:rStyle w:val="Refdenotaalpie"/>
          <w:rFonts w:ascii="Verdana" w:eastAsia="Calibri" w:hAnsi="Verdana" w:cs="Arial"/>
          <w:lang w:val="es-ES_tradnl"/>
        </w:rPr>
        <w:footnoteReference w:id="7"/>
      </w:r>
      <w:r w:rsidRPr="00E96901">
        <w:rPr>
          <w:rFonts w:ascii="Verdana" w:eastAsia="Calibri" w:hAnsi="Verdana" w:cs="Arial"/>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E96901">
        <w:rPr>
          <w:rStyle w:val="Refdenotaalpie"/>
          <w:rFonts w:ascii="Verdana" w:eastAsia="Calibri" w:hAnsi="Verdana" w:cs="Arial"/>
          <w:lang w:val="es-ES_tradnl"/>
        </w:rPr>
        <w:footnoteReference w:id="8"/>
      </w:r>
      <w:r w:rsidRPr="00E96901">
        <w:rPr>
          <w:rFonts w:ascii="Verdana" w:eastAsia="Calibri" w:hAnsi="Verdana" w:cs="Arial"/>
          <w:lang w:val="es-ES_tradnl"/>
        </w:rPr>
        <w:t>–, se destaca el régimen de inhabilidades e incompatibilidades como un conjunto de normas que imponen restricciones para los sujetos que, eventualmente, pretendan participar en los procedimientos de selección o celebrar contratos con las entidades estatales</w:t>
      </w:r>
      <w:r w:rsidRPr="00E96901">
        <w:rPr>
          <w:rStyle w:val="Refdenotaalpie"/>
          <w:rFonts w:ascii="Verdana" w:eastAsia="Calibri" w:hAnsi="Verdana" w:cs="Arial"/>
          <w:lang w:val="es-ES_tradnl"/>
        </w:rPr>
        <w:footnoteReference w:id="9"/>
      </w:r>
      <w:r w:rsidRPr="00E96901">
        <w:rPr>
          <w:rFonts w:ascii="Verdana" w:eastAsia="Calibri" w:hAnsi="Verdana" w:cs="Arial"/>
          <w:lang w:val="es-ES_tradnl"/>
        </w:rPr>
        <w:t>.</w:t>
      </w:r>
    </w:p>
    <w:p w14:paraId="17918381" w14:textId="77777777" w:rsidR="00C23516" w:rsidRPr="00E96901" w:rsidRDefault="00C23516" w:rsidP="00C23516">
      <w:pPr>
        <w:spacing w:after="120" w:line="276" w:lineRule="auto"/>
        <w:ind w:firstLine="709"/>
        <w:jc w:val="both"/>
        <w:rPr>
          <w:rFonts w:ascii="Verdana" w:eastAsia="Calibri" w:hAnsi="Verdana" w:cs="Arial"/>
          <w:lang w:val="es-ES"/>
        </w:rPr>
      </w:pPr>
      <w:r w:rsidRPr="159ECE58">
        <w:rPr>
          <w:rFonts w:ascii="Verdana" w:eastAsia="Calibri" w:hAnsi="Verdana" w:cs="Arial"/>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159ECE58">
        <w:rPr>
          <w:rFonts w:ascii="Verdana" w:eastAsia="Calibri" w:hAnsi="Verdana" w:cs="Arial"/>
          <w:lang w:val="es-ES"/>
        </w:rPr>
        <w:t>ii</w:t>
      </w:r>
      <w:proofErr w:type="spellEnd"/>
      <w:r w:rsidRPr="159ECE58">
        <w:rPr>
          <w:rFonts w:ascii="Verdana" w:eastAsia="Calibri" w:hAnsi="Verdana" w:cs="Arial"/>
          <w:lang w:val="es-ES"/>
        </w:rPr>
        <w:t xml:space="preserve">) de vínculos personales relativos al parentesco o al estado civil o </w:t>
      </w:r>
      <w:proofErr w:type="spellStart"/>
      <w:r w:rsidRPr="159ECE58">
        <w:rPr>
          <w:rFonts w:ascii="Verdana" w:eastAsia="Calibri" w:hAnsi="Verdana" w:cs="Arial"/>
          <w:lang w:val="es-ES"/>
        </w:rPr>
        <w:t>iii</w:t>
      </w:r>
      <w:proofErr w:type="spellEnd"/>
      <w:r w:rsidRPr="159ECE58">
        <w:rPr>
          <w:rFonts w:ascii="Verdana" w:eastAsia="Calibri" w:hAnsi="Verdana" w:cs="Arial"/>
          <w:lang w:val="es-ES"/>
        </w:rPr>
        <w:t xml:space="preserve">) de una actividad u oficio que se desempeñó en el pasado. De otro lado, las incompatibilidades, según un sector de la doctrina, son prohibiciones para participar en los </w:t>
      </w:r>
      <w:r w:rsidRPr="159ECE58">
        <w:rPr>
          <w:rFonts w:ascii="Verdana" w:eastAsia="Calibri" w:hAnsi="Verdana" w:cs="Arial"/>
          <w:lang w:val="es-ES"/>
        </w:rPr>
        <w:lastRenderedPageBreak/>
        <w:t>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159ECE58">
        <w:rPr>
          <w:rStyle w:val="Refdenotaalpie"/>
          <w:rFonts w:ascii="Verdana" w:eastAsia="Calibri" w:hAnsi="Verdana" w:cs="Arial"/>
          <w:lang w:val="es-ES"/>
        </w:rPr>
        <w:footnoteReference w:id="10"/>
      </w:r>
      <w:r w:rsidRPr="159ECE58">
        <w:rPr>
          <w:rFonts w:ascii="Verdana" w:eastAsia="Calibri" w:hAnsi="Verdana" w:cs="Arial"/>
          <w:lang w:val="es-ES"/>
        </w:rPr>
        <w:t>.</w:t>
      </w:r>
    </w:p>
    <w:bookmarkEnd w:id="4"/>
    <w:p w14:paraId="446EB272" w14:textId="77777777" w:rsidR="00C23516" w:rsidRDefault="00C23516" w:rsidP="00C23516">
      <w:pPr>
        <w:spacing w:after="120" w:line="276" w:lineRule="auto"/>
        <w:ind w:firstLine="709"/>
        <w:jc w:val="both"/>
        <w:rPr>
          <w:rFonts w:ascii="Verdana" w:eastAsia="Calibri" w:hAnsi="Verdana" w:cs="Arial"/>
          <w:lang w:val="es-ES"/>
        </w:rPr>
      </w:pPr>
      <w:r>
        <w:rPr>
          <w:rFonts w:ascii="Verdana" w:eastAsia="Calibri" w:hAnsi="Verdana" w:cs="Arial"/>
          <w:lang w:val="es-ES"/>
        </w:rPr>
        <w:t>Ahora bien</w:t>
      </w:r>
      <w:r w:rsidRPr="159ECE58">
        <w:rPr>
          <w:rFonts w:ascii="Verdana" w:eastAsia="Calibri" w:hAnsi="Verdana" w:cs="Arial"/>
          <w:lang w:val="es-ES"/>
        </w:rPr>
        <w:t>,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w:t>
      </w:r>
      <w:proofErr w:type="spellStart"/>
      <w:r w:rsidRPr="159ECE58">
        <w:rPr>
          <w:rFonts w:ascii="Verdana" w:eastAsia="Calibri" w:hAnsi="Verdana" w:cs="Arial"/>
          <w:lang w:val="es-ES"/>
        </w:rPr>
        <w:t>neopunitiva</w:t>
      </w:r>
      <w:proofErr w:type="spellEnd"/>
      <w:r w:rsidRPr="159ECE58">
        <w:rPr>
          <w:rFonts w:ascii="Verdana" w:eastAsia="Calibri" w:hAnsi="Verdana" w:cs="Arial"/>
          <w:lang w:val="es-ES"/>
        </w:rPr>
        <w:t>”</w:t>
      </w:r>
      <w:r w:rsidRPr="159ECE58">
        <w:rPr>
          <w:rStyle w:val="Refdenotaalpie"/>
          <w:rFonts w:ascii="Verdana" w:eastAsia="Calibri" w:hAnsi="Verdana" w:cs="Arial"/>
          <w:lang w:val="es-ES"/>
        </w:rPr>
        <w:footnoteReference w:id="11"/>
      </w:r>
      <w:r w:rsidRPr="159ECE58">
        <w:rPr>
          <w:rFonts w:ascii="Verdana" w:eastAsia="Calibri" w:hAnsi="Verdana" w:cs="Arial"/>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65C09D4C" w14:textId="77777777" w:rsidR="00C23516" w:rsidRDefault="00C23516" w:rsidP="00C23516">
      <w:pPr>
        <w:spacing w:after="120" w:line="276" w:lineRule="auto"/>
        <w:ind w:firstLine="709"/>
        <w:jc w:val="both"/>
        <w:rPr>
          <w:rFonts w:ascii="Verdana" w:eastAsia="Calibri" w:hAnsi="Verdana" w:cs="Arial"/>
          <w:lang w:val="es-ES_tradnl"/>
        </w:rPr>
      </w:pPr>
      <w:r>
        <w:rPr>
          <w:rFonts w:ascii="Verdana" w:eastAsia="Calibri" w:hAnsi="Verdana" w:cs="Arial"/>
          <w:lang w:val="es-ES_tradnl"/>
        </w:rPr>
        <w:t>Ahora bien, el literal a) del artículo 8.1 de la Ley 80 de 1993 dispone que s</w:t>
      </w:r>
      <w:r w:rsidRPr="00446B74">
        <w:rPr>
          <w:rFonts w:ascii="Verdana" w:eastAsia="Calibri" w:hAnsi="Verdana" w:cs="Arial"/>
          <w:lang w:val="es-ES_tradnl"/>
        </w:rPr>
        <w:t xml:space="preserve">on inhábiles para participar </w:t>
      </w:r>
      <w:r>
        <w:rPr>
          <w:rFonts w:ascii="Verdana" w:eastAsia="Calibri" w:hAnsi="Verdana" w:cs="Arial"/>
          <w:lang w:val="es-ES_tradnl"/>
        </w:rPr>
        <w:t xml:space="preserve">procesos de selección </w:t>
      </w:r>
      <w:r w:rsidRPr="00446B74">
        <w:rPr>
          <w:rFonts w:ascii="Verdana" w:eastAsia="Calibri" w:hAnsi="Verdana" w:cs="Arial"/>
          <w:lang w:val="es-ES_tradnl"/>
        </w:rPr>
        <w:t xml:space="preserve">y para celebrar contratos </w:t>
      </w:r>
      <w:r>
        <w:rPr>
          <w:rFonts w:ascii="Verdana" w:eastAsia="Calibri" w:hAnsi="Verdana" w:cs="Arial"/>
          <w:lang w:val="es-ES_tradnl"/>
        </w:rPr>
        <w:lastRenderedPageBreak/>
        <w:t>estatales “</w:t>
      </w:r>
      <w:r w:rsidRPr="00446B74">
        <w:rPr>
          <w:rFonts w:ascii="Verdana" w:eastAsia="Calibri" w:hAnsi="Verdana" w:cs="Arial"/>
          <w:lang w:val="es-ES_tradnl"/>
        </w:rPr>
        <w:t>Las personas que se hallen inhabilitadas para contratar por la Constitución y las leyes</w:t>
      </w:r>
      <w:r>
        <w:rPr>
          <w:rFonts w:ascii="Verdana" w:eastAsia="Calibri" w:hAnsi="Verdana" w:cs="Arial"/>
          <w:lang w:val="es-ES_tradnl"/>
        </w:rPr>
        <w:t>”</w:t>
      </w:r>
      <w:r w:rsidRPr="00446B74">
        <w:rPr>
          <w:rFonts w:ascii="Verdana" w:eastAsia="Calibri" w:hAnsi="Verdana" w:cs="Arial"/>
          <w:lang w:val="es-ES_tradnl"/>
        </w:rPr>
        <w:t>.</w:t>
      </w:r>
      <w:r>
        <w:rPr>
          <w:rFonts w:ascii="Verdana" w:eastAsia="Calibri" w:hAnsi="Verdana" w:cs="Arial"/>
          <w:lang w:val="es-ES_tradnl"/>
        </w:rPr>
        <w:t xml:space="preserve"> De esta manera, el régimen de inhabilidades en el sistema de compras públicas no se agota en el artículo 8 precitado, sino que se integra con otras normas del ordenamiento jurídico. Asimismo, todas se extienden a las entidades exceptuadas del EGCAP, especialmente, cuando el inciso primero del artículo 13 de la Ley 1150 de 2007 prescribe que “[…] </w:t>
      </w:r>
      <w:r w:rsidRPr="00446B74">
        <w:rPr>
          <w:rFonts w:ascii="Verdana" w:eastAsia="Calibri" w:hAnsi="Verdana" w:cs="Arial"/>
          <w:lang w:val="es-ES_tradnl"/>
        </w:rPr>
        <w:t>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Pr>
          <w:rFonts w:ascii="Verdana" w:eastAsia="Calibri" w:hAnsi="Verdana" w:cs="Arial"/>
          <w:lang w:val="es-ES_tradnl"/>
        </w:rPr>
        <w:t>”. Incluso, en virtud del artículo 6 del Decreto 092 de 2017, también hacen parte de los negocios jurídicos que se suscriban con las ESAL conforme a los artículos 355 constitucional o 96 de la Ley 489 de 1998</w:t>
      </w:r>
      <w:r>
        <w:rPr>
          <w:rStyle w:val="Refdenotaalpie"/>
          <w:rFonts w:ascii="Verdana" w:eastAsia="Calibri" w:hAnsi="Verdana" w:cs="Arial"/>
          <w:lang w:val="es-ES_tradnl"/>
        </w:rPr>
        <w:footnoteReference w:id="12"/>
      </w:r>
      <w:r>
        <w:rPr>
          <w:rFonts w:ascii="Verdana" w:eastAsia="Calibri" w:hAnsi="Verdana" w:cs="Arial"/>
          <w:lang w:val="es-ES_tradnl"/>
        </w:rPr>
        <w:t>.</w:t>
      </w:r>
    </w:p>
    <w:p w14:paraId="295F5D4E" w14:textId="77777777" w:rsidR="00C23516" w:rsidRDefault="00C23516" w:rsidP="00C23516">
      <w:pPr>
        <w:spacing w:after="120" w:line="276" w:lineRule="auto"/>
        <w:ind w:firstLine="709"/>
        <w:jc w:val="both"/>
        <w:rPr>
          <w:rFonts w:ascii="Verdana" w:eastAsia="Calibri" w:hAnsi="Verdana" w:cs="Arial"/>
          <w:lang w:val="es-ES_tradnl"/>
        </w:rPr>
      </w:pPr>
      <w:r>
        <w:rPr>
          <w:rFonts w:ascii="Verdana" w:eastAsia="Calibri" w:hAnsi="Verdana" w:cs="Arial"/>
          <w:lang w:val="es-ES_tradnl"/>
        </w:rPr>
        <w:t>Dentro de las inhabilidades que reguló la Constitución, se encuentra la prevista en el inciso primero del artículo 127, según el cual “</w:t>
      </w:r>
      <w:r w:rsidRPr="00612949">
        <w:rPr>
          <w:rFonts w:ascii="Verdana" w:eastAsia="Calibri" w:hAnsi="Verdana" w:cs="Arial"/>
          <w:lang w:val="es-ES_tradnl"/>
        </w:rPr>
        <w:t>Los servidores públicos no podrán celebrar, por si o por interpuesta persona, o en representación de otro, contrato alguno con entidades públicas o con personas privadas que manejen o administren recursos públicos, salvo las excepciones legales</w:t>
      </w:r>
      <w:r>
        <w:rPr>
          <w:rFonts w:ascii="Verdana" w:eastAsia="Calibri" w:hAnsi="Verdana" w:cs="Arial"/>
          <w:lang w:val="es-ES_tradnl"/>
        </w:rPr>
        <w:t>”</w:t>
      </w:r>
      <w:r w:rsidRPr="00612949">
        <w:rPr>
          <w:rFonts w:ascii="Verdana" w:eastAsia="Calibri" w:hAnsi="Verdana" w:cs="Arial"/>
          <w:lang w:val="es-ES_tradnl"/>
        </w:rPr>
        <w:t>.</w:t>
      </w:r>
      <w:r>
        <w:rPr>
          <w:rFonts w:ascii="Verdana" w:eastAsia="Calibri" w:hAnsi="Verdana" w:cs="Arial"/>
          <w:lang w:val="es-ES_tradnl"/>
        </w:rPr>
        <w:t xml:space="preserve"> De acuerdo con la Comisión Colombiana de Juristas, la</w:t>
      </w:r>
      <w:r w:rsidRPr="009D05E8">
        <w:rPr>
          <w:rFonts w:ascii="Verdana" w:eastAsia="Calibri" w:hAnsi="Verdana" w:cs="Arial"/>
          <w:lang w:val="es-ES_tradnl"/>
        </w:rPr>
        <w:t xml:space="preserve"> Constitución</w:t>
      </w:r>
      <w:r>
        <w:rPr>
          <w:rFonts w:ascii="Verdana" w:eastAsia="Calibri" w:hAnsi="Verdana" w:cs="Arial"/>
          <w:lang w:val="es-ES_tradnl"/>
        </w:rPr>
        <w:t xml:space="preserve"> de 1991</w:t>
      </w:r>
      <w:r w:rsidRPr="009D05E8">
        <w:rPr>
          <w:rFonts w:ascii="Verdana" w:eastAsia="Calibri" w:hAnsi="Verdana" w:cs="Arial"/>
          <w:lang w:val="es-ES_tradnl"/>
        </w:rPr>
        <w:t xml:space="preserve"> busc</w:t>
      </w:r>
      <w:r>
        <w:rPr>
          <w:rFonts w:ascii="Verdana" w:eastAsia="Calibri" w:hAnsi="Verdana" w:cs="Arial"/>
          <w:lang w:val="es-ES_tradnl"/>
        </w:rPr>
        <w:t>ó</w:t>
      </w:r>
      <w:r w:rsidRPr="009D05E8">
        <w:rPr>
          <w:rFonts w:ascii="Verdana" w:eastAsia="Calibri" w:hAnsi="Verdana" w:cs="Arial"/>
          <w:lang w:val="es-ES_tradnl"/>
        </w:rPr>
        <w:t xml:space="preserve"> endurecer y generalizar el código ético oficial, otorgando carácter fundamental a la incompatibilidad.</w:t>
      </w:r>
      <w:r>
        <w:rPr>
          <w:rFonts w:ascii="Verdana" w:eastAsia="Calibri" w:hAnsi="Verdana" w:cs="Arial"/>
          <w:lang w:val="es-ES_tradnl"/>
        </w:rPr>
        <w:t xml:space="preserve"> </w:t>
      </w:r>
      <w:r w:rsidRPr="009D05E8">
        <w:rPr>
          <w:rFonts w:ascii="Verdana" w:eastAsia="Calibri" w:hAnsi="Verdana" w:cs="Arial"/>
          <w:lang w:val="es-ES_tradnl"/>
        </w:rPr>
        <w:t>E</w:t>
      </w:r>
      <w:r>
        <w:rPr>
          <w:rFonts w:ascii="Verdana" w:eastAsia="Calibri" w:hAnsi="Verdana" w:cs="Arial"/>
          <w:lang w:val="es-ES_tradnl"/>
        </w:rPr>
        <w:t>n este contexto, dicha</w:t>
      </w:r>
      <w:r w:rsidRPr="009D05E8">
        <w:rPr>
          <w:rFonts w:ascii="Verdana" w:eastAsia="Calibri" w:hAnsi="Verdana" w:cs="Arial"/>
          <w:lang w:val="es-ES_tradnl"/>
        </w:rPr>
        <w:t xml:space="preserve"> norma se aplica de forma general a todos los servidores públicos</w:t>
      </w:r>
      <w:r>
        <w:rPr>
          <w:rFonts w:ascii="Verdana" w:eastAsia="Calibri" w:hAnsi="Verdana" w:cs="Arial"/>
          <w:lang w:val="es-ES_tradnl"/>
        </w:rPr>
        <w:t>, p</w:t>
      </w:r>
      <w:r w:rsidRPr="009D05E8">
        <w:rPr>
          <w:rFonts w:ascii="Verdana" w:eastAsia="Calibri" w:hAnsi="Verdana" w:cs="Arial"/>
          <w:lang w:val="es-ES_tradnl"/>
        </w:rPr>
        <w:t>rohíbe la contratación indirecta mediante testaferros o representación de terceros</w:t>
      </w:r>
      <w:r>
        <w:rPr>
          <w:rFonts w:ascii="Verdana" w:eastAsia="Calibri" w:hAnsi="Verdana" w:cs="Arial"/>
          <w:lang w:val="es-ES_tradnl"/>
        </w:rPr>
        <w:t xml:space="preserve"> y, a</w:t>
      </w:r>
      <w:r w:rsidRPr="009D05E8">
        <w:rPr>
          <w:rFonts w:ascii="Verdana" w:eastAsia="Calibri" w:hAnsi="Verdana" w:cs="Arial"/>
          <w:lang w:val="es-ES_tradnl"/>
        </w:rPr>
        <w:t>demás, abarca todo tipo de contratos con entidades que manejen recursos públicos</w:t>
      </w:r>
      <w:r>
        <w:rPr>
          <w:rStyle w:val="Refdenotaalpie"/>
          <w:rFonts w:ascii="Verdana" w:eastAsia="Calibri" w:hAnsi="Verdana" w:cs="Arial"/>
          <w:lang w:val="es-ES_tradnl"/>
        </w:rPr>
        <w:footnoteReference w:id="13"/>
      </w:r>
      <w:r w:rsidRPr="009D05E8">
        <w:rPr>
          <w:rFonts w:ascii="Verdana" w:eastAsia="Calibri" w:hAnsi="Verdana" w:cs="Arial"/>
          <w:lang w:val="es-ES_tradnl"/>
        </w:rPr>
        <w:t>.</w:t>
      </w:r>
      <w:r>
        <w:rPr>
          <w:rFonts w:ascii="Verdana" w:eastAsia="Calibri" w:hAnsi="Verdana" w:cs="Arial"/>
          <w:lang w:val="es-ES_tradnl"/>
        </w:rPr>
        <w:t xml:space="preserve"> </w:t>
      </w:r>
    </w:p>
    <w:p w14:paraId="0BC74CCB" w14:textId="77D9CF60" w:rsidR="00D50B27" w:rsidRDefault="00C23516" w:rsidP="00D50B27">
      <w:pPr>
        <w:spacing w:after="120" w:line="276" w:lineRule="auto"/>
        <w:ind w:firstLine="709"/>
        <w:jc w:val="both"/>
        <w:rPr>
          <w:rFonts w:ascii="Verdana" w:hAnsi="Verdana" w:cs="Arial"/>
          <w:lang w:val="es-ES"/>
        </w:rPr>
      </w:pPr>
      <w:r w:rsidRPr="00FE2249">
        <w:rPr>
          <w:rFonts w:ascii="Verdana" w:hAnsi="Verdana" w:cs="Arial"/>
          <w:lang w:val="es-ES"/>
        </w:rPr>
        <w:t xml:space="preserve">La norma en comento aplica especialmente a los </w:t>
      </w:r>
      <w:r w:rsidRPr="00FE2249">
        <w:rPr>
          <w:rFonts w:ascii="Verdana" w:hAnsi="Verdana" w:cs="Arial"/>
          <w:i/>
          <w:iCs/>
          <w:lang w:val="es-ES"/>
        </w:rPr>
        <w:t>servidores públicos</w:t>
      </w:r>
      <w:r w:rsidRPr="00FE2249">
        <w:rPr>
          <w:rFonts w:ascii="Verdana" w:hAnsi="Verdana" w:cs="Arial"/>
          <w:lang w:val="es-ES"/>
        </w:rPr>
        <w:t xml:space="preserve">, categoría delimitada por el inciso primero del artículo 122 de la Constitución Política de 1991 en los siguientes términos: “Son servidores públicos los miembros de las corporaciones públicas, los empleados y trabajadores del </w:t>
      </w:r>
      <w:r w:rsidRPr="00FE2249">
        <w:rPr>
          <w:rFonts w:ascii="Verdana" w:hAnsi="Verdana" w:cs="Arial"/>
          <w:lang w:val="es-ES"/>
        </w:rPr>
        <w:lastRenderedPageBreak/>
        <w:t xml:space="preserve">Estado y de sus entidades descentralizadas territorialmente y por servicios”. </w:t>
      </w:r>
      <w:r w:rsidRPr="00FE2249">
        <w:rPr>
          <w:rFonts w:ascii="Verdana" w:eastAsia="Calibri" w:hAnsi="Verdana" w:cs="Arial"/>
          <w:bCs/>
          <w:color w:val="000000"/>
          <w:lang w:val="es-ES_tradnl"/>
        </w:rPr>
        <w:t xml:space="preserve">La naturaleza laboral de la relación con el Estado </w:t>
      </w:r>
      <w:r w:rsidRPr="00FE2249">
        <w:rPr>
          <w:rFonts w:ascii="Verdana" w:eastAsia="Calibri" w:hAnsi="Verdana" w:cs="Arial"/>
          <w:bCs/>
          <w:i/>
          <w:iCs/>
          <w:color w:val="000000"/>
          <w:lang w:val="es-ES_tradnl"/>
        </w:rPr>
        <w:t>debe</w:t>
      </w:r>
      <w:r w:rsidRPr="00FE2249">
        <w:rPr>
          <w:rFonts w:ascii="Verdana" w:eastAsia="Calibri" w:hAnsi="Verdana" w:cs="Arial"/>
          <w:bCs/>
          <w:color w:val="000000"/>
          <w:lang w:val="es-ES_tradnl"/>
        </w:rPr>
        <w:t xml:space="preserve"> formalizarse bien mediante la estructuración de una relación legal o reglamentaria –como la de los empleados públicos– o bien a través de la celebración de un contrato de trabajo –como sucede, por ejemplo, con los trabajadores oficiales–</w:t>
      </w:r>
      <w:r>
        <w:rPr>
          <w:rStyle w:val="Refdenotaalpie"/>
          <w:rFonts w:ascii="Verdana" w:eastAsia="Calibri" w:hAnsi="Verdana" w:cs="Arial"/>
          <w:bCs/>
          <w:color w:val="000000"/>
          <w:lang w:val="es-ES_tradnl"/>
        </w:rPr>
        <w:footnoteReference w:id="14"/>
      </w:r>
      <w:r w:rsidRPr="00FE2249">
        <w:rPr>
          <w:rFonts w:ascii="Verdana" w:eastAsia="Calibri" w:hAnsi="Verdana" w:cs="Arial"/>
          <w:bCs/>
          <w:color w:val="000000"/>
          <w:lang w:val="es-ES_tradnl"/>
        </w:rPr>
        <w:t xml:space="preserve">. </w:t>
      </w:r>
      <w:r w:rsidRPr="00FE2249">
        <w:rPr>
          <w:rFonts w:ascii="Verdana" w:hAnsi="Verdana" w:cs="Arial"/>
          <w:lang w:val="es-ES"/>
        </w:rPr>
        <w:t>Desde esta perspectiva, los particulares que colaboran con el Estado mediante un contrato de prestación de servicios o cualquier otro, tipificado en la ley 80 de 1993 o producto de la autonomía de la voluntad, no están subsumidos en el contexto de la función pública ni son servidores públicos</w:t>
      </w:r>
      <w:r w:rsidRPr="00FE2249">
        <w:rPr>
          <w:rStyle w:val="Refdenotaalpie"/>
          <w:rFonts w:ascii="Verdana" w:hAnsi="Verdana" w:cs="Arial"/>
          <w:lang w:val="es-ES"/>
        </w:rPr>
        <w:footnoteReference w:id="15"/>
      </w:r>
      <w:r w:rsidRPr="00FE2249">
        <w:rPr>
          <w:rFonts w:ascii="Verdana" w:hAnsi="Verdana" w:cs="Arial"/>
          <w:lang w:val="es-ES"/>
        </w:rPr>
        <w:t>.</w:t>
      </w:r>
    </w:p>
    <w:p w14:paraId="76312CB2" w14:textId="77777777" w:rsidR="00D50B27" w:rsidRPr="00AA13FF" w:rsidRDefault="00D50B27" w:rsidP="00D50B27">
      <w:pPr>
        <w:spacing w:after="0" w:line="276" w:lineRule="auto"/>
        <w:ind w:firstLine="709"/>
        <w:jc w:val="both"/>
        <w:rPr>
          <w:rFonts w:ascii="Verdana" w:eastAsia="Times New Roman" w:hAnsi="Verdana" w:cs="Arial"/>
          <w:lang w:eastAsia="es-CO"/>
        </w:rPr>
      </w:pPr>
      <w:proofErr w:type="spellStart"/>
      <w:r>
        <w:rPr>
          <w:rFonts w:ascii="Verdana" w:eastAsia="Times New Roman" w:hAnsi="Verdana" w:cs="Arial"/>
          <w:lang w:eastAsia="es-CO"/>
        </w:rPr>
        <w:t>ii</w:t>
      </w:r>
      <w:proofErr w:type="spellEnd"/>
      <w:r>
        <w:rPr>
          <w:rFonts w:ascii="Verdana" w:eastAsia="Times New Roman" w:hAnsi="Verdana" w:cs="Arial"/>
          <w:lang w:eastAsia="es-CO"/>
        </w:rPr>
        <w:t xml:space="preserve">) En cuanto al segundo problema jurídico, se resalta que </w:t>
      </w:r>
      <w:r w:rsidRPr="0034019F">
        <w:rPr>
          <w:rFonts w:ascii="Verdana" w:eastAsia="Times New Roman" w:hAnsi="Verdana" w:cs="Arial"/>
          <w:lang w:eastAsia="es-CO"/>
        </w:rPr>
        <w:t>e</w:t>
      </w:r>
      <w:r w:rsidRPr="00AA13FF">
        <w:rPr>
          <w:rFonts w:ascii="Verdana" w:eastAsia="Times New Roman" w:hAnsi="Verdana" w:cs="Arial"/>
          <w:lang w:eastAsia="es-CO"/>
        </w:rPr>
        <w:t>l artículo 128 de la Constitución Política establece</w:t>
      </w:r>
      <w:r>
        <w:rPr>
          <w:rFonts w:ascii="Verdana" w:eastAsia="Times New Roman" w:hAnsi="Verdana" w:cs="Arial"/>
          <w:lang w:eastAsia="es-CO"/>
        </w:rPr>
        <w:t>:</w:t>
      </w:r>
      <w:r w:rsidRPr="00AA13FF">
        <w:rPr>
          <w:rFonts w:ascii="Verdana" w:eastAsia="Times New Roman" w:hAnsi="Verdana" w:cs="Arial"/>
          <w:lang w:eastAsia="es-CO"/>
        </w:rPr>
        <w:t xml:space="preserve"> </w:t>
      </w:r>
      <w:r>
        <w:rPr>
          <w:rFonts w:ascii="Verdana" w:eastAsia="Times New Roman" w:hAnsi="Verdana" w:cs="Arial"/>
          <w:lang w:eastAsia="es-CO"/>
        </w:rPr>
        <w:t>“</w:t>
      </w:r>
      <w:r w:rsidRPr="00AA13FF">
        <w:rPr>
          <w:rFonts w:ascii="Verdana" w:eastAsia="Times New Roman" w:hAnsi="Verdana" w:cs="Arial"/>
          <w:lang w:eastAsia="es-CO"/>
        </w:rPr>
        <w:t xml:space="preserve">nadie podrá desempeñar simultáneamente más de un </w:t>
      </w:r>
      <w:r w:rsidRPr="001C3643">
        <w:rPr>
          <w:rFonts w:ascii="Verdana" w:eastAsia="Times New Roman" w:hAnsi="Verdana" w:cs="Arial"/>
          <w:b/>
          <w:bCs/>
          <w:lang w:eastAsia="es-CO"/>
        </w:rPr>
        <w:t>empleo público</w:t>
      </w:r>
      <w:r w:rsidRPr="0034019F">
        <w:rPr>
          <w:rFonts w:ascii="Verdana" w:eastAsia="Times New Roman" w:hAnsi="Verdana" w:cs="Arial"/>
          <w:lang w:eastAsia="es-CO"/>
        </w:rPr>
        <w:t xml:space="preserve"> ni recibir más de una asignación que provenga del tesoro público, o de empresas o de instituciones en las que tenga parte mayoritaria el Estado</w:t>
      </w:r>
      <w:r w:rsidRPr="00AA13FF">
        <w:rPr>
          <w:rFonts w:ascii="Verdana" w:eastAsia="Times New Roman" w:hAnsi="Verdana" w:cs="Arial"/>
          <w:lang w:eastAsia="es-CO"/>
        </w:rPr>
        <w:t>, salvo los casos expresamente determinados por la ley</w:t>
      </w:r>
      <w:r>
        <w:rPr>
          <w:rFonts w:ascii="Verdana" w:eastAsia="Times New Roman" w:hAnsi="Verdana" w:cs="Arial"/>
          <w:lang w:eastAsia="es-CO"/>
        </w:rPr>
        <w:t>”</w:t>
      </w:r>
      <w:r w:rsidRPr="00AA13FF">
        <w:rPr>
          <w:rFonts w:ascii="Verdana" w:eastAsia="Times New Roman" w:hAnsi="Verdana" w:cs="Arial"/>
          <w:lang w:eastAsia="es-CO"/>
        </w:rPr>
        <w:t>.</w:t>
      </w:r>
      <w:r w:rsidRPr="0034019F">
        <w:rPr>
          <w:rFonts w:ascii="Verdana" w:eastAsia="Times New Roman" w:hAnsi="Verdana" w:cs="Arial"/>
          <w:lang w:eastAsia="es-CO"/>
        </w:rPr>
        <w:t xml:space="preserve"> </w:t>
      </w:r>
      <w:r w:rsidRPr="00AA13FF">
        <w:rPr>
          <w:rFonts w:ascii="Verdana" w:eastAsia="Times New Roman" w:hAnsi="Verdana" w:cs="Arial"/>
          <w:lang w:eastAsia="es-CO"/>
        </w:rPr>
        <w:t>En desarrollo del anterior postulado Constitucional, se expidió la Ley</w:t>
      </w:r>
      <w:r w:rsidRPr="0034019F">
        <w:rPr>
          <w:rFonts w:ascii="Verdana" w:eastAsia="Times New Roman" w:hAnsi="Verdana" w:cs="Arial"/>
          <w:lang w:eastAsia="es-CO"/>
        </w:rPr>
        <w:t xml:space="preserve"> </w:t>
      </w:r>
      <w:hyperlink r:id="rId13" w:anchor="4" w:history="1">
        <w:r w:rsidRPr="00930C81">
          <w:rPr>
            <w:rStyle w:val="Hipervnculo"/>
            <w:rFonts w:ascii="Verdana" w:hAnsi="Verdana" w:cs="Arial"/>
            <w:color w:val="auto"/>
            <w:u w:val="none"/>
          </w:rPr>
          <w:t>4</w:t>
        </w:r>
      </w:hyperlink>
      <w:r w:rsidRPr="00930C81">
        <w:rPr>
          <w:rFonts w:ascii="Verdana" w:eastAsia="Times New Roman" w:hAnsi="Verdana" w:cs="Arial"/>
          <w:lang w:eastAsia="es-CO"/>
        </w:rPr>
        <w:t xml:space="preserve">  </w:t>
      </w:r>
      <w:r w:rsidRPr="00AA13FF">
        <w:rPr>
          <w:rFonts w:ascii="Verdana" w:eastAsia="Times New Roman" w:hAnsi="Verdana" w:cs="Arial"/>
          <w:lang w:eastAsia="es-CO"/>
        </w:rPr>
        <w:t xml:space="preserve">de 1992, mediante la cual se establecieron </w:t>
      </w:r>
      <w:bookmarkStart w:id="5" w:name="_Hlk217980795"/>
      <w:r w:rsidRPr="00AA13FF">
        <w:rPr>
          <w:rFonts w:ascii="Verdana" w:eastAsia="Times New Roman" w:hAnsi="Verdana" w:cs="Arial"/>
          <w:lang w:eastAsia="es-CO"/>
        </w:rPr>
        <w:t>excepciones generales a la prohibición Constitucional de recibir más de una asignación del erario</w:t>
      </w:r>
      <w:bookmarkEnd w:id="5"/>
      <w:r w:rsidRPr="00AA13FF">
        <w:rPr>
          <w:rFonts w:ascii="Verdana" w:eastAsia="Times New Roman" w:hAnsi="Verdana" w:cs="Arial"/>
          <w:lang w:eastAsia="es-CO"/>
        </w:rPr>
        <w:t>, dicha norma consagra:</w:t>
      </w:r>
    </w:p>
    <w:p w14:paraId="578CB1EE" w14:textId="77777777" w:rsidR="00D50B27" w:rsidRPr="00AA13FF" w:rsidRDefault="00D50B27" w:rsidP="00D50B27">
      <w:pPr>
        <w:spacing w:after="0" w:line="276" w:lineRule="auto"/>
        <w:ind w:firstLine="708"/>
        <w:jc w:val="both"/>
        <w:rPr>
          <w:rFonts w:ascii="Verdana" w:eastAsia="Times New Roman" w:hAnsi="Verdana" w:cs="Arial"/>
          <w:lang w:eastAsia="es-CO"/>
        </w:rPr>
      </w:pPr>
      <w:r w:rsidRPr="00AA13FF">
        <w:rPr>
          <w:rFonts w:ascii="Verdana" w:eastAsia="Times New Roman" w:hAnsi="Verdana" w:cs="Arial"/>
          <w:lang w:eastAsia="es-CO"/>
        </w:rPr>
        <w:t> </w:t>
      </w:r>
    </w:p>
    <w:p w14:paraId="4B92EEAC" w14:textId="77777777" w:rsidR="00D50B27" w:rsidRPr="0034019F" w:rsidRDefault="00D50B27" w:rsidP="00D50B27">
      <w:pPr>
        <w:spacing w:after="0" w:line="240" w:lineRule="auto"/>
        <w:ind w:left="709" w:right="709"/>
        <w:jc w:val="both"/>
        <w:rPr>
          <w:rFonts w:ascii="Verdana" w:eastAsia="Times New Roman" w:hAnsi="Verdana" w:cs="Arial"/>
          <w:sz w:val="20"/>
          <w:szCs w:val="20"/>
          <w:lang w:eastAsia="es-CO"/>
        </w:rPr>
      </w:pPr>
      <w:r w:rsidRPr="0034019F">
        <w:rPr>
          <w:rFonts w:ascii="Verdana" w:eastAsia="Times New Roman" w:hAnsi="Verdana" w:cs="Arial"/>
          <w:sz w:val="20"/>
          <w:szCs w:val="20"/>
          <w:lang w:eastAsia="es-CO"/>
        </w:rPr>
        <w:t>“</w:t>
      </w:r>
      <w:r w:rsidRPr="0034019F">
        <w:rPr>
          <w:rFonts w:ascii="Verdana" w:eastAsia="Times New Roman" w:hAnsi="Verdana" w:cs="Arial"/>
          <w:b/>
          <w:bCs/>
          <w:sz w:val="20"/>
          <w:szCs w:val="20"/>
          <w:lang w:eastAsia="es-CO"/>
        </w:rPr>
        <w:t xml:space="preserve">Artículo </w:t>
      </w:r>
      <w:hyperlink r:id="rId14" w:anchor="19" w:history="1">
        <w:r w:rsidRPr="00700A92">
          <w:rPr>
            <w:rStyle w:val="Hipervnculo"/>
            <w:rFonts w:ascii="Verdana" w:hAnsi="Verdana" w:cs="Arial"/>
            <w:b/>
            <w:bCs/>
            <w:color w:val="auto"/>
            <w:sz w:val="20"/>
            <w:szCs w:val="20"/>
            <w:u w:val="none"/>
          </w:rPr>
          <w:t>19</w:t>
        </w:r>
      </w:hyperlink>
      <w:r w:rsidRPr="00700A92">
        <w:rPr>
          <w:rFonts w:ascii="Verdana" w:eastAsia="Times New Roman" w:hAnsi="Verdana" w:cs="Arial"/>
          <w:b/>
          <w:bCs/>
          <w:sz w:val="20"/>
          <w:szCs w:val="20"/>
          <w:lang w:eastAsia="es-CO"/>
        </w:rPr>
        <w:t>.</w:t>
      </w:r>
      <w:r w:rsidRPr="0034019F">
        <w:rPr>
          <w:rFonts w:ascii="Verdana" w:eastAsia="Times New Roman" w:hAnsi="Verdana" w:cs="Arial"/>
          <w:b/>
          <w:bCs/>
          <w:sz w:val="20"/>
          <w:szCs w:val="20"/>
          <w:lang w:eastAsia="es-CO"/>
        </w:rPr>
        <w:t>-</w:t>
      </w:r>
      <w:r w:rsidRPr="0034019F">
        <w:rPr>
          <w:rFonts w:ascii="Verdana" w:eastAsia="Times New Roman" w:hAnsi="Verdana" w:cs="Arial"/>
          <w:sz w:val="20"/>
          <w:szCs w:val="20"/>
          <w:lang w:eastAsia="es-CO"/>
        </w:rPr>
        <w:t>Nadie podrá desempeñar simultáneamente más de un empleo público, ni recibir más de una asignación que provenga del Tesoro Público, o de empresas o de instituciones en las que tenga parte mayoritaria el Estado. Exceptúense las siguientes asignaciones:</w:t>
      </w:r>
    </w:p>
    <w:p w14:paraId="5EDB15F2" w14:textId="77777777" w:rsidR="00D50B27" w:rsidRPr="0034019F" w:rsidRDefault="00D50B27" w:rsidP="00D50B27">
      <w:pPr>
        <w:spacing w:after="0" w:line="240" w:lineRule="auto"/>
        <w:ind w:left="709" w:right="709" w:firstLine="708"/>
        <w:jc w:val="both"/>
        <w:rPr>
          <w:rFonts w:ascii="Verdana" w:eastAsia="Times New Roman" w:hAnsi="Verdana" w:cs="Arial"/>
          <w:sz w:val="20"/>
          <w:szCs w:val="20"/>
          <w:lang w:eastAsia="es-CO"/>
        </w:rPr>
      </w:pPr>
      <w:r w:rsidRPr="0034019F">
        <w:rPr>
          <w:rFonts w:ascii="Verdana" w:eastAsia="Times New Roman" w:hAnsi="Verdana" w:cs="Arial"/>
          <w:sz w:val="20"/>
          <w:szCs w:val="20"/>
          <w:lang w:eastAsia="es-CO"/>
        </w:rPr>
        <w:t> </w:t>
      </w:r>
    </w:p>
    <w:p w14:paraId="15E5E079" w14:textId="77777777" w:rsidR="00D50B27" w:rsidRPr="0034019F" w:rsidRDefault="00D50B27" w:rsidP="00D50B27">
      <w:pPr>
        <w:spacing w:after="0" w:line="240" w:lineRule="auto"/>
        <w:ind w:left="709" w:right="709"/>
        <w:jc w:val="both"/>
        <w:rPr>
          <w:rFonts w:ascii="Verdana" w:eastAsia="Times New Roman" w:hAnsi="Verdana" w:cs="Arial"/>
          <w:sz w:val="20"/>
          <w:szCs w:val="20"/>
          <w:lang w:eastAsia="es-CO"/>
        </w:rPr>
      </w:pPr>
      <w:r w:rsidRPr="0034019F">
        <w:rPr>
          <w:rFonts w:ascii="Verdana" w:eastAsia="Times New Roman" w:hAnsi="Verdana" w:cs="Arial"/>
          <w:sz w:val="20"/>
          <w:szCs w:val="20"/>
          <w:lang w:eastAsia="es-CO"/>
        </w:rPr>
        <w:t>a. Las que reciban los profesores universitarios que se desempeñen como asesores de la rama legislativa;</w:t>
      </w:r>
    </w:p>
    <w:p w14:paraId="2EE14997" w14:textId="77777777" w:rsidR="00D50B27" w:rsidRPr="0034019F" w:rsidRDefault="00D50B27" w:rsidP="00D50B27">
      <w:pPr>
        <w:spacing w:after="0" w:line="240" w:lineRule="auto"/>
        <w:ind w:left="709" w:right="709"/>
        <w:jc w:val="both"/>
        <w:rPr>
          <w:rFonts w:ascii="Verdana" w:eastAsia="Times New Roman" w:hAnsi="Verdana" w:cs="Arial"/>
          <w:sz w:val="20"/>
          <w:szCs w:val="20"/>
          <w:lang w:eastAsia="es-CO"/>
        </w:rPr>
      </w:pPr>
      <w:r w:rsidRPr="0034019F">
        <w:rPr>
          <w:rFonts w:ascii="Verdana" w:eastAsia="Times New Roman" w:hAnsi="Verdana" w:cs="Arial"/>
          <w:sz w:val="20"/>
          <w:szCs w:val="20"/>
          <w:lang w:eastAsia="es-CO"/>
        </w:rPr>
        <w:t>b. Las percibidas por el personal con asignación de retiro o pensión militar o policial de la Fuerza Pública;</w:t>
      </w:r>
    </w:p>
    <w:p w14:paraId="13D0F236" w14:textId="77777777" w:rsidR="00D50B27" w:rsidRPr="0034019F" w:rsidRDefault="00D50B27" w:rsidP="00D50B27">
      <w:pPr>
        <w:spacing w:after="0" w:line="240" w:lineRule="auto"/>
        <w:ind w:left="709" w:right="709"/>
        <w:jc w:val="both"/>
        <w:rPr>
          <w:rFonts w:ascii="Verdana" w:eastAsia="Times New Roman" w:hAnsi="Verdana" w:cs="Arial"/>
          <w:sz w:val="20"/>
          <w:szCs w:val="20"/>
          <w:lang w:eastAsia="es-CO"/>
        </w:rPr>
      </w:pPr>
      <w:r w:rsidRPr="0034019F">
        <w:rPr>
          <w:rFonts w:ascii="Verdana" w:eastAsia="Times New Roman" w:hAnsi="Verdana" w:cs="Arial"/>
          <w:sz w:val="20"/>
          <w:szCs w:val="20"/>
          <w:lang w:eastAsia="es-CO"/>
        </w:rPr>
        <w:t>c. Las percibidas por concepto de sustitución pensional;</w:t>
      </w:r>
    </w:p>
    <w:p w14:paraId="51E8B89D" w14:textId="77777777" w:rsidR="00D50B27" w:rsidRPr="0034019F" w:rsidRDefault="00D50B27" w:rsidP="00D50B27">
      <w:pPr>
        <w:spacing w:after="0" w:line="240" w:lineRule="auto"/>
        <w:ind w:right="709" w:firstLine="708"/>
        <w:jc w:val="both"/>
        <w:rPr>
          <w:rFonts w:ascii="Verdana" w:eastAsia="Times New Roman" w:hAnsi="Verdana" w:cs="Arial"/>
          <w:sz w:val="20"/>
          <w:szCs w:val="20"/>
          <w:lang w:eastAsia="es-CO"/>
        </w:rPr>
      </w:pPr>
      <w:r w:rsidRPr="0034019F">
        <w:rPr>
          <w:rFonts w:ascii="Verdana" w:eastAsia="Times New Roman" w:hAnsi="Verdana" w:cs="Arial"/>
          <w:sz w:val="20"/>
          <w:szCs w:val="20"/>
          <w:lang w:eastAsia="es-CO"/>
        </w:rPr>
        <w:t>d. Los honorarios percibidos por concepto de hora-cátedra; </w:t>
      </w:r>
    </w:p>
    <w:p w14:paraId="67FF454F" w14:textId="77777777" w:rsidR="00D50B27" w:rsidRPr="0034019F" w:rsidRDefault="00D50B27" w:rsidP="00D50B27">
      <w:pPr>
        <w:spacing w:after="0" w:line="240" w:lineRule="auto"/>
        <w:ind w:left="709" w:right="709"/>
        <w:jc w:val="both"/>
        <w:rPr>
          <w:rFonts w:ascii="Verdana" w:eastAsia="Times New Roman" w:hAnsi="Verdana" w:cs="Arial"/>
          <w:sz w:val="20"/>
          <w:szCs w:val="20"/>
          <w:lang w:eastAsia="es-CO"/>
        </w:rPr>
      </w:pPr>
      <w:r w:rsidRPr="0034019F">
        <w:rPr>
          <w:rFonts w:ascii="Verdana" w:eastAsia="Times New Roman" w:hAnsi="Verdana" w:cs="Arial"/>
          <w:sz w:val="20"/>
          <w:szCs w:val="20"/>
          <w:lang w:eastAsia="es-CO"/>
        </w:rPr>
        <w:t>e. Los honorarios percibidos por concepto de servicios profesionales de salud. </w:t>
      </w:r>
    </w:p>
    <w:p w14:paraId="4712E594" w14:textId="77777777" w:rsidR="00D50B27" w:rsidRPr="0034019F" w:rsidRDefault="00D50B27" w:rsidP="00D50B27">
      <w:pPr>
        <w:spacing w:after="0" w:line="240" w:lineRule="auto"/>
        <w:ind w:left="709" w:right="709"/>
        <w:jc w:val="both"/>
        <w:rPr>
          <w:rFonts w:ascii="Verdana" w:eastAsia="Times New Roman" w:hAnsi="Verdana" w:cs="Arial"/>
          <w:sz w:val="20"/>
          <w:szCs w:val="20"/>
          <w:lang w:eastAsia="es-CO"/>
        </w:rPr>
      </w:pPr>
      <w:r w:rsidRPr="0034019F">
        <w:rPr>
          <w:rFonts w:ascii="Verdana" w:eastAsia="Times New Roman" w:hAnsi="Verdana" w:cs="Arial"/>
          <w:sz w:val="20"/>
          <w:szCs w:val="20"/>
          <w:lang w:eastAsia="es-CO"/>
        </w:rPr>
        <w:t xml:space="preserve">f. Los honorarios percibidos por los miembros de las juntas directivas, </w:t>
      </w:r>
      <w:proofErr w:type="gramStart"/>
      <w:r w:rsidRPr="0034019F">
        <w:rPr>
          <w:rFonts w:ascii="Verdana" w:eastAsia="Times New Roman" w:hAnsi="Verdana" w:cs="Arial"/>
          <w:sz w:val="20"/>
          <w:szCs w:val="20"/>
          <w:lang w:eastAsia="es-CO"/>
        </w:rPr>
        <w:t>en razón de</w:t>
      </w:r>
      <w:proofErr w:type="gramEnd"/>
      <w:r w:rsidRPr="0034019F">
        <w:rPr>
          <w:rFonts w:ascii="Verdana" w:eastAsia="Times New Roman" w:hAnsi="Verdana" w:cs="Arial"/>
          <w:sz w:val="20"/>
          <w:szCs w:val="20"/>
          <w:lang w:eastAsia="es-CO"/>
        </w:rPr>
        <w:t xml:space="preserve"> su asistencia a las mismas, siempre que no se trate de más de dos juntas.</w:t>
      </w:r>
    </w:p>
    <w:p w14:paraId="3AFE3E99" w14:textId="77777777" w:rsidR="00D50B27" w:rsidRPr="0034019F" w:rsidRDefault="00D50B27" w:rsidP="00D50B27">
      <w:pPr>
        <w:spacing w:after="0" w:line="240" w:lineRule="auto"/>
        <w:ind w:left="709" w:right="709"/>
        <w:jc w:val="both"/>
        <w:rPr>
          <w:rFonts w:ascii="Verdana" w:eastAsia="Times New Roman" w:hAnsi="Verdana" w:cs="Arial"/>
          <w:sz w:val="20"/>
          <w:szCs w:val="20"/>
          <w:lang w:eastAsia="es-CO"/>
        </w:rPr>
      </w:pPr>
      <w:r w:rsidRPr="0034019F">
        <w:rPr>
          <w:rFonts w:ascii="Verdana" w:eastAsia="Times New Roman" w:hAnsi="Verdana" w:cs="Arial"/>
          <w:sz w:val="20"/>
          <w:szCs w:val="20"/>
          <w:lang w:eastAsia="es-CO"/>
        </w:rPr>
        <w:lastRenderedPageBreak/>
        <w:t xml:space="preserve">g. Las que a la fecha de </w:t>
      </w:r>
      <w:proofErr w:type="gramStart"/>
      <w:r w:rsidRPr="0034019F">
        <w:rPr>
          <w:rFonts w:ascii="Verdana" w:eastAsia="Times New Roman" w:hAnsi="Verdana" w:cs="Arial"/>
          <w:sz w:val="20"/>
          <w:szCs w:val="20"/>
          <w:lang w:eastAsia="es-CO"/>
        </w:rPr>
        <w:t>entrar en vigencia</w:t>
      </w:r>
      <w:proofErr w:type="gramEnd"/>
      <w:r w:rsidRPr="0034019F">
        <w:rPr>
          <w:rFonts w:ascii="Verdana" w:eastAsia="Times New Roman" w:hAnsi="Verdana" w:cs="Arial"/>
          <w:sz w:val="20"/>
          <w:szCs w:val="20"/>
          <w:lang w:eastAsia="es-CO"/>
        </w:rPr>
        <w:t xml:space="preserve"> la presente Ley beneficien a los servidores oficiales docentes pensionados.</w:t>
      </w:r>
    </w:p>
    <w:p w14:paraId="46B459A2" w14:textId="77777777" w:rsidR="00D50B27" w:rsidRPr="0034019F" w:rsidRDefault="00D50B27" w:rsidP="00D50B27">
      <w:pPr>
        <w:spacing w:after="0" w:line="240" w:lineRule="auto"/>
        <w:ind w:left="709" w:right="709" w:firstLine="708"/>
        <w:jc w:val="both"/>
        <w:rPr>
          <w:rFonts w:ascii="Verdana" w:eastAsia="Times New Roman" w:hAnsi="Verdana" w:cs="Arial"/>
          <w:sz w:val="20"/>
          <w:szCs w:val="20"/>
          <w:lang w:eastAsia="es-CO"/>
        </w:rPr>
      </w:pPr>
      <w:r w:rsidRPr="0034019F">
        <w:rPr>
          <w:rFonts w:ascii="Verdana" w:eastAsia="Times New Roman" w:hAnsi="Verdana" w:cs="Arial"/>
          <w:b/>
          <w:bCs/>
          <w:sz w:val="20"/>
          <w:szCs w:val="20"/>
          <w:lang w:eastAsia="es-CO"/>
        </w:rPr>
        <w:t> </w:t>
      </w:r>
    </w:p>
    <w:p w14:paraId="0FDF84D4" w14:textId="77777777" w:rsidR="00D50B27" w:rsidRPr="005675E1" w:rsidRDefault="00D50B27" w:rsidP="00D50B27">
      <w:pPr>
        <w:spacing w:after="0" w:line="240" w:lineRule="auto"/>
        <w:ind w:left="709" w:right="709"/>
        <w:jc w:val="both"/>
        <w:rPr>
          <w:rFonts w:ascii="Verdana" w:eastAsia="Times New Roman" w:hAnsi="Verdana" w:cs="Arial"/>
          <w:sz w:val="20"/>
          <w:szCs w:val="20"/>
          <w:lang w:eastAsia="es-CO"/>
        </w:rPr>
      </w:pPr>
      <w:r w:rsidRPr="0034019F">
        <w:rPr>
          <w:rFonts w:ascii="Verdana" w:eastAsia="Times New Roman" w:hAnsi="Verdana" w:cs="Arial"/>
          <w:b/>
          <w:bCs/>
          <w:sz w:val="20"/>
          <w:szCs w:val="20"/>
          <w:lang w:eastAsia="es-CO"/>
        </w:rPr>
        <w:t>PARÁGRAFO.</w:t>
      </w:r>
      <w:r w:rsidRPr="0034019F">
        <w:rPr>
          <w:rFonts w:ascii="Verdana" w:eastAsia="Times New Roman" w:hAnsi="Verdana" w:cs="Arial"/>
          <w:sz w:val="20"/>
          <w:szCs w:val="20"/>
          <w:lang w:eastAsia="es-CO"/>
        </w:rPr>
        <w:t> No se podrán recibir honorarios que sumados correspondan a más de ocho (8) horas diarias de trabajo a varias entidades”.</w:t>
      </w:r>
    </w:p>
    <w:p w14:paraId="0CF77EDA" w14:textId="77777777" w:rsidR="00D50B27" w:rsidRDefault="00D50B27" w:rsidP="00D50B27">
      <w:pPr>
        <w:widowControl w:val="0"/>
        <w:autoSpaceDE w:val="0"/>
        <w:autoSpaceDN w:val="0"/>
        <w:spacing w:after="0" w:line="240" w:lineRule="auto"/>
        <w:ind w:firstLine="709"/>
        <w:jc w:val="both"/>
        <w:rPr>
          <w:rFonts w:ascii="Verdana" w:eastAsia="Arial" w:hAnsi="Verdana" w:cs="Arial"/>
          <w:lang w:val="es-ES"/>
        </w:rPr>
      </w:pPr>
    </w:p>
    <w:p w14:paraId="0DCA2FC4" w14:textId="77777777" w:rsidR="00D50B27" w:rsidRDefault="00D50B27" w:rsidP="00D50B27">
      <w:pPr>
        <w:widowControl w:val="0"/>
        <w:autoSpaceDE w:val="0"/>
        <w:autoSpaceDN w:val="0"/>
        <w:spacing w:after="120" w:line="276" w:lineRule="auto"/>
        <w:ind w:firstLine="709"/>
        <w:jc w:val="both"/>
        <w:rPr>
          <w:rFonts w:ascii="Verdana" w:eastAsia="Arial" w:hAnsi="Verdana" w:cs="Arial"/>
          <w:lang w:val="es-ES"/>
        </w:rPr>
      </w:pPr>
      <w:r w:rsidRPr="2F4CCC6E">
        <w:rPr>
          <w:rFonts w:ascii="Verdana" w:eastAsia="Arial" w:hAnsi="Verdana" w:cs="Arial"/>
          <w:lang w:val="es-ES"/>
        </w:rPr>
        <w:t>De conformidad con el artículo 128 de la Carta y con la Ley 4 de 1992, la prohibición de recibir doble asignación está directamente relacionada con las personas que ejercen “empleos públicos”, el cual es definido en el artículo 19 de la Ley 909 de 2004 como: “[…]</w:t>
      </w:r>
      <w:r w:rsidRPr="2F4CCC6E">
        <w:rPr>
          <w:rFonts w:ascii="Verdana" w:eastAsia="Arial" w:hAnsi="Verdana" w:cs="Arial"/>
        </w:rPr>
        <w:t xml:space="preserve"> el conjunto de funciones, tareas y responsabilidades que se asignan a una persona y las competencias requeridas para llevarlas a cabo, con el propósito de satisfacer el cumplimiento de los planes de desarrollo y los fines del Estado”</w:t>
      </w:r>
      <w:r w:rsidRPr="2F4CCC6E">
        <w:rPr>
          <w:rFonts w:ascii="Verdana" w:eastAsia="Arial" w:hAnsi="Verdana" w:cs="Arial"/>
          <w:lang w:val="es-ES"/>
        </w:rPr>
        <w:t xml:space="preserve">. </w:t>
      </w:r>
    </w:p>
    <w:p w14:paraId="20971905" w14:textId="77777777" w:rsidR="00D50B27" w:rsidRPr="00C8156A" w:rsidRDefault="00D50B27" w:rsidP="00D50B27">
      <w:pPr>
        <w:widowControl w:val="0"/>
        <w:autoSpaceDE w:val="0"/>
        <w:autoSpaceDN w:val="0"/>
        <w:spacing w:after="120" w:line="276" w:lineRule="auto"/>
        <w:ind w:firstLine="709"/>
        <w:jc w:val="both"/>
        <w:rPr>
          <w:rFonts w:ascii="Verdana" w:eastAsia="Arial" w:hAnsi="Verdana" w:cs="Arial"/>
          <w:lang w:val="es-ES"/>
        </w:rPr>
      </w:pPr>
      <w:r w:rsidRPr="00C8156A">
        <w:rPr>
          <w:rFonts w:ascii="Verdana" w:eastAsia="Arial" w:hAnsi="Verdana" w:cs="Arial"/>
          <w:lang w:val="es-ES"/>
        </w:rPr>
        <w:t>Al respecto, la Sala de Consulta y Servicio Civil del Consejo de Estado</w:t>
      </w:r>
      <w:r>
        <w:rPr>
          <w:rStyle w:val="Refdenotaalpie"/>
          <w:rFonts w:ascii="Verdana" w:eastAsia="Arial" w:hAnsi="Verdana" w:cs="Arial"/>
          <w:lang w:val="es-ES"/>
        </w:rPr>
        <w:footnoteReference w:id="16"/>
      </w:r>
      <w:r w:rsidRPr="00C8156A">
        <w:rPr>
          <w:rFonts w:ascii="Verdana" w:eastAsia="Arial" w:hAnsi="Verdana" w:cs="Arial"/>
          <w:lang w:val="es-ES"/>
        </w:rPr>
        <w:t>, estudió la expresión “asignación” que se encuentra en la norma constitucional, expresando que tiene relación “con el ejercicio de empleos en el sector oficial o con el pago de prestaciones provenientes del ejercicio de estos empleos”. De igual forma, expresó que las asignaciones a las que hace relación el artículo 128 de la Constitución y el artículo 19 de la Ley 4 de 1992 comprenden salarios, prestaciones sociales y “toda clase de remuneración que tenga como fundamento un vínculo o relación laboral con entidades del Estado”.</w:t>
      </w:r>
    </w:p>
    <w:p w14:paraId="5FA78BBD" w14:textId="77777777" w:rsidR="00D50B27" w:rsidRPr="00C8156A" w:rsidRDefault="00D50B27" w:rsidP="00D50B27">
      <w:pPr>
        <w:widowControl w:val="0"/>
        <w:autoSpaceDE w:val="0"/>
        <w:autoSpaceDN w:val="0"/>
        <w:spacing w:after="120" w:line="276" w:lineRule="auto"/>
        <w:ind w:firstLine="708"/>
        <w:jc w:val="both"/>
        <w:rPr>
          <w:rFonts w:ascii="Verdana" w:eastAsia="Arial" w:hAnsi="Verdana" w:cs="Arial"/>
          <w:lang w:val="es-ES"/>
        </w:rPr>
      </w:pPr>
      <w:r w:rsidRPr="00C8156A">
        <w:rPr>
          <w:rFonts w:ascii="Verdana" w:eastAsia="Arial" w:hAnsi="Verdana" w:cs="Arial"/>
          <w:lang w:val="es-ES"/>
        </w:rPr>
        <w:t xml:space="preserve">En el concepto citado anteriormente, la Sala consideró necesario utilizar diferentes criterios de interpretación de estas normas, toda vez que le permitirían concluir que la finalidad de la norma está dirigida a: i) prevenir que existan en una misma persona más de un empleo público remunerado, con la acumulación de funciones públicas y </w:t>
      </w:r>
      <w:proofErr w:type="spellStart"/>
      <w:r w:rsidRPr="00C8156A">
        <w:rPr>
          <w:rFonts w:ascii="Verdana" w:eastAsia="Arial" w:hAnsi="Verdana" w:cs="Arial"/>
          <w:lang w:val="es-ES"/>
        </w:rPr>
        <w:t>ii</w:t>
      </w:r>
      <w:proofErr w:type="spellEnd"/>
      <w:r w:rsidRPr="00C8156A">
        <w:rPr>
          <w:rFonts w:ascii="Verdana" w:eastAsia="Arial" w:hAnsi="Verdana" w:cs="Arial"/>
          <w:lang w:val="es-ES"/>
        </w:rPr>
        <w:t>) evitar que un funcionario público reciba otra asignación proveniente del tesoro público, además de su salario, y por consiguiente la necesidad de prohibir constitucionalmente la doble asignación que emane del tesoro</w:t>
      </w:r>
      <w:r w:rsidRPr="00C8156A">
        <w:rPr>
          <w:rFonts w:ascii="Verdana" w:eastAsia="Arial" w:hAnsi="Verdana" w:cs="Arial"/>
          <w:spacing w:val="-6"/>
          <w:lang w:val="es-ES"/>
        </w:rPr>
        <w:t xml:space="preserve"> </w:t>
      </w:r>
      <w:r w:rsidRPr="00C8156A">
        <w:rPr>
          <w:rFonts w:ascii="Verdana" w:eastAsia="Arial" w:hAnsi="Verdana" w:cs="Arial"/>
          <w:lang w:val="es-ES"/>
        </w:rPr>
        <w:t>público.</w:t>
      </w:r>
    </w:p>
    <w:p w14:paraId="39A8B0F8" w14:textId="77777777" w:rsidR="00D50B27" w:rsidRPr="00C8156A" w:rsidRDefault="00D50B27" w:rsidP="00D50B27">
      <w:pPr>
        <w:widowControl w:val="0"/>
        <w:autoSpaceDE w:val="0"/>
        <w:autoSpaceDN w:val="0"/>
        <w:spacing w:after="0" w:line="276" w:lineRule="auto"/>
        <w:ind w:firstLine="709"/>
        <w:jc w:val="both"/>
        <w:rPr>
          <w:rFonts w:ascii="Verdana" w:eastAsia="Arial" w:hAnsi="Verdana" w:cs="Arial"/>
          <w:lang w:val="es-ES"/>
        </w:rPr>
      </w:pPr>
      <w:r>
        <w:rPr>
          <w:rFonts w:ascii="Verdana" w:eastAsia="Arial" w:hAnsi="Verdana" w:cs="Arial"/>
          <w:lang w:val="es-ES"/>
        </w:rPr>
        <w:t>Por su parte, la Corte Constitucional, en la S</w:t>
      </w:r>
      <w:r w:rsidRPr="00C8156A">
        <w:rPr>
          <w:rFonts w:ascii="Verdana" w:eastAsia="Arial" w:hAnsi="Verdana" w:cs="Arial"/>
          <w:lang w:val="es-ES"/>
        </w:rPr>
        <w:t>entenci</w:t>
      </w:r>
      <w:r>
        <w:rPr>
          <w:rFonts w:ascii="Verdana" w:eastAsia="Arial" w:hAnsi="Verdana" w:cs="Arial"/>
          <w:lang w:val="es-ES"/>
        </w:rPr>
        <w:t>a C-133 del 1 de abril de 1993</w:t>
      </w:r>
      <w:r w:rsidRPr="00C8156A">
        <w:rPr>
          <w:rFonts w:ascii="Verdana" w:eastAsia="Arial" w:hAnsi="Verdana" w:cs="Arial"/>
          <w:lang w:val="es-ES"/>
        </w:rPr>
        <w:t>, analizó la demanda de inconstitucionalidad contra el artículo 19 de la Ley 4 de 1992. Señaló que la expresión “asignación” comprende todo tipo de remuneración que proviene del tesoro</w:t>
      </w:r>
      <w:r w:rsidRPr="00C8156A">
        <w:rPr>
          <w:rFonts w:ascii="Verdana" w:eastAsia="Arial" w:hAnsi="Verdana" w:cs="Arial"/>
          <w:spacing w:val="-8"/>
          <w:lang w:val="es-ES"/>
        </w:rPr>
        <w:t xml:space="preserve"> </w:t>
      </w:r>
      <w:r w:rsidRPr="00C8156A">
        <w:rPr>
          <w:rFonts w:ascii="Verdana" w:eastAsia="Arial" w:hAnsi="Verdana" w:cs="Arial"/>
          <w:lang w:val="es-ES"/>
        </w:rPr>
        <w:t>público:</w:t>
      </w:r>
    </w:p>
    <w:p w14:paraId="1799F5BC" w14:textId="77777777" w:rsidR="00D50B27" w:rsidRDefault="00D50B27" w:rsidP="00D50B27">
      <w:pPr>
        <w:widowControl w:val="0"/>
        <w:spacing w:after="0" w:line="276" w:lineRule="auto"/>
        <w:jc w:val="both"/>
        <w:rPr>
          <w:rFonts w:ascii="Verdana" w:eastAsia="Arial" w:hAnsi="Verdana" w:cs="Arial"/>
          <w:lang w:val="es-ES"/>
        </w:rPr>
      </w:pPr>
    </w:p>
    <w:p w14:paraId="0874E665" w14:textId="77777777" w:rsidR="00D50B27" w:rsidRPr="00EE4799" w:rsidRDefault="00D50B27" w:rsidP="00D50B27">
      <w:pPr>
        <w:spacing w:after="0" w:line="240" w:lineRule="auto"/>
        <w:ind w:left="709" w:right="709"/>
        <w:jc w:val="both"/>
        <w:rPr>
          <w:rFonts w:ascii="Verdana" w:eastAsia="Arial" w:hAnsi="Verdana" w:cs="Arial"/>
          <w:sz w:val="20"/>
          <w:szCs w:val="20"/>
          <w:lang w:eastAsia="es-ES"/>
        </w:rPr>
      </w:pPr>
      <w:r w:rsidRPr="00A37FEF">
        <w:rPr>
          <w:rFonts w:ascii="Verdana" w:eastAsia="Arial" w:hAnsi="Verdana" w:cs="Arial"/>
          <w:sz w:val="20"/>
          <w:szCs w:val="20"/>
          <w:lang w:eastAsia="es-ES"/>
        </w:rPr>
        <w:t xml:space="preserve">“Si bien es cierto que en el artículo 128 C.P. se consagra una incompatibilidad, no lo es menos que ésta se encuentra en íntima relación de conexidad con la remuneración de los servidores estatales; basta ver que en ella se prohíbe la concurrencia de dos o más cargos públicos en una misma persona, tanto como recibir más de una asignación que provenga del </w:t>
      </w:r>
      <w:proofErr w:type="gramStart"/>
      <w:r w:rsidRPr="00A37FEF">
        <w:rPr>
          <w:rFonts w:ascii="Verdana" w:eastAsia="Arial" w:hAnsi="Verdana" w:cs="Arial"/>
          <w:sz w:val="20"/>
          <w:szCs w:val="20"/>
          <w:lang w:eastAsia="es-ES"/>
        </w:rPr>
        <w:t>erario público</w:t>
      </w:r>
      <w:proofErr w:type="gramEnd"/>
      <w:r w:rsidRPr="004D2D88">
        <w:rPr>
          <w:rFonts w:ascii="Verdana" w:eastAsia="Arial" w:hAnsi="Verdana" w:cs="Arial"/>
          <w:sz w:val="20"/>
          <w:szCs w:val="20"/>
          <w:u w:val="single"/>
          <w:lang w:eastAsia="es-ES"/>
        </w:rPr>
        <w:t>. El término "asignación” comprende toda clase de remuneración que emane del tesoro público, llámese sueldo, honorario, mesada pensional, etc.</w:t>
      </w:r>
      <w:r w:rsidRPr="00A37FEF">
        <w:rPr>
          <w:rFonts w:ascii="Verdana" w:eastAsia="Arial" w:hAnsi="Verdana" w:cs="Arial"/>
          <w:sz w:val="20"/>
          <w:szCs w:val="20"/>
          <w:lang w:eastAsia="es-ES"/>
        </w:rPr>
        <w:t xml:space="preserve"> Siendo así, bien podía el legislador ordinario establecer dicha incompatibilidad dentro de la citada Ley 4a. de 1992, sin contrariar mandato constitucional alguno. Aún en el remoto caso de que se hubiere concluido que el régimen de inhabilidades e incompatibilidades para los funcionarios públicos debía ser regulado por medio de ley ordinaria, el artículo 19, objeto de acusación, tampoco sería inconstitucional, por cuanto el legislador estaba perfectamente facultado para hacerlo”</w:t>
      </w:r>
      <w:r w:rsidRPr="00A37FEF">
        <w:rPr>
          <w:rStyle w:val="Refdenotaalpie"/>
          <w:rFonts w:ascii="Verdana" w:eastAsia="Arial" w:hAnsi="Verdana" w:cs="Arial"/>
          <w:sz w:val="20"/>
          <w:szCs w:val="20"/>
          <w:lang w:eastAsia="es-ES"/>
        </w:rPr>
        <w:footnoteReference w:id="17"/>
      </w:r>
      <w:r w:rsidRPr="00A37FEF">
        <w:rPr>
          <w:rFonts w:ascii="Verdana" w:eastAsia="Arial" w:hAnsi="Verdana" w:cs="Arial"/>
          <w:sz w:val="20"/>
          <w:szCs w:val="20"/>
          <w:lang w:eastAsia="es-ES"/>
        </w:rPr>
        <w:t>.</w:t>
      </w:r>
      <w:r>
        <w:rPr>
          <w:rFonts w:ascii="Verdana" w:eastAsia="Arial" w:hAnsi="Verdana" w:cs="Arial"/>
          <w:sz w:val="20"/>
          <w:szCs w:val="20"/>
          <w:lang w:eastAsia="es-ES"/>
        </w:rPr>
        <w:t xml:space="preserve"> (Énfasis resaltado)</w:t>
      </w:r>
    </w:p>
    <w:p w14:paraId="07B773E8" w14:textId="77777777" w:rsidR="00D50B27" w:rsidRPr="00937A3E" w:rsidRDefault="00D50B27" w:rsidP="00D50B27">
      <w:pPr>
        <w:widowControl w:val="0"/>
        <w:autoSpaceDE w:val="0"/>
        <w:autoSpaceDN w:val="0"/>
        <w:spacing w:after="0" w:line="240" w:lineRule="auto"/>
        <w:ind w:firstLine="709"/>
        <w:jc w:val="both"/>
        <w:rPr>
          <w:rFonts w:ascii="Verdana" w:eastAsia="Arial" w:hAnsi="Verdana" w:cs="Arial"/>
        </w:rPr>
      </w:pPr>
    </w:p>
    <w:p w14:paraId="23E63C23" w14:textId="77777777" w:rsidR="00D50B27" w:rsidRPr="00C8156A" w:rsidRDefault="00D50B27" w:rsidP="00D50B27">
      <w:pPr>
        <w:widowControl w:val="0"/>
        <w:autoSpaceDE w:val="0"/>
        <w:autoSpaceDN w:val="0"/>
        <w:spacing w:after="120" w:line="276" w:lineRule="auto"/>
        <w:ind w:firstLine="708"/>
        <w:jc w:val="both"/>
        <w:rPr>
          <w:rFonts w:ascii="Verdana" w:eastAsia="Arial" w:hAnsi="Verdana" w:cs="Arial"/>
        </w:rPr>
      </w:pPr>
      <w:r w:rsidRPr="00C8156A">
        <w:rPr>
          <w:rFonts w:ascii="Verdana" w:eastAsia="Arial" w:hAnsi="Verdana" w:cs="Arial"/>
          <w:lang w:val="es-ES"/>
        </w:rPr>
        <w:t xml:space="preserve">En este orden de ideas, la prohibición de recibir doble asignación </w:t>
      </w:r>
      <w:bookmarkStart w:id="6" w:name="_Hlk141120008"/>
      <w:r w:rsidRPr="00C8156A">
        <w:rPr>
          <w:rFonts w:ascii="Verdana" w:eastAsia="Arial" w:hAnsi="Verdana" w:cs="Arial"/>
          <w:lang w:val="es-ES"/>
        </w:rPr>
        <w:t xml:space="preserve">del tesoro público </w:t>
      </w:r>
      <w:bookmarkEnd w:id="6"/>
      <w:r w:rsidRPr="00C8156A">
        <w:rPr>
          <w:rFonts w:ascii="Verdana" w:eastAsia="Arial" w:hAnsi="Verdana" w:cs="Arial"/>
          <w:lang w:val="es-ES"/>
        </w:rPr>
        <w:t>recae sobre los servidores públicos, incluidos los miembros de l</w:t>
      </w:r>
      <w:r w:rsidRPr="1A2EC228">
        <w:rPr>
          <w:rFonts w:ascii="Verdana" w:eastAsia="Arial" w:hAnsi="Verdana" w:cs="Arial"/>
          <w:lang w:val="es-ES"/>
        </w:rPr>
        <w:t>as corporaciones públicas</w:t>
      </w:r>
      <w:r w:rsidRPr="00C8156A">
        <w:rPr>
          <w:rFonts w:ascii="Verdana" w:eastAsia="Arial" w:hAnsi="Verdana" w:cs="Arial"/>
          <w:lang w:val="es-ES"/>
        </w:rPr>
        <w:t>, donde el término “asi</w:t>
      </w:r>
      <w:r>
        <w:rPr>
          <w:rFonts w:ascii="Verdana" w:eastAsia="Arial" w:hAnsi="Verdana" w:cs="Arial"/>
          <w:lang w:val="es-ES"/>
        </w:rPr>
        <w:t>gnación” comprende los dineros y</w:t>
      </w:r>
      <w:r w:rsidRPr="00C8156A">
        <w:rPr>
          <w:rFonts w:ascii="Verdana" w:eastAsia="Arial" w:hAnsi="Verdana" w:cs="Arial"/>
          <w:lang w:val="es-ES"/>
        </w:rPr>
        <w:t xml:space="preserve"> recursos que provienen del tesoro público, o de empresas o de instituciones en las que tenga parte mayoritaria el Estado, en calidad de pago par</w:t>
      </w:r>
      <w:r>
        <w:rPr>
          <w:rFonts w:ascii="Verdana" w:eastAsia="Arial" w:hAnsi="Verdana" w:cs="Arial"/>
          <w:lang w:val="es-ES"/>
        </w:rPr>
        <w:t>a retribuir un servicio denomínese salario, honorarios o cualquier otro emolumento, salvo las excepciones dispuestas en el artículo 19 de la Ley 4 de 1992. En tal sentido, el Departamento Administrativo de la Función Pública en torno al vocablo “asignación” expresa: “</w:t>
      </w:r>
      <w:r w:rsidRPr="007F0054">
        <w:rPr>
          <w:rFonts w:ascii="Verdana" w:eastAsia="Arial" w:hAnsi="Verdana" w:cs="Arial"/>
        </w:rPr>
        <w:t>Gramaticalmente se concibe como la cantidad señalada por sueldo o por otro concepto, como emolumento dotación, salario</w:t>
      </w:r>
      <w:r>
        <w:rPr>
          <w:rFonts w:ascii="Verdana" w:eastAsia="Arial" w:hAnsi="Verdana" w:cs="Arial"/>
        </w:rPr>
        <w:t>”</w:t>
      </w:r>
      <w:r>
        <w:rPr>
          <w:rStyle w:val="Refdenotaalpie"/>
          <w:rFonts w:ascii="Verdana" w:eastAsia="Arial" w:hAnsi="Verdana" w:cs="Arial"/>
        </w:rPr>
        <w:footnoteReference w:id="18"/>
      </w:r>
      <w:r w:rsidRPr="007F0054">
        <w:rPr>
          <w:rFonts w:ascii="Verdana" w:eastAsia="Arial" w:hAnsi="Verdana" w:cs="Arial"/>
        </w:rPr>
        <w:t>.</w:t>
      </w:r>
    </w:p>
    <w:p w14:paraId="529DCEAD" w14:textId="77777777" w:rsidR="00D50B27" w:rsidRPr="004D2D88" w:rsidRDefault="00D50B27" w:rsidP="00D50B27">
      <w:pPr>
        <w:pStyle w:val="Textoindependiente"/>
        <w:spacing w:line="276" w:lineRule="auto"/>
        <w:ind w:firstLine="708"/>
        <w:jc w:val="both"/>
        <w:rPr>
          <w:rFonts w:ascii="Verdana" w:hAnsi="Verdana"/>
        </w:rPr>
      </w:pPr>
      <w:r>
        <w:rPr>
          <w:rFonts w:ascii="Verdana" w:hAnsi="Verdana"/>
        </w:rPr>
        <w:t>Por lo tanto</w:t>
      </w:r>
      <w:r w:rsidRPr="004D2D88">
        <w:rPr>
          <w:rFonts w:ascii="Verdana" w:hAnsi="Verdana"/>
        </w:rPr>
        <w:t>, la restricción prevista en el artículo 128 de la Constitución Política, también aplica para una persona que</w:t>
      </w:r>
      <w:r>
        <w:rPr>
          <w:rFonts w:ascii="Verdana" w:hAnsi="Verdana"/>
        </w:rPr>
        <w:t>,</w:t>
      </w:r>
      <w:r w:rsidRPr="004D2D88">
        <w:rPr>
          <w:rFonts w:ascii="Verdana" w:hAnsi="Verdana"/>
        </w:rPr>
        <w:t xml:space="preserve"> </w:t>
      </w:r>
      <w:r>
        <w:rPr>
          <w:rFonts w:ascii="Verdana" w:hAnsi="Verdana"/>
        </w:rPr>
        <w:t xml:space="preserve">siendo servidor público, </w:t>
      </w:r>
      <w:r w:rsidRPr="004D2D88">
        <w:rPr>
          <w:rFonts w:ascii="Verdana" w:hAnsi="Verdana"/>
        </w:rPr>
        <w:t>se vincule simultáneamente a través de un contrato de prestación de servicios</w:t>
      </w:r>
      <w:r>
        <w:rPr>
          <w:rFonts w:ascii="Verdana" w:hAnsi="Verdana"/>
        </w:rPr>
        <w:t xml:space="preserve"> con una entidad del estado sea del </w:t>
      </w:r>
      <w:proofErr w:type="spellStart"/>
      <w:r>
        <w:rPr>
          <w:rFonts w:ascii="Verdana" w:hAnsi="Verdana"/>
        </w:rPr>
        <w:t>orde</w:t>
      </w:r>
      <w:proofErr w:type="spellEnd"/>
      <w:r>
        <w:rPr>
          <w:rFonts w:ascii="Verdana" w:hAnsi="Verdana"/>
        </w:rPr>
        <w:t xml:space="preserve"> central o descentralizado, a excepción de los eventos definidos en el artículo 19 de la Ley 4 de 1992. </w:t>
      </w:r>
    </w:p>
    <w:p w14:paraId="0B0E9306" w14:textId="77777777" w:rsidR="00D50B27" w:rsidRPr="00937A3E" w:rsidRDefault="00D50B27" w:rsidP="00D50B27">
      <w:pPr>
        <w:pStyle w:val="Textoindependiente"/>
        <w:ind w:firstLine="709"/>
        <w:jc w:val="both"/>
        <w:rPr>
          <w:rFonts w:ascii="Verdana" w:hAnsi="Verdana"/>
        </w:rPr>
      </w:pPr>
    </w:p>
    <w:p w14:paraId="492B0E4B" w14:textId="77777777" w:rsidR="00D50B27" w:rsidRPr="00937A3E" w:rsidRDefault="00D50B27" w:rsidP="00D50B27">
      <w:pPr>
        <w:pStyle w:val="Textoindependiente"/>
        <w:spacing w:line="276" w:lineRule="auto"/>
        <w:ind w:firstLine="708"/>
        <w:jc w:val="both"/>
        <w:rPr>
          <w:rFonts w:ascii="Verdana" w:hAnsi="Verdana"/>
        </w:rPr>
      </w:pPr>
      <w:r w:rsidRPr="00937A3E">
        <w:rPr>
          <w:rFonts w:ascii="Verdana" w:hAnsi="Verdana"/>
        </w:rPr>
        <w:t xml:space="preserve">La razón de lo anterior se debe a que el artículo 128 de la Constitución Política prohíbe de manera general que una misma persona reciba más de una asignación proveniente del Tesoro Público o de entidades con participación </w:t>
      </w:r>
      <w:r w:rsidRPr="00937A3E">
        <w:rPr>
          <w:rFonts w:ascii="Verdana" w:hAnsi="Verdana"/>
        </w:rPr>
        <w:lastRenderedPageBreak/>
        <w:t>mayoritaria del Estado, salvo las excepciones expresamente previstas en la ley.</w:t>
      </w:r>
    </w:p>
    <w:p w14:paraId="13D0272B" w14:textId="77777777" w:rsidR="00D50B27" w:rsidRPr="004D2D88" w:rsidRDefault="00D50B27" w:rsidP="00D50B27">
      <w:pPr>
        <w:pStyle w:val="Textoindependiente"/>
        <w:ind w:firstLine="709"/>
        <w:jc w:val="both"/>
      </w:pPr>
    </w:p>
    <w:p w14:paraId="337B60E2" w14:textId="77777777" w:rsidR="00D50B27" w:rsidRPr="004D2D88" w:rsidRDefault="00D50B27" w:rsidP="00D50B27">
      <w:pPr>
        <w:pStyle w:val="Textoindependiente"/>
        <w:spacing w:line="276" w:lineRule="auto"/>
        <w:ind w:firstLine="708"/>
        <w:jc w:val="both"/>
        <w:rPr>
          <w:rFonts w:ascii="Verdana" w:hAnsi="Verdana"/>
          <w:lang w:val="es-CO"/>
        </w:rPr>
      </w:pPr>
      <w:r w:rsidRPr="004D2D88">
        <w:rPr>
          <w:rFonts w:ascii="Verdana" w:eastAsia="Calibri" w:hAnsi="Verdana" w:cs="Times New Roman"/>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1F4083CA" w14:textId="77777777" w:rsidR="00D50B27" w:rsidRPr="004D2D88" w:rsidRDefault="00D50B27" w:rsidP="00D50B27">
      <w:pPr>
        <w:pStyle w:val="Textoindependiente"/>
        <w:ind w:firstLine="709"/>
        <w:jc w:val="both"/>
        <w:rPr>
          <w:rFonts w:ascii="Verdana" w:hAnsi="Verdana"/>
          <w:lang w:val="es-CO"/>
        </w:rPr>
      </w:pPr>
    </w:p>
    <w:p w14:paraId="090C8D04" w14:textId="77777777" w:rsidR="00D50B27" w:rsidRPr="004D2D88" w:rsidRDefault="00D50B27" w:rsidP="00D50B27">
      <w:pPr>
        <w:pStyle w:val="Textoindependiente"/>
        <w:spacing w:line="276" w:lineRule="auto"/>
        <w:ind w:firstLine="708"/>
        <w:jc w:val="both"/>
        <w:rPr>
          <w:rFonts w:ascii="Verdana" w:hAnsi="Verdana"/>
          <w:lang w:val="es-CO"/>
        </w:rPr>
      </w:pPr>
      <w:r w:rsidRPr="004D2D88">
        <w:rPr>
          <w:rFonts w:ascii="Verdana" w:eastAsia="Calibri" w:hAnsi="Verdana" w:cs="Times New Roman"/>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5455AF41" w14:textId="77777777" w:rsidR="00D50B27" w:rsidRPr="00D50B27" w:rsidRDefault="00D50B27" w:rsidP="00D50B27">
      <w:pPr>
        <w:spacing w:after="120" w:line="276" w:lineRule="auto"/>
        <w:jc w:val="both"/>
        <w:rPr>
          <w:rFonts w:ascii="Verdana" w:hAnsi="Verdana" w:cs="Arial"/>
        </w:rPr>
      </w:pPr>
    </w:p>
    <w:p w14:paraId="6B928837" w14:textId="77777777" w:rsidR="00C23516" w:rsidRPr="00A95DDA" w:rsidRDefault="00C23516" w:rsidP="00C23516">
      <w:pPr>
        <w:spacing w:after="0" w:line="276" w:lineRule="auto"/>
        <w:ind w:firstLine="709"/>
        <w:jc w:val="both"/>
        <w:rPr>
          <w:rFonts w:ascii="Verdana" w:hAnsi="Verdana" w:cs="Arial"/>
          <w:lang w:eastAsia="es-MX"/>
        </w:rPr>
      </w:pPr>
    </w:p>
    <w:p w14:paraId="6F8098C5" w14:textId="77777777" w:rsidR="00C23516" w:rsidRPr="00593A5F" w:rsidRDefault="00C23516" w:rsidP="00C235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371A1E6" w14:textId="77777777" w:rsidR="00C23516" w:rsidRPr="00593A5F" w:rsidRDefault="00C23516" w:rsidP="00C2351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23516" w:rsidRPr="002407CE" w14:paraId="1AA295E8" w14:textId="77777777" w:rsidTr="00B250E5">
        <w:trPr>
          <w:trHeight w:val="870"/>
          <w:jc w:val="center"/>
        </w:trPr>
        <w:tc>
          <w:tcPr>
            <w:tcW w:w="8647" w:type="dxa"/>
          </w:tcPr>
          <w:p w14:paraId="295CB06D" w14:textId="77777777" w:rsidR="00C23516" w:rsidRPr="007F4BE4" w:rsidRDefault="00C23516" w:rsidP="00B250E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6, 121, 122, 127, 150, 209, 267 y 355.</w:t>
            </w:r>
          </w:p>
          <w:p w14:paraId="63E8FE17" w14:textId="77777777" w:rsidR="00C23516" w:rsidRDefault="00C23516" w:rsidP="00B250E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80 de 1994, artículo 8.  </w:t>
            </w:r>
          </w:p>
          <w:p w14:paraId="7C68B6E8" w14:textId="77777777" w:rsidR="00C23516" w:rsidRDefault="00C23516" w:rsidP="00B250E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270 de 1996, artículo 61.</w:t>
            </w:r>
          </w:p>
          <w:p w14:paraId="583DDA77" w14:textId="77777777" w:rsidR="00C23516" w:rsidRDefault="00C23516" w:rsidP="00B250E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96.</w:t>
            </w:r>
          </w:p>
          <w:p w14:paraId="57F2EE8E" w14:textId="77777777" w:rsidR="00C23516" w:rsidRPr="00114289" w:rsidRDefault="00C23516" w:rsidP="00B250E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114289">
              <w:rPr>
                <w:rFonts w:ascii="Verdana" w:hAnsi="Verdana" w:cs="Arial"/>
              </w:rPr>
              <w:t>Ley 1150 de 2007, artículos 6 y 13.</w:t>
            </w:r>
          </w:p>
          <w:p w14:paraId="1DB6A9EF" w14:textId="77777777" w:rsidR="00C23516" w:rsidRDefault="00C23516" w:rsidP="00B250E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115.</w:t>
            </w:r>
          </w:p>
          <w:p w14:paraId="03A20254" w14:textId="77777777" w:rsidR="00C23516" w:rsidRDefault="00C23516" w:rsidP="00B250E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1952 de 2019, artículo 54.</w:t>
            </w:r>
          </w:p>
          <w:p w14:paraId="79401572" w14:textId="77777777" w:rsidR="00C23516" w:rsidRDefault="00C23516" w:rsidP="00B250E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092 de 2017, artículo 6.</w:t>
            </w:r>
          </w:p>
          <w:p w14:paraId="2A83BAD0" w14:textId="77777777" w:rsidR="00C23516" w:rsidRPr="00B2401B" w:rsidRDefault="00C23516" w:rsidP="00B250E5">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artículos 31, 1502 y 1503.</w:t>
            </w:r>
          </w:p>
        </w:tc>
      </w:tr>
    </w:tbl>
    <w:p w14:paraId="6A5D9EAD" w14:textId="77777777" w:rsidR="00C23516" w:rsidRPr="00114289" w:rsidRDefault="00C23516" w:rsidP="00C23516">
      <w:pPr>
        <w:widowControl w:val="0"/>
        <w:autoSpaceDE w:val="0"/>
        <w:autoSpaceDN w:val="0"/>
        <w:spacing w:after="0" w:line="276" w:lineRule="auto"/>
        <w:jc w:val="both"/>
        <w:rPr>
          <w:rFonts w:ascii="Verdana" w:hAnsi="Verdana" w:cs="Arial"/>
        </w:rPr>
      </w:pPr>
    </w:p>
    <w:p w14:paraId="249D31EF" w14:textId="77777777" w:rsidR="00C23516" w:rsidRPr="00114289" w:rsidRDefault="00C23516" w:rsidP="00C2351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14289">
        <w:rPr>
          <w:rFonts w:ascii="Verdana" w:eastAsia="Century Gothic" w:hAnsi="Verdana" w:cs="Century Gothic"/>
          <w:b/>
          <w:bCs/>
        </w:rPr>
        <w:t>Doctrina de la Agencia Nacional de Contratación Pública:</w:t>
      </w:r>
    </w:p>
    <w:p w14:paraId="3D91648F" w14:textId="77777777" w:rsidR="00C23516" w:rsidRPr="00114289" w:rsidRDefault="00C23516" w:rsidP="00C23516">
      <w:pPr>
        <w:widowControl w:val="0"/>
        <w:autoSpaceDE w:val="0"/>
        <w:autoSpaceDN w:val="0"/>
        <w:spacing w:after="0" w:line="276" w:lineRule="auto"/>
        <w:jc w:val="both"/>
        <w:rPr>
          <w:rFonts w:ascii="Verdana" w:hAnsi="Verdana" w:cs="Arial"/>
        </w:rPr>
      </w:pPr>
    </w:p>
    <w:p w14:paraId="0DCB8769" w14:textId="77777777" w:rsidR="00C23516" w:rsidRPr="00114289" w:rsidRDefault="00C23516" w:rsidP="00C23516">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114289">
        <w:rPr>
          <w:rStyle w:val="normaltextrun"/>
          <w:rFonts w:ascii="Verdana" w:hAnsi="Verdana" w:cs="Arial"/>
          <w:shd w:val="clear" w:color="auto" w:fill="FFFFFF"/>
          <w:lang w:val="es-ES"/>
        </w:rPr>
        <w:t>Esta Subdirección se ha pronunciado sobre el régimen de inhabilidades e incompatibilidades en los Conceptos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C-090 del 24 de febrero de 2020, C-125 del 3 de marzo de 2020, C-157 del 17 de marzo de 2020, 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de febrero de 2022, C-318 del 18 de mayo de 2022, C-252 del 30 de mayo de 2022, C-175 del 4 de mayo de 2023, C-234 del 5 de julio de 2023, C-408 del 21 de agosto de 2024, C-975 del 16 de diciembre de 2024, C-1027 del 29 de enero de 2015, C</w:t>
      </w:r>
      <w:r w:rsidRPr="00A95DDA">
        <w:rPr>
          <w:rStyle w:val="normaltextrun"/>
          <w:rFonts w:ascii="Verdana" w:hAnsi="Verdana" w:cs="Arial"/>
          <w:shd w:val="clear" w:color="auto" w:fill="FFFFFF"/>
          <w:lang w:val="es-ES"/>
        </w:rPr>
        <w:t xml:space="preserve">-053 del 30 de enero de 2025, C-030 del 21 de febrero de 2025 y </w:t>
      </w:r>
      <w:r w:rsidRPr="00A95DDA">
        <w:rPr>
          <w:rFonts w:ascii="Verdana" w:eastAsia="Calibri" w:hAnsi="Verdana" w:cs="Arial"/>
          <w:lang w:val="es-ES" w:eastAsia="es-ES"/>
        </w:rPr>
        <w:t>C- 1630 de 2025</w:t>
      </w:r>
      <w:r w:rsidRPr="00A95DDA">
        <w:rPr>
          <w:rStyle w:val="normaltextrun"/>
          <w:rFonts w:ascii="Verdana" w:hAnsi="Verdana" w:cs="Arial"/>
          <w:shd w:val="clear" w:color="auto" w:fill="FFFFFF"/>
          <w:lang w:val="es-ES"/>
        </w:rPr>
        <w:t>.</w:t>
      </w:r>
      <w:r w:rsidRPr="00114289">
        <w:rPr>
          <w:rStyle w:val="normaltextrun"/>
          <w:rFonts w:ascii="Verdana" w:hAnsi="Verdana" w:cs="Arial"/>
          <w:shd w:val="clear" w:color="auto" w:fill="FFFFFF"/>
          <w:lang w:val="es-ES"/>
        </w:rPr>
        <w:t xml:space="preserve"> Es</w:t>
      </w:r>
      <w:r w:rsidRPr="00114289">
        <w:rPr>
          <w:rFonts w:ascii="Verdana" w:hAnsi="Verdana"/>
        </w:rPr>
        <w:t>tos y otros se encuentran disponibles para consulta en el Sistema de relatoría de la Agencia, al cual puede accederse a través del siguiente enlace:</w:t>
      </w:r>
      <w:r w:rsidRPr="00114289">
        <w:rPr>
          <w:rStyle w:val="normaltextrun"/>
          <w:rFonts w:ascii="Verdana" w:hAnsi="Verdana" w:cs="Arial"/>
          <w:shd w:val="clear" w:color="auto" w:fill="FFFFFF"/>
          <w:lang w:val="es-ES"/>
        </w:rPr>
        <w:t xml:space="preserve"> </w:t>
      </w:r>
      <w:hyperlink r:id="rId15" w:history="1">
        <w:r w:rsidRPr="00114289">
          <w:rPr>
            <w:rStyle w:val="Hipervnculo"/>
            <w:rFonts w:ascii="Verdana" w:hAnsi="Verdana" w:cs="Arial"/>
            <w:shd w:val="clear" w:color="auto" w:fill="FFFFFF"/>
            <w:lang w:val="es-ES"/>
          </w:rPr>
          <w:t>https://relatoria.colombiacompra.gov.co/busqueda/conceptos</w:t>
        </w:r>
      </w:hyperlink>
      <w:r w:rsidRPr="00114289">
        <w:rPr>
          <w:rStyle w:val="normaltextrun"/>
          <w:rFonts w:ascii="Verdana" w:hAnsi="Verdana" w:cs="Arial"/>
          <w:shd w:val="clear" w:color="auto" w:fill="FFFFFF"/>
          <w:lang w:val="es-ES"/>
        </w:rPr>
        <w:t>.</w:t>
      </w:r>
      <w:r w:rsidRPr="00114289">
        <w:rPr>
          <w:rStyle w:val="normaltextrun"/>
          <w:rFonts w:ascii="Verdana" w:hAnsi="Verdana" w:cs="Arial"/>
          <w:color w:val="FF0000"/>
          <w:shd w:val="clear" w:color="auto" w:fill="FFFFFF"/>
          <w:lang w:val="es-ES"/>
        </w:rPr>
        <w:t xml:space="preserve"> </w:t>
      </w:r>
    </w:p>
    <w:p w14:paraId="5416893B" w14:textId="77777777" w:rsidR="00C23516" w:rsidRPr="00114289" w:rsidRDefault="00C23516" w:rsidP="00C23516">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F9B7E36" w14:textId="77777777" w:rsidR="00C23516" w:rsidRPr="00114289" w:rsidRDefault="00C23516" w:rsidP="00C23516">
      <w:pPr>
        <w:widowControl w:val="0"/>
        <w:autoSpaceDE w:val="0"/>
        <w:autoSpaceDN w:val="0"/>
        <w:spacing w:after="0" w:line="276" w:lineRule="auto"/>
        <w:jc w:val="both"/>
        <w:rPr>
          <w:rFonts w:ascii="Verdana" w:hAnsi="Verdana" w:cs="Arial"/>
          <w:color w:val="FF0000"/>
          <w:shd w:val="clear" w:color="auto" w:fill="FFFFFF"/>
          <w:lang w:val="es-MX"/>
        </w:rPr>
      </w:pPr>
      <w:r w:rsidRPr="00114289">
        <w:rPr>
          <w:rStyle w:val="normaltextrun"/>
          <w:rFonts w:ascii="Verdana" w:hAnsi="Verdana" w:cs="Arial"/>
          <w:color w:val="FF0000"/>
          <w:shd w:val="clear" w:color="auto" w:fill="FFFFFF"/>
          <w:lang w:val="es-ES"/>
        </w:rPr>
        <w:t xml:space="preserve">      </w:t>
      </w:r>
    </w:p>
    <w:p w14:paraId="0B45DF66" w14:textId="77777777" w:rsidR="00C23516" w:rsidRPr="00114289" w:rsidRDefault="00C23516" w:rsidP="00C23516">
      <w:pPr>
        <w:widowControl w:val="0"/>
        <w:autoSpaceDE w:val="0"/>
        <w:autoSpaceDN w:val="0"/>
        <w:spacing w:line="276" w:lineRule="auto"/>
        <w:jc w:val="both"/>
        <w:rPr>
          <w:rFonts w:ascii="Verdana" w:hAnsi="Verdana" w:cs="Arial"/>
          <w:lang w:val="es-ES_tradnl"/>
        </w:rPr>
      </w:pPr>
      <w:r w:rsidRPr="00114289">
        <w:rPr>
          <w:rFonts w:ascii="Verdana" w:hAnsi="Verdana" w:cs="Arial"/>
        </w:rPr>
        <w:t xml:space="preserve">Este concepto tiene el alcance previsto en el artículo 28 del Código de Procedimiento Administrativo y de lo Contencioso Administrativo </w:t>
      </w:r>
      <w:r w:rsidRPr="00114289">
        <w:rPr>
          <w:rFonts w:ascii="Verdana" w:hAnsi="Verdana" w:cs="Arial"/>
          <w:lang w:val="es-ES_tradnl"/>
        </w:rPr>
        <w:t>y las expresiones aquí utilizadas con mayúscula inicial deben ser entendidas con el significado que les otorga el artículo 2.2.1.1.1.3.1. del Decreto 1082 de 2015.</w:t>
      </w:r>
    </w:p>
    <w:p w14:paraId="1297F040" w14:textId="77777777" w:rsidR="00C23516" w:rsidRPr="00114289" w:rsidRDefault="00C23516" w:rsidP="00C23516">
      <w:pPr>
        <w:widowControl w:val="0"/>
        <w:autoSpaceDE w:val="0"/>
        <w:autoSpaceDN w:val="0"/>
        <w:spacing w:line="276" w:lineRule="auto"/>
        <w:jc w:val="both"/>
        <w:rPr>
          <w:rFonts w:ascii="Verdana" w:hAnsi="Verdana" w:cs="Arial"/>
        </w:rPr>
      </w:pPr>
    </w:p>
    <w:p w14:paraId="69E87075" w14:textId="77777777" w:rsidR="00C23516" w:rsidRPr="00114289" w:rsidRDefault="00C23516" w:rsidP="00C23516">
      <w:pPr>
        <w:spacing w:line="276" w:lineRule="auto"/>
        <w:rPr>
          <w:rFonts w:ascii="Verdana" w:hAnsi="Verdana" w:cs="Arial"/>
          <w:lang w:eastAsia="es-CO"/>
        </w:rPr>
      </w:pPr>
      <w:r w:rsidRPr="00114289">
        <w:rPr>
          <w:rFonts w:ascii="Verdana" w:hAnsi="Verdana" w:cs="Arial"/>
          <w:lang w:eastAsia="es-CO"/>
        </w:rPr>
        <w:t xml:space="preserve">Atentamente, </w:t>
      </w:r>
    </w:p>
    <w:p w14:paraId="152F34F6" w14:textId="1F62971A" w:rsidR="00C23516" w:rsidRPr="00B658F5" w:rsidRDefault="00F775E9" w:rsidP="00C23516">
      <w:pPr>
        <w:spacing w:line="276" w:lineRule="auto"/>
        <w:jc w:val="center"/>
        <w:rPr>
          <w:rFonts w:ascii="Verdana" w:hAnsi="Verdana"/>
          <w:noProof/>
        </w:rPr>
      </w:pPr>
      <w:r w:rsidRPr="002C3AD6">
        <w:rPr>
          <w:rFonts w:ascii="Century Gothic" w:hAnsi="Century Gothic"/>
          <w:noProof/>
        </w:rPr>
        <w:lastRenderedPageBreak/>
        <w:drawing>
          <wp:inline distT="0" distB="0" distL="0" distR="0" wp14:anchorId="244B8C93" wp14:editId="015CABD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23516" w:rsidRPr="003E2DA1" w14:paraId="09685D05" w14:textId="77777777" w:rsidTr="00B250E5">
        <w:trPr>
          <w:trHeight w:val="315"/>
        </w:trPr>
        <w:tc>
          <w:tcPr>
            <w:tcW w:w="893" w:type="dxa"/>
            <w:vAlign w:val="center"/>
            <w:hideMark/>
          </w:tcPr>
          <w:p w14:paraId="4F0F8FE4" w14:textId="77777777" w:rsidR="00C23516" w:rsidRPr="003E2DA1" w:rsidRDefault="00C23516" w:rsidP="00B250E5">
            <w:pPr>
              <w:contextualSpacing/>
              <w:rPr>
                <w:rFonts w:ascii="Verdana" w:hAnsi="Verdana" w:cs="Arial"/>
                <w:sz w:val="16"/>
                <w:szCs w:val="16"/>
                <w:lang w:val="es-ES" w:eastAsia="es-ES"/>
              </w:rPr>
            </w:pPr>
            <w:r w:rsidRPr="003E2DA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3100575" w14:textId="2AB4A791" w:rsidR="00C23516" w:rsidRPr="003E2DA1" w:rsidRDefault="00010CFE" w:rsidP="00B250E5">
            <w:pPr>
              <w:spacing w:line="276" w:lineRule="auto"/>
              <w:contextualSpacing/>
              <w:jc w:val="both"/>
              <w:rPr>
                <w:rFonts w:ascii="Verdana" w:hAnsi="Verdana"/>
                <w:sz w:val="16"/>
                <w:szCs w:val="16"/>
              </w:rPr>
            </w:pPr>
            <w:r>
              <w:rPr>
                <w:rFonts w:ascii="Verdana" w:hAnsi="Verdana"/>
                <w:sz w:val="16"/>
                <w:szCs w:val="16"/>
              </w:rPr>
              <w:t>Diana Carolina Blanco Rodríguez</w:t>
            </w:r>
          </w:p>
          <w:p w14:paraId="38AE14FF" w14:textId="77777777" w:rsidR="00C23516" w:rsidRPr="003E2DA1" w:rsidRDefault="00C23516" w:rsidP="00B250E5">
            <w:pPr>
              <w:contextualSpacing/>
              <w:rPr>
                <w:rFonts w:ascii="Verdana" w:eastAsia="Arial" w:hAnsi="Verdana" w:cs="Arial"/>
                <w:sz w:val="16"/>
                <w:szCs w:val="16"/>
              </w:rPr>
            </w:pPr>
            <w:r w:rsidRPr="003E2DA1">
              <w:rPr>
                <w:rFonts w:ascii="Verdana" w:hAnsi="Verdana"/>
                <w:sz w:val="16"/>
                <w:szCs w:val="16"/>
              </w:rPr>
              <w:t>Contratista de la Subdirección de Gestión Contractual</w:t>
            </w:r>
          </w:p>
        </w:tc>
      </w:tr>
      <w:tr w:rsidR="00C23516" w:rsidRPr="003E2DA1" w14:paraId="785E445D" w14:textId="77777777" w:rsidTr="00B250E5">
        <w:trPr>
          <w:trHeight w:val="330"/>
        </w:trPr>
        <w:tc>
          <w:tcPr>
            <w:tcW w:w="893" w:type="dxa"/>
            <w:vAlign w:val="center"/>
            <w:hideMark/>
          </w:tcPr>
          <w:p w14:paraId="03C54F41" w14:textId="77777777" w:rsidR="00C23516" w:rsidRPr="003E2DA1" w:rsidRDefault="00C23516" w:rsidP="00B250E5">
            <w:pPr>
              <w:contextualSpacing/>
              <w:rPr>
                <w:rFonts w:ascii="Verdana" w:hAnsi="Verdana" w:cs="Arial"/>
                <w:sz w:val="16"/>
                <w:szCs w:val="16"/>
                <w:lang w:val="es-ES" w:eastAsia="es-ES"/>
              </w:rPr>
            </w:pPr>
            <w:r w:rsidRPr="003E2DA1">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740882" w14:textId="416F9538" w:rsidR="00010CFE" w:rsidRPr="003E2DA1" w:rsidRDefault="00010CFE" w:rsidP="00010CFE">
            <w:pPr>
              <w:spacing w:line="276" w:lineRule="auto"/>
              <w:contextualSpacing/>
              <w:jc w:val="both"/>
              <w:rPr>
                <w:rFonts w:ascii="Verdana" w:hAnsi="Verdana"/>
                <w:sz w:val="16"/>
                <w:szCs w:val="16"/>
              </w:rPr>
            </w:pPr>
            <w:r>
              <w:rPr>
                <w:rFonts w:ascii="Verdana" w:hAnsi="Verdana"/>
                <w:sz w:val="16"/>
                <w:szCs w:val="16"/>
              </w:rPr>
              <w:t>J</w:t>
            </w:r>
            <w:r w:rsidRPr="00A95DDA">
              <w:rPr>
                <w:rFonts w:ascii="Verdana" w:hAnsi="Verdana"/>
                <w:sz w:val="16"/>
                <w:szCs w:val="16"/>
              </w:rPr>
              <w:t xml:space="preserve">uan Carlos González </w:t>
            </w:r>
            <w:r>
              <w:rPr>
                <w:rFonts w:ascii="Verdana" w:hAnsi="Verdana"/>
                <w:sz w:val="16"/>
                <w:szCs w:val="16"/>
              </w:rPr>
              <w:t>Vásquez</w:t>
            </w:r>
          </w:p>
          <w:p w14:paraId="57BFE919" w14:textId="77777777" w:rsidR="00C23516" w:rsidRPr="003E2DA1" w:rsidRDefault="00C23516" w:rsidP="00B250E5">
            <w:pPr>
              <w:pStyle w:val="paragraph"/>
              <w:spacing w:before="0" w:beforeAutospacing="0" w:after="0" w:afterAutospacing="0"/>
              <w:contextualSpacing/>
              <w:textAlignment w:val="baseline"/>
              <w:rPr>
                <w:rFonts w:ascii="Verdana" w:hAnsi="Verdana" w:cstheme="minorHAnsi"/>
                <w:sz w:val="16"/>
                <w:szCs w:val="16"/>
              </w:rPr>
            </w:pPr>
            <w:r w:rsidRPr="003E2DA1">
              <w:rPr>
                <w:rStyle w:val="normaltextrun"/>
                <w:rFonts w:ascii="Verdana" w:eastAsia="Arial" w:hAnsi="Verdana" w:cs="Arial"/>
                <w:sz w:val="16"/>
                <w:szCs w:val="16"/>
              </w:rPr>
              <w:t>Contratista Subdirección de Gestión Contractual</w:t>
            </w:r>
          </w:p>
        </w:tc>
      </w:tr>
      <w:tr w:rsidR="00C23516" w:rsidRPr="003E2DA1" w14:paraId="5DB72A1A" w14:textId="77777777" w:rsidTr="00B250E5">
        <w:trPr>
          <w:trHeight w:val="300"/>
        </w:trPr>
        <w:tc>
          <w:tcPr>
            <w:tcW w:w="893" w:type="dxa"/>
            <w:vAlign w:val="center"/>
          </w:tcPr>
          <w:p w14:paraId="53718D49" w14:textId="77777777" w:rsidR="00C23516" w:rsidRPr="003E2DA1" w:rsidRDefault="00C23516" w:rsidP="00B250E5">
            <w:pPr>
              <w:contextualSpacing/>
              <w:rPr>
                <w:rFonts w:ascii="Verdana" w:hAnsi="Verdana" w:cs="Arial"/>
                <w:sz w:val="16"/>
                <w:szCs w:val="16"/>
                <w:lang w:val="es-ES" w:eastAsia="es-ES"/>
              </w:rPr>
            </w:pPr>
            <w:r w:rsidRPr="003E2DA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645F9C5" w14:textId="77777777" w:rsidR="00C23516" w:rsidRPr="003E2DA1" w:rsidRDefault="00C23516" w:rsidP="00B250E5">
            <w:pPr>
              <w:contextualSpacing/>
              <w:rPr>
                <w:rFonts w:ascii="Verdana" w:eastAsia="Calibri" w:hAnsi="Verdana" w:cs="Arial"/>
                <w:sz w:val="16"/>
                <w:szCs w:val="16"/>
                <w:lang w:val="pt-BR" w:eastAsia="es-ES"/>
              </w:rPr>
            </w:pPr>
            <w:r w:rsidRPr="003E2DA1">
              <w:rPr>
                <w:rFonts w:ascii="Verdana" w:eastAsia="Calibri" w:hAnsi="Verdana" w:cs="Arial"/>
                <w:sz w:val="16"/>
                <w:szCs w:val="16"/>
                <w:lang w:val="pt-BR" w:eastAsia="es-ES"/>
              </w:rPr>
              <w:t>Carolina Quintero Ganchará</w:t>
            </w:r>
          </w:p>
          <w:p w14:paraId="058BC2A7" w14:textId="77777777" w:rsidR="00C23516" w:rsidRPr="003E2DA1" w:rsidRDefault="00C23516" w:rsidP="00B250E5">
            <w:pPr>
              <w:contextualSpacing/>
              <w:rPr>
                <w:rFonts w:ascii="Verdana" w:eastAsia="Calibri" w:hAnsi="Verdana" w:cs="Arial"/>
                <w:sz w:val="16"/>
                <w:szCs w:val="16"/>
                <w:lang w:val="pt-BR" w:eastAsia="es-ES"/>
              </w:rPr>
            </w:pPr>
            <w:r w:rsidRPr="003E2DA1">
              <w:rPr>
                <w:rFonts w:ascii="Verdana" w:eastAsia="Calibri" w:hAnsi="Verdana" w:cs="Arial"/>
                <w:sz w:val="16"/>
                <w:szCs w:val="16"/>
                <w:lang w:eastAsia="es-ES"/>
              </w:rPr>
              <w:t>Subdirectora</w:t>
            </w:r>
            <w:r w:rsidRPr="003E2DA1">
              <w:rPr>
                <w:rFonts w:ascii="Verdana" w:eastAsia="Calibri" w:hAnsi="Verdana" w:cs="Arial"/>
                <w:sz w:val="16"/>
                <w:szCs w:val="16"/>
                <w:lang w:val="pt-BR" w:eastAsia="es-ES"/>
              </w:rPr>
              <w:t xml:space="preserve"> de Gestión Contratual ANCP – CCE</w:t>
            </w:r>
          </w:p>
        </w:tc>
      </w:tr>
    </w:tbl>
    <w:p w14:paraId="56D71271" w14:textId="77777777" w:rsidR="00C23516" w:rsidRPr="0044528D" w:rsidRDefault="00C23516" w:rsidP="00C23516">
      <w:pPr>
        <w:spacing w:after="0"/>
        <w:jc w:val="both"/>
        <w:rPr>
          <w:rStyle w:val="Hipervnculo"/>
          <w:rFonts w:ascii="Verdana" w:hAnsi="Verdana"/>
        </w:rPr>
      </w:pPr>
    </w:p>
    <w:p w14:paraId="088C43BF" w14:textId="77777777" w:rsidR="00C23516" w:rsidRPr="0015699B" w:rsidRDefault="00C23516" w:rsidP="004D6931">
      <w:pPr>
        <w:spacing w:after="0" w:line="240" w:lineRule="auto"/>
        <w:jc w:val="both"/>
        <w:textAlignment w:val="baseline"/>
        <w:rPr>
          <w:rFonts w:ascii="Verdana" w:eastAsia="Times New Roman" w:hAnsi="Verdana" w:cs="Segoe UI"/>
          <w:lang w:eastAsia="es-CO"/>
        </w:rPr>
      </w:pPr>
    </w:p>
    <w:sectPr w:rsidR="00C23516"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8DF2B" w14:textId="77777777" w:rsidR="00C72972" w:rsidRDefault="00C72972" w:rsidP="004A1847">
      <w:pPr>
        <w:spacing w:after="0" w:line="240" w:lineRule="auto"/>
      </w:pPr>
      <w:r>
        <w:separator/>
      </w:r>
    </w:p>
  </w:endnote>
  <w:endnote w:type="continuationSeparator" w:id="0">
    <w:p w14:paraId="415668C2" w14:textId="77777777" w:rsidR="00C72972" w:rsidRDefault="00C7297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E9CF1" w14:textId="77777777" w:rsidR="00C72972" w:rsidRDefault="00C72972" w:rsidP="004A1847">
      <w:pPr>
        <w:spacing w:after="0" w:line="240" w:lineRule="auto"/>
      </w:pPr>
      <w:r>
        <w:separator/>
      </w:r>
    </w:p>
  </w:footnote>
  <w:footnote w:type="continuationSeparator" w:id="0">
    <w:p w14:paraId="47A64D89" w14:textId="77777777" w:rsidR="00C72972" w:rsidRDefault="00C72972" w:rsidP="004A1847">
      <w:pPr>
        <w:spacing w:after="0" w:line="240" w:lineRule="auto"/>
      </w:pPr>
      <w:r>
        <w:continuationSeparator/>
      </w:r>
    </w:p>
  </w:footnote>
  <w:footnote w:id="1">
    <w:p w14:paraId="1AE161CC" w14:textId="77777777" w:rsidR="00C23516" w:rsidRPr="00D519F0" w:rsidRDefault="00C23516" w:rsidP="00C23516">
      <w:pPr>
        <w:pStyle w:val="Textonotapie"/>
        <w:ind w:firstLine="709"/>
        <w:jc w:val="both"/>
        <w:rPr>
          <w:rFonts w:ascii="Verdana" w:hAnsi="Verdana" w:cs="Arial"/>
          <w:sz w:val="16"/>
          <w:szCs w:val="16"/>
          <w:lang w:val="pt-BR"/>
        </w:rPr>
      </w:pPr>
      <w:r w:rsidRPr="00FE2249">
        <w:rPr>
          <w:rStyle w:val="Refdenotaalpie"/>
          <w:rFonts w:ascii="Verdana" w:hAnsi="Verdana" w:cs="Arial"/>
          <w:sz w:val="16"/>
          <w:szCs w:val="16"/>
        </w:rPr>
        <w:footnoteRef/>
      </w:r>
      <w:r w:rsidRPr="00D519F0">
        <w:rPr>
          <w:rFonts w:ascii="Verdana" w:hAnsi="Verdana" w:cs="Arial"/>
          <w:sz w:val="16"/>
          <w:szCs w:val="16"/>
          <w:lang w:val="pt-BR"/>
        </w:rPr>
        <w:t xml:space="preserve"> </w:t>
      </w:r>
      <w:r w:rsidRPr="00FE2249">
        <w:rPr>
          <w:rFonts w:ascii="Verdana" w:hAnsi="Verdana" w:cs="Arial"/>
          <w:sz w:val="16"/>
          <w:szCs w:val="16"/>
          <w:lang w:val="pt-BR"/>
        </w:rPr>
        <w:t>CORTE CONSTITUCIONAL. Sentencia C-1016 de 2012. M.P. Jorge Iván Palacio.</w:t>
      </w:r>
    </w:p>
  </w:footnote>
  <w:footnote w:id="2">
    <w:p w14:paraId="53719B29" w14:textId="77777777" w:rsidR="00C23516" w:rsidRPr="00FE2249" w:rsidRDefault="00C23516" w:rsidP="00C23516">
      <w:pPr>
        <w:pStyle w:val="Textonotapie"/>
        <w:ind w:firstLine="709"/>
        <w:jc w:val="both"/>
        <w:rPr>
          <w:rFonts w:ascii="Verdana" w:hAnsi="Verdana" w:cs="Arial"/>
          <w:sz w:val="16"/>
          <w:szCs w:val="16"/>
          <w:lang w:val="pt-BR"/>
        </w:rPr>
      </w:pPr>
      <w:r w:rsidRPr="00FE2249">
        <w:rPr>
          <w:rStyle w:val="Refdenotaalpie"/>
          <w:rFonts w:ascii="Verdana" w:hAnsi="Verdana" w:cs="Arial"/>
          <w:sz w:val="16"/>
          <w:szCs w:val="16"/>
        </w:rPr>
        <w:footnoteRef/>
      </w:r>
      <w:r w:rsidRPr="00FE2249">
        <w:rPr>
          <w:rFonts w:ascii="Verdana" w:hAnsi="Verdana" w:cs="Arial"/>
          <w:sz w:val="16"/>
          <w:szCs w:val="16"/>
        </w:rPr>
        <w:t xml:space="preserve"> CONSEJO DE ESTADO. Sección Tercera. Subsección A. Sentencia del 13 de noviembre de 2013. </w:t>
      </w:r>
      <w:r w:rsidRPr="00FE2249">
        <w:rPr>
          <w:rFonts w:ascii="Verdana" w:hAnsi="Verdana" w:cs="Arial"/>
          <w:sz w:val="16"/>
          <w:szCs w:val="16"/>
          <w:lang w:val="pt-BR"/>
        </w:rPr>
        <w:t>Rad. 25.646. C.P. Mauricio Fajardo Gómez.</w:t>
      </w:r>
    </w:p>
  </w:footnote>
  <w:footnote w:id="3">
    <w:p w14:paraId="485A5BBF" w14:textId="77777777" w:rsidR="00C23516" w:rsidRPr="00D519F0" w:rsidRDefault="00C23516" w:rsidP="00C23516">
      <w:pPr>
        <w:pStyle w:val="Textonotapie"/>
        <w:ind w:firstLine="709"/>
        <w:jc w:val="both"/>
        <w:rPr>
          <w:rFonts w:ascii="Verdana" w:hAnsi="Verdana" w:cs="Arial"/>
          <w:sz w:val="16"/>
          <w:szCs w:val="16"/>
          <w:lang w:val="pt-BR"/>
        </w:rPr>
      </w:pPr>
      <w:r w:rsidRPr="00FE2249">
        <w:rPr>
          <w:rStyle w:val="Refdenotaalpie"/>
          <w:rFonts w:ascii="Verdana" w:hAnsi="Verdana" w:cs="Arial"/>
          <w:sz w:val="16"/>
          <w:szCs w:val="16"/>
        </w:rPr>
        <w:footnoteRef/>
      </w:r>
      <w:r w:rsidRPr="00D519F0">
        <w:rPr>
          <w:rFonts w:ascii="Verdana" w:hAnsi="Verdana" w:cs="Arial"/>
          <w:sz w:val="16"/>
          <w:szCs w:val="16"/>
          <w:lang w:val="pt-BR"/>
        </w:rPr>
        <w:t xml:space="preserve"> </w:t>
      </w:r>
      <w:r w:rsidRPr="00FE2249">
        <w:rPr>
          <w:rFonts w:ascii="Verdana" w:hAnsi="Verdana" w:cs="Arial"/>
          <w:sz w:val="16"/>
          <w:szCs w:val="16"/>
          <w:lang w:val="pt-BR"/>
        </w:rPr>
        <w:t xml:space="preserve">CORTE CONSTITUCIONAL. Sentencia C-415 de 1994. M.P. </w:t>
      </w:r>
      <w:r w:rsidRPr="00D519F0">
        <w:rPr>
          <w:rFonts w:ascii="Verdana" w:hAnsi="Verdana" w:cs="Arial"/>
          <w:sz w:val="16"/>
          <w:szCs w:val="16"/>
          <w:lang w:val="pt-BR"/>
        </w:rPr>
        <w:t xml:space="preserve">Eduardo </w:t>
      </w:r>
      <w:r w:rsidRPr="00D519F0">
        <w:rPr>
          <w:rFonts w:ascii="Verdana" w:hAnsi="Verdana" w:cs="Arial"/>
          <w:sz w:val="16"/>
          <w:szCs w:val="16"/>
          <w:lang w:val="pt-BR"/>
        </w:rPr>
        <w:t>Cifuentes Muñoz.</w:t>
      </w:r>
    </w:p>
  </w:footnote>
  <w:footnote w:id="4">
    <w:p w14:paraId="4D7E7EC9" w14:textId="77777777" w:rsidR="00C23516" w:rsidRPr="00FE2249" w:rsidRDefault="00C23516" w:rsidP="00C23516">
      <w:pPr>
        <w:pStyle w:val="Textonotapie"/>
        <w:ind w:firstLine="709"/>
        <w:jc w:val="both"/>
        <w:rPr>
          <w:rFonts w:ascii="Verdana" w:hAnsi="Verdana" w:cs="Arial"/>
          <w:sz w:val="16"/>
          <w:szCs w:val="16"/>
          <w:lang w:val="pt-BR"/>
        </w:rPr>
      </w:pPr>
      <w:r w:rsidRPr="00FE2249">
        <w:rPr>
          <w:rStyle w:val="Refdenotaalpie"/>
          <w:rFonts w:ascii="Verdana" w:hAnsi="Verdana" w:cs="Arial"/>
          <w:sz w:val="16"/>
          <w:szCs w:val="16"/>
        </w:rPr>
        <w:footnoteRef/>
      </w:r>
      <w:r w:rsidRPr="00D519F0">
        <w:rPr>
          <w:rFonts w:ascii="Verdana" w:hAnsi="Verdana" w:cs="Arial"/>
          <w:sz w:val="16"/>
          <w:szCs w:val="16"/>
          <w:lang w:val="pt-BR"/>
        </w:rPr>
        <w:t xml:space="preserve"> </w:t>
      </w:r>
      <w:r w:rsidRPr="00FE2249">
        <w:rPr>
          <w:rFonts w:ascii="Verdana" w:hAnsi="Verdana" w:cs="Arial"/>
          <w:sz w:val="16"/>
          <w:szCs w:val="16"/>
          <w:lang w:val="pt-BR"/>
        </w:rPr>
        <w:t>Ib</w:t>
      </w:r>
      <w:r>
        <w:rPr>
          <w:rFonts w:ascii="Verdana" w:hAnsi="Verdana" w:cs="Arial"/>
          <w:sz w:val="16"/>
          <w:szCs w:val="16"/>
          <w:lang w:val="pt-BR"/>
        </w:rPr>
        <w:t>i</w:t>
      </w:r>
      <w:r w:rsidRPr="00FE2249">
        <w:rPr>
          <w:rFonts w:ascii="Verdana" w:hAnsi="Verdana" w:cs="Arial"/>
          <w:sz w:val="16"/>
          <w:szCs w:val="16"/>
          <w:lang w:val="pt-BR"/>
        </w:rPr>
        <w:t>dem.</w:t>
      </w:r>
    </w:p>
  </w:footnote>
  <w:footnote w:id="5">
    <w:p w14:paraId="08D2BB0A" w14:textId="77777777" w:rsidR="00C23516" w:rsidRPr="00FE2249" w:rsidRDefault="00C23516" w:rsidP="00C23516">
      <w:pPr>
        <w:pStyle w:val="Textonotapie"/>
        <w:ind w:firstLine="709"/>
        <w:jc w:val="both"/>
        <w:rPr>
          <w:rFonts w:ascii="Verdana" w:hAnsi="Verdana" w:cs="Arial"/>
          <w:sz w:val="16"/>
          <w:szCs w:val="16"/>
          <w:lang w:val="es-CO"/>
        </w:rPr>
      </w:pPr>
      <w:r w:rsidRPr="00FE2249">
        <w:rPr>
          <w:rStyle w:val="Refdenotaalpie"/>
          <w:rFonts w:ascii="Verdana" w:hAnsi="Verdana" w:cs="Arial"/>
          <w:sz w:val="16"/>
          <w:szCs w:val="16"/>
        </w:rPr>
        <w:footnoteRef/>
      </w:r>
      <w:r w:rsidRPr="00D519F0">
        <w:rPr>
          <w:rFonts w:ascii="Verdana" w:hAnsi="Verdana" w:cs="Arial"/>
          <w:sz w:val="16"/>
          <w:szCs w:val="16"/>
          <w:lang w:val="pt-BR"/>
        </w:rPr>
        <w:t xml:space="preserve"> </w:t>
      </w:r>
      <w:r w:rsidRPr="00FE2249">
        <w:rPr>
          <w:rFonts w:ascii="Verdana" w:hAnsi="Verdana" w:cs="Arial"/>
          <w:sz w:val="16"/>
          <w:szCs w:val="16"/>
          <w:lang w:val="pt-BR"/>
        </w:rPr>
        <w:t xml:space="preserve">CORTE CONSTITUCIONAL. </w:t>
      </w:r>
      <w:r w:rsidRPr="00FE2249">
        <w:rPr>
          <w:rFonts w:ascii="Verdana" w:hAnsi="Verdana" w:cs="Arial"/>
          <w:sz w:val="16"/>
          <w:szCs w:val="16"/>
        </w:rPr>
        <w:t xml:space="preserve">Sentencia C-780 de 2001. </w:t>
      </w:r>
      <w:r w:rsidRPr="00FE2249">
        <w:rPr>
          <w:rFonts w:ascii="Verdana" w:hAnsi="Verdana" w:cs="Arial"/>
          <w:sz w:val="16"/>
          <w:szCs w:val="16"/>
          <w:lang w:val="es-CO"/>
        </w:rPr>
        <w:t xml:space="preserve">M.P. Jaime Córdoba Triviño. </w:t>
      </w:r>
    </w:p>
  </w:footnote>
  <w:footnote w:id="6">
    <w:p w14:paraId="175E3631" w14:textId="77777777" w:rsidR="00C23516" w:rsidRPr="00FE2249" w:rsidRDefault="00C23516" w:rsidP="00C23516">
      <w:pPr>
        <w:pStyle w:val="Textonotapie"/>
        <w:ind w:firstLine="709"/>
        <w:jc w:val="both"/>
        <w:rPr>
          <w:rFonts w:ascii="Verdana" w:hAnsi="Verdana" w:cs="Arial"/>
          <w:sz w:val="16"/>
          <w:szCs w:val="16"/>
        </w:rPr>
      </w:pPr>
      <w:r w:rsidRPr="00FE2249">
        <w:rPr>
          <w:rStyle w:val="Refdenotaalpie"/>
          <w:rFonts w:ascii="Verdana" w:hAnsi="Verdana" w:cs="Arial"/>
          <w:sz w:val="16"/>
          <w:szCs w:val="16"/>
        </w:rPr>
        <w:footnoteRef/>
      </w:r>
      <w:r w:rsidRPr="00FE2249">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1451BB30" w14:textId="77777777" w:rsidR="00C23516" w:rsidRPr="00FE2249" w:rsidRDefault="00C23516" w:rsidP="00C23516">
      <w:pPr>
        <w:pStyle w:val="Textonotapie"/>
        <w:ind w:firstLine="709"/>
        <w:jc w:val="both"/>
        <w:rPr>
          <w:rFonts w:ascii="Verdana" w:hAnsi="Verdana" w:cs="Arial"/>
          <w:sz w:val="16"/>
          <w:szCs w:val="16"/>
        </w:rPr>
      </w:pPr>
      <w:r w:rsidRPr="00FE2249">
        <w:rPr>
          <w:rFonts w:ascii="Verdana" w:hAnsi="Verdana" w:cs="Arial"/>
          <w:sz w:val="16"/>
          <w:szCs w:val="16"/>
        </w:rPr>
        <w:t>Las personas jurídicas nacionales y extranjeras deberán acreditar que su duración no será inferior a la del plazo del contrato y un año más”.</w:t>
      </w:r>
    </w:p>
  </w:footnote>
  <w:footnote w:id="7">
    <w:p w14:paraId="1E86DB8F" w14:textId="77777777" w:rsidR="00C23516" w:rsidRPr="00FE2249" w:rsidRDefault="00C23516" w:rsidP="00C23516">
      <w:pPr>
        <w:pStyle w:val="Textonotapie"/>
        <w:ind w:firstLine="709"/>
        <w:jc w:val="both"/>
        <w:rPr>
          <w:rFonts w:ascii="Verdana" w:hAnsi="Verdana" w:cs="Arial"/>
          <w:sz w:val="16"/>
          <w:szCs w:val="16"/>
        </w:rPr>
      </w:pPr>
      <w:r w:rsidRPr="00FE2249">
        <w:rPr>
          <w:rStyle w:val="Refdenotaalpie"/>
          <w:rFonts w:ascii="Verdana" w:hAnsi="Verdana" w:cs="Arial"/>
          <w:sz w:val="16"/>
          <w:szCs w:val="16"/>
        </w:rPr>
        <w:footnoteRef/>
      </w:r>
      <w:r w:rsidRPr="00FE2249">
        <w:rPr>
          <w:rFonts w:ascii="Verdana" w:hAnsi="Verdana" w:cs="Arial"/>
          <w:sz w:val="16"/>
          <w:szCs w:val="16"/>
        </w:rPr>
        <w:t xml:space="preserve"> Código Civil: “Artículo 1502. Requisitos para obligarse. Para que una persona se obligue a otra por un acto o declaración de voluntad, es necesario:</w:t>
      </w:r>
    </w:p>
    <w:p w14:paraId="36A1BC7D" w14:textId="77777777" w:rsidR="00C23516" w:rsidRPr="00FE2249" w:rsidRDefault="00C23516" w:rsidP="00C23516">
      <w:pPr>
        <w:pStyle w:val="Textonotapie"/>
        <w:ind w:firstLine="709"/>
        <w:jc w:val="both"/>
        <w:rPr>
          <w:rFonts w:ascii="Verdana" w:hAnsi="Verdana" w:cs="Arial"/>
          <w:sz w:val="16"/>
          <w:szCs w:val="16"/>
        </w:rPr>
      </w:pPr>
      <w:r w:rsidRPr="00FE2249">
        <w:rPr>
          <w:rFonts w:ascii="Verdana" w:hAnsi="Verdana" w:cs="Arial"/>
          <w:sz w:val="16"/>
          <w:szCs w:val="16"/>
        </w:rPr>
        <w:t>1o.) que sea legalmente capaz.</w:t>
      </w:r>
    </w:p>
    <w:p w14:paraId="75C8E272" w14:textId="77777777" w:rsidR="00C23516" w:rsidRPr="00FE2249" w:rsidRDefault="00C23516" w:rsidP="00C23516">
      <w:pPr>
        <w:pStyle w:val="Textonotapie"/>
        <w:ind w:firstLine="709"/>
        <w:jc w:val="both"/>
        <w:rPr>
          <w:rFonts w:ascii="Verdana" w:hAnsi="Verdana" w:cs="Arial"/>
          <w:sz w:val="16"/>
          <w:szCs w:val="16"/>
        </w:rPr>
      </w:pPr>
      <w:r w:rsidRPr="00FE2249">
        <w:rPr>
          <w:rFonts w:ascii="Verdana" w:hAnsi="Verdana" w:cs="Arial"/>
          <w:sz w:val="16"/>
          <w:szCs w:val="16"/>
        </w:rPr>
        <w:t>[…]</w:t>
      </w:r>
    </w:p>
    <w:p w14:paraId="36A423DB" w14:textId="77777777" w:rsidR="00C23516" w:rsidRPr="00FE2249" w:rsidRDefault="00C23516" w:rsidP="00C23516">
      <w:pPr>
        <w:pStyle w:val="Textonotapie"/>
        <w:ind w:firstLine="709"/>
        <w:jc w:val="both"/>
        <w:rPr>
          <w:rFonts w:ascii="Verdana" w:hAnsi="Verdana" w:cs="Arial"/>
          <w:sz w:val="16"/>
          <w:szCs w:val="16"/>
        </w:rPr>
      </w:pPr>
      <w:r w:rsidRPr="00FE2249">
        <w:rPr>
          <w:rFonts w:ascii="Verdana" w:hAnsi="Verdana" w:cs="Arial"/>
          <w:sz w:val="16"/>
          <w:szCs w:val="16"/>
        </w:rPr>
        <w:t>La capacidad legal de una persona consiste en poderse obligar por sí misma, sin el ministerio o la autorización de otra”.</w:t>
      </w:r>
    </w:p>
  </w:footnote>
  <w:footnote w:id="8">
    <w:p w14:paraId="52004686" w14:textId="77777777" w:rsidR="00C23516" w:rsidRPr="00FE2249" w:rsidRDefault="00C23516" w:rsidP="00C23516">
      <w:pPr>
        <w:pStyle w:val="Textonotapie"/>
        <w:ind w:firstLine="709"/>
        <w:jc w:val="both"/>
        <w:rPr>
          <w:rFonts w:ascii="Verdana" w:hAnsi="Verdana" w:cs="Arial"/>
          <w:sz w:val="16"/>
          <w:szCs w:val="16"/>
        </w:rPr>
      </w:pPr>
      <w:r w:rsidRPr="00FE2249">
        <w:rPr>
          <w:rStyle w:val="Refdenotaalpie"/>
          <w:rFonts w:ascii="Verdana" w:hAnsi="Verdana" w:cs="Arial"/>
          <w:sz w:val="16"/>
          <w:szCs w:val="16"/>
        </w:rPr>
        <w:footnoteRef/>
      </w:r>
      <w:r w:rsidRPr="00FE2249">
        <w:rPr>
          <w:rFonts w:ascii="Verdana" w:hAnsi="Verdana" w:cs="Arial"/>
          <w:sz w:val="16"/>
          <w:szCs w:val="16"/>
        </w:rPr>
        <w:t xml:space="preserve"> Decreto Ley 19 de 2012: “Artículo 221. El artículo 6 de la Ley 1150 de 2007, quedará así:</w:t>
      </w:r>
    </w:p>
    <w:p w14:paraId="6F9E64D5" w14:textId="77777777" w:rsidR="00C23516" w:rsidRPr="00FE2249" w:rsidRDefault="00C23516" w:rsidP="00C23516">
      <w:pPr>
        <w:pStyle w:val="Textonotapie"/>
        <w:ind w:firstLine="709"/>
        <w:jc w:val="both"/>
        <w:rPr>
          <w:rFonts w:ascii="Verdana" w:hAnsi="Verdana" w:cs="Arial"/>
          <w:sz w:val="16"/>
          <w:szCs w:val="16"/>
          <w:lang w:val="es-ES"/>
        </w:rPr>
      </w:pPr>
      <w:r w:rsidRPr="00FE2249">
        <w:rPr>
          <w:rFonts w:ascii="Verdana" w:hAnsi="Verdana" w:cs="Arial"/>
          <w:sz w:val="16"/>
          <w:szCs w:val="16"/>
        </w:rPr>
        <w:t>Artículo 6. De la verificación de las condiciones de los proponentes. T</w:t>
      </w:r>
      <w:r w:rsidRPr="00FE2249">
        <w:rPr>
          <w:rFonts w:ascii="Verdana" w:hAnsi="Verdana"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A8F3DA2" w14:textId="77777777" w:rsidR="00C23516" w:rsidRPr="00FE2249" w:rsidRDefault="00C23516" w:rsidP="00C23516">
      <w:pPr>
        <w:pStyle w:val="Textonotapie"/>
        <w:ind w:firstLine="709"/>
        <w:jc w:val="both"/>
        <w:rPr>
          <w:rFonts w:ascii="Verdana" w:hAnsi="Verdana" w:cs="Arial"/>
          <w:sz w:val="16"/>
          <w:szCs w:val="16"/>
          <w:lang w:val="es-ES"/>
        </w:rPr>
      </w:pPr>
      <w:r w:rsidRPr="00FE2249">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9">
    <w:p w14:paraId="543C4C3D" w14:textId="77777777" w:rsidR="00C23516" w:rsidRPr="00FE2249" w:rsidRDefault="00C23516" w:rsidP="00C23516">
      <w:pPr>
        <w:pStyle w:val="Textonotapie"/>
        <w:ind w:firstLine="709"/>
        <w:jc w:val="both"/>
        <w:rPr>
          <w:rFonts w:ascii="Verdana" w:hAnsi="Verdana" w:cs="Arial"/>
          <w:sz w:val="16"/>
          <w:szCs w:val="16"/>
          <w:lang w:val="es-ES"/>
        </w:rPr>
      </w:pPr>
      <w:r w:rsidRPr="00FE2249">
        <w:rPr>
          <w:rStyle w:val="Refdenotaalpie"/>
          <w:rFonts w:ascii="Verdana" w:hAnsi="Verdana" w:cs="Arial"/>
          <w:sz w:val="16"/>
          <w:szCs w:val="16"/>
        </w:rPr>
        <w:footnoteRef/>
      </w:r>
      <w:r w:rsidRPr="00FE2249">
        <w:rPr>
          <w:rFonts w:ascii="Verdana" w:hAnsi="Verdana" w:cs="Arial"/>
          <w:sz w:val="16"/>
          <w:szCs w:val="16"/>
        </w:rPr>
        <w:t xml:space="preserve"> </w:t>
      </w:r>
      <w:r w:rsidRPr="00FE2249">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FE2249">
        <w:rPr>
          <w:rFonts w:ascii="Verdana" w:hAnsi="Verdana" w:cs="Arial"/>
          <w:i/>
          <w:iCs/>
          <w:sz w:val="16"/>
          <w:szCs w:val="16"/>
          <w:lang w:val="es-ES"/>
        </w:rPr>
        <w:t>el régimen de inhabilidades e incompatibilidades</w:t>
      </w:r>
      <w:r w:rsidRPr="00FE2249">
        <w:rPr>
          <w:rFonts w:ascii="Verdana" w:hAnsi="Verdana" w:cs="Arial"/>
          <w:sz w:val="16"/>
          <w:szCs w:val="16"/>
          <w:lang w:val="es-ES"/>
        </w:rPr>
        <w:t xml:space="preserve"> (1) y la obligación de ciertos proponentes de inscribirse en el </w:t>
      </w:r>
      <w:r w:rsidRPr="00FE2249">
        <w:rPr>
          <w:rFonts w:ascii="Verdana" w:hAnsi="Verdana" w:cs="Arial"/>
          <w:i/>
          <w:iCs/>
          <w:sz w:val="16"/>
          <w:szCs w:val="16"/>
          <w:lang w:val="es-ES"/>
        </w:rPr>
        <w:t>registro único</w:t>
      </w:r>
      <w:r w:rsidRPr="00FE2249">
        <w:rPr>
          <w:rFonts w:ascii="Verdana" w:hAnsi="Verdana" w:cs="Arial"/>
          <w:sz w:val="16"/>
          <w:szCs w:val="16"/>
          <w:lang w:val="es-ES"/>
        </w:rPr>
        <w:t xml:space="preserve"> (2)” (BENAVIDES, José Luis. El contrato estatal. Entre el Derecho público y el Derecho privado. 2ª ed. Bogotá: Universidad Externado de Colombia, 2004. p. 278). </w:t>
      </w:r>
    </w:p>
  </w:footnote>
  <w:footnote w:id="10">
    <w:p w14:paraId="28459894" w14:textId="77777777" w:rsidR="00C23516" w:rsidRPr="00FE2249" w:rsidRDefault="00C23516" w:rsidP="00C23516">
      <w:pPr>
        <w:pStyle w:val="Textonotapie"/>
        <w:ind w:firstLine="709"/>
        <w:jc w:val="both"/>
        <w:rPr>
          <w:rFonts w:ascii="Verdana" w:hAnsi="Verdana" w:cs="Arial"/>
          <w:sz w:val="16"/>
          <w:szCs w:val="16"/>
        </w:rPr>
      </w:pPr>
      <w:r w:rsidRPr="00FE2249">
        <w:rPr>
          <w:rStyle w:val="Refdenotaalpie"/>
          <w:rFonts w:ascii="Verdana" w:hAnsi="Verdana" w:cs="Arial"/>
          <w:sz w:val="16"/>
          <w:szCs w:val="16"/>
        </w:rPr>
        <w:footnoteRef/>
      </w:r>
      <w:r w:rsidRPr="00FE2249">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w:t>
      </w:r>
      <w:r w:rsidRPr="00FE2249">
        <w:rPr>
          <w:rFonts w:ascii="Verdana" w:hAnsi="Verdana" w:cs="Arial"/>
          <w:sz w:val="16"/>
          <w:szCs w:val="16"/>
        </w:rPr>
        <w:t>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11">
    <w:p w14:paraId="10FB2622" w14:textId="77777777" w:rsidR="00C23516" w:rsidRPr="00FE2249" w:rsidRDefault="00C23516" w:rsidP="00C23516">
      <w:pPr>
        <w:pStyle w:val="Textonotapie"/>
        <w:ind w:firstLine="709"/>
        <w:jc w:val="both"/>
        <w:rPr>
          <w:rFonts w:ascii="Verdana" w:hAnsi="Verdana" w:cs="Arial"/>
          <w:sz w:val="16"/>
          <w:szCs w:val="16"/>
          <w:lang w:val="es-ES"/>
        </w:rPr>
      </w:pPr>
      <w:r w:rsidRPr="00FE2249">
        <w:rPr>
          <w:rStyle w:val="Refdenotaalpie"/>
          <w:rFonts w:ascii="Verdana" w:hAnsi="Verdana" w:cs="Arial"/>
          <w:sz w:val="16"/>
          <w:szCs w:val="16"/>
        </w:rPr>
        <w:footnoteRef/>
      </w:r>
      <w:r w:rsidRPr="00FE2249">
        <w:rPr>
          <w:rFonts w:ascii="Verdana" w:hAnsi="Verdana" w:cs="Arial"/>
          <w:sz w:val="16"/>
          <w:szCs w:val="16"/>
        </w:rPr>
        <w:t xml:space="preserve"> </w:t>
      </w:r>
      <w:r w:rsidRPr="00FE2249">
        <w:rPr>
          <w:rFonts w:ascii="Verdana" w:hAnsi="Verdana" w:cs="Arial"/>
          <w:sz w:val="16"/>
          <w:szCs w:val="16"/>
          <w:lang w:val="es-ES"/>
        </w:rPr>
        <w:t xml:space="preserve">BARRETO ROZO, Antonio Alejandro. Inhabilidades de la contratación estatal, efectos y </w:t>
      </w:r>
      <w:r w:rsidRPr="00FE2249">
        <w:rPr>
          <w:rFonts w:ascii="Verdana" w:hAnsi="Verdana" w:cs="Arial"/>
          <w:sz w:val="16"/>
          <w:szCs w:val="16"/>
          <w:lang w:val="es-ES"/>
        </w:rPr>
        <w:t>neopunitivismo en el Estatuto Anticorrupción. En: ALVIAR GARCÍA, Helena (Coordinadora). Nuevas tendencias del Derecho administrativo. Bogotá: Universidad de los Andes; Temis, 2016. pp. 63-99.</w:t>
      </w:r>
    </w:p>
  </w:footnote>
  <w:footnote w:id="12">
    <w:p w14:paraId="0DF29AF4" w14:textId="77777777" w:rsidR="00C23516" w:rsidRPr="00FE2249" w:rsidRDefault="00C23516" w:rsidP="00C23516">
      <w:pPr>
        <w:pStyle w:val="Textonotapie"/>
        <w:ind w:firstLine="709"/>
        <w:jc w:val="both"/>
        <w:rPr>
          <w:rFonts w:ascii="Verdana" w:hAnsi="Verdana"/>
          <w:sz w:val="16"/>
          <w:szCs w:val="16"/>
          <w:lang w:val="es-CO"/>
        </w:rPr>
      </w:pPr>
      <w:r w:rsidRPr="00FE2249">
        <w:rPr>
          <w:rStyle w:val="Refdenotaalpie"/>
          <w:rFonts w:ascii="Verdana" w:hAnsi="Verdana"/>
          <w:sz w:val="16"/>
          <w:szCs w:val="16"/>
        </w:rPr>
        <w:footnoteRef/>
      </w:r>
      <w:r w:rsidRPr="00FE2249">
        <w:rPr>
          <w:rFonts w:ascii="Verdana" w:hAnsi="Verdana"/>
          <w:sz w:val="16"/>
          <w:szCs w:val="16"/>
        </w:rPr>
        <w:t xml:space="preserve"> El artículo 6 del Decreto 092 de 2017, “Por el cual se reglamenta la contratación con entidades privadas sin ánimo de lucro a la que hace referencia el inciso segundo del artículo 355 de la Constitución Política”,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 w:id="13">
    <w:p w14:paraId="2F2F49C0" w14:textId="77777777" w:rsidR="00C23516" w:rsidRPr="00FE2249" w:rsidRDefault="00C23516" w:rsidP="00C23516">
      <w:pPr>
        <w:pStyle w:val="Textonotapie"/>
        <w:ind w:firstLine="708"/>
        <w:jc w:val="both"/>
        <w:rPr>
          <w:rFonts w:ascii="Verdana" w:hAnsi="Verdana"/>
          <w:sz w:val="16"/>
          <w:szCs w:val="16"/>
          <w:lang w:val="es-CO"/>
        </w:rPr>
      </w:pPr>
      <w:r w:rsidRPr="00FE2249">
        <w:rPr>
          <w:rStyle w:val="Refdenotaalpie"/>
          <w:rFonts w:ascii="Verdana" w:hAnsi="Verdana"/>
          <w:sz w:val="16"/>
          <w:szCs w:val="16"/>
        </w:rPr>
        <w:footnoteRef/>
      </w:r>
      <w:r w:rsidRPr="00FE2249">
        <w:rPr>
          <w:rFonts w:ascii="Verdana" w:hAnsi="Verdana"/>
          <w:sz w:val="16"/>
          <w:szCs w:val="16"/>
        </w:rPr>
        <w:t xml:space="preserve"> CHINCHILLA, Tulio Elí. Constitución comentada por la </w:t>
      </w:r>
      <w:r w:rsidRPr="00FE2249">
        <w:rPr>
          <w:rFonts w:ascii="Verdana" w:hAnsi="Verdana"/>
          <w:sz w:val="16"/>
          <w:szCs w:val="16"/>
        </w:rPr>
        <w:t xml:space="preserve">la Comisión Colombiana de Juristas. Título V. De la organización del Estado. Texto consultado el 22 de abril de 2025 en la página web </w:t>
      </w:r>
      <w:hyperlink r:id="rId1" w:history="1">
        <w:r w:rsidRPr="00FE2249">
          <w:rPr>
            <w:rStyle w:val="Hipervnculo"/>
            <w:rFonts w:ascii="Verdana" w:hAnsi="Verdana"/>
            <w:sz w:val="16"/>
            <w:szCs w:val="16"/>
          </w:rPr>
          <w:t>https://coljuristas.org/documentos/libros_e_informes/cpc_titulo_v.pdf</w:t>
        </w:r>
      </w:hyperlink>
      <w:r w:rsidRPr="00FE2249">
        <w:rPr>
          <w:rFonts w:ascii="Verdana" w:hAnsi="Verdana"/>
          <w:sz w:val="16"/>
          <w:szCs w:val="16"/>
        </w:rPr>
        <w:t>. p. 102.</w:t>
      </w:r>
    </w:p>
  </w:footnote>
  <w:footnote w:id="14">
    <w:p w14:paraId="442D0CB0" w14:textId="77777777" w:rsidR="00C23516" w:rsidRPr="00FE2249" w:rsidRDefault="00C23516" w:rsidP="00C23516">
      <w:pPr>
        <w:pStyle w:val="Textonotapie"/>
        <w:ind w:firstLine="708"/>
        <w:jc w:val="both"/>
        <w:rPr>
          <w:rFonts w:ascii="Verdana" w:hAnsi="Verdana"/>
          <w:sz w:val="16"/>
          <w:szCs w:val="16"/>
          <w:lang w:val="es-CO"/>
        </w:rPr>
      </w:pPr>
      <w:r w:rsidRPr="00FE2249">
        <w:rPr>
          <w:rStyle w:val="Refdenotaalpie"/>
          <w:rFonts w:ascii="Verdana" w:hAnsi="Verdana"/>
          <w:sz w:val="16"/>
          <w:szCs w:val="16"/>
        </w:rPr>
        <w:footnoteRef/>
      </w:r>
      <w:r w:rsidRPr="00FE2249">
        <w:rPr>
          <w:rFonts w:ascii="Verdana" w:hAnsi="Verdana"/>
          <w:sz w:val="16"/>
          <w:szCs w:val="16"/>
        </w:rPr>
        <w:t xml:space="preserve"> </w:t>
      </w:r>
      <w:r>
        <w:rPr>
          <w:rFonts w:ascii="Verdana" w:hAnsi="Verdana"/>
          <w:sz w:val="16"/>
          <w:szCs w:val="16"/>
        </w:rPr>
        <w:t>Cfr. YOUNES MORENO, Diego. Derecho administrativo laboral. Decimotercera edición. Bogotá: Temis, 2021. pp. 39 y ss.</w:t>
      </w:r>
    </w:p>
  </w:footnote>
  <w:footnote w:id="15">
    <w:p w14:paraId="0F4C8FC9" w14:textId="77777777" w:rsidR="00C23516" w:rsidRPr="00FE2249" w:rsidRDefault="00C23516" w:rsidP="00C23516">
      <w:pPr>
        <w:pStyle w:val="Textonotapie"/>
        <w:ind w:firstLine="708"/>
        <w:jc w:val="both"/>
        <w:rPr>
          <w:rFonts w:ascii="Verdana" w:hAnsi="Verdana" w:cs="Arial"/>
          <w:sz w:val="16"/>
          <w:szCs w:val="16"/>
        </w:rPr>
      </w:pPr>
      <w:r w:rsidRPr="00FE2249">
        <w:rPr>
          <w:rStyle w:val="Refdenotaalpie"/>
          <w:rFonts w:ascii="Verdana" w:hAnsi="Verdana" w:cs="Arial"/>
          <w:sz w:val="16"/>
          <w:szCs w:val="16"/>
        </w:rPr>
        <w:footnoteRef/>
      </w:r>
      <w:r w:rsidRPr="00FE2249">
        <w:rPr>
          <w:rFonts w:ascii="Verdana" w:hAnsi="Verdana" w:cs="Arial"/>
          <w:sz w:val="16"/>
          <w:szCs w:val="16"/>
        </w:rPr>
        <w:t xml:space="preserve"> Cfr. CONSEJO DE ESTADO. Sala de Consulta y Servicio Civil. Concepto del 10 de mayo de 2001. Rad. 1344. C.P. Flavio Augusto Rodríguez Arce.</w:t>
      </w:r>
    </w:p>
  </w:footnote>
  <w:footnote w:id="16">
    <w:p w14:paraId="418A8182" w14:textId="77777777" w:rsidR="00D50B27" w:rsidRDefault="00D50B27" w:rsidP="00D50B27">
      <w:pPr>
        <w:pStyle w:val="Textonotapie"/>
        <w:jc w:val="both"/>
        <w:rPr>
          <w:rFonts w:ascii="Verdana" w:eastAsia="Arial" w:hAnsi="Verdana" w:cs="Arial"/>
          <w:sz w:val="14"/>
          <w:szCs w:val="14"/>
          <w:lang w:val="es-ES"/>
        </w:rPr>
      </w:pPr>
      <w:r w:rsidRPr="00937A3E">
        <w:rPr>
          <w:rStyle w:val="Refdenotaalpie"/>
          <w:rFonts w:ascii="Verdana" w:hAnsi="Verdana"/>
          <w:sz w:val="14"/>
          <w:szCs w:val="14"/>
        </w:rPr>
        <w:footnoteRef/>
      </w:r>
      <w:r w:rsidRPr="00937A3E">
        <w:rPr>
          <w:rFonts w:ascii="Verdana" w:eastAsia="Arial" w:hAnsi="Verdana" w:cs="Arial"/>
          <w:sz w:val="14"/>
          <w:szCs w:val="14"/>
          <w:lang w:val="es-ES"/>
        </w:rPr>
        <w:t xml:space="preserve"> Consejo de Estado. Sala de Servicio y Consulta Civil. Radicado: </w:t>
      </w:r>
      <w:r w:rsidRPr="00937A3E">
        <w:rPr>
          <w:rFonts w:ascii="Verdana" w:eastAsia="Arial" w:hAnsi="Verdana" w:cs="Arial"/>
          <w:sz w:val="14"/>
          <w:szCs w:val="14"/>
          <w:lang w:val="es-CO"/>
        </w:rPr>
        <w:t>253613</w:t>
      </w:r>
      <w:r w:rsidRPr="00937A3E">
        <w:rPr>
          <w:rFonts w:ascii="Verdana" w:eastAsia="Arial" w:hAnsi="Verdana" w:cs="Arial"/>
          <w:sz w:val="14"/>
          <w:szCs w:val="14"/>
          <w:lang w:val="es-CO"/>
        </w:rPr>
        <w:br/>
        <w:t xml:space="preserve">CE-SC-RAD2001-N1344 </w:t>
      </w:r>
      <w:r w:rsidRPr="00937A3E">
        <w:rPr>
          <w:rFonts w:ascii="Verdana" w:eastAsia="Arial" w:hAnsi="Verdana" w:cs="Arial"/>
          <w:sz w:val="14"/>
          <w:szCs w:val="14"/>
          <w:lang w:val="es-ES"/>
        </w:rPr>
        <w:t>del</w:t>
      </w:r>
      <w:r w:rsidRPr="00937A3E">
        <w:rPr>
          <w:rFonts w:ascii="Verdana" w:eastAsia="Arial" w:hAnsi="Verdana" w:cs="Arial"/>
          <w:spacing w:val="55"/>
          <w:sz w:val="14"/>
          <w:szCs w:val="14"/>
          <w:lang w:val="es-ES"/>
        </w:rPr>
        <w:t xml:space="preserve"> </w:t>
      </w:r>
      <w:r w:rsidRPr="00937A3E">
        <w:rPr>
          <w:rFonts w:ascii="Verdana" w:eastAsia="Arial" w:hAnsi="Verdana" w:cs="Arial"/>
          <w:sz w:val="14"/>
          <w:szCs w:val="14"/>
          <w:lang w:val="es-ES"/>
        </w:rPr>
        <w:t>10</w:t>
      </w:r>
      <w:r w:rsidRPr="00937A3E">
        <w:rPr>
          <w:rFonts w:ascii="Verdana" w:eastAsia="Arial" w:hAnsi="Verdana" w:cs="Arial"/>
          <w:spacing w:val="54"/>
          <w:sz w:val="14"/>
          <w:szCs w:val="14"/>
          <w:lang w:val="es-ES"/>
        </w:rPr>
        <w:t xml:space="preserve"> </w:t>
      </w:r>
      <w:r w:rsidRPr="00937A3E">
        <w:rPr>
          <w:rFonts w:ascii="Verdana" w:eastAsia="Arial" w:hAnsi="Verdana" w:cs="Arial"/>
          <w:sz w:val="14"/>
          <w:szCs w:val="14"/>
          <w:lang w:val="es-ES"/>
        </w:rPr>
        <w:t>de</w:t>
      </w:r>
      <w:r w:rsidRPr="00937A3E">
        <w:rPr>
          <w:rFonts w:ascii="Verdana" w:eastAsia="Arial" w:hAnsi="Verdana" w:cs="Arial"/>
          <w:spacing w:val="53"/>
          <w:sz w:val="14"/>
          <w:szCs w:val="14"/>
          <w:lang w:val="es-ES"/>
        </w:rPr>
        <w:t xml:space="preserve"> </w:t>
      </w:r>
      <w:r w:rsidRPr="00937A3E">
        <w:rPr>
          <w:rFonts w:ascii="Verdana" w:eastAsia="Arial" w:hAnsi="Verdana" w:cs="Arial"/>
          <w:sz w:val="14"/>
          <w:szCs w:val="14"/>
          <w:lang w:val="es-ES"/>
        </w:rPr>
        <w:t>mayo</w:t>
      </w:r>
      <w:r w:rsidRPr="00937A3E">
        <w:rPr>
          <w:rFonts w:ascii="Verdana" w:eastAsia="Arial" w:hAnsi="Verdana" w:cs="Arial"/>
          <w:spacing w:val="54"/>
          <w:sz w:val="14"/>
          <w:szCs w:val="14"/>
          <w:lang w:val="es-ES"/>
        </w:rPr>
        <w:t xml:space="preserve"> </w:t>
      </w:r>
      <w:r w:rsidRPr="00937A3E">
        <w:rPr>
          <w:rFonts w:ascii="Verdana" w:eastAsia="Arial" w:hAnsi="Verdana" w:cs="Arial"/>
          <w:sz w:val="14"/>
          <w:szCs w:val="14"/>
          <w:lang w:val="es-ES"/>
        </w:rPr>
        <w:t>de</w:t>
      </w:r>
      <w:r w:rsidRPr="00937A3E">
        <w:rPr>
          <w:rFonts w:ascii="Verdana" w:eastAsia="Arial" w:hAnsi="Verdana" w:cs="Arial"/>
          <w:spacing w:val="54"/>
          <w:sz w:val="14"/>
          <w:szCs w:val="14"/>
          <w:lang w:val="es-ES"/>
        </w:rPr>
        <w:t xml:space="preserve"> </w:t>
      </w:r>
      <w:r w:rsidRPr="00937A3E">
        <w:rPr>
          <w:rFonts w:ascii="Verdana" w:eastAsia="Arial" w:hAnsi="Verdana" w:cs="Arial"/>
          <w:sz w:val="14"/>
          <w:szCs w:val="14"/>
          <w:lang w:val="es-ES"/>
        </w:rPr>
        <w:t xml:space="preserve">2001. C.P: Flavio Augusto Rodríguez Arce. </w:t>
      </w:r>
    </w:p>
    <w:p w14:paraId="799734C3" w14:textId="77777777" w:rsidR="00D50B27" w:rsidRPr="00937A3E" w:rsidRDefault="00D50B27" w:rsidP="00D50B27">
      <w:pPr>
        <w:pStyle w:val="Textonotapie"/>
        <w:jc w:val="both"/>
        <w:rPr>
          <w:rFonts w:ascii="Verdana" w:hAnsi="Verdana"/>
          <w:sz w:val="14"/>
          <w:szCs w:val="14"/>
          <w:lang w:val="es-ES"/>
        </w:rPr>
      </w:pPr>
    </w:p>
  </w:footnote>
  <w:footnote w:id="17">
    <w:p w14:paraId="38D00331" w14:textId="77777777" w:rsidR="00D50B27" w:rsidRPr="00144FE1" w:rsidRDefault="00D50B27" w:rsidP="00D50B27">
      <w:pPr>
        <w:pStyle w:val="Textonotapie"/>
        <w:ind w:firstLine="707"/>
        <w:jc w:val="both"/>
        <w:rPr>
          <w:rFonts w:ascii="Verdana" w:hAnsi="Verdana"/>
          <w:sz w:val="14"/>
          <w:szCs w:val="14"/>
          <w:lang w:val="pt-PT"/>
        </w:rPr>
      </w:pPr>
      <w:r w:rsidRPr="00144FE1">
        <w:rPr>
          <w:rStyle w:val="Refdenotaalpie"/>
          <w:rFonts w:ascii="Verdana" w:hAnsi="Verdana"/>
          <w:sz w:val="14"/>
          <w:szCs w:val="14"/>
        </w:rPr>
        <w:footnoteRef/>
      </w:r>
      <w:r w:rsidRPr="00144FE1">
        <w:rPr>
          <w:rFonts w:ascii="Verdana" w:hAnsi="Verdana"/>
          <w:sz w:val="14"/>
          <w:szCs w:val="14"/>
          <w:lang w:val="pt-PT"/>
        </w:rPr>
        <w:t xml:space="preserve"> Corte Constitucional. Sentencia C-133 de 1993. M.P: Vladimiro Naranjo Mesa. </w:t>
      </w:r>
    </w:p>
  </w:footnote>
  <w:footnote w:id="18">
    <w:p w14:paraId="1F174D70" w14:textId="77777777" w:rsidR="00D50B27" w:rsidRPr="000B5AF2" w:rsidRDefault="00D50B27" w:rsidP="00D50B27">
      <w:pPr>
        <w:pStyle w:val="Textonotapie"/>
        <w:ind w:firstLine="707"/>
        <w:jc w:val="both"/>
        <w:rPr>
          <w:rFonts w:ascii="Verdana" w:hAnsi="Verdana"/>
          <w:b/>
          <w:bCs/>
          <w:sz w:val="14"/>
          <w:szCs w:val="14"/>
          <w:lang w:val="es-CO"/>
        </w:rPr>
      </w:pPr>
      <w:r w:rsidRPr="000B5AF2">
        <w:rPr>
          <w:rStyle w:val="Refdenotaalpie"/>
          <w:rFonts w:ascii="Verdana" w:hAnsi="Verdana"/>
          <w:sz w:val="14"/>
          <w:szCs w:val="14"/>
        </w:rPr>
        <w:footnoteRef/>
      </w:r>
      <w:r w:rsidRPr="000B5AF2">
        <w:rPr>
          <w:rFonts w:ascii="Verdana" w:hAnsi="Verdana"/>
          <w:sz w:val="14"/>
          <w:szCs w:val="14"/>
        </w:rPr>
        <w:t xml:space="preserve"> Departamento Administrativo de la Función Pública. Concepto </w:t>
      </w:r>
      <w:r w:rsidRPr="000B5AF2">
        <w:rPr>
          <w:rFonts w:ascii="Verdana" w:hAnsi="Verdana"/>
          <w:sz w:val="14"/>
          <w:szCs w:val="14"/>
          <w:lang w:val="es-CO"/>
        </w:rPr>
        <w:t>004081 del 4 de enero de 2024.</w:t>
      </w:r>
      <w:r>
        <w:rPr>
          <w:rFonts w:ascii="Verdana" w:hAnsi="Verdana"/>
          <w:sz w:val="14"/>
          <w:szCs w:val="14"/>
          <w:lang w:val="es-CO"/>
        </w:rPr>
        <w:t xml:space="preserve"> En </w:t>
      </w:r>
      <w:hyperlink r:id="rId2" w:history="1">
        <w:r w:rsidRPr="000B5AF2">
          <w:rPr>
            <w:rStyle w:val="Hipervnculo"/>
            <w:rFonts w:ascii="Verdana" w:hAnsi="Verdana"/>
            <w:sz w:val="14"/>
            <w:szCs w:val="14"/>
            <w:lang w:val="es-CO"/>
          </w:rPr>
          <w:t>Concepto-004081-de-2024-Departamento-Administrativo-de-la-Función-Pública-Gestor-Normativo</w:t>
        </w:r>
      </w:hyperlink>
      <w:r w:rsidRPr="000B5AF2">
        <w:rPr>
          <w:rFonts w:ascii="Verdana" w:hAnsi="Verdana"/>
          <w:sz w:val="14"/>
          <w:szCs w:val="14"/>
          <w:lang w:val="es-CO"/>
        </w:rPr>
        <w:t xml:space="preserve">  </w:t>
      </w:r>
    </w:p>
    <w:p w14:paraId="5C0284F9" w14:textId="77777777" w:rsidR="00D50B27" w:rsidRPr="000B5AF2" w:rsidRDefault="00D50B27" w:rsidP="00D50B27">
      <w:pPr>
        <w:pStyle w:val="Textonotapie"/>
        <w:ind w:firstLine="707"/>
        <w:rPr>
          <w:rFonts w:ascii="Verdana" w:hAnsi="Verdana"/>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306966"/>
    <w:multiLevelType w:val="hybridMultilevel"/>
    <w:tmpl w:val="6D4C9A1A"/>
    <w:lvl w:ilvl="0" w:tplc="947001C6">
      <w:start w:val="2"/>
      <w:numFmt w:val="lowerRoman"/>
      <w:lvlText w:val="%1-"/>
      <w:lvlJc w:val="left"/>
      <w:pPr>
        <w:ind w:left="753" w:hanging="720"/>
      </w:pPr>
      <w:rPr>
        <w:rFonts w:eastAsia="Times New Roman" w:hint="default"/>
      </w:rPr>
    </w:lvl>
    <w:lvl w:ilvl="1" w:tplc="240A0019" w:tentative="1">
      <w:start w:val="1"/>
      <w:numFmt w:val="lowerLetter"/>
      <w:lvlText w:val="%2."/>
      <w:lvlJc w:val="left"/>
      <w:pPr>
        <w:ind w:left="1113" w:hanging="360"/>
      </w:pPr>
    </w:lvl>
    <w:lvl w:ilvl="2" w:tplc="240A001B" w:tentative="1">
      <w:start w:val="1"/>
      <w:numFmt w:val="lowerRoman"/>
      <w:lvlText w:val="%3."/>
      <w:lvlJc w:val="right"/>
      <w:pPr>
        <w:ind w:left="1833" w:hanging="180"/>
      </w:pPr>
    </w:lvl>
    <w:lvl w:ilvl="3" w:tplc="240A000F" w:tentative="1">
      <w:start w:val="1"/>
      <w:numFmt w:val="decimal"/>
      <w:lvlText w:val="%4."/>
      <w:lvlJc w:val="left"/>
      <w:pPr>
        <w:ind w:left="2553" w:hanging="360"/>
      </w:pPr>
    </w:lvl>
    <w:lvl w:ilvl="4" w:tplc="240A0019" w:tentative="1">
      <w:start w:val="1"/>
      <w:numFmt w:val="lowerLetter"/>
      <w:lvlText w:val="%5."/>
      <w:lvlJc w:val="left"/>
      <w:pPr>
        <w:ind w:left="3273" w:hanging="360"/>
      </w:pPr>
    </w:lvl>
    <w:lvl w:ilvl="5" w:tplc="240A001B" w:tentative="1">
      <w:start w:val="1"/>
      <w:numFmt w:val="lowerRoman"/>
      <w:lvlText w:val="%6."/>
      <w:lvlJc w:val="right"/>
      <w:pPr>
        <w:ind w:left="3993" w:hanging="180"/>
      </w:pPr>
    </w:lvl>
    <w:lvl w:ilvl="6" w:tplc="240A000F" w:tentative="1">
      <w:start w:val="1"/>
      <w:numFmt w:val="decimal"/>
      <w:lvlText w:val="%7."/>
      <w:lvlJc w:val="left"/>
      <w:pPr>
        <w:ind w:left="4713" w:hanging="360"/>
      </w:pPr>
    </w:lvl>
    <w:lvl w:ilvl="7" w:tplc="240A0019" w:tentative="1">
      <w:start w:val="1"/>
      <w:numFmt w:val="lowerLetter"/>
      <w:lvlText w:val="%8."/>
      <w:lvlJc w:val="left"/>
      <w:pPr>
        <w:ind w:left="5433" w:hanging="360"/>
      </w:pPr>
    </w:lvl>
    <w:lvl w:ilvl="8" w:tplc="240A001B" w:tentative="1">
      <w:start w:val="1"/>
      <w:numFmt w:val="lowerRoman"/>
      <w:lvlText w:val="%9."/>
      <w:lvlJc w:val="right"/>
      <w:pPr>
        <w:ind w:left="6153"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651705"/>
    <w:multiLevelType w:val="hybridMultilevel"/>
    <w:tmpl w:val="7E0E7C74"/>
    <w:lvl w:ilvl="0" w:tplc="8312EE0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4E03B9C"/>
    <w:multiLevelType w:val="hybridMultilevel"/>
    <w:tmpl w:val="0D946BAC"/>
    <w:lvl w:ilvl="0" w:tplc="51F69B1C">
      <w:start w:val="1"/>
      <w:numFmt w:val="lowerRoman"/>
      <w:lvlText w:val="%1."/>
      <w:lvlJc w:val="left"/>
      <w:pPr>
        <w:ind w:left="1080" w:hanging="720"/>
      </w:pPr>
      <w:rPr>
        <w:rFonts w:eastAsiaTheme="minorHAnsi" w:hint="default"/>
        <w:color w:val="000000" w:themeColor="text1"/>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4E2047D"/>
    <w:multiLevelType w:val="hybridMultilevel"/>
    <w:tmpl w:val="976E063A"/>
    <w:lvl w:ilvl="0" w:tplc="DE3A0C5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11"/>
  </w:num>
  <w:num w:numId="10" w16cid:durableId="1471245386">
    <w:abstractNumId w:val="15"/>
  </w:num>
  <w:num w:numId="11" w16cid:durableId="289172385">
    <w:abstractNumId w:val="12"/>
  </w:num>
  <w:num w:numId="12" w16cid:durableId="1470781324">
    <w:abstractNumId w:val="1"/>
  </w:num>
  <w:num w:numId="13" w16cid:durableId="1512908409">
    <w:abstractNumId w:val="4"/>
  </w:num>
  <w:num w:numId="14" w16cid:durableId="895897244">
    <w:abstractNumId w:val="18"/>
  </w:num>
  <w:num w:numId="15" w16cid:durableId="390349800">
    <w:abstractNumId w:val="14"/>
  </w:num>
  <w:num w:numId="16" w16cid:durableId="1330140246">
    <w:abstractNumId w:val="0"/>
  </w:num>
  <w:num w:numId="17" w16cid:durableId="679089576">
    <w:abstractNumId w:val="13"/>
  </w:num>
  <w:num w:numId="18" w16cid:durableId="302850097">
    <w:abstractNumId w:val="9"/>
  </w:num>
  <w:num w:numId="19" w16cid:durableId="1126242169">
    <w:abstractNumId w:val="7"/>
  </w:num>
  <w:num w:numId="20" w16cid:durableId="1474329367">
    <w:abstractNumId w:val="10"/>
  </w:num>
  <w:num w:numId="21" w16cid:durableId="14735201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CFE"/>
    <w:rsid w:val="00016F78"/>
    <w:rsid w:val="00046945"/>
    <w:rsid w:val="00061B2A"/>
    <w:rsid w:val="00082362"/>
    <w:rsid w:val="000A683E"/>
    <w:rsid w:val="000B19B9"/>
    <w:rsid w:val="000D0334"/>
    <w:rsid w:val="000D5DA7"/>
    <w:rsid w:val="000F6486"/>
    <w:rsid w:val="00116940"/>
    <w:rsid w:val="001246CA"/>
    <w:rsid w:val="00125105"/>
    <w:rsid w:val="00127233"/>
    <w:rsid w:val="0015699B"/>
    <w:rsid w:val="00190DA7"/>
    <w:rsid w:val="001A33BF"/>
    <w:rsid w:val="001B7E03"/>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2775"/>
    <w:rsid w:val="00374F5E"/>
    <w:rsid w:val="00377E3E"/>
    <w:rsid w:val="003A779E"/>
    <w:rsid w:val="003D0F4D"/>
    <w:rsid w:val="003D39EC"/>
    <w:rsid w:val="003D5B0D"/>
    <w:rsid w:val="003E0499"/>
    <w:rsid w:val="003E4F80"/>
    <w:rsid w:val="003E6439"/>
    <w:rsid w:val="003F3941"/>
    <w:rsid w:val="00406575"/>
    <w:rsid w:val="00414C74"/>
    <w:rsid w:val="0042722E"/>
    <w:rsid w:val="0044528D"/>
    <w:rsid w:val="00466E39"/>
    <w:rsid w:val="004A1847"/>
    <w:rsid w:val="004A305D"/>
    <w:rsid w:val="004D6931"/>
    <w:rsid w:val="004F21C4"/>
    <w:rsid w:val="004F685F"/>
    <w:rsid w:val="00547D59"/>
    <w:rsid w:val="005566E8"/>
    <w:rsid w:val="00574867"/>
    <w:rsid w:val="00591460"/>
    <w:rsid w:val="005A65E0"/>
    <w:rsid w:val="005C3777"/>
    <w:rsid w:val="005C5CDC"/>
    <w:rsid w:val="005D476C"/>
    <w:rsid w:val="006164E5"/>
    <w:rsid w:val="006200BF"/>
    <w:rsid w:val="006219F8"/>
    <w:rsid w:val="006302F7"/>
    <w:rsid w:val="00645B48"/>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D027E"/>
    <w:rsid w:val="007E5497"/>
    <w:rsid w:val="00806F5F"/>
    <w:rsid w:val="00820278"/>
    <w:rsid w:val="008258C9"/>
    <w:rsid w:val="00844AE9"/>
    <w:rsid w:val="00857DAB"/>
    <w:rsid w:val="00867F95"/>
    <w:rsid w:val="008725BE"/>
    <w:rsid w:val="008828B7"/>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49FD"/>
    <w:rsid w:val="009F3A13"/>
    <w:rsid w:val="00A02B22"/>
    <w:rsid w:val="00A122D3"/>
    <w:rsid w:val="00A14468"/>
    <w:rsid w:val="00A17F13"/>
    <w:rsid w:val="00A20739"/>
    <w:rsid w:val="00A23AF9"/>
    <w:rsid w:val="00A33C78"/>
    <w:rsid w:val="00A92162"/>
    <w:rsid w:val="00AB0ADB"/>
    <w:rsid w:val="00B00C0E"/>
    <w:rsid w:val="00B01B1A"/>
    <w:rsid w:val="00B0381D"/>
    <w:rsid w:val="00B35C07"/>
    <w:rsid w:val="00B44A47"/>
    <w:rsid w:val="00B72CD3"/>
    <w:rsid w:val="00B72FFF"/>
    <w:rsid w:val="00BC3D36"/>
    <w:rsid w:val="00BD54A6"/>
    <w:rsid w:val="00BD7F72"/>
    <w:rsid w:val="00BF7425"/>
    <w:rsid w:val="00C04FB3"/>
    <w:rsid w:val="00C11D8B"/>
    <w:rsid w:val="00C15139"/>
    <w:rsid w:val="00C23516"/>
    <w:rsid w:val="00C330EB"/>
    <w:rsid w:val="00C50D69"/>
    <w:rsid w:val="00C5365C"/>
    <w:rsid w:val="00C72972"/>
    <w:rsid w:val="00C754BE"/>
    <w:rsid w:val="00C76B1C"/>
    <w:rsid w:val="00C925AC"/>
    <w:rsid w:val="00CB6357"/>
    <w:rsid w:val="00CC1B26"/>
    <w:rsid w:val="00D361FD"/>
    <w:rsid w:val="00D423A2"/>
    <w:rsid w:val="00D44E26"/>
    <w:rsid w:val="00D50B27"/>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6A1C"/>
    <w:rsid w:val="00EA0E3D"/>
    <w:rsid w:val="00EC38A7"/>
    <w:rsid w:val="00EE1AA8"/>
    <w:rsid w:val="00EE75E5"/>
    <w:rsid w:val="00F23FEA"/>
    <w:rsid w:val="00F31EDC"/>
    <w:rsid w:val="00F462B3"/>
    <w:rsid w:val="00F5664F"/>
    <w:rsid w:val="00F666C4"/>
    <w:rsid w:val="00F76AFC"/>
    <w:rsid w:val="00F775E9"/>
    <w:rsid w:val="00FA47C0"/>
    <w:rsid w:val="00FB5DD1"/>
    <w:rsid w:val="00FC2B5D"/>
    <w:rsid w:val="00FF078D"/>
    <w:rsid w:val="00FF1449"/>
    <w:rsid w:val="00FF1B23"/>
    <w:rsid w:val="00FF7963"/>
    <w:rsid w:val="071B8F93"/>
    <w:rsid w:val="09908A09"/>
    <w:rsid w:val="0FF4CCA8"/>
    <w:rsid w:val="13CFC91B"/>
    <w:rsid w:val="19A2EC2C"/>
    <w:rsid w:val="1E54C705"/>
    <w:rsid w:val="2859CA1B"/>
    <w:rsid w:val="32A4F9CF"/>
    <w:rsid w:val="356CEDFD"/>
    <w:rsid w:val="6526BA77"/>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2351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23516"/>
    <w:rPr>
      <w:rFonts w:ascii="Geomanist Light" w:hAnsi="Geomanist Light"/>
      <w:lang w:val="es-ES"/>
    </w:rPr>
  </w:style>
  <w:style w:type="character" w:customStyle="1" w:styleId="NormalWebCar">
    <w:name w:val="Normal (Web) Car"/>
    <w:link w:val="NormalWeb"/>
    <w:uiPriority w:val="99"/>
    <w:rsid w:val="00C23516"/>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C23516"/>
    <w:pPr>
      <w:spacing w:after="0" w:line="240" w:lineRule="auto"/>
    </w:pPr>
    <w:rPr>
      <w:sz w:val="24"/>
      <w:lang w:val="es-MX"/>
    </w:rPr>
  </w:style>
  <w:style w:type="paragraph" w:styleId="Textocomentario">
    <w:name w:val="annotation text"/>
    <w:basedOn w:val="Normal"/>
    <w:link w:val="TextocomentarioCar"/>
    <w:uiPriority w:val="99"/>
    <w:semiHidden/>
    <w:unhideWhenUsed/>
    <w:rsid w:val="00A02B2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02B22"/>
    <w:rPr>
      <w:sz w:val="20"/>
      <w:szCs w:val="20"/>
    </w:rPr>
  </w:style>
  <w:style w:type="character" w:styleId="Refdecomentario">
    <w:name w:val="annotation reference"/>
    <w:basedOn w:val="Fuentedeprrafopredeter"/>
    <w:uiPriority w:val="99"/>
    <w:semiHidden/>
    <w:unhideWhenUsed/>
    <w:rsid w:val="00A02B22"/>
    <w:rPr>
      <w:sz w:val="16"/>
      <w:szCs w:val="16"/>
    </w:rPr>
  </w:style>
  <w:style w:type="paragraph" w:styleId="Textoindependiente">
    <w:name w:val="Body Text"/>
    <w:basedOn w:val="Normal"/>
    <w:link w:val="TextoindependienteCar"/>
    <w:uiPriority w:val="1"/>
    <w:qFormat/>
    <w:rsid w:val="00D50B27"/>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D50B27"/>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1166"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funcionpublica.gov.co/eva/gestornormativo/norma.php?i=1166"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hyperlink" Target="mailto:frenandoiglesias@gmail.com"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1166"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1.funcionpublica.gov.co/eva/gestornormativo/norma_pdf.php?i=255616" TargetMode="External"/><Relationship Id="rId1" Type="http://schemas.openxmlformats.org/officeDocument/2006/relationships/hyperlink" Target="https://coljuristas.org/documentos/libros_e_informes/cpc_titulo_v.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a6cb9e4b-f1d1-4245-83ec-6cad768d538a"/>
    <ds:schemaRef ds:uri="http://purl.org/dc/elements/1.1/"/>
    <ds:schemaRef ds:uri="http://schemas.microsoft.com/office/2006/metadata/properties"/>
    <ds:schemaRef ds:uri="9d85dbaf-23eb-4e57-a637-93dcacc8b1a1"/>
    <ds:schemaRef ds:uri="http://schemas.openxmlformats.org/package/2006/metadata/core-properties"/>
    <ds:schemaRef ds:uri="http://schemas.microsoft.com/office/2006/documentManagement/types"/>
    <ds:schemaRef ds:uri="http://purl.org/dc/terms/"/>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E74C9090-E141-4202-A185-88564AB690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18</Pages>
  <Words>5383</Words>
  <Characters>29176</Characters>
  <Application>Microsoft Office Word</Application>
  <DocSecurity>0</DocSecurity>
  <Lines>583</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2026-01-06T14:14:00Z</dcterms:created>
  <dcterms:modified xsi:type="dcterms:W3CDTF">2026-01-06T14:14:00Z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