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C4911" w14:textId="77777777" w:rsidR="004B5B28" w:rsidRDefault="004B5B28" w:rsidP="004B5B28">
      <w:pPr>
        <w:spacing w:after="0" w:line="240" w:lineRule="auto"/>
        <w:jc w:val="both"/>
        <w:rPr>
          <w:rFonts w:ascii="Verdana" w:eastAsia="Verdana" w:hAnsi="Verdana" w:cs="Verdana"/>
          <w:b/>
          <w:bCs/>
          <w:color w:val="000000" w:themeColor="text1"/>
          <w:lang w:val="es-MX"/>
        </w:rPr>
      </w:pPr>
      <w:bookmarkStart w:id="0" w:name="_Hlk181166130"/>
      <w:bookmarkStart w:id="1" w:name="_Hlk209714638"/>
      <w:r w:rsidRPr="33632CB1">
        <w:rPr>
          <w:rFonts w:ascii="Verdana" w:eastAsia="Verdana" w:hAnsi="Verdana" w:cs="Verdana"/>
          <w:b/>
          <w:bCs/>
          <w:color w:val="000000" w:themeColor="text1"/>
          <w:lang w:val="es-MX"/>
        </w:rPr>
        <w:t xml:space="preserve">CONVOCATORIAS LIMITADAS A MIPYMES </w:t>
      </w:r>
    </w:p>
    <w:p w14:paraId="4CEC041E" w14:textId="77777777" w:rsidR="004B5B28" w:rsidRPr="00593A5F" w:rsidRDefault="004B5B28" w:rsidP="004B5B28">
      <w:pPr>
        <w:spacing w:after="0" w:line="240" w:lineRule="auto"/>
        <w:jc w:val="both"/>
      </w:pPr>
    </w:p>
    <w:p w14:paraId="1566BEF4"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 lo que debe adoptarse obligatoriamente es la limitación a </w:t>
      </w:r>
      <w:proofErr w:type="spellStart"/>
      <w:r w:rsidRPr="33632CB1">
        <w:rPr>
          <w:rFonts w:ascii="Verdana" w:eastAsia="Verdana" w:hAnsi="Verdana" w:cs="Verdana"/>
          <w:color w:val="000000" w:themeColor="text1"/>
          <w:sz w:val="20"/>
          <w:szCs w:val="20"/>
          <w:lang w:val="es-MX"/>
        </w:rPr>
        <w:t>Mipymes</w:t>
      </w:r>
      <w:proofErr w:type="spellEnd"/>
      <w:r w:rsidRPr="33632CB1">
        <w:rPr>
          <w:rFonts w:ascii="Verdana" w:eastAsia="Verdana" w:hAnsi="Verdana" w:cs="Verdana"/>
          <w:color w:val="000000" w:themeColor="text1"/>
          <w:sz w:val="20"/>
          <w:szCs w:val="20"/>
          <w:lang w:val="es-MX"/>
        </w:rPr>
        <w:t xml:space="preserve"> colombianas siempre que se cumplan las condiciones del artículo 2.2.1.2.4.2.2 del Decreto 1082 de 2015, pero no la “limitación territorial” referida en el artículo 2.2.1.2.4.2.3 </w:t>
      </w:r>
      <w:proofErr w:type="spellStart"/>
      <w:r w:rsidRPr="33632CB1">
        <w:rPr>
          <w:rFonts w:ascii="Verdana" w:eastAsia="Verdana" w:hAnsi="Verdana" w:cs="Verdana"/>
          <w:color w:val="000000" w:themeColor="text1"/>
          <w:sz w:val="20"/>
          <w:szCs w:val="20"/>
          <w:lang w:val="es-MX"/>
        </w:rPr>
        <w:t>ibídem</w:t>
      </w:r>
      <w:proofErr w:type="spellEnd"/>
      <w:r w:rsidRPr="33632CB1">
        <w:rPr>
          <w:rFonts w:ascii="Verdana" w:eastAsia="Verdana" w:hAnsi="Verdana" w:cs="Verdana"/>
          <w:color w:val="000000" w:themeColor="text1"/>
          <w:sz w:val="20"/>
          <w:szCs w:val="20"/>
          <w:lang w:val="es-MX"/>
        </w:rPr>
        <w:t xml:space="preserve">, pues esta es facultativa para la entidad. Las únicas exigencias son que la convocatoria esté limitada a las </w:t>
      </w:r>
      <w:proofErr w:type="spellStart"/>
      <w:r w:rsidRPr="33632CB1">
        <w:rPr>
          <w:rFonts w:ascii="Verdana" w:eastAsia="Verdana" w:hAnsi="Verdana" w:cs="Verdana"/>
          <w:color w:val="000000" w:themeColor="text1"/>
          <w:sz w:val="20"/>
          <w:szCs w:val="20"/>
          <w:lang w:val="es-MX"/>
        </w:rPr>
        <w:t>Mipyme</w:t>
      </w:r>
      <w:proofErr w:type="spellEnd"/>
      <w:r w:rsidRPr="33632CB1">
        <w:rPr>
          <w:rFonts w:ascii="Verdana" w:eastAsia="Verdana" w:hAnsi="Verdana" w:cs="Verdana"/>
          <w:color w:val="000000" w:themeColor="text1"/>
          <w:sz w:val="20"/>
          <w:szCs w:val="20"/>
          <w:lang w:val="es-MX"/>
        </w:rPr>
        <w:t xml:space="preserve"> colombianas “domiciliadas en los departamentos o municipios en donde se va a ejecutar el contrato” y que la entidad justifique su decisión con base en los “estudios del sector”. No es procedente, entonces, que sean las </w:t>
      </w:r>
      <w:proofErr w:type="spellStart"/>
      <w:r w:rsidRPr="33632CB1">
        <w:rPr>
          <w:rFonts w:ascii="Verdana" w:eastAsia="Verdana" w:hAnsi="Verdana" w:cs="Verdana"/>
          <w:color w:val="000000" w:themeColor="text1"/>
          <w:sz w:val="20"/>
          <w:szCs w:val="20"/>
          <w:lang w:val="es-MX"/>
        </w:rPr>
        <w:t>Mipymes</w:t>
      </w:r>
      <w:proofErr w:type="spellEnd"/>
      <w:r w:rsidRPr="33632CB1">
        <w:rPr>
          <w:rFonts w:ascii="Verdana" w:eastAsia="Verdana" w:hAnsi="Verdana" w:cs="Verdana"/>
          <w:color w:val="000000" w:themeColor="text1"/>
          <w:sz w:val="20"/>
          <w:szCs w:val="20"/>
          <w:lang w:val="es-MX"/>
        </w:rPr>
        <w:t xml:space="preserve"> las que soliciten la “limitación territorial” a la que se refiere el artículo 2.2.1.2.4.2.3 del Decreto 1082 de 2015. </w:t>
      </w:r>
    </w:p>
    <w:p w14:paraId="21B85821"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 </w:t>
      </w:r>
    </w:p>
    <w:p w14:paraId="3819BA63"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El origen de las </w:t>
      </w:r>
      <w:proofErr w:type="spellStart"/>
      <w:r w:rsidRPr="33632CB1">
        <w:rPr>
          <w:rFonts w:ascii="Verdana" w:eastAsia="Verdana" w:hAnsi="Verdana" w:cs="Verdana"/>
          <w:color w:val="000000" w:themeColor="text1"/>
          <w:sz w:val="20"/>
          <w:szCs w:val="20"/>
          <w:lang w:val="es-MX"/>
        </w:rPr>
        <w:t>Mipyme</w:t>
      </w:r>
      <w:proofErr w:type="spellEnd"/>
      <w:r w:rsidRPr="33632CB1">
        <w:rPr>
          <w:rFonts w:ascii="Verdana" w:eastAsia="Verdana" w:hAnsi="Verdana" w:cs="Verdana"/>
          <w:color w:val="000000" w:themeColor="text1"/>
          <w:sz w:val="20"/>
          <w:szCs w:val="20"/>
          <w:lang w:val="es-MX"/>
        </w:rPr>
        <w:t xml:space="preserve"> que solicitan la “limitación territorial” no es relevante frente a dicha decisión por dos razones: primero, porque las </w:t>
      </w:r>
      <w:proofErr w:type="spellStart"/>
      <w:r w:rsidRPr="33632CB1">
        <w:rPr>
          <w:rFonts w:ascii="Verdana" w:eastAsia="Verdana" w:hAnsi="Verdana" w:cs="Verdana"/>
          <w:color w:val="000000" w:themeColor="text1"/>
          <w:sz w:val="20"/>
          <w:szCs w:val="20"/>
          <w:lang w:val="es-MX"/>
        </w:rPr>
        <w:t>Mipyme</w:t>
      </w:r>
      <w:proofErr w:type="spellEnd"/>
      <w:r w:rsidRPr="33632CB1">
        <w:rPr>
          <w:rFonts w:ascii="Verdana" w:eastAsia="Verdana" w:hAnsi="Verdana" w:cs="Verdana"/>
          <w:color w:val="000000" w:themeColor="text1"/>
          <w:sz w:val="20"/>
          <w:szCs w:val="20"/>
          <w:lang w:val="es-MX"/>
        </w:rPr>
        <w:t xml:space="preserve"> no están habilitadas para pedir la “limitación territorial”, lo están para pedir la “convocatoria limitada a </w:t>
      </w:r>
      <w:proofErr w:type="spellStart"/>
      <w:r w:rsidRPr="33632CB1">
        <w:rPr>
          <w:rFonts w:ascii="Verdana" w:eastAsia="Verdana" w:hAnsi="Verdana" w:cs="Verdana"/>
          <w:color w:val="000000" w:themeColor="text1"/>
          <w:sz w:val="20"/>
          <w:szCs w:val="20"/>
          <w:lang w:val="es-MX"/>
        </w:rPr>
        <w:t>Mipymes</w:t>
      </w:r>
      <w:proofErr w:type="spellEnd"/>
      <w:r w:rsidRPr="33632CB1">
        <w:rPr>
          <w:rFonts w:ascii="Verdana" w:eastAsia="Verdana" w:hAnsi="Verdana" w:cs="Verdana"/>
          <w:color w:val="000000" w:themeColor="text1"/>
          <w:sz w:val="20"/>
          <w:szCs w:val="20"/>
          <w:lang w:val="es-MX"/>
        </w:rPr>
        <w:t xml:space="preserve">”, y, segundo, porque el único criterio para tener en cuenta, una vez se ha decidido justificadamente limitar territorialmente la convocatoria previamente limitada a </w:t>
      </w:r>
      <w:proofErr w:type="spellStart"/>
      <w:r w:rsidRPr="33632CB1">
        <w:rPr>
          <w:rFonts w:ascii="Verdana" w:eastAsia="Verdana" w:hAnsi="Verdana" w:cs="Verdana"/>
          <w:color w:val="000000" w:themeColor="text1"/>
          <w:sz w:val="20"/>
          <w:szCs w:val="20"/>
          <w:lang w:val="es-MX"/>
        </w:rPr>
        <w:t>Mipyme</w:t>
      </w:r>
      <w:proofErr w:type="spellEnd"/>
      <w:r w:rsidRPr="33632CB1">
        <w:rPr>
          <w:rFonts w:ascii="Verdana" w:eastAsia="Verdana" w:hAnsi="Verdana" w:cs="Verdana"/>
          <w:color w:val="000000" w:themeColor="text1"/>
          <w:sz w:val="20"/>
          <w:szCs w:val="20"/>
          <w:lang w:val="es-MX"/>
        </w:rPr>
        <w:t>, es el lugar donde se va a ejecutar el contrato.</w:t>
      </w:r>
    </w:p>
    <w:p w14:paraId="4E103DFB"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 </w:t>
      </w:r>
    </w:p>
    <w:p w14:paraId="6026B41A"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En resumen, la decisión de limitar o no territorialmente una convocatoria limitada a </w:t>
      </w:r>
      <w:proofErr w:type="spellStart"/>
      <w:r w:rsidRPr="33632CB1">
        <w:rPr>
          <w:rFonts w:ascii="Verdana" w:eastAsia="Verdana" w:hAnsi="Verdana" w:cs="Verdana"/>
          <w:color w:val="000000" w:themeColor="text1"/>
          <w:sz w:val="20"/>
          <w:szCs w:val="20"/>
          <w:lang w:val="es-MX"/>
        </w:rPr>
        <w:t>Mipymes</w:t>
      </w:r>
      <w:proofErr w:type="spellEnd"/>
      <w:r w:rsidRPr="33632CB1">
        <w:rPr>
          <w:rFonts w:ascii="Verdana" w:eastAsia="Verdana" w:hAnsi="Verdana" w:cs="Verdana"/>
          <w:color w:val="000000" w:themeColor="text1"/>
          <w:sz w:val="20"/>
          <w:szCs w:val="20"/>
          <w:lang w:val="es-MX"/>
        </w:rPr>
        <w:t xml:space="preserve"> nacionales es una facultad discrecional, de manera que la entidad contratante valorará si es oportuno y conveniente adoptarla.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47D83531" w14:textId="77777777" w:rsidR="004B5B28" w:rsidRDefault="004B5B28" w:rsidP="004B5B28">
      <w:pPr>
        <w:spacing w:after="0" w:line="240" w:lineRule="auto"/>
        <w:jc w:val="both"/>
        <w:rPr>
          <w:rFonts w:ascii="Verdana" w:eastAsia="Verdana" w:hAnsi="Verdana" w:cs="Verdana"/>
          <w:b/>
          <w:bCs/>
          <w:lang w:val="es-MX"/>
        </w:rPr>
      </w:pPr>
    </w:p>
    <w:p w14:paraId="4C7D7A48" w14:textId="77777777" w:rsidR="004B5B28" w:rsidRPr="00593A5F" w:rsidRDefault="004B5B28" w:rsidP="004B5B28">
      <w:pPr>
        <w:spacing w:after="0" w:line="257" w:lineRule="auto"/>
        <w:jc w:val="both"/>
      </w:pPr>
      <w:r w:rsidRPr="33632CB1">
        <w:rPr>
          <w:rFonts w:ascii="Verdana" w:eastAsia="Verdana" w:hAnsi="Verdana" w:cs="Verdana"/>
          <w:b/>
          <w:bCs/>
          <w:lang w:val="es-MX"/>
        </w:rPr>
        <w:t xml:space="preserve">REQUISITOS HABILITANTES – Concepto </w:t>
      </w:r>
    </w:p>
    <w:p w14:paraId="04C90210" w14:textId="77777777" w:rsidR="004B5B28" w:rsidRPr="00593A5F" w:rsidRDefault="004B5B28" w:rsidP="004B5B28">
      <w:pPr>
        <w:spacing w:after="0" w:line="257" w:lineRule="auto"/>
        <w:jc w:val="both"/>
      </w:pPr>
      <w:r w:rsidRPr="33632CB1">
        <w:rPr>
          <w:rFonts w:ascii="Verdana" w:eastAsia="Verdana" w:hAnsi="Verdana" w:cs="Verdana"/>
          <w:b/>
          <w:bCs/>
          <w:lang w:val="es-MX"/>
        </w:rPr>
        <w:t xml:space="preserve"> </w:t>
      </w:r>
    </w:p>
    <w:p w14:paraId="2E60D47D"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53C48D7C"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 </w:t>
      </w:r>
    </w:p>
    <w:p w14:paraId="3674B23A" w14:textId="77777777" w:rsidR="004B5B28" w:rsidRPr="00593A5F" w:rsidRDefault="004B5B28" w:rsidP="004B5B28">
      <w:pPr>
        <w:spacing w:after="0" w:line="240" w:lineRule="auto"/>
        <w:jc w:val="both"/>
      </w:pPr>
      <w:r w:rsidRPr="33632CB1">
        <w:rPr>
          <w:rFonts w:ascii="Verdana" w:eastAsia="Verdana" w:hAnsi="Verdana" w:cs="Verdana"/>
          <w:sz w:val="20"/>
          <w:szCs w:val="20"/>
          <w:lang w:val="es-MX"/>
        </w:rPr>
        <w:t xml:space="preserve">[…] Específicamente, el numeral 1º del artículo referido establece que en los procesos de selección de contratistas serán objeto de verificación, como requisitos habilitantes, </w:t>
      </w:r>
      <w:r w:rsidRPr="33632CB1">
        <w:rPr>
          <w:rFonts w:ascii="Verdana" w:eastAsia="Verdana" w:hAnsi="Verdana" w:cs="Verdana"/>
          <w:sz w:val="20"/>
          <w:szCs w:val="20"/>
          <w:lang w:val="es-MX"/>
        </w:rPr>
        <w:lastRenderedPageBreak/>
        <w:t xml:space="preserve">entre otros, los siguientes: i) la capacidad jurídica; </w:t>
      </w:r>
      <w:proofErr w:type="spellStart"/>
      <w:r w:rsidRPr="33632CB1">
        <w:rPr>
          <w:rFonts w:ascii="Verdana" w:eastAsia="Verdana" w:hAnsi="Verdana" w:cs="Verdana"/>
          <w:sz w:val="20"/>
          <w:szCs w:val="20"/>
          <w:lang w:val="es-MX"/>
        </w:rPr>
        <w:t>ii</w:t>
      </w:r>
      <w:proofErr w:type="spellEnd"/>
      <w:r w:rsidRPr="33632CB1">
        <w:rPr>
          <w:rFonts w:ascii="Verdana" w:eastAsia="Verdana" w:hAnsi="Verdana" w:cs="Verdana"/>
          <w:sz w:val="20"/>
          <w:szCs w:val="20"/>
          <w:lang w:val="es-MX"/>
        </w:rPr>
        <w:t xml:space="preserve">) la experiencia; </w:t>
      </w:r>
      <w:proofErr w:type="spellStart"/>
      <w:r w:rsidRPr="33632CB1">
        <w:rPr>
          <w:rFonts w:ascii="Verdana" w:eastAsia="Verdana" w:hAnsi="Verdana" w:cs="Verdana"/>
          <w:sz w:val="20"/>
          <w:szCs w:val="20"/>
          <w:lang w:val="es-MX"/>
        </w:rPr>
        <w:t>iii</w:t>
      </w:r>
      <w:proofErr w:type="spellEnd"/>
      <w:r w:rsidRPr="33632CB1">
        <w:rPr>
          <w:rFonts w:ascii="Verdana" w:eastAsia="Verdana" w:hAnsi="Verdana" w:cs="Verdana"/>
          <w:sz w:val="20"/>
          <w:szCs w:val="20"/>
          <w:lang w:val="es-MX"/>
        </w:rPr>
        <w:t xml:space="preserve">) la capacidad financiera y </w:t>
      </w:r>
      <w:proofErr w:type="spellStart"/>
      <w:r w:rsidRPr="33632CB1">
        <w:rPr>
          <w:rFonts w:ascii="Verdana" w:eastAsia="Verdana" w:hAnsi="Verdana" w:cs="Verdana"/>
          <w:sz w:val="20"/>
          <w:szCs w:val="20"/>
          <w:lang w:val="es-MX"/>
        </w:rPr>
        <w:t>iv</w:t>
      </w:r>
      <w:proofErr w:type="spellEnd"/>
      <w:r w:rsidRPr="33632CB1">
        <w:rPr>
          <w:rFonts w:ascii="Verdana" w:eastAsia="Verdana" w:hAnsi="Verdana" w:cs="Verdana"/>
          <w:sz w:val="20"/>
          <w:szCs w:val="20"/>
          <w:lang w:val="es-MX"/>
        </w:rPr>
        <w:t>) la capacidad de organización.</w:t>
      </w:r>
    </w:p>
    <w:p w14:paraId="35E62F4A" w14:textId="77777777" w:rsidR="004B5B28" w:rsidRPr="00593A5F" w:rsidRDefault="004B5B28" w:rsidP="004B5B28">
      <w:pPr>
        <w:tabs>
          <w:tab w:val="left" w:pos="0"/>
        </w:tabs>
        <w:spacing w:after="0" w:line="240" w:lineRule="auto"/>
        <w:jc w:val="both"/>
      </w:pPr>
      <w:r w:rsidRPr="33632CB1">
        <w:rPr>
          <w:rFonts w:ascii="Verdana" w:eastAsia="Verdana" w:hAnsi="Verdana" w:cs="Verdana"/>
          <w:b/>
          <w:bCs/>
          <w:sz w:val="20"/>
          <w:szCs w:val="20"/>
          <w:lang w:val="es-MX"/>
        </w:rPr>
        <w:t xml:space="preserve"> </w:t>
      </w:r>
    </w:p>
    <w:p w14:paraId="5AB10A04" w14:textId="77777777" w:rsidR="004B5B28" w:rsidRPr="00593A5F" w:rsidRDefault="004B5B28" w:rsidP="004B5B28">
      <w:pPr>
        <w:spacing w:after="0" w:line="240" w:lineRule="auto"/>
        <w:jc w:val="both"/>
        <w:rPr>
          <w:rFonts w:ascii="Verdana" w:eastAsia="Verdana" w:hAnsi="Verdana" w:cs="Verdana"/>
          <w:b/>
          <w:bCs/>
          <w:lang w:val="es-MX"/>
        </w:rPr>
      </w:pPr>
      <w:r w:rsidRPr="33632CB1">
        <w:rPr>
          <w:rFonts w:ascii="Verdana" w:eastAsia="Verdana" w:hAnsi="Verdana" w:cs="Verdana"/>
          <w:color w:val="000000" w:themeColor="text1"/>
          <w:sz w:val="20"/>
          <w:szCs w:val="20"/>
          <w:lang w:val="es-MX"/>
        </w:rPr>
        <w:t xml:space="preserve"> </w:t>
      </w:r>
      <w:r w:rsidRPr="33632CB1">
        <w:rPr>
          <w:rFonts w:ascii="Verdana" w:eastAsia="Verdana" w:hAnsi="Verdana" w:cs="Verdana"/>
          <w:b/>
          <w:bCs/>
          <w:lang w:val="es-MX"/>
        </w:rPr>
        <w:t>EXPERIENCIA</w:t>
      </w:r>
      <w:r w:rsidRPr="33632CB1">
        <w:rPr>
          <w:rFonts w:ascii="Verdana" w:eastAsia="Verdana" w:hAnsi="Verdana" w:cs="Verdana"/>
          <w:lang w:val="es-MX"/>
        </w:rPr>
        <w:t xml:space="preserve"> </w:t>
      </w:r>
      <w:r w:rsidRPr="33632CB1">
        <w:rPr>
          <w:rFonts w:ascii="Verdana" w:eastAsia="Verdana" w:hAnsi="Verdana" w:cs="Verdana"/>
          <w:b/>
          <w:bCs/>
          <w:lang w:val="es-MX"/>
        </w:rPr>
        <w:t>– Concepto</w:t>
      </w:r>
    </w:p>
    <w:p w14:paraId="54DA1704" w14:textId="77777777" w:rsidR="004B5B28" w:rsidRPr="00593A5F" w:rsidRDefault="004B5B28" w:rsidP="004B5B28">
      <w:pPr>
        <w:spacing w:after="0" w:line="240" w:lineRule="auto"/>
        <w:jc w:val="both"/>
      </w:pPr>
      <w:r w:rsidRPr="33632CB1">
        <w:rPr>
          <w:rFonts w:ascii="Verdana" w:eastAsia="Verdana" w:hAnsi="Verdana" w:cs="Verdana"/>
          <w:b/>
          <w:bCs/>
          <w:lang w:val="es-MX"/>
        </w:rPr>
        <w:t xml:space="preserve"> </w:t>
      </w:r>
    </w:p>
    <w:p w14:paraId="4DB1CCF1"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Dentro de los requisitos habilitantes establecidos por el artículo 5 de la Ley 1150 de 2007 se destaca la experiencia. En el «Manual para determinar y verificar requisitos habilitantes en los procesos de contratación» expedido por Colombia Compra Eficiente se define a la experiencia como “[…] el conocimiento del proponente derivado de su participación previa en actividades iguales o similares a las previstas en el objeto del contrato”. </w:t>
      </w:r>
    </w:p>
    <w:p w14:paraId="3910273F"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 xml:space="preserve"> </w:t>
      </w:r>
    </w:p>
    <w:p w14:paraId="3BBE72BB" w14:textId="77777777" w:rsidR="004B5B28" w:rsidRPr="00593A5F" w:rsidRDefault="004B5B28" w:rsidP="004B5B28">
      <w:pPr>
        <w:spacing w:after="0" w:line="240" w:lineRule="auto"/>
        <w:jc w:val="both"/>
      </w:pPr>
      <w:r w:rsidRPr="33632CB1">
        <w:rPr>
          <w:rFonts w:ascii="Verdana" w:eastAsia="Verdana" w:hAnsi="Verdana" w:cs="Verdana"/>
          <w:color w:val="000000" w:themeColor="text1"/>
          <w:sz w:val="20"/>
          <w:szCs w:val="20"/>
          <w:lang w:val="es-MX"/>
        </w:rPr>
        <w:t>Precisamente, de la experiencia se deriva el conocimiento del proponente, el cual en el marco de la contratación pública se reviste de particular importancia, en la medida en que garantiza en cierto grado que no habrá improvisación ni mayores costos por errores o dificultades originadas en realizar una actividad por primera vez. […]</w:t>
      </w:r>
    </w:p>
    <w:p w14:paraId="1444376B" w14:textId="77777777" w:rsidR="004B5B28" w:rsidRPr="00593A5F" w:rsidRDefault="004B5B28" w:rsidP="004B5B28">
      <w:pPr>
        <w:spacing w:after="0" w:line="240" w:lineRule="auto"/>
        <w:jc w:val="both"/>
      </w:pPr>
    </w:p>
    <w:p w14:paraId="180EC24A" w14:textId="77777777" w:rsidR="004B5B28" w:rsidRDefault="004B5B28" w:rsidP="004B5B28">
      <w:pPr>
        <w:spacing w:after="0" w:line="240" w:lineRule="auto"/>
        <w:rPr>
          <w:rFonts w:ascii="Verdana" w:eastAsia="Verdana" w:hAnsi="Verdana" w:cs="Verdana"/>
          <w:color w:val="000000" w:themeColor="text1"/>
          <w:lang w:val="es-MX"/>
        </w:rPr>
      </w:pPr>
      <w:r w:rsidRPr="33632CB1">
        <w:rPr>
          <w:rFonts w:ascii="Verdana" w:eastAsia="Verdana" w:hAnsi="Verdana" w:cs="Verdana"/>
          <w:color w:val="000000" w:themeColor="text1"/>
          <w:lang w:val="es-MX"/>
        </w:rPr>
        <w:t xml:space="preserve"> </w:t>
      </w:r>
    </w:p>
    <w:p w14:paraId="09405020" w14:textId="77777777" w:rsidR="004B5B28" w:rsidRDefault="004B5B28" w:rsidP="004B5B28">
      <w:pPr>
        <w:spacing w:after="0" w:line="240" w:lineRule="auto"/>
        <w:rPr>
          <w:rFonts w:ascii="Verdana" w:eastAsia="Verdana" w:hAnsi="Verdana" w:cs="Verdana"/>
          <w:color w:val="000000" w:themeColor="text1"/>
          <w:lang w:val="es-MX"/>
        </w:rPr>
      </w:pPr>
    </w:p>
    <w:p w14:paraId="034E9ACB" w14:textId="77777777" w:rsidR="004B5B28" w:rsidRDefault="004B5B28" w:rsidP="004B5B28">
      <w:pPr>
        <w:spacing w:after="0" w:line="240" w:lineRule="auto"/>
        <w:rPr>
          <w:rFonts w:ascii="Verdana" w:eastAsia="Verdana" w:hAnsi="Verdana" w:cs="Verdana"/>
          <w:color w:val="000000" w:themeColor="text1"/>
          <w:lang w:val="es-MX"/>
        </w:rPr>
      </w:pPr>
    </w:p>
    <w:p w14:paraId="799515F0" w14:textId="77777777" w:rsidR="004B5B28" w:rsidRDefault="004B5B28" w:rsidP="004B5B28">
      <w:pPr>
        <w:spacing w:after="0" w:line="240" w:lineRule="auto"/>
        <w:rPr>
          <w:rFonts w:ascii="Verdana" w:eastAsia="Verdana" w:hAnsi="Verdana" w:cs="Verdana"/>
          <w:color w:val="000000" w:themeColor="text1"/>
          <w:lang w:val="es-MX"/>
        </w:rPr>
      </w:pPr>
    </w:p>
    <w:p w14:paraId="6777A13B" w14:textId="77777777" w:rsidR="004B5B28" w:rsidRDefault="004B5B28" w:rsidP="004B5B28">
      <w:pPr>
        <w:spacing w:after="0" w:line="240" w:lineRule="auto"/>
        <w:rPr>
          <w:rFonts w:ascii="Verdana" w:eastAsia="Verdana" w:hAnsi="Verdana" w:cs="Verdana"/>
          <w:color w:val="000000" w:themeColor="text1"/>
          <w:lang w:val="es-MX"/>
        </w:rPr>
      </w:pPr>
    </w:p>
    <w:p w14:paraId="73714DBD" w14:textId="77777777" w:rsidR="004B5B28" w:rsidRDefault="004B5B28" w:rsidP="004B5B28">
      <w:pPr>
        <w:spacing w:after="0" w:line="240" w:lineRule="auto"/>
        <w:rPr>
          <w:rFonts w:ascii="Verdana" w:eastAsia="Verdana" w:hAnsi="Verdana" w:cs="Verdana"/>
          <w:color w:val="000000" w:themeColor="text1"/>
          <w:lang w:val="es-MX"/>
        </w:rPr>
      </w:pPr>
    </w:p>
    <w:p w14:paraId="5CC04EC9" w14:textId="77777777" w:rsidR="004B5B28" w:rsidRDefault="004B5B28" w:rsidP="004B5B28">
      <w:pPr>
        <w:spacing w:after="0" w:line="240" w:lineRule="auto"/>
        <w:rPr>
          <w:rFonts w:ascii="Verdana" w:eastAsia="Verdana" w:hAnsi="Verdana" w:cs="Verdana"/>
          <w:color w:val="000000" w:themeColor="text1"/>
          <w:lang w:val="es-MX"/>
        </w:rPr>
      </w:pPr>
    </w:p>
    <w:p w14:paraId="589B4A10" w14:textId="77777777" w:rsidR="004B5B28" w:rsidRDefault="004B5B28" w:rsidP="004B5B28">
      <w:pPr>
        <w:spacing w:after="0" w:line="240" w:lineRule="auto"/>
        <w:rPr>
          <w:rFonts w:ascii="Verdana" w:eastAsia="Verdana" w:hAnsi="Verdana" w:cs="Verdana"/>
          <w:color w:val="000000" w:themeColor="text1"/>
          <w:lang w:val="es-MX"/>
        </w:rPr>
      </w:pPr>
    </w:p>
    <w:p w14:paraId="587527DF" w14:textId="77777777" w:rsidR="004B5B28" w:rsidRDefault="004B5B28" w:rsidP="004B5B28">
      <w:pPr>
        <w:spacing w:after="0" w:line="240" w:lineRule="auto"/>
        <w:rPr>
          <w:rFonts w:ascii="Verdana" w:eastAsia="Verdana" w:hAnsi="Verdana" w:cs="Verdana"/>
          <w:color w:val="000000" w:themeColor="text1"/>
          <w:lang w:val="es-MX"/>
        </w:rPr>
      </w:pPr>
    </w:p>
    <w:p w14:paraId="21876A9C" w14:textId="77777777" w:rsidR="004B5B28" w:rsidRDefault="004B5B28" w:rsidP="004B5B28">
      <w:pPr>
        <w:spacing w:after="0" w:line="240" w:lineRule="auto"/>
        <w:rPr>
          <w:rFonts w:ascii="Verdana" w:eastAsia="Verdana" w:hAnsi="Verdana" w:cs="Verdana"/>
          <w:color w:val="000000" w:themeColor="text1"/>
          <w:lang w:val="es-MX"/>
        </w:rPr>
      </w:pPr>
    </w:p>
    <w:p w14:paraId="631198EB" w14:textId="77777777" w:rsidR="004B5B28" w:rsidRDefault="004B5B28" w:rsidP="004B5B28">
      <w:pPr>
        <w:spacing w:after="0" w:line="240" w:lineRule="auto"/>
        <w:rPr>
          <w:rFonts w:ascii="Verdana" w:eastAsia="Verdana" w:hAnsi="Verdana" w:cs="Verdana"/>
          <w:color w:val="000000" w:themeColor="text1"/>
          <w:lang w:val="es-MX"/>
        </w:rPr>
      </w:pPr>
    </w:p>
    <w:p w14:paraId="35245CB1" w14:textId="77777777" w:rsidR="004B5B28" w:rsidRDefault="004B5B28" w:rsidP="004B5B28">
      <w:pPr>
        <w:spacing w:after="0" w:line="240" w:lineRule="auto"/>
        <w:rPr>
          <w:rFonts w:ascii="Verdana" w:eastAsia="Verdana" w:hAnsi="Verdana" w:cs="Verdana"/>
          <w:color w:val="000000" w:themeColor="text1"/>
          <w:lang w:val="es-MX"/>
        </w:rPr>
      </w:pPr>
    </w:p>
    <w:p w14:paraId="4F04CCAA" w14:textId="77777777" w:rsidR="004B5B28" w:rsidRDefault="004B5B28" w:rsidP="004B5B28">
      <w:pPr>
        <w:spacing w:after="0" w:line="240" w:lineRule="auto"/>
        <w:rPr>
          <w:rFonts w:ascii="Verdana" w:eastAsia="Verdana" w:hAnsi="Verdana" w:cs="Verdana"/>
          <w:color w:val="000000" w:themeColor="text1"/>
          <w:lang w:val="es-MX"/>
        </w:rPr>
      </w:pPr>
    </w:p>
    <w:p w14:paraId="062C71D9" w14:textId="77777777" w:rsidR="004B5B28" w:rsidRDefault="004B5B28" w:rsidP="004B5B28">
      <w:pPr>
        <w:spacing w:after="0" w:line="240" w:lineRule="auto"/>
        <w:rPr>
          <w:rFonts w:ascii="Verdana" w:eastAsia="Verdana" w:hAnsi="Verdana" w:cs="Verdana"/>
          <w:color w:val="000000" w:themeColor="text1"/>
          <w:lang w:val="es-MX"/>
        </w:rPr>
      </w:pPr>
    </w:p>
    <w:p w14:paraId="72184E5F" w14:textId="77777777" w:rsidR="004B5B28" w:rsidRDefault="004B5B28" w:rsidP="004B5B28">
      <w:pPr>
        <w:spacing w:after="0" w:line="240" w:lineRule="auto"/>
        <w:rPr>
          <w:rFonts w:ascii="Verdana" w:eastAsia="Verdana" w:hAnsi="Verdana" w:cs="Verdana"/>
          <w:color w:val="000000" w:themeColor="text1"/>
          <w:lang w:val="es-MX"/>
        </w:rPr>
      </w:pPr>
    </w:p>
    <w:p w14:paraId="298389B9" w14:textId="77777777" w:rsidR="004B5B28" w:rsidRDefault="004B5B28" w:rsidP="004B5B28">
      <w:pPr>
        <w:spacing w:after="0" w:line="240" w:lineRule="auto"/>
        <w:rPr>
          <w:rFonts w:ascii="Verdana" w:eastAsia="Verdana" w:hAnsi="Verdana" w:cs="Verdana"/>
          <w:color w:val="000000" w:themeColor="text1"/>
          <w:lang w:val="es-MX"/>
        </w:rPr>
      </w:pPr>
    </w:p>
    <w:p w14:paraId="364757BF" w14:textId="77777777" w:rsidR="004B5B28" w:rsidRDefault="004B5B28" w:rsidP="004B5B28">
      <w:pPr>
        <w:spacing w:after="0" w:line="240" w:lineRule="auto"/>
        <w:rPr>
          <w:rFonts w:ascii="Verdana" w:eastAsia="Verdana" w:hAnsi="Verdana" w:cs="Verdana"/>
          <w:color w:val="000000" w:themeColor="text1"/>
          <w:lang w:val="es-MX"/>
        </w:rPr>
      </w:pPr>
    </w:p>
    <w:p w14:paraId="69FE168C" w14:textId="77777777" w:rsidR="004B5B28" w:rsidRDefault="004B5B28" w:rsidP="004B5B28">
      <w:pPr>
        <w:spacing w:after="0" w:line="240" w:lineRule="auto"/>
        <w:rPr>
          <w:rFonts w:ascii="Verdana" w:eastAsia="Verdana" w:hAnsi="Verdana" w:cs="Verdana"/>
          <w:color w:val="000000" w:themeColor="text1"/>
          <w:lang w:val="es-MX"/>
        </w:rPr>
      </w:pPr>
    </w:p>
    <w:p w14:paraId="53B3E2BB" w14:textId="77777777" w:rsidR="004B5B28" w:rsidRDefault="004B5B28" w:rsidP="004B5B28">
      <w:pPr>
        <w:spacing w:after="0" w:line="240" w:lineRule="auto"/>
        <w:rPr>
          <w:rFonts w:ascii="Verdana" w:eastAsia="Verdana" w:hAnsi="Verdana" w:cs="Verdana"/>
          <w:color w:val="000000" w:themeColor="text1"/>
          <w:lang w:val="es-MX"/>
        </w:rPr>
      </w:pPr>
    </w:p>
    <w:p w14:paraId="370E1306" w14:textId="77777777" w:rsidR="004B5B28" w:rsidRDefault="004B5B28" w:rsidP="004B5B28">
      <w:pPr>
        <w:spacing w:after="0" w:line="240" w:lineRule="auto"/>
        <w:rPr>
          <w:rFonts w:ascii="Verdana" w:eastAsia="Verdana" w:hAnsi="Verdana" w:cs="Verdana"/>
          <w:color w:val="000000" w:themeColor="text1"/>
          <w:lang w:val="es-MX"/>
        </w:rPr>
      </w:pPr>
    </w:p>
    <w:p w14:paraId="31FCA705" w14:textId="77777777" w:rsidR="004B5B28" w:rsidRDefault="004B5B28" w:rsidP="004B5B28">
      <w:pPr>
        <w:spacing w:after="0" w:line="240" w:lineRule="auto"/>
        <w:rPr>
          <w:rFonts w:ascii="Verdana" w:eastAsia="Verdana" w:hAnsi="Verdana" w:cs="Verdana"/>
          <w:color w:val="000000" w:themeColor="text1"/>
          <w:lang w:val="es-MX"/>
        </w:rPr>
      </w:pPr>
    </w:p>
    <w:p w14:paraId="44A03C7D" w14:textId="77777777" w:rsidR="004B5B28" w:rsidRDefault="004B5B28" w:rsidP="004B5B28">
      <w:pPr>
        <w:spacing w:after="0" w:line="240" w:lineRule="auto"/>
        <w:rPr>
          <w:rFonts w:ascii="Verdana" w:eastAsia="Verdana" w:hAnsi="Verdana" w:cs="Verdana"/>
          <w:color w:val="000000" w:themeColor="text1"/>
          <w:lang w:val="es-MX"/>
        </w:rPr>
      </w:pPr>
    </w:p>
    <w:p w14:paraId="523D60CC" w14:textId="77777777" w:rsidR="004B5B28" w:rsidRDefault="004B5B28" w:rsidP="004B5B28">
      <w:pPr>
        <w:spacing w:after="0" w:line="240" w:lineRule="auto"/>
        <w:rPr>
          <w:rFonts w:ascii="Verdana" w:eastAsia="Verdana" w:hAnsi="Verdana" w:cs="Verdana"/>
          <w:color w:val="000000" w:themeColor="text1"/>
          <w:lang w:val="es-MX"/>
        </w:rPr>
      </w:pPr>
    </w:p>
    <w:p w14:paraId="17B766B3" w14:textId="77777777" w:rsidR="004B5B28" w:rsidRPr="00593A5F" w:rsidRDefault="004B5B28" w:rsidP="004B5B28">
      <w:pPr>
        <w:spacing w:after="0" w:line="240" w:lineRule="auto"/>
      </w:pPr>
    </w:p>
    <w:p w14:paraId="71EBACC7" w14:textId="77777777" w:rsidR="004B5B28" w:rsidRPr="00593A5F" w:rsidRDefault="004B5B28" w:rsidP="004B5B28">
      <w:pPr>
        <w:spacing w:after="0" w:line="240" w:lineRule="auto"/>
      </w:pPr>
      <w:r w:rsidRPr="33632CB1">
        <w:rPr>
          <w:rFonts w:ascii="Verdana" w:eastAsia="Verdana" w:hAnsi="Verdana" w:cs="Verdana"/>
          <w:color w:val="000000" w:themeColor="text1"/>
          <w:lang w:val="es-MX"/>
        </w:rPr>
        <w:t xml:space="preserve"> </w:t>
      </w:r>
    </w:p>
    <w:p w14:paraId="795040A1" w14:textId="77777777" w:rsidR="004B5B28" w:rsidRDefault="004B5B28" w:rsidP="004B5B28">
      <w:pPr>
        <w:spacing w:after="0" w:line="240" w:lineRule="auto"/>
        <w:rPr>
          <w:rFonts w:ascii="Verdana" w:hAnsi="Verdana"/>
        </w:rPr>
      </w:pPr>
    </w:p>
    <w:p w14:paraId="65DB6341" w14:textId="36D918E6" w:rsidR="004B5B28" w:rsidRDefault="004B5B28" w:rsidP="004B5B28">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Pr>
          <w:rFonts w:ascii="Verdana" w:hAnsi="Verdana"/>
        </w:rPr>
        <w:t>2</w:t>
      </w:r>
      <w:r w:rsidR="00445B9F">
        <w:rPr>
          <w:rFonts w:ascii="Verdana" w:hAnsi="Verdana"/>
        </w:rPr>
        <w:t>9</w:t>
      </w:r>
      <w:r>
        <w:rPr>
          <w:rFonts w:ascii="Verdana" w:hAnsi="Verdana"/>
        </w:rPr>
        <w:t xml:space="preserve"> de diciembre de 2025.</w:t>
      </w:r>
    </w:p>
    <w:bookmarkEnd w:id="0"/>
    <w:p w14:paraId="61EDE1B6" w14:textId="55903490" w:rsidR="00445B9F" w:rsidRDefault="00445B9F" w:rsidP="00445B9F">
      <w:pPr>
        <w:spacing w:after="0" w:line="240" w:lineRule="auto"/>
        <w:jc w:val="right"/>
        <w:rPr>
          <w:rFonts w:ascii="Verdana" w:hAnsi="Verdana"/>
        </w:rPr>
      </w:pPr>
    </w:p>
    <w:p w14:paraId="520494DC" w14:textId="2EE52429" w:rsidR="00445B9F" w:rsidRDefault="00445B9F" w:rsidP="004B5B28">
      <w:pPr>
        <w:spacing w:after="0" w:line="240" w:lineRule="auto"/>
        <w:rPr>
          <w:rFonts w:ascii="Verdana" w:hAnsi="Verdana"/>
        </w:rPr>
      </w:pPr>
    </w:p>
    <w:p w14:paraId="1D033392" w14:textId="183D694F" w:rsidR="004B5B28" w:rsidRDefault="00502D61" w:rsidP="004B5B28">
      <w:pPr>
        <w:spacing w:after="0" w:line="240" w:lineRule="auto"/>
        <w:jc w:val="right"/>
        <w:rPr>
          <w:rFonts w:ascii="Verdana" w:hAnsi="Verdana"/>
        </w:rPr>
      </w:pPr>
      <w:r>
        <w:rPr>
          <w:rFonts w:ascii="Verdana" w:hAnsi="Verdana"/>
          <w:noProof/>
        </w:rPr>
        <w:drawing>
          <wp:anchor distT="0" distB="0" distL="114300" distR="114300" simplePos="0" relativeHeight="251658240" behindDoc="0" locked="0" layoutInCell="1" allowOverlap="1" wp14:anchorId="2D2C76E1" wp14:editId="06FDABE2">
            <wp:simplePos x="0" y="0"/>
            <wp:positionH relativeFrom="margin">
              <wp:align>right</wp:align>
            </wp:positionH>
            <wp:positionV relativeFrom="paragraph">
              <wp:posOffset>8863</wp:posOffset>
            </wp:positionV>
            <wp:extent cx="2714625" cy="904875"/>
            <wp:effectExtent l="0" t="0" r="9525" b="9525"/>
            <wp:wrapSquare wrapText="bothSides"/>
            <wp:docPr id="11124455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14625" cy="904875"/>
                    </a:xfrm>
                    <a:prstGeom prst="rect">
                      <a:avLst/>
                    </a:prstGeom>
                    <a:noFill/>
                    <a:ln>
                      <a:noFill/>
                    </a:ln>
                  </pic:spPr>
                </pic:pic>
              </a:graphicData>
            </a:graphic>
          </wp:anchor>
        </w:drawing>
      </w:r>
    </w:p>
    <w:p w14:paraId="1EDE2F26" w14:textId="77777777" w:rsidR="004B5B28" w:rsidRDefault="004B5B28" w:rsidP="004B5B28">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p>
    <w:p w14:paraId="4CC386BE" w14:textId="77777777" w:rsidR="004B5B28" w:rsidRDefault="004B5B28" w:rsidP="004B5B28">
      <w:pPr>
        <w:spacing w:after="0" w:line="240" w:lineRule="auto"/>
        <w:rPr>
          <w:rFonts w:ascii="Verdana" w:eastAsia="Calibri" w:hAnsi="Verdana" w:cs="Arial"/>
          <w:b/>
          <w:bCs/>
          <w:lang w:eastAsia="es-ES"/>
        </w:rPr>
      </w:pPr>
      <w:r w:rsidRPr="0060189D">
        <w:rPr>
          <w:rFonts w:ascii="Verdana" w:eastAsia="Calibri" w:hAnsi="Verdana" w:cs="Arial"/>
          <w:b/>
          <w:bCs/>
          <w:lang w:eastAsia="es-ES"/>
        </w:rPr>
        <w:t>ELISEO SILVA BECERRA</w:t>
      </w:r>
    </w:p>
    <w:p w14:paraId="0414FADF" w14:textId="77777777" w:rsidR="004B5B28" w:rsidRDefault="004B5B28" w:rsidP="004B5B28">
      <w:pPr>
        <w:spacing w:after="0" w:line="240" w:lineRule="auto"/>
        <w:rPr>
          <w:rFonts w:ascii="Verdana" w:hAnsi="Verdana"/>
        </w:rPr>
      </w:pPr>
      <w:hyperlink r:id="rId11" w:history="1">
        <w:r w:rsidRPr="00A0409D">
          <w:rPr>
            <w:rStyle w:val="Hipervnculo"/>
            <w:rFonts w:ascii="Verdana" w:hAnsi="Verdana"/>
          </w:rPr>
          <w:t>eliseosilva16b@gmail.com</w:t>
        </w:r>
      </w:hyperlink>
      <w:r>
        <w:rPr>
          <w:rFonts w:ascii="Verdana" w:hAnsi="Verdana"/>
        </w:rPr>
        <w:t xml:space="preserve"> </w:t>
      </w:r>
    </w:p>
    <w:p w14:paraId="33E8FA4E" w14:textId="77777777" w:rsidR="004B5B28" w:rsidRDefault="004B5B28" w:rsidP="004B5B28">
      <w:pPr>
        <w:spacing w:after="0" w:line="240" w:lineRule="auto"/>
        <w:rPr>
          <w:rFonts w:ascii="Verdana" w:hAnsi="Verdana"/>
        </w:rPr>
      </w:pPr>
      <w:r>
        <w:rPr>
          <w:rFonts w:ascii="Verdana" w:hAnsi="Verdana"/>
        </w:rPr>
        <w:t>San Gil (Santander)</w:t>
      </w:r>
    </w:p>
    <w:p w14:paraId="0BD74C25" w14:textId="77777777" w:rsidR="004B5B28" w:rsidRPr="00FE3DEC" w:rsidRDefault="004B5B28" w:rsidP="004B5B28">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4B5B28" w:rsidRPr="00593A5F" w14:paraId="3AE8A179" w14:textId="77777777" w:rsidTr="006D79DA">
        <w:trPr>
          <w:trHeight w:val="273"/>
        </w:trPr>
        <w:tc>
          <w:tcPr>
            <w:tcW w:w="2295" w:type="dxa"/>
          </w:tcPr>
          <w:p w14:paraId="5D90D7B2" w14:textId="77777777" w:rsidR="004B5B28" w:rsidRPr="00E5644F" w:rsidRDefault="004B5B28" w:rsidP="006D79DA">
            <w:pPr>
              <w:jc w:val="both"/>
              <w:rPr>
                <w:rFonts w:ascii="Verdana" w:eastAsia="Calibri" w:hAnsi="Verdana" w:cs="Arial"/>
                <w:b/>
                <w:bCs/>
                <w:color w:val="7030A0"/>
                <w:lang w:val="es-ES_tradnl" w:eastAsia="es-ES_tradnl"/>
              </w:rPr>
            </w:pPr>
          </w:p>
        </w:tc>
        <w:tc>
          <w:tcPr>
            <w:tcW w:w="6481" w:type="dxa"/>
            <w:gridSpan w:val="2"/>
          </w:tcPr>
          <w:p w14:paraId="18AFA09B" w14:textId="77777777" w:rsidR="004B5B28" w:rsidRPr="001773DA" w:rsidRDefault="004B5B28" w:rsidP="006D79DA">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Pr>
                <w:rFonts w:ascii="Verdana" w:eastAsia="Calibri" w:hAnsi="Verdana" w:cs="Arial"/>
                <w:b/>
                <w:bCs/>
                <w:lang w:val="es-ES" w:eastAsia="es-ES"/>
              </w:rPr>
              <w:t>1710</w:t>
            </w:r>
            <w:r w:rsidRPr="001773DA">
              <w:rPr>
                <w:rFonts w:ascii="Verdana" w:eastAsia="Calibri" w:hAnsi="Verdana" w:cs="Arial"/>
                <w:b/>
                <w:bCs/>
                <w:lang w:val="es-ES" w:eastAsia="es-ES"/>
              </w:rPr>
              <w:t xml:space="preserve"> de 2025</w:t>
            </w:r>
          </w:p>
          <w:p w14:paraId="24B12517" w14:textId="77777777" w:rsidR="004B5B28" w:rsidRPr="001773DA" w:rsidRDefault="004B5B28" w:rsidP="006D79DA">
            <w:pPr>
              <w:jc w:val="both"/>
              <w:rPr>
                <w:rFonts w:ascii="Verdana" w:eastAsia="Calibri" w:hAnsi="Verdana" w:cs="Arial"/>
                <w:b/>
                <w:bCs/>
                <w:color w:val="7030A0"/>
                <w:lang w:val="es-ES" w:eastAsia="es-ES"/>
              </w:rPr>
            </w:pPr>
          </w:p>
        </w:tc>
      </w:tr>
      <w:tr w:rsidR="004B5B28" w:rsidRPr="00280D79" w14:paraId="5472128D" w14:textId="77777777" w:rsidTr="006D79DA">
        <w:trPr>
          <w:trHeight w:val="1086"/>
        </w:trPr>
        <w:tc>
          <w:tcPr>
            <w:tcW w:w="2295" w:type="dxa"/>
          </w:tcPr>
          <w:p w14:paraId="098768B1" w14:textId="77777777" w:rsidR="004B5B28" w:rsidRPr="00593A5F" w:rsidRDefault="004B5B28" w:rsidP="006D79D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AC7F797" w14:textId="77777777" w:rsidR="004B5B28" w:rsidRPr="00D70D73" w:rsidRDefault="004B5B28" w:rsidP="006D79DA">
            <w:pPr>
              <w:spacing w:line="276" w:lineRule="auto"/>
              <w:jc w:val="both"/>
              <w:rPr>
                <w:rFonts w:ascii="Verdana" w:eastAsia="Calibri" w:hAnsi="Verdana" w:cs="Arial"/>
                <w:color w:val="000000" w:themeColor="text1"/>
                <w:lang w:val="es-MX" w:eastAsia="es-ES"/>
              </w:rPr>
            </w:pPr>
            <w:r w:rsidRPr="00AD2128">
              <w:rPr>
                <w:rFonts w:ascii="Verdana" w:eastAsia="Calibri" w:hAnsi="Verdana" w:cs="Arial"/>
                <w:color w:val="000000" w:themeColor="text1"/>
                <w:lang w:val="es-ES" w:eastAsia="es-ES"/>
              </w:rPr>
              <w:t>CONVOCATORIAS LIMITADAS A MIPYMES /</w:t>
            </w:r>
            <w:r>
              <w:rPr>
                <w:rFonts w:ascii="Verdana" w:eastAsia="Calibri" w:hAnsi="Verdana" w:cs="Arial"/>
                <w:color w:val="000000" w:themeColor="text1"/>
                <w:lang w:val="es-ES" w:eastAsia="es-ES"/>
              </w:rPr>
              <w:t xml:space="preserve"> </w:t>
            </w:r>
            <w:r w:rsidRPr="00AB07C0">
              <w:rPr>
                <w:rFonts w:ascii="Verdana" w:eastAsia="Calibri" w:hAnsi="Verdana" w:cs="Arial"/>
                <w:color w:val="000000" w:themeColor="text1"/>
                <w:lang w:val="es-MX" w:eastAsia="es-ES"/>
              </w:rPr>
              <w:t>REQUISITOS HABILITANTES – Concepto / EXPERIENCIA – Concepto</w:t>
            </w:r>
            <w:r>
              <w:rPr>
                <w:rFonts w:ascii="Verdana" w:hAnsi="Verdana" w:cs="Arial"/>
                <w:bCs/>
                <w:color w:val="000000"/>
                <w:kern w:val="2"/>
                <w:lang w:val="es-MX"/>
                <w14:ligatures w14:val="standardContextual"/>
              </w:rPr>
              <w:t>.</w:t>
            </w:r>
          </w:p>
        </w:tc>
      </w:tr>
      <w:tr w:rsidR="004B5B28" w:rsidRPr="00593A5F" w14:paraId="454268FB" w14:textId="77777777" w:rsidTr="006D79DA">
        <w:trPr>
          <w:trHeight w:val="545"/>
        </w:trPr>
        <w:tc>
          <w:tcPr>
            <w:tcW w:w="2295" w:type="dxa"/>
          </w:tcPr>
          <w:p w14:paraId="373E9BFE" w14:textId="77777777" w:rsidR="004B5B28" w:rsidRPr="006730E9" w:rsidRDefault="004B5B28" w:rsidP="006D79DA">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7F320E8" w14:textId="77777777" w:rsidR="004B5B28" w:rsidRPr="006730E9" w:rsidRDefault="004B5B28" w:rsidP="006D79DA">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475BC5">
              <w:rPr>
                <w:rFonts w:ascii="Verdana" w:eastAsia="Calibri" w:hAnsi="Verdana" w:cs="Arial"/>
                <w:lang w:val="es-ES_tradnl" w:eastAsia="es-ES_tradnl"/>
              </w:rPr>
              <w:t>1_2025_11_15_012951</w:t>
            </w:r>
          </w:p>
        </w:tc>
      </w:tr>
      <w:tr w:rsidR="004B5B28" w:rsidRPr="00DB23D2" w14:paraId="782CAF8A" w14:textId="77777777" w:rsidTr="006D79DA">
        <w:trPr>
          <w:gridAfter w:val="1"/>
          <w:wAfter w:w="319" w:type="dxa"/>
          <w:trHeight w:val="242"/>
        </w:trPr>
        <w:tc>
          <w:tcPr>
            <w:tcW w:w="8457" w:type="dxa"/>
            <w:gridSpan w:val="2"/>
          </w:tcPr>
          <w:p w14:paraId="1FC23309" w14:textId="77777777" w:rsidR="004B5B28" w:rsidRPr="00DB23D2" w:rsidRDefault="004B5B28" w:rsidP="006D79DA">
            <w:pPr>
              <w:spacing w:line="276" w:lineRule="auto"/>
              <w:jc w:val="both"/>
              <w:rPr>
                <w:rFonts w:ascii="Verdana" w:eastAsia="Calibri" w:hAnsi="Verdana" w:cs="Arial"/>
                <w:lang w:val="es-ES_tradnl" w:eastAsia="es-ES"/>
              </w:rPr>
            </w:pPr>
          </w:p>
        </w:tc>
      </w:tr>
    </w:tbl>
    <w:p w14:paraId="65574814" w14:textId="77777777" w:rsidR="004B5B28" w:rsidRPr="006730E9" w:rsidRDefault="004B5B28" w:rsidP="004B5B2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 Silva;</w:t>
      </w:r>
    </w:p>
    <w:p w14:paraId="60750659" w14:textId="77777777" w:rsidR="004B5B28" w:rsidRDefault="004B5B28" w:rsidP="004B5B2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481716E" w14:textId="77777777" w:rsidR="004B5B28" w:rsidRPr="006730E9" w:rsidRDefault="004B5B28" w:rsidP="004B5B2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sidRPr="00E72E05">
        <w:rPr>
          <w:rFonts w:ascii="Verdana" w:eastAsia="Calibri" w:hAnsi="Verdana" w:cs="Arial"/>
          <w:lang w:val="es-ES" w:eastAsia="es-ES"/>
        </w:rPr>
        <w:t>11 de septiembre de 2025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4E94E6B" w14:textId="77777777" w:rsidR="004B5B28" w:rsidRPr="001773DA" w:rsidRDefault="004B5B28" w:rsidP="004B5B28">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35724752" w14:textId="77777777" w:rsidR="004B5B28" w:rsidRPr="001773DA" w:rsidRDefault="004B5B28" w:rsidP="004B5B28">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7C26F6B8" w14:textId="77777777" w:rsidR="004B5B28" w:rsidRDefault="004B5B28" w:rsidP="004B5B2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DD3DA31" w14:textId="77777777" w:rsidR="004B5B28" w:rsidRDefault="004B5B28" w:rsidP="004B5B28">
      <w:pPr>
        <w:tabs>
          <w:tab w:val="left" w:pos="142"/>
          <w:tab w:val="left" w:pos="567"/>
        </w:tabs>
        <w:spacing w:after="0" w:line="240" w:lineRule="auto"/>
        <w:ind w:left="709" w:right="709"/>
        <w:jc w:val="both"/>
        <w:rPr>
          <w:rFonts w:ascii="Verdana" w:eastAsia="Century Gothic" w:hAnsi="Verdana" w:cs="Century Gothic"/>
          <w:i/>
          <w:iCs/>
          <w:sz w:val="20"/>
          <w:szCs w:val="20"/>
        </w:rPr>
      </w:pPr>
      <w:r w:rsidRPr="00475BC5">
        <w:rPr>
          <w:rFonts w:ascii="Verdana" w:eastAsia="Century Gothic" w:hAnsi="Verdana" w:cs="Century Gothic"/>
          <w:i/>
          <w:iCs/>
          <w:sz w:val="20"/>
          <w:szCs w:val="20"/>
        </w:rPr>
        <w:t>En aplicación del factor diferenciador a Mipyme en los procesos de contratación con</w:t>
      </w:r>
      <w:r>
        <w:rPr>
          <w:rFonts w:ascii="Verdana" w:eastAsia="Century Gothic" w:hAnsi="Verdana" w:cs="Century Gothic"/>
          <w:i/>
          <w:iCs/>
          <w:sz w:val="20"/>
          <w:szCs w:val="20"/>
        </w:rPr>
        <w:t xml:space="preserve"> </w:t>
      </w:r>
      <w:r w:rsidRPr="00475BC5">
        <w:rPr>
          <w:rFonts w:ascii="Verdana" w:eastAsia="Century Gothic" w:hAnsi="Verdana" w:cs="Century Gothic"/>
          <w:i/>
          <w:iCs/>
          <w:sz w:val="20"/>
          <w:szCs w:val="20"/>
        </w:rPr>
        <w:t>relación a la experiencia, como por ejemplo NO MiPymes se requiere 4 contratos</w:t>
      </w:r>
      <w:r>
        <w:rPr>
          <w:rFonts w:ascii="Verdana" w:eastAsia="Century Gothic" w:hAnsi="Verdana" w:cs="Century Gothic"/>
          <w:i/>
          <w:iCs/>
          <w:sz w:val="20"/>
          <w:szCs w:val="20"/>
        </w:rPr>
        <w:t xml:space="preserve"> </w:t>
      </w:r>
      <w:r w:rsidRPr="00475BC5">
        <w:rPr>
          <w:rFonts w:ascii="Verdana" w:eastAsia="Century Gothic" w:hAnsi="Verdana" w:cs="Century Gothic"/>
          <w:i/>
          <w:iCs/>
          <w:sz w:val="20"/>
          <w:szCs w:val="20"/>
        </w:rPr>
        <w:t>que la sumatoria de los valores sea igual o mayor al 100% del presupuesto oficial,</w:t>
      </w:r>
      <w:r>
        <w:rPr>
          <w:rFonts w:ascii="Verdana" w:eastAsia="Century Gothic" w:hAnsi="Verdana" w:cs="Century Gothic"/>
          <w:i/>
          <w:iCs/>
          <w:sz w:val="20"/>
          <w:szCs w:val="20"/>
        </w:rPr>
        <w:t xml:space="preserve"> </w:t>
      </w:r>
      <w:r w:rsidRPr="00475BC5">
        <w:rPr>
          <w:rFonts w:ascii="Verdana" w:eastAsia="Century Gothic" w:hAnsi="Verdana" w:cs="Century Gothic"/>
          <w:i/>
          <w:iCs/>
          <w:sz w:val="20"/>
          <w:szCs w:val="20"/>
        </w:rPr>
        <w:t>y para las MiPymes seis (6) contratos que la sumatoria de los valores sea igual o</w:t>
      </w:r>
      <w:r>
        <w:rPr>
          <w:rFonts w:ascii="Verdana" w:eastAsia="Century Gothic" w:hAnsi="Verdana" w:cs="Century Gothic"/>
          <w:i/>
          <w:iCs/>
          <w:sz w:val="20"/>
          <w:szCs w:val="20"/>
        </w:rPr>
        <w:t xml:space="preserve"> </w:t>
      </w:r>
      <w:r w:rsidRPr="00475BC5">
        <w:rPr>
          <w:rFonts w:ascii="Verdana" w:eastAsia="Century Gothic" w:hAnsi="Verdana" w:cs="Century Gothic"/>
          <w:i/>
          <w:iCs/>
          <w:sz w:val="20"/>
          <w:szCs w:val="20"/>
        </w:rPr>
        <w:t>mayor al 10% del presupuesto oficial, en caso de limitar a MiPymes cual requisito</w:t>
      </w:r>
      <w:r>
        <w:rPr>
          <w:rFonts w:ascii="Verdana" w:eastAsia="Century Gothic" w:hAnsi="Verdana" w:cs="Century Gothic"/>
          <w:i/>
          <w:iCs/>
          <w:sz w:val="20"/>
          <w:szCs w:val="20"/>
        </w:rPr>
        <w:t xml:space="preserve"> </w:t>
      </w:r>
      <w:r w:rsidRPr="00475BC5">
        <w:rPr>
          <w:rFonts w:ascii="Verdana" w:eastAsia="Century Gothic" w:hAnsi="Verdana" w:cs="Century Gothic"/>
          <w:i/>
          <w:iCs/>
          <w:sz w:val="20"/>
          <w:szCs w:val="20"/>
        </w:rPr>
        <w:t xml:space="preserve">aplica el de </w:t>
      </w:r>
      <w:proofErr w:type="spellStart"/>
      <w:r w:rsidRPr="00475BC5">
        <w:rPr>
          <w:rFonts w:ascii="Verdana" w:eastAsia="Century Gothic" w:hAnsi="Verdana" w:cs="Century Gothic"/>
          <w:i/>
          <w:iCs/>
          <w:sz w:val="20"/>
          <w:szCs w:val="20"/>
        </w:rPr>
        <w:t>MiPyme</w:t>
      </w:r>
      <w:proofErr w:type="spellEnd"/>
      <w:r w:rsidRPr="00475BC5">
        <w:rPr>
          <w:rFonts w:ascii="Verdana" w:eastAsia="Century Gothic" w:hAnsi="Verdana" w:cs="Century Gothic"/>
          <w:i/>
          <w:iCs/>
          <w:sz w:val="20"/>
          <w:szCs w:val="20"/>
        </w:rPr>
        <w:t xml:space="preserve"> o No </w:t>
      </w:r>
      <w:proofErr w:type="spellStart"/>
      <w:r w:rsidRPr="00475BC5">
        <w:rPr>
          <w:rFonts w:ascii="Verdana" w:eastAsia="Century Gothic" w:hAnsi="Verdana" w:cs="Century Gothic"/>
          <w:i/>
          <w:iCs/>
          <w:sz w:val="20"/>
          <w:szCs w:val="20"/>
        </w:rPr>
        <w:t>MiPyme</w:t>
      </w:r>
      <w:proofErr w:type="spellEnd"/>
      <w:r w:rsidRPr="00475BC5">
        <w:rPr>
          <w:rFonts w:ascii="Verdana" w:eastAsia="Century Gothic" w:hAnsi="Verdana" w:cs="Century Gothic"/>
          <w:i/>
          <w:iCs/>
          <w:sz w:val="20"/>
          <w:szCs w:val="20"/>
        </w:rPr>
        <w:t>,</w:t>
      </w:r>
    </w:p>
    <w:p w14:paraId="436672A0" w14:textId="77777777" w:rsidR="004B5B28" w:rsidRDefault="004B5B28" w:rsidP="004B5B2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4C484276" w14:textId="77777777" w:rsidR="004B5B28" w:rsidRPr="00B350FE" w:rsidRDefault="004B5B28" w:rsidP="004B5B28">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0B2A76A5" w14:textId="77777777" w:rsidR="004B5B28" w:rsidRDefault="004B5B28" w:rsidP="004B5B28">
      <w:pPr>
        <w:spacing w:after="0" w:line="276" w:lineRule="auto"/>
        <w:ind w:firstLine="709"/>
        <w:jc w:val="both"/>
        <w:rPr>
          <w:rFonts w:ascii="Verdana" w:eastAsia="Calibri" w:hAnsi="Verdana" w:cs="Arial"/>
          <w:lang w:val="es-ES" w:eastAsia="es-ES"/>
        </w:rPr>
      </w:pPr>
    </w:p>
    <w:p w14:paraId="7716603F" w14:textId="77777777" w:rsidR="004B5B28" w:rsidRPr="00AA3B9F" w:rsidRDefault="004B5B28" w:rsidP="004B5B28">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00AA3B9F">
        <w:rPr>
          <w:rFonts w:ascii="Verdana" w:eastAsia="Calibri" w:hAnsi="Verdana" w:cs="Arial"/>
          <w:lang w:val="es-ES" w:eastAsia="es-ES"/>
        </w:rPr>
        <w:lastRenderedPageBreak/>
        <w:t xml:space="preserve">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0773597" w14:textId="77777777" w:rsidR="004B5B28" w:rsidRPr="00AA3B9F" w:rsidRDefault="004B5B28" w:rsidP="004B5B28">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684FC07D" w14:textId="77777777" w:rsidR="004B5B28" w:rsidRDefault="004B5B28" w:rsidP="004B5B2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5698650F" w14:textId="77777777" w:rsidR="004B5B28" w:rsidRDefault="004B5B28" w:rsidP="004B5B2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F69CEA3" w14:textId="77777777" w:rsidR="004B5B28" w:rsidRDefault="004B5B28" w:rsidP="004B5B28">
      <w:pPr>
        <w:pStyle w:val="Prrafodelista"/>
        <w:tabs>
          <w:tab w:val="left" w:pos="142"/>
          <w:tab w:val="left" w:pos="284"/>
        </w:tabs>
        <w:spacing w:after="0" w:line="276" w:lineRule="auto"/>
        <w:ind w:left="0"/>
        <w:jc w:val="both"/>
        <w:rPr>
          <w:rFonts w:ascii="Verdana" w:eastAsia="Century Gothic" w:hAnsi="Verdana" w:cs="Century Gothic"/>
          <w:b/>
          <w:bCs/>
        </w:rPr>
      </w:pPr>
    </w:p>
    <w:p w14:paraId="0929030F" w14:textId="77777777" w:rsidR="004B5B28" w:rsidRDefault="004B5B28" w:rsidP="004B5B28">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5649AA">
        <w:rPr>
          <w:rFonts w:ascii="Verdana" w:eastAsia="Century Gothic" w:hAnsi="Verdana" w:cs="Century Gothic"/>
        </w:rPr>
        <w:t>¿</w:t>
      </w:r>
      <w:r>
        <w:rPr>
          <w:rFonts w:ascii="Verdana" w:eastAsia="Century Gothic" w:hAnsi="Verdana" w:cs="Century Gothic"/>
        </w:rPr>
        <w:t xml:space="preserve">Cuál es el marco normativo de las convocatorias limitadas a MiPymes respecto del requisito de experiencia?  </w:t>
      </w:r>
      <w:r w:rsidRPr="00593A5F">
        <w:rPr>
          <w:rFonts w:ascii="Verdana" w:eastAsia="Century Gothic" w:hAnsi="Verdana" w:cs="Century Gothic"/>
        </w:rPr>
        <w:t xml:space="preserve"> </w:t>
      </w:r>
    </w:p>
    <w:p w14:paraId="056700A3" w14:textId="77777777" w:rsidR="004B5B28" w:rsidRDefault="004B5B28" w:rsidP="004B5B28">
      <w:pPr>
        <w:spacing w:after="0" w:line="276" w:lineRule="auto"/>
        <w:jc w:val="both"/>
        <w:rPr>
          <w:rFonts w:ascii="Verdana" w:eastAsia="Century Gothic" w:hAnsi="Verdana" w:cs="Century Gothic"/>
        </w:rPr>
      </w:pPr>
      <w:r>
        <w:rPr>
          <w:rFonts w:ascii="Verdana" w:eastAsia="Calibri" w:hAnsi="Verdana" w:cs="Arial"/>
          <w:lang w:eastAsia="es-ES"/>
        </w:rPr>
        <w:t xml:space="preserve">  </w:t>
      </w:r>
      <w:r>
        <w:rPr>
          <w:rFonts w:ascii="Verdana" w:eastAsia="Century Gothic" w:hAnsi="Verdana" w:cs="Century Gothic"/>
        </w:rPr>
        <w:t xml:space="preserve">    </w:t>
      </w:r>
    </w:p>
    <w:bookmarkEnd w:id="3"/>
    <w:p w14:paraId="5B902ACE" w14:textId="77777777" w:rsidR="004B5B28" w:rsidRDefault="004B5B28" w:rsidP="004B5B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4C70683" w14:textId="77777777" w:rsidR="004B5B28" w:rsidRPr="00593A5F" w:rsidRDefault="004B5B28" w:rsidP="004B5B2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B5B28" w:rsidRPr="00593A5F" w14:paraId="54A7C501" w14:textId="77777777" w:rsidTr="006D79DA">
        <w:tc>
          <w:tcPr>
            <w:tcW w:w="8828" w:type="dxa"/>
          </w:tcPr>
          <w:p w14:paraId="2251BC17" w14:textId="6E395B4A" w:rsidR="004B5B28" w:rsidRDefault="004B5B28" w:rsidP="006D79DA">
            <w:pPr>
              <w:spacing w:line="276" w:lineRule="auto"/>
              <w:jc w:val="both"/>
              <w:rPr>
                <w:rFonts w:ascii="Verdana" w:eastAsia="Calibri" w:hAnsi="Verdana" w:cs="Arial"/>
                <w:color w:val="000000" w:themeColor="text1"/>
              </w:rPr>
            </w:pPr>
            <w:r w:rsidRPr="199E50A3">
              <w:rPr>
                <w:rFonts w:ascii="Verdana" w:eastAsia="Calibri" w:hAnsi="Verdana" w:cs="Arial"/>
                <w:lang w:val="es-ES" w:eastAsia="es-ES"/>
              </w:rPr>
              <w:t xml:space="preserve">        </w:t>
            </w:r>
            <w:r w:rsidRPr="00523FF9">
              <w:rPr>
                <w:rFonts w:ascii="Verdana" w:eastAsia="Calibri" w:hAnsi="Verdana" w:cs="Arial"/>
                <w:color w:val="000000" w:themeColor="text1"/>
                <w:lang w:val="es-ES"/>
              </w:rPr>
              <w:t>L</w:t>
            </w:r>
            <w:r w:rsidRPr="00523FF9">
              <w:rPr>
                <w:rFonts w:ascii="Verdana" w:eastAsia="Calibri" w:hAnsi="Verdana" w:cs="Arial"/>
                <w:color w:val="000000" w:themeColor="text1"/>
              </w:rPr>
              <w:t xml:space="preserve">as </w:t>
            </w:r>
            <w:r>
              <w:rPr>
                <w:rFonts w:ascii="Verdana" w:eastAsia="Calibri" w:hAnsi="Verdana" w:cs="Arial"/>
                <w:color w:val="000000" w:themeColor="text1"/>
              </w:rPr>
              <w:t>E</w:t>
            </w:r>
            <w:r w:rsidRPr="00523FF9">
              <w:rPr>
                <w:rFonts w:ascii="Verdana" w:eastAsia="Calibri" w:hAnsi="Verdana" w:cs="Arial"/>
                <w:color w:val="000000" w:themeColor="text1"/>
              </w:rPr>
              <w:t>ntidades</w:t>
            </w:r>
            <w:r>
              <w:rPr>
                <w:rFonts w:ascii="Verdana" w:eastAsia="Calibri" w:hAnsi="Verdana" w:cs="Arial"/>
                <w:color w:val="000000" w:themeColor="text1"/>
              </w:rPr>
              <w:t xml:space="preserve"> Estatales</w:t>
            </w:r>
            <w:r w:rsidRPr="00523FF9">
              <w:rPr>
                <w:rFonts w:ascii="Verdana" w:eastAsia="Calibri" w:hAnsi="Verdana" w:cs="Arial"/>
                <w:color w:val="000000" w:themeColor="text1"/>
              </w:rPr>
              <w:t>, como responsables de la estructuración de sus procedimientos de contratación, son autónomas para requerir la experiencia necesaria para el objeto del contrato, para lo cual, de acuerdo con el artículo 2.2.1.1.1.6.2. del Decreto 1082 de 2015, deben tener en cuenta el estudio del sector y sus componentes como la identificación de riesgos, el mercado y precio del bien, obra o servicio a contratar, y establecer si es adecuado exigir parámetros de sostenibilidad, relacionados con el objeto del contrato.</w:t>
            </w:r>
            <w:r w:rsidR="00CE34A3" w:rsidRPr="00CE34A3">
              <w:t xml:space="preserve"> </w:t>
            </w:r>
            <w:r w:rsidR="00CE34A3" w:rsidRPr="00CE34A3">
              <w:rPr>
                <w:rFonts w:ascii="Verdana" w:eastAsia="Calibri" w:hAnsi="Verdana" w:cs="Arial"/>
                <w:color w:val="000000" w:themeColor="text1"/>
              </w:rPr>
              <w:t xml:space="preserve">No obstante, esta autonomía se encuentra limitada cuando el objeto del proceso coincide con aquellos sectores regulados por Documentos Tipo, cuya observancia es obligatoria según la Ley 2022 de 2020. En estos eventos, la </w:t>
            </w:r>
            <w:r w:rsidR="00CE34A3" w:rsidRPr="00CE34A3">
              <w:rPr>
                <w:rFonts w:ascii="Verdana" w:eastAsia="Calibri" w:hAnsi="Verdana" w:cs="Arial"/>
                <w:color w:val="000000" w:themeColor="text1"/>
              </w:rPr>
              <w:lastRenderedPageBreak/>
              <w:t>entidad debe acogerse estrictamente a las condiciones y matrices de experiencia predefinidas por la Agencia Nacional de Contratación Pública – Colombia Compra Eficiente, sin poder modificar los criterios de evaluación allí establecidos.</w:t>
            </w:r>
          </w:p>
          <w:p w14:paraId="4B10EDC3" w14:textId="77777777" w:rsidR="00CE34A3" w:rsidRDefault="00CE34A3" w:rsidP="006D79DA">
            <w:pPr>
              <w:spacing w:line="276" w:lineRule="auto"/>
              <w:jc w:val="both"/>
              <w:rPr>
                <w:rFonts w:ascii="Verdana" w:eastAsia="Calibri" w:hAnsi="Verdana" w:cs="Arial"/>
                <w:color w:val="000000" w:themeColor="text1"/>
              </w:rPr>
            </w:pPr>
          </w:p>
          <w:p w14:paraId="6397C904" w14:textId="31C7408B" w:rsidR="004B5B28" w:rsidRDefault="004B5B28" w:rsidP="006D79DA">
            <w:pPr>
              <w:spacing w:line="276" w:lineRule="auto"/>
              <w:jc w:val="both"/>
              <w:rPr>
                <w:rFonts w:ascii="Verdana" w:eastAsia="Calibri" w:hAnsi="Verdana" w:cs="Arial"/>
              </w:rPr>
            </w:pPr>
            <w:r>
              <w:rPr>
                <w:rFonts w:ascii="Verdana" w:eastAsia="Calibri" w:hAnsi="Verdana" w:cs="Arial"/>
                <w:lang w:val="es-ES"/>
              </w:rPr>
              <w:t xml:space="preserve">        Asi las cosas</w:t>
            </w:r>
            <w:r w:rsidRPr="00D32A4D">
              <w:rPr>
                <w:rFonts w:ascii="Verdana" w:eastAsia="Calibri" w:hAnsi="Verdana" w:cs="Arial"/>
                <w:lang w:val="es-ES"/>
              </w:rPr>
              <w:t>, la acreditación de la experiencia de los proponentes a través de contratos previos es un aspecto crucial para evaluar su capacidad para ejecutar el objeto contractual</w:t>
            </w:r>
            <w:r>
              <w:rPr>
                <w:rFonts w:ascii="Verdana" w:eastAsia="Calibri" w:hAnsi="Verdana" w:cs="Arial"/>
                <w:lang w:val="es-ES"/>
              </w:rPr>
              <w:t xml:space="preserve"> por lo que </w:t>
            </w:r>
            <w:r w:rsidRPr="00D32A4D">
              <w:rPr>
                <w:rFonts w:ascii="Verdana" w:eastAsia="Calibri" w:hAnsi="Verdana" w:cs="Arial"/>
                <w:lang w:val="es-ES"/>
              </w:rPr>
              <w:t xml:space="preserve">corresponde a la misma </w:t>
            </w:r>
            <w:r>
              <w:rPr>
                <w:rFonts w:ascii="Verdana" w:eastAsia="Calibri" w:hAnsi="Verdana" w:cs="Arial"/>
                <w:lang w:val="es-ES"/>
              </w:rPr>
              <w:t>entidad pública</w:t>
            </w:r>
            <w:r w:rsidRPr="00D32A4D">
              <w:rPr>
                <w:rFonts w:ascii="Verdana" w:eastAsia="Calibri" w:hAnsi="Verdana" w:cs="Arial"/>
                <w:lang w:val="es-ES"/>
              </w:rPr>
              <w:t>, en ejercicio de su competencia y previa valoración de los elementos fácticos y jurídicos</w:t>
            </w:r>
            <w:r>
              <w:rPr>
                <w:rFonts w:ascii="Verdana" w:eastAsia="Calibri" w:hAnsi="Verdana" w:cs="Arial"/>
                <w:lang w:val="es-ES"/>
              </w:rPr>
              <w:t xml:space="preserve"> realizar un análisis de los contratos que el proponente acredite como experiencia, para esto se recomienda acudir a diferentes medidas para garantizar la veracidad y autenticidad como lo son la v</w:t>
            </w:r>
            <w:r w:rsidRPr="00D12C4D">
              <w:rPr>
                <w:rFonts w:ascii="Verdana" w:eastAsia="Calibri" w:hAnsi="Verdana" w:cs="Arial"/>
                <w:lang w:val="es-ES"/>
              </w:rPr>
              <w:t>erificación directa con la entidad contratante</w:t>
            </w:r>
            <w:r>
              <w:rPr>
                <w:rFonts w:ascii="Verdana" w:eastAsia="Calibri" w:hAnsi="Verdana" w:cs="Arial"/>
                <w:lang w:val="es-ES"/>
              </w:rPr>
              <w:t>, asi las cosas l</w:t>
            </w:r>
            <w:r w:rsidRPr="00D12C4D">
              <w:rPr>
                <w:rFonts w:ascii="Verdana" w:eastAsia="Calibri" w:hAnsi="Verdana" w:cs="Arial"/>
              </w:rPr>
              <w:t xml:space="preserve">a entidad contratante puede solicitar al proponente que autorice una comunicación directa </w:t>
            </w:r>
            <w:r>
              <w:rPr>
                <w:rFonts w:ascii="Verdana" w:eastAsia="Calibri" w:hAnsi="Verdana" w:cs="Arial"/>
              </w:rPr>
              <w:t>con los contratantes anteriores</w:t>
            </w:r>
            <w:r w:rsidRPr="00D12C4D">
              <w:rPr>
                <w:rFonts w:ascii="Verdana" w:eastAsia="Calibri" w:hAnsi="Verdana" w:cs="Arial"/>
              </w:rPr>
              <w:t xml:space="preserve"> para verificar la veracidad de la información suministrada.</w:t>
            </w:r>
            <w:r>
              <w:rPr>
                <w:rFonts w:ascii="Verdana" w:eastAsia="Calibri" w:hAnsi="Verdana" w:cs="Arial"/>
              </w:rPr>
              <w:t xml:space="preserve"> </w:t>
            </w:r>
            <w:r w:rsidR="00CE34A3" w:rsidRPr="00CE34A3">
              <w:rPr>
                <w:rFonts w:ascii="Verdana" w:eastAsia="Calibri" w:hAnsi="Verdana" w:cs="Arial"/>
              </w:rPr>
              <w:t>En los procesos sujetos a Documentos Tipo, esta labor de verificación debe ceñirse a las reglas de acreditación y subsanabilidad previstas en el cuerpo normativo del estándar obligatorio aplicable.</w:t>
            </w:r>
          </w:p>
          <w:p w14:paraId="51077D3D" w14:textId="77777777" w:rsidR="004B5B28" w:rsidRDefault="004B5B28" w:rsidP="006D79DA">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  </w:t>
            </w:r>
          </w:p>
          <w:p w14:paraId="275C5E62" w14:textId="30443FB5" w:rsidR="004B5B28" w:rsidRDefault="004B5B28" w:rsidP="006D79DA">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        Ahora bien, en atención al problema jurídico planteado en el </w:t>
            </w:r>
            <w:r w:rsidRPr="00475797">
              <w:rPr>
                <w:rFonts w:ascii="Verdana" w:eastAsia="Calibri" w:hAnsi="Verdana" w:cs="Arial"/>
                <w:color w:val="000000" w:themeColor="text1"/>
              </w:rPr>
              <w:t xml:space="preserve">marco </w:t>
            </w:r>
            <w:r>
              <w:rPr>
                <w:rFonts w:ascii="Verdana" w:eastAsia="Calibri" w:hAnsi="Verdana" w:cs="Arial"/>
                <w:color w:val="000000" w:themeColor="text1"/>
              </w:rPr>
              <w:t>de lo previsto</w:t>
            </w:r>
            <w:r w:rsidRPr="00475797">
              <w:rPr>
                <w:rFonts w:ascii="Verdana" w:eastAsia="Calibri" w:hAnsi="Verdana" w:cs="Arial"/>
                <w:color w:val="000000" w:themeColor="text1"/>
              </w:rPr>
              <w:t xml:space="preserve"> en </w:t>
            </w:r>
            <w:r>
              <w:rPr>
                <w:rFonts w:ascii="Verdana" w:eastAsia="Calibri" w:hAnsi="Verdana" w:cs="Arial"/>
                <w:color w:val="000000" w:themeColor="text1"/>
              </w:rPr>
              <w:t xml:space="preserve">el artículo 34 de </w:t>
            </w:r>
            <w:r w:rsidRPr="00475797">
              <w:rPr>
                <w:rFonts w:ascii="Verdana" w:eastAsia="Calibri" w:hAnsi="Verdana" w:cs="Arial"/>
                <w:color w:val="000000" w:themeColor="text1"/>
              </w:rPr>
              <w:t xml:space="preserve">la Ley 2069 de 2020 y su reglamentación mediante el Decreto 1860 de 2021, </w:t>
            </w:r>
            <w:r>
              <w:rPr>
                <w:rFonts w:ascii="Verdana" w:eastAsia="Calibri" w:hAnsi="Verdana" w:cs="Arial"/>
                <w:color w:val="000000" w:themeColor="text1"/>
              </w:rPr>
              <w:t>se</w:t>
            </w:r>
            <w:r w:rsidRPr="00475797">
              <w:rPr>
                <w:rFonts w:ascii="Verdana" w:eastAsia="Calibri" w:hAnsi="Verdana" w:cs="Arial"/>
                <w:color w:val="000000" w:themeColor="text1"/>
              </w:rPr>
              <w:t xml:space="preserve"> faculta a las entidades estatales para limitar las convocatorias a MiPymes cuando el presupuesto es inferior a 125,000 USD y al menos dos de estas empresas lo solicitan, obligando a la entidad a establecer requisitos de experiencia proporcionales y diferenciales.</w:t>
            </w:r>
            <w:r w:rsidR="00CE34A3">
              <w:rPr>
                <w:rFonts w:ascii="Verdana" w:eastAsia="Calibri" w:hAnsi="Verdana" w:cs="Arial"/>
                <w:color w:val="000000" w:themeColor="text1"/>
              </w:rPr>
              <w:t xml:space="preserve"> </w:t>
            </w:r>
            <w:r w:rsidR="00CE34A3" w:rsidRPr="00CE34A3">
              <w:rPr>
                <w:rFonts w:ascii="Verdana" w:eastAsia="Calibri" w:hAnsi="Verdana" w:cs="Arial"/>
                <w:color w:val="000000" w:themeColor="text1"/>
              </w:rPr>
              <w:t xml:space="preserve">En el caso de procesos donde sea obligatoria la aplicación de </w:t>
            </w:r>
            <w:r w:rsidR="00CE34A3" w:rsidRPr="0033369E">
              <w:rPr>
                <w:rFonts w:ascii="Verdana" w:eastAsia="Calibri" w:hAnsi="Verdana" w:cs="Arial"/>
                <w:color w:val="000000" w:themeColor="text1"/>
              </w:rPr>
              <w:t>Documentos Tipo</w:t>
            </w:r>
            <w:r w:rsidR="00CE34A3" w:rsidRPr="00CE34A3">
              <w:rPr>
                <w:rFonts w:ascii="Verdana" w:eastAsia="Calibri" w:hAnsi="Verdana" w:cs="Arial"/>
                <w:color w:val="000000" w:themeColor="text1"/>
              </w:rPr>
              <w:t xml:space="preserve">, la entidad deberá verificar si el documento estándar ya contempla requisitos diferenciales específicos para MiPymes; de ser así, estos prevalecen. Si el Documento Tipo no establece una distinción automática, la entidad debe armonizar la obligatoriedad del estándar técnico con el mandato legal de fomento a la </w:t>
            </w:r>
            <w:proofErr w:type="spellStart"/>
            <w:r w:rsidR="00CE34A3" w:rsidRPr="00CE34A3">
              <w:rPr>
                <w:rFonts w:ascii="Verdana" w:eastAsia="Calibri" w:hAnsi="Verdana" w:cs="Arial"/>
                <w:color w:val="000000" w:themeColor="text1"/>
              </w:rPr>
              <w:t>MiPyme</w:t>
            </w:r>
            <w:proofErr w:type="spellEnd"/>
            <w:r w:rsidR="00CE34A3" w:rsidRPr="00CE34A3">
              <w:rPr>
                <w:rFonts w:ascii="Verdana" w:eastAsia="Calibri" w:hAnsi="Verdana" w:cs="Arial"/>
                <w:color w:val="000000" w:themeColor="text1"/>
              </w:rPr>
              <w:t>, aplicando los criterios de proporcionalidad que el mismo Documento Tipo permite para procesos de menor cuantía.</w:t>
            </w:r>
          </w:p>
          <w:p w14:paraId="4A2BC14C" w14:textId="77777777" w:rsidR="0033369E" w:rsidRDefault="004B5B28" w:rsidP="006D79DA">
            <w:pPr>
              <w:spacing w:after="120" w:line="276" w:lineRule="auto"/>
              <w:jc w:val="both"/>
              <w:rPr>
                <w:rFonts w:ascii="Verdana" w:eastAsia="Times New Roman" w:hAnsi="Verdana" w:cs="Open Sans"/>
                <w:lang w:eastAsia="es-CO"/>
              </w:rPr>
            </w:pPr>
            <w:r>
              <w:rPr>
                <w:rFonts w:ascii="Verdana" w:eastAsia="Times New Roman" w:hAnsi="Verdana" w:cs="Open Sans"/>
                <w:lang w:eastAsia="es-CO"/>
              </w:rPr>
              <w:t xml:space="preserve"> </w:t>
            </w:r>
          </w:p>
          <w:p w14:paraId="44CADA73" w14:textId="4D86DF27" w:rsidR="004B5B28" w:rsidRDefault="004B5B28" w:rsidP="006D79DA">
            <w:pPr>
              <w:spacing w:after="120" w:line="276" w:lineRule="auto"/>
              <w:jc w:val="both"/>
              <w:rPr>
                <w:rFonts w:ascii="Verdana" w:eastAsia="Calibri" w:hAnsi="Verdana" w:cs="Arial"/>
              </w:rPr>
            </w:pPr>
            <w:r>
              <w:rPr>
                <w:rFonts w:ascii="Verdana" w:eastAsia="Calibri" w:hAnsi="Verdana" w:cs="Arial"/>
              </w:rPr>
              <w:t xml:space="preserve">        De esta manera, c</w:t>
            </w:r>
            <w:r w:rsidRPr="00475797">
              <w:rPr>
                <w:rFonts w:ascii="Verdana" w:eastAsia="Calibri" w:hAnsi="Verdana" w:cs="Arial"/>
              </w:rPr>
              <w:t xml:space="preserve">uando un proceso de contratación se limita a MiPymes, el requisito que aplica es exclusivamente el diferencial. Esto se debe a que, al restringirse la competencia únicamente a pequeñas y medianas empresas, los </w:t>
            </w:r>
            <w:r w:rsidRPr="00475797">
              <w:rPr>
                <w:rFonts w:ascii="Verdana" w:eastAsia="Calibri" w:hAnsi="Verdana" w:cs="Arial"/>
              </w:rPr>
              <w:lastRenderedPageBreak/>
              <w:t>requisitos generales para "No MiPymes" pierden vigencia, ya que la entidad tiene la obligación legal de ajustar las exigencias a la capacidad real y proporcional del mercado que participa.</w:t>
            </w:r>
            <w:r w:rsidR="00CE34A3" w:rsidRPr="00CE34A3">
              <w:t xml:space="preserve"> </w:t>
            </w:r>
            <w:r w:rsidR="00CE34A3" w:rsidRPr="00CE34A3">
              <w:rPr>
                <w:rFonts w:ascii="Verdana" w:eastAsia="Calibri" w:hAnsi="Verdana" w:cs="Arial"/>
              </w:rPr>
              <w:t>En los procesos con Documentos Tipo, la aplicación de este régimen diferencial no implica la inaplicación del estándar, sino su adaptación conforme a las reglas que el propio documento tipo prevea para el fomento de la participación de las micro, pequeñas y medianas empresas, garantizando que el requisito de experiencia no se convierta en una barrera de acceso.</w:t>
            </w:r>
          </w:p>
          <w:p w14:paraId="352B3748" w14:textId="77777777" w:rsidR="004B5B28" w:rsidRDefault="004B5B28" w:rsidP="006D79DA">
            <w:pPr>
              <w:spacing w:line="276" w:lineRule="auto"/>
              <w:jc w:val="both"/>
              <w:rPr>
                <w:rFonts w:ascii="Verdana" w:hAnsi="Verdana" w:cs="Arial"/>
              </w:rPr>
            </w:pPr>
            <w:r>
              <w:rPr>
                <w:rFonts w:ascii="Verdana" w:hAnsi="Verdana" w:cs="Arial"/>
              </w:rPr>
              <w:t xml:space="preserve">      </w:t>
            </w:r>
          </w:p>
          <w:p w14:paraId="55F4A643" w14:textId="77777777" w:rsidR="004B5B28" w:rsidRDefault="004B5B28" w:rsidP="006D79DA">
            <w:pPr>
              <w:spacing w:line="276" w:lineRule="auto"/>
              <w:jc w:val="both"/>
              <w:rPr>
                <w:rFonts w:ascii="Verdana" w:hAnsi="Verdana" w:cs="Arial"/>
              </w:rPr>
            </w:pPr>
            <w:r>
              <w:rPr>
                <w:rFonts w:ascii="Verdana" w:hAnsi="Verdana" w:cs="Arial"/>
              </w:rPr>
              <w:t xml:space="preserve">         S</w:t>
            </w:r>
            <w:r w:rsidRPr="00D70D73">
              <w:rPr>
                <w:rFonts w:ascii="Verdana" w:hAnsi="Verdana" w:cs="Arial"/>
              </w:rPr>
              <w:t>i bien las Entidades Estatales gozan de autonomía para estructurar los requisitos de experiencia de sus procesos de contratación, dicha facultad no es absoluta y debe ejercerse con sujeción a los principios de planeación, proporcionalidad y razonabilidad, así como al análisis previo del sector y del mercado. En particular, cuando el proceso de selección es válidamente limitado a MiPymes, en los términos del artículo 34 de la Ley 2069 de 2020 y el Decreto 1860 de 2021, la entidad está jurídicamente obligada a aplicar únicamente requisitos de experiencia de carácter diferencial, diseñados en función de la capacidad real de este segmento empresarial. En consecuencia, no resulta procedente exigir simultáneamente requisitos generales previstos para proponentes No MiPymes, pues ello desnaturalizaría la finalidad de la limitación, restringiría indebidamente la concurrencia y contrariaría el mandato legal de fomento y promoción de la participación efectiva de las MiPymes en la contratación estatal.</w:t>
            </w:r>
          </w:p>
          <w:p w14:paraId="259B41C4" w14:textId="77777777" w:rsidR="004B5B28" w:rsidRDefault="004B5B28" w:rsidP="006D79DA">
            <w:pPr>
              <w:spacing w:line="276" w:lineRule="auto"/>
              <w:jc w:val="both"/>
              <w:rPr>
                <w:rFonts w:ascii="Verdana" w:hAnsi="Verdana" w:cs="Arial"/>
              </w:rPr>
            </w:pPr>
          </w:p>
          <w:p w14:paraId="5036C57B" w14:textId="77777777" w:rsidR="004B5B28" w:rsidRPr="00C71956" w:rsidRDefault="004B5B28" w:rsidP="006D79DA">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042F23F" w14:textId="77777777" w:rsidR="004B5B28" w:rsidRDefault="004B5B28" w:rsidP="006D79DA">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w:t>
            </w:r>
            <w:r w:rsidRPr="00DB4737">
              <w:rPr>
                <w:rFonts w:ascii="Verdana" w:eastAsia="Calibri" w:hAnsi="Verdana" w:cs="Times New Roman"/>
                <w:lang w:val="es-ES"/>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35450AE" w14:textId="77777777" w:rsidR="004B5B28" w:rsidRPr="00E529C2" w:rsidRDefault="004B5B28" w:rsidP="006D79DA">
            <w:pPr>
              <w:spacing w:line="276" w:lineRule="auto"/>
              <w:jc w:val="both"/>
              <w:rPr>
                <w:rFonts w:ascii="Verdana" w:eastAsia="Calibri" w:hAnsi="Verdana" w:cs="Times New Roman"/>
                <w:lang w:val="es-ES"/>
              </w:rPr>
            </w:pPr>
          </w:p>
        </w:tc>
      </w:tr>
      <w:tr w:rsidR="004B5B28" w:rsidRPr="00593A5F" w14:paraId="2B8285DF" w14:textId="77777777" w:rsidTr="006D79DA">
        <w:tc>
          <w:tcPr>
            <w:tcW w:w="8828" w:type="dxa"/>
          </w:tcPr>
          <w:p w14:paraId="433D8E22" w14:textId="77777777" w:rsidR="004B5B28" w:rsidRDefault="004B5B28" w:rsidP="006D79DA">
            <w:pPr>
              <w:spacing w:after="120" w:line="276" w:lineRule="auto"/>
              <w:jc w:val="both"/>
              <w:rPr>
                <w:rFonts w:ascii="Verdana" w:eastAsia="Calibri" w:hAnsi="Verdana" w:cs="Arial"/>
                <w:bCs/>
                <w:lang w:eastAsia="es-ES_tradnl"/>
              </w:rPr>
            </w:pPr>
          </w:p>
        </w:tc>
      </w:tr>
    </w:tbl>
    <w:p w14:paraId="4956757B" w14:textId="77777777" w:rsidR="004B5B28" w:rsidRDefault="004B5B28" w:rsidP="004B5B28">
      <w:pPr>
        <w:tabs>
          <w:tab w:val="left" w:pos="142"/>
          <w:tab w:val="left" w:pos="284"/>
        </w:tabs>
        <w:spacing w:after="0" w:line="276" w:lineRule="auto"/>
        <w:jc w:val="both"/>
        <w:rPr>
          <w:rFonts w:ascii="Verdana" w:eastAsia="Century Gothic" w:hAnsi="Verdana" w:cs="Century Gothic"/>
          <w:b/>
          <w:bCs/>
          <w:lang w:val="es-ES"/>
        </w:rPr>
      </w:pPr>
    </w:p>
    <w:p w14:paraId="14E5D5BD" w14:textId="77777777" w:rsidR="004B5B28" w:rsidRPr="00593A5F" w:rsidRDefault="004B5B28" w:rsidP="004B5B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0457645" w14:textId="77777777" w:rsidR="004B5B28" w:rsidRDefault="004B5B28" w:rsidP="004B5B28">
      <w:pPr>
        <w:spacing w:after="0" w:line="276" w:lineRule="auto"/>
        <w:ind w:firstLine="708"/>
        <w:jc w:val="both"/>
        <w:rPr>
          <w:rFonts w:ascii="Verdana" w:eastAsia="Calibri" w:hAnsi="Verdana" w:cs="Arial"/>
          <w:color w:val="000000" w:themeColor="text1"/>
        </w:rPr>
      </w:pPr>
    </w:p>
    <w:p w14:paraId="13D72144" w14:textId="77777777" w:rsidR="004B5B28" w:rsidRPr="00FC5438" w:rsidRDefault="004B5B28" w:rsidP="004B5B28">
      <w:pPr>
        <w:autoSpaceDE w:val="0"/>
        <w:autoSpaceDN w:val="0"/>
        <w:adjustRightInd w:val="0"/>
        <w:spacing w:after="120" w:line="276" w:lineRule="auto"/>
        <w:jc w:val="both"/>
        <w:rPr>
          <w:rFonts w:ascii="Verdana" w:eastAsia="Arial" w:hAnsi="Verdana" w:cs="Arial"/>
          <w:color w:val="000000"/>
        </w:rPr>
      </w:pPr>
      <w:bookmarkStart w:id="4" w:name="_Hlk108519028"/>
      <w:r>
        <w:rPr>
          <w:rFonts w:ascii="Verdana" w:eastAsia="Calibri" w:hAnsi="Verdana" w:cs="Arial"/>
          <w:color w:val="000000" w:themeColor="text1"/>
        </w:rPr>
        <w:t xml:space="preserve">        </w:t>
      </w:r>
      <w:r w:rsidRPr="00FC5438">
        <w:rPr>
          <w:rFonts w:ascii="Verdana" w:eastAsia="Arial" w:hAnsi="Verdana" w:cs="Arial"/>
          <w:color w:val="000000"/>
        </w:rPr>
        <w:t xml:space="preserve">En desarrollo del artículo 34 de la Ley de Emprendimiento, el artículo 2.2.1.2.4.2.2 del Decreto 1082 de 2015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Al respecto indica lo siguiente: </w:t>
      </w:r>
    </w:p>
    <w:p w14:paraId="3F23EC45" w14:textId="77777777" w:rsidR="004B5B28" w:rsidRPr="00FC5438" w:rsidRDefault="004B5B28" w:rsidP="004B5B28">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602BE03E" w14:textId="77777777" w:rsidR="004B5B28" w:rsidRPr="00FC5438" w:rsidRDefault="004B5B28" w:rsidP="004B5B28">
      <w:pPr>
        <w:spacing w:after="0" w:line="240" w:lineRule="auto"/>
        <w:ind w:left="709" w:right="709"/>
        <w:jc w:val="both"/>
        <w:rPr>
          <w:rFonts w:ascii="Verdana" w:eastAsia="Calibri" w:hAnsi="Verdana" w:cs="Arial"/>
          <w:sz w:val="21"/>
          <w:szCs w:val="21"/>
          <w:lang w:val="es-ES_tradnl"/>
        </w:rPr>
      </w:pPr>
    </w:p>
    <w:p w14:paraId="0E4687D0" w14:textId="77777777" w:rsidR="004B5B28" w:rsidRPr="00FC5438" w:rsidRDefault="004B5B28" w:rsidP="004B5B28">
      <w:pPr>
        <w:spacing w:after="120" w:line="240" w:lineRule="auto"/>
        <w:ind w:left="709" w:right="709"/>
        <w:jc w:val="both"/>
        <w:rPr>
          <w:rFonts w:ascii="Verdana" w:eastAsia="Calibri" w:hAnsi="Verdana" w:cs="Arial"/>
          <w:sz w:val="21"/>
          <w:szCs w:val="21"/>
          <w:lang w:val="es-ES_tradnl"/>
        </w:rPr>
      </w:pPr>
      <w:r w:rsidRPr="00FC5438">
        <w:rPr>
          <w:rFonts w:ascii="Verdana" w:eastAsia="Calibri" w:hAnsi="Verdana" w:cs="Arial"/>
          <w:sz w:val="21"/>
          <w:szCs w:val="21"/>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42D4EF82" w14:textId="77777777" w:rsidR="004B5B28" w:rsidRPr="00FC5438" w:rsidRDefault="004B5B28" w:rsidP="004B5B28">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w:t>
      </w:r>
      <w:r w:rsidRPr="4B3F5FD1">
        <w:rPr>
          <w:rFonts w:ascii="Verdana" w:eastAsia="Calibri" w:hAnsi="Verdana" w:cs="Arial"/>
          <w:sz w:val="21"/>
          <w:szCs w:val="21"/>
          <w:lang w:val="es-ES"/>
        </w:rPr>
        <w:lastRenderedPageBreak/>
        <w:t>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7DF529DC" w14:textId="77777777" w:rsidR="004B5B28" w:rsidRPr="00FC5438" w:rsidRDefault="004B5B28" w:rsidP="004B5B28">
      <w:pPr>
        <w:spacing w:after="0" w:line="240" w:lineRule="auto"/>
        <w:ind w:left="709" w:right="709"/>
        <w:jc w:val="both"/>
        <w:rPr>
          <w:rFonts w:ascii="Verdana" w:eastAsia="Calibri" w:hAnsi="Verdana" w:cs="Arial"/>
          <w:sz w:val="21"/>
          <w:szCs w:val="21"/>
          <w:lang w:val="es-ES_tradnl"/>
        </w:rPr>
      </w:pPr>
    </w:p>
    <w:p w14:paraId="4153E2BE" w14:textId="77777777" w:rsidR="004B5B28" w:rsidRPr="00FC5438" w:rsidRDefault="004B5B28" w:rsidP="004B5B28">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Parágrafo. Las cooperativas y demás entidades de economía solidaria, siempre que tengan la calidad de Mipyme, podrán solicitar y participar en las convocatorias limitadas en las mismas condiciones dispuestas en el presente artículo”.</w:t>
      </w:r>
    </w:p>
    <w:p w14:paraId="4A2E7CBF" w14:textId="77777777" w:rsidR="004B5B28" w:rsidRPr="00FC5438" w:rsidRDefault="004B5B28" w:rsidP="004B5B28">
      <w:pPr>
        <w:spacing w:after="0" w:line="276" w:lineRule="auto"/>
        <w:ind w:firstLine="709"/>
        <w:jc w:val="both"/>
        <w:rPr>
          <w:rFonts w:ascii="Verdana" w:eastAsia="Arial" w:hAnsi="Verdana" w:cs="Arial"/>
          <w:color w:val="000000"/>
        </w:rPr>
      </w:pPr>
    </w:p>
    <w:p w14:paraId="74749089" w14:textId="77777777" w:rsidR="004B5B28" w:rsidRDefault="004B5B28" w:rsidP="004B5B28">
      <w:pPr>
        <w:spacing w:after="120" w:line="276" w:lineRule="auto"/>
        <w:ind w:firstLine="709"/>
        <w:jc w:val="both"/>
        <w:rPr>
          <w:rFonts w:ascii="Verdana" w:eastAsia="Arial" w:hAnsi="Verdana" w:cs="Arial"/>
          <w:color w:val="000000"/>
          <w:lang w:val="es-ES_tradnl"/>
        </w:rPr>
      </w:pPr>
      <w:r w:rsidRPr="00FC5438">
        <w:rPr>
          <w:rFonts w:ascii="Verdana" w:eastAsia="Arial" w:hAnsi="Verdana" w:cs="Arial"/>
          <w:color w:val="000000"/>
        </w:rPr>
        <w:t xml:space="preserve">Según se evidencia, el numeral primero limita cuantitativamente los procesos contractuales para las convocatorias limitadas a Mipyme, puesto que el valor del proceso de contratación debe ser “menor a ciento veinticinco mil dólares de los Estados Unidos de América”. Esto acuerdo con la tasa que determine cada dos años el Ministerio de Comercio, Industria y Turismo. Por su parte, el numeral segundo establece que al menos dos (2) Mipymes colombianas presenten a la entidad la solicitud de limitar el proceso contractual y, por el otro, que hagan la solicitud por lo menos un día (1) hábil antes de la expedición del acto administrativo de apertura </w:t>
      </w:r>
      <w:r w:rsidRPr="00FC5438">
        <w:rPr>
          <w:rFonts w:ascii="Verdana" w:eastAsia="Arial" w:hAnsi="Verdana" w:cs="Arial"/>
          <w:color w:val="000000"/>
          <w:lang w:val="es-ES_tradnl"/>
        </w:rPr>
        <w:t>o el que haga sus veces de acuerdo con la normativa aplicable a cada Proceso de Contratación</w:t>
      </w:r>
      <w:r w:rsidRPr="00FC5438">
        <w:rPr>
          <w:rFonts w:ascii="Verdana" w:eastAsia="Arial" w:hAnsi="Verdana" w:cs="Arial"/>
          <w:color w:val="000000"/>
        </w:rPr>
        <w:t xml:space="preserve">. Asimismo, la norma señala que, </w:t>
      </w:r>
      <w:r w:rsidRPr="00FC5438">
        <w:rPr>
          <w:rFonts w:ascii="Verdana" w:eastAsia="Arial" w:hAnsi="Verdana" w:cs="Arial"/>
          <w:color w:val="000000"/>
          <w:lang w:val="es-ES_tradnl"/>
        </w:rPr>
        <w:t xml:space="preserve">tratándose de personas jurídicas, las solicitudes solo las podrán realizar Mipyme,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Mipyme, siempre que estas cumplan con las condiciones señaladas en el artículo. </w:t>
      </w:r>
    </w:p>
    <w:p w14:paraId="36D9E037" w14:textId="77777777" w:rsidR="004B5B28" w:rsidRPr="00FC5438" w:rsidRDefault="004B5B28" w:rsidP="004B5B28">
      <w:pPr>
        <w:spacing w:after="120" w:line="276" w:lineRule="auto"/>
        <w:ind w:firstLine="709"/>
        <w:jc w:val="both"/>
        <w:rPr>
          <w:rFonts w:ascii="Verdana" w:eastAsia="Arial" w:hAnsi="Verdana" w:cs="Arial"/>
          <w:color w:val="000000"/>
          <w:lang w:val="es-ES_tradnl"/>
        </w:rPr>
      </w:pPr>
      <w:r>
        <w:rPr>
          <w:rFonts w:ascii="Verdana" w:eastAsia="Arial" w:hAnsi="Verdana" w:cs="Arial"/>
          <w:color w:val="000000"/>
          <w:lang w:val="es-ES_tradnl"/>
        </w:rPr>
        <w:t>En este contexto, l</w:t>
      </w:r>
      <w:r w:rsidRPr="00FC5438">
        <w:rPr>
          <w:rFonts w:ascii="Verdana" w:eastAsia="Arial" w:hAnsi="Verdana" w:cs="Arial"/>
          <w:color w:val="000000"/>
          <w:lang w:val="es-ES_tradnl"/>
        </w:rPr>
        <w:t>a</w:t>
      </w:r>
      <w:r>
        <w:rPr>
          <w:rFonts w:ascii="Verdana" w:eastAsia="Arial" w:hAnsi="Verdana" w:cs="Arial"/>
          <w:color w:val="000000"/>
          <w:lang w:val="es-ES_tradnl"/>
        </w:rPr>
        <w:t>s</w:t>
      </w:r>
      <w:r w:rsidRPr="00FC5438">
        <w:rPr>
          <w:rFonts w:ascii="Verdana" w:eastAsia="Arial" w:hAnsi="Verdana" w:cs="Arial"/>
          <w:color w:val="000000"/>
          <w:lang w:val="es-ES_tradnl"/>
        </w:rPr>
        <w:t xml:space="preserve"> </w:t>
      </w:r>
      <w:r>
        <w:rPr>
          <w:rFonts w:ascii="Verdana" w:eastAsia="Arial" w:hAnsi="Verdana" w:cs="Arial"/>
          <w:color w:val="000000"/>
          <w:lang w:val="es-ES_tradnl"/>
        </w:rPr>
        <w:t>e</w:t>
      </w:r>
      <w:r w:rsidRPr="00FC5438">
        <w:rPr>
          <w:rFonts w:ascii="Verdana" w:eastAsia="Arial" w:hAnsi="Verdana" w:cs="Arial"/>
          <w:color w:val="000000"/>
          <w:lang w:val="es-ES_tradnl"/>
        </w:rPr>
        <w:t xml:space="preserve">ntidades </w:t>
      </w:r>
      <w:r>
        <w:rPr>
          <w:rFonts w:ascii="Verdana" w:eastAsia="Arial" w:hAnsi="Verdana" w:cs="Arial"/>
          <w:color w:val="000000"/>
          <w:lang w:val="es-ES_tradnl"/>
        </w:rPr>
        <w:t>e</w:t>
      </w:r>
      <w:r w:rsidRPr="00FC5438">
        <w:rPr>
          <w:rFonts w:ascii="Verdana" w:eastAsia="Arial" w:hAnsi="Verdana" w:cs="Arial"/>
          <w:color w:val="000000"/>
          <w:lang w:val="es-ES_tradnl"/>
        </w:rPr>
        <w:t>statales están obligadas a aplicar el incentivo de convocatorias limitadas a Mipyme cuando se reúnan los requisitos establecidos en el artículo 2.2.1.2.4.2.2</w:t>
      </w:r>
      <w:r>
        <w:rPr>
          <w:rFonts w:ascii="Verdana" w:eastAsia="Arial" w:hAnsi="Verdana" w:cs="Arial"/>
          <w:color w:val="000000"/>
          <w:lang w:val="es-ES_tradnl"/>
        </w:rPr>
        <w:t xml:space="preserve"> del Decreto 1082 de 2015</w:t>
      </w:r>
      <w:r w:rsidRPr="00FC5438">
        <w:rPr>
          <w:rFonts w:ascii="Verdana" w:eastAsia="Arial" w:hAnsi="Verdana" w:cs="Arial"/>
          <w:color w:val="000000"/>
          <w:lang w:val="es-ES_tradnl"/>
        </w:rPr>
        <w:t>, sin importar el objeto del contrato.</w:t>
      </w:r>
      <w:r>
        <w:rPr>
          <w:rFonts w:ascii="Verdana" w:eastAsia="Arial" w:hAnsi="Verdana" w:cs="Arial"/>
          <w:color w:val="000000"/>
          <w:lang w:val="es-ES_tradnl"/>
        </w:rPr>
        <w:t xml:space="preserve"> </w:t>
      </w:r>
      <w:r w:rsidRPr="00FC5438">
        <w:rPr>
          <w:rFonts w:ascii="Verdana" w:eastAsia="Arial" w:hAnsi="Verdana" w:cs="Arial"/>
          <w:color w:val="000000"/>
          <w:lang w:val="es-ES_tradnl"/>
        </w:rPr>
        <w:t xml:space="preserve">Para que proceda la convocatoria limitada a Mipyme es necesario que el valor del </w:t>
      </w:r>
      <w:r>
        <w:rPr>
          <w:rFonts w:ascii="Verdana" w:eastAsia="Arial" w:hAnsi="Verdana" w:cs="Arial"/>
          <w:color w:val="000000"/>
          <w:lang w:val="es-ES_tradnl"/>
        </w:rPr>
        <w:t>p</w:t>
      </w:r>
      <w:r w:rsidRPr="00FC5438">
        <w:rPr>
          <w:rFonts w:ascii="Verdana" w:eastAsia="Arial" w:hAnsi="Verdana" w:cs="Arial"/>
          <w:color w:val="000000"/>
          <w:lang w:val="es-ES_tradnl"/>
        </w:rPr>
        <w:t xml:space="preserve">roceso de </w:t>
      </w:r>
      <w:r>
        <w:rPr>
          <w:rFonts w:ascii="Verdana" w:eastAsia="Arial" w:hAnsi="Verdana" w:cs="Arial"/>
          <w:color w:val="000000"/>
          <w:lang w:val="es-ES_tradnl"/>
        </w:rPr>
        <w:t>c</w:t>
      </w:r>
      <w:r w:rsidRPr="00FC5438">
        <w:rPr>
          <w:rFonts w:ascii="Verdana" w:eastAsia="Arial" w:hAnsi="Verdana" w:cs="Arial"/>
          <w:color w:val="000000"/>
          <w:lang w:val="es-ES_tradnl"/>
        </w:rPr>
        <w:t>ontratación sea menor a US$125.000, esto se cumple cuando no se generen erogaciones presupuestales o cuando la cuantía del Proceso de Contratación sea cero (0)</w:t>
      </w:r>
      <w:r>
        <w:rPr>
          <w:rFonts w:ascii="Verdana" w:eastAsia="Arial" w:hAnsi="Verdana" w:cs="Arial"/>
          <w:color w:val="000000"/>
          <w:lang w:val="es-ES_tradnl"/>
        </w:rPr>
        <w:t xml:space="preserve">. </w:t>
      </w:r>
      <w:r>
        <w:rPr>
          <w:rFonts w:ascii="Verdana" w:hAnsi="Verdana" w:cs="Arial"/>
          <w:lang w:val="es-ES"/>
        </w:rPr>
        <w:t xml:space="preserve">Lo anterior conforme a la directriz interpretativa del artículo 31 del Código Civil, según la cual </w:t>
      </w:r>
      <w:r w:rsidRPr="005D7CD5">
        <w:rPr>
          <w:rFonts w:ascii="Verdana" w:hAnsi="Verdana" w:cs="Arial"/>
          <w:lang w:val="es-ES"/>
        </w:rPr>
        <w:t xml:space="preserve">“Lo favorable u odioso de una disposición no se tomará en cuenta para ampliar o restringir su </w:t>
      </w:r>
      <w:r w:rsidRPr="005D7CD5">
        <w:rPr>
          <w:rFonts w:ascii="Verdana" w:hAnsi="Verdana" w:cs="Arial"/>
          <w:lang w:val="es-ES"/>
        </w:rPr>
        <w:lastRenderedPageBreak/>
        <w:t>interpretació</w:t>
      </w:r>
      <w:r>
        <w:rPr>
          <w:rFonts w:ascii="Verdana" w:hAnsi="Verdana" w:cs="Arial"/>
          <w:lang w:val="es-ES"/>
        </w:rPr>
        <w:t xml:space="preserve">n. </w:t>
      </w:r>
      <w:r w:rsidRPr="00E51648">
        <w:rPr>
          <w:rFonts w:ascii="Verdana" w:hAnsi="Verdana" w:cs="Arial"/>
          <w:lang w:val="es-ES"/>
        </w:rPr>
        <w:t>La extensión que deba darse a toda ley se determinará por su genuino sentido</w:t>
      </w:r>
      <w:r>
        <w:rPr>
          <w:rFonts w:ascii="Verdana" w:hAnsi="Verdana" w:cs="Arial"/>
          <w:lang w:val="es-ES"/>
        </w:rPr>
        <w:t xml:space="preserve"> […]”</w:t>
      </w:r>
      <w:r>
        <w:rPr>
          <w:rStyle w:val="Refdenotaalpie"/>
          <w:rFonts w:ascii="Verdana" w:hAnsi="Verdana" w:cs="Arial"/>
          <w:lang w:val="es-ES"/>
        </w:rPr>
        <w:footnoteReference w:id="1"/>
      </w:r>
      <w:r>
        <w:rPr>
          <w:rFonts w:ascii="Verdana" w:hAnsi="Verdana" w:cs="Arial"/>
          <w:lang w:val="es-ES"/>
        </w:rPr>
        <w:t>.</w:t>
      </w:r>
    </w:p>
    <w:bookmarkEnd w:id="4"/>
    <w:p w14:paraId="3DAA9FF0" w14:textId="77777777" w:rsidR="00E4520D" w:rsidRDefault="00E4520D" w:rsidP="00E4520D">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        Ahora bien, en atención al problema jurídico planteado en el </w:t>
      </w:r>
      <w:r w:rsidRPr="00475797">
        <w:rPr>
          <w:rFonts w:ascii="Verdana" w:eastAsia="Calibri" w:hAnsi="Verdana" w:cs="Arial"/>
          <w:color w:val="000000" w:themeColor="text1"/>
        </w:rPr>
        <w:t xml:space="preserve">marco </w:t>
      </w:r>
      <w:r>
        <w:rPr>
          <w:rFonts w:ascii="Verdana" w:eastAsia="Calibri" w:hAnsi="Verdana" w:cs="Arial"/>
          <w:color w:val="000000" w:themeColor="text1"/>
        </w:rPr>
        <w:t>de lo previsto</w:t>
      </w:r>
      <w:r w:rsidRPr="00475797">
        <w:rPr>
          <w:rFonts w:ascii="Verdana" w:eastAsia="Calibri" w:hAnsi="Verdana" w:cs="Arial"/>
          <w:color w:val="000000" w:themeColor="text1"/>
        </w:rPr>
        <w:t xml:space="preserve"> en </w:t>
      </w:r>
      <w:r>
        <w:rPr>
          <w:rFonts w:ascii="Verdana" w:eastAsia="Calibri" w:hAnsi="Verdana" w:cs="Arial"/>
          <w:color w:val="000000" w:themeColor="text1"/>
        </w:rPr>
        <w:t xml:space="preserve">el artículo 34 de </w:t>
      </w:r>
      <w:r w:rsidRPr="00475797">
        <w:rPr>
          <w:rFonts w:ascii="Verdana" w:eastAsia="Calibri" w:hAnsi="Verdana" w:cs="Arial"/>
          <w:color w:val="000000" w:themeColor="text1"/>
        </w:rPr>
        <w:t xml:space="preserve">la Ley 2069 de 2020 y su reglamentación mediante el Decreto 1860 de 2021, </w:t>
      </w:r>
      <w:r>
        <w:rPr>
          <w:rFonts w:ascii="Verdana" w:eastAsia="Calibri" w:hAnsi="Verdana" w:cs="Arial"/>
          <w:color w:val="000000" w:themeColor="text1"/>
        </w:rPr>
        <w:t>se</w:t>
      </w:r>
      <w:r w:rsidRPr="00475797">
        <w:rPr>
          <w:rFonts w:ascii="Verdana" w:eastAsia="Calibri" w:hAnsi="Verdana" w:cs="Arial"/>
          <w:color w:val="000000" w:themeColor="text1"/>
        </w:rPr>
        <w:t xml:space="preserve"> faculta a las entidades estatales para limitar las convocatorias a MiPymes cuando el presupuesto es inferior a 125,000 USD y al menos dos de estas empresas lo solicitan, obligando a la entidad a establecer requisitos de experiencia proporcionales y diferenciales.</w:t>
      </w:r>
      <w:r>
        <w:rPr>
          <w:rFonts w:ascii="Verdana" w:eastAsia="Calibri" w:hAnsi="Verdana" w:cs="Arial"/>
          <w:color w:val="000000" w:themeColor="text1"/>
        </w:rPr>
        <w:t xml:space="preserve"> </w:t>
      </w:r>
      <w:r w:rsidRPr="00CE34A3">
        <w:rPr>
          <w:rFonts w:ascii="Verdana" w:eastAsia="Calibri" w:hAnsi="Verdana" w:cs="Arial"/>
          <w:color w:val="000000" w:themeColor="text1"/>
        </w:rPr>
        <w:t xml:space="preserve">En el caso de procesos donde sea obligatoria la aplicación de </w:t>
      </w:r>
      <w:r w:rsidRPr="0033369E">
        <w:rPr>
          <w:rFonts w:ascii="Verdana" w:eastAsia="Calibri" w:hAnsi="Verdana" w:cs="Arial"/>
          <w:color w:val="000000" w:themeColor="text1"/>
        </w:rPr>
        <w:t>Documentos Tipo</w:t>
      </w:r>
      <w:r w:rsidRPr="00CE34A3">
        <w:rPr>
          <w:rFonts w:ascii="Verdana" w:eastAsia="Calibri" w:hAnsi="Verdana" w:cs="Arial"/>
          <w:color w:val="000000" w:themeColor="text1"/>
        </w:rPr>
        <w:t xml:space="preserve">, la entidad deberá verificar si el documento estándar ya contempla requisitos diferenciales específicos para MiPymes; de ser así, estos prevalecen. Si el Documento Tipo no establece una distinción automática, la entidad debe armonizar la obligatoriedad del estándar técnico con el mandato legal de fomento a la </w:t>
      </w:r>
      <w:proofErr w:type="spellStart"/>
      <w:r w:rsidRPr="00CE34A3">
        <w:rPr>
          <w:rFonts w:ascii="Verdana" w:eastAsia="Calibri" w:hAnsi="Verdana" w:cs="Arial"/>
          <w:color w:val="000000" w:themeColor="text1"/>
        </w:rPr>
        <w:t>MiPyme</w:t>
      </w:r>
      <w:proofErr w:type="spellEnd"/>
      <w:r w:rsidRPr="00CE34A3">
        <w:rPr>
          <w:rFonts w:ascii="Verdana" w:eastAsia="Calibri" w:hAnsi="Verdana" w:cs="Arial"/>
          <w:color w:val="000000" w:themeColor="text1"/>
        </w:rPr>
        <w:t>, aplicando los criterios de proporcionalidad que el mismo Documento Tipo permite para procesos de menor cuantía.</w:t>
      </w:r>
    </w:p>
    <w:p w14:paraId="3E2F61F5" w14:textId="46A3A827" w:rsidR="00E4520D" w:rsidRDefault="00E4520D" w:rsidP="00E4520D">
      <w:pPr>
        <w:spacing w:after="120" w:line="276" w:lineRule="auto"/>
        <w:jc w:val="both"/>
        <w:rPr>
          <w:rFonts w:ascii="Verdana" w:eastAsia="Calibri" w:hAnsi="Verdana" w:cs="Arial"/>
        </w:rPr>
      </w:pPr>
      <w:r>
        <w:rPr>
          <w:rFonts w:ascii="Verdana" w:eastAsia="Times New Roman" w:hAnsi="Verdana" w:cs="Open Sans"/>
          <w:lang w:eastAsia="es-CO"/>
        </w:rPr>
        <w:t xml:space="preserve"> </w:t>
      </w:r>
      <w:r>
        <w:rPr>
          <w:rFonts w:ascii="Verdana" w:eastAsia="Calibri" w:hAnsi="Verdana" w:cs="Arial"/>
        </w:rPr>
        <w:t xml:space="preserve">        De esta manera, c</w:t>
      </w:r>
      <w:r w:rsidRPr="00475797">
        <w:rPr>
          <w:rFonts w:ascii="Verdana" w:eastAsia="Calibri" w:hAnsi="Verdana" w:cs="Arial"/>
        </w:rPr>
        <w:t>uando un proceso de contratación se limita a MiPymes, el requisito que aplica es exclusivamente el diferencial. Esto se debe a que, al restringirse la competencia únicamente a pequeñas y medianas empresas, los requisitos generales para "No MiPymes" pierden vigencia, ya que la entidad tiene la obligación legal de ajustar las exigencias a la capacidad real y proporcional del mercado que participa.</w:t>
      </w:r>
      <w:r w:rsidRPr="00CE34A3">
        <w:t xml:space="preserve"> </w:t>
      </w:r>
      <w:r w:rsidRPr="00CE34A3">
        <w:rPr>
          <w:rFonts w:ascii="Verdana" w:eastAsia="Calibri" w:hAnsi="Verdana" w:cs="Arial"/>
        </w:rPr>
        <w:t xml:space="preserve">En los procesos con Documentos Tipo, la aplicación de este régimen diferencial no implica la inaplicación del estándar, sino su adaptación conforme a las reglas que el propio documento tipo prevea para el fomento de la participación de las micro, pequeñas y medianas empresas, </w:t>
      </w:r>
      <w:r w:rsidRPr="00CE34A3">
        <w:rPr>
          <w:rFonts w:ascii="Verdana" w:eastAsia="Calibri" w:hAnsi="Verdana" w:cs="Arial"/>
        </w:rPr>
        <w:lastRenderedPageBreak/>
        <w:t>garantizando que el requisito de experiencia no se convierta en una barrera de acceso.</w:t>
      </w:r>
    </w:p>
    <w:p w14:paraId="03113825" w14:textId="4C4EDB23" w:rsidR="00E4520D" w:rsidRDefault="00E4520D" w:rsidP="00E4520D">
      <w:pPr>
        <w:spacing w:line="276" w:lineRule="auto"/>
        <w:jc w:val="both"/>
        <w:rPr>
          <w:rFonts w:ascii="Verdana" w:hAnsi="Verdana" w:cs="Arial"/>
        </w:rPr>
      </w:pPr>
      <w:r>
        <w:rPr>
          <w:rFonts w:ascii="Verdana" w:hAnsi="Verdana" w:cs="Arial"/>
        </w:rPr>
        <w:t xml:space="preserve">          S</w:t>
      </w:r>
      <w:r w:rsidRPr="00D70D73">
        <w:rPr>
          <w:rFonts w:ascii="Verdana" w:hAnsi="Verdana" w:cs="Arial"/>
        </w:rPr>
        <w:t>i bien las Entidades Estatales gozan de autonomía para estructurar los requisitos de experiencia de sus procesos de contratación, dicha facultad no es absoluta y debe ejercerse con sujeción a los principios de planeación, proporcionalidad y razonabilidad, así como al análisis previo del sector y del mercado. En particular, cuando el proceso de selección es válidamente limitado a MiPymes, en los términos del artículo 34 de la Ley 2069 de 2020 y el Decreto 1860 de 2021, la entidad está jurídicamente obligada a aplicar únicamente requisitos de experiencia de carácter diferencial, diseñados en función de la capacidad real de este segmento empresarial. En consecuencia, no resulta procedente exigir simultáneamente requisitos generales previstos para proponentes No MiPymes, pues ello desnaturalizaría la finalidad de la limitación, restringiría indebidamente la concurrencia y contrariaría el mandato legal de fomento y promoción de la participación efectiva de las MiPymes en la contratación estatal.</w:t>
      </w:r>
    </w:p>
    <w:p w14:paraId="4673599A" w14:textId="77777777" w:rsidR="004B5B28" w:rsidRPr="004F7B86" w:rsidRDefault="004B5B28" w:rsidP="004B5B28">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2414375" w14:textId="77777777" w:rsidR="004B5B28" w:rsidRDefault="004B5B28" w:rsidP="004B5B28">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260ECD92" w14:textId="77777777" w:rsidR="00E4520D" w:rsidRDefault="00E4520D" w:rsidP="004B5B28">
      <w:pPr>
        <w:spacing w:after="0" w:line="276" w:lineRule="auto"/>
        <w:ind w:firstLine="708"/>
        <w:jc w:val="both"/>
        <w:rPr>
          <w:rFonts w:ascii="Verdana" w:eastAsia="Calibri" w:hAnsi="Verdana" w:cs="Times New Roman"/>
          <w:lang w:val="es-ES"/>
        </w:rPr>
      </w:pPr>
    </w:p>
    <w:p w14:paraId="5EC7E2C6" w14:textId="77777777" w:rsidR="00E4520D" w:rsidRDefault="00E4520D" w:rsidP="004B5B28">
      <w:pPr>
        <w:spacing w:after="0" w:line="276" w:lineRule="auto"/>
        <w:ind w:firstLine="708"/>
        <w:jc w:val="both"/>
        <w:rPr>
          <w:rFonts w:ascii="Verdana" w:eastAsia="Calibri" w:hAnsi="Verdana" w:cs="Times New Roman"/>
          <w:lang w:val="es-ES"/>
        </w:rPr>
      </w:pPr>
    </w:p>
    <w:p w14:paraId="2CC5C987" w14:textId="77777777" w:rsidR="004B5B28" w:rsidRPr="008E2432" w:rsidRDefault="004B5B28" w:rsidP="004B5B28">
      <w:pPr>
        <w:spacing w:after="0" w:line="276" w:lineRule="auto"/>
        <w:ind w:firstLine="708"/>
        <w:jc w:val="both"/>
        <w:rPr>
          <w:rFonts w:ascii="Verdana" w:eastAsia="Calibri" w:hAnsi="Verdana" w:cs="Times New Roman"/>
          <w:lang w:val="es-ES"/>
        </w:rPr>
      </w:pPr>
    </w:p>
    <w:p w14:paraId="3AD11AB5" w14:textId="77777777" w:rsidR="004B5B28" w:rsidRPr="0060676F" w:rsidRDefault="004B5B28" w:rsidP="004B5B28">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lastRenderedPageBreak/>
        <w:t>Referencias normativas, jurisprudenciales y otras fuentes:</w:t>
      </w:r>
    </w:p>
    <w:p w14:paraId="02FA635B" w14:textId="77777777" w:rsidR="004B5B28" w:rsidRPr="00593A5F" w:rsidRDefault="004B5B28" w:rsidP="004B5B2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B5B28" w:rsidRPr="00593A5F" w14:paraId="0544A76D" w14:textId="77777777" w:rsidTr="006D79DA">
        <w:trPr>
          <w:trHeight w:val="870"/>
        </w:trPr>
        <w:tc>
          <w:tcPr>
            <w:tcW w:w="8647" w:type="dxa"/>
          </w:tcPr>
          <w:p w14:paraId="5AC2461D" w14:textId="77777777" w:rsidR="004B5B28" w:rsidRPr="00FE5A6A" w:rsidRDefault="004B5B28" w:rsidP="006D79D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FE5A6A">
              <w:rPr>
                <w:rFonts w:ascii="Verdana" w:eastAsia="Arial MT" w:hAnsi="Verdana" w:cs="Arial"/>
                <w:lang w:val="es-ES" w:eastAsia="es-ES" w:bidi="es-ES"/>
              </w:rPr>
              <w:t>Ley 80 de 1993, artículos 77.</w:t>
            </w:r>
          </w:p>
          <w:p w14:paraId="6A08BF3F" w14:textId="77777777" w:rsidR="004B5B28" w:rsidRPr="00FE5A6A" w:rsidRDefault="004B5B28" w:rsidP="006D79D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FE5A6A">
              <w:rPr>
                <w:rFonts w:ascii="Verdana" w:eastAsia="Arial MT" w:hAnsi="Verdana" w:cs="Arial"/>
                <w:lang w:val="es-ES" w:eastAsia="es-ES" w:bidi="es-ES"/>
              </w:rPr>
              <w:t xml:space="preserve">Ley 1437 de 2011 , artículo 44. </w:t>
            </w:r>
          </w:p>
          <w:p w14:paraId="6C9DB644" w14:textId="77777777" w:rsidR="004B5B28" w:rsidRPr="00FE5A6A" w:rsidRDefault="004B5B28" w:rsidP="006D79D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FE5A6A">
              <w:rPr>
                <w:rFonts w:ascii="Verdana" w:eastAsia="Arial MT" w:hAnsi="Verdana" w:cs="Arial"/>
                <w:lang w:val="es-ES" w:eastAsia="es-ES" w:bidi="es-ES"/>
              </w:rPr>
              <w:t>Decreto 1082 de 2015. Subsección 2. Artículos 2.2.1.2.4.2.2, 2.2.1.2.4.2.3, 2.2.1.2.4.2.4, 2.2.1.2.4.2.17, 2.2.1.2.4.2.18, 2.2.1.2.4.2.19 y 2.2.1.2.1.5.2</w:t>
            </w:r>
          </w:p>
          <w:p w14:paraId="79663B7F" w14:textId="77777777" w:rsidR="004B5B28" w:rsidRPr="00FE5A6A" w:rsidRDefault="004B5B28" w:rsidP="006D79D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FE5A6A">
              <w:rPr>
                <w:rFonts w:ascii="Verdana" w:eastAsia="Arial MT" w:hAnsi="Verdana" w:cs="Arial"/>
                <w:lang w:val="es-ES" w:eastAsia="es-ES" w:bidi="es-ES"/>
              </w:rPr>
              <w:t>Ley 2069 de 2020. Artículo 30,31,34 y 35.</w:t>
            </w:r>
          </w:p>
          <w:p w14:paraId="62056D72" w14:textId="77777777" w:rsidR="004B5B28" w:rsidRPr="00332677" w:rsidRDefault="004B5B28" w:rsidP="006D79DA">
            <w:pPr>
              <w:pStyle w:val="Prrafodelista"/>
              <w:widowControl w:val="0"/>
              <w:numPr>
                <w:ilvl w:val="0"/>
                <w:numId w:val="17"/>
              </w:numPr>
              <w:autoSpaceDE w:val="0"/>
              <w:autoSpaceDN w:val="0"/>
              <w:spacing w:line="276" w:lineRule="auto"/>
              <w:contextualSpacing w:val="0"/>
              <w:jc w:val="both"/>
              <w:rPr>
                <w:rFonts w:ascii="Verdana" w:hAnsi="Verdana" w:cs="Arial"/>
              </w:rPr>
            </w:pPr>
            <w:r w:rsidRPr="00FE5A6A">
              <w:rPr>
                <w:rFonts w:ascii="Verdana" w:eastAsia="Arial MT" w:hAnsi="Verdana" w:cs="Arial"/>
                <w:lang w:eastAsia="es-ES" w:bidi="es-ES"/>
              </w:rPr>
              <w:t>Decreto 1860 de 2021. Artículos 2 y 3</w:t>
            </w:r>
          </w:p>
        </w:tc>
      </w:tr>
    </w:tbl>
    <w:p w14:paraId="35D7C17D" w14:textId="77777777" w:rsidR="004B5B28" w:rsidRDefault="004B5B28" w:rsidP="004B5B2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26976D" w14:textId="77777777" w:rsidR="004B5B28" w:rsidRDefault="004B5B28" w:rsidP="004B5B28">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08C0139" w14:textId="77777777" w:rsidR="004B5B28" w:rsidRPr="00593A5F" w:rsidRDefault="004B5B28" w:rsidP="004B5B2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617AC45" w14:textId="77777777" w:rsidR="004B5B28" w:rsidRPr="002A22D8" w:rsidRDefault="004B5B28" w:rsidP="004B5B28">
      <w:pPr>
        <w:widowControl w:val="0"/>
        <w:autoSpaceDE w:val="0"/>
        <w:autoSpaceDN w:val="0"/>
        <w:spacing w:after="0" w:line="276" w:lineRule="auto"/>
        <w:jc w:val="both"/>
        <w:rPr>
          <w:rFonts w:ascii="Verdana" w:hAnsi="Verdana" w:cs="Arial"/>
          <w:bCs/>
          <w:shd w:val="clear" w:color="auto" w:fill="FFFFFF"/>
        </w:rPr>
      </w:pPr>
      <w:r w:rsidRPr="00701FB8">
        <w:rPr>
          <w:rStyle w:val="normaltextrun"/>
          <w:rFonts w:ascii="Verdana" w:hAnsi="Verdana" w:cs="Arial"/>
          <w:color w:val="000000" w:themeColor="text1"/>
          <w:shd w:val="clear" w:color="auto" w:fill="FFFFFF"/>
          <w:lang w:val="es-ES"/>
        </w:rPr>
        <w:t xml:space="preserve">La Subdirección de Gestión Contractual se ha pronunciado </w:t>
      </w:r>
      <w:r w:rsidRPr="00701FB8">
        <w:rPr>
          <w:rFonts w:ascii="Verdana" w:hAnsi="Verdana" w:cs="Arial"/>
          <w:color w:val="000000" w:themeColor="text1"/>
          <w:shd w:val="clear" w:color="auto" w:fill="FFFFFF"/>
          <w:lang w:val="es-ES_tradnl"/>
        </w:rPr>
        <w:t>sobre las convocatorias limitadas</w:t>
      </w:r>
      <w:r>
        <w:rPr>
          <w:rFonts w:ascii="Verdana" w:hAnsi="Verdana" w:cs="Arial"/>
          <w:color w:val="000000" w:themeColor="text1"/>
          <w:shd w:val="clear" w:color="auto" w:fill="FFFFFF"/>
          <w:lang w:val="es-ES_tradnl"/>
        </w:rPr>
        <w:t xml:space="preserve"> a MiPymes</w:t>
      </w:r>
      <w:r w:rsidRPr="00701FB8">
        <w:rPr>
          <w:rStyle w:val="normaltextrun"/>
          <w:rFonts w:ascii="Verdana" w:hAnsi="Verdana" w:cs="Arial"/>
          <w:color w:val="000000" w:themeColor="text1"/>
          <w:shd w:val="clear" w:color="auto" w:fill="FFFFFF"/>
          <w:lang w:val="es-ES"/>
        </w:rPr>
        <w:t xml:space="preserve"> </w:t>
      </w:r>
      <w:r>
        <w:rPr>
          <w:rStyle w:val="normaltextrun"/>
          <w:rFonts w:ascii="Verdana" w:hAnsi="Verdana" w:cs="Arial"/>
          <w:color w:val="000000" w:themeColor="text1"/>
          <w:shd w:val="clear" w:color="auto" w:fill="FFFFFF"/>
          <w:lang w:val="es-ES"/>
        </w:rPr>
        <w:t>e</w:t>
      </w:r>
      <w:r w:rsidRPr="00701FB8">
        <w:rPr>
          <w:rStyle w:val="normaltextrun"/>
          <w:rFonts w:ascii="Verdana" w:hAnsi="Verdana" w:cs="Arial"/>
          <w:color w:val="000000" w:themeColor="text1"/>
          <w:shd w:val="clear" w:color="auto" w:fill="FFFFFF"/>
          <w:lang w:val="es-ES"/>
        </w:rPr>
        <w:t xml:space="preserve">n los conceptos </w:t>
      </w:r>
      <w:r w:rsidRPr="000C7448">
        <w:rPr>
          <w:rFonts w:ascii="Verdana" w:hAnsi="Verdana" w:cs="Arial"/>
          <w:color w:val="000000" w:themeColor="text1"/>
          <w:shd w:val="clear" w:color="auto" w:fill="FFFFFF"/>
          <w:lang w:val="es-ES_tradnl"/>
        </w:rPr>
        <w:t>C-758 del 10 de noviembre de 2022, C-089 del 28 de abril de 2023, C-159 del 22 de junio de 2023, C-165 del 2 de junio de 2023, C-269 del 12 de julio de 2023, C-295 del 24 de julio de 2023, C-302 del 14 de septiembre de 2023, C-366 del 8 de septiembre de 2023, C-436 del 24 de octubre de 2023, C-279 del 31 de octubre de 2023 y C-017 del 26 de febrero de 2024</w:t>
      </w:r>
      <w:r w:rsidRPr="00701FB8">
        <w:rPr>
          <w:rFonts w:ascii="Verdana" w:hAnsi="Verdana" w:cs="Arial"/>
          <w:color w:val="000000" w:themeColor="text1"/>
          <w:shd w:val="clear" w:color="auto" w:fill="FFFFFF"/>
          <w:lang w:val="es-ES_tradnl"/>
        </w:rPr>
        <w:t xml:space="preserve">, </w:t>
      </w:r>
      <w:r>
        <w:rPr>
          <w:rFonts w:ascii="Verdana" w:hAnsi="Verdana" w:cs="Arial"/>
          <w:color w:val="000000" w:themeColor="text1"/>
          <w:shd w:val="clear" w:color="auto" w:fill="FFFFFF"/>
          <w:lang w:val="es-MX"/>
        </w:rPr>
        <w:t>,</w:t>
      </w:r>
      <w:r w:rsidRPr="00701FB8">
        <w:rPr>
          <w:rFonts w:ascii="Verdana" w:hAnsi="Verdana" w:cs="Arial"/>
          <w:color w:val="000000" w:themeColor="text1"/>
          <w:shd w:val="clear" w:color="auto" w:fill="FFFFFF"/>
          <w:lang w:val="es-MX"/>
        </w:rPr>
        <w:t xml:space="preserve"> </w:t>
      </w:r>
      <w:r w:rsidRPr="00692D10">
        <w:rPr>
          <w:rFonts w:ascii="Verdana" w:hAnsi="Verdana" w:cs="Arial"/>
          <w:shd w:val="clear" w:color="auto" w:fill="FFFFFF"/>
          <w:lang w:val="es-ES"/>
        </w:rPr>
        <w:t>C-278 del 24 de agosto de 2023, C-271 del 15 de agosto de 2023, C-265 de 26 de julio de 2023, C-280 del 06 de junio de 2023, C-216 del 06 de junio de 2023, C-184 del 02 junio de 2023, C-141 de 30 de mayo de 2023, C-053 del 28 de marzo de 2023</w:t>
      </w:r>
      <w:r>
        <w:rPr>
          <w:rFonts w:ascii="Verdana" w:hAnsi="Verdana" w:cs="Arial"/>
          <w:shd w:val="clear" w:color="auto" w:fill="FFFFFF"/>
          <w:lang w:val="es-ES"/>
        </w:rPr>
        <w:t xml:space="preserve"> C-193 de junio de 2024 y C-227 del 24 de julio de 2024 y C-308 del 22 de agosto de 2024, </w:t>
      </w:r>
      <w:r w:rsidRPr="00B60BC4">
        <w:rPr>
          <w:rFonts w:ascii="Verdana" w:eastAsia="Calibri" w:hAnsi="Verdana" w:cs="Arial"/>
          <w:lang w:val="es-ES_tradnl" w:eastAsia="es-ES_tradnl"/>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5388E42" w14:textId="77777777" w:rsidR="004B5B28" w:rsidRPr="0065720B" w:rsidRDefault="004B5B28" w:rsidP="004B5B28">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75B666D8" w14:textId="77777777" w:rsidR="004B5B28" w:rsidRPr="00505CD6" w:rsidRDefault="004B5B28" w:rsidP="004B5B28">
      <w:pPr>
        <w:widowControl w:val="0"/>
        <w:autoSpaceDE w:val="0"/>
        <w:autoSpaceDN w:val="0"/>
        <w:spacing w:after="0" w:line="276" w:lineRule="auto"/>
        <w:jc w:val="both"/>
        <w:rPr>
          <w:rFonts w:ascii="Verdana" w:hAnsi="Verdana" w:cs="Arial"/>
          <w:color w:val="000000" w:themeColor="text1"/>
          <w:shd w:val="clear" w:color="auto" w:fill="FFFFFF"/>
        </w:rPr>
      </w:pPr>
    </w:p>
    <w:p w14:paraId="719469BF" w14:textId="77777777" w:rsidR="004B5B28" w:rsidRPr="00103B90" w:rsidRDefault="004B5B28" w:rsidP="004B5B28">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 xml:space="preserve">Guía de Contratación Pública Sostenible y Socialmente </w:t>
        </w:r>
        <w:r w:rsidRPr="00505CD6">
          <w:rPr>
            <w:rFonts w:ascii="Verdana" w:hAnsi="Verdana" w:cs="Arial"/>
            <w:color w:val="0563C1" w:themeColor="hyperlink"/>
            <w:u w:val="single"/>
            <w:shd w:val="clear" w:color="auto" w:fill="FFFFFF"/>
          </w:rPr>
          <w:lastRenderedPageBreak/>
          <w:t>Responsable | Colombia Compra Eficiente | Agencia Nacional de Contratación Pública</w:t>
        </w:r>
      </w:hyperlink>
      <w:r w:rsidRPr="00103B90">
        <w:rPr>
          <w:rFonts w:ascii="Verdana" w:hAnsi="Verdana"/>
        </w:rPr>
        <w:t>.</w:t>
      </w:r>
    </w:p>
    <w:p w14:paraId="65A9B933" w14:textId="77777777" w:rsidR="004B5B28" w:rsidRPr="00103B90" w:rsidRDefault="004B5B28" w:rsidP="004B5B28">
      <w:pPr>
        <w:widowControl w:val="0"/>
        <w:autoSpaceDE w:val="0"/>
        <w:autoSpaceDN w:val="0"/>
        <w:spacing w:after="0" w:line="276" w:lineRule="auto"/>
        <w:jc w:val="both"/>
        <w:rPr>
          <w:rFonts w:ascii="Verdana" w:hAnsi="Verdana"/>
        </w:rPr>
      </w:pPr>
    </w:p>
    <w:p w14:paraId="3B32BA43" w14:textId="77777777" w:rsidR="004B5B28" w:rsidRPr="00505CD6" w:rsidRDefault="004B5B28" w:rsidP="004B5B28">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42062ED" w14:textId="77777777" w:rsidR="004B5B28" w:rsidRPr="00505CD6" w:rsidRDefault="004B5B28" w:rsidP="004B5B28">
      <w:pPr>
        <w:widowControl w:val="0"/>
        <w:autoSpaceDE w:val="0"/>
        <w:autoSpaceDN w:val="0"/>
        <w:spacing w:after="0" w:line="276" w:lineRule="auto"/>
        <w:jc w:val="both"/>
        <w:rPr>
          <w:rFonts w:ascii="Verdana" w:hAnsi="Verdana" w:cs="Arial"/>
        </w:rPr>
      </w:pPr>
    </w:p>
    <w:p w14:paraId="097FD5A0" w14:textId="77777777" w:rsidR="004B5B28" w:rsidRDefault="004B5B28" w:rsidP="004B5B28">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832FF18" w14:textId="77777777" w:rsidR="004B5B28" w:rsidRDefault="004B5B28" w:rsidP="004B5B28">
      <w:pPr>
        <w:spacing w:line="276" w:lineRule="auto"/>
        <w:jc w:val="center"/>
        <w:rPr>
          <w:noProof/>
        </w:rPr>
      </w:pPr>
    </w:p>
    <w:p w14:paraId="2770F664" w14:textId="17E5583E" w:rsidR="004B5B28" w:rsidRDefault="00445B9F" w:rsidP="004B5B28">
      <w:pPr>
        <w:spacing w:line="276" w:lineRule="auto"/>
        <w:jc w:val="center"/>
        <w:rPr>
          <w:noProof/>
        </w:rPr>
      </w:pPr>
      <w:r>
        <w:rPr>
          <w:noProof/>
        </w:rPr>
        <w:drawing>
          <wp:inline distT="0" distB="0" distL="0" distR="0" wp14:anchorId="3B1E77AB" wp14:editId="79EFD848">
            <wp:extent cx="3249930" cy="1395139"/>
            <wp:effectExtent l="0" t="0" r="7620" b="0"/>
            <wp:docPr id="62900783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56103" cy="1397789"/>
                    </a:xfrm>
                    <a:prstGeom prst="rect">
                      <a:avLst/>
                    </a:prstGeom>
                    <a:noFill/>
                    <a:ln>
                      <a:noFill/>
                    </a:ln>
                  </pic:spPr>
                </pic:pic>
              </a:graphicData>
            </a:graphic>
          </wp:inline>
        </w:drawing>
      </w:r>
    </w:p>
    <w:p w14:paraId="790FD92A" w14:textId="77777777" w:rsidR="00445B9F" w:rsidRDefault="00445B9F" w:rsidP="004B5B28">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B5B28" w:rsidRPr="00593A5F" w14:paraId="6F5577F0" w14:textId="77777777" w:rsidTr="006D79DA">
        <w:trPr>
          <w:trHeight w:val="315"/>
        </w:trPr>
        <w:tc>
          <w:tcPr>
            <w:tcW w:w="893" w:type="dxa"/>
            <w:vAlign w:val="center"/>
            <w:hideMark/>
          </w:tcPr>
          <w:p w14:paraId="33A9166C" w14:textId="77777777" w:rsidR="004B5B28" w:rsidRPr="003751C7" w:rsidRDefault="004B5B28" w:rsidP="006D79D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8CDFAA2" w14:textId="77777777" w:rsidR="004B5B28" w:rsidRPr="007911EE" w:rsidRDefault="004B5B28" w:rsidP="006D79DA">
            <w:pPr>
              <w:contextualSpacing/>
              <w:rPr>
                <w:rFonts w:ascii="Verdana" w:hAnsi="Verdana"/>
                <w:sz w:val="16"/>
                <w:szCs w:val="16"/>
              </w:rPr>
            </w:pPr>
            <w:r w:rsidRPr="007911EE">
              <w:rPr>
                <w:rFonts w:ascii="Verdana" w:hAnsi="Verdana"/>
                <w:sz w:val="16"/>
                <w:szCs w:val="16"/>
              </w:rPr>
              <w:t xml:space="preserve">Nicolas Andrés Guzmán </w:t>
            </w:r>
          </w:p>
          <w:p w14:paraId="11150B0C" w14:textId="77777777" w:rsidR="004B5B28" w:rsidRPr="007911EE" w:rsidRDefault="004B5B28" w:rsidP="006D79DA">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4B5B28" w:rsidRPr="00593A5F" w14:paraId="3BA8633E" w14:textId="77777777" w:rsidTr="006D79DA">
        <w:trPr>
          <w:trHeight w:val="330"/>
        </w:trPr>
        <w:tc>
          <w:tcPr>
            <w:tcW w:w="893" w:type="dxa"/>
            <w:vAlign w:val="center"/>
            <w:hideMark/>
          </w:tcPr>
          <w:p w14:paraId="3CE73550" w14:textId="77777777" w:rsidR="004B5B28" w:rsidRPr="003751C7" w:rsidRDefault="004B5B28" w:rsidP="006D79D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F5131C" w14:textId="77777777" w:rsidR="004B5B28" w:rsidRDefault="004B5B28" w:rsidP="006D79DA">
            <w:pPr>
              <w:spacing w:line="276" w:lineRule="auto"/>
              <w:contextualSpacing/>
              <w:jc w:val="both"/>
              <w:rPr>
                <w:rFonts w:ascii="Verdana" w:hAnsi="Verdana"/>
                <w:sz w:val="16"/>
                <w:szCs w:val="16"/>
              </w:rPr>
            </w:pPr>
            <w:r w:rsidRPr="00960E4D">
              <w:rPr>
                <w:rFonts w:ascii="Verdana" w:hAnsi="Verdana"/>
                <w:sz w:val="16"/>
                <w:szCs w:val="16"/>
              </w:rPr>
              <w:t>Juan Carlos González</w:t>
            </w:r>
          </w:p>
          <w:p w14:paraId="30EAD2DE" w14:textId="77777777" w:rsidR="004B5B28" w:rsidRPr="007911EE" w:rsidRDefault="004B5B28" w:rsidP="006D79DA">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4B5B28" w:rsidRPr="00593A5F" w14:paraId="4D0103EB" w14:textId="77777777" w:rsidTr="006D79DA">
        <w:trPr>
          <w:trHeight w:val="330"/>
        </w:trPr>
        <w:tc>
          <w:tcPr>
            <w:tcW w:w="893" w:type="dxa"/>
            <w:vAlign w:val="center"/>
          </w:tcPr>
          <w:p w14:paraId="45F41E23" w14:textId="77777777" w:rsidR="004B5B28" w:rsidRPr="003751C7" w:rsidRDefault="004B5B28" w:rsidP="006D79DA">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34EBAC" w14:textId="77777777" w:rsidR="004B5B28" w:rsidRDefault="004B5B28" w:rsidP="006D79DA">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2641FFDA" w14:textId="77777777" w:rsidR="004B5B28" w:rsidRDefault="004B5B28" w:rsidP="006D79DA">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3B003147" w14:textId="77777777" w:rsidR="004B5B28" w:rsidRPr="00F30C63" w:rsidRDefault="004B5B28" w:rsidP="004B5B28"/>
    <w:p w14:paraId="0F293BF4" w14:textId="7DABE378" w:rsidR="00127233" w:rsidRPr="004B5B28" w:rsidRDefault="00127233" w:rsidP="004B5B28"/>
    <w:sectPr w:rsidR="00127233" w:rsidRPr="004B5B2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E2DF4" w14:textId="77777777" w:rsidR="00B90518" w:rsidRDefault="00B90518" w:rsidP="004A1847">
      <w:pPr>
        <w:spacing w:after="0" w:line="240" w:lineRule="auto"/>
      </w:pPr>
      <w:r>
        <w:separator/>
      </w:r>
    </w:p>
  </w:endnote>
  <w:endnote w:type="continuationSeparator" w:id="0">
    <w:p w14:paraId="24391B9C" w14:textId="77777777" w:rsidR="00B90518" w:rsidRDefault="00B9051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1FD8B" w14:textId="77777777" w:rsidR="00B90518" w:rsidRDefault="00B90518" w:rsidP="004A1847">
      <w:pPr>
        <w:spacing w:after="0" w:line="240" w:lineRule="auto"/>
      </w:pPr>
      <w:r>
        <w:separator/>
      </w:r>
    </w:p>
  </w:footnote>
  <w:footnote w:type="continuationSeparator" w:id="0">
    <w:p w14:paraId="5793846B" w14:textId="77777777" w:rsidR="00B90518" w:rsidRDefault="00B90518" w:rsidP="004A1847">
      <w:pPr>
        <w:spacing w:after="0" w:line="240" w:lineRule="auto"/>
      </w:pPr>
      <w:r>
        <w:continuationSeparator/>
      </w:r>
    </w:p>
  </w:footnote>
  <w:footnote w:id="1">
    <w:p w14:paraId="582C1D30" w14:textId="77777777" w:rsidR="004B5B28" w:rsidRPr="00C9667E" w:rsidRDefault="004B5B28" w:rsidP="004B5B28">
      <w:pPr>
        <w:pStyle w:val="Textonotapie"/>
        <w:ind w:firstLine="708"/>
        <w:jc w:val="both"/>
        <w:rPr>
          <w:rFonts w:ascii="Verdana" w:hAnsi="Verdana"/>
          <w:sz w:val="16"/>
          <w:szCs w:val="16"/>
          <w:lang w:val="es-ES"/>
        </w:rPr>
      </w:pPr>
      <w:r w:rsidRPr="00C9667E">
        <w:rPr>
          <w:rStyle w:val="Refdenotaalpie"/>
          <w:rFonts w:ascii="Verdana" w:hAnsi="Verdana"/>
          <w:sz w:val="16"/>
          <w:szCs w:val="16"/>
        </w:rPr>
        <w:footnoteRef/>
      </w:r>
      <w:r w:rsidRPr="00C9667E">
        <w:rPr>
          <w:rFonts w:ascii="Verdana" w:hAnsi="Verdana"/>
          <w:sz w:val="16"/>
          <w:szCs w:val="16"/>
        </w:rPr>
        <w:t xml:space="preserve"> </w:t>
      </w:r>
      <w:r w:rsidRPr="00C9667E">
        <w:rPr>
          <w:rFonts w:ascii="Verdana" w:hAnsi="Verdana"/>
          <w:sz w:val="16"/>
          <w:szCs w:val="16"/>
          <w:lang w:val="es-ES"/>
        </w:rPr>
        <w:t>La doctrina chilena ilustra su aplicación en los siguientes términos:</w:t>
      </w:r>
      <w:r>
        <w:rPr>
          <w:rFonts w:ascii="Verdana" w:hAnsi="Verdana"/>
          <w:sz w:val="16"/>
          <w:szCs w:val="16"/>
          <w:lang w:val="es-ES"/>
        </w:rPr>
        <w:t xml:space="preserve"> </w:t>
      </w:r>
      <w:r w:rsidRPr="00C9667E">
        <w:rPr>
          <w:rFonts w:ascii="Verdana" w:hAnsi="Verdana"/>
          <w:sz w:val="16"/>
          <w:szCs w:val="16"/>
          <w:lang w:val="es-ES"/>
        </w:rPr>
        <w:t xml:space="preserve">“La ley se ha de entender general e indistintamente. Cuando la ley no hace excepción alguna, pudiendo haberla hecho, no podemos separarnos de su disposición general por medio de una distinción que ella no ha formulado. </w:t>
      </w:r>
      <w:r w:rsidRPr="00C9667E">
        <w:rPr>
          <w:rFonts w:ascii="Verdana" w:hAnsi="Verdana"/>
          <w:i/>
          <w:iCs/>
          <w:sz w:val="16"/>
          <w:szCs w:val="16"/>
          <w:lang w:val="es-ES"/>
        </w:rPr>
        <w:t>Ubi lex non distinguit nec nos distinguere debemus</w:t>
      </w:r>
      <w:r w:rsidRPr="00C9667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2F68A882" w14:textId="77777777" w:rsidR="004B5B28" w:rsidRPr="00C9667E" w:rsidRDefault="004B5B28" w:rsidP="004B5B28">
      <w:pPr>
        <w:pStyle w:val="Textonotapie"/>
        <w:ind w:firstLine="708"/>
        <w:jc w:val="both"/>
        <w:rPr>
          <w:rFonts w:ascii="Verdana" w:hAnsi="Verdana"/>
          <w:sz w:val="16"/>
          <w:szCs w:val="16"/>
          <w:lang w:val="es-CO"/>
        </w:rPr>
      </w:pPr>
      <w:r w:rsidRPr="00C9667E">
        <w:rPr>
          <w:rFonts w:ascii="Verdana" w:hAnsi="Verdana"/>
          <w:sz w:val="16"/>
          <w:szCs w:val="16"/>
          <w:lang w:val="es-ES"/>
        </w:rPr>
        <w:t xml:space="preserve">En el derecho antiguo y en el derecho canónico se distinguían las leyes en favorables y odiosas, para ampliar o restringir su interpretación. </w:t>
      </w:r>
      <w:r w:rsidRPr="00C9667E">
        <w:rPr>
          <w:rFonts w:ascii="Verdana" w:hAnsi="Verdana"/>
          <w:i/>
          <w:iCs/>
          <w:sz w:val="16"/>
          <w:szCs w:val="16"/>
          <w:lang w:val="es-ES"/>
        </w:rPr>
        <w:t>Odia restringí et favores convenit ampliari</w:t>
      </w:r>
      <w:r w:rsidRPr="00C9667E">
        <w:rPr>
          <w:rFonts w:ascii="Verdana" w:hAnsi="Verdana"/>
          <w:sz w:val="16"/>
          <w:szCs w:val="16"/>
          <w:lang w:val="es-ES"/>
        </w:rPr>
        <w:t>.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w:t>
      </w:r>
      <w:r>
        <w:rPr>
          <w:rFonts w:ascii="Verdana" w:hAnsi="Verdana"/>
          <w:sz w:val="16"/>
          <w:szCs w:val="16"/>
          <w:lang w:val="es-ES"/>
        </w:rPr>
        <w:t xml:space="preserve"> (Cfr. </w:t>
      </w:r>
      <w:r w:rsidRPr="008A44AC">
        <w:rPr>
          <w:rFonts w:ascii="Verdana" w:hAnsi="Verdana"/>
          <w:sz w:val="16"/>
          <w:szCs w:val="16"/>
        </w:rPr>
        <w:t>CLARO SOLAR, Luis. Explicaciones de derecho civil chileno y comparado. Volumen I. Tomo I. Santiago: Editorial Jurídica de Chile, 2013. p. 11</w:t>
      </w:r>
      <w:r>
        <w:rPr>
          <w:rFonts w:ascii="Verdana" w:hAnsi="Verdana"/>
          <w:sz w:val="16"/>
          <w:szCs w:val="16"/>
        </w:rPr>
        <w:t>9</w:t>
      </w:r>
      <w:r w:rsidRPr="008A44AC">
        <w:rPr>
          <w:rFonts w:ascii="Verdana" w:hAnsi="Verdana"/>
          <w:sz w:val="16"/>
          <w:szCs w:val="16"/>
        </w:rPr>
        <w:t>. Énfasis dentro del texto</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4EFC"/>
    <w:rsid w:val="00116940"/>
    <w:rsid w:val="00125105"/>
    <w:rsid w:val="00127233"/>
    <w:rsid w:val="0015699B"/>
    <w:rsid w:val="001A33BF"/>
    <w:rsid w:val="001E4177"/>
    <w:rsid w:val="001F0B24"/>
    <w:rsid w:val="001F7DC6"/>
    <w:rsid w:val="0022400B"/>
    <w:rsid w:val="002421BB"/>
    <w:rsid w:val="0025796E"/>
    <w:rsid w:val="002707A2"/>
    <w:rsid w:val="00274307"/>
    <w:rsid w:val="002951A0"/>
    <w:rsid w:val="002962BC"/>
    <w:rsid w:val="002A093D"/>
    <w:rsid w:val="002A0DD0"/>
    <w:rsid w:val="002A49AC"/>
    <w:rsid w:val="002A64FD"/>
    <w:rsid w:val="002C7A84"/>
    <w:rsid w:val="002E2BF8"/>
    <w:rsid w:val="002E4FD9"/>
    <w:rsid w:val="0030657A"/>
    <w:rsid w:val="00322A85"/>
    <w:rsid w:val="00324168"/>
    <w:rsid w:val="00330834"/>
    <w:rsid w:val="0033369E"/>
    <w:rsid w:val="003448F4"/>
    <w:rsid w:val="00374F5E"/>
    <w:rsid w:val="00377E3E"/>
    <w:rsid w:val="003A779E"/>
    <w:rsid w:val="003C5B63"/>
    <w:rsid w:val="003D0F4D"/>
    <w:rsid w:val="003D5B0D"/>
    <w:rsid w:val="003E0499"/>
    <w:rsid w:val="003E4F80"/>
    <w:rsid w:val="003E6439"/>
    <w:rsid w:val="003F3941"/>
    <w:rsid w:val="00406575"/>
    <w:rsid w:val="00414C74"/>
    <w:rsid w:val="0042722E"/>
    <w:rsid w:val="0044528D"/>
    <w:rsid w:val="00445B9F"/>
    <w:rsid w:val="00466E39"/>
    <w:rsid w:val="004A1847"/>
    <w:rsid w:val="004A305D"/>
    <w:rsid w:val="004B5B28"/>
    <w:rsid w:val="004F21C4"/>
    <w:rsid w:val="004F685F"/>
    <w:rsid w:val="00502D61"/>
    <w:rsid w:val="005566E8"/>
    <w:rsid w:val="00574867"/>
    <w:rsid w:val="00577D05"/>
    <w:rsid w:val="00591460"/>
    <w:rsid w:val="005A65E0"/>
    <w:rsid w:val="005C3777"/>
    <w:rsid w:val="005C5CDC"/>
    <w:rsid w:val="005D476C"/>
    <w:rsid w:val="00610E2E"/>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D5BF5"/>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5878"/>
    <w:rsid w:val="0095685E"/>
    <w:rsid w:val="00961B09"/>
    <w:rsid w:val="00965334"/>
    <w:rsid w:val="0097093E"/>
    <w:rsid w:val="009715C4"/>
    <w:rsid w:val="009A0DFA"/>
    <w:rsid w:val="009A1C6F"/>
    <w:rsid w:val="009B2D26"/>
    <w:rsid w:val="009C71FA"/>
    <w:rsid w:val="009C72E7"/>
    <w:rsid w:val="009C7F7E"/>
    <w:rsid w:val="009D3058"/>
    <w:rsid w:val="009F0E94"/>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90518"/>
    <w:rsid w:val="00BC3D36"/>
    <w:rsid w:val="00BD54A6"/>
    <w:rsid w:val="00BD7F72"/>
    <w:rsid w:val="00BF7425"/>
    <w:rsid w:val="00C04FB3"/>
    <w:rsid w:val="00C11D8B"/>
    <w:rsid w:val="00C15139"/>
    <w:rsid w:val="00C330EB"/>
    <w:rsid w:val="00C409FC"/>
    <w:rsid w:val="00C50D69"/>
    <w:rsid w:val="00C5365C"/>
    <w:rsid w:val="00C754BE"/>
    <w:rsid w:val="00C76B1C"/>
    <w:rsid w:val="00C925AC"/>
    <w:rsid w:val="00CB6357"/>
    <w:rsid w:val="00CC1B26"/>
    <w:rsid w:val="00CC1F39"/>
    <w:rsid w:val="00CE34A3"/>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520D"/>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9E50A3"/>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5B28"/>
    <w:rPr>
      <w:rFonts w:ascii="Geomanist Light" w:hAnsi="Geomanist Light"/>
      <w:lang w:val="es-ES"/>
    </w:rPr>
  </w:style>
  <w:style w:type="paragraph" w:customStyle="1" w:styleId="Appelnotedebasde">
    <w:name w:val="Appel note de bas de..."/>
    <w:basedOn w:val="Normal"/>
    <w:link w:val="Refdenotaalpie"/>
    <w:uiPriority w:val="99"/>
    <w:rsid w:val="004B5B28"/>
    <w:pPr>
      <w:spacing w:line="240" w:lineRule="exact"/>
    </w:pPr>
    <w:rPr>
      <w:vertAlign w:val="superscript"/>
    </w:rPr>
  </w:style>
  <w:style w:type="paragraph" w:styleId="Textocomentario">
    <w:name w:val="annotation text"/>
    <w:basedOn w:val="Normal"/>
    <w:link w:val="TextocomentarioCar"/>
    <w:uiPriority w:val="99"/>
    <w:semiHidden/>
    <w:unhideWhenUsed/>
    <w:rsid w:val="0095587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55878"/>
    <w:rPr>
      <w:sz w:val="20"/>
      <w:szCs w:val="20"/>
    </w:rPr>
  </w:style>
  <w:style w:type="character" w:styleId="Refdecomentario">
    <w:name w:val="annotation reference"/>
    <w:basedOn w:val="Fuentedeprrafopredeter"/>
    <w:uiPriority w:val="99"/>
    <w:semiHidden/>
    <w:unhideWhenUsed/>
    <w:rsid w:val="0095587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iseosilva16b@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E44E140-7A10-47AF-B9AA-A29868409A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12</Pages>
  <Words>3809</Words>
  <Characters>20992</Characters>
  <Application>Microsoft Office Word</Application>
  <DocSecurity>0</DocSecurity>
  <Lines>456</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2026-01-06T14:29:00Z</dcterms:created>
  <dcterms:modified xsi:type="dcterms:W3CDTF">2026-01-06T14:29:00Z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