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2DB45" w14:textId="4E0D9C9F" w:rsidR="005D5719" w:rsidRPr="00E55ABD" w:rsidRDefault="005D5719" w:rsidP="00A25CAA">
      <w:pPr>
        <w:snapToGrid w:val="0"/>
        <w:contextualSpacing/>
        <w:jc w:val="both"/>
        <w:rPr>
          <w:rFonts w:ascii="Verdana" w:hAnsi="Verdana" w:cs="Arial"/>
          <w:b/>
          <w:lang w:val="es-ES" w:eastAsia="es-ES"/>
        </w:rPr>
      </w:pPr>
      <w:bookmarkStart w:id="0" w:name="_Hlk143780582"/>
      <w:r w:rsidRPr="00E55ABD">
        <w:rPr>
          <w:rFonts w:ascii="Verdana" w:hAnsi="Verdana" w:cs="Arial"/>
          <w:b/>
          <w:lang w:val="es-ES" w:eastAsia="es-ES"/>
        </w:rPr>
        <w:t xml:space="preserve">CONTRATOS Y CONVENIOS INTERADMINISTRATIVOS </w:t>
      </w:r>
      <w:r w:rsidR="00984C06" w:rsidRPr="00E55ABD">
        <w:rPr>
          <w:rFonts w:ascii="Verdana" w:hAnsi="Verdana" w:cs="Arial"/>
          <w:b/>
          <w:lang w:val="es-ES" w:eastAsia="es-ES"/>
        </w:rPr>
        <w:t xml:space="preserve">– </w:t>
      </w:r>
      <w:r w:rsidRPr="00E55ABD">
        <w:rPr>
          <w:rFonts w:ascii="Verdana" w:hAnsi="Verdana" w:cs="Arial"/>
          <w:b/>
          <w:lang w:val="es-ES" w:eastAsia="es-ES"/>
        </w:rPr>
        <w:t xml:space="preserve">Noción – Diferencias </w:t>
      </w:r>
    </w:p>
    <w:p w14:paraId="3A667A60" w14:textId="77777777" w:rsidR="00A25CAA" w:rsidRPr="00E55ABD" w:rsidRDefault="00A25CAA" w:rsidP="00A25CAA">
      <w:pPr>
        <w:snapToGrid w:val="0"/>
        <w:spacing w:after="0" w:line="240" w:lineRule="auto"/>
        <w:contextualSpacing/>
        <w:jc w:val="both"/>
        <w:rPr>
          <w:rFonts w:ascii="Verdana" w:hAnsi="Verdana" w:cs="Arial"/>
          <w:b/>
          <w:sz w:val="20"/>
          <w:szCs w:val="20"/>
          <w:lang w:val="es-ES" w:eastAsia="es-ES"/>
        </w:rPr>
      </w:pPr>
    </w:p>
    <w:p w14:paraId="2EA6CD58" w14:textId="613A91CC" w:rsidR="00A25CAA" w:rsidRPr="00E55ABD" w:rsidRDefault="00A25CAA" w:rsidP="00A25CAA">
      <w:pPr>
        <w:snapToGrid w:val="0"/>
        <w:spacing w:after="0" w:line="240" w:lineRule="auto"/>
        <w:contextualSpacing/>
        <w:jc w:val="both"/>
        <w:rPr>
          <w:rFonts w:ascii="Verdana" w:eastAsiaTheme="minorEastAsia" w:hAnsi="Verdana" w:cs="Arial"/>
          <w:sz w:val="20"/>
          <w:szCs w:val="20"/>
          <w:lang w:val="es-ES" w:eastAsia="es-CO"/>
        </w:rPr>
      </w:pPr>
      <w:r w:rsidRPr="00E55ABD">
        <w:rPr>
          <w:rFonts w:ascii="Verdana" w:eastAsiaTheme="minorEastAsia" w:hAnsi="Verdana" w:cs="Arial"/>
          <w:sz w:val="20"/>
          <w:szCs w:val="20"/>
          <w:lang w:val="es-ES" w:eastAsia="es-CO"/>
        </w:rPr>
        <w:t>Bajo esta postura del Consejo de Estado, el convenio interadministrativo es el negocio jurídico en el cual convergen dos o más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p>
    <w:p w14:paraId="4446C359" w14:textId="77777777" w:rsidR="005D5719" w:rsidRPr="00E55ABD" w:rsidRDefault="005D5719" w:rsidP="00A25CAA">
      <w:pPr>
        <w:snapToGrid w:val="0"/>
        <w:spacing w:after="0" w:line="240" w:lineRule="auto"/>
        <w:contextualSpacing/>
        <w:jc w:val="both"/>
        <w:rPr>
          <w:rFonts w:ascii="Verdana" w:hAnsi="Verdana" w:cs="Arial"/>
          <w:b/>
          <w:sz w:val="20"/>
          <w:szCs w:val="20"/>
          <w:lang w:val="es-ES" w:eastAsia="es-ES"/>
        </w:rPr>
      </w:pPr>
    </w:p>
    <w:p w14:paraId="0B6AC813" w14:textId="77777777" w:rsidR="005D5719" w:rsidRPr="00E55ABD" w:rsidRDefault="005D5719" w:rsidP="00A25CAA">
      <w:pPr>
        <w:snapToGrid w:val="0"/>
        <w:spacing w:after="0" w:line="240" w:lineRule="auto"/>
        <w:contextualSpacing/>
        <w:jc w:val="both"/>
        <w:rPr>
          <w:rFonts w:ascii="Verdana" w:hAnsi="Verdana" w:cs="Arial"/>
          <w:b/>
          <w:lang w:val="es-ES" w:eastAsia="es-ES"/>
        </w:rPr>
      </w:pPr>
      <w:r w:rsidRPr="00E55ABD">
        <w:rPr>
          <w:rFonts w:ascii="Verdana" w:hAnsi="Verdana" w:cs="Arial"/>
          <w:b/>
          <w:lang w:val="es-ES" w:eastAsia="es-ES"/>
        </w:rPr>
        <w:t>CONVENIO INTERADMINISTRATIVO – Naturaleza – Inaplicabilidad – Ley 80 de 1993</w:t>
      </w:r>
    </w:p>
    <w:p w14:paraId="20DF9E90" w14:textId="77777777" w:rsidR="00A25CAA" w:rsidRPr="00E55ABD" w:rsidRDefault="00A25CAA" w:rsidP="00A25CAA">
      <w:pPr>
        <w:snapToGrid w:val="0"/>
        <w:spacing w:after="0" w:line="240" w:lineRule="auto"/>
        <w:contextualSpacing/>
        <w:jc w:val="both"/>
        <w:rPr>
          <w:rFonts w:ascii="Verdana" w:hAnsi="Verdana" w:cs="Arial"/>
          <w:b/>
          <w:sz w:val="20"/>
          <w:szCs w:val="20"/>
          <w:lang w:val="es-ES" w:eastAsia="es-ES"/>
        </w:rPr>
      </w:pPr>
    </w:p>
    <w:p w14:paraId="5B9D73CA" w14:textId="2331B7AB" w:rsidR="00A25CAA" w:rsidRPr="00E55ABD" w:rsidRDefault="00A25CAA" w:rsidP="00A25CAA">
      <w:pPr>
        <w:snapToGrid w:val="0"/>
        <w:spacing w:after="0" w:line="240" w:lineRule="auto"/>
        <w:contextualSpacing/>
        <w:jc w:val="both"/>
        <w:rPr>
          <w:rFonts w:ascii="Verdana" w:hAnsi="Verdana" w:cs="Arial"/>
          <w:b/>
          <w:sz w:val="20"/>
          <w:szCs w:val="20"/>
          <w:lang w:val="es-ES" w:eastAsia="es-ES"/>
        </w:rPr>
      </w:pPr>
      <w:r w:rsidRPr="00E55ABD">
        <w:rPr>
          <w:rFonts w:ascii="Verdana" w:eastAsiaTheme="minorEastAsia" w:hAnsi="Verdana" w:cs="Arial"/>
          <w:sz w:val="20"/>
          <w:szCs w:val="20"/>
          <w:lang w:val="es-ES" w:eastAsia="es-CO"/>
        </w:rPr>
        <w:t xml:space="preserve">Ahora bien, esta distinción conceptual entre contratos y convenios interadministrativos resulta relevante para precisar el ámbito de aplicación de las instituciones del EGCAP. Al respecto, el Consejo de Estado ha destacado la finalidad asociativa de los convenios interadministrativos, los cuales se caracterizan por la </w:t>
      </w:r>
      <w:r w:rsidRPr="00E55ABD">
        <w:rPr>
          <w:rFonts w:ascii="Verdana" w:eastAsiaTheme="minorEastAsia" w:hAnsi="Verdana" w:cs="Arial"/>
          <w:i/>
          <w:iCs/>
          <w:sz w:val="20"/>
          <w:szCs w:val="20"/>
          <w:lang w:val="es-ES" w:eastAsia="es-CO"/>
        </w:rPr>
        <w:t>autorregulación</w:t>
      </w:r>
      <w:r w:rsidRPr="00E55ABD">
        <w:rPr>
          <w:rFonts w:ascii="Verdana" w:eastAsiaTheme="minorEastAsia" w:hAnsi="Verdana" w:cs="Arial"/>
          <w:sz w:val="20"/>
          <w:szCs w:val="20"/>
          <w:lang w:val="es-ES" w:eastAsia="es-CO"/>
        </w:rPr>
        <w:t xml:space="preserve">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5A0E2EAC" w14:textId="77777777" w:rsidR="005D5719" w:rsidRPr="00E55ABD" w:rsidRDefault="005D5719" w:rsidP="00A25CAA">
      <w:pPr>
        <w:snapToGrid w:val="0"/>
        <w:spacing w:after="0" w:line="240" w:lineRule="auto"/>
        <w:contextualSpacing/>
        <w:jc w:val="both"/>
        <w:rPr>
          <w:rFonts w:ascii="Verdana" w:hAnsi="Verdana" w:cs="Arial"/>
          <w:b/>
          <w:sz w:val="20"/>
          <w:szCs w:val="20"/>
          <w:lang w:val="es-ES" w:eastAsia="es-ES"/>
        </w:rPr>
      </w:pPr>
    </w:p>
    <w:p w14:paraId="245C2E4E" w14:textId="1D766AD5" w:rsidR="005D5719" w:rsidRPr="00E55ABD" w:rsidRDefault="005D5719" w:rsidP="00A25CAA">
      <w:pPr>
        <w:snapToGrid w:val="0"/>
        <w:spacing w:after="0" w:line="240" w:lineRule="auto"/>
        <w:contextualSpacing/>
        <w:jc w:val="both"/>
        <w:rPr>
          <w:rStyle w:val="normaltextrun"/>
          <w:rFonts w:ascii="Verdana" w:hAnsi="Verdana"/>
          <w:b/>
          <w:shd w:val="clear" w:color="auto" w:fill="FFFFFF"/>
          <w:lang w:val="es-ES"/>
        </w:rPr>
      </w:pPr>
      <w:r w:rsidRPr="00E55ABD">
        <w:rPr>
          <w:rFonts w:ascii="Verdana" w:eastAsia="Calibri" w:hAnsi="Verdana" w:cs="Arial"/>
          <w:b/>
          <w:lang w:val="es-ES"/>
        </w:rPr>
        <w:t>M</w:t>
      </w:r>
      <w:r w:rsidRPr="00E55ABD">
        <w:rPr>
          <w:rStyle w:val="normaltextrun"/>
          <w:rFonts w:ascii="Verdana" w:hAnsi="Verdana"/>
          <w:b/>
          <w:shd w:val="clear" w:color="auto" w:fill="FFFFFF"/>
          <w:lang w:val="es-ES"/>
        </w:rPr>
        <w:t>ODIFICACIÓN DE LOS CONVENIOS – Límites – Imposibilidad de modificar aspectos esenciales</w:t>
      </w:r>
      <w:r w:rsidRPr="00E55ABD">
        <w:rPr>
          <w:rFonts w:ascii="Verdana" w:hAnsi="Verdana"/>
          <w:b/>
          <w:lang w:val="es-ES"/>
        </w:rPr>
        <w:t xml:space="preserve"> </w:t>
      </w:r>
      <w:r w:rsidR="00867116" w:rsidRPr="00E55ABD">
        <w:rPr>
          <w:rStyle w:val="normaltextrun"/>
          <w:rFonts w:ascii="Verdana" w:hAnsi="Verdana"/>
          <w:b/>
          <w:shd w:val="clear" w:color="auto" w:fill="FFFFFF"/>
          <w:lang w:val="es-ES"/>
        </w:rPr>
        <w:t>– Ley de garantías</w:t>
      </w:r>
    </w:p>
    <w:p w14:paraId="5382C6AB" w14:textId="77777777" w:rsidR="00A25CAA" w:rsidRPr="00E55ABD" w:rsidRDefault="00A25CAA" w:rsidP="00A25CAA">
      <w:pPr>
        <w:snapToGrid w:val="0"/>
        <w:contextualSpacing/>
        <w:jc w:val="both"/>
        <w:rPr>
          <w:rStyle w:val="normaltextrun"/>
          <w:rFonts w:ascii="Verdana" w:hAnsi="Verdana"/>
          <w:b/>
          <w:sz w:val="20"/>
          <w:szCs w:val="20"/>
          <w:shd w:val="clear" w:color="auto" w:fill="FFFFFF"/>
          <w:lang w:val="es-ES"/>
        </w:rPr>
      </w:pPr>
    </w:p>
    <w:p w14:paraId="695F7677" w14:textId="220922A5" w:rsidR="00A25CAA" w:rsidRPr="00E55ABD" w:rsidRDefault="00A25CAA" w:rsidP="00A25CAA">
      <w:pPr>
        <w:snapToGrid w:val="0"/>
        <w:spacing w:after="0" w:line="240" w:lineRule="auto"/>
        <w:contextualSpacing/>
        <w:jc w:val="both"/>
        <w:rPr>
          <w:rFonts w:ascii="Verdana" w:eastAsia="Calibri" w:hAnsi="Verdana" w:cs="Arial"/>
          <w:sz w:val="20"/>
          <w:szCs w:val="20"/>
          <w:lang w:val="es-ES" w:eastAsia="es-ES_tradnl"/>
        </w:rPr>
      </w:pPr>
      <w:r w:rsidRPr="00E55ABD">
        <w:rPr>
          <w:rFonts w:ascii="Verdana" w:eastAsia="Calibri" w:hAnsi="Verdana" w:cs="Arial"/>
          <w:sz w:val="20"/>
          <w:szCs w:val="20"/>
          <w:lang w:val="es-ES" w:eastAsia="es-ES_tradnl"/>
        </w:rPr>
        <w:t>En el supuesto establecido en su consulta es necesario determinar si la modificación para incluir una parte supone una alteración tal de las condiciones inicialmente pactadas que cambie la esencia del convenio interadministrativo al punto de tornarlo en uno diferente. Una modificación de esa naturaleza podría suponer la desnaturalización del convenio inicialmente pactado, lo cual se hace aún más gravoso en el contexto de la Ley de Garantías Electorales. Si la modificación lo torna en un negocio jurídico distinto, la entidad estaría materialmente celebrando un convenio en contravía de las restricciones establecidas en el artículo 33 y el parágrafo del artículo 38 de la Ley de Garantías Electorales.</w:t>
      </w:r>
    </w:p>
    <w:p w14:paraId="4876F29D" w14:textId="77777777" w:rsidR="00A25CAA" w:rsidRPr="00E55ABD" w:rsidRDefault="00A25CAA" w:rsidP="00A25CAA">
      <w:pPr>
        <w:snapToGrid w:val="0"/>
        <w:contextualSpacing/>
        <w:jc w:val="both"/>
        <w:rPr>
          <w:rFonts w:ascii="Verdana" w:eastAsia="Calibri" w:hAnsi="Verdana" w:cs="Arial"/>
          <w:sz w:val="20"/>
          <w:szCs w:val="20"/>
          <w:lang w:val="es-ES" w:eastAsia="es-ES_tradnl"/>
        </w:rPr>
      </w:pPr>
    </w:p>
    <w:p w14:paraId="0E509F0E" w14:textId="1EFC19D0" w:rsidR="00A25CAA" w:rsidRPr="00E55ABD" w:rsidRDefault="00A25CAA" w:rsidP="00A25CAA">
      <w:pPr>
        <w:snapToGrid w:val="0"/>
        <w:contextualSpacing/>
        <w:jc w:val="both"/>
        <w:rPr>
          <w:rFonts w:ascii="Verdana" w:eastAsia="Arial MT" w:hAnsi="Verdana" w:cs="Arial"/>
          <w:i/>
          <w:iCs/>
          <w:sz w:val="20"/>
          <w:szCs w:val="20"/>
          <w:lang w:val="es-ES" w:eastAsia="es-ES" w:bidi="es-ES"/>
        </w:rPr>
      </w:pPr>
      <w:r w:rsidRPr="00E55ABD">
        <w:rPr>
          <w:rFonts w:ascii="Verdana" w:eastAsia="Calibri" w:hAnsi="Verdana" w:cs="Arial"/>
          <w:sz w:val="20"/>
          <w:szCs w:val="20"/>
          <w:lang w:val="es-ES" w:eastAsia="es-ES_tradnl"/>
        </w:rPr>
        <w:t xml:space="preserve">De esta manera, sin perjuicio de la distinción del régimen aplicable a los convenios y contratos interadministrativos, las entidades deben considerar los límites y criterios en torno a la posibilidad de adelantar modificaciones que puedan desnaturalizar el negocio jurídico. En el caso objeto de consulta, es importante que la entidad tenga en cuenta que la inclusión de una parte a través de una modificación del convenio puede implicar alteraciones importantes, como la inclusión de nuevas obligaciones, la modificación de las actividades, agregar recursos o aportes que modifiquen el presupuesto inicialmente contemplado, cambios relevantes en las condiciones de ejecución o incluso en el alcance mismo del objeto, entre otros aspectos que, considerados en su conjunto, pueden </w:t>
      </w:r>
      <w:r w:rsidRPr="00E55ABD">
        <w:rPr>
          <w:rFonts w:ascii="Verdana" w:eastAsia="Arial MT" w:hAnsi="Verdana" w:cs="Arial"/>
          <w:sz w:val="20"/>
          <w:szCs w:val="20"/>
          <w:lang w:val="es-ES" w:eastAsia="es-ES" w:bidi="es-ES"/>
        </w:rPr>
        <w:lastRenderedPageBreak/>
        <w:t>suponer una alteración de su esencia y convertirlo en otro tipo de negocio jurídico.</w:t>
      </w:r>
      <w:r w:rsidRPr="00E55ABD">
        <w:rPr>
          <w:rFonts w:ascii="Verdana" w:eastAsia="Arial MT" w:hAnsi="Verdana" w:cs="Arial"/>
          <w:i/>
          <w:iCs/>
          <w:sz w:val="20"/>
          <w:szCs w:val="20"/>
          <w:lang w:val="es-ES" w:eastAsia="es-ES" w:bidi="es-ES"/>
        </w:rPr>
        <w:t xml:space="preserve"> Si este es el caso, lo indicado no sería modificar el contrato sino la celebración de uno nuevo. </w:t>
      </w:r>
    </w:p>
    <w:p w14:paraId="1DDEC568" w14:textId="77777777" w:rsidR="00A25CAA" w:rsidRPr="00E55ABD" w:rsidRDefault="00A25CAA" w:rsidP="00A25CAA">
      <w:pPr>
        <w:snapToGrid w:val="0"/>
        <w:spacing w:after="0" w:line="240" w:lineRule="auto"/>
        <w:contextualSpacing/>
        <w:jc w:val="both"/>
        <w:rPr>
          <w:rFonts w:ascii="Verdana" w:eastAsia="Arial MT" w:hAnsi="Verdana" w:cs="Arial"/>
          <w:i/>
          <w:iCs/>
          <w:sz w:val="20"/>
          <w:szCs w:val="20"/>
          <w:lang w:val="es-ES" w:eastAsia="es-ES" w:bidi="es-ES"/>
        </w:rPr>
      </w:pPr>
    </w:p>
    <w:p w14:paraId="78BF990D" w14:textId="45F29E2C" w:rsidR="00A25CAA" w:rsidRPr="00E55ABD" w:rsidRDefault="00A25CAA" w:rsidP="00A25CAA">
      <w:pPr>
        <w:snapToGrid w:val="0"/>
        <w:spacing w:after="0" w:line="240" w:lineRule="auto"/>
        <w:contextualSpacing/>
        <w:jc w:val="both"/>
        <w:rPr>
          <w:rFonts w:ascii="Verdana" w:hAnsi="Verdana"/>
          <w:b/>
          <w:sz w:val="20"/>
          <w:szCs w:val="20"/>
          <w:lang w:val="es-ES"/>
        </w:rPr>
      </w:pPr>
      <w:r w:rsidRPr="00E55ABD">
        <w:rPr>
          <w:rFonts w:ascii="Verdana" w:eastAsia="Calibri" w:hAnsi="Verdana" w:cs="Arial"/>
          <w:sz w:val="20"/>
          <w:szCs w:val="20"/>
          <w:lang w:val="es-ES" w:eastAsia="es-ES_tradnl"/>
        </w:rPr>
        <w:t>En el contexto de la Ley de Garantías Electorales, realizar una modificación que suponga de manera material la celebración de un nuevo convenio puede convertirse en un mecanismo fraudulento para omitir las restricciones allí establecidas. Cuando este sea el caso, las entidades referidas en las prohibiciones de la Ley de Garantías tampoco podrían integrarse como parte a los convenios que se encuentren en ejecución, pues su incorporación también supondría la celebración material de un nuevo negocio jurídico durante el periodo de la restricción para contratar directamente (artículo 33) o para celebrar convenios interadministrativos (parágrafo del artículo 38).</w:t>
      </w:r>
    </w:p>
    <w:p w14:paraId="6D4C54C0" w14:textId="77777777" w:rsidR="005D5719" w:rsidRPr="00E55ABD" w:rsidRDefault="005D5719" w:rsidP="000D1CA8">
      <w:pPr>
        <w:spacing w:after="0"/>
        <w:rPr>
          <w:rFonts w:ascii="Verdana" w:hAnsi="Verdana"/>
          <w:lang w:val="es-ES"/>
        </w:rPr>
      </w:pPr>
    </w:p>
    <w:p w14:paraId="25074C09" w14:textId="77777777" w:rsidR="00A25CAA" w:rsidRPr="00E55ABD" w:rsidRDefault="00A25CAA" w:rsidP="000D1CA8">
      <w:pPr>
        <w:spacing w:after="0"/>
        <w:rPr>
          <w:rFonts w:ascii="Verdana" w:hAnsi="Verdana"/>
          <w:lang w:val="es-ES"/>
        </w:rPr>
      </w:pPr>
    </w:p>
    <w:p w14:paraId="31EA9624" w14:textId="77777777" w:rsidR="00A25CAA" w:rsidRPr="00E55ABD" w:rsidRDefault="00A25CAA" w:rsidP="000D1CA8">
      <w:pPr>
        <w:spacing w:after="0"/>
        <w:rPr>
          <w:rFonts w:ascii="Verdana" w:hAnsi="Verdana"/>
          <w:lang w:val="es-ES"/>
        </w:rPr>
      </w:pPr>
    </w:p>
    <w:p w14:paraId="71DB5613" w14:textId="77777777" w:rsidR="00A25CAA" w:rsidRPr="00E55ABD" w:rsidRDefault="00A25CAA" w:rsidP="000D1CA8">
      <w:pPr>
        <w:spacing w:after="0"/>
        <w:rPr>
          <w:rFonts w:ascii="Verdana" w:hAnsi="Verdana"/>
          <w:lang w:val="es-ES"/>
        </w:rPr>
      </w:pPr>
    </w:p>
    <w:p w14:paraId="46DD02A5" w14:textId="77777777" w:rsidR="00A25CAA" w:rsidRPr="00E55ABD" w:rsidRDefault="00A25CAA" w:rsidP="000D1CA8">
      <w:pPr>
        <w:spacing w:after="0"/>
        <w:rPr>
          <w:rFonts w:ascii="Verdana" w:hAnsi="Verdana"/>
          <w:lang w:val="es-ES"/>
        </w:rPr>
      </w:pPr>
    </w:p>
    <w:p w14:paraId="550BC134" w14:textId="77777777" w:rsidR="00A25CAA" w:rsidRPr="00E55ABD" w:rsidRDefault="00A25CAA" w:rsidP="000D1CA8">
      <w:pPr>
        <w:spacing w:after="0"/>
        <w:rPr>
          <w:rFonts w:ascii="Verdana" w:hAnsi="Verdana"/>
          <w:lang w:val="es-ES"/>
        </w:rPr>
      </w:pPr>
    </w:p>
    <w:p w14:paraId="7395A1AA" w14:textId="77777777" w:rsidR="00A25CAA" w:rsidRPr="00E55ABD" w:rsidRDefault="00A25CAA" w:rsidP="000D1CA8">
      <w:pPr>
        <w:spacing w:after="0"/>
        <w:rPr>
          <w:rFonts w:ascii="Verdana" w:hAnsi="Verdana"/>
          <w:lang w:val="es-ES"/>
        </w:rPr>
      </w:pPr>
    </w:p>
    <w:p w14:paraId="048B77C7" w14:textId="77777777" w:rsidR="00A25CAA" w:rsidRPr="00E55ABD" w:rsidRDefault="00A25CAA" w:rsidP="000D1CA8">
      <w:pPr>
        <w:spacing w:after="0"/>
        <w:rPr>
          <w:rFonts w:ascii="Verdana" w:hAnsi="Verdana"/>
          <w:lang w:val="es-ES"/>
        </w:rPr>
      </w:pPr>
    </w:p>
    <w:p w14:paraId="1A293D94" w14:textId="77777777" w:rsidR="00A25CAA" w:rsidRPr="00E55ABD" w:rsidRDefault="00A25CAA" w:rsidP="000D1CA8">
      <w:pPr>
        <w:spacing w:after="0"/>
        <w:rPr>
          <w:rFonts w:ascii="Verdana" w:hAnsi="Verdana"/>
          <w:lang w:val="es-ES"/>
        </w:rPr>
      </w:pPr>
    </w:p>
    <w:p w14:paraId="25076D63" w14:textId="77777777" w:rsidR="00A25CAA" w:rsidRPr="00E55ABD" w:rsidRDefault="00A25CAA" w:rsidP="000D1CA8">
      <w:pPr>
        <w:spacing w:after="0"/>
        <w:rPr>
          <w:rFonts w:ascii="Verdana" w:hAnsi="Verdana"/>
          <w:lang w:val="es-ES"/>
        </w:rPr>
      </w:pPr>
    </w:p>
    <w:p w14:paraId="6BE4992B" w14:textId="77777777" w:rsidR="00A25CAA" w:rsidRPr="00E55ABD" w:rsidRDefault="00A25CAA" w:rsidP="000D1CA8">
      <w:pPr>
        <w:spacing w:after="0"/>
        <w:rPr>
          <w:rFonts w:ascii="Verdana" w:hAnsi="Verdana"/>
          <w:lang w:val="es-ES"/>
        </w:rPr>
      </w:pPr>
    </w:p>
    <w:p w14:paraId="74B8F250" w14:textId="77777777" w:rsidR="00A25CAA" w:rsidRPr="00E55ABD" w:rsidRDefault="00A25CAA" w:rsidP="000D1CA8">
      <w:pPr>
        <w:spacing w:after="0"/>
        <w:rPr>
          <w:rFonts w:ascii="Verdana" w:hAnsi="Verdana"/>
          <w:lang w:val="es-ES"/>
        </w:rPr>
      </w:pPr>
    </w:p>
    <w:p w14:paraId="64F26062" w14:textId="77777777" w:rsidR="00A25CAA" w:rsidRPr="00E55ABD" w:rsidRDefault="00A25CAA" w:rsidP="000D1CA8">
      <w:pPr>
        <w:spacing w:after="0"/>
        <w:rPr>
          <w:rFonts w:ascii="Verdana" w:hAnsi="Verdana"/>
          <w:lang w:val="es-ES"/>
        </w:rPr>
      </w:pPr>
    </w:p>
    <w:p w14:paraId="621FB1FE" w14:textId="77777777" w:rsidR="00A25CAA" w:rsidRPr="00E55ABD" w:rsidRDefault="00A25CAA" w:rsidP="000D1CA8">
      <w:pPr>
        <w:spacing w:after="0"/>
        <w:rPr>
          <w:rFonts w:ascii="Verdana" w:hAnsi="Verdana"/>
          <w:lang w:val="es-ES"/>
        </w:rPr>
      </w:pPr>
    </w:p>
    <w:p w14:paraId="0AF7E3EB" w14:textId="77777777" w:rsidR="00A25CAA" w:rsidRPr="00E55ABD" w:rsidRDefault="00A25CAA" w:rsidP="000D1CA8">
      <w:pPr>
        <w:spacing w:after="0"/>
        <w:rPr>
          <w:rFonts w:ascii="Verdana" w:hAnsi="Verdana"/>
          <w:lang w:val="es-ES"/>
        </w:rPr>
      </w:pPr>
    </w:p>
    <w:p w14:paraId="140B1932" w14:textId="77777777" w:rsidR="00A25CAA" w:rsidRPr="00E55ABD" w:rsidRDefault="00A25CAA" w:rsidP="000D1CA8">
      <w:pPr>
        <w:spacing w:after="0"/>
        <w:rPr>
          <w:rFonts w:ascii="Verdana" w:hAnsi="Verdana"/>
          <w:lang w:val="es-ES"/>
        </w:rPr>
      </w:pPr>
    </w:p>
    <w:p w14:paraId="0A08E3EC" w14:textId="77777777" w:rsidR="00A25CAA" w:rsidRPr="00E55ABD" w:rsidRDefault="00A25CAA" w:rsidP="000D1CA8">
      <w:pPr>
        <w:spacing w:after="0"/>
        <w:rPr>
          <w:rFonts w:ascii="Verdana" w:hAnsi="Verdana"/>
          <w:lang w:val="es-ES"/>
        </w:rPr>
      </w:pPr>
    </w:p>
    <w:p w14:paraId="69BF6703" w14:textId="77777777" w:rsidR="00A25CAA" w:rsidRPr="00E55ABD" w:rsidRDefault="00A25CAA" w:rsidP="000D1CA8">
      <w:pPr>
        <w:spacing w:after="0"/>
        <w:rPr>
          <w:rFonts w:ascii="Verdana" w:hAnsi="Verdana"/>
          <w:lang w:val="es-ES"/>
        </w:rPr>
      </w:pPr>
    </w:p>
    <w:p w14:paraId="1D937298" w14:textId="77777777" w:rsidR="00A25CAA" w:rsidRPr="00E55ABD" w:rsidRDefault="00A25CAA" w:rsidP="000D1CA8">
      <w:pPr>
        <w:spacing w:after="0"/>
        <w:rPr>
          <w:rFonts w:ascii="Verdana" w:hAnsi="Verdana"/>
          <w:lang w:val="es-ES"/>
        </w:rPr>
      </w:pPr>
    </w:p>
    <w:p w14:paraId="5D65CEB7" w14:textId="77777777" w:rsidR="00A25CAA" w:rsidRPr="00E55ABD" w:rsidRDefault="00A25CAA" w:rsidP="000D1CA8">
      <w:pPr>
        <w:spacing w:after="0"/>
        <w:rPr>
          <w:rFonts w:ascii="Verdana" w:hAnsi="Verdana"/>
          <w:lang w:val="es-ES"/>
        </w:rPr>
      </w:pPr>
    </w:p>
    <w:p w14:paraId="230688C2" w14:textId="77777777" w:rsidR="00A25CAA" w:rsidRPr="00E55ABD" w:rsidRDefault="00A25CAA" w:rsidP="000D1CA8">
      <w:pPr>
        <w:spacing w:after="0"/>
        <w:rPr>
          <w:rFonts w:ascii="Verdana" w:hAnsi="Verdana"/>
          <w:lang w:val="es-ES"/>
        </w:rPr>
      </w:pPr>
    </w:p>
    <w:p w14:paraId="7780B72C" w14:textId="77777777" w:rsidR="00A25CAA" w:rsidRPr="00E55ABD" w:rsidRDefault="00A25CAA" w:rsidP="000D1CA8">
      <w:pPr>
        <w:spacing w:after="0"/>
        <w:rPr>
          <w:rFonts w:ascii="Verdana" w:hAnsi="Verdana"/>
          <w:lang w:val="es-ES"/>
        </w:rPr>
      </w:pPr>
    </w:p>
    <w:p w14:paraId="3B57C7EE" w14:textId="77777777" w:rsidR="00A25CAA" w:rsidRPr="00E55ABD" w:rsidRDefault="00A25CAA" w:rsidP="000D1CA8">
      <w:pPr>
        <w:spacing w:after="0"/>
        <w:rPr>
          <w:rFonts w:ascii="Verdana" w:hAnsi="Verdana"/>
          <w:lang w:val="es-ES"/>
        </w:rPr>
      </w:pPr>
    </w:p>
    <w:p w14:paraId="0D7176CC" w14:textId="77777777" w:rsidR="00A25CAA" w:rsidRPr="00E55ABD" w:rsidRDefault="00A25CAA" w:rsidP="000D1CA8">
      <w:pPr>
        <w:spacing w:after="0"/>
        <w:rPr>
          <w:rFonts w:ascii="Verdana" w:hAnsi="Verdana"/>
          <w:lang w:val="es-ES"/>
        </w:rPr>
      </w:pPr>
    </w:p>
    <w:p w14:paraId="40E5B354" w14:textId="77777777" w:rsidR="00A25CAA" w:rsidRPr="00E55ABD" w:rsidRDefault="00A25CAA" w:rsidP="000D1CA8">
      <w:pPr>
        <w:spacing w:after="0"/>
        <w:rPr>
          <w:rFonts w:ascii="Verdana" w:hAnsi="Verdana"/>
          <w:lang w:val="es-ES"/>
        </w:rPr>
      </w:pPr>
    </w:p>
    <w:p w14:paraId="52DCF42F" w14:textId="77777777" w:rsidR="00A25CAA" w:rsidRPr="00E55ABD" w:rsidRDefault="00A25CAA" w:rsidP="000D1CA8">
      <w:pPr>
        <w:spacing w:after="0"/>
        <w:rPr>
          <w:rFonts w:ascii="Verdana" w:hAnsi="Verdana"/>
          <w:lang w:val="es-ES"/>
        </w:rPr>
      </w:pPr>
    </w:p>
    <w:p w14:paraId="217F6392" w14:textId="77777777" w:rsidR="00A25CAA" w:rsidRPr="00E55ABD" w:rsidRDefault="00A25CAA" w:rsidP="000D1CA8">
      <w:pPr>
        <w:spacing w:after="0"/>
        <w:rPr>
          <w:rFonts w:ascii="Verdana" w:hAnsi="Verdana"/>
          <w:lang w:val="es-ES"/>
        </w:rPr>
      </w:pPr>
    </w:p>
    <w:p w14:paraId="29DDD103" w14:textId="77777777" w:rsidR="00FD5689" w:rsidRDefault="00FD5689" w:rsidP="000D1CA8">
      <w:pPr>
        <w:spacing w:after="0"/>
        <w:rPr>
          <w:rFonts w:ascii="Verdana" w:hAnsi="Verdana"/>
          <w:lang w:val="es-ES"/>
        </w:rPr>
      </w:pPr>
    </w:p>
    <w:p w14:paraId="778C8497" w14:textId="0E59E61E" w:rsidR="000D1CA8" w:rsidRPr="00E55ABD" w:rsidRDefault="000D1CA8" w:rsidP="000D1CA8">
      <w:pPr>
        <w:spacing w:after="0"/>
        <w:rPr>
          <w:rFonts w:ascii="Verdana" w:hAnsi="Verdana"/>
          <w:lang w:val="es-ES"/>
        </w:rPr>
      </w:pPr>
      <w:r w:rsidRPr="00E55ABD">
        <w:rPr>
          <w:rFonts w:ascii="Verdana" w:hAnsi="Verdana"/>
          <w:lang w:val="es-ES"/>
        </w:rPr>
        <w:lastRenderedPageBreak/>
        <w:t xml:space="preserve">Bogotá D.C., </w:t>
      </w:r>
      <w:r w:rsidR="005D5719" w:rsidRPr="00E55ABD">
        <w:rPr>
          <w:rFonts w:ascii="Verdana" w:hAnsi="Verdana"/>
          <w:lang w:val="es-ES"/>
        </w:rPr>
        <w:t xml:space="preserve">05 de </w:t>
      </w:r>
      <w:r w:rsidR="00F76BD5" w:rsidRPr="00E55ABD">
        <w:rPr>
          <w:rFonts w:ascii="Verdana" w:hAnsi="Verdana"/>
          <w:lang w:val="es-ES"/>
        </w:rPr>
        <w:t>enero</w:t>
      </w:r>
      <w:r w:rsidR="005D5719" w:rsidRPr="00E55ABD">
        <w:rPr>
          <w:rFonts w:ascii="Verdana" w:hAnsi="Verdana"/>
          <w:lang w:val="es-ES"/>
        </w:rPr>
        <w:t xml:space="preserve"> de 2026</w:t>
      </w:r>
      <w:r w:rsidRPr="00E55ABD">
        <w:rPr>
          <w:rFonts w:ascii="Verdana" w:hAnsi="Verdana"/>
          <w:lang w:val="es-ES"/>
        </w:rPr>
        <w:tab/>
      </w:r>
    </w:p>
    <w:p w14:paraId="64C7822D" w14:textId="77777777" w:rsidR="000D1CA8" w:rsidRPr="00E55ABD" w:rsidRDefault="000D1CA8" w:rsidP="000D1CA8">
      <w:pPr>
        <w:spacing w:after="0"/>
        <w:rPr>
          <w:rFonts w:ascii="Verdana" w:hAnsi="Verdana"/>
          <w:lang w:val="es-ES"/>
        </w:rPr>
      </w:pPr>
    </w:p>
    <w:p w14:paraId="54D9D2C9" w14:textId="3F3E39CF" w:rsidR="000D1CA8" w:rsidRPr="00E55ABD" w:rsidRDefault="005D5719" w:rsidP="000D1CA8">
      <w:pPr>
        <w:spacing w:after="0" w:line="240" w:lineRule="auto"/>
        <w:rPr>
          <w:rFonts w:ascii="Verdana" w:eastAsia="Calibri" w:hAnsi="Verdana" w:cs="Arial"/>
          <w:color w:val="000000" w:themeColor="text1"/>
          <w:lang w:val="es-ES" w:eastAsia="es-ES"/>
        </w:rPr>
      </w:pPr>
      <w:r w:rsidRPr="00E55ABD">
        <w:rPr>
          <w:rFonts w:ascii="Verdana" w:eastAsia="Calibri" w:hAnsi="Verdana" w:cs="Arial"/>
          <w:b/>
          <w:noProof/>
          <w:color w:val="000000" w:themeColor="text1"/>
          <w:lang w:val="es-ES" w:eastAsia="es-ES"/>
        </w:rPr>
        <w:drawing>
          <wp:anchor distT="0" distB="0" distL="114300" distR="114300" simplePos="0" relativeHeight="251658240" behindDoc="0" locked="0" layoutInCell="1" allowOverlap="1" wp14:anchorId="273A506D" wp14:editId="749FE93B">
            <wp:simplePos x="0" y="0"/>
            <wp:positionH relativeFrom="column">
              <wp:posOffset>3145155</wp:posOffset>
            </wp:positionH>
            <wp:positionV relativeFrom="page">
              <wp:posOffset>1896745</wp:posOffset>
            </wp:positionV>
            <wp:extent cx="2425700" cy="727075"/>
            <wp:effectExtent l="0" t="0" r="0" b="0"/>
            <wp:wrapSquare wrapText="bothSides"/>
            <wp:docPr id="9239241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924184" name="Picture 923924184"/>
                    <pic:cNvPicPr/>
                  </pic:nvPicPr>
                  <pic:blipFill>
                    <a:blip r:embed="rId11">
                      <a:extLst>
                        <a:ext uri="{28A0092B-C50C-407E-A947-70E740481C1C}">
                          <a14:useLocalDpi xmlns:a14="http://schemas.microsoft.com/office/drawing/2010/main" val="0"/>
                        </a:ext>
                      </a:extLst>
                    </a:blip>
                    <a:stretch>
                      <a:fillRect/>
                    </a:stretch>
                  </pic:blipFill>
                  <pic:spPr>
                    <a:xfrm>
                      <a:off x="0" y="0"/>
                      <a:ext cx="2425700" cy="727075"/>
                    </a:xfrm>
                    <a:prstGeom prst="rect">
                      <a:avLst/>
                    </a:prstGeom>
                  </pic:spPr>
                </pic:pic>
              </a:graphicData>
            </a:graphic>
            <wp14:sizeRelH relativeFrom="page">
              <wp14:pctWidth>0</wp14:pctWidth>
            </wp14:sizeRelH>
            <wp14:sizeRelV relativeFrom="page">
              <wp14:pctHeight>0</wp14:pctHeight>
            </wp14:sizeRelV>
          </wp:anchor>
        </w:drawing>
      </w:r>
      <w:r w:rsidR="000D1CA8" w:rsidRPr="00E55ABD">
        <w:rPr>
          <w:rFonts w:ascii="Verdana" w:eastAsia="Calibri" w:hAnsi="Verdana" w:cs="Arial"/>
          <w:color w:val="000000" w:themeColor="text1"/>
          <w:lang w:val="es-ES" w:eastAsia="es-ES"/>
        </w:rPr>
        <w:t>Señor</w:t>
      </w:r>
    </w:p>
    <w:p w14:paraId="43784C13" w14:textId="0C33EE00" w:rsidR="000D1CA8" w:rsidRPr="00E55ABD" w:rsidRDefault="000D1CA8" w:rsidP="000D1CA8">
      <w:pPr>
        <w:spacing w:after="0" w:line="240" w:lineRule="auto"/>
        <w:rPr>
          <w:rFonts w:ascii="Verdana" w:eastAsia="Calibri" w:hAnsi="Verdana" w:cs="Arial"/>
          <w:b/>
          <w:color w:val="000000" w:themeColor="text1"/>
          <w:lang w:val="es-ES" w:eastAsia="es-ES"/>
        </w:rPr>
      </w:pPr>
      <w:r w:rsidRPr="00E55ABD">
        <w:rPr>
          <w:rFonts w:ascii="Verdana" w:eastAsia="Calibri" w:hAnsi="Verdana" w:cs="Arial"/>
          <w:b/>
          <w:color w:val="000000" w:themeColor="text1"/>
          <w:lang w:val="es-ES" w:eastAsia="es-ES"/>
        </w:rPr>
        <w:t>Cristian David Céspedes Correa</w:t>
      </w:r>
    </w:p>
    <w:p w14:paraId="790B53AF" w14:textId="77777777" w:rsidR="000D1CA8" w:rsidRPr="00E55ABD" w:rsidRDefault="000D1CA8" w:rsidP="000D1CA8">
      <w:pPr>
        <w:spacing w:after="0" w:line="240" w:lineRule="auto"/>
        <w:rPr>
          <w:rFonts w:ascii="Verdana" w:eastAsia="Calibri" w:hAnsi="Verdana" w:cs="Arial"/>
          <w:color w:val="000000" w:themeColor="text1"/>
          <w:lang w:val="es-ES" w:eastAsia="es-ES"/>
        </w:rPr>
      </w:pPr>
      <w:hyperlink r:id="rId12" w:history="1">
        <w:r w:rsidRPr="00E55ABD">
          <w:rPr>
            <w:rStyle w:val="Hipervnculo"/>
            <w:rFonts w:ascii="Verdana" w:eastAsia="Calibri" w:hAnsi="Verdana" w:cs="Arial"/>
            <w:lang w:val="es-ES" w:eastAsia="es-ES"/>
          </w:rPr>
          <w:t>contratacion@yarumal.gov.co</w:t>
        </w:r>
      </w:hyperlink>
    </w:p>
    <w:p w14:paraId="42965829" w14:textId="77777777" w:rsidR="000D1CA8" w:rsidRPr="00E55ABD" w:rsidRDefault="000D1CA8" w:rsidP="000D1CA8">
      <w:pPr>
        <w:spacing w:after="0" w:line="240" w:lineRule="auto"/>
        <w:rPr>
          <w:rFonts w:ascii="Verdana" w:eastAsia="Calibri" w:hAnsi="Verdana" w:cs="Arial"/>
          <w:color w:val="000000" w:themeColor="text1"/>
          <w:lang w:val="es-ES" w:eastAsia="es-ES"/>
        </w:rPr>
      </w:pPr>
      <w:r w:rsidRPr="00E55ABD">
        <w:rPr>
          <w:rFonts w:ascii="Verdana" w:eastAsia="Calibri" w:hAnsi="Verdana" w:cs="Arial"/>
          <w:color w:val="000000" w:themeColor="text1"/>
          <w:lang w:val="es-ES" w:eastAsia="es-ES"/>
        </w:rPr>
        <w:t>Yarumal, Antioquia</w:t>
      </w:r>
    </w:p>
    <w:p w14:paraId="1CC0F2D7" w14:textId="77777777" w:rsidR="000D1CA8" w:rsidRPr="00E55ABD" w:rsidRDefault="000D1CA8" w:rsidP="000D1CA8">
      <w:pPr>
        <w:spacing w:after="0" w:line="240" w:lineRule="auto"/>
        <w:rPr>
          <w:rFonts w:ascii="Verdana" w:eastAsia="Calibri" w:hAnsi="Verdana" w:cs="Arial"/>
          <w:b/>
          <w:bCs/>
          <w:color w:val="000000" w:themeColor="text1"/>
          <w:lang w:val="es-ES" w:eastAsia="es-ES"/>
        </w:rPr>
      </w:pPr>
    </w:p>
    <w:p w14:paraId="3130E2B2" w14:textId="77777777" w:rsidR="000D1CA8" w:rsidRPr="00E55ABD" w:rsidRDefault="000D1CA8" w:rsidP="000D1CA8">
      <w:pPr>
        <w:spacing w:after="0" w:line="240" w:lineRule="auto"/>
        <w:rPr>
          <w:rFonts w:ascii="Verdana" w:eastAsia="Calibri" w:hAnsi="Verdana" w:cs="Arial"/>
          <w:b/>
          <w:bCs/>
          <w:color w:val="000000" w:themeColor="text1"/>
          <w:lang w:val="es-ES" w:eastAsia="es-ES_tradnl"/>
        </w:rPr>
      </w:pPr>
    </w:p>
    <w:tbl>
      <w:tblPr>
        <w:tblStyle w:val="Tablaconcuadrcula"/>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0D1CA8" w:rsidRPr="00E55ABD" w14:paraId="6C34D9EA" w14:textId="77777777" w:rsidTr="00B24F77">
        <w:trPr>
          <w:gridAfter w:val="1"/>
          <w:wAfter w:w="4179" w:type="dxa"/>
          <w:trHeight w:val="304"/>
        </w:trPr>
        <w:tc>
          <w:tcPr>
            <w:tcW w:w="2689" w:type="dxa"/>
          </w:tcPr>
          <w:p w14:paraId="3B75902B" w14:textId="77777777" w:rsidR="000D1CA8" w:rsidRPr="00E55ABD" w:rsidRDefault="000D1CA8" w:rsidP="00B24F77">
            <w:pPr>
              <w:jc w:val="both"/>
              <w:rPr>
                <w:rFonts w:ascii="Verdana" w:eastAsia="Calibri" w:hAnsi="Verdana" w:cs="Arial"/>
                <w:b/>
                <w:bCs/>
                <w:color w:val="000000" w:themeColor="text1"/>
                <w:lang w:val="es-ES" w:eastAsia="es-ES_tradnl"/>
              </w:rPr>
            </w:pPr>
          </w:p>
        </w:tc>
        <w:tc>
          <w:tcPr>
            <w:tcW w:w="6100" w:type="dxa"/>
          </w:tcPr>
          <w:p w14:paraId="2828A2BB" w14:textId="77777777" w:rsidR="000D1CA8" w:rsidRPr="00E55ABD" w:rsidRDefault="000D1CA8" w:rsidP="00B24F77">
            <w:pPr>
              <w:jc w:val="both"/>
              <w:rPr>
                <w:rFonts w:ascii="Verdana" w:eastAsia="Calibri" w:hAnsi="Verdana" w:cs="Arial"/>
                <w:b/>
                <w:bCs/>
                <w:color w:val="000000" w:themeColor="text1"/>
                <w:lang w:val="es-ES" w:eastAsia="es-ES"/>
              </w:rPr>
            </w:pPr>
            <w:r w:rsidRPr="00E55ABD">
              <w:rPr>
                <w:rFonts w:ascii="Verdana" w:eastAsia="Calibri" w:hAnsi="Verdana" w:cs="Arial"/>
                <w:b/>
                <w:bCs/>
                <w:color w:val="000000" w:themeColor="text1"/>
                <w:lang w:val="es-ES" w:eastAsia="es-ES"/>
              </w:rPr>
              <w:t>Concepto C-1722 de 2025</w:t>
            </w:r>
          </w:p>
          <w:p w14:paraId="39F7A2FF" w14:textId="77777777" w:rsidR="000D1CA8" w:rsidRPr="00E55ABD" w:rsidRDefault="000D1CA8" w:rsidP="00B24F77">
            <w:pPr>
              <w:jc w:val="both"/>
              <w:rPr>
                <w:rFonts w:ascii="Verdana" w:eastAsia="Calibri" w:hAnsi="Verdana" w:cs="Arial"/>
                <w:b/>
                <w:bCs/>
                <w:color w:val="000000" w:themeColor="text1"/>
                <w:lang w:val="es-ES" w:eastAsia="es-ES"/>
              </w:rPr>
            </w:pPr>
          </w:p>
        </w:tc>
      </w:tr>
      <w:tr w:rsidR="000D1CA8" w:rsidRPr="00E55ABD" w14:paraId="0A9CE358" w14:textId="77777777" w:rsidTr="00B24F77">
        <w:trPr>
          <w:trHeight w:val="884"/>
        </w:trPr>
        <w:tc>
          <w:tcPr>
            <w:tcW w:w="2689" w:type="dxa"/>
          </w:tcPr>
          <w:p w14:paraId="4298D893" w14:textId="77777777" w:rsidR="000D1CA8" w:rsidRPr="00E55ABD" w:rsidRDefault="000D1CA8" w:rsidP="00B24F77">
            <w:pPr>
              <w:jc w:val="both"/>
              <w:rPr>
                <w:rFonts w:ascii="Verdana" w:eastAsia="Calibri" w:hAnsi="Verdana" w:cs="Arial"/>
                <w:color w:val="000000" w:themeColor="text1"/>
                <w:lang w:val="es-ES" w:eastAsia="es-ES_tradnl"/>
              </w:rPr>
            </w:pPr>
            <w:r w:rsidRPr="00E55ABD">
              <w:rPr>
                <w:rFonts w:ascii="Verdana" w:eastAsia="Calibri" w:hAnsi="Verdana" w:cs="Arial"/>
                <w:b/>
                <w:color w:val="000000" w:themeColor="text1"/>
                <w:lang w:val="es-ES" w:eastAsia="es-ES_tradnl"/>
              </w:rPr>
              <w:t>Temas:</w:t>
            </w:r>
            <w:r w:rsidRPr="00E55ABD">
              <w:rPr>
                <w:rFonts w:ascii="Verdana" w:eastAsia="Calibri" w:hAnsi="Verdana" w:cs="Arial"/>
                <w:color w:val="000000" w:themeColor="text1"/>
                <w:lang w:val="es-ES" w:eastAsia="es-ES_tradnl"/>
              </w:rPr>
              <w:t xml:space="preserve">                   </w:t>
            </w:r>
          </w:p>
        </w:tc>
        <w:tc>
          <w:tcPr>
            <w:tcW w:w="6100" w:type="dxa"/>
          </w:tcPr>
          <w:p w14:paraId="7CB94EE6" w14:textId="036B27F4" w:rsidR="000D1CA8" w:rsidRPr="00E55ABD" w:rsidRDefault="000D1CA8" w:rsidP="00B24F77">
            <w:pPr>
              <w:spacing w:line="257" w:lineRule="auto"/>
              <w:jc w:val="both"/>
              <w:rPr>
                <w:rFonts w:ascii="Verdana" w:hAnsi="Verdana"/>
                <w:lang w:val="es-ES"/>
              </w:rPr>
            </w:pPr>
            <w:r w:rsidRPr="00E55ABD">
              <w:rPr>
                <w:rFonts w:ascii="Verdana" w:hAnsi="Verdana" w:cs="Arial"/>
                <w:bCs/>
                <w:lang w:val="es-ES" w:eastAsia="es-ES"/>
              </w:rPr>
              <w:t xml:space="preserve">CONTRATOS Y CONVENIOS INTERADMINISTRATIVOS </w:t>
            </w:r>
            <w:r w:rsidR="00984C06" w:rsidRPr="00E55ABD">
              <w:rPr>
                <w:rFonts w:ascii="Verdana" w:hAnsi="Verdana" w:cs="Arial"/>
                <w:bCs/>
                <w:lang w:val="es-ES" w:eastAsia="es-ES"/>
              </w:rPr>
              <w:t>–</w:t>
            </w:r>
            <w:r w:rsidRPr="00E55ABD">
              <w:rPr>
                <w:rFonts w:ascii="Verdana" w:hAnsi="Verdana" w:cs="Arial"/>
                <w:bCs/>
                <w:lang w:val="es-ES" w:eastAsia="es-ES"/>
              </w:rPr>
              <w:t xml:space="preserve">Noción – Diferencias / CONVENIO INTERADMINISTRATIVO – Naturaleza – Inaplicabilidad – Ley 80 de 1993 / </w:t>
            </w:r>
            <w:r w:rsidRPr="00E55ABD">
              <w:rPr>
                <w:rFonts w:ascii="Verdana" w:eastAsia="Calibri" w:hAnsi="Verdana" w:cs="Arial"/>
                <w:lang w:val="es-ES"/>
              </w:rPr>
              <w:t>M</w:t>
            </w:r>
            <w:r w:rsidRPr="00E55ABD">
              <w:rPr>
                <w:rStyle w:val="normaltextrun"/>
                <w:rFonts w:ascii="Verdana" w:hAnsi="Verdana"/>
                <w:shd w:val="clear" w:color="auto" w:fill="FFFFFF"/>
                <w:lang w:val="es-ES"/>
              </w:rPr>
              <w:t>ODIFICACIÓN DE LOS CONVENIOS – Límites – Imposibilidad de modificar aspectos esenciales</w:t>
            </w:r>
            <w:r w:rsidRPr="00E55ABD">
              <w:rPr>
                <w:rFonts w:ascii="Verdana" w:hAnsi="Verdana"/>
                <w:lang w:val="es-ES"/>
              </w:rPr>
              <w:t xml:space="preserve"> </w:t>
            </w:r>
          </w:p>
          <w:p w14:paraId="6C14C30A" w14:textId="77777777" w:rsidR="000D1CA8" w:rsidRPr="00E55ABD" w:rsidRDefault="000D1CA8" w:rsidP="00B24F77">
            <w:pPr>
              <w:spacing w:line="257" w:lineRule="auto"/>
              <w:jc w:val="both"/>
              <w:rPr>
                <w:rFonts w:ascii="Verdana" w:eastAsia="Calibri" w:hAnsi="Verdana" w:cs="Arial"/>
                <w:color w:val="000000" w:themeColor="text1"/>
                <w:lang w:val="es-ES" w:eastAsia="es-ES_tradnl"/>
              </w:rPr>
            </w:pPr>
          </w:p>
        </w:tc>
        <w:tc>
          <w:tcPr>
            <w:tcW w:w="4179" w:type="dxa"/>
          </w:tcPr>
          <w:p w14:paraId="427B2DE8" w14:textId="77777777" w:rsidR="000D1CA8" w:rsidRPr="00E55ABD" w:rsidRDefault="000D1CA8" w:rsidP="00B24F77">
            <w:pPr>
              <w:spacing w:line="276" w:lineRule="auto"/>
              <w:rPr>
                <w:rFonts w:ascii="Verdana" w:eastAsia="Calibri" w:hAnsi="Verdana" w:cs="Arial"/>
                <w:color w:val="000000" w:themeColor="text1"/>
                <w:lang w:val="es-ES" w:eastAsia="es-ES_tradnl"/>
              </w:rPr>
            </w:pPr>
          </w:p>
        </w:tc>
      </w:tr>
      <w:tr w:rsidR="000D1CA8" w:rsidRPr="00E55ABD" w14:paraId="682891AC" w14:textId="77777777" w:rsidTr="00D529AE">
        <w:trPr>
          <w:gridAfter w:val="1"/>
          <w:wAfter w:w="4179" w:type="dxa"/>
          <w:trHeight w:val="68"/>
        </w:trPr>
        <w:tc>
          <w:tcPr>
            <w:tcW w:w="2689" w:type="dxa"/>
          </w:tcPr>
          <w:p w14:paraId="3FCA5413" w14:textId="77777777" w:rsidR="000D1CA8" w:rsidRPr="00E55ABD" w:rsidRDefault="000D1CA8" w:rsidP="00B24F77">
            <w:pPr>
              <w:jc w:val="both"/>
              <w:rPr>
                <w:rFonts w:ascii="Verdana" w:eastAsia="Calibri" w:hAnsi="Verdana" w:cs="Arial"/>
                <w:b/>
                <w:color w:val="000000" w:themeColor="text1"/>
                <w:lang w:val="es-ES" w:eastAsia="es-ES_tradnl"/>
              </w:rPr>
            </w:pPr>
            <w:r w:rsidRPr="00E55ABD">
              <w:rPr>
                <w:rFonts w:ascii="Verdana" w:eastAsia="Calibri" w:hAnsi="Verdana" w:cs="Arial"/>
                <w:b/>
                <w:color w:val="000000" w:themeColor="text1"/>
                <w:lang w:val="es-ES" w:eastAsia="es-ES_tradnl"/>
              </w:rPr>
              <w:t>Radicación:</w:t>
            </w:r>
            <w:r w:rsidRPr="00E55ABD">
              <w:rPr>
                <w:rFonts w:ascii="Verdana" w:eastAsia="Calibri" w:hAnsi="Verdana" w:cs="Arial"/>
                <w:color w:val="000000" w:themeColor="text1"/>
                <w:lang w:val="es-ES" w:eastAsia="es-ES_tradnl"/>
              </w:rPr>
              <w:t xml:space="preserve">               </w:t>
            </w:r>
          </w:p>
        </w:tc>
        <w:tc>
          <w:tcPr>
            <w:tcW w:w="6100" w:type="dxa"/>
          </w:tcPr>
          <w:p w14:paraId="50084414" w14:textId="77777777" w:rsidR="000D1CA8" w:rsidRPr="00E55ABD" w:rsidRDefault="000D1CA8" w:rsidP="00B24F77">
            <w:pPr>
              <w:jc w:val="both"/>
              <w:rPr>
                <w:rFonts w:ascii="Verdana" w:eastAsia="Calibri" w:hAnsi="Verdana" w:cs="Arial"/>
                <w:color w:val="000000" w:themeColor="text1"/>
                <w:lang w:val="es-ES" w:eastAsia="es-ES_tradnl"/>
              </w:rPr>
            </w:pPr>
            <w:r w:rsidRPr="00E55ABD">
              <w:rPr>
                <w:rFonts w:ascii="Verdana" w:eastAsia="Calibri" w:hAnsi="Verdana" w:cs="Arial"/>
                <w:color w:val="000000" w:themeColor="text1"/>
                <w:lang w:val="es-ES" w:eastAsia="es-ES_tradnl"/>
              </w:rPr>
              <w:t>Respuesta a consulta con radicado No. 1_2025_11_20_013107</w:t>
            </w:r>
          </w:p>
        </w:tc>
      </w:tr>
    </w:tbl>
    <w:p w14:paraId="77696E97" w14:textId="77777777" w:rsidR="000D1CA8" w:rsidRPr="00E55ABD" w:rsidRDefault="000D1CA8" w:rsidP="000D1CA8">
      <w:pPr>
        <w:spacing w:after="0" w:line="276" w:lineRule="auto"/>
        <w:jc w:val="both"/>
        <w:rPr>
          <w:rFonts w:ascii="Verdana" w:eastAsia="Calibri" w:hAnsi="Verdana" w:cs="Arial"/>
          <w:color w:val="000000" w:themeColor="text1"/>
          <w:lang w:val="es-ES" w:eastAsia="es-ES_tradnl"/>
        </w:rPr>
      </w:pPr>
    </w:p>
    <w:p w14:paraId="22C48168" w14:textId="77777777" w:rsidR="000D1CA8" w:rsidRPr="00E55ABD" w:rsidRDefault="000D1CA8" w:rsidP="000D1CA8">
      <w:pPr>
        <w:spacing w:after="0" w:line="276" w:lineRule="auto"/>
        <w:jc w:val="both"/>
        <w:rPr>
          <w:rFonts w:ascii="Verdana" w:eastAsia="Calibri" w:hAnsi="Verdana" w:cs="Arial"/>
          <w:color w:val="000000" w:themeColor="text1"/>
          <w:lang w:val="es-ES" w:eastAsia="es-ES_tradnl"/>
        </w:rPr>
      </w:pPr>
    </w:p>
    <w:p w14:paraId="67A531A5" w14:textId="77777777" w:rsidR="000D1CA8" w:rsidRPr="00E55ABD" w:rsidRDefault="000D1CA8" w:rsidP="000D1CA8">
      <w:pPr>
        <w:spacing w:after="0" w:line="276" w:lineRule="auto"/>
        <w:jc w:val="both"/>
        <w:rPr>
          <w:rFonts w:ascii="Verdana" w:eastAsia="Calibri" w:hAnsi="Verdana" w:cs="Arial"/>
          <w:color w:val="000000" w:themeColor="text1"/>
          <w:lang w:val="es-ES" w:eastAsia="es-ES"/>
        </w:rPr>
      </w:pPr>
      <w:r w:rsidRPr="00E55ABD">
        <w:rPr>
          <w:rFonts w:ascii="Verdana" w:eastAsia="Calibri" w:hAnsi="Verdana" w:cs="Arial"/>
          <w:color w:val="000000" w:themeColor="text1"/>
          <w:lang w:val="es-ES" w:eastAsia="es-ES"/>
        </w:rPr>
        <w:t xml:space="preserve">Estimado señor Céspedes: </w:t>
      </w:r>
    </w:p>
    <w:p w14:paraId="476E6FFE" w14:textId="77777777" w:rsidR="000D1CA8" w:rsidRPr="00E55ABD" w:rsidRDefault="000D1CA8" w:rsidP="000D1CA8">
      <w:pPr>
        <w:tabs>
          <w:tab w:val="left" w:pos="3768"/>
        </w:tabs>
        <w:spacing w:after="0" w:line="276" w:lineRule="auto"/>
        <w:jc w:val="both"/>
        <w:rPr>
          <w:rFonts w:ascii="Verdana" w:eastAsia="Calibri" w:hAnsi="Verdana" w:cs="Arial"/>
          <w:color w:val="000000" w:themeColor="text1"/>
          <w:lang w:val="es-ES" w:eastAsia="es-ES"/>
        </w:rPr>
      </w:pPr>
      <w:r w:rsidRPr="00E55ABD">
        <w:rPr>
          <w:rFonts w:ascii="Verdana" w:eastAsia="Calibri" w:hAnsi="Verdana" w:cs="Arial"/>
          <w:color w:val="000000" w:themeColor="text1"/>
          <w:lang w:val="es-ES" w:eastAsia="es-ES"/>
        </w:rPr>
        <w:tab/>
      </w:r>
    </w:p>
    <w:p w14:paraId="72CB3012" w14:textId="77777777" w:rsidR="000D1CA8" w:rsidRPr="00E55ABD" w:rsidRDefault="000D1CA8" w:rsidP="000D1CA8">
      <w:pPr>
        <w:spacing w:after="0" w:line="276" w:lineRule="auto"/>
        <w:jc w:val="both"/>
        <w:rPr>
          <w:rFonts w:ascii="Verdana" w:eastAsia="Calibri" w:hAnsi="Verdana" w:cs="Arial"/>
          <w:color w:val="000000" w:themeColor="text1"/>
          <w:lang w:val="es-ES" w:eastAsia="es-ES"/>
        </w:rPr>
      </w:pPr>
      <w:r w:rsidRPr="00E55ABD">
        <w:rPr>
          <w:rFonts w:ascii="Verdana" w:eastAsia="Calibri" w:hAnsi="Verdana" w:cs="Arial"/>
          <w:color w:val="000000" w:themeColor="text1"/>
          <w:lang w:val="es-ES" w:eastAsia="es-ES"/>
        </w:rPr>
        <w:t>En ejercicio de la competencia otorgada por los artículos 3, numeral 5º, y 11, numeral 8º, del Decreto Ley 4170 de 2011,</w:t>
      </w:r>
      <w:r w:rsidRPr="00E55ABD">
        <w:rPr>
          <w:rFonts w:ascii="Verdana" w:eastAsia="Arial MT" w:hAnsi="Verdana" w:cs="Arial MT"/>
          <w:color w:val="000000" w:themeColor="text1"/>
          <w:lang w:val="es-ES" w:eastAsia="es-ES"/>
        </w:rPr>
        <w:t xml:space="preserve"> </w:t>
      </w:r>
      <w:r w:rsidRPr="00E55ABD">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consulta del 20 de noviembre 2025, en la cual manifiesta lo siguiente:</w:t>
      </w:r>
      <w:r w:rsidRPr="00E55ABD">
        <w:rPr>
          <w:rFonts w:ascii="Verdana" w:eastAsia="Calibri" w:hAnsi="Verdana" w:cs="Arial"/>
          <w:color w:val="000000" w:themeColor="text1"/>
          <w:lang w:val="es-ES" w:eastAsia="es-ES"/>
        </w:rPr>
        <w:t xml:space="preserve"> </w:t>
      </w:r>
    </w:p>
    <w:p w14:paraId="780029B5" w14:textId="77777777" w:rsidR="000D1CA8" w:rsidRPr="00E55ABD" w:rsidRDefault="000D1CA8" w:rsidP="000D1CA8">
      <w:pPr>
        <w:spacing w:after="0" w:line="276" w:lineRule="auto"/>
        <w:jc w:val="both"/>
        <w:rPr>
          <w:rFonts w:ascii="Verdana" w:eastAsia="Calibri" w:hAnsi="Verdana" w:cs="Arial"/>
          <w:color w:val="000000" w:themeColor="text1"/>
          <w:lang w:val="es-ES" w:eastAsia="es-ES"/>
        </w:rPr>
      </w:pPr>
    </w:p>
    <w:p w14:paraId="394CF8AB" w14:textId="77777777" w:rsidR="000D1CA8" w:rsidRPr="00E55ABD" w:rsidRDefault="000D1CA8" w:rsidP="000D1CA8">
      <w:pPr>
        <w:spacing w:after="0"/>
        <w:ind w:left="720" w:right="709"/>
        <w:jc w:val="both"/>
        <w:rPr>
          <w:rFonts w:ascii="Verdana" w:eastAsia="Century Gothic" w:hAnsi="Verdana" w:cs="Century Gothic"/>
          <w:color w:val="000000" w:themeColor="text1"/>
          <w:sz w:val="20"/>
          <w:szCs w:val="20"/>
          <w:lang w:val="es-ES"/>
        </w:rPr>
      </w:pPr>
      <w:r w:rsidRPr="00E55ABD">
        <w:rPr>
          <w:rFonts w:ascii="Verdana" w:eastAsia="Century Gothic" w:hAnsi="Verdana" w:cs="Century Gothic"/>
          <w:color w:val="000000" w:themeColor="text1"/>
          <w:sz w:val="20"/>
          <w:szCs w:val="20"/>
          <w:lang w:val="es-ES"/>
        </w:rPr>
        <w:t>“</w:t>
      </w:r>
      <w:r w:rsidRPr="00E55ABD">
        <w:rPr>
          <w:rFonts w:ascii="Verdana" w:eastAsia="Century Gothic" w:hAnsi="Verdana" w:cs="Century Gothic"/>
          <w:i/>
          <w:iCs/>
          <w:color w:val="000000" w:themeColor="text1"/>
          <w:sz w:val="20"/>
          <w:szCs w:val="20"/>
          <w:lang w:val="es-ES"/>
        </w:rPr>
        <w:t>En una modificación de un convenio interadministrativo es posible vincular una parte adicional, teniendo en cuenta que la parte que se vincula aunará esfuerzos para el alcance del objeto contractual. Adicionalmente, encontrándonos en el término de restricción de ley de garantías un impedimento para su vinculación como parte del convenio mediante una modificación</w:t>
      </w:r>
      <w:r w:rsidRPr="00E55ABD">
        <w:rPr>
          <w:rFonts w:ascii="Verdana" w:eastAsia="Century Gothic" w:hAnsi="Verdana" w:cs="Century Gothic"/>
          <w:color w:val="000000" w:themeColor="text1"/>
          <w:sz w:val="20"/>
          <w:szCs w:val="20"/>
          <w:lang w:val="es-ES"/>
        </w:rPr>
        <w:t xml:space="preserve">”. </w:t>
      </w:r>
    </w:p>
    <w:p w14:paraId="58EC91F5" w14:textId="77777777" w:rsidR="000D1CA8" w:rsidRPr="00E55ABD" w:rsidRDefault="000D1CA8" w:rsidP="000D1CA8">
      <w:pPr>
        <w:spacing w:after="0"/>
        <w:ind w:left="709" w:right="709"/>
        <w:jc w:val="both"/>
        <w:rPr>
          <w:rFonts w:ascii="Verdana" w:eastAsia="Century Gothic" w:hAnsi="Verdana" w:cs="Century Gothic"/>
          <w:i/>
          <w:iCs/>
          <w:color w:val="000000" w:themeColor="text1"/>
          <w:sz w:val="20"/>
          <w:szCs w:val="20"/>
          <w:lang w:val="es-ES"/>
        </w:rPr>
      </w:pPr>
    </w:p>
    <w:p w14:paraId="06A85C0B" w14:textId="77777777" w:rsidR="000D1CA8" w:rsidRPr="00E55ABD" w:rsidRDefault="000D1CA8" w:rsidP="000D1CA8">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E55AB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E55ABD">
        <w:rPr>
          <w:rFonts w:ascii="Verdana" w:eastAsia="Calibri" w:hAnsi="Verdana" w:cs="Arial"/>
          <w:color w:val="000000" w:themeColor="text1"/>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5ABD">
        <w:rPr>
          <w:rFonts w:ascii="Verdana" w:eastAsia="Calibri" w:hAnsi="Verdana" w:cs="Arial"/>
          <w:color w:val="000000" w:themeColor="text1"/>
          <w:szCs w:val="24"/>
          <w:lang w:val="es-ES" w:eastAsia="es-ES_tradnl"/>
        </w:rPr>
        <w:tab/>
      </w:r>
    </w:p>
    <w:p w14:paraId="03DFC507" w14:textId="77777777" w:rsidR="000D1CA8" w:rsidRPr="00E55ABD" w:rsidRDefault="000D1CA8" w:rsidP="000D1CA8">
      <w:pPr>
        <w:spacing w:before="120" w:after="120" w:line="276" w:lineRule="auto"/>
        <w:ind w:firstLine="709"/>
        <w:jc w:val="both"/>
        <w:rPr>
          <w:rFonts w:ascii="Verdana" w:eastAsia="Calibri" w:hAnsi="Verdana" w:cs="Arial"/>
          <w:color w:val="000000" w:themeColor="text1"/>
          <w:lang w:val="es-ES" w:eastAsia="es-ES"/>
        </w:rPr>
      </w:pPr>
      <w:r w:rsidRPr="00E55AB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3A964568" w14:textId="77777777" w:rsidR="000D1CA8" w:rsidRPr="00E55ABD" w:rsidRDefault="000D1CA8" w:rsidP="000D1CA8">
      <w:pPr>
        <w:spacing w:after="0" w:line="276" w:lineRule="auto"/>
        <w:jc w:val="both"/>
        <w:rPr>
          <w:rFonts w:ascii="Verdana" w:eastAsia="Calibri" w:hAnsi="Verdana" w:cs="Arial"/>
          <w:color w:val="000000" w:themeColor="text1"/>
          <w:lang w:val="es-ES" w:eastAsia="es-ES"/>
        </w:rPr>
      </w:pPr>
    </w:p>
    <w:p w14:paraId="31F17289" w14:textId="77777777" w:rsidR="000D1CA8" w:rsidRPr="00E55ABD" w:rsidRDefault="000D1CA8" w:rsidP="000D1CA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E55ABD">
        <w:rPr>
          <w:rFonts w:ascii="Verdana" w:eastAsia="Century Gothic" w:hAnsi="Verdana" w:cs="Century Gothic"/>
          <w:b/>
          <w:bCs/>
          <w:color w:val="000000" w:themeColor="text1"/>
        </w:rPr>
        <w:t>Problema planteado:</w:t>
      </w:r>
    </w:p>
    <w:p w14:paraId="16C3BDC0" w14:textId="77777777" w:rsidR="000D1CA8" w:rsidRPr="00E55ABD" w:rsidRDefault="000D1CA8" w:rsidP="000D1CA8">
      <w:pPr>
        <w:tabs>
          <w:tab w:val="left" w:pos="426"/>
        </w:tabs>
        <w:spacing w:after="0" w:line="276" w:lineRule="auto"/>
        <w:jc w:val="both"/>
        <w:rPr>
          <w:rFonts w:ascii="Verdana" w:eastAsia="Century Gothic" w:hAnsi="Verdana" w:cs="Century Gothic"/>
          <w:color w:val="000000" w:themeColor="text1"/>
          <w:lang w:val="es-ES"/>
        </w:rPr>
      </w:pPr>
    </w:p>
    <w:p w14:paraId="6E532944" w14:textId="77777777" w:rsidR="000D1CA8" w:rsidRPr="00E55ABD" w:rsidRDefault="000D1CA8" w:rsidP="000D1CA8">
      <w:pPr>
        <w:spacing w:after="0" w:line="276" w:lineRule="auto"/>
        <w:jc w:val="both"/>
        <w:rPr>
          <w:rFonts w:ascii="Verdana" w:eastAsia="Century Gothic" w:hAnsi="Verdana" w:cs="Century Gothic"/>
          <w:color w:val="000000" w:themeColor="text1"/>
          <w:lang w:val="es-ES"/>
        </w:rPr>
      </w:pPr>
      <w:r w:rsidRPr="00E55ABD">
        <w:rPr>
          <w:rFonts w:ascii="Verdana" w:eastAsia="Century Gothic" w:hAnsi="Verdana" w:cs="Century Gothic"/>
          <w:color w:val="000000" w:themeColor="text1"/>
          <w:lang w:val="es-ES"/>
        </w:rPr>
        <w:t>De acuerdo con el contenido de su solicitud, esta Agencia resolverá los siguientes problemas jurídicos:</w:t>
      </w:r>
      <w:r w:rsidRPr="00E55ABD">
        <w:rPr>
          <w:rFonts w:ascii="Verdana" w:eastAsia="Century Gothic" w:hAnsi="Verdana" w:cs="Century Gothic"/>
          <w:lang w:val="es-ES"/>
        </w:rPr>
        <w:t xml:space="preserve"> i) ¿Cuáles son los límites jurídicos aplicables a la modificación de convenios interadministrativos? y ii) ¿Las modificaciones a los convenios interadministrativos se encuentran restringidas en el marco de la Ley de Garantías Electorales?</w:t>
      </w:r>
    </w:p>
    <w:p w14:paraId="07631097" w14:textId="77777777" w:rsidR="000D1CA8" w:rsidRPr="00E55ABD" w:rsidRDefault="000D1CA8" w:rsidP="000D1CA8">
      <w:pPr>
        <w:spacing w:after="0" w:line="276" w:lineRule="auto"/>
        <w:jc w:val="both"/>
        <w:rPr>
          <w:rFonts w:ascii="Verdana" w:eastAsia="Calibri" w:hAnsi="Verdana" w:cs="Arial"/>
          <w:color w:val="000000" w:themeColor="text1"/>
          <w:lang w:val="es-ES"/>
        </w:rPr>
      </w:pPr>
    </w:p>
    <w:p w14:paraId="7E802022" w14:textId="77777777" w:rsidR="000D1CA8" w:rsidRPr="00E55ABD" w:rsidRDefault="000D1CA8" w:rsidP="000D1CA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E55ABD">
        <w:rPr>
          <w:rFonts w:ascii="Verdana" w:eastAsia="Century Gothic" w:hAnsi="Verdana" w:cs="Century Gothic"/>
          <w:b/>
          <w:bCs/>
          <w:color w:val="000000" w:themeColor="text1"/>
        </w:rPr>
        <w:t>Respuesta:</w:t>
      </w:r>
    </w:p>
    <w:p w14:paraId="145DA9CC" w14:textId="77777777" w:rsidR="000D1CA8" w:rsidRPr="00E55ABD" w:rsidRDefault="000D1CA8" w:rsidP="000D1CA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D1CA8" w:rsidRPr="00E55ABD" w14:paraId="02B42968" w14:textId="77777777" w:rsidTr="00B24F77">
        <w:tc>
          <w:tcPr>
            <w:tcW w:w="8828" w:type="dxa"/>
          </w:tcPr>
          <w:p w14:paraId="6847AAE2" w14:textId="77777777" w:rsidR="000D1CA8" w:rsidRPr="00E55ABD" w:rsidRDefault="000D1CA8" w:rsidP="00867116">
            <w:pPr>
              <w:spacing w:before="120" w:after="120" w:line="276" w:lineRule="auto"/>
              <w:jc w:val="both"/>
              <w:rPr>
                <w:rFonts w:ascii="Verdana" w:eastAsiaTheme="minorEastAsia" w:hAnsi="Verdana" w:cs="Arial"/>
                <w:lang w:val="es-ES" w:eastAsia="es-CO"/>
              </w:rPr>
            </w:pPr>
            <w:r w:rsidRPr="00E55ABD">
              <w:rPr>
                <w:rFonts w:ascii="Verdana" w:eastAsiaTheme="minorEastAsia" w:hAnsi="Verdana" w:cs="Arial"/>
                <w:lang w:val="es-ES" w:eastAsia="es-CO"/>
              </w:rPr>
              <w:t xml:space="preserve">El convenio interadministrativo es el negocio jurídico en el cual convergen dos o más entidades públicas, cuyo objeto se relaciona con la coordinación o cooperación para el cumplimiento de los fines comunes de las partes. El Consejo de Estado ha destacado la finalidad asociativa de los convenios interadministrativos, los cuales se caracterizan por la </w:t>
            </w:r>
            <w:r w:rsidRPr="00E55ABD">
              <w:rPr>
                <w:rFonts w:ascii="Verdana" w:eastAsiaTheme="minorEastAsia" w:hAnsi="Verdana" w:cs="Arial"/>
                <w:i/>
                <w:iCs/>
                <w:lang w:val="es-ES" w:eastAsia="es-CO"/>
              </w:rPr>
              <w:t>autorregulación</w:t>
            </w:r>
            <w:r w:rsidRPr="00E55ABD">
              <w:rPr>
                <w:rFonts w:ascii="Verdana" w:eastAsiaTheme="minorEastAsia" w:hAnsi="Verdana" w:cs="Arial"/>
                <w:lang w:val="es-ES" w:eastAsia="es-CO"/>
              </w:rPr>
              <w:t xml:space="preserve">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20738DA6" w14:textId="77777777" w:rsidR="000D1CA8" w:rsidRPr="00E55ABD" w:rsidRDefault="000D1CA8" w:rsidP="00867116">
            <w:pPr>
              <w:spacing w:after="120" w:line="276" w:lineRule="auto"/>
              <w:ind w:firstLine="735"/>
              <w:jc w:val="both"/>
              <w:rPr>
                <w:rFonts w:ascii="Verdana" w:eastAsia="Calibri" w:hAnsi="Verdana" w:cs="Arial"/>
                <w:color w:val="000000" w:themeColor="text1"/>
                <w:lang w:val="es-ES"/>
              </w:rPr>
            </w:pPr>
            <w:r w:rsidRPr="00E55ABD">
              <w:rPr>
                <w:rFonts w:ascii="Verdana" w:eastAsia="Calibri" w:hAnsi="Verdana" w:cs="Arial"/>
                <w:color w:val="000000" w:themeColor="text1"/>
                <w:lang w:val="es-ES"/>
              </w:rPr>
              <w:lastRenderedPageBreak/>
              <w:t>Si bien la normativa vigente no establece una prohibición expresa respecto a las adiciones en los convenios interadministrativos al considerarse que no están sometidos al EGCAP, esto no significa que puedan realizarse de manera ilimitada o arbitraria. Estas modificaciones deben observar cuidadosamente los principios que rigen la función administrativa, garantizando la transparencia, la eficiencia, la economía, la moralidad y la legalidad en cada actuación.</w:t>
            </w:r>
          </w:p>
          <w:p w14:paraId="0C0DE237" w14:textId="77777777" w:rsidR="000D1CA8" w:rsidRPr="00E55ABD" w:rsidRDefault="000D1CA8" w:rsidP="00B24F77">
            <w:pPr>
              <w:spacing w:after="120" w:line="276" w:lineRule="auto"/>
              <w:ind w:firstLine="735"/>
              <w:jc w:val="both"/>
              <w:rPr>
                <w:rFonts w:ascii="Verdana" w:hAnsi="Verdana"/>
                <w:lang w:val="es-ES"/>
              </w:rPr>
            </w:pPr>
            <w:r w:rsidRPr="00E55ABD">
              <w:rPr>
                <w:rFonts w:ascii="Verdana" w:eastAsia="Calibri" w:hAnsi="Verdana" w:cs="Arial"/>
                <w:color w:val="000000" w:themeColor="text1"/>
                <w:lang w:val="es-ES"/>
              </w:rPr>
              <w:t xml:space="preserve">Aunque </w:t>
            </w:r>
            <w:r w:rsidRPr="00E55ABD">
              <w:rPr>
                <w:rFonts w:ascii="Verdana" w:hAnsi="Verdana"/>
                <w:lang w:val="es-ES"/>
              </w:rPr>
              <w:t>no existe un desarrollo legal o reglamentario sobre las reglas aplicables a la modificación del contrato estatales, en general, los aportes de la jurisprudencia, de la función consultiva del Consejo de Estado, y de la doctrina comparada han permitido estructurar los límites y requisitos de orden temporal, formal, material y axiológico para adelantar las modificaciones de los distintos negocios jurídicos que adelantan las entidades estatales, como es el caso de los contratos y los convenios interadministrativos. Estos límites deben respetarse por la entidad contratante con el fin de preservar los principios de transparencia, e igualdad; principios que, como se mencionó antes, son aplicables a los convenios interadministrativos aunque se rijan por la autonomía de voluntad de las partes y no se encuentren sometidos al EGCAP.</w:t>
            </w:r>
          </w:p>
          <w:p w14:paraId="0BAC0158" w14:textId="77777777" w:rsidR="000D1CA8" w:rsidRPr="00E55ABD" w:rsidRDefault="000D1CA8" w:rsidP="00B24F77">
            <w:pPr>
              <w:spacing w:before="120" w:line="276" w:lineRule="auto"/>
              <w:ind w:firstLine="708"/>
              <w:jc w:val="both"/>
              <w:rPr>
                <w:rFonts w:ascii="Verdana" w:eastAsia="Calibri" w:hAnsi="Verdana" w:cs="Arial"/>
                <w:lang w:val="es-ES" w:eastAsia="es-ES_tradnl"/>
              </w:rPr>
            </w:pPr>
            <w:r w:rsidRPr="00E55ABD">
              <w:rPr>
                <w:rFonts w:ascii="Verdana" w:hAnsi="Verdana"/>
                <w:lang w:val="es-ES"/>
              </w:rPr>
              <w:t xml:space="preserve">Dentro de los límites, se destacan los </w:t>
            </w:r>
            <w:r w:rsidRPr="00E55ABD">
              <w:rPr>
                <w:rFonts w:ascii="Verdana" w:eastAsia="Calibri" w:hAnsi="Verdana" w:cs="Arial"/>
                <w:i/>
                <w:lang w:val="es-ES"/>
              </w:rPr>
              <w:t>materiales</w:t>
            </w:r>
            <w:r w:rsidRPr="00E55ABD">
              <w:rPr>
                <w:rFonts w:ascii="Verdana" w:eastAsia="Calibri" w:hAnsi="Verdana" w:cs="Arial"/>
                <w:iCs/>
                <w:lang w:val="es-ES"/>
              </w:rPr>
              <w:t xml:space="preserve">, que </w:t>
            </w:r>
            <w:r w:rsidRPr="00E55ABD">
              <w:rPr>
                <w:rFonts w:ascii="Verdana" w:eastAsia="Arial" w:hAnsi="Verdana" w:cs="Arial"/>
                <w:lang w:val="es-ES" w:eastAsia="es-ES" w:bidi="es-ES"/>
              </w:rPr>
              <w:t xml:space="preserve">corresponden a la prohibición de modificar las condiciones sustanciales o esenciales del convenio, que se presentará en los casos en que se incluyan elementos que cambien la esencia del negocio jurídico de modo que devenga en uno distinto. También, se encuentran los </w:t>
            </w:r>
            <w:r w:rsidRPr="00E55ABD">
              <w:rPr>
                <w:rFonts w:ascii="Verdana" w:eastAsia="Arial" w:hAnsi="Verdana" w:cs="Arial"/>
                <w:i/>
                <w:lang w:val="es-ES" w:eastAsia="es-ES" w:bidi="es-ES"/>
              </w:rPr>
              <w:t>límites axiológicos</w:t>
            </w:r>
            <w:r w:rsidRPr="00E55ABD">
              <w:rPr>
                <w:rFonts w:ascii="Verdana" w:eastAsia="Arial" w:hAnsi="Verdana" w:cs="Arial"/>
                <w:lang w:val="es-ES" w:eastAsia="es-ES" w:bidi="es-ES"/>
              </w:rPr>
              <w:t xml:space="preserve">, los cuales se fundan en la necesidad de preservar los principios de igualdad y transparencia. </w:t>
            </w:r>
            <w:r w:rsidRPr="00E55ABD">
              <w:rPr>
                <w:rFonts w:ascii="Verdana" w:eastAsia="Calibri" w:hAnsi="Verdana" w:cs="Arial"/>
                <w:lang w:val="es-ES" w:eastAsia="es-ES_tradnl"/>
              </w:rPr>
              <w:t xml:space="preserve">Lo anterior, con la finalidad de proteger los intereses y fines públicos inmersos en la contratación de las Entidades Estatales. </w:t>
            </w:r>
          </w:p>
          <w:p w14:paraId="60BC4AA2" w14:textId="77777777" w:rsidR="000D1CA8" w:rsidRPr="00E55ABD" w:rsidRDefault="000D1CA8" w:rsidP="00B24F77">
            <w:pPr>
              <w:spacing w:before="120" w:line="276" w:lineRule="auto"/>
              <w:ind w:firstLine="708"/>
              <w:jc w:val="both"/>
              <w:rPr>
                <w:rFonts w:ascii="Verdana" w:eastAsia="Calibri" w:hAnsi="Verdana" w:cs="Arial"/>
                <w:lang w:val="es-ES" w:eastAsia="es-ES_tradnl"/>
              </w:rPr>
            </w:pPr>
            <w:r w:rsidRPr="00E55ABD">
              <w:rPr>
                <w:rFonts w:ascii="Verdana" w:eastAsia="Calibri" w:hAnsi="Verdana" w:cs="Arial"/>
                <w:lang w:val="es-ES" w:eastAsia="es-ES_tradnl"/>
              </w:rPr>
              <w:t xml:space="preserve">En el supuesto establecido en su consulta es necesario determinar si la modificación para incluir una parte supone una alteración tal de las condiciones inicialmente pactadas que cambie la esencia del convenio interadministrativo al punto de tornarlo en uno diferente. Una modificación de esa naturaleza podría suponer la desnaturalización del convenio inicialmente pactado, lo cual se hace aún más gravoso en el contexto de la Ley de Garantías Electorales. Si la modificación lo torna en un negocio jurídico distinto, la entidad estaría materialmente celebrando un convenio en contravía de las restricciones </w:t>
            </w:r>
            <w:r w:rsidRPr="00E55ABD">
              <w:rPr>
                <w:rFonts w:ascii="Verdana" w:eastAsia="Calibri" w:hAnsi="Verdana" w:cs="Arial"/>
                <w:lang w:val="es-ES" w:eastAsia="es-ES_tradnl"/>
              </w:rPr>
              <w:lastRenderedPageBreak/>
              <w:t>establecidas en el artículo 33 y el parágrafo del artículo 38 de la Ley de Garantías Electorales.</w:t>
            </w:r>
          </w:p>
          <w:p w14:paraId="32881580" w14:textId="77A46E67" w:rsidR="000D1CA8" w:rsidRPr="00E55ABD" w:rsidRDefault="000D1CA8" w:rsidP="00B24F77">
            <w:pPr>
              <w:spacing w:before="120" w:line="276" w:lineRule="auto"/>
              <w:ind w:firstLine="708"/>
              <w:jc w:val="both"/>
              <w:rPr>
                <w:rFonts w:ascii="Verdana" w:eastAsia="Arial MT" w:hAnsi="Verdana" w:cs="Arial"/>
                <w:i/>
                <w:iCs/>
                <w:lang w:val="es-ES" w:eastAsia="es-ES" w:bidi="es-ES"/>
              </w:rPr>
            </w:pPr>
            <w:r w:rsidRPr="00E55ABD">
              <w:rPr>
                <w:rFonts w:ascii="Verdana" w:eastAsia="Calibri" w:hAnsi="Verdana" w:cs="Arial"/>
                <w:lang w:val="es-ES" w:eastAsia="es-ES_tradnl"/>
              </w:rPr>
              <w:t xml:space="preserve"> De esta manera, sin perjuicio de la distinción del régimen aplicable a los convenios y contratos interadministrativos, las entidades deben considerar los límites y criterios en torno a la posibilidad de adelantar modificaciones que puedan desnaturalizar el negocio jurídico. En el caso objeto de consulta, es importante que la entidad tenga en cuenta que la inclusión de una parte a través de una modificación del convenio pu</w:t>
            </w:r>
            <w:r w:rsidR="00851EE8" w:rsidRPr="00E55ABD">
              <w:rPr>
                <w:rFonts w:ascii="Verdana" w:eastAsia="Calibri" w:hAnsi="Verdana" w:cs="Arial"/>
                <w:lang w:val="es-ES" w:eastAsia="es-ES_tradnl"/>
              </w:rPr>
              <w:t>e</w:t>
            </w:r>
            <w:r w:rsidRPr="00E55ABD">
              <w:rPr>
                <w:rFonts w:ascii="Verdana" w:eastAsia="Calibri" w:hAnsi="Verdana" w:cs="Arial"/>
                <w:lang w:val="es-ES" w:eastAsia="es-ES_tradnl"/>
              </w:rPr>
              <w:t xml:space="preserve">de implicar alteraciones importantes, como la inclusión de nuevas obligaciones, la modificación de las actividades, agregar recursos o aportes que modifiquen el presupuesto inicialmente contemplado, cambios relevantes en las condiciones de ejecución o incluso en el alcance mismo del objeto, entre otros aspectos que, considerados en su conjunto, pueden </w:t>
            </w:r>
            <w:r w:rsidRPr="00E55ABD">
              <w:rPr>
                <w:rFonts w:ascii="Verdana" w:eastAsia="Arial MT" w:hAnsi="Verdana" w:cs="Arial"/>
                <w:lang w:val="es-ES" w:eastAsia="es-ES" w:bidi="es-ES"/>
              </w:rPr>
              <w:t>suponer una alteración de su esencia y convertirlo en otro tipo de negocio jurídico.</w:t>
            </w:r>
            <w:r w:rsidRPr="00E55ABD">
              <w:rPr>
                <w:rFonts w:ascii="Verdana" w:eastAsia="Arial MT" w:hAnsi="Verdana" w:cs="Arial"/>
                <w:i/>
                <w:iCs/>
                <w:lang w:val="es-ES" w:eastAsia="es-ES" w:bidi="es-ES"/>
              </w:rPr>
              <w:t xml:space="preserve"> Si este es el caso, lo indicado no sería modificar el contrato sino la celebración de uno nuevo. </w:t>
            </w:r>
          </w:p>
          <w:p w14:paraId="29AD9183" w14:textId="5D374430" w:rsidR="000D1CA8" w:rsidRPr="00E55ABD" w:rsidRDefault="000D1CA8" w:rsidP="00B24F77">
            <w:pPr>
              <w:spacing w:before="120" w:line="276" w:lineRule="auto"/>
              <w:ind w:firstLine="708"/>
              <w:jc w:val="both"/>
              <w:rPr>
                <w:rFonts w:ascii="Verdana" w:eastAsia="Arial MT" w:hAnsi="Verdana" w:cs="Arial"/>
                <w:i/>
                <w:iCs/>
                <w:lang w:val="es-ES" w:eastAsia="es-ES" w:bidi="es-ES"/>
              </w:rPr>
            </w:pPr>
            <w:r w:rsidRPr="00E55ABD">
              <w:rPr>
                <w:rFonts w:ascii="Verdana" w:eastAsia="Calibri" w:hAnsi="Verdana" w:cs="Arial"/>
                <w:lang w:val="es-ES" w:eastAsia="es-ES_tradnl"/>
              </w:rPr>
              <w:t>En el contexto de la Ley de Garantías Electorales, realizar una modificación que suponga de manera material la celebración de un nuevo convenio puede convertirse en un mecanismo fraudulento para omitir las restricciones allí establecidas.</w:t>
            </w:r>
            <w:r w:rsidR="0020653D" w:rsidRPr="00E55ABD">
              <w:rPr>
                <w:rFonts w:ascii="Verdana" w:eastAsia="Calibri" w:hAnsi="Verdana" w:cs="Arial"/>
                <w:lang w:val="es-ES" w:eastAsia="es-ES_tradnl"/>
              </w:rPr>
              <w:t xml:space="preserve"> Cuando este sea el caso</w:t>
            </w:r>
            <w:r w:rsidR="00F13A7D" w:rsidRPr="00E55ABD">
              <w:rPr>
                <w:rFonts w:ascii="Verdana" w:eastAsia="Calibri" w:hAnsi="Verdana" w:cs="Arial"/>
                <w:lang w:val="es-ES" w:eastAsia="es-ES_tradnl"/>
              </w:rPr>
              <w:t xml:space="preserve">, </w:t>
            </w:r>
            <w:r w:rsidR="0072200B" w:rsidRPr="00E55ABD">
              <w:rPr>
                <w:rFonts w:ascii="Verdana" w:eastAsia="Calibri" w:hAnsi="Verdana" w:cs="Arial"/>
                <w:lang w:val="es-ES" w:eastAsia="es-ES_tradnl"/>
              </w:rPr>
              <w:t xml:space="preserve">las </w:t>
            </w:r>
            <w:r w:rsidR="00F13A7D" w:rsidRPr="00E55ABD">
              <w:rPr>
                <w:rFonts w:ascii="Verdana" w:eastAsia="Calibri" w:hAnsi="Verdana" w:cs="Arial"/>
                <w:lang w:val="es-ES" w:eastAsia="es-ES_tradnl"/>
              </w:rPr>
              <w:t>ent</w:t>
            </w:r>
            <w:r w:rsidR="0072200B" w:rsidRPr="00E55ABD">
              <w:rPr>
                <w:rFonts w:ascii="Verdana" w:eastAsia="Calibri" w:hAnsi="Verdana" w:cs="Arial"/>
                <w:lang w:val="es-ES" w:eastAsia="es-ES_tradnl"/>
              </w:rPr>
              <w:t>idades referidas en las prohibiciones de la Ley de Garantías tampoco podr</w:t>
            </w:r>
            <w:r w:rsidR="00F81B7E" w:rsidRPr="00E55ABD">
              <w:rPr>
                <w:rFonts w:ascii="Verdana" w:eastAsia="Calibri" w:hAnsi="Verdana" w:cs="Arial"/>
                <w:lang w:val="es-ES" w:eastAsia="es-ES_tradnl"/>
              </w:rPr>
              <w:t>ía</w:t>
            </w:r>
            <w:r w:rsidR="0072200B" w:rsidRPr="00E55ABD">
              <w:rPr>
                <w:rFonts w:ascii="Verdana" w:eastAsia="Calibri" w:hAnsi="Verdana" w:cs="Arial"/>
                <w:lang w:val="es-ES" w:eastAsia="es-ES_tradnl"/>
              </w:rPr>
              <w:t>n integrarse como parte a</w:t>
            </w:r>
            <w:r w:rsidR="0020653D" w:rsidRPr="00E55ABD">
              <w:rPr>
                <w:rFonts w:ascii="Verdana" w:eastAsia="Calibri" w:hAnsi="Verdana" w:cs="Arial"/>
                <w:lang w:val="es-ES" w:eastAsia="es-ES_tradnl"/>
              </w:rPr>
              <w:t xml:space="preserve"> los</w:t>
            </w:r>
            <w:r w:rsidR="00F81B7E" w:rsidRPr="00E55ABD">
              <w:rPr>
                <w:rFonts w:ascii="Verdana" w:eastAsia="Calibri" w:hAnsi="Verdana" w:cs="Arial"/>
                <w:lang w:val="es-ES" w:eastAsia="es-ES_tradnl"/>
              </w:rPr>
              <w:t xml:space="preserve"> </w:t>
            </w:r>
            <w:r w:rsidR="0072200B" w:rsidRPr="00E55ABD">
              <w:rPr>
                <w:rFonts w:ascii="Verdana" w:eastAsia="Calibri" w:hAnsi="Verdana" w:cs="Arial"/>
                <w:lang w:val="es-ES" w:eastAsia="es-ES_tradnl"/>
              </w:rPr>
              <w:t>convenios que se encuentren en ejecución</w:t>
            </w:r>
            <w:r w:rsidR="00F81B7E" w:rsidRPr="00E55ABD">
              <w:rPr>
                <w:rFonts w:ascii="Verdana" w:eastAsia="Calibri" w:hAnsi="Verdana" w:cs="Arial"/>
                <w:lang w:val="es-ES" w:eastAsia="es-ES_tradnl"/>
              </w:rPr>
              <w:t xml:space="preserve">, pues su incorporación </w:t>
            </w:r>
            <w:r w:rsidR="00E94732" w:rsidRPr="00E55ABD">
              <w:rPr>
                <w:rFonts w:ascii="Verdana" w:eastAsia="Calibri" w:hAnsi="Verdana" w:cs="Arial"/>
                <w:lang w:val="es-ES" w:eastAsia="es-ES_tradnl"/>
              </w:rPr>
              <w:t xml:space="preserve">también </w:t>
            </w:r>
            <w:r w:rsidR="00F81B7E" w:rsidRPr="00E55ABD">
              <w:rPr>
                <w:rFonts w:ascii="Verdana" w:eastAsia="Calibri" w:hAnsi="Verdana" w:cs="Arial"/>
                <w:lang w:val="es-ES" w:eastAsia="es-ES_tradnl"/>
              </w:rPr>
              <w:t xml:space="preserve">supondría </w:t>
            </w:r>
            <w:r w:rsidR="009268D0" w:rsidRPr="00E55ABD">
              <w:rPr>
                <w:rFonts w:ascii="Verdana" w:eastAsia="Calibri" w:hAnsi="Verdana" w:cs="Arial"/>
                <w:lang w:val="es-ES" w:eastAsia="es-ES_tradnl"/>
              </w:rPr>
              <w:t xml:space="preserve">la celebración </w:t>
            </w:r>
            <w:r w:rsidR="00E94732" w:rsidRPr="00E55ABD">
              <w:rPr>
                <w:rFonts w:ascii="Verdana" w:eastAsia="Calibri" w:hAnsi="Verdana" w:cs="Arial"/>
                <w:lang w:val="es-ES" w:eastAsia="es-ES_tradnl"/>
              </w:rPr>
              <w:t>materia</w:t>
            </w:r>
            <w:r w:rsidR="00DF501C" w:rsidRPr="00E55ABD">
              <w:rPr>
                <w:rFonts w:ascii="Verdana" w:eastAsia="Calibri" w:hAnsi="Verdana" w:cs="Arial"/>
                <w:lang w:val="es-ES" w:eastAsia="es-ES_tradnl"/>
              </w:rPr>
              <w:t>l</w:t>
            </w:r>
            <w:r w:rsidR="00E94732" w:rsidRPr="00E55ABD">
              <w:rPr>
                <w:rFonts w:ascii="Verdana" w:eastAsia="Calibri" w:hAnsi="Verdana" w:cs="Arial"/>
                <w:lang w:val="es-ES" w:eastAsia="es-ES_tradnl"/>
              </w:rPr>
              <w:t xml:space="preserve"> </w:t>
            </w:r>
            <w:r w:rsidR="009268D0" w:rsidRPr="00E55ABD">
              <w:rPr>
                <w:rFonts w:ascii="Verdana" w:eastAsia="Calibri" w:hAnsi="Verdana" w:cs="Arial"/>
                <w:lang w:val="es-ES" w:eastAsia="es-ES_tradnl"/>
              </w:rPr>
              <w:t xml:space="preserve">de un nuevo negocio jurídico durante el periodo de la restricción para </w:t>
            </w:r>
            <w:r w:rsidR="0020653D" w:rsidRPr="00E55ABD">
              <w:rPr>
                <w:rFonts w:ascii="Verdana" w:eastAsia="Calibri" w:hAnsi="Verdana" w:cs="Arial"/>
                <w:lang w:val="es-ES" w:eastAsia="es-ES_tradnl"/>
              </w:rPr>
              <w:t>contratar</w:t>
            </w:r>
            <w:r w:rsidR="009268D0" w:rsidRPr="00E55ABD">
              <w:rPr>
                <w:rFonts w:ascii="Verdana" w:eastAsia="Calibri" w:hAnsi="Verdana" w:cs="Arial"/>
                <w:lang w:val="es-ES" w:eastAsia="es-ES_tradnl"/>
              </w:rPr>
              <w:t xml:space="preserve"> directamente</w:t>
            </w:r>
            <w:r w:rsidR="00DF501C" w:rsidRPr="00E55ABD">
              <w:rPr>
                <w:rFonts w:ascii="Verdana" w:eastAsia="Calibri" w:hAnsi="Verdana" w:cs="Arial"/>
                <w:lang w:val="es-ES" w:eastAsia="es-ES_tradnl"/>
              </w:rPr>
              <w:t xml:space="preserve"> (artículo 33)</w:t>
            </w:r>
            <w:r w:rsidR="009268D0" w:rsidRPr="00E55ABD">
              <w:rPr>
                <w:rFonts w:ascii="Verdana" w:eastAsia="Calibri" w:hAnsi="Verdana" w:cs="Arial"/>
                <w:lang w:val="es-ES" w:eastAsia="es-ES_tradnl"/>
              </w:rPr>
              <w:t xml:space="preserve"> o para celebrar convenios interadministrativos</w:t>
            </w:r>
            <w:r w:rsidR="00DF501C" w:rsidRPr="00E55ABD">
              <w:rPr>
                <w:rFonts w:ascii="Verdana" w:eastAsia="Calibri" w:hAnsi="Verdana" w:cs="Arial"/>
                <w:lang w:val="es-ES" w:eastAsia="es-ES_tradnl"/>
              </w:rPr>
              <w:t xml:space="preserve"> (parágrafo del artículo 38)</w:t>
            </w:r>
            <w:r w:rsidR="009268D0" w:rsidRPr="00E55ABD">
              <w:rPr>
                <w:rFonts w:ascii="Verdana" w:eastAsia="Calibri" w:hAnsi="Verdana" w:cs="Arial"/>
                <w:lang w:val="es-ES" w:eastAsia="es-ES_tradnl"/>
              </w:rPr>
              <w:t xml:space="preserve">. </w:t>
            </w:r>
            <w:r w:rsidRPr="00E55ABD">
              <w:rPr>
                <w:rFonts w:ascii="Verdana" w:eastAsia="Calibri" w:hAnsi="Verdana" w:cs="Arial"/>
                <w:lang w:val="es-ES" w:eastAsia="es-ES_tradnl"/>
              </w:rPr>
              <w:t>Por lo anterior, corresponde a cada entidad determinar en cada caso el alcance de las modificaciones, de modo que no contraríen las prohibiciones establecidas en la Ley 996 de 2005.</w:t>
            </w:r>
          </w:p>
        </w:tc>
      </w:tr>
    </w:tbl>
    <w:p w14:paraId="54A533F3" w14:textId="77777777" w:rsidR="000D1CA8" w:rsidRPr="00E55ABD" w:rsidRDefault="000D1CA8" w:rsidP="000D1CA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0C6E1D2" w14:textId="77777777" w:rsidR="000D1CA8" w:rsidRPr="00E55ABD" w:rsidRDefault="000D1CA8" w:rsidP="000D1CA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E55ABD">
        <w:rPr>
          <w:rFonts w:ascii="Verdana" w:eastAsia="Century Gothic" w:hAnsi="Verdana" w:cs="Century Gothic"/>
          <w:b/>
          <w:bCs/>
          <w:color w:val="000000" w:themeColor="text1"/>
        </w:rPr>
        <w:t>Razones de la respuesta:</w:t>
      </w:r>
    </w:p>
    <w:p w14:paraId="48D21F63" w14:textId="77777777" w:rsidR="000D1CA8" w:rsidRPr="00E55ABD" w:rsidRDefault="000D1CA8" w:rsidP="000D1CA8">
      <w:pPr>
        <w:spacing w:after="0" w:line="276" w:lineRule="auto"/>
        <w:jc w:val="both"/>
        <w:rPr>
          <w:rFonts w:ascii="Verdana" w:eastAsia="Calibri" w:hAnsi="Verdana" w:cs="Arial"/>
          <w:color w:val="000000" w:themeColor="text1"/>
          <w:lang w:val="es-ES"/>
        </w:rPr>
      </w:pPr>
    </w:p>
    <w:p w14:paraId="400AFA99" w14:textId="77777777" w:rsidR="000D1CA8" w:rsidRPr="00E55ABD" w:rsidRDefault="000D1CA8" w:rsidP="000D1CA8">
      <w:pPr>
        <w:spacing w:after="0" w:line="276" w:lineRule="auto"/>
        <w:jc w:val="both"/>
        <w:rPr>
          <w:rFonts w:ascii="Verdana" w:eastAsia="Calibri" w:hAnsi="Verdana" w:cs="Arial"/>
          <w:color w:val="000000" w:themeColor="text1"/>
          <w:lang w:val="es-ES"/>
        </w:rPr>
      </w:pPr>
      <w:r w:rsidRPr="00E55ABD">
        <w:rPr>
          <w:rFonts w:ascii="Verdana" w:eastAsia="Calibri" w:hAnsi="Verdana" w:cs="Arial"/>
          <w:color w:val="000000" w:themeColor="text1"/>
          <w:lang w:val="es-ES"/>
        </w:rPr>
        <w:t xml:space="preserve">Lo anterior se sustenta en las siguientes consideraciones: </w:t>
      </w:r>
    </w:p>
    <w:p w14:paraId="003C8D10" w14:textId="77777777" w:rsidR="000D1CA8" w:rsidRPr="00E55ABD" w:rsidRDefault="000D1CA8" w:rsidP="000D1CA8">
      <w:pPr>
        <w:spacing w:after="0" w:line="276" w:lineRule="auto"/>
        <w:jc w:val="both"/>
        <w:rPr>
          <w:rFonts w:ascii="Verdana" w:eastAsia="Calibri" w:hAnsi="Verdana" w:cs="Arial"/>
          <w:color w:val="000000" w:themeColor="text1"/>
          <w:lang w:val="es-ES"/>
        </w:rPr>
      </w:pPr>
    </w:p>
    <w:p w14:paraId="2DFC4B3F" w14:textId="77777777" w:rsidR="000D1CA8" w:rsidRPr="00E55ABD" w:rsidRDefault="000D1CA8" w:rsidP="000D1CA8">
      <w:pPr>
        <w:tabs>
          <w:tab w:val="left" w:pos="7851"/>
        </w:tabs>
        <w:spacing w:after="120" w:line="276" w:lineRule="auto"/>
        <w:jc w:val="both"/>
        <w:rPr>
          <w:rFonts w:ascii="Arial" w:hAnsi="Arial" w:cs="Arial"/>
          <w:b/>
          <w:lang w:val="es-ES"/>
        </w:rPr>
      </w:pPr>
      <w:r w:rsidRPr="00E55ABD">
        <w:rPr>
          <w:rFonts w:ascii="Verdana" w:eastAsia="Times New Roman" w:hAnsi="Verdana" w:cs="Arial"/>
          <w:lang w:val="es-ES" w:eastAsia="es-CO"/>
        </w:rPr>
        <w:t>i)</w:t>
      </w:r>
      <w:bookmarkStart w:id="2" w:name="_Hlk199343457"/>
      <w:r w:rsidRPr="00E55ABD">
        <w:rPr>
          <w:rFonts w:ascii="Verdana" w:eastAsia="Times New Roman" w:hAnsi="Verdana" w:cs="Arial"/>
          <w:lang w:val="es-ES" w:eastAsia="es-CO"/>
        </w:rPr>
        <w:t xml:space="preserve"> </w:t>
      </w:r>
      <w:r w:rsidRPr="00E55ABD">
        <w:rPr>
          <w:rFonts w:ascii="Verdana" w:eastAsiaTheme="minorEastAsia" w:hAnsi="Verdana" w:cs="Arial"/>
          <w:lang w:val="es-ES" w:eastAsia="es-CO"/>
        </w:rPr>
        <w:t xml:space="preserve">La tipología del contrato interadministrativo fue creada en la Ley 80 de 1993, y el Decreto 1082 de 2015 la califica como aquella contratación entre Entidades </w:t>
      </w:r>
      <w:r w:rsidRPr="00E55ABD">
        <w:rPr>
          <w:rFonts w:ascii="Verdana" w:eastAsiaTheme="minorEastAsia" w:hAnsi="Verdana" w:cs="Arial"/>
          <w:lang w:val="es-ES" w:eastAsia="es-CO"/>
        </w:rPr>
        <w:lastRenderedPageBreak/>
        <w:t>Estatales</w:t>
      </w:r>
      <w:r w:rsidRPr="00E55ABD">
        <w:rPr>
          <w:rFonts w:ascii="Verdana" w:hAnsi="Verdana"/>
          <w:vertAlign w:val="superscript"/>
          <w:lang w:val="es-ES" w:eastAsia="es-CO"/>
        </w:rPr>
        <w:footnoteReference w:id="2"/>
      </w:r>
      <w:r w:rsidRPr="00E55ABD">
        <w:rPr>
          <w:rFonts w:ascii="Verdana" w:eastAsiaTheme="minorEastAsia" w:hAnsi="Verdana" w:cs="Arial"/>
          <w:lang w:val="es-ES"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E55ABD">
        <w:rPr>
          <w:rFonts w:ascii="Verdana" w:eastAsiaTheme="minorEastAsia" w:hAnsi="Verdana" w:cs="Arial"/>
          <w:spacing w:val="-6"/>
          <w:lang w:val="es-ES" w:eastAsia="es-CO"/>
        </w:rPr>
        <w:t xml:space="preserve"> </w:t>
      </w:r>
      <w:r w:rsidRPr="00E55ABD">
        <w:rPr>
          <w:rFonts w:ascii="Verdana" w:eastAsiaTheme="minorEastAsia" w:hAnsi="Verdana" w:cs="Arial"/>
          <w:lang w:val="es-ES" w:eastAsia="es-CO"/>
        </w:rPr>
        <w:t>Estatales.</w:t>
      </w:r>
    </w:p>
    <w:p w14:paraId="42DF7EB7" w14:textId="77777777" w:rsidR="000D1CA8" w:rsidRPr="00E55ABD" w:rsidRDefault="000D1CA8" w:rsidP="000D1CA8">
      <w:pPr>
        <w:spacing w:after="120" w:line="276" w:lineRule="auto"/>
        <w:ind w:firstLine="707"/>
        <w:jc w:val="both"/>
        <w:rPr>
          <w:rFonts w:ascii="Verdana" w:eastAsiaTheme="minorEastAsia" w:hAnsi="Verdana" w:cs="Arial"/>
          <w:lang w:val="es-ES" w:eastAsia="es-CO"/>
        </w:rPr>
      </w:pPr>
      <w:r w:rsidRPr="00E55ABD">
        <w:rPr>
          <w:rFonts w:ascii="Verdana" w:eastAsiaTheme="minorEastAsia" w:hAnsi="Verdana" w:cs="Arial"/>
          <w:lang w:val="es-ES"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130CF7A4" w14:textId="77777777" w:rsidR="000D1CA8" w:rsidRPr="00E55ABD" w:rsidRDefault="000D1CA8" w:rsidP="000D1CA8">
      <w:pPr>
        <w:spacing w:after="120" w:line="276" w:lineRule="auto"/>
        <w:ind w:firstLine="707"/>
        <w:jc w:val="both"/>
        <w:rPr>
          <w:rFonts w:ascii="Verdana" w:eastAsiaTheme="minorEastAsia" w:hAnsi="Verdana" w:cs="Arial"/>
          <w:lang w:val="es-ES" w:eastAsia="es-CO"/>
        </w:rPr>
      </w:pPr>
      <w:r w:rsidRPr="00E55ABD">
        <w:rPr>
          <w:rFonts w:ascii="Verdana" w:eastAsiaTheme="minorEastAsia" w:hAnsi="Verdana" w:cs="Arial"/>
          <w:lang w:val="es-ES"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E55ABD">
        <w:rPr>
          <w:rFonts w:ascii="Verdana" w:eastAsiaTheme="minorEastAsia" w:hAnsi="Verdana" w:cs="Arial"/>
          <w:vertAlign w:val="superscript"/>
          <w:lang w:val="es-ES" w:eastAsia="es-CO"/>
        </w:rPr>
        <w:footnoteReference w:id="3"/>
      </w:r>
      <w:r w:rsidRPr="00E55ABD">
        <w:rPr>
          <w:rFonts w:ascii="Verdana" w:eastAsiaTheme="minorEastAsia" w:hAnsi="Verdana" w:cs="Arial"/>
          <w:lang w:val="es-ES" w:eastAsia="es-CO"/>
        </w:rPr>
        <w:t>. Nótese que, en este caso, lo que cambia es la modalidad de selección y no la naturaleza de contrato</w:t>
      </w:r>
      <w:r w:rsidRPr="00E55ABD">
        <w:rPr>
          <w:rFonts w:ascii="Verdana" w:eastAsiaTheme="minorEastAsia" w:hAnsi="Verdana" w:cs="Arial"/>
          <w:spacing w:val="-18"/>
          <w:lang w:val="es-ES" w:eastAsia="es-CO"/>
        </w:rPr>
        <w:t xml:space="preserve"> </w:t>
      </w:r>
      <w:r w:rsidRPr="00E55ABD">
        <w:rPr>
          <w:rFonts w:ascii="Verdana" w:eastAsiaTheme="minorEastAsia" w:hAnsi="Verdana" w:cs="Arial"/>
          <w:lang w:val="es-ES" w:eastAsia="es-CO"/>
        </w:rPr>
        <w:t>interadministrativo.</w:t>
      </w:r>
    </w:p>
    <w:p w14:paraId="73851B27" w14:textId="77777777" w:rsidR="000D1CA8" w:rsidRPr="00E55ABD" w:rsidRDefault="000D1CA8" w:rsidP="000D1CA8">
      <w:pPr>
        <w:spacing w:after="120" w:line="276" w:lineRule="auto"/>
        <w:ind w:firstLine="709"/>
        <w:jc w:val="both"/>
        <w:rPr>
          <w:rFonts w:ascii="Verdana" w:eastAsiaTheme="minorEastAsia" w:hAnsi="Verdana" w:cs="Arial"/>
          <w:lang w:val="es-ES" w:eastAsia="es-CO"/>
        </w:rPr>
      </w:pPr>
      <w:r w:rsidRPr="00E55ABD">
        <w:rPr>
          <w:rFonts w:ascii="Verdana" w:eastAsiaTheme="minorEastAsia" w:hAnsi="Verdana" w:cs="Arial"/>
          <w:lang w:val="es-ES" w:eastAsia="es-CO"/>
        </w:rPr>
        <w:t xml:space="preserve">La Corte Constitucional, en Sentencia C-671 de 2005, expresó que “Lo que hace interadministrativo a un contrato o convenio no es el procedimiento de selección aplicable, sino la calidad de los sujetos contratantes, esto es que las </w:t>
      </w:r>
      <w:r w:rsidRPr="00E55ABD">
        <w:rPr>
          <w:rFonts w:ascii="Verdana" w:eastAsiaTheme="minorEastAsia" w:hAnsi="Verdana" w:cs="Arial"/>
          <w:lang w:val="es-ES" w:eastAsia="es-CO"/>
        </w:rPr>
        <w:lastRenderedPageBreak/>
        <w:t>dos partes de la relación jurídica contractual formen parte de la administración pública”</w:t>
      </w:r>
      <w:r w:rsidRPr="00E55ABD">
        <w:rPr>
          <w:rFonts w:ascii="Verdana" w:eastAsiaTheme="minorEastAsia" w:hAnsi="Verdana" w:cs="Arial"/>
          <w:vertAlign w:val="superscript"/>
          <w:lang w:val="es-ES" w:eastAsia="es-CO"/>
        </w:rPr>
        <w:footnoteReference w:id="4"/>
      </w:r>
      <w:r w:rsidRPr="00E55ABD">
        <w:rPr>
          <w:rFonts w:ascii="Verdana" w:eastAsiaTheme="minorEastAsia" w:hAnsi="Verdana" w:cs="Arial"/>
          <w:lang w:val="es-ES"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546F996F" w14:textId="77777777" w:rsidR="000D1CA8" w:rsidRPr="00E55ABD" w:rsidRDefault="000D1CA8" w:rsidP="000D1CA8">
      <w:pPr>
        <w:spacing w:after="0" w:line="276" w:lineRule="auto"/>
        <w:ind w:firstLine="709"/>
        <w:jc w:val="both"/>
        <w:rPr>
          <w:rFonts w:ascii="Verdana" w:eastAsiaTheme="minorEastAsia" w:hAnsi="Verdana" w:cs="Arial"/>
          <w:lang w:val="es-ES" w:eastAsia="es-CO"/>
        </w:rPr>
      </w:pPr>
      <w:r w:rsidRPr="00E55ABD">
        <w:rPr>
          <w:rFonts w:ascii="Verdana" w:eastAsiaTheme="minorEastAsia" w:hAnsi="Verdana" w:cs="Arial"/>
          <w:lang w:val="es-ES" w:eastAsia="es-CO"/>
        </w:rPr>
        <w:t xml:space="preserve">Es decir, lo que hace que un contrato o convenio sea interadministrativo es la naturaleza de las partes, independiente del régimen jurídico aplicable. Sin embargo, los últimos pronunciamientos jurisprudenciales diferencian los conceptos “contrato interadministrativo” y “convenio interadministrativo” como instituciones jurídicas independientes con producción de efectos jurídicos distintos. Al respecto, el Consejo de Estado distingue las dos instituciones, de la siguiente forma: </w:t>
      </w:r>
    </w:p>
    <w:p w14:paraId="585E1150" w14:textId="77777777" w:rsidR="000D1CA8" w:rsidRPr="00E55ABD" w:rsidRDefault="000D1CA8" w:rsidP="000D1CA8">
      <w:pPr>
        <w:spacing w:after="0" w:line="276" w:lineRule="auto"/>
        <w:jc w:val="both"/>
        <w:rPr>
          <w:rFonts w:ascii="Verdana" w:eastAsia="Times New Roman" w:hAnsi="Verdana" w:cs="Arial"/>
          <w:color w:val="1A1A1A" w:themeColor="background1" w:themeShade="1A"/>
          <w:lang w:val="es-ES" w:eastAsia="es-ES_tradnl"/>
        </w:rPr>
      </w:pPr>
    </w:p>
    <w:p w14:paraId="2BCB09AC" w14:textId="77777777" w:rsidR="000D1CA8" w:rsidRPr="00E55ABD" w:rsidRDefault="000D1CA8" w:rsidP="000D1CA8">
      <w:pPr>
        <w:spacing w:after="0" w:line="240" w:lineRule="auto"/>
        <w:ind w:left="709" w:right="709"/>
        <w:jc w:val="both"/>
        <w:rPr>
          <w:rFonts w:ascii="Verdana" w:eastAsiaTheme="minorEastAsia" w:hAnsi="Verdana" w:cs="Arial"/>
          <w:sz w:val="20"/>
          <w:szCs w:val="20"/>
          <w:lang w:val="es-ES" w:eastAsia="es-CO"/>
        </w:rPr>
      </w:pPr>
      <w:r w:rsidRPr="00E55ABD">
        <w:rPr>
          <w:rFonts w:ascii="Verdana" w:eastAsiaTheme="minorEastAsia" w:hAnsi="Verdana" w:cs="Arial"/>
          <w:sz w:val="20"/>
          <w:szCs w:val="20"/>
          <w:lang w:val="es-ES"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273EDCA2" w14:textId="77777777" w:rsidR="000D1CA8" w:rsidRPr="00E55ABD" w:rsidRDefault="000D1CA8" w:rsidP="000D1CA8">
      <w:pPr>
        <w:spacing w:after="0" w:line="240" w:lineRule="auto"/>
        <w:ind w:left="709" w:right="709"/>
        <w:contextualSpacing/>
        <w:jc w:val="both"/>
        <w:rPr>
          <w:rFonts w:ascii="Verdana" w:eastAsiaTheme="minorEastAsia" w:hAnsi="Verdana" w:cs="Arial"/>
          <w:sz w:val="20"/>
          <w:szCs w:val="20"/>
          <w:lang w:val="es-ES" w:eastAsia="es-CO"/>
        </w:rPr>
      </w:pPr>
      <w:r w:rsidRPr="00E55ABD">
        <w:rPr>
          <w:rFonts w:ascii="Verdana" w:eastAsiaTheme="minorEastAsia" w:hAnsi="Verdana" w:cs="Arial"/>
          <w:sz w:val="20"/>
          <w:szCs w:val="20"/>
          <w:lang w:val="es-ES" w:eastAsia="es-CO"/>
        </w:rPr>
        <w:t>a. El objeto de los contratos lo constituyen obligaciones de contenido patrimonial y, por 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31A301D4" w14:textId="77777777" w:rsidR="000D1CA8" w:rsidRPr="00E55ABD" w:rsidRDefault="000D1CA8" w:rsidP="000D1CA8">
      <w:pPr>
        <w:spacing w:after="0" w:line="240" w:lineRule="auto"/>
        <w:ind w:left="709" w:right="709"/>
        <w:contextualSpacing/>
        <w:jc w:val="both"/>
        <w:rPr>
          <w:rFonts w:ascii="Verdana" w:eastAsiaTheme="minorEastAsia" w:hAnsi="Verdana" w:cs="Arial"/>
          <w:sz w:val="20"/>
          <w:szCs w:val="20"/>
          <w:lang w:val="es-ES" w:eastAsia="es-CO"/>
        </w:rPr>
      </w:pPr>
      <w:r w:rsidRPr="00E55ABD">
        <w:rPr>
          <w:rFonts w:ascii="Verdana" w:eastAsiaTheme="minorEastAsia" w:hAnsi="Verdana" w:cs="Arial"/>
          <w:sz w:val="20"/>
          <w:szCs w:val="20"/>
          <w:lang w:val="es-ES" w:eastAsia="es-CO"/>
        </w:rPr>
        <w:t>b. 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5589E6B9" w14:textId="77777777" w:rsidR="000D1CA8" w:rsidRPr="00E55ABD" w:rsidRDefault="000D1CA8" w:rsidP="000D1CA8">
      <w:pPr>
        <w:spacing w:after="0" w:line="240" w:lineRule="auto"/>
        <w:ind w:left="709" w:right="709"/>
        <w:contextualSpacing/>
        <w:jc w:val="both"/>
        <w:rPr>
          <w:rFonts w:ascii="Verdana" w:eastAsiaTheme="minorEastAsia" w:hAnsi="Verdana" w:cs="Arial"/>
          <w:sz w:val="20"/>
          <w:szCs w:val="20"/>
          <w:lang w:val="es-ES" w:eastAsia="es-CO"/>
        </w:rPr>
      </w:pPr>
      <w:r w:rsidRPr="00E55ABD">
        <w:rPr>
          <w:rFonts w:ascii="Verdana" w:eastAsiaTheme="minorEastAsia" w:hAnsi="Verdana" w:cs="Arial"/>
          <w:sz w:val="20"/>
          <w:szCs w:val="20"/>
          <w:lang w:val="es-ES" w:eastAsia="es-CO"/>
        </w:rPr>
        <w:t xml:space="preserve">c. 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w:t>
      </w:r>
      <w:r w:rsidRPr="00E55ABD">
        <w:rPr>
          <w:rFonts w:ascii="Verdana" w:eastAsiaTheme="minorEastAsia" w:hAnsi="Verdana" w:cs="Arial"/>
          <w:sz w:val="20"/>
          <w:szCs w:val="20"/>
          <w:lang w:val="es-ES" w:eastAsia="es-CO"/>
        </w:rPr>
        <w:lastRenderedPageBreak/>
        <w:t>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E55ABD">
        <w:rPr>
          <w:rFonts w:ascii="Verdana" w:eastAsiaTheme="minorEastAsia" w:hAnsi="Verdana" w:cs="Arial"/>
          <w:sz w:val="20"/>
          <w:szCs w:val="20"/>
          <w:vertAlign w:val="superscript"/>
          <w:lang w:val="es-ES" w:eastAsia="es-CO"/>
        </w:rPr>
        <w:footnoteReference w:id="5"/>
      </w:r>
      <w:r w:rsidRPr="00E55ABD">
        <w:rPr>
          <w:rFonts w:ascii="Verdana" w:eastAsiaTheme="minorEastAsia" w:hAnsi="Verdana" w:cs="Arial"/>
          <w:sz w:val="20"/>
          <w:szCs w:val="20"/>
          <w:lang w:val="es-ES" w:eastAsia="es-CO"/>
        </w:rPr>
        <w:t>.</w:t>
      </w:r>
    </w:p>
    <w:p w14:paraId="266536B4" w14:textId="77777777" w:rsidR="000D1CA8" w:rsidRPr="00E55ABD" w:rsidRDefault="000D1CA8" w:rsidP="000D1CA8">
      <w:pPr>
        <w:spacing w:after="0" w:line="240" w:lineRule="auto"/>
        <w:ind w:left="709" w:right="709"/>
        <w:contextualSpacing/>
        <w:jc w:val="both"/>
        <w:rPr>
          <w:rFonts w:ascii="Verdana" w:eastAsiaTheme="minorEastAsia" w:hAnsi="Verdana" w:cs="Arial"/>
          <w:sz w:val="20"/>
          <w:szCs w:val="20"/>
          <w:lang w:val="es-ES" w:eastAsia="es-CO"/>
        </w:rPr>
      </w:pPr>
    </w:p>
    <w:p w14:paraId="13F055A9" w14:textId="77777777" w:rsidR="000D1CA8" w:rsidRPr="00E55ABD" w:rsidRDefault="000D1CA8" w:rsidP="000D1CA8">
      <w:pPr>
        <w:spacing w:after="0" w:line="276" w:lineRule="auto"/>
        <w:ind w:firstLine="709"/>
        <w:jc w:val="both"/>
        <w:rPr>
          <w:rFonts w:ascii="Verdana" w:eastAsiaTheme="minorEastAsia" w:hAnsi="Verdana" w:cs="Arial"/>
          <w:lang w:val="es-ES" w:eastAsia="es-CO"/>
        </w:rPr>
      </w:pPr>
      <w:r w:rsidRPr="00E55ABD">
        <w:rPr>
          <w:rFonts w:ascii="Verdana" w:eastAsiaTheme="minorEastAsia" w:hAnsi="Verdana" w:cs="Arial"/>
          <w:lang w:val="es-ES" w:eastAsia="es-CO"/>
        </w:rPr>
        <w:t xml:space="preserve">Bajo esta postura del Consejo de Estado, el convenio interadministrativo es el negocio jurídico en el cual convergen dos o más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0612E5B4" w14:textId="77777777" w:rsidR="000D1CA8" w:rsidRPr="00E55ABD" w:rsidRDefault="000D1CA8" w:rsidP="000D1CA8">
      <w:pPr>
        <w:spacing w:after="0" w:line="276" w:lineRule="auto"/>
        <w:ind w:firstLine="709"/>
        <w:jc w:val="both"/>
        <w:rPr>
          <w:rFonts w:ascii="Verdana" w:eastAsiaTheme="minorEastAsia" w:hAnsi="Verdana" w:cs="Arial"/>
          <w:lang w:val="es-ES" w:eastAsia="es-CO"/>
        </w:rPr>
      </w:pPr>
    </w:p>
    <w:p w14:paraId="1E02CB70" w14:textId="77777777" w:rsidR="000D1CA8" w:rsidRPr="00E55ABD" w:rsidRDefault="000D1CA8" w:rsidP="000D1CA8">
      <w:pPr>
        <w:spacing w:after="0" w:line="240" w:lineRule="auto"/>
        <w:ind w:left="709" w:right="709"/>
        <w:jc w:val="both"/>
        <w:rPr>
          <w:rFonts w:ascii="Verdana" w:eastAsiaTheme="minorEastAsia" w:hAnsi="Verdana" w:cs="Arial"/>
          <w:sz w:val="20"/>
          <w:szCs w:val="20"/>
          <w:lang w:val="es-ES" w:eastAsia="es-CO"/>
        </w:rPr>
      </w:pPr>
      <w:r w:rsidRPr="00E55ABD">
        <w:rPr>
          <w:rFonts w:ascii="Verdana" w:eastAsiaTheme="minorEastAsia" w:hAnsi="Verdana" w:cs="Arial"/>
          <w:sz w:val="20"/>
          <w:szCs w:val="20"/>
          <w:lang w:val="es-ES"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6C433F22" w14:textId="77777777" w:rsidR="000D1CA8" w:rsidRPr="00E55ABD" w:rsidRDefault="000D1CA8" w:rsidP="000D1CA8">
      <w:pPr>
        <w:spacing w:after="0" w:line="240" w:lineRule="auto"/>
        <w:ind w:left="709" w:right="709"/>
        <w:jc w:val="both"/>
        <w:rPr>
          <w:rFonts w:ascii="Verdana" w:eastAsiaTheme="minorEastAsia" w:hAnsi="Verdana" w:cs="Arial"/>
          <w:sz w:val="20"/>
          <w:szCs w:val="20"/>
          <w:lang w:val="es-ES" w:eastAsia="es-CO"/>
        </w:rPr>
      </w:pPr>
      <w:r w:rsidRPr="00E55ABD">
        <w:rPr>
          <w:rFonts w:ascii="Verdana" w:eastAsiaTheme="minorEastAsia" w:hAnsi="Verdana" w:cs="Arial"/>
          <w:sz w:val="20"/>
          <w:szCs w:val="20"/>
          <w:lang w:val="es-ES" w:eastAsia="es-CO"/>
        </w:rPr>
        <w:t>[…]</w:t>
      </w:r>
    </w:p>
    <w:p w14:paraId="6AD9E513" w14:textId="77777777" w:rsidR="000D1CA8" w:rsidRPr="00E55ABD" w:rsidRDefault="000D1CA8" w:rsidP="000D1CA8">
      <w:pPr>
        <w:autoSpaceDE w:val="0"/>
        <w:autoSpaceDN w:val="0"/>
        <w:adjustRightInd w:val="0"/>
        <w:spacing w:after="0" w:line="240" w:lineRule="auto"/>
        <w:ind w:left="709" w:right="709"/>
        <w:jc w:val="both"/>
        <w:rPr>
          <w:rFonts w:ascii="Verdana" w:hAnsi="Verdana" w:cs="Weiss"/>
          <w:sz w:val="20"/>
          <w:szCs w:val="19"/>
          <w:lang w:val="es-ES"/>
        </w:rPr>
      </w:pPr>
      <w:r w:rsidRPr="00E55ABD">
        <w:rPr>
          <w:rFonts w:ascii="Verdana" w:hAnsi="Verdana" w:cs="Weiss"/>
          <w:sz w:val="20"/>
          <w:szCs w:val="19"/>
          <w:lang w:val="es-ES"/>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E55ABD">
        <w:rPr>
          <w:rFonts w:ascii="Verdana" w:hAnsi="Verdana" w:cs="Weiss"/>
          <w:sz w:val="20"/>
          <w:szCs w:val="19"/>
          <w:vertAlign w:val="superscript"/>
          <w:lang w:val="es-ES"/>
        </w:rPr>
        <w:footnoteReference w:id="6"/>
      </w:r>
      <w:r w:rsidRPr="00E55ABD">
        <w:rPr>
          <w:rFonts w:ascii="Verdana" w:hAnsi="Verdana" w:cs="Weiss"/>
          <w:sz w:val="20"/>
          <w:szCs w:val="19"/>
          <w:lang w:val="es-ES"/>
        </w:rPr>
        <w:t>.</w:t>
      </w:r>
    </w:p>
    <w:p w14:paraId="4435EF21" w14:textId="77777777" w:rsidR="000D1CA8" w:rsidRPr="00E55ABD" w:rsidRDefault="000D1CA8" w:rsidP="00A370E3">
      <w:pPr>
        <w:spacing w:after="0" w:line="276" w:lineRule="auto"/>
        <w:jc w:val="both"/>
        <w:rPr>
          <w:rFonts w:ascii="Verdana" w:eastAsiaTheme="minorEastAsia" w:hAnsi="Verdana" w:cs="Arial"/>
          <w:lang w:val="es-ES" w:eastAsia="es-CO"/>
        </w:rPr>
      </w:pPr>
    </w:p>
    <w:p w14:paraId="6423AE1C" w14:textId="77777777" w:rsidR="000D1CA8" w:rsidRPr="00E55ABD" w:rsidRDefault="000D1CA8" w:rsidP="000D1CA8">
      <w:pPr>
        <w:spacing w:after="0" w:line="276" w:lineRule="auto"/>
        <w:ind w:firstLine="709"/>
        <w:jc w:val="both"/>
        <w:rPr>
          <w:rFonts w:ascii="Verdana" w:eastAsiaTheme="minorEastAsia" w:hAnsi="Verdana" w:cs="Arial"/>
          <w:lang w:val="es-ES" w:eastAsia="es-CO"/>
        </w:rPr>
      </w:pPr>
      <w:r w:rsidRPr="00E55ABD">
        <w:rPr>
          <w:rFonts w:ascii="Verdana" w:eastAsiaTheme="minorEastAsia" w:hAnsi="Verdana" w:cs="Arial"/>
          <w:lang w:val="es-ES" w:eastAsia="es-CO"/>
        </w:rPr>
        <w:lastRenderedPageBreak/>
        <w:t xml:space="preserve">Ahora bien, esta distinción conceptual entre contratos y convenios interadministrativos resulta relevante para precisar el ámbito de aplicación de las instituciones del EGCAP. Al respecto, el Consejo de Estado ha destacado la finalidad asociativa de los convenios interadministrativos, los cuales se caracterizan por la </w:t>
      </w:r>
      <w:r w:rsidRPr="00E55ABD">
        <w:rPr>
          <w:rFonts w:ascii="Verdana" w:eastAsiaTheme="minorEastAsia" w:hAnsi="Verdana" w:cs="Arial"/>
          <w:i/>
          <w:iCs/>
          <w:lang w:val="es-ES" w:eastAsia="es-CO"/>
        </w:rPr>
        <w:t>autorregulación</w:t>
      </w:r>
      <w:r w:rsidRPr="00E55ABD">
        <w:rPr>
          <w:rFonts w:ascii="Verdana" w:eastAsiaTheme="minorEastAsia" w:hAnsi="Verdana" w:cs="Arial"/>
          <w:lang w:val="es-ES" w:eastAsia="es-CO"/>
        </w:rPr>
        <w:t xml:space="preserve">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E55ABD">
        <w:rPr>
          <w:rFonts w:ascii="Verdana" w:eastAsiaTheme="minorEastAsia" w:hAnsi="Verdana" w:cs="Arial"/>
          <w:vertAlign w:val="superscript"/>
          <w:lang w:val="es-ES" w:eastAsia="es-CO"/>
        </w:rPr>
        <w:footnoteReference w:id="7"/>
      </w:r>
      <w:r w:rsidRPr="00E55ABD">
        <w:rPr>
          <w:rFonts w:ascii="Verdana" w:eastAsiaTheme="minorEastAsia" w:hAnsi="Verdana" w:cs="Arial"/>
          <w:lang w:val="es-ES" w:eastAsia="es-CO"/>
        </w:rPr>
        <w:t xml:space="preserve">. De esta manera, el Consejo de Estado expresa:  </w:t>
      </w:r>
    </w:p>
    <w:p w14:paraId="47DB624E" w14:textId="77777777" w:rsidR="000D1CA8" w:rsidRPr="00E55ABD" w:rsidRDefault="000D1CA8" w:rsidP="000D1CA8">
      <w:pPr>
        <w:widowControl w:val="0"/>
        <w:autoSpaceDE w:val="0"/>
        <w:autoSpaceDN w:val="0"/>
        <w:spacing w:after="0" w:line="276" w:lineRule="auto"/>
        <w:jc w:val="both"/>
        <w:rPr>
          <w:rFonts w:ascii="Verdana" w:eastAsia="Arial MT" w:hAnsi="Verdana" w:cs="Arial MT"/>
          <w:lang w:val="es-ES"/>
        </w:rPr>
      </w:pPr>
    </w:p>
    <w:p w14:paraId="46572706" w14:textId="77777777" w:rsidR="000D1CA8" w:rsidRPr="00E55ABD" w:rsidRDefault="000D1CA8" w:rsidP="000D1CA8">
      <w:pPr>
        <w:widowControl w:val="0"/>
        <w:autoSpaceDE w:val="0"/>
        <w:autoSpaceDN w:val="0"/>
        <w:spacing w:after="0" w:line="240" w:lineRule="auto"/>
        <w:ind w:left="709" w:right="709"/>
        <w:jc w:val="both"/>
        <w:rPr>
          <w:rFonts w:ascii="Verdana" w:eastAsia="Arial MT" w:hAnsi="Verdana" w:cs="Arial MT"/>
          <w:sz w:val="20"/>
          <w:szCs w:val="19"/>
          <w:lang w:val="es-ES"/>
        </w:rPr>
      </w:pPr>
      <w:r w:rsidRPr="00E55ABD">
        <w:rPr>
          <w:rFonts w:ascii="Verdana" w:eastAsia="Arial MT" w:hAnsi="Verdana" w:cs="Arial MT"/>
          <w:sz w:val="20"/>
          <w:szCs w:val="19"/>
          <w:lang w:val="es-ES"/>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1880DF1C" w14:textId="77777777" w:rsidR="000D1CA8" w:rsidRPr="00E55ABD" w:rsidRDefault="000D1CA8" w:rsidP="000D1CA8">
      <w:pPr>
        <w:widowControl w:val="0"/>
        <w:autoSpaceDE w:val="0"/>
        <w:autoSpaceDN w:val="0"/>
        <w:spacing w:after="0" w:line="240" w:lineRule="auto"/>
        <w:ind w:left="709" w:right="709"/>
        <w:jc w:val="both"/>
        <w:rPr>
          <w:rFonts w:ascii="Verdana" w:eastAsia="Arial MT" w:hAnsi="Verdana" w:cs="Arial MT"/>
          <w:sz w:val="20"/>
          <w:szCs w:val="19"/>
          <w:lang w:val="es-ES"/>
        </w:rPr>
      </w:pPr>
    </w:p>
    <w:p w14:paraId="22FBE50E" w14:textId="77777777" w:rsidR="000D1CA8" w:rsidRPr="00E55ABD" w:rsidRDefault="000D1CA8" w:rsidP="000D1CA8">
      <w:pPr>
        <w:widowControl w:val="0"/>
        <w:autoSpaceDE w:val="0"/>
        <w:autoSpaceDN w:val="0"/>
        <w:spacing w:after="0" w:line="240" w:lineRule="auto"/>
        <w:ind w:left="709" w:right="709"/>
        <w:jc w:val="both"/>
        <w:rPr>
          <w:rFonts w:ascii="Verdana" w:eastAsia="Arial MT" w:hAnsi="Verdana" w:cs="Arial MT"/>
          <w:sz w:val="20"/>
          <w:szCs w:val="19"/>
          <w:lang w:val="es-ES"/>
        </w:rPr>
      </w:pPr>
      <w:r w:rsidRPr="00E55ABD">
        <w:rPr>
          <w:rFonts w:ascii="Verdana" w:eastAsia="Arial MT" w:hAnsi="Verdana" w:cs="Arial MT"/>
          <w:sz w:val="20"/>
          <w:szCs w:val="19"/>
          <w:lang w:val="es-ES"/>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348F002F" w14:textId="77777777" w:rsidR="000D1CA8" w:rsidRPr="00E55ABD" w:rsidRDefault="000D1CA8" w:rsidP="000D1CA8">
      <w:pPr>
        <w:widowControl w:val="0"/>
        <w:autoSpaceDE w:val="0"/>
        <w:autoSpaceDN w:val="0"/>
        <w:spacing w:after="0" w:line="240" w:lineRule="auto"/>
        <w:ind w:left="709" w:right="709"/>
        <w:jc w:val="both"/>
        <w:rPr>
          <w:rFonts w:ascii="Verdana" w:eastAsia="Arial MT" w:hAnsi="Verdana" w:cs="Arial MT"/>
          <w:sz w:val="20"/>
          <w:szCs w:val="19"/>
          <w:lang w:val="es-ES"/>
        </w:rPr>
      </w:pPr>
    </w:p>
    <w:p w14:paraId="6D06EA75" w14:textId="77777777" w:rsidR="000D1CA8" w:rsidRPr="00E55ABD" w:rsidRDefault="000D1CA8" w:rsidP="000D1CA8">
      <w:pPr>
        <w:widowControl w:val="0"/>
        <w:autoSpaceDE w:val="0"/>
        <w:autoSpaceDN w:val="0"/>
        <w:spacing w:after="0" w:line="240" w:lineRule="auto"/>
        <w:ind w:left="709" w:right="709"/>
        <w:jc w:val="both"/>
        <w:rPr>
          <w:rFonts w:ascii="Verdana" w:eastAsia="Arial MT" w:hAnsi="Verdana" w:cs="Arial MT"/>
          <w:sz w:val="20"/>
          <w:szCs w:val="19"/>
          <w:lang w:val="es-ES"/>
        </w:rPr>
      </w:pPr>
      <w:r w:rsidRPr="00E55ABD">
        <w:rPr>
          <w:rFonts w:ascii="Verdana" w:eastAsia="Arial MT" w:hAnsi="Verdana" w:cs="Arial MT"/>
          <w:sz w:val="20"/>
          <w:szCs w:val="19"/>
          <w:lang w:val="es-ES"/>
        </w:rPr>
        <w:t xml:space="preserve">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w:t>
      </w:r>
      <w:r w:rsidRPr="00E55ABD">
        <w:rPr>
          <w:rFonts w:ascii="Verdana" w:eastAsia="Arial MT" w:hAnsi="Verdana" w:cs="Arial MT"/>
          <w:sz w:val="20"/>
          <w:szCs w:val="19"/>
          <w:lang w:val="es-ES"/>
        </w:rPr>
        <w:lastRenderedPageBreak/>
        <w:t>entre ellas, producto de las incompatibilidades que puedan presentarse”</w:t>
      </w:r>
      <w:r w:rsidRPr="00E55ABD">
        <w:rPr>
          <w:rFonts w:ascii="Verdana" w:eastAsia="Arial MT" w:hAnsi="Verdana" w:cs="Arial MT"/>
          <w:sz w:val="20"/>
          <w:szCs w:val="19"/>
          <w:vertAlign w:val="superscript"/>
          <w:lang w:val="es-ES"/>
        </w:rPr>
        <w:footnoteReference w:id="8"/>
      </w:r>
      <w:r w:rsidRPr="00E55ABD">
        <w:rPr>
          <w:rFonts w:ascii="Verdana" w:eastAsia="Arial MT" w:hAnsi="Verdana" w:cs="Arial MT"/>
          <w:sz w:val="20"/>
          <w:szCs w:val="19"/>
          <w:lang w:val="es-ES"/>
        </w:rPr>
        <w:t>.</w:t>
      </w:r>
    </w:p>
    <w:p w14:paraId="3D5D6D1C" w14:textId="77777777" w:rsidR="000D1CA8" w:rsidRPr="00E55ABD" w:rsidRDefault="000D1CA8" w:rsidP="000D1CA8">
      <w:pPr>
        <w:spacing w:after="0" w:line="240" w:lineRule="auto"/>
        <w:ind w:left="709" w:right="709"/>
        <w:contextualSpacing/>
        <w:jc w:val="both"/>
        <w:rPr>
          <w:rFonts w:ascii="Verdana" w:eastAsiaTheme="minorEastAsia" w:hAnsi="Verdana" w:cs="Arial"/>
          <w:sz w:val="20"/>
          <w:szCs w:val="20"/>
          <w:lang w:val="es-ES" w:eastAsia="es-CO"/>
        </w:rPr>
      </w:pPr>
    </w:p>
    <w:p w14:paraId="442FA682" w14:textId="77777777" w:rsidR="000D1CA8" w:rsidRPr="00E55ABD" w:rsidRDefault="000D1CA8" w:rsidP="000D1CA8">
      <w:pPr>
        <w:spacing w:after="0" w:line="276" w:lineRule="auto"/>
        <w:ind w:firstLine="708"/>
        <w:jc w:val="both"/>
        <w:rPr>
          <w:rFonts w:ascii="Verdana" w:eastAsiaTheme="minorEastAsia" w:hAnsi="Verdana" w:cs="Arial"/>
          <w:lang w:val="es-ES" w:eastAsia="es-CO"/>
        </w:rPr>
      </w:pPr>
      <w:r w:rsidRPr="00E55ABD">
        <w:rPr>
          <w:rFonts w:ascii="Verdana" w:eastAsiaTheme="minorEastAsia" w:hAnsi="Verdana" w:cs="Arial"/>
          <w:lang w:val="es-ES" w:eastAsia="es-CO"/>
        </w:rPr>
        <w:t xml:space="preserve">Teniendo en cuenta este entendimiento sobre los convenios interadministrativos, es necesario analizar el alcance y límite de las modificaciones de las cuales pueden ser objeto. </w:t>
      </w:r>
    </w:p>
    <w:p w14:paraId="7313B32C" w14:textId="77777777" w:rsidR="000D1CA8" w:rsidRPr="00E55ABD" w:rsidRDefault="000D1CA8" w:rsidP="000D1CA8">
      <w:pPr>
        <w:spacing w:after="0" w:line="276" w:lineRule="auto"/>
        <w:ind w:firstLine="708"/>
        <w:jc w:val="both"/>
        <w:rPr>
          <w:rFonts w:ascii="Verdana" w:eastAsiaTheme="minorEastAsia" w:hAnsi="Verdana" w:cs="Arial"/>
          <w:lang w:val="es-ES" w:eastAsia="es-CO"/>
        </w:rPr>
      </w:pPr>
    </w:p>
    <w:p w14:paraId="55CD990B" w14:textId="77777777" w:rsidR="000D1CA8" w:rsidRPr="00E55ABD" w:rsidRDefault="000D1CA8" w:rsidP="000D1CA8">
      <w:pPr>
        <w:spacing w:after="0" w:line="276" w:lineRule="auto"/>
        <w:jc w:val="both"/>
        <w:rPr>
          <w:rFonts w:ascii="Verdana" w:eastAsia="Calibri" w:hAnsi="Verdana" w:cs="Arial"/>
          <w:color w:val="000000" w:themeColor="text1"/>
          <w:lang w:val="es-ES"/>
        </w:rPr>
      </w:pPr>
      <w:r w:rsidRPr="00E55ABD">
        <w:rPr>
          <w:rFonts w:ascii="Verdana" w:eastAsiaTheme="minorEastAsia" w:hAnsi="Verdana" w:cs="Arial"/>
          <w:lang w:val="es-ES" w:eastAsia="es-CO"/>
        </w:rPr>
        <w:t xml:space="preserve">ii) En efecto, </w:t>
      </w:r>
      <w:r w:rsidRPr="00E55ABD">
        <w:rPr>
          <w:rFonts w:ascii="Verdana" w:eastAsia="Calibri" w:hAnsi="Verdana" w:cs="Arial"/>
          <w:color w:val="000000" w:themeColor="text1"/>
          <w:lang w:val="es-ES"/>
        </w:rPr>
        <w:t>las reglas del EGCAP</w:t>
      </w:r>
      <w:r w:rsidRPr="00E55ABD">
        <w:rPr>
          <w:rFonts w:ascii="Verdana" w:eastAsiaTheme="minorEastAsia" w:hAnsi="Verdana" w:cs="Arial"/>
          <w:lang w:val="es-ES" w:eastAsia="es-CO"/>
        </w:rPr>
        <w:t xml:space="preserve"> no son aplicables a los </w:t>
      </w:r>
      <w:r w:rsidRPr="00E55ABD">
        <w:rPr>
          <w:rFonts w:ascii="Verdana" w:eastAsia="Calibri" w:hAnsi="Verdana" w:cs="Arial"/>
          <w:color w:val="000000" w:themeColor="text1"/>
          <w:lang w:val="es-ES"/>
        </w:rPr>
        <w:t>convenios interadministrativos, como lo ha expresado el Consejo de Estado en las consideraciones previamente expuestas en este concepto.</w:t>
      </w:r>
      <w:r w:rsidRPr="00E55ABD">
        <w:rPr>
          <w:rFonts w:ascii="Verdana" w:eastAsiaTheme="minorEastAsia" w:hAnsi="Verdana" w:cs="Arial"/>
          <w:lang w:val="es-ES" w:eastAsia="es-CO"/>
        </w:rPr>
        <w:t xml:space="preserve"> </w:t>
      </w:r>
      <w:r w:rsidRPr="00E55ABD">
        <w:rPr>
          <w:rFonts w:ascii="Verdana" w:eastAsia="Calibri" w:hAnsi="Verdana" w:cs="Arial"/>
          <w:color w:val="000000" w:themeColor="text1"/>
          <w:lang w:val="es-ES"/>
        </w:rPr>
        <w:t>Si bien la normativa vigente no establece una prohibición expresa respecto a las adiciones en los convenios interadministrativos al considerarse que no están sometidos al EGCAP, esto no significa que puedan realizarse de manera ilimitada o arbitraria. Estas modificaciones deben observar cuidadosamente los principios que rigen la función administrativa, garantizando la transparencia, la eficiencia, la economía, la moralidad y la legalidad en cada actuación. Asimismo, resulta indispensable que las adiciones se ajusten a los principios de la gestión fiscal responsable, evitando comprometer recursos más allá de lo permitido por la planeación presupuestal y las reglas de sostenibilidad financiera.</w:t>
      </w:r>
    </w:p>
    <w:p w14:paraId="4B7510CA" w14:textId="77777777" w:rsidR="000D1CA8" w:rsidRPr="00E55ABD" w:rsidRDefault="000D1CA8" w:rsidP="000D1CA8">
      <w:pPr>
        <w:spacing w:before="120" w:after="0" w:line="276" w:lineRule="auto"/>
        <w:ind w:firstLine="708"/>
        <w:jc w:val="both"/>
        <w:rPr>
          <w:rFonts w:ascii="Verdana" w:hAnsi="Verdana"/>
          <w:lang w:val="es-ES"/>
        </w:rPr>
      </w:pPr>
      <w:r w:rsidRPr="00E55ABD">
        <w:rPr>
          <w:rFonts w:ascii="Verdana" w:eastAsia="Calibri" w:hAnsi="Verdana" w:cs="Arial"/>
          <w:color w:val="000000" w:themeColor="text1"/>
          <w:lang w:val="es-ES"/>
        </w:rPr>
        <w:t xml:space="preserve">Aunque </w:t>
      </w:r>
      <w:r w:rsidRPr="00E55ABD">
        <w:rPr>
          <w:rFonts w:ascii="Verdana" w:hAnsi="Verdana"/>
          <w:lang w:val="es-ES"/>
        </w:rPr>
        <w:t>no existe un desarrollo legal o reglamentario sobre las reglas aplicables a la modificación del contrato estatales, en general, los aportes de la jurisprudencia, de la función consultiva del Consejo de Estado, y de la doctrina comparada han permitido estructurar los límites y requisitos de orden temporal, formal, material y axiológico para adelantar las modificaciones de los distintos negocios jurídicos que adelantan las entidades estatales, como es el caso de los contratos y los convenios interadministrativos. Estos límites deben respetarse por la entidad contratante con el fin de preservar los principios de transparencia, e igualdad; principios que, como se mencionó antes, son aplicables a los convenios interadministrativos aunque se rijan por la autonomía de voluntad de las partes y no se encuentren sometidos al EGCAP</w:t>
      </w:r>
      <w:r w:rsidRPr="00E55ABD">
        <w:rPr>
          <w:rFonts w:ascii="Verdana" w:hAnsi="Verdana"/>
          <w:vertAlign w:val="superscript"/>
          <w:lang w:val="es-ES"/>
        </w:rPr>
        <w:footnoteReference w:id="9"/>
      </w:r>
      <w:r w:rsidRPr="00E55ABD">
        <w:rPr>
          <w:rFonts w:ascii="Verdana" w:hAnsi="Verdana"/>
          <w:lang w:val="es-ES"/>
        </w:rPr>
        <w:t xml:space="preserve">. </w:t>
      </w:r>
    </w:p>
    <w:p w14:paraId="6511EE65" w14:textId="77777777" w:rsidR="000D1CA8" w:rsidRPr="00E55ABD" w:rsidRDefault="000D1CA8" w:rsidP="000D1CA8">
      <w:pPr>
        <w:spacing w:before="120" w:after="0" w:line="276" w:lineRule="auto"/>
        <w:ind w:firstLine="708"/>
        <w:jc w:val="both"/>
        <w:rPr>
          <w:rFonts w:ascii="Verdana" w:eastAsia="Calibri" w:hAnsi="Verdana" w:cs="Arial"/>
          <w:color w:val="000000" w:themeColor="text1"/>
          <w:lang w:val="es-ES"/>
        </w:rPr>
      </w:pPr>
      <w:r w:rsidRPr="00E55ABD">
        <w:rPr>
          <w:rFonts w:ascii="Verdana" w:hAnsi="Verdana"/>
          <w:lang w:val="es-ES"/>
        </w:rPr>
        <w:t xml:space="preserve">Dentro de los límites, se destacan los </w:t>
      </w:r>
      <w:r w:rsidRPr="00E55ABD">
        <w:rPr>
          <w:rFonts w:ascii="Verdana" w:eastAsia="Calibri" w:hAnsi="Verdana" w:cs="Arial"/>
          <w:i/>
          <w:lang w:val="es-ES"/>
        </w:rPr>
        <w:t>materiales</w:t>
      </w:r>
      <w:r w:rsidRPr="00E55ABD">
        <w:rPr>
          <w:rFonts w:ascii="Verdana" w:eastAsia="Calibri" w:hAnsi="Verdana" w:cs="Arial"/>
          <w:iCs/>
          <w:lang w:val="es-ES"/>
        </w:rPr>
        <w:t xml:space="preserve">, que </w:t>
      </w:r>
      <w:r w:rsidRPr="00E55ABD">
        <w:rPr>
          <w:rFonts w:ascii="Verdana" w:eastAsia="Arial" w:hAnsi="Verdana" w:cs="Arial"/>
          <w:lang w:val="es-ES" w:eastAsia="es-ES" w:bidi="es-ES"/>
        </w:rPr>
        <w:t xml:space="preserve">corresponden a la prohibición de modificar las condiciones sustanciales o esenciales del convenio, que se presentará en los casos en que se incluyan elementos que cambien la </w:t>
      </w:r>
      <w:r w:rsidRPr="00E55ABD">
        <w:rPr>
          <w:rFonts w:ascii="Verdana" w:eastAsia="Arial" w:hAnsi="Verdana" w:cs="Arial"/>
          <w:lang w:val="es-ES" w:eastAsia="es-ES" w:bidi="es-ES"/>
        </w:rPr>
        <w:lastRenderedPageBreak/>
        <w:t xml:space="preserve">esencia del negocio jurídico de modo que devenga en uno distinto. También, se encuentran los </w:t>
      </w:r>
      <w:r w:rsidRPr="00E55ABD">
        <w:rPr>
          <w:rFonts w:ascii="Verdana" w:eastAsia="Arial" w:hAnsi="Verdana" w:cs="Arial"/>
          <w:i/>
          <w:lang w:val="es-ES" w:eastAsia="es-ES" w:bidi="es-ES"/>
        </w:rPr>
        <w:t>límites axiológicos</w:t>
      </w:r>
      <w:r w:rsidRPr="00E55ABD">
        <w:rPr>
          <w:rFonts w:ascii="Verdana" w:eastAsia="Arial" w:hAnsi="Verdana" w:cs="Arial"/>
          <w:lang w:val="es-ES" w:eastAsia="es-ES" w:bidi="es-ES"/>
        </w:rPr>
        <w:t xml:space="preserve">, los cuales se fundan en la necesidad de preservar los principios de igualdad y transparencia. </w:t>
      </w:r>
      <w:r w:rsidRPr="00E55ABD">
        <w:rPr>
          <w:rFonts w:ascii="Verdana" w:eastAsia="Calibri" w:hAnsi="Verdana" w:cs="Arial"/>
          <w:lang w:val="es-ES" w:eastAsia="es-ES_tradnl"/>
        </w:rPr>
        <w:t xml:space="preserve">Lo anterior, con la finalidad de proteger los intereses y fines públicos inmersos en la contratación de las Entidades Estatales. </w:t>
      </w:r>
    </w:p>
    <w:p w14:paraId="7BF390CC" w14:textId="77777777" w:rsidR="000D1CA8" w:rsidRPr="00E55ABD" w:rsidRDefault="000D1CA8" w:rsidP="000D1CA8">
      <w:pPr>
        <w:spacing w:before="120" w:after="0" w:line="276" w:lineRule="auto"/>
        <w:ind w:firstLine="708"/>
        <w:jc w:val="both"/>
        <w:rPr>
          <w:rFonts w:ascii="Verdana" w:eastAsia="Calibri" w:hAnsi="Verdana" w:cs="Arial"/>
          <w:lang w:val="es-ES" w:eastAsia="es-ES_tradnl"/>
        </w:rPr>
      </w:pPr>
      <w:r w:rsidRPr="00E55ABD">
        <w:rPr>
          <w:rFonts w:ascii="Verdana" w:eastAsia="Arial" w:hAnsi="Verdana" w:cs="Arial"/>
          <w:color w:val="000000" w:themeColor="text1"/>
          <w:lang w:val="es-ES" w:eastAsia="es-ES" w:bidi="es-ES"/>
        </w:rPr>
        <w:t>De esta manera, las modificaciones no pueden suponer la variación de aspectos que alteren la esencia del convenio y lo conviertan en otro tipo de negocio jurídico. Si se presenta esta situación, lo apropiado no es modificar el contrato sino celebrar uno nuevo</w:t>
      </w:r>
      <w:bookmarkStart w:id="3" w:name="_ftnref22"/>
      <w:r w:rsidRPr="00E55ABD">
        <w:rPr>
          <w:rFonts w:ascii="Verdana" w:eastAsia="Arial" w:hAnsi="Verdana" w:cs="Arial"/>
          <w:color w:val="000000" w:themeColor="text1"/>
          <w:lang w:val="es-ES" w:eastAsia="es-ES" w:bidi="es-ES"/>
        </w:rPr>
        <w:t>.</w:t>
      </w:r>
      <w:r w:rsidRPr="00E55ABD">
        <w:rPr>
          <w:rFonts w:ascii="Verdana" w:eastAsia="Calibri" w:hAnsi="Verdana" w:cs="Arial"/>
          <w:lang w:val="es-ES" w:eastAsia="es-ES_tradnl"/>
        </w:rPr>
        <w:t xml:space="preserve"> </w:t>
      </w:r>
      <w:r w:rsidRPr="00E55ABD">
        <w:rPr>
          <w:rFonts w:ascii="Verdana" w:eastAsia="Arial" w:hAnsi="Verdana" w:cs="Arial"/>
          <w:color w:val="000000" w:themeColor="text1"/>
          <w:lang w:val="es-ES" w:eastAsia="es-ES" w:bidi="es-ES"/>
        </w:rPr>
        <w:t>Sobre este punto, la doctrina</w:t>
      </w:r>
      <w:r w:rsidRPr="00E55ABD">
        <w:rPr>
          <w:rFonts w:ascii="Verdana" w:eastAsia="Arial" w:hAnsi="Verdana" w:cs="Arial"/>
          <w:color w:val="000000" w:themeColor="text1"/>
          <w:vertAlign w:val="superscript"/>
          <w:lang w:val="es-ES" w:eastAsia="es-ES" w:bidi="es-ES"/>
        </w:rPr>
        <w:footnoteReference w:id="10"/>
      </w:r>
      <w:r w:rsidRPr="00E55ABD">
        <w:rPr>
          <w:rFonts w:ascii="Verdana" w:eastAsia="Arial" w:hAnsi="Verdana" w:cs="Arial"/>
          <w:color w:val="000000" w:themeColor="text1"/>
          <w:lang w:val="es-ES" w:eastAsia="es-ES" w:bidi="es-ES"/>
        </w:rPr>
        <w:t xml:space="preserve"> ha precisado que cuando “</w:t>
      </w:r>
      <w:r w:rsidRPr="00E55ABD">
        <w:rPr>
          <w:rFonts w:ascii="Verdana" w:eastAsia="Arial" w:hAnsi="Verdana" w:cs="Arial"/>
          <w:i/>
          <w:iCs/>
          <w:color w:val="000000" w:themeColor="text1"/>
          <w:lang w:val="es-ES" w:eastAsia="es-ES" w:bidi="es-ES"/>
        </w:rPr>
        <w:t>se alude a la modificación del contrato se lo hace para referirse a alteraciones, variaciones, sustituciones de calidad, componentes o número de obras, bienes o servicios. No implican la sustitución del género del contrato sino modificaciones que responden a necesidades sobrevivientes o a errores en la fase previa”</w:t>
      </w:r>
      <w:r w:rsidRPr="00E55ABD">
        <w:rPr>
          <w:rFonts w:ascii="Verdana" w:eastAsia="Arial" w:hAnsi="Verdana" w:cs="Arial"/>
          <w:i/>
          <w:iCs/>
          <w:color w:val="000000" w:themeColor="text1"/>
          <w:vertAlign w:val="superscript"/>
          <w:lang w:val="es-ES" w:eastAsia="es-ES" w:bidi="es-ES"/>
        </w:rPr>
        <w:footnoteReference w:id="11"/>
      </w:r>
      <w:r w:rsidRPr="00E55ABD">
        <w:rPr>
          <w:rFonts w:ascii="Verdana" w:eastAsia="Arial" w:hAnsi="Verdana" w:cs="Arial"/>
          <w:color w:val="000000" w:themeColor="text1"/>
          <w:lang w:val="es-ES" w:eastAsia="es-ES" w:bidi="es-ES"/>
        </w:rPr>
        <w:t xml:space="preserve">. </w:t>
      </w:r>
      <w:bookmarkEnd w:id="3"/>
    </w:p>
    <w:p w14:paraId="4A06E8D5" w14:textId="77777777" w:rsidR="000D1CA8" w:rsidRPr="00E55ABD" w:rsidRDefault="000D1CA8" w:rsidP="000D1CA8">
      <w:pPr>
        <w:spacing w:before="120" w:after="0" w:line="276" w:lineRule="auto"/>
        <w:ind w:firstLine="708"/>
        <w:jc w:val="both"/>
        <w:rPr>
          <w:rFonts w:ascii="Verdana" w:eastAsia="Calibri" w:hAnsi="Verdana" w:cs="Arial"/>
          <w:lang w:val="es-ES" w:eastAsia="es-ES_tradnl"/>
        </w:rPr>
      </w:pPr>
      <w:r w:rsidRPr="00E55ABD">
        <w:rPr>
          <w:rFonts w:ascii="Verdana" w:eastAsia="Arial" w:hAnsi="Verdana" w:cs="Arial"/>
          <w:color w:val="000000" w:themeColor="text1"/>
          <w:lang w:val="es-ES" w:eastAsia="es-ES" w:bidi="es-ES"/>
        </w:rPr>
        <w:t xml:space="preserve">Para determinar los aspectos que no alteran la esencia del contrato y cuya modificación no lo convierten en otro, resulta útil remitirse a lo previsto en el artículo 1501 del Código Civil, que establece que los contratos tienen elementos de su esencia, de su naturaleza y accidentales. Las definiciones de cada uno de dichos conceptos efectuadas en el artículo en comento resultarán útiles para establecer, en un caso determinado, si una específica modificación altera la esencia de un negocio jurídico. Por ejemplo, con respecto a los contratos estatales, lo anterior supone la imposibilidad de modificar el objeto contractual. </w:t>
      </w:r>
    </w:p>
    <w:p w14:paraId="061EFDA3" w14:textId="77777777" w:rsidR="000D1CA8" w:rsidRPr="00E55ABD" w:rsidRDefault="000D1CA8" w:rsidP="000D1CA8">
      <w:pPr>
        <w:spacing w:before="120" w:after="0" w:line="276" w:lineRule="auto"/>
        <w:ind w:firstLine="708"/>
        <w:jc w:val="both"/>
        <w:rPr>
          <w:rFonts w:ascii="Verdana" w:eastAsia="Calibri" w:hAnsi="Verdana" w:cs="Arial"/>
          <w:lang w:val="es-ES" w:eastAsia="es-ES_tradnl"/>
        </w:rPr>
      </w:pPr>
      <w:r w:rsidRPr="00E55ABD">
        <w:rPr>
          <w:rFonts w:ascii="Verdana" w:eastAsia="Calibri" w:hAnsi="Verdana" w:cs="Arial"/>
          <w:lang w:val="es-ES" w:eastAsia="es-ES_tradnl"/>
        </w:rPr>
        <w:t xml:space="preserve">En el supuesto establecido en su consulta es necesario determinar si la modificación para incluir una parte supone una alteración tal de las condiciones inicialmente pactadas que cambie la esencia del convenio interadministrativo al punto de tornarlo en uno diferente. Una modificación de esa naturaleza podría suponer la desnaturalización del convenio inicialmente pactado, lo cual se hace aún más gravoso en el contexto de la Ley de Garantías Electorales. Si la modificación lo torna en un negocio jurídico distinto, la entidad estaría materialmente celebrando un convenio en contravía de las restricciones </w:t>
      </w:r>
      <w:r w:rsidRPr="00E55ABD">
        <w:rPr>
          <w:rFonts w:ascii="Verdana" w:eastAsia="Calibri" w:hAnsi="Verdana" w:cs="Arial"/>
          <w:lang w:val="es-ES" w:eastAsia="es-ES_tradnl"/>
        </w:rPr>
        <w:lastRenderedPageBreak/>
        <w:t>establecidas en el artículo 33 y el parágrafo del artículo 38 de la Ley de Garantías Electorales.</w:t>
      </w:r>
    </w:p>
    <w:p w14:paraId="6DF509EA" w14:textId="77777777" w:rsidR="000D1CA8" w:rsidRPr="00E55ABD" w:rsidRDefault="000D1CA8" w:rsidP="000D1CA8">
      <w:pPr>
        <w:spacing w:before="120" w:after="0" w:line="276" w:lineRule="auto"/>
        <w:ind w:firstLine="708"/>
        <w:jc w:val="both"/>
        <w:rPr>
          <w:rFonts w:ascii="Verdana" w:eastAsia="Arial MT" w:hAnsi="Verdana" w:cs="Arial"/>
          <w:i/>
          <w:iCs/>
          <w:lang w:val="es-ES" w:eastAsia="es-ES" w:bidi="es-ES"/>
        </w:rPr>
      </w:pPr>
      <w:r w:rsidRPr="00E55ABD">
        <w:rPr>
          <w:rFonts w:ascii="Verdana" w:eastAsia="Calibri" w:hAnsi="Verdana" w:cs="Arial"/>
          <w:lang w:val="es-ES" w:eastAsia="es-ES_tradnl"/>
        </w:rPr>
        <w:t xml:space="preserve"> De esta manera, sin perjuicio de la distinción del régimen aplicable a los convenios y contratos interadministrativos, las entidades deben considerar los límites y criterios  en torno  a la posibilidad de adelantar modificaciones que puedan desnaturalizar el negocio jurídico. En el caso objeto de consulta, es importante que la entidad tenga en cuenta que la inclusión de una parte a través de una modificación del convenio pude implicar alteraciones importantes, como la inclusión de nuevas obligaciones, la modificación de las actividades, agregar recursos o aportes que modifiquen el presupuesto inicialmente contemplado, cambios relevantes en las condiciones de ejecución o incluso en el alcance mismo del objeto, entre otros aspectos que, considerados en su conjunto, pueden </w:t>
      </w:r>
      <w:r w:rsidRPr="00E55ABD">
        <w:rPr>
          <w:rFonts w:ascii="Verdana" w:eastAsia="Arial MT" w:hAnsi="Verdana" w:cs="Arial"/>
          <w:i/>
          <w:iCs/>
          <w:lang w:val="es-ES" w:eastAsia="es-ES" w:bidi="es-ES"/>
        </w:rPr>
        <w:t xml:space="preserve">suponer una alteración de su esencia y convertirlo en otro tipo de negocio jurídico. Como se dijo antes, si este es el caso, lo indicado no sería modificar el contrato sino la celebración de uno nuevo. </w:t>
      </w:r>
      <w:r w:rsidRPr="00E55ABD">
        <w:rPr>
          <w:rFonts w:ascii="Verdana" w:eastAsia="Calibri" w:hAnsi="Verdana" w:cs="Arial"/>
          <w:lang w:val="es-ES" w:eastAsia="es-ES_tradnl"/>
        </w:rPr>
        <w:t>En el contexto de la Ley de Garantías Electorales, realizar una modificación que suponga de manera material la celebración de un nuevo convenio puede convertirse en un mecanismo fraudulento para omitir las restricciones allí establecidas. Por lo anterior, corresponde a cada entidad determinar en cada caso el alcance de las modificaciones, de modo que no contraríen las prohibiciones establecidas en la Ley 996 de 2005.</w:t>
      </w:r>
    </w:p>
    <w:p w14:paraId="6C8A3C95" w14:textId="77777777" w:rsidR="000D1CA8" w:rsidRPr="00E55ABD" w:rsidRDefault="000D1CA8" w:rsidP="000D1CA8">
      <w:pPr>
        <w:widowControl w:val="0"/>
        <w:autoSpaceDE w:val="0"/>
        <w:autoSpaceDN w:val="0"/>
        <w:spacing w:before="120" w:after="120" w:line="276" w:lineRule="auto"/>
        <w:ind w:firstLine="709"/>
        <w:jc w:val="both"/>
        <w:rPr>
          <w:rFonts w:ascii="Verdana" w:eastAsia="Arial" w:hAnsi="Verdana" w:cs="Arial"/>
          <w:color w:val="000000"/>
          <w:lang w:val="es-ES" w:eastAsia="es-ES" w:bidi="es-ES"/>
        </w:rPr>
      </w:pPr>
      <w:r w:rsidRPr="00E55ABD">
        <w:rPr>
          <w:rFonts w:ascii="Verdana" w:eastAsia="Arial" w:hAnsi="Verdana" w:cs="Arial"/>
          <w:color w:val="000000"/>
          <w:lang w:val="es-ES" w:eastAsia="es-ES" w:bidi="es-ES"/>
        </w:rPr>
        <w:t xml:space="preserve">Las Entidades Estatales deberán realizar el análisis respecto a la precedencia de modificar determinado convenio interadministrativo, en el entendido que se respeten las reglas y prohibiciones establecidas en el ordenamiento jurídico, de acuerdo con lo expuesto anteriormente, además de definir previamente su procedencia desde la perspectiva jurídica, administrativa, técnica y financiera mediante documentos que lo sustenten por parte de los funcionarios que participan dentro del proceso de contratación, como son los supervisores y/o interventores y comités internos de contratación. </w:t>
      </w:r>
    </w:p>
    <w:bookmarkEnd w:id="2"/>
    <w:p w14:paraId="0E431399" w14:textId="77777777" w:rsidR="000D1CA8" w:rsidRPr="00E55ABD" w:rsidRDefault="000D1CA8" w:rsidP="000D1CA8">
      <w:pPr>
        <w:spacing w:after="0" w:line="276" w:lineRule="auto"/>
        <w:jc w:val="both"/>
        <w:rPr>
          <w:rFonts w:ascii="Verdana" w:eastAsia="Calibri" w:hAnsi="Verdana" w:cs="Arial"/>
          <w:color w:val="000000" w:themeColor="text1"/>
          <w:lang w:val="es-ES"/>
        </w:rPr>
      </w:pPr>
    </w:p>
    <w:p w14:paraId="3E53849D" w14:textId="77777777" w:rsidR="000D1CA8" w:rsidRPr="00E55ABD" w:rsidRDefault="000D1CA8" w:rsidP="000D1CA8">
      <w:pPr>
        <w:pStyle w:val="Prrafodelista"/>
        <w:numPr>
          <w:ilvl w:val="0"/>
          <w:numId w:val="16"/>
        </w:numPr>
        <w:spacing w:line="276" w:lineRule="auto"/>
        <w:jc w:val="both"/>
        <w:rPr>
          <w:rFonts w:ascii="Verdana" w:eastAsia="Century Gothic" w:hAnsi="Verdana" w:cs="Century Gothic"/>
          <w:b/>
          <w:bCs/>
          <w:color w:val="000000" w:themeColor="text1"/>
        </w:rPr>
      </w:pPr>
      <w:r w:rsidRPr="00E55ABD">
        <w:rPr>
          <w:rFonts w:ascii="Verdana" w:eastAsia="Century Gothic" w:hAnsi="Verdana" w:cs="Century Gothic"/>
          <w:b/>
          <w:bCs/>
          <w:color w:val="000000" w:themeColor="text1"/>
        </w:rPr>
        <w:t>Referencias normativas, jurisprudenciales y otras fuentes:</w:t>
      </w:r>
    </w:p>
    <w:p w14:paraId="25133F12" w14:textId="77777777" w:rsidR="000D1CA8" w:rsidRPr="00E55ABD" w:rsidRDefault="000D1CA8" w:rsidP="000D1CA8">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D1CA8" w:rsidRPr="00E55ABD" w14:paraId="0FE38AF3" w14:textId="77777777" w:rsidTr="00B24F77">
        <w:trPr>
          <w:trHeight w:val="870"/>
        </w:trPr>
        <w:tc>
          <w:tcPr>
            <w:tcW w:w="8647" w:type="dxa"/>
          </w:tcPr>
          <w:p w14:paraId="6E676CAE" w14:textId="77777777" w:rsidR="000D1CA8" w:rsidRPr="00E55ABD" w:rsidRDefault="000D1CA8" w:rsidP="00867116">
            <w:pPr>
              <w:widowControl w:val="0"/>
              <w:numPr>
                <w:ilvl w:val="0"/>
                <w:numId w:val="17"/>
              </w:numPr>
              <w:autoSpaceDE w:val="0"/>
              <w:autoSpaceDN w:val="0"/>
              <w:spacing w:line="276" w:lineRule="auto"/>
              <w:jc w:val="both"/>
              <w:rPr>
                <w:rFonts w:ascii="Verdana" w:eastAsia="Arial MT" w:hAnsi="Verdana" w:cs="Arial"/>
                <w:lang w:val="es-ES" w:eastAsia="es-ES" w:bidi="es-ES"/>
              </w:rPr>
            </w:pPr>
            <w:r w:rsidRPr="00E55ABD">
              <w:rPr>
                <w:rFonts w:ascii="Verdana" w:eastAsia="Arial MT" w:hAnsi="Verdana" w:cs="Arial"/>
                <w:lang w:val="es-ES" w:eastAsia="es-ES" w:bidi="es-ES"/>
              </w:rPr>
              <w:t>Ley 1150 de 2007. Artículo 2, numeral 4.</w:t>
            </w:r>
          </w:p>
          <w:p w14:paraId="10C13292" w14:textId="77777777" w:rsidR="000D1CA8" w:rsidRPr="00E55ABD" w:rsidRDefault="000D1CA8" w:rsidP="00867116">
            <w:pPr>
              <w:widowControl w:val="0"/>
              <w:numPr>
                <w:ilvl w:val="0"/>
                <w:numId w:val="17"/>
              </w:numPr>
              <w:autoSpaceDE w:val="0"/>
              <w:autoSpaceDN w:val="0"/>
              <w:spacing w:line="276" w:lineRule="auto"/>
              <w:jc w:val="both"/>
              <w:rPr>
                <w:rFonts w:ascii="Verdana" w:eastAsia="Arial MT" w:hAnsi="Verdana" w:cs="Arial"/>
                <w:lang w:val="es-ES" w:eastAsia="es-ES" w:bidi="es-ES"/>
              </w:rPr>
            </w:pPr>
            <w:r w:rsidRPr="00E55ABD">
              <w:rPr>
                <w:rFonts w:ascii="Verdana" w:hAnsi="Verdana" w:cs="Arial"/>
                <w:lang w:val="es-ES"/>
              </w:rPr>
              <w:t>Decreto 1082 de 2015. Artículo 2.2.1.2.1.4.4.</w:t>
            </w:r>
          </w:p>
          <w:p w14:paraId="5EBDB91E" w14:textId="77777777" w:rsidR="000D1CA8" w:rsidRPr="00E55ABD" w:rsidRDefault="000D1CA8" w:rsidP="00867116">
            <w:pPr>
              <w:widowControl w:val="0"/>
              <w:numPr>
                <w:ilvl w:val="0"/>
                <w:numId w:val="17"/>
              </w:numPr>
              <w:autoSpaceDE w:val="0"/>
              <w:autoSpaceDN w:val="0"/>
              <w:spacing w:line="276" w:lineRule="auto"/>
              <w:jc w:val="both"/>
              <w:rPr>
                <w:rFonts w:ascii="Verdana" w:eastAsia="Arial MT" w:hAnsi="Verdana" w:cs="Arial"/>
                <w:lang w:val="es-ES" w:eastAsia="es-ES" w:bidi="es-ES"/>
              </w:rPr>
            </w:pPr>
            <w:r w:rsidRPr="00E55ABD">
              <w:rPr>
                <w:rFonts w:ascii="Verdana" w:hAnsi="Verdana"/>
                <w:lang w:val="es-ES"/>
              </w:rPr>
              <w:t>CONSEJO DE ESTADO. Sala de Consulta y Servicio Civil.</w:t>
            </w:r>
            <w:r w:rsidRPr="00E55ABD">
              <w:rPr>
                <w:rFonts w:ascii="Verdana" w:hAnsi="Verdana"/>
                <w:i/>
                <w:lang w:val="es-ES"/>
              </w:rPr>
              <w:t xml:space="preserve"> </w:t>
            </w:r>
            <w:r w:rsidRPr="00E55ABD">
              <w:rPr>
                <w:rFonts w:ascii="Verdana" w:hAnsi="Verdana"/>
                <w:lang w:val="es-ES"/>
              </w:rPr>
              <w:t xml:space="preserve">C.P.: Óscar </w:t>
            </w:r>
            <w:r w:rsidRPr="00E55ABD">
              <w:rPr>
                <w:rFonts w:ascii="Verdana" w:hAnsi="Verdana"/>
                <w:lang w:val="es-ES"/>
              </w:rPr>
              <w:lastRenderedPageBreak/>
              <w:t>Daría Amaya Navas. Concepto del 06 de junio 2018. Radicación número: 2369.</w:t>
            </w:r>
          </w:p>
          <w:p w14:paraId="2F73A8F0" w14:textId="77777777" w:rsidR="000D1CA8" w:rsidRPr="00E55ABD" w:rsidRDefault="000D1CA8" w:rsidP="00867116">
            <w:pPr>
              <w:widowControl w:val="0"/>
              <w:numPr>
                <w:ilvl w:val="0"/>
                <w:numId w:val="17"/>
              </w:numPr>
              <w:autoSpaceDE w:val="0"/>
              <w:autoSpaceDN w:val="0"/>
              <w:spacing w:line="276" w:lineRule="auto"/>
              <w:jc w:val="both"/>
              <w:rPr>
                <w:rFonts w:ascii="Verdana" w:eastAsia="Arial MT" w:hAnsi="Verdana" w:cs="Arial"/>
                <w:lang w:val="es-ES" w:eastAsia="es-ES" w:bidi="es-ES"/>
              </w:rPr>
            </w:pPr>
            <w:r w:rsidRPr="00E55ABD">
              <w:rPr>
                <w:rFonts w:ascii="Verdana" w:hAnsi="Verdana"/>
                <w:lang w:val="es-ES"/>
              </w:rPr>
              <w:t>CONSEJO DE ESTADO. Sección Tercera, Subsección A. Sentencia del 14 de junio de 2019, C.P.: Marta Nubia Velásquez Rico. Rad.: 25000-23-37-000-2010-02552-01 (AP); CONSEJO DE ESTADO. Sección Tercera, Subsección A. Sentencia del 25 de mayo de 2025. C.P. María Adriana Marín Hernández. Exp. 70.504.</w:t>
            </w:r>
          </w:p>
          <w:p w14:paraId="0324CE64" w14:textId="77777777" w:rsidR="000D1CA8" w:rsidRPr="00E55ABD" w:rsidRDefault="000D1CA8" w:rsidP="00867116">
            <w:pPr>
              <w:widowControl w:val="0"/>
              <w:numPr>
                <w:ilvl w:val="0"/>
                <w:numId w:val="17"/>
              </w:numPr>
              <w:autoSpaceDE w:val="0"/>
              <w:autoSpaceDN w:val="0"/>
              <w:spacing w:line="276" w:lineRule="auto"/>
              <w:jc w:val="both"/>
              <w:rPr>
                <w:rFonts w:ascii="Verdana" w:eastAsia="Arial MT" w:hAnsi="Verdana" w:cs="Arial"/>
                <w:lang w:val="es-ES" w:eastAsia="es-ES" w:bidi="es-ES"/>
              </w:rPr>
            </w:pPr>
            <w:r w:rsidRPr="00E55ABD">
              <w:rPr>
                <w:rFonts w:ascii="Verdana" w:hAnsi="Verdana"/>
                <w:lang w:val="es-ES"/>
              </w:rPr>
              <w:t>CONSEJO DE ESTADO. Sección Tercera, Subsección A. Sentencia del 25 de mayo de 2025. C.P. María Adriana Marín Hernández. Exp. 70.504; CONSEJO DE ESTADO. Sección Tercera, Subsección A. Sentencia del 16 de agosto de 2022, C.P.: María Adriana Marín. Exp. 60434.</w:t>
            </w:r>
          </w:p>
          <w:p w14:paraId="360E8594" w14:textId="77777777" w:rsidR="000D1CA8" w:rsidRPr="00E55ABD" w:rsidRDefault="000D1CA8" w:rsidP="00867116">
            <w:pPr>
              <w:widowControl w:val="0"/>
              <w:numPr>
                <w:ilvl w:val="0"/>
                <w:numId w:val="17"/>
              </w:numPr>
              <w:autoSpaceDE w:val="0"/>
              <w:autoSpaceDN w:val="0"/>
              <w:spacing w:line="276" w:lineRule="auto"/>
              <w:jc w:val="both"/>
              <w:rPr>
                <w:rFonts w:ascii="Verdana" w:eastAsia="Arial MT" w:hAnsi="Verdana" w:cs="Arial"/>
                <w:lang w:val="es-ES" w:eastAsia="es-ES" w:bidi="es-ES"/>
              </w:rPr>
            </w:pPr>
            <w:r w:rsidRPr="00E55ABD">
              <w:rPr>
                <w:rFonts w:ascii="Verdana" w:hAnsi="Verdana"/>
                <w:lang w:val="es-ES"/>
              </w:rPr>
              <w:t>CORTE CONSTITUCIONAL. Sentencia C-671 de 2005. M.P. Álvaro Tafur Galvis.</w:t>
            </w:r>
          </w:p>
          <w:p w14:paraId="662761E5" w14:textId="77777777" w:rsidR="000D1CA8" w:rsidRPr="00E55ABD" w:rsidRDefault="000D1CA8" w:rsidP="00867116">
            <w:pPr>
              <w:widowControl w:val="0"/>
              <w:numPr>
                <w:ilvl w:val="0"/>
                <w:numId w:val="17"/>
              </w:numPr>
              <w:autoSpaceDE w:val="0"/>
              <w:autoSpaceDN w:val="0"/>
              <w:spacing w:line="276" w:lineRule="auto"/>
              <w:jc w:val="both"/>
              <w:rPr>
                <w:rFonts w:ascii="Verdana" w:eastAsia="Arial MT" w:hAnsi="Verdana" w:cs="Arial"/>
                <w:lang w:val="es-ES" w:eastAsia="es-ES" w:bidi="es-ES"/>
              </w:rPr>
            </w:pPr>
            <w:r w:rsidRPr="00E55ABD">
              <w:rPr>
                <w:rFonts w:ascii="Verdana" w:hAnsi="Verdana" w:cs="Arial"/>
                <w:lang w:val="es-ES"/>
              </w:rPr>
              <w:t>DAVILA VINUEZA Luis Guillermo. Régimen Jurídico de la contratación estatal. Bogotá: Editorial Legis, 2001, p. 387.</w:t>
            </w:r>
          </w:p>
        </w:tc>
      </w:tr>
    </w:tbl>
    <w:p w14:paraId="27565050" w14:textId="77777777" w:rsidR="000D1CA8" w:rsidRPr="00E55ABD" w:rsidRDefault="000D1CA8" w:rsidP="000D1CA8">
      <w:pPr>
        <w:widowControl w:val="0"/>
        <w:autoSpaceDE w:val="0"/>
        <w:autoSpaceDN w:val="0"/>
        <w:spacing w:after="0" w:line="276" w:lineRule="auto"/>
        <w:jc w:val="both"/>
        <w:rPr>
          <w:rFonts w:ascii="Verdana" w:hAnsi="Verdana" w:cs="Arial"/>
          <w:color w:val="000000" w:themeColor="text1"/>
          <w:lang w:val="es-ES"/>
        </w:rPr>
      </w:pPr>
    </w:p>
    <w:p w14:paraId="3553E435" w14:textId="77777777" w:rsidR="000D1CA8" w:rsidRPr="00E55ABD" w:rsidRDefault="000D1CA8" w:rsidP="000D1CA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E55ABD">
        <w:rPr>
          <w:rFonts w:ascii="Verdana" w:eastAsia="Century Gothic" w:hAnsi="Verdana" w:cs="Century Gothic"/>
          <w:b/>
          <w:bCs/>
          <w:color w:val="000000" w:themeColor="text1"/>
        </w:rPr>
        <w:t>Doctrina de la Agencia Nacional de Contratación Pública:</w:t>
      </w:r>
    </w:p>
    <w:p w14:paraId="6E66823E" w14:textId="77777777" w:rsidR="000D1CA8" w:rsidRPr="00E55ABD" w:rsidRDefault="000D1CA8" w:rsidP="000D1CA8">
      <w:pPr>
        <w:widowControl w:val="0"/>
        <w:autoSpaceDE w:val="0"/>
        <w:autoSpaceDN w:val="0"/>
        <w:spacing w:after="0" w:line="276" w:lineRule="auto"/>
        <w:jc w:val="both"/>
        <w:rPr>
          <w:rFonts w:ascii="Verdana" w:hAnsi="Verdana" w:cs="Arial"/>
          <w:color w:val="000000" w:themeColor="text1"/>
          <w:lang w:val="es-ES"/>
        </w:rPr>
      </w:pPr>
    </w:p>
    <w:p w14:paraId="6D9F7F2E" w14:textId="68D84C98" w:rsidR="000D1CA8" w:rsidRPr="00E55ABD" w:rsidRDefault="000D1CA8" w:rsidP="000D1CA8">
      <w:pPr>
        <w:widowControl w:val="0"/>
        <w:autoSpaceDE w:val="0"/>
        <w:autoSpaceDN w:val="0"/>
        <w:spacing w:after="0" w:line="276" w:lineRule="auto"/>
        <w:jc w:val="both"/>
        <w:rPr>
          <w:rStyle w:val="normaltextrun"/>
          <w:rFonts w:ascii="Verdana" w:hAnsi="Verdana" w:cs="Arial"/>
          <w:shd w:val="clear" w:color="auto" w:fill="FFFFFF"/>
          <w:lang w:val="es-ES"/>
        </w:rPr>
      </w:pPr>
      <w:r w:rsidRPr="00E55ABD">
        <w:rPr>
          <w:rStyle w:val="normaltextrun"/>
          <w:rFonts w:ascii="Verdana" w:hAnsi="Verdana" w:cs="Arial"/>
          <w:color w:val="000000" w:themeColor="text1"/>
          <w:shd w:val="clear" w:color="auto" w:fill="FFFFFF"/>
          <w:lang w:val="es-ES"/>
        </w:rPr>
        <w:t xml:space="preserve">La Agencia Nacional de Contratación Pública – Colombia Compra Eficiente se ha </w:t>
      </w:r>
      <w:r w:rsidRPr="00E55ABD">
        <w:rPr>
          <w:rStyle w:val="normaltextrun"/>
          <w:rFonts w:ascii="Verdana" w:hAnsi="Verdana" w:cs="Arial"/>
          <w:shd w:val="clear" w:color="auto" w:fill="FFFFFF"/>
          <w:lang w:val="es-ES"/>
        </w:rPr>
        <w:t xml:space="preserve">pronunciado </w:t>
      </w:r>
      <w:r w:rsidRPr="00E55ABD">
        <w:rPr>
          <w:rFonts w:ascii="Verdana" w:eastAsia="Calibri" w:hAnsi="Verdana" w:cs="Arial"/>
          <w:lang w:val="es-ES"/>
        </w:rPr>
        <w:t xml:space="preserve">sobre la diferencia entre contratos y convenios interadministrativos en los conceptos C-605 del 27 de junio de 2025, C-1046 del 9 de septiembre de 2025, C-1152 del 23 de septiembre de 2025, C-1279 del 14 de octubre de 2025, </w:t>
      </w:r>
      <w:r w:rsidRPr="00E55ABD">
        <w:rPr>
          <w:rFonts w:ascii="Verdana" w:eastAsia="Calibri" w:hAnsi="Verdana" w:cs="Times New Roman"/>
          <w:lang w:val="es-ES"/>
        </w:rPr>
        <w:t>C–1526 del 28 de noviembre de 2025,</w:t>
      </w:r>
      <w:r w:rsidRPr="00E55ABD">
        <w:rPr>
          <w:rFonts w:ascii="Verdana" w:eastAsia="Calibri" w:hAnsi="Verdana" w:cs="Arial"/>
          <w:lang w:val="es-ES"/>
        </w:rPr>
        <w:t xml:space="preserve"> entre otros. Adicionalmente, se ha referido a </w:t>
      </w:r>
      <w:r w:rsidRPr="00E55ABD">
        <w:rPr>
          <w:rFonts w:ascii="Verdana" w:hAnsi="Verdana" w:cs="Arial"/>
          <w:bCs/>
          <w:shd w:val="clear" w:color="auto" w:fill="FFFFFF"/>
          <w:lang w:val="es-ES"/>
        </w:rPr>
        <w:t>las modificaciones y adiciones en los contratos estatales en los conceptos C-277 de 21 de junio de 2021, C-644 de 18 de noviembre de 2021, C-755 de 21 de enero de 2022, C-152 de 1 de abril de 2022, C-267 de 5 de mayo de 2022, C-432 de 13 de julio de 2022, C-630 del 29 de septiembre de 2022, C784 del 21 de noviembre del 2022, C-398 del 27 de septiembre de 2023, C-452 del 7 de noviembre de 2023, C-463 del 22 de noviembre de 2023, C-471 del 25 de enero del 2024, C-329 del 22 de agosto de 2024, C-563 del 21 de octubre de 2024, C-903 del 2 de enero de 2024, C-1008 del 30 de enero de 2025, C-308 del 28 de abril de 2025, C-485 del 26 de mayo de 2025, entre otros.</w:t>
      </w:r>
      <w:r w:rsidRPr="00E55ABD">
        <w:rPr>
          <w:rFonts w:ascii="Verdana" w:eastAsia="Calibri" w:hAnsi="Verdana" w:cs="Arial"/>
          <w:lang w:val="es-ES"/>
        </w:rPr>
        <w:t xml:space="preserve"> </w:t>
      </w:r>
      <w:r w:rsidRPr="00E55ABD">
        <w:rPr>
          <w:rStyle w:val="normaltextrun"/>
          <w:rFonts w:ascii="Verdana" w:hAnsi="Verdana" w:cs="Arial"/>
          <w:shd w:val="clear" w:color="auto" w:fill="FFFFFF"/>
          <w:lang w:val="es-ES"/>
        </w:rPr>
        <w:t>Estos y otros conceptos se encuentran disponibles para consulta en el Sistema de relatoría de la Agencia</w:t>
      </w:r>
      <w:r w:rsidRPr="00E55ABD">
        <w:rPr>
          <w:rFonts w:ascii="Verdana" w:hAnsi="Verdana"/>
          <w:lang w:val="es-ES"/>
        </w:rPr>
        <w:t>, al cual puede accederse a través del siguiente enlace:</w:t>
      </w:r>
      <w:r w:rsidRPr="00E55ABD">
        <w:rPr>
          <w:rStyle w:val="normaltextrun"/>
          <w:rFonts w:ascii="Verdana" w:hAnsi="Verdana" w:cs="Arial"/>
          <w:shd w:val="clear" w:color="auto" w:fill="FFFFFF"/>
          <w:lang w:val="es-ES"/>
        </w:rPr>
        <w:t xml:space="preserve"> </w:t>
      </w:r>
      <w:hyperlink r:id="rId13" w:history="1">
        <w:r w:rsidRPr="00E55ABD">
          <w:rPr>
            <w:rStyle w:val="Hipervnculo"/>
            <w:rFonts w:ascii="Verdana" w:hAnsi="Verdana" w:cs="Arial"/>
            <w:shd w:val="clear" w:color="auto" w:fill="FFFFFF"/>
            <w:lang w:val="es-ES"/>
          </w:rPr>
          <w:t>https://relatoria.colombiacompra.gov.co/busqueda/conceptos</w:t>
        </w:r>
      </w:hyperlink>
      <w:r w:rsidRPr="00E55ABD">
        <w:rPr>
          <w:rStyle w:val="normaltextrun"/>
          <w:rFonts w:ascii="Verdana" w:hAnsi="Verdana" w:cs="Arial"/>
          <w:shd w:val="clear" w:color="auto" w:fill="FFFFFF"/>
          <w:lang w:val="es-ES"/>
        </w:rPr>
        <w:t>.</w:t>
      </w:r>
      <w:r w:rsidRPr="00E55ABD">
        <w:rPr>
          <w:rStyle w:val="normaltextrun"/>
          <w:rFonts w:ascii="Verdana" w:hAnsi="Verdana" w:cs="Arial"/>
          <w:color w:val="FF0000"/>
          <w:shd w:val="clear" w:color="auto" w:fill="FFFFFF"/>
          <w:lang w:val="es-ES"/>
        </w:rPr>
        <w:t xml:space="preserve"> </w:t>
      </w:r>
    </w:p>
    <w:p w14:paraId="1ADEEEE4" w14:textId="77777777" w:rsidR="000D1CA8" w:rsidRPr="00E55ABD" w:rsidRDefault="000D1CA8" w:rsidP="000D1CA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57F58F2" w14:textId="73F532AA" w:rsidR="000D1CA8" w:rsidRPr="00E55ABD" w:rsidRDefault="000D1CA8" w:rsidP="000D1CA8">
      <w:pPr>
        <w:spacing w:after="0" w:line="276" w:lineRule="auto"/>
        <w:jc w:val="both"/>
        <w:rPr>
          <w:rFonts w:ascii="Verdana" w:hAnsi="Verdana"/>
          <w:lang w:val="es-ES"/>
        </w:rPr>
      </w:pPr>
      <w:r w:rsidRPr="00E55ABD">
        <w:rPr>
          <w:rFonts w:ascii="Verdana" w:hAnsi="Verdana"/>
          <w:lang w:val="es-ES"/>
        </w:rPr>
        <w:t xml:space="preserve">Por último, lo invitamos a seguirnos en las redes sociales en las cuales se difunde información institucional: </w:t>
      </w:r>
    </w:p>
    <w:p w14:paraId="31843DFE" w14:textId="77777777" w:rsidR="000D1CA8" w:rsidRPr="00E55ABD" w:rsidRDefault="000D1CA8" w:rsidP="000D1CA8">
      <w:pPr>
        <w:spacing w:after="0" w:line="276" w:lineRule="auto"/>
        <w:jc w:val="both"/>
        <w:rPr>
          <w:rFonts w:ascii="Verdana" w:hAnsi="Verdana"/>
          <w:lang w:val="es-ES"/>
        </w:rPr>
      </w:pPr>
    </w:p>
    <w:p w14:paraId="394AF956" w14:textId="77777777" w:rsidR="000D1CA8" w:rsidRPr="00E55ABD" w:rsidRDefault="000D1CA8" w:rsidP="000D1CA8">
      <w:pPr>
        <w:spacing w:after="0" w:line="276" w:lineRule="auto"/>
        <w:jc w:val="both"/>
        <w:rPr>
          <w:rFonts w:ascii="Verdana" w:hAnsi="Verdana"/>
          <w:lang w:val="es-ES"/>
        </w:rPr>
      </w:pPr>
      <w:r w:rsidRPr="00E55ABD">
        <w:rPr>
          <w:rFonts w:ascii="Verdana" w:hAnsi="Verdana"/>
          <w:lang w:val="es-ES"/>
        </w:rPr>
        <w:t xml:space="preserve">Twitter: </w:t>
      </w:r>
      <w:r w:rsidRPr="00E55ABD">
        <w:rPr>
          <w:rStyle w:val="Hipervnculo"/>
          <w:rFonts w:ascii="Verdana" w:hAnsi="Verdana" w:cs="Arial"/>
          <w:shd w:val="clear" w:color="auto" w:fill="FFFFFF"/>
          <w:lang w:val="es-ES"/>
        </w:rPr>
        <w:t>@colombiacompra</w:t>
      </w:r>
      <w:r w:rsidRPr="00E55ABD">
        <w:rPr>
          <w:rFonts w:ascii="Verdana" w:hAnsi="Verdana"/>
          <w:color w:val="4472C4" w:themeColor="accent1"/>
          <w:lang w:val="es-ES"/>
        </w:rPr>
        <w:t xml:space="preserve"> </w:t>
      </w:r>
    </w:p>
    <w:p w14:paraId="0C4C3DB3" w14:textId="61001C78" w:rsidR="000D1CA8" w:rsidRPr="00E55ABD" w:rsidRDefault="000D1CA8" w:rsidP="000D1CA8">
      <w:pPr>
        <w:spacing w:after="0" w:line="276" w:lineRule="auto"/>
        <w:jc w:val="both"/>
        <w:rPr>
          <w:rFonts w:ascii="Verdana" w:hAnsi="Verdana"/>
          <w:lang w:val="es-ES"/>
        </w:rPr>
      </w:pPr>
      <w:r w:rsidRPr="00E55ABD">
        <w:rPr>
          <w:rFonts w:ascii="Verdana" w:hAnsi="Verdana"/>
          <w:lang w:val="es-ES"/>
        </w:rPr>
        <w:t xml:space="preserve">Facebook: </w:t>
      </w:r>
      <w:r w:rsidRPr="00E55ABD">
        <w:rPr>
          <w:rStyle w:val="Hipervnculo"/>
          <w:rFonts w:ascii="Verdana" w:hAnsi="Verdana" w:cs="Arial"/>
          <w:shd w:val="clear" w:color="auto" w:fill="FFFFFF"/>
          <w:lang w:val="es-ES"/>
        </w:rPr>
        <w:t>ColombiaCompraEficiente</w:t>
      </w:r>
    </w:p>
    <w:p w14:paraId="63E7AD41" w14:textId="001EC67C" w:rsidR="000D1CA8" w:rsidRPr="00E55ABD" w:rsidRDefault="000D1CA8" w:rsidP="000D1CA8">
      <w:pPr>
        <w:spacing w:after="0" w:line="276" w:lineRule="auto"/>
        <w:jc w:val="both"/>
        <w:rPr>
          <w:rFonts w:ascii="Verdana" w:hAnsi="Verdana"/>
          <w:lang w:val="es-ES"/>
        </w:rPr>
      </w:pPr>
      <w:r w:rsidRPr="00E55ABD">
        <w:rPr>
          <w:rFonts w:ascii="Verdana" w:hAnsi="Verdana"/>
          <w:lang w:val="es-ES"/>
        </w:rPr>
        <w:t xml:space="preserve">LinkedIn: </w:t>
      </w:r>
      <w:r w:rsidRPr="00E55ABD">
        <w:rPr>
          <w:rStyle w:val="Hipervnculo"/>
          <w:rFonts w:ascii="Verdana" w:hAnsi="Verdana" w:cs="Arial"/>
          <w:shd w:val="clear" w:color="auto" w:fill="FFFFFF"/>
          <w:lang w:val="es-ES"/>
        </w:rPr>
        <w:t xml:space="preserve">Agencia Nacional de Contratación Pública - Colombia Compra Eficiente </w:t>
      </w:r>
      <w:r w:rsidRPr="00E55ABD">
        <w:rPr>
          <w:rFonts w:ascii="Verdana" w:hAnsi="Verdana"/>
          <w:lang w:val="es-ES"/>
        </w:rPr>
        <w:t xml:space="preserve">Instagram: </w:t>
      </w:r>
      <w:r w:rsidRPr="00E55ABD">
        <w:rPr>
          <w:rStyle w:val="Hipervnculo"/>
          <w:rFonts w:ascii="Verdana" w:hAnsi="Verdana" w:cs="Arial"/>
          <w:shd w:val="clear" w:color="auto" w:fill="FFFFFF"/>
          <w:lang w:val="es-ES"/>
        </w:rPr>
        <w:t>@colombiacompraeficiente_cce</w:t>
      </w:r>
    </w:p>
    <w:p w14:paraId="49EE7D6A" w14:textId="77777777" w:rsidR="000D1CA8" w:rsidRPr="00E55ABD" w:rsidRDefault="000D1CA8" w:rsidP="000D1CA8">
      <w:pPr>
        <w:widowControl w:val="0"/>
        <w:autoSpaceDE w:val="0"/>
        <w:autoSpaceDN w:val="0"/>
        <w:spacing w:after="0" w:line="276" w:lineRule="auto"/>
        <w:jc w:val="both"/>
        <w:rPr>
          <w:rFonts w:ascii="Verdana" w:hAnsi="Verdana" w:cs="Arial"/>
          <w:color w:val="000000" w:themeColor="text1"/>
          <w:lang w:val="es-ES"/>
        </w:rPr>
      </w:pPr>
    </w:p>
    <w:p w14:paraId="5D4E2D70" w14:textId="3C9EFB48" w:rsidR="000D1CA8" w:rsidRPr="00E55ABD" w:rsidRDefault="000D1CA8" w:rsidP="000D1CA8">
      <w:pPr>
        <w:widowControl w:val="0"/>
        <w:autoSpaceDE w:val="0"/>
        <w:autoSpaceDN w:val="0"/>
        <w:spacing w:after="0" w:line="276" w:lineRule="auto"/>
        <w:jc w:val="both"/>
        <w:rPr>
          <w:rFonts w:ascii="Verdana" w:hAnsi="Verdana" w:cs="Arial"/>
          <w:color w:val="000000" w:themeColor="text1"/>
          <w:lang w:val="es-ES"/>
        </w:rPr>
      </w:pPr>
      <w:r w:rsidRPr="00E55ABD">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B320B0A" w14:textId="2430A736" w:rsidR="000D1CA8" w:rsidRPr="00E55ABD" w:rsidRDefault="00E55ABD" w:rsidP="000D1CA8">
      <w:pPr>
        <w:widowControl w:val="0"/>
        <w:autoSpaceDE w:val="0"/>
        <w:autoSpaceDN w:val="0"/>
        <w:spacing w:after="0" w:line="276" w:lineRule="auto"/>
        <w:jc w:val="both"/>
        <w:rPr>
          <w:rFonts w:ascii="Verdana" w:hAnsi="Verdana" w:cs="Arial"/>
          <w:color w:val="000000" w:themeColor="text1"/>
          <w:lang w:val="es-ES"/>
        </w:rPr>
      </w:pPr>
      <w:r w:rsidRPr="00E55ABD">
        <w:rPr>
          <w:rFonts w:ascii="Century Gothic" w:hAnsi="Century Gothic"/>
          <w:noProof/>
          <w:lang w:val="es-ES"/>
        </w:rPr>
        <w:drawing>
          <wp:anchor distT="0" distB="0" distL="114300" distR="114300" simplePos="0" relativeHeight="251660288" behindDoc="0" locked="0" layoutInCell="1" allowOverlap="1" wp14:anchorId="3B797A48" wp14:editId="62ED93B5">
            <wp:simplePos x="0" y="0"/>
            <wp:positionH relativeFrom="column">
              <wp:posOffset>1325614</wp:posOffset>
            </wp:positionH>
            <wp:positionV relativeFrom="page">
              <wp:posOffset>4833108</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p w14:paraId="69DE40F1" w14:textId="5908083B" w:rsidR="000D1CA8" w:rsidRPr="00E55ABD" w:rsidRDefault="000D1CA8" w:rsidP="000D1CA8">
      <w:pPr>
        <w:spacing w:after="0" w:line="276" w:lineRule="auto"/>
        <w:rPr>
          <w:rFonts w:ascii="Verdana" w:hAnsi="Verdana" w:cs="Arial"/>
          <w:color w:val="000000" w:themeColor="text1"/>
          <w:lang w:val="es-ES" w:eastAsia="es-CO"/>
        </w:rPr>
      </w:pPr>
      <w:r w:rsidRPr="00E55ABD">
        <w:rPr>
          <w:rFonts w:ascii="Verdana" w:eastAsia="Times New Roman" w:hAnsi="Verdana" w:cs="Arial"/>
          <w:color w:val="000000" w:themeColor="text1"/>
          <w:lang w:val="es-ES" w:eastAsia="es-CO"/>
        </w:rPr>
        <w:t>Atentamente,</w:t>
      </w:r>
      <w:r w:rsidRPr="00E55ABD">
        <w:rPr>
          <w:rFonts w:ascii="Verdana" w:hAnsi="Verdana" w:cs="Arial"/>
          <w:color w:val="000000" w:themeColor="text1"/>
          <w:lang w:val="es-ES" w:eastAsia="es-CO"/>
        </w:rPr>
        <w:t xml:space="preserve"> </w:t>
      </w:r>
    </w:p>
    <w:p w14:paraId="272F4023" w14:textId="6DA2DBE3" w:rsidR="005D5719" w:rsidRPr="00E55ABD" w:rsidRDefault="005D5719" w:rsidP="000D1CA8">
      <w:pPr>
        <w:spacing w:after="0" w:line="276" w:lineRule="auto"/>
        <w:rPr>
          <w:rFonts w:ascii="Verdana" w:hAnsi="Verdana" w:cs="Arial"/>
          <w:color w:val="000000" w:themeColor="text1"/>
          <w:lang w:val="es-ES" w:eastAsia="es-CO"/>
        </w:rPr>
      </w:pPr>
    </w:p>
    <w:p w14:paraId="5FD06CA5" w14:textId="0F9C4CE9" w:rsidR="005D5719" w:rsidRPr="00E55ABD" w:rsidRDefault="005D5719" w:rsidP="000D1CA8">
      <w:pPr>
        <w:spacing w:after="0" w:line="276" w:lineRule="auto"/>
        <w:rPr>
          <w:rFonts w:ascii="Verdana" w:hAnsi="Verdana" w:cs="Arial"/>
          <w:color w:val="000000" w:themeColor="text1"/>
          <w:lang w:val="es-ES" w:eastAsia="es-CO"/>
        </w:rPr>
      </w:pPr>
    </w:p>
    <w:bookmarkEnd w:id="0"/>
    <w:p w14:paraId="0E6E543E" w14:textId="66AFEB1E" w:rsidR="000D1CA8" w:rsidRPr="00E55ABD" w:rsidRDefault="000D1CA8" w:rsidP="000D1CA8">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D1CA8" w:rsidRPr="00E55ABD" w14:paraId="36FCA867" w14:textId="77777777" w:rsidTr="00B24F77">
        <w:trPr>
          <w:trHeight w:val="315"/>
        </w:trPr>
        <w:tc>
          <w:tcPr>
            <w:tcW w:w="893" w:type="dxa"/>
            <w:vAlign w:val="center"/>
            <w:hideMark/>
          </w:tcPr>
          <w:p w14:paraId="39A27736" w14:textId="77777777" w:rsidR="000D1CA8" w:rsidRPr="00E55ABD" w:rsidRDefault="000D1CA8" w:rsidP="00B24F77">
            <w:pPr>
              <w:contextualSpacing/>
              <w:rPr>
                <w:rFonts w:ascii="Verdana" w:hAnsi="Verdana" w:cs="Arial"/>
                <w:sz w:val="16"/>
                <w:szCs w:val="16"/>
                <w:lang w:val="es-ES" w:eastAsia="es-ES"/>
              </w:rPr>
            </w:pPr>
            <w:r w:rsidRPr="00E55AB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8C41E4C" w14:textId="44B1611D" w:rsidR="000D1CA8" w:rsidRPr="00E55ABD" w:rsidRDefault="000D1CA8" w:rsidP="00B24F77">
            <w:pPr>
              <w:contextualSpacing/>
              <w:rPr>
                <w:rFonts w:ascii="Verdana" w:eastAsia="Arial" w:hAnsi="Verdana" w:cs="Arial"/>
                <w:color w:val="000000" w:themeColor="text1"/>
                <w:sz w:val="16"/>
                <w:szCs w:val="16"/>
                <w:lang w:val="es-ES"/>
              </w:rPr>
            </w:pPr>
            <w:r w:rsidRPr="00E55ABD">
              <w:rPr>
                <w:rFonts w:ascii="Verdana" w:eastAsia="Arial" w:hAnsi="Verdana" w:cs="Arial"/>
                <w:color w:val="000000" w:themeColor="text1"/>
                <w:sz w:val="16"/>
                <w:szCs w:val="16"/>
                <w:lang w:val="es-ES"/>
              </w:rPr>
              <w:t>Anamaría Bonilla Prieto</w:t>
            </w:r>
          </w:p>
          <w:p w14:paraId="06CB0E9F" w14:textId="77777777" w:rsidR="000D1CA8" w:rsidRPr="00E55ABD" w:rsidRDefault="000D1CA8" w:rsidP="00B24F77">
            <w:pPr>
              <w:contextualSpacing/>
              <w:rPr>
                <w:rFonts w:ascii="Verdana" w:eastAsia="Arial" w:hAnsi="Verdana" w:cs="Arial"/>
                <w:sz w:val="16"/>
                <w:szCs w:val="16"/>
                <w:lang w:val="es-ES"/>
              </w:rPr>
            </w:pPr>
            <w:r w:rsidRPr="00E55ABD">
              <w:rPr>
                <w:rStyle w:val="normaltextrun"/>
                <w:rFonts w:ascii="Verdana" w:eastAsia="Arial" w:hAnsi="Verdana" w:cs="Arial"/>
                <w:color w:val="000000" w:themeColor="text1"/>
                <w:sz w:val="16"/>
                <w:szCs w:val="16"/>
                <w:lang w:val="es-ES"/>
              </w:rPr>
              <w:t xml:space="preserve">Contratista de la Subdirección </w:t>
            </w:r>
            <w:r w:rsidRPr="00E55ABD">
              <w:rPr>
                <w:rStyle w:val="normaltextrun"/>
                <w:rFonts w:ascii="Verdana" w:eastAsia="Arial" w:hAnsi="Verdana" w:cs="Arial"/>
                <w:sz w:val="16"/>
                <w:szCs w:val="16"/>
                <w:lang w:val="es-ES"/>
              </w:rPr>
              <w:t>de Gestión Contractual</w:t>
            </w:r>
          </w:p>
        </w:tc>
      </w:tr>
      <w:tr w:rsidR="000D1CA8" w:rsidRPr="00E55ABD" w14:paraId="0191927C" w14:textId="77777777" w:rsidTr="00B24F77">
        <w:trPr>
          <w:trHeight w:val="330"/>
        </w:trPr>
        <w:tc>
          <w:tcPr>
            <w:tcW w:w="893" w:type="dxa"/>
            <w:vAlign w:val="center"/>
            <w:hideMark/>
          </w:tcPr>
          <w:p w14:paraId="15D54B91" w14:textId="77777777" w:rsidR="000D1CA8" w:rsidRPr="00E55ABD" w:rsidRDefault="000D1CA8" w:rsidP="00B24F77">
            <w:pPr>
              <w:contextualSpacing/>
              <w:rPr>
                <w:rFonts w:ascii="Verdana" w:hAnsi="Verdana" w:cs="Arial"/>
                <w:sz w:val="16"/>
                <w:szCs w:val="16"/>
                <w:lang w:val="es-ES" w:eastAsia="es-ES"/>
              </w:rPr>
            </w:pPr>
            <w:r w:rsidRPr="00E55AB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2C0AC7A" w14:textId="12AF1A35" w:rsidR="000D1CA8" w:rsidRPr="00E55ABD" w:rsidRDefault="000D1CA8" w:rsidP="00B24F77">
            <w:pPr>
              <w:contextualSpacing/>
              <w:rPr>
                <w:rFonts w:ascii="Verdana" w:eastAsia="Arial" w:hAnsi="Verdana" w:cs="Arial"/>
                <w:color w:val="000000" w:themeColor="text1"/>
                <w:sz w:val="16"/>
                <w:szCs w:val="16"/>
                <w:lang w:val="es-ES"/>
              </w:rPr>
            </w:pPr>
            <w:r w:rsidRPr="00E55ABD">
              <w:rPr>
                <w:rFonts w:ascii="Verdana" w:eastAsia="Arial" w:hAnsi="Verdana" w:cs="Arial"/>
                <w:color w:val="000000" w:themeColor="text1"/>
                <w:sz w:val="16"/>
                <w:szCs w:val="16"/>
                <w:lang w:val="es-ES"/>
              </w:rPr>
              <w:t>Alejandro Sarmiento Cantillo</w:t>
            </w:r>
          </w:p>
          <w:p w14:paraId="24A5A401" w14:textId="77777777" w:rsidR="000D1CA8" w:rsidRPr="00E55ABD" w:rsidRDefault="000D1CA8" w:rsidP="00B24F77">
            <w:pPr>
              <w:contextualSpacing/>
              <w:rPr>
                <w:rFonts w:ascii="Verdana" w:hAnsi="Verdana" w:cs="Segoe UI"/>
                <w:sz w:val="16"/>
                <w:szCs w:val="16"/>
                <w:lang w:val="es-ES"/>
              </w:rPr>
            </w:pPr>
            <w:r w:rsidRPr="00E55ABD">
              <w:rPr>
                <w:rFonts w:ascii="Verdana" w:eastAsia="Arial" w:hAnsi="Verdana" w:cs="Arial"/>
                <w:color w:val="000000" w:themeColor="text1"/>
                <w:sz w:val="16"/>
                <w:szCs w:val="16"/>
                <w:lang w:val="es-ES"/>
              </w:rPr>
              <w:t>Gestor T1 – 15 de la Subdirección de Gestión Contractual</w:t>
            </w:r>
            <w:r w:rsidRPr="00E55ABD">
              <w:rPr>
                <w:rFonts w:ascii="Verdana" w:hAnsi="Verdana" w:cs="Segoe UI"/>
                <w:sz w:val="16"/>
                <w:szCs w:val="16"/>
                <w:lang w:val="es-ES"/>
              </w:rPr>
              <w:t> </w:t>
            </w:r>
          </w:p>
        </w:tc>
      </w:tr>
      <w:tr w:rsidR="000D1CA8" w:rsidRPr="00E55ABD" w14:paraId="6493ABE0" w14:textId="77777777" w:rsidTr="00B24F77">
        <w:trPr>
          <w:trHeight w:val="300"/>
        </w:trPr>
        <w:tc>
          <w:tcPr>
            <w:tcW w:w="893" w:type="dxa"/>
            <w:vAlign w:val="center"/>
          </w:tcPr>
          <w:p w14:paraId="48AD4389" w14:textId="77777777" w:rsidR="000D1CA8" w:rsidRPr="00E55ABD" w:rsidRDefault="000D1CA8" w:rsidP="00B24F77">
            <w:pPr>
              <w:contextualSpacing/>
              <w:rPr>
                <w:rFonts w:ascii="Verdana" w:hAnsi="Verdana" w:cs="Arial"/>
                <w:sz w:val="16"/>
                <w:szCs w:val="16"/>
                <w:lang w:val="es-ES" w:eastAsia="es-ES"/>
              </w:rPr>
            </w:pPr>
            <w:r w:rsidRPr="00E55AB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A04CA38" w14:textId="4074153E" w:rsidR="000D1CA8" w:rsidRPr="00E55ABD" w:rsidRDefault="000D1CA8" w:rsidP="00B24F77">
            <w:pPr>
              <w:contextualSpacing/>
              <w:rPr>
                <w:rFonts w:ascii="Verdana" w:eastAsia="Calibri" w:hAnsi="Verdana" w:cs="Arial"/>
                <w:sz w:val="16"/>
                <w:szCs w:val="16"/>
                <w:lang w:val="es-ES" w:eastAsia="es-ES"/>
              </w:rPr>
            </w:pPr>
            <w:r w:rsidRPr="00E55ABD">
              <w:rPr>
                <w:rFonts w:ascii="Verdana" w:eastAsia="Calibri" w:hAnsi="Verdana" w:cs="Arial"/>
                <w:sz w:val="16"/>
                <w:szCs w:val="16"/>
                <w:lang w:val="es-ES" w:eastAsia="es-ES"/>
              </w:rPr>
              <w:t>Carolina Quintero Gacharná</w:t>
            </w:r>
          </w:p>
          <w:p w14:paraId="64CE976A" w14:textId="77777777" w:rsidR="000D1CA8" w:rsidRPr="00E55ABD" w:rsidRDefault="000D1CA8" w:rsidP="00B24F77">
            <w:pPr>
              <w:contextualSpacing/>
              <w:rPr>
                <w:rFonts w:ascii="Verdana" w:eastAsia="Calibri" w:hAnsi="Verdana" w:cs="Arial"/>
                <w:sz w:val="16"/>
                <w:szCs w:val="16"/>
                <w:lang w:val="es-ES" w:eastAsia="es-ES"/>
              </w:rPr>
            </w:pPr>
            <w:r w:rsidRPr="00E55ABD">
              <w:rPr>
                <w:rFonts w:ascii="Verdana" w:eastAsia="Calibri" w:hAnsi="Verdana" w:cs="Arial"/>
                <w:sz w:val="16"/>
                <w:szCs w:val="16"/>
                <w:lang w:val="es-ES" w:eastAsia="es-ES"/>
              </w:rPr>
              <w:t>Subdirectora de Gestión Contractual ANCP – CCE</w:t>
            </w:r>
          </w:p>
        </w:tc>
      </w:tr>
    </w:tbl>
    <w:p w14:paraId="0F293BF4" w14:textId="5500F010" w:rsidR="00127233" w:rsidRPr="00E55ABD" w:rsidRDefault="00127233" w:rsidP="000D49DF">
      <w:pPr>
        <w:rPr>
          <w:lang w:val="es-ES"/>
        </w:rPr>
      </w:pPr>
    </w:p>
    <w:sectPr w:rsidR="00127233" w:rsidRPr="00E55AB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06306" w14:textId="77777777" w:rsidR="008D2739" w:rsidRDefault="008D2739" w:rsidP="004A1847">
      <w:pPr>
        <w:spacing w:after="0" w:line="240" w:lineRule="auto"/>
      </w:pPr>
      <w:r>
        <w:separator/>
      </w:r>
    </w:p>
  </w:endnote>
  <w:endnote w:type="continuationSeparator" w:id="0">
    <w:p w14:paraId="2CCA3909" w14:textId="77777777" w:rsidR="008D2739" w:rsidRDefault="008D2739" w:rsidP="004A1847">
      <w:pPr>
        <w:spacing w:after="0" w:line="240" w:lineRule="auto"/>
      </w:pPr>
      <w:r>
        <w:continuationSeparator/>
      </w:r>
    </w:p>
  </w:endnote>
  <w:endnote w:type="continuationNotice" w:id="1">
    <w:p w14:paraId="05405309" w14:textId="77777777" w:rsidR="008D2739" w:rsidRDefault="008D27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D529AE"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D529AE">
      <w:rPr>
        <w:rFonts w:ascii="Century Gothic" w:eastAsia="Geo" w:hAnsi="Century Gothic" w:cs="Geo"/>
        <w:b/>
        <w:bCs/>
        <w:color w:val="000000" w:themeColor="text1"/>
        <w:sz w:val="16"/>
        <w:szCs w:val="16"/>
        <w:lang w:val="pt-BR" w:eastAsia="es-CO"/>
      </w:rPr>
      <w:t xml:space="preserve">Código: </w:t>
    </w:r>
    <w:r w:rsidRPr="00D529AE">
      <w:rPr>
        <w:rFonts w:ascii="Century Gothic" w:eastAsia="Geo" w:hAnsi="Century Gothic" w:cs="Geo"/>
        <w:color w:val="000000" w:themeColor="text1"/>
        <w:sz w:val="16"/>
        <w:szCs w:val="16"/>
        <w:lang w:val="pt-BR" w:eastAsia="es-CO"/>
      </w:rPr>
      <w:t xml:space="preserve">CCE-REC-FM-17 </w:t>
    </w:r>
    <w:r w:rsidRPr="00D529AE">
      <w:rPr>
        <w:rFonts w:ascii="Century Gothic" w:eastAsia="Geo" w:hAnsi="Century Gothic" w:cs="Geo"/>
        <w:b/>
        <w:bCs/>
        <w:color w:val="000000" w:themeColor="text1"/>
        <w:sz w:val="16"/>
        <w:szCs w:val="16"/>
        <w:lang w:val="pt-BR" w:eastAsia="es-CO"/>
      </w:rPr>
      <w:t>V</w:t>
    </w:r>
    <w:r w:rsidRPr="00D529AE">
      <w:rPr>
        <w:rFonts w:ascii="Century Gothic" w:eastAsia="Arial Nova" w:hAnsi="Century Gothic" w:cs="Arial Nova"/>
        <w:b/>
        <w:bCs/>
        <w:color w:val="000000" w:themeColor="text1"/>
        <w:sz w:val="16"/>
        <w:szCs w:val="16"/>
        <w:lang w:val="pt-BR" w:eastAsia="es-CO"/>
      </w:rPr>
      <w:t xml:space="preserve">: </w:t>
    </w:r>
    <w:r w:rsidRPr="00D529AE">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E21DE" w14:textId="77777777" w:rsidR="008D2739" w:rsidRDefault="008D2739" w:rsidP="004A1847">
      <w:pPr>
        <w:spacing w:after="0" w:line="240" w:lineRule="auto"/>
      </w:pPr>
      <w:r>
        <w:separator/>
      </w:r>
    </w:p>
  </w:footnote>
  <w:footnote w:type="continuationSeparator" w:id="0">
    <w:p w14:paraId="76C9C7E7" w14:textId="77777777" w:rsidR="008D2739" w:rsidRDefault="008D2739" w:rsidP="004A1847">
      <w:pPr>
        <w:spacing w:after="0" w:line="240" w:lineRule="auto"/>
      </w:pPr>
      <w:r>
        <w:continuationSeparator/>
      </w:r>
    </w:p>
  </w:footnote>
  <w:footnote w:type="continuationNotice" w:id="1">
    <w:p w14:paraId="437D4CC0" w14:textId="77777777" w:rsidR="008D2739" w:rsidRDefault="008D2739">
      <w:pPr>
        <w:spacing w:after="0" w:line="240" w:lineRule="auto"/>
      </w:pPr>
    </w:p>
  </w:footnote>
  <w:footnote w:id="2">
    <w:p w14:paraId="0F349E0B" w14:textId="77777777" w:rsidR="000D1CA8" w:rsidRPr="005D42C1" w:rsidRDefault="000D1CA8" w:rsidP="000D1CA8">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3C30AEBE" w14:textId="495483C6" w:rsidR="000D1CA8" w:rsidRPr="005D42C1" w:rsidRDefault="000D1CA8" w:rsidP="00A370E3">
      <w:pPr>
        <w:spacing w:after="0" w:line="240" w:lineRule="auto"/>
        <w:ind w:firstLine="709"/>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footnote>
  <w:footnote w:id="3">
    <w:p w14:paraId="57F33CC2" w14:textId="19A77C34" w:rsidR="00A370E3" w:rsidRPr="006366CF" w:rsidRDefault="000D1CA8" w:rsidP="00A370E3">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footnote>
  <w:footnote w:id="4">
    <w:p w14:paraId="1CCF7D35" w14:textId="77777777" w:rsidR="000D1CA8" w:rsidRPr="006366CF" w:rsidRDefault="000D1CA8" w:rsidP="000D1CA8">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5">
    <w:p w14:paraId="5F030AE1" w14:textId="77777777" w:rsidR="000D1CA8" w:rsidRPr="006366CF" w:rsidRDefault="000D1CA8" w:rsidP="000D1CA8">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DE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6366CF">
        <w:rPr>
          <w:rFonts w:ascii="Verdana" w:hAnsi="Verdana"/>
          <w:bCs/>
          <w:sz w:val="16"/>
          <w:szCs w:val="16"/>
        </w:rPr>
        <w:t xml:space="preserve">70313. </w:t>
      </w:r>
    </w:p>
  </w:footnote>
  <w:footnote w:id="6">
    <w:p w14:paraId="376EABDB" w14:textId="117391A7" w:rsidR="000D1CA8" w:rsidRPr="006366CF" w:rsidRDefault="000D1CA8" w:rsidP="00A370E3">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7">
    <w:p w14:paraId="2BC3B08D" w14:textId="77777777" w:rsidR="000D1CA8" w:rsidRPr="006366CF" w:rsidRDefault="000D1CA8" w:rsidP="000D1CA8">
      <w:pPr>
        <w:pStyle w:val="Textonotapie"/>
        <w:ind w:firstLine="708"/>
        <w:jc w:val="both"/>
        <w:rPr>
          <w:rFonts w:ascii="Verdana" w:hAnsi="Verdana"/>
          <w:sz w:val="16"/>
          <w:szCs w:val="16"/>
          <w:lang w:val="es-ES"/>
        </w:rPr>
      </w:pPr>
      <w:r w:rsidRPr="006366CF">
        <w:rPr>
          <w:rStyle w:val="Refdenotaalpie"/>
          <w:rFonts w:ascii="Verdana" w:hAnsi="Verdana"/>
          <w:sz w:val="16"/>
          <w:szCs w:val="16"/>
        </w:rPr>
        <w:footnoteRef/>
      </w:r>
      <w:r w:rsidRPr="006366CF">
        <w:rPr>
          <w:rFonts w:ascii="Verdana" w:hAnsi="Verdana"/>
          <w:sz w:val="16"/>
          <w:szCs w:val="16"/>
        </w:rPr>
        <w:t xml:space="preserve"> CONSEJO DE ESTADO. Sección Tercera, Subsección A. Sentencia del 25 de mayo de 2025. C.P. María Adriana Marín Hernández. Exp. 70.504; CONSEJO DE ESTADO. Sección Tercera, Subsección A. Sentencia del 16 de agosto de 2022, C.P.: María Adriana Marín. Exp. 60434.</w:t>
      </w:r>
    </w:p>
  </w:footnote>
  <w:footnote w:id="8">
    <w:p w14:paraId="0D58C959" w14:textId="77777777" w:rsidR="000D1CA8" w:rsidRPr="00AD7D5F" w:rsidRDefault="000D1CA8" w:rsidP="000D1CA8">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CONSEJO DE ESTADO. Sección Tercera, Subsección A. Sentencia del 14 de junio de 2019, C.P.: Marta Nubia Velásquez Rico. Rad.: 25000-23-37-000-2010-02552-01 (AP); CONSEJO DE ESTADO. Sección Tercera, Subsección A. Sentencia del 25 de mayo de 2025. C.P. María Adriana Marín Hernández. Exp. 70.504.</w:t>
      </w:r>
    </w:p>
  </w:footnote>
  <w:footnote w:id="9">
    <w:p w14:paraId="267B26E8" w14:textId="65FF6286" w:rsidR="00A370E3" w:rsidRPr="00D050D2" w:rsidRDefault="000D1CA8" w:rsidP="00A370E3">
      <w:pPr>
        <w:spacing w:after="0" w:line="240" w:lineRule="auto"/>
        <w:ind w:firstLine="709"/>
        <w:contextualSpacing/>
        <w:jc w:val="both"/>
        <w:rPr>
          <w:rFonts w:ascii="Verdana" w:hAnsi="Verdana"/>
          <w:sz w:val="16"/>
          <w:szCs w:val="16"/>
        </w:rPr>
      </w:pPr>
      <w:r w:rsidRPr="00D050D2">
        <w:rPr>
          <w:rStyle w:val="Refdenotaalpie"/>
          <w:rFonts w:ascii="Verdana" w:hAnsi="Verdana"/>
          <w:sz w:val="16"/>
          <w:szCs w:val="16"/>
        </w:rPr>
        <w:footnoteRef/>
      </w:r>
      <w:r w:rsidRPr="00D050D2">
        <w:rPr>
          <w:rFonts w:ascii="Verdana" w:hAnsi="Verdana"/>
          <w:sz w:val="16"/>
          <w:szCs w:val="16"/>
        </w:rPr>
        <w:t xml:space="preserve"> CONSEJO DE ESTADO. Sala de Consulta y Servicio Civil.</w:t>
      </w:r>
      <w:r w:rsidRPr="00D050D2">
        <w:rPr>
          <w:rFonts w:ascii="Verdana" w:hAnsi="Verdana"/>
          <w:i/>
          <w:sz w:val="16"/>
          <w:szCs w:val="16"/>
        </w:rPr>
        <w:t xml:space="preserve"> </w:t>
      </w:r>
      <w:r w:rsidRPr="00D050D2">
        <w:rPr>
          <w:rFonts w:ascii="Verdana" w:hAnsi="Verdana"/>
          <w:sz w:val="16"/>
          <w:szCs w:val="16"/>
        </w:rPr>
        <w:t>C.P.: Óscar Daría Amaya Navas. Concepto del 06 de junio 2018. Radicación número: 2369.</w:t>
      </w:r>
    </w:p>
  </w:footnote>
  <w:footnote w:id="10">
    <w:p w14:paraId="085FD523" w14:textId="08775B8A" w:rsidR="00A370E3" w:rsidRPr="00A370E3" w:rsidRDefault="000D1CA8" w:rsidP="00A370E3">
      <w:pPr>
        <w:pStyle w:val="Textonotapie"/>
        <w:ind w:firstLine="708"/>
        <w:jc w:val="both"/>
        <w:rPr>
          <w:rFonts w:ascii="Verdana" w:hAnsi="Verdana" w:cs="Arial"/>
          <w:sz w:val="16"/>
          <w:szCs w:val="16"/>
        </w:rPr>
      </w:pPr>
      <w:r w:rsidRPr="00B338D2">
        <w:rPr>
          <w:rStyle w:val="Refdenotaalpie"/>
          <w:rFonts w:ascii="Verdana" w:hAnsi="Verdana" w:cs="Arial"/>
          <w:sz w:val="16"/>
          <w:szCs w:val="16"/>
        </w:rPr>
        <w:footnoteRef/>
      </w:r>
      <w:r w:rsidRPr="00B338D2">
        <w:rPr>
          <w:rFonts w:ascii="Verdana" w:hAnsi="Verdana" w:cs="Arial"/>
          <w:sz w:val="16"/>
          <w:szCs w:val="16"/>
        </w:rPr>
        <w:t xml:space="preserve"> </w:t>
      </w:r>
      <w:r w:rsidRPr="00B338D2">
        <w:rPr>
          <w:rFonts w:ascii="Verdana" w:hAnsi="Verdana" w:cs="Arial"/>
          <w:bCs/>
          <w:i/>
          <w:sz w:val="16"/>
          <w:szCs w:val="16"/>
        </w:rPr>
        <w:t xml:space="preserve">Cfr. </w:t>
      </w:r>
      <w:r w:rsidRPr="00B338D2">
        <w:rPr>
          <w:rFonts w:ascii="Verdana" w:hAnsi="Verdana" w:cs="Arial"/>
          <w:sz w:val="16"/>
          <w:szCs w:val="16"/>
        </w:rPr>
        <w:t>DAVILA VINUEZA Luis Guillermo. Régimen Jurídico de la contratación estatal. Bogotá: Editorial Legis, 2001, p. 387.</w:t>
      </w:r>
    </w:p>
  </w:footnote>
  <w:footnote w:id="11">
    <w:p w14:paraId="429957AB" w14:textId="77777777" w:rsidR="000D1CA8" w:rsidRPr="00B338D2" w:rsidRDefault="000D1CA8" w:rsidP="000D1CA8">
      <w:pPr>
        <w:pStyle w:val="Textonotapie"/>
        <w:ind w:firstLine="708"/>
        <w:jc w:val="both"/>
        <w:rPr>
          <w:rFonts w:ascii="Verdana" w:hAnsi="Verdana" w:cs="Arial"/>
          <w:sz w:val="16"/>
          <w:szCs w:val="16"/>
          <w:lang w:val="es-CO"/>
        </w:rPr>
      </w:pPr>
      <w:r w:rsidRPr="00B338D2">
        <w:rPr>
          <w:rStyle w:val="Refdenotaalpie"/>
          <w:rFonts w:ascii="Verdana" w:hAnsi="Verdana" w:cs="Arial"/>
          <w:sz w:val="16"/>
          <w:szCs w:val="16"/>
        </w:rPr>
        <w:footnoteRef/>
      </w:r>
      <w:r w:rsidRPr="00B338D2">
        <w:rPr>
          <w:rFonts w:ascii="Verdana" w:hAnsi="Verdana" w:cs="Arial"/>
          <w:sz w:val="16"/>
          <w:szCs w:val="16"/>
        </w:rPr>
        <w:t xml:space="preserve"> </w:t>
      </w:r>
      <w:r w:rsidRPr="00B338D2">
        <w:rPr>
          <w:rFonts w:ascii="Verdana" w:hAnsi="Verdana" w:cs="Arial"/>
          <w:sz w:val="16"/>
          <w:szCs w:val="16"/>
          <w:lang w:val="es-CO"/>
        </w:rPr>
        <w:t>Sobre el particular resultan pertinentes las consideraciones efectuadas en el mismo sentido por la</w:t>
      </w:r>
      <w:r w:rsidRPr="00B338D2">
        <w:rPr>
          <w:rFonts w:ascii="Verdana" w:eastAsia="Times New Roman" w:hAnsi="Verdana" w:cs="Arial"/>
          <w:sz w:val="16"/>
          <w:szCs w:val="16"/>
          <w:lang w:val="es-ES" w:eastAsia="es-ES"/>
        </w:rPr>
        <w:t xml:space="preserve"> Sala de Consulta y Servicio Civil del Consejo de Estado en el concepto del 13 de agosto de 2009, rad. </w:t>
      </w:r>
      <w:r w:rsidRPr="00B338D2">
        <w:rPr>
          <w:rFonts w:ascii="Verdana" w:eastAsia="Times New Roman" w:hAnsi="Verdana" w:cs="Arial"/>
          <w:bCs/>
          <w:sz w:val="16"/>
          <w:szCs w:val="16"/>
          <w:lang w:val="es-ES" w:eastAsia="es-ES"/>
        </w:rPr>
        <w:t xml:space="preserve">1.952, C.P. Enrique José Arboleda Perdomo y por la Corte Constitucional en la sentencia C-300 de 2012.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571424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3D38"/>
    <w:rsid w:val="00061B2A"/>
    <w:rsid w:val="00082362"/>
    <w:rsid w:val="000902FC"/>
    <w:rsid w:val="000A683E"/>
    <w:rsid w:val="000B19B9"/>
    <w:rsid w:val="000D0334"/>
    <w:rsid w:val="000D1CA8"/>
    <w:rsid w:val="000D49DF"/>
    <w:rsid w:val="000D5DA7"/>
    <w:rsid w:val="000F6486"/>
    <w:rsid w:val="00116940"/>
    <w:rsid w:val="00125105"/>
    <w:rsid w:val="00127233"/>
    <w:rsid w:val="00141D48"/>
    <w:rsid w:val="0015699B"/>
    <w:rsid w:val="001669E0"/>
    <w:rsid w:val="001A33BF"/>
    <w:rsid w:val="001E4177"/>
    <w:rsid w:val="001F0B24"/>
    <w:rsid w:val="001F7DC6"/>
    <w:rsid w:val="0020653D"/>
    <w:rsid w:val="0022400B"/>
    <w:rsid w:val="002421BB"/>
    <w:rsid w:val="0025796E"/>
    <w:rsid w:val="002707A2"/>
    <w:rsid w:val="002951A0"/>
    <w:rsid w:val="002962BC"/>
    <w:rsid w:val="002A093D"/>
    <w:rsid w:val="002A0DD0"/>
    <w:rsid w:val="002A49AC"/>
    <w:rsid w:val="002A64FD"/>
    <w:rsid w:val="002C7A4D"/>
    <w:rsid w:val="002C7A84"/>
    <w:rsid w:val="002E2BF8"/>
    <w:rsid w:val="002E4FD9"/>
    <w:rsid w:val="0030657A"/>
    <w:rsid w:val="00322A85"/>
    <w:rsid w:val="00324168"/>
    <w:rsid w:val="00330834"/>
    <w:rsid w:val="003448F4"/>
    <w:rsid w:val="00367F2E"/>
    <w:rsid w:val="00374F5E"/>
    <w:rsid w:val="00377E3E"/>
    <w:rsid w:val="00386981"/>
    <w:rsid w:val="003A779E"/>
    <w:rsid w:val="003B5CB7"/>
    <w:rsid w:val="003D0F4D"/>
    <w:rsid w:val="003D5B0D"/>
    <w:rsid w:val="003E0499"/>
    <w:rsid w:val="003E4F80"/>
    <w:rsid w:val="003E6439"/>
    <w:rsid w:val="003F3941"/>
    <w:rsid w:val="003F4C55"/>
    <w:rsid w:val="00406575"/>
    <w:rsid w:val="00414C74"/>
    <w:rsid w:val="0042722E"/>
    <w:rsid w:val="004407AB"/>
    <w:rsid w:val="0044528D"/>
    <w:rsid w:val="00466E39"/>
    <w:rsid w:val="004A1847"/>
    <w:rsid w:val="004A305D"/>
    <w:rsid w:val="004F21C4"/>
    <w:rsid w:val="004F685F"/>
    <w:rsid w:val="00517B1E"/>
    <w:rsid w:val="005552AA"/>
    <w:rsid w:val="005566E8"/>
    <w:rsid w:val="00574867"/>
    <w:rsid w:val="00590DE5"/>
    <w:rsid w:val="00591460"/>
    <w:rsid w:val="005A65E0"/>
    <w:rsid w:val="005C3777"/>
    <w:rsid w:val="005C49F4"/>
    <w:rsid w:val="005C5CDC"/>
    <w:rsid w:val="005D476C"/>
    <w:rsid w:val="005D5719"/>
    <w:rsid w:val="006200BF"/>
    <w:rsid w:val="006219F8"/>
    <w:rsid w:val="006302F7"/>
    <w:rsid w:val="00646B9F"/>
    <w:rsid w:val="00665D70"/>
    <w:rsid w:val="006900D9"/>
    <w:rsid w:val="00706C16"/>
    <w:rsid w:val="0072200B"/>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1392"/>
    <w:rsid w:val="00844AE9"/>
    <w:rsid w:val="00851EE8"/>
    <w:rsid w:val="00867116"/>
    <w:rsid w:val="00867F95"/>
    <w:rsid w:val="008843B6"/>
    <w:rsid w:val="00891928"/>
    <w:rsid w:val="008A446D"/>
    <w:rsid w:val="008B25F1"/>
    <w:rsid w:val="008D180B"/>
    <w:rsid w:val="008D2739"/>
    <w:rsid w:val="008F0EA7"/>
    <w:rsid w:val="00923EEF"/>
    <w:rsid w:val="009268D0"/>
    <w:rsid w:val="009419F9"/>
    <w:rsid w:val="0095685E"/>
    <w:rsid w:val="00961B09"/>
    <w:rsid w:val="00965334"/>
    <w:rsid w:val="0097093E"/>
    <w:rsid w:val="00984C06"/>
    <w:rsid w:val="009A0DFA"/>
    <w:rsid w:val="009A1C6F"/>
    <w:rsid w:val="009B2D26"/>
    <w:rsid w:val="009C71FA"/>
    <w:rsid w:val="009C72E7"/>
    <w:rsid w:val="009C7F7E"/>
    <w:rsid w:val="009D3058"/>
    <w:rsid w:val="009F3A13"/>
    <w:rsid w:val="00A122D3"/>
    <w:rsid w:val="00A14468"/>
    <w:rsid w:val="00A17F13"/>
    <w:rsid w:val="00A20739"/>
    <w:rsid w:val="00A23AF9"/>
    <w:rsid w:val="00A25CAA"/>
    <w:rsid w:val="00A32E48"/>
    <w:rsid w:val="00A33C78"/>
    <w:rsid w:val="00A370E3"/>
    <w:rsid w:val="00AB0ADB"/>
    <w:rsid w:val="00AC536F"/>
    <w:rsid w:val="00B00C0E"/>
    <w:rsid w:val="00B01B1A"/>
    <w:rsid w:val="00B0381D"/>
    <w:rsid w:val="00B44A47"/>
    <w:rsid w:val="00B52B3E"/>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4E0E"/>
    <w:rsid w:val="00D07D96"/>
    <w:rsid w:val="00D16CFC"/>
    <w:rsid w:val="00D361FD"/>
    <w:rsid w:val="00D423A2"/>
    <w:rsid w:val="00D44E26"/>
    <w:rsid w:val="00D520D8"/>
    <w:rsid w:val="00D529AE"/>
    <w:rsid w:val="00D63AC2"/>
    <w:rsid w:val="00D7383B"/>
    <w:rsid w:val="00D7788A"/>
    <w:rsid w:val="00D93FDB"/>
    <w:rsid w:val="00DA231B"/>
    <w:rsid w:val="00DC39FC"/>
    <w:rsid w:val="00DF501C"/>
    <w:rsid w:val="00DF5254"/>
    <w:rsid w:val="00E02524"/>
    <w:rsid w:val="00E16408"/>
    <w:rsid w:val="00E20894"/>
    <w:rsid w:val="00E245AB"/>
    <w:rsid w:val="00E2764C"/>
    <w:rsid w:val="00E27F2E"/>
    <w:rsid w:val="00E50AFE"/>
    <w:rsid w:val="00E55ABD"/>
    <w:rsid w:val="00E7046B"/>
    <w:rsid w:val="00E75C92"/>
    <w:rsid w:val="00E771DC"/>
    <w:rsid w:val="00E8772A"/>
    <w:rsid w:val="00E90F6B"/>
    <w:rsid w:val="00E92C27"/>
    <w:rsid w:val="00E94732"/>
    <w:rsid w:val="00EA0E3D"/>
    <w:rsid w:val="00EC38A7"/>
    <w:rsid w:val="00EE1AA8"/>
    <w:rsid w:val="00F13A7D"/>
    <w:rsid w:val="00F23FEA"/>
    <w:rsid w:val="00F31EDC"/>
    <w:rsid w:val="00F462B3"/>
    <w:rsid w:val="00F51520"/>
    <w:rsid w:val="00F5664F"/>
    <w:rsid w:val="00F666C4"/>
    <w:rsid w:val="00F76AFC"/>
    <w:rsid w:val="00F76BD5"/>
    <w:rsid w:val="00F81B7E"/>
    <w:rsid w:val="00FA47C0"/>
    <w:rsid w:val="00FB5DD1"/>
    <w:rsid w:val="00FC2B5D"/>
    <w:rsid w:val="00FD5689"/>
    <w:rsid w:val="00FF1449"/>
    <w:rsid w:val="00FF5504"/>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D1CA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D1CA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tratacion@yarumal.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4DAD1E64-7E82-438B-B15A-13BC1331F8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40F90F-F879-4FB6-B7E6-F4ECE1708946}">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15</Pages>
  <Words>4637</Words>
  <Characters>26020</Characters>
  <Application>Microsoft Office Word</Application>
  <DocSecurity>0</DocSecurity>
  <Lines>531</Lines>
  <Paragraphs>102</Paragraphs>
  <ScaleCrop>false</ScaleCrop>
  <Company/>
  <LinksUpToDate>false</LinksUpToDate>
  <CharactersWithSpaces>30555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13</cp:revision>
  <cp:lastPrinted>2023-01-10T21:18:00Z</cp:lastPrinted>
  <dcterms:created xsi:type="dcterms:W3CDTF">2026-01-07T19:08:00Z</dcterms:created>
  <dcterms:modified xsi:type="dcterms:W3CDTF">2026-01-09T19:09:00Z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