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8DABA" w14:textId="77777777" w:rsidR="00D93638" w:rsidRPr="00A16FEE" w:rsidRDefault="00D93638" w:rsidP="00D93638">
      <w:pPr>
        <w:snapToGrid w:val="0"/>
        <w:spacing w:after="0" w:line="240" w:lineRule="auto"/>
        <w:contextualSpacing/>
        <w:jc w:val="both"/>
        <w:textAlignment w:val="baseline"/>
        <w:rPr>
          <w:rFonts w:ascii="Verdana" w:eastAsia="Times New Roman" w:hAnsi="Verdana" w:cs="Arial"/>
          <w:b/>
          <w:bCs/>
          <w:lang w:val="es-ES" w:eastAsia="es-ES"/>
        </w:rPr>
      </w:pPr>
      <w:r w:rsidRPr="00A16FEE">
        <w:rPr>
          <w:rFonts w:ascii="Verdana" w:eastAsia="Times New Roman" w:hAnsi="Verdana" w:cs="Arial"/>
          <w:b/>
          <w:bCs/>
          <w:lang w:val="es-ES" w:eastAsia="es-ES"/>
        </w:rPr>
        <w:t>INHABILIDADES E INCOMPATIBILIDADES – Concepto – Principio de legalidad – Interpretación restrictiva</w:t>
      </w:r>
    </w:p>
    <w:p w14:paraId="01FA6341" w14:textId="77777777" w:rsidR="00D93638" w:rsidRPr="00A16FEE" w:rsidRDefault="00D93638" w:rsidP="00D93638">
      <w:pPr>
        <w:snapToGrid w:val="0"/>
        <w:spacing w:after="0" w:line="240" w:lineRule="auto"/>
        <w:contextualSpacing/>
        <w:jc w:val="both"/>
        <w:rPr>
          <w:rFonts w:ascii="Verdana" w:eastAsia="Calibri" w:hAnsi="Verdana" w:cs="Arial"/>
          <w:color w:val="000000" w:themeColor="text1"/>
          <w:sz w:val="20"/>
          <w:szCs w:val="20"/>
          <w:lang w:val="es-ES"/>
        </w:rPr>
      </w:pPr>
    </w:p>
    <w:p w14:paraId="25C7340E" w14:textId="709AE970" w:rsidR="00D93638" w:rsidRPr="00A16FEE" w:rsidRDefault="00D93638" w:rsidP="00D93638">
      <w:pPr>
        <w:snapToGrid w:val="0"/>
        <w:spacing w:after="0" w:line="240" w:lineRule="auto"/>
        <w:contextualSpacing/>
        <w:jc w:val="both"/>
        <w:rPr>
          <w:rFonts w:ascii="Verdana" w:eastAsia="Arial MT" w:hAnsi="Verdana" w:cs="Arial"/>
          <w:sz w:val="20"/>
          <w:szCs w:val="20"/>
          <w:lang w:val="es-ES" w:eastAsia="es-ES" w:bidi="es-ES"/>
        </w:rPr>
      </w:pPr>
      <w:r w:rsidRPr="00A16FEE">
        <w:rPr>
          <w:rFonts w:ascii="Verdana" w:eastAsia="Calibri" w:hAnsi="Verdana" w:cs="Arial"/>
          <w:color w:val="000000" w:themeColor="text1"/>
          <w:sz w:val="20"/>
          <w:szCs w:val="20"/>
          <w:lang w:val="es-ES"/>
        </w:rPr>
        <w:t xml:space="preserve">Las </w:t>
      </w:r>
      <w:r w:rsidRPr="00A16FEE">
        <w:rPr>
          <w:rFonts w:ascii="Verdana" w:eastAsia="Calibri" w:hAnsi="Verdana" w:cs="Arial"/>
          <w:i/>
          <w:iCs/>
          <w:color w:val="000000" w:themeColor="text1"/>
          <w:sz w:val="20"/>
          <w:szCs w:val="20"/>
          <w:lang w:val="es-ES"/>
        </w:rPr>
        <w:t>inhabilidades</w:t>
      </w:r>
      <w:r w:rsidRPr="00A16FEE">
        <w:rPr>
          <w:rFonts w:ascii="Verdana" w:eastAsia="Calibri" w:hAnsi="Verdana" w:cs="Arial"/>
          <w:color w:val="000000" w:themeColor="text1"/>
          <w:sz w:val="20"/>
          <w:szCs w:val="20"/>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0A16FEE">
        <w:rPr>
          <w:rFonts w:ascii="Verdana" w:eastAsia="Calibri" w:hAnsi="Verdana" w:cs="Arial"/>
          <w:color w:val="000000" w:themeColor="text1"/>
          <w:sz w:val="20"/>
          <w:szCs w:val="20"/>
          <w:lang w:val="es-ES"/>
        </w:rPr>
        <w:t>ii</w:t>
      </w:r>
      <w:proofErr w:type="spellEnd"/>
      <w:r w:rsidRPr="00A16FEE">
        <w:rPr>
          <w:rFonts w:ascii="Verdana" w:eastAsia="Calibri" w:hAnsi="Verdana" w:cs="Arial"/>
          <w:color w:val="000000" w:themeColor="text1"/>
          <w:sz w:val="20"/>
          <w:szCs w:val="20"/>
          <w:lang w:val="es-ES"/>
        </w:rPr>
        <w:t xml:space="preserve">) de vínculos personales relativos al parentesco o al estado civil, o </w:t>
      </w:r>
      <w:proofErr w:type="spellStart"/>
      <w:r w:rsidRPr="00A16FEE">
        <w:rPr>
          <w:rFonts w:ascii="Verdana" w:eastAsia="Calibri" w:hAnsi="Verdana" w:cs="Arial"/>
          <w:color w:val="000000" w:themeColor="text1"/>
          <w:sz w:val="20"/>
          <w:szCs w:val="20"/>
          <w:lang w:val="es-ES"/>
        </w:rPr>
        <w:t>iii</w:t>
      </w:r>
      <w:proofErr w:type="spellEnd"/>
      <w:r w:rsidRPr="00A16FEE">
        <w:rPr>
          <w:rFonts w:ascii="Verdana" w:eastAsia="Calibri" w:hAnsi="Verdana" w:cs="Arial"/>
          <w:color w:val="000000" w:themeColor="text1"/>
          <w:sz w:val="20"/>
          <w:szCs w:val="20"/>
          <w:lang w:val="es-ES"/>
        </w:rPr>
        <w:t xml:space="preserve">) de una actividad u oficio que se desempeñó en el pasado. De otro lado, las </w:t>
      </w:r>
      <w:r w:rsidRPr="00A16FEE">
        <w:rPr>
          <w:rFonts w:ascii="Verdana" w:eastAsia="Calibri" w:hAnsi="Verdana" w:cs="Arial"/>
          <w:i/>
          <w:iCs/>
          <w:color w:val="000000" w:themeColor="text1"/>
          <w:sz w:val="20"/>
          <w:szCs w:val="20"/>
          <w:lang w:val="es-ES"/>
        </w:rPr>
        <w:t xml:space="preserve">incompatibilidades </w:t>
      </w:r>
      <w:r w:rsidRPr="00A16FEE">
        <w:rPr>
          <w:rFonts w:ascii="Verdana" w:eastAsia="Calibri" w:hAnsi="Verdana" w:cs="Arial"/>
          <w:color w:val="000000" w:themeColor="text1"/>
          <w:sz w:val="20"/>
          <w:szCs w:val="20"/>
          <w:lang w:val="es-ES"/>
        </w:rPr>
        <w:t xml:space="preserve">son prohibiciones para participar en los procedimientos de selección y para celebrar contratos estatales, fundadas en que el sujeto interesado ostenta una calidad que no puede coexistir con el carácter de proponente o contratista del Estado. </w:t>
      </w:r>
      <w:r w:rsidRPr="00A16FEE">
        <w:rPr>
          <w:rFonts w:ascii="Verdana" w:eastAsia="Arial MT" w:hAnsi="Verdana" w:cs="Arial"/>
          <w:sz w:val="20"/>
          <w:szCs w:val="20"/>
          <w:lang w:val="es-ES" w:eastAsia="es-ES" w:bidi="es-ES"/>
        </w:rPr>
        <w:t xml:space="preserve">Por su parte, las situaciones de </w:t>
      </w:r>
      <w:r w:rsidRPr="00A16FEE">
        <w:rPr>
          <w:rFonts w:ascii="Verdana" w:eastAsia="Arial MT" w:hAnsi="Verdana" w:cs="Arial"/>
          <w:i/>
          <w:iCs/>
          <w:sz w:val="20"/>
          <w:szCs w:val="20"/>
          <w:lang w:val="es-ES" w:eastAsia="es-ES" w:bidi="es-ES"/>
        </w:rPr>
        <w:t>conflicto de interés</w:t>
      </w:r>
      <w:r w:rsidRPr="00A16FEE">
        <w:rPr>
          <w:rFonts w:ascii="Verdana" w:eastAsia="Arial MT" w:hAnsi="Verdana" w:cs="Arial"/>
          <w:sz w:val="20"/>
          <w:szCs w:val="20"/>
          <w:lang w:val="es-ES" w:eastAsia="es-ES" w:bidi="es-ES"/>
        </w:rPr>
        <w:t xml:space="preserve"> suelen expresarse en prohibiciones, similar a lo que ocurre con las inhabilidades e incompatibilidades. Estas se encuentran establecidas en el pliego de condiciones y en la minuta del contrato. </w:t>
      </w:r>
    </w:p>
    <w:p w14:paraId="0CA64C4B" w14:textId="77777777" w:rsidR="00D93638" w:rsidRPr="00A16FEE" w:rsidRDefault="00D93638" w:rsidP="00D93638">
      <w:pPr>
        <w:snapToGrid w:val="0"/>
        <w:spacing w:after="0" w:line="240" w:lineRule="auto"/>
        <w:contextualSpacing/>
        <w:jc w:val="both"/>
        <w:rPr>
          <w:rFonts w:ascii="Verdana" w:eastAsia="Arial MT" w:hAnsi="Verdana" w:cs="Arial"/>
          <w:sz w:val="20"/>
          <w:szCs w:val="20"/>
          <w:lang w:val="es-ES" w:eastAsia="es-ES" w:bidi="es-ES"/>
        </w:rPr>
      </w:pPr>
    </w:p>
    <w:p w14:paraId="6624C192" w14:textId="7DBE67F0" w:rsidR="00D93638" w:rsidRPr="00A16FEE" w:rsidRDefault="00D93638" w:rsidP="00D93638">
      <w:pPr>
        <w:snapToGrid w:val="0"/>
        <w:spacing w:after="0" w:line="240" w:lineRule="auto"/>
        <w:contextualSpacing/>
        <w:jc w:val="both"/>
        <w:rPr>
          <w:rFonts w:ascii="Verdana" w:eastAsia="Calibri" w:hAnsi="Verdana" w:cs="Arial"/>
          <w:color w:val="000000" w:themeColor="text1"/>
          <w:sz w:val="20"/>
          <w:szCs w:val="20"/>
          <w:lang w:val="es-ES"/>
        </w:rPr>
      </w:pPr>
      <w:r w:rsidRPr="00A16FEE">
        <w:rPr>
          <w:rFonts w:ascii="Verdana" w:eastAsia="Arial MT" w:hAnsi="Verdana" w:cs="Arial"/>
          <w:sz w:val="20"/>
          <w:szCs w:val="20"/>
          <w:lang w:val="es-ES" w:eastAsia="es-ES" w:bidi="es-ES"/>
        </w:rPr>
        <w:t>La consagración de todas estas causales debe ser expresa y su interpretación restrictiva. En el caso de las inhabilidades e incompatibilidades, su aplicación siempre debe estar ajustada a los presupuestos que para cada causal señale el constituyente o el legislador; en el caso de los conflictos de interés, la aplicación debe sujetarse a los presupuestos que señale la entidad contratante en los documentos referidos. De cualquier modo, no es posible que las entidades realicen una aplicación extensiva o analógica.</w:t>
      </w:r>
      <w:r w:rsidRPr="00A16FEE">
        <w:rPr>
          <w:rFonts w:ascii="Verdana" w:hAnsi="Verdana" w:cs="Arial"/>
          <w:sz w:val="20"/>
          <w:szCs w:val="20"/>
          <w:lang w:val="es-ES"/>
        </w:rPr>
        <w:t xml:space="preserve"> </w:t>
      </w:r>
    </w:p>
    <w:p w14:paraId="16BB2D58" w14:textId="77777777" w:rsidR="00D93638" w:rsidRPr="00A16FEE" w:rsidRDefault="00D93638" w:rsidP="00D93638">
      <w:pPr>
        <w:snapToGrid w:val="0"/>
        <w:spacing w:after="0" w:line="240" w:lineRule="auto"/>
        <w:contextualSpacing/>
        <w:jc w:val="both"/>
        <w:textAlignment w:val="baseline"/>
        <w:rPr>
          <w:rFonts w:ascii="Verdana" w:eastAsia="Times New Roman" w:hAnsi="Verdana" w:cs="Arial"/>
          <w:sz w:val="20"/>
          <w:szCs w:val="20"/>
          <w:lang w:val="es-ES" w:eastAsia="es-ES"/>
        </w:rPr>
      </w:pPr>
    </w:p>
    <w:p w14:paraId="2DDCF823" w14:textId="748CDBCA" w:rsidR="00D93638" w:rsidRPr="00A16FEE" w:rsidRDefault="00D93638" w:rsidP="00D93638">
      <w:pPr>
        <w:snapToGrid w:val="0"/>
        <w:spacing w:after="0" w:line="240" w:lineRule="auto"/>
        <w:contextualSpacing/>
        <w:jc w:val="both"/>
        <w:textAlignment w:val="baseline"/>
        <w:rPr>
          <w:rFonts w:ascii="Verdana" w:hAnsi="Verdana"/>
          <w:b/>
          <w:bCs/>
          <w:lang w:val="es-ES"/>
        </w:rPr>
      </w:pPr>
      <w:r w:rsidRPr="00A16FEE">
        <w:rPr>
          <w:rFonts w:ascii="Verdana" w:eastAsia="Times New Roman" w:hAnsi="Verdana" w:cs="Arial"/>
          <w:b/>
          <w:bCs/>
          <w:lang w:val="es-ES" w:eastAsia="es-ES"/>
        </w:rPr>
        <w:t>INHABILIDADES E INCOMPATIBILIDADES – Ley 80 de 1993 – Numeral 2, literal A) – Exservidor público –</w:t>
      </w:r>
      <w:r w:rsidRPr="00A16FEE">
        <w:rPr>
          <w:rFonts w:ascii="Verdana" w:hAnsi="Verdana"/>
          <w:b/>
          <w:bCs/>
          <w:lang w:val="es-ES"/>
        </w:rPr>
        <w:t xml:space="preserve"> Elementos materiales y temporales</w:t>
      </w:r>
    </w:p>
    <w:p w14:paraId="6808F3CF" w14:textId="77777777" w:rsidR="00D93638" w:rsidRPr="00A16FEE" w:rsidRDefault="00D93638" w:rsidP="00D93638">
      <w:pPr>
        <w:snapToGrid w:val="0"/>
        <w:contextualSpacing/>
        <w:jc w:val="both"/>
        <w:rPr>
          <w:rFonts w:ascii="Verdana" w:eastAsia="Arial MT" w:hAnsi="Verdana" w:cs="Arial"/>
          <w:sz w:val="20"/>
          <w:szCs w:val="20"/>
          <w:lang w:val="es-ES" w:eastAsia="es-ES" w:bidi="es-ES"/>
        </w:rPr>
      </w:pPr>
    </w:p>
    <w:p w14:paraId="7F8D3191" w14:textId="62C9853A" w:rsidR="00D93638" w:rsidRPr="00A16FEE" w:rsidRDefault="00D93638" w:rsidP="00D93638">
      <w:pPr>
        <w:snapToGrid w:val="0"/>
        <w:spacing w:after="0" w:line="240" w:lineRule="auto"/>
        <w:contextualSpacing/>
        <w:jc w:val="both"/>
        <w:rPr>
          <w:rFonts w:ascii="Verdana" w:eastAsia="Arial MT" w:hAnsi="Verdana" w:cs="Arial"/>
          <w:sz w:val="20"/>
          <w:szCs w:val="20"/>
          <w:lang w:val="es-ES" w:eastAsia="es-ES" w:bidi="es-ES"/>
        </w:rPr>
      </w:pPr>
      <w:r w:rsidRPr="00A16FEE">
        <w:rPr>
          <w:rFonts w:ascii="Verdana" w:eastAsia="Arial MT" w:hAnsi="Verdana" w:cs="Arial"/>
          <w:sz w:val="20"/>
          <w:szCs w:val="20"/>
          <w:lang w:val="es-ES" w:eastAsia="es-ES" w:bidi="es-ES"/>
        </w:rPr>
        <w:t xml:space="preserve">Para el caso de la incompatibilidad del literal a) los </w:t>
      </w:r>
      <w:r w:rsidRPr="00A16FEE">
        <w:rPr>
          <w:rFonts w:ascii="Verdana" w:eastAsia="Arial MT" w:hAnsi="Verdana" w:cs="Arial"/>
          <w:i/>
          <w:iCs/>
          <w:sz w:val="20"/>
          <w:szCs w:val="20"/>
          <w:lang w:val="es-ES" w:eastAsia="es-ES" w:bidi="es-ES"/>
        </w:rPr>
        <w:t xml:space="preserve">elementos materiales </w:t>
      </w:r>
      <w:r w:rsidRPr="00A16FEE">
        <w:rPr>
          <w:rFonts w:ascii="Verdana" w:eastAsia="Arial MT" w:hAnsi="Verdana" w:cs="Arial"/>
          <w:sz w:val="20"/>
          <w:szCs w:val="20"/>
          <w:lang w:val="es-ES" w:eastAsia="es-ES" w:bidi="es-ES"/>
        </w:rPr>
        <w:t xml:space="preserve">son: i) que el exservidor público hubiese integrado una junta o consejo directivo o hubiese estado vinculado laboralmente como servidor público </w:t>
      </w:r>
      <w:r w:rsidRPr="00A16FEE">
        <w:rPr>
          <w:rFonts w:ascii="Verdana" w:eastAsia="Arial MT" w:hAnsi="Verdana" w:cs="Arial"/>
          <w:i/>
          <w:iCs/>
          <w:sz w:val="20"/>
          <w:szCs w:val="20"/>
          <w:lang w:val="es-ES" w:eastAsia="es-ES" w:bidi="es-ES"/>
        </w:rPr>
        <w:t xml:space="preserve">de la entidad contratante </w:t>
      </w:r>
      <w:r w:rsidRPr="00A16FEE">
        <w:rPr>
          <w:rFonts w:ascii="Verdana" w:eastAsia="Arial MT" w:hAnsi="Verdana" w:cs="Arial"/>
          <w:sz w:val="20"/>
          <w:szCs w:val="20"/>
          <w:lang w:val="es-ES" w:eastAsia="es-ES" w:bidi="es-ES"/>
        </w:rPr>
        <w:t xml:space="preserve">y </w:t>
      </w:r>
      <w:proofErr w:type="spellStart"/>
      <w:r w:rsidRPr="00A16FEE">
        <w:rPr>
          <w:rFonts w:ascii="Verdana" w:eastAsia="Arial MT" w:hAnsi="Verdana" w:cs="Arial"/>
          <w:sz w:val="20"/>
          <w:szCs w:val="20"/>
          <w:lang w:val="es-ES" w:eastAsia="es-ES" w:bidi="es-ES"/>
        </w:rPr>
        <w:t>ii</w:t>
      </w:r>
      <w:proofErr w:type="spellEnd"/>
      <w:r w:rsidRPr="00A16FEE">
        <w:rPr>
          <w:rFonts w:ascii="Verdana" w:eastAsia="Arial MT" w:hAnsi="Verdana" w:cs="Arial"/>
          <w:sz w:val="20"/>
          <w:szCs w:val="20"/>
          <w:lang w:val="es-ES" w:eastAsia="es-ES" w:bidi="es-ES"/>
        </w:rPr>
        <w:t xml:space="preserve">) que las funciones que hubiese desempeñado dicho exfuncionario sean del nivel directivo, asesor o ejecutivo. De otro lado, el </w:t>
      </w:r>
      <w:r w:rsidRPr="00A16FEE">
        <w:rPr>
          <w:rFonts w:ascii="Verdana" w:eastAsia="Arial MT" w:hAnsi="Verdana" w:cs="Arial"/>
          <w:i/>
          <w:iCs/>
          <w:sz w:val="20"/>
          <w:szCs w:val="20"/>
          <w:lang w:val="es-ES" w:eastAsia="es-ES" w:bidi="es-ES"/>
        </w:rPr>
        <w:t>elemento temporal</w:t>
      </w:r>
      <w:r w:rsidRPr="00A16FEE">
        <w:rPr>
          <w:rFonts w:ascii="Verdana" w:eastAsia="Arial MT" w:hAnsi="Verdana" w:cs="Arial"/>
          <w:sz w:val="20"/>
          <w:szCs w:val="20"/>
          <w:lang w:val="es-ES" w:eastAsia="es-ES" w:bidi="es-ES"/>
        </w:rPr>
        <w:t xml:space="preserve"> es que su retiro se hubiese presentado dentro del año inmediatamente anterior a la fecha de celebración del contrato que se pretende celebrar. De esta forma, para que se configure de la incompatibilidad referida, será necesario que se presenten tanto los elementos materiales como el elemento temporal descrito. A falta de alguno de ellos, no habría configuración de dicha causal.</w:t>
      </w:r>
    </w:p>
    <w:p w14:paraId="27504AE0" w14:textId="77777777" w:rsidR="00D93638" w:rsidRPr="00A16FEE" w:rsidRDefault="00D93638" w:rsidP="00D93638">
      <w:pPr>
        <w:widowControl w:val="0"/>
        <w:autoSpaceDE w:val="0"/>
        <w:autoSpaceDN w:val="0"/>
        <w:snapToGrid w:val="0"/>
        <w:contextualSpacing/>
        <w:jc w:val="both"/>
        <w:rPr>
          <w:rFonts w:ascii="Verdana" w:eastAsia="Arial MT" w:hAnsi="Verdana" w:cs="Arial"/>
          <w:sz w:val="20"/>
          <w:szCs w:val="20"/>
          <w:lang w:val="es-ES" w:eastAsia="es-ES" w:bidi="es-ES"/>
        </w:rPr>
      </w:pPr>
    </w:p>
    <w:p w14:paraId="66B37A77" w14:textId="5C6199A6" w:rsidR="00D93638" w:rsidRPr="00A16FEE" w:rsidRDefault="00D93638" w:rsidP="00D93638">
      <w:pPr>
        <w:widowControl w:val="0"/>
        <w:autoSpaceDE w:val="0"/>
        <w:autoSpaceDN w:val="0"/>
        <w:snapToGrid w:val="0"/>
        <w:spacing w:after="0" w:line="240" w:lineRule="auto"/>
        <w:contextualSpacing/>
        <w:jc w:val="both"/>
        <w:rPr>
          <w:rFonts w:ascii="Verdana" w:eastAsia="Arial MT" w:hAnsi="Verdana" w:cs="Arial"/>
          <w:sz w:val="20"/>
          <w:szCs w:val="20"/>
          <w:lang w:val="es-ES" w:eastAsia="es-ES" w:bidi="es-ES"/>
        </w:rPr>
      </w:pPr>
      <w:r w:rsidRPr="00A16FEE">
        <w:rPr>
          <w:rFonts w:ascii="Verdana" w:eastAsia="Arial MT" w:hAnsi="Verdana" w:cs="Arial"/>
          <w:sz w:val="20"/>
          <w:szCs w:val="20"/>
          <w:lang w:val="es-ES" w:eastAsia="es-ES" w:bidi="es-ES"/>
        </w:rPr>
        <w:t>Sobre los sujetos a los que es aplicable, es importante resaltar que la causal requiere de manera expresa que el exservidor hubiese integrado una junta o consejo directivo, o hubiese estado vinculado laboralmente como servidor público de la entidad contratante, de modo que la inhabilidad no será aplicable cuando haya estado vinculado o haya integrado dichos órganos en una entidad estatal distinta. Sin embargo, aplica a dichos exservidores en cualquiera de sus clasificaciones</w:t>
      </w:r>
      <w:r w:rsidRPr="00A16FEE">
        <w:rPr>
          <w:rFonts w:ascii="Verdana" w:eastAsia="Arial MT" w:hAnsi="Verdana" w:cs="Arial"/>
          <w:i/>
          <w:iCs/>
          <w:sz w:val="20"/>
          <w:szCs w:val="20"/>
          <w:lang w:val="es-ES" w:eastAsia="es-ES" w:bidi="es-ES"/>
        </w:rPr>
        <w:t xml:space="preserve">, </w:t>
      </w:r>
      <w:r w:rsidRPr="00A16FEE">
        <w:rPr>
          <w:rFonts w:ascii="Verdana" w:eastAsia="Arial MT" w:hAnsi="Verdana" w:cs="Arial"/>
          <w:sz w:val="20"/>
          <w:szCs w:val="20"/>
          <w:lang w:val="es-ES" w:eastAsia="es-ES" w:bidi="es-ES"/>
        </w:rPr>
        <w:t>sean estos miembros de corporaciones públicas, sean empleados y/o trabajadores del Estado y/o de sus entidades descentralizadas territorialmente y/o por servicios.</w:t>
      </w:r>
    </w:p>
    <w:p w14:paraId="1973839F" w14:textId="77777777" w:rsidR="00D93638" w:rsidRPr="00A16FEE" w:rsidRDefault="00D93638" w:rsidP="00D93638">
      <w:pPr>
        <w:spacing w:line="276" w:lineRule="auto"/>
        <w:jc w:val="both"/>
        <w:textAlignment w:val="baseline"/>
        <w:rPr>
          <w:rFonts w:ascii="Verdana" w:eastAsia="Times New Roman" w:hAnsi="Verdana" w:cs="Arial"/>
          <w:lang w:val="es-ES" w:eastAsia="es-ES"/>
        </w:rPr>
      </w:pPr>
    </w:p>
    <w:p w14:paraId="24CF0A41" w14:textId="0ABA6D65" w:rsidR="00B13378" w:rsidRPr="00A16FEE" w:rsidRDefault="00B13378" w:rsidP="00B13378">
      <w:pPr>
        <w:spacing w:after="0" w:line="276" w:lineRule="auto"/>
        <w:rPr>
          <w:rFonts w:ascii="Verdana" w:eastAsia="Geomanist Light" w:hAnsi="Verdana" w:cs="Arial"/>
          <w:color w:val="201F1E"/>
          <w:lang w:val="es-ES"/>
        </w:rPr>
      </w:pPr>
      <w:r w:rsidRPr="00A16FEE">
        <w:rPr>
          <w:rFonts w:ascii="Verdana" w:eastAsia="Geomanist Light" w:hAnsi="Verdana" w:cs="Arial"/>
          <w:color w:val="000000" w:themeColor="text1"/>
          <w:lang w:val="es-ES"/>
        </w:rPr>
        <w:lastRenderedPageBreak/>
        <w:t>Bogotá D.C., </w:t>
      </w:r>
      <w:r w:rsidR="00D93638" w:rsidRPr="00A16FEE">
        <w:rPr>
          <w:rFonts w:ascii="Verdana" w:eastAsia="Geomanist Light" w:hAnsi="Verdana" w:cs="Arial"/>
          <w:color w:val="201F1E"/>
          <w:lang w:val="es-ES"/>
        </w:rPr>
        <w:t xml:space="preserve">29 de </w:t>
      </w:r>
      <w:proofErr w:type="gramStart"/>
      <w:r w:rsidR="00D93638" w:rsidRPr="00A16FEE">
        <w:rPr>
          <w:rFonts w:ascii="Verdana" w:eastAsia="Geomanist Light" w:hAnsi="Verdana" w:cs="Arial"/>
          <w:color w:val="201F1E"/>
          <w:lang w:val="es-ES"/>
        </w:rPr>
        <w:t>Diciembre</w:t>
      </w:r>
      <w:proofErr w:type="gramEnd"/>
      <w:r w:rsidR="00D93638" w:rsidRPr="00A16FEE">
        <w:rPr>
          <w:rFonts w:ascii="Verdana" w:eastAsia="Geomanist Light" w:hAnsi="Verdana" w:cs="Arial"/>
          <w:color w:val="201F1E"/>
          <w:lang w:val="es-ES"/>
        </w:rPr>
        <w:t xml:space="preserve"> de 2025</w:t>
      </w:r>
    </w:p>
    <w:p w14:paraId="35C91689" w14:textId="4E56EC49" w:rsidR="00B13378" w:rsidRPr="00A16FEE" w:rsidRDefault="00D93638" w:rsidP="00B13378">
      <w:pPr>
        <w:spacing w:after="0" w:line="276" w:lineRule="auto"/>
        <w:jc w:val="both"/>
        <w:rPr>
          <w:rFonts w:ascii="Verdana" w:eastAsia="Calibri" w:hAnsi="Verdana" w:cs="Arial"/>
          <w:lang w:val="es-ES" w:eastAsia="es-ES"/>
        </w:rPr>
      </w:pPr>
      <w:r w:rsidRPr="00A16FEE">
        <w:rPr>
          <w:rFonts w:ascii="Verdana" w:eastAsia="Calibri" w:hAnsi="Verdana" w:cs="Arial"/>
          <w:noProof/>
          <w:lang w:val="es-ES" w:eastAsia="es-ES"/>
        </w:rPr>
        <w:drawing>
          <wp:anchor distT="0" distB="0" distL="114300" distR="114300" simplePos="0" relativeHeight="251660288" behindDoc="0" locked="0" layoutInCell="1" allowOverlap="1" wp14:anchorId="71E845CB" wp14:editId="3C2A5707">
            <wp:simplePos x="0" y="0"/>
            <wp:positionH relativeFrom="column">
              <wp:posOffset>3211134</wp:posOffset>
            </wp:positionH>
            <wp:positionV relativeFrom="page">
              <wp:posOffset>1776730</wp:posOffset>
            </wp:positionV>
            <wp:extent cx="2580640" cy="763905"/>
            <wp:effectExtent l="0" t="0" r="0" b="0"/>
            <wp:wrapSquare wrapText="bothSides"/>
            <wp:docPr id="34481067" name="Picture 1" descr="A close up of a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81067" name="Picture 1" descr="A close up of a card&#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580640" cy="763905"/>
                    </a:xfrm>
                    <a:prstGeom prst="rect">
                      <a:avLst/>
                    </a:prstGeom>
                  </pic:spPr>
                </pic:pic>
              </a:graphicData>
            </a:graphic>
            <wp14:sizeRelH relativeFrom="page">
              <wp14:pctWidth>0</wp14:pctWidth>
            </wp14:sizeRelH>
            <wp14:sizeRelV relativeFrom="page">
              <wp14:pctHeight>0</wp14:pctHeight>
            </wp14:sizeRelV>
          </wp:anchor>
        </w:drawing>
      </w:r>
    </w:p>
    <w:p w14:paraId="7E726513" w14:textId="720A4FA1" w:rsidR="00B13378" w:rsidRPr="00A16FEE" w:rsidRDefault="00B13378" w:rsidP="00B13378">
      <w:pPr>
        <w:spacing w:after="0" w:line="276" w:lineRule="auto"/>
        <w:jc w:val="both"/>
        <w:rPr>
          <w:rFonts w:ascii="Verdana" w:eastAsia="Calibri" w:hAnsi="Verdana" w:cs="Arial"/>
          <w:lang w:val="es-ES" w:eastAsia="es-ES"/>
        </w:rPr>
      </w:pPr>
      <w:r w:rsidRPr="00A16FEE">
        <w:rPr>
          <w:rFonts w:ascii="Verdana" w:eastAsia="Calibri" w:hAnsi="Verdana" w:cs="Arial"/>
          <w:lang w:val="es-ES" w:eastAsia="es-ES"/>
        </w:rPr>
        <w:t>Señor</w:t>
      </w:r>
    </w:p>
    <w:p w14:paraId="059C8BE8" w14:textId="77777777" w:rsidR="00B13378" w:rsidRPr="00A16FEE" w:rsidRDefault="00B13378" w:rsidP="00B13378">
      <w:pPr>
        <w:spacing w:after="0" w:line="240" w:lineRule="auto"/>
        <w:jc w:val="both"/>
        <w:rPr>
          <w:rFonts w:ascii="Verdana" w:hAnsi="Verdana"/>
          <w:b/>
          <w:bCs/>
          <w:lang w:val="es-ES"/>
        </w:rPr>
      </w:pPr>
      <w:r w:rsidRPr="00A16FEE">
        <w:rPr>
          <w:rFonts w:ascii="Verdana" w:hAnsi="Verdana"/>
          <w:b/>
          <w:bCs/>
          <w:lang w:val="es-ES"/>
        </w:rPr>
        <w:t>Juan Pablo Bustamante Arias</w:t>
      </w:r>
    </w:p>
    <w:p w14:paraId="61AFFC73" w14:textId="77777777" w:rsidR="00B13378" w:rsidRPr="00A16FEE" w:rsidRDefault="00B13378" w:rsidP="00B13378">
      <w:pPr>
        <w:spacing w:after="0" w:line="240" w:lineRule="auto"/>
        <w:jc w:val="both"/>
        <w:rPr>
          <w:rFonts w:ascii="Verdana" w:hAnsi="Verdana"/>
          <w:lang w:val="es-ES"/>
        </w:rPr>
      </w:pPr>
      <w:hyperlink r:id="rId11" w:history="1">
        <w:r w:rsidRPr="00A16FEE">
          <w:rPr>
            <w:rStyle w:val="Hipervnculo"/>
            <w:rFonts w:ascii="Verdana" w:hAnsi="Verdana"/>
            <w:lang w:val="es-ES"/>
          </w:rPr>
          <w:t>jpbte19@gmail.com</w:t>
        </w:r>
      </w:hyperlink>
      <w:r w:rsidRPr="00A16FEE">
        <w:rPr>
          <w:rFonts w:ascii="Verdana" w:hAnsi="Verdana"/>
          <w:lang w:val="es-ES"/>
        </w:rPr>
        <w:t xml:space="preserve"> </w:t>
      </w:r>
    </w:p>
    <w:p w14:paraId="3774B852" w14:textId="77777777" w:rsidR="00B13378" w:rsidRPr="00A16FEE" w:rsidRDefault="00B13378" w:rsidP="00B13378">
      <w:pPr>
        <w:spacing w:after="0" w:line="276" w:lineRule="auto"/>
        <w:rPr>
          <w:rFonts w:ascii="Verdana" w:eastAsia="Calibri" w:hAnsi="Verdana" w:cs="Arial"/>
          <w:lang w:val="es-ES" w:eastAsia="es-ES"/>
        </w:rPr>
      </w:pPr>
      <w:r w:rsidRPr="00A16FEE">
        <w:rPr>
          <w:rFonts w:ascii="Verdana" w:hAnsi="Verdana"/>
          <w:lang w:val="es-ES"/>
        </w:rPr>
        <w:t>Supía, Caldas</w:t>
      </w:r>
    </w:p>
    <w:p w14:paraId="13CFF4E3" w14:textId="77777777" w:rsidR="00B13378" w:rsidRPr="00A16FEE" w:rsidRDefault="00B13378" w:rsidP="00B13378">
      <w:pPr>
        <w:spacing w:after="0" w:line="276" w:lineRule="auto"/>
        <w:rPr>
          <w:rFonts w:ascii="Verdana" w:eastAsia="Calibri" w:hAnsi="Verdana" w:cs="Arial"/>
          <w:b/>
          <w:bCs/>
          <w:color w:val="000000"/>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13378" w:rsidRPr="00A16FEE" w14:paraId="7EB1BB7E" w14:textId="77777777" w:rsidTr="00B24F77">
        <w:trPr>
          <w:trHeight w:val="480"/>
        </w:trPr>
        <w:tc>
          <w:tcPr>
            <w:tcW w:w="2689" w:type="dxa"/>
          </w:tcPr>
          <w:p w14:paraId="2BF26CCD" w14:textId="77777777" w:rsidR="00B13378" w:rsidRPr="00A16FEE" w:rsidRDefault="00B13378" w:rsidP="00B24F77">
            <w:pPr>
              <w:spacing w:line="276" w:lineRule="auto"/>
              <w:jc w:val="both"/>
              <w:rPr>
                <w:rFonts w:ascii="Verdana" w:eastAsia="Calibri" w:hAnsi="Verdana" w:cs="Arial"/>
                <w:b/>
                <w:bCs/>
                <w:color w:val="7030A0"/>
                <w:lang w:val="es-ES" w:eastAsia="es-ES_tradnl"/>
              </w:rPr>
            </w:pPr>
          </w:p>
        </w:tc>
        <w:tc>
          <w:tcPr>
            <w:tcW w:w="6100" w:type="dxa"/>
          </w:tcPr>
          <w:p w14:paraId="0E44C121" w14:textId="6949EE07" w:rsidR="00B13378" w:rsidRPr="00A16FEE" w:rsidRDefault="00B13378" w:rsidP="00B24F77">
            <w:pPr>
              <w:spacing w:line="276" w:lineRule="auto"/>
              <w:jc w:val="both"/>
              <w:rPr>
                <w:rFonts w:ascii="Verdana" w:eastAsia="Calibri" w:hAnsi="Verdana" w:cs="Arial"/>
                <w:b/>
                <w:bCs/>
                <w:color w:val="7030A0"/>
                <w:lang w:val="es-ES" w:eastAsia="es-ES"/>
              </w:rPr>
            </w:pPr>
            <w:r w:rsidRPr="00A16FEE">
              <w:rPr>
                <w:rFonts w:ascii="Verdana" w:eastAsia="Calibri" w:hAnsi="Verdana" w:cs="Arial"/>
                <w:b/>
                <w:bCs/>
                <w:lang w:val="es-ES" w:eastAsia="es-ES"/>
              </w:rPr>
              <w:t>Concepto C-</w:t>
            </w:r>
            <w:r w:rsidR="003A540D" w:rsidRPr="00A16FEE">
              <w:rPr>
                <w:rFonts w:ascii="Verdana" w:eastAsia="Calibri" w:hAnsi="Verdana" w:cs="Arial"/>
                <w:b/>
                <w:bCs/>
                <w:lang w:val="es-ES" w:eastAsia="es-ES"/>
              </w:rPr>
              <w:t>1725</w:t>
            </w:r>
            <w:r w:rsidRPr="00A16FEE">
              <w:rPr>
                <w:rFonts w:ascii="Verdana" w:eastAsia="Calibri" w:hAnsi="Verdana" w:cs="Arial"/>
                <w:b/>
                <w:bCs/>
                <w:color w:val="7030A0"/>
                <w:lang w:val="es-ES" w:eastAsia="es-ES"/>
              </w:rPr>
              <w:t xml:space="preserve"> </w:t>
            </w:r>
            <w:r w:rsidRPr="00A16FEE">
              <w:rPr>
                <w:rFonts w:ascii="Verdana" w:eastAsia="Calibri" w:hAnsi="Verdana" w:cs="Arial"/>
                <w:b/>
                <w:bCs/>
                <w:lang w:val="es-ES" w:eastAsia="es-ES"/>
              </w:rPr>
              <w:t>de 2025</w:t>
            </w:r>
          </w:p>
        </w:tc>
      </w:tr>
      <w:tr w:rsidR="00B13378" w:rsidRPr="00A16FEE" w14:paraId="4CEA1F6C" w14:textId="77777777" w:rsidTr="00B24F77">
        <w:trPr>
          <w:trHeight w:val="884"/>
        </w:trPr>
        <w:tc>
          <w:tcPr>
            <w:tcW w:w="2689" w:type="dxa"/>
          </w:tcPr>
          <w:p w14:paraId="0372CCEF" w14:textId="77777777" w:rsidR="00B13378" w:rsidRPr="00A16FEE" w:rsidRDefault="00B13378" w:rsidP="00B24F77">
            <w:pPr>
              <w:spacing w:line="276" w:lineRule="auto"/>
              <w:jc w:val="both"/>
              <w:rPr>
                <w:rFonts w:ascii="Verdana" w:eastAsia="Calibri" w:hAnsi="Verdana" w:cs="Arial"/>
                <w:color w:val="000000"/>
                <w:lang w:val="es-ES" w:eastAsia="es-ES_tradnl"/>
              </w:rPr>
            </w:pPr>
            <w:r w:rsidRPr="00A16FEE">
              <w:rPr>
                <w:rFonts w:ascii="Verdana" w:eastAsia="Calibri" w:hAnsi="Verdana" w:cs="Arial"/>
                <w:b/>
                <w:color w:val="000000"/>
                <w:lang w:val="es-ES" w:eastAsia="es-ES_tradnl"/>
              </w:rPr>
              <w:t>Temas:</w:t>
            </w:r>
            <w:r w:rsidRPr="00A16FEE">
              <w:rPr>
                <w:rFonts w:ascii="Verdana" w:eastAsia="Calibri" w:hAnsi="Verdana" w:cs="Arial"/>
                <w:color w:val="000000"/>
                <w:lang w:val="es-ES" w:eastAsia="es-ES_tradnl"/>
              </w:rPr>
              <w:t xml:space="preserve">                   </w:t>
            </w:r>
          </w:p>
        </w:tc>
        <w:tc>
          <w:tcPr>
            <w:tcW w:w="6100" w:type="dxa"/>
          </w:tcPr>
          <w:p w14:paraId="1D7AEFFA" w14:textId="220B05D5" w:rsidR="00B13378" w:rsidRPr="00A16FEE" w:rsidRDefault="00B13378" w:rsidP="00896C9B">
            <w:pPr>
              <w:spacing w:line="276" w:lineRule="auto"/>
              <w:jc w:val="both"/>
              <w:textAlignment w:val="baseline"/>
              <w:rPr>
                <w:rFonts w:ascii="Verdana" w:eastAsia="Times New Roman" w:hAnsi="Verdana" w:cs="Arial"/>
                <w:lang w:val="es-ES" w:eastAsia="es-ES"/>
              </w:rPr>
            </w:pPr>
            <w:r w:rsidRPr="00A16FEE">
              <w:rPr>
                <w:rFonts w:ascii="Verdana" w:eastAsia="Times New Roman" w:hAnsi="Verdana" w:cs="Arial"/>
                <w:lang w:val="es-ES" w:eastAsia="es-ES"/>
              </w:rPr>
              <w:t>INHABILIDADES E INCOMPATIBILIDADES – Concepto – Principio de legalidad – Interpretación restrictiva / INHABILIDADES E INCOMPATIBILIDADES – Ley 80 de 1993 – Numeral 2, literal A) – Exservidor público –</w:t>
            </w:r>
            <w:r w:rsidRPr="00A16FEE">
              <w:rPr>
                <w:rFonts w:ascii="Verdana" w:hAnsi="Verdana"/>
                <w:lang w:val="es-ES"/>
              </w:rPr>
              <w:t xml:space="preserve"> </w:t>
            </w:r>
            <w:r w:rsidR="00896C9B" w:rsidRPr="00A16FEE">
              <w:rPr>
                <w:rFonts w:ascii="Verdana" w:hAnsi="Verdana"/>
                <w:lang w:val="es-ES"/>
              </w:rPr>
              <w:t>Elementos materiales y temporales</w:t>
            </w:r>
          </w:p>
          <w:p w14:paraId="58F1BCF0" w14:textId="06FA647F" w:rsidR="00896C9B" w:rsidRPr="00A16FEE" w:rsidRDefault="00896C9B" w:rsidP="00896C9B">
            <w:pPr>
              <w:spacing w:line="276" w:lineRule="auto"/>
              <w:jc w:val="both"/>
              <w:textAlignment w:val="baseline"/>
              <w:rPr>
                <w:rFonts w:ascii="Verdana" w:eastAsia="Calibri" w:hAnsi="Verdana" w:cs="Arial"/>
                <w:lang w:val="es-ES" w:eastAsia="es-ES"/>
              </w:rPr>
            </w:pPr>
          </w:p>
        </w:tc>
      </w:tr>
      <w:tr w:rsidR="00B13378" w:rsidRPr="00A16FEE" w14:paraId="67BC4B39" w14:textId="77777777" w:rsidTr="00B24F77">
        <w:tc>
          <w:tcPr>
            <w:tcW w:w="2689" w:type="dxa"/>
          </w:tcPr>
          <w:p w14:paraId="4CC46313" w14:textId="77777777" w:rsidR="00B13378" w:rsidRPr="00A16FEE" w:rsidRDefault="00B13378" w:rsidP="00B24F77">
            <w:pPr>
              <w:spacing w:line="276" w:lineRule="auto"/>
              <w:jc w:val="both"/>
              <w:rPr>
                <w:rFonts w:ascii="Verdana" w:eastAsia="Calibri" w:hAnsi="Verdana" w:cs="Arial"/>
                <w:b/>
                <w:color w:val="000000" w:themeColor="text1"/>
                <w:lang w:val="es-ES" w:eastAsia="es-ES_tradnl"/>
              </w:rPr>
            </w:pPr>
            <w:r w:rsidRPr="00A16FEE">
              <w:rPr>
                <w:rFonts w:ascii="Verdana" w:eastAsia="Calibri" w:hAnsi="Verdana" w:cs="Arial"/>
                <w:b/>
                <w:color w:val="000000" w:themeColor="text1"/>
                <w:lang w:val="es-ES" w:eastAsia="es-ES_tradnl"/>
              </w:rPr>
              <w:t>Radicación:</w:t>
            </w:r>
            <w:r w:rsidRPr="00A16FEE">
              <w:rPr>
                <w:rFonts w:ascii="Verdana" w:eastAsia="Calibri" w:hAnsi="Verdana" w:cs="Arial"/>
                <w:color w:val="000000" w:themeColor="text1"/>
                <w:lang w:val="es-ES" w:eastAsia="es-ES_tradnl"/>
              </w:rPr>
              <w:t xml:space="preserve">               </w:t>
            </w:r>
          </w:p>
        </w:tc>
        <w:tc>
          <w:tcPr>
            <w:tcW w:w="6100" w:type="dxa"/>
          </w:tcPr>
          <w:p w14:paraId="2519BEE0" w14:textId="77777777" w:rsidR="00B13378" w:rsidRPr="00A16FEE" w:rsidRDefault="00B13378" w:rsidP="00B24F77">
            <w:pPr>
              <w:spacing w:line="276" w:lineRule="auto"/>
              <w:jc w:val="both"/>
              <w:rPr>
                <w:rFonts w:ascii="Verdana" w:eastAsia="Calibri" w:hAnsi="Verdana" w:cs="Arial"/>
                <w:color w:val="000000" w:themeColor="text1"/>
                <w:lang w:val="es-ES" w:eastAsia="es-ES_tradnl"/>
              </w:rPr>
            </w:pPr>
            <w:r w:rsidRPr="00A16FEE">
              <w:rPr>
                <w:rFonts w:ascii="Verdana" w:eastAsia="Calibri" w:hAnsi="Verdana" w:cs="Arial"/>
                <w:color w:val="000000" w:themeColor="text1"/>
                <w:lang w:val="es-ES" w:eastAsia="es-ES_tradnl"/>
              </w:rPr>
              <w:t>Respuesta a consulta con radicado No. 1_2025_11_21_013155</w:t>
            </w:r>
          </w:p>
        </w:tc>
      </w:tr>
    </w:tbl>
    <w:p w14:paraId="3D9EBE39" w14:textId="77777777" w:rsidR="00B13378" w:rsidRPr="00A16FEE" w:rsidRDefault="00B13378" w:rsidP="00B13378">
      <w:pPr>
        <w:spacing w:after="0" w:line="276" w:lineRule="auto"/>
        <w:jc w:val="both"/>
        <w:rPr>
          <w:rFonts w:ascii="Verdana" w:eastAsia="Calibri" w:hAnsi="Verdana" w:cs="Arial"/>
          <w:color w:val="000000"/>
          <w:lang w:val="es-ES" w:eastAsia="es-ES_tradnl"/>
        </w:rPr>
      </w:pPr>
    </w:p>
    <w:p w14:paraId="0DF4557F" w14:textId="77777777" w:rsidR="00B13378" w:rsidRPr="00A16FEE" w:rsidRDefault="00B13378" w:rsidP="00B13378">
      <w:pPr>
        <w:spacing w:after="0" w:line="276" w:lineRule="auto"/>
        <w:jc w:val="both"/>
        <w:rPr>
          <w:rFonts w:ascii="Verdana" w:eastAsia="Calibri" w:hAnsi="Verdana" w:cs="Arial"/>
          <w:color w:val="000000"/>
          <w:lang w:val="es-ES" w:eastAsia="es-ES_tradnl"/>
        </w:rPr>
      </w:pPr>
    </w:p>
    <w:p w14:paraId="718092DE" w14:textId="77777777" w:rsidR="00B13378" w:rsidRPr="00A16FEE" w:rsidRDefault="00B13378" w:rsidP="00B13378">
      <w:pPr>
        <w:spacing w:after="0" w:line="276" w:lineRule="auto"/>
        <w:jc w:val="both"/>
        <w:rPr>
          <w:rFonts w:ascii="Verdana" w:eastAsia="Calibri" w:hAnsi="Verdana" w:cs="Arial"/>
          <w:color w:val="000000" w:themeColor="text1"/>
          <w:lang w:val="es-ES" w:eastAsia="es-ES"/>
        </w:rPr>
      </w:pPr>
      <w:r w:rsidRPr="00A16FEE">
        <w:rPr>
          <w:rFonts w:ascii="Verdana" w:eastAsia="Calibri" w:hAnsi="Verdana" w:cs="Arial"/>
          <w:color w:val="000000" w:themeColor="text1"/>
          <w:lang w:val="es-ES" w:eastAsia="es-ES"/>
        </w:rPr>
        <w:t xml:space="preserve">Estimado </w:t>
      </w:r>
      <w:r w:rsidRPr="00A16FEE">
        <w:rPr>
          <w:rFonts w:ascii="Verdana" w:eastAsia="Calibri" w:hAnsi="Verdana" w:cs="Arial"/>
          <w:color w:val="000000"/>
          <w:lang w:val="es-ES" w:eastAsia="es-ES_tradnl"/>
        </w:rPr>
        <w:t>señor Bustamante:</w:t>
      </w:r>
      <w:r w:rsidRPr="00A16FEE">
        <w:rPr>
          <w:rFonts w:ascii="Verdana" w:eastAsia="Calibri" w:hAnsi="Verdana" w:cs="Arial"/>
          <w:color w:val="000000" w:themeColor="text1"/>
          <w:lang w:val="es-ES" w:eastAsia="es-ES"/>
        </w:rPr>
        <w:t xml:space="preserve"> </w:t>
      </w:r>
    </w:p>
    <w:p w14:paraId="6C8F5584" w14:textId="77777777" w:rsidR="00B13378" w:rsidRPr="00A16FEE" w:rsidRDefault="00B13378" w:rsidP="00B13378">
      <w:pPr>
        <w:tabs>
          <w:tab w:val="left" w:pos="3768"/>
        </w:tabs>
        <w:spacing w:after="0" w:line="276" w:lineRule="auto"/>
        <w:jc w:val="both"/>
        <w:rPr>
          <w:rFonts w:ascii="Verdana" w:eastAsia="Calibri" w:hAnsi="Verdana" w:cs="Arial"/>
          <w:color w:val="000000" w:themeColor="text1"/>
          <w:lang w:val="es-ES" w:eastAsia="es-ES"/>
        </w:rPr>
      </w:pPr>
      <w:r w:rsidRPr="00A16FEE">
        <w:rPr>
          <w:rFonts w:ascii="Verdana" w:eastAsia="Calibri" w:hAnsi="Verdana" w:cs="Arial"/>
          <w:color w:val="000000" w:themeColor="text1"/>
          <w:lang w:val="es-ES" w:eastAsia="es-ES"/>
        </w:rPr>
        <w:tab/>
      </w:r>
    </w:p>
    <w:p w14:paraId="51D0A75B" w14:textId="77777777" w:rsidR="00B13378" w:rsidRPr="00A16FEE" w:rsidRDefault="00B13378" w:rsidP="00B13378">
      <w:pPr>
        <w:spacing w:after="0" w:line="276" w:lineRule="auto"/>
        <w:jc w:val="both"/>
        <w:rPr>
          <w:rFonts w:ascii="Verdana" w:eastAsia="Calibri" w:hAnsi="Verdana" w:cs="Arial"/>
          <w:color w:val="000000" w:themeColor="text1"/>
          <w:lang w:val="es-ES" w:eastAsia="es-ES"/>
        </w:rPr>
      </w:pPr>
      <w:r w:rsidRPr="00A16FEE">
        <w:rPr>
          <w:rFonts w:ascii="Verdana" w:eastAsia="Calibri" w:hAnsi="Verdana" w:cs="Arial"/>
          <w:color w:val="000000" w:themeColor="text1"/>
          <w:lang w:val="es-ES" w:eastAsia="es-ES"/>
        </w:rPr>
        <w:t>En ejercicio de la competencia otorgada por los artículos 3, numeral 5º, y 11, numeral 8º, del Decreto Ley 4170 de 2011,</w:t>
      </w:r>
      <w:r w:rsidRPr="00A16FEE">
        <w:rPr>
          <w:rFonts w:ascii="Verdana" w:eastAsia="Arial MT" w:hAnsi="Verdana" w:cs="Arial MT"/>
          <w:lang w:val="es-ES" w:eastAsia="es-ES"/>
        </w:rPr>
        <w:t xml:space="preserve"> </w:t>
      </w:r>
      <w:r w:rsidRPr="00A16FEE">
        <w:rPr>
          <w:rFonts w:ascii="Verdana" w:hAnsi="Verdana" w:cs="Arial"/>
          <w:lang w:val="es-ES"/>
        </w:rPr>
        <w:t xml:space="preserve">así como lo establecido en el artículo 4 de la Resolución 1707 de 2018 expedida por esta Entidad, </w:t>
      </w:r>
      <w:r w:rsidRPr="00A16FEE">
        <w:rPr>
          <w:rFonts w:ascii="Verdana" w:eastAsia="Calibri" w:hAnsi="Verdana" w:cs="Arial"/>
          <w:color w:val="000000" w:themeColor="text1"/>
          <w:lang w:val="es-ES" w:eastAsia="es-ES"/>
        </w:rPr>
        <w:t xml:space="preserve">la Agencia Nacional de Contratación Pública – Colombia Compra Eficiente– responde su solicitud de consulta de fecha 21 de noviembre de 2025, en la cual manifiesta lo siguiente: </w:t>
      </w:r>
    </w:p>
    <w:p w14:paraId="4CB13862" w14:textId="77777777" w:rsidR="00B13378" w:rsidRPr="00A16FEE" w:rsidRDefault="00B13378" w:rsidP="00B13378">
      <w:pPr>
        <w:spacing w:after="0" w:line="276" w:lineRule="auto"/>
        <w:jc w:val="both"/>
        <w:rPr>
          <w:rFonts w:ascii="Verdana" w:eastAsia="Calibri" w:hAnsi="Verdana" w:cs="Arial"/>
          <w:color w:val="000000" w:themeColor="text1"/>
          <w:lang w:val="es-ES" w:eastAsia="es-ES"/>
        </w:rPr>
      </w:pPr>
    </w:p>
    <w:p w14:paraId="45CCD7C6" w14:textId="77777777" w:rsidR="00B13378" w:rsidRPr="00A16FEE" w:rsidRDefault="00B13378" w:rsidP="00B13378">
      <w:pPr>
        <w:spacing w:after="0" w:line="276" w:lineRule="auto"/>
        <w:ind w:left="709" w:right="709"/>
        <w:jc w:val="both"/>
        <w:rPr>
          <w:rFonts w:ascii="Verdana" w:eastAsia="Century Gothic" w:hAnsi="Verdana" w:cs="Century Gothic"/>
          <w:color w:val="000000" w:themeColor="text1"/>
          <w:sz w:val="20"/>
          <w:szCs w:val="20"/>
          <w:lang w:val="es-ES"/>
        </w:rPr>
      </w:pPr>
      <w:bookmarkStart w:id="0" w:name="_Hlk95313578"/>
      <w:r w:rsidRPr="00A16FEE">
        <w:rPr>
          <w:rFonts w:ascii="Verdana" w:eastAsia="Century Gothic" w:hAnsi="Verdana" w:cs="Century Gothic"/>
          <w:color w:val="000000" w:themeColor="text1"/>
          <w:sz w:val="20"/>
          <w:szCs w:val="20"/>
          <w:lang w:val="es-ES"/>
        </w:rPr>
        <w:t>“</w:t>
      </w:r>
      <w:bookmarkEnd w:id="0"/>
      <w:proofErr w:type="gramStart"/>
      <w:r w:rsidRPr="00A16FEE">
        <w:rPr>
          <w:rFonts w:ascii="Verdana" w:eastAsia="Century Gothic" w:hAnsi="Verdana" w:cs="Century Gothic"/>
          <w:color w:val="000000" w:themeColor="text1"/>
          <w:sz w:val="20"/>
          <w:szCs w:val="20"/>
          <w:lang w:val="es-ES"/>
        </w:rPr>
        <w:t>¿Las personas que hayan desempeñado cargos de nivel directo en una entidad territorial conforme a la ley 80 de 1993 artículo 8 numeral 2 literal a que expresa lo siguiente: “Quienes fueron miembros de la junta o consejo directivo o servidores públicos de la entidad contratante.</w:t>
      </w:r>
      <w:proofErr w:type="gramEnd"/>
      <w:r w:rsidRPr="00A16FEE">
        <w:rPr>
          <w:rFonts w:ascii="Verdana" w:eastAsia="Century Gothic" w:hAnsi="Verdana" w:cs="Century Gothic"/>
          <w:color w:val="000000" w:themeColor="text1"/>
          <w:sz w:val="20"/>
          <w:szCs w:val="20"/>
          <w:lang w:val="es-ES"/>
        </w:rPr>
        <w:t xml:space="preserve"> Esta incompatibilidad sólo comprende a quienes desempeñaron funciones en los niveles directivo, asesor o ejecutivo y se extiende por el término de un (1) año, contado a partir de la fecha del retiro” no podrán celebrar contratos con dichas entidades por el </w:t>
      </w:r>
      <w:proofErr w:type="spellStart"/>
      <w:r w:rsidRPr="00A16FEE">
        <w:rPr>
          <w:rFonts w:ascii="Verdana" w:eastAsia="Century Gothic" w:hAnsi="Verdana" w:cs="Century Gothic"/>
          <w:color w:val="000000" w:themeColor="text1"/>
          <w:sz w:val="20"/>
          <w:szCs w:val="20"/>
          <w:lang w:val="es-ES"/>
        </w:rPr>
        <w:t>termino</w:t>
      </w:r>
      <w:proofErr w:type="spellEnd"/>
      <w:r w:rsidRPr="00A16FEE">
        <w:rPr>
          <w:rFonts w:ascii="Verdana" w:eastAsia="Century Gothic" w:hAnsi="Verdana" w:cs="Century Gothic"/>
          <w:color w:val="000000" w:themeColor="text1"/>
          <w:sz w:val="20"/>
          <w:szCs w:val="20"/>
          <w:lang w:val="es-ES"/>
        </w:rPr>
        <w:t xml:space="preserve"> de un (1) año. </w:t>
      </w:r>
    </w:p>
    <w:p w14:paraId="5E7EAE67" w14:textId="77777777" w:rsidR="00B13378" w:rsidRPr="00A16FEE" w:rsidRDefault="00B13378" w:rsidP="00B13378">
      <w:pPr>
        <w:spacing w:after="0" w:line="276" w:lineRule="auto"/>
        <w:ind w:left="709" w:right="709"/>
        <w:jc w:val="both"/>
        <w:rPr>
          <w:rFonts w:ascii="Verdana" w:eastAsia="Century Gothic" w:hAnsi="Verdana" w:cs="Century Gothic"/>
          <w:color w:val="000000" w:themeColor="text1"/>
          <w:sz w:val="20"/>
          <w:szCs w:val="20"/>
          <w:lang w:val="es-ES"/>
        </w:rPr>
      </w:pPr>
      <w:r w:rsidRPr="00A16FEE">
        <w:rPr>
          <w:rFonts w:ascii="Verdana" w:eastAsia="Century Gothic" w:hAnsi="Verdana" w:cs="Century Gothic"/>
          <w:color w:val="000000" w:themeColor="text1"/>
          <w:sz w:val="20"/>
          <w:szCs w:val="20"/>
          <w:lang w:val="es-ES"/>
        </w:rPr>
        <w:t xml:space="preserve">¿La misma prohibición se pregona para las demás entidades </w:t>
      </w:r>
      <w:proofErr w:type="spellStart"/>
      <w:r w:rsidRPr="00A16FEE">
        <w:rPr>
          <w:rFonts w:ascii="Verdana" w:eastAsia="Century Gothic" w:hAnsi="Verdana" w:cs="Century Gothic"/>
          <w:color w:val="000000" w:themeColor="text1"/>
          <w:sz w:val="20"/>
          <w:szCs w:val="20"/>
          <w:lang w:val="es-ES"/>
        </w:rPr>
        <w:t>publicas</w:t>
      </w:r>
      <w:proofErr w:type="spellEnd"/>
      <w:r w:rsidRPr="00A16FEE">
        <w:rPr>
          <w:rFonts w:ascii="Verdana" w:eastAsia="Century Gothic" w:hAnsi="Verdana" w:cs="Century Gothic"/>
          <w:color w:val="000000" w:themeColor="text1"/>
          <w:sz w:val="20"/>
          <w:szCs w:val="20"/>
          <w:lang w:val="es-ES"/>
        </w:rPr>
        <w:t xml:space="preserve"> (descentralizadas) existentes en el municipio?</w:t>
      </w:r>
    </w:p>
    <w:p w14:paraId="3CF59FB4" w14:textId="77777777" w:rsidR="00B13378" w:rsidRPr="00A16FEE" w:rsidRDefault="00B13378" w:rsidP="00B13378">
      <w:pPr>
        <w:spacing w:after="0" w:line="276" w:lineRule="auto"/>
        <w:ind w:right="709"/>
        <w:jc w:val="both"/>
        <w:rPr>
          <w:rFonts w:ascii="Verdana" w:eastAsia="Century Gothic" w:hAnsi="Verdana" w:cs="Century Gothic"/>
          <w:color w:val="000000" w:themeColor="text1"/>
          <w:sz w:val="20"/>
          <w:szCs w:val="20"/>
          <w:lang w:val="es-ES"/>
        </w:rPr>
      </w:pPr>
    </w:p>
    <w:p w14:paraId="35FC80A7" w14:textId="77777777" w:rsidR="00B13378" w:rsidRPr="00A16FEE" w:rsidRDefault="00B13378" w:rsidP="00B13378">
      <w:pPr>
        <w:spacing w:before="120" w:after="120" w:line="276" w:lineRule="auto"/>
        <w:ind w:firstLine="709"/>
        <w:jc w:val="both"/>
        <w:rPr>
          <w:rFonts w:ascii="Verdana" w:eastAsia="Calibri" w:hAnsi="Verdana" w:cs="Arial"/>
          <w:color w:val="000000"/>
          <w:szCs w:val="24"/>
          <w:lang w:val="es-ES" w:eastAsia="es-ES_tradnl"/>
        </w:rPr>
      </w:pPr>
      <w:r w:rsidRPr="00A16FEE">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16FEE">
        <w:rPr>
          <w:rFonts w:ascii="Verdana" w:eastAsia="Calibri" w:hAnsi="Verdana" w:cs="Arial"/>
          <w:color w:val="000000"/>
          <w:szCs w:val="24"/>
          <w:lang w:val="es-ES" w:eastAsia="es-ES_tradnl"/>
        </w:rPr>
        <w:tab/>
      </w:r>
    </w:p>
    <w:p w14:paraId="32E04C5A" w14:textId="77777777" w:rsidR="00B13378" w:rsidRPr="00A16FEE" w:rsidRDefault="00B13378" w:rsidP="00B13378">
      <w:pPr>
        <w:spacing w:after="0" w:line="276" w:lineRule="auto"/>
        <w:ind w:firstLine="709"/>
        <w:jc w:val="both"/>
        <w:rPr>
          <w:rFonts w:ascii="Verdana" w:eastAsia="Calibri" w:hAnsi="Verdana" w:cs="Arial"/>
          <w:color w:val="000000"/>
          <w:lang w:val="es-ES" w:eastAsia="es-ES"/>
        </w:rPr>
      </w:pPr>
      <w:r w:rsidRPr="00A16FEE">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A16FEE">
        <w:rPr>
          <w:rFonts w:ascii="Verdana" w:eastAsia="Calibri" w:hAnsi="Verdana" w:cs="Arial"/>
          <w:color w:val="7030A0"/>
          <w:lang w:val="es-ES" w:eastAsia="es-ES"/>
        </w:rPr>
        <w:t xml:space="preserve"> </w:t>
      </w:r>
      <w:r w:rsidRPr="00A16FEE">
        <w:rPr>
          <w:rFonts w:ascii="Verdana" w:eastAsia="Calibri" w:hAnsi="Verdana" w:cs="Arial"/>
          <w:color w:val="000000"/>
          <w:lang w:val="es-ES" w:eastAsia="es-ES"/>
        </w:rPr>
        <w:t>jurídico</w:t>
      </w:r>
      <w:r w:rsidRPr="00A16FEE">
        <w:rPr>
          <w:rFonts w:ascii="Verdana" w:eastAsia="Calibri" w:hAnsi="Verdana" w:cs="Arial"/>
          <w:color w:val="7030A0"/>
          <w:lang w:val="es-ES" w:eastAsia="es-ES"/>
        </w:rPr>
        <w:t xml:space="preserve"> </w:t>
      </w:r>
      <w:r w:rsidRPr="00A16FEE">
        <w:rPr>
          <w:rFonts w:ascii="Verdana" w:eastAsia="Calibri" w:hAnsi="Verdana" w:cs="Arial"/>
          <w:color w:val="000000"/>
          <w:lang w:val="es-ES" w:eastAsia="es-ES"/>
        </w:rPr>
        <w:t xml:space="preserve">de su consulta. </w:t>
      </w:r>
    </w:p>
    <w:p w14:paraId="61DDEFAF" w14:textId="77777777" w:rsidR="00B13378" w:rsidRPr="00A16FEE" w:rsidRDefault="00B13378" w:rsidP="00B13378">
      <w:pPr>
        <w:spacing w:after="0" w:line="276" w:lineRule="auto"/>
        <w:ind w:firstLine="709"/>
        <w:jc w:val="both"/>
        <w:rPr>
          <w:rFonts w:ascii="Verdana" w:eastAsia="Calibri" w:hAnsi="Verdana" w:cs="Arial"/>
          <w:color w:val="000000"/>
          <w:lang w:val="es-ES" w:eastAsia="es-ES"/>
        </w:rPr>
      </w:pPr>
    </w:p>
    <w:p w14:paraId="1A41085C" w14:textId="77777777" w:rsidR="00B13378" w:rsidRPr="00A16FEE" w:rsidRDefault="00B13378" w:rsidP="00B1337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16FEE">
        <w:rPr>
          <w:rFonts w:ascii="Verdana" w:eastAsia="Century Gothic" w:hAnsi="Verdana" w:cs="Century Gothic"/>
          <w:b/>
          <w:bCs/>
        </w:rPr>
        <w:t>Problema planteado:</w:t>
      </w:r>
    </w:p>
    <w:p w14:paraId="4BEA6798" w14:textId="77777777" w:rsidR="00B13378" w:rsidRPr="00A16FEE" w:rsidRDefault="00B13378" w:rsidP="00B13378">
      <w:pPr>
        <w:tabs>
          <w:tab w:val="left" w:pos="426"/>
        </w:tabs>
        <w:spacing w:after="0" w:line="276" w:lineRule="auto"/>
        <w:jc w:val="both"/>
        <w:rPr>
          <w:rFonts w:ascii="Verdana" w:eastAsia="Century Gothic" w:hAnsi="Verdana" w:cs="Century Gothic"/>
          <w:lang w:val="es-ES"/>
        </w:rPr>
      </w:pPr>
    </w:p>
    <w:p w14:paraId="7A951891" w14:textId="5272A67C" w:rsidR="00B13378" w:rsidRPr="00A16FEE" w:rsidRDefault="00B13378" w:rsidP="00B13378">
      <w:pPr>
        <w:spacing w:after="0" w:line="276" w:lineRule="auto"/>
        <w:jc w:val="both"/>
        <w:rPr>
          <w:rFonts w:ascii="Verdana" w:hAnsi="Verdana"/>
          <w:lang w:val="es-ES"/>
        </w:rPr>
      </w:pPr>
      <w:r w:rsidRPr="00A16FEE">
        <w:rPr>
          <w:rFonts w:ascii="Verdana" w:eastAsia="Century Gothic" w:hAnsi="Verdana" w:cs="Century Gothic"/>
          <w:lang w:val="es-ES"/>
        </w:rPr>
        <w:t xml:space="preserve">De acuerdo con el contenido de su solicitud, esta Agencia resolverá el siguiente problema jurídico: </w:t>
      </w:r>
      <w:r w:rsidRPr="00A16FEE">
        <w:rPr>
          <w:rFonts w:ascii="Verdana" w:hAnsi="Verdana"/>
          <w:lang w:val="es-ES"/>
        </w:rPr>
        <w:t>¿Cuál es el alcance y ámbito de aplicación del literal a) del numeral 2 del artículo 8 de la Ley 80 de 1993 en materia de</w:t>
      </w:r>
      <w:r w:rsidR="00B20B59" w:rsidRPr="00A16FEE">
        <w:rPr>
          <w:rFonts w:ascii="Verdana" w:hAnsi="Verdana"/>
          <w:lang w:val="es-ES"/>
        </w:rPr>
        <w:t xml:space="preserve"> incompatibilidades para celebrar contratos estatales</w:t>
      </w:r>
      <w:r w:rsidRPr="00A16FEE">
        <w:rPr>
          <w:rFonts w:ascii="Verdana" w:hAnsi="Verdana"/>
          <w:lang w:val="es-ES"/>
        </w:rPr>
        <w:t>?</w:t>
      </w:r>
    </w:p>
    <w:p w14:paraId="44DC7786" w14:textId="77777777" w:rsidR="00B13378" w:rsidRPr="00A16FEE" w:rsidRDefault="00B13378" w:rsidP="00B13378">
      <w:pPr>
        <w:spacing w:after="0" w:line="276" w:lineRule="auto"/>
        <w:jc w:val="both"/>
        <w:rPr>
          <w:rFonts w:ascii="Verdana" w:eastAsia="Calibri" w:hAnsi="Verdana" w:cs="Arial"/>
          <w:color w:val="7030A0"/>
          <w:lang w:val="es-ES"/>
        </w:rPr>
      </w:pPr>
    </w:p>
    <w:p w14:paraId="58E22B77" w14:textId="77777777" w:rsidR="00B13378" w:rsidRPr="00A16FEE" w:rsidRDefault="00B13378" w:rsidP="00B1337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16FEE">
        <w:rPr>
          <w:rFonts w:ascii="Verdana" w:eastAsia="Century Gothic" w:hAnsi="Verdana" w:cs="Century Gothic"/>
          <w:b/>
          <w:bCs/>
        </w:rPr>
        <w:t>Respuesta:</w:t>
      </w:r>
    </w:p>
    <w:p w14:paraId="77AA619F" w14:textId="77777777" w:rsidR="00B13378" w:rsidRPr="00A16FEE" w:rsidRDefault="00B13378" w:rsidP="00B1337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13378" w:rsidRPr="00A16FEE" w14:paraId="2D25FA74" w14:textId="77777777" w:rsidTr="00B24F77">
        <w:tc>
          <w:tcPr>
            <w:tcW w:w="8828" w:type="dxa"/>
          </w:tcPr>
          <w:p w14:paraId="5E701875" w14:textId="77777777" w:rsidR="00B13378" w:rsidRPr="00A16FEE" w:rsidRDefault="00B13378" w:rsidP="00B24F77">
            <w:pPr>
              <w:spacing w:before="120" w:after="120" w:line="276" w:lineRule="auto"/>
              <w:jc w:val="both"/>
              <w:rPr>
                <w:rFonts w:ascii="Verdana" w:eastAsia="Arial MT" w:hAnsi="Verdana" w:cs="Arial"/>
                <w:lang w:val="es-ES" w:eastAsia="es-ES" w:bidi="es-ES"/>
              </w:rPr>
            </w:pPr>
            <w:r w:rsidRPr="00A16FEE">
              <w:rPr>
                <w:rFonts w:ascii="Verdana" w:eastAsia="Calibri" w:hAnsi="Verdana" w:cs="Arial"/>
                <w:lang w:val="es-ES"/>
              </w:rPr>
              <w:t>El literal a) del numeral 2 del artículo 8 de la Ley 80 de 1993 señala una incompatibilidad para contratar con una entidad estatal por parte de quienes han estado vinculados a la misma en determinados supuestos. E</w:t>
            </w:r>
            <w:r w:rsidRPr="00A16FEE">
              <w:rPr>
                <w:rFonts w:ascii="Verdana" w:eastAsia="Arial MT" w:hAnsi="Verdana" w:cs="Arial"/>
                <w:lang w:val="es-ES" w:eastAsia="es-ES" w:bidi="es-ES"/>
              </w:rPr>
              <w:t xml:space="preserve">n virtud de la aplicación restrictiva de las incompatibilidades, </w:t>
            </w:r>
            <w:r w:rsidRPr="00A16FEE">
              <w:rPr>
                <w:rFonts w:ascii="Verdana" w:eastAsia="Calibri" w:hAnsi="Verdana" w:cs="Arial"/>
                <w:color w:val="000000" w:themeColor="text1"/>
                <w:lang w:val="es-ES"/>
              </w:rPr>
              <w:t xml:space="preserve">las entidades deberán evaluar en el caso concreto que se </w:t>
            </w:r>
            <w:r w:rsidRPr="00A16FEE">
              <w:rPr>
                <w:rFonts w:ascii="Verdana" w:eastAsia="Arial MT" w:hAnsi="Verdana" w:cs="Arial"/>
                <w:lang w:val="es-ES" w:eastAsia="es-ES" w:bidi="es-ES"/>
              </w:rPr>
              <w:t xml:space="preserve">configuren los elementos tanto materiales como temporales que exige dicha disposición, así como que se trate de los sujetos que expresamente contempla la norma. </w:t>
            </w:r>
          </w:p>
          <w:p w14:paraId="0D67188C" w14:textId="77777777" w:rsidR="00B13378" w:rsidRPr="00A16FEE" w:rsidRDefault="00B13378" w:rsidP="00B24F77">
            <w:pPr>
              <w:spacing w:line="276" w:lineRule="auto"/>
              <w:ind w:firstLine="736"/>
              <w:jc w:val="both"/>
              <w:rPr>
                <w:rFonts w:ascii="Verdana" w:eastAsia="Arial MT" w:hAnsi="Verdana" w:cs="Arial"/>
                <w:lang w:val="es-ES" w:eastAsia="es-ES" w:bidi="es-ES"/>
              </w:rPr>
            </w:pPr>
            <w:r w:rsidRPr="00A16FEE">
              <w:rPr>
                <w:rFonts w:ascii="Verdana" w:eastAsia="Arial MT" w:hAnsi="Verdana" w:cs="Arial"/>
                <w:lang w:val="es-ES" w:eastAsia="es-ES" w:bidi="es-ES"/>
              </w:rPr>
              <w:lastRenderedPageBreak/>
              <w:t xml:space="preserve">Para el caso de la incompatibilidad del literal a) los </w:t>
            </w:r>
            <w:r w:rsidRPr="00A16FEE">
              <w:rPr>
                <w:rFonts w:ascii="Verdana" w:eastAsia="Arial MT" w:hAnsi="Verdana" w:cs="Arial"/>
                <w:i/>
                <w:iCs/>
                <w:lang w:val="es-ES" w:eastAsia="es-ES" w:bidi="es-ES"/>
              </w:rPr>
              <w:t xml:space="preserve">elementos materiales </w:t>
            </w:r>
            <w:r w:rsidRPr="00A16FEE">
              <w:rPr>
                <w:rFonts w:ascii="Verdana" w:eastAsia="Arial MT" w:hAnsi="Verdana" w:cs="Arial"/>
                <w:lang w:val="es-ES" w:eastAsia="es-ES" w:bidi="es-ES"/>
              </w:rPr>
              <w:t xml:space="preserve">son: i) que el exservidor público hubiese integrado una junta o consejo directivo o hubiese estado vinculado laboralmente como servidor público </w:t>
            </w:r>
            <w:r w:rsidRPr="00A16FEE">
              <w:rPr>
                <w:rFonts w:ascii="Verdana" w:eastAsia="Arial MT" w:hAnsi="Verdana" w:cs="Arial"/>
                <w:i/>
                <w:iCs/>
                <w:lang w:val="es-ES" w:eastAsia="es-ES" w:bidi="es-ES"/>
              </w:rPr>
              <w:t xml:space="preserve">de la entidad contratante </w:t>
            </w:r>
            <w:r w:rsidRPr="00A16FEE">
              <w:rPr>
                <w:rFonts w:ascii="Verdana" w:eastAsia="Arial MT" w:hAnsi="Verdana" w:cs="Arial"/>
                <w:lang w:val="es-ES" w:eastAsia="es-ES" w:bidi="es-ES"/>
              </w:rPr>
              <w:t xml:space="preserve">y </w:t>
            </w:r>
            <w:proofErr w:type="spellStart"/>
            <w:r w:rsidRPr="00A16FEE">
              <w:rPr>
                <w:rFonts w:ascii="Verdana" w:eastAsia="Arial MT" w:hAnsi="Verdana" w:cs="Arial"/>
                <w:lang w:val="es-ES" w:eastAsia="es-ES" w:bidi="es-ES"/>
              </w:rPr>
              <w:t>ii</w:t>
            </w:r>
            <w:proofErr w:type="spellEnd"/>
            <w:r w:rsidRPr="00A16FEE">
              <w:rPr>
                <w:rFonts w:ascii="Verdana" w:eastAsia="Arial MT" w:hAnsi="Verdana" w:cs="Arial"/>
                <w:lang w:val="es-ES" w:eastAsia="es-ES" w:bidi="es-ES"/>
              </w:rPr>
              <w:t xml:space="preserve">) que las funciones que hubiese desempeñado dicho exfuncionario sean del nivel directivo, asesor o ejecutivo. De otro lado, el </w:t>
            </w:r>
            <w:r w:rsidRPr="00A16FEE">
              <w:rPr>
                <w:rFonts w:ascii="Verdana" w:eastAsia="Arial MT" w:hAnsi="Verdana" w:cs="Arial"/>
                <w:i/>
                <w:iCs/>
                <w:lang w:val="es-ES" w:eastAsia="es-ES" w:bidi="es-ES"/>
              </w:rPr>
              <w:t>elemento temporal</w:t>
            </w:r>
            <w:r w:rsidRPr="00A16FEE">
              <w:rPr>
                <w:rFonts w:ascii="Verdana" w:eastAsia="Arial MT" w:hAnsi="Verdana" w:cs="Arial"/>
                <w:lang w:val="es-ES" w:eastAsia="es-ES" w:bidi="es-ES"/>
              </w:rPr>
              <w:t xml:space="preserve"> es que su retiro se hubiese presentado dentro del año inmediatamente anterior a la fecha de celebración del contrato que se pretende celebrar. De esta forma, para que se configure de la incompatibilidad referida, será necesario que se presenten tanto los elementos materiales como el elemento temporal descrito. A falta de alguno de ellos, no habría configuración de dicha causal.</w:t>
            </w:r>
          </w:p>
          <w:p w14:paraId="472576BF" w14:textId="77777777" w:rsidR="00B13378" w:rsidRPr="00A16FEE" w:rsidRDefault="00B13378" w:rsidP="00B24F77">
            <w:pPr>
              <w:widowControl w:val="0"/>
              <w:autoSpaceDE w:val="0"/>
              <w:autoSpaceDN w:val="0"/>
              <w:spacing w:before="120" w:after="120" w:line="276" w:lineRule="auto"/>
              <w:ind w:firstLine="709"/>
              <w:jc w:val="both"/>
              <w:rPr>
                <w:rFonts w:ascii="Verdana" w:eastAsia="Arial MT" w:hAnsi="Verdana" w:cs="Arial"/>
                <w:lang w:val="es-ES" w:eastAsia="es-ES" w:bidi="es-ES"/>
              </w:rPr>
            </w:pPr>
            <w:r w:rsidRPr="00A16FEE">
              <w:rPr>
                <w:rFonts w:ascii="Verdana" w:eastAsia="Arial MT" w:hAnsi="Verdana" w:cs="Arial"/>
                <w:lang w:val="es-ES" w:eastAsia="es-ES" w:bidi="es-ES"/>
              </w:rPr>
              <w:t>Sobre los sujetos a los que es aplicable, es importante resaltar que la causal requiere de manera expresa que el exservidor hubiese integrado una junta o consejo directivo, o hubiese estado vinculado laboralmente como servidor público de la entidad contratante, de modo que la inhabilidad no será aplicable cuando haya estado vinculado o haya integrado dichos órganos en una entidad estatal distinta. Sin embargo, aplica a dichos exservidores en cualquiera de sus clasificaciones</w:t>
            </w:r>
            <w:r w:rsidRPr="00A16FEE">
              <w:rPr>
                <w:rFonts w:ascii="Verdana" w:eastAsia="Arial MT" w:hAnsi="Verdana" w:cs="Arial"/>
                <w:i/>
                <w:iCs/>
                <w:lang w:val="es-ES" w:eastAsia="es-ES" w:bidi="es-ES"/>
              </w:rPr>
              <w:t xml:space="preserve">, </w:t>
            </w:r>
            <w:r w:rsidRPr="00A16FEE">
              <w:rPr>
                <w:rFonts w:ascii="Verdana" w:eastAsia="Arial MT" w:hAnsi="Verdana" w:cs="Arial"/>
                <w:lang w:val="es-ES" w:eastAsia="es-ES" w:bidi="es-ES"/>
              </w:rPr>
              <w:t>sean estos miembros de corporaciones públicas, sean empleados y/o trabajadores del Estado y/o de sus entidades descentralizadas territorialmente y/o por servicios.</w:t>
            </w:r>
          </w:p>
          <w:p w14:paraId="03494698" w14:textId="450DB6D7" w:rsidR="00B13378" w:rsidRPr="00A16FEE" w:rsidRDefault="00B13378" w:rsidP="00B24F77">
            <w:pPr>
              <w:widowControl w:val="0"/>
              <w:autoSpaceDE w:val="0"/>
              <w:autoSpaceDN w:val="0"/>
              <w:spacing w:after="120" w:line="276" w:lineRule="auto"/>
              <w:ind w:firstLine="709"/>
              <w:jc w:val="both"/>
              <w:rPr>
                <w:rFonts w:ascii="Verdana" w:eastAsia="Arial MT" w:hAnsi="Verdana" w:cs="Arial"/>
                <w:lang w:val="es-ES" w:eastAsia="es-ES" w:bidi="es-ES"/>
              </w:rPr>
            </w:pPr>
            <w:r w:rsidRPr="00A16FEE">
              <w:rPr>
                <w:rFonts w:ascii="Verdana" w:eastAsia="Century Gothic" w:hAnsi="Verdana" w:cs="Century Gothic"/>
                <w:bCs/>
                <w:lang w:val="es-ES"/>
              </w:rPr>
              <w:t xml:space="preserve">En todo caso, debe advertirse que, corresponde a las Entidades Estatales, al verificar la capacidad jurídica de las personas con quienes pretenden suscribir contratos, determinar en cada caso concreto si se configura alguna inhabilidad, incompatibilidad o conflicto de interés. En ese sentido, la conclusión aquí expuesta no remplaza el deber de verificación de las Entidades Estatales, ni puede ser tomada como un juicio de valor sobre alguna situación de orden particular. </w:t>
            </w:r>
          </w:p>
        </w:tc>
      </w:tr>
    </w:tbl>
    <w:p w14:paraId="250607B1" w14:textId="77777777" w:rsidR="00B13378" w:rsidRPr="00A16FEE" w:rsidRDefault="00B13378" w:rsidP="00B13378">
      <w:pPr>
        <w:tabs>
          <w:tab w:val="left" w:pos="142"/>
          <w:tab w:val="left" w:pos="284"/>
        </w:tabs>
        <w:spacing w:after="0" w:line="276" w:lineRule="auto"/>
        <w:jc w:val="both"/>
        <w:rPr>
          <w:rFonts w:ascii="Verdana" w:eastAsia="Century Gothic" w:hAnsi="Verdana" w:cs="Century Gothic"/>
          <w:b/>
          <w:bCs/>
          <w:lang w:val="es-ES"/>
        </w:rPr>
      </w:pPr>
    </w:p>
    <w:p w14:paraId="7361C9B8" w14:textId="77777777" w:rsidR="00B13378" w:rsidRPr="00A16FEE" w:rsidRDefault="00B13378" w:rsidP="00B1337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16FEE">
        <w:rPr>
          <w:rFonts w:ascii="Verdana" w:eastAsia="Century Gothic" w:hAnsi="Verdana" w:cs="Century Gothic"/>
          <w:b/>
          <w:bCs/>
        </w:rPr>
        <w:t>Razones de la respuesta:</w:t>
      </w:r>
    </w:p>
    <w:p w14:paraId="09848F6F" w14:textId="77777777" w:rsidR="00B13378" w:rsidRPr="00A16FEE" w:rsidRDefault="00B13378" w:rsidP="00B13378">
      <w:pPr>
        <w:spacing w:after="0" w:line="276" w:lineRule="auto"/>
        <w:jc w:val="both"/>
        <w:rPr>
          <w:rFonts w:ascii="Verdana" w:eastAsia="Calibri" w:hAnsi="Verdana" w:cs="Arial"/>
          <w:color w:val="7030A0"/>
          <w:lang w:val="es-ES"/>
        </w:rPr>
      </w:pPr>
    </w:p>
    <w:p w14:paraId="3D7F44E7" w14:textId="77777777" w:rsidR="00B13378" w:rsidRPr="00A16FEE" w:rsidRDefault="00B13378" w:rsidP="00B13378">
      <w:pPr>
        <w:spacing w:after="0" w:line="276" w:lineRule="auto"/>
        <w:jc w:val="both"/>
        <w:rPr>
          <w:rFonts w:ascii="Verdana" w:eastAsia="Calibri" w:hAnsi="Verdana" w:cs="Arial"/>
          <w:lang w:val="es-ES"/>
        </w:rPr>
      </w:pPr>
      <w:r w:rsidRPr="00A16FEE">
        <w:rPr>
          <w:rFonts w:ascii="Verdana" w:eastAsia="Calibri" w:hAnsi="Verdana" w:cs="Arial"/>
          <w:lang w:val="es-ES"/>
        </w:rPr>
        <w:t xml:space="preserve">Lo anterior se sustenta en las siguientes consideraciones: </w:t>
      </w:r>
    </w:p>
    <w:p w14:paraId="568338DE" w14:textId="77777777" w:rsidR="00B13378" w:rsidRPr="00A16FEE" w:rsidRDefault="00B13378" w:rsidP="00B13378">
      <w:pPr>
        <w:spacing w:after="0" w:line="276" w:lineRule="auto"/>
        <w:jc w:val="both"/>
        <w:rPr>
          <w:rFonts w:ascii="Verdana" w:eastAsia="Calibri" w:hAnsi="Verdana" w:cs="Arial"/>
          <w:lang w:val="es-ES"/>
        </w:rPr>
      </w:pPr>
    </w:p>
    <w:p w14:paraId="03298C85" w14:textId="77777777" w:rsidR="00B13378" w:rsidRPr="00A16FEE" w:rsidRDefault="00B13378" w:rsidP="00B13378">
      <w:pPr>
        <w:snapToGrid w:val="0"/>
        <w:spacing w:after="120" w:line="276" w:lineRule="auto"/>
        <w:jc w:val="both"/>
        <w:rPr>
          <w:rFonts w:ascii="Verdana" w:eastAsia="Calibri" w:hAnsi="Verdana" w:cs="Arial"/>
          <w:color w:val="000000" w:themeColor="text1"/>
          <w:lang w:val="es-ES"/>
        </w:rPr>
      </w:pPr>
      <w:r w:rsidRPr="00A16FEE">
        <w:rPr>
          <w:rFonts w:ascii="Verdana" w:eastAsia="Calibri" w:hAnsi="Verdana" w:cs="Arial"/>
          <w:color w:val="000000" w:themeColor="text1"/>
          <w:lang w:val="es-ES"/>
        </w:rPr>
        <w:t xml:space="preserve">La </w:t>
      </w:r>
      <w:r w:rsidRPr="00A16FEE">
        <w:rPr>
          <w:rFonts w:ascii="Verdana" w:eastAsia="Calibri" w:hAnsi="Verdana" w:cs="Arial"/>
          <w:i/>
          <w:color w:val="000000" w:themeColor="text1"/>
          <w:lang w:val="es-ES"/>
        </w:rPr>
        <w:t>capacidad</w:t>
      </w:r>
      <w:r w:rsidRPr="00A16FEE">
        <w:rPr>
          <w:rFonts w:ascii="Verdana" w:eastAsia="Calibri" w:hAnsi="Verdana" w:cs="Arial"/>
          <w:color w:val="000000" w:themeColor="text1"/>
          <w:lang w:val="es-ES"/>
        </w:rPr>
        <w:t xml:space="preserve"> es un requisito de validez de los contratos en el régimen de las entidades sujetas al Estatuto General de Contratación de la Administración </w:t>
      </w:r>
      <w:r w:rsidRPr="00A16FEE">
        <w:rPr>
          <w:rFonts w:ascii="Verdana" w:eastAsia="Calibri" w:hAnsi="Verdana" w:cs="Arial"/>
          <w:color w:val="000000" w:themeColor="text1"/>
          <w:lang w:val="es-ES"/>
        </w:rPr>
        <w:lastRenderedPageBreak/>
        <w:t>Pública</w:t>
      </w:r>
      <w:r w:rsidRPr="00A16FEE">
        <w:rPr>
          <w:rFonts w:ascii="Verdana" w:eastAsia="Calibri" w:hAnsi="Verdana" w:cs="Arial"/>
          <w:color w:val="000000" w:themeColor="text1"/>
          <w:vertAlign w:val="superscript"/>
          <w:lang w:val="es-ES"/>
        </w:rPr>
        <w:footnoteReference w:id="2"/>
      </w:r>
      <w:r w:rsidRPr="00A16FEE">
        <w:rPr>
          <w:rFonts w:ascii="Verdana" w:eastAsia="Calibri" w:hAnsi="Verdana" w:cs="Arial"/>
          <w:color w:val="000000" w:themeColor="text1"/>
          <w:lang w:val="es-ES"/>
        </w:rPr>
        <w:t xml:space="preserve"> y en el de las entidades exceptuadas de este</w:t>
      </w:r>
      <w:r w:rsidRPr="00A16FEE">
        <w:rPr>
          <w:rFonts w:ascii="Verdana" w:eastAsia="Calibri" w:hAnsi="Verdana" w:cs="Arial"/>
          <w:color w:val="000000" w:themeColor="text1"/>
          <w:vertAlign w:val="superscript"/>
          <w:lang w:val="es-ES"/>
        </w:rPr>
        <w:footnoteReference w:id="3"/>
      </w:r>
      <w:r w:rsidRPr="00A16FEE">
        <w:rPr>
          <w:rFonts w:ascii="Verdana" w:eastAsia="Calibri" w:hAnsi="Verdana" w:cs="Arial"/>
          <w:color w:val="000000" w:themeColor="text1"/>
          <w:lang w:val="es-ES"/>
        </w:rPr>
        <w:t>. Varias disposiciones y exigencias especiales integran la regulación de la capacidad, como es el caso del requisito de inscribirse en el Registro Único de Proponentes (RUP), establecido en el artículo 6 de la Ley 1150 de 2007, así como el régimen de inhabilidades e incompatibilidades. Este último se refiere al conjunto de enunciados normativos que imponen restricciones para los sujetos que pretendan participar en los procedimientos de selección o celebrar contratos con las entidades estatales</w:t>
      </w:r>
      <w:r w:rsidRPr="00A16FEE">
        <w:rPr>
          <w:rFonts w:ascii="Verdana" w:eastAsia="Calibri" w:hAnsi="Verdana" w:cs="Arial"/>
          <w:color w:val="000000" w:themeColor="text1"/>
          <w:vertAlign w:val="superscript"/>
          <w:lang w:val="es-ES"/>
        </w:rPr>
        <w:footnoteReference w:id="4"/>
      </w:r>
      <w:r w:rsidRPr="00A16FEE">
        <w:rPr>
          <w:rFonts w:ascii="Verdana" w:eastAsia="Calibri" w:hAnsi="Verdana" w:cs="Arial"/>
          <w:color w:val="000000" w:themeColor="text1"/>
          <w:lang w:val="es-ES"/>
        </w:rPr>
        <w:t>.</w:t>
      </w:r>
    </w:p>
    <w:p w14:paraId="6C00850F" w14:textId="77777777" w:rsidR="00B13378" w:rsidRPr="00A16FEE" w:rsidRDefault="00B13378" w:rsidP="00B13378">
      <w:pPr>
        <w:spacing w:after="120" w:line="276" w:lineRule="auto"/>
        <w:ind w:firstLine="709"/>
        <w:jc w:val="both"/>
        <w:rPr>
          <w:rFonts w:ascii="Verdana" w:eastAsia="Arial MT" w:hAnsi="Verdana" w:cs="Arial"/>
          <w:lang w:val="es-ES" w:eastAsia="es-ES" w:bidi="es-ES"/>
        </w:rPr>
      </w:pPr>
      <w:r w:rsidRPr="00A16FEE">
        <w:rPr>
          <w:rFonts w:ascii="Verdana" w:eastAsia="Calibri" w:hAnsi="Verdana" w:cs="Arial"/>
          <w:color w:val="000000" w:themeColor="text1"/>
          <w:lang w:val="es-ES"/>
        </w:rPr>
        <w:t xml:space="preserve">Las </w:t>
      </w:r>
      <w:r w:rsidRPr="00A16FEE">
        <w:rPr>
          <w:rFonts w:ascii="Verdana" w:eastAsia="Calibri" w:hAnsi="Verdana" w:cs="Arial"/>
          <w:i/>
          <w:iCs/>
          <w:color w:val="000000" w:themeColor="text1"/>
          <w:lang w:val="es-ES"/>
        </w:rPr>
        <w:t>inhabilidades</w:t>
      </w:r>
      <w:r w:rsidRPr="00A16FEE">
        <w:rPr>
          <w:rFonts w:ascii="Verdana" w:eastAsia="Calibri" w:hAnsi="Verdana" w:cs="Arial"/>
          <w:color w:val="000000" w:themeColor="text1"/>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0A16FEE">
        <w:rPr>
          <w:rFonts w:ascii="Verdana" w:eastAsia="Calibri" w:hAnsi="Verdana" w:cs="Arial"/>
          <w:color w:val="000000" w:themeColor="text1"/>
          <w:lang w:val="es-ES"/>
        </w:rPr>
        <w:t>ii</w:t>
      </w:r>
      <w:proofErr w:type="spellEnd"/>
      <w:r w:rsidRPr="00A16FEE">
        <w:rPr>
          <w:rFonts w:ascii="Verdana" w:eastAsia="Calibri" w:hAnsi="Verdana" w:cs="Arial"/>
          <w:color w:val="000000" w:themeColor="text1"/>
          <w:lang w:val="es-ES"/>
        </w:rPr>
        <w:t xml:space="preserve">) de vínculos personales relativos al parentesco o al estado civil, o </w:t>
      </w:r>
      <w:proofErr w:type="spellStart"/>
      <w:r w:rsidRPr="00A16FEE">
        <w:rPr>
          <w:rFonts w:ascii="Verdana" w:eastAsia="Calibri" w:hAnsi="Verdana" w:cs="Arial"/>
          <w:color w:val="000000" w:themeColor="text1"/>
          <w:lang w:val="es-ES"/>
        </w:rPr>
        <w:t>iii</w:t>
      </w:r>
      <w:proofErr w:type="spellEnd"/>
      <w:r w:rsidRPr="00A16FEE">
        <w:rPr>
          <w:rFonts w:ascii="Verdana" w:eastAsia="Calibri" w:hAnsi="Verdana" w:cs="Arial"/>
          <w:color w:val="000000" w:themeColor="text1"/>
          <w:lang w:val="es-ES"/>
        </w:rPr>
        <w:t xml:space="preserve">) de una actividad u oficio que se desempeñó en el pasado. De otro lado, las </w:t>
      </w:r>
      <w:r w:rsidRPr="00A16FEE">
        <w:rPr>
          <w:rFonts w:ascii="Verdana" w:eastAsia="Calibri" w:hAnsi="Verdana" w:cs="Arial"/>
          <w:i/>
          <w:iCs/>
          <w:color w:val="000000" w:themeColor="text1"/>
          <w:lang w:val="es-ES"/>
        </w:rPr>
        <w:t xml:space="preserve">incompatibilidades </w:t>
      </w:r>
      <w:r w:rsidRPr="00A16FEE">
        <w:rPr>
          <w:rFonts w:ascii="Verdana" w:eastAsia="Calibri" w:hAnsi="Verdana" w:cs="Arial"/>
          <w:color w:val="000000" w:themeColor="text1"/>
          <w:lang w:val="es-ES"/>
        </w:rPr>
        <w:t xml:space="preserve">son prohibiciones para participar en los procedimientos de selección y para celebrar contratos estatales, fundadas en que el sujeto interesado ostenta una calidad que no puede coexistir con el carácter de proponente o contratista del </w:t>
      </w:r>
      <w:r w:rsidRPr="00A16FEE">
        <w:rPr>
          <w:rFonts w:ascii="Verdana" w:eastAsia="Calibri" w:hAnsi="Verdana" w:cs="Arial"/>
          <w:color w:val="000000" w:themeColor="text1"/>
          <w:lang w:val="es-ES"/>
        </w:rPr>
        <w:lastRenderedPageBreak/>
        <w:t xml:space="preserve">Estado. </w:t>
      </w:r>
      <w:r w:rsidRPr="00A16FEE">
        <w:rPr>
          <w:rFonts w:ascii="Verdana" w:eastAsia="Arial MT" w:hAnsi="Verdana" w:cs="Arial"/>
          <w:lang w:val="es-ES" w:eastAsia="es-ES" w:bidi="es-ES"/>
        </w:rPr>
        <w:t xml:space="preserve">Por su parte, las situaciones de </w:t>
      </w:r>
      <w:r w:rsidRPr="00A16FEE">
        <w:rPr>
          <w:rFonts w:ascii="Verdana" w:eastAsia="Arial MT" w:hAnsi="Verdana" w:cs="Arial"/>
          <w:i/>
          <w:iCs/>
          <w:lang w:val="es-ES" w:eastAsia="es-ES" w:bidi="es-ES"/>
        </w:rPr>
        <w:t>conflicto de interés</w:t>
      </w:r>
      <w:r w:rsidRPr="00A16FEE">
        <w:rPr>
          <w:rFonts w:ascii="Verdana" w:eastAsia="Arial MT" w:hAnsi="Verdana" w:cs="Arial"/>
          <w:lang w:val="es-ES" w:eastAsia="es-ES" w:bidi="es-ES"/>
        </w:rPr>
        <w:t xml:space="preserve"> suelen expresarse en prohibiciones, similar a lo que ocurre con las inhabilidades e incompatibilidades. Estas se encuentran establecidas en el pliego de condiciones y en la minuta del contrato. </w:t>
      </w:r>
    </w:p>
    <w:p w14:paraId="6AFD79E0" w14:textId="77777777" w:rsidR="00B13378" w:rsidRPr="00A16FEE" w:rsidRDefault="00B13378" w:rsidP="00B13378">
      <w:pPr>
        <w:spacing w:after="120" w:line="276" w:lineRule="auto"/>
        <w:ind w:firstLine="709"/>
        <w:jc w:val="both"/>
        <w:rPr>
          <w:rFonts w:ascii="Verdana" w:eastAsia="Calibri" w:hAnsi="Verdana" w:cs="Arial"/>
          <w:color w:val="000000" w:themeColor="text1"/>
          <w:lang w:val="es-ES"/>
        </w:rPr>
      </w:pPr>
      <w:r w:rsidRPr="00A16FEE">
        <w:rPr>
          <w:rFonts w:ascii="Verdana" w:eastAsia="Arial MT" w:hAnsi="Verdana" w:cs="Arial"/>
          <w:lang w:val="es-ES" w:eastAsia="es-ES" w:bidi="es-ES"/>
        </w:rPr>
        <w:t>La consagración de todas estas causales debe ser expresa y su interpretación restrictiva. En el caso de las inhabilidades e incompatibilidades, su aplicación siempre debe estar ajustada a los presupuestos que para cada causal señale el constituyente o el legislador; en el caso de los conflictos de interés, la aplicación debe sujetarse a los presupuestos que señale la entidad contratante en los documentos referidos. De cualquier modo, no es posible que las entidades realicen una aplicación extensiva o analógica.</w:t>
      </w:r>
      <w:r w:rsidRPr="00A16FEE">
        <w:rPr>
          <w:rFonts w:ascii="Verdana" w:hAnsi="Verdana" w:cs="Arial"/>
          <w:lang w:val="es-ES"/>
        </w:rPr>
        <w:t xml:space="preserve"> </w:t>
      </w:r>
    </w:p>
    <w:p w14:paraId="193966A9" w14:textId="77777777" w:rsidR="00B13378" w:rsidRPr="00A16FEE" w:rsidRDefault="00B13378" w:rsidP="00B13378">
      <w:pPr>
        <w:spacing w:after="120" w:line="276" w:lineRule="auto"/>
        <w:ind w:firstLine="709"/>
        <w:jc w:val="both"/>
        <w:rPr>
          <w:rFonts w:ascii="Verdana" w:eastAsia="Calibri" w:hAnsi="Verdana" w:cs="Arial"/>
          <w:color w:val="000000" w:themeColor="text1"/>
          <w:lang w:val="es-ES"/>
        </w:rPr>
      </w:pPr>
      <w:r w:rsidRPr="00A16FEE">
        <w:rPr>
          <w:rFonts w:ascii="Verdana" w:eastAsia="Calibri" w:hAnsi="Verdana" w:cs="Arial"/>
          <w:color w:val="000000" w:themeColor="text1"/>
          <w:lang w:val="es-ES"/>
        </w:rPr>
        <w:t xml:space="preserve">El régimen de inhabilidades e incompatibilidades en la contratación pública responde a la tendencia de asegurar que la actividad de provisión de los bienes y servicios por parte de las entidades estatales se efectúe cumpliendo con los principios de la función administrativa y de la gestión fiscal, especialmente con probidad y transparencia. Es por ello </w:t>
      </w:r>
      <w:proofErr w:type="gramStart"/>
      <w:r w:rsidRPr="00A16FEE">
        <w:rPr>
          <w:rFonts w:ascii="Verdana" w:eastAsia="Calibri" w:hAnsi="Verdana" w:cs="Arial"/>
          <w:color w:val="000000" w:themeColor="text1"/>
          <w:lang w:val="es-ES"/>
        </w:rPr>
        <w:t>que</w:t>
      </w:r>
      <w:proofErr w:type="gramEnd"/>
      <w:r w:rsidRPr="00A16FEE">
        <w:rPr>
          <w:rFonts w:ascii="Verdana" w:eastAsia="Calibri" w:hAnsi="Verdana" w:cs="Arial"/>
          <w:color w:val="000000" w:themeColor="text1"/>
          <w:lang w:val="es-ES"/>
        </w:rPr>
        <w:t xml:space="preserve"> las inhabilidades e incompatibilidades se han convertido en herramientas en la lucha contra la corrupción, adoptando paulatinamente un cariz sancionatorio o “</w:t>
      </w:r>
      <w:proofErr w:type="spellStart"/>
      <w:r w:rsidRPr="00A16FEE">
        <w:rPr>
          <w:rFonts w:ascii="Verdana" w:eastAsia="Calibri" w:hAnsi="Verdana" w:cs="Arial"/>
          <w:color w:val="000000" w:themeColor="text1"/>
          <w:lang w:val="es-ES"/>
        </w:rPr>
        <w:t>neopunitivo</w:t>
      </w:r>
      <w:proofErr w:type="spellEnd"/>
      <w:r w:rsidRPr="00A16FEE">
        <w:rPr>
          <w:rFonts w:ascii="Verdana" w:eastAsia="Calibri" w:hAnsi="Verdana" w:cs="Arial"/>
          <w:color w:val="000000" w:themeColor="text1"/>
          <w:lang w:val="es-ES"/>
        </w:rPr>
        <w:t>”</w:t>
      </w:r>
      <w:r w:rsidRPr="00A16FEE">
        <w:rPr>
          <w:rFonts w:ascii="Verdana" w:eastAsia="Calibri" w:hAnsi="Verdana" w:cs="Arial"/>
          <w:color w:val="000000" w:themeColor="text1"/>
          <w:vertAlign w:val="superscript"/>
          <w:lang w:val="es-ES"/>
        </w:rPr>
        <w:footnoteReference w:id="5"/>
      </w:r>
      <w:r w:rsidRPr="00A16FEE">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hechos de corrupción han generado, como respuesta del legislador, un incremento de las restricciones a la capacidad contractual, dirigidas a prevenir este tipo de situaciones o a sancionar tales conductas.</w:t>
      </w:r>
    </w:p>
    <w:p w14:paraId="4A24249B" w14:textId="77777777" w:rsidR="00B13378" w:rsidRPr="00A16FEE" w:rsidRDefault="00B13378" w:rsidP="00B13378">
      <w:pPr>
        <w:spacing w:after="120" w:line="276" w:lineRule="auto"/>
        <w:ind w:firstLine="709"/>
        <w:jc w:val="both"/>
        <w:rPr>
          <w:rFonts w:ascii="Verdana" w:eastAsia="Calibri" w:hAnsi="Verdana" w:cs="Arial"/>
          <w:color w:val="000000" w:themeColor="text1"/>
          <w:lang w:val="es-ES"/>
        </w:rPr>
      </w:pPr>
      <w:r w:rsidRPr="00A16FEE">
        <w:rPr>
          <w:rFonts w:ascii="Verdana" w:eastAsia="Calibri" w:hAnsi="Verdana" w:cs="Arial"/>
          <w:color w:val="000000" w:themeColor="text1"/>
          <w:lang w:val="es-ES"/>
        </w:rPr>
        <w:t xml:space="preserve">Ahora bien, las inhabilidades e incompatibilidades son restricciones o límites especiales a la capacidad para presentar ofertas y celebrar contratos estatales. En consecuencia, solo pueden tipificarse en la ley –o sea, deben satisfacer el principio de legalidad– y su interpretación debe ser </w:t>
      </w:r>
      <w:r w:rsidRPr="00A16FEE">
        <w:rPr>
          <w:rFonts w:ascii="Verdana" w:eastAsia="Calibri" w:hAnsi="Verdana" w:cs="Arial"/>
          <w:i/>
          <w:iCs/>
          <w:color w:val="000000" w:themeColor="text1"/>
          <w:lang w:val="es-ES"/>
        </w:rPr>
        <w:t>restrictiva</w:t>
      </w:r>
      <w:r w:rsidRPr="00A16FEE">
        <w:rPr>
          <w:rFonts w:ascii="Verdana" w:eastAsia="Calibri" w:hAnsi="Verdana" w:cs="Arial"/>
          <w:color w:val="000000" w:themeColor="text1"/>
          <w:vertAlign w:val="superscript"/>
          <w:lang w:val="es-ES"/>
        </w:rPr>
        <w:footnoteReference w:id="6"/>
      </w:r>
      <w:r w:rsidRPr="00A16FEE">
        <w:rPr>
          <w:rFonts w:ascii="Verdana" w:eastAsia="Calibri" w:hAnsi="Verdana" w:cs="Arial"/>
          <w:color w:val="000000" w:themeColor="text1"/>
          <w:lang w:val="es-ES"/>
        </w:rPr>
        <w:t xml:space="preserve">, pues si se admitiera una interpretación amplia, extensiva o finalista de las mismas, los enunciados normativos podrían contemplar múltiples supuestos indeterminados, según el parecer o el sentido común de los operadores jurídicos, poniendo en riesgo principios como la igualdad, el debido proceso, la libre concurrencia y el ejercicio de la profesión u oficio. Esta ha sido la postura al </w:t>
      </w:r>
      <w:r w:rsidRPr="00A16FEE">
        <w:rPr>
          <w:rFonts w:ascii="Verdana" w:eastAsia="Calibri" w:hAnsi="Verdana" w:cs="Arial"/>
          <w:color w:val="000000" w:themeColor="text1"/>
          <w:lang w:val="es-ES"/>
        </w:rPr>
        <w:lastRenderedPageBreak/>
        <w:t xml:space="preserve">interior de la jurisprudencia, tanto de la Corte Constitucional como de la Sección Tercera del Consejo de Estado. </w:t>
      </w:r>
    </w:p>
    <w:p w14:paraId="679D2586" w14:textId="77777777" w:rsidR="00B13378" w:rsidRPr="00A16FEE" w:rsidRDefault="00B13378" w:rsidP="00B13378">
      <w:pPr>
        <w:spacing w:after="0" w:line="276" w:lineRule="auto"/>
        <w:ind w:firstLine="709"/>
        <w:jc w:val="both"/>
        <w:rPr>
          <w:rFonts w:ascii="Verdana" w:eastAsia="Calibri" w:hAnsi="Verdana" w:cs="Arial"/>
          <w:color w:val="000000" w:themeColor="text1"/>
          <w:lang w:val="es-ES"/>
        </w:rPr>
      </w:pPr>
      <w:r w:rsidRPr="00A16FEE">
        <w:rPr>
          <w:rFonts w:ascii="Verdana" w:eastAsia="Calibri" w:hAnsi="Verdana" w:cs="Arial"/>
          <w:color w:val="000000" w:themeColor="text1"/>
          <w:lang w:val="es-ES"/>
        </w:rPr>
        <w:t>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A16FEE">
        <w:rPr>
          <w:rFonts w:ascii="Verdana" w:eastAsia="Calibri" w:hAnsi="Verdana" w:cs="Arial"/>
          <w:color w:val="000000" w:themeColor="text1"/>
          <w:vertAlign w:val="superscript"/>
          <w:lang w:val="es-ES"/>
        </w:rPr>
        <w:footnoteReference w:id="7"/>
      </w:r>
      <w:r w:rsidRPr="00A16FEE">
        <w:rPr>
          <w:rFonts w:ascii="Verdana" w:eastAsia="Calibri" w:hAnsi="Verdana" w:cs="Arial"/>
          <w:color w:val="000000" w:themeColor="text1"/>
          <w:lang w:val="es-ES"/>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A16FEE">
        <w:rPr>
          <w:rFonts w:ascii="Verdana" w:eastAsia="Calibri" w:hAnsi="Verdana" w:cs="Arial"/>
          <w:color w:val="000000" w:themeColor="text1"/>
          <w:vertAlign w:val="superscript"/>
          <w:lang w:val="es-ES"/>
        </w:rPr>
        <w:footnoteReference w:id="8"/>
      </w:r>
      <w:r w:rsidRPr="00A16FEE">
        <w:rPr>
          <w:rFonts w:ascii="Verdana" w:eastAsia="Calibri" w:hAnsi="Verdana" w:cs="Arial"/>
          <w:color w:val="000000" w:themeColor="text1"/>
          <w:lang w:val="es-ES"/>
        </w:rPr>
        <w:t>. En tal sentido, la Sección Tercera ha señalado que:</w:t>
      </w:r>
    </w:p>
    <w:p w14:paraId="12B57002" w14:textId="77777777" w:rsidR="00B13378" w:rsidRPr="00A16FEE" w:rsidRDefault="00B13378" w:rsidP="00B13378">
      <w:pPr>
        <w:spacing w:after="0" w:line="276" w:lineRule="auto"/>
        <w:ind w:firstLine="709"/>
        <w:jc w:val="both"/>
        <w:rPr>
          <w:rFonts w:ascii="Verdana" w:eastAsia="Calibri" w:hAnsi="Verdana" w:cs="Arial"/>
          <w:color w:val="000000" w:themeColor="text1"/>
          <w:lang w:val="es-ES"/>
        </w:rPr>
      </w:pPr>
    </w:p>
    <w:p w14:paraId="5596A689" w14:textId="77777777" w:rsidR="00B13378" w:rsidRPr="00A16FEE" w:rsidRDefault="00B13378" w:rsidP="00B13378">
      <w:pPr>
        <w:spacing w:after="0" w:line="240" w:lineRule="auto"/>
        <w:ind w:left="709" w:right="709"/>
        <w:jc w:val="both"/>
        <w:rPr>
          <w:rFonts w:ascii="Verdana" w:hAnsi="Verdana" w:cs="Arial"/>
          <w:color w:val="000000" w:themeColor="text1"/>
          <w:sz w:val="20"/>
          <w:szCs w:val="20"/>
          <w:lang w:val="es-ES"/>
        </w:rPr>
      </w:pPr>
      <w:r w:rsidRPr="00A16FEE">
        <w:rPr>
          <w:rFonts w:ascii="Verdana" w:hAnsi="Verdana" w:cs="Arial"/>
          <w:color w:val="000000" w:themeColor="text1"/>
          <w:sz w:val="20"/>
          <w:szCs w:val="20"/>
          <w:lang w:val="es-ES"/>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A16FEE">
        <w:rPr>
          <w:rFonts w:ascii="Verdana" w:hAnsi="Verdana" w:cs="Arial"/>
          <w:color w:val="000000" w:themeColor="text1"/>
          <w:sz w:val="20"/>
          <w:szCs w:val="20"/>
          <w:vertAlign w:val="superscript"/>
          <w:lang w:val="es-ES"/>
        </w:rPr>
        <w:footnoteReference w:id="9"/>
      </w:r>
      <w:r w:rsidRPr="00A16FEE">
        <w:rPr>
          <w:rFonts w:ascii="Verdana" w:hAnsi="Verdana" w:cs="Arial"/>
          <w:color w:val="000000" w:themeColor="text1"/>
          <w:sz w:val="20"/>
          <w:szCs w:val="20"/>
          <w:lang w:val="es-ES"/>
        </w:rPr>
        <w:t>.</w:t>
      </w:r>
    </w:p>
    <w:p w14:paraId="0F7FBD40" w14:textId="77777777" w:rsidR="00B13378" w:rsidRPr="00A16FEE" w:rsidRDefault="00B13378" w:rsidP="00B13378">
      <w:pPr>
        <w:spacing w:after="0" w:line="240" w:lineRule="auto"/>
        <w:ind w:left="709" w:right="709"/>
        <w:jc w:val="both"/>
        <w:rPr>
          <w:rFonts w:ascii="Verdana" w:hAnsi="Verdana" w:cs="Arial"/>
          <w:bCs/>
          <w:color w:val="000000" w:themeColor="text1"/>
          <w:sz w:val="20"/>
          <w:szCs w:val="20"/>
          <w:lang w:val="es-ES"/>
        </w:rPr>
      </w:pPr>
    </w:p>
    <w:p w14:paraId="328BEDCF" w14:textId="77777777" w:rsidR="00B13378" w:rsidRPr="00A16FEE" w:rsidRDefault="00B13378" w:rsidP="00B13378">
      <w:pPr>
        <w:spacing w:after="0" w:line="240" w:lineRule="auto"/>
        <w:ind w:firstLine="709"/>
        <w:jc w:val="both"/>
        <w:rPr>
          <w:rFonts w:ascii="Verdana" w:eastAsia="Calibri" w:hAnsi="Verdana" w:cs="Arial"/>
          <w:color w:val="000000" w:themeColor="text1"/>
          <w:lang w:val="es-ES"/>
        </w:rPr>
      </w:pPr>
      <w:r w:rsidRPr="00A16FEE">
        <w:rPr>
          <w:rFonts w:ascii="Verdana" w:eastAsia="Calibri" w:hAnsi="Verdana" w:cs="Arial"/>
          <w:color w:val="000000" w:themeColor="text1"/>
          <w:lang w:val="es-ES"/>
        </w:rPr>
        <w:t>También ha dicho que:</w:t>
      </w:r>
    </w:p>
    <w:p w14:paraId="3D2EE276" w14:textId="77777777" w:rsidR="00B13378" w:rsidRPr="00A16FEE" w:rsidRDefault="00B13378" w:rsidP="00B13378">
      <w:pPr>
        <w:spacing w:after="0" w:line="240" w:lineRule="auto"/>
        <w:jc w:val="both"/>
        <w:rPr>
          <w:rFonts w:ascii="Verdana" w:eastAsia="Calibri" w:hAnsi="Verdana" w:cs="Arial"/>
          <w:color w:val="000000" w:themeColor="text1"/>
          <w:sz w:val="20"/>
          <w:szCs w:val="20"/>
          <w:lang w:val="es-ES"/>
        </w:rPr>
      </w:pPr>
    </w:p>
    <w:p w14:paraId="4AB28E8D" w14:textId="77777777" w:rsidR="00B13378" w:rsidRPr="00A16FEE" w:rsidRDefault="00B13378" w:rsidP="00B13378">
      <w:pPr>
        <w:spacing w:after="0" w:line="240" w:lineRule="auto"/>
        <w:ind w:left="709" w:right="709"/>
        <w:jc w:val="both"/>
        <w:rPr>
          <w:rFonts w:ascii="Verdana" w:hAnsi="Verdana" w:cs="Arial"/>
          <w:color w:val="000000" w:themeColor="text1"/>
          <w:sz w:val="20"/>
          <w:szCs w:val="20"/>
          <w:lang w:val="es-ES"/>
        </w:rPr>
      </w:pPr>
      <w:r w:rsidRPr="00A16FEE">
        <w:rPr>
          <w:rFonts w:ascii="Verdana" w:hAnsi="Verdana" w:cs="Arial"/>
          <w:color w:val="000000" w:themeColor="text1"/>
          <w:sz w:val="20"/>
          <w:szCs w:val="20"/>
          <w:lang w:val="es-ES"/>
        </w:rPr>
        <w:t xml:space="preserve">“[…] la aplicación de estos preceptos exige una interpretación restrictiva, dado que según el principio hermenéutico </w:t>
      </w:r>
      <w:r w:rsidRPr="00A16FEE">
        <w:rPr>
          <w:rFonts w:ascii="Verdana" w:hAnsi="Verdana" w:cs="Arial"/>
          <w:i/>
          <w:color w:val="000000" w:themeColor="text1"/>
          <w:sz w:val="20"/>
          <w:szCs w:val="20"/>
          <w:lang w:val="es-ES"/>
        </w:rPr>
        <w:t xml:space="preserve">pro </w:t>
      </w:r>
      <w:proofErr w:type="spellStart"/>
      <w:r w:rsidRPr="00A16FEE">
        <w:rPr>
          <w:rFonts w:ascii="Verdana" w:hAnsi="Verdana" w:cs="Arial"/>
          <w:i/>
          <w:color w:val="000000" w:themeColor="text1"/>
          <w:sz w:val="20"/>
          <w:szCs w:val="20"/>
          <w:lang w:val="es-ES"/>
        </w:rPr>
        <w:t>libertate</w:t>
      </w:r>
      <w:proofErr w:type="spellEnd"/>
      <w:r w:rsidRPr="00A16FEE">
        <w:rPr>
          <w:rFonts w:ascii="Verdana" w:hAnsi="Verdana" w:cs="Arial"/>
          <w:color w:val="000000" w:themeColor="text1"/>
          <w:sz w:val="20"/>
          <w:szCs w:val="20"/>
          <w:lang w:val="es-ES"/>
        </w:rPr>
        <w:t xml:space="preserv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w:t>
      </w:r>
      <w:r w:rsidRPr="00A16FEE">
        <w:rPr>
          <w:rFonts w:ascii="Verdana" w:hAnsi="Verdana" w:cs="Arial"/>
          <w:color w:val="000000" w:themeColor="text1"/>
          <w:sz w:val="20"/>
          <w:szCs w:val="20"/>
          <w:lang w:val="es-ES"/>
        </w:rPr>
        <w:lastRenderedPageBreak/>
        <w:t>de las mismas, pues de hacerlo se vulnerarían los derechos fundamentales al debido proceso (art. 29 CN) y a la igualdad (art. 13 Ibid.); […]”</w:t>
      </w:r>
      <w:r w:rsidRPr="00A16FEE">
        <w:rPr>
          <w:rFonts w:ascii="Verdana" w:hAnsi="Verdana" w:cs="Arial"/>
          <w:color w:val="000000" w:themeColor="text1"/>
          <w:sz w:val="20"/>
          <w:szCs w:val="20"/>
          <w:vertAlign w:val="superscript"/>
          <w:lang w:val="es-ES"/>
        </w:rPr>
        <w:footnoteReference w:id="10"/>
      </w:r>
      <w:r w:rsidRPr="00A16FEE">
        <w:rPr>
          <w:rFonts w:ascii="Verdana" w:hAnsi="Verdana" w:cs="Arial"/>
          <w:color w:val="000000" w:themeColor="text1"/>
          <w:sz w:val="20"/>
          <w:szCs w:val="20"/>
          <w:lang w:val="es-ES"/>
        </w:rPr>
        <w:t>.</w:t>
      </w:r>
    </w:p>
    <w:p w14:paraId="3F138E37" w14:textId="77777777" w:rsidR="00B13378" w:rsidRPr="00A16FEE" w:rsidRDefault="00B13378" w:rsidP="00B13378">
      <w:pPr>
        <w:spacing w:after="0" w:line="276" w:lineRule="auto"/>
        <w:ind w:left="709" w:right="709"/>
        <w:jc w:val="both"/>
        <w:rPr>
          <w:rFonts w:ascii="Verdana" w:hAnsi="Verdana" w:cs="Arial"/>
          <w:color w:val="000000" w:themeColor="text1"/>
          <w:lang w:val="es-ES"/>
        </w:rPr>
      </w:pPr>
    </w:p>
    <w:p w14:paraId="6C43A965" w14:textId="77777777" w:rsidR="00B13378" w:rsidRPr="00A16FEE" w:rsidRDefault="00B13378" w:rsidP="00B13378">
      <w:pPr>
        <w:spacing w:after="0" w:line="276" w:lineRule="auto"/>
        <w:ind w:firstLine="708"/>
        <w:jc w:val="both"/>
        <w:rPr>
          <w:rFonts w:ascii="Verdana" w:eastAsia="Calibri" w:hAnsi="Verdana" w:cs="Arial"/>
          <w:color w:val="000000"/>
          <w:szCs w:val="24"/>
          <w:lang w:val="es-ES"/>
        </w:rPr>
      </w:pPr>
      <w:r w:rsidRPr="00A16FEE">
        <w:rPr>
          <w:rFonts w:ascii="Verdana" w:eastAsia="Calibri" w:hAnsi="Verdana" w:cs="Arial"/>
          <w:color w:val="000000" w:themeColor="text1"/>
          <w:lang w:val="es-ES"/>
        </w:rPr>
        <w:t xml:space="preserve">Como se aprecia, el principio </w:t>
      </w:r>
      <w:r w:rsidRPr="00A16FEE">
        <w:rPr>
          <w:rFonts w:ascii="Verdana" w:eastAsia="Calibri" w:hAnsi="Verdana" w:cs="Arial"/>
          <w:i/>
          <w:color w:val="000000" w:themeColor="text1"/>
          <w:lang w:val="es-ES"/>
        </w:rPr>
        <w:t xml:space="preserve">pro </w:t>
      </w:r>
      <w:proofErr w:type="spellStart"/>
      <w:r w:rsidRPr="00A16FEE">
        <w:rPr>
          <w:rFonts w:ascii="Verdana" w:eastAsia="Calibri" w:hAnsi="Verdana" w:cs="Arial"/>
          <w:i/>
          <w:color w:val="000000" w:themeColor="text1"/>
          <w:lang w:val="es-ES"/>
        </w:rPr>
        <w:t>libertate</w:t>
      </w:r>
      <w:proofErr w:type="spellEnd"/>
      <w:r w:rsidRPr="00A16FEE">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r w:rsidRPr="00A16FEE">
        <w:rPr>
          <w:rFonts w:ascii="Verdana" w:eastAsia="Arial" w:hAnsi="Verdana" w:cs="Arial"/>
          <w:color w:val="000000"/>
          <w:lang w:val="es-ES"/>
        </w:rPr>
        <w:t xml:space="preserve"> Además, en relación con la determinación de las causales de inhabilidad e incompatibilidad, la</w:t>
      </w:r>
      <w:r w:rsidRPr="00A16FEE">
        <w:rPr>
          <w:rFonts w:ascii="Verdana" w:eastAsia="Calibri" w:hAnsi="Verdana" w:cs="Arial"/>
          <w:color w:val="000000"/>
          <w:lang w:val="es-ES"/>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p>
    <w:p w14:paraId="7AC68A96" w14:textId="77777777" w:rsidR="00B13378" w:rsidRPr="00A16FEE" w:rsidRDefault="00B13378" w:rsidP="00B13378">
      <w:pPr>
        <w:tabs>
          <w:tab w:val="left" w:pos="1532"/>
        </w:tabs>
        <w:spacing w:after="0" w:line="276" w:lineRule="auto"/>
        <w:jc w:val="both"/>
        <w:rPr>
          <w:rFonts w:ascii="Verdana" w:eastAsia="Calibri" w:hAnsi="Verdana" w:cs="Arial"/>
          <w:color w:val="000000"/>
          <w:lang w:val="es-ES"/>
        </w:rPr>
      </w:pPr>
      <w:r w:rsidRPr="00A16FEE">
        <w:rPr>
          <w:rFonts w:ascii="Verdana" w:eastAsia="Calibri" w:hAnsi="Verdana" w:cs="Arial"/>
          <w:color w:val="000000"/>
          <w:sz w:val="24"/>
          <w:lang w:val="es-ES"/>
        </w:rPr>
        <w:tab/>
      </w:r>
    </w:p>
    <w:p w14:paraId="2DBFA949" w14:textId="77777777" w:rsidR="00B13378" w:rsidRPr="00A16FEE" w:rsidRDefault="00B13378" w:rsidP="00B13378">
      <w:pPr>
        <w:spacing w:after="0" w:line="240" w:lineRule="auto"/>
        <w:ind w:left="709" w:right="709"/>
        <w:jc w:val="both"/>
        <w:rPr>
          <w:rFonts w:ascii="Verdana" w:eastAsia="Calibri" w:hAnsi="Verdana" w:cs="Arial"/>
          <w:color w:val="000000"/>
          <w:sz w:val="20"/>
          <w:szCs w:val="20"/>
          <w:lang w:val="es-ES"/>
        </w:rPr>
      </w:pPr>
      <w:r w:rsidRPr="00A16FEE">
        <w:rPr>
          <w:rFonts w:ascii="Verdana" w:eastAsia="Calibri" w:hAnsi="Verdana" w:cs="Arial"/>
          <w:color w:val="000000"/>
          <w:sz w:val="20"/>
          <w:szCs w:val="20"/>
          <w:lang w:val="es-ES"/>
        </w:rPr>
        <w:t xml:space="preserve">“[…] 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w:t>
      </w:r>
      <w:proofErr w:type="spellStart"/>
      <w:r w:rsidRPr="00A16FEE">
        <w:rPr>
          <w:rFonts w:ascii="Verdana" w:eastAsia="Calibri" w:hAnsi="Verdana" w:cs="Arial"/>
          <w:color w:val="000000"/>
          <w:sz w:val="20"/>
          <w:szCs w:val="20"/>
          <w:lang w:val="es-ES"/>
        </w:rPr>
        <w:t>libertate</w:t>
      </w:r>
      <w:proofErr w:type="spellEnd"/>
      <w:r w:rsidRPr="00A16FEE">
        <w:rPr>
          <w:rFonts w:ascii="Verdana" w:eastAsia="Calibri" w:hAnsi="Verdana" w:cs="Arial"/>
          <w:color w:val="000000"/>
          <w:sz w:val="20"/>
          <w:szCs w:val="20"/>
          <w:lang w:val="es-ES"/>
        </w:rPr>
        <w:t xml:space="preserve">, sino el de legalidad, el que ordena que la función pública debe someterse estrictamente a lo que disponga la Constitución y la ley (CP art. 6). </w:t>
      </w:r>
    </w:p>
    <w:p w14:paraId="2CCE14B0" w14:textId="77777777" w:rsidR="00B13378" w:rsidRPr="00A16FEE" w:rsidRDefault="00B13378" w:rsidP="00B13378">
      <w:pPr>
        <w:spacing w:after="0" w:line="240" w:lineRule="auto"/>
        <w:ind w:left="709" w:right="709"/>
        <w:jc w:val="both"/>
        <w:rPr>
          <w:rFonts w:ascii="Verdana" w:eastAsia="Calibri" w:hAnsi="Verdana" w:cs="Arial"/>
          <w:color w:val="000000"/>
          <w:sz w:val="20"/>
          <w:szCs w:val="20"/>
          <w:lang w:val="es-ES"/>
        </w:rPr>
      </w:pPr>
      <w:r w:rsidRPr="00A16FEE">
        <w:rPr>
          <w:rFonts w:ascii="Verdana" w:eastAsia="Calibri" w:hAnsi="Verdana" w:cs="Arial"/>
          <w:color w:val="000000"/>
          <w:sz w:val="20"/>
          <w:szCs w:val="20"/>
          <w:lang w:val="es-ES"/>
        </w:rPr>
        <w:t>[…]</w:t>
      </w:r>
    </w:p>
    <w:p w14:paraId="78FC5C21" w14:textId="77777777" w:rsidR="00B13378" w:rsidRPr="00A16FEE" w:rsidRDefault="00B13378" w:rsidP="00B13378">
      <w:pPr>
        <w:spacing w:after="0" w:line="240" w:lineRule="auto"/>
        <w:ind w:left="709" w:right="709"/>
        <w:jc w:val="both"/>
        <w:rPr>
          <w:rFonts w:ascii="Verdana" w:eastAsia="Calibri" w:hAnsi="Verdana" w:cs="Arial"/>
          <w:color w:val="000000"/>
          <w:sz w:val="20"/>
          <w:szCs w:val="20"/>
          <w:lang w:val="es-ES"/>
        </w:rPr>
      </w:pPr>
      <w:r w:rsidRPr="00A16FEE">
        <w:rPr>
          <w:rFonts w:ascii="Verdana" w:eastAsia="Calibri" w:hAnsi="Verdana" w:cs="Arial"/>
          <w:color w:val="000000"/>
          <w:sz w:val="20"/>
          <w:szCs w:val="20"/>
          <w:lang w:val="es-ES"/>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A16FEE">
        <w:rPr>
          <w:rFonts w:ascii="Verdana" w:eastAsia="Calibri" w:hAnsi="Verdana" w:cs="Arial"/>
          <w:color w:val="000000"/>
          <w:sz w:val="20"/>
          <w:szCs w:val="20"/>
          <w:vertAlign w:val="superscript"/>
          <w:lang w:val="es-ES"/>
        </w:rPr>
        <w:footnoteReference w:id="11"/>
      </w:r>
      <w:r w:rsidRPr="00A16FEE">
        <w:rPr>
          <w:rFonts w:ascii="Verdana" w:eastAsia="Calibri" w:hAnsi="Verdana" w:cs="Arial"/>
          <w:color w:val="000000"/>
          <w:sz w:val="20"/>
          <w:szCs w:val="20"/>
          <w:lang w:val="es-ES"/>
        </w:rPr>
        <w:t>.</w:t>
      </w:r>
    </w:p>
    <w:p w14:paraId="04676709" w14:textId="77777777" w:rsidR="00B13378" w:rsidRPr="00A16FEE" w:rsidRDefault="00B13378" w:rsidP="00B13378">
      <w:pPr>
        <w:spacing w:after="0" w:line="240" w:lineRule="auto"/>
        <w:ind w:left="709" w:right="709"/>
        <w:jc w:val="both"/>
        <w:rPr>
          <w:rFonts w:ascii="Verdana" w:eastAsia="Calibri" w:hAnsi="Verdana" w:cs="Arial"/>
          <w:color w:val="000000"/>
          <w:sz w:val="20"/>
          <w:szCs w:val="20"/>
          <w:lang w:val="es-ES"/>
        </w:rPr>
      </w:pPr>
    </w:p>
    <w:p w14:paraId="0DE8804A" w14:textId="77777777" w:rsidR="00B13378" w:rsidRPr="00A16FEE" w:rsidRDefault="00B13378" w:rsidP="00B13378">
      <w:pPr>
        <w:widowControl w:val="0"/>
        <w:autoSpaceDE w:val="0"/>
        <w:autoSpaceDN w:val="0"/>
        <w:spacing w:after="120" w:line="276" w:lineRule="auto"/>
        <w:ind w:firstLine="709"/>
        <w:jc w:val="both"/>
        <w:rPr>
          <w:rFonts w:ascii="Verdana" w:eastAsia="Arial MT" w:hAnsi="Verdana" w:cs="Arial"/>
          <w:lang w:val="es-ES" w:eastAsia="es-ES" w:bidi="es-ES"/>
        </w:rPr>
      </w:pPr>
      <w:r w:rsidRPr="00A16FEE">
        <w:rPr>
          <w:rFonts w:ascii="Verdana" w:eastAsia="Arial MT" w:hAnsi="Verdana" w:cs="Arial"/>
          <w:lang w:val="es-ES" w:eastAsia="es-ES" w:bidi="es-ES"/>
        </w:rPr>
        <w:t xml:space="preserve">En suma, el régimen de inhabilidades e incompatibilidades se origina en la prerrogativa legislativa, obedece al principio de legalidad y su interpretación es restrictiva, como quiera que su aplicación implica limitaciones para el acceso a cargos o ejercicio de funciones públicas y para participar en procesos de </w:t>
      </w:r>
      <w:r w:rsidRPr="00A16FEE">
        <w:rPr>
          <w:rFonts w:ascii="Verdana" w:eastAsia="Arial MT" w:hAnsi="Verdana" w:cs="Arial"/>
          <w:lang w:val="es-ES" w:eastAsia="es-ES" w:bidi="es-ES"/>
        </w:rPr>
        <w:lastRenderedPageBreak/>
        <w:t>contratación pública adelantados por las entidades estatales, según sea el caso.</w:t>
      </w:r>
    </w:p>
    <w:p w14:paraId="2B8E5D51" w14:textId="77777777" w:rsidR="00B13378" w:rsidRPr="00A16FEE" w:rsidRDefault="00B13378" w:rsidP="00B13378">
      <w:pPr>
        <w:spacing w:after="120" w:line="276" w:lineRule="auto"/>
        <w:ind w:firstLine="709"/>
        <w:jc w:val="both"/>
        <w:rPr>
          <w:rFonts w:ascii="Verdana" w:eastAsia="Arial MT" w:hAnsi="Verdana" w:cs="Arial"/>
          <w:lang w:val="es-ES" w:eastAsia="es-ES" w:bidi="es-ES"/>
        </w:rPr>
      </w:pPr>
      <w:r w:rsidRPr="00A16FEE">
        <w:rPr>
          <w:rFonts w:ascii="Verdana" w:hAnsi="Verdana"/>
          <w:lang w:val="es-ES"/>
        </w:rPr>
        <w:t xml:space="preserve">Entre las incompatibilidades para contratar con el Estado se encuentra la prevista </w:t>
      </w:r>
      <w:r w:rsidRPr="00A16FEE">
        <w:rPr>
          <w:rFonts w:ascii="Verdana" w:eastAsia="Calibri" w:hAnsi="Verdana" w:cs="Arial"/>
          <w:color w:val="000000"/>
          <w:lang w:val="es-ES"/>
        </w:rPr>
        <w:t>en el artículo 8 numeral 2, literal a)</w:t>
      </w:r>
      <w:r w:rsidRPr="00A16FEE">
        <w:rPr>
          <w:rStyle w:val="Refdenotaalpie"/>
          <w:rFonts w:ascii="Verdana" w:eastAsia="Calibri" w:hAnsi="Verdana" w:cs="Arial"/>
          <w:color w:val="000000"/>
          <w:lang w:val="es-ES"/>
        </w:rPr>
        <w:footnoteReference w:id="12"/>
      </w:r>
      <w:r w:rsidRPr="00A16FEE">
        <w:rPr>
          <w:rFonts w:ascii="Verdana" w:eastAsia="Calibri" w:hAnsi="Verdana" w:cs="Arial"/>
          <w:color w:val="000000"/>
          <w:lang w:val="es-ES"/>
        </w:rPr>
        <w:t xml:space="preserve"> de la Ley 80 de 1993. La incompatibilidad señalada en este literal prohíbe a las entidades públicas contratar con quienes hayan sido </w:t>
      </w:r>
      <w:r w:rsidRPr="00A16FEE">
        <w:rPr>
          <w:rFonts w:ascii="Verdana" w:eastAsia="Arial MT" w:hAnsi="Verdana" w:cs="Arial"/>
          <w:lang w:val="es-ES" w:eastAsia="es-ES" w:bidi="es-ES"/>
        </w:rPr>
        <w:t>i</w:t>
      </w:r>
      <w:r w:rsidRPr="00A16FEE">
        <w:rPr>
          <w:rFonts w:ascii="Verdana" w:eastAsia="Arial MT" w:hAnsi="Verdana" w:cs="Arial"/>
          <w:i/>
          <w:iCs/>
          <w:lang w:val="es-ES" w:eastAsia="es-ES" w:bidi="es-ES"/>
        </w:rPr>
        <w:t xml:space="preserve">) </w:t>
      </w:r>
      <w:r w:rsidRPr="00A16FEE">
        <w:rPr>
          <w:rFonts w:ascii="Verdana" w:eastAsia="Arial MT" w:hAnsi="Verdana" w:cs="Arial"/>
          <w:lang w:val="es-ES" w:eastAsia="es-ES" w:bidi="es-ES"/>
        </w:rPr>
        <w:t xml:space="preserve">miembros de la junta o consejo directivo o </w:t>
      </w:r>
      <w:proofErr w:type="spellStart"/>
      <w:r w:rsidRPr="00A16FEE">
        <w:rPr>
          <w:rFonts w:ascii="Verdana" w:eastAsia="Arial MT" w:hAnsi="Verdana" w:cs="Arial"/>
          <w:lang w:val="es-ES" w:eastAsia="es-ES" w:bidi="es-ES"/>
        </w:rPr>
        <w:t>ii</w:t>
      </w:r>
      <w:proofErr w:type="spellEnd"/>
      <w:r w:rsidRPr="00A16FEE">
        <w:rPr>
          <w:rFonts w:ascii="Verdana" w:eastAsia="Arial MT" w:hAnsi="Verdana" w:cs="Arial"/>
          <w:lang w:val="es-ES" w:eastAsia="es-ES" w:bidi="es-ES"/>
        </w:rPr>
        <w:t xml:space="preserve">) servidores públicos </w:t>
      </w:r>
      <w:r w:rsidRPr="00A16FEE">
        <w:rPr>
          <w:rFonts w:ascii="Verdana" w:eastAsia="Arial MT" w:hAnsi="Verdana" w:cs="Arial"/>
          <w:i/>
          <w:iCs/>
          <w:lang w:val="es-ES" w:eastAsia="es-ES" w:bidi="es-ES"/>
        </w:rPr>
        <w:t>de la entidad contratante</w:t>
      </w:r>
      <w:r w:rsidRPr="00A16FEE">
        <w:rPr>
          <w:rFonts w:ascii="Verdana" w:eastAsia="Arial MT" w:hAnsi="Verdana" w:cs="Arial"/>
          <w:lang w:val="es-ES" w:eastAsia="es-ES" w:bidi="es-ES"/>
        </w:rPr>
        <w:t xml:space="preserve">s, siempre que hubiesen ejercido funciones en los niveles directivo, asesor o ejecutivo. Esta incompatibilidad para contratar se extiende por el término de un (1) año, contado a partir de la fecha del retiro. </w:t>
      </w:r>
    </w:p>
    <w:p w14:paraId="0F9EBC61" w14:textId="77777777" w:rsidR="00B13378" w:rsidRPr="00A16FEE" w:rsidRDefault="00B13378" w:rsidP="00B13378">
      <w:pPr>
        <w:widowControl w:val="0"/>
        <w:autoSpaceDE w:val="0"/>
        <w:autoSpaceDN w:val="0"/>
        <w:spacing w:after="120" w:line="276" w:lineRule="auto"/>
        <w:ind w:firstLine="709"/>
        <w:jc w:val="both"/>
        <w:rPr>
          <w:rFonts w:ascii="Verdana" w:eastAsia="Arial MT" w:hAnsi="Verdana" w:cs="Arial"/>
          <w:lang w:val="es-ES" w:eastAsia="es-ES" w:bidi="es-ES"/>
        </w:rPr>
      </w:pPr>
      <w:r w:rsidRPr="00A16FEE">
        <w:rPr>
          <w:rFonts w:ascii="Verdana" w:eastAsia="Arial MT" w:hAnsi="Verdana" w:cs="Arial"/>
          <w:lang w:val="es-ES" w:eastAsia="es-ES" w:bidi="es-ES"/>
        </w:rPr>
        <w:t xml:space="preserve">Según lo expuesto, para que se configure la incompatibilidad del literal a) es necesario el cumplimiento de todos los supuestos descritos en la norma. En otras palabras, en virtud de la aplicación restrictiva de las incompatibilidades, se deben configurar los elementos tanto materiales como temporales que exige dicha disposición y solo podrá aplicarse a los sujetos que expresamente contempla la norma. Para el caso de la incompatibilidad del literal a) los </w:t>
      </w:r>
      <w:r w:rsidRPr="00A16FEE">
        <w:rPr>
          <w:rFonts w:ascii="Verdana" w:eastAsia="Arial MT" w:hAnsi="Verdana" w:cs="Arial"/>
          <w:i/>
          <w:iCs/>
          <w:lang w:val="es-ES" w:eastAsia="es-ES" w:bidi="es-ES"/>
        </w:rPr>
        <w:t xml:space="preserve">elementos materiales </w:t>
      </w:r>
      <w:r w:rsidRPr="00A16FEE">
        <w:rPr>
          <w:rFonts w:ascii="Verdana" w:eastAsia="Arial MT" w:hAnsi="Verdana" w:cs="Arial"/>
          <w:lang w:val="es-ES" w:eastAsia="es-ES" w:bidi="es-ES"/>
        </w:rPr>
        <w:t xml:space="preserve">son: i) que el exservidor público hubiese integrado una junta o consejo directivo o hubiese estado vinculado laboralmente como servidor público </w:t>
      </w:r>
      <w:r w:rsidRPr="00A16FEE">
        <w:rPr>
          <w:rFonts w:ascii="Verdana" w:eastAsia="Arial MT" w:hAnsi="Verdana" w:cs="Arial"/>
          <w:i/>
          <w:iCs/>
          <w:lang w:val="es-ES" w:eastAsia="es-ES" w:bidi="es-ES"/>
        </w:rPr>
        <w:t xml:space="preserve">de la entidad contratante </w:t>
      </w:r>
      <w:r w:rsidRPr="00A16FEE">
        <w:rPr>
          <w:rFonts w:ascii="Verdana" w:eastAsia="Arial MT" w:hAnsi="Verdana" w:cs="Arial"/>
          <w:lang w:val="es-ES" w:eastAsia="es-ES" w:bidi="es-ES"/>
        </w:rPr>
        <w:t xml:space="preserve">y </w:t>
      </w:r>
      <w:proofErr w:type="spellStart"/>
      <w:r w:rsidRPr="00A16FEE">
        <w:rPr>
          <w:rFonts w:ascii="Verdana" w:eastAsia="Arial MT" w:hAnsi="Verdana" w:cs="Arial"/>
          <w:lang w:val="es-ES" w:eastAsia="es-ES" w:bidi="es-ES"/>
        </w:rPr>
        <w:t>ii</w:t>
      </w:r>
      <w:proofErr w:type="spellEnd"/>
      <w:r w:rsidRPr="00A16FEE">
        <w:rPr>
          <w:rFonts w:ascii="Verdana" w:eastAsia="Arial MT" w:hAnsi="Verdana" w:cs="Arial"/>
          <w:lang w:val="es-ES" w:eastAsia="es-ES" w:bidi="es-ES"/>
        </w:rPr>
        <w:t xml:space="preserve">) que las funciones que hubiese desempeñado dicho exfuncionario sean del nivel directivo, asesor o ejecutivo. De otro lado, el </w:t>
      </w:r>
      <w:r w:rsidRPr="00A16FEE">
        <w:rPr>
          <w:rFonts w:ascii="Verdana" w:eastAsia="Arial MT" w:hAnsi="Verdana" w:cs="Arial"/>
          <w:i/>
          <w:iCs/>
          <w:lang w:val="es-ES" w:eastAsia="es-ES" w:bidi="es-ES"/>
        </w:rPr>
        <w:t>elemento temporal</w:t>
      </w:r>
      <w:r w:rsidRPr="00A16FEE">
        <w:rPr>
          <w:rFonts w:ascii="Verdana" w:eastAsia="Arial MT" w:hAnsi="Verdana" w:cs="Arial"/>
          <w:lang w:val="es-ES" w:eastAsia="es-ES" w:bidi="es-ES"/>
        </w:rPr>
        <w:t xml:space="preserve"> es que su retiro se hubiese presentado dentro del año inmediatamente anterior a la fecha de celebración del contrato que se pretende celebrar. De esta forma, para que se configure de la incompatibilidad referida, será necesario que se presenten tanto los elementos materiales como el elemento temporal descrito. A falta de alguno de ellos, no habría configuración de dicha causal.</w:t>
      </w:r>
    </w:p>
    <w:p w14:paraId="57AD8172" w14:textId="77777777" w:rsidR="00B13378" w:rsidRPr="00A16FEE" w:rsidRDefault="00B13378" w:rsidP="00B13378">
      <w:pPr>
        <w:widowControl w:val="0"/>
        <w:autoSpaceDE w:val="0"/>
        <w:autoSpaceDN w:val="0"/>
        <w:spacing w:after="120" w:line="276" w:lineRule="auto"/>
        <w:ind w:firstLine="709"/>
        <w:jc w:val="both"/>
        <w:rPr>
          <w:rFonts w:ascii="Verdana" w:eastAsia="Arial MT" w:hAnsi="Verdana" w:cs="Arial"/>
          <w:lang w:val="es-ES" w:eastAsia="es-ES" w:bidi="es-ES"/>
        </w:rPr>
      </w:pPr>
      <w:r w:rsidRPr="00A16FEE">
        <w:rPr>
          <w:rFonts w:ascii="Verdana" w:eastAsia="Arial MT" w:hAnsi="Verdana" w:cs="Arial"/>
          <w:lang w:val="es-ES" w:eastAsia="es-ES" w:bidi="es-ES"/>
        </w:rPr>
        <w:t xml:space="preserve">Adicionalmente, sobre los sujetos a los que es aplicable es importante resaltar que la causal requiere de manera expresa que el exservidor hubiese integrado una junta o consejo directivo o hubiese estado vinculado laboralmente como servidor público de la entidad contratante, de modo que la inhabilidad no será aplicable cuando haya estado vinculado o haya integrado dichos órganos en una entidad estatal distinta. Sin embargo, aplica a dichos exservidores </w:t>
      </w:r>
      <w:r w:rsidRPr="00A16FEE">
        <w:rPr>
          <w:rFonts w:ascii="Verdana" w:eastAsia="Arial MT" w:hAnsi="Verdana" w:cs="Arial"/>
          <w:i/>
          <w:iCs/>
          <w:lang w:val="es-ES" w:eastAsia="es-ES" w:bidi="es-ES"/>
        </w:rPr>
        <w:t xml:space="preserve">en </w:t>
      </w:r>
      <w:r w:rsidRPr="00A16FEE">
        <w:rPr>
          <w:rFonts w:ascii="Verdana" w:eastAsia="Arial MT" w:hAnsi="Verdana" w:cs="Arial"/>
          <w:i/>
          <w:iCs/>
          <w:lang w:val="es-ES" w:eastAsia="es-ES" w:bidi="es-ES"/>
        </w:rPr>
        <w:lastRenderedPageBreak/>
        <w:t xml:space="preserve">cualquiera de sus clasificaciones, </w:t>
      </w:r>
      <w:r w:rsidRPr="00A16FEE">
        <w:rPr>
          <w:rFonts w:ascii="Verdana" w:eastAsia="Arial MT" w:hAnsi="Verdana" w:cs="Arial"/>
          <w:lang w:val="es-ES" w:eastAsia="es-ES" w:bidi="es-ES"/>
        </w:rPr>
        <w:t>sean estos miembros de corporaciones públicas, sean empleados y/o trabajadores del Estado y/o de sus entidades descentralizadas territorialmente y/o por servicios.</w:t>
      </w:r>
    </w:p>
    <w:p w14:paraId="364BD2B3" w14:textId="77777777" w:rsidR="00B13378" w:rsidRPr="00A16FEE" w:rsidRDefault="00B13378" w:rsidP="00B13378">
      <w:pPr>
        <w:widowControl w:val="0"/>
        <w:autoSpaceDE w:val="0"/>
        <w:autoSpaceDN w:val="0"/>
        <w:spacing w:after="120" w:line="276" w:lineRule="auto"/>
        <w:ind w:firstLine="709"/>
        <w:jc w:val="both"/>
        <w:rPr>
          <w:rFonts w:ascii="Verdana" w:eastAsia="Calibri" w:hAnsi="Verdana" w:cs="Arial"/>
          <w:color w:val="000000"/>
          <w:lang w:val="es-ES"/>
        </w:rPr>
      </w:pPr>
      <w:r w:rsidRPr="00A16FEE">
        <w:rPr>
          <w:rFonts w:ascii="Verdana" w:eastAsia="Calibri" w:hAnsi="Verdana" w:cs="Arial"/>
          <w:color w:val="000000"/>
          <w:lang w:val="es-ES"/>
        </w:rPr>
        <w:t>Esta prohibición pretende evitar que personas que ostentaron cargos a los que alude la norma saquen ventaja o provecho de dicha situación respecto de los demás participantes, o que puedan ejercer influencia en la celebración del contrato, violando los principios de igualdad, objetividad, moralidad y transparencia. Este fin justifica la limitación en el ejercicio de ciertas actividades por los servidores públicos durante y después del retiro de sus correspondientes cargos.</w:t>
      </w:r>
    </w:p>
    <w:p w14:paraId="15DEE02A" w14:textId="77777777" w:rsidR="00B13378" w:rsidRPr="00A16FEE" w:rsidRDefault="00B13378" w:rsidP="00B13378">
      <w:pPr>
        <w:widowControl w:val="0"/>
        <w:autoSpaceDE w:val="0"/>
        <w:autoSpaceDN w:val="0"/>
        <w:spacing w:after="0" w:line="276" w:lineRule="auto"/>
        <w:ind w:firstLine="709"/>
        <w:jc w:val="both"/>
        <w:rPr>
          <w:rFonts w:ascii="Verdana" w:eastAsia="Calibri" w:hAnsi="Verdana" w:cs="Arial"/>
          <w:color w:val="000000"/>
          <w:lang w:val="es-ES"/>
        </w:rPr>
      </w:pPr>
      <w:r w:rsidRPr="00A16FEE">
        <w:rPr>
          <w:rFonts w:ascii="Verdana" w:eastAsia="Calibri" w:hAnsi="Verdana" w:cs="Arial"/>
          <w:color w:val="000000"/>
          <w:lang w:val="es-ES"/>
        </w:rPr>
        <w:t>En la sentencia la Sentencia C-257 del 7 de mayo de 2013</w:t>
      </w:r>
      <w:r w:rsidRPr="00A16FEE">
        <w:rPr>
          <w:rStyle w:val="Refdenotaalpie"/>
          <w:rFonts w:ascii="Verdana" w:eastAsia="Calibri" w:hAnsi="Verdana" w:cs="Arial"/>
          <w:color w:val="000000"/>
          <w:lang w:val="es-ES"/>
        </w:rPr>
        <w:footnoteReference w:id="13"/>
      </w:r>
      <w:r w:rsidRPr="00A16FEE">
        <w:rPr>
          <w:rFonts w:ascii="Verdana" w:eastAsia="Calibri" w:hAnsi="Verdana" w:cs="Arial"/>
          <w:color w:val="000000"/>
          <w:lang w:val="es-ES"/>
        </w:rPr>
        <w:t>, la cual resolvió demanda contra el inciso 1 del artículo 3 y el artículo 4 de la Ley 1474 de 2011, disposición que incorporó causal f) al numeral 2 del artículo 8 del Estatuto General de Contratación de la Administración Pública. El pronunciamiento de la Corte reiteró que el legislador goza en esta materia de una amplia libertad de configuración para establecer un régimen estricto de inhabilidades e incompatibilidades para los servidores públicos durante el ejercicio de sus funciones y por un tiempo razonable a partir de su retiro, especialmente en el ámbito de la contratación pública. Producto de ello son las medidas legislativas que se han adoptado como parte esencial de una política pública que tiene como propósito esencial el de erradicar y prevenir no solo posibles actos corrupción, sino la de proscribir ventajas y privilegios que entrañan grave desconocimiento de los fines del Estado, de los principios de la función pública y de los derechos de los ciudadanos en materia de contratación estatal. Para la Corte Constitucional dicha política pública:</w:t>
      </w:r>
    </w:p>
    <w:p w14:paraId="224A7B82" w14:textId="77777777" w:rsidR="00B13378" w:rsidRPr="00A16FEE" w:rsidRDefault="00B13378" w:rsidP="00B13378">
      <w:pPr>
        <w:widowControl w:val="0"/>
        <w:autoSpaceDE w:val="0"/>
        <w:autoSpaceDN w:val="0"/>
        <w:spacing w:after="0" w:line="276" w:lineRule="auto"/>
        <w:ind w:firstLine="709"/>
        <w:jc w:val="both"/>
        <w:rPr>
          <w:rFonts w:ascii="Verdana" w:eastAsia="Calibri" w:hAnsi="Verdana" w:cs="Arial"/>
          <w:color w:val="000000"/>
          <w:lang w:val="es-ES"/>
        </w:rPr>
      </w:pPr>
    </w:p>
    <w:p w14:paraId="1E70F24F" w14:textId="77777777" w:rsidR="00B13378" w:rsidRPr="00A16FEE" w:rsidRDefault="00B13378" w:rsidP="00B13378">
      <w:pPr>
        <w:spacing w:after="0" w:line="240" w:lineRule="auto"/>
        <w:ind w:left="709" w:right="709"/>
        <w:jc w:val="both"/>
        <w:rPr>
          <w:rFonts w:ascii="Verdana" w:eastAsia="Calibri" w:hAnsi="Verdana" w:cs="Arial"/>
          <w:color w:val="000000"/>
          <w:sz w:val="20"/>
          <w:szCs w:val="20"/>
          <w:lang w:val="es-ES"/>
        </w:rPr>
      </w:pPr>
      <w:r w:rsidRPr="00A16FEE">
        <w:rPr>
          <w:rFonts w:ascii="Verdana" w:eastAsia="Calibri" w:hAnsi="Verdana" w:cs="Arial"/>
          <w:color w:val="000000"/>
          <w:sz w:val="20"/>
          <w:szCs w:val="20"/>
          <w:lang w:val="es-ES"/>
        </w:rPr>
        <w:t xml:space="preserve">“[…] responde a una continuidad histórica, desde su consagración en el artículo 8 de la Ley 80 de 1993 y que se ha ordenado a establecer rigurosos mecanismos de prevención de prácticas indeseables en la contratación pública. Por ello resulta constitucionalmente admisible establecer una inhabilidad para contratar con el Estado a los </w:t>
      </w:r>
      <w:proofErr w:type="gramStart"/>
      <w:r w:rsidRPr="00A16FEE">
        <w:rPr>
          <w:rFonts w:ascii="Verdana" w:eastAsia="Calibri" w:hAnsi="Verdana" w:cs="Arial"/>
          <w:color w:val="000000"/>
          <w:sz w:val="20"/>
          <w:szCs w:val="20"/>
          <w:lang w:val="es-ES"/>
        </w:rPr>
        <w:t>ex servidores</w:t>
      </w:r>
      <w:proofErr w:type="gramEnd"/>
      <w:r w:rsidRPr="00A16FEE">
        <w:rPr>
          <w:rFonts w:ascii="Verdana" w:eastAsia="Calibri" w:hAnsi="Verdana" w:cs="Arial"/>
          <w:color w:val="000000"/>
          <w:sz w:val="20"/>
          <w:szCs w:val="20"/>
          <w:lang w:val="es-ES"/>
        </w:rPr>
        <w:t xml:space="preserve"> públicos que ejercieron funciones directivas y a las sociedades en que en estos o sus parientes hagan parte y la entidad del estado a la cual estuvo vinculado como directivo.</w:t>
      </w:r>
    </w:p>
    <w:p w14:paraId="6E0C907F" w14:textId="77777777" w:rsidR="00B13378" w:rsidRPr="00A16FEE" w:rsidRDefault="00B13378" w:rsidP="00B13378">
      <w:pPr>
        <w:spacing w:after="0" w:line="240" w:lineRule="auto"/>
        <w:ind w:left="709" w:right="709"/>
        <w:jc w:val="both"/>
        <w:rPr>
          <w:rFonts w:ascii="Verdana" w:eastAsia="Calibri" w:hAnsi="Verdana" w:cs="Arial"/>
          <w:color w:val="000000"/>
          <w:sz w:val="20"/>
          <w:szCs w:val="20"/>
          <w:lang w:val="es-ES"/>
        </w:rPr>
      </w:pPr>
    </w:p>
    <w:p w14:paraId="73104322" w14:textId="77777777" w:rsidR="00B13378" w:rsidRPr="00A16FEE" w:rsidRDefault="00B13378" w:rsidP="00B13378">
      <w:pPr>
        <w:spacing w:after="0" w:line="240" w:lineRule="auto"/>
        <w:ind w:left="709" w:right="709"/>
        <w:jc w:val="both"/>
        <w:rPr>
          <w:rFonts w:ascii="Verdana" w:eastAsia="Calibri" w:hAnsi="Verdana" w:cs="Arial"/>
          <w:color w:val="000000"/>
          <w:sz w:val="20"/>
          <w:szCs w:val="20"/>
          <w:lang w:val="es-ES"/>
        </w:rPr>
      </w:pPr>
      <w:r w:rsidRPr="00A16FEE">
        <w:rPr>
          <w:rFonts w:ascii="Verdana" w:eastAsia="Calibri" w:hAnsi="Verdana" w:cs="Arial"/>
          <w:color w:val="000000"/>
          <w:sz w:val="20"/>
          <w:szCs w:val="20"/>
          <w:lang w:val="es-ES"/>
        </w:rPr>
        <w:lastRenderedPageBreak/>
        <w:t xml:space="preserve">[…] Es claro que la norma señala que la inhabilidad se aplica en relación con aquellos servidores públicos que desempeñaron funciones de dirección para evitar que puedan utilizar los vínculos, influencia y ascendencia que estos </w:t>
      </w:r>
      <w:proofErr w:type="gramStart"/>
      <w:r w:rsidRPr="00A16FEE">
        <w:rPr>
          <w:rFonts w:ascii="Verdana" w:eastAsia="Calibri" w:hAnsi="Verdana" w:cs="Arial"/>
          <w:color w:val="000000"/>
          <w:sz w:val="20"/>
          <w:szCs w:val="20"/>
          <w:lang w:val="es-ES"/>
        </w:rPr>
        <w:t>ex directivos</w:t>
      </w:r>
      <w:proofErr w:type="gramEnd"/>
      <w:r w:rsidRPr="00A16FEE">
        <w:rPr>
          <w:rFonts w:ascii="Verdana" w:eastAsia="Calibri" w:hAnsi="Verdana" w:cs="Arial"/>
          <w:color w:val="000000"/>
          <w:sz w:val="20"/>
          <w:szCs w:val="20"/>
          <w:lang w:val="es-ES"/>
        </w:rPr>
        <w:t xml:space="preserve"> […]  puedan tener con la entidad y sus funcionarios encargados de los procesos de selección, precisamente por el rol de jerarquía y mando que ejerció, con lo cual se trata de poner a salvo los principios constitucionales de la administración pública ya referidos.” </w:t>
      </w:r>
    </w:p>
    <w:p w14:paraId="51EC57E0" w14:textId="77777777" w:rsidR="00B13378" w:rsidRPr="00A16FEE" w:rsidRDefault="00B13378" w:rsidP="00B13378">
      <w:pPr>
        <w:spacing w:after="0" w:line="240" w:lineRule="auto"/>
        <w:ind w:left="709" w:right="709"/>
        <w:jc w:val="both"/>
        <w:rPr>
          <w:rFonts w:ascii="Verdana" w:eastAsia="Calibri" w:hAnsi="Verdana" w:cs="Arial"/>
          <w:color w:val="000000"/>
          <w:sz w:val="21"/>
          <w:szCs w:val="21"/>
          <w:lang w:val="es-ES"/>
        </w:rPr>
      </w:pPr>
    </w:p>
    <w:p w14:paraId="72F41532" w14:textId="4404DEF8" w:rsidR="00B13378" w:rsidRPr="00A16FEE" w:rsidRDefault="00B13378" w:rsidP="00B13378">
      <w:pPr>
        <w:widowControl w:val="0"/>
        <w:autoSpaceDE w:val="0"/>
        <w:autoSpaceDN w:val="0"/>
        <w:spacing w:after="120" w:line="276" w:lineRule="auto"/>
        <w:ind w:right="51"/>
        <w:jc w:val="both"/>
        <w:rPr>
          <w:rFonts w:ascii="Verdana" w:eastAsia="Calibri" w:hAnsi="Verdana" w:cs="Arial"/>
          <w:color w:val="000000" w:themeColor="text1"/>
          <w:lang w:val="es-ES"/>
        </w:rPr>
      </w:pPr>
      <w:r w:rsidRPr="00A16FEE">
        <w:rPr>
          <w:rFonts w:ascii="Verdana" w:eastAsia="Calibri" w:hAnsi="Verdana" w:cs="Arial"/>
          <w:color w:val="000000" w:themeColor="text1"/>
          <w:lang w:val="es-ES"/>
        </w:rPr>
        <w:tab/>
        <w:t xml:space="preserve">En virtud de lo expuesto, las entidades deberán evaluar si en el caso concreto se configuran los elementos materiales y temporales de la incompatibilidad establecida en el literal a) del numeral 2 del artículo 8 de la Ley 80 de 1993, así como si se tratade los sujetos que señala la norma. En términos generales, quien pretenda suscribir el contrato con una entidad incurrirá en la incompatibilidad del literal a) si ha sido integrante de su junta o consejo directivo, o estuvo vinculado a la entidad contratante en calidad de servidor público. En cualquiera de estos supuestos, será necesario que las funciones que hubiese desempeñado como integrante de la junta o consejo, o como servidor público hayan sido en el nivel directivo, asesor o ejecutivo. Bajo este literal, el interesado no podrá celebrar el contrato con entidad pública, durante un año contado a partir de la fecha de su retiro. </w:t>
      </w:r>
    </w:p>
    <w:p w14:paraId="18DE23CA" w14:textId="25156FAB" w:rsidR="00B13378" w:rsidRPr="00A16FEE" w:rsidRDefault="00B13378" w:rsidP="00B13378">
      <w:pPr>
        <w:spacing w:after="0" w:line="276" w:lineRule="auto"/>
        <w:ind w:firstLine="709"/>
        <w:jc w:val="both"/>
        <w:rPr>
          <w:rFonts w:ascii="Verdana" w:eastAsia="Century Gothic" w:hAnsi="Verdana" w:cs="Century Gothic"/>
          <w:bCs/>
          <w:lang w:val="es-ES"/>
        </w:rPr>
      </w:pPr>
      <w:r w:rsidRPr="00A16FEE">
        <w:rPr>
          <w:rFonts w:ascii="Verdana" w:eastAsia="Century Gothic" w:hAnsi="Verdana" w:cs="Century Gothic"/>
          <w:bCs/>
          <w:lang w:val="es-ES"/>
        </w:rPr>
        <w:t xml:space="preserve">En todo caso, debe advertirse que, corresponde a las Entidades Estatales, al verificar la capacidad jurídica de las personas con quienes pretenden suscribir contratos, determinar en cada caso concreto si se configura alguna inhabilidad, incompatibilidad o conflicto de interés. En ese sentido, la conclusión aquí expuesta no remplaza el deber de verificación de las Entidades Estatales, ni puede ser tomada como un juicio de valor sobre alguna situación de orden particular. </w:t>
      </w:r>
    </w:p>
    <w:p w14:paraId="1D0FC358" w14:textId="77777777" w:rsidR="00B13378" w:rsidRPr="00A16FEE" w:rsidRDefault="00B13378" w:rsidP="00B13378">
      <w:pPr>
        <w:widowControl w:val="0"/>
        <w:autoSpaceDE w:val="0"/>
        <w:autoSpaceDN w:val="0"/>
        <w:spacing w:after="0" w:line="276" w:lineRule="auto"/>
        <w:jc w:val="both"/>
        <w:rPr>
          <w:rFonts w:ascii="Verdana" w:hAnsi="Verdana" w:cs="Arial"/>
          <w:lang w:val="es-ES"/>
        </w:rPr>
      </w:pPr>
    </w:p>
    <w:p w14:paraId="00C5BAF9" w14:textId="77777777" w:rsidR="00B13378" w:rsidRPr="00A16FEE" w:rsidRDefault="00B13378" w:rsidP="00B1337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16FEE">
        <w:rPr>
          <w:rFonts w:ascii="Verdana" w:eastAsia="Century Gothic" w:hAnsi="Verdana" w:cs="Century Gothic"/>
          <w:b/>
          <w:bCs/>
        </w:rPr>
        <w:t>Referencias normativas, jurisprudenciales y otras fuentes:</w:t>
      </w:r>
    </w:p>
    <w:p w14:paraId="3CA2982E" w14:textId="77777777" w:rsidR="00B13378" w:rsidRPr="00A16FEE" w:rsidRDefault="00B13378" w:rsidP="00B13378">
      <w:pPr>
        <w:widowControl w:val="0"/>
        <w:autoSpaceDE w:val="0"/>
        <w:autoSpaceDN w:val="0"/>
        <w:spacing w:after="0" w:line="276" w:lineRule="auto"/>
        <w:jc w:val="both"/>
        <w:rPr>
          <w:rFonts w:ascii="Verdana" w:hAnsi="Verdana" w:cs="Arial"/>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13378" w:rsidRPr="00A16FEE" w14:paraId="0284ED45" w14:textId="77777777" w:rsidTr="00B24F77">
        <w:trPr>
          <w:trHeight w:val="366"/>
        </w:trPr>
        <w:tc>
          <w:tcPr>
            <w:tcW w:w="8647" w:type="dxa"/>
          </w:tcPr>
          <w:p w14:paraId="44B4FF9E" w14:textId="77777777" w:rsidR="00B13378" w:rsidRPr="00A16FEE" w:rsidRDefault="00B13378" w:rsidP="00B24F77">
            <w:pPr>
              <w:pStyle w:val="Prrafodelista"/>
              <w:widowControl w:val="0"/>
              <w:numPr>
                <w:ilvl w:val="0"/>
                <w:numId w:val="17"/>
              </w:numPr>
              <w:autoSpaceDE w:val="0"/>
              <w:autoSpaceDN w:val="0"/>
              <w:spacing w:before="120" w:line="276" w:lineRule="auto"/>
              <w:ind w:left="714" w:hanging="357"/>
              <w:contextualSpacing w:val="0"/>
              <w:jc w:val="both"/>
              <w:rPr>
                <w:rFonts w:ascii="Verdana" w:hAnsi="Verdana" w:cs="Arial"/>
              </w:rPr>
            </w:pPr>
            <w:r w:rsidRPr="00A16FEE">
              <w:rPr>
                <w:rFonts w:ascii="Verdana" w:hAnsi="Verdana" w:cs="Arial"/>
              </w:rPr>
              <w:t>Constitución Política, artículo 14, 123, 127, 128 y 150.</w:t>
            </w:r>
          </w:p>
          <w:p w14:paraId="6EBF2CB5" w14:textId="2DFA2829" w:rsidR="00B13378" w:rsidRPr="00A16FEE" w:rsidRDefault="00B13378" w:rsidP="00B24F77">
            <w:pPr>
              <w:pStyle w:val="Prrafodelista"/>
              <w:widowControl w:val="0"/>
              <w:numPr>
                <w:ilvl w:val="0"/>
                <w:numId w:val="17"/>
              </w:numPr>
              <w:autoSpaceDE w:val="0"/>
              <w:autoSpaceDN w:val="0"/>
              <w:spacing w:line="276" w:lineRule="auto"/>
              <w:jc w:val="both"/>
              <w:rPr>
                <w:rFonts w:ascii="Verdana" w:hAnsi="Verdana" w:cs="Arial"/>
              </w:rPr>
            </w:pPr>
            <w:r w:rsidRPr="00A16FEE">
              <w:rPr>
                <w:rFonts w:ascii="Verdana" w:hAnsi="Verdana" w:cs="Arial"/>
              </w:rPr>
              <w:t>Ley 80 de 1993, artículo 8, numeral 2, literal a) y f).</w:t>
            </w:r>
          </w:p>
          <w:p w14:paraId="37231391" w14:textId="77777777" w:rsidR="00B13378" w:rsidRPr="00A16FEE" w:rsidRDefault="00B13378" w:rsidP="00B24F77">
            <w:pPr>
              <w:numPr>
                <w:ilvl w:val="0"/>
                <w:numId w:val="17"/>
              </w:numPr>
              <w:spacing w:line="276" w:lineRule="auto"/>
              <w:contextualSpacing/>
              <w:jc w:val="both"/>
              <w:rPr>
                <w:rFonts w:ascii="Verdana" w:hAnsi="Verdana" w:cs="Arial"/>
                <w:color w:val="000000" w:themeColor="text1"/>
                <w:lang w:val="es-ES"/>
              </w:rPr>
            </w:pPr>
            <w:r w:rsidRPr="00A16FEE">
              <w:rPr>
                <w:rFonts w:ascii="Verdana" w:hAnsi="Verdana" w:cs="Arial"/>
                <w:color w:val="000000" w:themeColor="text1"/>
                <w:lang w:val="es-ES"/>
              </w:rPr>
              <w:t>Ley 1474 de 2011: artículo 5</w:t>
            </w:r>
          </w:p>
          <w:p w14:paraId="57B2663C" w14:textId="77777777" w:rsidR="00B13378" w:rsidRPr="00A16FEE" w:rsidRDefault="00B13378" w:rsidP="00B24F77">
            <w:pPr>
              <w:numPr>
                <w:ilvl w:val="0"/>
                <w:numId w:val="17"/>
              </w:numPr>
              <w:spacing w:line="276" w:lineRule="auto"/>
              <w:contextualSpacing/>
              <w:jc w:val="both"/>
              <w:rPr>
                <w:rFonts w:ascii="Verdana" w:hAnsi="Verdana" w:cs="Arial"/>
                <w:color w:val="000000" w:themeColor="text1"/>
                <w:lang w:val="es-ES"/>
              </w:rPr>
            </w:pPr>
            <w:r w:rsidRPr="00A16FEE">
              <w:rPr>
                <w:rFonts w:ascii="Verdana" w:hAnsi="Verdana" w:cs="Arial"/>
                <w:color w:val="000000" w:themeColor="text1"/>
                <w:lang w:val="es-ES"/>
              </w:rPr>
              <w:t xml:space="preserve">Consejo de Estado. Sección Tercera. Subsección C. Sentencia del 22 de mayo de 2013. </w:t>
            </w:r>
            <w:proofErr w:type="spellStart"/>
            <w:r w:rsidRPr="00A16FEE">
              <w:rPr>
                <w:rFonts w:ascii="Verdana" w:hAnsi="Verdana" w:cs="Arial"/>
                <w:color w:val="000000" w:themeColor="text1"/>
                <w:lang w:val="es-ES"/>
              </w:rPr>
              <w:t>Exp</w:t>
            </w:r>
            <w:proofErr w:type="spellEnd"/>
            <w:r w:rsidRPr="00A16FEE">
              <w:rPr>
                <w:rFonts w:ascii="Verdana" w:hAnsi="Verdana" w:cs="Arial"/>
                <w:color w:val="000000" w:themeColor="text1"/>
                <w:lang w:val="es-ES"/>
              </w:rPr>
              <w:t xml:space="preserve">. 24.057. Consejera Ponente: Olga Melida Valle De </w:t>
            </w:r>
            <w:proofErr w:type="spellStart"/>
            <w:r w:rsidRPr="00A16FEE">
              <w:rPr>
                <w:rFonts w:ascii="Verdana" w:hAnsi="Verdana" w:cs="Arial"/>
                <w:color w:val="000000" w:themeColor="text1"/>
                <w:lang w:val="es-ES"/>
              </w:rPr>
              <w:t>De</w:t>
            </w:r>
            <w:proofErr w:type="spellEnd"/>
            <w:r w:rsidRPr="00A16FEE">
              <w:rPr>
                <w:rFonts w:ascii="Verdana" w:hAnsi="Verdana" w:cs="Arial"/>
                <w:color w:val="000000" w:themeColor="text1"/>
                <w:lang w:val="es-ES"/>
              </w:rPr>
              <w:t xml:space="preserve"> La Hoz.</w:t>
            </w:r>
          </w:p>
          <w:p w14:paraId="7208ED5A" w14:textId="77777777" w:rsidR="00B13378" w:rsidRPr="00A16FEE" w:rsidRDefault="00B13378" w:rsidP="00B24F77">
            <w:pPr>
              <w:numPr>
                <w:ilvl w:val="0"/>
                <w:numId w:val="17"/>
              </w:numPr>
              <w:spacing w:line="276" w:lineRule="auto"/>
              <w:contextualSpacing/>
              <w:jc w:val="both"/>
              <w:rPr>
                <w:rFonts w:ascii="Verdana" w:hAnsi="Verdana" w:cs="Arial"/>
                <w:color w:val="000000" w:themeColor="text1"/>
                <w:lang w:val="es-ES"/>
              </w:rPr>
            </w:pPr>
            <w:r w:rsidRPr="00A16FEE">
              <w:rPr>
                <w:rFonts w:ascii="Verdana" w:hAnsi="Verdana" w:cs="Arial"/>
                <w:color w:val="000000" w:themeColor="text1"/>
                <w:lang w:val="es-ES"/>
              </w:rPr>
              <w:lastRenderedPageBreak/>
              <w:t>Consejo de Estado. Sala de Consulta y Servicio Civil. Concepto del 30 de abril de 2015. Expediente: 2251. Consejero Ponente: Álvaro Namén Vargas.</w:t>
            </w:r>
          </w:p>
          <w:p w14:paraId="5B868291" w14:textId="77777777" w:rsidR="00B13378" w:rsidRPr="00A16FEE" w:rsidRDefault="00B13378" w:rsidP="00B24F77">
            <w:pPr>
              <w:numPr>
                <w:ilvl w:val="0"/>
                <w:numId w:val="17"/>
              </w:numPr>
              <w:spacing w:line="276" w:lineRule="auto"/>
              <w:contextualSpacing/>
              <w:jc w:val="both"/>
              <w:rPr>
                <w:rFonts w:ascii="Verdana" w:hAnsi="Verdana" w:cs="Arial"/>
                <w:color w:val="000000" w:themeColor="text1"/>
                <w:lang w:val="es-ES"/>
              </w:rPr>
            </w:pPr>
            <w:r w:rsidRPr="00A16FEE">
              <w:rPr>
                <w:rFonts w:ascii="Verdana" w:hAnsi="Verdana" w:cs="Arial"/>
                <w:color w:val="000000" w:themeColor="text1"/>
                <w:lang w:val="es-ES"/>
              </w:rPr>
              <w:t xml:space="preserve">Consejo de Estado. Sección Tercera. Subsección A. Sentencia del 24 de junio de 2015. </w:t>
            </w:r>
            <w:proofErr w:type="spellStart"/>
            <w:r w:rsidRPr="00A16FEE">
              <w:rPr>
                <w:rFonts w:ascii="Verdana" w:hAnsi="Verdana" w:cs="Arial"/>
                <w:color w:val="000000" w:themeColor="text1"/>
                <w:lang w:val="es-ES"/>
              </w:rPr>
              <w:t>Exp</w:t>
            </w:r>
            <w:proofErr w:type="spellEnd"/>
            <w:r w:rsidRPr="00A16FEE">
              <w:rPr>
                <w:rFonts w:ascii="Verdana" w:hAnsi="Verdana" w:cs="Arial"/>
                <w:color w:val="000000" w:themeColor="text1"/>
                <w:lang w:val="es-ES"/>
              </w:rPr>
              <w:t>. 40.635. Consejero Ponente: Hernán Andrade Rincón (E).</w:t>
            </w:r>
          </w:p>
          <w:p w14:paraId="524BCBAB" w14:textId="77777777" w:rsidR="00B13378" w:rsidRPr="00A16FEE" w:rsidRDefault="00B13378" w:rsidP="00B24F77">
            <w:pPr>
              <w:numPr>
                <w:ilvl w:val="0"/>
                <w:numId w:val="17"/>
              </w:numPr>
              <w:spacing w:line="276" w:lineRule="auto"/>
              <w:contextualSpacing/>
              <w:jc w:val="both"/>
              <w:rPr>
                <w:rFonts w:ascii="Verdana" w:hAnsi="Verdana" w:cs="Arial"/>
                <w:color w:val="000000" w:themeColor="text1"/>
                <w:lang w:val="es-ES"/>
              </w:rPr>
            </w:pPr>
            <w:r w:rsidRPr="00A16FEE">
              <w:rPr>
                <w:rFonts w:ascii="Verdana" w:hAnsi="Verdana" w:cs="Arial"/>
                <w:color w:val="000000" w:themeColor="text1"/>
                <w:lang w:val="es-ES"/>
              </w:rPr>
              <w:t>Corte Constitucional. Sentencia T-1039 de 2006. Magistrado Ponente: Humberto Sierra Porto.</w:t>
            </w:r>
          </w:p>
          <w:p w14:paraId="40D1348A" w14:textId="77777777" w:rsidR="00B13378" w:rsidRPr="00A16FEE" w:rsidRDefault="00B13378" w:rsidP="00B24F77">
            <w:pPr>
              <w:numPr>
                <w:ilvl w:val="0"/>
                <w:numId w:val="17"/>
              </w:numPr>
              <w:spacing w:line="276" w:lineRule="auto"/>
              <w:contextualSpacing/>
              <w:jc w:val="both"/>
              <w:rPr>
                <w:rFonts w:ascii="Verdana" w:hAnsi="Verdana" w:cs="Arial"/>
                <w:color w:val="000000" w:themeColor="text1"/>
                <w:lang w:val="es-ES"/>
              </w:rPr>
            </w:pPr>
            <w:r w:rsidRPr="00A16FEE">
              <w:rPr>
                <w:rFonts w:ascii="Verdana" w:hAnsi="Verdana" w:cs="Arial"/>
                <w:color w:val="000000" w:themeColor="text1"/>
                <w:lang w:val="es-ES"/>
              </w:rPr>
              <w:t>Corte Constitucional. Sentencia C-618 de 2012. Magistrado Ponente: Gabriel Eduardo Mendoza Mortello.</w:t>
            </w:r>
          </w:p>
          <w:p w14:paraId="34D96EAC" w14:textId="77777777" w:rsidR="00B13378" w:rsidRPr="00A16FEE" w:rsidRDefault="00B13378" w:rsidP="00B24F77">
            <w:pPr>
              <w:pStyle w:val="Prrafodelista"/>
              <w:widowControl w:val="0"/>
              <w:numPr>
                <w:ilvl w:val="0"/>
                <w:numId w:val="17"/>
              </w:numPr>
              <w:tabs>
                <w:tab w:val="left" w:pos="8419"/>
              </w:tabs>
              <w:autoSpaceDE w:val="0"/>
              <w:autoSpaceDN w:val="0"/>
              <w:spacing w:line="276" w:lineRule="auto"/>
              <w:jc w:val="both"/>
              <w:rPr>
                <w:rFonts w:ascii="Verdana" w:hAnsi="Verdana" w:cs="Arial"/>
              </w:rPr>
            </w:pPr>
            <w:r w:rsidRPr="00A16FEE">
              <w:rPr>
                <w:rFonts w:ascii="Verdana" w:hAnsi="Verdana" w:cs="Arial"/>
              </w:rPr>
              <w:t xml:space="preserve">Corte Constitucional. Sentencia C-257 de 2013. </w:t>
            </w:r>
            <w:r w:rsidRPr="00A16FEE">
              <w:rPr>
                <w:rFonts w:ascii="Verdana" w:eastAsia="Arial MT" w:hAnsi="Verdana" w:cs="Arial"/>
                <w:lang w:eastAsia="es-ES" w:bidi="es-ES"/>
              </w:rPr>
              <w:t>Magistrado Ponente</w:t>
            </w:r>
            <w:r w:rsidRPr="00A16FEE">
              <w:rPr>
                <w:rFonts w:ascii="Verdana" w:hAnsi="Verdana" w:cs="Arial"/>
              </w:rPr>
              <w:t>: Jaime Córdoba Triviño.</w:t>
            </w:r>
          </w:p>
          <w:p w14:paraId="14777C7A" w14:textId="77777777" w:rsidR="00B13378" w:rsidRPr="00A16FEE" w:rsidRDefault="00B13378" w:rsidP="00B24F77">
            <w:pPr>
              <w:numPr>
                <w:ilvl w:val="0"/>
                <w:numId w:val="17"/>
              </w:numPr>
              <w:spacing w:line="276" w:lineRule="auto"/>
              <w:contextualSpacing/>
              <w:jc w:val="both"/>
              <w:rPr>
                <w:rFonts w:ascii="Verdana" w:hAnsi="Verdana" w:cs="Arial"/>
                <w:color w:val="000000" w:themeColor="text1"/>
                <w:lang w:val="es-ES"/>
              </w:rPr>
            </w:pPr>
            <w:r w:rsidRPr="00A16FEE">
              <w:rPr>
                <w:rFonts w:ascii="Verdana" w:hAnsi="Verdana" w:cs="Arial"/>
                <w:color w:val="000000" w:themeColor="text1"/>
                <w:lang w:val="es-ES"/>
              </w:rPr>
              <w:t xml:space="preserve">BARRETO ROZO, Antonio Alejandro. Inhabilidades de la contratación estatal, efectos y </w:t>
            </w:r>
            <w:proofErr w:type="spellStart"/>
            <w:r w:rsidRPr="00A16FEE">
              <w:rPr>
                <w:rFonts w:ascii="Verdana" w:hAnsi="Verdana" w:cs="Arial"/>
                <w:color w:val="000000" w:themeColor="text1"/>
                <w:lang w:val="es-ES"/>
              </w:rPr>
              <w:t>neopunitivismo</w:t>
            </w:r>
            <w:proofErr w:type="spellEnd"/>
            <w:r w:rsidRPr="00A16FEE">
              <w:rPr>
                <w:rFonts w:ascii="Verdana" w:hAnsi="Verdana" w:cs="Arial"/>
                <w:color w:val="000000" w:themeColor="text1"/>
                <w:lang w:val="es-ES"/>
              </w:rPr>
              <w:t xml:space="preserve"> en el Estatuto Anticorrupción. En: ALVIAR GARCÍA, Helena (Coordinadora). Nuevas tendencias del Derecho administrativo. Bogotá: Universidad de los Andes; Temis, 2016.</w:t>
            </w:r>
          </w:p>
          <w:p w14:paraId="46EF0C71" w14:textId="77777777" w:rsidR="00B13378" w:rsidRPr="00A16FEE" w:rsidRDefault="00B13378" w:rsidP="00B24F77">
            <w:pPr>
              <w:numPr>
                <w:ilvl w:val="0"/>
                <w:numId w:val="17"/>
              </w:numPr>
              <w:spacing w:line="276" w:lineRule="auto"/>
              <w:contextualSpacing/>
              <w:jc w:val="both"/>
              <w:rPr>
                <w:rFonts w:ascii="Verdana" w:hAnsi="Verdana" w:cs="Arial"/>
                <w:color w:val="000000" w:themeColor="text1"/>
                <w:lang w:val="es-ES"/>
              </w:rPr>
            </w:pPr>
            <w:r w:rsidRPr="00A16FEE">
              <w:rPr>
                <w:rFonts w:ascii="Verdana" w:hAnsi="Verdana" w:cs="Arial"/>
                <w:color w:val="000000" w:themeColor="text1"/>
                <w:lang w:val="es-ES"/>
              </w:rPr>
              <w:t>BENAVIDES, José Luis. El contrato estatal. Entre el Derecho público y el Derecho privado. 2ª ed. Bogotá: Universidad Externado de Colombia, 2004.</w:t>
            </w:r>
          </w:p>
          <w:p w14:paraId="5BBD26C3" w14:textId="77777777" w:rsidR="00B13378" w:rsidRPr="00A16FEE" w:rsidRDefault="00B13378" w:rsidP="00B24F7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rPr>
            </w:pPr>
            <w:r w:rsidRPr="00A16FEE">
              <w:rPr>
                <w:rFonts w:ascii="Verdana" w:hAnsi="Verdana" w:cs="Arial"/>
                <w:color w:val="000000" w:themeColor="text1"/>
              </w:rPr>
              <w:t>DÁVILA, Luis Guillermo. Régimen jurídico de la contratación estatal. 3ª ed., Legis: Bogotá, 2016. p. 187.</w:t>
            </w:r>
          </w:p>
        </w:tc>
      </w:tr>
    </w:tbl>
    <w:p w14:paraId="408F2F28" w14:textId="77777777" w:rsidR="00B13378" w:rsidRPr="00A16FEE" w:rsidRDefault="00B13378" w:rsidP="00B13378">
      <w:pPr>
        <w:widowControl w:val="0"/>
        <w:autoSpaceDE w:val="0"/>
        <w:autoSpaceDN w:val="0"/>
        <w:spacing w:after="0" w:line="276" w:lineRule="auto"/>
        <w:jc w:val="both"/>
        <w:rPr>
          <w:rFonts w:ascii="Verdana" w:hAnsi="Verdana" w:cs="Arial"/>
          <w:lang w:val="es-ES"/>
        </w:rPr>
      </w:pPr>
    </w:p>
    <w:p w14:paraId="5010E920" w14:textId="77777777" w:rsidR="00B13378" w:rsidRPr="00A16FEE" w:rsidRDefault="00B13378" w:rsidP="00B1337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16FEE">
        <w:rPr>
          <w:rFonts w:ascii="Verdana" w:eastAsia="Century Gothic" w:hAnsi="Verdana" w:cs="Century Gothic"/>
          <w:b/>
          <w:bCs/>
        </w:rPr>
        <w:t>Doctrina de la Agencia Nacional de Contratación Pública:</w:t>
      </w:r>
    </w:p>
    <w:p w14:paraId="33CC4811" w14:textId="77777777" w:rsidR="00B13378" w:rsidRPr="00A16FEE" w:rsidRDefault="00B13378" w:rsidP="00B13378">
      <w:pPr>
        <w:widowControl w:val="0"/>
        <w:autoSpaceDE w:val="0"/>
        <w:autoSpaceDN w:val="0"/>
        <w:spacing w:after="0" w:line="276" w:lineRule="auto"/>
        <w:jc w:val="both"/>
        <w:rPr>
          <w:rFonts w:ascii="Verdana" w:hAnsi="Verdana" w:cs="Arial"/>
          <w:lang w:val="es-ES"/>
        </w:rPr>
      </w:pPr>
    </w:p>
    <w:p w14:paraId="3EF58D0B" w14:textId="0F30A7DB" w:rsidR="00B13378" w:rsidRPr="00A16FEE" w:rsidRDefault="00B13378" w:rsidP="00B13378">
      <w:pPr>
        <w:spacing w:after="0" w:line="276" w:lineRule="auto"/>
        <w:contextualSpacing/>
        <w:jc w:val="both"/>
        <w:rPr>
          <w:rFonts w:ascii="Verdana" w:hAnsi="Verdana" w:cs="Arial"/>
          <w:color w:val="000000" w:themeColor="text1"/>
          <w:shd w:val="clear" w:color="auto" w:fill="FFFFFF"/>
          <w:lang w:val="es-ES"/>
        </w:rPr>
      </w:pPr>
      <w:r w:rsidRPr="00A16FEE">
        <w:rPr>
          <w:rStyle w:val="normaltextrun"/>
          <w:rFonts w:ascii="Verdana" w:hAnsi="Verdana" w:cs="Arial"/>
          <w:color w:val="000000" w:themeColor="text1"/>
          <w:shd w:val="clear" w:color="auto" w:fill="FFFFFF"/>
          <w:lang w:val="es-ES"/>
        </w:rPr>
        <w:t>La Agencia Nacional de Contratación Pública – Colombia Compra Eficiente se ha referido</w:t>
      </w:r>
      <w:r w:rsidRPr="00A16FEE">
        <w:rPr>
          <w:rFonts w:ascii="Verdana" w:hAnsi="Verdana" w:cs="Arial"/>
          <w:lang w:val="es-ES"/>
        </w:rPr>
        <w:t xml:space="preserve"> a las causales de incompatibilidad de los literales a) y/o f) del numeral segundo del artículo 8 de la </w:t>
      </w:r>
      <w:r w:rsidR="001031AF" w:rsidRPr="00A16FEE">
        <w:rPr>
          <w:rFonts w:ascii="Verdana" w:hAnsi="Verdana" w:cs="Arial"/>
          <w:lang w:val="es-ES"/>
        </w:rPr>
        <w:t>L</w:t>
      </w:r>
      <w:r w:rsidRPr="00A16FEE">
        <w:rPr>
          <w:rFonts w:ascii="Verdana" w:hAnsi="Verdana" w:cs="Arial"/>
          <w:lang w:val="es-ES"/>
        </w:rPr>
        <w:t xml:space="preserve">ey 80 de 1993 en los conceptos </w:t>
      </w:r>
      <w:r w:rsidRPr="00A16FEE">
        <w:rPr>
          <w:rFonts w:ascii="Verdana" w:eastAsia="Calibri" w:hAnsi="Verdana" w:cs="Arial"/>
          <w:lang w:val="es-ES"/>
        </w:rPr>
        <w:t xml:space="preserve">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w:t>
      </w:r>
      <w:r w:rsidRPr="00A16FEE">
        <w:rPr>
          <w:rFonts w:ascii="Verdana" w:hAnsi="Verdana" w:cs="Arial"/>
          <w:lang w:val="es-ES"/>
        </w:rPr>
        <w:t>C</w:t>
      </w:r>
      <w:r w:rsidRPr="00A16FEE">
        <w:rPr>
          <w:rFonts w:ascii="Verdana" w:eastAsia="Calibri" w:hAnsi="Verdana" w:cs="Arial"/>
          <w:lang w:val="es-ES"/>
        </w:rPr>
        <w:t>−</w:t>
      </w:r>
      <w:r w:rsidRPr="00A16FEE">
        <w:rPr>
          <w:rFonts w:ascii="Verdana" w:hAnsi="Verdana" w:cs="Arial"/>
          <w:lang w:val="es-ES"/>
        </w:rPr>
        <w:t>624 del 30 de octubre de 2024, C</w:t>
      </w:r>
      <w:r w:rsidRPr="00A16FEE">
        <w:rPr>
          <w:rFonts w:ascii="Verdana" w:eastAsia="Calibri" w:hAnsi="Verdana" w:cs="Arial"/>
          <w:lang w:val="es-ES"/>
        </w:rPr>
        <w:t>−</w:t>
      </w:r>
      <w:r w:rsidRPr="00A16FEE">
        <w:rPr>
          <w:rFonts w:ascii="Verdana" w:hAnsi="Verdana" w:cs="Arial"/>
          <w:lang w:val="es-ES"/>
        </w:rPr>
        <w:t>811 del 16 de diciembre de 2024</w:t>
      </w:r>
      <w:r w:rsidR="001031AF" w:rsidRPr="00A16FEE">
        <w:rPr>
          <w:rFonts w:ascii="Verdana" w:hAnsi="Verdana" w:cs="Arial"/>
          <w:lang w:val="es-ES"/>
        </w:rPr>
        <w:t xml:space="preserve">, </w:t>
      </w:r>
      <w:r w:rsidRPr="00A16FEE">
        <w:rPr>
          <w:rFonts w:ascii="Verdana" w:eastAsia="Calibri" w:hAnsi="Verdana" w:cs="Arial"/>
          <w:lang w:val="es-ES" w:eastAsia="es-ES_tradnl"/>
        </w:rPr>
        <w:t>C</w:t>
      </w:r>
      <w:r w:rsidRPr="00A16FEE">
        <w:rPr>
          <w:rFonts w:ascii="Verdana" w:eastAsia="Calibri" w:hAnsi="Verdana" w:cs="Arial"/>
          <w:lang w:val="es-ES"/>
        </w:rPr>
        <w:t>−</w:t>
      </w:r>
      <w:r w:rsidRPr="00A16FEE">
        <w:rPr>
          <w:rFonts w:ascii="Verdana" w:eastAsia="Calibri" w:hAnsi="Verdana" w:cs="Arial"/>
          <w:lang w:val="es-ES" w:eastAsia="es-ES_tradnl"/>
        </w:rPr>
        <w:t>034 del 27 de febrero de 2025</w:t>
      </w:r>
      <w:r w:rsidRPr="00A16FEE">
        <w:rPr>
          <w:rStyle w:val="normaltextrun"/>
          <w:rFonts w:ascii="Verdana" w:hAnsi="Verdana" w:cs="Arial"/>
          <w:color w:val="000000" w:themeColor="text1"/>
          <w:shd w:val="clear" w:color="auto" w:fill="FFFFFF"/>
          <w:lang w:val="es-ES"/>
        </w:rPr>
        <w:t>,</w:t>
      </w:r>
      <w:r w:rsidR="001031AF" w:rsidRPr="00A16FEE">
        <w:rPr>
          <w:rStyle w:val="normaltextrun"/>
          <w:rFonts w:ascii="Verdana" w:hAnsi="Verdana" w:cs="Arial"/>
          <w:color w:val="000000" w:themeColor="text1"/>
          <w:shd w:val="clear" w:color="auto" w:fill="FFFFFF"/>
          <w:lang w:val="es-ES"/>
        </w:rPr>
        <w:t xml:space="preserve"> </w:t>
      </w:r>
      <w:r w:rsidR="001031AF" w:rsidRPr="00A16FEE">
        <w:rPr>
          <w:rFonts w:ascii="Verdana" w:hAnsi="Verdana" w:cs="Arial"/>
          <w:color w:val="000000" w:themeColor="text1"/>
          <w:shd w:val="clear" w:color="auto" w:fill="FFFFFF"/>
          <w:lang w:val="es-ES"/>
        </w:rPr>
        <w:t>C-822 del 31 de julio de 2025,</w:t>
      </w:r>
      <w:r w:rsidR="001031AF" w:rsidRPr="00A16FEE">
        <w:rPr>
          <w:rFonts w:ascii="Verdana" w:hAnsi="Verdana" w:cs="Arial"/>
          <w:b/>
          <w:bCs/>
          <w:color w:val="000000" w:themeColor="text1"/>
          <w:shd w:val="clear" w:color="auto" w:fill="FFFFFF"/>
          <w:lang w:val="es-ES"/>
        </w:rPr>
        <w:t xml:space="preserve"> </w:t>
      </w:r>
      <w:r w:rsidRPr="00A16FEE">
        <w:rPr>
          <w:rFonts w:ascii="Verdana" w:eastAsia="Calibri" w:hAnsi="Verdana" w:cs="Arial"/>
          <w:lang w:val="es-ES" w:eastAsia="es-ES"/>
        </w:rPr>
        <w:t xml:space="preserve">entre otros. </w:t>
      </w:r>
      <w:r w:rsidRPr="00A16FEE">
        <w:rPr>
          <w:rFonts w:ascii="Verdana" w:hAnsi="Verdana" w:cs="Arial"/>
          <w:color w:val="000000" w:themeColor="text1"/>
          <w:shd w:val="clear" w:color="auto" w:fill="FFFFFF"/>
          <w:lang w:val="es-ES"/>
        </w:rPr>
        <w:t xml:space="preserve">Estos </w:t>
      </w:r>
      <w:r w:rsidRPr="00A16FEE">
        <w:rPr>
          <w:rStyle w:val="normaltextrun"/>
          <w:rFonts w:ascii="Verdana" w:hAnsi="Verdana" w:cs="Arial"/>
          <w:color w:val="000000" w:themeColor="text1"/>
          <w:shd w:val="clear" w:color="auto" w:fill="FFFFFF"/>
          <w:lang w:val="es-ES"/>
        </w:rPr>
        <w:t xml:space="preserve">se encuentran disponibles para consulta en el Sistema de relatoría de la Agencia, </w:t>
      </w:r>
      <w:r w:rsidRPr="00A16FEE">
        <w:rPr>
          <w:rStyle w:val="normaltextrun"/>
          <w:rFonts w:ascii="Verdana" w:hAnsi="Verdana" w:cs="Arial"/>
          <w:color w:val="000000" w:themeColor="text1"/>
          <w:shd w:val="clear" w:color="auto" w:fill="FFFFFF"/>
          <w:lang w:val="es-ES"/>
        </w:rPr>
        <w:lastRenderedPageBreak/>
        <w:t xml:space="preserve">al cual puede accederse a través del siguiente enlace: </w:t>
      </w:r>
      <w:hyperlink r:id="rId12" w:history="1">
        <w:r w:rsidRPr="00A16FEE">
          <w:rPr>
            <w:rStyle w:val="Hipervnculo"/>
            <w:rFonts w:ascii="Verdana" w:hAnsi="Verdana" w:cs="Arial"/>
            <w:shd w:val="clear" w:color="auto" w:fill="FFFFFF"/>
            <w:lang w:val="es-ES"/>
          </w:rPr>
          <w:t>https://relatoria.colombiacompra.gov.co/busqueda/conceptos</w:t>
        </w:r>
      </w:hyperlink>
      <w:r w:rsidRPr="00A16FEE">
        <w:rPr>
          <w:rStyle w:val="Hipervnculo"/>
          <w:rFonts w:ascii="Verdana" w:hAnsi="Verdana"/>
          <w:lang w:val="es-ES"/>
        </w:rPr>
        <w:t>.</w:t>
      </w:r>
      <w:r w:rsidRPr="00A16FEE">
        <w:rPr>
          <w:rStyle w:val="normaltextrun"/>
          <w:rFonts w:ascii="Verdana" w:hAnsi="Verdana" w:cs="Arial"/>
          <w:color w:val="000000" w:themeColor="text1"/>
          <w:shd w:val="clear" w:color="auto" w:fill="FFFFFF"/>
          <w:lang w:val="es-ES"/>
        </w:rPr>
        <w:t xml:space="preserve">  </w:t>
      </w:r>
    </w:p>
    <w:p w14:paraId="7A580F0A" w14:textId="77777777" w:rsidR="00B13378" w:rsidRPr="00A16FEE" w:rsidRDefault="00B13378" w:rsidP="00B13378">
      <w:pPr>
        <w:spacing w:after="0" w:line="276" w:lineRule="auto"/>
        <w:contextualSpacing/>
        <w:jc w:val="both"/>
        <w:rPr>
          <w:rFonts w:ascii="Verdana" w:hAnsi="Verdana"/>
          <w:lang w:val="es-ES"/>
        </w:rPr>
      </w:pPr>
    </w:p>
    <w:p w14:paraId="1F45EC3E" w14:textId="77777777" w:rsidR="00B13378" w:rsidRPr="00A16FEE" w:rsidRDefault="00B13378" w:rsidP="00B13378">
      <w:pPr>
        <w:spacing w:after="0" w:line="276" w:lineRule="auto"/>
        <w:contextualSpacing/>
        <w:jc w:val="both"/>
        <w:rPr>
          <w:rFonts w:ascii="Verdana" w:hAnsi="Verdana"/>
          <w:lang w:val="es-ES"/>
        </w:rPr>
      </w:pPr>
      <w:r w:rsidRPr="00A16FEE">
        <w:rPr>
          <w:rFonts w:ascii="Verdana" w:hAnsi="Verdana"/>
          <w:lang w:val="es-ES"/>
        </w:rPr>
        <w:t xml:space="preserve">Por último, lo invitamos a seguirnos en las redes sociales en las cuales se difunde información institucional: </w:t>
      </w:r>
    </w:p>
    <w:p w14:paraId="5884D8DE" w14:textId="77777777" w:rsidR="00B13378" w:rsidRPr="00A16FEE" w:rsidRDefault="00B13378" w:rsidP="00B13378">
      <w:pPr>
        <w:spacing w:after="0" w:line="276" w:lineRule="auto"/>
        <w:contextualSpacing/>
        <w:jc w:val="both"/>
        <w:rPr>
          <w:rFonts w:ascii="Verdana" w:hAnsi="Verdana"/>
          <w:lang w:val="es-ES"/>
        </w:rPr>
      </w:pPr>
    </w:p>
    <w:p w14:paraId="7B80AE63" w14:textId="77777777" w:rsidR="00B13378" w:rsidRPr="00A16FEE" w:rsidRDefault="00B13378" w:rsidP="00B13378">
      <w:pPr>
        <w:spacing w:after="0" w:line="276" w:lineRule="auto"/>
        <w:contextualSpacing/>
        <w:jc w:val="both"/>
        <w:rPr>
          <w:rFonts w:ascii="Verdana" w:hAnsi="Verdana"/>
          <w:lang w:val="es-ES"/>
        </w:rPr>
      </w:pPr>
      <w:r w:rsidRPr="00A16FEE">
        <w:rPr>
          <w:rFonts w:ascii="Verdana" w:hAnsi="Verdana"/>
          <w:lang w:val="es-ES"/>
        </w:rPr>
        <w:t xml:space="preserve">Twitter: </w:t>
      </w:r>
      <w:r w:rsidRPr="00A16FEE">
        <w:rPr>
          <w:rStyle w:val="Hipervnculo"/>
          <w:rFonts w:ascii="Verdana" w:hAnsi="Verdana" w:cs="Arial"/>
          <w:shd w:val="clear" w:color="auto" w:fill="FFFFFF"/>
          <w:lang w:val="es-ES"/>
        </w:rPr>
        <w:t>@colombiacompra</w:t>
      </w:r>
      <w:r w:rsidRPr="00A16FEE">
        <w:rPr>
          <w:rFonts w:ascii="Verdana" w:hAnsi="Verdana"/>
          <w:color w:val="4472C4" w:themeColor="accent1"/>
          <w:lang w:val="es-ES"/>
        </w:rPr>
        <w:t xml:space="preserve"> </w:t>
      </w:r>
    </w:p>
    <w:p w14:paraId="12AF01D5" w14:textId="77777777" w:rsidR="00B13378" w:rsidRPr="00A16FEE" w:rsidRDefault="00B13378" w:rsidP="00B13378">
      <w:pPr>
        <w:spacing w:after="0" w:line="276" w:lineRule="auto"/>
        <w:contextualSpacing/>
        <w:jc w:val="both"/>
        <w:rPr>
          <w:rFonts w:ascii="Verdana" w:hAnsi="Verdana"/>
          <w:lang w:val="es-ES"/>
        </w:rPr>
      </w:pPr>
      <w:r w:rsidRPr="00A16FEE">
        <w:rPr>
          <w:rFonts w:ascii="Verdana" w:hAnsi="Verdana"/>
          <w:lang w:val="es-ES"/>
        </w:rPr>
        <w:t xml:space="preserve">Facebook: </w:t>
      </w:r>
      <w:proofErr w:type="spellStart"/>
      <w:r w:rsidRPr="00A16FEE">
        <w:rPr>
          <w:rStyle w:val="Hipervnculo"/>
          <w:rFonts w:ascii="Verdana" w:hAnsi="Verdana" w:cs="Arial"/>
          <w:shd w:val="clear" w:color="auto" w:fill="FFFFFF"/>
          <w:lang w:val="es-ES"/>
        </w:rPr>
        <w:t>ColombiaCompraEficiente</w:t>
      </w:r>
      <w:proofErr w:type="spellEnd"/>
    </w:p>
    <w:p w14:paraId="5EE5F137" w14:textId="77777777" w:rsidR="00B13378" w:rsidRPr="00A16FEE" w:rsidRDefault="00B13378" w:rsidP="00B13378">
      <w:pPr>
        <w:spacing w:after="0" w:line="276" w:lineRule="auto"/>
        <w:contextualSpacing/>
        <w:jc w:val="both"/>
        <w:rPr>
          <w:rFonts w:ascii="Verdana" w:hAnsi="Verdana"/>
          <w:lang w:val="es-ES"/>
        </w:rPr>
      </w:pPr>
      <w:r w:rsidRPr="00A16FEE">
        <w:rPr>
          <w:rFonts w:ascii="Verdana" w:hAnsi="Verdana"/>
          <w:lang w:val="es-ES"/>
        </w:rPr>
        <w:t xml:space="preserve">LinkedIn: </w:t>
      </w:r>
      <w:r w:rsidRPr="00A16FEE">
        <w:rPr>
          <w:rStyle w:val="Hipervnculo"/>
          <w:rFonts w:ascii="Verdana" w:hAnsi="Verdana" w:cs="Arial"/>
          <w:shd w:val="clear" w:color="auto" w:fill="FFFFFF"/>
          <w:lang w:val="es-ES"/>
        </w:rPr>
        <w:t xml:space="preserve">Agencia Nacional de Contratación Pública - Colombia Compra Eficiente </w:t>
      </w:r>
      <w:r w:rsidRPr="00A16FEE">
        <w:rPr>
          <w:rFonts w:ascii="Verdana" w:hAnsi="Verdana"/>
          <w:lang w:val="es-ES"/>
        </w:rPr>
        <w:t xml:space="preserve">Instagram: </w:t>
      </w:r>
      <w:r w:rsidRPr="00A16FEE">
        <w:rPr>
          <w:rStyle w:val="Hipervnculo"/>
          <w:rFonts w:ascii="Verdana" w:hAnsi="Verdana" w:cs="Arial"/>
          <w:shd w:val="clear" w:color="auto" w:fill="FFFFFF"/>
          <w:lang w:val="es-ES"/>
        </w:rPr>
        <w:t>@colombiacompraeficiente_cce</w:t>
      </w:r>
    </w:p>
    <w:p w14:paraId="3663A498" w14:textId="77777777" w:rsidR="00B13378" w:rsidRPr="00A16FEE" w:rsidRDefault="00B13378" w:rsidP="00B13378">
      <w:pPr>
        <w:widowControl w:val="0"/>
        <w:autoSpaceDE w:val="0"/>
        <w:autoSpaceDN w:val="0"/>
        <w:spacing w:after="0" w:line="276" w:lineRule="auto"/>
        <w:contextualSpacing/>
        <w:jc w:val="both"/>
        <w:rPr>
          <w:rFonts w:ascii="Verdana" w:hAnsi="Verdana" w:cs="Arial"/>
          <w:color w:val="000000" w:themeColor="text1"/>
          <w:lang w:val="es-ES"/>
        </w:rPr>
      </w:pPr>
    </w:p>
    <w:p w14:paraId="27AE3E5A" w14:textId="77777777" w:rsidR="00B13378" w:rsidRPr="00A16FEE" w:rsidRDefault="00B13378" w:rsidP="00B13378">
      <w:pPr>
        <w:widowControl w:val="0"/>
        <w:autoSpaceDE w:val="0"/>
        <w:autoSpaceDN w:val="0"/>
        <w:spacing w:after="0" w:line="276" w:lineRule="auto"/>
        <w:contextualSpacing/>
        <w:jc w:val="both"/>
        <w:rPr>
          <w:rFonts w:ascii="Verdana" w:hAnsi="Verdana" w:cs="Arial"/>
          <w:color w:val="000000" w:themeColor="text1"/>
          <w:lang w:val="es-ES"/>
        </w:rPr>
      </w:pPr>
      <w:r w:rsidRPr="00A16FEE">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B683503" w14:textId="5FE7E3FE" w:rsidR="00177A4B" w:rsidRPr="00A16FEE" w:rsidRDefault="00D93638" w:rsidP="00177A4B">
      <w:pPr>
        <w:spacing w:before="120" w:line="276" w:lineRule="auto"/>
        <w:rPr>
          <w:rFonts w:ascii="Verdana" w:hAnsi="Verdana" w:cs="Arial"/>
          <w:color w:val="000000" w:themeColor="text1"/>
          <w:lang w:val="es-ES" w:eastAsia="es-CO"/>
        </w:rPr>
      </w:pPr>
      <w:r w:rsidRPr="00A16FEE">
        <w:rPr>
          <w:rFonts w:ascii="Century Gothic" w:hAnsi="Century Gothic"/>
          <w:noProof/>
          <w:lang w:val="es-ES"/>
        </w:rPr>
        <w:drawing>
          <wp:anchor distT="0" distB="0" distL="114300" distR="114300" simplePos="0" relativeHeight="251659264" behindDoc="0" locked="0" layoutInCell="1" allowOverlap="1" wp14:anchorId="6387190E" wp14:editId="10996F82">
            <wp:simplePos x="0" y="0"/>
            <wp:positionH relativeFrom="column">
              <wp:posOffset>1312545</wp:posOffset>
            </wp:positionH>
            <wp:positionV relativeFrom="page">
              <wp:posOffset>4744085</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r w:rsidR="00177A4B" w:rsidRPr="00A16FEE">
        <w:rPr>
          <w:rFonts w:ascii="Verdana" w:hAnsi="Verdana" w:cs="Arial"/>
          <w:color w:val="000000" w:themeColor="text1"/>
          <w:lang w:val="es-ES" w:eastAsia="es-CO"/>
        </w:rPr>
        <w:t xml:space="preserve">Atentamente, </w:t>
      </w:r>
    </w:p>
    <w:p w14:paraId="67C6AEBF" w14:textId="7515C9B4" w:rsidR="00177A4B" w:rsidRPr="00A16FEE" w:rsidRDefault="00177A4B" w:rsidP="00177A4B">
      <w:pPr>
        <w:spacing w:before="240"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77A4B" w:rsidRPr="00A16FEE" w14:paraId="1BC5BBD4" w14:textId="77777777" w:rsidTr="00B24F77">
        <w:trPr>
          <w:trHeight w:val="315"/>
        </w:trPr>
        <w:tc>
          <w:tcPr>
            <w:tcW w:w="893" w:type="dxa"/>
            <w:vAlign w:val="center"/>
            <w:hideMark/>
          </w:tcPr>
          <w:p w14:paraId="4C2ABC90" w14:textId="77777777" w:rsidR="00177A4B" w:rsidRPr="00A16FEE" w:rsidRDefault="00177A4B" w:rsidP="00B24F77">
            <w:pPr>
              <w:contextualSpacing/>
              <w:rPr>
                <w:rFonts w:ascii="Verdana" w:hAnsi="Verdana" w:cs="Arial"/>
                <w:sz w:val="15"/>
                <w:szCs w:val="15"/>
                <w:lang w:val="es-ES" w:eastAsia="es-ES"/>
              </w:rPr>
            </w:pPr>
            <w:r w:rsidRPr="00A16FEE">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1E90BEB9" w14:textId="77777777" w:rsidR="00177A4B" w:rsidRPr="00A16FEE" w:rsidRDefault="00177A4B" w:rsidP="00B24F77">
            <w:pPr>
              <w:contextualSpacing/>
              <w:rPr>
                <w:rFonts w:ascii="Verdana" w:eastAsia="Arial" w:hAnsi="Verdana" w:cs="Arial"/>
                <w:color w:val="000000" w:themeColor="text1"/>
                <w:sz w:val="15"/>
                <w:szCs w:val="15"/>
                <w:lang w:val="es-ES"/>
              </w:rPr>
            </w:pPr>
            <w:r w:rsidRPr="00A16FEE">
              <w:rPr>
                <w:rFonts w:ascii="Verdana" w:eastAsia="Arial" w:hAnsi="Verdana" w:cs="Arial"/>
                <w:color w:val="000000" w:themeColor="text1"/>
                <w:sz w:val="15"/>
                <w:szCs w:val="15"/>
                <w:lang w:val="es-ES"/>
              </w:rPr>
              <w:t>Anamaría Bonilla Prieto</w:t>
            </w:r>
          </w:p>
          <w:p w14:paraId="31F193F4" w14:textId="77777777" w:rsidR="00177A4B" w:rsidRPr="00A16FEE" w:rsidRDefault="00177A4B" w:rsidP="00B24F77">
            <w:pPr>
              <w:contextualSpacing/>
              <w:rPr>
                <w:rFonts w:ascii="Verdana" w:eastAsia="Arial" w:hAnsi="Verdana" w:cs="Arial"/>
                <w:sz w:val="15"/>
                <w:szCs w:val="15"/>
                <w:lang w:val="es-ES"/>
              </w:rPr>
            </w:pPr>
            <w:r w:rsidRPr="00A16FEE">
              <w:rPr>
                <w:rStyle w:val="normaltextrun"/>
                <w:rFonts w:ascii="Verdana" w:eastAsia="Arial" w:hAnsi="Verdana" w:cs="Arial"/>
                <w:color w:val="000000" w:themeColor="text1"/>
                <w:sz w:val="15"/>
                <w:szCs w:val="15"/>
                <w:lang w:val="es-ES"/>
              </w:rPr>
              <w:t xml:space="preserve">Contratista de la Subdirección </w:t>
            </w:r>
            <w:r w:rsidRPr="00A16FEE">
              <w:rPr>
                <w:rStyle w:val="normaltextrun"/>
                <w:rFonts w:ascii="Verdana" w:eastAsia="Arial" w:hAnsi="Verdana" w:cs="Arial"/>
                <w:sz w:val="15"/>
                <w:szCs w:val="15"/>
                <w:lang w:val="es-ES"/>
              </w:rPr>
              <w:t>de Gestión Contractual</w:t>
            </w:r>
          </w:p>
        </w:tc>
      </w:tr>
      <w:tr w:rsidR="00177A4B" w:rsidRPr="00A16FEE" w14:paraId="5D69AF79" w14:textId="77777777" w:rsidTr="00B24F77">
        <w:trPr>
          <w:trHeight w:val="330"/>
        </w:trPr>
        <w:tc>
          <w:tcPr>
            <w:tcW w:w="893" w:type="dxa"/>
            <w:vAlign w:val="center"/>
            <w:hideMark/>
          </w:tcPr>
          <w:p w14:paraId="0BC372BC" w14:textId="77777777" w:rsidR="00177A4B" w:rsidRPr="00A16FEE" w:rsidRDefault="00177A4B" w:rsidP="00B24F77">
            <w:pPr>
              <w:contextualSpacing/>
              <w:rPr>
                <w:rFonts w:ascii="Verdana" w:hAnsi="Verdana" w:cs="Arial"/>
                <w:sz w:val="15"/>
                <w:szCs w:val="15"/>
                <w:lang w:val="es-ES" w:eastAsia="es-ES"/>
              </w:rPr>
            </w:pPr>
            <w:r w:rsidRPr="00A16FEE">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154B0B" w14:textId="77777777" w:rsidR="00177A4B" w:rsidRPr="00A16FEE" w:rsidRDefault="00177A4B" w:rsidP="00B24F77">
            <w:pPr>
              <w:contextualSpacing/>
              <w:textAlignment w:val="baseline"/>
              <w:rPr>
                <w:rFonts w:ascii="Verdana" w:eastAsia="Times New Roman" w:hAnsi="Verdana" w:cs="Arial"/>
                <w:sz w:val="15"/>
                <w:szCs w:val="15"/>
                <w:lang w:val="es-ES" w:eastAsia="es-ES_tradnl"/>
              </w:rPr>
            </w:pPr>
            <w:r w:rsidRPr="00A16FEE">
              <w:rPr>
                <w:rFonts w:ascii="Verdana" w:eastAsia="Times New Roman" w:hAnsi="Verdana" w:cs="Arial"/>
                <w:sz w:val="15"/>
                <w:szCs w:val="15"/>
                <w:lang w:val="es-ES" w:eastAsia="es-ES_tradnl"/>
              </w:rPr>
              <w:t>Alejandro Sarmiento Cantillo</w:t>
            </w:r>
          </w:p>
          <w:p w14:paraId="1FECE068" w14:textId="77777777" w:rsidR="00177A4B" w:rsidRPr="00A16FEE" w:rsidRDefault="00177A4B" w:rsidP="00B24F77">
            <w:pPr>
              <w:pStyle w:val="paragraph"/>
              <w:spacing w:before="0" w:beforeAutospacing="0" w:after="0" w:afterAutospacing="0"/>
              <w:contextualSpacing/>
              <w:textAlignment w:val="baseline"/>
              <w:rPr>
                <w:rFonts w:ascii="Verdana" w:hAnsi="Verdana" w:cs="Segoe UI"/>
                <w:sz w:val="15"/>
                <w:szCs w:val="15"/>
                <w:lang w:val="es-ES"/>
              </w:rPr>
            </w:pPr>
            <w:r w:rsidRPr="00A16FEE">
              <w:rPr>
                <w:rFonts w:ascii="Verdana" w:hAnsi="Verdana" w:cs="Arial"/>
                <w:sz w:val="15"/>
                <w:szCs w:val="15"/>
                <w:lang w:val="es-ES"/>
              </w:rPr>
              <w:t xml:space="preserve">Gestor T1 – 15 </w:t>
            </w:r>
            <w:r w:rsidRPr="00A16FEE">
              <w:rPr>
                <w:rStyle w:val="normaltextrun"/>
                <w:rFonts w:ascii="Verdana" w:hAnsi="Verdana" w:cs="Arial"/>
                <w:sz w:val="15"/>
                <w:szCs w:val="15"/>
                <w:lang w:val="es-ES"/>
              </w:rPr>
              <w:t>de la Subdirección de Gestión Contractual</w:t>
            </w:r>
            <w:r w:rsidRPr="00A16FEE">
              <w:rPr>
                <w:rStyle w:val="eop"/>
                <w:rFonts w:ascii="Verdana" w:hAnsi="Verdana" w:cs="Arial"/>
                <w:sz w:val="15"/>
                <w:szCs w:val="15"/>
                <w:lang w:val="es-ES"/>
              </w:rPr>
              <w:t> </w:t>
            </w:r>
          </w:p>
        </w:tc>
      </w:tr>
      <w:tr w:rsidR="00177A4B" w:rsidRPr="00A16FEE" w14:paraId="0616DF37" w14:textId="77777777" w:rsidTr="00B24F77">
        <w:trPr>
          <w:trHeight w:val="300"/>
        </w:trPr>
        <w:tc>
          <w:tcPr>
            <w:tcW w:w="893" w:type="dxa"/>
            <w:vAlign w:val="center"/>
          </w:tcPr>
          <w:p w14:paraId="3A7DAFEA" w14:textId="77777777" w:rsidR="00177A4B" w:rsidRPr="00A16FEE" w:rsidRDefault="00177A4B" w:rsidP="00B24F77">
            <w:pPr>
              <w:contextualSpacing/>
              <w:rPr>
                <w:rFonts w:ascii="Verdana" w:hAnsi="Verdana" w:cs="Arial"/>
                <w:sz w:val="15"/>
                <w:szCs w:val="15"/>
                <w:lang w:val="es-ES" w:eastAsia="es-ES"/>
              </w:rPr>
            </w:pPr>
            <w:r w:rsidRPr="00A16FEE">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2D280A0" w14:textId="77777777" w:rsidR="00177A4B" w:rsidRPr="00A16FEE" w:rsidRDefault="00177A4B" w:rsidP="00B24F77">
            <w:pPr>
              <w:contextualSpacing/>
              <w:rPr>
                <w:rFonts w:ascii="Verdana" w:eastAsia="Calibri" w:hAnsi="Verdana" w:cs="Arial"/>
                <w:sz w:val="15"/>
                <w:szCs w:val="15"/>
                <w:lang w:val="es-ES" w:eastAsia="es-ES"/>
              </w:rPr>
            </w:pPr>
            <w:r w:rsidRPr="00A16FEE">
              <w:rPr>
                <w:rFonts w:ascii="Verdana" w:eastAsia="Calibri" w:hAnsi="Verdana" w:cs="Arial"/>
                <w:sz w:val="15"/>
                <w:szCs w:val="15"/>
                <w:lang w:val="es-ES" w:eastAsia="es-ES"/>
              </w:rPr>
              <w:t>Carolina Quintero Gacharná</w:t>
            </w:r>
          </w:p>
          <w:p w14:paraId="609D1AB8" w14:textId="77777777" w:rsidR="00177A4B" w:rsidRPr="00A16FEE" w:rsidRDefault="00177A4B" w:rsidP="00B24F77">
            <w:pPr>
              <w:contextualSpacing/>
              <w:rPr>
                <w:rFonts w:ascii="Verdana" w:eastAsia="Calibri" w:hAnsi="Verdana" w:cs="Arial"/>
                <w:sz w:val="15"/>
                <w:szCs w:val="15"/>
                <w:lang w:val="es-ES" w:eastAsia="es-ES"/>
              </w:rPr>
            </w:pPr>
            <w:r w:rsidRPr="00A16FEE">
              <w:rPr>
                <w:rFonts w:ascii="Verdana" w:eastAsia="Calibri" w:hAnsi="Verdana" w:cs="Arial"/>
                <w:sz w:val="15"/>
                <w:szCs w:val="15"/>
                <w:lang w:val="es-ES" w:eastAsia="es-ES"/>
              </w:rPr>
              <w:t>Subdirectora de Gestión Contractual ANCP – CCE</w:t>
            </w:r>
          </w:p>
        </w:tc>
      </w:tr>
    </w:tbl>
    <w:p w14:paraId="66149317" w14:textId="773C89D3" w:rsidR="00B13378" w:rsidRPr="00A16FEE" w:rsidRDefault="00B13378" w:rsidP="00B13378">
      <w:pPr>
        <w:spacing w:before="240" w:after="0" w:line="276" w:lineRule="auto"/>
        <w:jc w:val="center"/>
        <w:rPr>
          <w:lang w:val="es-ES"/>
        </w:rPr>
      </w:pPr>
    </w:p>
    <w:p w14:paraId="241AD1B7" w14:textId="77777777" w:rsidR="00B13378" w:rsidRPr="00A16FEE" w:rsidRDefault="00B13378" w:rsidP="00B13378">
      <w:pPr>
        <w:spacing w:after="0" w:line="276" w:lineRule="auto"/>
        <w:rPr>
          <w:rFonts w:ascii="Verdana" w:eastAsia="Times New Roman" w:hAnsi="Verdana" w:cs="Arial"/>
          <w:sz w:val="24"/>
          <w:szCs w:val="24"/>
          <w:lang w:val="es-ES" w:eastAsia="es-ES"/>
        </w:rPr>
      </w:pPr>
    </w:p>
    <w:p w14:paraId="33EC1918" w14:textId="77777777" w:rsidR="00B13378" w:rsidRPr="00A16FEE" w:rsidRDefault="00B13378" w:rsidP="00B13378">
      <w:pPr>
        <w:spacing w:line="276" w:lineRule="auto"/>
        <w:rPr>
          <w:rFonts w:ascii="Verdana" w:hAnsi="Verdana"/>
          <w:lang w:val="es-ES"/>
        </w:rPr>
      </w:pPr>
    </w:p>
    <w:p w14:paraId="038B8FBB" w14:textId="77777777" w:rsidR="00B13378" w:rsidRPr="00A16FEE" w:rsidRDefault="00B13378" w:rsidP="00B13378">
      <w:pPr>
        <w:rPr>
          <w:lang w:val="es-ES"/>
        </w:rPr>
      </w:pPr>
    </w:p>
    <w:p w14:paraId="0F293BF4" w14:textId="66DD83B6" w:rsidR="00127233" w:rsidRPr="00A16FEE" w:rsidRDefault="00127233" w:rsidP="00C82439">
      <w:pPr>
        <w:rPr>
          <w:lang w:val="es-ES"/>
        </w:rPr>
      </w:pPr>
    </w:p>
    <w:sectPr w:rsidR="00127233" w:rsidRPr="00A16FEE"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57221" w14:textId="77777777" w:rsidR="006A248D" w:rsidRDefault="006A248D" w:rsidP="004A1847">
      <w:pPr>
        <w:spacing w:after="0" w:line="240" w:lineRule="auto"/>
      </w:pPr>
      <w:r>
        <w:separator/>
      </w:r>
    </w:p>
  </w:endnote>
  <w:endnote w:type="continuationSeparator" w:id="0">
    <w:p w14:paraId="4E00499B" w14:textId="77777777" w:rsidR="006A248D" w:rsidRDefault="006A248D" w:rsidP="004A1847">
      <w:pPr>
        <w:spacing w:after="0" w:line="240" w:lineRule="auto"/>
      </w:pPr>
      <w:r>
        <w:continuationSeparator/>
      </w:r>
    </w:p>
  </w:endnote>
  <w:endnote w:type="continuationNotice" w:id="1">
    <w:p w14:paraId="3FDEFA79" w14:textId="77777777" w:rsidR="006A248D" w:rsidRDefault="006A24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7BE5E" w14:textId="77777777" w:rsidR="006A248D" w:rsidRDefault="006A248D" w:rsidP="004A1847">
      <w:pPr>
        <w:spacing w:after="0" w:line="240" w:lineRule="auto"/>
      </w:pPr>
      <w:r>
        <w:separator/>
      </w:r>
    </w:p>
  </w:footnote>
  <w:footnote w:type="continuationSeparator" w:id="0">
    <w:p w14:paraId="073E3B39" w14:textId="77777777" w:rsidR="006A248D" w:rsidRDefault="006A248D" w:rsidP="004A1847">
      <w:pPr>
        <w:spacing w:after="0" w:line="240" w:lineRule="auto"/>
      </w:pPr>
      <w:r>
        <w:continuationSeparator/>
      </w:r>
    </w:p>
  </w:footnote>
  <w:footnote w:type="continuationNotice" w:id="1">
    <w:p w14:paraId="3E59A208" w14:textId="77777777" w:rsidR="006A248D" w:rsidRDefault="006A248D">
      <w:pPr>
        <w:spacing w:after="0" w:line="240" w:lineRule="auto"/>
      </w:pPr>
    </w:p>
  </w:footnote>
  <w:footnote w:id="2">
    <w:p w14:paraId="4029BF7F" w14:textId="77777777" w:rsidR="00B13378" w:rsidRPr="00BA0618" w:rsidRDefault="00B13378" w:rsidP="00B13378">
      <w:pPr>
        <w:pStyle w:val="Textonotapie"/>
        <w:snapToGrid w:val="0"/>
        <w:ind w:firstLine="709"/>
        <w:jc w:val="both"/>
        <w:rPr>
          <w:rFonts w:ascii="Verdana" w:hAnsi="Verdana" w:cs="Arial"/>
          <w:color w:val="000000" w:themeColor="text1"/>
          <w:sz w:val="16"/>
          <w:szCs w:val="16"/>
        </w:rPr>
      </w:pPr>
      <w:r w:rsidRPr="00BA0618">
        <w:rPr>
          <w:rStyle w:val="Refdenotaalpie"/>
          <w:rFonts w:ascii="Verdana" w:hAnsi="Verdana" w:cs="Arial"/>
          <w:color w:val="000000" w:themeColor="text1"/>
          <w:sz w:val="16"/>
          <w:szCs w:val="16"/>
        </w:rPr>
        <w:footnoteRef/>
      </w:r>
      <w:r w:rsidRPr="00BA0618">
        <w:rPr>
          <w:rFonts w:ascii="Verdana" w:hAnsi="Verdana" w:cs="Arial"/>
          <w:color w:val="000000" w:themeColor="text1"/>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p>
    <w:p w14:paraId="1CA436AB" w14:textId="77777777" w:rsidR="00B13378" w:rsidRPr="00BA0618" w:rsidRDefault="00B13378" w:rsidP="00B13378">
      <w:pPr>
        <w:pStyle w:val="Textonotapie"/>
        <w:snapToGrid w:val="0"/>
        <w:ind w:firstLine="709"/>
        <w:jc w:val="both"/>
        <w:rPr>
          <w:rFonts w:ascii="Verdana" w:hAnsi="Verdana" w:cs="Arial"/>
          <w:color w:val="000000" w:themeColor="text1"/>
          <w:sz w:val="16"/>
          <w:szCs w:val="16"/>
        </w:rPr>
      </w:pPr>
      <w:r w:rsidRPr="00BA0618">
        <w:rPr>
          <w:rFonts w:ascii="Verdana" w:hAnsi="Verdana" w:cs="Arial"/>
          <w:color w:val="000000" w:themeColor="text1"/>
          <w:sz w:val="16"/>
          <w:szCs w:val="16"/>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62D1F531" w14:textId="77777777" w:rsidR="00B13378" w:rsidRPr="00BA0618" w:rsidRDefault="00B13378" w:rsidP="00B13378">
      <w:pPr>
        <w:pStyle w:val="Textonotapie"/>
        <w:snapToGrid w:val="0"/>
        <w:ind w:firstLine="709"/>
        <w:jc w:val="both"/>
        <w:rPr>
          <w:rFonts w:ascii="Verdana" w:hAnsi="Verdana" w:cs="Arial"/>
          <w:color w:val="000000" w:themeColor="text1"/>
          <w:sz w:val="16"/>
          <w:szCs w:val="16"/>
        </w:rPr>
      </w:pPr>
      <w:r w:rsidRPr="00BA0618">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2BB8460C" w14:textId="77777777" w:rsidR="00B13378" w:rsidRPr="00BA0618" w:rsidRDefault="00B13378" w:rsidP="00B13378">
      <w:pPr>
        <w:pStyle w:val="Textonotapie"/>
        <w:snapToGrid w:val="0"/>
        <w:ind w:firstLine="709"/>
        <w:jc w:val="both"/>
        <w:rPr>
          <w:rFonts w:ascii="Verdana" w:hAnsi="Verdana" w:cs="Arial"/>
          <w:color w:val="000000" w:themeColor="text1"/>
          <w:sz w:val="16"/>
          <w:szCs w:val="16"/>
        </w:rPr>
      </w:pPr>
      <w:r w:rsidRPr="00BA0618">
        <w:rPr>
          <w:rFonts w:ascii="Verdana" w:hAnsi="Verdana" w:cs="Arial"/>
          <w:color w:val="000000" w:themeColor="text1"/>
          <w:sz w:val="16"/>
          <w:szCs w:val="16"/>
        </w:rPr>
        <w:t>PARÁGRAFO. Para efectos de la presente ley, la Corporación para la Reconstrucción de la Cuenca del Río Páez y Zonas Aledañas Nasa Ki'we podrá celebrar contratos para adelantar y ejecutar planes, programas y proyectos para la atención de las necesidades de los habitantes de las comunidades· étnicas de los municipios de Popayán, Almaguer, Bolívar, Buenos Aires, Cajibío, Caldono, Caloto, Corinto, El Tambo, Inzá, Jambaló, La Sierra, La Vega, Miranda, Páez, Patía, Piendamó, Puracé, Rosas, San Sebastián, Santander de Quilichao, Silvia, Sotará, Suárez, Toribío, Totoró del departamento del Cauca y los municipios de Neiva, Gigante, Íquira, La Argentina, La Plata, Nátaga, Paicol, Pitalito, San Agustín, Tesalia, Villavieja, Yaguará, Palermo y Rivera del departamento del Huila”.</w:t>
      </w:r>
    </w:p>
  </w:footnote>
  <w:footnote w:id="3">
    <w:p w14:paraId="57640DC1" w14:textId="77777777" w:rsidR="00B13378" w:rsidRPr="00BA0618" w:rsidRDefault="00B13378" w:rsidP="00B13378">
      <w:pPr>
        <w:pStyle w:val="Textonotapie"/>
        <w:snapToGrid w:val="0"/>
        <w:ind w:firstLine="709"/>
        <w:jc w:val="both"/>
        <w:rPr>
          <w:rFonts w:ascii="Verdana" w:hAnsi="Verdana" w:cs="Arial"/>
          <w:color w:val="000000" w:themeColor="text1"/>
          <w:sz w:val="16"/>
          <w:szCs w:val="16"/>
        </w:rPr>
      </w:pPr>
      <w:r w:rsidRPr="00BA0618">
        <w:rPr>
          <w:rStyle w:val="Refdenotaalpie"/>
          <w:rFonts w:ascii="Verdana" w:hAnsi="Verdana" w:cs="Arial"/>
          <w:color w:val="000000" w:themeColor="text1"/>
          <w:sz w:val="16"/>
          <w:szCs w:val="16"/>
        </w:rPr>
        <w:footnoteRef/>
      </w:r>
      <w:r w:rsidRPr="00BA0618">
        <w:rPr>
          <w:rFonts w:ascii="Verdana" w:hAnsi="Verdana" w:cs="Arial"/>
          <w:color w:val="000000" w:themeColor="text1"/>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34708552" w14:textId="77777777" w:rsidR="00B13378" w:rsidRPr="00BA0618" w:rsidRDefault="00B13378" w:rsidP="00B13378">
      <w:pPr>
        <w:pStyle w:val="Textonotapie"/>
        <w:snapToGrid w:val="0"/>
        <w:ind w:firstLine="709"/>
        <w:jc w:val="both"/>
        <w:rPr>
          <w:rFonts w:ascii="Verdana" w:hAnsi="Verdana" w:cs="Arial"/>
          <w:color w:val="000000" w:themeColor="text1"/>
          <w:sz w:val="16"/>
          <w:szCs w:val="16"/>
        </w:rPr>
      </w:pPr>
      <w:r w:rsidRPr="00BA0618">
        <w:rPr>
          <w:rFonts w:ascii="Verdana" w:hAnsi="Verdana" w:cs="Arial"/>
          <w:color w:val="000000" w:themeColor="text1"/>
          <w:sz w:val="16"/>
          <w:szCs w:val="16"/>
        </w:rPr>
        <w:t>1o.) que sea legalmente capaz.</w:t>
      </w:r>
    </w:p>
    <w:p w14:paraId="5BB77D52" w14:textId="77777777" w:rsidR="00B13378" w:rsidRPr="00BA0618" w:rsidRDefault="00B13378" w:rsidP="00B13378">
      <w:pPr>
        <w:pStyle w:val="Textonotapie"/>
        <w:snapToGrid w:val="0"/>
        <w:ind w:firstLine="709"/>
        <w:jc w:val="both"/>
        <w:rPr>
          <w:rFonts w:ascii="Verdana" w:hAnsi="Verdana" w:cs="Arial"/>
          <w:color w:val="000000" w:themeColor="text1"/>
          <w:sz w:val="16"/>
          <w:szCs w:val="16"/>
        </w:rPr>
      </w:pPr>
      <w:r w:rsidRPr="00BA0618">
        <w:rPr>
          <w:rFonts w:ascii="Verdana" w:hAnsi="Verdana" w:cs="Arial"/>
          <w:color w:val="000000" w:themeColor="text1"/>
          <w:sz w:val="16"/>
          <w:szCs w:val="16"/>
        </w:rPr>
        <w:t>[…]</w:t>
      </w:r>
    </w:p>
    <w:p w14:paraId="294F8729" w14:textId="77777777" w:rsidR="00B13378" w:rsidRPr="00BA0618" w:rsidRDefault="00B13378" w:rsidP="00B13378">
      <w:pPr>
        <w:pStyle w:val="Textonotapie"/>
        <w:snapToGrid w:val="0"/>
        <w:ind w:firstLine="709"/>
        <w:jc w:val="both"/>
        <w:rPr>
          <w:rFonts w:ascii="Verdana" w:hAnsi="Verdana" w:cs="Arial"/>
          <w:color w:val="000000" w:themeColor="text1"/>
          <w:sz w:val="16"/>
          <w:szCs w:val="16"/>
        </w:rPr>
      </w:pPr>
      <w:r w:rsidRPr="00BA0618">
        <w:rPr>
          <w:rFonts w:ascii="Verdana" w:hAnsi="Verdana" w:cs="Arial"/>
          <w:color w:val="000000" w:themeColor="text1"/>
          <w:sz w:val="16"/>
          <w:szCs w:val="16"/>
        </w:rPr>
        <w:t>La capacidad legal de una persona consiste en poderse obligar por sí misma, sin el ministerio o la autorización de otra”.</w:t>
      </w:r>
    </w:p>
  </w:footnote>
  <w:footnote w:id="4">
    <w:p w14:paraId="6B00F799" w14:textId="77777777" w:rsidR="00B13378" w:rsidRPr="00BA0618" w:rsidRDefault="00B13378" w:rsidP="00B13378">
      <w:pPr>
        <w:pStyle w:val="Textonotapie"/>
        <w:snapToGrid w:val="0"/>
        <w:ind w:firstLine="709"/>
        <w:jc w:val="both"/>
        <w:rPr>
          <w:rFonts w:ascii="Verdana" w:hAnsi="Verdana" w:cs="Arial"/>
          <w:color w:val="000000" w:themeColor="text1"/>
          <w:sz w:val="16"/>
          <w:szCs w:val="16"/>
          <w:lang w:val="es-ES"/>
        </w:rPr>
      </w:pPr>
      <w:r w:rsidRPr="00BA0618">
        <w:rPr>
          <w:rStyle w:val="Refdenotaalpie"/>
          <w:rFonts w:ascii="Verdana" w:hAnsi="Verdana" w:cs="Arial"/>
          <w:color w:val="000000" w:themeColor="text1"/>
          <w:sz w:val="16"/>
          <w:szCs w:val="16"/>
        </w:rPr>
        <w:footnoteRef/>
      </w:r>
      <w:r w:rsidRPr="00BA0618">
        <w:rPr>
          <w:rFonts w:ascii="Verdana" w:hAnsi="Verdana" w:cs="Arial"/>
          <w:color w:val="000000" w:themeColor="text1"/>
          <w:sz w:val="16"/>
          <w:szCs w:val="16"/>
        </w:rPr>
        <w:t xml:space="preserve"> </w:t>
      </w:r>
      <w:r w:rsidRPr="00BA0618">
        <w:rPr>
          <w:rFonts w:ascii="Verdana" w:hAnsi="Verdana" w:cs="Arial"/>
          <w:color w:val="000000" w:themeColor="text1"/>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BA0618">
        <w:rPr>
          <w:rFonts w:ascii="Verdana" w:hAnsi="Verdana" w:cs="Arial"/>
          <w:i/>
          <w:iCs/>
          <w:color w:val="000000" w:themeColor="text1"/>
          <w:sz w:val="16"/>
          <w:szCs w:val="16"/>
          <w:lang w:val="es-ES"/>
        </w:rPr>
        <w:t>el régimen de inhabilidades e incompatibilidades</w:t>
      </w:r>
      <w:r w:rsidRPr="00BA0618">
        <w:rPr>
          <w:rFonts w:ascii="Verdana" w:hAnsi="Verdana" w:cs="Arial"/>
          <w:color w:val="000000" w:themeColor="text1"/>
          <w:sz w:val="16"/>
          <w:szCs w:val="16"/>
          <w:lang w:val="es-ES"/>
        </w:rPr>
        <w:t xml:space="preserve"> (1) y la obligación de ciertos proponentes de inscribirse en el </w:t>
      </w:r>
      <w:r w:rsidRPr="00BA0618">
        <w:rPr>
          <w:rFonts w:ascii="Verdana" w:hAnsi="Verdana" w:cs="Arial"/>
          <w:i/>
          <w:iCs/>
          <w:color w:val="000000" w:themeColor="text1"/>
          <w:sz w:val="16"/>
          <w:szCs w:val="16"/>
          <w:lang w:val="es-ES"/>
        </w:rPr>
        <w:t>registro único</w:t>
      </w:r>
      <w:r w:rsidRPr="00BA0618">
        <w:rPr>
          <w:rFonts w:ascii="Verdana" w:hAnsi="Verdana" w:cs="Arial"/>
          <w:color w:val="000000" w:themeColor="text1"/>
          <w:sz w:val="16"/>
          <w:szCs w:val="16"/>
          <w:lang w:val="es-ES"/>
        </w:rPr>
        <w:t xml:space="preserve"> (2)” (BENAVIDES, José Luis. El contrato estatal. Entre el Derecho público y el Derecho privado. 2ª ed. Bogotá: Universidad Externado de Colombia, 2004. p. 278). </w:t>
      </w:r>
    </w:p>
  </w:footnote>
  <w:footnote w:id="5">
    <w:p w14:paraId="1F27A245" w14:textId="77777777" w:rsidR="00B13378" w:rsidRPr="00BA0618" w:rsidRDefault="00B13378" w:rsidP="00B13378">
      <w:pPr>
        <w:pStyle w:val="Textonotapie"/>
        <w:snapToGrid w:val="0"/>
        <w:ind w:firstLine="709"/>
        <w:jc w:val="both"/>
        <w:rPr>
          <w:rFonts w:ascii="Verdana" w:hAnsi="Verdana" w:cs="Arial"/>
          <w:color w:val="000000" w:themeColor="text1"/>
          <w:sz w:val="16"/>
          <w:szCs w:val="16"/>
          <w:lang w:val="es-ES"/>
        </w:rPr>
      </w:pPr>
      <w:r w:rsidRPr="00BA0618">
        <w:rPr>
          <w:rStyle w:val="Refdenotaalpie"/>
          <w:rFonts w:ascii="Verdana" w:hAnsi="Verdana" w:cs="Arial"/>
          <w:color w:val="000000" w:themeColor="text1"/>
          <w:sz w:val="16"/>
          <w:szCs w:val="16"/>
        </w:rPr>
        <w:footnoteRef/>
      </w:r>
      <w:r w:rsidRPr="00BA0618">
        <w:rPr>
          <w:rFonts w:ascii="Verdana" w:hAnsi="Verdana" w:cs="Arial"/>
          <w:color w:val="000000" w:themeColor="text1"/>
          <w:sz w:val="16"/>
          <w:szCs w:val="16"/>
        </w:rPr>
        <w:t xml:space="preserve"> </w:t>
      </w:r>
      <w:r w:rsidRPr="00BA0618">
        <w:rPr>
          <w:rFonts w:ascii="Verdana" w:hAnsi="Verdana" w:cs="Arial"/>
          <w:color w:val="000000" w:themeColor="text1"/>
          <w:sz w:val="16"/>
          <w:szCs w:val="16"/>
          <w:lang w:val="es-ES"/>
        </w:rPr>
        <w:t xml:space="preserve">BARRETO ROZO, Antonio Alejandro. Inhabilidades de la contratación estatal, efectos y </w:t>
      </w:r>
      <w:r w:rsidRPr="00BA0618">
        <w:rPr>
          <w:rFonts w:ascii="Verdana" w:hAnsi="Verdana" w:cs="Arial"/>
          <w:color w:val="000000" w:themeColor="text1"/>
          <w:sz w:val="16"/>
          <w:szCs w:val="16"/>
          <w:lang w:val="es-ES"/>
        </w:rPr>
        <w:t>neopunitivismo en el Estatuto Anticorrupción. En: ALVIAR GARCÍA, Helena (Coordinadora). Nuevas tendencias del Derecho administrativo. Bogotá: Universidad de los Andes; Temis, 2016. pp. 63-99.</w:t>
      </w:r>
    </w:p>
  </w:footnote>
  <w:footnote w:id="6">
    <w:p w14:paraId="4E88E3F1" w14:textId="77777777" w:rsidR="00B13378" w:rsidRPr="00BA0618" w:rsidRDefault="00B13378" w:rsidP="00B13378">
      <w:pPr>
        <w:pStyle w:val="Textonotapie"/>
        <w:snapToGrid w:val="0"/>
        <w:ind w:firstLine="709"/>
        <w:jc w:val="both"/>
        <w:rPr>
          <w:rFonts w:ascii="Verdana" w:hAnsi="Verdana" w:cs="Arial"/>
          <w:color w:val="000000" w:themeColor="text1"/>
          <w:sz w:val="16"/>
          <w:szCs w:val="16"/>
          <w:lang w:val="es-ES"/>
        </w:rPr>
      </w:pPr>
      <w:r w:rsidRPr="00BA0618">
        <w:rPr>
          <w:rStyle w:val="Refdenotaalpie"/>
          <w:rFonts w:ascii="Verdana" w:hAnsi="Verdana" w:cs="Arial"/>
          <w:color w:val="000000" w:themeColor="text1"/>
          <w:sz w:val="16"/>
          <w:szCs w:val="16"/>
        </w:rPr>
        <w:footnoteRef/>
      </w:r>
      <w:r w:rsidRPr="00BA0618">
        <w:rPr>
          <w:rFonts w:ascii="Verdana" w:hAnsi="Verdana" w:cs="Arial"/>
          <w:color w:val="000000" w:themeColor="text1"/>
          <w:sz w:val="16"/>
          <w:szCs w:val="16"/>
        </w:rPr>
        <w:t xml:space="preserve"> </w:t>
      </w:r>
      <w:r w:rsidRPr="00BA0618">
        <w:rPr>
          <w:rFonts w:ascii="Verdana" w:hAnsi="Verdana" w:cs="Arial"/>
          <w:color w:val="000000" w:themeColor="text1"/>
          <w:sz w:val="16"/>
          <w:szCs w:val="16"/>
          <w:lang w:val="es-ES"/>
        </w:rPr>
        <w:t>Ibíd., p. 69.</w:t>
      </w:r>
    </w:p>
  </w:footnote>
  <w:footnote w:id="7">
    <w:p w14:paraId="749D7B33" w14:textId="77777777" w:rsidR="00B13378" w:rsidRPr="00BA0618" w:rsidRDefault="00B13378" w:rsidP="00B13378">
      <w:pPr>
        <w:pStyle w:val="Textonotapie"/>
        <w:snapToGrid w:val="0"/>
        <w:ind w:firstLine="709"/>
        <w:jc w:val="both"/>
        <w:rPr>
          <w:rFonts w:ascii="Verdana" w:hAnsi="Verdana" w:cs="Arial"/>
          <w:color w:val="000000" w:themeColor="text1"/>
          <w:sz w:val="16"/>
          <w:szCs w:val="16"/>
          <w:lang w:val="es-ES"/>
        </w:rPr>
      </w:pPr>
      <w:r w:rsidRPr="00BA0618">
        <w:rPr>
          <w:rStyle w:val="Refdenotaalpie"/>
          <w:rFonts w:ascii="Verdana" w:hAnsi="Verdana" w:cs="Arial"/>
          <w:color w:val="000000" w:themeColor="text1"/>
          <w:sz w:val="16"/>
          <w:szCs w:val="16"/>
        </w:rPr>
        <w:footnoteRef/>
      </w:r>
      <w:r w:rsidRPr="00BA0618">
        <w:rPr>
          <w:rFonts w:ascii="Verdana" w:hAnsi="Verdana" w:cs="Arial"/>
          <w:color w:val="000000" w:themeColor="text1"/>
          <w:sz w:val="16"/>
          <w:szCs w:val="16"/>
        </w:rPr>
        <w:t xml:space="preserve"> </w:t>
      </w:r>
      <w:r w:rsidRPr="00BA0618">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8">
    <w:p w14:paraId="588C4DE2" w14:textId="77777777" w:rsidR="00B13378" w:rsidRPr="00BA0618" w:rsidRDefault="00B13378" w:rsidP="00B13378">
      <w:pPr>
        <w:pStyle w:val="Textonotapie"/>
        <w:snapToGrid w:val="0"/>
        <w:ind w:firstLine="709"/>
        <w:jc w:val="both"/>
        <w:rPr>
          <w:rFonts w:ascii="Verdana" w:hAnsi="Verdana" w:cs="Arial"/>
          <w:color w:val="000000" w:themeColor="text1"/>
          <w:sz w:val="16"/>
          <w:szCs w:val="16"/>
          <w:lang w:val="es-ES"/>
        </w:rPr>
      </w:pPr>
      <w:r w:rsidRPr="00BA0618">
        <w:rPr>
          <w:rStyle w:val="Refdenotaalpie"/>
          <w:rFonts w:ascii="Verdana" w:hAnsi="Verdana" w:cs="Arial"/>
          <w:color w:val="000000" w:themeColor="text1"/>
          <w:sz w:val="16"/>
          <w:szCs w:val="16"/>
        </w:rPr>
        <w:footnoteRef/>
      </w:r>
      <w:r w:rsidRPr="00BA0618">
        <w:rPr>
          <w:rFonts w:ascii="Verdana" w:hAnsi="Verdana" w:cs="Arial"/>
          <w:color w:val="000000" w:themeColor="text1"/>
          <w:sz w:val="16"/>
          <w:szCs w:val="16"/>
        </w:rPr>
        <w:t xml:space="preserve"> </w:t>
      </w:r>
      <w:r w:rsidRPr="00BA0618">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footnote>
  <w:footnote w:id="9">
    <w:p w14:paraId="1994C8C5" w14:textId="77777777" w:rsidR="00B13378" w:rsidRPr="00BA0618" w:rsidRDefault="00B13378" w:rsidP="00B13378">
      <w:pPr>
        <w:pStyle w:val="Textonotapie"/>
        <w:snapToGrid w:val="0"/>
        <w:ind w:firstLine="709"/>
        <w:jc w:val="both"/>
        <w:rPr>
          <w:rFonts w:ascii="Verdana" w:hAnsi="Verdana" w:cs="Arial"/>
          <w:color w:val="000000" w:themeColor="text1"/>
          <w:sz w:val="16"/>
          <w:szCs w:val="16"/>
        </w:rPr>
      </w:pPr>
      <w:r w:rsidRPr="00BA0618">
        <w:rPr>
          <w:rStyle w:val="Refdenotaalpie"/>
          <w:rFonts w:ascii="Verdana" w:hAnsi="Verdana" w:cs="Arial"/>
          <w:color w:val="000000" w:themeColor="text1"/>
          <w:sz w:val="16"/>
          <w:szCs w:val="16"/>
        </w:rPr>
        <w:footnoteRef/>
      </w:r>
      <w:r w:rsidRPr="00BA0618">
        <w:rPr>
          <w:rFonts w:ascii="Verdana" w:hAnsi="Verdana" w:cs="Arial"/>
          <w:color w:val="000000" w:themeColor="text1"/>
          <w:sz w:val="16"/>
          <w:szCs w:val="16"/>
        </w:rPr>
        <w:t xml:space="preserve"> Consejo de Estado. Sección Tercera. Subsección A. Sentencia del 24 de junio de 2015. Exp. 40.635. Consejero Ponente: Hernán Andrade Rincón (E).</w:t>
      </w:r>
    </w:p>
  </w:footnote>
  <w:footnote w:id="10">
    <w:p w14:paraId="7BE6F618" w14:textId="77777777" w:rsidR="00B13378" w:rsidRPr="00BA0618" w:rsidRDefault="00B13378" w:rsidP="00B13378">
      <w:pPr>
        <w:pStyle w:val="Textonotapie"/>
        <w:snapToGrid w:val="0"/>
        <w:ind w:firstLine="709"/>
        <w:jc w:val="both"/>
        <w:rPr>
          <w:rFonts w:ascii="Verdana" w:hAnsi="Verdana" w:cs="Arial"/>
          <w:color w:val="000000" w:themeColor="text1"/>
          <w:sz w:val="16"/>
          <w:szCs w:val="16"/>
        </w:rPr>
      </w:pPr>
      <w:r w:rsidRPr="00BA0618">
        <w:rPr>
          <w:rStyle w:val="Refdenotaalpie"/>
          <w:rFonts w:ascii="Verdana" w:hAnsi="Verdana" w:cs="Arial"/>
          <w:color w:val="000000" w:themeColor="text1"/>
          <w:sz w:val="16"/>
          <w:szCs w:val="16"/>
        </w:rPr>
        <w:footnoteRef/>
      </w:r>
      <w:r w:rsidRPr="00BA0618">
        <w:rPr>
          <w:rFonts w:ascii="Verdana" w:hAnsi="Verdana" w:cs="Arial"/>
          <w:color w:val="000000" w:themeColor="text1"/>
          <w:sz w:val="16"/>
          <w:szCs w:val="16"/>
        </w:rPr>
        <w:t xml:space="preserve"> Consejo de Estado. Sección Tercera. Subsección C. Sentencia del 22 de mayo de 2013. Exp. 24.057. Consejera Ponente: Olga Melida Valle De De La Hoz.</w:t>
      </w:r>
    </w:p>
  </w:footnote>
  <w:footnote w:id="11">
    <w:p w14:paraId="667BF053" w14:textId="77777777" w:rsidR="00B13378" w:rsidRPr="00BA0618" w:rsidRDefault="00B13378" w:rsidP="00B13378">
      <w:pPr>
        <w:pStyle w:val="Textonotapie"/>
        <w:ind w:firstLine="709"/>
        <w:jc w:val="both"/>
        <w:rPr>
          <w:rFonts w:ascii="Verdana" w:hAnsi="Verdana" w:cs="Arial"/>
          <w:color w:val="000000"/>
          <w:sz w:val="16"/>
          <w:szCs w:val="16"/>
          <w:lang w:val="es-CO"/>
        </w:rPr>
      </w:pPr>
      <w:r w:rsidRPr="00BA0618">
        <w:rPr>
          <w:rStyle w:val="Refdenotaalpie"/>
          <w:rFonts w:ascii="Verdana" w:hAnsi="Verdana" w:cs="Arial"/>
          <w:color w:val="000000"/>
          <w:sz w:val="16"/>
          <w:szCs w:val="16"/>
          <w:lang w:val="es-CO"/>
        </w:rPr>
        <w:footnoteRef/>
      </w:r>
      <w:r w:rsidRPr="00BA0618">
        <w:rPr>
          <w:rFonts w:ascii="Verdana" w:hAnsi="Verdana" w:cs="Arial"/>
          <w:color w:val="000000"/>
          <w:sz w:val="16"/>
          <w:szCs w:val="16"/>
          <w:lang w:val="es-CO"/>
        </w:rPr>
        <w:t xml:space="preserve"> </w:t>
      </w:r>
      <w:r w:rsidRPr="00BA0618">
        <w:rPr>
          <w:rFonts w:ascii="Verdana" w:hAnsi="Verdana" w:cs="Arial"/>
          <w:i/>
          <w:color w:val="000000"/>
          <w:sz w:val="16"/>
          <w:szCs w:val="16"/>
          <w:lang w:val="es-CO"/>
        </w:rPr>
        <w:t>Ibid</w:t>
      </w:r>
      <w:r w:rsidRPr="00BA0618">
        <w:rPr>
          <w:rFonts w:ascii="Verdana" w:hAnsi="Verdana" w:cs="Arial"/>
          <w:color w:val="000000"/>
          <w:sz w:val="16"/>
          <w:szCs w:val="16"/>
          <w:lang w:val="es-CO"/>
        </w:rPr>
        <w:t xml:space="preserve">. </w:t>
      </w:r>
    </w:p>
  </w:footnote>
  <w:footnote w:id="12">
    <w:p w14:paraId="3BBF98DD" w14:textId="77777777" w:rsidR="00B13378" w:rsidRPr="00BA0618" w:rsidRDefault="00B13378" w:rsidP="00B13378">
      <w:pPr>
        <w:pStyle w:val="Textonotapie"/>
        <w:ind w:firstLine="708"/>
        <w:jc w:val="both"/>
        <w:rPr>
          <w:rFonts w:ascii="Verdana" w:hAnsi="Verdana"/>
          <w:sz w:val="16"/>
          <w:szCs w:val="16"/>
        </w:rPr>
      </w:pPr>
      <w:r w:rsidRPr="00BA0618">
        <w:rPr>
          <w:rStyle w:val="Refdenotaalpie"/>
          <w:rFonts w:ascii="Verdana" w:hAnsi="Verdana"/>
          <w:sz w:val="16"/>
          <w:szCs w:val="16"/>
        </w:rPr>
        <w:footnoteRef/>
      </w:r>
      <w:r w:rsidRPr="00BA0618">
        <w:rPr>
          <w:rFonts w:ascii="Verdana" w:hAnsi="Verdana"/>
          <w:sz w:val="16"/>
          <w:szCs w:val="16"/>
        </w:rPr>
        <w:t xml:space="preserve"> Ley 80 de 1993, Artículo 8.2. “Tampoco podrán participar en licitaciones o </w:t>
      </w:r>
      <w:r w:rsidRPr="00BA0618">
        <w:rPr>
          <w:rFonts w:ascii="Verdana" w:hAnsi="Verdana"/>
          <w:sz w:val="16"/>
          <w:szCs w:val="16"/>
          <w:u w:val="single"/>
        </w:rPr>
        <w:t>concursos</w:t>
      </w:r>
      <w:r w:rsidRPr="00BA0618">
        <w:rPr>
          <w:rFonts w:ascii="Verdana" w:hAnsi="Verdana"/>
          <w:sz w:val="16"/>
          <w:szCs w:val="16"/>
        </w:rPr>
        <w:t> ni celebrar contratos estatales con la entidad respectiva:</w:t>
      </w:r>
    </w:p>
    <w:p w14:paraId="405821AA" w14:textId="77777777" w:rsidR="00B13378" w:rsidRPr="00BA0618" w:rsidRDefault="00B13378" w:rsidP="00B13378">
      <w:pPr>
        <w:pStyle w:val="Textonotapie"/>
        <w:jc w:val="both"/>
        <w:rPr>
          <w:rFonts w:ascii="Verdana" w:hAnsi="Verdana"/>
          <w:sz w:val="16"/>
          <w:szCs w:val="16"/>
        </w:rPr>
      </w:pPr>
      <w:r w:rsidRPr="00BA0618">
        <w:rPr>
          <w:rFonts w:ascii="Verdana" w:hAnsi="Verdana"/>
          <w:sz w:val="16"/>
          <w:szCs w:val="16"/>
        </w:rPr>
        <w:t>a</w:t>
      </w:r>
      <w:bookmarkStart w:id="1" w:name="8.2.a"/>
      <w:bookmarkEnd w:id="1"/>
      <w:r w:rsidRPr="00BA0618">
        <w:rPr>
          <w:rFonts w:ascii="Verdana" w:hAnsi="Verdana"/>
          <w:sz w:val="16"/>
          <w:szCs w:val="16"/>
        </w:rPr>
        <w:t>) Quienes fueron miembros de la junta o consejo directivo o servidores públicos de la entidad contratante. Esta incompatibilidad sólo comprende a quienes desempeñaron funciones en los niveles directivo, asesor o ejecutivo y se extiende por el término de un (1) año, contado a partir de la fecha del retiro”.</w:t>
      </w:r>
    </w:p>
  </w:footnote>
  <w:footnote w:id="13">
    <w:p w14:paraId="10104643" w14:textId="77777777" w:rsidR="00B13378" w:rsidRPr="00BA0618" w:rsidRDefault="00B13378" w:rsidP="00B13378">
      <w:pPr>
        <w:pStyle w:val="Textonotapie"/>
        <w:ind w:firstLine="708"/>
        <w:jc w:val="both"/>
        <w:rPr>
          <w:rFonts w:ascii="Verdana" w:hAnsi="Verdana"/>
          <w:sz w:val="16"/>
          <w:szCs w:val="16"/>
          <w:lang w:val="es-CO"/>
        </w:rPr>
      </w:pPr>
      <w:r w:rsidRPr="00BA0618">
        <w:rPr>
          <w:rStyle w:val="Refdenotaalpie"/>
          <w:rFonts w:ascii="Verdana" w:hAnsi="Verdana"/>
          <w:sz w:val="16"/>
          <w:szCs w:val="16"/>
        </w:rPr>
        <w:footnoteRef/>
      </w:r>
      <w:r w:rsidRPr="00BA0618">
        <w:rPr>
          <w:rFonts w:ascii="Verdana" w:hAnsi="Verdana"/>
          <w:sz w:val="16"/>
          <w:szCs w:val="16"/>
        </w:rPr>
        <w:t xml:space="preserve"> </w:t>
      </w:r>
      <w:r w:rsidRPr="00BA0618">
        <w:rPr>
          <w:rFonts w:ascii="Verdana" w:hAnsi="Verdana"/>
          <w:sz w:val="16"/>
          <w:szCs w:val="16"/>
          <w:lang w:val="es-CO"/>
        </w:rPr>
        <w:t>Corte Constitucional. Sentencia C-257 del 7 de mayo de 2013. M.P. Jaime Córdoba Triviño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112"/>
    <w:rsid w:val="00016F78"/>
    <w:rsid w:val="00046945"/>
    <w:rsid w:val="00061B2A"/>
    <w:rsid w:val="00082362"/>
    <w:rsid w:val="000A683E"/>
    <w:rsid w:val="000B19B9"/>
    <w:rsid w:val="000C3385"/>
    <w:rsid w:val="000D0334"/>
    <w:rsid w:val="000D5DA7"/>
    <w:rsid w:val="000F6486"/>
    <w:rsid w:val="001031AF"/>
    <w:rsid w:val="00116940"/>
    <w:rsid w:val="00125105"/>
    <w:rsid w:val="00127233"/>
    <w:rsid w:val="00144271"/>
    <w:rsid w:val="0015699B"/>
    <w:rsid w:val="00177A4B"/>
    <w:rsid w:val="001A33BF"/>
    <w:rsid w:val="001E4177"/>
    <w:rsid w:val="001F0B24"/>
    <w:rsid w:val="001F7DC6"/>
    <w:rsid w:val="00207291"/>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540D"/>
    <w:rsid w:val="003A779E"/>
    <w:rsid w:val="003C564F"/>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52AA"/>
    <w:rsid w:val="005566E8"/>
    <w:rsid w:val="00574867"/>
    <w:rsid w:val="00591460"/>
    <w:rsid w:val="005A65E0"/>
    <w:rsid w:val="005C3777"/>
    <w:rsid w:val="005C5CDC"/>
    <w:rsid w:val="005D476C"/>
    <w:rsid w:val="006200BF"/>
    <w:rsid w:val="006219F8"/>
    <w:rsid w:val="006302F7"/>
    <w:rsid w:val="006310AD"/>
    <w:rsid w:val="00641806"/>
    <w:rsid w:val="00646B9F"/>
    <w:rsid w:val="00665D70"/>
    <w:rsid w:val="00673878"/>
    <w:rsid w:val="006900D9"/>
    <w:rsid w:val="006A248D"/>
    <w:rsid w:val="00706C16"/>
    <w:rsid w:val="007169EE"/>
    <w:rsid w:val="007340C3"/>
    <w:rsid w:val="0075235A"/>
    <w:rsid w:val="00756841"/>
    <w:rsid w:val="007649AB"/>
    <w:rsid w:val="00771D0C"/>
    <w:rsid w:val="007833AC"/>
    <w:rsid w:val="007B268C"/>
    <w:rsid w:val="007B7171"/>
    <w:rsid w:val="007C0C0F"/>
    <w:rsid w:val="007C3DC2"/>
    <w:rsid w:val="007E5497"/>
    <w:rsid w:val="00806F5F"/>
    <w:rsid w:val="00820278"/>
    <w:rsid w:val="0082563C"/>
    <w:rsid w:val="008258C9"/>
    <w:rsid w:val="00844AE9"/>
    <w:rsid w:val="00867F95"/>
    <w:rsid w:val="008843B6"/>
    <w:rsid w:val="00891928"/>
    <w:rsid w:val="00896C9B"/>
    <w:rsid w:val="008A446D"/>
    <w:rsid w:val="008B25F1"/>
    <w:rsid w:val="008D180B"/>
    <w:rsid w:val="008F0EA7"/>
    <w:rsid w:val="00923EEF"/>
    <w:rsid w:val="009419F9"/>
    <w:rsid w:val="009540C9"/>
    <w:rsid w:val="0095685E"/>
    <w:rsid w:val="00961B09"/>
    <w:rsid w:val="00965334"/>
    <w:rsid w:val="0097093E"/>
    <w:rsid w:val="009A0DFA"/>
    <w:rsid w:val="009A1C6F"/>
    <w:rsid w:val="009B2D26"/>
    <w:rsid w:val="009C2751"/>
    <w:rsid w:val="009C71FA"/>
    <w:rsid w:val="009C72E7"/>
    <w:rsid w:val="009C7F7E"/>
    <w:rsid w:val="009D3058"/>
    <w:rsid w:val="009F3A13"/>
    <w:rsid w:val="00A122D3"/>
    <w:rsid w:val="00A14468"/>
    <w:rsid w:val="00A16FEE"/>
    <w:rsid w:val="00A17F13"/>
    <w:rsid w:val="00A20739"/>
    <w:rsid w:val="00A23AF9"/>
    <w:rsid w:val="00A33C78"/>
    <w:rsid w:val="00AB0ADB"/>
    <w:rsid w:val="00AC4BE5"/>
    <w:rsid w:val="00B00C0E"/>
    <w:rsid w:val="00B01B1A"/>
    <w:rsid w:val="00B0381D"/>
    <w:rsid w:val="00B13378"/>
    <w:rsid w:val="00B20B59"/>
    <w:rsid w:val="00B44A47"/>
    <w:rsid w:val="00B72CD3"/>
    <w:rsid w:val="00B72FFF"/>
    <w:rsid w:val="00BC3612"/>
    <w:rsid w:val="00BC3D36"/>
    <w:rsid w:val="00BD54A6"/>
    <w:rsid w:val="00BD7F72"/>
    <w:rsid w:val="00BF7425"/>
    <w:rsid w:val="00C04FB3"/>
    <w:rsid w:val="00C11D8B"/>
    <w:rsid w:val="00C15139"/>
    <w:rsid w:val="00C330EB"/>
    <w:rsid w:val="00C50D69"/>
    <w:rsid w:val="00C5365C"/>
    <w:rsid w:val="00C754BE"/>
    <w:rsid w:val="00C76B1C"/>
    <w:rsid w:val="00C82439"/>
    <w:rsid w:val="00C925AC"/>
    <w:rsid w:val="00CB6357"/>
    <w:rsid w:val="00CC1B26"/>
    <w:rsid w:val="00D361FD"/>
    <w:rsid w:val="00D423A2"/>
    <w:rsid w:val="00D44E26"/>
    <w:rsid w:val="00D520D8"/>
    <w:rsid w:val="00D605AA"/>
    <w:rsid w:val="00D63AC2"/>
    <w:rsid w:val="00D7383B"/>
    <w:rsid w:val="00D7788A"/>
    <w:rsid w:val="00D93638"/>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2DFF"/>
    <w:rsid w:val="00EC38A7"/>
    <w:rsid w:val="00EE1AA8"/>
    <w:rsid w:val="00F23FEA"/>
    <w:rsid w:val="00F31EDC"/>
    <w:rsid w:val="00F40444"/>
    <w:rsid w:val="00F43D5B"/>
    <w:rsid w:val="00F462B3"/>
    <w:rsid w:val="00F5664F"/>
    <w:rsid w:val="00F666C4"/>
    <w:rsid w:val="00F76AFC"/>
    <w:rsid w:val="00FA399E"/>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1337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1337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93333">
      <w:bodyDiv w:val="1"/>
      <w:marLeft w:val="0"/>
      <w:marRight w:val="0"/>
      <w:marTop w:val="0"/>
      <w:marBottom w:val="0"/>
      <w:divBdr>
        <w:top w:val="none" w:sz="0" w:space="0" w:color="auto"/>
        <w:left w:val="none" w:sz="0" w:space="0" w:color="auto"/>
        <w:bottom w:val="none" w:sz="0" w:space="0" w:color="auto"/>
        <w:right w:val="none" w:sz="0" w:space="0" w:color="auto"/>
      </w:divBdr>
      <w:divsChild>
        <w:div w:id="1482771398">
          <w:marLeft w:val="0"/>
          <w:marRight w:val="0"/>
          <w:marTop w:val="0"/>
          <w:marBottom w:val="0"/>
          <w:divBdr>
            <w:top w:val="none" w:sz="0" w:space="0" w:color="auto"/>
            <w:left w:val="none" w:sz="0" w:space="0" w:color="auto"/>
            <w:bottom w:val="none" w:sz="0" w:space="0" w:color="auto"/>
            <w:right w:val="none" w:sz="0" w:space="0" w:color="auto"/>
          </w:divBdr>
          <w:divsChild>
            <w:div w:id="1255554271">
              <w:marLeft w:val="0"/>
              <w:marRight w:val="0"/>
              <w:marTop w:val="0"/>
              <w:marBottom w:val="0"/>
              <w:divBdr>
                <w:top w:val="none" w:sz="0" w:space="0" w:color="auto"/>
                <w:left w:val="none" w:sz="0" w:space="0" w:color="auto"/>
                <w:bottom w:val="none" w:sz="0" w:space="0" w:color="auto"/>
                <w:right w:val="none" w:sz="0" w:space="0" w:color="auto"/>
              </w:divBdr>
              <w:divsChild>
                <w:div w:id="45320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866873">
      <w:bodyDiv w:val="1"/>
      <w:marLeft w:val="0"/>
      <w:marRight w:val="0"/>
      <w:marTop w:val="0"/>
      <w:marBottom w:val="0"/>
      <w:divBdr>
        <w:top w:val="none" w:sz="0" w:space="0" w:color="auto"/>
        <w:left w:val="none" w:sz="0" w:space="0" w:color="auto"/>
        <w:bottom w:val="none" w:sz="0" w:space="0" w:color="auto"/>
        <w:right w:val="none" w:sz="0" w:space="0" w:color="auto"/>
      </w:divBdr>
      <w:divsChild>
        <w:div w:id="128979856">
          <w:marLeft w:val="0"/>
          <w:marRight w:val="0"/>
          <w:marTop w:val="0"/>
          <w:marBottom w:val="0"/>
          <w:divBdr>
            <w:top w:val="none" w:sz="0" w:space="0" w:color="auto"/>
            <w:left w:val="none" w:sz="0" w:space="0" w:color="auto"/>
            <w:bottom w:val="none" w:sz="0" w:space="0" w:color="auto"/>
            <w:right w:val="none" w:sz="0" w:space="0" w:color="auto"/>
          </w:divBdr>
          <w:divsChild>
            <w:div w:id="349649430">
              <w:marLeft w:val="0"/>
              <w:marRight w:val="0"/>
              <w:marTop w:val="0"/>
              <w:marBottom w:val="0"/>
              <w:divBdr>
                <w:top w:val="none" w:sz="0" w:space="0" w:color="auto"/>
                <w:left w:val="none" w:sz="0" w:space="0" w:color="auto"/>
                <w:bottom w:val="none" w:sz="0" w:space="0" w:color="auto"/>
                <w:right w:val="none" w:sz="0" w:space="0" w:color="auto"/>
              </w:divBdr>
              <w:divsChild>
                <w:div w:id="155276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pbte19@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97851F7-6773-4252-9211-6C2E86F91E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openxmlformats.org/package/2006/metadata/core-properties"/>
    <ds:schemaRef ds:uri="http://purl.org/dc/terms/"/>
    <ds:schemaRef ds:uri="http://schemas.microsoft.com/office/2006/documentManagement/types"/>
    <ds:schemaRef ds:uri="http://schemas.microsoft.com/office/2006/metadata/properties"/>
    <ds:schemaRef ds:uri="http://purl.org/dc/elements/1.1/"/>
    <ds:schemaRef ds:uri="http://schemas.microsoft.com/office/infopath/2007/PartnerControls"/>
    <ds:schemaRef ds:uri="9d85dbaf-23eb-4e57-a637-93dcacc8b1a1"/>
    <ds:schemaRef ds:uri="a6cb9e4b-f1d1-4245-83ec-6cad768d538a"/>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4111</Words>
  <Characters>22655</Characters>
  <Application>Microsoft Office Word</Application>
  <DocSecurity>0</DocSecurity>
  <Lines>444</Lines>
  <Paragraphs>99</Paragraphs>
  <ScaleCrop>false</ScaleCrop>
  <Company/>
  <LinksUpToDate>false</LinksUpToDate>
  <CharactersWithSpaces>26667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2026-01-06T14:42:00Z</dcterms:created>
  <dcterms:modified xsi:type="dcterms:W3CDTF">2026-01-06T14:42:00Z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