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0DA90" w14:textId="24320744" w:rsidR="00F8204E" w:rsidRPr="00E87EA6" w:rsidRDefault="00F8204E" w:rsidP="00F8204E">
      <w:pPr>
        <w:pStyle w:val="Textoindependiente"/>
        <w:spacing w:before="90"/>
        <w:jc w:val="both"/>
        <w:rPr>
          <w:rFonts w:ascii="Verdana" w:hAnsi="Verdana"/>
          <w:b/>
          <w:lang w:val="es-ES_tradnl"/>
        </w:rPr>
      </w:pPr>
      <w:bookmarkStart w:id="0" w:name="_Hlk181166130"/>
      <w:bookmarkStart w:id="1" w:name="_Hlk209714638"/>
      <w:r w:rsidRPr="00E87EA6">
        <w:rPr>
          <w:rFonts w:ascii="Verdana" w:hAnsi="Verdana"/>
          <w:b/>
          <w:lang w:val="es-ES_tradnl"/>
        </w:rPr>
        <w:t xml:space="preserve">GARANTÍA DE ÚNICA DE CUMPLIMIENTO – Definición – Fundamento normativo </w:t>
      </w:r>
    </w:p>
    <w:p w14:paraId="16BD92F8" w14:textId="77777777" w:rsidR="00F8204E" w:rsidRPr="00B03B23" w:rsidRDefault="00F8204E" w:rsidP="00F8204E">
      <w:pPr>
        <w:pStyle w:val="Textoindependiente"/>
        <w:spacing w:before="90"/>
        <w:jc w:val="both"/>
        <w:rPr>
          <w:rFonts w:ascii="Verdana" w:hAnsi="Verdana"/>
          <w:sz w:val="20"/>
          <w:szCs w:val="20"/>
          <w:lang w:val="es-ES_tradnl"/>
        </w:rPr>
      </w:pPr>
      <w:r w:rsidRPr="00B03B23">
        <w:rPr>
          <w:rFonts w:ascii="Verdana" w:hAnsi="Verdana"/>
          <w:sz w:val="20"/>
          <w:szCs w:val="20"/>
          <w:lang w:val="es-ES_tradnl"/>
        </w:rPr>
        <w:t xml:space="preserve">[…] mediante la </w:t>
      </w:r>
      <w:r w:rsidRPr="00B03B23">
        <w:rPr>
          <w:rFonts w:ascii="Verdana" w:hAnsi="Verdana"/>
          <w:i/>
          <w:iCs/>
          <w:sz w:val="20"/>
          <w:szCs w:val="20"/>
          <w:lang w:val="es-ES_tradnl"/>
        </w:rPr>
        <w:t>garantía de única de cumplimiento</w:t>
      </w:r>
      <w:r w:rsidRPr="00B03B23">
        <w:rPr>
          <w:rFonts w:ascii="Verdana" w:hAnsi="Verdana"/>
          <w:sz w:val="20"/>
          <w:szCs w:val="20"/>
          <w:lang w:val="es-ES_tradnl"/>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Para estos efectos es única, ya que “[…] La prioridad […] es que no haya garantías separadas para los diferentes riesgos, aunque existan varias garantías para diferentes proporciones del interés asegurado […]”.    </w:t>
      </w:r>
    </w:p>
    <w:p w14:paraId="1FA449BE" w14:textId="7FBBEE8D" w:rsidR="00F8204E" w:rsidRPr="00B03B23" w:rsidRDefault="00F8204E" w:rsidP="00F8204E">
      <w:pPr>
        <w:pStyle w:val="Textoindependiente"/>
        <w:spacing w:before="90"/>
        <w:jc w:val="both"/>
        <w:rPr>
          <w:rFonts w:ascii="Verdana" w:hAnsi="Verdana"/>
          <w:sz w:val="20"/>
          <w:szCs w:val="20"/>
        </w:rPr>
      </w:pPr>
      <w:r w:rsidRPr="00B03B23">
        <w:rPr>
          <w:rFonts w:ascii="Verdana" w:hAnsi="Verdana"/>
          <w:sz w:val="20"/>
          <w:szCs w:val="20"/>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B03B23">
        <w:rPr>
          <w:rFonts w:ascii="Verdana" w:hAnsi="Verdana"/>
          <w:sz w:val="20"/>
          <w:szCs w:val="20"/>
        </w:rPr>
        <w:t>ii</w:t>
      </w:r>
      <w:proofErr w:type="spellEnd"/>
      <w:r w:rsidRPr="00B03B23">
        <w:rPr>
          <w:rFonts w:ascii="Verdana" w:hAnsi="Verdana"/>
          <w:sz w:val="20"/>
          <w:szCs w:val="20"/>
        </w:rPr>
        <w:t xml:space="preserve">) garantías bancarias o </w:t>
      </w:r>
      <w:proofErr w:type="spellStart"/>
      <w:r w:rsidRPr="00B03B23">
        <w:rPr>
          <w:rFonts w:ascii="Verdana" w:hAnsi="Verdana"/>
          <w:sz w:val="20"/>
          <w:szCs w:val="20"/>
        </w:rPr>
        <w:t>iii</w:t>
      </w:r>
      <w:proofErr w:type="spellEnd"/>
      <w:r w:rsidRPr="00B03B23">
        <w:rPr>
          <w:rFonts w:ascii="Verdana" w:hAnsi="Verdana"/>
          <w:sz w:val="20"/>
          <w:szCs w:val="20"/>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2E5FC599" w14:textId="0168B9FE" w:rsidR="00F8204E" w:rsidRPr="00E87EA6" w:rsidRDefault="00F8204E" w:rsidP="00F8204E">
      <w:pPr>
        <w:pStyle w:val="Textoindependiente"/>
        <w:spacing w:before="90"/>
        <w:jc w:val="both"/>
        <w:rPr>
          <w:rFonts w:ascii="Verdana" w:hAnsi="Verdana"/>
          <w:b/>
          <w:lang w:val="es-ES_tradnl"/>
        </w:rPr>
      </w:pPr>
      <w:r w:rsidRPr="00E87EA6">
        <w:rPr>
          <w:rFonts w:ascii="Verdana" w:hAnsi="Verdana"/>
          <w:b/>
          <w:lang w:val="es-ES_tradnl"/>
        </w:rPr>
        <w:t xml:space="preserve">LIQUIDACIÓN DEL CONTRATO – Definición – Objetivo </w:t>
      </w:r>
    </w:p>
    <w:p w14:paraId="5EECFD0B" w14:textId="633EB062" w:rsidR="00F8204E" w:rsidRPr="00B03B23" w:rsidRDefault="00F8204E" w:rsidP="00F8204E">
      <w:pPr>
        <w:pStyle w:val="Textoindependiente"/>
        <w:spacing w:before="90"/>
        <w:jc w:val="both"/>
        <w:rPr>
          <w:rFonts w:ascii="Verdana" w:hAnsi="Verdana"/>
          <w:sz w:val="20"/>
          <w:szCs w:val="20"/>
        </w:rPr>
      </w:pPr>
      <w:r w:rsidRPr="00B03B23">
        <w:rPr>
          <w:rFonts w:ascii="Verdana" w:hAnsi="Verdana"/>
          <w:sz w:val="20"/>
          <w:szCs w:val="20"/>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B03B23">
        <w:rPr>
          <w:rFonts w:ascii="Verdana" w:hAnsi="Verdana"/>
          <w:i/>
          <w:iCs/>
          <w:sz w:val="20"/>
          <w:szCs w:val="20"/>
        </w:rPr>
        <w:t>liquidar</w:t>
      </w:r>
      <w:r w:rsidRPr="00B03B23">
        <w:rPr>
          <w:rFonts w:ascii="Verdana" w:hAnsi="Verdana"/>
          <w:sz w:val="20"/>
          <w:szCs w:val="20"/>
        </w:rPr>
        <w:t xml:space="preserve"> supone un ajuste en relación con las cuentas y el estado de cumplimiento del contrato estatal y, por otro, que la </w:t>
      </w:r>
      <w:r w:rsidRPr="00B03B23">
        <w:rPr>
          <w:rFonts w:ascii="Verdana" w:hAnsi="Verdana"/>
          <w:i/>
          <w:iCs/>
          <w:sz w:val="20"/>
          <w:szCs w:val="20"/>
        </w:rPr>
        <w:t>liquidación</w:t>
      </w:r>
      <w:r w:rsidRPr="00B03B23">
        <w:rPr>
          <w:rFonts w:ascii="Verdana" w:hAnsi="Verdana"/>
          <w:sz w:val="20"/>
          <w:szCs w:val="20"/>
        </w:rPr>
        <w:t xml:space="preserve"> debe incluir el análisis de las condiciones de calidad y oportunidad en la entrega de los bienes, obras o servicios, así como el balance económico y el comportamiento financiero del negocio.</w:t>
      </w:r>
    </w:p>
    <w:p w14:paraId="5A994F38" w14:textId="73820E91" w:rsidR="00F8204E" w:rsidRDefault="00F8204E" w:rsidP="00F8204E">
      <w:pPr>
        <w:pStyle w:val="Textoindependiente"/>
        <w:spacing w:before="90"/>
        <w:jc w:val="both"/>
        <w:rPr>
          <w:rFonts w:ascii="Verdana" w:hAnsi="Verdana"/>
          <w:b/>
          <w:lang w:val="es-ES_tradnl"/>
        </w:rPr>
      </w:pPr>
      <w:r w:rsidRPr="00E87EA6">
        <w:rPr>
          <w:rFonts w:ascii="Verdana" w:hAnsi="Verdana"/>
          <w:b/>
          <w:lang w:val="es-ES_tradnl"/>
        </w:rPr>
        <w:t>LIQUIDACIÓN DEL CONTRATO – Normativa</w:t>
      </w:r>
    </w:p>
    <w:p w14:paraId="5EF8C3FB" w14:textId="040F1D1D" w:rsidR="00F8204E" w:rsidRPr="005239C5" w:rsidRDefault="00F8204E" w:rsidP="00F8204E">
      <w:pPr>
        <w:pStyle w:val="Textoindependiente"/>
        <w:spacing w:before="90"/>
        <w:jc w:val="both"/>
        <w:rPr>
          <w:rFonts w:ascii="Verdana" w:hAnsi="Verdana"/>
          <w:sz w:val="20"/>
          <w:szCs w:val="20"/>
        </w:rPr>
      </w:pPr>
      <w:r w:rsidRPr="00B03B23">
        <w:rPr>
          <w:rFonts w:ascii="Verdana" w:hAnsi="Verdana"/>
          <w:sz w:val="20"/>
          <w:szCs w:val="20"/>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33E724BA" w14:textId="45F9E3CB" w:rsidR="00F8204E" w:rsidRPr="00E87EA6" w:rsidRDefault="00F8204E" w:rsidP="00F8204E">
      <w:pPr>
        <w:pStyle w:val="Textoindependiente"/>
        <w:spacing w:before="90"/>
        <w:jc w:val="both"/>
        <w:rPr>
          <w:rFonts w:ascii="Verdana" w:hAnsi="Verdana"/>
          <w:b/>
          <w:lang w:val="es-ES_tradnl"/>
        </w:rPr>
      </w:pPr>
      <w:r w:rsidRPr="00E87EA6">
        <w:rPr>
          <w:rFonts w:ascii="Verdana" w:hAnsi="Verdana"/>
          <w:b/>
          <w:lang w:val="es-ES_tradnl"/>
        </w:rPr>
        <w:t>LIQUIDACIÓN DEL CONTRATO – Garantía única de cumplimiento – Suficiencia</w:t>
      </w:r>
    </w:p>
    <w:p w14:paraId="4578C6D1" w14:textId="77777777" w:rsidR="00F8204E" w:rsidRPr="00B03B23" w:rsidRDefault="00F8204E" w:rsidP="00F8204E">
      <w:pPr>
        <w:pStyle w:val="Textoindependiente"/>
        <w:spacing w:before="90"/>
        <w:jc w:val="both"/>
        <w:rPr>
          <w:rFonts w:ascii="Verdana" w:hAnsi="Verdana"/>
          <w:sz w:val="20"/>
          <w:szCs w:val="20"/>
        </w:rPr>
      </w:pPr>
      <w:r w:rsidRPr="00B03B23">
        <w:rPr>
          <w:rFonts w:ascii="Verdana" w:hAnsi="Verdana"/>
          <w:sz w:val="20"/>
          <w:szCs w:val="20"/>
        </w:rPr>
        <w:t xml:space="preserve">El artículo 2.2.1.2.3.1.12 regula la suficiencia de la garantía de cumplimiento. Esta debe tener una vigencia mínima hasta la liquidación y, por regla general un valor de por lo </w:t>
      </w:r>
      <w:r w:rsidRPr="00B03B23">
        <w:rPr>
          <w:rFonts w:ascii="Verdana" w:hAnsi="Verdana"/>
          <w:sz w:val="20"/>
          <w:szCs w:val="20"/>
        </w:rPr>
        <w:lastRenderedPageBreak/>
        <w:t xml:space="preserve">menos el diez por ciento (10%) del total del contrato, siempre que este sea inferior a un millón (1.000.000) de </w:t>
      </w:r>
      <w:proofErr w:type="spellStart"/>
      <w:r w:rsidRPr="00B03B23">
        <w:rPr>
          <w:rFonts w:ascii="Verdana" w:hAnsi="Verdana"/>
          <w:sz w:val="20"/>
          <w:szCs w:val="20"/>
        </w:rPr>
        <w:t>smmlv</w:t>
      </w:r>
      <w:proofErr w:type="spellEnd"/>
      <w:r w:rsidRPr="00B03B23">
        <w:rPr>
          <w:rFonts w:ascii="Verdana" w:hAnsi="Verdana"/>
          <w:sz w:val="20"/>
          <w:szCs w:val="20"/>
        </w:rPr>
        <w:t>. Conforme la norma citada, el amparo cubre tanto el plazo de ejecución como el plazo de vigencia del contrato. Así, la cobertura mínima del amparo de cumplimiento cubre el plazo de ejecución y el plazo de vigencia,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p>
    <w:p w14:paraId="45701232" w14:textId="77777777" w:rsidR="00F8204E" w:rsidRPr="00B03B23" w:rsidRDefault="00F8204E" w:rsidP="00F8204E">
      <w:pPr>
        <w:pStyle w:val="Textoindependiente"/>
        <w:spacing w:before="90"/>
        <w:jc w:val="both"/>
        <w:rPr>
          <w:rFonts w:ascii="Verdana" w:hAnsi="Verdana"/>
          <w:sz w:val="20"/>
          <w:szCs w:val="20"/>
        </w:rPr>
      </w:pPr>
      <w:r w:rsidRPr="00B03B23">
        <w:rPr>
          <w:rFonts w:ascii="Verdana" w:hAnsi="Verdana"/>
          <w:sz w:val="20"/>
          <w:szCs w:val="20"/>
        </w:rPr>
        <w:t>Dentro de este marco, los interesados adoptarán las medidas que estimen pertinentes respecto a la vigencia del amparo de cumplimiento después de vencer el término para liquidar. Especialmente, previa asesoría de sus representantes legales, los contratistas del Estado deberán evaluar los cursos de acción disponibles frente a la falta de liquidación oportuna. En ambos casos,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p>
    <w:p w14:paraId="7776F2EF" w14:textId="77777777" w:rsidR="00F8204E" w:rsidRDefault="00F8204E" w:rsidP="00F8204E">
      <w:pPr>
        <w:rPr>
          <w:rFonts w:ascii="Verdana" w:eastAsia="Times New Roman" w:hAnsi="Verdana" w:cs="Times New Roman"/>
          <w:lang w:eastAsia="es-ES"/>
        </w:rPr>
      </w:pPr>
      <w:r w:rsidRPr="00E87EA6">
        <w:rPr>
          <w:rFonts w:ascii="Verdana" w:hAnsi="Verdana"/>
        </w:rPr>
        <w:br w:type="page"/>
      </w:r>
    </w:p>
    <w:p w14:paraId="2952B4CF" w14:textId="77777777" w:rsidR="00F8204E" w:rsidRDefault="00F8204E" w:rsidP="00F8204E">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Pr>
          <w:rFonts w:ascii="Verdana" w:hAnsi="Verdana"/>
        </w:rPr>
        <w:t>29 de diciembre de 2025.</w:t>
      </w:r>
    </w:p>
    <w:bookmarkEnd w:id="0"/>
    <w:p w14:paraId="64EF37F2" w14:textId="7DB25775" w:rsidR="00F8204E" w:rsidRDefault="005239C5" w:rsidP="00F8204E">
      <w:pPr>
        <w:spacing w:after="0" w:line="240" w:lineRule="auto"/>
        <w:rPr>
          <w:rFonts w:ascii="Verdana" w:hAnsi="Verdana"/>
        </w:rPr>
      </w:pPr>
      <w:r>
        <w:rPr>
          <w:rFonts w:ascii="Verdana" w:hAnsi="Verdana"/>
          <w:noProof/>
        </w:rPr>
        <w:drawing>
          <wp:anchor distT="0" distB="0" distL="114300" distR="114300" simplePos="0" relativeHeight="251657216" behindDoc="0" locked="0" layoutInCell="1" allowOverlap="1" wp14:anchorId="6C990391" wp14:editId="696CB2F1">
            <wp:simplePos x="0" y="0"/>
            <wp:positionH relativeFrom="margin">
              <wp:align>right</wp:align>
            </wp:positionH>
            <wp:positionV relativeFrom="paragraph">
              <wp:posOffset>168275</wp:posOffset>
            </wp:positionV>
            <wp:extent cx="2659380" cy="795020"/>
            <wp:effectExtent l="0" t="0" r="7620" b="5080"/>
            <wp:wrapSquare wrapText="bothSides"/>
            <wp:docPr id="44375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9380" cy="7950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1EB67C" w14:textId="5ED3C827" w:rsidR="004B7BC9" w:rsidRDefault="004B7BC9" w:rsidP="004B7BC9">
      <w:pPr>
        <w:spacing w:after="0" w:line="240" w:lineRule="auto"/>
        <w:jc w:val="right"/>
        <w:rPr>
          <w:rFonts w:ascii="Verdana" w:hAnsi="Verdana"/>
        </w:rPr>
      </w:pPr>
    </w:p>
    <w:p w14:paraId="48423B72" w14:textId="77777777" w:rsidR="00F8204E" w:rsidRDefault="00F8204E" w:rsidP="00F8204E">
      <w:pPr>
        <w:spacing w:after="0" w:line="240" w:lineRule="auto"/>
        <w:jc w:val="right"/>
        <w:rPr>
          <w:rFonts w:ascii="Verdana" w:hAnsi="Verdana"/>
        </w:rPr>
      </w:pPr>
    </w:p>
    <w:p w14:paraId="2FEF59E9" w14:textId="77777777" w:rsidR="00F8204E" w:rsidRPr="00631045" w:rsidRDefault="00F8204E" w:rsidP="00F8204E">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0C58FCCA" w14:textId="77777777" w:rsidR="00F8204E" w:rsidRDefault="00F8204E" w:rsidP="00F8204E">
      <w:pPr>
        <w:spacing w:after="0" w:line="240" w:lineRule="auto"/>
        <w:rPr>
          <w:rFonts w:ascii="Verdana" w:eastAsia="Calibri" w:hAnsi="Verdana" w:cs="Arial"/>
          <w:b/>
          <w:bCs/>
          <w:lang w:eastAsia="es-ES"/>
        </w:rPr>
      </w:pPr>
      <w:r w:rsidRPr="006939EC">
        <w:rPr>
          <w:rFonts w:ascii="Verdana" w:eastAsia="Calibri" w:hAnsi="Verdana" w:cs="Arial"/>
          <w:b/>
          <w:bCs/>
          <w:lang w:eastAsia="es-ES"/>
        </w:rPr>
        <w:t>Héctor Javier Herrera López</w:t>
      </w:r>
    </w:p>
    <w:p w14:paraId="4CE68D40" w14:textId="77777777" w:rsidR="00F8204E" w:rsidRPr="006939EC" w:rsidRDefault="00F8204E" w:rsidP="00F8204E">
      <w:pPr>
        <w:spacing w:after="0" w:line="240" w:lineRule="auto"/>
        <w:rPr>
          <w:rFonts w:ascii="Verdana" w:hAnsi="Verdana"/>
        </w:rPr>
      </w:pPr>
      <w:hyperlink r:id="rId12" w:history="1">
        <w:r w:rsidRPr="006939EC">
          <w:rPr>
            <w:rStyle w:val="Hipervnculo"/>
            <w:rFonts w:ascii="Verdana" w:hAnsi="Verdana"/>
          </w:rPr>
          <w:t>soluciones@activosti.com</w:t>
        </w:r>
      </w:hyperlink>
    </w:p>
    <w:p w14:paraId="43C5AF1C" w14:textId="77777777" w:rsidR="00F8204E" w:rsidRDefault="00F8204E" w:rsidP="00F8204E">
      <w:pPr>
        <w:spacing w:after="0" w:line="240" w:lineRule="auto"/>
        <w:rPr>
          <w:rFonts w:ascii="Verdana" w:hAnsi="Verdana"/>
        </w:rPr>
      </w:pPr>
      <w:r>
        <w:rPr>
          <w:rFonts w:ascii="Verdana" w:hAnsi="Verdana"/>
        </w:rPr>
        <w:t>Bogotá D.C.</w:t>
      </w:r>
      <w:r w:rsidRPr="00ED46C7">
        <w:rPr>
          <w:rFonts w:ascii="Verdana" w:hAnsi="Verdana"/>
        </w:rPr>
        <w:t xml:space="preserve"> </w:t>
      </w:r>
    </w:p>
    <w:p w14:paraId="11DB9D5E" w14:textId="77777777" w:rsidR="00F8204E" w:rsidRPr="00FE3DEC" w:rsidRDefault="00F8204E" w:rsidP="00F8204E">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F8204E" w:rsidRPr="00593A5F" w14:paraId="29A8D308" w14:textId="77777777" w:rsidTr="00B40EB6">
        <w:trPr>
          <w:trHeight w:val="273"/>
        </w:trPr>
        <w:tc>
          <w:tcPr>
            <w:tcW w:w="2295" w:type="dxa"/>
          </w:tcPr>
          <w:p w14:paraId="3130CA9C" w14:textId="77777777" w:rsidR="00F8204E" w:rsidRPr="00E5644F" w:rsidRDefault="00F8204E" w:rsidP="00B40EB6">
            <w:pPr>
              <w:jc w:val="both"/>
              <w:rPr>
                <w:rFonts w:ascii="Verdana" w:eastAsia="Calibri" w:hAnsi="Verdana" w:cs="Arial"/>
                <w:b/>
                <w:bCs/>
                <w:color w:val="7030A0"/>
                <w:lang w:val="es-ES_tradnl" w:eastAsia="es-ES_tradnl"/>
              </w:rPr>
            </w:pPr>
          </w:p>
        </w:tc>
        <w:tc>
          <w:tcPr>
            <w:tcW w:w="6481" w:type="dxa"/>
            <w:gridSpan w:val="2"/>
          </w:tcPr>
          <w:p w14:paraId="37D983A3" w14:textId="77777777" w:rsidR="00F8204E" w:rsidRPr="001773DA" w:rsidRDefault="00F8204E" w:rsidP="00B40EB6">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Pr>
                <w:rFonts w:ascii="Verdana" w:eastAsia="Calibri" w:hAnsi="Verdana" w:cs="Arial"/>
                <w:b/>
                <w:bCs/>
                <w:lang w:val="es-ES" w:eastAsia="es-ES"/>
              </w:rPr>
              <w:t xml:space="preserve">1726 </w:t>
            </w:r>
            <w:r w:rsidRPr="001773DA">
              <w:rPr>
                <w:rFonts w:ascii="Verdana" w:eastAsia="Calibri" w:hAnsi="Verdana" w:cs="Arial"/>
                <w:b/>
                <w:bCs/>
                <w:lang w:val="es-ES" w:eastAsia="es-ES"/>
              </w:rPr>
              <w:t>de 2025</w:t>
            </w:r>
          </w:p>
          <w:p w14:paraId="2E9BCA33" w14:textId="77777777" w:rsidR="00F8204E" w:rsidRPr="001773DA" w:rsidRDefault="00F8204E" w:rsidP="00B40EB6">
            <w:pPr>
              <w:jc w:val="both"/>
              <w:rPr>
                <w:rFonts w:ascii="Verdana" w:eastAsia="Calibri" w:hAnsi="Verdana" w:cs="Arial"/>
                <w:b/>
                <w:bCs/>
                <w:color w:val="7030A0"/>
                <w:lang w:val="es-ES" w:eastAsia="es-ES"/>
              </w:rPr>
            </w:pPr>
          </w:p>
        </w:tc>
      </w:tr>
      <w:tr w:rsidR="00F8204E" w:rsidRPr="00280D79" w14:paraId="202D4959" w14:textId="77777777" w:rsidTr="00B40EB6">
        <w:trPr>
          <w:trHeight w:val="1583"/>
        </w:trPr>
        <w:tc>
          <w:tcPr>
            <w:tcW w:w="2295" w:type="dxa"/>
          </w:tcPr>
          <w:p w14:paraId="4CB49ED7" w14:textId="77777777" w:rsidR="00F8204E" w:rsidRPr="00593A5F" w:rsidRDefault="00F8204E" w:rsidP="00B40EB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83E7C24" w14:textId="77777777" w:rsidR="00F8204E" w:rsidRPr="006939EC" w:rsidRDefault="00F8204E" w:rsidP="00B40EB6">
            <w:pPr>
              <w:jc w:val="both"/>
              <w:rPr>
                <w:rFonts w:ascii="Verdana" w:eastAsia="Calibri" w:hAnsi="Verdana" w:cs="Arial"/>
                <w:b/>
                <w:highlight w:val="yellow"/>
                <w:lang w:val="es-ES" w:eastAsia="es-ES"/>
              </w:rPr>
            </w:pPr>
            <w:r w:rsidRPr="00E87EA6">
              <w:rPr>
                <w:rFonts w:ascii="Verdana" w:eastAsia="Calibri" w:hAnsi="Verdana" w:cs="Arial"/>
                <w:lang w:val="es-ES" w:eastAsia="es-ES"/>
              </w:rPr>
              <w:t>GARANTÍA DE ÚNICA DE CUMPLIMIENTO – Definición – Fundamento normativo / LIQUIDACIÓN DEL CONTRATO – Definición - Objetivo   / LIQUIDACIÓN DEL CONTRATO – Normativa / LIQUIDACIÓN DEL CONTRATO – Garantía Única de Cumplimiento – Suficiencia</w:t>
            </w:r>
          </w:p>
        </w:tc>
      </w:tr>
      <w:tr w:rsidR="00F8204E" w:rsidRPr="00593A5F" w14:paraId="5805B5EE" w14:textId="77777777" w:rsidTr="00B40EB6">
        <w:trPr>
          <w:trHeight w:val="545"/>
        </w:trPr>
        <w:tc>
          <w:tcPr>
            <w:tcW w:w="2295" w:type="dxa"/>
          </w:tcPr>
          <w:p w14:paraId="04638DC3" w14:textId="77777777" w:rsidR="00F8204E" w:rsidRPr="006730E9" w:rsidRDefault="00F8204E" w:rsidP="00B40EB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A422EAE" w14:textId="77777777" w:rsidR="00F8204E" w:rsidRPr="006730E9" w:rsidRDefault="00F8204E" w:rsidP="00B40EB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6939EC">
              <w:rPr>
                <w:rFonts w:ascii="Verdana" w:eastAsia="Calibri" w:hAnsi="Verdana" w:cs="Arial"/>
                <w:lang w:val="es-ES_tradnl" w:eastAsia="es-ES_tradnl"/>
              </w:rPr>
              <w:t>1_2025_11_21_013164</w:t>
            </w:r>
            <w:r>
              <w:rPr>
                <w:rFonts w:ascii="Verdana" w:eastAsia="Calibri" w:hAnsi="Verdana" w:cs="Arial"/>
                <w:lang w:val="es-ES_tradnl" w:eastAsia="es-ES_tradnl"/>
              </w:rPr>
              <w:t xml:space="preserve"> acumulado con el radicado </w:t>
            </w:r>
            <w:r w:rsidRPr="006939EC">
              <w:rPr>
                <w:rFonts w:ascii="Verdana" w:eastAsia="Calibri" w:hAnsi="Verdana" w:cs="Arial"/>
                <w:lang w:val="es-ES_tradnl" w:eastAsia="es-ES_tradnl"/>
              </w:rPr>
              <w:t>1_2025_12_18_014156</w:t>
            </w:r>
          </w:p>
        </w:tc>
      </w:tr>
      <w:tr w:rsidR="00F8204E" w:rsidRPr="00DB23D2" w14:paraId="10A84767" w14:textId="77777777" w:rsidTr="00B40EB6">
        <w:trPr>
          <w:gridAfter w:val="1"/>
          <w:wAfter w:w="319" w:type="dxa"/>
          <w:trHeight w:val="242"/>
        </w:trPr>
        <w:tc>
          <w:tcPr>
            <w:tcW w:w="8457" w:type="dxa"/>
            <w:gridSpan w:val="2"/>
          </w:tcPr>
          <w:p w14:paraId="6E215AE0" w14:textId="77777777" w:rsidR="00F8204E" w:rsidRPr="00DB23D2" w:rsidRDefault="00F8204E" w:rsidP="00B40EB6">
            <w:pPr>
              <w:spacing w:line="276" w:lineRule="auto"/>
              <w:jc w:val="both"/>
              <w:rPr>
                <w:rFonts w:ascii="Verdana" w:eastAsia="Calibri" w:hAnsi="Verdana" w:cs="Arial"/>
                <w:lang w:val="es-ES_tradnl" w:eastAsia="es-ES"/>
              </w:rPr>
            </w:pPr>
          </w:p>
        </w:tc>
      </w:tr>
    </w:tbl>
    <w:p w14:paraId="22C7EFFE" w14:textId="77777777" w:rsidR="00F8204E" w:rsidRPr="006730E9" w:rsidRDefault="00F8204E" w:rsidP="00F8204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o señor Herrera;</w:t>
      </w:r>
    </w:p>
    <w:p w14:paraId="6B4EB83D" w14:textId="77777777" w:rsidR="00F8204E" w:rsidRDefault="00F8204E" w:rsidP="00F8204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5FEFB9D" w14:textId="77777777" w:rsidR="00F8204E" w:rsidRPr="006730E9" w:rsidRDefault="00F8204E" w:rsidP="00F8204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21</w:t>
      </w:r>
      <w:r w:rsidRPr="00E72E05">
        <w:rPr>
          <w:rFonts w:ascii="Verdana" w:eastAsia="Calibri" w:hAnsi="Verdana" w:cs="Arial"/>
          <w:lang w:val="es-ES" w:eastAsia="es-ES"/>
        </w:rPr>
        <w:t xml:space="preserve"> de </w:t>
      </w:r>
      <w:r>
        <w:rPr>
          <w:rFonts w:ascii="Verdana" w:eastAsia="Calibri" w:hAnsi="Verdana" w:cs="Arial"/>
          <w:lang w:val="es-ES" w:eastAsia="es-ES"/>
        </w:rPr>
        <w:t>noviembre</w:t>
      </w:r>
      <w:r w:rsidRPr="00E72E05">
        <w:rPr>
          <w:rFonts w:ascii="Verdana" w:eastAsia="Calibri" w:hAnsi="Verdana" w:cs="Arial"/>
          <w:lang w:val="es-ES" w:eastAsia="es-ES"/>
        </w:rPr>
        <w:t xml:space="preserve"> de 2025</w:t>
      </w:r>
      <w:r>
        <w:rPr>
          <w:rFonts w:ascii="Verdana" w:eastAsia="Calibri" w:hAnsi="Verdana" w:cs="Arial"/>
          <w:lang w:val="es-ES" w:eastAsia="es-ES"/>
        </w:rPr>
        <w:t xml:space="preserve"> y reiterada el 18 de diciembre de 2025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62078ED3" w14:textId="77777777" w:rsidR="00F8204E" w:rsidRPr="001773DA" w:rsidRDefault="00F8204E" w:rsidP="00F8204E">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56FF17DB" w14:textId="77777777" w:rsidR="00F8204E" w:rsidRPr="001773DA" w:rsidRDefault="00F8204E" w:rsidP="00F8204E">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13431948" w14:textId="77777777" w:rsidR="00F8204E" w:rsidRPr="006939EC" w:rsidRDefault="00F8204E" w:rsidP="00F8204E">
      <w:pPr>
        <w:tabs>
          <w:tab w:val="left" w:pos="142"/>
          <w:tab w:val="left" w:pos="567"/>
        </w:tabs>
        <w:spacing w:after="0" w:line="240" w:lineRule="auto"/>
        <w:ind w:left="709" w:right="709"/>
        <w:jc w:val="both"/>
        <w:rPr>
          <w:rFonts w:ascii="Verdana" w:eastAsia="Century Gothic" w:hAnsi="Verdana" w:cs="Century Gothic"/>
          <w:i/>
          <w:iCs/>
          <w:sz w:val="20"/>
          <w:szCs w:val="20"/>
        </w:rPr>
      </w:pPr>
      <w:r w:rsidRPr="006939EC">
        <w:rPr>
          <w:rFonts w:ascii="Verdana" w:eastAsia="Century Gothic" w:hAnsi="Verdana" w:cs="Century Gothic"/>
          <w:i/>
          <w:iCs/>
          <w:sz w:val="20"/>
          <w:szCs w:val="20"/>
        </w:rPr>
        <w:t xml:space="preserve">1.Que </w:t>
      </w:r>
      <w:r>
        <w:rPr>
          <w:rFonts w:ascii="Verdana" w:eastAsia="Century Gothic" w:hAnsi="Verdana" w:cs="Century Gothic"/>
          <w:i/>
          <w:iCs/>
          <w:sz w:val="20"/>
          <w:szCs w:val="20"/>
        </w:rPr>
        <w:t>se</w:t>
      </w:r>
      <w:r w:rsidRPr="006939EC">
        <w:rPr>
          <w:rFonts w:ascii="Verdana" w:eastAsia="Century Gothic" w:hAnsi="Verdana" w:cs="Century Gothic"/>
          <w:i/>
          <w:iCs/>
          <w:sz w:val="20"/>
          <w:szCs w:val="20"/>
        </w:rPr>
        <w:t xml:space="preserve"> emita concepto u orientación técnica formal, indicando si en el escenario descrito es jurídicamente procedente exigir la ampliación de la garantía.</w:t>
      </w:r>
    </w:p>
    <w:p w14:paraId="102DA824" w14:textId="77777777" w:rsidR="00F8204E" w:rsidRPr="006939EC" w:rsidRDefault="00F8204E" w:rsidP="00F8204E">
      <w:pPr>
        <w:tabs>
          <w:tab w:val="left" w:pos="142"/>
          <w:tab w:val="left" w:pos="567"/>
        </w:tabs>
        <w:spacing w:after="0" w:line="240" w:lineRule="auto"/>
        <w:ind w:left="709" w:right="709"/>
        <w:jc w:val="both"/>
        <w:rPr>
          <w:rFonts w:ascii="Verdana" w:eastAsia="Century Gothic" w:hAnsi="Verdana" w:cs="Century Gothic"/>
          <w:i/>
          <w:iCs/>
          <w:sz w:val="20"/>
          <w:szCs w:val="20"/>
        </w:rPr>
      </w:pPr>
      <w:r w:rsidRPr="006939EC">
        <w:rPr>
          <w:rFonts w:ascii="Verdana" w:eastAsia="Century Gothic" w:hAnsi="Verdana" w:cs="Century Gothic"/>
          <w:i/>
          <w:iCs/>
          <w:sz w:val="20"/>
          <w:szCs w:val="20"/>
        </w:rPr>
        <w:t>2.Que se precise si la garantía debe mantenerse vigen</w:t>
      </w:r>
      <w:r>
        <w:rPr>
          <w:rFonts w:ascii="Verdana" w:eastAsia="Century Gothic" w:hAnsi="Verdana" w:cs="Century Gothic"/>
          <w:i/>
          <w:iCs/>
          <w:sz w:val="20"/>
          <w:szCs w:val="20"/>
        </w:rPr>
        <w:t>te</w:t>
      </w:r>
      <w:r w:rsidRPr="006939EC">
        <w:rPr>
          <w:rFonts w:ascii="Verdana" w:eastAsia="Century Gothic" w:hAnsi="Verdana" w:cs="Century Gothic"/>
          <w:i/>
          <w:iCs/>
          <w:sz w:val="20"/>
          <w:szCs w:val="20"/>
        </w:rPr>
        <w:t xml:space="preserve"> más allá del plazo contractual de liquidación, cuando este venció sin gestión de la entidad y sin riesgo vigente.</w:t>
      </w:r>
    </w:p>
    <w:p w14:paraId="42981D68" w14:textId="77777777" w:rsidR="00F8204E" w:rsidRPr="00B350FE" w:rsidRDefault="00F8204E" w:rsidP="00F8204E">
      <w:pPr>
        <w:tabs>
          <w:tab w:val="left" w:pos="142"/>
          <w:tab w:val="left" w:pos="567"/>
        </w:tabs>
        <w:spacing w:after="0" w:line="240" w:lineRule="auto"/>
        <w:ind w:left="709" w:right="709"/>
        <w:jc w:val="both"/>
        <w:rPr>
          <w:rFonts w:ascii="Verdana" w:eastAsia="Century Gothic" w:hAnsi="Verdana" w:cs="Century Gothic"/>
          <w:i/>
          <w:iCs/>
          <w:sz w:val="20"/>
          <w:szCs w:val="20"/>
        </w:rPr>
      </w:pPr>
      <w:r w:rsidRPr="006939EC">
        <w:rPr>
          <w:rFonts w:ascii="Verdana" w:eastAsia="Century Gothic" w:hAnsi="Verdana" w:cs="Century Gothic"/>
          <w:i/>
          <w:iCs/>
          <w:sz w:val="20"/>
          <w:szCs w:val="20"/>
        </w:rPr>
        <w:t xml:space="preserve">3.Que se aclare cuál debe ser el procedimiento correcto para las entidades en situaciones de vencimiento del plazo de liquidación en contratos sin obligaciones pendientes. </w:t>
      </w:r>
      <w:r w:rsidRPr="00B350FE">
        <w:rPr>
          <w:rFonts w:ascii="Verdana" w:eastAsia="Century Gothic" w:hAnsi="Verdana" w:cs="Century Gothic"/>
          <w:i/>
          <w:iCs/>
          <w:sz w:val="20"/>
          <w:szCs w:val="20"/>
        </w:rPr>
        <w:t xml:space="preserve">(…)”. </w:t>
      </w:r>
    </w:p>
    <w:p w14:paraId="60ACFEB0" w14:textId="77777777" w:rsidR="00F8204E" w:rsidRDefault="00F8204E" w:rsidP="00F8204E">
      <w:pPr>
        <w:spacing w:after="0" w:line="276" w:lineRule="auto"/>
        <w:ind w:firstLine="709"/>
        <w:jc w:val="both"/>
        <w:rPr>
          <w:rFonts w:ascii="Verdana" w:eastAsia="Calibri" w:hAnsi="Verdana" w:cs="Arial"/>
          <w:lang w:val="es-ES" w:eastAsia="es-ES"/>
        </w:rPr>
      </w:pPr>
    </w:p>
    <w:p w14:paraId="67B392F5" w14:textId="77777777" w:rsidR="00F8204E" w:rsidRPr="00AA3B9F" w:rsidRDefault="00F8204E" w:rsidP="00F8204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F19A5DB" w14:textId="77777777" w:rsidR="00F8204E" w:rsidRPr="00AA3B9F" w:rsidRDefault="00F8204E" w:rsidP="00F8204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5FCAF21" w14:textId="77777777" w:rsidR="00F8204E" w:rsidRDefault="00F8204E" w:rsidP="00F8204E">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9D76679" w14:textId="77777777" w:rsidR="00F8204E" w:rsidRDefault="00F8204E" w:rsidP="00F8204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782EF7F" w14:textId="77777777" w:rsidR="00F8204E" w:rsidRDefault="00F8204E" w:rsidP="00F8204E">
      <w:pPr>
        <w:pStyle w:val="Prrafodelista"/>
        <w:tabs>
          <w:tab w:val="left" w:pos="142"/>
          <w:tab w:val="left" w:pos="284"/>
        </w:tabs>
        <w:spacing w:after="0" w:line="276" w:lineRule="auto"/>
        <w:ind w:left="0"/>
        <w:jc w:val="both"/>
        <w:rPr>
          <w:rFonts w:ascii="Verdana" w:eastAsia="Century Gothic" w:hAnsi="Verdana" w:cs="Century Gothic"/>
          <w:b/>
          <w:bCs/>
        </w:rPr>
      </w:pPr>
    </w:p>
    <w:p w14:paraId="652AB62C" w14:textId="3DE9C798" w:rsidR="00F8204E" w:rsidRDefault="00F8204E" w:rsidP="00F8204E">
      <w:pPr>
        <w:spacing w:after="0" w:line="276" w:lineRule="auto"/>
        <w:jc w:val="both"/>
        <w:rPr>
          <w:rFonts w:ascii="Verdana" w:eastAsia="Calibri" w:hAnsi="Verdana" w:cs="Arial"/>
          <w:lang w:eastAsia="es-ES"/>
        </w:rPr>
      </w:pPr>
      <w:r w:rsidRPr="152F85F5">
        <w:rPr>
          <w:rFonts w:ascii="Verdana" w:eastAsia="Calibri" w:hAnsi="Verdana" w:cs="Arial"/>
          <w:lang w:eastAsia="es-ES"/>
        </w:rPr>
        <w:t>De acuerdo con el contenido de su solicitud, esta Agencia resolverá el siguiente problema jurídico:</w:t>
      </w:r>
      <w:bookmarkStart w:id="3" w:name="_Hlk196737317"/>
      <w:r w:rsidRPr="152F85F5">
        <w:rPr>
          <w:rFonts w:ascii="Verdana" w:eastAsia="Calibri" w:hAnsi="Verdana" w:cs="Arial"/>
          <w:lang w:eastAsia="es-ES"/>
        </w:rPr>
        <w:t xml:space="preserve"> ¿Hasta cuándo debe</w:t>
      </w:r>
      <w:r w:rsidR="46DC365E" w:rsidRPr="152F85F5">
        <w:rPr>
          <w:rFonts w:ascii="Verdana" w:eastAsia="Calibri" w:hAnsi="Verdana" w:cs="Arial"/>
          <w:lang w:eastAsia="es-ES"/>
        </w:rPr>
        <w:t>n</w:t>
      </w:r>
      <w:r w:rsidRPr="152F85F5">
        <w:rPr>
          <w:rFonts w:ascii="Verdana" w:eastAsia="Calibri" w:hAnsi="Verdana" w:cs="Arial"/>
          <w:lang w:eastAsia="es-ES"/>
        </w:rPr>
        <w:t xml:space="preserve"> extenderse</w:t>
      </w:r>
      <w:r w:rsidR="2B7E238D" w:rsidRPr="152F85F5">
        <w:rPr>
          <w:rFonts w:ascii="Verdana" w:eastAsia="Calibri" w:hAnsi="Verdana" w:cs="Arial"/>
          <w:lang w:eastAsia="es-ES"/>
        </w:rPr>
        <w:t xml:space="preserve"> los amparos contenidos en</w:t>
      </w:r>
      <w:r w:rsidRPr="152F85F5">
        <w:rPr>
          <w:rFonts w:ascii="Verdana" w:eastAsia="Calibri" w:hAnsi="Verdana" w:cs="Arial"/>
          <w:lang w:eastAsia="es-ES"/>
        </w:rPr>
        <w:t xml:space="preserve"> la garantía</w:t>
      </w:r>
      <w:r w:rsidR="07540592" w:rsidRPr="152F85F5">
        <w:rPr>
          <w:rFonts w:ascii="Verdana" w:eastAsia="Calibri" w:hAnsi="Verdana" w:cs="Arial"/>
          <w:lang w:eastAsia="es-ES"/>
        </w:rPr>
        <w:t xml:space="preserve"> uncia de cumplimiento</w:t>
      </w:r>
      <w:r w:rsidRPr="152F85F5">
        <w:rPr>
          <w:rFonts w:ascii="Verdana" w:eastAsia="Calibri" w:hAnsi="Verdana" w:cs="Arial"/>
          <w:lang w:eastAsia="es-ES"/>
        </w:rPr>
        <w:t xml:space="preserve"> de un contrato que ya se encuentra terminado, pero aún no ha sido liquidado?</w:t>
      </w:r>
    </w:p>
    <w:p w14:paraId="329BAA6D" w14:textId="77777777" w:rsidR="00F8204E" w:rsidRPr="001773DA" w:rsidRDefault="00F8204E" w:rsidP="00F8204E">
      <w:pPr>
        <w:spacing w:after="0" w:line="276" w:lineRule="auto"/>
        <w:jc w:val="both"/>
        <w:rPr>
          <w:rFonts w:ascii="Verdana" w:eastAsia="Century Gothic" w:hAnsi="Verdana" w:cs="Century Gothic"/>
        </w:rPr>
      </w:pPr>
    </w:p>
    <w:bookmarkEnd w:id="3"/>
    <w:p w14:paraId="18E5D56B" w14:textId="77777777" w:rsidR="00F8204E" w:rsidRDefault="00F8204E" w:rsidP="00F820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43917BA" w14:textId="77777777" w:rsidR="00F8204E" w:rsidRPr="00593A5F" w:rsidRDefault="00F8204E" w:rsidP="00F8204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8204E" w:rsidRPr="00593A5F" w14:paraId="7C9C997A" w14:textId="77777777" w:rsidTr="152F85F5">
        <w:tc>
          <w:tcPr>
            <w:tcW w:w="8828" w:type="dxa"/>
          </w:tcPr>
          <w:p w14:paraId="5E72FE8F" w14:textId="7CFB1BE3" w:rsidR="00F8204E" w:rsidRPr="00E529C2" w:rsidRDefault="00F8204E" w:rsidP="00E57B21">
            <w:pPr>
              <w:spacing w:before="120" w:line="276" w:lineRule="auto"/>
              <w:jc w:val="both"/>
              <w:rPr>
                <w:rFonts w:ascii="Verdana" w:eastAsia="Calibri" w:hAnsi="Verdana" w:cs="Times New Roman"/>
                <w:lang w:val="es-ES"/>
              </w:rPr>
            </w:pPr>
            <w:r w:rsidRPr="152F85F5">
              <w:rPr>
                <w:rFonts w:ascii="Verdana" w:eastAsia="Calibri" w:hAnsi="Verdana" w:cs="Arial"/>
                <w:lang w:val="es-ES" w:eastAsia="es-ES"/>
              </w:rPr>
              <w:t xml:space="preserve">        </w:t>
            </w:r>
          </w:p>
        </w:tc>
      </w:tr>
      <w:tr w:rsidR="00F8204E" w:rsidRPr="00593A5F" w14:paraId="337F01CB" w14:textId="77777777" w:rsidTr="152F85F5">
        <w:tc>
          <w:tcPr>
            <w:tcW w:w="8828" w:type="dxa"/>
          </w:tcPr>
          <w:p w14:paraId="7B78936F" w14:textId="2EC81F0E" w:rsidR="00E57B21" w:rsidRPr="00E57B21" w:rsidRDefault="00425D4A" w:rsidP="00E57B21">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r w:rsidR="00E57B21" w:rsidRPr="00E57B21">
              <w:rPr>
                <w:rFonts w:ascii="Verdana" w:eastAsia="Calibri" w:hAnsi="Verdana" w:cs="Arial"/>
                <w:bCs/>
                <w:lang w:eastAsia="es-ES_tradnl"/>
              </w:rPr>
              <w:t xml:space="preserve">De manera preliminar, resulta pertinente indicar que el artículo 2.2.1.2.3.1.12 del Decreto 1082 de 2015 regula la suficiencia de la garantía única de cumplimiento, estableciendo que esta debe cubrir los diversos riesgos asociados a la contratación. Es fundamental aclarar que la vigencia y el valor amparado no son uniformes, sino que varían según la naturaleza de cada amparo contenido en la póliza. Así, mientras que el amparo de cumplimiento </w:t>
            </w:r>
            <w:r w:rsidR="00E57B21" w:rsidRPr="00E57B21">
              <w:rPr>
                <w:rFonts w:ascii="Verdana" w:eastAsia="Calibri" w:hAnsi="Verdana" w:cs="Arial"/>
                <w:bCs/>
                <w:lang w:eastAsia="es-ES_tradnl"/>
              </w:rPr>
              <w:lastRenderedPageBreak/>
              <w:t>debe extenderse, por regla general, hasta la liquidación del contrato o el agotamiento del plazo para ello, otros riesgos como el de salarios y prestaciones sociales deben cubrir el plazo de ejecución y tres años más, y el de calidad del servicio o de los bienes debe activarse a partir de la entrega para cubrir el término de garantía técnica pactado. En el caso de la Responsabilidad Civil Extracontractual (RCE), esta opera como un amparo autónomo cuya vigencia se sujeta al plazo de ejecución de las actividades riesgosas.</w:t>
            </w:r>
          </w:p>
          <w:p w14:paraId="5BBCF691" w14:textId="01AF51C7" w:rsidR="00E57B21" w:rsidRPr="00E57B21" w:rsidRDefault="00425D4A" w:rsidP="00E57B21">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r w:rsidR="00E57B21" w:rsidRPr="00E57B21">
              <w:rPr>
                <w:rFonts w:ascii="Verdana" w:eastAsia="Calibri" w:hAnsi="Verdana" w:cs="Arial"/>
                <w:bCs/>
                <w:lang w:eastAsia="es-ES_tradnl"/>
              </w:rPr>
              <w:t xml:space="preserve">Conforme a la normativa citada, la cobertura mínima del amparo de cumplimiento comprende no solo el período de ejecución contractual, sino también el plazo de vigencia del contrato, el cual se extiende hasta su liquidación. De acuerdo con el artículo 2.2.1.2.3.1.9 del Decreto 1082 de 2015, los amparos deben mantenerse vigentes para proteger el interés público. En palabras de la doctrina, el contratista debe otorgar la garantía con una vigencia igual al plazo del contrato garantizado más el plazo contractual o legal previsto para la liquidación. La liquidación constituye el procedimiento de corte de cuentas final y, por tanto, no es jurídicamente viable declarar </w:t>
            </w:r>
            <w:proofErr w:type="gramStart"/>
            <w:r w:rsidR="00E57B21" w:rsidRPr="00E57B21">
              <w:rPr>
                <w:rFonts w:ascii="Verdana" w:eastAsia="Calibri" w:hAnsi="Verdana" w:cs="Arial"/>
                <w:bCs/>
                <w:lang w:eastAsia="es-ES_tradnl"/>
              </w:rPr>
              <w:t>el paz</w:t>
            </w:r>
            <w:proofErr w:type="gramEnd"/>
            <w:r w:rsidR="00E57B21" w:rsidRPr="00E57B21">
              <w:rPr>
                <w:rFonts w:ascii="Verdana" w:eastAsia="Calibri" w:hAnsi="Verdana" w:cs="Arial"/>
                <w:bCs/>
                <w:lang w:eastAsia="es-ES_tradnl"/>
              </w:rPr>
              <w:t xml:space="preserve"> y salvo recíproco si existen obligaciones o riesgos pendientes de cobertura; de allí surge el deber de mantener la vigencia de la garantía hasta la firma del acta o la expedición del acto administrativo de liquidación.</w:t>
            </w:r>
          </w:p>
          <w:p w14:paraId="7B4C1295" w14:textId="4A8DDD93" w:rsidR="00E57B21" w:rsidRPr="00E57B21" w:rsidRDefault="00425D4A" w:rsidP="00E57B21">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r w:rsidR="00E57B21" w:rsidRPr="00E57B21">
              <w:rPr>
                <w:rFonts w:ascii="Verdana" w:eastAsia="Calibri" w:hAnsi="Verdana" w:cs="Arial"/>
                <w:bCs/>
                <w:lang w:eastAsia="es-ES_tradnl"/>
              </w:rPr>
              <w:t xml:space="preserve">En relación con la facultad sancionatoria, es imperativo precisar que la Entidad Estatal mantiene la competencia para declarar el incumplimiento y hacer efectiva la cláusula penal o las multas únicamente mientras el contrato se encuentre vigente y antes de que se produzca la liquidación. De acuerdo con el artículo 86 de la Ley 1474 de 2011 y la jurisprudencia del Consejo de Estado, una vez liquidado el contrato, la entidad pierde la potestad unilateral para imponer sanciones administrativas por hechos ocurridos durante la ejecución, lo que refuerza la necesidad de que los amparos de cumplimiento estén plenamente vigentes durante toda la etapa </w:t>
            </w:r>
            <w:proofErr w:type="spellStart"/>
            <w:r w:rsidR="00E57B21" w:rsidRPr="00E57B21">
              <w:rPr>
                <w:rFonts w:ascii="Verdana" w:eastAsia="Calibri" w:hAnsi="Verdana" w:cs="Arial"/>
                <w:bCs/>
                <w:lang w:eastAsia="es-ES_tradnl"/>
              </w:rPr>
              <w:t>post-contractual</w:t>
            </w:r>
            <w:proofErr w:type="spellEnd"/>
            <w:r w:rsidR="00E57B21" w:rsidRPr="00E57B21">
              <w:rPr>
                <w:rFonts w:ascii="Verdana" w:eastAsia="Calibri" w:hAnsi="Verdana" w:cs="Arial"/>
                <w:bCs/>
                <w:lang w:eastAsia="es-ES_tradnl"/>
              </w:rPr>
              <w:t xml:space="preserve"> previa a la liquidación, para que la administración pueda ejercer sus prerrogativas en caso de detectar irregularidades en el balance final.</w:t>
            </w:r>
          </w:p>
          <w:p w14:paraId="3071CC46" w14:textId="5032F5F0" w:rsidR="00E57B21" w:rsidRPr="00E57B21" w:rsidRDefault="00425D4A" w:rsidP="00E57B21">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r w:rsidR="00E57B21" w:rsidRPr="00E57B21">
              <w:rPr>
                <w:rFonts w:ascii="Verdana" w:eastAsia="Calibri" w:hAnsi="Verdana" w:cs="Arial"/>
                <w:bCs/>
                <w:lang w:eastAsia="es-ES_tradnl"/>
              </w:rPr>
              <w:t xml:space="preserve">Respecto a la extensión de las garantías, el artículo 2.2.1.2.3.1.18 del Decreto 1082 de 2015 señala que el contratista está obligado a ampliar el valor de la garantía ante adiciones y su vigencia ante prórrogas del plazo. No obstante, en la etapa de liquidación, la Entidad debe verificar que la suficiencia de los amparos de cumplimiento, buen manejo del anticipo y calidad sigan </w:t>
            </w:r>
            <w:r w:rsidR="00E57B21" w:rsidRPr="00E57B21">
              <w:rPr>
                <w:rFonts w:ascii="Verdana" w:eastAsia="Calibri" w:hAnsi="Verdana" w:cs="Arial"/>
                <w:bCs/>
                <w:lang w:eastAsia="es-ES_tradnl"/>
              </w:rPr>
              <w:lastRenderedPageBreak/>
              <w:t>siendo proporcionales a los saldos pendientes y riesgos remanentes. Si el plazo para liquidar el contrato ha vencido sin que se haya realizado dicho trámite (ya sea de mutuo acuerdo o unilateralmente), la entidad debe evaluar la vigencia de los amparos, pues la falta de liquidación oportuna no desaparece el riesgo, pero altera la exigibilidad de ciertas coberturas que dependen de la existencia de un vínculo contractual vigente.</w:t>
            </w:r>
          </w:p>
          <w:p w14:paraId="18B673DF" w14:textId="4D4685B4" w:rsidR="00E57B21" w:rsidRPr="00E57B21" w:rsidRDefault="00425D4A" w:rsidP="00E57B21">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r w:rsidR="00E57B21" w:rsidRPr="00E57B21">
              <w:rPr>
                <w:rFonts w:ascii="Verdana" w:eastAsia="Calibri" w:hAnsi="Verdana" w:cs="Arial"/>
                <w:bCs/>
                <w:lang w:eastAsia="es-ES_tradnl"/>
              </w:rPr>
              <w:t>Finalmente, debe advertirse que el análisis en torno a un proceso de contratación específico debe ser realizado por quienes tengan interés en ello. Las afirmaciones aquí realizadas no pueden ser interpretadas como juicios de valor sobre circunstancias concretas. Corresponde a cada entidad definir la forma de adelantar su gestión contractual y vigilar la vigencia de sus pólizas, sin que sea atribución de la Agencia Nacional de Contratación Pública – Colombia Compra Eficiente validar actuaciones particulares. Esta Agencia brinda elementos de carácter general para que los partícipes del sistema adopten decisiones conformes al principio de juridicidad, especialmente en lo relativo a la protección del patrimonio público mediante la correcta vigencia de las garantías.</w:t>
            </w:r>
          </w:p>
          <w:p w14:paraId="1EB8D2E3" w14:textId="77777777" w:rsidR="00F8204E" w:rsidRDefault="00F8204E" w:rsidP="00B40EB6">
            <w:pPr>
              <w:spacing w:after="120" w:line="276" w:lineRule="auto"/>
              <w:jc w:val="both"/>
              <w:rPr>
                <w:rFonts w:ascii="Verdana" w:eastAsia="Calibri" w:hAnsi="Verdana" w:cs="Arial"/>
                <w:bCs/>
                <w:lang w:eastAsia="es-ES_tradnl"/>
              </w:rPr>
            </w:pPr>
          </w:p>
        </w:tc>
      </w:tr>
    </w:tbl>
    <w:p w14:paraId="2A748C7C" w14:textId="77777777" w:rsidR="00F8204E" w:rsidRDefault="00F8204E" w:rsidP="00F8204E">
      <w:pPr>
        <w:tabs>
          <w:tab w:val="left" w:pos="142"/>
          <w:tab w:val="left" w:pos="284"/>
        </w:tabs>
        <w:spacing w:after="0" w:line="276" w:lineRule="auto"/>
        <w:jc w:val="both"/>
        <w:rPr>
          <w:rFonts w:ascii="Verdana" w:eastAsia="Century Gothic" w:hAnsi="Verdana" w:cs="Century Gothic"/>
          <w:b/>
          <w:bCs/>
          <w:lang w:val="es-ES"/>
        </w:rPr>
      </w:pPr>
    </w:p>
    <w:p w14:paraId="543E2C50" w14:textId="77777777" w:rsidR="00F8204E" w:rsidRPr="00593A5F" w:rsidRDefault="00F8204E" w:rsidP="00F820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036ECE6" w14:textId="77777777" w:rsidR="00F8204E" w:rsidRDefault="00F8204E" w:rsidP="00F8204E">
      <w:pPr>
        <w:spacing w:after="0" w:line="276" w:lineRule="auto"/>
        <w:ind w:firstLine="708"/>
        <w:jc w:val="both"/>
        <w:rPr>
          <w:rFonts w:ascii="Verdana" w:eastAsia="Calibri" w:hAnsi="Verdana" w:cs="Arial"/>
          <w:color w:val="000000" w:themeColor="text1"/>
        </w:rPr>
      </w:pPr>
    </w:p>
    <w:p w14:paraId="062B2CB8" w14:textId="77777777" w:rsidR="00F8204E" w:rsidRPr="00E87EA6" w:rsidRDefault="00F8204E" w:rsidP="00F8204E">
      <w:pPr>
        <w:spacing w:line="276" w:lineRule="auto"/>
        <w:jc w:val="both"/>
        <w:rPr>
          <w:rFonts w:ascii="Verdana" w:eastAsia="Calibri" w:hAnsi="Verdana" w:cs="Arial"/>
        </w:rPr>
      </w:pPr>
      <w:bookmarkStart w:id="4" w:name="_Hlk108519028"/>
      <w:r>
        <w:rPr>
          <w:rFonts w:ascii="Verdana" w:eastAsia="Calibri" w:hAnsi="Verdana" w:cs="Arial"/>
          <w:color w:val="000000" w:themeColor="text1"/>
        </w:rPr>
        <w:t xml:space="preserve">        </w:t>
      </w:r>
      <w:r>
        <w:rPr>
          <w:rFonts w:ascii="Verdana" w:eastAsia="Calibri" w:hAnsi="Verdana" w:cs="Arial"/>
          <w:bCs/>
          <w:lang w:eastAsia="es-MX"/>
        </w:rPr>
        <w:t xml:space="preserve"> </w:t>
      </w:r>
      <w:r w:rsidRPr="00E87EA6">
        <w:rPr>
          <w:rFonts w:ascii="Verdana" w:eastAsia="Calibri" w:hAnsi="Verdana" w:cs="Arial"/>
        </w:rPr>
        <w:t xml:space="preserve">Lo anterior se sustenta en las siguientes consideraciones: </w:t>
      </w:r>
    </w:p>
    <w:p w14:paraId="5934ACB0" w14:textId="1BEC4441" w:rsidR="00F8361C" w:rsidRPr="00E57B21" w:rsidRDefault="00F8361C" w:rsidP="00F8361C">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r w:rsidRPr="00E57B21">
        <w:rPr>
          <w:rFonts w:ascii="Verdana" w:eastAsia="Calibri" w:hAnsi="Verdana" w:cs="Arial"/>
          <w:bCs/>
          <w:lang w:eastAsia="es-ES_tradnl"/>
        </w:rPr>
        <w:t>De manera preliminar, resulta pertinente indicar que el artículo 2.2.1.2.3.1.12 del Decreto 1082 de 2015 regula la suficiencia de la garantía única de cumplimiento, estableciendo que esta debe cubrir los diversos riesgos asociados a la contratación. Es fundamental aclarar que la vigencia y el valor amparado no son uniformes, sino que varían según la naturaleza de cada amparo contenido en la póliza. Así, mientras que el amparo de cumplimiento debe extenderse, por regla general, hasta la liquidación del contrato o el agotamiento del plazo para ello, otros riesgos como el de salarios y prestaciones sociales deben cubrir el plazo de ejecución y tres años más, y el de calidad del servicio o de los bienes debe activarse a partir de la entrega para cubrir el término de garantía técnica pactado. En el caso de la Responsabilidad Civil Extracontractual (RCE), esta opera como un amparo autónomo cuya vigencia se sujeta al plazo de ejecución de las actividades riesgosas.</w:t>
      </w:r>
    </w:p>
    <w:p w14:paraId="6BED40F5" w14:textId="77777777" w:rsidR="00F8361C" w:rsidRDefault="00F8361C" w:rsidP="00F8204E">
      <w:pPr>
        <w:spacing w:before="120" w:after="0" w:line="276" w:lineRule="auto"/>
        <w:ind w:firstLine="708"/>
        <w:jc w:val="both"/>
        <w:rPr>
          <w:rFonts w:ascii="Verdana" w:eastAsia="Times New Roman" w:hAnsi="Verdana" w:cs="Arial"/>
          <w:lang w:eastAsia="es-CO"/>
        </w:rPr>
      </w:pPr>
    </w:p>
    <w:p w14:paraId="7FF87EE6" w14:textId="77777777" w:rsidR="00F8361C" w:rsidRDefault="00F8361C" w:rsidP="00F8204E">
      <w:pPr>
        <w:spacing w:before="120" w:after="0" w:line="276" w:lineRule="auto"/>
        <w:ind w:firstLine="708"/>
        <w:jc w:val="both"/>
        <w:rPr>
          <w:rFonts w:ascii="Verdana" w:eastAsia="Times New Roman" w:hAnsi="Verdana" w:cs="Arial"/>
          <w:lang w:eastAsia="es-CO"/>
        </w:rPr>
      </w:pPr>
    </w:p>
    <w:p w14:paraId="3D2F2908" w14:textId="75A4E012" w:rsidR="00F8361C" w:rsidRPr="00F8361C" w:rsidRDefault="00F8361C" w:rsidP="00F8361C">
      <w:pPr>
        <w:spacing w:before="120" w:after="0" w:line="276" w:lineRule="auto"/>
        <w:ind w:firstLine="708"/>
        <w:jc w:val="both"/>
        <w:rPr>
          <w:rFonts w:ascii="Verdana" w:eastAsia="Times New Roman" w:hAnsi="Verdana" w:cs="Arial"/>
          <w:lang w:eastAsia="es-CO"/>
        </w:rPr>
      </w:pPr>
      <w:r w:rsidRPr="00F8361C">
        <w:rPr>
          <w:rFonts w:ascii="Verdana" w:eastAsia="Times New Roman" w:hAnsi="Verdana" w:cs="Arial"/>
          <w:lang w:eastAsia="es-CO"/>
        </w:rPr>
        <w:t>Es preciso aclarar que el cumplimiento de los términos de suficiencia de la garantía no es una facultad discrecional de la entidad o del contratista, sino una obligación legal de estricto cumplimiento. El Decreto 1082 de 2015</w:t>
      </w:r>
      <w:r>
        <w:rPr>
          <w:rFonts w:ascii="Verdana" w:eastAsia="Times New Roman" w:hAnsi="Verdana" w:cs="Arial"/>
          <w:lang w:eastAsia="es-CO"/>
        </w:rPr>
        <w:t xml:space="preserve">, en su artículo </w:t>
      </w:r>
      <w:r w:rsidRPr="00F8361C">
        <w:rPr>
          <w:rFonts w:ascii="Verdana" w:eastAsia="Times New Roman" w:hAnsi="Verdana" w:cs="Arial"/>
          <w:lang w:eastAsia="es-CO"/>
        </w:rPr>
        <w:t>2.2.1.2.3.1.12</w:t>
      </w:r>
      <w:r>
        <w:rPr>
          <w:rFonts w:ascii="Verdana" w:eastAsia="Times New Roman" w:hAnsi="Verdana" w:cs="Arial"/>
          <w:lang w:eastAsia="es-CO"/>
        </w:rPr>
        <w:t>,</w:t>
      </w:r>
      <w:r w:rsidRPr="00F8361C">
        <w:rPr>
          <w:rFonts w:ascii="Verdana" w:eastAsia="Times New Roman" w:hAnsi="Verdana" w:cs="Arial"/>
          <w:lang w:eastAsia="es-CO"/>
        </w:rPr>
        <w:t xml:space="preserve"> establece parámetros mínimos que deben ser observados para asegurar la protección del patrimonio público.</w:t>
      </w:r>
    </w:p>
    <w:p w14:paraId="71565796" w14:textId="51350853" w:rsidR="00F8361C" w:rsidRPr="00F8361C" w:rsidRDefault="00F8361C" w:rsidP="00F8361C">
      <w:pPr>
        <w:spacing w:before="120" w:after="0" w:line="276" w:lineRule="auto"/>
        <w:ind w:left="709" w:right="1041" w:firstLine="708"/>
        <w:jc w:val="both"/>
        <w:rPr>
          <w:rFonts w:ascii="Verdana" w:eastAsia="Times New Roman" w:hAnsi="Verdana" w:cs="Arial"/>
          <w:sz w:val="20"/>
          <w:szCs w:val="20"/>
          <w:lang w:eastAsia="es-CO"/>
        </w:rPr>
      </w:pPr>
      <w:r w:rsidRPr="00F8361C">
        <w:rPr>
          <w:rFonts w:ascii="Verdana" w:eastAsia="Times New Roman" w:hAnsi="Verdana" w:cs="Arial"/>
          <w:b/>
          <w:bCs/>
          <w:sz w:val="20"/>
          <w:szCs w:val="20"/>
          <w:lang w:eastAsia="es-CO"/>
        </w:rPr>
        <w:t>Artículo 2.2.1.2.3.1.12.</w:t>
      </w:r>
      <w:r w:rsidRPr="00F8361C">
        <w:rPr>
          <w:rFonts w:ascii="Verdana" w:eastAsia="Times New Roman" w:hAnsi="Verdana" w:cs="Arial"/>
          <w:sz w:val="20"/>
          <w:szCs w:val="20"/>
          <w:lang w:eastAsia="es-CO"/>
        </w:rPr>
        <w:t xml:space="preserve"> Suficiencia de los amparos. La garantía única de cumplimiento debe cubrir los Riesgos en la cuantía y vigencia que se señala a continuación: [...] 1. Amparo de cumplimiento. El valor de este amparo debe ser de por lo menos el diez por ciento (10%) del valor del contrato, y su vigencia debe ser por lo menos igual a la del contrato y cuatro (4) meses más. En los contratos con un valor superior a un millón (1.000.000) de SMMLV, el valor del amparo de cumplimiento debe ser el diez por ciento (10%) del valor del contrato hasta un millón (1.000.000) de SMMLV, y el cinco por ciento (5%) del valor que exceda un millón (1.000.000) de SMMLV.</w:t>
      </w:r>
    </w:p>
    <w:p w14:paraId="415F3761" w14:textId="186B0DD4" w:rsidR="00F8204E" w:rsidRPr="00E87EA6" w:rsidRDefault="00F8204E" w:rsidP="00F8204E">
      <w:pPr>
        <w:spacing w:before="120" w:after="0" w:line="276" w:lineRule="auto"/>
        <w:ind w:firstLine="708"/>
        <w:jc w:val="both"/>
        <w:rPr>
          <w:rFonts w:ascii="Verdana" w:eastAsia="Calibri" w:hAnsi="Verdana" w:cs="Arial"/>
        </w:rPr>
      </w:pPr>
      <w:r w:rsidRPr="00E87EA6">
        <w:rPr>
          <w:rFonts w:ascii="Verdana" w:eastAsia="Calibri" w:hAnsi="Verdana" w:cs="Arial"/>
        </w:rPr>
        <w:t xml:space="preserve">Al respecto, la jurisprudencia define el </w:t>
      </w:r>
      <w:r w:rsidRPr="152F85F5">
        <w:rPr>
          <w:rFonts w:ascii="Verdana" w:eastAsia="Calibri" w:hAnsi="Verdana" w:cs="Arial"/>
          <w:i/>
          <w:iCs/>
        </w:rPr>
        <w:t>plazo de ejecución</w:t>
      </w:r>
      <w:r w:rsidRPr="00E87EA6">
        <w:rPr>
          <w:rFonts w:ascii="Verdana" w:eastAsia="Calibri" w:hAnsi="Verdana" w:cs="Arial"/>
        </w:rPr>
        <w:t xml:space="preserve"> como el establecido para la realización de las prestaciones contractuales y, de igual forma, considera que el </w:t>
      </w:r>
      <w:r w:rsidRPr="152F85F5">
        <w:rPr>
          <w:rFonts w:ascii="Verdana" w:eastAsia="Calibri" w:hAnsi="Verdana" w:cs="Arial"/>
          <w:i/>
          <w:iCs/>
        </w:rPr>
        <w:t>plazo de vigencia</w:t>
      </w:r>
      <w:r w:rsidRPr="00E87EA6">
        <w:rPr>
          <w:rFonts w:ascii="Verdana" w:eastAsia="Calibri" w:hAnsi="Verdana" w:cs="Arial"/>
        </w:rPr>
        <w:t xml:space="preserve"> de este no ha finalizado mientras subsista la obligación para las partes de liquidar el contrato</w:t>
      </w:r>
      <w:r w:rsidRPr="00E87EA6">
        <w:rPr>
          <w:rFonts w:ascii="Verdana" w:eastAsia="Calibri" w:hAnsi="Verdana" w:cs="Arial"/>
          <w:vertAlign w:val="superscript"/>
        </w:rPr>
        <w:footnoteReference w:id="1"/>
      </w:r>
      <w:r w:rsidRPr="00E87EA6">
        <w:rPr>
          <w:rFonts w:ascii="Verdana" w:eastAsia="Calibri" w:hAnsi="Verdana" w:cs="Arial"/>
        </w:rPr>
        <w:t>. Por ello, explica lo siguiente:</w:t>
      </w:r>
    </w:p>
    <w:p w14:paraId="7CDC6857" w14:textId="77777777" w:rsidR="00F8204E" w:rsidRPr="00E87EA6" w:rsidRDefault="00F8204E" w:rsidP="00F8204E">
      <w:pPr>
        <w:spacing w:after="0" w:line="276" w:lineRule="auto"/>
        <w:ind w:firstLine="708"/>
        <w:jc w:val="both"/>
        <w:rPr>
          <w:rFonts w:ascii="Verdana" w:eastAsia="Calibri" w:hAnsi="Verdana" w:cs="Arial"/>
        </w:rPr>
      </w:pPr>
    </w:p>
    <w:p w14:paraId="2E9BC539" w14:textId="77777777" w:rsidR="00F8204E" w:rsidRPr="00E87EA6" w:rsidRDefault="00F8204E" w:rsidP="00F8204E">
      <w:pPr>
        <w:spacing w:after="0" w:line="276" w:lineRule="auto"/>
        <w:ind w:left="709" w:right="709"/>
        <w:jc w:val="both"/>
        <w:rPr>
          <w:rFonts w:ascii="Verdana" w:eastAsia="Times New Roman" w:hAnsi="Verdana" w:cs="Arial"/>
          <w:sz w:val="20"/>
          <w:szCs w:val="20"/>
          <w:lang w:eastAsia="es-CO"/>
        </w:rPr>
      </w:pPr>
      <w:r w:rsidRPr="00E87EA6">
        <w:rPr>
          <w:rFonts w:ascii="Verdana" w:eastAsia="Times New Roman" w:hAnsi="Verdana" w:cs="Arial"/>
          <w:sz w:val="20"/>
          <w:szCs w:val="20"/>
          <w:lang w:eastAsia="es-CO"/>
        </w:rPr>
        <w:t>“[…]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obligaciones a cargo del contratista y es la que le pone término a la vinculación de las partes”</w:t>
      </w:r>
      <w:r w:rsidRPr="00E87EA6">
        <w:rPr>
          <w:rFonts w:ascii="Verdana" w:eastAsia="Times New Roman" w:hAnsi="Verdana" w:cs="Arial"/>
          <w:sz w:val="20"/>
          <w:szCs w:val="20"/>
          <w:vertAlign w:val="superscript"/>
          <w:lang w:eastAsia="es-CO"/>
        </w:rPr>
        <w:footnoteReference w:id="2"/>
      </w:r>
      <w:r w:rsidRPr="00E87EA6">
        <w:rPr>
          <w:rFonts w:ascii="Verdana" w:eastAsia="Times New Roman" w:hAnsi="Verdana" w:cs="Arial"/>
          <w:sz w:val="20"/>
          <w:szCs w:val="20"/>
          <w:lang w:eastAsia="es-CO"/>
        </w:rPr>
        <w:t>.</w:t>
      </w:r>
    </w:p>
    <w:p w14:paraId="28E9D9AD" w14:textId="77777777" w:rsidR="00F8204E" w:rsidRPr="00E87EA6" w:rsidRDefault="00F8204E" w:rsidP="00F8204E">
      <w:pPr>
        <w:spacing w:after="0" w:line="276" w:lineRule="auto"/>
        <w:jc w:val="both"/>
        <w:rPr>
          <w:rFonts w:ascii="Verdana" w:eastAsia="Times New Roman" w:hAnsi="Verdana" w:cs="Arial"/>
          <w:lang w:eastAsia="es-CO"/>
        </w:rPr>
      </w:pPr>
    </w:p>
    <w:p w14:paraId="2E507DA4" w14:textId="77777777" w:rsidR="00F8204E" w:rsidRPr="00E87EA6" w:rsidRDefault="00F8204E" w:rsidP="00F8204E">
      <w:pPr>
        <w:spacing w:after="0" w:line="276" w:lineRule="auto"/>
        <w:ind w:firstLine="709"/>
        <w:jc w:val="both"/>
        <w:rPr>
          <w:rFonts w:ascii="Verdana" w:eastAsia="Times New Roman" w:hAnsi="Verdana" w:cs="Arial"/>
          <w:lang w:eastAsia="es-CO"/>
        </w:rPr>
      </w:pPr>
      <w:r w:rsidRPr="00E87EA6">
        <w:rPr>
          <w:rFonts w:ascii="Verdana" w:eastAsia="Times New Roman" w:hAnsi="Verdana" w:cs="Arial"/>
          <w:lang w:eastAsia="es-CO"/>
        </w:rPr>
        <w:t xml:space="preserve">Así, la cobertura mínima del amparo de cumplimiento cubre el </w:t>
      </w:r>
      <w:r w:rsidRPr="00E87EA6">
        <w:rPr>
          <w:rFonts w:ascii="Verdana" w:eastAsia="Times New Roman" w:hAnsi="Verdana" w:cs="Arial"/>
          <w:i/>
          <w:iCs/>
          <w:lang w:eastAsia="es-CO"/>
        </w:rPr>
        <w:t>plazo de ejecución</w:t>
      </w:r>
      <w:r w:rsidRPr="00E87EA6">
        <w:rPr>
          <w:rFonts w:ascii="Verdana" w:eastAsia="Times New Roman" w:hAnsi="Verdana" w:cs="Arial"/>
          <w:lang w:eastAsia="es-CO"/>
        </w:rPr>
        <w:t xml:space="preserve"> y el </w:t>
      </w:r>
      <w:r w:rsidRPr="00E87EA6">
        <w:rPr>
          <w:rFonts w:ascii="Verdana" w:eastAsia="Times New Roman" w:hAnsi="Verdana" w:cs="Arial"/>
          <w:i/>
          <w:iCs/>
          <w:lang w:eastAsia="es-CO"/>
        </w:rPr>
        <w:t>plazo de vigencia</w:t>
      </w:r>
      <w:r w:rsidRPr="00E87EA6">
        <w:rPr>
          <w:rFonts w:ascii="Verdana" w:eastAsia="Times New Roman" w:hAnsi="Verdana" w:cs="Arial"/>
          <w:lang w:eastAsia="es-CO"/>
        </w:rPr>
        <w:t>,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r w:rsidRPr="00E87EA6">
        <w:rPr>
          <w:rFonts w:ascii="Verdana" w:eastAsia="Times New Roman" w:hAnsi="Verdana" w:cs="Arial"/>
          <w:vertAlign w:val="superscript"/>
          <w:lang w:eastAsia="es-CO"/>
        </w:rPr>
        <w:footnoteReference w:id="3"/>
      </w:r>
      <w:r w:rsidRPr="00E87EA6">
        <w:rPr>
          <w:rFonts w:ascii="Verdana" w:eastAsia="Times New Roman" w:hAnsi="Verdana" w:cs="Arial"/>
          <w:lang w:eastAsia="es-CO"/>
        </w:rPr>
        <w:t>. Teniendo en cuenta lo anterior, corresponde analizar los plazos para liquidar los contratos estatales, aspecto que se abordará en el siguiente apartado.</w:t>
      </w:r>
    </w:p>
    <w:p w14:paraId="60F0D478" w14:textId="77777777" w:rsidR="00F8204E" w:rsidRPr="00E87EA6" w:rsidRDefault="00F8204E" w:rsidP="00F8204E">
      <w:pPr>
        <w:spacing w:after="0" w:line="276" w:lineRule="auto"/>
        <w:ind w:firstLine="709"/>
        <w:jc w:val="both"/>
        <w:rPr>
          <w:rFonts w:ascii="Verdana" w:eastAsia="Times New Roman" w:hAnsi="Verdana" w:cs="Arial"/>
          <w:lang w:eastAsia="es-CO"/>
        </w:rPr>
      </w:pPr>
    </w:p>
    <w:p w14:paraId="1213DBE9" w14:textId="77777777" w:rsidR="00F8204E" w:rsidRPr="00E87EA6" w:rsidRDefault="00F8204E" w:rsidP="00F8204E">
      <w:pPr>
        <w:spacing w:after="0" w:line="276" w:lineRule="auto"/>
        <w:ind w:firstLine="708"/>
        <w:jc w:val="both"/>
        <w:rPr>
          <w:rFonts w:ascii="Verdana" w:eastAsia="Calibri" w:hAnsi="Verdana" w:cs="Arial"/>
          <w:lang w:val="es-ES"/>
        </w:rPr>
      </w:pPr>
      <w:r w:rsidRPr="00E87EA6">
        <w:rPr>
          <w:rFonts w:ascii="Verdana" w:eastAsia="Calibri" w:hAnsi="Verdana" w:cs="Arial"/>
          <w:lang w:val="es-ES"/>
        </w:rPr>
        <w:t xml:space="preserve">La liquidación del contrato estatal es el ajuste de cuentas en el cual se realiza un balance económico, técnico y jurídico </w:t>
      </w:r>
      <w:r w:rsidRPr="00E87EA6">
        <w:rPr>
          <w:rFonts w:ascii="Verdana" w:eastAsia="Calibri" w:hAnsi="Verdana" w:cs="Arial"/>
          <w:lang w:val="es-ES"/>
        </w:rPr>
        <w:tab/>
        <w:t xml:space="preserve">del negocio. Así lo manifestó el Consejo de Estado en la sentencia del 20 de octubre de 2014, en la que consideró, por un lado, que </w:t>
      </w:r>
      <w:r w:rsidRPr="00E87EA6">
        <w:rPr>
          <w:rFonts w:ascii="Verdana" w:eastAsia="Calibri" w:hAnsi="Verdana" w:cs="Arial"/>
          <w:i/>
          <w:lang w:val="es-ES"/>
        </w:rPr>
        <w:t>liquidar</w:t>
      </w:r>
      <w:r w:rsidRPr="00E87EA6">
        <w:rPr>
          <w:rFonts w:ascii="Verdana" w:eastAsia="Calibri" w:hAnsi="Verdana" w:cs="Arial"/>
          <w:lang w:val="es-ES"/>
        </w:rPr>
        <w:t xml:space="preserve"> supone un ajuste en relación con las cuentas y el estado de cumplimiento del contrato estatal y, por otro, que la </w:t>
      </w:r>
      <w:r w:rsidRPr="00E87EA6">
        <w:rPr>
          <w:rFonts w:ascii="Verdana" w:eastAsia="Calibri" w:hAnsi="Verdana" w:cs="Arial"/>
          <w:i/>
          <w:lang w:val="es-ES"/>
        </w:rPr>
        <w:t>liquidación</w:t>
      </w:r>
      <w:r w:rsidRPr="00E87EA6">
        <w:rPr>
          <w:rFonts w:ascii="Verdana" w:eastAsia="Calibri" w:hAnsi="Verdana" w:cs="Arial"/>
          <w:lang w:val="es-ES"/>
        </w:rPr>
        <w:t xml:space="preserve"> debe incluir el análisis de las condiciones de calidad y oportunidad en la entrega de los bienes, obras o servicios, así como el balance económico y el comportamiento financiero del negocio</w:t>
      </w:r>
      <w:r w:rsidRPr="00E87EA6">
        <w:rPr>
          <w:rFonts w:ascii="Verdana" w:eastAsia="Calibri" w:hAnsi="Verdana" w:cs="Arial"/>
          <w:vertAlign w:val="superscript"/>
          <w:lang w:val="es-ES"/>
        </w:rPr>
        <w:footnoteReference w:id="4"/>
      </w:r>
      <w:r w:rsidRPr="00E87EA6">
        <w:rPr>
          <w:rFonts w:ascii="Verdana" w:eastAsia="Calibri" w:hAnsi="Verdana" w:cs="Arial"/>
          <w:lang w:val="es-ES"/>
        </w:rPr>
        <w:t>. En tal sentido, explica:</w:t>
      </w:r>
    </w:p>
    <w:p w14:paraId="1EE824BB" w14:textId="77777777" w:rsidR="00F8204E" w:rsidRPr="00E87EA6" w:rsidRDefault="00F8204E" w:rsidP="00F8204E">
      <w:pPr>
        <w:spacing w:after="0" w:line="276" w:lineRule="auto"/>
        <w:ind w:firstLine="708"/>
        <w:jc w:val="both"/>
        <w:rPr>
          <w:rFonts w:ascii="Verdana" w:eastAsia="Calibri" w:hAnsi="Verdana" w:cs="Arial"/>
          <w:lang w:val="es-ES_tradnl"/>
        </w:rPr>
      </w:pPr>
    </w:p>
    <w:p w14:paraId="4AD5DE6B" w14:textId="77777777" w:rsidR="00F8204E" w:rsidRPr="00E87EA6" w:rsidRDefault="00F8204E" w:rsidP="00F8204E">
      <w:pPr>
        <w:spacing w:after="0" w:line="276" w:lineRule="auto"/>
        <w:ind w:left="709" w:right="709"/>
        <w:jc w:val="both"/>
        <w:rPr>
          <w:rFonts w:ascii="Verdana" w:eastAsia="Calibri" w:hAnsi="Verdana" w:cs="Arial"/>
          <w:sz w:val="20"/>
          <w:szCs w:val="20"/>
          <w:lang w:val="es-ES_tradnl"/>
        </w:rPr>
      </w:pPr>
      <w:r w:rsidRPr="00E87EA6">
        <w:rPr>
          <w:rFonts w:ascii="Verdana" w:eastAsia="Calibri" w:hAnsi="Verdana" w:cs="Arial"/>
          <w:sz w:val="20"/>
          <w:szCs w:val="20"/>
          <w:lang w:val="es-ES_tradnl"/>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Pr="00E87EA6">
        <w:rPr>
          <w:rFonts w:ascii="Verdana" w:eastAsia="Calibri" w:hAnsi="Verdana" w:cs="Arial"/>
          <w:sz w:val="20"/>
          <w:szCs w:val="20"/>
          <w:vertAlign w:val="superscript"/>
          <w:lang w:val="es-ES_tradnl"/>
        </w:rPr>
        <w:footnoteReference w:id="5"/>
      </w:r>
      <w:r w:rsidRPr="00E87EA6">
        <w:rPr>
          <w:rFonts w:ascii="Verdana" w:eastAsia="Calibri" w:hAnsi="Verdana" w:cs="Arial"/>
          <w:sz w:val="20"/>
          <w:szCs w:val="20"/>
          <w:lang w:val="es-ES_tradnl"/>
        </w:rPr>
        <w:t>.</w:t>
      </w:r>
    </w:p>
    <w:p w14:paraId="09C28977" w14:textId="77777777" w:rsidR="00F8204E" w:rsidRPr="00E87EA6" w:rsidRDefault="00F8204E" w:rsidP="00F8204E">
      <w:pPr>
        <w:spacing w:after="0" w:line="276" w:lineRule="auto"/>
        <w:ind w:left="709" w:right="709"/>
        <w:jc w:val="both"/>
        <w:rPr>
          <w:rFonts w:ascii="Verdana" w:eastAsia="Calibri" w:hAnsi="Verdana" w:cs="Arial"/>
          <w:lang w:val="es-ES_tradnl"/>
        </w:rPr>
      </w:pPr>
    </w:p>
    <w:p w14:paraId="5E435B5B" w14:textId="77777777" w:rsidR="002838AE" w:rsidRPr="002838AE" w:rsidRDefault="002838AE" w:rsidP="002838AE">
      <w:pPr>
        <w:spacing w:after="120" w:line="276" w:lineRule="auto"/>
        <w:ind w:right="-68" w:firstLine="708"/>
        <w:jc w:val="both"/>
        <w:rPr>
          <w:rFonts w:ascii="Verdana" w:eastAsia="Times New Roman" w:hAnsi="Verdana" w:cs="Arial"/>
          <w:lang w:val="es-ES" w:eastAsia="es-ES"/>
        </w:rPr>
      </w:pPr>
      <w:bookmarkStart w:id="5" w:name="_Hlk217937765"/>
      <w:r w:rsidRPr="002838AE">
        <w:rPr>
          <w:rFonts w:ascii="Verdana" w:eastAsia="Times New Roman" w:hAnsi="Verdana" w:cs="Arial"/>
          <w:lang w:val="es-ES" w:eastAsia="es-ES"/>
        </w:rPr>
        <w:t>Las disposiciones legales que regulan la etapa de liquidación de los contratos estatales son: el artículo 60 de la Ley 80 de 1993, modificado por el artículo 217 del Decreto 019 de 2012, y el artículo 11 de la Ley 1150 de 2007. El primero de estos artículos define el alcance sustantivo de la liquidación, estableciendo que los contratos de tracto sucesivo, aquellos cuya ejecución se prolongue en el tiempo y los demás que lo requieran, serán objeto de este trámite. Si bien la norma exceptúa de esta obligatoriedad a los contratos de prestación de servicios profesionales y de apoyo a la gestión, es imperativo considerar lo dispuesto en el inciso cuarto del artículo 60 de la Ley 80 de 1993.</w:t>
      </w:r>
    </w:p>
    <w:p w14:paraId="04BCF009" w14:textId="055E9BB0" w:rsidR="00F8361C" w:rsidRDefault="002838AE" w:rsidP="002838AE">
      <w:pPr>
        <w:spacing w:after="120" w:line="276" w:lineRule="auto"/>
        <w:ind w:right="-68" w:firstLine="708"/>
        <w:jc w:val="both"/>
        <w:rPr>
          <w:rFonts w:ascii="Verdana" w:eastAsia="Times New Roman" w:hAnsi="Verdana" w:cs="Arial"/>
          <w:lang w:val="es-ES" w:eastAsia="es-ES"/>
        </w:rPr>
      </w:pPr>
      <w:r w:rsidRPr="002838AE">
        <w:rPr>
          <w:rFonts w:ascii="Verdana" w:eastAsia="Times New Roman" w:hAnsi="Verdana" w:cs="Arial"/>
          <w:lang w:val="es-ES" w:eastAsia="es-ES"/>
        </w:rPr>
        <w:t xml:space="preserve">Dicha norma establece una obligación de carácter no facultativo respecto a la protección del interés público durante esta etapa: </w:t>
      </w:r>
      <w:r w:rsidRPr="002838AE">
        <w:rPr>
          <w:rFonts w:ascii="Verdana" w:eastAsia="Times New Roman" w:hAnsi="Verdana" w:cs="Arial"/>
          <w:i/>
          <w:iCs/>
          <w:lang w:val="es-ES" w:eastAsia="es-ES"/>
        </w:rPr>
        <w:t>"Para la liquidación se exigirá la extensión de la vigencia de las garantías de cumplimiento, de estabilidad y calidad de la obra, bienes y servicios, o de salarios y prestaciones sociales, según el caso, para respaldar las obligaciones que deba cumplir el contratista con posterioridad a la extinción del contrato"</w:t>
      </w:r>
      <w:r w:rsidRPr="002838AE">
        <w:rPr>
          <w:rFonts w:ascii="Verdana" w:eastAsia="Times New Roman" w:hAnsi="Verdana" w:cs="Arial"/>
          <w:lang w:val="es-ES" w:eastAsia="es-ES"/>
        </w:rPr>
        <w:t>.</w:t>
      </w:r>
    </w:p>
    <w:p w14:paraId="07203E80" w14:textId="086E3668" w:rsidR="00F8204E" w:rsidRPr="00E87EA6" w:rsidRDefault="00F8361C" w:rsidP="152F85F5">
      <w:pPr>
        <w:spacing w:after="120" w:line="276" w:lineRule="auto"/>
        <w:ind w:right="-68" w:firstLine="708"/>
        <w:jc w:val="both"/>
        <w:rPr>
          <w:rFonts w:ascii="Verdana" w:eastAsia="Times New Roman" w:hAnsi="Verdana" w:cs="Arial"/>
          <w:lang w:val="es-ES" w:eastAsia="es-ES"/>
        </w:rPr>
      </w:pPr>
      <w:r>
        <w:rPr>
          <w:rFonts w:ascii="Verdana" w:eastAsia="Times New Roman" w:hAnsi="Verdana" w:cs="Arial"/>
          <w:lang w:val="es-ES" w:eastAsia="es-ES"/>
        </w:rPr>
        <w:t>Por su parte e</w:t>
      </w:r>
      <w:r w:rsidR="00F8204E" w:rsidRPr="152F85F5">
        <w:rPr>
          <w:rFonts w:ascii="Verdana" w:eastAsia="Times New Roman" w:hAnsi="Verdana" w:cs="Arial"/>
          <w:lang w:val="es-ES" w:eastAsia="es-ES"/>
        </w:rPr>
        <w:t>l artículo 11 de la Ley 1150 de 2007</w:t>
      </w:r>
      <w:r w:rsidR="00F8204E" w:rsidRPr="152F85F5">
        <w:rPr>
          <w:rFonts w:ascii="Verdana" w:eastAsia="Times New Roman" w:hAnsi="Verdana" w:cs="Arial"/>
          <w:vertAlign w:val="superscript"/>
          <w:lang w:val="es-ES" w:eastAsia="es-ES"/>
        </w:rPr>
        <w:footnoteReference w:id="6"/>
      </w:r>
      <w:r w:rsidR="00F8204E" w:rsidRPr="152F85F5">
        <w:rPr>
          <w:rFonts w:ascii="Verdana" w:eastAsia="Times New Roman" w:hAnsi="Verdana" w:cs="Arial"/>
          <w:lang w:val="es-ES" w:eastAsia="es-ES"/>
        </w:rPr>
        <w:t xml:space="preserve"> contiene las reglas de tipo procedimental para liquidar los contratos estatales, que se pasan a explicar. </w:t>
      </w:r>
    </w:p>
    <w:bookmarkEnd w:id="5"/>
    <w:p w14:paraId="7B0A64AD" w14:textId="77777777" w:rsidR="00F8204E" w:rsidRPr="00E87EA6" w:rsidRDefault="00F8204E" w:rsidP="00F8204E">
      <w:pPr>
        <w:spacing w:after="120" w:line="276" w:lineRule="auto"/>
        <w:ind w:firstLine="709"/>
        <w:jc w:val="both"/>
        <w:rPr>
          <w:rFonts w:ascii="Verdana" w:eastAsia="Calibri" w:hAnsi="Verdana" w:cs="Arial"/>
          <w:lang w:val="es-ES"/>
        </w:rPr>
      </w:pPr>
      <w:r w:rsidRPr="00E87EA6">
        <w:rPr>
          <w:rFonts w:ascii="Verdana" w:eastAsia="Calibri" w:hAnsi="Verdana" w:cs="Arial"/>
          <w:lang w:val="es-ES"/>
        </w:rPr>
        <w:t xml:space="preserve">En primer lugar, en ejercicio de la autonomía de la voluntad y de conformidad con la naturaleza, el objeto y el plazo del contrato, la entidad estatal puede definir en el pliego de condiciones o el documento equivalente el plazo para efectuar la liquidación de mutuo acuerdo. Al respecto, el artículo 11 de la Ley 1150 de 2007 señala que la liquidación de mutuo acuerdo se deberá realizar dentro del plazo previsto en “los pliegos de condiciones o sus equivalentes, o </w:t>
      </w:r>
      <w:r w:rsidRPr="00E87EA6">
        <w:rPr>
          <w:rFonts w:ascii="Verdana" w:eastAsia="Calibri" w:hAnsi="Verdana" w:cs="Arial"/>
          <w:lang w:val="es-ES"/>
        </w:rPr>
        <w:lastRenderedPageBreak/>
        <w:t xml:space="preserve">dentro del que acuerden las partes para el efecto”. De otro lado, cuando el artículo 11 de la Ley 1150 de 2007 hace referencia al término que “acuerden las partes” para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w:t>
      </w:r>
    </w:p>
    <w:p w14:paraId="58C5392E" w14:textId="77777777" w:rsidR="00F8204E" w:rsidRPr="00E87EA6" w:rsidRDefault="00F8204E" w:rsidP="00F8204E">
      <w:pPr>
        <w:spacing w:after="0" w:line="276" w:lineRule="auto"/>
        <w:ind w:firstLine="709"/>
        <w:jc w:val="both"/>
        <w:rPr>
          <w:rFonts w:ascii="Verdana" w:eastAsia="Calibri" w:hAnsi="Verdana" w:cs="Arial"/>
          <w:lang w:val="es-ES"/>
        </w:rPr>
      </w:pPr>
      <w:r w:rsidRPr="00E87EA6">
        <w:rPr>
          <w:rFonts w:ascii="Verdana" w:eastAsia="Calibri" w:hAnsi="Verdana" w:cs="Arial"/>
          <w:lang w:val="es-ES"/>
        </w:rPr>
        <w:t xml:space="preserve">En segundo lugar, en ausencia de pacto, el artículo 11 de la Ley 1150 de 2007 dispone un término supletivo de cuatro (4) meses contados desde: i) el vencimiento del plazo previsto para la ejecución del contrato,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la expedición del acto administrativo que ordene la terminación del contrato o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xml:space="preserve">) la fecha del acuerdo que disponga la terminación del contrato.  Ahora bien, el término de cuatro (4) </w:t>
      </w:r>
      <w:proofErr w:type="gramStart"/>
      <w:r w:rsidRPr="00E87EA6">
        <w:rPr>
          <w:rFonts w:ascii="Verdana" w:eastAsia="Calibri" w:hAnsi="Verdana" w:cs="Arial"/>
          <w:lang w:val="es-ES"/>
        </w:rPr>
        <w:t>meses previsto</w:t>
      </w:r>
      <w:proofErr w:type="gramEnd"/>
      <w:r w:rsidRPr="00E87EA6">
        <w:rPr>
          <w:rFonts w:ascii="Verdana" w:eastAsia="Calibri" w:hAnsi="Verdana" w:cs="Arial"/>
          <w:lang w:val="es-ES"/>
        </w:rPr>
        <w:t xml:space="preserve"> en el artículo 11 de la Ley 1150 de 2007, dado su carácter supletivo, solo resulta aplicable ante la ausencia de regulación </w:t>
      </w:r>
      <w:proofErr w:type="gramStart"/>
      <w:r w:rsidRPr="00E87EA6">
        <w:rPr>
          <w:rFonts w:ascii="Verdana" w:eastAsia="Calibri" w:hAnsi="Verdana" w:cs="Arial"/>
          <w:lang w:val="es-ES"/>
        </w:rPr>
        <w:t>del mismo</w:t>
      </w:r>
      <w:proofErr w:type="gramEnd"/>
      <w:r w:rsidRPr="00E87EA6">
        <w:rPr>
          <w:rFonts w:ascii="Verdana" w:eastAsia="Calibri" w:hAnsi="Verdana" w:cs="Arial"/>
          <w:lang w:val="es-ES"/>
        </w:rPr>
        <w:t xml:space="preserve"> en el pliego de condiciones –documento equivalente– y ante la falta de acuerdo entre las partes en torno al plazo de liquidación bilateral. Durante este término el contratista puede solicitar que se adelante el trámite de liquidación. Sin embargo, es responsabilidad de la entidad estatal convocarlo para adelantar la liquidación de común acuerdo o notificarlo para que se presente a la liquidación</w:t>
      </w:r>
      <w:r w:rsidRPr="00E87EA6">
        <w:rPr>
          <w:rFonts w:ascii="Verdana" w:eastAsia="Calibri" w:hAnsi="Verdana" w:cs="Arial"/>
          <w:vertAlign w:val="superscript"/>
          <w:lang w:val="es-ES"/>
        </w:rPr>
        <w:footnoteReference w:id="7"/>
      </w:r>
      <w:r w:rsidRPr="00E87EA6">
        <w:rPr>
          <w:rFonts w:ascii="Verdana" w:eastAsia="Calibri" w:hAnsi="Verdana" w:cs="Arial"/>
          <w:lang w:val="es-ES"/>
        </w:rPr>
        <w:t>, de manera que el contrato pueda ser liquidado bilateralmente, bien sea en el plazo previsto en el pliego de condiciones, el acordado por las partes, o en los cuatro meses señalados en la Ley, según corresponda. Esta liquidación bilateral puede ser total o parcial</w:t>
      </w:r>
      <w:r w:rsidRPr="00E87EA6">
        <w:rPr>
          <w:rFonts w:ascii="Verdana" w:eastAsia="Calibri" w:hAnsi="Verdana" w:cs="Arial"/>
          <w:vertAlign w:val="superscript"/>
          <w:lang w:val="es-ES"/>
        </w:rPr>
        <w:footnoteReference w:id="8"/>
      </w:r>
      <w:r w:rsidRPr="00E87EA6">
        <w:rPr>
          <w:rFonts w:ascii="Verdana" w:eastAsia="Calibri" w:hAnsi="Verdana" w:cs="Arial"/>
          <w:lang w:val="es-ES"/>
        </w:rPr>
        <w:t>. Si no es posible efectuar la liquidación de manera bilateral en los términos anteriormente explicados, el ordenamiento jurídico prevé una habilitación competencial, de carácter subsidiario, para que la entidad estatal realice la liquidación unilateralmente. Sobre el punto, el Consejo de Estado ha señalado:</w:t>
      </w:r>
    </w:p>
    <w:p w14:paraId="212F8F20" w14:textId="77777777" w:rsidR="00F8204E" w:rsidRPr="00E87EA6" w:rsidRDefault="00F8204E" w:rsidP="00F8204E">
      <w:pPr>
        <w:spacing w:after="0" w:line="276" w:lineRule="auto"/>
        <w:ind w:left="709" w:right="760"/>
        <w:jc w:val="both"/>
        <w:rPr>
          <w:rFonts w:ascii="Verdana" w:eastAsia="Times New Roman" w:hAnsi="Verdana" w:cs="Arial"/>
          <w:lang w:val="es-ES_tradnl" w:eastAsia="es-ES"/>
        </w:rPr>
      </w:pPr>
    </w:p>
    <w:p w14:paraId="38928A4E" w14:textId="77777777" w:rsidR="00F8204E" w:rsidRPr="00E87EA6" w:rsidRDefault="00F8204E" w:rsidP="00F8204E">
      <w:pPr>
        <w:spacing w:after="0" w:line="276" w:lineRule="auto"/>
        <w:ind w:left="709" w:right="709"/>
        <w:jc w:val="both"/>
        <w:rPr>
          <w:rFonts w:ascii="Verdana" w:eastAsia="Times New Roman" w:hAnsi="Verdana" w:cs="Arial"/>
          <w:sz w:val="20"/>
          <w:szCs w:val="20"/>
          <w:lang w:val="es-ES_tradnl" w:eastAsia="es-ES"/>
        </w:rPr>
      </w:pPr>
      <w:r w:rsidRPr="00E87EA6">
        <w:rPr>
          <w:rFonts w:ascii="Verdana" w:eastAsia="Times New Roman" w:hAnsi="Verdana" w:cs="Arial"/>
          <w:sz w:val="20"/>
          <w:szCs w:val="20"/>
          <w:lang w:val="es-ES_tradnl" w:eastAsia="es-ES"/>
        </w:rPr>
        <w:t xml:space="preserve">“Al respecto se debe tener en cuenta que la liquidación unilateral es subsidiaria o supletoria frente a la bilateral, dado que el contratista tiene derecho a acordar la liquidación, debidamente reconocido por el </w:t>
      </w:r>
      <w:r w:rsidRPr="00E87EA6">
        <w:rPr>
          <w:rFonts w:ascii="Verdana" w:eastAsia="Times New Roman" w:hAnsi="Verdana" w:cs="Arial"/>
          <w:sz w:val="20"/>
          <w:szCs w:val="20"/>
          <w:lang w:val="es-ES_tradnl" w:eastAsia="es-ES"/>
        </w:rPr>
        <w:lastRenderedPageBreak/>
        <w:t>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E87EA6">
        <w:rPr>
          <w:rFonts w:ascii="Verdana" w:eastAsia="Times New Roman" w:hAnsi="Verdana" w:cs="Arial"/>
          <w:sz w:val="20"/>
          <w:szCs w:val="20"/>
          <w:vertAlign w:val="superscript"/>
          <w:lang w:val="es-ES_tradnl" w:eastAsia="es-ES"/>
        </w:rPr>
        <w:footnoteReference w:id="9"/>
      </w:r>
      <w:r w:rsidRPr="00E87EA6">
        <w:rPr>
          <w:rFonts w:ascii="Verdana" w:eastAsia="Times New Roman" w:hAnsi="Verdana" w:cs="Arial"/>
          <w:sz w:val="20"/>
          <w:szCs w:val="20"/>
          <w:lang w:val="es-ES_tradnl" w:eastAsia="es-ES"/>
        </w:rPr>
        <w:t xml:space="preserve">. </w:t>
      </w:r>
    </w:p>
    <w:p w14:paraId="68D09758" w14:textId="77777777" w:rsidR="00F8204E" w:rsidRPr="00E87EA6" w:rsidRDefault="00F8204E" w:rsidP="00F8204E">
      <w:pPr>
        <w:spacing w:after="0" w:line="276" w:lineRule="auto"/>
        <w:ind w:left="709" w:right="760"/>
        <w:jc w:val="both"/>
        <w:rPr>
          <w:rFonts w:ascii="Verdana" w:eastAsia="Times New Roman" w:hAnsi="Verdana" w:cs="Arial"/>
          <w:lang w:val="es-ES_tradnl" w:eastAsia="es-ES"/>
        </w:rPr>
      </w:pPr>
    </w:p>
    <w:p w14:paraId="254AEFF9" w14:textId="77777777" w:rsidR="00F8204E" w:rsidRPr="00E87EA6" w:rsidRDefault="00F8204E" w:rsidP="00F8204E">
      <w:pPr>
        <w:spacing w:after="0" w:line="276" w:lineRule="auto"/>
        <w:ind w:right="-68" w:firstLine="709"/>
        <w:jc w:val="both"/>
        <w:rPr>
          <w:rFonts w:ascii="Verdana" w:eastAsia="Times New Roman" w:hAnsi="Verdana" w:cs="Arial"/>
          <w:lang w:val="es-ES" w:eastAsia="es-ES"/>
        </w:rPr>
      </w:pPr>
      <w:r w:rsidRPr="00E87EA6">
        <w:rPr>
          <w:rFonts w:ascii="Verdana" w:eastAsia="Times New Roman" w:hAnsi="Verdana" w:cs="Arial"/>
          <w:lang w:val="es-ES" w:eastAsia="es-ES"/>
        </w:rPr>
        <w:t>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por la ley</w:t>
      </w:r>
      <w:r w:rsidRPr="00E87EA6">
        <w:rPr>
          <w:rFonts w:ascii="Verdana" w:eastAsia="Times New Roman" w:hAnsi="Verdana" w:cs="Arial"/>
          <w:vertAlign w:val="superscript"/>
          <w:lang w:val="es-ES" w:eastAsia="es-ES"/>
        </w:rPr>
        <w:footnoteReference w:id="10"/>
      </w:r>
      <w:r w:rsidRPr="00E87EA6">
        <w:rPr>
          <w:rFonts w:ascii="Verdana" w:eastAsia="Times New Roman" w:hAnsi="Verdana" w:cs="Arial"/>
          <w:lang w:val="es-ES" w:eastAsia="es-ES"/>
        </w:rPr>
        <w:t xml:space="preserve">. Finalmente, transcurridos estos dos (2) meses, sin que se haya efectuado, la liquidación podrá realizarse en cualquier tiempo dentro de los dos años siguientes al vencimiento del término referido. Durante estos dos años la liquidación podrá hacerse de mutuo acuerdo, unilateralmente por la entidad, o podrá ser solicitada judicialmente. En este sentido, en decisión de unificación, el Consejo de Estado dijo: </w:t>
      </w:r>
    </w:p>
    <w:p w14:paraId="46E4F79A" w14:textId="77777777" w:rsidR="00F8204E" w:rsidRPr="00E87EA6" w:rsidRDefault="00F8204E" w:rsidP="00F8204E">
      <w:pPr>
        <w:spacing w:after="0" w:line="276" w:lineRule="auto"/>
        <w:ind w:left="709" w:right="760"/>
        <w:jc w:val="both"/>
        <w:rPr>
          <w:rFonts w:ascii="Verdana" w:eastAsia="Times New Roman" w:hAnsi="Verdana" w:cs="Arial"/>
          <w:sz w:val="20"/>
          <w:szCs w:val="20"/>
          <w:lang w:val="es-ES_tradnl" w:eastAsia="es-ES"/>
        </w:rPr>
      </w:pPr>
    </w:p>
    <w:p w14:paraId="58FBA81C" w14:textId="77777777" w:rsidR="00F8204E" w:rsidRPr="00E87EA6" w:rsidRDefault="00F8204E" w:rsidP="00F8204E">
      <w:pPr>
        <w:spacing w:after="0" w:line="276" w:lineRule="auto"/>
        <w:ind w:left="709" w:right="709"/>
        <w:jc w:val="both"/>
        <w:rPr>
          <w:rFonts w:ascii="Verdana" w:eastAsia="Times New Roman" w:hAnsi="Verdana" w:cs="Arial"/>
          <w:sz w:val="20"/>
          <w:szCs w:val="20"/>
          <w:lang w:val="es-ES" w:eastAsia="es-ES"/>
        </w:rPr>
      </w:pPr>
      <w:r w:rsidRPr="00E87EA6">
        <w:rPr>
          <w:rFonts w:ascii="Verdana" w:eastAsia="Times New Roman" w:hAnsi="Verdana" w:cs="Arial"/>
          <w:sz w:val="20"/>
          <w:szCs w:val="20"/>
          <w:lang w:val="es-ES" w:eastAsia="es-ES"/>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E87EA6">
        <w:rPr>
          <w:rFonts w:ascii="Verdana" w:eastAsia="Times New Roman" w:hAnsi="Verdana" w:cs="Arial"/>
          <w:sz w:val="20"/>
          <w:szCs w:val="20"/>
          <w:lang w:val="es-ES" w:eastAsia="es-ES"/>
        </w:rPr>
        <w:t>liquidatorio</w:t>
      </w:r>
      <w:proofErr w:type="spellEnd"/>
      <w:r w:rsidRPr="00E87EA6">
        <w:rPr>
          <w:rFonts w:ascii="Verdana" w:eastAsia="Times New Roman" w:hAnsi="Verdana" w:cs="Arial"/>
          <w:sz w:val="20"/>
          <w:szCs w:val="20"/>
          <w:lang w:val="es-ES" w:eastAsia="es-ES"/>
        </w:rPr>
        <w:t xml:space="preserve"> se logre dentro del lapso de dos años contados a partir del vencimiento del término legalmente conocido para la liquidación unilateral, pues ese es el lapso que el ordenamiento ha fijado para el ejercicio oportuno de la acción”</w:t>
      </w:r>
      <w:r w:rsidRPr="00E87EA6">
        <w:rPr>
          <w:rFonts w:ascii="Verdana" w:eastAsia="Times New Roman" w:hAnsi="Verdana" w:cs="Arial"/>
          <w:sz w:val="20"/>
          <w:szCs w:val="20"/>
          <w:vertAlign w:val="superscript"/>
          <w:lang w:val="es-ES" w:eastAsia="es-ES"/>
        </w:rPr>
        <w:footnoteReference w:id="11"/>
      </w:r>
      <w:r w:rsidRPr="00E87EA6">
        <w:rPr>
          <w:rFonts w:ascii="Verdana" w:eastAsia="Times New Roman" w:hAnsi="Verdana" w:cs="Arial"/>
          <w:sz w:val="20"/>
          <w:szCs w:val="20"/>
          <w:lang w:val="es-ES" w:eastAsia="es-ES"/>
        </w:rPr>
        <w:t>.</w:t>
      </w:r>
    </w:p>
    <w:p w14:paraId="496D19DB" w14:textId="77777777" w:rsidR="00F8204E" w:rsidRPr="00E87EA6" w:rsidRDefault="00F8204E" w:rsidP="00F8204E">
      <w:pPr>
        <w:spacing w:after="0" w:line="276" w:lineRule="auto"/>
        <w:ind w:left="709" w:right="760"/>
        <w:jc w:val="both"/>
        <w:rPr>
          <w:rFonts w:ascii="Verdana" w:eastAsia="Times New Roman" w:hAnsi="Verdana" w:cs="Arial"/>
          <w:lang w:val="es-ES_tradnl" w:eastAsia="es-ES"/>
        </w:rPr>
      </w:pPr>
    </w:p>
    <w:p w14:paraId="7985BEAC" w14:textId="21F63EFE" w:rsidR="00F8204E" w:rsidRPr="00E87EA6" w:rsidRDefault="00F8204E" w:rsidP="00F8204E">
      <w:pPr>
        <w:spacing w:after="120" w:line="276" w:lineRule="auto"/>
        <w:jc w:val="both"/>
        <w:rPr>
          <w:rFonts w:ascii="Verdana" w:eastAsia="Calibri" w:hAnsi="Verdana" w:cs="Arial"/>
          <w:lang w:val="es-ES_tradnl"/>
        </w:rPr>
      </w:pPr>
      <w:r w:rsidRPr="00E87EA6">
        <w:rPr>
          <w:rFonts w:ascii="Verdana" w:eastAsia="Calibri" w:hAnsi="Verdana" w:cs="Arial"/>
          <w:lang w:val="es-ES_tradnl"/>
        </w:rPr>
        <w:lastRenderedPageBreak/>
        <w:tab/>
        <w:t>Así las cosas,</w:t>
      </w:r>
      <w:r w:rsidR="00F8361C">
        <w:rPr>
          <w:rFonts w:ascii="Verdana" w:eastAsia="Calibri" w:hAnsi="Verdana" w:cs="Arial"/>
          <w:lang w:val="es-ES_tradnl"/>
        </w:rPr>
        <w:t xml:space="preserve"> </w:t>
      </w:r>
      <w:r w:rsidRPr="00E87EA6">
        <w:rPr>
          <w:rFonts w:ascii="Verdana" w:eastAsia="Calibri" w:hAnsi="Verdana" w:cs="Arial"/>
          <w:lang w:val="es-ES_tradnl"/>
        </w:rPr>
        <w:t>es claro que el ordenamiento jurídico vigente permite la liquidación unilateral o bilateral, una vez vencido el plazo de dos meses para la liquidación unilateral de que trata el inciso segundo del artículo 11 de la Ley 1150 de 2007, siempre y cuando la liquidación se realice dentro del plazo de dos años “a partir del vencimiento del término legalmente conocido para la liquidación unilateral, pues este es el lapso que el ordenamiento ha fijado para el ejercicio oportuno de la acción”</w:t>
      </w:r>
      <w:r w:rsidRPr="00E87EA6">
        <w:rPr>
          <w:rFonts w:ascii="Verdana" w:eastAsia="Calibri" w:hAnsi="Verdana" w:cs="Arial"/>
          <w:vertAlign w:val="superscript"/>
          <w:lang w:val="es-ES_tradnl"/>
        </w:rPr>
        <w:footnoteReference w:id="12"/>
      </w:r>
      <w:r w:rsidRPr="00E87EA6">
        <w:rPr>
          <w:rFonts w:ascii="Verdana" w:eastAsia="Calibri" w:hAnsi="Verdana" w:cs="Arial"/>
          <w:lang w:val="es-ES_tradnl"/>
        </w:rPr>
        <w:t xml:space="preserve">. </w:t>
      </w:r>
    </w:p>
    <w:p w14:paraId="1AF0BDB4" w14:textId="77777777" w:rsidR="00F8204E" w:rsidRDefault="00F8204E" w:rsidP="00F8204E">
      <w:pPr>
        <w:spacing w:line="276" w:lineRule="auto"/>
        <w:ind w:firstLine="709"/>
        <w:jc w:val="both"/>
        <w:rPr>
          <w:rFonts w:ascii="Verdana" w:eastAsia="Calibri" w:hAnsi="Verdana" w:cs="Arial"/>
          <w:lang w:val="es-ES"/>
        </w:rPr>
      </w:pPr>
      <w:r w:rsidRPr="00E87EA6">
        <w:rPr>
          <w:rFonts w:ascii="Verdana" w:eastAsia="Calibri" w:hAnsi="Verdana" w:cs="Arial"/>
          <w:lang w:val="es-ES"/>
        </w:rPr>
        <w:t xml:space="preserve">En suma, de acuerdo con el artículo 11 de la Ley 1150 de 2007, existen tres (3) tipos de liquidación: i) bilateral,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unilateral y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 de conformidad con el citado auto de unificación jurisprudencial del Consejo de Estado.</w:t>
      </w:r>
      <w:bookmarkEnd w:id="4"/>
    </w:p>
    <w:p w14:paraId="20AA678D" w14:textId="77777777" w:rsidR="00F8204E" w:rsidRPr="004F7B86" w:rsidRDefault="00F8204E" w:rsidP="00F8204E">
      <w:pPr>
        <w:spacing w:line="276" w:lineRule="auto"/>
        <w:ind w:firstLine="709"/>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45358CD" w14:textId="77777777" w:rsidR="00F8204E" w:rsidRDefault="00F8204E" w:rsidP="00F8204E">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w:t>
      </w:r>
      <w:r w:rsidRPr="00DB4737">
        <w:rPr>
          <w:rFonts w:ascii="Verdana" w:eastAsia="Calibri" w:hAnsi="Verdana" w:cs="Times New Roman"/>
          <w:lang w:val="es-ES"/>
        </w:rPr>
        <w:lastRenderedPageBreak/>
        <w:t>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C827C60" w14:textId="77777777" w:rsidR="00F8204E" w:rsidRPr="008E2432" w:rsidRDefault="00F8204E" w:rsidP="00F8204E">
      <w:pPr>
        <w:spacing w:after="0" w:line="276" w:lineRule="auto"/>
        <w:ind w:firstLine="708"/>
        <w:jc w:val="both"/>
        <w:rPr>
          <w:rFonts w:ascii="Verdana" w:eastAsia="Calibri" w:hAnsi="Verdana" w:cs="Times New Roman"/>
          <w:lang w:val="es-ES"/>
        </w:rPr>
      </w:pPr>
    </w:p>
    <w:p w14:paraId="44EA48CA" w14:textId="77777777" w:rsidR="00F8204E" w:rsidRPr="0060676F" w:rsidRDefault="00F8204E" w:rsidP="00F8204E">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AF74605" w14:textId="77777777" w:rsidR="00F8204E" w:rsidRPr="00593A5F" w:rsidRDefault="00F8204E" w:rsidP="00F8204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8204E" w:rsidRPr="00593A5F" w14:paraId="69DC7A06" w14:textId="77777777" w:rsidTr="00B40EB6">
        <w:trPr>
          <w:trHeight w:val="870"/>
        </w:trPr>
        <w:tc>
          <w:tcPr>
            <w:tcW w:w="8647" w:type="dxa"/>
          </w:tcPr>
          <w:p w14:paraId="2B462973"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Ley 80 de 1993, artículo 60. Disponible en: </w:t>
            </w:r>
            <w:hyperlink r:id="rId13" w:history="1">
              <w:r w:rsidRPr="00E87EA6">
                <w:rPr>
                  <w:rFonts w:ascii="Verdana" w:eastAsia="Calibri" w:hAnsi="Verdana" w:cs="Arial"/>
                  <w:u w:val="single"/>
                </w:rPr>
                <w:t>https://relatoria.colombiacompra.gov.co/normativa/ley-80-de-1993/</w:t>
              </w:r>
            </w:hyperlink>
          </w:p>
          <w:p w14:paraId="3DB0EF87" w14:textId="77777777" w:rsidR="00F8204E" w:rsidRPr="00E87EA6" w:rsidRDefault="00F8204E" w:rsidP="00B40EB6">
            <w:pPr>
              <w:widowControl w:val="0"/>
              <w:autoSpaceDE w:val="0"/>
              <w:autoSpaceDN w:val="0"/>
              <w:spacing w:after="120"/>
              <w:ind w:left="720"/>
              <w:contextualSpacing/>
              <w:jc w:val="both"/>
              <w:rPr>
                <w:rFonts w:ascii="Verdana" w:eastAsia="Calibri" w:hAnsi="Verdana" w:cs="Arial"/>
              </w:rPr>
            </w:pPr>
          </w:p>
          <w:p w14:paraId="47E1E436"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Ley 1150 de 2007, artículo 11. Disponible en: </w:t>
            </w:r>
            <w:hyperlink r:id="rId14" w:history="1">
              <w:r w:rsidRPr="00E87EA6">
                <w:rPr>
                  <w:rFonts w:ascii="Verdana" w:eastAsia="Calibri" w:hAnsi="Verdana" w:cs="Arial"/>
                  <w:u w:val="single"/>
                </w:rPr>
                <w:t>https://relatoria.colombiacompra.gov.co/normativa/ley-1150-de-2007/</w:t>
              </w:r>
            </w:hyperlink>
          </w:p>
          <w:p w14:paraId="3FFCC11C"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Código de Comercio, artículo 1048. Disponible en: </w:t>
            </w:r>
            <w:hyperlink r:id="rId15" w:history="1">
              <w:r w:rsidRPr="00E87EA6">
                <w:rPr>
                  <w:rFonts w:ascii="Verdana" w:eastAsia="Calibri" w:hAnsi="Verdana" w:cs="Arial"/>
                  <w:u w:val="single"/>
                </w:rPr>
                <w:t>https://relatoria.colombiacompra.gov.co/normativa/codigo-de-comercio-decreto-410-de-1971/</w:t>
              </w:r>
            </w:hyperlink>
          </w:p>
          <w:p w14:paraId="5E8932AD" w14:textId="77777777" w:rsidR="00F8204E" w:rsidRPr="00E87EA6" w:rsidRDefault="00F8204E" w:rsidP="00B40EB6">
            <w:pPr>
              <w:widowControl w:val="0"/>
              <w:autoSpaceDE w:val="0"/>
              <w:autoSpaceDN w:val="0"/>
              <w:spacing w:after="120"/>
              <w:ind w:left="720"/>
              <w:contextualSpacing/>
              <w:jc w:val="both"/>
              <w:rPr>
                <w:rFonts w:ascii="Verdana" w:eastAsia="Calibri" w:hAnsi="Verdana" w:cs="Arial"/>
              </w:rPr>
            </w:pPr>
          </w:p>
          <w:p w14:paraId="5069F914"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Decreto</w:t>
            </w:r>
            <w:r w:rsidRPr="00E87EA6">
              <w:rPr>
                <w:rFonts w:ascii="Verdana" w:eastAsia="Calibri" w:hAnsi="Verdana" w:cs="Arial"/>
              </w:rPr>
              <w:tab/>
              <w:t>1082</w:t>
            </w:r>
            <w:r w:rsidRPr="00E87EA6">
              <w:rPr>
                <w:rFonts w:ascii="Verdana" w:eastAsia="Calibri" w:hAnsi="Verdana" w:cs="Arial"/>
              </w:rPr>
              <w:tab/>
              <w:t>de</w:t>
            </w:r>
            <w:r w:rsidRPr="00E87EA6">
              <w:rPr>
                <w:rFonts w:ascii="Verdana" w:eastAsia="Calibri" w:hAnsi="Verdana" w:cs="Arial"/>
              </w:rPr>
              <w:tab/>
              <w:t>2015,</w:t>
            </w:r>
            <w:r w:rsidRPr="00E87EA6">
              <w:rPr>
                <w:rFonts w:ascii="Verdana" w:eastAsia="Calibri" w:hAnsi="Verdana" w:cs="Arial"/>
              </w:rPr>
              <w:tab/>
              <w:t>artículos</w:t>
            </w:r>
            <w:r w:rsidRPr="00E87EA6">
              <w:rPr>
                <w:rFonts w:ascii="Verdana" w:eastAsia="Calibri" w:hAnsi="Verdana" w:cs="Arial"/>
              </w:rPr>
              <w:tab/>
              <w:t>2.2.1.2.3.1.3,</w:t>
            </w:r>
            <w:r w:rsidRPr="00E87EA6">
              <w:rPr>
                <w:rFonts w:ascii="Verdana" w:eastAsia="Calibri" w:hAnsi="Verdana" w:cs="Arial"/>
              </w:rPr>
              <w:tab/>
              <w:t xml:space="preserve">2.2.1.2.3.1.7, 2.2.1.2.3.1.12. Disponible en: </w:t>
            </w:r>
            <w:hyperlink r:id="rId16" w:history="1">
              <w:r w:rsidRPr="00E87EA6">
                <w:rPr>
                  <w:rFonts w:ascii="Verdana" w:eastAsia="Calibri" w:hAnsi="Verdana" w:cs="Arial"/>
                  <w:u w:val="single"/>
                </w:rPr>
                <w:t>https://relatoria.colombiacompra.gov.co/normativa/decreto-1082-de-2015/</w:t>
              </w:r>
            </w:hyperlink>
          </w:p>
          <w:p w14:paraId="0C855321" w14:textId="77777777" w:rsidR="00F8204E" w:rsidRPr="00E87EA6" w:rsidRDefault="00F8204E" w:rsidP="00B40EB6">
            <w:pPr>
              <w:widowControl w:val="0"/>
              <w:autoSpaceDE w:val="0"/>
              <w:autoSpaceDN w:val="0"/>
              <w:spacing w:after="120"/>
              <w:ind w:left="720"/>
              <w:contextualSpacing/>
              <w:jc w:val="both"/>
              <w:rPr>
                <w:rFonts w:ascii="Verdana" w:eastAsia="Calibri" w:hAnsi="Verdana" w:cs="Arial"/>
              </w:rPr>
            </w:pPr>
          </w:p>
          <w:p w14:paraId="71D2CAD0"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Subsección A. Sentencia del 12 de febrero de 2015. </w:t>
            </w:r>
            <w:proofErr w:type="spellStart"/>
            <w:r w:rsidRPr="00E87EA6">
              <w:rPr>
                <w:rFonts w:ascii="Verdana" w:eastAsia="Calibri" w:hAnsi="Verdana" w:cs="Arial"/>
              </w:rPr>
              <w:t>Exp</w:t>
            </w:r>
            <w:proofErr w:type="spellEnd"/>
            <w:r w:rsidRPr="00E87EA6">
              <w:rPr>
                <w:rFonts w:ascii="Verdana" w:eastAsia="Calibri" w:hAnsi="Verdana" w:cs="Arial"/>
              </w:rPr>
              <w:t xml:space="preserve">. 28278. C.P. Carlos Alberto Zambrano Barrera. Disponible: </w:t>
            </w:r>
            <w:hyperlink r:id="rId17" w:history="1">
              <w:r w:rsidRPr="00E87EA6">
                <w:rPr>
                  <w:rFonts w:ascii="Verdana" w:eastAsia="Calibri" w:hAnsi="Verdana" w:cs="Arial"/>
                  <w:u w:val="single"/>
                </w:rPr>
                <w:t>https://relatoria.colombiacompra.gov.co/providencias/25000-23-26-000-2003-00874-01_28278/</w:t>
              </w:r>
            </w:hyperlink>
          </w:p>
          <w:p w14:paraId="3EBB85BF" w14:textId="77777777" w:rsidR="00F8204E" w:rsidRPr="00E87EA6" w:rsidRDefault="00F8204E" w:rsidP="00B40EB6">
            <w:pPr>
              <w:widowControl w:val="0"/>
              <w:autoSpaceDE w:val="0"/>
              <w:autoSpaceDN w:val="0"/>
              <w:spacing w:after="120"/>
              <w:ind w:left="720"/>
              <w:contextualSpacing/>
              <w:jc w:val="both"/>
              <w:rPr>
                <w:rFonts w:ascii="Verdana" w:eastAsia="Calibri" w:hAnsi="Verdana" w:cs="Arial"/>
              </w:rPr>
            </w:pPr>
          </w:p>
          <w:p w14:paraId="3B06D7B7"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Sentencia del 29 de julio de 2015. </w:t>
            </w:r>
            <w:proofErr w:type="spellStart"/>
            <w:r w:rsidRPr="00E87EA6">
              <w:rPr>
                <w:rFonts w:ascii="Verdana" w:eastAsia="Calibri" w:hAnsi="Verdana" w:cs="Arial"/>
              </w:rPr>
              <w:t>Exp</w:t>
            </w:r>
            <w:proofErr w:type="spellEnd"/>
            <w:r w:rsidRPr="00E87EA6">
              <w:rPr>
                <w:rFonts w:ascii="Verdana" w:eastAsia="Calibri" w:hAnsi="Verdana" w:cs="Arial"/>
              </w:rPr>
              <w:t xml:space="preserve">. 42.494. C.P. Jaime Orlando Santofimio Gamboa. Disponible en: </w:t>
            </w:r>
            <w:hyperlink r:id="rId18" w:history="1">
              <w:r w:rsidRPr="00E87EA6">
                <w:rPr>
                  <w:rFonts w:ascii="Verdana" w:eastAsia="Calibri" w:hAnsi="Verdana" w:cs="Arial"/>
                  <w:u w:val="single"/>
                </w:rPr>
                <w:t>https://relatoria.colombiacompra.gov.co/providencias/25000-23-26-000-2007-00108-01_42494/</w:t>
              </w:r>
            </w:hyperlink>
          </w:p>
          <w:p w14:paraId="108E4D77" w14:textId="77777777" w:rsidR="00F8204E" w:rsidRPr="00E87EA6" w:rsidRDefault="00F8204E" w:rsidP="00B40EB6">
            <w:pPr>
              <w:widowControl w:val="0"/>
              <w:autoSpaceDE w:val="0"/>
              <w:autoSpaceDN w:val="0"/>
              <w:spacing w:after="120"/>
              <w:ind w:left="720"/>
              <w:contextualSpacing/>
              <w:jc w:val="both"/>
              <w:rPr>
                <w:rFonts w:ascii="Verdana" w:eastAsia="Calibri" w:hAnsi="Verdana" w:cs="Arial"/>
              </w:rPr>
            </w:pPr>
          </w:p>
          <w:p w14:paraId="3E3E9ABC"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CONSEJO DE ESTADO. Sección Tercera. Subsección C. Radicado No. 05001-23-31-000-1998-00038-01. Número Interno 27.777. M.P.</w:t>
            </w:r>
          </w:p>
          <w:p w14:paraId="02C2E33C" w14:textId="77777777" w:rsidR="00F8204E" w:rsidRPr="00E87EA6" w:rsidRDefault="00F8204E" w:rsidP="00B40EB6">
            <w:pPr>
              <w:widowControl w:val="0"/>
              <w:autoSpaceDE w:val="0"/>
              <w:autoSpaceDN w:val="0"/>
              <w:spacing w:after="120"/>
              <w:ind w:left="720"/>
              <w:contextualSpacing/>
              <w:jc w:val="both"/>
              <w:rPr>
                <w:rFonts w:ascii="Verdana" w:eastAsia="Calibri" w:hAnsi="Verdana" w:cs="Arial"/>
              </w:rPr>
            </w:pPr>
            <w:r w:rsidRPr="00E87EA6">
              <w:rPr>
                <w:rFonts w:ascii="Verdana" w:eastAsia="Calibri" w:hAnsi="Verdana" w:cs="Arial"/>
              </w:rPr>
              <w:t>Enrique Gil Botero</w:t>
            </w:r>
          </w:p>
          <w:p w14:paraId="09942C79" w14:textId="77777777" w:rsidR="00F8204E" w:rsidRPr="00E87EA6" w:rsidRDefault="00F8204E" w:rsidP="00B40EB6">
            <w:pPr>
              <w:widowControl w:val="0"/>
              <w:autoSpaceDE w:val="0"/>
              <w:autoSpaceDN w:val="0"/>
              <w:spacing w:after="120"/>
              <w:jc w:val="both"/>
              <w:rPr>
                <w:rFonts w:ascii="Verdana" w:eastAsia="Calibri" w:hAnsi="Verdana" w:cs="Arial"/>
              </w:rPr>
            </w:pPr>
          </w:p>
          <w:p w14:paraId="147ACFDD"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Sentencia del 13 de septiembre de 1999. </w:t>
            </w:r>
            <w:proofErr w:type="spellStart"/>
            <w:r w:rsidRPr="00E87EA6">
              <w:rPr>
                <w:rFonts w:ascii="Verdana" w:eastAsia="Calibri" w:hAnsi="Verdana" w:cs="Arial"/>
              </w:rPr>
              <w:t>Exp</w:t>
            </w:r>
            <w:proofErr w:type="spellEnd"/>
            <w:r w:rsidRPr="00E87EA6">
              <w:rPr>
                <w:rFonts w:ascii="Verdana" w:eastAsia="Calibri" w:hAnsi="Verdana" w:cs="Arial"/>
              </w:rPr>
              <w:t>. 10.264. C.P. Ricardo Hoyos Duque.</w:t>
            </w:r>
          </w:p>
          <w:p w14:paraId="46851AB5" w14:textId="77777777" w:rsidR="00F8204E" w:rsidRPr="00E87EA6" w:rsidRDefault="00F8204E" w:rsidP="00B40EB6">
            <w:pPr>
              <w:widowControl w:val="0"/>
              <w:autoSpaceDE w:val="0"/>
              <w:autoSpaceDN w:val="0"/>
              <w:spacing w:after="120"/>
              <w:ind w:left="720"/>
              <w:contextualSpacing/>
              <w:jc w:val="both"/>
              <w:rPr>
                <w:rFonts w:ascii="Verdana" w:eastAsia="Calibri" w:hAnsi="Verdana" w:cs="Arial"/>
              </w:rPr>
            </w:pPr>
          </w:p>
          <w:p w14:paraId="7B5E5CA4"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Sala de Consulta y Servicio Civil. Concepto de </w:t>
            </w:r>
            <w:r w:rsidRPr="00E87EA6">
              <w:rPr>
                <w:rFonts w:ascii="Verdana" w:eastAsia="Calibri" w:hAnsi="Verdana" w:cs="Arial"/>
              </w:rPr>
              <w:lastRenderedPageBreak/>
              <w:t>28 de junio de 2016. Radicación: 2253. C.P. Álvaro Namén Vargas</w:t>
            </w:r>
          </w:p>
          <w:p w14:paraId="6E1501A7" w14:textId="77777777" w:rsidR="00F8204E" w:rsidRPr="00E87EA6" w:rsidRDefault="00F8204E" w:rsidP="00B40EB6">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Sala Plena. Auto de 1 de agosto de 2019. </w:t>
            </w:r>
            <w:proofErr w:type="spellStart"/>
            <w:r w:rsidRPr="00E87EA6">
              <w:rPr>
                <w:rFonts w:ascii="Verdana" w:eastAsia="Calibri" w:hAnsi="Verdana" w:cs="Arial"/>
              </w:rPr>
              <w:t>Exp</w:t>
            </w:r>
            <w:proofErr w:type="spellEnd"/>
            <w:r w:rsidRPr="00E87EA6">
              <w:rPr>
                <w:rFonts w:ascii="Verdana" w:eastAsia="Calibri" w:hAnsi="Verdana" w:cs="Arial"/>
              </w:rPr>
              <w:t xml:space="preserve">. 62009. C.P. Jaime Enrique Rodríguez Navas. Disponible en: </w:t>
            </w:r>
            <w:hyperlink r:id="rId19" w:history="1">
              <w:r w:rsidRPr="00E87EA6">
                <w:rPr>
                  <w:rFonts w:ascii="Verdana" w:eastAsia="Calibri" w:hAnsi="Verdana" w:cs="Arial"/>
                  <w:u w:val="single"/>
                </w:rPr>
                <w:t>https://relatoria.colombiacompra.gov.co/providencias/2019_05001-23-33-000-2018-00342-01_62009/</w:t>
              </w:r>
            </w:hyperlink>
          </w:p>
          <w:p w14:paraId="36ED4A19" w14:textId="77777777" w:rsidR="00F8204E" w:rsidRPr="00E87EA6" w:rsidRDefault="00F8204E" w:rsidP="00B40EB6">
            <w:pPr>
              <w:widowControl w:val="0"/>
              <w:autoSpaceDE w:val="0"/>
              <w:autoSpaceDN w:val="0"/>
              <w:spacing w:after="120"/>
              <w:ind w:left="720"/>
              <w:contextualSpacing/>
              <w:jc w:val="both"/>
              <w:rPr>
                <w:rFonts w:ascii="Verdana" w:eastAsia="Calibri" w:hAnsi="Verdana" w:cs="Arial"/>
              </w:rPr>
            </w:pPr>
          </w:p>
          <w:p w14:paraId="4840603F" w14:textId="77777777" w:rsidR="00F8204E" w:rsidRPr="00E87EA6" w:rsidRDefault="00F8204E" w:rsidP="00B40EB6">
            <w:pPr>
              <w:widowControl w:val="0"/>
              <w:numPr>
                <w:ilvl w:val="0"/>
                <w:numId w:val="17"/>
              </w:numPr>
              <w:autoSpaceDE w:val="0"/>
              <w:autoSpaceDN w:val="0"/>
              <w:spacing w:after="120"/>
              <w:contextualSpacing/>
              <w:rPr>
                <w:rFonts w:ascii="Verdana" w:eastAsia="Calibri" w:hAnsi="Verdana" w:cs="Arial"/>
              </w:rPr>
            </w:pPr>
            <w:r w:rsidRPr="00E87EA6">
              <w:rPr>
                <w:rFonts w:ascii="Verdana" w:eastAsia="Calibri" w:hAnsi="Verdana" w:cs="Arial"/>
              </w:rPr>
              <w:t>COLOMBIA COMPRA EFICIENTE. Guía para la Liquidación de los Procesos</w:t>
            </w:r>
            <w:r w:rsidRPr="00E87EA6">
              <w:rPr>
                <w:rFonts w:ascii="Verdana" w:eastAsia="Calibri" w:hAnsi="Verdana" w:cs="Arial"/>
              </w:rPr>
              <w:tab/>
              <w:t>de</w:t>
            </w:r>
            <w:r w:rsidRPr="00E87EA6">
              <w:rPr>
                <w:rFonts w:ascii="Verdana" w:eastAsia="Calibri" w:hAnsi="Verdana" w:cs="Arial"/>
              </w:rPr>
              <w:tab/>
              <w:t>Contratación.</w:t>
            </w:r>
            <w:r w:rsidRPr="00E87EA6">
              <w:rPr>
                <w:rFonts w:ascii="Verdana" w:eastAsia="Calibri" w:hAnsi="Verdana" w:cs="Arial"/>
              </w:rPr>
              <w:tab/>
              <w:t>Disponible</w:t>
            </w:r>
            <w:r w:rsidRPr="00E87EA6">
              <w:rPr>
                <w:rFonts w:ascii="Verdana" w:eastAsia="Calibri" w:hAnsi="Verdana" w:cs="Arial"/>
              </w:rPr>
              <w:tab/>
              <w:t xml:space="preserve">en: </w:t>
            </w:r>
            <w:hyperlink r:id="rId20" w:history="1">
              <w:r w:rsidRPr="00E87EA6">
                <w:rPr>
                  <w:rFonts w:ascii="Verdana" w:eastAsia="Calibri" w:hAnsi="Verdana" w:cs="Arial"/>
                  <w:u w:val="single"/>
                </w:rPr>
                <w:t>https://www.colombiacompra.gov.co/sites/cce_public/files/cce_documents/cce_guia_liquidacion_procesos.pdf</w:t>
              </w:r>
            </w:hyperlink>
          </w:p>
          <w:p w14:paraId="68B92F72" w14:textId="77777777" w:rsidR="00F8204E" w:rsidRPr="00E87EA6" w:rsidRDefault="00F8204E" w:rsidP="00B40EB6">
            <w:pPr>
              <w:widowControl w:val="0"/>
              <w:autoSpaceDE w:val="0"/>
              <w:autoSpaceDN w:val="0"/>
              <w:spacing w:after="120"/>
              <w:ind w:left="720"/>
              <w:contextualSpacing/>
              <w:jc w:val="both"/>
              <w:rPr>
                <w:rFonts w:ascii="Verdana" w:eastAsia="Calibri" w:hAnsi="Verdana" w:cs="Arial"/>
              </w:rPr>
            </w:pPr>
          </w:p>
          <w:p w14:paraId="235E0B19" w14:textId="77777777" w:rsidR="00F8204E" w:rsidRPr="00332677" w:rsidRDefault="00F8204E" w:rsidP="00B40EB6">
            <w:pPr>
              <w:pStyle w:val="Prrafodelista"/>
              <w:widowControl w:val="0"/>
              <w:autoSpaceDE w:val="0"/>
              <w:autoSpaceDN w:val="0"/>
              <w:jc w:val="both"/>
              <w:rPr>
                <w:rFonts w:ascii="Verdana" w:hAnsi="Verdana" w:cs="Arial"/>
              </w:rPr>
            </w:pPr>
            <w:r w:rsidRPr="00E87EA6">
              <w:rPr>
                <w:rFonts w:ascii="Verdana" w:eastAsia="Calibri" w:hAnsi="Verdana" w:cs="Arial"/>
              </w:rPr>
              <w:t>PALACIO HINCAPIÉ, Juan Ángel. La contratación de las entidades estatales. Octava edición. Medellín: Librería Jurídica Sánchez R. SAS, 2020.</w:t>
            </w:r>
          </w:p>
        </w:tc>
      </w:tr>
    </w:tbl>
    <w:p w14:paraId="4A421E02" w14:textId="77777777" w:rsidR="00F8204E" w:rsidRDefault="00F8204E" w:rsidP="00F8204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58606CB" w14:textId="77777777" w:rsidR="00F8204E" w:rsidRDefault="00F8204E" w:rsidP="00F8204E">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1BF924E" w14:textId="77777777" w:rsidR="00F8204E" w:rsidRPr="00593A5F" w:rsidRDefault="00F8204E" w:rsidP="00F8204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D5C9E25" w14:textId="77777777" w:rsidR="00F8204E" w:rsidRPr="002A22D8" w:rsidRDefault="00F8204E" w:rsidP="00F8204E">
      <w:pPr>
        <w:widowControl w:val="0"/>
        <w:autoSpaceDE w:val="0"/>
        <w:autoSpaceDN w:val="0"/>
        <w:spacing w:after="0" w:line="276" w:lineRule="auto"/>
        <w:jc w:val="both"/>
        <w:rPr>
          <w:rFonts w:ascii="Verdana" w:hAnsi="Verdana" w:cs="Arial"/>
          <w:bCs/>
          <w:shd w:val="clear" w:color="auto" w:fill="FFFFFF"/>
        </w:rPr>
      </w:pPr>
      <w:r w:rsidRPr="00E87EA6">
        <w:rPr>
          <w:rFonts w:ascii="Verdana" w:eastAsia="Calibri" w:hAnsi="Verdana" w:cs="Arial"/>
          <w:lang w:val="es-ES_tradnl" w:eastAsia="es-ES_tradnl"/>
        </w:rPr>
        <w:t>La Agencia Nacional de Contratación Pública – Colombia Compra Eficiente se ha pronunciado s</w:t>
      </w:r>
      <w:r w:rsidRPr="00E87EA6">
        <w:rPr>
          <w:rFonts w:ascii="Verdana" w:eastAsia="Calibri" w:hAnsi="Verdana" w:cs="Arial"/>
          <w:shd w:val="clear" w:color="auto" w:fill="FFFFFF"/>
          <w:lang w:val="es-ES"/>
        </w:rPr>
        <w:t>obre las garantías en la contratación estatal en los conceptos 2201913000009075 del 9 de diciembre de 2019, C-080 del 8 de abril de 2021, C-525 del 24 de septiembre de 2021, C-584 del 26 de septiembre de 2022 y C-066 del 21 de abril de 2024, entre otros. También se ha pronunciado sobre la liquidación de los contratos estatales en los conceptos 4201912000004908 del 27 de septiembre de 2019, CU-028 de 25 de febrero de 2020, C-221 de 21 de abril de 2020, C-078 del 17 de marzo de 2021, C-220 del 18 de mayo de 2021, C-548 del 5 de octubre de 2021 y C-739 del 29 de noviembre de 2022, C-144 del 9 de julio de 2024 y C-129 del 29 de julio de 2024, C-335 del 26 de agosto de 2024</w:t>
      </w:r>
      <w:r w:rsidRPr="00E87EA6">
        <w:rPr>
          <w:rFonts w:ascii="Verdana" w:eastAsia="Calibri" w:hAnsi="Verdana" w:cs="Arial"/>
          <w:shd w:val="clear" w:color="auto" w:fill="FFFFFF"/>
          <w:lang w:val="es-ES_tradnl"/>
        </w:rPr>
        <w:t>,</w:t>
      </w:r>
      <w:r>
        <w:rPr>
          <w:rFonts w:ascii="Verdana" w:eastAsia="Calibri" w:hAnsi="Verdana" w:cs="Arial"/>
          <w:shd w:val="clear" w:color="auto" w:fill="FFFFFF"/>
          <w:lang w:val="es-ES_tradnl"/>
        </w:rPr>
        <w:t xml:space="preserve"> Concepto c-078 de 2025 y </w:t>
      </w:r>
      <w:r>
        <w:rPr>
          <w:rFonts w:ascii="Verdana" w:eastAsia="Calibri" w:hAnsi="Verdana" w:cs="Arial"/>
          <w:lang w:val="es-ES_tradnl" w:eastAsia="es-ES"/>
        </w:rPr>
        <w:t xml:space="preserve">C-330 del 24 de abril de 2025, </w:t>
      </w:r>
      <w:r w:rsidRPr="00E87EA6">
        <w:rPr>
          <w:rFonts w:ascii="Verdana" w:eastAsia="Calibri" w:hAnsi="Verdana" w:cs="Arial"/>
          <w:shd w:val="clear" w:color="auto" w:fill="FFFFFF"/>
          <w:lang w:val="es-ES"/>
        </w:rPr>
        <w:t>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52BA2D2" w14:textId="77777777" w:rsidR="00F8204E" w:rsidRPr="0065720B" w:rsidRDefault="00F8204E" w:rsidP="00F8204E">
      <w:pPr>
        <w:widowControl w:val="0"/>
        <w:autoSpaceDE w:val="0"/>
        <w:autoSpaceDN w:val="0"/>
        <w:spacing w:after="0" w:line="276" w:lineRule="auto"/>
        <w:jc w:val="both"/>
        <w:rPr>
          <w:rStyle w:val="normaltextrun"/>
          <w:rFonts w:ascii="Verdana" w:eastAsia="Calibri" w:hAnsi="Verdana" w:cs="Arial"/>
          <w:lang w:val="es-ES_tradnl" w:eastAsia="en-GB"/>
        </w:rPr>
      </w:pPr>
      <w:hyperlink r:id="rId21"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661220A9" w14:textId="77777777" w:rsidR="00F8204E" w:rsidRPr="00505CD6" w:rsidRDefault="00F8204E" w:rsidP="00F8204E">
      <w:pPr>
        <w:widowControl w:val="0"/>
        <w:autoSpaceDE w:val="0"/>
        <w:autoSpaceDN w:val="0"/>
        <w:spacing w:after="0" w:line="276" w:lineRule="auto"/>
        <w:jc w:val="both"/>
        <w:rPr>
          <w:rFonts w:ascii="Verdana" w:hAnsi="Verdana" w:cs="Arial"/>
          <w:color w:val="000000" w:themeColor="text1"/>
          <w:shd w:val="clear" w:color="auto" w:fill="FFFFFF"/>
        </w:rPr>
      </w:pPr>
    </w:p>
    <w:p w14:paraId="607BF372" w14:textId="77777777" w:rsidR="00F8204E" w:rsidRPr="00103B90" w:rsidRDefault="00F8204E" w:rsidP="00F8204E">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xml:space="preserve">. Esta guía es un instrumento clave para integrar buenas prácticas en la contratación estatal, promoviendo los </w:t>
      </w:r>
      <w:r w:rsidRPr="00505CD6">
        <w:rPr>
          <w:rFonts w:ascii="Verdana" w:hAnsi="Verdana" w:cs="Arial"/>
          <w:color w:val="000000" w:themeColor="text1"/>
          <w:shd w:val="clear" w:color="auto" w:fill="FFFFFF"/>
        </w:rPr>
        <w:lastRenderedPageBreak/>
        <w:t>Objetivos de Desarrollo Sostenible (ODS) a través de criterios y obligaciones ambientales y sociales en todas las etapas del proceso. Puede consultar la guía en el siguiente enlace: </w:t>
      </w:r>
      <w:hyperlink r:id="rId22"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0E374684" w14:textId="77777777" w:rsidR="00F8204E" w:rsidRPr="00103B90" w:rsidRDefault="00F8204E" w:rsidP="00F8204E">
      <w:pPr>
        <w:widowControl w:val="0"/>
        <w:autoSpaceDE w:val="0"/>
        <w:autoSpaceDN w:val="0"/>
        <w:spacing w:after="0" w:line="276" w:lineRule="auto"/>
        <w:jc w:val="both"/>
        <w:rPr>
          <w:rFonts w:ascii="Verdana" w:hAnsi="Verdana"/>
        </w:rPr>
      </w:pPr>
    </w:p>
    <w:p w14:paraId="7998F138" w14:textId="77777777" w:rsidR="00F8204E" w:rsidRPr="00505CD6" w:rsidRDefault="00F8204E" w:rsidP="00F8204E">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B6AE52E" w14:textId="77777777" w:rsidR="00F8204E" w:rsidRPr="00505CD6" w:rsidRDefault="00F8204E" w:rsidP="00F8204E">
      <w:pPr>
        <w:widowControl w:val="0"/>
        <w:autoSpaceDE w:val="0"/>
        <w:autoSpaceDN w:val="0"/>
        <w:spacing w:after="0" w:line="276" w:lineRule="auto"/>
        <w:jc w:val="both"/>
        <w:rPr>
          <w:rFonts w:ascii="Verdana" w:hAnsi="Verdana" w:cs="Arial"/>
        </w:rPr>
      </w:pPr>
    </w:p>
    <w:p w14:paraId="4EE70F05" w14:textId="77777777" w:rsidR="00F8204E" w:rsidRDefault="00F8204E" w:rsidP="00F8204E">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1380FA8" w14:textId="77777777" w:rsidR="00F8204E" w:rsidRDefault="00F8204E" w:rsidP="00F8204E">
      <w:pPr>
        <w:spacing w:line="276" w:lineRule="auto"/>
        <w:jc w:val="center"/>
        <w:rPr>
          <w:noProof/>
        </w:rPr>
      </w:pPr>
    </w:p>
    <w:p w14:paraId="2EBD5588" w14:textId="637324F7" w:rsidR="00F8204E" w:rsidRDefault="00F8204E" w:rsidP="00F8204E">
      <w:pPr>
        <w:spacing w:line="276" w:lineRule="auto"/>
        <w:jc w:val="center"/>
        <w:rPr>
          <w:noProof/>
        </w:rPr>
      </w:pPr>
    </w:p>
    <w:p w14:paraId="56E0D603" w14:textId="5E4159CC" w:rsidR="004B7BC9" w:rsidRDefault="004B7BC9" w:rsidP="00F8204E">
      <w:pPr>
        <w:spacing w:line="276" w:lineRule="auto"/>
        <w:jc w:val="center"/>
        <w:rPr>
          <w:noProof/>
        </w:rPr>
      </w:pPr>
      <w:r>
        <w:rPr>
          <w:noProof/>
        </w:rPr>
        <w:drawing>
          <wp:inline distT="0" distB="0" distL="0" distR="0" wp14:anchorId="422D44B5" wp14:editId="27230A4D">
            <wp:extent cx="3516630" cy="1509628"/>
            <wp:effectExtent l="0" t="0" r="7620" b="0"/>
            <wp:docPr id="89370391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22378" cy="1512095"/>
                    </a:xfrm>
                    <a:prstGeom prst="rect">
                      <a:avLst/>
                    </a:prstGeom>
                    <a:noFill/>
                    <a:ln>
                      <a:noFill/>
                    </a:ln>
                  </pic:spPr>
                </pic:pic>
              </a:graphicData>
            </a:graphic>
          </wp:inline>
        </w:drawing>
      </w:r>
    </w:p>
    <w:p w14:paraId="4008FCE8" w14:textId="77777777" w:rsidR="004B7BC9" w:rsidRDefault="004B7BC9" w:rsidP="00F8204E">
      <w:pPr>
        <w:spacing w:line="276" w:lineRule="auto"/>
        <w:jc w:val="center"/>
        <w:rPr>
          <w:noProof/>
        </w:rPr>
      </w:pPr>
    </w:p>
    <w:p w14:paraId="30871068" w14:textId="77777777" w:rsidR="00F8204E" w:rsidRDefault="00F8204E" w:rsidP="00F8204E">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8204E" w:rsidRPr="00593A5F" w14:paraId="131ACAFC" w14:textId="77777777" w:rsidTr="00B40EB6">
        <w:trPr>
          <w:trHeight w:val="315"/>
        </w:trPr>
        <w:tc>
          <w:tcPr>
            <w:tcW w:w="893" w:type="dxa"/>
            <w:vAlign w:val="center"/>
            <w:hideMark/>
          </w:tcPr>
          <w:p w14:paraId="488D42FE" w14:textId="77777777" w:rsidR="00F8204E" w:rsidRPr="003751C7" w:rsidRDefault="00F8204E" w:rsidP="00B40EB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E4FE29D" w14:textId="77777777" w:rsidR="00F8204E" w:rsidRPr="007911EE" w:rsidRDefault="00F8204E" w:rsidP="00B40EB6">
            <w:pPr>
              <w:contextualSpacing/>
              <w:rPr>
                <w:rFonts w:ascii="Verdana" w:hAnsi="Verdana"/>
                <w:sz w:val="16"/>
                <w:szCs w:val="16"/>
              </w:rPr>
            </w:pPr>
            <w:r>
              <w:rPr>
                <w:rFonts w:ascii="Verdana" w:hAnsi="Verdana"/>
                <w:sz w:val="16"/>
                <w:szCs w:val="16"/>
              </w:rPr>
              <w:t>Nicolas Andrés Guzman</w:t>
            </w:r>
          </w:p>
          <w:p w14:paraId="09B580CC" w14:textId="77777777" w:rsidR="00F8204E" w:rsidRPr="007911EE" w:rsidRDefault="00F8204E" w:rsidP="00B40EB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F8204E" w:rsidRPr="00593A5F" w14:paraId="69AB8AB9" w14:textId="77777777" w:rsidTr="00B40EB6">
        <w:trPr>
          <w:trHeight w:val="330"/>
        </w:trPr>
        <w:tc>
          <w:tcPr>
            <w:tcW w:w="893" w:type="dxa"/>
            <w:vAlign w:val="center"/>
            <w:hideMark/>
          </w:tcPr>
          <w:p w14:paraId="05E9D3DB" w14:textId="77777777" w:rsidR="00F8204E" w:rsidRPr="003751C7" w:rsidRDefault="00F8204E" w:rsidP="00B40EB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7135C6" w14:textId="77777777" w:rsidR="00F8204E" w:rsidRDefault="00F8204E" w:rsidP="00B40EB6">
            <w:pPr>
              <w:spacing w:line="276" w:lineRule="auto"/>
              <w:contextualSpacing/>
              <w:jc w:val="both"/>
              <w:rPr>
                <w:rFonts w:ascii="Verdana" w:hAnsi="Verdana"/>
                <w:sz w:val="16"/>
                <w:szCs w:val="16"/>
              </w:rPr>
            </w:pPr>
            <w:r w:rsidRPr="001773DA">
              <w:rPr>
                <w:rFonts w:ascii="Verdana" w:hAnsi="Verdana"/>
                <w:sz w:val="16"/>
                <w:szCs w:val="16"/>
              </w:rPr>
              <w:t>Juan Carlos González</w:t>
            </w:r>
          </w:p>
          <w:p w14:paraId="7028D620" w14:textId="77777777" w:rsidR="00F8204E" w:rsidRPr="007911EE" w:rsidRDefault="00F8204E" w:rsidP="00B40EB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F8204E" w:rsidRPr="00593A5F" w14:paraId="41304926" w14:textId="77777777" w:rsidTr="00B40EB6">
        <w:trPr>
          <w:trHeight w:val="330"/>
        </w:trPr>
        <w:tc>
          <w:tcPr>
            <w:tcW w:w="893" w:type="dxa"/>
            <w:vAlign w:val="center"/>
          </w:tcPr>
          <w:p w14:paraId="74F5DA35" w14:textId="77777777" w:rsidR="00F8204E" w:rsidRPr="003751C7" w:rsidRDefault="00F8204E" w:rsidP="00B40EB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C11EE3" w14:textId="77777777" w:rsidR="00F8204E" w:rsidRDefault="00F8204E" w:rsidP="00B40EB6">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9CAB938" w14:textId="77777777" w:rsidR="00F8204E" w:rsidRDefault="00F8204E" w:rsidP="00B40EB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0F293BF4" w14:textId="07BA2D9C" w:rsidR="00127233" w:rsidRPr="00F8204E" w:rsidRDefault="00127233" w:rsidP="00F8204E"/>
    <w:sectPr w:rsidR="00127233" w:rsidRPr="00F8204E"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E1D7F6" w14:textId="77777777" w:rsidR="00B260CC" w:rsidRDefault="00B260CC" w:rsidP="004A1847">
      <w:pPr>
        <w:spacing w:after="0" w:line="240" w:lineRule="auto"/>
      </w:pPr>
      <w:r>
        <w:separator/>
      </w:r>
    </w:p>
  </w:endnote>
  <w:endnote w:type="continuationSeparator" w:id="0">
    <w:p w14:paraId="3C3BF0E1" w14:textId="77777777" w:rsidR="00B260CC" w:rsidRDefault="00B260C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EDCEB" w14:textId="77777777" w:rsidR="00B260CC" w:rsidRDefault="00B260CC" w:rsidP="004A1847">
      <w:pPr>
        <w:spacing w:after="0" w:line="240" w:lineRule="auto"/>
      </w:pPr>
      <w:r>
        <w:separator/>
      </w:r>
    </w:p>
  </w:footnote>
  <w:footnote w:type="continuationSeparator" w:id="0">
    <w:p w14:paraId="50844020" w14:textId="77777777" w:rsidR="00B260CC" w:rsidRDefault="00B260CC" w:rsidP="004A1847">
      <w:pPr>
        <w:spacing w:after="0" w:line="240" w:lineRule="auto"/>
      </w:pPr>
      <w:r>
        <w:continuationSeparator/>
      </w:r>
    </w:p>
  </w:footnote>
  <w:footnote w:id="1">
    <w:p w14:paraId="2E171FC5" w14:textId="77777777" w:rsidR="00F8204E" w:rsidRPr="005A7BCE" w:rsidRDefault="00F8204E" w:rsidP="00F8204E">
      <w:pPr>
        <w:pStyle w:val="Textonotapie"/>
        <w:ind w:firstLine="709"/>
        <w:jc w:val="both"/>
        <w:rPr>
          <w:rFonts w:ascii="Verdana" w:hAnsi="Verdana" w:cs="Arial"/>
          <w:sz w:val="16"/>
          <w:szCs w:val="16"/>
        </w:rPr>
      </w:pPr>
      <w:r w:rsidRPr="005A7BCE">
        <w:rPr>
          <w:rStyle w:val="Refdenotaalpie"/>
          <w:rFonts w:ascii="Verdana" w:hAnsi="Verdana" w:cs="Arial"/>
          <w:sz w:val="16"/>
          <w:szCs w:val="16"/>
        </w:rPr>
        <w:footnoteRef/>
      </w:r>
      <w:r w:rsidRPr="005A7BCE">
        <w:rPr>
          <w:rFonts w:ascii="Verdana" w:hAnsi="Verdana" w:cs="Arial"/>
          <w:sz w:val="16"/>
          <w:szCs w:val="16"/>
        </w:rPr>
        <w:t xml:space="preserve"> CONSEJO DE ESTADO. Sección Tercera. Sentencia del 29 de julio de 2015. Exp. 42.494. C.P. Jaime Orlando Santofimio Gamboa.</w:t>
      </w:r>
    </w:p>
  </w:footnote>
  <w:footnote w:id="2">
    <w:p w14:paraId="482AA6D3" w14:textId="77777777" w:rsidR="00F8204E" w:rsidRPr="007148BA" w:rsidRDefault="00F8204E" w:rsidP="00F8204E">
      <w:pPr>
        <w:pStyle w:val="Textonotapie"/>
        <w:ind w:firstLine="708"/>
        <w:jc w:val="both"/>
        <w:rPr>
          <w:rFonts w:ascii="Verdana" w:hAnsi="Verdana" w:cs="Arial"/>
          <w:sz w:val="16"/>
          <w:szCs w:val="16"/>
        </w:rPr>
      </w:pPr>
      <w:r w:rsidRPr="007148BA">
        <w:rPr>
          <w:rStyle w:val="Refdenotaalpie"/>
          <w:rFonts w:ascii="Verdana" w:hAnsi="Verdana" w:cs="Arial"/>
          <w:sz w:val="16"/>
          <w:szCs w:val="16"/>
        </w:rPr>
        <w:footnoteRef/>
      </w:r>
      <w:r w:rsidRPr="007148BA">
        <w:rPr>
          <w:rFonts w:ascii="Verdana" w:hAnsi="Verdana" w:cs="Arial"/>
          <w:sz w:val="16"/>
          <w:szCs w:val="16"/>
        </w:rPr>
        <w:t xml:space="preserve"> CONSEJO DE ESTADO. Sección Tercera. Sentencia del 13 de septiembre de 1999. Exp. 10.264. C.P. Ricardo Hoyos Duque.</w:t>
      </w:r>
    </w:p>
  </w:footnote>
  <w:footnote w:id="3">
    <w:p w14:paraId="274ED9D3" w14:textId="77777777" w:rsidR="00F8204E" w:rsidRPr="007148BA" w:rsidRDefault="00F8204E" w:rsidP="00F8204E">
      <w:pPr>
        <w:pStyle w:val="Textonotapie"/>
        <w:ind w:firstLine="708"/>
        <w:jc w:val="both"/>
        <w:rPr>
          <w:rFonts w:ascii="Verdana" w:hAnsi="Verdana" w:cs="Arial"/>
          <w:sz w:val="16"/>
          <w:szCs w:val="16"/>
          <w:lang w:val="es-ES"/>
        </w:rPr>
      </w:pPr>
      <w:r w:rsidRPr="007148BA">
        <w:rPr>
          <w:rStyle w:val="Refdenotaalpie"/>
          <w:rFonts w:ascii="Verdana" w:hAnsi="Verdana" w:cs="Arial"/>
          <w:sz w:val="16"/>
          <w:szCs w:val="16"/>
        </w:rPr>
        <w:footnoteRef/>
      </w:r>
      <w:r w:rsidRPr="007148BA">
        <w:rPr>
          <w:rFonts w:ascii="Verdana" w:hAnsi="Verdana" w:cs="Arial"/>
          <w:sz w:val="16"/>
          <w:szCs w:val="16"/>
        </w:rPr>
        <w:t xml:space="preserve"> PALACIO HINCAPIÉ, Juan Ángel. La contratación de las entidades estatales. Octava edición. Medellín: Librería Jurídica Sánchez R. SAS, 2020. p. 659.</w:t>
      </w:r>
    </w:p>
  </w:footnote>
  <w:footnote w:id="4">
    <w:p w14:paraId="17074015" w14:textId="77777777" w:rsidR="00F8204E" w:rsidRPr="007148BA" w:rsidRDefault="00F8204E" w:rsidP="00F8204E">
      <w:pPr>
        <w:spacing w:after="0" w:line="240" w:lineRule="auto"/>
        <w:ind w:firstLine="709"/>
        <w:jc w:val="both"/>
        <w:rPr>
          <w:rFonts w:ascii="Verdana" w:hAnsi="Verdana" w:cs="Arial"/>
          <w:color w:val="000000"/>
          <w:sz w:val="16"/>
          <w:szCs w:val="16"/>
        </w:rPr>
      </w:pPr>
      <w:r w:rsidRPr="007148BA">
        <w:rPr>
          <w:rStyle w:val="Refdenotaalpie"/>
          <w:rFonts w:ascii="Verdana" w:hAnsi="Verdana" w:cs="Arial"/>
          <w:color w:val="000000"/>
          <w:sz w:val="16"/>
          <w:szCs w:val="16"/>
        </w:rPr>
        <w:footnoteRef/>
      </w:r>
      <w:r w:rsidRPr="007148BA">
        <w:rPr>
          <w:rFonts w:ascii="Verdana" w:hAnsi="Verdana" w:cs="Arial"/>
          <w:color w:val="000000"/>
          <w:sz w:val="16"/>
          <w:szCs w:val="16"/>
        </w:rPr>
        <w:t xml:space="preserve"> Consejo de Estado. Sección Tercera. Subsección C. Radicado No. 05001-23-31-000-1998-00038-01. Número Interno 27.777. M.P. Enrique Gil Botero.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5">
    <w:p w14:paraId="0C322399" w14:textId="77777777" w:rsidR="00F8204E" w:rsidRPr="00E87EA6" w:rsidRDefault="00F8204E" w:rsidP="00F8204E">
      <w:pPr>
        <w:pStyle w:val="Textonotapie"/>
        <w:ind w:firstLine="709"/>
        <w:jc w:val="both"/>
        <w:rPr>
          <w:rFonts w:ascii="Verdana" w:hAnsi="Verdana" w:cs="Arial"/>
          <w:color w:val="000000"/>
          <w:sz w:val="16"/>
          <w:szCs w:val="16"/>
        </w:rPr>
      </w:pPr>
      <w:r w:rsidRPr="00E87EA6">
        <w:rPr>
          <w:rStyle w:val="Refdenotaalpie"/>
          <w:rFonts w:ascii="Verdana" w:hAnsi="Verdana" w:cs="Arial"/>
          <w:color w:val="000000"/>
          <w:sz w:val="16"/>
          <w:szCs w:val="16"/>
        </w:rPr>
        <w:footnoteRef/>
      </w:r>
      <w:r w:rsidRPr="00E87EA6">
        <w:rPr>
          <w:rFonts w:ascii="Verdana" w:hAnsi="Verdana" w:cs="Arial"/>
          <w:color w:val="000000"/>
          <w:sz w:val="16"/>
          <w:szCs w:val="16"/>
        </w:rPr>
        <w:t xml:space="preserve"> </w:t>
      </w:r>
      <w:r w:rsidRPr="00E87EA6">
        <w:rPr>
          <w:rFonts w:ascii="Verdana" w:hAnsi="Verdana" w:cs="Arial"/>
          <w:i/>
          <w:iCs/>
          <w:color w:val="000000"/>
          <w:sz w:val="16"/>
          <w:szCs w:val="16"/>
        </w:rPr>
        <w:t>Ibidem</w:t>
      </w:r>
      <w:r w:rsidRPr="00E87EA6">
        <w:rPr>
          <w:rFonts w:ascii="Verdana" w:hAnsi="Verdana" w:cs="Arial"/>
          <w:color w:val="000000"/>
          <w:sz w:val="16"/>
          <w:szCs w:val="16"/>
        </w:rPr>
        <w:t>.</w:t>
      </w:r>
    </w:p>
  </w:footnote>
  <w:footnote w:id="6">
    <w:p w14:paraId="7A8C605F" w14:textId="77777777" w:rsidR="00F8204E" w:rsidRPr="00E87EA6" w:rsidRDefault="00F8204E" w:rsidP="00F8204E">
      <w:pPr>
        <w:pStyle w:val="Textonotapie"/>
        <w:ind w:firstLine="709"/>
        <w:jc w:val="both"/>
        <w:rPr>
          <w:rFonts w:ascii="Verdana" w:hAnsi="Verdana" w:cs="Arial"/>
          <w:color w:val="000000"/>
          <w:sz w:val="16"/>
          <w:szCs w:val="16"/>
          <w:lang w:val="es-ES"/>
        </w:rPr>
      </w:pPr>
      <w:r w:rsidRPr="00E87EA6">
        <w:rPr>
          <w:rStyle w:val="Refdenotaalpie"/>
          <w:rFonts w:ascii="Verdana" w:hAnsi="Verdana" w:cs="Arial"/>
          <w:color w:val="000000"/>
          <w:sz w:val="16"/>
          <w:szCs w:val="16"/>
        </w:rPr>
        <w:footnoteRef/>
      </w:r>
      <w:r w:rsidRPr="00E87EA6">
        <w:rPr>
          <w:rFonts w:ascii="Verdana" w:hAnsi="Verdana" w:cs="Arial"/>
          <w:color w:val="000000"/>
          <w:sz w:val="16"/>
          <w:szCs w:val="16"/>
        </w:rPr>
        <w:t xml:space="preserve"> </w:t>
      </w:r>
      <w:r w:rsidRPr="00E87EA6">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765A1AC3" w14:textId="77777777" w:rsidR="00F8204E" w:rsidRPr="00E87EA6" w:rsidRDefault="00F8204E" w:rsidP="00F8204E">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79C1AD96" w14:textId="77777777" w:rsidR="00F8204E" w:rsidRPr="00E87EA6" w:rsidRDefault="00F8204E" w:rsidP="00F8204E">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162D5259" w14:textId="77777777" w:rsidR="00F8204E" w:rsidRPr="00E87EA6" w:rsidRDefault="00F8204E" w:rsidP="00F8204E">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7">
    <w:p w14:paraId="63BCE7BD" w14:textId="77777777" w:rsidR="00F8204E" w:rsidRPr="00E87EA6" w:rsidRDefault="00F8204E" w:rsidP="00F8204E">
      <w:pPr>
        <w:pStyle w:val="Textonotapie"/>
        <w:ind w:firstLine="709"/>
        <w:jc w:val="both"/>
        <w:rPr>
          <w:rFonts w:ascii="Verdana" w:hAnsi="Verdana" w:cs="Arial"/>
          <w:color w:val="000000"/>
          <w:sz w:val="16"/>
          <w:szCs w:val="16"/>
          <w:lang w:val="es-ES"/>
        </w:rPr>
      </w:pPr>
      <w:r w:rsidRPr="00E87EA6">
        <w:rPr>
          <w:rStyle w:val="Refdenotaalpie"/>
          <w:rFonts w:ascii="Verdana" w:hAnsi="Verdana" w:cs="Arial"/>
          <w:color w:val="000000"/>
          <w:sz w:val="16"/>
          <w:szCs w:val="16"/>
        </w:rPr>
        <w:footnoteRef/>
      </w:r>
      <w:r w:rsidRPr="00E87EA6">
        <w:rPr>
          <w:rFonts w:ascii="Verdana" w:hAnsi="Verdana" w:cs="Arial"/>
          <w:color w:val="000000"/>
          <w:sz w:val="16"/>
          <w:szCs w:val="16"/>
        </w:rPr>
        <w:t xml:space="preserve"> COLOMBIA COMPRA EFICIENTE. Guía para la Liquidación de los Procesos de Contratación. página 5, disponible en: </w:t>
      </w:r>
      <w:hyperlink r:id="rId1" w:history="1">
        <w:r w:rsidRPr="00E87EA6">
          <w:rPr>
            <w:rStyle w:val="Hipervnculo"/>
            <w:rFonts w:ascii="Verdana" w:hAnsi="Verdana" w:cs="Arial"/>
            <w:color w:val="000000"/>
            <w:sz w:val="16"/>
            <w:szCs w:val="16"/>
          </w:rPr>
          <w:t>https://www.colombiacompra.gov.co/sites/cce_public/files/cce_documents/cce_guia_liquidacion_procesos.pdf</w:t>
        </w:r>
      </w:hyperlink>
      <w:r w:rsidRPr="00E87EA6">
        <w:rPr>
          <w:rFonts w:ascii="Verdana" w:hAnsi="Verdana" w:cs="Arial"/>
          <w:color w:val="000000"/>
          <w:sz w:val="16"/>
          <w:szCs w:val="16"/>
        </w:rPr>
        <w:t xml:space="preserve"> </w:t>
      </w:r>
    </w:p>
  </w:footnote>
  <w:footnote w:id="8">
    <w:p w14:paraId="61131B78" w14:textId="77777777" w:rsidR="00F8204E" w:rsidRPr="00E87EA6" w:rsidRDefault="00F8204E" w:rsidP="00F8204E">
      <w:pPr>
        <w:pStyle w:val="Textonotapie"/>
        <w:ind w:firstLine="709"/>
        <w:jc w:val="both"/>
        <w:rPr>
          <w:rFonts w:ascii="Verdana" w:hAnsi="Verdana" w:cs="Arial"/>
          <w:color w:val="000000"/>
          <w:sz w:val="16"/>
          <w:szCs w:val="16"/>
        </w:rPr>
      </w:pPr>
      <w:r w:rsidRPr="00E87EA6">
        <w:rPr>
          <w:rStyle w:val="Refdenotaalpie"/>
          <w:rFonts w:ascii="Verdana" w:hAnsi="Verdana" w:cs="Arial"/>
          <w:color w:val="000000"/>
          <w:sz w:val="16"/>
          <w:szCs w:val="16"/>
        </w:rPr>
        <w:footnoteRef/>
      </w:r>
      <w:r w:rsidRPr="00E87EA6">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9">
    <w:p w14:paraId="3511B452" w14:textId="77777777" w:rsidR="00F8204E" w:rsidRPr="00E87EA6" w:rsidRDefault="00F8204E" w:rsidP="00F8204E">
      <w:pPr>
        <w:pStyle w:val="Textonotapie"/>
        <w:ind w:firstLine="709"/>
        <w:jc w:val="both"/>
        <w:rPr>
          <w:rFonts w:ascii="Verdana" w:hAnsi="Verdana" w:cs="Arial"/>
          <w:color w:val="000000"/>
          <w:sz w:val="16"/>
          <w:szCs w:val="16"/>
        </w:rPr>
      </w:pPr>
      <w:r w:rsidRPr="00E87EA6">
        <w:rPr>
          <w:rStyle w:val="Refdenotaalpie"/>
          <w:rFonts w:ascii="Verdana" w:hAnsi="Verdana" w:cs="Arial"/>
          <w:color w:val="000000"/>
          <w:sz w:val="16"/>
          <w:szCs w:val="16"/>
        </w:rPr>
        <w:footnoteRef/>
      </w:r>
      <w:r w:rsidRPr="00E87EA6">
        <w:rPr>
          <w:rFonts w:ascii="Verdana" w:hAnsi="Verdana" w:cs="Arial"/>
          <w:color w:val="000000"/>
          <w:sz w:val="16"/>
          <w:szCs w:val="16"/>
        </w:rPr>
        <w:t xml:space="preserve"> CONSEJO DE ESTADO. Sala de Consulta y Servicio Civil. Concepto de 28 de junio de 2016. Radicación: 2253. C.P. Álvaro Namén Vargas. </w:t>
      </w:r>
    </w:p>
  </w:footnote>
  <w:footnote w:id="10">
    <w:p w14:paraId="033F6C95" w14:textId="77777777" w:rsidR="00F8204E" w:rsidRPr="00E87EA6" w:rsidRDefault="00F8204E" w:rsidP="00F8204E">
      <w:pPr>
        <w:pStyle w:val="Textonotapie"/>
        <w:ind w:firstLine="709"/>
        <w:jc w:val="both"/>
        <w:rPr>
          <w:rFonts w:ascii="Verdana" w:hAnsi="Verdana" w:cs="Arial"/>
          <w:color w:val="000000"/>
          <w:sz w:val="16"/>
          <w:szCs w:val="16"/>
        </w:rPr>
      </w:pPr>
      <w:r w:rsidRPr="00E87EA6">
        <w:rPr>
          <w:rStyle w:val="Refdenotaalpie"/>
          <w:rFonts w:ascii="Verdana" w:hAnsi="Verdana" w:cs="Arial"/>
          <w:color w:val="000000"/>
          <w:sz w:val="16"/>
          <w:szCs w:val="16"/>
        </w:rPr>
        <w:footnoteRef/>
      </w:r>
      <w:r w:rsidRPr="00E87EA6">
        <w:rPr>
          <w:rFonts w:ascii="Verdana" w:hAnsi="Verdana" w:cs="Arial"/>
          <w:color w:val="000000"/>
          <w:sz w:val="16"/>
          <w:szCs w:val="16"/>
        </w:rPr>
        <w:t xml:space="preserve"> Es importante advertir que también durante estos dos meses se podrá realizar una liquidación bilateral, esto es, de mutuo acuerdo, lo cual significa que el plazo para hacer la liquidación bilateral no es un término perentorio, sino sencillamente indicativo.</w:t>
      </w:r>
    </w:p>
  </w:footnote>
  <w:footnote w:id="11">
    <w:p w14:paraId="33354BD9" w14:textId="77777777" w:rsidR="00F8204E" w:rsidRPr="00E87EA6" w:rsidRDefault="00F8204E" w:rsidP="00F8204E">
      <w:pPr>
        <w:pStyle w:val="Textonotapie"/>
        <w:ind w:firstLine="709"/>
        <w:jc w:val="both"/>
        <w:rPr>
          <w:rFonts w:ascii="Verdana" w:hAnsi="Verdana" w:cs="Arial"/>
          <w:color w:val="000000"/>
          <w:sz w:val="16"/>
          <w:szCs w:val="16"/>
          <w:lang w:val="es-ES"/>
        </w:rPr>
      </w:pPr>
      <w:r w:rsidRPr="00E87EA6">
        <w:rPr>
          <w:rStyle w:val="Refdenotaalpie"/>
          <w:rFonts w:ascii="Verdana" w:hAnsi="Verdana" w:cs="Arial"/>
          <w:color w:val="000000"/>
          <w:sz w:val="16"/>
          <w:szCs w:val="16"/>
        </w:rPr>
        <w:footnoteRef/>
      </w:r>
      <w:r w:rsidRPr="00E87EA6">
        <w:rPr>
          <w:rFonts w:ascii="Verdana" w:hAnsi="Verdana" w:cs="Arial"/>
          <w:color w:val="000000"/>
          <w:sz w:val="16"/>
          <w:szCs w:val="16"/>
        </w:rPr>
        <w:t xml:space="preserve"> CONSEJO DE ESTADO. Sección Tercera. Sala Plena. Auto de 1 de agosto de 2019. Exp. 62009. C.P. Jaime Enrique Rodríguez Navas. </w:t>
      </w:r>
    </w:p>
  </w:footnote>
  <w:footnote w:id="12">
    <w:p w14:paraId="1EAB94C2" w14:textId="77777777" w:rsidR="00F8204E" w:rsidRPr="00E87EA6" w:rsidRDefault="00F8204E" w:rsidP="00F8204E">
      <w:pPr>
        <w:pStyle w:val="Textonotapie"/>
        <w:ind w:firstLine="709"/>
        <w:jc w:val="both"/>
        <w:rPr>
          <w:rFonts w:ascii="Verdana" w:hAnsi="Verdana" w:cs="Arial"/>
          <w:sz w:val="16"/>
          <w:szCs w:val="16"/>
          <w:lang w:val="es-ES"/>
        </w:rPr>
      </w:pPr>
      <w:r w:rsidRPr="00E87EA6">
        <w:rPr>
          <w:rStyle w:val="Refdenotaalpie"/>
          <w:rFonts w:ascii="Verdana" w:hAnsi="Verdana" w:cs="Arial"/>
          <w:sz w:val="16"/>
          <w:szCs w:val="16"/>
        </w:rPr>
        <w:footnoteRef/>
      </w:r>
      <w:r w:rsidRPr="00E87EA6">
        <w:rPr>
          <w:rFonts w:ascii="Verdana" w:hAnsi="Verdana" w:cs="Arial"/>
          <w:sz w:val="16"/>
          <w:szCs w:val="16"/>
        </w:rPr>
        <w:t xml:space="preserve"> </w:t>
      </w:r>
      <w:r w:rsidRPr="00E87EA6">
        <w:rPr>
          <w:rFonts w:ascii="Verdana" w:hAnsi="Verdana" w:cs="Arial"/>
          <w:sz w:val="16"/>
          <w:szCs w:val="16"/>
          <w:lang w:val="es-ES"/>
        </w:rPr>
        <w:t>Ibidem.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7B98B1A7"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6918023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E5C"/>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838AE"/>
    <w:rsid w:val="002951A0"/>
    <w:rsid w:val="002962BC"/>
    <w:rsid w:val="002A093D"/>
    <w:rsid w:val="002A0DD0"/>
    <w:rsid w:val="002A49AC"/>
    <w:rsid w:val="002A64FD"/>
    <w:rsid w:val="002C7A84"/>
    <w:rsid w:val="002E2BF8"/>
    <w:rsid w:val="002E4FD9"/>
    <w:rsid w:val="0030657A"/>
    <w:rsid w:val="00322A85"/>
    <w:rsid w:val="0032393F"/>
    <w:rsid w:val="00324168"/>
    <w:rsid w:val="00330834"/>
    <w:rsid w:val="0034073D"/>
    <w:rsid w:val="003448F4"/>
    <w:rsid w:val="00374F5E"/>
    <w:rsid w:val="00377E3E"/>
    <w:rsid w:val="003A779E"/>
    <w:rsid w:val="003D0F4D"/>
    <w:rsid w:val="003D5B0D"/>
    <w:rsid w:val="003E0499"/>
    <w:rsid w:val="003E4F80"/>
    <w:rsid w:val="003E6439"/>
    <w:rsid w:val="003F3941"/>
    <w:rsid w:val="00406575"/>
    <w:rsid w:val="00414C74"/>
    <w:rsid w:val="00425D4A"/>
    <w:rsid w:val="0042722E"/>
    <w:rsid w:val="0044528D"/>
    <w:rsid w:val="00466E39"/>
    <w:rsid w:val="004A1847"/>
    <w:rsid w:val="004A305D"/>
    <w:rsid w:val="004B7BC9"/>
    <w:rsid w:val="004F21C4"/>
    <w:rsid w:val="004F685F"/>
    <w:rsid w:val="005239C5"/>
    <w:rsid w:val="005566E8"/>
    <w:rsid w:val="00574867"/>
    <w:rsid w:val="00591460"/>
    <w:rsid w:val="005A65E0"/>
    <w:rsid w:val="005C3777"/>
    <w:rsid w:val="005C5CDC"/>
    <w:rsid w:val="005D476C"/>
    <w:rsid w:val="006200BF"/>
    <w:rsid w:val="006219F8"/>
    <w:rsid w:val="006302F7"/>
    <w:rsid w:val="00646B9F"/>
    <w:rsid w:val="00665D70"/>
    <w:rsid w:val="00684DAE"/>
    <w:rsid w:val="006900D9"/>
    <w:rsid w:val="006F609B"/>
    <w:rsid w:val="00706C16"/>
    <w:rsid w:val="007340C3"/>
    <w:rsid w:val="0075235A"/>
    <w:rsid w:val="00756841"/>
    <w:rsid w:val="007649AB"/>
    <w:rsid w:val="00771D0C"/>
    <w:rsid w:val="007833AC"/>
    <w:rsid w:val="00794828"/>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08A5"/>
    <w:rsid w:val="009F3A13"/>
    <w:rsid w:val="00A122D3"/>
    <w:rsid w:val="00A14468"/>
    <w:rsid w:val="00A17F13"/>
    <w:rsid w:val="00A20739"/>
    <w:rsid w:val="00A23AF9"/>
    <w:rsid w:val="00A33C78"/>
    <w:rsid w:val="00A90610"/>
    <w:rsid w:val="00AB0ADB"/>
    <w:rsid w:val="00AC51D2"/>
    <w:rsid w:val="00B00C0E"/>
    <w:rsid w:val="00B01B1A"/>
    <w:rsid w:val="00B0381D"/>
    <w:rsid w:val="00B260CC"/>
    <w:rsid w:val="00B44A47"/>
    <w:rsid w:val="00B536D7"/>
    <w:rsid w:val="00B72CD3"/>
    <w:rsid w:val="00B72FFF"/>
    <w:rsid w:val="00BC3D36"/>
    <w:rsid w:val="00BD54A6"/>
    <w:rsid w:val="00BD7F72"/>
    <w:rsid w:val="00BF508A"/>
    <w:rsid w:val="00BF7425"/>
    <w:rsid w:val="00C04FB3"/>
    <w:rsid w:val="00C11D8B"/>
    <w:rsid w:val="00C15139"/>
    <w:rsid w:val="00C330EB"/>
    <w:rsid w:val="00C50D69"/>
    <w:rsid w:val="00C5365C"/>
    <w:rsid w:val="00C65C49"/>
    <w:rsid w:val="00C754BE"/>
    <w:rsid w:val="00C76B1C"/>
    <w:rsid w:val="00C925AC"/>
    <w:rsid w:val="00CA14F9"/>
    <w:rsid w:val="00CB6357"/>
    <w:rsid w:val="00CC1B26"/>
    <w:rsid w:val="00D3110A"/>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6F2C"/>
    <w:rsid w:val="00E50AFE"/>
    <w:rsid w:val="00E5758B"/>
    <w:rsid w:val="00E57B21"/>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204E"/>
    <w:rsid w:val="00F8361C"/>
    <w:rsid w:val="00F83ACC"/>
    <w:rsid w:val="00FA47C0"/>
    <w:rsid w:val="00FB5DD1"/>
    <w:rsid w:val="00FC2B5D"/>
    <w:rsid w:val="00FD5008"/>
    <w:rsid w:val="00FF1449"/>
    <w:rsid w:val="00FF7963"/>
    <w:rsid w:val="01C2D127"/>
    <w:rsid w:val="02877CC3"/>
    <w:rsid w:val="071B8F93"/>
    <w:rsid w:val="07540592"/>
    <w:rsid w:val="092995C7"/>
    <w:rsid w:val="09908A09"/>
    <w:rsid w:val="0FF4CCA8"/>
    <w:rsid w:val="13CFC91B"/>
    <w:rsid w:val="152F85F5"/>
    <w:rsid w:val="19A2EC2C"/>
    <w:rsid w:val="27ED6AB3"/>
    <w:rsid w:val="2859CA1B"/>
    <w:rsid w:val="2B7E238D"/>
    <w:rsid w:val="2F4608BA"/>
    <w:rsid w:val="32A4F9CF"/>
    <w:rsid w:val="356CEDFD"/>
    <w:rsid w:val="358621B4"/>
    <w:rsid w:val="428C048F"/>
    <w:rsid w:val="46DC365E"/>
    <w:rsid w:val="4880A4B0"/>
    <w:rsid w:val="4EF7B277"/>
    <w:rsid w:val="537FD1BE"/>
    <w:rsid w:val="574EBD7B"/>
    <w:rsid w:val="69614A15"/>
    <w:rsid w:val="6F554BBC"/>
    <w:rsid w:val="6FFF512E"/>
    <w:rsid w:val="7656A7AD"/>
    <w:rsid w:val="76D30661"/>
    <w:rsid w:val="7BB183BC"/>
    <w:rsid w:val="7F54EC6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8204E"/>
    <w:rPr>
      <w:rFonts w:ascii="Geomanist Light" w:hAnsi="Geomanist Light"/>
      <w:lang w:val="es-ES"/>
    </w:rPr>
  </w:style>
  <w:style w:type="paragraph" w:customStyle="1" w:styleId="Appelnotedebasde">
    <w:name w:val="Appel note de bas de..."/>
    <w:basedOn w:val="Normal"/>
    <w:link w:val="Refdenotaalpie"/>
    <w:uiPriority w:val="99"/>
    <w:rsid w:val="00F8204E"/>
    <w:pPr>
      <w:spacing w:line="240" w:lineRule="exact"/>
    </w:pPr>
    <w:rPr>
      <w:vertAlign w:val="superscript"/>
    </w:rPr>
  </w:style>
  <w:style w:type="paragraph" w:styleId="Textoindependiente">
    <w:name w:val="Body Text"/>
    <w:basedOn w:val="Normal"/>
    <w:link w:val="TextoindependienteCar"/>
    <w:uiPriority w:val="1"/>
    <w:qFormat/>
    <w:rsid w:val="00F8204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8204E"/>
    <w:rPr>
      <w:rFonts w:ascii="Arial" w:eastAsia="Arial" w:hAnsi="Arial" w:cs="Arial"/>
      <w:lang w:val="es-E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80-de-1993/" TargetMode="External"/><Relationship Id="rId18" Type="http://schemas.openxmlformats.org/officeDocument/2006/relationships/hyperlink" Target="https://relatoria.colombiacompra.gov.co/providencias/25000-23-26-000-2007-00108-01_4249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relatoria.colombiacompra.gov.co/busqueda/conceptos" TargetMode="External"/><Relationship Id="rId7" Type="http://schemas.openxmlformats.org/officeDocument/2006/relationships/settings" Target="settings.xml"/><Relationship Id="rId12" Type="http://schemas.openxmlformats.org/officeDocument/2006/relationships/hyperlink" Target="mailto:soluciones@activosti.com" TargetMode="External"/><Relationship Id="rId17" Type="http://schemas.openxmlformats.org/officeDocument/2006/relationships/hyperlink" Target="https://relatoria.colombiacompra.gov.co/providencias/25000-23-26-000-2003-00874-01_28278/"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latoria.colombiacompra.gov.co/normativa/decreto-1082-de-2015/" TargetMode="External"/><Relationship Id="rId20" Type="http://schemas.openxmlformats.org/officeDocument/2006/relationships/hyperlink" Target="https://www.colombiacompra.gov.co/sites/cce_public/files/cce_documents/cce_guia_liquidacion_procesos.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relatoria.colombiacompra.gov.co/normativa/codigo-de-comercio-decreto-410-de-1971/" TargetMode="External"/><Relationship Id="rId23"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hyperlink" Target="https://relatoria.colombiacompra.gov.co/providencias/2019_05001-23-33-000-2018-00342-01_6200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1150-de-2007/" TargetMode="External"/><Relationship Id="rId22"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BD357EE-8433-466D-B372-48ECB87814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693E22-CAFC-42A8-95BB-D28A139FBB55}">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www.w3.org/XML/1998/namespace"/>
    <ds:schemaRef ds:uri="http://purl.org/dc/terms/"/>
    <ds:schemaRef ds:uri="9d85dbaf-23eb-4e57-a637-93dcacc8b1a1"/>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a6cb9e4b-f1d1-4245-83ec-6cad768d538a"/>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15</Pages>
  <Words>5084</Words>
  <Characters>27607</Characters>
  <Application>Microsoft Office Word</Application>
  <DocSecurity>0</DocSecurity>
  <Lines>541</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2026-01-06T14:54:00Z</dcterms:created>
  <dcterms:modified xsi:type="dcterms:W3CDTF">2026-01-06T14:54:00Z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