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A36CB4" w14:textId="26D2F1B0" w:rsidR="00BD6251" w:rsidRPr="00BD6251" w:rsidRDefault="00BD6251" w:rsidP="00BD6251">
      <w:pPr>
        <w:spacing w:after="0"/>
        <w:jc w:val="both"/>
        <w:rPr>
          <w:rFonts w:ascii="Verdana" w:hAnsi="Verdana"/>
        </w:rPr>
      </w:pPr>
      <w:bookmarkStart w:id="0" w:name="_Hlk143780582"/>
      <w:r w:rsidRPr="00D36816">
        <w:rPr>
          <w:rFonts w:ascii="Verdana" w:eastAsia="Aptos" w:hAnsi="Verdana" w:cs="Times New Roman"/>
          <w:b/>
          <w:bCs/>
          <w:color w:val="000000"/>
        </w:rPr>
        <w:t xml:space="preserve">DOCUMENTOS TIPO – Fundamento normativo – Obligatoriedad </w:t>
      </w:r>
    </w:p>
    <w:p w14:paraId="5A8E1094" w14:textId="77777777" w:rsidR="00BD6251" w:rsidRPr="00D36816" w:rsidRDefault="00BD6251" w:rsidP="00BD6251">
      <w:pPr>
        <w:spacing w:after="0" w:line="276" w:lineRule="auto"/>
        <w:jc w:val="both"/>
        <w:rPr>
          <w:rFonts w:ascii="Verdana" w:eastAsia="Calibri" w:hAnsi="Verdana" w:cs="Arial"/>
          <w:b/>
          <w:bCs/>
          <w:sz w:val="20"/>
          <w:szCs w:val="20"/>
          <w:lang w:val="es-ES_tradnl"/>
        </w:rPr>
      </w:pPr>
    </w:p>
    <w:p w14:paraId="171ED9C8" w14:textId="6AE0E709" w:rsidR="00BD6251" w:rsidRPr="00D36816" w:rsidRDefault="00190BF6" w:rsidP="00BD6251">
      <w:pPr>
        <w:snapToGrid w:val="0"/>
        <w:spacing w:after="0" w:line="240" w:lineRule="auto"/>
        <w:jc w:val="both"/>
        <w:rPr>
          <w:rFonts w:ascii="Verdana" w:eastAsia="Times New Roman" w:hAnsi="Verdana" w:cs="Arial"/>
          <w:sz w:val="20"/>
          <w:szCs w:val="20"/>
          <w:shd w:val="clear" w:color="auto" w:fill="FFFFFF"/>
          <w:lang w:val="es-ES_tradnl" w:eastAsia="es-ES_tradnl"/>
        </w:rPr>
      </w:pPr>
      <w:r w:rsidRPr="00190BF6">
        <w:rPr>
          <w:rFonts w:ascii="Verdana" w:eastAsia="Times New Roman" w:hAnsi="Verdana" w:cs="Arial"/>
          <w:sz w:val="20"/>
          <w:szCs w:val="20"/>
          <w:shd w:val="clear" w:color="auto" w:fill="FFFFFF"/>
          <w:lang w:val="es-ES_tradnl" w:eastAsia="es-ES_tradnl"/>
        </w:rPr>
        <w:t>La Ley 2022 de 2020, modificó el contenido del parágrafo 7 del artículo 2 de la Ley 1150 de 2007, que había sido adicionado por la Ley 1882 de 2018. Con esta modificación, si bien se mantuvo el mandato de aplicación obligatoria de los Documentos Tipo por parte de las entidades sometidas al EGCAP, se atribuyó a la Agencia Nacional de Contratación Pública – Colombia Compra Eficiente la competencia para su expedición.</w:t>
      </w:r>
    </w:p>
    <w:p w14:paraId="1595833C" w14:textId="77777777" w:rsidR="00BD6251" w:rsidRPr="00D36816" w:rsidRDefault="00BD6251" w:rsidP="00BD6251">
      <w:pPr>
        <w:snapToGrid w:val="0"/>
        <w:spacing w:after="0" w:line="240" w:lineRule="auto"/>
        <w:jc w:val="both"/>
        <w:rPr>
          <w:rFonts w:ascii="Verdana" w:eastAsia="Times New Roman" w:hAnsi="Verdana" w:cs="Arial"/>
          <w:sz w:val="20"/>
          <w:szCs w:val="20"/>
          <w:shd w:val="clear" w:color="auto" w:fill="FFFFFF"/>
          <w:lang w:val="es-ES_tradnl" w:eastAsia="es-ES_tradnl"/>
        </w:rPr>
      </w:pPr>
    </w:p>
    <w:p w14:paraId="23D84368" w14:textId="77777777" w:rsidR="00BD6251" w:rsidRPr="00D36816" w:rsidRDefault="00BD6251" w:rsidP="00BD6251">
      <w:pPr>
        <w:snapToGrid w:val="0"/>
        <w:spacing w:after="0" w:line="276" w:lineRule="auto"/>
        <w:jc w:val="both"/>
        <w:rPr>
          <w:rFonts w:ascii="Verdana" w:eastAsia="Aptos" w:hAnsi="Verdana" w:cs="Times New Roman"/>
          <w:b/>
          <w:bCs/>
          <w:color w:val="000000"/>
        </w:rPr>
      </w:pPr>
      <w:r w:rsidRPr="00D36816">
        <w:rPr>
          <w:rFonts w:ascii="Verdana" w:eastAsia="Aptos" w:hAnsi="Verdana" w:cs="Times New Roman"/>
          <w:b/>
          <w:bCs/>
          <w:color w:val="000000"/>
        </w:rPr>
        <w:t>DOCUMENTOS TIPO –</w:t>
      </w:r>
      <w:r>
        <w:rPr>
          <w:rFonts w:ascii="Verdana" w:eastAsia="Aptos" w:hAnsi="Verdana" w:cs="Times New Roman"/>
          <w:b/>
          <w:bCs/>
          <w:color w:val="000000"/>
        </w:rPr>
        <w:t xml:space="preserve"> Infraestructura </w:t>
      </w:r>
      <w:r w:rsidRPr="00D36816">
        <w:rPr>
          <w:rFonts w:ascii="Verdana" w:eastAsia="Aptos" w:hAnsi="Verdana" w:cs="Times New Roman"/>
          <w:b/>
          <w:bCs/>
          <w:color w:val="000000"/>
        </w:rPr>
        <w:t>de transporte – Versión 4 – Acreditación de Experiencia – Particulares</w:t>
      </w:r>
    </w:p>
    <w:p w14:paraId="3A9E9F82" w14:textId="77777777" w:rsidR="00BD6251" w:rsidRPr="00D36816" w:rsidRDefault="00BD6251" w:rsidP="00BD6251">
      <w:pPr>
        <w:snapToGrid w:val="0"/>
        <w:spacing w:after="0" w:line="240" w:lineRule="auto"/>
        <w:jc w:val="both"/>
        <w:rPr>
          <w:rFonts w:ascii="Verdana" w:eastAsia="Times New Roman" w:hAnsi="Verdana" w:cs="Arial"/>
          <w:sz w:val="20"/>
          <w:szCs w:val="20"/>
          <w:shd w:val="clear" w:color="auto" w:fill="FFFFFF"/>
          <w:lang w:val="es-ES_tradnl" w:eastAsia="es-ES_tradnl"/>
        </w:rPr>
      </w:pPr>
    </w:p>
    <w:p w14:paraId="725A16F0" w14:textId="10A77F5A" w:rsidR="00BD6251" w:rsidRPr="00D36816" w:rsidRDefault="00190BF6" w:rsidP="00BD6251">
      <w:pPr>
        <w:snapToGrid w:val="0"/>
        <w:spacing w:after="0" w:line="240" w:lineRule="auto"/>
        <w:jc w:val="both"/>
        <w:rPr>
          <w:rFonts w:ascii="Verdana" w:eastAsia="Times New Roman" w:hAnsi="Verdana" w:cs="Arial"/>
          <w:sz w:val="20"/>
          <w:szCs w:val="20"/>
          <w:lang w:eastAsia="es-ES_tradnl"/>
        </w:rPr>
      </w:pPr>
      <w:r w:rsidRPr="00190BF6">
        <w:rPr>
          <w:rFonts w:ascii="Verdana" w:eastAsia="Times New Roman" w:hAnsi="Verdana" w:cs="Arial"/>
          <w:sz w:val="20"/>
          <w:szCs w:val="20"/>
          <w:lang w:eastAsia="es-ES_tradnl"/>
        </w:rPr>
        <w:t xml:space="preserve">Ahora bien, para efectos de la acreditación de experiencia entre particulares, el numeral 3.5.7 del documento base, señala que el proponente deberá aportar adicionalmente alguno de estos documentos: “Certificación de facturación expedida con posterioridad a la fecha de terminación del contrato emitida por el revisor fiscal o contador público del Proponente que acredita la experiencia, según corresponda, con la copia de la tarjeta profesional y certificado de antecedentes disciplinarios vigente, expedido por la Junta Central de Contadores, o los documentos equivalentes que hagan sus veces en el país donde se expide el documento del profesional”.  </w:t>
      </w:r>
    </w:p>
    <w:p w14:paraId="052EF7CB" w14:textId="77777777" w:rsidR="00BD6251" w:rsidRPr="00D36816" w:rsidRDefault="00BD6251" w:rsidP="00BD6251">
      <w:pPr>
        <w:spacing w:after="0"/>
        <w:ind w:left="720"/>
        <w:rPr>
          <w:rFonts w:ascii="Verdana" w:eastAsia="Calibri" w:hAnsi="Verdana" w:cs="Arial"/>
          <w:color w:val="0D0D0D"/>
          <w:lang w:val="es-MX"/>
        </w:rPr>
      </w:pPr>
    </w:p>
    <w:p w14:paraId="75E4CAEF" w14:textId="77777777" w:rsidR="00BD6251" w:rsidRPr="00D36816" w:rsidRDefault="00BD6251" w:rsidP="00BD6251">
      <w:pPr>
        <w:snapToGrid w:val="0"/>
        <w:spacing w:after="0" w:line="276" w:lineRule="auto"/>
        <w:jc w:val="both"/>
        <w:rPr>
          <w:rFonts w:ascii="Verdana" w:eastAsia="Aptos" w:hAnsi="Verdana" w:cs="Times New Roman"/>
          <w:b/>
          <w:bCs/>
          <w:color w:val="000000"/>
        </w:rPr>
      </w:pPr>
      <w:r w:rsidRPr="00D36816">
        <w:rPr>
          <w:rFonts w:ascii="Verdana" w:eastAsia="Aptos" w:hAnsi="Verdana" w:cs="Times New Roman"/>
          <w:b/>
          <w:bCs/>
          <w:color w:val="000000"/>
        </w:rPr>
        <w:t>ACREDITACIÓN DE EXPERIENCIA – Subcontratos – Documentos tipo –</w:t>
      </w:r>
      <w:r>
        <w:rPr>
          <w:rFonts w:ascii="Verdana" w:eastAsia="Aptos" w:hAnsi="Verdana" w:cs="Times New Roman"/>
          <w:b/>
          <w:bCs/>
          <w:color w:val="000000"/>
        </w:rPr>
        <w:t>I</w:t>
      </w:r>
      <w:r w:rsidRPr="00D36816">
        <w:rPr>
          <w:rFonts w:ascii="Verdana" w:eastAsia="Aptos" w:hAnsi="Verdana" w:cs="Times New Roman"/>
          <w:b/>
          <w:bCs/>
          <w:color w:val="000000"/>
        </w:rPr>
        <w:t xml:space="preserve">nfraestructura de transporte – Versión 4 </w:t>
      </w:r>
    </w:p>
    <w:p w14:paraId="654A28C2" w14:textId="77777777" w:rsidR="00BD6251" w:rsidRPr="00D36816" w:rsidRDefault="00BD6251" w:rsidP="00BD6251">
      <w:pPr>
        <w:snapToGrid w:val="0"/>
        <w:spacing w:after="0" w:line="276" w:lineRule="auto"/>
        <w:jc w:val="both"/>
        <w:rPr>
          <w:rFonts w:ascii="Verdana" w:eastAsia="Calibri" w:hAnsi="Verdana" w:cs="Arial"/>
          <w:color w:val="0D0D0D"/>
          <w:lang w:val="es-MX"/>
        </w:rPr>
      </w:pPr>
    </w:p>
    <w:p w14:paraId="7F4784FD" w14:textId="4768480F" w:rsidR="00190BF6" w:rsidRDefault="00190BF6" w:rsidP="00190BF6">
      <w:pPr>
        <w:snapToGrid w:val="0"/>
        <w:spacing w:after="0" w:line="240" w:lineRule="auto"/>
        <w:jc w:val="both"/>
        <w:rPr>
          <w:rFonts w:ascii="Verdana" w:eastAsia="Calibri" w:hAnsi="Verdana" w:cs="Arial"/>
          <w:color w:val="0D0D0D"/>
          <w:sz w:val="20"/>
          <w:szCs w:val="20"/>
          <w:lang w:val="es-MX"/>
        </w:rPr>
      </w:pPr>
      <w:r w:rsidRPr="00190BF6">
        <w:rPr>
          <w:rFonts w:ascii="Verdana" w:eastAsia="Calibri" w:hAnsi="Verdana" w:cs="Arial"/>
          <w:color w:val="0D0D0D"/>
          <w:sz w:val="20"/>
          <w:szCs w:val="20"/>
          <w:lang w:val="es-MX"/>
        </w:rPr>
        <w:t xml:space="preserve">En línea con lo expuesto, el numeral 3.5.8 del documento base establece la forma de acreditación de experiencia para subcontratos. Este numeral diferencia los subcontratos derivados de contratos suscritos con particulares de los suscritos con entidades estatales. </w:t>
      </w:r>
    </w:p>
    <w:p w14:paraId="608534BF" w14:textId="77777777" w:rsidR="00190BF6" w:rsidRPr="00190BF6" w:rsidRDefault="00190BF6" w:rsidP="00190BF6">
      <w:pPr>
        <w:snapToGrid w:val="0"/>
        <w:spacing w:after="0" w:line="240" w:lineRule="auto"/>
        <w:jc w:val="both"/>
        <w:rPr>
          <w:rFonts w:ascii="Verdana" w:eastAsia="Calibri" w:hAnsi="Verdana" w:cs="Arial"/>
          <w:color w:val="0D0D0D"/>
          <w:sz w:val="20"/>
          <w:szCs w:val="20"/>
          <w:lang w:val="es-MX"/>
        </w:rPr>
      </w:pPr>
    </w:p>
    <w:p w14:paraId="5652DD17" w14:textId="30005913" w:rsidR="00BD6251" w:rsidRPr="00D36816" w:rsidRDefault="00190BF6" w:rsidP="00190BF6">
      <w:pPr>
        <w:snapToGrid w:val="0"/>
        <w:spacing w:after="0" w:line="240" w:lineRule="auto"/>
        <w:jc w:val="both"/>
        <w:rPr>
          <w:rFonts w:ascii="Verdana" w:eastAsia="Calibri" w:hAnsi="Verdana" w:cs="Arial"/>
          <w:color w:val="0D0D0D"/>
          <w:sz w:val="20"/>
          <w:szCs w:val="20"/>
          <w:lang w:val="es-MX"/>
        </w:rPr>
      </w:pPr>
      <w:r w:rsidRPr="00190BF6">
        <w:rPr>
          <w:rFonts w:ascii="Verdana" w:eastAsia="Calibri" w:hAnsi="Verdana" w:cs="Arial"/>
          <w:color w:val="0D0D0D"/>
          <w:sz w:val="20"/>
          <w:szCs w:val="20"/>
          <w:lang w:val="es-MX"/>
        </w:rPr>
        <w:t>Para el primer evento, señalan que “para la acreditación de experiencia de subcontratos, cuyo contrato principal fue suscrito con particulares, se aplicarán las disposiciones establecidas en el numeral anterior”. De este modo, si el contrato principal fue suscrito con particulares, las reglas para acreditación de experiencia para subcontratos son las establecidas en el numeral 3.5.7 del documento base –previamente señalado–. En el segundo evento, dispone que para la acreditación de experiencia de los contratos derivados de contratos suscritos con entidades estatales el proponente deberá aportar los siguientes documentos:</w:t>
      </w:r>
      <w:r w:rsidR="00AB1F4F">
        <w:rPr>
          <w:rFonts w:ascii="Verdana" w:eastAsia="Calibri" w:hAnsi="Verdana" w:cs="Arial"/>
          <w:color w:val="0D0D0D"/>
          <w:sz w:val="20"/>
          <w:szCs w:val="20"/>
          <w:lang w:val="es-MX"/>
        </w:rPr>
        <w:t xml:space="preserve"> […]</w:t>
      </w:r>
    </w:p>
    <w:p w14:paraId="43F89ABD" w14:textId="77777777" w:rsidR="00BD6251" w:rsidRPr="00D36816" w:rsidRDefault="00BD6251" w:rsidP="00BD6251">
      <w:pPr>
        <w:snapToGrid w:val="0"/>
        <w:spacing w:after="0" w:line="276" w:lineRule="auto"/>
        <w:jc w:val="both"/>
        <w:rPr>
          <w:rFonts w:ascii="Verdana" w:eastAsia="Calibri" w:hAnsi="Verdana" w:cs="Arial"/>
          <w:color w:val="0D0D0D"/>
          <w:lang w:val="es-MX"/>
        </w:rPr>
      </w:pPr>
    </w:p>
    <w:p w14:paraId="33552744" w14:textId="77777777" w:rsidR="00BD6251" w:rsidRPr="00D36816" w:rsidRDefault="00BD6251" w:rsidP="00BD6251">
      <w:pPr>
        <w:snapToGrid w:val="0"/>
        <w:spacing w:after="0" w:line="276" w:lineRule="auto"/>
        <w:jc w:val="both"/>
        <w:rPr>
          <w:rFonts w:ascii="Verdana" w:eastAsia="Aptos" w:hAnsi="Verdana" w:cs="Times New Roman"/>
          <w:b/>
          <w:bCs/>
          <w:color w:val="000000"/>
        </w:rPr>
      </w:pPr>
      <w:r w:rsidRPr="00D36816">
        <w:rPr>
          <w:rFonts w:ascii="Verdana" w:eastAsia="Calibri" w:hAnsi="Verdana" w:cs="Arial"/>
          <w:b/>
          <w:bCs/>
          <w:color w:val="0D0D0D"/>
          <w:lang w:val="es-MX"/>
        </w:rPr>
        <w:t>AUTO CERTIFICACIONES</w:t>
      </w:r>
      <w:r w:rsidRPr="00D36816">
        <w:rPr>
          <w:rFonts w:ascii="Verdana" w:eastAsia="Calibri" w:hAnsi="Verdana" w:cs="Arial"/>
          <w:color w:val="0D0D0D"/>
          <w:lang w:val="es-MX"/>
        </w:rPr>
        <w:t xml:space="preserve"> </w:t>
      </w:r>
      <w:r w:rsidRPr="00D36816">
        <w:rPr>
          <w:rFonts w:ascii="Verdana" w:eastAsia="Aptos" w:hAnsi="Verdana" w:cs="Times New Roman"/>
          <w:b/>
          <w:bCs/>
          <w:color w:val="000000"/>
        </w:rPr>
        <w:t xml:space="preserve">– Documentos tipo – </w:t>
      </w:r>
      <w:r>
        <w:rPr>
          <w:rFonts w:ascii="Verdana" w:eastAsia="Aptos" w:hAnsi="Verdana" w:cs="Times New Roman"/>
          <w:b/>
          <w:bCs/>
          <w:color w:val="000000"/>
        </w:rPr>
        <w:t>I</w:t>
      </w:r>
      <w:r w:rsidRPr="00D36816">
        <w:rPr>
          <w:rFonts w:ascii="Verdana" w:eastAsia="Aptos" w:hAnsi="Verdana" w:cs="Times New Roman"/>
          <w:b/>
          <w:bCs/>
          <w:color w:val="000000"/>
        </w:rPr>
        <w:t xml:space="preserve">nfraestructura de transporte – Versión 4 – Alcance </w:t>
      </w:r>
    </w:p>
    <w:p w14:paraId="64D0370A" w14:textId="77777777" w:rsidR="00BD6251" w:rsidRPr="00D36816" w:rsidRDefault="00BD6251" w:rsidP="00BD6251">
      <w:pPr>
        <w:snapToGrid w:val="0"/>
        <w:spacing w:after="0" w:line="276" w:lineRule="auto"/>
        <w:jc w:val="both"/>
        <w:rPr>
          <w:rFonts w:ascii="Verdana" w:eastAsia="Calibri" w:hAnsi="Verdana" w:cs="Arial"/>
          <w:color w:val="0D0D0D"/>
          <w:sz w:val="20"/>
          <w:szCs w:val="20"/>
          <w:lang w:val="es-MX"/>
        </w:rPr>
      </w:pPr>
    </w:p>
    <w:p w14:paraId="22DC6495" w14:textId="3A828F62" w:rsidR="00BD6251" w:rsidRPr="00D36816" w:rsidRDefault="00190BF6" w:rsidP="00BD6251">
      <w:pPr>
        <w:snapToGrid w:val="0"/>
        <w:spacing w:after="0" w:line="240" w:lineRule="auto"/>
        <w:jc w:val="both"/>
        <w:rPr>
          <w:rFonts w:ascii="Verdana" w:eastAsia="Calibri" w:hAnsi="Verdana" w:cs="Arial"/>
          <w:color w:val="0D0D0D"/>
          <w:sz w:val="20"/>
          <w:szCs w:val="20"/>
          <w:lang w:val="es-MX"/>
        </w:rPr>
      </w:pPr>
      <w:r>
        <w:rPr>
          <w:rFonts w:ascii="Verdana" w:eastAsia="Calibri" w:hAnsi="Verdana" w:cs="Arial"/>
          <w:color w:val="0D0D0D"/>
          <w:sz w:val="20"/>
          <w:szCs w:val="20"/>
        </w:rPr>
        <w:t xml:space="preserve">[…] </w:t>
      </w:r>
      <w:r w:rsidRPr="00190BF6">
        <w:rPr>
          <w:rFonts w:ascii="Verdana" w:eastAsia="Calibri" w:hAnsi="Verdana" w:cs="Arial"/>
          <w:color w:val="0D0D0D"/>
          <w:sz w:val="20"/>
          <w:szCs w:val="20"/>
        </w:rPr>
        <w:t xml:space="preserve">el literal K del numeral 3.5.3 del mencionado documento tipo dispone que las auto certificaciones no son válidas para acreditar la experiencia requerida, ya que a través de ellas no es posible comprobar la ejecución de contratos que deban certificar los terceros </w:t>
      </w:r>
      <w:r w:rsidRPr="00190BF6">
        <w:rPr>
          <w:rFonts w:ascii="Verdana" w:eastAsia="Calibri" w:hAnsi="Verdana" w:cs="Arial"/>
          <w:color w:val="0D0D0D"/>
          <w:sz w:val="20"/>
          <w:szCs w:val="20"/>
        </w:rPr>
        <w:lastRenderedPageBreak/>
        <w:t>que recibieron la obra, bien o servicios. Así mismo, el literal define expresamente qué debe entenderse por auto certificaciones, señalando que corresponden a “aquellas expedidas por el mismo Proponente, sus representantes, los integrantes del Proponente Plural o del mismo segmento empresarial para demostrar su propia experiencia”.</w:t>
      </w:r>
    </w:p>
    <w:p w14:paraId="7C0B7BD2" w14:textId="77777777" w:rsidR="00BD6251" w:rsidRPr="00D36816" w:rsidRDefault="00BD6251" w:rsidP="00BD6251">
      <w:pPr>
        <w:spacing w:after="0" w:line="240" w:lineRule="auto"/>
        <w:rPr>
          <w:rFonts w:ascii="Verdana" w:eastAsia="Calibri" w:hAnsi="Verdana" w:cs="Arial"/>
          <w:color w:val="0D0D0D"/>
          <w:sz w:val="20"/>
          <w:szCs w:val="20"/>
        </w:rPr>
      </w:pPr>
    </w:p>
    <w:p w14:paraId="5F9A235E" w14:textId="77777777" w:rsidR="00BD6251" w:rsidRPr="00AE76E2" w:rsidRDefault="00BD6251" w:rsidP="00BD6251">
      <w:pPr>
        <w:spacing w:after="0"/>
        <w:jc w:val="both"/>
        <w:rPr>
          <w:rFonts w:ascii="Verdana" w:hAnsi="Verdana"/>
        </w:rPr>
      </w:pPr>
      <w:r w:rsidRPr="00AE76E2">
        <w:rPr>
          <w:rFonts w:ascii="Verdana" w:eastAsia="Aptos" w:hAnsi="Verdana" w:cs="Arial"/>
          <w:b/>
          <w:color w:val="000000"/>
          <w:kern w:val="2"/>
          <w:lang w:val="es-ES_tradnl"/>
          <w14:ligatures w14:val="standardContextual"/>
        </w:rPr>
        <w:t>CAUSALES DE RECHAZO – Principio de legalidad – Configuración – Documentos Tipo</w:t>
      </w:r>
    </w:p>
    <w:p w14:paraId="4F1390C8" w14:textId="77777777" w:rsidR="00190BF6" w:rsidRDefault="00190BF6" w:rsidP="00BD6251">
      <w:pPr>
        <w:spacing w:after="0" w:line="240" w:lineRule="auto"/>
        <w:jc w:val="both"/>
        <w:rPr>
          <w:rFonts w:ascii="Verdana" w:eastAsia="Aptos" w:hAnsi="Verdana" w:cs="Arial"/>
          <w:b/>
          <w:color w:val="000000"/>
          <w:kern w:val="2"/>
          <w:lang w:val="es-ES_tradnl"/>
          <w14:ligatures w14:val="standardContextual"/>
        </w:rPr>
      </w:pPr>
    </w:p>
    <w:p w14:paraId="70E6D4D0" w14:textId="7BD90FCF" w:rsidR="00BD6251" w:rsidRPr="00AE76E2" w:rsidRDefault="00190BF6" w:rsidP="00BD6251">
      <w:pPr>
        <w:spacing w:after="0" w:line="240" w:lineRule="auto"/>
        <w:jc w:val="both"/>
        <w:rPr>
          <w:rFonts w:ascii="Verdana" w:eastAsia="Aptos" w:hAnsi="Verdana" w:cs="Arial"/>
          <w:bCs/>
          <w:color w:val="000000"/>
          <w:kern w:val="2"/>
          <w:sz w:val="20"/>
          <w:szCs w:val="20"/>
          <w:lang w:val="es-ES_tradnl"/>
          <w14:ligatures w14:val="standardContextual"/>
        </w:rPr>
      </w:pPr>
      <w:r w:rsidRPr="00190BF6">
        <w:rPr>
          <w:rFonts w:ascii="Verdana" w:eastAsia="Aptos" w:hAnsi="Verdana" w:cs="Arial"/>
          <w:bCs/>
          <w:color w:val="000000"/>
          <w:kern w:val="2"/>
          <w:sz w:val="20"/>
          <w:szCs w:val="20"/>
          <w:lang w:val="es-ES_tradnl"/>
          <w14:ligatures w14:val="standardContextual"/>
        </w:rPr>
        <w:t>Las causales de rechazo son las establecidas en la ley y las fijadas por la Entidad Estatal en los pliegos de condiciones. Sin embargo, en ejercicio de dicha facultad, a las entidades no les es dable fijar causales de rechazo que soslayen o afecten la selección objetiva en la contratación. Sobre el particular, el Consejo de Estado señala:</w:t>
      </w:r>
    </w:p>
    <w:p w14:paraId="627F35E8" w14:textId="77777777" w:rsidR="00BD6251" w:rsidRPr="00AE76E2" w:rsidRDefault="00BD6251" w:rsidP="00BD6251">
      <w:pPr>
        <w:spacing w:after="0" w:line="240" w:lineRule="auto"/>
        <w:jc w:val="both"/>
        <w:rPr>
          <w:rFonts w:ascii="Verdana" w:eastAsia="Aptos" w:hAnsi="Verdana" w:cs="Arial"/>
          <w:bCs/>
          <w:color w:val="000000"/>
          <w:kern w:val="2"/>
          <w:sz w:val="20"/>
          <w:szCs w:val="20"/>
          <w:lang w:val="es-ES_tradnl"/>
          <w14:ligatures w14:val="standardContextual"/>
        </w:rPr>
      </w:pPr>
      <w:r w:rsidRPr="00AE76E2">
        <w:rPr>
          <w:rFonts w:ascii="Verdana" w:eastAsia="Aptos" w:hAnsi="Verdana" w:cs="Arial"/>
          <w:bCs/>
          <w:color w:val="000000"/>
          <w:kern w:val="2"/>
          <w:sz w:val="20"/>
          <w:szCs w:val="20"/>
          <w:lang w:val="es-ES_tradnl"/>
          <w14:ligatures w14:val="standardContextual"/>
        </w:rPr>
        <w:t>[…]</w:t>
      </w:r>
    </w:p>
    <w:p w14:paraId="4543F958" w14:textId="16C50047" w:rsidR="00BD6251" w:rsidRPr="00AE76E2" w:rsidRDefault="00190BF6" w:rsidP="00BD6251">
      <w:pPr>
        <w:spacing w:after="0" w:line="240" w:lineRule="auto"/>
        <w:jc w:val="both"/>
        <w:rPr>
          <w:rFonts w:ascii="Verdana" w:eastAsia="Aptos" w:hAnsi="Verdana" w:cs="Arial"/>
          <w:bCs/>
          <w:color w:val="000000"/>
          <w:kern w:val="2"/>
          <w:sz w:val="20"/>
          <w:szCs w:val="20"/>
          <w:lang w:val="es-ES_tradnl"/>
          <w14:ligatures w14:val="standardContextual"/>
        </w:rPr>
      </w:pPr>
      <w:r w:rsidRPr="00190BF6">
        <w:rPr>
          <w:rFonts w:ascii="Verdana" w:eastAsia="Aptos" w:hAnsi="Verdana" w:cs="Arial"/>
          <w:bCs/>
          <w:color w:val="000000"/>
          <w:kern w:val="2"/>
          <w:sz w:val="20"/>
          <w:szCs w:val="20"/>
          <w:lang w:val="es-ES_tradnl"/>
          <w14:ligatures w14:val="standardContextual"/>
        </w:rPr>
        <w:t>De igual forma, esta Agencia ha reiterado la postura del Consejo de Estado, según la cual, por la naturaleza propia de las causales de rechazo, su aplicación es estricta y restrictiva, lo que significa que su interpretación gramatical prevalece sobre una interpretación extensiva o de otra índole, mediante la cual se pretenda ampliar su alcance. Al respecto, el Consejo de Estado sostuvo:</w:t>
      </w:r>
      <w:r>
        <w:rPr>
          <w:rFonts w:ascii="Verdana" w:eastAsia="Aptos" w:hAnsi="Verdana" w:cs="Arial"/>
          <w:bCs/>
          <w:color w:val="000000"/>
          <w:kern w:val="2"/>
          <w:sz w:val="20"/>
          <w:szCs w:val="20"/>
          <w:lang w:val="es-ES_tradnl"/>
          <w14:ligatures w14:val="standardContextual"/>
        </w:rPr>
        <w:t xml:space="preserve"> […]</w:t>
      </w:r>
    </w:p>
    <w:p w14:paraId="5BC18CAB" w14:textId="77777777" w:rsidR="00BD6251" w:rsidRPr="00AE76E2" w:rsidRDefault="00BD6251" w:rsidP="00BD6251">
      <w:pPr>
        <w:spacing w:after="0" w:line="278" w:lineRule="auto"/>
        <w:jc w:val="both"/>
        <w:rPr>
          <w:rFonts w:ascii="Verdana" w:eastAsia="Aptos" w:hAnsi="Verdana" w:cs="Arial"/>
          <w:b/>
          <w:color w:val="000000"/>
          <w:kern w:val="2"/>
          <w:lang w:val="es-ES_tradnl"/>
          <w14:ligatures w14:val="standardContextual"/>
        </w:rPr>
      </w:pPr>
    </w:p>
    <w:p w14:paraId="2B3E64F3" w14:textId="77777777" w:rsidR="00BD6251" w:rsidRPr="00AE76E2" w:rsidRDefault="00BD6251" w:rsidP="00BD6251">
      <w:pPr>
        <w:spacing w:after="0" w:line="276" w:lineRule="auto"/>
        <w:jc w:val="both"/>
        <w:rPr>
          <w:rFonts w:ascii="Verdana" w:eastAsia="Aptos" w:hAnsi="Verdana" w:cs="Times New Roman"/>
          <w:kern w:val="2"/>
          <w14:ligatures w14:val="standardContextual"/>
        </w:rPr>
      </w:pPr>
      <w:r w:rsidRPr="00AE76E2">
        <w:rPr>
          <w:rFonts w:ascii="Verdana" w:eastAsia="Aptos" w:hAnsi="Verdana" w:cs="Arial"/>
          <w:b/>
          <w:color w:val="000000"/>
          <w:kern w:val="2"/>
          <w:lang w:val="es-ES_tradnl"/>
          <w14:ligatures w14:val="standardContextual"/>
        </w:rPr>
        <w:t>DOCUMENTOS TIPO – Infraestructura de transporte – Causal</w:t>
      </w:r>
      <w:r>
        <w:rPr>
          <w:rFonts w:ascii="Verdana" w:eastAsia="Aptos" w:hAnsi="Verdana" w:cs="Arial"/>
          <w:b/>
          <w:color w:val="000000"/>
          <w:kern w:val="2"/>
          <w:lang w:val="es-ES_tradnl"/>
          <w14:ligatures w14:val="standardContextual"/>
        </w:rPr>
        <w:t xml:space="preserve">es de rechazo </w:t>
      </w:r>
      <w:r w:rsidRPr="00AE76E2">
        <w:rPr>
          <w:rFonts w:ascii="Verdana" w:eastAsia="Aptos" w:hAnsi="Verdana" w:cs="Arial"/>
          <w:b/>
          <w:color w:val="000000"/>
          <w:kern w:val="2"/>
          <w:lang w:val="es-ES_tradnl"/>
          <w14:ligatures w14:val="standardContextual"/>
        </w:rPr>
        <w:t>– Alcance</w:t>
      </w:r>
    </w:p>
    <w:p w14:paraId="13B3762D" w14:textId="77777777" w:rsidR="00BD6251" w:rsidRPr="00AE76E2" w:rsidRDefault="00BD6251" w:rsidP="00BD6251">
      <w:pPr>
        <w:spacing w:after="0" w:line="240" w:lineRule="auto"/>
        <w:rPr>
          <w:rFonts w:ascii="Verdana" w:eastAsia="Geomanist Light" w:hAnsi="Verdana" w:cs="Arial"/>
          <w:lang w:val="es-ES_tradnl"/>
        </w:rPr>
      </w:pPr>
    </w:p>
    <w:p w14:paraId="0CBC482D" w14:textId="27C4CC88" w:rsidR="00190BF6" w:rsidRDefault="00190BF6" w:rsidP="00190BF6">
      <w:pPr>
        <w:snapToGrid w:val="0"/>
        <w:spacing w:after="0" w:line="240" w:lineRule="auto"/>
        <w:jc w:val="both"/>
        <w:rPr>
          <w:rFonts w:ascii="Verdana" w:eastAsia="Aptos" w:hAnsi="Verdana" w:cs="Arial"/>
          <w:color w:val="000000"/>
          <w:kern w:val="2"/>
          <w:sz w:val="20"/>
          <w:szCs w:val="20"/>
          <w:bdr w:val="none" w:sz="0" w:space="0" w:color="auto" w:frame="1"/>
          <w:lang w:val="es-ES_tradnl"/>
          <w14:ligatures w14:val="standardContextual"/>
        </w:rPr>
      </w:pPr>
      <w:r w:rsidRPr="00190BF6">
        <w:rPr>
          <w:rFonts w:ascii="Verdana" w:eastAsia="Aptos" w:hAnsi="Verdana" w:cs="Arial"/>
          <w:color w:val="000000"/>
          <w:kern w:val="2"/>
          <w:sz w:val="20"/>
          <w:szCs w:val="20"/>
          <w:bdr w:val="none" w:sz="0" w:space="0" w:color="auto" w:frame="1"/>
          <w:lang w:val="es-ES_tradnl"/>
          <w14:ligatures w14:val="standardContextual"/>
        </w:rPr>
        <w:t>Ahora bien, los documentos tipo contienen parámetros obligatorios para las entidades estatales sometidas al Estatuto General de Contratación de la Administración Pública que adelanten la tipología contractual que estos se encarguen de desarrollar. En la versión 4 de los documentos tipo de licitación pública de obra de infraestructura de transporte, se incluyeron causales de rechazo relacionadas con la presentación de la oferta y la información que deben acreditar los proponentes para participar en los procesos de contratación, las cuales pueden resultar aplicables dependiendo de las particularidades de cada situación, sin que sea posible incluir causales diferentes a las contempladas en los documentos tipo o en la ley.</w:t>
      </w:r>
    </w:p>
    <w:p w14:paraId="1792FC8B" w14:textId="77777777" w:rsidR="00190BF6" w:rsidRPr="00190BF6" w:rsidRDefault="00190BF6" w:rsidP="00190BF6">
      <w:pPr>
        <w:snapToGrid w:val="0"/>
        <w:spacing w:after="0" w:line="240" w:lineRule="auto"/>
        <w:jc w:val="both"/>
        <w:rPr>
          <w:rFonts w:ascii="Verdana" w:eastAsia="Aptos" w:hAnsi="Verdana" w:cs="Arial"/>
          <w:color w:val="000000"/>
          <w:kern w:val="2"/>
          <w:sz w:val="20"/>
          <w:szCs w:val="20"/>
          <w:bdr w:val="none" w:sz="0" w:space="0" w:color="auto" w:frame="1"/>
          <w:lang w:val="es-ES_tradnl"/>
          <w14:ligatures w14:val="standardContextual"/>
        </w:rPr>
      </w:pPr>
    </w:p>
    <w:p w14:paraId="56EDC1F5" w14:textId="2E299268" w:rsidR="00BD6251" w:rsidRPr="00EC6811" w:rsidRDefault="00190BF6" w:rsidP="00190BF6">
      <w:pPr>
        <w:snapToGrid w:val="0"/>
        <w:spacing w:after="0" w:line="240" w:lineRule="auto"/>
        <w:jc w:val="both"/>
        <w:rPr>
          <w:rFonts w:ascii="Verdana" w:eastAsia="Calibri" w:hAnsi="Verdana" w:cs="Arial"/>
          <w:color w:val="0D0D0D"/>
          <w:sz w:val="20"/>
          <w:szCs w:val="20"/>
        </w:rPr>
      </w:pPr>
      <w:r w:rsidRPr="00190BF6">
        <w:rPr>
          <w:rFonts w:ascii="Verdana" w:eastAsia="Aptos" w:hAnsi="Verdana" w:cs="Arial"/>
          <w:color w:val="000000"/>
          <w:kern w:val="2"/>
          <w:sz w:val="20"/>
          <w:szCs w:val="20"/>
          <w:bdr w:val="none" w:sz="0" w:space="0" w:color="auto" w:frame="1"/>
          <w:lang w:val="es-ES_tradnl"/>
          <w14:ligatures w14:val="standardContextual"/>
        </w:rPr>
        <w:t>Por lo tanto,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63C46B3" w14:textId="77777777" w:rsidR="00BD6251" w:rsidRDefault="00BD6251" w:rsidP="00BD6251">
      <w:pPr>
        <w:spacing w:after="0" w:line="240" w:lineRule="auto"/>
        <w:rPr>
          <w:rFonts w:ascii="Verdana" w:eastAsia="Aptos" w:hAnsi="Verdana" w:cs="Times New Roman"/>
          <w:b/>
          <w:bCs/>
          <w:color w:val="000000"/>
        </w:rPr>
      </w:pPr>
    </w:p>
    <w:p w14:paraId="7EA1663E" w14:textId="77777777" w:rsidR="00190BF6" w:rsidRDefault="00190BF6" w:rsidP="00BD6251">
      <w:pPr>
        <w:spacing w:after="0" w:line="240" w:lineRule="auto"/>
        <w:rPr>
          <w:rFonts w:ascii="Verdana" w:eastAsia="Aptos" w:hAnsi="Verdana" w:cs="Times New Roman"/>
          <w:b/>
          <w:bCs/>
          <w:color w:val="000000"/>
        </w:rPr>
      </w:pPr>
    </w:p>
    <w:p w14:paraId="6D8A28AA" w14:textId="77777777" w:rsidR="00190BF6" w:rsidRDefault="00190BF6" w:rsidP="00BD6251">
      <w:pPr>
        <w:spacing w:after="0" w:line="240" w:lineRule="auto"/>
        <w:rPr>
          <w:rFonts w:ascii="Verdana" w:eastAsia="Aptos" w:hAnsi="Verdana" w:cs="Times New Roman"/>
          <w:b/>
          <w:bCs/>
          <w:color w:val="000000"/>
        </w:rPr>
      </w:pPr>
    </w:p>
    <w:p w14:paraId="07AA261D" w14:textId="77777777" w:rsidR="00190BF6" w:rsidRDefault="00190BF6" w:rsidP="00BD6251">
      <w:pPr>
        <w:spacing w:after="0" w:line="240" w:lineRule="auto"/>
        <w:rPr>
          <w:rFonts w:ascii="Verdana" w:eastAsia="Aptos" w:hAnsi="Verdana" w:cs="Times New Roman"/>
          <w:b/>
          <w:bCs/>
          <w:color w:val="000000"/>
        </w:rPr>
      </w:pPr>
    </w:p>
    <w:p w14:paraId="2B01BC14" w14:textId="77023BBF" w:rsidR="00BD6251" w:rsidRDefault="00D44265" w:rsidP="00BD6251">
      <w:pPr>
        <w:spacing w:after="0" w:line="240" w:lineRule="auto"/>
        <w:rPr>
          <w:rFonts w:ascii="Verdana" w:hAnsi="Verdana"/>
        </w:rPr>
      </w:pPr>
      <w:r>
        <w:rPr>
          <w:rFonts w:ascii="Verdana" w:hAnsi="Verdana"/>
          <w:noProof/>
        </w:rPr>
        <w:lastRenderedPageBreak/>
        <w:drawing>
          <wp:anchor distT="0" distB="0" distL="114300" distR="114300" simplePos="0" relativeHeight="251657216" behindDoc="0" locked="0" layoutInCell="1" allowOverlap="1" wp14:anchorId="1BEDD068" wp14:editId="20F1453A">
            <wp:simplePos x="0" y="0"/>
            <wp:positionH relativeFrom="column">
              <wp:posOffset>2910840</wp:posOffset>
            </wp:positionH>
            <wp:positionV relativeFrom="paragraph">
              <wp:posOffset>168275</wp:posOffset>
            </wp:positionV>
            <wp:extent cx="2701925" cy="753745"/>
            <wp:effectExtent l="0" t="0" r="3175" b="8255"/>
            <wp:wrapSquare wrapText="bothSides"/>
            <wp:docPr id="189121669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1216695" name="Imagen 189121669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01925" cy="753745"/>
                    </a:xfrm>
                    <a:prstGeom prst="rect">
                      <a:avLst/>
                    </a:prstGeom>
                  </pic:spPr>
                </pic:pic>
              </a:graphicData>
            </a:graphic>
            <wp14:sizeRelH relativeFrom="margin">
              <wp14:pctWidth>0</wp14:pctWidth>
            </wp14:sizeRelH>
          </wp:anchor>
        </w:drawing>
      </w:r>
      <w:r w:rsidR="00BD6251" w:rsidRPr="0024624F">
        <w:rPr>
          <w:rFonts w:ascii="Verdana" w:hAnsi="Verdana"/>
        </w:rPr>
        <w:t>Bogotá D.C.</w:t>
      </w:r>
      <w:r w:rsidR="00735538">
        <w:rPr>
          <w:rFonts w:ascii="Verdana" w:hAnsi="Verdana"/>
        </w:rPr>
        <w:t xml:space="preserve">, </w:t>
      </w:r>
      <w:r w:rsidR="00CC127E">
        <w:rPr>
          <w:rFonts w:ascii="Verdana" w:hAnsi="Verdana"/>
        </w:rPr>
        <w:t xml:space="preserve">26 </w:t>
      </w:r>
      <w:proofErr w:type="gramStart"/>
      <w:r w:rsidR="00CC127E">
        <w:rPr>
          <w:rFonts w:ascii="Verdana" w:hAnsi="Verdana"/>
        </w:rPr>
        <w:t>Diciembre</w:t>
      </w:r>
      <w:proofErr w:type="gramEnd"/>
      <w:r w:rsidR="00CC127E">
        <w:rPr>
          <w:rFonts w:ascii="Verdana" w:hAnsi="Verdana"/>
        </w:rPr>
        <w:t xml:space="preserve"> 2025</w:t>
      </w:r>
    </w:p>
    <w:p w14:paraId="5ECA84B5" w14:textId="6D29C89E" w:rsidR="00BD6251" w:rsidRPr="00CC127E" w:rsidRDefault="00BD6251" w:rsidP="00CC127E">
      <w:pPr>
        <w:spacing w:after="0" w:line="240" w:lineRule="auto"/>
        <w:jc w:val="right"/>
        <w:rPr>
          <w:rFonts w:ascii="Verdana" w:hAnsi="Verdana"/>
        </w:rPr>
      </w:pPr>
    </w:p>
    <w:p w14:paraId="61712F2C" w14:textId="77777777" w:rsidR="00BD6251" w:rsidRPr="00D36816" w:rsidRDefault="00BD6251" w:rsidP="00BD6251">
      <w:pPr>
        <w:spacing w:after="0" w:line="240" w:lineRule="auto"/>
        <w:rPr>
          <w:rFonts w:ascii="Verdana" w:eastAsia="Calibri" w:hAnsi="Verdana" w:cs="Arial"/>
          <w:lang w:val="es-ES" w:eastAsia="es-ES"/>
        </w:rPr>
      </w:pPr>
      <w:r w:rsidRPr="00D36816">
        <w:rPr>
          <w:rFonts w:ascii="Verdana" w:eastAsia="Calibri" w:hAnsi="Verdana" w:cs="Arial"/>
          <w:lang w:val="es-ES" w:eastAsia="es-ES"/>
        </w:rPr>
        <w:t>Señor</w:t>
      </w:r>
    </w:p>
    <w:p w14:paraId="4E2B8546" w14:textId="77777777" w:rsidR="00BD6251" w:rsidRPr="00D36816" w:rsidRDefault="00BD6251" w:rsidP="00BD6251">
      <w:pPr>
        <w:spacing w:after="0" w:line="240" w:lineRule="auto"/>
        <w:rPr>
          <w:rFonts w:ascii="Verdana" w:eastAsia="Calibri" w:hAnsi="Verdana" w:cs="Arial"/>
          <w:b/>
          <w:bCs/>
          <w:lang w:val="es-ES" w:eastAsia="es-ES"/>
        </w:rPr>
      </w:pPr>
      <w:r>
        <w:rPr>
          <w:rFonts w:ascii="Verdana" w:eastAsia="Calibri" w:hAnsi="Verdana" w:cs="Arial"/>
          <w:b/>
          <w:bCs/>
          <w:lang w:val="es-ES" w:eastAsia="es-ES"/>
        </w:rPr>
        <w:t xml:space="preserve">Anderson </w:t>
      </w:r>
      <w:proofErr w:type="spellStart"/>
      <w:r>
        <w:rPr>
          <w:rFonts w:ascii="Verdana" w:eastAsia="Calibri" w:hAnsi="Verdana" w:cs="Arial"/>
          <w:b/>
          <w:bCs/>
          <w:lang w:val="es-ES" w:eastAsia="es-ES"/>
        </w:rPr>
        <w:t>Stiven</w:t>
      </w:r>
      <w:proofErr w:type="spellEnd"/>
      <w:r>
        <w:rPr>
          <w:rFonts w:ascii="Verdana" w:eastAsia="Calibri" w:hAnsi="Verdana" w:cs="Arial"/>
          <w:b/>
          <w:bCs/>
          <w:lang w:val="es-ES" w:eastAsia="es-ES"/>
        </w:rPr>
        <w:t xml:space="preserve"> Hernández</w:t>
      </w:r>
    </w:p>
    <w:p w14:paraId="76A4A38C" w14:textId="77777777" w:rsidR="00BD6251" w:rsidRDefault="00BD6251" w:rsidP="00BD6251">
      <w:pPr>
        <w:spacing w:after="0" w:line="240" w:lineRule="auto"/>
        <w:rPr>
          <w:rFonts w:ascii="Verdana" w:eastAsia="Calibri" w:hAnsi="Verdana" w:cs="Arial"/>
          <w:b/>
          <w:bCs/>
          <w:lang w:val="es-ES_tradnl" w:eastAsia="es-ES_tradnl"/>
        </w:rPr>
      </w:pPr>
      <w:r>
        <w:rPr>
          <w:rFonts w:ascii="Verdana" w:eastAsia="Calibri" w:hAnsi="Verdana" w:cs="Arial"/>
          <w:lang w:val="es-ES" w:eastAsia="es-ES"/>
        </w:rPr>
        <w:t>Bogotá, D.C.</w:t>
      </w:r>
    </w:p>
    <w:p w14:paraId="252318E3" w14:textId="77777777" w:rsidR="00BD6251" w:rsidRPr="00D36816" w:rsidRDefault="00BD6251" w:rsidP="00BD6251">
      <w:pPr>
        <w:spacing w:after="0" w:line="240" w:lineRule="auto"/>
        <w:rPr>
          <w:rFonts w:ascii="Verdana" w:eastAsia="Calibri" w:hAnsi="Verdana" w:cs="Arial"/>
          <w:b/>
          <w:bCs/>
          <w:lang w:val="es-ES_tradnl" w:eastAsia="es-ES_tradnl"/>
        </w:rPr>
      </w:pPr>
    </w:p>
    <w:tbl>
      <w:tblPr>
        <w:tblStyle w:val="Tablaconcuadrcula"/>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662"/>
      </w:tblGrid>
      <w:tr w:rsidR="00BD6251" w:rsidRPr="00D36816" w14:paraId="2EFE14A0" w14:textId="77777777" w:rsidTr="00B9141B">
        <w:trPr>
          <w:trHeight w:val="229"/>
        </w:trPr>
        <w:tc>
          <w:tcPr>
            <w:tcW w:w="2410" w:type="dxa"/>
          </w:tcPr>
          <w:p w14:paraId="4E7E8D03" w14:textId="77777777" w:rsidR="00BD6251" w:rsidRPr="00D36816" w:rsidRDefault="00BD6251" w:rsidP="00B9141B">
            <w:pPr>
              <w:jc w:val="both"/>
              <w:rPr>
                <w:rFonts w:ascii="Verdana" w:eastAsia="Calibri" w:hAnsi="Verdana" w:cs="Arial"/>
                <w:b/>
                <w:bCs/>
                <w:lang w:val="es-ES_tradnl" w:eastAsia="es-ES_tradnl"/>
              </w:rPr>
            </w:pPr>
          </w:p>
        </w:tc>
        <w:tc>
          <w:tcPr>
            <w:tcW w:w="6662" w:type="dxa"/>
          </w:tcPr>
          <w:p w14:paraId="67F4900B" w14:textId="77777777" w:rsidR="00BD6251" w:rsidRPr="00D36816" w:rsidRDefault="00BD6251" w:rsidP="00B9141B">
            <w:pPr>
              <w:jc w:val="both"/>
              <w:rPr>
                <w:rFonts w:ascii="Verdana" w:eastAsia="Calibri" w:hAnsi="Verdana" w:cs="Arial"/>
                <w:b/>
                <w:bCs/>
                <w:lang w:val="es-ES" w:eastAsia="es-ES"/>
              </w:rPr>
            </w:pPr>
            <w:r w:rsidRPr="00D36816">
              <w:rPr>
                <w:rFonts w:ascii="Verdana" w:eastAsia="Calibri" w:hAnsi="Verdana" w:cs="Arial"/>
                <w:b/>
                <w:bCs/>
                <w:lang w:val="es-ES" w:eastAsia="es-ES"/>
              </w:rPr>
              <w:t>Concepto C</w:t>
            </w:r>
            <w:r>
              <w:rPr>
                <w:rFonts w:ascii="Verdana" w:eastAsia="Calibri" w:hAnsi="Verdana" w:cs="Arial"/>
                <w:b/>
                <w:bCs/>
                <w:lang w:val="es-ES" w:eastAsia="es-ES"/>
              </w:rPr>
              <w:t xml:space="preserve"> – 1735</w:t>
            </w:r>
            <w:r w:rsidRPr="00D36816">
              <w:rPr>
                <w:rFonts w:ascii="Verdana" w:eastAsia="Calibri" w:hAnsi="Verdana" w:cs="Arial"/>
                <w:b/>
                <w:bCs/>
                <w:lang w:val="es-ES" w:eastAsia="es-ES"/>
              </w:rPr>
              <w:t xml:space="preserve"> de 2025</w:t>
            </w:r>
          </w:p>
          <w:p w14:paraId="2C46DBAD" w14:textId="77777777" w:rsidR="00BD6251" w:rsidRDefault="00BD6251" w:rsidP="00B9141B">
            <w:pPr>
              <w:jc w:val="both"/>
              <w:rPr>
                <w:rFonts w:ascii="Verdana" w:eastAsia="Calibri" w:hAnsi="Verdana" w:cs="Arial"/>
                <w:b/>
                <w:bCs/>
                <w:lang w:val="es-ES" w:eastAsia="es-ES"/>
              </w:rPr>
            </w:pPr>
          </w:p>
          <w:p w14:paraId="356641FB" w14:textId="77777777" w:rsidR="00BD6251" w:rsidRPr="00D36816" w:rsidRDefault="00BD6251" w:rsidP="00B9141B">
            <w:pPr>
              <w:jc w:val="both"/>
              <w:rPr>
                <w:rFonts w:ascii="Verdana" w:eastAsia="Calibri" w:hAnsi="Verdana" w:cs="Arial"/>
                <w:b/>
                <w:bCs/>
                <w:lang w:val="es-ES" w:eastAsia="es-ES"/>
              </w:rPr>
            </w:pPr>
          </w:p>
        </w:tc>
      </w:tr>
      <w:tr w:rsidR="00BD6251" w:rsidRPr="00D36816" w14:paraId="0097CC8D" w14:textId="77777777" w:rsidTr="00B9141B">
        <w:trPr>
          <w:trHeight w:val="884"/>
        </w:trPr>
        <w:tc>
          <w:tcPr>
            <w:tcW w:w="2410" w:type="dxa"/>
          </w:tcPr>
          <w:p w14:paraId="6469FAD1" w14:textId="77777777" w:rsidR="00BD6251" w:rsidRPr="00EC6811" w:rsidRDefault="00BD6251" w:rsidP="00B9141B">
            <w:pPr>
              <w:spacing w:line="276" w:lineRule="auto"/>
              <w:jc w:val="both"/>
              <w:rPr>
                <w:rFonts w:ascii="Verdana" w:eastAsia="Calibri" w:hAnsi="Verdana" w:cs="Arial"/>
                <w:b/>
                <w:lang w:val="es-ES_tradnl" w:eastAsia="es-ES_tradnl"/>
              </w:rPr>
            </w:pPr>
            <w:r w:rsidRPr="00EC6811">
              <w:rPr>
                <w:rFonts w:ascii="Verdana" w:eastAsia="Calibri" w:hAnsi="Verdana" w:cs="Arial"/>
                <w:b/>
                <w:lang w:val="es-ES_tradnl" w:eastAsia="es-ES_tradnl"/>
              </w:rPr>
              <w:t xml:space="preserve">Temas:                   </w:t>
            </w:r>
          </w:p>
        </w:tc>
        <w:tc>
          <w:tcPr>
            <w:tcW w:w="6662" w:type="dxa"/>
          </w:tcPr>
          <w:p w14:paraId="50C802B6" w14:textId="77777777" w:rsidR="00BD6251" w:rsidRPr="00EC6811" w:rsidRDefault="00BD6251" w:rsidP="00B9141B">
            <w:pPr>
              <w:spacing w:line="276" w:lineRule="auto"/>
              <w:jc w:val="both"/>
              <w:rPr>
                <w:rFonts w:ascii="Verdana" w:eastAsia="Aptos" w:hAnsi="Verdana" w:cs="Times New Roman"/>
                <w:bCs/>
                <w:kern w:val="2"/>
                <w14:ligatures w14:val="standardContextual"/>
              </w:rPr>
            </w:pPr>
            <w:r w:rsidRPr="00EC6811">
              <w:rPr>
                <w:rFonts w:ascii="Verdana" w:eastAsia="Aptos" w:hAnsi="Verdana" w:cs="Times New Roman"/>
                <w:bCs/>
                <w:color w:val="000000"/>
              </w:rPr>
              <w:t xml:space="preserve">DOCUMENTOS TIPO – Fundamento normativo – Obligatoriedad / DOCUMENTOS TIPO – Infraestructura de transporte – Versión 4 – Acreditación de Experiencia – Particulares / ACREDITACIÓN DE EXPERIENCIA – Subcontratos – Documentos tipo –Infraestructura de transporte – Versión 4 / </w:t>
            </w:r>
            <w:r w:rsidRPr="00EC6811">
              <w:rPr>
                <w:rFonts w:ascii="Verdana" w:eastAsia="Calibri" w:hAnsi="Verdana" w:cs="Arial"/>
                <w:bCs/>
                <w:color w:val="0D0D0D"/>
                <w:lang w:val="es-MX"/>
              </w:rPr>
              <w:t xml:space="preserve">AUTO CERTIFICACIONES </w:t>
            </w:r>
            <w:r w:rsidRPr="00EC6811">
              <w:rPr>
                <w:rFonts w:ascii="Verdana" w:eastAsia="Aptos" w:hAnsi="Verdana" w:cs="Times New Roman"/>
                <w:bCs/>
                <w:color w:val="000000"/>
              </w:rPr>
              <w:t xml:space="preserve">– Documentos tipo – Infraestructura de transporte – Versión 4 – Alcance / </w:t>
            </w:r>
            <w:r w:rsidRPr="00EC6811">
              <w:rPr>
                <w:rFonts w:ascii="Verdana" w:eastAsia="Aptos" w:hAnsi="Verdana" w:cs="Arial"/>
                <w:bCs/>
                <w:color w:val="000000"/>
                <w:kern w:val="2"/>
                <w:lang w:val="es-ES_tradnl"/>
                <w14:ligatures w14:val="standardContextual"/>
              </w:rPr>
              <w:t>CAUSALES DE RECHAZO – Principio de legalidad – Configuración – Documentos Tipo / DOCUMENTOS TIPO – Infraestructura de transporte – Causales de rechazo – Alcance</w:t>
            </w:r>
          </w:p>
          <w:p w14:paraId="241CD157" w14:textId="77777777" w:rsidR="00BD6251" w:rsidRPr="00EC6811" w:rsidRDefault="00BD6251" w:rsidP="00B9141B">
            <w:pPr>
              <w:snapToGrid w:val="0"/>
              <w:spacing w:line="276" w:lineRule="auto"/>
              <w:jc w:val="both"/>
              <w:rPr>
                <w:rFonts w:ascii="Verdana" w:eastAsia="Aptos" w:hAnsi="Verdana" w:cs="Times New Roman"/>
                <w:bCs/>
                <w:color w:val="000000"/>
              </w:rPr>
            </w:pPr>
          </w:p>
        </w:tc>
      </w:tr>
      <w:tr w:rsidR="00BD6251" w:rsidRPr="00D36816" w14:paraId="6E731EBF" w14:textId="77777777" w:rsidTr="00B9141B">
        <w:tc>
          <w:tcPr>
            <w:tcW w:w="2410" w:type="dxa"/>
          </w:tcPr>
          <w:p w14:paraId="5A8EFDCF" w14:textId="77777777" w:rsidR="00BD6251" w:rsidRPr="00EC6811" w:rsidRDefault="00BD6251" w:rsidP="00B9141B">
            <w:pPr>
              <w:spacing w:line="276" w:lineRule="auto"/>
              <w:jc w:val="both"/>
              <w:rPr>
                <w:rFonts w:ascii="Verdana" w:eastAsia="Calibri" w:hAnsi="Verdana" w:cs="Arial"/>
                <w:b/>
                <w:lang w:val="es-ES_tradnl" w:eastAsia="es-ES_tradnl"/>
              </w:rPr>
            </w:pPr>
            <w:r w:rsidRPr="00EC6811">
              <w:rPr>
                <w:rFonts w:ascii="Verdana" w:eastAsia="Calibri" w:hAnsi="Verdana" w:cs="Arial"/>
                <w:b/>
                <w:lang w:val="es-ES_tradnl" w:eastAsia="es-ES_tradnl"/>
              </w:rPr>
              <w:t xml:space="preserve">Radicación:               </w:t>
            </w:r>
          </w:p>
        </w:tc>
        <w:tc>
          <w:tcPr>
            <w:tcW w:w="6662" w:type="dxa"/>
          </w:tcPr>
          <w:p w14:paraId="3AABDE12" w14:textId="77777777" w:rsidR="00BD6251" w:rsidRPr="00EC6811" w:rsidRDefault="00BD6251" w:rsidP="00B9141B">
            <w:pPr>
              <w:spacing w:line="276" w:lineRule="auto"/>
              <w:jc w:val="both"/>
              <w:rPr>
                <w:rFonts w:ascii="Verdana" w:eastAsia="Calibri" w:hAnsi="Verdana" w:cs="Arial"/>
                <w:bCs/>
                <w:lang w:val="es-ES_tradnl" w:eastAsia="es-ES_tradnl"/>
              </w:rPr>
            </w:pPr>
            <w:r w:rsidRPr="00EC6811">
              <w:rPr>
                <w:rFonts w:ascii="Verdana" w:eastAsia="Calibri" w:hAnsi="Verdana" w:cs="Arial"/>
                <w:bCs/>
                <w:lang w:val="es-ES_tradnl" w:eastAsia="es-ES_tradnl"/>
              </w:rPr>
              <w:t>Respuesta a consulta con radicado No. 1_2025_11_24_013211</w:t>
            </w:r>
          </w:p>
        </w:tc>
      </w:tr>
    </w:tbl>
    <w:p w14:paraId="516F66CB" w14:textId="77777777" w:rsidR="00BD6251" w:rsidRDefault="00BD6251" w:rsidP="00BD6251">
      <w:pPr>
        <w:spacing w:after="0" w:line="240" w:lineRule="auto"/>
        <w:jc w:val="both"/>
        <w:rPr>
          <w:rFonts w:ascii="Verdana" w:eastAsia="Calibri" w:hAnsi="Verdana" w:cs="Arial"/>
          <w:lang w:val="es-ES_tradnl" w:eastAsia="es-ES_tradnl"/>
        </w:rPr>
      </w:pPr>
    </w:p>
    <w:p w14:paraId="39C758AE" w14:textId="77777777" w:rsidR="00BD6251" w:rsidRPr="00D36816" w:rsidRDefault="00BD6251" w:rsidP="00BD6251">
      <w:pPr>
        <w:spacing w:after="0" w:line="240" w:lineRule="auto"/>
        <w:jc w:val="both"/>
        <w:rPr>
          <w:rFonts w:ascii="Verdana" w:eastAsia="Calibri" w:hAnsi="Verdana" w:cs="Arial"/>
          <w:lang w:val="es-ES_tradnl" w:eastAsia="es-ES_tradnl"/>
        </w:rPr>
      </w:pPr>
    </w:p>
    <w:p w14:paraId="2FA1EA5F" w14:textId="77777777" w:rsidR="00BD6251" w:rsidRPr="00D36816" w:rsidRDefault="00BD6251" w:rsidP="00BD6251">
      <w:pPr>
        <w:spacing w:after="0" w:line="276" w:lineRule="auto"/>
        <w:jc w:val="both"/>
        <w:rPr>
          <w:rFonts w:ascii="Verdana" w:eastAsia="Calibri" w:hAnsi="Verdana" w:cs="Arial"/>
          <w:lang w:val="es-ES" w:eastAsia="es-ES"/>
        </w:rPr>
      </w:pPr>
      <w:r w:rsidRPr="00D36816">
        <w:rPr>
          <w:rFonts w:ascii="Verdana" w:eastAsia="Calibri" w:hAnsi="Verdana" w:cs="Arial"/>
          <w:lang w:val="es-ES" w:eastAsia="es-ES"/>
        </w:rPr>
        <w:t xml:space="preserve">Estimado señor </w:t>
      </w:r>
      <w:r>
        <w:rPr>
          <w:rFonts w:ascii="Verdana" w:eastAsia="Calibri" w:hAnsi="Verdana" w:cs="Arial"/>
          <w:lang w:val="es-ES" w:eastAsia="es-ES"/>
        </w:rPr>
        <w:t>Hernández</w:t>
      </w:r>
      <w:r w:rsidRPr="00D36816">
        <w:rPr>
          <w:rFonts w:ascii="Verdana" w:eastAsia="Calibri" w:hAnsi="Verdana" w:cs="Arial"/>
          <w:lang w:val="es-ES" w:eastAsia="es-ES"/>
        </w:rPr>
        <w:t xml:space="preserve">: </w:t>
      </w:r>
    </w:p>
    <w:p w14:paraId="71A90C36" w14:textId="77777777" w:rsidR="00BD6251" w:rsidRPr="00D36816" w:rsidRDefault="00BD6251" w:rsidP="00BD6251">
      <w:pPr>
        <w:tabs>
          <w:tab w:val="left" w:pos="3768"/>
        </w:tabs>
        <w:spacing w:after="0" w:line="276" w:lineRule="auto"/>
        <w:jc w:val="both"/>
        <w:rPr>
          <w:rFonts w:ascii="Verdana" w:eastAsia="Calibri" w:hAnsi="Verdana" w:cs="Arial"/>
          <w:lang w:val="es-ES" w:eastAsia="es-ES"/>
        </w:rPr>
      </w:pPr>
      <w:r w:rsidRPr="00D36816">
        <w:rPr>
          <w:rFonts w:ascii="Verdana" w:eastAsia="Calibri" w:hAnsi="Verdana" w:cs="Arial"/>
          <w:lang w:val="es-ES" w:eastAsia="es-ES"/>
        </w:rPr>
        <w:tab/>
      </w:r>
    </w:p>
    <w:p w14:paraId="7D465B51" w14:textId="77777777" w:rsidR="00BD6251" w:rsidRPr="00D36816" w:rsidRDefault="00BD6251" w:rsidP="00BD6251">
      <w:pPr>
        <w:spacing w:after="0" w:line="276" w:lineRule="auto"/>
        <w:jc w:val="both"/>
        <w:rPr>
          <w:rFonts w:ascii="Verdana" w:eastAsia="Calibri" w:hAnsi="Verdana" w:cs="Arial"/>
          <w:lang w:val="es-ES" w:eastAsia="es-ES"/>
        </w:rPr>
      </w:pPr>
      <w:r w:rsidRPr="00D36816">
        <w:rPr>
          <w:rFonts w:ascii="Verdana" w:eastAsia="Calibri" w:hAnsi="Verdana" w:cs="Arial"/>
          <w:lang w:val="es-ES" w:eastAsia="es-ES"/>
        </w:rPr>
        <w:t>En ejercicio de la competencia otorgada por los artículos 3, numeral 5º, y 11, numeral 8º, del Decreto Ley 4170 de 2011,</w:t>
      </w:r>
      <w:r w:rsidRPr="00D36816">
        <w:rPr>
          <w:rFonts w:ascii="Verdana" w:eastAsia="Arial MT" w:hAnsi="Verdana" w:cs="Arial MT"/>
          <w:lang w:val="es-ES" w:eastAsia="es-ES"/>
        </w:rPr>
        <w:t xml:space="preserve"> </w:t>
      </w:r>
      <w:r w:rsidRPr="00D36816">
        <w:rPr>
          <w:rFonts w:ascii="Verdana" w:eastAsia="Aptos" w:hAnsi="Verdana" w:cs="Arial"/>
        </w:rPr>
        <w:t xml:space="preserve">así como lo establecido en el artículo 4 de la Resolución 1707 de 2018 expedida por esta Entidad, </w:t>
      </w:r>
      <w:r w:rsidRPr="00D36816">
        <w:rPr>
          <w:rFonts w:ascii="Verdana" w:eastAsia="Calibri" w:hAnsi="Verdana" w:cs="Arial"/>
          <w:lang w:val="es-ES" w:eastAsia="es-ES"/>
        </w:rPr>
        <w:t>la Agencia Nacional de Contratación Pública –Colombia Compra Eficiente– responde su solicitud de consulta del 2</w:t>
      </w:r>
      <w:r>
        <w:rPr>
          <w:rFonts w:ascii="Verdana" w:eastAsia="Calibri" w:hAnsi="Verdana" w:cs="Arial"/>
          <w:lang w:val="es-ES" w:eastAsia="es-ES"/>
        </w:rPr>
        <w:t>4</w:t>
      </w:r>
      <w:r w:rsidRPr="00D36816">
        <w:rPr>
          <w:rFonts w:ascii="Verdana" w:eastAsia="Calibri" w:hAnsi="Verdana" w:cs="Arial"/>
          <w:lang w:val="es-ES" w:eastAsia="es-ES"/>
        </w:rPr>
        <w:t xml:space="preserve"> de </w:t>
      </w:r>
      <w:r>
        <w:rPr>
          <w:rFonts w:ascii="Verdana" w:eastAsia="Calibri" w:hAnsi="Verdana" w:cs="Arial"/>
          <w:lang w:val="es-ES" w:eastAsia="es-ES"/>
        </w:rPr>
        <w:t xml:space="preserve">noviembre </w:t>
      </w:r>
      <w:r w:rsidRPr="00D36816">
        <w:rPr>
          <w:rFonts w:ascii="Verdana" w:eastAsia="Calibri" w:hAnsi="Verdana" w:cs="Arial"/>
          <w:lang w:val="es-ES" w:eastAsia="es-ES"/>
        </w:rPr>
        <w:t xml:space="preserve">de 2025, en la cual manifiesta lo siguiente: </w:t>
      </w:r>
    </w:p>
    <w:p w14:paraId="0F2A1B41" w14:textId="77777777" w:rsidR="00BD6251" w:rsidRPr="00D36816" w:rsidRDefault="00BD6251" w:rsidP="00BD6251">
      <w:pPr>
        <w:tabs>
          <w:tab w:val="left" w:pos="142"/>
          <w:tab w:val="left" w:pos="284"/>
        </w:tabs>
        <w:spacing w:after="120" w:line="240" w:lineRule="auto"/>
        <w:ind w:left="709" w:right="709"/>
        <w:jc w:val="both"/>
        <w:rPr>
          <w:rFonts w:ascii="Verdana" w:eastAsia="Century Gothic" w:hAnsi="Verdana" w:cs="Arial"/>
          <w:b/>
          <w:bCs/>
          <w:sz w:val="21"/>
          <w:szCs w:val="21"/>
        </w:rPr>
      </w:pPr>
    </w:p>
    <w:p w14:paraId="5D644495" w14:textId="77777777" w:rsidR="00BD6251" w:rsidRPr="00FC15C3" w:rsidRDefault="00BD6251" w:rsidP="00BD6251">
      <w:pPr>
        <w:spacing w:after="0" w:line="240" w:lineRule="auto"/>
        <w:ind w:left="709" w:right="709"/>
        <w:jc w:val="both"/>
        <w:rPr>
          <w:rFonts w:ascii="Verdana" w:eastAsia="Aptos" w:hAnsi="Verdana" w:cs="Times New Roman"/>
          <w:kern w:val="2"/>
          <w:sz w:val="21"/>
          <w:szCs w:val="21"/>
          <w14:ligatures w14:val="standardContextual"/>
        </w:rPr>
      </w:pPr>
      <w:r w:rsidRPr="00FC15C3">
        <w:rPr>
          <w:rFonts w:ascii="Verdana" w:eastAsia="Aptos" w:hAnsi="Verdana" w:cs="Times New Roman"/>
          <w:kern w:val="2"/>
          <w:sz w:val="21"/>
          <w:szCs w:val="21"/>
          <w14:ligatures w14:val="standardContextual"/>
        </w:rPr>
        <w:t xml:space="preserve">“Como debe entenderse el numeral 3.5.3 literal K en el siguiente contexto: Un CONSORCIO AB que </w:t>
      </w:r>
      <w:proofErr w:type="spellStart"/>
      <w:r w:rsidRPr="00FC15C3">
        <w:rPr>
          <w:rFonts w:ascii="Verdana" w:eastAsia="Aptos" w:hAnsi="Verdana" w:cs="Times New Roman"/>
          <w:kern w:val="2"/>
          <w:sz w:val="21"/>
          <w:szCs w:val="21"/>
          <w14:ligatures w14:val="standardContextual"/>
        </w:rPr>
        <w:t>esta</w:t>
      </w:r>
      <w:proofErr w:type="spellEnd"/>
      <w:r w:rsidRPr="00FC15C3">
        <w:rPr>
          <w:rFonts w:ascii="Verdana" w:eastAsia="Aptos" w:hAnsi="Verdana" w:cs="Times New Roman"/>
          <w:kern w:val="2"/>
          <w:sz w:val="21"/>
          <w:szCs w:val="21"/>
          <w14:ligatures w14:val="standardContextual"/>
        </w:rPr>
        <w:t xml:space="preserve"> constituido por las empresas A 75% y B 25% , y a su vez el CONSORCIO AB certifica a un subcontratista C quien aparentemente ejecutó parte de las actividades contractuales, No obstante en la composición accionaria del </w:t>
      </w:r>
      <w:r w:rsidRPr="00FC15C3">
        <w:rPr>
          <w:rFonts w:ascii="Verdana" w:eastAsia="Aptos" w:hAnsi="Verdana" w:cs="Times New Roman"/>
          <w:kern w:val="2"/>
          <w:sz w:val="21"/>
          <w:szCs w:val="21"/>
          <w14:ligatures w14:val="standardContextual"/>
        </w:rPr>
        <w:lastRenderedPageBreak/>
        <w:t xml:space="preserve">subcontratista C, aparece la empresa A con el 1% del capital de la empresa. En ese entendido se estaría incurriendo en lo descrito en el numeral 3.5.3 literal K?. Adicionalmente en que causal de rechazo se incurriría si en los informes de interventoría y de la entidad estatal el subcontratista C, nunca realizo las actividades que certificó el CONSORCIO AB y que incidencias tendría sobre la regla de transparencia, buena </w:t>
      </w:r>
      <w:proofErr w:type="spellStart"/>
      <w:r w:rsidRPr="00FC15C3">
        <w:rPr>
          <w:rFonts w:ascii="Verdana" w:eastAsia="Aptos" w:hAnsi="Verdana" w:cs="Times New Roman"/>
          <w:kern w:val="2"/>
          <w:sz w:val="21"/>
          <w:szCs w:val="21"/>
          <w14:ligatures w14:val="standardContextual"/>
        </w:rPr>
        <w:t>fé</w:t>
      </w:r>
      <w:proofErr w:type="spellEnd"/>
      <w:r w:rsidRPr="00FC15C3">
        <w:rPr>
          <w:rFonts w:ascii="Verdana" w:eastAsia="Aptos" w:hAnsi="Verdana" w:cs="Times New Roman"/>
          <w:kern w:val="2"/>
          <w:sz w:val="21"/>
          <w:szCs w:val="21"/>
          <w14:ligatures w14:val="standardContextual"/>
        </w:rPr>
        <w:t>, imparcialidad, y responsabilidad? Que actuaciones se deberían presentar ante estos hechos”.</w:t>
      </w:r>
    </w:p>
    <w:p w14:paraId="6AA7FC44" w14:textId="77777777" w:rsidR="00BD6251" w:rsidRPr="00FC15C3" w:rsidRDefault="00BD6251" w:rsidP="00BD6251">
      <w:pPr>
        <w:spacing w:after="0" w:line="240" w:lineRule="auto"/>
        <w:ind w:left="709" w:right="709"/>
        <w:jc w:val="both"/>
        <w:rPr>
          <w:rFonts w:ascii="Verdana" w:eastAsia="Aptos" w:hAnsi="Verdana" w:cs="Arial"/>
        </w:rPr>
      </w:pPr>
    </w:p>
    <w:p w14:paraId="4985AB5F" w14:textId="77777777" w:rsidR="00BD6251" w:rsidRPr="00D36816" w:rsidRDefault="00BD6251" w:rsidP="00BD6251">
      <w:pPr>
        <w:spacing w:after="120" w:line="276" w:lineRule="auto"/>
        <w:ind w:firstLine="709"/>
        <w:jc w:val="both"/>
        <w:rPr>
          <w:rFonts w:ascii="Verdana" w:eastAsia="Calibri" w:hAnsi="Verdana" w:cs="Arial"/>
          <w:lang w:val="es-ES_tradnl" w:eastAsia="es-ES_tradnl"/>
        </w:rPr>
      </w:pPr>
      <w:r w:rsidRPr="00D36816">
        <w:rPr>
          <w:rFonts w:ascii="Verdana" w:eastAsia="Calibri" w:hAnsi="Verdana" w:cs="Arial"/>
          <w:lang w:val="es-ES" w:eastAsia="es-ES"/>
        </w:rPr>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D36816">
        <w:rPr>
          <w:rFonts w:ascii="Verdana" w:eastAsia="Calibri" w:hAnsi="Verdana" w:cs="Arial"/>
          <w:lang w:val="es-ES_tradnl" w:eastAsia="es-ES_tradnl"/>
        </w:rPr>
        <w:tab/>
      </w:r>
    </w:p>
    <w:p w14:paraId="280C4038" w14:textId="77777777" w:rsidR="00BD6251" w:rsidRPr="00D36816" w:rsidRDefault="00BD6251" w:rsidP="00BD6251">
      <w:pPr>
        <w:spacing w:after="0" w:line="276" w:lineRule="auto"/>
        <w:ind w:firstLine="708"/>
        <w:jc w:val="both"/>
        <w:rPr>
          <w:rFonts w:ascii="Verdana" w:eastAsia="Calibri" w:hAnsi="Verdana" w:cs="Arial"/>
          <w:lang w:val="es-ES" w:eastAsia="es-ES"/>
        </w:rPr>
      </w:pPr>
      <w:r w:rsidRPr="00D36816">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9085C9D" w14:textId="77777777" w:rsidR="00BD6251" w:rsidRPr="00D36816" w:rsidRDefault="00BD6251" w:rsidP="00BD6251">
      <w:pPr>
        <w:spacing w:after="0" w:line="276" w:lineRule="auto"/>
        <w:jc w:val="both"/>
        <w:rPr>
          <w:rFonts w:ascii="Verdana" w:eastAsia="Calibri" w:hAnsi="Verdana" w:cs="Arial"/>
          <w:lang w:val="es-ES" w:eastAsia="es-ES"/>
        </w:rPr>
      </w:pPr>
    </w:p>
    <w:p w14:paraId="50D5DCAF" w14:textId="77777777" w:rsidR="00BD6251" w:rsidRPr="00D36816" w:rsidRDefault="00BD6251" w:rsidP="00BD6251">
      <w:pPr>
        <w:numPr>
          <w:ilvl w:val="0"/>
          <w:numId w:val="17"/>
        </w:numPr>
        <w:tabs>
          <w:tab w:val="left" w:pos="142"/>
          <w:tab w:val="left" w:pos="284"/>
        </w:tabs>
        <w:spacing w:after="0" w:line="276" w:lineRule="auto"/>
        <w:jc w:val="both"/>
        <w:rPr>
          <w:rFonts w:ascii="Verdana" w:eastAsia="Century Gothic" w:hAnsi="Verdana" w:cs="Century Gothic"/>
          <w:b/>
          <w:bCs/>
        </w:rPr>
      </w:pPr>
      <w:r w:rsidRPr="00D36816">
        <w:rPr>
          <w:rFonts w:ascii="Verdana" w:eastAsia="Century Gothic" w:hAnsi="Verdana" w:cs="Century Gothic"/>
          <w:b/>
          <w:bCs/>
        </w:rPr>
        <w:t>Problema planteado:</w:t>
      </w:r>
    </w:p>
    <w:p w14:paraId="378003E9" w14:textId="77777777" w:rsidR="00BD6251" w:rsidRPr="00D36816" w:rsidRDefault="00BD6251" w:rsidP="00BD6251">
      <w:pPr>
        <w:tabs>
          <w:tab w:val="left" w:pos="426"/>
        </w:tabs>
        <w:spacing w:after="0" w:line="276" w:lineRule="auto"/>
        <w:jc w:val="both"/>
        <w:rPr>
          <w:rFonts w:ascii="Verdana" w:eastAsia="Century Gothic" w:hAnsi="Verdana" w:cs="Century Gothic"/>
          <w:lang w:val="es-ES"/>
        </w:rPr>
      </w:pPr>
    </w:p>
    <w:p w14:paraId="4522CF6C" w14:textId="77777777" w:rsidR="00BD6251" w:rsidRDefault="00BD6251" w:rsidP="00BD6251">
      <w:pPr>
        <w:spacing w:after="0" w:line="276" w:lineRule="auto"/>
        <w:jc w:val="both"/>
        <w:rPr>
          <w:rFonts w:ascii="Verdana" w:eastAsia="Calibri" w:hAnsi="Verdana" w:cs="Arial"/>
          <w:bCs/>
          <w:lang w:val="es-ES_tradnl" w:eastAsia="es-ES_tradnl"/>
        </w:rPr>
      </w:pPr>
      <w:r w:rsidRPr="00D36816">
        <w:rPr>
          <w:rFonts w:ascii="Verdana" w:eastAsia="Century Gothic" w:hAnsi="Verdana" w:cs="Century Gothic"/>
        </w:rPr>
        <w:t>De acuerdo con el contenido de su solicitud, esta Agencia resolverá los siguientes problemas jurídicos</w:t>
      </w:r>
      <w:r>
        <w:rPr>
          <w:rFonts w:ascii="Verdana" w:eastAsia="Century Gothic" w:hAnsi="Verdana" w:cs="Century Gothic"/>
        </w:rPr>
        <w:t xml:space="preserve"> relacionados con los documentos tipo de infraestructura de transporte:</w:t>
      </w:r>
    </w:p>
    <w:p w14:paraId="637C2A8A" w14:textId="77777777" w:rsidR="00BD6251" w:rsidRDefault="00BD6251" w:rsidP="00BD6251">
      <w:pPr>
        <w:spacing w:after="0" w:line="276" w:lineRule="auto"/>
        <w:jc w:val="both"/>
        <w:rPr>
          <w:rFonts w:ascii="Verdana" w:eastAsia="Calibri" w:hAnsi="Verdana" w:cs="Arial"/>
          <w:bCs/>
          <w:lang w:val="es-ES_tradnl" w:eastAsia="es-ES_tradnl"/>
        </w:rPr>
      </w:pPr>
    </w:p>
    <w:p w14:paraId="2D78D4D7" w14:textId="77777777" w:rsidR="00BD6251" w:rsidRDefault="00BD6251" w:rsidP="00BD6251">
      <w:pPr>
        <w:pStyle w:val="Prrafodelista"/>
        <w:numPr>
          <w:ilvl w:val="0"/>
          <w:numId w:val="19"/>
        </w:numPr>
        <w:spacing w:after="0" w:line="276" w:lineRule="auto"/>
        <w:jc w:val="both"/>
        <w:rPr>
          <w:rFonts w:ascii="Verdana" w:eastAsia="Calibri" w:hAnsi="Verdana" w:cs="Arial"/>
          <w:bCs/>
          <w:lang w:val="es-ES_tradnl" w:eastAsia="es-ES_tradnl"/>
        </w:rPr>
      </w:pPr>
      <w:r>
        <w:rPr>
          <w:rFonts w:ascii="Verdana" w:eastAsia="Calibri" w:hAnsi="Verdana" w:cs="Arial"/>
          <w:bCs/>
          <w:lang w:val="es-ES_tradnl" w:eastAsia="es-ES_tradnl"/>
        </w:rPr>
        <w:t>¿Cuál es el alcance de las auto certificaciones?</w:t>
      </w:r>
    </w:p>
    <w:p w14:paraId="0F89F461" w14:textId="77777777" w:rsidR="00BD6251" w:rsidRDefault="00BD6251" w:rsidP="00BD6251">
      <w:pPr>
        <w:pStyle w:val="Prrafodelista"/>
        <w:spacing w:after="0" w:line="276" w:lineRule="auto"/>
        <w:jc w:val="both"/>
        <w:rPr>
          <w:rFonts w:ascii="Verdana" w:eastAsia="Calibri" w:hAnsi="Verdana" w:cs="Arial"/>
          <w:bCs/>
          <w:lang w:val="es-ES_tradnl" w:eastAsia="es-ES_tradnl"/>
        </w:rPr>
      </w:pPr>
    </w:p>
    <w:p w14:paraId="3A70F086" w14:textId="77777777" w:rsidR="00BD6251" w:rsidRPr="00C36E01" w:rsidRDefault="00BD6251" w:rsidP="00BD6251">
      <w:pPr>
        <w:pStyle w:val="Prrafodelista"/>
        <w:numPr>
          <w:ilvl w:val="0"/>
          <w:numId w:val="19"/>
        </w:numPr>
        <w:spacing w:after="0" w:line="276" w:lineRule="auto"/>
        <w:jc w:val="both"/>
        <w:rPr>
          <w:rFonts w:ascii="Verdana" w:eastAsia="Calibri" w:hAnsi="Verdana" w:cs="Arial"/>
          <w:bCs/>
          <w:lang w:val="es-ES_tradnl" w:eastAsia="es-ES_tradnl"/>
        </w:rPr>
      </w:pPr>
      <w:r>
        <w:rPr>
          <w:rFonts w:ascii="Verdana" w:eastAsia="Calibri" w:hAnsi="Verdana" w:cs="Arial"/>
          <w:bCs/>
          <w:lang w:val="es-ES_tradnl" w:eastAsia="es-ES_tradnl"/>
        </w:rPr>
        <w:t>¿Puede incurrirse en alguna causal de rechazo en casos de auto certificaciones?</w:t>
      </w:r>
    </w:p>
    <w:p w14:paraId="19C822DE" w14:textId="77777777" w:rsidR="00BD6251" w:rsidRPr="00D36816" w:rsidRDefault="00BD6251" w:rsidP="00BD6251">
      <w:pPr>
        <w:spacing w:after="0" w:line="276" w:lineRule="auto"/>
        <w:jc w:val="both"/>
        <w:rPr>
          <w:rFonts w:ascii="Verdana" w:eastAsia="Century Gothic" w:hAnsi="Verdana" w:cs="Century Gothic"/>
        </w:rPr>
      </w:pPr>
    </w:p>
    <w:p w14:paraId="2DEE5E7D" w14:textId="77777777" w:rsidR="00BD6251" w:rsidRPr="00D36816" w:rsidRDefault="00BD6251" w:rsidP="00BD6251">
      <w:pPr>
        <w:tabs>
          <w:tab w:val="left" w:pos="142"/>
          <w:tab w:val="left" w:pos="284"/>
        </w:tabs>
        <w:spacing w:after="0" w:line="276" w:lineRule="auto"/>
        <w:contextualSpacing/>
        <w:jc w:val="both"/>
        <w:rPr>
          <w:rFonts w:ascii="Verdana" w:eastAsia="Century Gothic" w:hAnsi="Verdana" w:cs="Century Gothic"/>
          <w:b/>
          <w:bCs/>
          <w:lang w:val="es-ES"/>
        </w:rPr>
      </w:pPr>
      <w:r>
        <w:rPr>
          <w:rFonts w:ascii="Verdana" w:eastAsia="Century Gothic" w:hAnsi="Verdana" w:cs="Century Gothic"/>
          <w:b/>
          <w:bCs/>
          <w:lang w:val="es-ES"/>
        </w:rPr>
        <w:t xml:space="preserve">2. </w:t>
      </w:r>
      <w:r w:rsidRPr="00D36816">
        <w:rPr>
          <w:rFonts w:ascii="Verdana" w:eastAsia="Century Gothic" w:hAnsi="Verdana" w:cs="Century Gothic"/>
          <w:b/>
          <w:bCs/>
          <w:lang w:val="es-ES"/>
        </w:rPr>
        <w:t>Respuestas:</w:t>
      </w:r>
    </w:p>
    <w:p w14:paraId="2CABB1F6" w14:textId="77777777" w:rsidR="00BD6251" w:rsidRPr="00D36816" w:rsidRDefault="00BD6251" w:rsidP="00BD6251">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D6251" w:rsidRPr="00D36816" w14:paraId="775C79B2" w14:textId="77777777" w:rsidTr="00B9141B">
        <w:trPr>
          <w:trHeight w:val="40"/>
        </w:trPr>
        <w:tc>
          <w:tcPr>
            <w:tcW w:w="8828" w:type="dxa"/>
            <w:tcBorders>
              <w:top w:val="dotted" w:sz="4" w:space="0" w:color="auto"/>
              <w:left w:val="dotted" w:sz="4" w:space="0" w:color="auto"/>
              <w:bottom w:val="dotted" w:sz="4" w:space="0" w:color="auto"/>
              <w:right w:val="dotted" w:sz="4" w:space="0" w:color="auto"/>
            </w:tcBorders>
          </w:tcPr>
          <w:p w14:paraId="51D6E7F5" w14:textId="77777777" w:rsidR="00BD6251" w:rsidRPr="00D36816" w:rsidRDefault="00BD6251" w:rsidP="00B9141B">
            <w:pPr>
              <w:snapToGrid w:val="0"/>
              <w:spacing w:after="120" w:line="276" w:lineRule="auto"/>
              <w:jc w:val="both"/>
              <w:rPr>
                <w:rFonts w:ascii="Verdana" w:eastAsia="Times New Roman" w:hAnsi="Verdana" w:cs="Arial"/>
                <w:szCs w:val="24"/>
                <w:lang w:eastAsia="es-ES_tradnl"/>
              </w:rPr>
            </w:pPr>
            <w:r>
              <w:rPr>
                <w:rFonts w:ascii="Verdana" w:eastAsia="Calibri" w:hAnsi="Verdana" w:cs="Arial"/>
                <w:color w:val="0D0D0D"/>
                <w:lang w:val="es-ES_tradnl"/>
              </w:rPr>
              <w:t>i. E</w:t>
            </w:r>
            <w:r w:rsidRPr="00D36816">
              <w:rPr>
                <w:rFonts w:ascii="Verdana" w:eastAsia="Calibri" w:hAnsi="Verdana" w:cs="Arial"/>
                <w:color w:val="0D0D0D"/>
                <w:lang w:val="es-ES_tradnl"/>
              </w:rPr>
              <w:t>l numeral 3.5.8 del documento base</w:t>
            </w:r>
            <w:r>
              <w:rPr>
                <w:rFonts w:ascii="Verdana" w:eastAsia="Calibri" w:hAnsi="Verdana" w:cs="Arial"/>
                <w:color w:val="0D0D0D"/>
                <w:lang w:val="es-ES_tradnl"/>
              </w:rPr>
              <w:t xml:space="preserve"> de los documentos tipo de infraestructura de transporte – versión 4,</w:t>
            </w:r>
            <w:r w:rsidRPr="00D36816">
              <w:rPr>
                <w:rFonts w:ascii="Verdana" w:eastAsia="Calibri" w:hAnsi="Verdana" w:cs="Arial"/>
                <w:color w:val="0D0D0D"/>
                <w:lang w:val="es-ES_tradnl"/>
              </w:rPr>
              <w:t xml:space="preserve"> establece la forma de acreditación de experiencia para subcontratos. </w:t>
            </w:r>
            <w:proofErr w:type="gramStart"/>
            <w:r w:rsidRPr="00D36816">
              <w:rPr>
                <w:rFonts w:ascii="Verdana" w:eastAsia="Calibri" w:hAnsi="Verdana" w:cs="Arial"/>
                <w:color w:val="0D0D0D"/>
                <w:lang w:val="es-ES_tradnl"/>
              </w:rPr>
              <w:t xml:space="preserve">Este numeral </w:t>
            </w:r>
            <w:r w:rsidRPr="00D36816">
              <w:rPr>
                <w:rFonts w:ascii="Verdana" w:eastAsia="Calibri" w:hAnsi="Verdana" w:cs="Arial"/>
                <w:color w:val="0D0D0D"/>
                <w:lang w:val="es-ES"/>
              </w:rPr>
              <w:t>diferencia</w:t>
            </w:r>
            <w:proofErr w:type="gramEnd"/>
            <w:r w:rsidRPr="00D36816">
              <w:rPr>
                <w:rFonts w:ascii="Verdana" w:eastAsia="Calibri" w:hAnsi="Verdana" w:cs="Arial"/>
                <w:color w:val="0D0D0D"/>
                <w:lang w:val="es-ES"/>
              </w:rPr>
              <w:t xml:space="preserve"> los subcontratos derivados de contratos suscritos con particulares de los suscritos con entidades estatales. </w:t>
            </w:r>
          </w:p>
          <w:p w14:paraId="3C8D87AF" w14:textId="77777777" w:rsidR="00BD6251" w:rsidRPr="00D36816" w:rsidRDefault="00BD6251" w:rsidP="00B9141B">
            <w:pPr>
              <w:snapToGrid w:val="0"/>
              <w:spacing w:after="120" w:line="276" w:lineRule="auto"/>
              <w:ind w:firstLine="709"/>
              <w:jc w:val="both"/>
              <w:rPr>
                <w:rFonts w:ascii="Verdana" w:eastAsia="Calibri" w:hAnsi="Verdana" w:cs="Arial"/>
                <w:color w:val="0D0D0D"/>
                <w:lang w:val="es-MX"/>
              </w:rPr>
            </w:pPr>
            <w:r w:rsidRPr="00D36816">
              <w:rPr>
                <w:rFonts w:ascii="Verdana" w:eastAsia="Calibri" w:hAnsi="Verdana" w:cs="Arial"/>
                <w:color w:val="0D0D0D"/>
                <w:lang w:val="es-MX"/>
              </w:rPr>
              <w:t>Para el primer evento, señalan que “para la acreditación de experiencia de subcontratos, cuyo contrato principal fue suscrito con particulares, se aplicarán las disposiciones establecidas en el numeral anterior”. De este modo, si el contrato principal fue suscrito con particulares, las reglas para acreditación de experiencia para subcontratos son las establecidas en el numeral 3.5.7 del documento base</w:t>
            </w:r>
            <w:r>
              <w:rPr>
                <w:rFonts w:ascii="Verdana" w:eastAsia="Calibri" w:hAnsi="Verdana" w:cs="Arial"/>
                <w:color w:val="0D0D0D"/>
                <w:lang w:val="es-MX"/>
              </w:rPr>
              <w:t>.</w:t>
            </w:r>
            <w:r w:rsidRPr="00D36816">
              <w:rPr>
                <w:rFonts w:ascii="Verdana" w:eastAsia="Calibri" w:hAnsi="Verdana" w:cs="Arial"/>
                <w:color w:val="0D0D0D"/>
                <w:lang w:val="es-MX"/>
              </w:rPr>
              <w:t xml:space="preserve"> En el segundo evento, dispone que para la acreditación de experiencia de los contratos derivados de contratos suscritos con entidades estatales el proponente deberá aportar los documentos</w:t>
            </w:r>
            <w:r>
              <w:rPr>
                <w:rFonts w:ascii="Verdana" w:eastAsia="Calibri" w:hAnsi="Verdana" w:cs="Arial"/>
                <w:color w:val="0D0D0D"/>
                <w:lang w:val="es-MX"/>
              </w:rPr>
              <w:t xml:space="preserve"> del numeral 3.5.8.</w:t>
            </w:r>
          </w:p>
          <w:p w14:paraId="1C9B0AB6" w14:textId="77777777" w:rsidR="00BD6251" w:rsidRPr="00D36816" w:rsidRDefault="00BD6251" w:rsidP="00B9141B">
            <w:pPr>
              <w:adjustRightInd w:val="0"/>
              <w:snapToGrid w:val="0"/>
              <w:spacing w:after="120" w:line="276" w:lineRule="auto"/>
              <w:ind w:firstLine="709"/>
              <w:jc w:val="both"/>
              <w:rPr>
                <w:rFonts w:ascii="Verdana" w:eastAsia="Calibri" w:hAnsi="Verdana" w:cs="Arial"/>
                <w:color w:val="0D0D0D"/>
                <w:lang w:val="es-MX"/>
              </w:rPr>
            </w:pPr>
            <w:r w:rsidRPr="00D36816">
              <w:rPr>
                <w:rFonts w:ascii="Verdana" w:eastAsia="Calibri" w:hAnsi="Verdana" w:cs="Arial"/>
                <w:color w:val="0D0D0D"/>
                <w:lang w:val="es-MX"/>
              </w:rPr>
              <w:t xml:space="preserve">Así las cosas, la forma de acreditación de la experiencia para subcontratos en los documentos tipo de infraestructura de transporte, depende de la calidad del sujeto con el cual se celebró el contrato principal, esto es, un particular o una entidad estatal. </w:t>
            </w:r>
          </w:p>
          <w:p w14:paraId="02F69C32" w14:textId="77777777" w:rsidR="00BD6251" w:rsidRPr="00D36816" w:rsidRDefault="00BD6251" w:rsidP="00B9141B">
            <w:pPr>
              <w:adjustRightInd w:val="0"/>
              <w:snapToGrid w:val="0"/>
              <w:spacing w:line="276" w:lineRule="auto"/>
              <w:ind w:firstLine="709"/>
              <w:jc w:val="both"/>
              <w:rPr>
                <w:rFonts w:ascii="Verdana" w:eastAsia="Calibri" w:hAnsi="Verdana" w:cs="Arial"/>
                <w:color w:val="0D0D0D"/>
              </w:rPr>
            </w:pPr>
            <w:r w:rsidRPr="00D36816">
              <w:rPr>
                <w:rFonts w:ascii="Verdana" w:eastAsia="Calibri" w:hAnsi="Verdana" w:cs="Arial"/>
                <w:color w:val="0D0D0D"/>
                <w:lang w:val="es-MX"/>
              </w:rPr>
              <w:t>Ahora bien, frente a su solicitud, es pertinente referirnos al alcance del literal K del numeral 3.5.3 “</w:t>
            </w:r>
            <w:r>
              <w:rPr>
                <w:rFonts w:ascii="Verdana" w:eastAsia="Calibri" w:hAnsi="Verdana" w:cs="Arial"/>
                <w:color w:val="0D0D0D"/>
                <w:lang w:val="es-MX"/>
              </w:rPr>
              <w:t>C</w:t>
            </w:r>
            <w:r w:rsidRPr="00D36816">
              <w:rPr>
                <w:rFonts w:ascii="Verdana" w:eastAsia="Calibri" w:hAnsi="Verdana" w:cs="Arial"/>
                <w:color w:val="0D0D0D"/>
                <w:lang w:val="es-MX"/>
              </w:rPr>
              <w:t>onsideraciones para la validez de la experiencia requerida” contenido en el documento base de los documentos tipo de licitación de obra pública de infraestructura de transporte. En este numeral se establecen los aspectos que la Entidad Estatal debe tener en cuenta al momento de evaluar la experiencia acreditada por los oferentes, con el propósito de verificar su validez. En particular, el literal K —objeto de su consulta— señala lo siguiente:</w:t>
            </w:r>
          </w:p>
          <w:p w14:paraId="49D2E6DB" w14:textId="77777777" w:rsidR="00BD6251" w:rsidRPr="00D36816" w:rsidRDefault="00BD6251" w:rsidP="00B9141B">
            <w:pPr>
              <w:snapToGrid w:val="0"/>
              <w:spacing w:line="276" w:lineRule="auto"/>
              <w:jc w:val="both"/>
              <w:rPr>
                <w:rFonts w:ascii="Verdana" w:eastAsia="Calibri" w:hAnsi="Verdana" w:cs="Arial"/>
                <w:color w:val="0D0D0D"/>
                <w:lang w:val="es-MX"/>
              </w:rPr>
            </w:pPr>
          </w:p>
          <w:p w14:paraId="3AEF3E59" w14:textId="77777777" w:rsidR="00BD6251" w:rsidRPr="00D36816" w:rsidRDefault="00BD6251" w:rsidP="00B9141B">
            <w:pPr>
              <w:ind w:left="709" w:right="709"/>
              <w:jc w:val="both"/>
              <w:rPr>
                <w:rFonts w:ascii="Verdana" w:eastAsia="Aptos" w:hAnsi="Verdana" w:cs="Arial"/>
                <w:iCs/>
                <w:sz w:val="21"/>
                <w:szCs w:val="21"/>
                <w:lang w:val="es-MX"/>
              </w:rPr>
            </w:pPr>
            <w:r w:rsidRPr="00D36816">
              <w:rPr>
                <w:rFonts w:ascii="Verdana" w:eastAsia="Aptos" w:hAnsi="Verdana" w:cs="Arial"/>
                <w:sz w:val="21"/>
                <w:szCs w:val="21"/>
              </w:rPr>
              <w:t xml:space="preserve">“Las auto certificaciones no servirán para acreditar la experiencia requerida, ya que con estas no puede constatarse la ejecución de contratos que deben certificar los terceros que recibieron la obra, bien o servicio. Para la aplicación de esta regla, se entiende por auto certificaciones aquellas expedidas por el mismo Proponente, sus </w:t>
            </w:r>
            <w:r w:rsidRPr="00D36816">
              <w:rPr>
                <w:rFonts w:ascii="Verdana" w:eastAsia="Aptos" w:hAnsi="Verdana" w:cs="Arial"/>
                <w:sz w:val="21"/>
                <w:szCs w:val="21"/>
              </w:rPr>
              <w:lastRenderedPageBreak/>
              <w:t>representantes, los integrantes del Proponente Plural o del mismo segmento empresarial para demostrar su propia experiencia”.</w:t>
            </w:r>
          </w:p>
          <w:p w14:paraId="07379E33" w14:textId="77777777" w:rsidR="00BD6251" w:rsidRPr="00D36816" w:rsidRDefault="00BD6251" w:rsidP="00B9141B">
            <w:pPr>
              <w:snapToGrid w:val="0"/>
              <w:spacing w:line="276" w:lineRule="auto"/>
              <w:ind w:left="720"/>
              <w:jc w:val="both"/>
              <w:rPr>
                <w:rFonts w:ascii="Verdana" w:eastAsia="Calibri" w:hAnsi="Verdana" w:cs="Arial"/>
                <w:color w:val="0D0D0D"/>
                <w:lang w:val="es-MX"/>
              </w:rPr>
            </w:pPr>
            <w:r w:rsidRPr="00D36816">
              <w:rPr>
                <w:rFonts w:ascii="Verdana" w:eastAsia="Calibri" w:hAnsi="Verdana" w:cs="Arial"/>
                <w:color w:val="0D0D0D"/>
                <w:lang w:val="es-MX"/>
              </w:rPr>
              <w:tab/>
            </w:r>
          </w:p>
          <w:p w14:paraId="7BBCB10A" w14:textId="77777777" w:rsidR="00BD6251" w:rsidRPr="00412899" w:rsidRDefault="00BD6251" w:rsidP="00B9141B">
            <w:pPr>
              <w:snapToGrid w:val="0"/>
              <w:spacing w:after="120" w:line="276" w:lineRule="auto"/>
              <w:ind w:firstLine="709"/>
              <w:jc w:val="both"/>
              <w:rPr>
                <w:rFonts w:ascii="Verdana" w:eastAsia="Calibri" w:hAnsi="Verdana" w:cs="Arial"/>
                <w:color w:val="0D0D0D"/>
                <w:lang w:val="es-MX"/>
              </w:rPr>
            </w:pPr>
            <w:r w:rsidRPr="00D36816">
              <w:rPr>
                <w:rFonts w:ascii="Verdana" w:eastAsia="Calibri" w:hAnsi="Verdana" w:cs="Arial"/>
                <w:color w:val="0D0D0D"/>
              </w:rPr>
              <w:t xml:space="preserve">Como se observa, el literal K del numeral 3.5.3 del mencionado documento tipo dispone que las auto certificaciones no son válidas para acreditar la experiencia requerida, ya que a través de ellas no es posible comprobar </w:t>
            </w:r>
            <w:r w:rsidRPr="00D36816">
              <w:rPr>
                <w:rFonts w:ascii="Verdana" w:eastAsia="Calibri" w:hAnsi="Verdana" w:cs="Arial"/>
                <w:color w:val="0D0D0D"/>
                <w:lang w:val="es-MX"/>
              </w:rPr>
              <w:t xml:space="preserve">la ejecución de contratos que deban certificar los terceros que recibieron la obra, bien o servicios. Así mismo, el literal define expresamente qué debe entenderse por auto certificaciones, señalando que corresponden a “aquellas expedidas por el mismo Proponente, sus representantes, los integrantes del Proponente Plural o del mismo segmento empresarial para demostrar su propia experiencia”. </w:t>
            </w:r>
          </w:p>
          <w:p w14:paraId="10E0B469" w14:textId="77777777" w:rsidR="00BD6251" w:rsidRDefault="00BD6251" w:rsidP="00B9141B">
            <w:pPr>
              <w:snapToGrid w:val="0"/>
              <w:spacing w:line="276" w:lineRule="auto"/>
              <w:ind w:firstLine="709"/>
              <w:jc w:val="both"/>
              <w:rPr>
                <w:rFonts w:ascii="Verdana" w:eastAsia="Calibri" w:hAnsi="Verdana" w:cs="Arial"/>
                <w:color w:val="0D0D0D"/>
              </w:rPr>
            </w:pPr>
            <w:r>
              <w:rPr>
                <w:rFonts w:ascii="Verdana" w:eastAsia="Calibri" w:hAnsi="Verdana" w:cs="Arial"/>
                <w:color w:val="0D0D0D"/>
              </w:rPr>
              <w:t>En este sentido, p</w:t>
            </w:r>
            <w:r w:rsidRPr="00D36816">
              <w:rPr>
                <w:rFonts w:ascii="Verdana" w:eastAsia="Calibri" w:hAnsi="Verdana" w:cs="Arial"/>
                <w:color w:val="0D0D0D"/>
              </w:rPr>
              <w:t xml:space="preserve">ara efectos de las certificaciones con el fin de acreditar la experiencia del proponente, debe señalarse que, para evitar que se configure el supuesto de auto certificación contenido en el literal K del numeral 3.5.3 de los documentos tipo de licitación de obra pública de infraestructura de transporte – versión 4, </w:t>
            </w:r>
            <w:r>
              <w:rPr>
                <w:rFonts w:ascii="Verdana" w:eastAsia="Calibri" w:hAnsi="Verdana" w:cs="Arial"/>
                <w:color w:val="0D0D0D"/>
              </w:rPr>
              <w:t xml:space="preserve">la respectiva certificación no puede provenir de un mismo proponente, de sus representantes, de los integrantes del proponente plural [indistintamente de su porcentaje de participación] o del mismo segmento empresarial, so pena de no ser tenidas en cuenta para la acreditación de la experiencia requerida.  </w:t>
            </w:r>
            <w:r w:rsidRPr="00D36816">
              <w:rPr>
                <w:rFonts w:ascii="Verdana" w:eastAsia="Calibri" w:hAnsi="Verdana" w:cs="Arial"/>
                <w:color w:val="0D0D0D"/>
              </w:rPr>
              <w:t xml:space="preserve"> </w:t>
            </w:r>
          </w:p>
          <w:p w14:paraId="1775E9A7" w14:textId="77777777" w:rsidR="00BD6251" w:rsidRDefault="00BD6251" w:rsidP="00B9141B">
            <w:pPr>
              <w:snapToGrid w:val="0"/>
              <w:spacing w:line="276" w:lineRule="auto"/>
              <w:jc w:val="both"/>
              <w:rPr>
                <w:rFonts w:ascii="Verdana" w:eastAsia="Calibri" w:hAnsi="Verdana" w:cs="Arial"/>
                <w:color w:val="0D0D0D"/>
              </w:rPr>
            </w:pPr>
          </w:p>
          <w:p w14:paraId="2191666A" w14:textId="77777777" w:rsidR="00BD6251" w:rsidRDefault="00BD6251" w:rsidP="00B9141B">
            <w:pPr>
              <w:snapToGrid w:val="0"/>
              <w:spacing w:after="120" w:line="276" w:lineRule="auto"/>
              <w:jc w:val="both"/>
              <w:rPr>
                <w:rFonts w:ascii="Verdana" w:eastAsia="Calibri" w:hAnsi="Verdana" w:cs="Arial"/>
                <w:color w:val="0D0D0D"/>
              </w:rPr>
            </w:pPr>
            <w:proofErr w:type="spellStart"/>
            <w:r>
              <w:rPr>
                <w:rFonts w:ascii="Verdana" w:eastAsia="Calibri" w:hAnsi="Verdana" w:cs="Arial"/>
                <w:kern w:val="2"/>
                <w:lang w:val="es-ES"/>
                <w14:ligatures w14:val="standardContextual"/>
              </w:rPr>
              <w:t>ii</w:t>
            </w:r>
            <w:proofErr w:type="spellEnd"/>
            <w:r>
              <w:rPr>
                <w:rFonts w:ascii="Verdana" w:eastAsia="Calibri" w:hAnsi="Verdana" w:cs="Arial"/>
                <w:kern w:val="2"/>
                <w:lang w:val="es-ES"/>
                <w14:ligatures w14:val="standardContextual"/>
              </w:rPr>
              <w:t>. L</w:t>
            </w:r>
            <w:r w:rsidRPr="00AE76E2">
              <w:rPr>
                <w:rFonts w:ascii="Verdana" w:eastAsia="Calibri" w:hAnsi="Verdana" w:cs="Arial"/>
                <w:kern w:val="2"/>
                <w:lang w:val="es-ES"/>
                <w14:ligatures w14:val="standardContextual"/>
              </w:rPr>
              <w:t xml:space="preserve">as causales de rechazo deben estar necesariamente nominadas en la </w:t>
            </w:r>
            <w:r>
              <w:rPr>
                <w:rFonts w:ascii="Verdana" w:eastAsia="Calibri" w:hAnsi="Verdana" w:cs="Arial"/>
                <w:kern w:val="2"/>
                <w:lang w:val="es-ES"/>
                <w14:ligatures w14:val="standardContextual"/>
              </w:rPr>
              <w:t>l</w:t>
            </w:r>
            <w:r w:rsidRPr="00AE76E2">
              <w:rPr>
                <w:rFonts w:ascii="Verdana" w:eastAsia="Calibri" w:hAnsi="Verdana" w:cs="Arial"/>
                <w:kern w:val="2"/>
                <w:lang w:val="es-ES"/>
                <w14:ligatures w14:val="standardContextual"/>
              </w:rPr>
              <w:t>ey o en el pliego de condiciones, y no puede realizarse, frente a su redacción, ninguna interpretación extensiva. Por esta razón si el Estatuto General de Contratación de la Administración Pública o el pliego de condiciones no establecen de manera literal una causal de rechazo, no podrán rechazarse las propuestas.</w:t>
            </w:r>
          </w:p>
          <w:p w14:paraId="6212B391" w14:textId="77777777" w:rsidR="00BD6251" w:rsidRDefault="00BD6251" w:rsidP="00B9141B">
            <w:pPr>
              <w:snapToGrid w:val="0"/>
              <w:spacing w:after="120" w:line="276" w:lineRule="auto"/>
              <w:ind w:firstLine="709"/>
              <w:jc w:val="both"/>
              <w:rPr>
                <w:rFonts w:ascii="Verdana" w:eastAsia="Aptos" w:hAnsi="Verdana" w:cs="Arial"/>
                <w:color w:val="000000"/>
                <w:kern w:val="2"/>
                <w:bdr w:val="none" w:sz="0" w:space="0" w:color="auto" w:frame="1"/>
                <w:lang w:val="es-ES_tradnl"/>
                <w14:ligatures w14:val="standardContextual"/>
              </w:rPr>
            </w:pPr>
            <w:r w:rsidRPr="00AE76E2">
              <w:rPr>
                <w:rFonts w:ascii="Verdana" w:eastAsia="Aptos" w:hAnsi="Verdana" w:cs="Arial"/>
                <w:color w:val="000000"/>
                <w:kern w:val="2"/>
                <w:bdr w:val="none" w:sz="0" w:space="0" w:color="auto" w:frame="1"/>
                <w:lang w:val="es-ES_tradnl"/>
                <w14:ligatures w14:val="standardContextual"/>
              </w:rPr>
              <w:t xml:space="preserve">Ahora bien, los documentos tipo contienen parámetros obligatorios para las entidades estatales sometidas al Estatuto General de Contratación de la Administración Pública que adelanten la tipología contractual que estos se encarguen de desarrollar. En la versión 4 de los documentos tipo de licitación pública de obra de infraestructura de transporte, se incluyeron causales de rechazo </w:t>
            </w:r>
            <w:r>
              <w:rPr>
                <w:rFonts w:ascii="Verdana" w:eastAsia="Aptos" w:hAnsi="Verdana" w:cs="Arial"/>
                <w:color w:val="000000"/>
                <w:kern w:val="2"/>
                <w:bdr w:val="none" w:sz="0" w:space="0" w:color="auto" w:frame="1"/>
                <w:lang w:val="es-ES_tradnl"/>
                <w14:ligatures w14:val="standardContextual"/>
              </w:rPr>
              <w:t xml:space="preserve">relacionadas con la presentación de la oferta y la información que deben acreditar los proponentes para participar en los procesos de contratación, las cuales pueden resultar aplicables dependiendo de las </w:t>
            </w:r>
            <w:r>
              <w:rPr>
                <w:rFonts w:ascii="Verdana" w:eastAsia="Aptos" w:hAnsi="Verdana" w:cs="Arial"/>
                <w:color w:val="000000"/>
                <w:kern w:val="2"/>
                <w:bdr w:val="none" w:sz="0" w:space="0" w:color="auto" w:frame="1"/>
                <w:lang w:val="es-ES_tradnl"/>
                <w14:ligatures w14:val="standardContextual"/>
              </w:rPr>
              <w:lastRenderedPageBreak/>
              <w:t>particularidades de cada situación, sin que sea posible incluir causales diferentes a las contempladas en los documentos tipo o en la ley.</w:t>
            </w:r>
          </w:p>
          <w:p w14:paraId="027FB153" w14:textId="77777777" w:rsidR="00BD6251" w:rsidRPr="00D36816" w:rsidRDefault="00BD6251" w:rsidP="00B9141B">
            <w:pPr>
              <w:snapToGrid w:val="0"/>
              <w:spacing w:after="120" w:line="276" w:lineRule="auto"/>
              <w:ind w:firstLine="709"/>
              <w:jc w:val="both"/>
              <w:rPr>
                <w:rFonts w:ascii="Verdana" w:eastAsia="Calibri" w:hAnsi="Verdana" w:cs="Arial"/>
                <w:color w:val="0D0D0D"/>
              </w:rPr>
            </w:pPr>
            <w:r>
              <w:rPr>
                <w:rFonts w:ascii="Verdana" w:eastAsia="Calibri" w:hAnsi="Verdana" w:cs="Times New Roman"/>
                <w:lang w:val="es-ES"/>
              </w:rPr>
              <w:t>Por lo tanto</w:t>
            </w:r>
            <w:r w:rsidRPr="00D36816">
              <w:rPr>
                <w:rFonts w:ascii="Verdana" w:eastAsia="Calibri" w:hAnsi="Verdana" w:cs="Times New Roman"/>
                <w:lang w:val="es-ES"/>
              </w:rPr>
              <w:t>,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r w:rsidRPr="00D36816">
              <w:rPr>
                <w:rFonts w:ascii="Verdana" w:eastAsia="Aptos" w:hAnsi="Verdana" w:cs="Arial"/>
                <w:color w:val="000000"/>
                <w:kern w:val="2"/>
                <w14:ligatures w14:val="standardContextual"/>
              </w:rPr>
              <w:t>.</w:t>
            </w:r>
          </w:p>
          <w:p w14:paraId="77C262FD" w14:textId="77777777" w:rsidR="00BD6251" w:rsidRPr="00AE14A1" w:rsidRDefault="00BD6251" w:rsidP="00B9141B">
            <w:pPr>
              <w:snapToGrid w:val="0"/>
              <w:spacing w:line="276" w:lineRule="auto"/>
              <w:ind w:firstLine="709"/>
              <w:jc w:val="both"/>
              <w:rPr>
                <w:rFonts w:ascii="Verdana" w:eastAsia="Calibri" w:hAnsi="Verdana" w:cs="Times New Roman"/>
                <w:lang w:val="es-ES"/>
              </w:rPr>
            </w:pPr>
            <w:r w:rsidRPr="00D36816">
              <w:rPr>
                <w:rFonts w:ascii="Verdana" w:eastAsia="Calibri" w:hAnsi="Verdana" w:cs="Times New Roman"/>
                <w:lang w:val="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31B5A743" w14:textId="77777777" w:rsidR="00BD6251" w:rsidRPr="00D36816" w:rsidRDefault="00BD6251" w:rsidP="00BD6251">
      <w:pPr>
        <w:tabs>
          <w:tab w:val="left" w:pos="142"/>
          <w:tab w:val="left" w:pos="284"/>
        </w:tabs>
        <w:spacing w:after="0" w:line="276" w:lineRule="auto"/>
        <w:jc w:val="both"/>
        <w:rPr>
          <w:rFonts w:ascii="Verdana" w:eastAsia="Century Gothic" w:hAnsi="Verdana" w:cs="Century Gothic"/>
          <w:b/>
          <w:bCs/>
          <w:lang w:val="es-ES"/>
        </w:rPr>
      </w:pPr>
    </w:p>
    <w:p w14:paraId="20DE8A16" w14:textId="77777777" w:rsidR="00BD6251" w:rsidRPr="00D36816" w:rsidRDefault="00BD6251" w:rsidP="00BD6251">
      <w:pPr>
        <w:tabs>
          <w:tab w:val="left" w:pos="142"/>
          <w:tab w:val="left" w:pos="284"/>
        </w:tabs>
        <w:spacing w:after="0" w:line="276" w:lineRule="auto"/>
        <w:jc w:val="both"/>
        <w:rPr>
          <w:rFonts w:ascii="Verdana" w:eastAsia="Century Gothic" w:hAnsi="Verdana" w:cs="Century Gothic"/>
          <w:b/>
          <w:bCs/>
          <w:lang w:val="es-ES"/>
        </w:rPr>
      </w:pPr>
      <w:r>
        <w:rPr>
          <w:rFonts w:ascii="Verdana" w:eastAsia="Century Gothic" w:hAnsi="Verdana" w:cs="Century Gothic"/>
          <w:b/>
          <w:bCs/>
          <w:lang w:val="es-ES"/>
        </w:rPr>
        <w:t xml:space="preserve">3. </w:t>
      </w:r>
      <w:r w:rsidRPr="00D36816">
        <w:rPr>
          <w:rFonts w:ascii="Verdana" w:eastAsia="Century Gothic" w:hAnsi="Verdana" w:cs="Century Gothic"/>
          <w:b/>
          <w:bCs/>
          <w:lang w:val="es-ES"/>
        </w:rPr>
        <w:t>Razones de la respuesta:</w:t>
      </w:r>
    </w:p>
    <w:p w14:paraId="1464322E" w14:textId="77777777" w:rsidR="00BD6251" w:rsidRPr="00D36816" w:rsidRDefault="00BD6251" w:rsidP="00BD6251">
      <w:pPr>
        <w:spacing w:after="0" w:line="276" w:lineRule="auto"/>
        <w:jc w:val="both"/>
        <w:rPr>
          <w:rFonts w:ascii="Verdana" w:eastAsia="Calibri" w:hAnsi="Verdana" w:cs="Arial"/>
          <w:lang w:val="es-ES"/>
        </w:rPr>
      </w:pPr>
    </w:p>
    <w:p w14:paraId="62E5CD6D" w14:textId="77777777" w:rsidR="00BD6251" w:rsidRPr="00D36816" w:rsidRDefault="00BD6251" w:rsidP="00BD6251">
      <w:pPr>
        <w:spacing w:after="0" w:line="276" w:lineRule="auto"/>
        <w:jc w:val="both"/>
        <w:rPr>
          <w:rFonts w:ascii="Verdana" w:eastAsia="Calibri" w:hAnsi="Verdana" w:cs="Arial"/>
          <w:lang w:val="es-ES"/>
        </w:rPr>
      </w:pPr>
      <w:r w:rsidRPr="00D36816">
        <w:rPr>
          <w:rFonts w:ascii="Verdana" w:eastAsia="Calibri" w:hAnsi="Verdana" w:cs="Arial"/>
          <w:lang w:val="es-ES"/>
        </w:rPr>
        <w:t xml:space="preserve">Lo anterior se sustenta en las siguientes consideraciones: </w:t>
      </w:r>
    </w:p>
    <w:p w14:paraId="2506A9B6" w14:textId="77777777" w:rsidR="00BD6251" w:rsidRPr="00D36816" w:rsidRDefault="00BD6251" w:rsidP="00BD6251">
      <w:pPr>
        <w:spacing w:after="0" w:line="276" w:lineRule="auto"/>
        <w:jc w:val="both"/>
        <w:rPr>
          <w:rFonts w:ascii="Verdana" w:eastAsia="Calibri" w:hAnsi="Verdana" w:cs="Arial"/>
          <w:lang w:val="es-ES"/>
        </w:rPr>
      </w:pPr>
    </w:p>
    <w:p w14:paraId="0BA9802A" w14:textId="77777777" w:rsidR="00BD6251" w:rsidRPr="00D36816" w:rsidRDefault="00BD6251" w:rsidP="00BD6251">
      <w:pPr>
        <w:adjustRightInd w:val="0"/>
        <w:snapToGrid w:val="0"/>
        <w:spacing w:after="120" w:line="276" w:lineRule="auto"/>
        <w:jc w:val="both"/>
        <w:rPr>
          <w:rFonts w:ascii="Verdana" w:eastAsia="Calibri" w:hAnsi="Verdana" w:cs="Arial"/>
          <w:lang w:val="es-ES_tradnl" w:eastAsia="es-ES"/>
        </w:rPr>
      </w:pPr>
      <w:bookmarkStart w:id="1" w:name="_Hlk113022941"/>
      <w:r>
        <w:rPr>
          <w:rFonts w:ascii="Verdana" w:eastAsia="Calibri" w:hAnsi="Verdana" w:cs="Arial"/>
          <w:lang w:val="es-ES_tradnl" w:eastAsia="es-ES"/>
        </w:rPr>
        <w:t xml:space="preserve">i. </w:t>
      </w:r>
      <w:r w:rsidRPr="00D36816">
        <w:rPr>
          <w:rFonts w:ascii="Verdana" w:eastAsia="Calibri" w:hAnsi="Verdana" w:cs="Arial"/>
          <w:lang w:val="es-ES_tradnl" w:eastAsia="es-ES"/>
        </w:rPr>
        <w:t xml:space="preserve">La </w:t>
      </w:r>
      <w:bookmarkStart w:id="2" w:name="_Hlk176876754"/>
      <w:r w:rsidRPr="00D36816">
        <w:rPr>
          <w:rFonts w:ascii="Verdana" w:eastAsia="Calibri" w:hAnsi="Verdana" w:cs="Arial"/>
          <w:lang w:val="es-ES_tradnl" w:eastAsia="es-ES"/>
        </w:rPr>
        <w:t>Ley 2022 de 2020, modificó el contenido del parágrafo 7 del artículo 2 de la Ley 1150 de 2007, que había sido adicionado por la Ley 1882 de 2018</w:t>
      </w:r>
      <w:bookmarkEnd w:id="2"/>
      <w:r w:rsidRPr="00D36816">
        <w:rPr>
          <w:rFonts w:ascii="Verdana" w:eastAsia="Aptos" w:hAnsi="Verdana" w:cs="Times New Roman"/>
          <w:vertAlign w:val="superscript"/>
          <w:lang w:val="es-ES_tradnl" w:eastAsia="es-ES"/>
        </w:rPr>
        <w:footnoteReference w:id="1"/>
      </w:r>
      <w:r w:rsidRPr="00D36816">
        <w:rPr>
          <w:rFonts w:ascii="Verdana" w:eastAsia="Calibri" w:hAnsi="Verdana" w:cs="Arial"/>
          <w:lang w:val="es-ES_tradnl" w:eastAsia="es-ES"/>
        </w:rPr>
        <w:t xml:space="preserve">. Con </w:t>
      </w:r>
      <w:r w:rsidRPr="00D36816">
        <w:rPr>
          <w:rFonts w:ascii="Verdana" w:eastAsia="Calibri" w:hAnsi="Verdana" w:cs="Arial"/>
          <w:lang w:val="es-ES_tradnl" w:eastAsia="es-ES"/>
        </w:rPr>
        <w:lastRenderedPageBreak/>
        <w:t xml:space="preserve">esta modificación, si bien se mantuvo el mandato de aplicación obligatoria de los Documentos Tipo por parte de las entidades sometidas al </w:t>
      </w:r>
      <w:r w:rsidRPr="00D36816">
        <w:rPr>
          <w:rFonts w:ascii="Verdana" w:eastAsia="Calibri" w:hAnsi="Verdana" w:cs="Arial"/>
          <w:bCs/>
          <w:lang w:val="es-ES_tradnl" w:eastAsia="es-ES_tradnl"/>
        </w:rPr>
        <w:t>EGCAP</w:t>
      </w:r>
      <w:r w:rsidRPr="00D36816">
        <w:rPr>
          <w:rFonts w:ascii="Verdana" w:eastAsia="Calibri" w:hAnsi="Verdana" w:cs="Arial"/>
          <w:lang w:val="es-ES_tradnl" w:eastAsia="es-ES"/>
        </w:rPr>
        <w:t xml:space="preserve">, se atribuyó a la </w:t>
      </w:r>
      <w:r w:rsidRPr="00D36816">
        <w:rPr>
          <w:rFonts w:ascii="Verdana" w:eastAsia="Calibri" w:hAnsi="Verdana" w:cs="Arial"/>
          <w:lang w:val="es-ES_tradnl" w:eastAsia="es-ES_tradnl"/>
        </w:rPr>
        <w:t xml:space="preserve">Agencia Nacional de Contratación Pública – Colombia Compra Eficiente la competencia para su expedición. </w:t>
      </w:r>
    </w:p>
    <w:p w14:paraId="00A684F5" w14:textId="77777777" w:rsidR="00BD6251" w:rsidRPr="007811B9" w:rsidRDefault="00BD6251" w:rsidP="00BD6251">
      <w:pPr>
        <w:adjustRightInd w:val="0"/>
        <w:snapToGrid w:val="0"/>
        <w:spacing w:after="120" w:line="276" w:lineRule="auto"/>
        <w:ind w:firstLine="709"/>
        <w:jc w:val="both"/>
        <w:rPr>
          <w:rFonts w:ascii="Verdana" w:eastAsia="Aptos" w:hAnsi="Verdana" w:cs="Arial"/>
          <w:lang w:val="es-ES"/>
        </w:rPr>
      </w:pPr>
      <w:r w:rsidRPr="00D36816">
        <w:rPr>
          <w:rFonts w:ascii="Verdana" w:eastAsia="Aptos" w:hAnsi="Verdana" w:cs="Arial"/>
          <w:lang w:val="es-ES"/>
        </w:rPr>
        <w:t>Con sustento en esta competencia, esta Agencia ha expedido diversos grupos de Documentos Tipo aplicables</w:t>
      </w:r>
      <w:r>
        <w:rPr>
          <w:rFonts w:ascii="Verdana" w:eastAsia="Aptos" w:hAnsi="Verdana" w:cs="Arial"/>
          <w:lang w:val="es-ES"/>
        </w:rPr>
        <w:t>,</w:t>
      </w:r>
      <w:r w:rsidRPr="00D36816">
        <w:rPr>
          <w:rFonts w:ascii="Verdana" w:eastAsia="Aptos" w:hAnsi="Verdana" w:cs="Arial"/>
          <w:lang w:val="es-ES"/>
        </w:rPr>
        <w:t xml:space="preserve"> principalmente</w:t>
      </w:r>
      <w:r>
        <w:rPr>
          <w:rFonts w:ascii="Verdana" w:eastAsia="Aptos" w:hAnsi="Verdana" w:cs="Arial"/>
          <w:lang w:val="es-ES"/>
        </w:rPr>
        <w:t>,</w:t>
      </w:r>
      <w:r w:rsidRPr="00D36816">
        <w:rPr>
          <w:rFonts w:ascii="Verdana" w:eastAsia="Aptos" w:hAnsi="Verdana" w:cs="Arial"/>
          <w:lang w:val="es-ES"/>
        </w:rPr>
        <w:t xml:space="preserve"> </w:t>
      </w:r>
      <w:r>
        <w:rPr>
          <w:rFonts w:ascii="Verdana" w:eastAsia="Aptos" w:hAnsi="Verdana" w:cs="Arial"/>
          <w:lang w:val="es-ES"/>
        </w:rPr>
        <w:t>para</w:t>
      </w:r>
      <w:r w:rsidRPr="00D36816">
        <w:rPr>
          <w:rFonts w:ascii="Verdana" w:eastAsia="Aptos" w:hAnsi="Verdana" w:cs="Arial"/>
          <w:lang w:val="es-ES"/>
        </w:rPr>
        <w:t xml:space="preserve"> la contratación de obras públicas de infraestructura de transporte, agua potable</w:t>
      </w:r>
      <w:r>
        <w:rPr>
          <w:rFonts w:ascii="Verdana" w:eastAsia="Aptos" w:hAnsi="Verdana" w:cs="Arial"/>
          <w:lang w:val="es-ES"/>
        </w:rPr>
        <w:t>-</w:t>
      </w:r>
      <w:r w:rsidRPr="00D36816">
        <w:rPr>
          <w:rFonts w:ascii="Verdana" w:eastAsia="Aptos" w:hAnsi="Verdana" w:cs="Arial"/>
          <w:lang w:val="es-ES"/>
        </w:rPr>
        <w:t>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0F47593D" w14:textId="77777777" w:rsidR="00BD6251" w:rsidRPr="00D36816" w:rsidRDefault="00BD6251" w:rsidP="00BD6251">
      <w:pPr>
        <w:adjustRightInd w:val="0"/>
        <w:snapToGrid w:val="0"/>
        <w:spacing w:after="0" w:line="276" w:lineRule="auto"/>
        <w:ind w:firstLine="709"/>
        <w:jc w:val="both"/>
        <w:rPr>
          <w:rFonts w:ascii="Verdana" w:eastAsia="Calibri" w:hAnsi="Verdana" w:cs="Arial"/>
        </w:rPr>
      </w:pPr>
      <w:r w:rsidRPr="00D36816">
        <w:rPr>
          <w:rFonts w:ascii="Verdana" w:eastAsia="Times New Roman" w:hAnsi="Verdana" w:cs="Arial"/>
          <w:szCs w:val="24"/>
          <w:lang w:eastAsia="es-ES_tradnl"/>
        </w:rPr>
        <w:t xml:space="preserve">El numeral 3.5.6 “Documentos válidos para la acreditación de la experiencia requerida” del documento base de los documentos tipo de licitación de obra pública de infraestructura de transporte – versión 4, establece los documentos a los que se acudirá cuando el proponente no esté obligado a tener RUP o cuando la entidad requiera verificar información adicional. En tal sentido, </w:t>
      </w:r>
      <w:r w:rsidRPr="00D36816">
        <w:rPr>
          <w:rFonts w:ascii="Verdana" w:eastAsia="Times New Roman" w:hAnsi="Verdana" w:cs="Arial"/>
          <w:szCs w:val="24"/>
          <w:lang w:val="es-MX" w:eastAsia="es-ES_tradnl"/>
        </w:rPr>
        <w:t xml:space="preserve">el proponente podrá aportar </w:t>
      </w:r>
      <w:bookmarkStart w:id="3" w:name="_Hlk83811650"/>
      <w:r w:rsidRPr="00D36816">
        <w:rPr>
          <w:rFonts w:ascii="Verdana" w:eastAsia="Times New Roman" w:hAnsi="Verdana" w:cs="Arial"/>
          <w:szCs w:val="24"/>
          <w:lang w:val="es-MX" w:eastAsia="es-ES_tradnl"/>
        </w:rPr>
        <w:t>uno o algunos de los siguientes documentos</w:t>
      </w:r>
      <w:bookmarkEnd w:id="3"/>
      <w:r w:rsidRPr="00D36816">
        <w:rPr>
          <w:rFonts w:ascii="Verdana" w:eastAsia="Times New Roman" w:hAnsi="Verdana" w:cs="Arial"/>
          <w:szCs w:val="24"/>
          <w:lang w:val="es-MX" w:eastAsia="es-ES_tradnl"/>
        </w:rPr>
        <w:t>, para que la entidad realice la verificación en forma directa:</w:t>
      </w:r>
    </w:p>
    <w:p w14:paraId="3F372F69" w14:textId="77777777" w:rsidR="00BD6251" w:rsidRPr="00D36816" w:rsidRDefault="00BD6251" w:rsidP="00BD6251">
      <w:pPr>
        <w:spacing w:after="0" w:line="240" w:lineRule="auto"/>
        <w:ind w:left="709" w:right="709" w:firstLine="708"/>
        <w:jc w:val="both"/>
        <w:rPr>
          <w:rFonts w:ascii="Verdana" w:eastAsia="Times New Roman" w:hAnsi="Verdana" w:cs="Arial"/>
          <w:szCs w:val="24"/>
          <w:lang w:eastAsia="es-ES_tradnl"/>
        </w:rPr>
      </w:pPr>
    </w:p>
    <w:p w14:paraId="4322A19A" w14:textId="77777777" w:rsidR="00BD6251" w:rsidRPr="00D36816" w:rsidRDefault="00BD6251" w:rsidP="00BD6251">
      <w:pPr>
        <w:numPr>
          <w:ilvl w:val="0"/>
          <w:numId w:val="18"/>
        </w:numPr>
        <w:tabs>
          <w:tab w:val="left" w:pos="993"/>
        </w:tabs>
        <w:snapToGrid w:val="0"/>
        <w:spacing w:after="120" w:line="240" w:lineRule="auto"/>
        <w:ind w:left="709" w:right="709" w:firstLine="0"/>
        <w:jc w:val="both"/>
        <w:rPr>
          <w:rFonts w:ascii="Verdana" w:eastAsia="Times New Roman" w:hAnsi="Verdana" w:cs="Arial"/>
          <w:sz w:val="21"/>
          <w:szCs w:val="21"/>
          <w:lang w:val="es-MX" w:eastAsia="es-ES_tradnl"/>
        </w:rPr>
      </w:pPr>
      <w:r w:rsidRPr="00D36816">
        <w:rPr>
          <w:rFonts w:ascii="Verdana" w:eastAsia="Times New Roman" w:hAnsi="Verdana" w:cs="Arial"/>
          <w:sz w:val="21"/>
          <w:szCs w:val="21"/>
          <w:lang w:val="es-MX" w:eastAsia="es-ES_tradnl"/>
        </w:rPr>
        <w:t>Acta de liquidación</w:t>
      </w:r>
    </w:p>
    <w:p w14:paraId="229E79FF" w14:textId="77777777" w:rsidR="00BD6251" w:rsidRPr="00D36816" w:rsidRDefault="00BD6251" w:rsidP="00BD6251">
      <w:pPr>
        <w:numPr>
          <w:ilvl w:val="0"/>
          <w:numId w:val="18"/>
        </w:numPr>
        <w:tabs>
          <w:tab w:val="left" w:pos="993"/>
        </w:tabs>
        <w:snapToGrid w:val="0"/>
        <w:spacing w:after="120" w:line="240" w:lineRule="auto"/>
        <w:ind w:left="709" w:right="709" w:firstLine="0"/>
        <w:jc w:val="both"/>
        <w:rPr>
          <w:rFonts w:ascii="Verdana" w:eastAsia="Times New Roman" w:hAnsi="Verdana" w:cs="Arial"/>
          <w:sz w:val="21"/>
          <w:szCs w:val="21"/>
          <w:lang w:val="es-MX" w:eastAsia="es-ES_tradnl"/>
        </w:rPr>
      </w:pPr>
      <w:r w:rsidRPr="00D36816">
        <w:rPr>
          <w:rFonts w:ascii="Verdana" w:eastAsia="Times New Roman" w:hAnsi="Verdana" w:cs="Arial"/>
          <w:sz w:val="21"/>
          <w:szCs w:val="21"/>
          <w:lang w:val="es-MX" w:eastAsia="es-ES_tradnl"/>
        </w:rPr>
        <w:lastRenderedPageBreak/>
        <w:t xml:space="preserve">Acta de entrega, terminación, final o de recibo definitivo. </w:t>
      </w:r>
    </w:p>
    <w:p w14:paraId="34BAF870" w14:textId="77777777" w:rsidR="00BD6251" w:rsidRPr="00D36816" w:rsidRDefault="00BD6251" w:rsidP="00BD6251">
      <w:pPr>
        <w:numPr>
          <w:ilvl w:val="0"/>
          <w:numId w:val="18"/>
        </w:numPr>
        <w:tabs>
          <w:tab w:val="left" w:pos="993"/>
        </w:tabs>
        <w:snapToGrid w:val="0"/>
        <w:spacing w:after="120" w:line="240" w:lineRule="auto"/>
        <w:ind w:left="709" w:right="709" w:firstLine="0"/>
        <w:jc w:val="both"/>
        <w:rPr>
          <w:rFonts w:ascii="Verdana" w:eastAsia="Times New Roman" w:hAnsi="Verdana" w:cs="Arial"/>
          <w:sz w:val="21"/>
          <w:szCs w:val="21"/>
          <w:lang w:val="es-MX" w:eastAsia="es-ES_tradnl"/>
        </w:rPr>
      </w:pPr>
      <w:r w:rsidRPr="00D36816">
        <w:rPr>
          <w:rFonts w:ascii="Verdana" w:eastAsia="Times New Roman" w:hAnsi="Verdana" w:cs="Arial"/>
          <w:sz w:val="21"/>
          <w:szCs w:val="21"/>
          <w:lang w:val="es-MX" w:eastAsia="es-ES_tradnl"/>
        </w:rPr>
        <w:t>Certificación de experiencia. Expedida con posterioridad a la fecha de terminación del contrato en la que conste el recibo a satisfacción de la obra contratada debidamente suscrita por quien esté en capacidad u obligación de hacerlo.</w:t>
      </w:r>
    </w:p>
    <w:p w14:paraId="03D9C180" w14:textId="77777777" w:rsidR="00BD6251" w:rsidRPr="00D36816" w:rsidRDefault="00BD6251" w:rsidP="00BD6251">
      <w:pPr>
        <w:numPr>
          <w:ilvl w:val="0"/>
          <w:numId w:val="18"/>
        </w:numPr>
        <w:tabs>
          <w:tab w:val="left" w:pos="993"/>
        </w:tabs>
        <w:snapToGrid w:val="0"/>
        <w:spacing w:after="120" w:line="240" w:lineRule="auto"/>
        <w:ind w:left="709" w:right="709" w:firstLine="0"/>
        <w:jc w:val="both"/>
        <w:rPr>
          <w:rFonts w:ascii="Verdana" w:eastAsia="Times New Roman" w:hAnsi="Verdana" w:cs="Arial"/>
          <w:sz w:val="21"/>
          <w:szCs w:val="21"/>
          <w:lang w:val="es-MX" w:eastAsia="es-ES_tradnl"/>
        </w:rPr>
      </w:pPr>
      <w:r w:rsidRPr="00D36816">
        <w:rPr>
          <w:rFonts w:ascii="Verdana" w:eastAsia="Times New Roman" w:hAnsi="Verdana" w:cs="Arial"/>
          <w:sz w:val="21"/>
          <w:szCs w:val="21"/>
          <w:lang w:val="es-MX" w:eastAsia="es-ES_tradnl"/>
        </w:rPr>
        <w:t>Acta de inicio o la orden de inicio. La misma sólo será válida para efectos de acreditar la fecha de inicio.</w:t>
      </w:r>
    </w:p>
    <w:p w14:paraId="53E0F2B0" w14:textId="77777777" w:rsidR="00BD6251" w:rsidRPr="00D36816" w:rsidRDefault="00BD6251" w:rsidP="00BD6251">
      <w:pPr>
        <w:numPr>
          <w:ilvl w:val="0"/>
          <w:numId w:val="18"/>
        </w:numPr>
        <w:tabs>
          <w:tab w:val="left" w:pos="993"/>
        </w:tabs>
        <w:snapToGrid w:val="0"/>
        <w:spacing w:after="0" w:line="240" w:lineRule="auto"/>
        <w:ind w:left="709" w:right="709" w:firstLine="0"/>
        <w:jc w:val="both"/>
        <w:rPr>
          <w:rFonts w:ascii="Verdana" w:eastAsia="Times New Roman" w:hAnsi="Verdana" w:cs="Arial"/>
          <w:sz w:val="21"/>
          <w:szCs w:val="21"/>
          <w:lang w:val="es-MX" w:eastAsia="es-ES_tradnl"/>
        </w:rPr>
      </w:pPr>
      <w:r w:rsidRPr="00D36816">
        <w:rPr>
          <w:rFonts w:ascii="Verdana" w:eastAsia="Times New Roman" w:hAnsi="Verdana" w:cs="Arial"/>
          <w:sz w:val="21"/>
          <w:szCs w:val="21"/>
          <w:lang w:val="es-MX" w:eastAsia="es-ES_tradnl"/>
        </w:rPr>
        <w:t>Para los contratos que hayan sido objeto de cesión, el contrato deberá encontrarse debidamente inscrito y clasificado en el RUP o en uno o alguno de los documentos considerados como válidos para la acreditación de experiencia de la empresa cesionaria, según aplique. La experiencia se admitirá para el cesionario y no se reconocerá experiencia alguna al cedente.</w:t>
      </w:r>
    </w:p>
    <w:p w14:paraId="77CB23B3" w14:textId="77777777" w:rsidR="00BD6251" w:rsidRPr="007811B9" w:rsidRDefault="00BD6251" w:rsidP="00BD6251">
      <w:pPr>
        <w:tabs>
          <w:tab w:val="left" w:pos="993"/>
        </w:tabs>
        <w:spacing w:after="0" w:line="276" w:lineRule="auto"/>
        <w:ind w:left="709" w:right="618"/>
        <w:jc w:val="both"/>
        <w:rPr>
          <w:rFonts w:ascii="Verdana" w:eastAsia="Times New Roman" w:hAnsi="Verdana" w:cs="Arial"/>
          <w:lang w:val="es-MX" w:eastAsia="es-ES_tradnl"/>
        </w:rPr>
      </w:pPr>
    </w:p>
    <w:p w14:paraId="47257B18" w14:textId="77777777" w:rsidR="00BD6251" w:rsidRPr="00D36816" w:rsidRDefault="00BD6251" w:rsidP="00BD6251">
      <w:pPr>
        <w:snapToGrid w:val="0"/>
        <w:spacing w:after="120" w:line="276" w:lineRule="auto"/>
        <w:ind w:firstLine="709"/>
        <w:jc w:val="both"/>
        <w:rPr>
          <w:rFonts w:ascii="Verdana" w:eastAsia="Times New Roman" w:hAnsi="Verdana" w:cs="Arial"/>
          <w:szCs w:val="24"/>
          <w:lang w:eastAsia="es-ES_tradnl"/>
        </w:rPr>
      </w:pPr>
      <w:r w:rsidRPr="00D36816">
        <w:rPr>
          <w:rFonts w:ascii="Verdana" w:eastAsia="Times New Roman" w:hAnsi="Verdana" w:cs="Arial"/>
          <w:szCs w:val="24"/>
          <w:lang w:eastAsia="es-ES_tradnl"/>
        </w:rPr>
        <w:t xml:space="preserve">Los documentos relacionados son válidos para que los proponentes acrediten “las actividades ejecutadas” definidas en la “Matriz 1- Experiencia”, cuando el contenido de estos permita identificar el alcance de dichas actividades y siempre que la información cumpla con las exigencias del numeral 3.5.6 del documento base. Además, estos documentos deberán estar debidamente diligenciados y suscritos por el contratante, el contratista o el interventor, según corresponda. En caso de existir discrepancias entre dos (2) o más documentos aportados por el proponente para la acreditación de experiencia, el numeral establece un orden de prevalencia de los documentos señalados. </w:t>
      </w:r>
    </w:p>
    <w:p w14:paraId="03F0254F" w14:textId="77777777" w:rsidR="00BD6251" w:rsidRPr="002D73A2" w:rsidRDefault="00BD6251" w:rsidP="00BD6251">
      <w:pPr>
        <w:snapToGrid w:val="0"/>
        <w:spacing w:after="120" w:line="276" w:lineRule="auto"/>
        <w:ind w:firstLine="709"/>
        <w:jc w:val="both"/>
        <w:rPr>
          <w:rFonts w:ascii="Verdana" w:eastAsia="Times New Roman" w:hAnsi="Verdana" w:cs="Arial"/>
          <w:szCs w:val="24"/>
          <w:lang w:eastAsia="es-ES_tradnl"/>
        </w:rPr>
      </w:pPr>
      <w:r w:rsidRPr="00D36816">
        <w:rPr>
          <w:rFonts w:ascii="Verdana" w:eastAsia="Times New Roman" w:hAnsi="Verdana" w:cs="Arial"/>
          <w:szCs w:val="24"/>
          <w:lang w:eastAsia="es-ES_tradnl"/>
        </w:rPr>
        <w:t xml:space="preserve">Ahora bien, para efectos de la acreditación de experiencia entre particulares, el numeral 3.5.7 del documento base, señala que el proponente deberá aportar adicionalmente alguno de estos documentos: “Certificación de facturación expedida con posterioridad a la fecha de terminación del contrato emitida por el revisor fiscal o contador público del Proponente que acredita la experiencia, según corresponda, con la copia de la tarjeta profesional y certificado de antecedentes disciplinarios vigente, expedido por la Junta Central de Contadores, o los documentos equivalentes que hagan sus veces en el país donde se expide el documento del profesional”.  </w:t>
      </w:r>
    </w:p>
    <w:p w14:paraId="2ED3F628" w14:textId="77777777" w:rsidR="00BD6251" w:rsidRPr="00D36816" w:rsidRDefault="00BD6251" w:rsidP="00BD6251">
      <w:pPr>
        <w:snapToGrid w:val="0"/>
        <w:spacing w:after="120" w:line="276" w:lineRule="auto"/>
        <w:ind w:firstLine="709"/>
        <w:jc w:val="both"/>
        <w:rPr>
          <w:rFonts w:ascii="Verdana" w:eastAsia="Times New Roman" w:hAnsi="Verdana" w:cs="Arial"/>
          <w:szCs w:val="24"/>
          <w:lang w:eastAsia="es-ES_tradnl"/>
        </w:rPr>
      </w:pPr>
      <w:r w:rsidRPr="00D36816">
        <w:rPr>
          <w:rFonts w:ascii="Verdana" w:eastAsia="Calibri" w:hAnsi="Verdana" w:cs="Arial"/>
          <w:color w:val="0D0D0D"/>
          <w:lang w:val="es-MX"/>
        </w:rPr>
        <w:t xml:space="preserve">En línea con lo expuesto, </w:t>
      </w:r>
      <w:r w:rsidRPr="00D36816">
        <w:rPr>
          <w:rFonts w:ascii="Verdana" w:eastAsia="Calibri" w:hAnsi="Verdana" w:cs="Arial"/>
          <w:color w:val="0D0D0D"/>
          <w:lang w:val="es-ES_tradnl"/>
        </w:rPr>
        <w:t xml:space="preserve">el numeral 3.5.8 del documento base establece la forma de acreditación de experiencia para subcontratos. </w:t>
      </w:r>
      <w:proofErr w:type="gramStart"/>
      <w:r w:rsidRPr="00D36816">
        <w:rPr>
          <w:rFonts w:ascii="Verdana" w:eastAsia="Calibri" w:hAnsi="Verdana" w:cs="Arial"/>
          <w:color w:val="0D0D0D"/>
          <w:lang w:val="es-ES_tradnl"/>
        </w:rPr>
        <w:t xml:space="preserve">Este numeral </w:t>
      </w:r>
      <w:bookmarkStart w:id="4" w:name="_Hlk83993557"/>
      <w:r w:rsidRPr="00D36816">
        <w:rPr>
          <w:rFonts w:ascii="Verdana" w:eastAsia="Calibri" w:hAnsi="Verdana" w:cs="Arial"/>
          <w:color w:val="0D0D0D"/>
          <w:lang w:val="es-ES"/>
        </w:rPr>
        <w:t>diferencia</w:t>
      </w:r>
      <w:proofErr w:type="gramEnd"/>
      <w:r w:rsidRPr="00D36816">
        <w:rPr>
          <w:rFonts w:ascii="Verdana" w:eastAsia="Calibri" w:hAnsi="Verdana" w:cs="Arial"/>
          <w:color w:val="0D0D0D"/>
          <w:lang w:val="es-ES"/>
        </w:rPr>
        <w:t xml:space="preserve"> los subcontratos derivados de contratos suscritos con particulares de los suscritos con entidades estatales</w:t>
      </w:r>
      <w:bookmarkEnd w:id="4"/>
      <w:r w:rsidRPr="00D36816">
        <w:rPr>
          <w:rFonts w:ascii="Verdana" w:eastAsia="Calibri" w:hAnsi="Verdana" w:cs="Arial"/>
          <w:color w:val="0D0D0D"/>
          <w:lang w:val="es-ES"/>
        </w:rPr>
        <w:t xml:space="preserve">. </w:t>
      </w:r>
    </w:p>
    <w:p w14:paraId="149727B0" w14:textId="77777777" w:rsidR="00BD6251" w:rsidRPr="00D36816" w:rsidRDefault="00BD6251" w:rsidP="00BD6251">
      <w:pPr>
        <w:snapToGrid w:val="0"/>
        <w:spacing w:after="0" w:line="276" w:lineRule="auto"/>
        <w:ind w:firstLine="709"/>
        <w:jc w:val="both"/>
        <w:rPr>
          <w:rFonts w:ascii="Verdana" w:eastAsia="Calibri" w:hAnsi="Verdana" w:cs="Arial"/>
          <w:color w:val="0D0D0D"/>
          <w:lang w:val="es-MX"/>
        </w:rPr>
      </w:pPr>
      <w:r w:rsidRPr="00D36816">
        <w:rPr>
          <w:rFonts w:ascii="Verdana" w:eastAsia="Calibri" w:hAnsi="Verdana" w:cs="Arial"/>
          <w:color w:val="0D0D0D"/>
          <w:lang w:val="es-MX"/>
        </w:rPr>
        <w:lastRenderedPageBreak/>
        <w:t xml:space="preserve">Para el primer evento, señalan que “para la acreditación de experiencia de subcontratos, cuyo contrato principal fue suscrito con particulares, se aplicarán las disposiciones establecidas en el numeral anterior”. De este modo, si el contrato principal fue suscrito con particulares, las reglas para acreditación de experiencia para subcontratos son las establecidas en el numeral 3.5.7 del documento base –previamente señalado–. En el segundo evento, dispone que para la acreditación de experiencia de los contratos derivados de contratos suscritos con entidades estatales el proponente deberá aportar los siguientes documentos: </w:t>
      </w:r>
    </w:p>
    <w:p w14:paraId="05DA4589" w14:textId="77777777" w:rsidR="00BD6251" w:rsidRPr="00D36816" w:rsidRDefault="00BD6251" w:rsidP="00BD6251">
      <w:pPr>
        <w:tabs>
          <w:tab w:val="left" w:pos="1134"/>
        </w:tabs>
        <w:spacing w:after="0" w:line="276" w:lineRule="auto"/>
        <w:ind w:left="709"/>
        <w:jc w:val="both"/>
        <w:rPr>
          <w:rFonts w:ascii="Verdana" w:eastAsia="Calibri" w:hAnsi="Verdana" w:cs="Arial"/>
          <w:color w:val="0D0D0D"/>
          <w:lang w:val="es-MX"/>
        </w:rPr>
      </w:pPr>
    </w:p>
    <w:p w14:paraId="21AA4DE5" w14:textId="77777777" w:rsidR="00BD6251" w:rsidRPr="00D36816" w:rsidRDefault="00BD6251" w:rsidP="00BD6251">
      <w:pPr>
        <w:tabs>
          <w:tab w:val="left" w:pos="1134"/>
        </w:tabs>
        <w:adjustRightInd w:val="0"/>
        <w:spacing w:after="120" w:line="240" w:lineRule="auto"/>
        <w:ind w:left="709" w:right="709"/>
        <w:jc w:val="both"/>
        <w:rPr>
          <w:rFonts w:ascii="Verdana" w:eastAsia="Calibri" w:hAnsi="Verdana" w:cs="Arial"/>
          <w:color w:val="0D0D0D"/>
          <w:sz w:val="21"/>
          <w:szCs w:val="21"/>
          <w:lang w:val="es-MX"/>
        </w:rPr>
      </w:pPr>
      <w:r w:rsidRPr="00D36816">
        <w:rPr>
          <w:rFonts w:ascii="Verdana" w:eastAsia="Calibri" w:hAnsi="Verdana" w:cs="Arial"/>
          <w:color w:val="0D0D0D"/>
          <w:sz w:val="21"/>
          <w:szCs w:val="21"/>
          <w:lang w:val="es-MX"/>
        </w:rPr>
        <w:t>A. Certificación del subcontrato. Certificación expedida con posterioridad a la fecha de terminación del subcontrato, la cual debe estar suscrita por el representante legal del contratista del contrato principal, del Concesionario, o del EPC o Consorcio Constructor. Así mismo, debe contener la información requerida en el presente Pliego de Condiciones para efectos de acreditación de la experiencia.</w:t>
      </w:r>
    </w:p>
    <w:p w14:paraId="1D7B1BB7" w14:textId="77777777" w:rsidR="00BD6251" w:rsidRPr="00D36816" w:rsidRDefault="00BD6251" w:rsidP="00BD6251">
      <w:pPr>
        <w:tabs>
          <w:tab w:val="left" w:pos="1134"/>
        </w:tabs>
        <w:adjustRightInd w:val="0"/>
        <w:spacing w:after="120" w:line="240" w:lineRule="auto"/>
        <w:ind w:left="709" w:right="709"/>
        <w:jc w:val="both"/>
        <w:rPr>
          <w:rFonts w:ascii="Verdana" w:eastAsia="Calibri" w:hAnsi="Verdana" w:cs="Arial"/>
          <w:color w:val="0D0D0D"/>
          <w:sz w:val="21"/>
          <w:szCs w:val="21"/>
          <w:lang w:val="es-MX"/>
        </w:rPr>
      </w:pPr>
      <w:r w:rsidRPr="00D36816">
        <w:rPr>
          <w:rFonts w:ascii="Verdana" w:eastAsia="Calibri" w:hAnsi="Verdana" w:cs="Arial"/>
          <w:color w:val="0D0D0D"/>
          <w:sz w:val="21"/>
          <w:szCs w:val="21"/>
          <w:lang w:val="es-MX"/>
        </w:rPr>
        <w:t>B. Certificación expedida por la entidad estatal del contrato principal del cual se derivó el subcontrato. Esta certificación debe contener la información básica del contrato principal la siguiente:</w:t>
      </w:r>
    </w:p>
    <w:p w14:paraId="16E306F0" w14:textId="77777777" w:rsidR="00BD6251" w:rsidRPr="00D36816" w:rsidRDefault="00BD6251" w:rsidP="00BD6251">
      <w:pPr>
        <w:tabs>
          <w:tab w:val="left" w:pos="1134"/>
        </w:tabs>
        <w:adjustRightInd w:val="0"/>
        <w:spacing w:after="120" w:line="240" w:lineRule="auto"/>
        <w:ind w:left="709" w:right="709"/>
        <w:jc w:val="both"/>
        <w:rPr>
          <w:rFonts w:ascii="Verdana" w:eastAsia="Calibri" w:hAnsi="Verdana" w:cs="Arial"/>
          <w:color w:val="0D0D0D"/>
          <w:sz w:val="21"/>
          <w:szCs w:val="21"/>
          <w:lang w:val="es-MX"/>
        </w:rPr>
      </w:pPr>
      <w:r w:rsidRPr="00D36816">
        <w:rPr>
          <w:rFonts w:ascii="Verdana" w:eastAsia="Calibri" w:hAnsi="Verdana" w:cs="Arial"/>
          <w:color w:val="0D0D0D"/>
          <w:sz w:val="21"/>
          <w:szCs w:val="21"/>
          <w:lang w:val="es-MX"/>
        </w:rPr>
        <w:t xml:space="preserve">I. Alcance de las obras ejecutadas en el contrato principal. </w:t>
      </w:r>
    </w:p>
    <w:p w14:paraId="1E8DD54B" w14:textId="77777777" w:rsidR="00BD6251" w:rsidRPr="00D36816" w:rsidRDefault="00BD6251" w:rsidP="00BD6251">
      <w:pPr>
        <w:tabs>
          <w:tab w:val="left" w:pos="1560"/>
        </w:tabs>
        <w:adjustRightInd w:val="0"/>
        <w:spacing w:after="0" w:line="240" w:lineRule="auto"/>
        <w:ind w:left="709" w:right="709"/>
        <w:jc w:val="both"/>
        <w:rPr>
          <w:rFonts w:ascii="Verdana" w:eastAsia="Times New Roman" w:hAnsi="Verdana" w:cs="Arial"/>
          <w:sz w:val="21"/>
          <w:szCs w:val="21"/>
          <w:lang w:val="es-MX" w:eastAsia="es-ES"/>
        </w:rPr>
      </w:pPr>
      <w:r w:rsidRPr="00D36816">
        <w:rPr>
          <w:rFonts w:ascii="Verdana" w:eastAsia="Calibri" w:hAnsi="Verdana" w:cs="Arial"/>
          <w:color w:val="0D0D0D"/>
          <w:sz w:val="21"/>
          <w:szCs w:val="21"/>
          <w:lang w:val="es-MX"/>
        </w:rPr>
        <w:t xml:space="preserve">II. </w:t>
      </w:r>
      <w:r w:rsidRPr="00D36816">
        <w:rPr>
          <w:rFonts w:ascii="Verdana" w:eastAsia="Calibri" w:hAnsi="Verdana" w:cs="Arial"/>
          <w:color w:val="000000"/>
          <w:sz w:val="21"/>
          <w:szCs w:val="21"/>
          <w:lang w:val="es-MX"/>
        </w:rPr>
        <w:t>Información en la cual se evidencie que la figura de la subcontratación es permitida en el marco del contrato principal. En caso de que no requiera autorización para subcontratar, el Proponente podrá aportar con su propuesta alguno de los siguientes documentos que den cuenta de esa circunstancia: i) copia del contrato o ii) certificación emitida por la Entidad Estatal, donde acredite que para subcontratar no se requería autorización.</w:t>
      </w:r>
    </w:p>
    <w:p w14:paraId="423C6940" w14:textId="77777777" w:rsidR="00BD6251" w:rsidRPr="00D36816" w:rsidRDefault="00BD6251" w:rsidP="00BD6251">
      <w:pPr>
        <w:spacing w:after="0" w:line="276" w:lineRule="auto"/>
        <w:jc w:val="both"/>
        <w:rPr>
          <w:rFonts w:ascii="Verdana" w:eastAsia="Calibri" w:hAnsi="Verdana" w:cs="Arial"/>
          <w:color w:val="0D0D0D"/>
          <w:lang w:val="es-ES_tradnl"/>
        </w:rPr>
      </w:pPr>
    </w:p>
    <w:p w14:paraId="229E8F46" w14:textId="77777777" w:rsidR="00BD6251" w:rsidRPr="00D36816" w:rsidRDefault="00BD6251" w:rsidP="00BD6251">
      <w:pPr>
        <w:adjustRightInd w:val="0"/>
        <w:snapToGrid w:val="0"/>
        <w:spacing w:after="120" w:line="276" w:lineRule="auto"/>
        <w:ind w:firstLine="709"/>
        <w:jc w:val="both"/>
        <w:rPr>
          <w:rFonts w:ascii="Verdana" w:eastAsia="Calibri" w:hAnsi="Verdana" w:cs="Arial"/>
          <w:color w:val="0D0D0D"/>
          <w:lang w:val="es-MX"/>
        </w:rPr>
      </w:pPr>
      <w:r w:rsidRPr="00D36816">
        <w:rPr>
          <w:rFonts w:ascii="Verdana" w:eastAsia="Calibri" w:hAnsi="Verdana" w:cs="Arial"/>
          <w:color w:val="0D0D0D"/>
          <w:lang w:val="es-MX"/>
        </w:rPr>
        <w:t xml:space="preserve">De conformidad con lo anterior, si la experiencia que se pretende acreditar procede de un contrato derivado de un contrato suscrito con una entidad estatal, las reglas para acreditación de experiencia para subcontratos son las establecidas en el numeral 3.5.8 del documento base. De esta manera, el proponente deberá allegar la certificación del subcontrato suscrita por el representante legal del contratista del contrato principal, del Concesionario, o del EPC o Consorcio Constructor, así como la certificación expedida por la entidad estatal del contrato principal, que incluya el alcance de las obras ejecutadas en el contrato principal y la información en la que se evidencie que la figura de la subcontratación es permitida. Si no se requiere autorización, deberá el </w:t>
      </w:r>
      <w:r w:rsidRPr="00D36816">
        <w:rPr>
          <w:rFonts w:ascii="Verdana" w:eastAsia="Calibri" w:hAnsi="Verdana" w:cs="Arial"/>
          <w:color w:val="0D0D0D"/>
          <w:lang w:val="es-MX"/>
        </w:rPr>
        <w:lastRenderedPageBreak/>
        <w:t xml:space="preserve">proponente allegar los siguientes documentos que lo soportan: copia del contrato y certificación emitida por la Entidad donde acredite que no se requiere de esa autorización. </w:t>
      </w:r>
    </w:p>
    <w:p w14:paraId="37EB2DCC" w14:textId="77777777" w:rsidR="00BD6251" w:rsidRPr="00D36816" w:rsidRDefault="00BD6251" w:rsidP="00BD6251">
      <w:pPr>
        <w:adjustRightInd w:val="0"/>
        <w:snapToGrid w:val="0"/>
        <w:spacing w:after="120" w:line="276" w:lineRule="auto"/>
        <w:ind w:firstLine="709"/>
        <w:jc w:val="both"/>
        <w:rPr>
          <w:rFonts w:ascii="Verdana" w:eastAsia="Calibri" w:hAnsi="Verdana" w:cs="Arial"/>
          <w:color w:val="0D0D0D"/>
          <w:lang w:val="es-MX"/>
        </w:rPr>
      </w:pPr>
      <w:r w:rsidRPr="00D36816">
        <w:rPr>
          <w:rFonts w:ascii="Verdana" w:eastAsia="Calibri" w:hAnsi="Verdana" w:cs="Arial"/>
          <w:color w:val="0D0D0D"/>
          <w:lang w:val="es-MX"/>
        </w:rPr>
        <w:t xml:space="preserve">Así las cosas, la forma de acreditación de la experiencia para subcontratos en los documentos tipo de infraestructura de transporte, depende de la calidad del sujeto con el cual se celebró el contrato principal, esto es, un particular o una entidad estatal. </w:t>
      </w:r>
    </w:p>
    <w:p w14:paraId="5448BBE2" w14:textId="77777777" w:rsidR="00BD6251" w:rsidRPr="00D36816" w:rsidRDefault="00BD6251" w:rsidP="00BD6251">
      <w:pPr>
        <w:adjustRightInd w:val="0"/>
        <w:snapToGrid w:val="0"/>
        <w:spacing w:after="0" w:line="276" w:lineRule="auto"/>
        <w:ind w:firstLine="709"/>
        <w:jc w:val="both"/>
        <w:rPr>
          <w:rFonts w:ascii="Verdana" w:eastAsia="Calibri" w:hAnsi="Verdana" w:cs="Arial"/>
          <w:color w:val="0D0D0D"/>
        </w:rPr>
      </w:pPr>
      <w:r w:rsidRPr="00D36816">
        <w:rPr>
          <w:rFonts w:ascii="Verdana" w:eastAsia="Calibri" w:hAnsi="Verdana" w:cs="Arial"/>
          <w:color w:val="0D0D0D"/>
          <w:lang w:val="es-MX"/>
        </w:rPr>
        <w:t>Ahora bien, frente a su solicitud, es pertinente referirnos al alcance del literal K del numeral 3.5.3 “</w:t>
      </w:r>
      <w:r>
        <w:rPr>
          <w:rFonts w:ascii="Verdana" w:eastAsia="Calibri" w:hAnsi="Verdana" w:cs="Arial"/>
          <w:color w:val="0D0D0D"/>
          <w:lang w:val="es-MX"/>
        </w:rPr>
        <w:t>C</w:t>
      </w:r>
      <w:r w:rsidRPr="00D36816">
        <w:rPr>
          <w:rFonts w:ascii="Verdana" w:eastAsia="Calibri" w:hAnsi="Verdana" w:cs="Arial"/>
          <w:color w:val="0D0D0D"/>
          <w:lang w:val="es-MX"/>
        </w:rPr>
        <w:t>onsideraciones para la validez de la experiencia requerida” contenido en el documento base de los documentos tipo de licitación de obra pública de infraestructura de transporte. En este numeral se establecen los aspectos que la Entidad Estatal debe tener en cuenta al momento de evaluar la experiencia acreditada por los oferentes, con el propósito de verificar su validez. En particular, el literal K —objeto de su consulta— señala lo siguiente:</w:t>
      </w:r>
    </w:p>
    <w:p w14:paraId="055C9F9A" w14:textId="77777777" w:rsidR="00BD6251" w:rsidRPr="00D36816" w:rsidRDefault="00BD6251" w:rsidP="00BD6251">
      <w:pPr>
        <w:snapToGrid w:val="0"/>
        <w:spacing w:after="0" w:line="276" w:lineRule="auto"/>
        <w:jc w:val="both"/>
        <w:rPr>
          <w:rFonts w:ascii="Verdana" w:eastAsia="Calibri" w:hAnsi="Verdana" w:cs="Arial"/>
          <w:color w:val="0D0D0D"/>
          <w:lang w:val="es-MX"/>
        </w:rPr>
      </w:pPr>
    </w:p>
    <w:p w14:paraId="4D6389E5" w14:textId="77777777" w:rsidR="00BD6251" w:rsidRPr="00D36816" w:rsidRDefault="00BD6251" w:rsidP="00BD6251">
      <w:pPr>
        <w:spacing w:after="0" w:line="240" w:lineRule="auto"/>
        <w:ind w:left="709" w:right="709"/>
        <w:jc w:val="both"/>
        <w:rPr>
          <w:rFonts w:ascii="Verdana" w:eastAsia="Aptos" w:hAnsi="Verdana" w:cs="Arial"/>
          <w:iCs/>
          <w:sz w:val="21"/>
          <w:szCs w:val="21"/>
          <w:lang w:val="es-MX"/>
        </w:rPr>
      </w:pPr>
      <w:r w:rsidRPr="00D36816">
        <w:rPr>
          <w:rFonts w:ascii="Verdana" w:eastAsia="Aptos" w:hAnsi="Verdana" w:cs="Arial"/>
          <w:sz w:val="21"/>
          <w:szCs w:val="21"/>
        </w:rPr>
        <w:t>“Las auto certificaciones no servirán para acreditar la experiencia requerida, ya que con estas no puede constatarse la ejecución de contratos que deben certificar los terceros que recibieron la obra, bien o servicio. Para la aplicación de esta regla, se entiende por auto certificaciones aquellas expedidas por el mismo Proponente, sus representantes, los integrantes del Proponente Plural o del mismo segmento empresarial para demostrar su propia experiencia”.</w:t>
      </w:r>
    </w:p>
    <w:p w14:paraId="7EAE03CF" w14:textId="77777777" w:rsidR="00BD6251" w:rsidRPr="00D36816" w:rsidRDefault="00BD6251" w:rsidP="00BD6251">
      <w:pPr>
        <w:snapToGrid w:val="0"/>
        <w:spacing w:after="0" w:line="276" w:lineRule="auto"/>
        <w:ind w:left="720"/>
        <w:jc w:val="both"/>
        <w:rPr>
          <w:rFonts w:ascii="Verdana" w:eastAsia="Calibri" w:hAnsi="Verdana" w:cs="Arial"/>
          <w:color w:val="0D0D0D"/>
          <w:lang w:val="es-MX"/>
        </w:rPr>
      </w:pPr>
      <w:r w:rsidRPr="00D36816">
        <w:rPr>
          <w:rFonts w:ascii="Verdana" w:eastAsia="Calibri" w:hAnsi="Verdana" w:cs="Arial"/>
          <w:color w:val="0D0D0D"/>
          <w:lang w:val="es-MX"/>
        </w:rPr>
        <w:tab/>
      </w:r>
    </w:p>
    <w:p w14:paraId="74D5126F" w14:textId="77777777" w:rsidR="00BD6251" w:rsidRPr="00412899" w:rsidRDefault="00BD6251" w:rsidP="00BD6251">
      <w:pPr>
        <w:snapToGrid w:val="0"/>
        <w:spacing w:after="120" w:line="276" w:lineRule="auto"/>
        <w:ind w:firstLine="709"/>
        <w:jc w:val="both"/>
        <w:rPr>
          <w:rFonts w:ascii="Verdana" w:eastAsia="Calibri" w:hAnsi="Verdana" w:cs="Arial"/>
          <w:color w:val="0D0D0D"/>
          <w:lang w:val="es-MX"/>
        </w:rPr>
      </w:pPr>
      <w:r w:rsidRPr="00D36816">
        <w:rPr>
          <w:rFonts w:ascii="Verdana" w:eastAsia="Calibri" w:hAnsi="Verdana" w:cs="Arial"/>
          <w:color w:val="0D0D0D"/>
        </w:rPr>
        <w:t xml:space="preserve">Como se observa, el literal K del numeral 3.5.3 del mencionado documento tipo dispone que las auto certificaciones no son válidas para acreditar la experiencia requerida, ya que a través de ellas no es posible comprobar </w:t>
      </w:r>
      <w:r w:rsidRPr="00D36816">
        <w:rPr>
          <w:rFonts w:ascii="Verdana" w:eastAsia="Calibri" w:hAnsi="Verdana" w:cs="Arial"/>
          <w:color w:val="0D0D0D"/>
          <w:lang w:val="es-MX"/>
        </w:rPr>
        <w:t xml:space="preserve">la ejecución de contratos que deban certificar los terceros que recibieron la obra, bien o servicios. Así mismo, el literal define expresamente qué debe entenderse por auto certificaciones, señalando que corresponden a “aquellas expedidas por el mismo Proponente, sus representantes, los integrantes del Proponente Plural o del mismo segmento empresarial para demostrar su propia experiencia”. </w:t>
      </w:r>
    </w:p>
    <w:p w14:paraId="2D311E71" w14:textId="77777777" w:rsidR="00BD6251" w:rsidRPr="00412899" w:rsidRDefault="00BD6251" w:rsidP="00BD6251">
      <w:pPr>
        <w:snapToGrid w:val="0"/>
        <w:spacing w:after="0" w:line="276" w:lineRule="auto"/>
        <w:ind w:firstLine="709"/>
        <w:jc w:val="both"/>
        <w:rPr>
          <w:rFonts w:ascii="Verdana" w:eastAsia="Calibri" w:hAnsi="Verdana" w:cs="Arial"/>
          <w:color w:val="0D0D0D"/>
        </w:rPr>
      </w:pPr>
      <w:r>
        <w:rPr>
          <w:rFonts w:ascii="Verdana" w:eastAsia="Calibri" w:hAnsi="Verdana" w:cs="Arial"/>
          <w:color w:val="0D0D0D"/>
        </w:rPr>
        <w:t>En este sentido, p</w:t>
      </w:r>
      <w:r w:rsidRPr="00D36816">
        <w:rPr>
          <w:rFonts w:ascii="Verdana" w:eastAsia="Calibri" w:hAnsi="Verdana" w:cs="Arial"/>
          <w:color w:val="0D0D0D"/>
        </w:rPr>
        <w:t xml:space="preserve">ara efectos de las certificaciones con el fin de acreditar la experiencia del proponente, debe señalarse que, para evitar que se configure el supuesto de auto certificación contenido en el literal K del numeral 3.5.3 de los documentos tipo de licitación de obra pública de infraestructura de transporte – versión 4, </w:t>
      </w:r>
      <w:r>
        <w:rPr>
          <w:rFonts w:ascii="Verdana" w:eastAsia="Calibri" w:hAnsi="Verdana" w:cs="Arial"/>
          <w:color w:val="0D0D0D"/>
        </w:rPr>
        <w:t xml:space="preserve">la respectiva certificación no puede provenir de un mismo </w:t>
      </w:r>
      <w:r>
        <w:rPr>
          <w:rFonts w:ascii="Verdana" w:eastAsia="Calibri" w:hAnsi="Verdana" w:cs="Arial"/>
          <w:color w:val="0D0D0D"/>
        </w:rPr>
        <w:lastRenderedPageBreak/>
        <w:t xml:space="preserve">proponente, de sus representantes, de los integrantes del proponente plural [indistintamente de su porcentaje de participación] o del mismo segmento empresarial, so pena de no ser tenidas en cuenta para la acreditación de la experiencia requerida.  </w:t>
      </w:r>
      <w:r w:rsidRPr="00D36816">
        <w:rPr>
          <w:rFonts w:ascii="Verdana" w:eastAsia="Calibri" w:hAnsi="Verdana" w:cs="Arial"/>
          <w:color w:val="0D0D0D"/>
        </w:rPr>
        <w:t xml:space="preserve"> </w:t>
      </w:r>
    </w:p>
    <w:p w14:paraId="5069A11A" w14:textId="77777777" w:rsidR="00BD6251" w:rsidRDefault="00BD6251" w:rsidP="00BD6251">
      <w:pPr>
        <w:snapToGrid w:val="0"/>
        <w:spacing w:after="0" w:line="276" w:lineRule="auto"/>
        <w:jc w:val="both"/>
        <w:rPr>
          <w:rFonts w:ascii="Verdana" w:eastAsia="Calibri" w:hAnsi="Verdana" w:cs="Times New Roman"/>
          <w:lang w:val="es-ES"/>
        </w:rPr>
      </w:pPr>
    </w:p>
    <w:p w14:paraId="7F564A4B" w14:textId="77777777" w:rsidR="00BD6251" w:rsidRPr="00AE76E2" w:rsidRDefault="00BD6251" w:rsidP="00BD6251">
      <w:pPr>
        <w:snapToGrid w:val="0"/>
        <w:spacing w:after="0" w:line="276" w:lineRule="auto"/>
        <w:jc w:val="both"/>
        <w:rPr>
          <w:rFonts w:ascii="Verdana" w:eastAsia="Calibri" w:hAnsi="Verdana" w:cs="Arial"/>
          <w:kern w:val="2"/>
          <w:lang w:val="es-ES"/>
          <w14:ligatures w14:val="standardContextual"/>
        </w:rPr>
      </w:pPr>
      <w:proofErr w:type="spellStart"/>
      <w:r>
        <w:rPr>
          <w:rFonts w:ascii="Verdana" w:eastAsia="Calibri" w:hAnsi="Verdana" w:cs="Times New Roman"/>
          <w:lang w:val="es-ES"/>
        </w:rPr>
        <w:t>ii</w:t>
      </w:r>
      <w:proofErr w:type="spellEnd"/>
      <w:r>
        <w:rPr>
          <w:rFonts w:ascii="Verdana" w:eastAsia="Calibri" w:hAnsi="Verdana" w:cs="Times New Roman"/>
          <w:lang w:val="es-ES"/>
        </w:rPr>
        <w:t xml:space="preserve">. </w:t>
      </w:r>
      <w:r>
        <w:rPr>
          <w:rFonts w:ascii="Verdana" w:eastAsia="Calibri" w:hAnsi="Verdana" w:cs="Arial"/>
          <w:kern w:val="2"/>
          <w:lang w:val="es-ES_tradnl"/>
          <w14:ligatures w14:val="standardContextual"/>
        </w:rPr>
        <w:t>L</w:t>
      </w:r>
      <w:r w:rsidRPr="00AE76E2">
        <w:rPr>
          <w:rFonts w:ascii="Verdana" w:eastAsia="Calibri" w:hAnsi="Verdana" w:cs="Arial"/>
          <w:kern w:val="2"/>
          <w:lang w:val="es-ES_tradnl"/>
          <w14:ligatures w14:val="standardContextual"/>
        </w:rPr>
        <w:t xml:space="preserve">as causales de rechazo son las establecidas en la </w:t>
      </w:r>
      <w:r>
        <w:rPr>
          <w:rFonts w:ascii="Verdana" w:eastAsia="Calibri" w:hAnsi="Verdana" w:cs="Arial"/>
          <w:kern w:val="2"/>
          <w:lang w:val="es-ES_tradnl"/>
          <w14:ligatures w14:val="standardContextual"/>
        </w:rPr>
        <w:t>l</w:t>
      </w:r>
      <w:r w:rsidRPr="00AE76E2">
        <w:rPr>
          <w:rFonts w:ascii="Verdana" w:eastAsia="Calibri" w:hAnsi="Verdana" w:cs="Arial"/>
          <w:kern w:val="2"/>
          <w:lang w:val="es-ES_tradnl"/>
          <w14:ligatures w14:val="standardContextual"/>
        </w:rPr>
        <w:t>ey y las fijadas por la Entidad Estatal en los pliegos de condiciones. Sin embargo, en ejercicio de dicha facultad, a las entidades no les es dable fijar causales de rechazo que soslayen o afecten la selección objetiva en la contratación. Sobre el particular, el Consejo de Estado</w:t>
      </w:r>
      <w:r w:rsidRPr="00AE76E2">
        <w:rPr>
          <w:rFonts w:ascii="Verdana" w:eastAsia="Calibri" w:hAnsi="Verdana" w:cs="Arial"/>
          <w:i/>
          <w:iCs/>
          <w:kern w:val="2"/>
          <w:vertAlign w:val="superscript"/>
          <w:lang w:val="es-ES_tradnl"/>
          <w14:ligatures w14:val="standardContextual"/>
        </w:rPr>
        <w:footnoteReference w:id="2"/>
      </w:r>
      <w:r w:rsidRPr="00AE76E2">
        <w:rPr>
          <w:rFonts w:ascii="Verdana" w:eastAsia="Calibri" w:hAnsi="Verdana" w:cs="Arial"/>
          <w:kern w:val="2"/>
          <w:lang w:val="es-ES_tradnl"/>
          <w14:ligatures w14:val="standardContextual"/>
        </w:rPr>
        <w:t xml:space="preserve"> señala:</w:t>
      </w:r>
    </w:p>
    <w:p w14:paraId="2C6D1602" w14:textId="77777777" w:rsidR="00BD6251" w:rsidRPr="00AE76E2" w:rsidRDefault="00BD6251" w:rsidP="00BD6251">
      <w:pPr>
        <w:tabs>
          <w:tab w:val="left" w:pos="709"/>
        </w:tabs>
        <w:spacing w:after="0" w:line="276" w:lineRule="auto"/>
        <w:jc w:val="both"/>
        <w:rPr>
          <w:rFonts w:ascii="Verdana" w:eastAsia="Calibri" w:hAnsi="Verdana" w:cs="Arial"/>
          <w:kern w:val="2"/>
          <w:lang w:val="es-ES_tradnl"/>
          <w14:ligatures w14:val="standardContextual"/>
        </w:rPr>
      </w:pPr>
    </w:p>
    <w:p w14:paraId="6FF220D1" w14:textId="77777777" w:rsidR="00BD6251" w:rsidRPr="00AE76E2" w:rsidRDefault="00BD6251" w:rsidP="00BD6251">
      <w:pPr>
        <w:tabs>
          <w:tab w:val="left" w:pos="709"/>
        </w:tabs>
        <w:spacing w:after="0" w:line="240" w:lineRule="auto"/>
        <w:ind w:left="709" w:right="709"/>
        <w:jc w:val="both"/>
        <w:rPr>
          <w:rFonts w:ascii="Verdana" w:eastAsia="Calibri" w:hAnsi="Verdana" w:cs="Arial"/>
          <w:kern w:val="2"/>
          <w:sz w:val="21"/>
          <w:szCs w:val="21"/>
          <w:lang w:val="es-ES"/>
          <w14:ligatures w14:val="standardContextual"/>
        </w:rPr>
      </w:pPr>
      <w:r w:rsidRPr="00AE76E2">
        <w:rPr>
          <w:rFonts w:ascii="Verdana" w:eastAsia="Calibri" w:hAnsi="Verdana" w:cs="Arial"/>
          <w:kern w:val="2"/>
          <w:sz w:val="21"/>
          <w:szCs w:val="21"/>
          <w:lang w:val="es-ES"/>
          <w14:ligatures w14:val="standardContextual"/>
        </w:rPr>
        <w:t xml:space="preserve">“Quiere con esto destacar la Sala que las causales de rechazo de las propuestas pueden ser legales y por lo mismo generan el efecto del descarte o exclusión de la oferta </w:t>
      </w:r>
      <w:proofErr w:type="spellStart"/>
      <w:r w:rsidRPr="00AE76E2">
        <w:rPr>
          <w:rFonts w:ascii="Verdana" w:eastAsia="Calibri" w:hAnsi="Verdana" w:cs="Arial"/>
          <w:kern w:val="2"/>
          <w:sz w:val="21"/>
          <w:szCs w:val="21"/>
          <w:lang w:val="es-ES"/>
          <w14:ligatures w14:val="standardContextual"/>
        </w:rPr>
        <w:t>ope</w:t>
      </w:r>
      <w:proofErr w:type="spellEnd"/>
      <w:r w:rsidRPr="00AE76E2">
        <w:rPr>
          <w:rFonts w:ascii="Verdana" w:eastAsia="Calibri" w:hAnsi="Verdana" w:cs="Arial"/>
          <w:kern w:val="2"/>
          <w:sz w:val="21"/>
          <w:szCs w:val="21"/>
          <w:lang w:val="es-ES"/>
          <w14:ligatures w14:val="standardContextual"/>
        </w:rPr>
        <w:t xml:space="preserve"> </w:t>
      </w:r>
      <w:proofErr w:type="spellStart"/>
      <w:r w:rsidRPr="00AE76E2">
        <w:rPr>
          <w:rFonts w:ascii="Verdana" w:eastAsia="Calibri" w:hAnsi="Verdana" w:cs="Arial"/>
          <w:kern w:val="2"/>
          <w:sz w:val="21"/>
          <w:szCs w:val="21"/>
          <w:lang w:val="es-ES"/>
          <w14:ligatures w14:val="standardContextual"/>
        </w:rPr>
        <w:t>legis</w:t>
      </w:r>
      <w:proofErr w:type="spellEnd"/>
      <w:r w:rsidRPr="00AE76E2">
        <w:rPr>
          <w:rFonts w:ascii="Verdana" w:eastAsia="Calibri" w:hAnsi="Verdana" w:cs="Arial"/>
          <w:kern w:val="2"/>
          <w:sz w:val="21"/>
          <w:szCs w:val="21"/>
          <w:lang w:val="es-ES"/>
          <w14:ligatures w14:val="standardContextual"/>
        </w:rPr>
        <w:t>, sin necesidad de que se haga referencia a las mismas en el pliego de condiciones; o también pueden las causales de rechazo de las propuestas ser establecidas expresamente por la entidad en el respectivo pliego de condiciones. Lo cierto es que, sea que las causales de rechazo de la oferta emanen directamente de la ley o del pliego de condiciones, en uno y en otro caso se refieren a defectos, omisiones o circunstancias impeditivas que permiten deducir que la misma no resulta favorable para los intereses de la entidad y los fines de la contratación y que de soslayarse se comprometería el cumplimiento de los principios de transparencia, economía y responsabilidad, así como el deber de selección objetiva en la contratación.”</w:t>
      </w:r>
    </w:p>
    <w:p w14:paraId="36E1E6D1" w14:textId="77777777" w:rsidR="00BD6251" w:rsidRPr="00AE76E2" w:rsidRDefault="00BD6251" w:rsidP="00BD6251">
      <w:pPr>
        <w:spacing w:after="0" w:line="276" w:lineRule="auto"/>
        <w:ind w:firstLine="708"/>
        <w:jc w:val="both"/>
        <w:rPr>
          <w:rFonts w:ascii="Verdana" w:eastAsia="Calibri" w:hAnsi="Verdana" w:cs="Arial"/>
          <w:kern w:val="2"/>
          <w:lang w:val="es-ES_tradnl"/>
          <w14:ligatures w14:val="standardContextual"/>
        </w:rPr>
      </w:pPr>
    </w:p>
    <w:p w14:paraId="1360A131" w14:textId="77777777" w:rsidR="00BD6251" w:rsidRPr="00AE76E2" w:rsidRDefault="00BD6251" w:rsidP="00BD6251">
      <w:pPr>
        <w:snapToGrid w:val="0"/>
        <w:spacing w:after="0" w:line="276" w:lineRule="auto"/>
        <w:ind w:firstLine="709"/>
        <w:jc w:val="both"/>
        <w:rPr>
          <w:rFonts w:ascii="Verdana" w:eastAsia="Calibri" w:hAnsi="Verdana" w:cs="Arial"/>
          <w:kern w:val="2"/>
          <w:lang w:val="es-ES_tradnl"/>
          <w14:ligatures w14:val="standardContextual"/>
        </w:rPr>
      </w:pPr>
      <w:r w:rsidRPr="00AE76E2">
        <w:rPr>
          <w:rFonts w:ascii="Verdana" w:eastAsia="Calibri" w:hAnsi="Verdana" w:cs="Arial"/>
          <w:kern w:val="2"/>
          <w:lang w:val="es-ES_tradnl"/>
          <w14:ligatures w14:val="standardContextual"/>
        </w:rPr>
        <w:t>De igual forma, esta Agencia ha reiterado la postura del Consejo de Estado, según la cual, por la naturaleza propia de las causales de rechazo, su aplicación es estricta y restrictiva, lo que significa que su interpretación gramatical prevalece sobre una interpretación extensiva o de otra índole, mediante la cual se pretenda ampliar su alcance. Al respecto, el Consejo de Estado</w:t>
      </w:r>
      <w:r w:rsidRPr="00AE76E2">
        <w:rPr>
          <w:rFonts w:ascii="Aptos" w:eastAsia="Aptos" w:hAnsi="Aptos" w:cs="Times New Roman"/>
          <w:i/>
          <w:kern w:val="2"/>
          <w:sz w:val="24"/>
          <w:szCs w:val="24"/>
          <w:vertAlign w:val="superscript"/>
          <w:lang w:val="es-ES_tradnl"/>
          <w14:ligatures w14:val="standardContextual"/>
        </w:rPr>
        <w:footnoteReference w:id="3"/>
      </w:r>
      <w:r w:rsidRPr="00AE76E2">
        <w:rPr>
          <w:rFonts w:ascii="Verdana" w:eastAsia="Calibri" w:hAnsi="Verdana" w:cs="Arial"/>
          <w:kern w:val="2"/>
          <w:lang w:val="es-ES_tradnl"/>
          <w14:ligatures w14:val="standardContextual"/>
        </w:rPr>
        <w:t xml:space="preserve"> sostuvo: </w:t>
      </w:r>
    </w:p>
    <w:p w14:paraId="7D14904A" w14:textId="77777777" w:rsidR="00BD6251" w:rsidRPr="00AE76E2" w:rsidRDefault="00BD6251" w:rsidP="00BD6251">
      <w:pPr>
        <w:spacing w:after="0" w:line="276" w:lineRule="auto"/>
        <w:ind w:left="709" w:right="709"/>
        <w:jc w:val="both"/>
        <w:rPr>
          <w:rFonts w:ascii="Verdana" w:eastAsia="Times New Roman" w:hAnsi="Verdana" w:cs="Arial"/>
          <w:bCs/>
          <w:iCs/>
          <w:kern w:val="2"/>
          <w:lang w:val="es-ES_tradnl" w:eastAsia="es-MX"/>
          <w14:ligatures w14:val="standardContextual"/>
        </w:rPr>
      </w:pPr>
    </w:p>
    <w:p w14:paraId="18F06FA1" w14:textId="77777777" w:rsidR="00BD6251" w:rsidRPr="00AE76E2" w:rsidRDefault="00BD6251" w:rsidP="00BD6251">
      <w:pPr>
        <w:spacing w:after="0" w:line="240" w:lineRule="auto"/>
        <w:ind w:left="709" w:right="709"/>
        <w:jc w:val="both"/>
        <w:rPr>
          <w:rFonts w:ascii="Verdana" w:eastAsia="Times New Roman" w:hAnsi="Verdana" w:cs="Arial"/>
          <w:bCs/>
          <w:iCs/>
          <w:kern w:val="2"/>
          <w:sz w:val="21"/>
          <w:szCs w:val="21"/>
          <w:lang w:val="es-ES_tradnl" w:eastAsia="es-MX"/>
          <w14:ligatures w14:val="standardContextual"/>
        </w:rPr>
      </w:pPr>
      <w:r w:rsidRPr="00AE76E2">
        <w:rPr>
          <w:rFonts w:ascii="Verdana" w:eastAsia="Times New Roman" w:hAnsi="Verdana" w:cs="Arial"/>
          <w:bCs/>
          <w:iCs/>
          <w:kern w:val="2"/>
          <w:sz w:val="21"/>
          <w:szCs w:val="21"/>
          <w:lang w:val="es-ES_tradnl" w:eastAsia="es-MX"/>
          <w14:ligatures w14:val="standardContextual"/>
        </w:rPr>
        <w:lastRenderedPageBreak/>
        <w:t>“En esta línea de pensamiento, resulta claro que el rechazo o la descalificación de ofertas no puede depender de la libre discrecionalidad de la administración, en la medida en que el oferente, por el hecho de participar en el proceso licitatorio,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5AF739FF" w14:textId="77777777" w:rsidR="00BD6251" w:rsidRPr="00AE76E2" w:rsidRDefault="00BD6251" w:rsidP="00BD6251">
      <w:pPr>
        <w:spacing w:after="0" w:line="276" w:lineRule="auto"/>
        <w:ind w:left="709" w:right="709"/>
        <w:jc w:val="both"/>
        <w:rPr>
          <w:rFonts w:ascii="Verdana" w:eastAsia="Times New Roman" w:hAnsi="Verdana" w:cs="Arial"/>
          <w:bCs/>
          <w:iCs/>
          <w:kern w:val="2"/>
          <w:lang w:val="es-ES_tradnl" w:eastAsia="es-MX"/>
          <w14:ligatures w14:val="standardContextual"/>
        </w:rPr>
      </w:pPr>
    </w:p>
    <w:p w14:paraId="5978C28D" w14:textId="77777777" w:rsidR="00BD6251" w:rsidRPr="00AE76E2" w:rsidRDefault="00BD6251" w:rsidP="00BD6251">
      <w:pPr>
        <w:snapToGrid w:val="0"/>
        <w:spacing w:after="120" w:line="276" w:lineRule="auto"/>
        <w:ind w:firstLine="709"/>
        <w:jc w:val="both"/>
        <w:rPr>
          <w:rFonts w:ascii="Verdana" w:eastAsia="Calibri" w:hAnsi="Verdana" w:cs="Arial"/>
          <w:kern w:val="2"/>
          <w:lang w:val="es-ES"/>
          <w14:ligatures w14:val="standardContextual"/>
        </w:rPr>
      </w:pPr>
      <w:r w:rsidRPr="00AE76E2">
        <w:rPr>
          <w:rFonts w:ascii="Verdana" w:eastAsia="Calibri" w:hAnsi="Verdana" w:cs="Arial"/>
          <w:kern w:val="2"/>
          <w:lang w:val="es-ES"/>
          <w14:ligatures w14:val="standardContextual"/>
        </w:rPr>
        <w:t xml:space="preserve">Por lo expuesto, las causales de rechazo deben estar necesariamente nominadas en la </w:t>
      </w:r>
      <w:r>
        <w:rPr>
          <w:rFonts w:ascii="Verdana" w:eastAsia="Calibri" w:hAnsi="Verdana" w:cs="Arial"/>
          <w:kern w:val="2"/>
          <w:lang w:val="es-ES"/>
          <w14:ligatures w14:val="standardContextual"/>
        </w:rPr>
        <w:t>l</w:t>
      </w:r>
      <w:r w:rsidRPr="00AE76E2">
        <w:rPr>
          <w:rFonts w:ascii="Verdana" w:eastAsia="Calibri" w:hAnsi="Verdana" w:cs="Arial"/>
          <w:kern w:val="2"/>
          <w:lang w:val="es-ES"/>
          <w14:ligatures w14:val="standardContextual"/>
        </w:rPr>
        <w:t>ey o en el pliego de condiciones, y no puede realizarse, frente a su redacción, ninguna interpretación extensiva. Por esta razón si el Estatuto General de Contratación de la Administración Pública o el pliego de condiciones no establecen de manera literal una causal de rechazo, en los términos expuestos, no podrán rechazarse las propuestas.</w:t>
      </w:r>
    </w:p>
    <w:p w14:paraId="08CC900A" w14:textId="77777777" w:rsidR="00BD6251" w:rsidRPr="00AE76E2" w:rsidRDefault="00BD6251" w:rsidP="00BD6251">
      <w:pPr>
        <w:snapToGrid w:val="0"/>
        <w:spacing w:after="120" w:line="276" w:lineRule="auto"/>
        <w:ind w:firstLine="709"/>
        <w:jc w:val="both"/>
        <w:rPr>
          <w:rFonts w:ascii="Verdana" w:eastAsia="Calibri" w:hAnsi="Verdana" w:cs="Arial"/>
          <w:kern w:val="2"/>
          <w:lang w:val="es-ES_tradnl"/>
          <w14:ligatures w14:val="standardContextual"/>
        </w:rPr>
      </w:pPr>
      <w:r w:rsidRPr="00AE76E2">
        <w:rPr>
          <w:rFonts w:ascii="Verdana" w:eastAsia="Calibri" w:hAnsi="Verdana" w:cs="Arial"/>
          <w:lang w:val="es-MX" w:eastAsia="es-MX"/>
        </w:rPr>
        <w:t>Adicionalmente, la Agencia Nacional de Contratación Pública – Colombia Compra Eficiente, mediante los conceptos con radicados Nos. 2201913000007117 del 25 de septiembre de 2019, 2201913000009538 del 23 de diciembre de 2019, C-716 del 30 de octubre de 2020 y C-128 del 2 de agosto de 2024, entre otros, ha señalado que las causales de rechazo de las ofertas establecidas en los documentos tipo son taxativas, descartándose que la entidad introduzca nuevas, salvo las contempladas directamente en la ley. Igualmente, por la naturaleza de las causales de rechazo, su aplicación es estricta, lo que –a juicio de la Agencia Nacional de Contratación Pública– significa que su interpretación gramatical prevalece sobre una interpretación extensiva o de otra índole, mediante la cual se pretenda ampliar su alcance.</w:t>
      </w:r>
    </w:p>
    <w:p w14:paraId="2ABE89EE" w14:textId="77777777" w:rsidR="00BD6251" w:rsidRDefault="00BD6251" w:rsidP="00BD6251">
      <w:pPr>
        <w:snapToGrid w:val="0"/>
        <w:spacing w:after="120" w:line="276" w:lineRule="auto"/>
        <w:ind w:firstLine="709"/>
        <w:jc w:val="both"/>
        <w:rPr>
          <w:rFonts w:ascii="Verdana" w:eastAsia="Aptos" w:hAnsi="Verdana" w:cs="Arial"/>
          <w:color w:val="000000"/>
          <w:kern w:val="2"/>
          <w:bdr w:val="none" w:sz="0" w:space="0" w:color="auto" w:frame="1"/>
          <w:lang w:val="es-ES_tradnl"/>
          <w14:ligatures w14:val="standardContextual"/>
        </w:rPr>
      </w:pPr>
      <w:r w:rsidRPr="00AE76E2">
        <w:rPr>
          <w:rFonts w:ascii="Verdana" w:eastAsia="Aptos" w:hAnsi="Verdana" w:cs="Arial"/>
          <w:color w:val="000000"/>
          <w:kern w:val="2"/>
          <w:bdr w:val="none" w:sz="0" w:space="0" w:color="auto" w:frame="1"/>
          <w:lang w:val="es-ES_tradnl"/>
          <w14:ligatures w14:val="standardContextual"/>
        </w:rPr>
        <w:t xml:space="preserve">Ahora bien, los documentos tipo contienen parámetros obligatorios para las entidades estatales sometidas al Estatuto General de Contratación de la Administración Pública que adelanten la tipología contractual que estos se </w:t>
      </w:r>
      <w:r w:rsidRPr="00AE76E2">
        <w:rPr>
          <w:rFonts w:ascii="Verdana" w:eastAsia="Aptos" w:hAnsi="Verdana" w:cs="Arial"/>
          <w:color w:val="000000"/>
          <w:kern w:val="2"/>
          <w:bdr w:val="none" w:sz="0" w:space="0" w:color="auto" w:frame="1"/>
          <w:lang w:val="es-ES_tradnl"/>
          <w14:ligatures w14:val="standardContextual"/>
        </w:rPr>
        <w:lastRenderedPageBreak/>
        <w:t xml:space="preserve">encarguen de desarrollar. En la versión 4 de los documentos tipo de licitación pública de obra de infraestructura de transporte, se incluyeron causales de rechazo </w:t>
      </w:r>
      <w:r>
        <w:rPr>
          <w:rFonts w:ascii="Verdana" w:eastAsia="Aptos" w:hAnsi="Verdana" w:cs="Arial"/>
          <w:color w:val="000000"/>
          <w:kern w:val="2"/>
          <w:bdr w:val="none" w:sz="0" w:space="0" w:color="auto" w:frame="1"/>
          <w:lang w:val="es-ES_tradnl"/>
          <w14:ligatures w14:val="standardContextual"/>
        </w:rPr>
        <w:t>relacionadas con la presentación de la oferta y la información que deben acreditar los proponentes para participar en los procesos de contratación, las cuales pueden resultar aplicables dependiendo de las particularidades de cada situación, sin que sea posible incluir causales diferentes a las contempladas en los documentos tipo o en la ley.</w:t>
      </w:r>
    </w:p>
    <w:p w14:paraId="6ABE2F13" w14:textId="77777777" w:rsidR="00BD6251" w:rsidRPr="00D36816" w:rsidRDefault="00BD6251" w:rsidP="00BD6251">
      <w:pPr>
        <w:snapToGrid w:val="0"/>
        <w:spacing w:after="120" w:line="276" w:lineRule="auto"/>
        <w:ind w:firstLine="709"/>
        <w:jc w:val="both"/>
        <w:rPr>
          <w:rFonts w:ascii="Verdana" w:eastAsia="Calibri" w:hAnsi="Verdana" w:cs="Arial"/>
          <w:color w:val="0D0D0D"/>
        </w:rPr>
      </w:pPr>
      <w:r>
        <w:rPr>
          <w:rFonts w:ascii="Verdana" w:eastAsia="Calibri" w:hAnsi="Verdana" w:cs="Times New Roman"/>
          <w:lang w:val="es-ES"/>
        </w:rPr>
        <w:t>Por lo tanto</w:t>
      </w:r>
      <w:r w:rsidRPr="00D36816">
        <w:rPr>
          <w:rFonts w:ascii="Verdana" w:eastAsia="Calibri" w:hAnsi="Verdana" w:cs="Times New Roman"/>
          <w:lang w:val="es-ES"/>
        </w:rPr>
        <w:t>,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r w:rsidRPr="00D36816">
        <w:rPr>
          <w:rFonts w:ascii="Verdana" w:eastAsia="Aptos" w:hAnsi="Verdana" w:cs="Arial"/>
          <w:color w:val="000000"/>
          <w:kern w:val="2"/>
          <w14:ligatures w14:val="standardContextual"/>
        </w:rPr>
        <w:t>.</w:t>
      </w:r>
    </w:p>
    <w:p w14:paraId="1D20CDE9" w14:textId="77777777" w:rsidR="00BD6251" w:rsidRPr="0009343C" w:rsidRDefault="00BD6251" w:rsidP="00BD6251">
      <w:pPr>
        <w:snapToGrid w:val="0"/>
        <w:spacing w:after="0" w:line="276" w:lineRule="auto"/>
        <w:ind w:firstLine="709"/>
        <w:jc w:val="both"/>
        <w:rPr>
          <w:rFonts w:ascii="Verdana" w:eastAsia="Calibri" w:hAnsi="Verdana" w:cs="Times New Roman"/>
          <w:lang w:val="es-ES"/>
        </w:rPr>
      </w:pPr>
      <w:r w:rsidRPr="00D36816">
        <w:rPr>
          <w:rFonts w:ascii="Verdana" w:eastAsia="Calibri" w:hAnsi="Verdana" w:cs="Times New Roman"/>
          <w:lang w:val="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E882D9A" w14:textId="77777777" w:rsidR="00BD6251" w:rsidRPr="00D36816" w:rsidRDefault="00BD6251" w:rsidP="00BD6251">
      <w:pPr>
        <w:snapToGrid w:val="0"/>
        <w:spacing w:after="0" w:line="276" w:lineRule="auto"/>
        <w:jc w:val="both"/>
        <w:rPr>
          <w:rFonts w:ascii="Verdana" w:eastAsia="Calibri" w:hAnsi="Verdana" w:cs="Arial"/>
          <w:color w:val="0D0D0D"/>
        </w:rPr>
      </w:pPr>
    </w:p>
    <w:bookmarkEnd w:id="1"/>
    <w:p w14:paraId="194A2B23" w14:textId="77777777" w:rsidR="00BD6251" w:rsidRPr="00D36816" w:rsidRDefault="00BD6251" w:rsidP="00BD6251">
      <w:pPr>
        <w:tabs>
          <w:tab w:val="left" w:pos="142"/>
          <w:tab w:val="left" w:pos="284"/>
        </w:tabs>
        <w:spacing w:after="0" w:line="276" w:lineRule="auto"/>
        <w:jc w:val="both"/>
        <w:rPr>
          <w:rFonts w:ascii="Verdana" w:eastAsia="Century Gothic" w:hAnsi="Verdana" w:cs="Century Gothic"/>
          <w:b/>
          <w:bCs/>
          <w:lang w:val="es-ES_tradnl"/>
        </w:rPr>
      </w:pPr>
      <w:r>
        <w:rPr>
          <w:rFonts w:ascii="Verdana" w:eastAsia="Century Gothic" w:hAnsi="Verdana" w:cs="Century Gothic"/>
          <w:b/>
          <w:bCs/>
          <w:lang w:val="es-ES_tradnl"/>
        </w:rPr>
        <w:t xml:space="preserve">4. </w:t>
      </w:r>
      <w:r w:rsidRPr="00D36816">
        <w:rPr>
          <w:rFonts w:ascii="Verdana" w:eastAsia="Century Gothic" w:hAnsi="Verdana" w:cs="Century Gothic"/>
          <w:b/>
          <w:bCs/>
          <w:lang w:val="es-ES_tradnl"/>
        </w:rPr>
        <w:t>Referencias normativas, jurisprudenciales y otras fuentes:</w:t>
      </w:r>
    </w:p>
    <w:p w14:paraId="4D65AE6A" w14:textId="77777777" w:rsidR="00BD6251" w:rsidRPr="00D36816" w:rsidRDefault="00BD6251" w:rsidP="00BD6251">
      <w:pPr>
        <w:spacing w:after="0"/>
        <w:ind w:left="-15840"/>
        <w:jc w:val="both"/>
        <w:rPr>
          <w:rFonts w:ascii="Verdana" w:eastAsia="Calibri" w:hAnsi="Verdana" w:cs="Arial"/>
          <w:b/>
          <w:bCs/>
        </w:rPr>
      </w:pPr>
      <w:r w:rsidRPr="00D36816">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BD6251" w:rsidRPr="00D36816" w14:paraId="3CC7C245" w14:textId="77777777" w:rsidTr="00B9141B">
        <w:trPr>
          <w:trHeight w:val="870"/>
        </w:trPr>
        <w:tc>
          <w:tcPr>
            <w:tcW w:w="8647" w:type="dxa"/>
            <w:tcBorders>
              <w:top w:val="dotted" w:sz="4" w:space="0" w:color="auto"/>
              <w:left w:val="dotted" w:sz="4" w:space="0" w:color="auto"/>
              <w:bottom w:val="dotted" w:sz="4" w:space="0" w:color="auto"/>
              <w:right w:val="dotted" w:sz="4" w:space="0" w:color="auto"/>
            </w:tcBorders>
          </w:tcPr>
          <w:p w14:paraId="50E0E409" w14:textId="77777777" w:rsidR="00BD6251" w:rsidRPr="006B344B" w:rsidRDefault="00BD6251" w:rsidP="00BD6251">
            <w:pPr>
              <w:widowControl w:val="0"/>
              <w:numPr>
                <w:ilvl w:val="0"/>
                <w:numId w:val="16"/>
              </w:numPr>
              <w:autoSpaceDE w:val="0"/>
              <w:autoSpaceDN w:val="0"/>
              <w:snapToGrid w:val="0"/>
              <w:spacing w:after="120" w:line="276" w:lineRule="auto"/>
              <w:ind w:left="714" w:hanging="357"/>
              <w:jc w:val="both"/>
              <w:rPr>
                <w:rFonts w:ascii="Verdana" w:eastAsia="Calibri" w:hAnsi="Verdana" w:cs="Arial"/>
                <w:lang w:val="es-ES_tradnl"/>
              </w:rPr>
            </w:pPr>
            <w:r w:rsidRPr="006B344B">
              <w:rPr>
                <w:rFonts w:ascii="Verdana" w:eastAsia="Calibri" w:hAnsi="Verdana" w:cs="Arial"/>
                <w:lang w:val="es-ES_tradnl"/>
              </w:rPr>
              <w:t xml:space="preserve">Ley 2022 de 2020, artículo 1. </w:t>
            </w:r>
          </w:p>
          <w:p w14:paraId="5E990AB4" w14:textId="77777777" w:rsidR="00BD6251" w:rsidRPr="006B344B" w:rsidRDefault="00BD6251" w:rsidP="00BD6251">
            <w:pPr>
              <w:widowControl w:val="0"/>
              <w:numPr>
                <w:ilvl w:val="0"/>
                <w:numId w:val="16"/>
              </w:numPr>
              <w:autoSpaceDE w:val="0"/>
              <w:autoSpaceDN w:val="0"/>
              <w:snapToGrid w:val="0"/>
              <w:spacing w:after="120" w:line="276" w:lineRule="auto"/>
              <w:jc w:val="both"/>
              <w:rPr>
                <w:rFonts w:ascii="Verdana" w:eastAsia="Calibri" w:hAnsi="Verdana" w:cs="Arial"/>
              </w:rPr>
            </w:pPr>
            <w:r w:rsidRPr="006B344B">
              <w:rPr>
                <w:rFonts w:ascii="Verdana" w:eastAsia="Calibri" w:hAnsi="Verdana" w:cs="Arial"/>
              </w:rPr>
              <w:t>Ley 1150 de 2007, artículo 2.</w:t>
            </w:r>
          </w:p>
          <w:p w14:paraId="303C88A3" w14:textId="77777777" w:rsidR="00BD6251" w:rsidRPr="006B344B" w:rsidRDefault="00BD6251" w:rsidP="00BD6251">
            <w:pPr>
              <w:widowControl w:val="0"/>
              <w:numPr>
                <w:ilvl w:val="0"/>
                <w:numId w:val="16"/>
              </w:numPr>
              <w:autoSpaceDE w:val="0"/>
              <w:autoSpaceDN w:val="0"/>
              <w:snapToGrid w:val="0"/>
              <w:spacing w:after="120" w:line="276" w:lineRule="auto"/>
              <w:jc w:val="both"/>
              <w:rPr>
                <w:rFonts w:ascii="Verdana" w:eastAsia="Calibri" w:hAnsi="Verdana" w:cs="Arial"/>
                <w:lang w:val="es-ES"/>
              </w:rPr>
            </w:pPr>
            <w:r w:rsidRPr="006B344B">
              <w:rPr>
                <w:rFonts w:ascii="Verdana" w:eastAsia="Calibri" w:hAnsi="Verdana" w:cs="Arial"/>
                <w:lang w:val="es-ES"/>
              </w:rPr>
              <w:t xml:space="preserve">Consejo de Estado. Sección Tercera. Sentencia del 27 de abril de 2011. </w:t>
            </w:r>
            <w:proofErr w:type="spellStart"/>
            <w:r w:rsidRPr="006B344B">
              <w:rPr>
                <w:rFonts w:ascii="Verdana" w:eastAsia="Calibri" w:hAnsi="Verdana" w:cs="Arial"/>
                <w:lang w:val="es-ES"/>
              </w:rPr>
              <w:t>Exp</w:t>
            </w:r>
            <w:proofErr w:type="spellEnd"/>
            <w:r w:rsidRPr="006B344B">
              <w:rPr>
                <w:rFonts w:ascii="Verdana" w:eastAsia="Calibri" w:hAnsi="Verdana" w:cs="Arial"/>
                <w:lang w:val="es-ES"/>
              </w:rPr>
              <w:t>. 18.293. C.P. Ruth Stella Correa Palacio.</w:t>
            </w:r>
          </w:p>
          <w:p w14:paraId="1D52A89D" w14:textId="77777777" w:rsidR="00BD6251" w:rsidRPr="006B344B" w:rsidRDefault="00BD6251" w:rsidP="00BD6251">
            <w:pPr>
              <w:widowControl w:val="0"/>
              <w:numPr>
                <w:ilvl w:val="0"/>
                <w:numId w:val="16"/>
              </w:numPr>
              <w:autoSpaceDE w:val="0"/>
              <w:autoSpaceDN w:val="0"/>
              <w:snapToGrid w:val="0"/>
              <w:spacing w:after="120" w:line="276" w:lineRule="auto"/>
              <w:jc w:val="both"/>
              <w:rPr>
                <w:rFonts w:ascii="Verdana" w:eastAsia="Calibri" w:hAnsi="Verdana" w:cs="Arial"/>
                <w:lang w:val="es-ES"/>
              </w:rPr>
            </w:pPr>
            <w:r w:rsidRPr="006B344B">
              <w:rPr>
                <w:rFonts w:ascii="Verdana" w:eastAsia="Calibri" w:hAnsi="Verdana" w:cs="Arial"/>
                <w:lang w:val="es-ES"/>
              </w:rPr>
              <w:t xml:space="preserve">Consejo de Estado. Sección Tercera. Sentencia del 21 de noviembre de 2013. </w:t>
            </w:r>
            <w:proofErr w:type="spellStart"/>
            <w:r w:rsidRPr="006B344B">
              <w:rPr>
                <w:rFonts w:ascii="Verdana" w:eastAsia="Calibri" w:hAnsi="Verdana" w:cs="Arial"/>
                <w:lang w:val="es-ES"/>
              </w:rPr>
              <w:t>Exp</w:t>
            </w:r>
            <w:proofErr w:type="spellEnd"/>
            <w:r w:rsidRPr="006B344B">
              <w:rPr>
                <w:rFonts w:ascii="Verdana" w:eastAsia="Calibri" w:hAnsi="Verdana" w:cs="Arial"/>
                <w:lang w:val="es-ES"/>
              </w:rPr>
              <w:t>. 25397. C.P. Carlos Alberto Zambrano Barrera.</w:t>
            </w:r>
          </w:p>
          <w:p w14:paraId="071B48E2" w14:textId="77777777" w:rsidR="00BD6251" w:rsidRPr="00D36816" w:rsidRDefault="00BD6251" w:rsidP="00BD6251">
            <w:pPr>
              <w:widowControl w:val="0"/>
              <w:numPr>
                <w:ilvl w:val="0"/>
                <w:numId w:val="16"/>
              </w:numPr>
              <w:autoSpaceDE w:val="0"/>
              <w:autoSpaceDN w:val="0"/>
              <w:snapToGrid w:val="0"/>
              <w:spacing w:after="120" w:line="276" w:lineRule="auto"/>
              <w:jc w:val="both"/>
              <w:rPr>
                <w:rFonts w:ascii="Verdana" w:eastAsia="Aptos" w:hAnsi="Verdana" w:cs="Arial"/>
              </w:rPr>
            </w:pPr>
            <w:r w:rsidRPr="006B344B">
              <w:rPr>
                <w:rFonts w:ascii="Verdana" w:eastAsia="Aptos" w:hAnsi="Verdana" w:cs="Arial"/>
                <w:lang w:val="es-ES_tradnl"/>
              </w:rPr>
              <w:lastRenderedPageBreak/>
              <w:t xml:space="preserve">Documentos tipo de obra pública de infraestructura de transporte – versión 4. Disponibles en: </w:t>
            </w:r>
            <w:hyperlink r:id="rId11" w:history="1">
              <w:r w:rsidRPr="006B344B">
                <w:rPr>
                  <w:rFonts w:ascii="Verdana" w:eastAsia="Aptos" w:hAnsi="Verdana" w:cs="Arial"/>
                  <w:color w:val="0000FF"/>
                  <w:u w:val="single"/>
                  <w:lang w:val="es-ES_tradnl"/>
                </w:rPr>
                <w:t>https://www.colombiacompra.gov.co/normativa-y-relatoria/documentos-tipo</w:t>
              </w:r>
            </w:hyperlink>
            <w:r w:rsidRPr="006B344B">
              <w:rPr>
                <w:rFonts w:ascii="Verdana" w:eastAsia="Aptos" w:hAnsi="Verdana" w:cs="Arial"/>
                <w:lang w:val="es-ES_tradnl"/>
              </w:rPr>
              <w:t>.</w:t>
            </w:r>
          </w:p>
        </w:tc>
      </w:tr>
    </w:tbl>
    <w:p w14:paraId="5674A56F" w14:textId="77777777" w:rsidR="00BD6251" w:rsidRPr="00D36816" w:rsidRDefault="00BD6251" w:rsidP="00BD6251">
      <w:pPr>
        <w:tabs>
          <w:tab w:val="left" w:pos="142"/>
          <w:tab w:val="left" w:pos="284"/>
        </w:tabs>
        <w:spacing w:after="0" w:line="276" w:lineRule="auto"/>
        <w:jc w:val="both"/>
        <w:rPr>
          <w:rFonts w:ascii="Verdana" w:eastAsia="Calibri" w:hAnsi="Verdana" w:cs="Arial"/>
        </w:rPr>
      </w:pPr>
    </w:p>
    <w:p w14:paraId="53FB8165" w14:textId="77777777" w:rsidR="00BD6251" w:rsidRPr="00D36816" w:rsidRDefault="00BD6251" w:rsidP="00BD6251">
      <w:pPr>
        <w:tabs>
          <w:tab w:val="left" w:pos="142"/>
          <w:tab w:val="left" w:pos="284"/>
        </w:tabs>
        <w:spacing w:after="0" w:line="276" w:lineRule="auto"/>
        <w:jc w:val="both"/>
        <w:rPr>
          <w:rFonts w:ascii="Verdana" w:eastAsia="Century Gothic" w:hAnsi="Verdana" w:cs="Century Gothic"/>
          <w:b/>
          <w:bCs/>
          <w:lang w:val="es-ES"/>
        </w:rPr>
      </w:pPr>
      <w:r w:rsidRPr="00D36816">
        <w:rPr>
          <w:rFonts w:ascii="Verdana" w:eastAsia="Calibri" w:hAnsi="Verdana" w:cs="Arial"/>
          <w:b/>
          <w:bCs/>
        </w:rPr>
        <w:t>5</w:t>
      </w:r>
      <w:r w:rsidRPr="00D36816">
        <w:rPr>
          <w:rFonts w:ascii="Verdana" w:eastAsia="Calibri" w:hAnsi="Verdana" w:cs="Arial"/>
        </w:rPr>
        <w:t>.</w:t>
      </w:r>
      <w:r w:rsidRPr="00D36816">
        <w:rPr>
          <w:rFonts w:ascii="Verdana" w:eastAsia="Century Gothic" w:hAnsi="Verdana" w:cs="Century Gothic"/>
          <w:b/>
          <w:bCs/>
          <w:lang w:val="es-ES"/>
        </w:rPr>
        <w:t>Doctrina de la Agencia Nacional de Contratación Pública:</w:t>
      </w:r>
    </w:p>
    <w:p w14:paraId="729FD302" w14:textId="77777777" w:rsidR="00BD6251" w:rsidRPr="00D36816" w:rsidRDefault="00BD6251" w:rsidP="00BD6251">
      <w:pPr>
        <w:widowControl w:val="0"/>
        <w:autoSpaceDE w:val="0"/>
        <w:autoSpaceDN w:val="0"/>
        <w:spacing w:after="0" w:line="276" w:lineRule="auto"/>
        <w:jc w:val="both"/>
        <w:rPr>
          <w:rFonts w:ascii="Verdana" w:eastAsia="Times New Roman" w:hAnsi="Verdana" w:cs="Arial"/>
          <w:shd w:val="clear" w:color="auto" w:fill="FFFFFF"/>
          <w:lang w:val="es-ES"/>
        </w:rPr>
      </w:pPr>
    </w:p>
    <w:p w14:paraId="786EF354" w14:textId="77777777" w:rsidR="00BD6251" w:rsidRPr="00D36816" w:rsidRDefault="00BD6251" w:rsidP="00BD6251">
      <w:pPr>
        <w:widowControl w:val="0"/>
        <w:autoSpaceDE w:val="0"/>
        <w:autoSpaceDN w:val="0"/>
        <w:spacing w:after="0" w:line="276" w:lineRule="auto"/>
        <w:jc w:val="both"/>
        <w:rPr>
          <w:rFonts w:ascii="Verdana" w:eastAsia="Times New Roman" w:hAnsi="Verdana" w:cs="Arial"/>
          <w:shd w:val="clear" w:color="auto" w:fill="FFFFFF"/>
          <w:lang w:val="es-ES"/>
        </w:rPr>
      </w:pPr>
      <w:r w:rsidRPr="00D36816">
        <w:rPr>
          <w:rFonts w:ascii="Verdana" w:eastAsia="Calibri" w:hAnsi="Verdana" w:cs="Arial"/>
          <w:shd w:val="clear" w:color="auto" w:fill="FFFFFF"/>
        </w:rPr>
        <w:t>L</w:t>
      </w:r>
      <w:r w:rsidRPr="00D36816">
        <w:rPr>
          <w:rFonts w:ascii="Verdana" w:eastAsia="Calibri" w:hAnsi="Verdana" w:cs="Arial"/>
          <w:shd w:val="clear" w:color="auto" w:fill="FFFFFF"/>
          <w:lang w:val="es-ES"/>
        </w:rPr>
        <w:t>a Agencia Nacional de Contratación Pública – Colombia Compra Eficiente, se ha pronunciado sobre el fundamento normativo de los documentos tipo en los conceptos</w:t>
      </w:r>
      <w:r>
        <w:rPr>
          <w:rFonts w:ascii="Verdana" w:eastAsia="Calibri" w:hAnsi="Verdana" w:cs="Arial"/>
          <w:shd w:val="clear" w:color="auto" w:fill="FFFFFF"/>
          <w:lang w:val="es-ES"/>
        </w:rPr>
        <w:t xml:space="preserve"> </w:t>
      </w:r>
      <w:r w:rsidRPr="00D36816">
        <w:rPr>
          <w:rFonts w:ascii="Verdana" w:eastAsia="Times New Roman" w:hAnsi="Verdana" w:cs="Arial"/>
          <w:shd w:val="clear" w:color="auto" w:fill="FFFFFF"/>
          <w:lang w:val="es-ES"/>
        </w:rPr>
        <w:t>C-653 del 9 de noviembre de 2020, C-665 del 11 de noviembre de 2020, C-698 del 19 de noviembre de 2020, C-716 del 30 de noviembre de 2020, C-775 de 2020 del 11 de diciembre de 2020, C-798 del 25 de enero de 2021, C-027 del 1 de marzo de 2021 y C-204 del 6 de mayo de 2021, C-215 del 12 de mayo de 2021, C-224 del 20 de mayo, C-264 del 2 de junio del 2021, C-268 del 3 de junio de 2021, C-312 del 29 de junio de 2021, C-344 del 13 de julio de 2021, C-384 del 30 de julio de 2021, C-412 del 17 de agosto de 2021, C-433 del 20 de agosto de 2021, C-471 del 30 de agosto de 2021, C-450 del 31 de agosto de 2021, C-473 del 7 de septiembre de 2021, C-591 del 31 de agosto de 2021, C-493 del 13 de septiembre de 2021, C-569 del 12 de octubre de 2021, C-599 del 26 de octubre de 2021, C-643 del 17 de noviembre de 2021 y C-356 del 6 de julio de 2022, C-654 del 7 de octubre de 2022, C-874 del 22 de diciembre de 2022, C-909 del 5 de enero de 2023, C-945 del 17 de febrero de 2023, C-042 del 29 de marzo de 2023, C-051 del 28 de abril de 2023, C-299 del 24 de julio de 2023, C- 272 del 22 de agosto de 2024, C- 516 del 07 de octubre de 2024, C- 481 del 09 de noviembre de 2024, C- 692 del 19 de noviembre de 2024</w:t>
      </w:r>
      <w:r>
        <w:rPr>
          <w:rFonts w:ascii="Verdana" w:eastAsia="Times New Roman" w:hAnsi="Verdana" w:cs="Arial"/>
          <w:shd w:val="clear" w:color="auto" w:fill="FFFFFF"/>
          <w:lang w:val="es-ES"/>
        </w:rPr>
        <w:t>,</w:t>
      </w:r>
      <w:r w:rsidRPr="00D36816">
        <w:rPr>
          <w:rFonts w:ascii="Verdana" w:eastAsia="Times New Roman" w:hAnsi="Verdana" w:cs="Arial"/>
          <w:shd w:val="clear" w:color="auto" w:fill="FFFFFF"/>
          <w:lang w:val="es-ES"/>
        </w:rPr>
        <w:t xml:space="preserve"> C-753 del 4 de enero de 2024</w:t>
      </w:r>
      <w:r>
        <w:rPr>
          <w:rFonts w:ascii="Verdana" w:eastAsia="Times New Roman" w:hAnsi="Verdana" w:cs="Arial"/>
          <w:shd w:val="clear" w:color="auto" w:fill="FFFFFF"/>
          <w:lang w:val="es-ES"/>
        </w:rPr>
        <w:t xml:space="preserve"> y C-664 del 4 de julio de 2025.</w:t>
      </w:r>
      <w:r w:rsidRPr="006A47AA">
        <w:rPr>
          <w:rFonts w:ascii="Verdana" w:eastAsia="Calibri" w:hAnsi="Verdana" w:cs="Arial"/>
          <w:kern w:val="2"/>
          <w:shd w:val="clear" w:color="auto" w:fill="FFFFFF"/>
          <w:lang w:val="es-ES_tradnl"/>
          <w14:ligatures w14:val="standardContextual"/>
        </w:rPr>
        <w:t xml:space="preserve"> </w:t>
      </w:r>
      <w:r>
        <w:rPr>
          <w:rFonts w:ascii="Verdana" w:eastAsia="Calibri" w:hAnsi="Verdana" w:cs="Arial"/>
          <w:kern w:val="2"/>
          <w:shd w:val="clear" w:color="auto" w:fill="FFFFFF"/>
          <w:lang w:val="es-ES_tradnl"/>
          <w14:ligatures w14:val="standardContextual"/>
        </w:rPr>
        <w:t xml:space="preserve">Así mismo, esta Agencia de refirió a </w:t>
      </w:r>
      <w:r w:rsidRPr="00AE76E2">
        <w:rPr>
          <w:rFonts w:ascii="Verdana" w:eastAsia="Calibri" w:hAnsi="Verdana" w:cs="Arial"/>
          <w:kern w:val="2"/>
          <w:shd w:val="clear" w:color="auto" w:fill="FFFFFF"/>
          <w:lang w:val="es-ES_tradnl"/>
          <w14:ligatures w14:val="standardContextual"/>
        </w:rPr>
        <w:t xml:space="preserve">las causales de rechazo incorporadas en los pliegos de condiciones, en los conceptos 2201913000007117 del 25 de septiembre de 2019, 2201913000009538 del 23 de diciembre de 2019, C- 716 del 30 de octubre de 2020, C-096 del 24 de marzo de 2021, C-056 del 20 de abril de 2021, C-078 del 15 de marzo de 2022, C-321 del 17 de mayo de 2022, C-113 del 22 de marzo de 2022, C-178, C-186 del 12 de abril de 2022, C-406 del 2 de octubre de 2023, C-128 del 2 de agosto de 2024, C-047 del 28 de febrero de 2025, </w:t>
      </w:r>
      <w:r w:rsidRPr="0007373A">
        <w:rPr>
          <w:rFonts w:ascii="Verdana" w:eastAsia="Calibri" w:hAnsi="Verdana" w:cs="Arial"/>
          <w:kern w:val="2"/>
          <w:shd w:val="clear" w:color="auto" w:fill="FFFFFF"/>
          <w:lang w:val="es-ES_tradnl"/>
          <w14:ligatures w14:val="standardContextual"/>
        </w:rPr>
        <w:t>C-326 del 25 de abril de 2025</w:t>
      </w:r>
      <w:r>
        <w:rPr>
          <w:rFonts w:ascii="Verdana" w:eastAsia="Calibri" w:hAnsi="Verdana" w:cs="Arial"/>
          <w:kern w:val="2"/>
          <w:shd w:val="clear" w:color="auto" w:fill="FFFFFF"/>
          <w:lang w:val="es-ES_tradnl"/>
          <w14:ligatures w14:val="standardContextual"/>
        </w:rPr>
        <w:t xml:space="preserve">, C-947 del 10 de septiembre de 2025, </w:t>
      </w:r>
      <w:r w:rsidRPr="00AE76E2">
        <w:rPr>
          <w:rFonts w:ascii="Verdana" w:eastAsia="Calibri" w:hAnsi="Verdana" w:cs="Arial"/>
          <w:kern w:val="2"/>
          <w:shd w:val="clear" w:color="auto" w:fill="FFFFFF"/>
          <w:lang w:val="es-ES_tradnl"/>
          <w14:ligatures w14:val="standardContextual"/>
        </w:rPr>
        <w:t>entre otros.</w:t>
      </w:r>
    </w:p>
    <w:p w14:paraId="5379C43E" w14:textId="77777777" w:rsidR="00BD6251" w:rsidRPr="00D36816" w:rsidRDefault="00BD6251" w:rsidP="00BD6251">
      <w:pPr>
        <w:widowControl w:val="0"/>
        <w:autoSpaceDE w:val="0"/>
        <w:autoSpaceDN w:val="0"/>
        <w:spacing w:after="0" w:line="276" w:lineRule="auto"/>
        <w:jc w:val="both"/>
        <w:rPr>
          <w:rFonts w:ascii="Verdana" w:eastAsia="Times New Roman" w:hAnsi="Verdana" w:cs="Arial"/>
          <w:shd w:val="clear" w:color="auto" w:fill="FFFFFF"/>
          <w:lang w:val="es-ES"/>
        </w:rPr>
      </w:pPr>
    </w:p>
    <w:p w14:paraId="016A5991" w14:textId="77777777" w:rsidR="00BD6251" w:rsidRPr="00780A22" w:rsidRDefault="00BD6251" w:rsidP="00BD6251">
      <w:pPr>
        <w:widowControl w:val="0"/>
        <w:autoSpaceDE w:val="0"/>
        <w:autoSpaceDN w:val="0"/>
        <w:spacing w:after="0" w:line="276" w:lineRule="auto"/>
        <w:jc w:val="both"/>
        <w:rPr>
          <w:rFonts w:ascii="Verdana" w:eastAsia="Times New Roman" w:hAnsi="Verdana" w:cs="Arial"/>
          <w:shd w:val="clear" w:color="auto" w:fill="FFFFFF"/>
          <w:lang w:val="es-ES"/>
        </w:rPr>
      </w:pPr>
      <w:r w:rsidRPr="00780A22">
        <w:rPr>
          <w:rFonts w:ascii="Verdana" w:eastAsia="Calibri" w:hAnsi="Verdana" w:cs="Arial"/>
          <w:color w:val="000000"/>
          <w:shd w:val="clear" w:color="auto" w:fill="FFFFFF"/>
        </w:rPr>
        <w:t xml:space="preserve">Estos y otros conceptos se encuentran disponibles para consulta en el Sistema </w:t>
      </w:r>
      <w:r w:rsidRPr="00780A22">
        <w:rPr>
          <w:rFonts w:ascii="Verdana" w:eastAsia="Calibri" w:hAnsi="Verdana" w:cs="Arial"/>
          <w:color w:val="000000"/>
          <w:shd w:val="clear" w:color="auto" w:fill="FFFFFF"/>
        </w:rPr>
        <w:lastRenderedPageBreak/>
        <w:t xml:space="preserve">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780A22">
          <w:rPr>
            <w:rFonts w:ascii="Verdana" w:eastAsia="Calibri" w:hAnsi="Verdana" w:cs="Arial"/>
            <w:color w:val="0000FF"/>
            <w:kern w:val="2"/>
            <w:u w:val="single"/>
            <w:shd w:val="clear" w:color="auto" w:fill="FFFFFF"/>
            <w14:ligatures w14:val="standardContextual"/>
          </w:rPr>
          <w:t>https://relatoria.colombiacompra.gov.co/</w:t>
        </w:r>
      </w:hyperlink>
      <w:r w:rsidRPr="00780A22">
        <w:rPr>
          <w:rFonts w:ascii="Verdana" w:eastAsia="Calibri" w:hAnsi="Verdana" w:cs="Arial"/>
          <w:color w:val="0000FF"/>
          <w:kern w:val="2"/>
          <w:u w:val="single"/>
          <w:shd w:val="clear" w:color="auto" w:fill="FFFFFF"/>
          <w14:ligatures w14:val="standardContextual"/>
        </w:rPr>
        <w:t xml:space="preserve"> .</w:t>
      </w:r>
    </w:p>
    <w:p w14:paraId="67FAB763" w14:textId="77777777" w:rsidR="00BD6251" w:rsidRPr="00780A22" w:rsidRDefault="00BD6251" w:rsidP="00BD6251">
      <w:pPr>
        <w:spacing w:after="0" w:line="276" w:lineRule="auto"/>
        <w:jc w:val="both"/>
        <w:rPr>
          <w:rFonts w:ascii="Verdana" w:eastAsia="Calibri" w:hAnsi="Verdana" w:cs="Arial"/>
          <w:color w:val="000000"/>
          <w:shd w:val="clear" w:color="auto" w:fill="FFFFFF"/>
        </w:rPr>
      </w:pPr>
    </w:p>
    <w:p w14:paraId="185A3526" w14:textId="77777777" w:rsidR="00BD6251" w:rsidRPr="00780A22" w:rsidRDefault="00BD6251" w:rsidP="00BD6251">
      <w:pPr>
        <w:spacing w:after="0" w:line="276" w:lineRule="auto"/>
        <w:jc w:val="both"/>
        <w:rPr>
          <w:rFonts w:ascii="Verdana" w:eastAsia="Calibri" w:hAnsi="Verdana" w:cs="Arial"/>
          <w:color w:val="000000"/>
          <w:kern w:val="2"/>
          <w:shd w:val="clear" w:color="auto" w:fill="FFFFFF"/>
          <w14:ligatures w14:val="standardContextual"/>
        </w:rPr>
      </w:pPr>
      <w:r w:rsidRPr="00780A22">
        <w:rPr>
          <w:rFonts w:ascii="Verdana" w:eastAsia="Calibri" w:hAnsi="Verdana" w:cs="Arial"/>
          <w:color w:val="000000"/>
          <w:kern w:val="2"/>
          <w:shd w:val="clear" w:color="auto" w:fill="FFFFFF"/>
          <w14:ligatures w14:val="standardContextual"/>
        </w:rPr>
        <w:t xml:space="preserve">La Agencia Nacional de Contratación Pública – Colombia Compra Eficiente le informa que ya se encuentra disponible la </w:t>
      </w:r>
      <w:r w:rsidRPr="00780A22">
        <w:rPr>
          <w:rFonts w:ascii="Verdana" w:eastAsia="Calibri" w:hAnsi="Verdana" w:cs="Arial"/>
          <w:b/>
          <w:bCs/>
          <w:color w:val="000000"/>
          <w:kern w:val="2"/>
          <w:shd w:val="clear" w:color="auto" w:fill="FFFFFF"/>
          <w14:ligatures w14:val="standardContextual"/>
        </w:rPr>
        <w:t xml:space="preserve">Guía de lineamientos de transparencia y selección objetiva para el departamento de La Guajira – Objetivo sexto constitucional de la Sentencia T-302 del 2017. </w:t>
      </w:r>
      <w:r w:rsidRPr="00780A22">
        <w:rPr>
          <w:rFonts w:ascii="Verdana" w:eastAsia="Calibri" w:hAnsi="Verdana" w:cs="Arial"/>
          <w:color w:val="000000"/>
          <w:kern w:val="2"/>
          <w:shd w:val="clear" w:color="auto" w:fill="FFFFFF"/>
          <w14:ligatures w14:val="standardContextual"/>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780A22">
        <w:rPr>
          <w:rFonts w:ascii="Verdana" w:eastAsia="Calibri" w:hAnsi="Verdana" w:cs="Arial"/>
          <w:color w:val="000000"/>
          <w:kern w:val="2"/>
          <w:shd w:val="clear" w:color="auto" w:fill="FFFFFF"/>
          <w14:ligatures w14:val="standardContextual"/>
        </w:rPr>
        <w:t>Wayúu</w:t>
      </w:r>
      <w:proofErr w:type="spellEnd"/>
      <w:r w:rsidRPr="00780A22">
        <w:rPr>
          <w:rFonts w:ascii="Verdana" w:eastAsia="Calibri" w:hAnsi="Verdana" w:cs="Arial"/>
          <w:color w:val="000000"/>
          <w:kern w:val="2"/>
          <w:shd w:val="clear" w:color="auto" w:fill="FFFFFF"/>
          <w14:ligatures w14:val="standardContextual"/>
        </w:rPr>
        <w:t xml:space="preserve">. Puede consultar la guía en el siguiente enlace: </w:t>
      </w:r>
      <w:hyperlink r:id="rId13" w:tooltip="Dirección URL original: https://www.colombiacompra.gov.co/wp-content/uploads/2025/05/GUIA-DE-LINEAMIENTOS-DE-TRANSPARENCIA-Y-SELECCION-OBJETIVA-1.0.pdf. Haga clic o pulse si confía en este vínculo." w:history="1">
        <w:r w:rsidRPr="00780A22">
          <w:rPr>
            <w:rFonts w:ascii="Verdana" w:eastAsia="Calibri" w:hAnsi="Verdana" w:cs="Arial"/>
            <w:color w:val="0000FF"/>
            <w:kern w:val="2"/>
            <w:u w:val="single"/>
            <w:shd w:val="clear" w:color="auto" w:fill="FFFFFF"/>
            <w14:ligatures w14:val="standardContextual"/>
          </w:rPr>
          <w:t>Guía de lineamientos de transparencia y selección objetiva para el departamento de La Guajira – Objetivo sexto constitucional de la Sentencia T-302 del 2017</w:t>
        </w:r>
      </w:hyperlink>
      <w:r w:rsidRPr="00780A22">
        <w:rPr>
          <w:rFonts w:ascii="Verdana" w:eastAsia="Calibri" w:hAnsi="Verdana" w:cs="Arial"/>
          <w:color w:val="000000"/>
          <w:kern w:val="2"/>
          <w:u w:val="single"/>
          <w:shd w:val="clear" w:color="auto" w:fill="FFFFFF"/>
          <w14:ligatures w14:val="standardContextual"/>
        </w:rPr>
        <w:t>"</w:t>
      </w:r>
    </w:p>
    <w:p w14:paraId="57B5AC20" w14:textId="77777777" w:rsidR="00BD6251" w:rsidRPr="00780A22" w:rsidRDefault="00BD6251" w:rsidP="00BD6251">
      <w:pPr>
        <w:spacing w:after="0" w:line="276" w:lineRule="auto"/>
        <w:jc w:val="both"/>
        <w:rPr>
          <w:rFonts w:ascii="Verdana" w:eastAsia="Aptos" w:hAnsi="Verdana" w:cs="Times New Roman"/>
          <w:color w:val="212121"/>
          <w:kern w:val="2"/>
          <w:sz w:val="24"/>
          <w:szCs w:val="24"/>
          <w14:ligatures w14:val="standardContextual"/>
        </w:rPr>
      </w:pPr>
    </w:p>
    <w:p w14:paraId="6F991FBD" w14:textId="77777777" w:rsidR="00BD6251" w:rsidRPr="00780A22" w:rsidRDefault="00BD6251" w:rsidP="00BD6251">
      <w:pPr>
        <w:spacing w:after="0" w:line="276" w:lineRule="auto"/>
        <w:jc w:val="both"/>
        <w:rPr>
          <w:rFonts w:ascii="Verdana" w:eastAsia="Calibri" w:hAnsi="Verdana" w:cs="Times New Roman"/>
          <w:kern w:val="2"/>
          <w14:ligatures w14:val="standardContextual"/>
        </w:rPr>
      </w:pPr>
      <w:r w:rsidRPr="00780A22">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606386E0" w14:textId="77777777" w:rsidR="00BD6251" w:rsidRPr="00780A22" w:rsidRDefault="00BD6251" w:rsidP="00BD6251">
      <w:pPr>
        <w:spacing w:after="0" w:line="276" w:lineRule="auto"/>
        <w:jc w:val="both"/>
        <w:rPr>
          <w:rFonts w:ascii="Verdana" w:eastAsia="Aptos" w:hAnsi="Verdana" w:cs="Times New Roman"/>
          <w:kern w:val="2"/>
          <w14:ligatures w14:val="standardContextual"/>
        </w:rPr>
      </w:pPr>
    </w:p>
    <w:p w14:paraId="653A2AE5" w14:textId="77777777" w:rsidR="00BD6251" w:rsidRPr="00780A22" w:rsidRDefault="00BD6251" w:rsidP="00BD6251">
      <w:pPr>
        <w:spacing w:after="0" w:line="276" w:lineRule="auto"/>
        <w:jc w:val="both"/>
        <w:rPr>
          <w:rFonts w:ascii="Verdana" w:eastAsia="Aptos" w:hAnsi="Verdana" w:cs="Times New Roman"/>
          <w:kern w:val="2"/>
          <w14:ligatures w14:val="standardContextual"/>
        </w:rPr>
      </w:pPr>
      <w:r w:rsidRPr="00780A22">
        <w:rPr>
          <w:rFonts w:ascii="Verdana" w:eastAsia="Aptos" w:hAnsi="Verdana" w:cs="Times New Roman"/>
          <w:kern w:val="2"/>
          <w14:ligatures w14:val="standardContextual"/>
        </w:rPr>
        <w:t xml:space="preserve">X: </w:t>
      </w:r>
      <w:r w:rsidRPr="00780A22">
        <w:rPr>
          <w:rFonts w:ascii="Verdana" w:eastAsia="Calibri" w:hAnsi="Verdana" w:cs="Times New Roman"/>
          <w:color w:val="156082"/>
          <w:kern w:val="2"/>
          <w:u w:val="single"/>
          <w14:ligatures w14:val="standardContextual"/>
        </w:rPr>
        <w:t>@colombiacompra</w:t>
      </w:r>
      <w:r w:rsidRPr="00780A22">
        <w:rPr>
          <w:rFonts w:ascii="Verdana" w:eastAsia="Calibri" w:hAnsi="Verdana" w:cs="Times New Roman"/>
          <w:color w:val="156082"/>
          <w:kern w:val="2"/>
          <w14:ligatures w14:val="standardContextual"/>
        </w:rPr>
        <w:t xml:space="preserve"> </w:t>
      </w:r>
    </w:p>
    <w:p w14:paraId="038C8623" w14:textId="77777777" w:rsidR="00BD6251" w:rsidRPr="00780A22" w:rsidRDefault="00BD6251" w:rsidP="00BD6251">
      <w:pPr>
        <w:spacing w:after="0" w:line="276" w:lineRule="auto"/>
        <w:jc w:val="both"/>
        <w:rPr>
          <w:rFonts w:ascii="Verdana" w:eastAsia="Aptos" w:hAnsi="Verdana" w:cs="Times New Roman"/>
          <w:kern w:val="2"/>
          <w14:ligatures w14:val="standardContextual"/>
        </w:rPr>
      </w:pPr>
      <w:r w:rsidRPr="00780A22">
        <w:rPr>
          <w:rFonts w:ascii="Verdana" w:eastAsia="Aptos" w:hAnsi="Verdana" w:cs="Times New Roman"/>
          <w:kern w:val="2"/>
          <w14:ligatures w14:val="standardContextual"/>
        </w:rPr>
        <w:t xml:space="preserve">Facebook: </w:t>
      </w:r>
      <w:proofErr w:type="spellStart"/>
      <w:r w:rsidRPr="00780A22">
        <w:rPr>
          <w:rFonts w:ascii="Verdana" w:eastAsia="Calibri" w:hAnsi="Verdana" w:cs="Times New Roman"/>
          <w:color w:val="156082"/>
          <w:kern w:val="2"/>
          <w:u w:val="single"/>
          <w14:ligatures w14:val="standardContextual"/>
        </w:rPr>
        <w:t>ColombiaCompraEficiente</w:t>
      </w:r>
      <w:proofErr w:type="spellEnd"/>
    </w:p>
    <w:p w14:paraId="41029241" w14:textId="77777777" w:rsidR="00BD6251" w:rsidRPr="00780A22" w:rsidRDefault="00BD6251" w:rsidP="00BD6251">
      <w:pPr>
        <w:spacing w:after="0" w:line="276" w:lineRule="auto"/>
        <w:jc w:val="both"/>
        <w:rPr>
          <w:rFonts w:ascii="Verdana" w:eastAsia="Aptos" w:hAnsi="Verdana" w:cs="Times New Roman"/>
          <w:kern w:val="2"/>
          <w14:ligatures w14:val="standardContextual"/>
        </w:rPr>
      </w:pPr>
      <w:r w:rsidRPr="00780A22">
        <w:rPr>
          <w:rFonts w:ascii="Verdana" w:eastAsia="Aptos" w:hAnsi="Verdana" w:cs="Times New Roman"/>
          <w:kern w:val="2"/>
          <w14:ligatures w14:val="standardContextual"/>
        </w:rPr>
        <w:t xml:space="preserve">LinkedIn: </w:t>
      </w:r>
      <w:r w:rsidRPr="00780A22">
        <w:rPr>
          <w:rFonts w:ascii="Verdana" w:eastAsia="Calibri" w:hAnsi="Verdana" w:cs="Times New Roman"/>
          <w:color w:val="156082"/>
          <w:kern w:val="2"/>
          <w:u w:val="single"/>
          <w14:ligatures w14:val="standardContextual"/>
        </w:rPr>
        <w:t>Agencia Nacional de Contratación Pública - Colombia Compra Eficiente</w:t>
      </w:r>
      <w:r w:rsidRPr="00780A22">
        <w:rPr>
          <w:rFonts w:ascii="Verdana" w:eastAsia="Calibri" w:hAnsi="Verdana" w:cs="Times New Roman"/>
          <w:color w:val="156082"/>
          <w:kern w:val="2"/>
          <w14:ligatures w14:val="standardContextual"/>
        </w:rPr>
        <w:t xml:space="preserve"> </w:t>
      </w:r>
      <w:r w:rsidRPr="00780A22">
        <w:rPr>
          <w:rFonts w:ascii="Verdana" w:eastAsia="Aptos" w:hAnsi="Verdana" w:cs="Times New Roman"/>
          <w:kern w:val="2"/>
          <w14:ligatures w14:val="standardContextual"/>
        </w:rPr>
        <w:t xml:space="preserve">Instagram: </w:t>
      </w:r>
      <w:r w:rsidRPr="00780A22">
        <w:rPr>
          <w:rFonts w:ascii="Verdana" w:eastAsia="Calibri" w:hAnsi="Verdana" w:cs="Times New Roman"/>
          <w:color w:val="156082"/>
          <w:kern w:val="2"/>
          <w:u w:val="single"/>
          <w14:ligatures w14:val="standardContextual"/>
        </w:rPr>
        <w:t>@colombiacompraeficiente_cce</w:t>
      </w:r>
    </w:p>
    <w:p w14:paraId="1AB1A188" w14:textId="77777777" w:rsidR="00BD6251" w:rsidRPr="00780A22" w:rsidRDefault="00BD6251" w:rsidP="00BD6251">
      <w:pPr>
        <w:spacing w:after="0" w:line="276" w:lineRule="auto"/>
        <w:jc w:val="both"/>
        <w:rPr>
          <w:rFonts w:ascii="Verdana" w:eastAsia="Aptos" w:hAnsi="Verdana" w:cs="Times New Roman"/>
          <w:kern w:val="2"/>
          <w14:ligatures w14:val="standardContextual"/>
        </w:rPr>
      </w:pPr>
    </w:p>
    <w:p w14:paraId="2B8E90AF" w14:textId="77777777" w:rsidR="00BD6251" w:rsidRPr="00780A22" w:rsidRDefault="00BD6251" w:rsidP="00BD6251">
      <w:pPr>
        <w:spacing w:after="0" w:line="276" w:lineRule="auto"/>
        <w:jc w:val="both"/>
        <w:rPr>
          <w:rFonts w:ascii="Verdana" w:eastAsia="Calibri" w:hAnsi="Verdana" w:cs="Times New Roman"/>
          <w:bCs/>
          <w:kern w:val="2"/>
          <w:lang w:val="es-ES_tradnl"/>
          <w14:ligatures w14:val="standardContextual"/>
        </w:rPr>
      </w:pPr>
      <w:r w:rsidRPr="00780A22">
        <w:rPr>
          <w:rFonts w:ascii="Verdana" w:eastAsia="Calibri" w:hAnsi="Verdana" w:cs="Times New Roman"/>
          <w:kern w:val="2"/>
          <w:lang w:val="es-ES_tradnl"/>
          <w14:ligatures w14:val="standardContextua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7515ED8" w14:textId="77777777" w:rsidR="00BD6251" w:rsidRPr="00D36816" w:rsidRDefault="00BD6251" w:rsidP="00BD6251">
      <w:pPr>
        <w:widowControl w:val="0"/>
        <w:autoSpaceDE w:val="0"/>
        <w:autoSpaceDN w:val="0"/>
        <w:spacing w:after="0" w:line="276" w:lineRule="auto"/>
        <w:jc w:val="both"/>
        <w:rPr>
          <w:rFonts w:ascii="Verdana" w:eastAsia="Calibri" w:hAnsi="Verdana" w:cs="Arial"/>
        </w:rPr>
      </w:pPr>
    </w:p>
    <w:p w14:paraId="27B05312" w14:textId="77777777" w:rsidR="00BD6251" w:rsidRPr="00661C48" w:rsidRDefault="00BD6251" w:rsidP="00BD6251">
      <w:pPr>
        <w:spacing w:after="0" w:line="240" w:lineRule="auto"/>
        <w:rPr>
          <w:rFonts w:ascii="Verdana" w:eastAsia="Calibri" w:hAnsi="Verdana" w:cs="Arial"/>
          <w:lang w:eastAsia="es-CO"/>
        </w:rPr>
      </w:pPr>
      <w:r w:rsidRPr="00D36816">
        <w:rPr>
          <w:rFonts w:ascii="Verdana" w:eastAsia="Times New Roman" w:hAnsi="Verdana" w:cs="Arial"/>
          <w:lang w:eastAsia="es-CO"/>
        </w:rPr>
        <w:t>Atentamente,</w:t>
      </w:r>
      <w:r w:rsidRPr="00D36816">
        <w:rPr>
          <w:rFonts w:ascii="Verdana" w:eastAsia="Calibri" w:hAnsi="Verdana" w:cs="Arial"/>
          <w:lang w:eastAsia="es-CO"/>
        </w:rPr>
        <w:t xml:space="preserve"> </w:t>
      </w:r>
    </w:p>
    <w:p w14:paraId="326FA1C5" w14:textId="177EAA16" w:rsidR="00BD6251" w:rsidRPr="00D36816" w:rsidRDefault="000421E8" w:rsidP="00BD6251">
      <w:pPr>
        <w:tabs>
          <w:tab w:val="left" w:pos="1320"/>
        </w:tabs>
        <w:jc w:val="center"/>
        <w:rPr>
          <w:rFonts w:ascii="Verdana" w:eastAsia="Aptos" w:hAnsi="Verdana" w:cs="Times New Roman"/>
        </w:rPr>
      </w:pPr>
      <w:r>
        <w:rPr>
          <w:noProof/>
        </w:rPr>
        <w:lastRenderedPageBreak/>
        <w:drawing>
          <wp:inline distT="0" distB="0" distL="0" distR="0" wp14:anchorId="714FD95E" wp14:editId="1F52E103">
            <wp:extent cx="3369010" cy="1250618"/>
            <wp:effectExtent l="0" t="0" r="3175" b="6985"/>
            <wp:docPr id="864465061" name="Imagen 86446506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4"/>
                    <a:stretch>
                      <a:fillRect/>
                    </a:stretch>
                  </pic:blipFill>
                  <pic:spPr>
                    <a:xfrm>
                      <a:off x="0" y="0"/>
                      <a:ext cx="3380831" cy="1255006"/>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D6251" w:rsidRPr="00D36816" w14:paraId="0A1BAABA" w14:textId="77777777" w:rsidTr="00B9141B">
        <w:trPr>
          <w:trHeight w:val="315"/>
        </w:trPr>
        <w:tc>
          <w:tcPr>
            <w:tcW w:w="893" w:type="dxa"/>
            <w:vAlign w:val="center"/>
            <w:hideMark/>
          </w:tcPr>
          <w:p w14:paraId="7F9DE04C" w14:textId="77777777" w:rsidR="00BD6251" w:rsidRPr="00D36816" w:rsidRDefault="00BD6251" w:rsidP="00B9141B">
            <w:pPr>
              <w:rPr>
                <w:rFonts w:ascii="Verdana" w:eastAsia="Calibri" w:hAnsi="Verdana" w:cs="Arial"/>
                <w:sz w:val="16"/>
                <w:szCs w:val="16"/>
                <w:lang w:val="es-ES_tradnl" w:eastAsia="es-ES"/>
              </w:rPr>
            </w:pPr>
            <w:r w:rsidRPr="00D36816">
              <w:rPr>
                <w:rFonts w:ascii="Verdana" w:eastAsia="Calibri" w:hAnsi="Verdana" w:cs="Arial"/>
                <w:sz w:val="16"/>
                <w:szCs w:val="16"/>
                <w:lang w:val="es-ES_tradnl" w:eastAsia="es-ES"/>
              </w:rPr>
              <w:t>Elaboró:</w:t>
            </w:r>
          </w:p>
        </w:tc>
        <w:tc>
          <w:tcPr>
            <w:tcW w:w="5628" w:type="dxa"/>
            <w:tcBorders>
              <w:top w:val="nil"/>
              <w:left w:val="nil"/>
              <w:bottom w:val="dotted" w:sz="4" w:space="0" w:color="7F7F7F"/>
              <w:right w:val="nil"/>
            </w:tcBorders>
            <w:vAlign w:val="center"/>
            <w:hideMark/>
          </w:tcPr>
          <w:p w14:paraId="66B2CCBA" w14:textId="77777777" w:rsidR="00BD6251" w:rsidRPr="00D36816" w:rsidRDefault="00BD6251" w:rsidP="00B9141B">
            <w:pPr>
              <w:rPr>
                <w:rFonts w:ascii="Verdana" w:eastAsia="Arial" w:hAnsi="Verdana" w:cs="Arial"/>
                <w:sz w:val="16"/>
                <w:szCs w:val="16"/>
                <w:lang w:val="es-ES"/>
              </w:rPr>
            </w:pPr>
            <w:r>
              <w:rPr>
                <w:rFonts w:ascii="Verdana" w:eastAsia="Arial" w:hAnsi="Verdana" w:cs="Arial"/>
                <w:sz w:val="16"/>
                <w:szCs w:val="16"/>
                <w:lang w:val="es-ES"/>
              </w:rPr>
              <w:t>Kevin Arlid Herrera Santa</w:t>
            </w:r>
          </w:p>
          <w:p w14:paraId="7464E4FE" w14:textId="77777777" w:rsidR="00BD6251" w:rsidRPr="00D36816" w:rsidRDefault="00BD6251" w:rsidP="00B9141B">
            <w:pPr>
              <w:rPr>
                <w:rFonts w:ascii="Verdana" w:eastAsia="Arial" w:hAnsi="Verdana" w:cs="Arial"/>
                <w:sz w:val="16"/>
                <w:szCs w:val="16"/>
                <w:lang w:val="es-ES_tradnl"/>
              </w:rPr>
            </w:pPr>
            <w:r w:rsidRPr="00D36816">
              <w:rPr>
                <w:rFonts w:ascii="Verdana" w:eastAsia="Arial" w:hAnsi="Verdana" w:cs="Arial"/>
                <w:sz w:val="16"/>
                <w:szCs w:val="16"/>
                <w:lang w:val="es-ES_tradnl"/>
              </w:rPr>
              <w:t>Contratista de la Subdirección de Gestión Contractual</w:t>
            </w:r>
          </w:p>
          <w:p w14:paraId="5DB1D3EA" w14:textId="77777777" w:rsidR="00BD6251" w:rsidRPr="00D36816" w:rsidRDefault="00BD6251" w:rsidP="00B9141B">
            <w:pPr>
              <w:rPr>
                <w:rFonts w:ascii="Verdana" w:eastAsia="Arial" w:hAnsi="Verdana" w:cs="Arial"/>
                <w:sz w:val="16"/>
                <w:szCs w:val="16"/>
                <w:lang w:val="es-ES_tradnl"/>
              </w:rPr>
            </w:pPr>
          </w:p>
        </w:tc>
      </w:tr>
      <w:tr w:rsidR="00BD6251" w:rsidRPr="00D36816" w14:paraId="171A1BD7" w14:textId="77777777" w:rsidTr="00B9141B">
        <w:trPr>
          <w:trHeight w:val="330"/>
        </w:trPr>
        <w:tc>
          <w:tcPr>
            <w:tcW w:w="893" w:type="dxa"/>
            <w:vAlign w:val="center"/>
            <w:hideMark/>
          </w:tcPr>
          <w:p w14:paraId="62715891" w14:textId="77777777" w:rsidR="00BD6251" w:rsidRPr="00D36816" w:rsidRDefault="00BD6251" w:rsidP="00B9141B">
            <w:pPr>
              <w:rPr>
                <w:rFonts w:ascii="Verdana" w:eastAsia="Calibri" w:hAnsi="Verdana" w:cs="Arial"/>
                <w:sz w:val="16"/>
                <w:szCs w:val="16"/>
                <w:lang w:val="es-ES_tradnl" w:eastAsia="es-ES"/>
              </w:rPr>
            </w:pPr>
            <w:r w:rsidRPr="00D36816">
              <w:rPr>
                <w:rFonts w:ascii="Verdana" w:eastAsia="Calibri" w:hAnsi="Verdana" w:cs="Arial"/>
                <w:sz w:val="16"/>
                <w:szCs w:val="16"/>
                <w:lang w:val="es-ES_tradnl" w:eastAsia="es-ES"/>
              </w:rPr>
              <w:t>Revisó:</w:t>
            </w:r>
          </w:p>
        </w:tc>
        <w:tc>
          <w:tcPr>
            <w:tcW w:w="5628" w:type="dxa"/>
            <w:tcBorders>
              <w:top w:val="dotted" w:sz="4" w:space="0" w:color="7F7F7F"/>
              <w:left w:val="nil"/>
              <w:bottom w:val="dotted" w:sz="4" w:space="0" w:color="7F7F7F"/>
              <w:right w:val="nil"/>
            </w:tcBorders>
            <w:vAlign w:val="center"/>
            <w:hideMark/>
          </w:tcPr>
          <w:p w14:paraId="315F98F4" w14:textId="77777777" w:rsidR="00BD6251" w:rsidRPr="00D36816" w:rsidRDefault="00BD6251" w:rsidP="00B9141B">
            <w:pPr>
              <w:contextualSpacing/>
              <w:textAlignment w:val="baseline"/>
              <w:rPr>
                <w:rFonts w:ascii="Verdana" w:eastAsia="Times New Roman" w:hAnsi="Verdana" w:cs="Segoe UI"/>
                <w:sz w:val="16"/>
                <w:szCs w:val="16"/>
                <w:lang w:eastAsia="es-ES_tradnl"/>
              </w:rPr>
            </w:pPr>
            <w:r>
              <w:rPr>
                <w:rFonts w:ascii="Verdana" w:eastAsia="Times New Roman" w:hAnsi="Verdana" w:cs="Segoe UI"/>
                <w:sz w:val="16"/>
                <w:szCs w:val="16"/>
                <w:lang w:eastAsia="es-ES_tradnl"/>
              </w:rPr>
              <w:t xml:space="preserve">Adriana </w:t>
            </w:r>
            <w:proofErr w:type="spellStart"/>
            <w:r>
              <w:rPr>
                <w:rFonts w:ascii="Verdana" w:eastAsia="Times New Roman" w:hAnsi="Verdana" w:cs="Segoe UI"/>
                <w:sz w:val="16"/>
                <w:szCs w:val="16"/>
                <w:lang w:eastAsia="es-ES_tradnl"/>
              </w:rPr>
              <w:t>Katerine</w:t>
            </w:r>
            <w:proofErr w:type="spellEnd"/>
            <w:r>
              <w:rPr>
                <w:rFonts w:ascii="Verdana" w:eastAsia="Times New Roman" w:hAnsi="Verdana" w:cs="Segoe UI"/>
                <w:sz w:val="16"/>
                <w:szCs w:val="16"/>
                <w:lang w:eastAsia="es-ES_tradnl"/>
              </w:rPr>
              <w:t xml:space="preserve"> López Rodríguez</w:t>
            </w:r>
            <w:r w:rsidRPr="00D36816">
              <w:rPr>
                <w:rFonts w:ascii="Verdana" w:eastAsia="Times New Roman" w:hAnsi="Verdana" w:cs="Segoe UI"/>
                <w:sz w:val="16"/>
                <w:szCs w:val="16"/>
                <w:lang w:eastAsia="es-ES_tradnl"/>
              </w:rPr>
              <w:t xml:space="preserve"> </w:t>
            </w:r>
          </w:p>
          <w:p w14:paraId="3B7BA028" w14:textId="77777777" w:rsidR="00BD6251" w:rsidRPr="00D36816" w:rsidRDefault="00BD6251" w:rsidP="00B9141B">
            <w:pPr>
              <w:contextualSpacing/>
              <w:textAlignment w:val="baseline"/>
              <w:rPr>
                <w:rFonts w:ascii="Verdana" w:eastAsia="Arial" w:hAnsi="Verdana" w:cs="Arial"/>
                <w:sz w:val="16"/>
                <w:szCs w:val="16"/>
              </w:rPr>
            </w:pPr>
            <w:r w:rsidRPr="00D36816">
              <w:rPr>
                <w:rFonts w:ascii="Verdana" w:eastAsia="Arial" w:hAnsi="Verdana" w:cs="Arial"/>
                <w:sz w:val="16"/>
                <w:szCs w:val="16"/>
              </w:rPr>
              <w:t>Contratista de la Subdirección de Gestión Contractual</w:t>
            </w:r>
          </w:p>
          <w:p w14:paraId="10BBFE5E" w14:textId="77777777" w:rsidR="00BD6251" w:rsidRPr="00D36816" w:rsidRDefault="00BD6251" w:rsidP="00B9141B">
            <w:pPr>
              <w:textAlignment w:val="baseline"/>
              <w:rPr>
                <w:rFonts w:ascii="Verdana" w:eastAsia="Times New Roman" w:hAnsi="Verdana" w:cs="Segoe UI"/>
                <w:sz w:val="16"/>
                <w:szCs w:val="16"/>
                <w:lang w:val="es-ES_tradnl" w:eastAsia="es-ES_tradnl"/>
              </w:rPr>
            </w:pPr>
          </w:p>
        </w:tc>
      </w:tr>
      <w:tr w:rsidR="00BD6251" w:rsidRPr="00D36816" w14:paraId="754D9177" w14:textId="77777777" w:rsidTr="00B9141B">
        <w:trPr>
          <w:trHeight w:val="300"/>
        </w:trPr>
        <w:tc>
          <w:tcPr>
            <w:tcW w:w="893" w:type="dxa"/>
            <w:vAlign w:val="center"/>
          </w:tcPr>
          <w:p w14:paraId="5FAAC9B7" w14:textId="77777777" w:rsidR="00BD6251" w:rsidRPr="00D36816" w:rsidRDefault="00BD6251" w:rsidP="00B9141B">
            <w:pPr>
              <w:rPr>
                <w:rFonts w:ascii="Verdana" w:eastAsia="Calibri" w:hAnsi="Verdana" w:cs="Arial"/>
                <w:sz w:val="16"/>
                <w:szCs w:val="16"/>
                <w:lang w:val="es-ES_tradnl" w:eastAsia="es-ES"/>
              </w:rPr>
            </w:pPr>
            <w:r w:rsidRPr="00D36816">
              <w:rPr>
                <w:rFonts w:ascii="Verdana" w:eastAsia="Calibri" w:hAnsi="Verdana" w:cs="Arial"/>
                <w:sz w:val="16"/>
                <w:szCs w:val="16"/>
                <w:lang w:val="es-ES_tradnl" w:eastAsia="es-ES"/>
              </w:rPr>
              <w:t>Aprobó:</w:t>
            </w:r>
          </w:p>
        </w:tc>
        <w:tc>
          <w:tcPr>
            <w:tcW w:w="5628" w:type="dxa"/>
            <w:tcBorders>
              <w:top w:val="dotted" w:sz="4" w:space="0" w:color="7F7F7F"/>
              <w:left w:val="nil"/>
              <w:bottom w:val="dotted" w:sz="4" w:space="0" w:color="7F7F7F"/>
              <w:right w:val="nil"/>
            </w:tcBorders>
            <w:vAlign w:val="center"/>
          </w:tcPr>
          <w:p w14:paraId="36095DAE" w14:textId="77777777" w:rsidR="00BD6251" w:rsidRPr="00D36816" w:rsidRDefault="00BD6251" w:rsidP="00B9141B">
            <w:pPr>
              <w:rPr>
                <w:rFonts w:ascii="Verdana" w:eastAsia="Calibri" w:hAnsi="Verdana" w:cs="Arial"/>
                <w:sz w:val="16"/>
                <w:szCs w:val="16"/>
                <w:lang w:val="es-ES" w:eastAsia="es-ES"/>
              </w:rPr>
            </w:pPr>
            <w:r w:rsidRPr="00D36816">
              <w:rPr>
                <w:rFonts w:ascii="Verdana" w:eastAsia="Calibri" w:hAnsi="Verdana" w:cs="Arial"/>
                <w:sz w:val="16"/>
                <w:szCs w:val="16"/>
                <w:lang w:val="es-ES" w:eastAsia="es-ES"/>
              </w:rPr>
              <w:t>Carolina Quintero Gacharná</w:t>
            </w:r>
          </w:p>
          <w:p w14:paraId="205B9AC7" w14:textId="77777777" w:rsidR="00BD6251" w:rsidRPr="00D36816" w:rsidRDefault="00BD6251" w:rsidP="00B9141B">
            <w:pPr>
              <w:rPr>
                <w:rFonts w:ascii="Verdana" w:eastAsia="Calibri" w:hAnsi="Verdana" w:cs="Arial"/>
                <w:sz w:val="16"/>
                <w:szCs w:val="16"/>
                <w:lang w:val="es-ES_tradnl" w:eastAsia="es-ES"/>
              </w:rPr>
            </w:pPr>
            <w:r w:rsidRPr="00D36816">
              <w:rPr>
                <w:rFonts w:ascii="Verdana" w:eastAsia="Calibri" w:hAnsi="Verdana" w:cs="Arial"/>
                <w:sz w:val="16"/>
                <w:szCs w:val="16"/>
                <w:lang w:val="es-ES_tradnl" w:eastAsia="es-ES"/>
              </w:rPr>
              <w:t>Subdirectora de Gestión Contractual ANCP – CCE</w:t>
            </w:r>
          </w:p>
        </w:tc>
      </w:tr>
    </w:tbl>
    <w:p w14:paraId="12443EE0" w14:textId="77777777" w:rsidR="00C15139" w:rsidRPr="0024624F" w:rsidRDefault="00C15139" w:rsidP="00C15139">
      <w:pPr>
        <w:spacing w:after="0"/>
        <w:rPr>
          <w:rFonts w:ascii="Verdana" w:hAnsi="Verdana"/>
        </w:rPr>
      </w:pPr>
    </w:p>
    <w:bookmarkEnd w:id="0"/>
    <w:sectPr w:rsidR="00C15139" w:rsidRPr="0024624F"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E7684B" w14:textId="77777777" w:rsidR="009A1C6F" w:rsidRDefault="009A1C6F" w:rsidP="004A1847">
      <w:pPr>
        <w:spacing w:after="0" w:line="240" w:lineRule="auto"/>
      </w:pPr>
      <w:r>
        <w:separator/>
      </w:r>
    </w:p>
  </w:endnote>
  <w:endnote w:type="continuationSeparator" w:id="0">
    <w:p w14:paraId="34E3A772" w14:textId="77777777" w:rsidR="009A1C6F" w:rsidRDefault="009A1C6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9F836A" w14:textId="77777777" w:rsidR="009A1C6F" w:rsidRDefault="009A1C6F" w:rsidP="004A1847">
      <w:pPr>
        <w:spacing w:after="0" w:line="240" w:lineRule="auto"/>
      </w:pPr>
      <w:r>
        <w:separator/>
      </w:r>
    </w:p>
  </w:footnote>
  <w:footnote w:type="continuationSeparator" w:id="0">
    <w:p w14:paraId="6329C139" w14:textId="77777777" w:rsidR="009A1C6F" w:rsidRDefault="009A1C6F" w:rsidP="004A1847">
      <w:pPr>
        <w:spacing w:after="0" w:line="240" w:lineRule="auto"/>
      </w:pPr>
      <w:r>
        <w:continuationSeparator/>
      </w:r>
    </w:p>
  </w:footnote>
  <w:footnote w:id="1">
    <w:p w14:paraId="32AA52FD" w14:textId="77777777" w:rsidR="00BD6251" w:rsidRPr="00AE14A1" w:rsidRDefault="00BD6251" w:rsidP="00BD6251">
      <w:pPr>
        <w:pStyle w:val="NormalWeb"/>
        <w:adjustRightInd w:val="0"/>
        <w:snapToGrid w:val="0"/>
        <w:spacing w:before="0" w:beforeAutospacing="0" w:after="0" w:afterAutospacing="0"/>
        <w:ind w:firstLine="709"/>
        <w:jc w:val="both"/>
        <w:rPr>
          <w:rFonts w:ascii="Verdana" w:hAnsi="Verdana" w:cs="Arial"/>
          <w:color w:val="000000"/>
          <w:sz w:val="18"/>
          <w:szCs w:val="18"/>
        </w:rPr>
      </w:pPr>
      <w:r w:rsidRPr="00AE14A1">
        <w:rPr>
          <w:rStyle w:val="Refdenotaalpie"/>
          <w:rFonts w:ascii="Verdana" w:hAnsi="Verdana" w:cs="Arial"/>
          <w:color w:val="000000"/>
          <w:sz w:val="18"/>
          <w:szCs w:val="18"/>
        </w:rPr>
        <w:footnoteRef/>
      </w:r>
      <w:r w:rsidRPr="00AE14A1">
        <w:rPr>
          <w:rFonts w:ascii="Verdana" w:hAnsi="Verdana" w:cs="Arial"/>
          <w:color w:val="000000"/>
          <w:sz w:val="18"/>
          <w:szCs w:val="18"/>
        </w:rPr>
        <w:t xml:space="preserve"> Ley 2022 de 2020: “</w:t>
      </w:r>
      <w:r w:rsidRPr="00AE14A1">
        <w:rPr>
          <w:rStyle w:val="Textoennegrita"/>
          <w:rFonts w:ascii="Verdana" w:hAnsi="Verdana" w:cs="Arial"/>
          <w:color w:val="000000"/>
          <w:sz w:val="18"/>
          <w:szCs w:val="18"/>
        </w:rPr>
        <w:t xml:space="preserve">Artículo 1º. </w:t>
      </w:r>
      <w:r w:rsidRPr="00AE14A1">
        <w:rPr>
          <w:rFonts w:ascii="Verdana" w:hAnsi="Verdana" w:cs="Arial"/>
          <w:color w:val="000000"/>
          <w:sz w:val="18"/>
          <w:szCs w:val="18"/>
        </w:rPr>
        <w:t>Modifíquese el artículo 4º de la Ley 1882 de 2018, el cual quedará así:</w:t>
      </w:r>
    </w:p>
    <w:p w14:paraId="4B3E777F" w14:textId="77777777" w:rsidR="00BD6251" w:rsidRPr="00AE14A1" w:rsidRDefault="00BD6251" w:rsidP="00BD6251">
      <w:pPr>
        <w:pStyle w:val="NormalWeb"/>
        <w:adjustRightInd w:val="0"/>
        <w:snapToGrid w:val="0"/>
        <w:spacing w:before="0" w:beforeAutospacing="0" w:after="0" w:afterAutospacing="0"/>
        <w:ind w:firstLine="709"/>
        <w:jc w:val="both"/>
        <w:rPr>
          <w:rFonts w:ascii="Verdana" w:hAnsi="Verdana" w:cs="Arial"/>
          <w:color w:val="000000"/>
          <w:sz w:val="18"/>
          <w:szCs w:val="18"/>
        </w:rPr>
      </w:pPr>
      <w:r w:rsidRPr="00AE14A1">
        <w:rPr>
          <w:rStyle w:val="Textoennegrita"/>
          <w:rFonts w:ascii="Verdana" w:hAnsi="Verdana" w:cs="Arial"/>
          <w:color w:val="000000"/>
          <w:sz w:val="18"/>
          <w:szCs w:val="18"/>
        </w:rPr>
        <w:t xml:space="preserve">“Artículo 4º. </w:t>
      </w:r>
      <w:r w:rsidRPr="00AE14A1">
        <w:rPr>
          <w:rFonts w:ascii="Verdana" w:hAnsi="Verdana" w:cs="Arial"/>
          <w:color w:val="000000"/>
          <w:sz w:val="18"/>
          <w:szCs w:val="18"/>
        </w:rPr>
        <w:t>Adiciónese el siguiente parágrafo al artículo 2º de la Ley 1150 de 2007.</w:t>
      </w:r>
    </w:p>
    <w:p w14:paraId="367B16D5" w14:textId="77777777" w:rsidR="00BD6251" w:rsidRPr="00AE14A1" w:rsidRDefault="00BD6251" w:rsidP="00BD6251">
      <w:pPr>
        <w:pStyle w:val="NormalWeb"/>
        <w:adjustRightInd w:val="0"/>
        <w:snapToGrid w:val="0"/>
        <w:spacing w:before="0" w:beforeAutospacing="0" w:after="0" w:afterAutospacing="0"/>
        <w:ind w:firstLine="709"/>
        <w:jc w:val="both"/>
        <w:rPr>
          <w:rFonts w:ascii="Verdana" w:hAnsi="Verdana" w:cs="Arial"/>
          <w:color w:val="000000"/>
          <w:sz w:val="18"/>
          <w:szCs w:val="18"/>
        </w:rPr>
      </w:pPr>
      <w:r w:rsidRPr="00AE14A1">
        <w:rPr>
          <w:rStyle w:val="Textoennegrita"/>
          <w:rFonts w:ascii="Verdana" w:hAnsi="Verdana" w:cs="Arial"/>
          <w:color w:val="000000"/>
          <w:sz w:val="18"/>
          <w:szCs w:val="18"/>
        </w:rPr>
        <w:t xml:space="preserve">Parágrafo 7º. </w:t>
      </w:r>
      <w:r w:rsidRPr="00AE14A1">
        <w:rPr>
          <w:rFonts w:ascii="Verdana" w:hAnsi="Verdana" w:cs="Arial"/>
          <w:color w:val="000000"/>
          <w:sz w:val="18"/>
          <w:szCs w:val="18"/>
        </w:rPr>
        <w:t>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2B27BF19" w14:textId="77777777" w:rsidR="00BD6251" w:rsidRPr="00AE14A1" w:rsidRDefault="00BD6251" w:rsidP="00BD6251">
      <w:pPr>
        <w:pStyle w:val="NormalWeb"/>
        <w:adjustRightInd w:val="0"/>
        <w:snapToGrid w:val="0"/>
        <w:spacing w:before="0" w:beforeAutospacing="0" w:after="0" w:afterAutospacing="0"/>
        <w:ind w:firstLine="709"/>
        <w:jc w:val="both"/>
        <w:rPr>
          <w:rFonts w:ascii="Verdana" w:hAnsi="Verdana" w:cs="Arial"/>
          <w:color w:val="000000"/>
          <w:sz w:val="18"/>
          <w:szCs w:val="18"/>
        </w:rPr>
      </w:pPr>
      <w:r w:rsidRPr="00AE14A1">
        <w:rPr>
          <w:rFonts w:ascii="Verdana" w:hAnsi="Verdana" w:cs="Arial"/>
          <w:color w:val="000000"/>
          <w:sz w:val="18"/>
          <w:szCs w:val="18"/>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2EDAF421" w14:textId="77777777" w:rsidR="00BD6251" w:rsidRPr="00AE14A1" w:rsidRDefault="00BD6251" w:rsidP="00BD6251">
      <w:pPr>
        <w:pStyle w:val="NormalWeb"/>
        <w:adjustRightInd w:val="0"/>
        <w:snapToGrid w:val="0"/>
        <w:spacing w:before="0" w:beforeAutospacing="0" w:after="0" w:afterAutospacing="0"/>
        <w:ind w:firstLine="709"/>
        <w:jc w:val="both"/>
        <w:rPr>
          <w:rFonts w:ascii="Verdana" w:hAnsi="Verdana" w:cs="Arial"/>
          <w:color w:val="000000"/>
          <w:sz w:val="18"/>
          <w:szCs w:val="18"/>
        </w:rPr>
      </w:pPr>
      <w:r w:rsidRPr="00AE14A1">
        <w:rPr>
          <w:rFonts w:ascii="Verdana" w:hAnsi="Verdana" w:cs="Arial"/>
          <w:color w:val="000000"/>
          <w:sz w:val="18"/>
          <w:szCs w:val="18"/>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20D46BDC" w14:textId="77777777" w:rsidR="00BD6251" w:rsidRPr="00AE14A1" w:rsidRDefault="00BD6251" w:rsidP="00BD6251">
      <w:pPr>
        <w:pStyle w:val="NormalWeb"/>
        <w:adjustRightInd w:val="0"/>
        <w:snapToGrid w:val="0"/>
        <w:spacing w:before="0" w:beforeAutospacing="0" w:after="0" w:afterAutospacing="0"/>
        <w:ind w:firstLine="709"/>
        <w:jc w:val="both"/>
        <w:rPr>
          <w:rFonts w:ascii="Verdana" w:hAnsi="Verdana" w:cs="Arial"/>
          <w:color w:val="000000"/>
          <w:sz w:val="18"/>
          <w:szCs w:val="18"/>
        </w:rPr>
      </w:pPr>
      <w:r w:rsidRPr="00AE14A1">
        <w:rPr>
          <w:rFonts w:ascii="Verdana" w:hAnsi="Verdana" w:cs="Arial"/>
          <w:color w:val="000000"/>
          <w:sz w:val="18"/>
          <w:szCs w:val="18"/>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103A908C" w14:textId="77777777" w:rsidR="00BD6251" w:rsidRPr="00AE14A1" w:rsidRDefault="00BD6251" w:rsidP="00BD6251">
      <w:pPr>
        <w:pStyle w:val="NormalWeb"/>
        <w:adjustRightInd w:val="0"/>
        <w:snapToGrid w:val="0"/>
        <w:spacing w:before="0" w:beforeAutospacing="0" w:after="0" w:afterAutospacing="0"/>
        <w:ind w:firstLine="709"/>
        <w:jc w:val="both"/>
        <w:rPr>
          <w:rFonts w:ascii="Verdana" w:hAnsi="Verdana" w:cs="Arial"/>
          <w:color w:val="000000"/>
          <w:sz w:val="18"/>
          <w:szCs w:val="18"/>
        </w:rPr>
      </w:pPr>
      <w:r w:rsidRPr="00AE14A1">
        <w:rPr>
          <w:rFonts w:ascii="Verdana" w:hAnsi="Verdana" w:cs="Arial"/>
          <w:color w:val="000000"/>
          <w:sz w:val="18"/>
          <w:szCs w:val="18"/>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footnote>
  <w:footnote w:id="2">
    <w:p w14:paraId="31C7F21F" w14:textId="77777777" w:rsidR="00BD6251" w:rsidRPr="00AE14A1" w:rsidRDefault="00BD6251" w:rsidP="00BD6251">
      <w:pPr>
        <w:pStyle w:val="Textonotapie"/>
        <w:adjustRightInd w:val="0"/>
        <w:snapToGrid w:val="0"/>
        <w:ind w:firstLine="709"/>
        <w:jc w:val="both"/>
        <w:rPr>
          <w:rFonts w:ascii="Verdana" w:eastAsia="Times New Roman" w:hAnsi="Verdana" w:cs="Arial"/>
          <w:sz w:val="18"/>
          <w:szCs w:val="18"/>
          <w:lang w:val="es-CO" w:eastAsia="es-CO"/>
        </w:rPr>
      </w:pPr>
      <w:r w:rsidRPr="00AE14A1">
        <w:rPr>
          <w:rStyle w:val="Refdenotaalpie"/>
          <w:rFonts w:ascii="Verdana" w:hAnsi="Verdana" w:cs="Arial"/>
          <w:sz w:val="18"/>
          <w:szCs w:val="18"/>
        </w:rPr>
        <w:footnoteRef/>
      </w:r>
      <w:r w:rsidRPr="00AE14A1">
        <w:rPr>
          <w:rFonts w:ascii="Verdana" w:hAnsi="Verdana" w:cs="Arial"/>
          <w:sz w:val="18"/>
          <w:szCs w:val="18"/>
        </w:rPr>
        <w:t xml:space="preserve"> </w:t>
      </w:r>
      <w:r w:rsidRPr="00AE14A1">
        <w:rPr>
          <w:rFonts w:ascii="Verdana" w:eastAsia="Times New Roman" w:hAnsi="Verdana" w:cs="Arial"/>
          <w:sz w:val="18"/>
          <w:szCs w:val="18"/>
          <w:lang w:val="es-CO" w:eastAsia="es-CO"/>
        </w:rPr>
        <w:t>Consejo de Estado. Sección Tercera. Sentencia del 27 de abril de 2011. Exp. 18.293. C.P. Ruth Stella Correa Palacio.</w:t>
      </w:r>
    </w:p>
  </w:footnote>
  <w:footnote w:id="3">
    <w:p w14:paraId="5EA06FFE" w14:textId="77777777" w:rsidR="00BD6251" w:rsidRPr="00AE14A1" w:rsidRDefault="00BD6251" w:rsidP="00BD6251">
      <w:pPr>
        <w:pStyle w:val="Textonotapie"/>
        <w:adjustRightInd w:val="0"/>
        <w:snapToGrid w:val="0"/>
        <w:ind w:firstLine="709"/>
        <w:jc w:val="both"/>
        <w:rPr>
          <w:rFonts w:ascii="Verdana" w:eastAsia="Times New Roman" w:hAnsi="Verdana" w:cs="Arial"/>
          <w:sz w:val="18"/>
          <w:szCs w:val="18"/>
          <w:lang w:val="es-CO" w:eastAsia="es-CO"/>
        </w:rPr>
      </w:pPr>
      <w:r w:rsidRPr="00AE14A1">
        <w:rPr>
          <w:rStyle w:val="Refdenotaalpie"/>
          <w:rFonts w:ascii="Verdana" w:hAnsi="Verdana" w:cs="Arial"/>
          <w:sz w:val="18"/>
          <w:szCs w:val="18"/>
        </w:rPr>
        <w:footnoteRef/>
      </w:r>
      <w:r w:rsidRPr="00AE14A1">
        <w:rPr>
          <w:rFonts w:ascii="Verdana" w:hAnsi="Verdana" w:cs="Arial"/>
          <w:sz w:val="18"/>
          <w:szCs w:val="18"/>
        </w:rPr>
        <w:t xml:space="preserve"> </w:t>
      </w:r>
      <w:r w:rsidRPr="00AE14A1">
        <w:rPr>
          <w:rFonts w:ascii="Verdana" w:eastAsia="Times New Roman" w:hAnsi="Verdana" w:cs="Arial"/>
          <w:sz w:val="18"/>
          <w:szCs w:val="18"/>
          <w:lang w:val="es-CO" w:eastAsia="es-CO"/>
        </w:rPr>
        <w:t>Consejo de Estado. Sección Tercera. Sentencia del 21 de noviembre de 2013. Exp. 25397. C.P. Carlos Alberto Zambrano Barrera.</w:t>
      </w:r>
    </w:p>
    <w:p w14:paraId="4BF55038" w14:textId="77777777" w:rsidR="00BD6251" w:rsidRPr="00AE14A1" w:rsidRDefault="00BD6251" w:rsidP="00BD6251">
      <w:pPr>
        <w:pStyle w:val="Textonotapie"/>
        <w:adjustRightInd w:val="0"/>
        <w:snapToGrid w:val="0"/>
        <w:ind w:firstLine="709"/>
        <w:jc w:val="both"/>
        <w:rPr>
          <w:rFonts w:ascii="Verdana" w:eastAsia="Calibri" w:hAnsi="Verdana" w:cs="Arial"/>
          <w:sz w:val="18"/>
          <w:szCs w:val="18"/>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B974474"/>
    <w:multiLevelType w:val="hybridMultilevel"/>
    <w:tmpl w:val="94DE8C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6265F41"/>
    <w:multiLevelType w:val="hybridMultilevel"/>
    <w:tmpl w:val="57E0A038"/>
    <w:lvl w:ilvl="0" w:tplc="45F0579C">
      <w:start w:val="1"/>
      <w:numFmt w:val="upperLetter"/>
      <w:lvlText w:val="%1."/>
      <w:lvlJc w:val="left"/>
      <w:pPr>
        <w:ind w:left="1561" w:hanging="710"/>
      </w:pPr>
    </w:lvl>
    <w:lvl w:ilvl="1" w:tplc="240A0019">
      <w:start w:val="1"/>
      <w:numFmt w:val="lowerLetter"/>
      <w:lvlText w:val="%2."/>
      <w:lvlJc w:val="left"/>
      <w:pPr>
        <w:ind w:left="1931" w:hanging="360"/>
      </w:pPr>
    </w:lvl>
    <w:lvl w:ilvl="2" w:tplc="240A001B">
      <w:start w:val="1"/>
      <w:numFmt w:val="lowerRoman"/>
      <w:lvlText w:val="%3."/>
      <w:lvlJc w:val="right"/>
      <w:pPr>
        <w:ind w:left="2651" w:hanging="180"/>
      </w:pPr>
    </w:lvl>
    <w:lvl w:ilvl="3" w:tplc="240A000F">
      <w:start w:val="1"/>
      <w:numFmt w:val="decimal"/>
      <w:lvlText w:val="%4."/>
      <w:lvlJc w:val="left"/>
      <w:pPr>
        <w:ind w:left="3371" w:hanging="360"/>
      </w:pPr>
    </w:lvl>
    <w:lvl w:ilvl="4" w:tplc="240A0019">
      <w:start w:val="1"/>
      <w:numFmt w:val="lowerLetter"/>
      <w:lvlText w:val="%5."/>
      <w:lvlJc w:val="left"/>
      <w:pPr>
        <w:ind w:left="4091" w:hanging="360"/>
      </w:pPr>
    </w:lvl>
    <w:lvl w:ilvl="5" w:tplc="240A001B">
      <w:start w:val="1"/>
      <w:numFmt w:val="lowerRoman"/>
      <w:lvlText w:val="%6."/>
      <w:lvlJc w:val="right"/>
      <w:pPr>
        <w:ind w:left="4811" w:hanging="180"/>
      </w:pPr>
    </w:lvl>
    <w:lvl w:ilvl="6" w:tplc="240A000F">
      <w:start w:val="1"/>
      <w:numFmt w:val="decimal"/>
      <w:lvlText w:val="%7."/>
      <w:lvlJc w:val="left"/>
      <w:pPr>
        <w:ind w:left="5531" w:hanging="360"/>
      </w:pPr>
    </w:lvl>
    <w:lvl w:ilvl="7" w:tplc="240A0019">
      <w:start w:val="1"/>
      <w:numFmt w:val="lowerLetter"/>
      <w:lvlText w:val="%8."/>
      <w:lvlJc w:val="left"/>
      <w:pPr>
        <w:ind w:left="6251" w:hanging="360"/>
      </w:pPr>
    </w:lvl>
    <w:lvl w:ilvl="8" w:tplc="240A001B">
      <w:start w:val="1"/>
      <w:numFmt w:val="lowerRoman"/>
      <w:lvlText w:val="%9."/>
      <w:lvlJc w:val="right"/>
      <w:pPr>
        <w:ind w:left="6971" w:hanging="18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7"/>
  </w:num>
  <w:num w:numId="8" w16cid:durableId="152644682">
    <w:abstractNumId w:val="14"/>
  </w:num>
  <w:num w:numId="9" w16cid:durableId="1317221377">
    <w:abstractNumId w:val="9"/>
  </w:num>
  <w:num w:numId="10" w16cid:durableId="1471245386">
    <w:abstractNumId w:val="13"/>
  </w:num>
  <w:num w:numId="11" w16cid:durableId="289172385">
    <w:abstractNumId w:val="10"/>
  </w:num>
  <w:num w:numId="12" w16cid:durableId="1470781324">
    <w:abstractNumId w:val="1"/>
  </w:num>
  <w:num w:numId="13" w16cid:durableId="1512908409">
    <w:abstractNumId w:val="5"/>
  </w:num>
  <w:num w:numId="14" w16cid:durableId="895897244">
    <w:abstractNumId w:val="16"/>
  </w:num>
  <w:num w:numId="15" w16cid:durableId="390349800">
    <w:abstractNumId w:val="12"/>
  </w:num>
  <w:num w:numId="16" w16cid:durableId="827985604">
    <w:abstractNumId w:val="11"/>
  </w:num>
  <w:num w:numId="17" w16cid:durableId="341274352">
    <w:abstractNumId w:val="0"/>
  </w:num>
  <w:num w:numId="18" w16cid:durableId="49769194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5524301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21E8"/>
    <w:rsid w:val="00046945"/>
    <w:rsid w:val="00061B2A"/>
    <w:rsid w:val="00082362"/>
    <w:rsid w:val="000A683E"/>
    <w:rsid w:val="000B19B9"/>
    <w:rsid w:val="000D0334"/>
    <w:rsid w:val="000D5DA7"/>
    <w:rsid w:val="000F6486"/>
    <w:rsid w:val="00116940"/>
    <w:rsid w:val="00125105"/>
    <w:rsid w:val="00127233"/>
    <w:rsid w:val="00154D79"/>
    <w:rsid w:val="0015699B"/>
    <w:rsid w:val="00190BF6"/>
    <w:rsid w:val="001A33BF"/>
    <w:rsid w:val="001E4177"/>
    <w:rsid w:val="001F0B24"/>
    <w:rsid w:val="001F7DC6"/>
    <w:rsid w:val="0022400B"/>
    <w:rsid w:val="002421BB"/>
    <w:rsid w:val="00251BC0"/>
    <w:rsid w:val="0025796E"/>
    <w:rsid w:val="002707A2"/>
    <w:rsid w:val="002951A0"/>
    <w:rsid w:val="002962BC"/>
    <w:rsid w:val="002A093D"/>
    <w:rsid w:val="002A0DD0"/>
    <w:rsid w:val="002A49AC"/>
    <w:rsid w:val="002A64FD"/>
    <w:rsid w:val="002C7A84"/>
    <w:rsid w:val="002D376C"/>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17DA"/>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35538"/>
    <w:rsid w:val="007430C3"/>
    <w:rsid w:val="0075235A"/>
    <w:rsid w:val="00756841"/>
    <w:rsid w:val="007649AB"/>
    <w:rsid w:val="00771D0C"/>
    <w:rsid w:val="007833AC"/>
    <w:rsid w:val="007B268C"/>
    <w:rsid w:val="007B7171"/>
    <w:rsid w:val="007C0C0F"/>
    <w:rsid w:val="007C3DC2"/>
    <w:rsid w:val="007E5497"/>
    <w:rsid w:val="007F69B7"/>
    <w:rsid w:val="00806F5F"/>
    <w:rsid w:val="00820278"/>
    <w:rsid w:val="008258C9"/>
    <w:rsid w:val="00844AE9"/>
    <w:rsid w:val="00867F95"/>
    <w:rsid w:val="008843B6"/>
    <w:rsid w:val="00891928"/>
    <w:rsid w:val="008A446D"/>
    <w:rsid w:val="008B25F1"/>
    <w:rsid w:val="008D180B"/>
    <w:rsid w:val="008F0EA7"/>
    <w:rsid w:val="008F28F3"/>
    <w:rsid w:val="00923EEF"/>
    <w:rsid w:val="009419F9"/>
    <w:rsid w:val="0095685E"/>
    <w:rsid w:val="00961B09"/>
    <w:rsid w:val="00965334"/>
    <w:rsid w:val="0097093E"/>
    <w:rsid w:val="00996332"/>
    <w:rsid w:val="009A0DFA"/>
    <w:rsid w:val="009A1C6F"/>
    <w:rsid w:val="009B2D26"/>
    <w:rsid w:val="009B65A5"/>
    <w:rsid w:val="009C71FA"/>
    <w:rsid w:val="009C72E7"/>
    <w:rsid w:val="009C7F7E"/>
    <w:rsid w:val="009D3058"/>
    <w:rsid w:val="009F3A13"/>
    <w:rsid w:val="009F5C01"/>
    <w:rsid w:val="00A122D3"/>
    <w:rsid w:val="00A14468"/>
    <w:rsid w:val="00A17F13"/>
    <w:rsid w:val="00A20739"/>
    <w:rsid w:val="00A23AF9"/>
    <w:rsid w:val="00A33C78"/>
    <w:rsid w:val="00A50FD9"/>
    <w:rsid w:val="00AB0ADB"/>
    <w:rsid w:val="00AB1F4F"/>
    <w:rsid w:val="00B00C0E"/>
    <w:rsid w:val="00B01B1A"/>
    <w:rsid w:val="00B0381D"/>
    <w:rsid w:val="00B44A47"/>
    <w:rsid w:val="00B71BBA"/>
    <w:rsid w:val="00B72CD3"/>
    <w:rsid w:val="00B72FFF"/>
    <w:rsid w:val="00B740A1"/>
    <w:rsid w:val="00BC3D36"/>
    <w:rsid w:val="00BD54A6"/>
    <w:rsid w:val="00BD6251"/>
    <w:rsid w:val="00BD7F72"/>
    <w:rsid w:val="00BF7425"/>
    <w:rsid w:val="00C04FB3"/>
    <w:rsid w:val="00C11D8B"/>
    <w:rsid w:val="00C15139"/>
    <w:rsid w:val="00C330EB"/>
    <w:rsid w:val="00C50D69"/>
    <w:rsid w:val="00C5365C"/>
    <w:rsid w:val="00C754BE"/>
    <w:rsid w:val="00C76B1C"/>
    <w:rsid w:val="00C925AC"/>
    <w:rsid w:val="00CB6357"/>
    <w:rsid w:val="00CC127E"/>
    <w:rsid w:val="00CC1B26"/>
    <w:rsid w:val="00D361FD"/>
    <w:rsid w:val="00D423A2"/>
    <w:rsid w:val="00D44265"/>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BD6251"/>
    <w:pPr>
      <w:spacing w:line="240" w:lineRule="exact"/>
    </w:pPr>
    <w:rPr>
      <w:vertAlign w:val="superscript"/>
    </w:rPr>
  </w:style>
  <w:style w:type="table" w:customStyle="1" w:styleId="Tablaconcuadrcula1">
    <w:name w:val="Tabla con cuadrícula1"/>
    <w:basedOn w:val="Tablanormal"/>
    <w:next w:val="Tablaconcuadrcula"/>
    <w:uiPriority w:val="39"/>
    <w:qFormat/>
    <w:rsid w:val="00BD62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BD625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62CACEA3-C1BC-46D2-AE62-D7004CE4BD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9d85dbaf-23eb-4e57-a637-93dcacc8b1a1"/>
    <ds:schemaRef ds:uri="http://purl.org/dc/terms/"/>
    <ds:schemaRef ds:uri="http://schemas.microsoft.com/office/2006/documentManagement/types"/>
    <ds:schemaRef ds:uri="http://purl.org/dc/elements/1.1/"/>
    <ds:schemaRef ds:uri="http://schemas.microsoft.com/office/infopath/2007/PartnerControls"/>
    <ds:schemaRef ds:uri="http://schemas.openxmlformats.org/package/2006/metadata/core-properties"/>
    <ds:schemaRef ds:uri="a6cb9e4b-f1d1-4245-83ec-6cad768d538a"/>
    <ds:schemaRef ds:uri="http://schemas.microsoft.com/office/2006/metadata/properties"/>
    <ds:schemaRef ds:uri="http://www.w3.org/XML/1998/namespace"/>
    <ds:schemaRef ds:uri="http://purl.org/dc/dcmitype/"/>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15</TotalTime>
  <Pages>17</Pages>
  <Words>5566</Words>
  <Characters>30726</Characters>
  <Application>Microsoft Office Word</Application>
  <DocSecurity>0</DocSecurity>
  <Lines>614</Lines>
  <Paragraphs>129</Paragraphs>
  <ScaleCrop>false</ScaleCrop>
  <Company/>
  <LinksUpToDate>false</LinksUpToDate>
  <CharactersWithSpaces>36163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2026-01-06T15:16:00Z</dcterms:created>
  <dcterms:modified xsi:type="dcterms:W3CDTF">2026-01-06T15:16:00Z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