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137FB9" w14:textId="77777777" w:rsidR="000B3BC8" w:rsidRPr="00E27131" w:rsidRDefault="000B3BC8" w:rsidP="000B3BC8">
      <w:pPr>
        <w:spacing w:after="0" w:line="240" w:lineRule="auto"/>
        <w:rPr>
          <w:rFonts w:ascii="Verdana" w:eastAsia="Calibri" w:hAnsi="Verdana" w:cs="Arial"/>
          <w:b/>
          <w:bCs/>
          <w:lang w:val="es-ES" w:eastAsia="es-ES"/>
        </w:rPr>
      </w:pPr>
      <w:bookmarkStart w:id="0" w:name="_Hlk181166130"/>
      <w:bookmarkStart w:id="1" w:name="_Hlk209714638"/>
      <w:r w:rsidRPr="00E27131">
        <w:rPr>
          <w:rFonts w:ascii="Verdana" w:eastAsia="Calibri" w:hAnsi="Verdana" w:cs="Arial"/>
          <w:b/>
          <w:bCs/>
          <w:lang w:val="es-ES" w:eastAsia="es-ES"/>
        </w:rPr>
        <w:t xml:space="preserve">ANÁLISIS DEL SECTOR – Definición </w:t>
      </w:r>
    </w:p>
    <w:p w14:paraId="3F17A629" w14:textId="77777777" w:rsidR="000B3BC8" w:rsidRDefault="000B3BC8" w:rsidP="000B3BC8">
      <w:pPr>
        <w:spacing w:after="0" w:line="240" w:lineRule="auto"/>
        <w:rPr>
          <w:rFonts w:ascii="Verdana" w:eastAsia="Calibri" w:hAnsi="Verdana" w:cs="Arial"/>
          <w:lang w:val="es-ES" w:eastAsia="es-ES"/>
        </w:rPr>
      </w:pPr>
    </w:p>
    <w:p w14:paraId="094E5774" w14:textId="77777777" w:rsidR="000B3BC8" w:rsidRPr="002D10EB" w:rsidRDefault="000B3BC8" w:rsidP="000B3BC8">
      <w:pPr>
        <w:spacing w:after="120" w:line="276" w:lineRule="auto"/>
        <w:jc w:val="both"/>
        <w:rPr>
          <w:rFonts w:ascii="Verdana" w:eastAsia="Calibri" w:hAnsi="Verdana" w:cs="Arial"/>
          <w:bCs/>
          <w:sz w:val="20"/>
          <w:szCs w:val="20"/>
          <w:lang w:val="es-ES_tradnl"/>
        </w:rPr>
      </w:pPr>
      <w:r w:rsidRPr="002D10EB">
        <w:rPr>
          <w:rFonts w:ascii="Verdana" w:eastAsia="Calibri" w:hAnsi="Verdana" w:cs="Arial"/>
          <w:sz w:val="20"/>
          <w:szCs w:val="20"/>
          <w:lang w:val="es-ES"/>
        </w:rPr>
        <w:t>E</w:t>
      </w:r>
      <w:r w:rsidRPr="002D10EB">
        <w:rPr>
          <w:rFonts w:ascii="Verdana" w:eastAsia="Calibri" w:hAnsi="Verdana" w:cs="Arial"/>
          <w:bCs/>
          <w:sz w:val="20"/>
          <w:szCs w:val="20"/>
          <w:lang w:val="es-ES_tradnl"/>
        </w:rPr>
        <w:t>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1D7DA77A" w14:textId="77777777" w:rsidR="000B3BC8" w:rsidRPr="002D10EB" w:rsidRDefault="000B3BC8" w:rsidP="000B3BC8">
      <w:pPr>
        <w:spacing w:after="120" w:line="276" w:lineRule="auto"/>
        <w:jc w:val="both"/>
        <w:rPr>
          <w:rFonts w:ascii="Verdana" w:eastAsia="Calibri" w:hAnsi="Verdana" w:cs="Arial"/>
          <w:sz w:val="20"/>
          <w:szCs w:val="20"/>
          <w:lang w:val="es-ES"/>
        </w:rPr>
      </w:pPr>
      <w:r w:rsidRPr="002D10EB">
        <w:rPr>
          <w:rFonts w:ascii="Verdana" w:eastAsia="Calibri" w:hAnsi="Verdana" w:cs="Arial"/>
          <w:sz w:val="20"/>
          <w:szCs w:val="20"/>
          <w:lang w:val="es-ES"/>
        </w:rPr>
        <w:t>[…]</w:t>
      </w:r>
    </w:p>
    <w:p w14:paraId="788EBED8" w14:textId="77777777" w:rsidR="000B3BC8" w:rsidRPr="002D10EB" w:rsidRDefault="000B3BC8" w:rsidP="000B3BC8">
      <w:pPr>
        <w:spacing w:after="120" w:line="276" w:lineRule="auto"/>
        <w:jc w:val="both"/>
        <w:rPr>
          <w:rFonts w:ascii="Verdana" w:eastAsia="Calibri" w:hAnsi="Verdana" w:cs="Arial"/>
          <w:bCs/>
          <w:sz w:val="20"/>
          <w:szCs w:val="20"/>
          <w:lang w:val="es-ES_tradnl"/>
        </w:rPr>
      </w:pPr>
      <w:r w:rsidRPr="002D10EB">
        <w:rPr>
          <w:rFonts w:ascii="Verdana" w:eastAsia="Calibri" w:hAnsi="Verdana" w:cs="Arial"/>
          <w:bCs/>
          <w:sz w:val="20"/>
          <w:szCs w:val="20"/>
          <w:lang w:val="es-ES_tradnl"/>
        </w:rPr>
        <w:t xml:space="preserve">Si bien la normativa en materia de contratación estatal establece la obligatoriedad de realizar el análisis necesario para conocer el sector relativo al objeto del proceso de contratación, no determinan un procedimiento específico para efectuar dicho análisis. Por ello, las entidades </w:t>
      </w:r>
      <w:r w:rsidRPr="002D10EB">
        <w:rPr>
          <w:rFonts w:ascii="Verdana" w:hAnsi="Verdana" w:cs="Arial"/>
          <w:sz w:val="20"/>
          <w:szCs w:val="20"/>
          <w:lang w:eastAsia="es-CO"/>
        </w:rPr>
        <w:t xml:space="preserve">son autónomas para estructurarlo, para lo cual deberán cumplir lo dispuesto en el artículo </w:t>
      </w:r>
      <w:r w:rsidRPr="002D10EB">
        <w:rPr>
          <w:rFonts w:ascii="Verdana" w:eastAsia="Calibri" w:hAnsi="Verdana" w:cs="Arial"/>
          <w:bCs/>
          <w:sz w:val="20"/>
          <w:szCs w:val="20"/>
          <w:lang w:val="es-ES_tradnl"/>
        </w:rPr>
        <w:t xml:space="preserve">2.2.1.1.1.6.1 del Decreto 1082 de 2015 y realizar un análisis integral de planeación que </w:t>
      </w:r>
      <w:r w:rsidRPr="002D10EB">
        <w:rPr>
          <w:rFonts w:ascii="Verdana" w:hAnsi="Verdana" w:cs="Arial"/>
          <w:sz w:val="20"/>
          <w:szCs w:val="20"/>
        </w:rPr>
        <w:t xml:space="preserve">sirva de sustento a la decisión de </w:t>
      </w:r>
      <w:r w:rsidRPr="002D10EB">
        <w:rPr>
          <w:rFonts w:ascii="Verdana" w:hAnsi="Verdana" w:cs="Arial"/>
          <w:bCs/>
          <w:sz w:val="20"/>
          <w:szCs w:val="20"/>
          <w:lang w:val="es-ES_tradnl"/>
        </w:rPr>
        <w:t>realizar un proceso de contratación.</w:t>
      </w:r>
    </w:p>
    <w:p w14:paraId="173C6845" w14:textId="77777777" w:rsidR="000B3BC8" w:rsidRPr="00E27131" w:rsidRDefault="000B3BC8" w:rsidP="000B3BC8">
      <w:pPr>
        <w:spacing w:after="0" w:line="240" w:lineRule="auto"/>
        <w:rPr>
          <w:rFonts w:ascii="Verdana" w:eastAsia="Calibri" w:hAnsi="Verdana" w:cs="Arial"/>
          <w:b/>
          <w:bCs/>
          <w:lang w:val="es-ES" w:eastAsia="es-ES"/>
        </w:rPr>
      </w:pPr>
    </w:p>
    <w:p w14:paraId="0378E607" w14:textId="77777777" w:rsidR="000B3BC8" w:rsidRPr="00E27131" w:rsidRDefault="000B3BC8" w:rsidP="000B3BC8">
      <w:pPr>
        <w:spacing w:after="0" w:line="240" w:lineRule="auto"/>
        <w:rPr>
          <w:rFonts w:ascii="Verdana" w:eastAsia="Calibri" w:hAnsi="Verdana" w:cs="Arial"/>
          <w:b/>
          <w:bCs/>
          <w:lang w:val="es-ES" w:eastAsia="es-ES"/>
        </w:rPr>
      </w:pPr>
      <w:r w:rsidRPr="00E27131">
        <w:rPr>
          <w:rFonts w:ascii="Verdana" w:eastAsia="Calibri" w:hAnsi="Verdana" w:cs="Arial"/>
          <w:b/>
          <w:bCs/>
          <w:lang w:val="es-ES" w:eastAsia="es-ES"/>
        </w:rPr>
        <w:t xml:space="preserve">ESTUDIOS DE MERCADO – Finalidad - Recomendaciones – Colombia compra eficiente – Guía de elaboración de estudios del sector </w:t>
      </w:r>
    </w:p>
    <w:p w14:paraId="501D4E8B" w14:textId="77777777" w:rsidR="000B3BC8" w:rsidRDefault="000B3BC8" w:rsidP="000B3BC8">
      <w:pPr>
        <w:spacing w:after="0" w:line="240" w:lineRule="auto"/>
        <w:rPr>
          <w:rFonts w:ascii="Verdana" w:eastAsia="Calibri" w:hAnsi="Verdana" w:cs="Arial"/>
          <w:lang w:val="es-ES" w:eastAsia="es-ES"/>
        </w:rPr>
      </w:pPr>
    </w:p>
    <w:p w14:paraId="0F5B0696" w14:textId="77777777" w:rsidR="000B3BC8" w:rsidRPr="002D10EB" w:rsidRDefault="000B3BC8" w:rsidP="000B3BC8">
      <w:pPr>
        <w:spacing w:after="0" w:line="240" w:lineRule="auto"/>
        <w:jc w:val="both"/>
        <w:rPr>
          <w:rFonts w:ascii="Verdana" w:eastAsia="Calibri" w:hAnsi="Verdana" w:cs="Arial"/>
          <w:sz w:val="20"/>
          <w:szCs w:val="20"/>
          <w:lang w:val="es-ES" w:eastAsia="es-ES"/>
        </w:rPr>
      </w:pPr>
      <w:r w:rsidRPr="002D10EB">
        <w:rPr>
          <w:rFonts w:ascii="Verdana" w:eastAsia="Calibri" w:hAnsi="Verdana" w:cs="Arial"/>
          <w:color w:val="000000" w:themeColor="text1"/>
          <w:sz w:val="20"/>
          <w:szCs w:val="20"/>
          <w:lang w:val="es-ES"/>
        </w:rPr>
        <w:t xml:space="preserve">Como se observa, la “Guía de Elaboración de Estudios del Sector” recomienda como mecanismo para la elaboración de </w:t>
      </w:r>
      <w:r w:rsidRPr="002D10EB">
        <w:rPr>
          <w:rFonts w:ascii="Verdana" w:eastAsia="Calibri" w:hAnsi="Verdana" w:cs="Arial"/>
          <w:i/>
          <w:iCs/>
          <w:color w:val="000000" w:themeColor="text1"/>
          <w:sz w:val="20"/>
          <w:szCs w:val="20"/>
          <w:lang w:val="es-ES"/>
        </w:rPr>
        <w:t>estudios del mercado</w:t>
      </w:r>
      <w:r w:rsidRPr="002D10EB">
        <w:rPr>
          <w:rFonts w:ascii="Verdana" w:eastAsia="Calibri" w:hAnsi="Verdana" w:cs="Arial"/>
          <w:color w:val="000000" w:themeColor="text1"/>
          <w:sz w:val="20"/>
          <w:szCs w:val="20"/>
          <w:lang w:val="es-ES"/>
        </w:rPr>
        <w:t xml:space="preserve">, que sirvan para entender la dinámica de los precios y establecer el presupuesto oficial de la contratación, </w:t>
      </w:r>
      <w:r w:rsidRPr="002D10EB">
        <w:rPr>
          <w:rFonts w:ascii="Verdana" w:eastAsia="Calibri" w:hAnsi="Verdana" w:cs="Arial"/>
          <w:i/>
          <w:color w:val="000000" w:themeColor="text1"/>
          <w:sz w:val="20"/>
          <w:szCs w:val="20"/>
          <w:lang w:val="es-ES"/>
        </w:rPr>
        <w:t>requerir a los potenciales proveedores</w:t>
      </w:r>
      <w:r w:rsidRPr="002D10EB">
        <w:rPr>
          <w:rFonts w:ascii="Verdana" w:eastAsia="Calibri" w:hAnsi="Verdana" w:cs="Arial"/>
          <w:color w:val="000000" w:themeColor="text1"/>
          <w:sz w:val="20"/>
          <w:szCs w:val="20"/>
          <w:lang w:val="es-ES"/>
        </w:rPr>
        <w:t xml:space="preserve"> a fin de que remitan la información necesaria para determinar diversos aspectos de los bienes o servicios a contratar, entre ellos su valor, especificaciones técnicas, el plazo, entre otra información relevante. Por lo que, en principio la recomendación es elaborar los estudios de mercado sobre la base de un número plural de cotizaciones para poder responder cuáles son las dinámicas de precios del sector y poder establecer el Presupuesto Oficial del Proceso de Contratación.</w:t>
      </w:r>
    </w:p>
    <w:p w14:paraId="32186509" w14:textId="77777777" w:rsidR="000B3BC8" w:rsidRDefault="000B3BC8" w:rsidP="000B3BC8">
      <w:pPr>
        <w:spacing w:after="0"/>
        <w:rPr>
          <w:rFonts w:ascii="Verdana" w:hAnsi="Verdana"/>
        </w:rPr>
      </w:pPr>
    </w:p>
    <w:p w14:paraId="6CE8DB1D" w14:textId="77777777" w:rsidR="000B3BC8" w:rsidRDefault="000B3BC8" w:rsidP="000B3BC8">
      <w:pPr>
        <w:spacing w:after="0"/>
        <w:rPr>
          <w:rFonts w:ascii="Verdana" w:hAnsi="Verdana"/>
        </w:rPr>
      </w:pPr>
    </w:p>
    <w:p w14:paraId="3C2AE75D" w14:textId="77777777" w:rsidR="000B3BC8" w:rsidRDefault="000B3BC8" w:rsidP="000B3BC8">
      <w:pPr>
        <w:spacing w:after="0"/>
        <w:rPr>
          <w:rFonts w:ascii="Verdana" w:hAnsi="Verdana"/>
        </w:rPr>
      </w:pPr>
    </w:p>
    <w:p w14:paraId="54FAB021" w14:textId="77777777" w:rsidR="000B3BC8" w:rsidRDefault="000B3BC8" w:rsidP="000B3BC8">
      <w:pPr>
        <w:spacing w:after="0" w:line="240" w:lineRule="auto"/>
        <w:rPr>
          <w:rFonts w:ascii="Verdana" w:hAnsi="Verdana"/>
        </w:rPr>
      </w:pPr>
    </w:p>
    <w:p w14:paraId="3043B78F" w14:textId="77777777" w:rsidR="000B3BC8" w:rsidRDefault="000B3BC8" w:rsidP="000B3BC8">
      <w:pPr>
        <w:spacing w:after="0" w:line="240" w:lineRule="auto"/>
        <w:rPr>
          <w:rFonts w:ascii="Verdana" w:hAnsi="Verdana"/>
        </w:rPr>
      </w:pPr>
    </w:p>
    <w:p w14:paraId="30E5AD0F" w14:textId="77777777" w:rsidR="000B3BC8" w:rsidRDefault="000B3BC8" w:rsidP="000B3BC8">
      <w:pPr>
        <w:spacing w:after="0" w:line="240" w:lineRule="auto"/>
        <w:rPr>
          <w:rFonts w:ascii="Verdana" w:hAnsi="Verdana"/>
        </w:rPr>
      </w:pPr>
    </w:p>
    <w:p w14:paraId="762CF68E" w14:textId="77777777" w:rsidR="000B3BC8" w:rsidRDefault="000B3BC8" w:rsidP="000B3BC8">
      <w:pPr>
        <w:spacing w:after="0" w:line="240" w:lineRule="auto"/>
        <w:rPr>
          <w:rFonts w:ascii="Verdana" w:hAnsi="Verdana"/>
        </w:rPr>
      </w:pPr>
    </w:p>
    <w:p w14:paraId="35FBAB2F" w14:textId="77777777" w:rsidR="000B3BC8" w:rsidRDefault="000B3BC8" w:rsidP="000B3BC8">
      <w:pPr>
        <w:spacing w:after="0" w:line="240" w:lineRule="auto"/>
        <w:rPr>
          <w:rFonts w:ascii="Verdana" w:hAnsi="Verdana"/>
        </w:rPr>
      </w:pPr>
    </w:p>
    <w:p w14:paraId="12E2FED2" w14:textId="77777777" w:rsidR="000B3BC8" w:rsidRDefault="000B3BC8" w:rsidP="000B3BC8">
      <w:pPr>
        <w:spacing w:after="0" w:line="240" w:lineRule="auto"/>
        <w:rPr>
          <w:rFonts w:ascii="Verdana" w:hAnsi="Verdana"/>
        </w:rPr>
      </w:pPr>
    </w:p>
    <w:p w14:paraId="2956827A" w14:textId="77777777" w:rsidR="000B3BC8" w:rsidRDefault="000B3BC8" w:rsidP="000B3BC8">
      <w:pPr>
        <w:spacing w:after="0" w:line="240" w:lineRule="auto"/>
        <w:rPr>
          <w:rFonts w:ascii="Verdana" w:hAnsi="Verdana"/>
        </w:rPr>
      </w:pPr>
    </w:p>
    <w:p w14:paraId="76D84108" w14:textId="77777777" w:rsidR="000B3BC8" w:rsidRDefault="000B3BC8" w:rsidP="000B3BC8">
      <w:pPr>
        <w:spacing w:after="0" w:line="240" w:lineRule="auto"/>
        <w:rPr>
          <w:rFonts w:ascii="Verdana" w:hAnsi="Verdana"/>
        </w:rPr>
      </w:pPr>
    </w:p>
    <w:p w14:paraId="6143D161" w14:textId="77777777" w:rsidR="000B3BC8" w:rsidRDefault="000B3BC8" w:rsidP="000B3BC8">
      <w:pPr>
        <w:spacing w:after="0" w:line="240" w:lineRule="auto"/>
        <w:rPr>
          <w:rFonts w:ascii="Verdana" w:hAnsi="Verdana"/>
        </w:rPr>
      </w:pPr>
    </w:p>
    <w:p w14:paraId="01C471A6" w14:textId="77777777" w:rsidR="000B3BC8" w:rsidRDefault="000B3BC8" w:rsidP="000B3BC8">
      <w:pPr>
        <w:spacing w:after="0" w:line="240" w:lineRule="auto"/>
        <w:rPr>
          <w:rFonts w:ascii="Verdana" w:hAnsi="Verdana"/>
        </w:rPr>
      </w:pPr>
    </w:p>
    <w:p w14:paraId="463B7F99" w14:textId="77777777" w:rsidR="000B3BC8" w:rsidRDefault="000B3BC8" w:rsidP="000B3BC8">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Pr>
          <w:rFonts w:ascii="Verdana" w:hAnsi="Verdana"/>
        </w:rPr>
        <w:t>29 de diciembre de 2025.</w:t>
      </w:r>
    </w:p>
    <w:bookmarkEnd w:id="0"/>
    <w:p w14:paraId="739ADDD5" w14:textId="77777777" w:rsidR="000B3BC8" w:rsidRDefault="000B3BC8" w:rsidP="000B3BC8">
      <w:pPr>
        <w:spacing w:after="0" w:line="240" w:lineRule="auto"/>
        <w:rPr>
          <w:rFonts w:ascii="Verdana" w:hAnsi="Verdana"/>
        </w:rPr>
      </w:pPr>
    </w:p>
    <w:p w14:paraId="582DA502" w14:textId="7C6DEC0F" w:rsidR="00AF409D" w:rsidRDefault="00AF409D" w:rsidP="00AF409D">
      <w:pPr>
        <w:spacing w:after="0" w:line="240" w:lineRule="auto"/>
        <w:jc w:val="right"/>
        <w:rPr>
          <w:rFonts w:ascii="Verdana" w:hAnsi="Verdana"/>
        </w:rPr>
      </w:pPr>
      <w:r>
        <w:rPr>
          <w:rFonts w:ascii="Verdana" w:hAnsi="Verdana"/>
          <w:noProof/>
        </w:rPr>
        <w:drawing>
          <wp:anchor distT="0" distB="0" distL="114300" distR="114300" simplePos="0" relativeHeight="251658240" behindDoc="0" locked="0" layoutInCell="1" allowOverlap="1" wp14:anchorId="761642B6" wp14:editId="3CA9FA2B">
            <wp:simplePos x="0" y="0"/>
            <wp:positionH relativeFrom="column">
              <wp:posOffset>2903468</wp:posOffset>
            </wp:positionH>
            <wp:positionV relativeFrom="paragraph">
              <wp:posOffset>-1877</wp:posOffset>
            </wp:positionV>
            <wp:extent cx="2695575" cy="847725"/>
            <wp:effectExtent l="0" t="0" r="9525" b="9525"/>
            <wp:wrapSquare wrapText="bothSides"/>
            <wp:docPr id="18074435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95575" cy="847725"/>
                    </a:xfrm>
                    <a:prstGeom prst="rect">
                      <a:avLst/>
                    </a:prstGeom>
                    <a:noFill/>
                    <a:ln>
                      <a:noFill/>
                    </a:ln>
                  </pic:spPr>
                </pic:pic>
              </a:graphicData>
            </a:graphic>
          </wp:anchor>
        </w:drawing>
      </w:r>
    </w:p>
    <w:p w14:paraId="173D18A3" w14:textId="77777777" w:rsidR="000B3BC8" w:rsidRDefault="000B3BC8" w:rsidP="000B3BC8">
      <w:pPr>
        <w:spacing w:after="0" w:line="240" w:lineRule="auto"/>
        <w:jc w:val="right"/>
        <w:rPr>
          <w:rFonts w:ascii="Verdana" w:hAnsi="Verdana"/>
        </w:rPr>
      </w:pPr>
    </w:p>
    <w:p w14:paraId="1DE6DA31" w14:textId="77777777" w:rsidR="000B3BC8" w:rsidRPr="00631045" w:rsidRDefault="000B3BC8" w:rsidP="000B3BC8">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3C4D4D63" w14:textId="77777777" w:rsidR="000B3BC8" w:rsidRDefault="000B3BC8" w:rsidP="000B3BC8">
      <w:pPr>
        <w:spacing w:after="0" w:line="240" w:lineRule="auto"/>
        <w:rPr>
          <w:rFonts w:ascii="Verdana" w:eastAsia="Calibri" w:hAnsi="Verdana" w:cs="Arial"/>
          <w:b/>
          <w:bCs/>
          <w:lang w:eastAsia="es-ES"/>
        </w:rPr>
      </w:pPr>
      <w:r w:rsidRPr="00E56D8F">
        <w:rPr>
          <w:rFonts w:ascii="Verdana" w:eastAsia="Calibri" w:hAnsi="Verdana" w:cs="Arial"/>
          <w:b/>
          <w:bCs/>
          <w:lang w:eastAsia="es-ES"/>
        </w:rPr>
        <w:t>ERLEY FLÓREZ BARRIOS</w:t>
      </w:r>
    </w:p>
    <w:p w14:paraId="7C9EA2A8" w14:textId="77777777" w:rsidR="000B3BC8" w:rsidRDefault="000B3BC8" w:rsidP="000B3BC8">
      <w:pPr>
        <w:spacing w:after="0" w:line="240" w:lineRule="auto"/>
        <w:rPr>
          <w:rFonts w:ascii="Verdana" w:eastAsia="Times New Roman" w:hAnsi="Verdana" w:cs="Calibri"/>
          <w:color w:val="1F4E78"/>
          <w:u w:val="single"/>
          <w:lang w:eastAsia="es-CO"/>
        </w:rPr>
      </w:pPr>
      <w:hyperlink r:id="rId12" w:history="1">
        <w:r w:rsidRPr="00606886">
          <w:rPr>
            <w:rStyle w:val="Hipervnculo"/>
            <w:rFonts w:ascii="Verdana" w:eastAsia="Times New Roman" w:hAnsi="Verdana" w:cs="Calibri"/>
            <w:lang w:eastAsia="es-CO"/>
          </w:rPr>
          <w:t>erleyflorez@gmail.com</w:t>
        </w:r>
      </w:hyperlink>
    </w:p>
    <w:p w14:paraId="6CD3031C" w14:textId="77777777" w:rsidR="000B3BC8" w:rsidRPr="00203F28" w:rsidRDefault="000B3BC8" w:rsidP="000B3BC8">
      <w:pPr>
        <w:spacing w:after="0" w:line="240" w:lineRule="auto"/>
        <w:rPr>
          <w:rFonts w:ascii="Verdana" w:eastAsia="Times New Roman" w:hAnsi="Verdana" w:cs="Calibri"/>
          <w:color w:val="1F4E78"/>
          <w:u w:val="single"/>
          <w:lang w:eastAsia="es-CO"/>
        </w:rPr>
      </w:pPr>
      <w:r>
        <w:rPr>
          <w:rFonts w:ascii="Verdana" w:hAnsi="Verdana"/>
        </w:rPr>
        <w:t>Bogotá D.C.</w:t>
      </w:r>
      <w:r w:rsidRPr="00ED46C7">
        <w:rPr>
          <w:rFonts w:ascii="Verdana" w:hAnsi="Verdana"/>
        </w:rPr>
        <w:t xml:space="preserve"> </w:t>
      </w:r>
    </w:p>
    <w:p w14:paraId="762B4194" w14:textId="77777777" w:rsidR="000B3BC8" w:rsidRPr="00FE3DEC" w:rsidRDefault="000B3BC8" w:rsidP="000B3BC8">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0B3BC8" w:rsidRPr="00593A5F" w14:paraId="206EF1AA" w14:textId="77777777" w:rsidTr="007502D3">
        <w:trPr>
          <w:trHeight w:val="273"/>
        </w:trPr>
        <w:tc>
          <w:tcPr>
            <w:tcW w:w="2295" w:type="dxa"/>
          </w:tcPr>
          <w:p w14:paraId="747FC712" w14:textId="77777777" w:rsidR="000B3BC8" w:rsidRPr="00E5644F" w:rsidRDefault="000B3BC8" w:rsidP="007502D3">
            <w:pPr>
              <w:jc w:val="both"/>
              <w:rPr>
                <w:rFonts w:ascii="Verdana" w:eastAsia="Calibri" w:hAnsi="Verdana" w:cs="Arial"/>
                <w:b/>
                <w:bCs/>
                <w:color w:val="7030A0"/>
                <w:lang w:val="es-ES_tradnl" w:eastAsia="es-ES_tradnl"/>
              </w:rPr>
            </w:pPr>
          </w:p>
        </w:tc>
        <w:tc>
          <w:tcPr>
            <w:tcW w:w="6481" w:type="dxa"/>
            <w:gridSpan w:val="2"/>
          </w:tcPr>
          <w:p w14:paraId="6504E490" w14:textId="77777777" w:rsidR="000B3BC8" w:rsidRPr="001773DA" w:rsidRDefault="000B3BC8" w:rsidP="007502D3">
            <w:pPr>
              <w:jc w:val="both"/>
              <w:rPr>
                <w:rFonts w:ascii="Verdana" w:eastAsia="Calibri" w:hAnsi="Verdana" w:cs="Arial"/>
                <w:b/>
                <w:bCs/>
                <w:lang w:val="es-ES" w:eastAsia="es-ES"/>
              </w:rPr>
            </w:pPr>
            <w:r w:rsidRPr="001773DA">
              <w:rPr>
                <w:rFonts w:ascii="Verdana" w:eastAsia="Calibri" w:hAnsi="Verdana" w:cs="Arial"/>
                <w:b/>
                <w:bCs/>
                <w:lang w:val="es-ES" w:eastAsia="es-ES"/>
              </w:rPr>
              <w:t xml:space="preserve">Concepto C- </w:t>
            </w:r>
            <w:r>
              <w:rPr>
                <w:rFonts w:ascii="Verdana" w:eastAsia="Calibri" w:hAnsi="Verdana" w:cs="Arial"/>
                <w:b/>
                <w:bCs/>
                <w:lang w:val="es-ES" w:eastAsia="es-ES"/>
              </w:rPr>
              <w:t xml:space="preserve">1738 </w:t>
            </w:r>
            <w:r w:rsidRPr="001773DA">
              <w:rPr>
                <w:rFonts w:ascii="Verdana" w:eastAsia="Calibri" w:hAnsi="Verdana" w:cs="Arial"/>
                <w:b/>
                <w:bCs/>
                <w:lang w:val="es-ES" w:eastAsia="es-ES"/>
              </w:rPr>
              <w:t>de 2025</w:t>
            </w:r>
          </w:p>
          <w:p w14:paraId="07C15F3A" w14:textId="77777777" w:rsidR="000B3BC8" w:rsidRPr="001773DA" w:rsidRDefault="000B3BC8" w:rsidP="007502D3">
            <w:pPr>
              <w:jc w:val="both"/>
              <w:rPr>
                <w:rFonts w:ascii="Verdana" w:eastAsia="Calibri" w:hAnsi="Verdana" w:cs="Arial"/>
                <w:b/>
                <w:bCs/>
                <w:color w:val="7030A0"/>
                <w:lang w:val="es-ES" w:eastAsia="es-ES"/>
              </w:rPr>
            </w:pPr>
          </w:p>
        </w:tc>
      </w:tr>
      <w:tr w:rsidR="000B3BC8" w:rsidRPr="00280D79" w14:paraId="105A3ED0" w14:textId="77777777" w:rsidTr="007502D3">
        <w:trPr>
          <w:trHeight w:val="1583"/>
        </w:trPr>
        <w:tc>
          <w:tcPr>
            <w:tcW w:w="2295" w:type="dxa"/>
          </w:tcPr>
          <w:p w14:paraId="5B39C612" w14:textId="77777777" w:rsidR="000B3BC8" w:rsidRPr="00593A5F" w:rsidRDefault="000B3BC8" w:rsidP="007502D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42DF6CB5" w14:textId="19F1B9F4" w:rsidR="000B3BC8" w:rsidRPr="006939EC" w:rsidRDefault="000B3BC8" w:rsidP="007502D3">
            <w:pPr>
              <w:jc w:val="both"/>
              <w:rPr>
                <w:rFonts w:ascii="Verdana" w:eastAsia="Calibri" w:hAnsi="Verdana" w:cs="Arial"/>
                <w:b/>
                <w:highlight w:val="yellow"/>
                <w:lang w:val="es-ES" w:eastAsia="es-ES"/>
              </w:rPr>
            </w:pPr>
            <w:r w:rsidRPr="005C3EF3">
              <w:rPr>
                <w:rFonts w:ascii="Verdana" w:eastAsia="Calibri" w:hAnsi="Verdana" w:cs="Arial"/>
                <w:lang w:val="es-ES" w:eastAsia="es-ES"/>
              </w:rPr>
              <w:t xml:space="preserve">ANÁLISIS DEL SECTOR – Definición / ESTUDIOS DE MERCADO – Finalidad </w:t>
            </w:r>
            <w:r w:rsidRPr="002D10EB">
              <w:rPr>
                <w:rFonts w:ascii="Verdana" w:eastAsia="Calibri" w:hAnsi="Verdana" w:cs="Arial"/>
                <w:b/>
                <w:bCs/>
                <w:lang w:val="es-ES" w:eastAsia="es-ES"/>
              </w:rPr>
              <w:t>–</w:t>
            </w:r>
            <w:r w:rsidRPr="005C3EF3">
              <w:rPr>
                <w:rFonts w:ascii="Verdana" w:eastAsia="Calibri" w:hAnsi="Verdana" w:cs="Arial"/>
                <w:lang w:val="es-ES" w:eastAsia="es-ES"/>
              </w:rPr>
              <w:t xml:space="preserve"> Recomendaciones – Colombia Compra Eficiente – Guía de elaboración de estudios del sector</w:t>
            </w:r>
          </w:p>
        </w:tc>
      </w:tr>
      <w:tr w:rsidR="000B3BC8" w:rsidRPr="00593A5F" w14:paraId="03C19083" w14:textId="77777777" w:rsidTr="007502D3">
        <w:trPr>
          <w:trHeight w:val="545"/>
        </w:trPr>
        <w:tc>
          <w:tcPr>
            <w:tcW w:w="2295" w:type="dxa"/>
          </w:tcPr>
          <w:p w14:paraId="712869FB" w14:textId="77777777" w:rsidR="000B3BC8" w:rsidRPr="006730E9" w:rsidRDefault="000B3BC8" w:rsidP="007502D3">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3676B9C5" w14:textId="77777777" w:rsidR="000B3BC8" w:rsidRPr="006730E9" w:rsidRDefault="000B3BC8" w:rsidP="007502D3">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E56D8F">
              <w:rPr>
                <w:rFonts w:ascii="Verdana" w:eastAsia="Calibri" w:hAnsi="Verdana" w:cs="Arial"/>
                <w:lang w:val="es-ES_tradnl" w:eastAsia="es-ES_tradnl"/>
              </w:rPr>
              <w:t>1_2025_11_24_013229</w:t>
            </w:r>
          </w:p>
        </w:tc>
      </w:tr>
      <w:tr w:rsidR="000B3BC8" w:rsidRPr="00DB23D2" w14:paraId="0EAD5838" w14:textId="77777777" w:rsidTr="007502D3">
        <w:trPr>
          <w:gridAfter w:val="1"/>
          <w:wAfter w:w="319" w:type="dxa"/>
          <w:trHeight w:val="242"/>
        </w:trPr>
        <w:tc>
          <w:tcPr>
            <w:tcW w:w="8457" w:type="dxa"/>
            <w:gridSpan w:val="2"/>
          </w:tcPr>
          <w:p w14:paraId="4035DB2B" w14:textId="77777777" w:rsidR="000B3BC8" w:rsidRDefault="000B3BC8" w:rsidP="003A510C">
            <w:pPr>
              <w:jc w:val="both"/>
              <w:rPr>
                <w:rFonts w:ascii="Verdana" w:eastAsia="Calibri" w:hAnsi="Verdana" w:cs="Arial"/>
                <w:lang w:val="es-ES_tradnl" w:eastAsia="es-ES"/>
              </w:rPr>
            </w:pPr>
          </w:p>
          <w:p w14:paraId="33D1B22E" w14:textId="77777777" w:rsidR="000B3BC8" w:rsidRPr="00DB23D2" w:rsidRDefault="000B3BC8" w:rsidP="00E41881">
            <w:pPr>
              <w:jc w:val="both"/>
              <w:rPr>
                <w:rFonts w:ascii="Verdana" w:eastAsia="Calibri" w:hAnsi="Verdana" w:cs="Arial"/>
                <w:lang w:val="es-ES_tradnl" w:eastAsia="es-ES"/>
              </w:rPr>
            </w:pPr>
          </w:p>
        </w:tc>
      </w:tr>
    </w:tbl>
    <w:p w14:paraId="2B1E1717" w14:textId="77777777" w:rsidR="000B3BC8" w:rsidRPr="006730E9" w:rsidRDefault="000B3BC8" w:rsidP="00E41881">
      <w:pPr>
        <w:spacing w:after="0" w:line="240"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señor </w:t>
      </w:r>
      <w:r w:rsidRPr="00E56D8F">
        <w:rPr>
          <w:rFonts w:ascii="Verdana" w:eastAsia="Calibri" w:hAnsi="Verdana" w:cs="Arial"/>
          <w:lang w:val="es-ES" w:eastAsia="es-ES"/>
        </w:rPr>
        <w:t>Flórez</w:t>
      </w:r>
      <w:r>
        <w:rPr>
          <w:rFonts w:ascii="Verdana" w:eastAsia="Calibri" w:hAnsi="Verdana" w:cs="Arial"/>
          <w:lang w:val="es-ES" w:eastAsia="es-ES"/>
        </w:rPr>
        <w:t>;</w:t>
      </w:r>
    </w:p>
    <w:p w14:paraId="3C68906B" w14:textId="77777777" w:rsidR="000B3BC8" w:rsidRDefault="000B3BC8" w:rsidP="000B3BC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2792227" w14:textId="77777777" w:rsidR="000B3BC8" w:rsidRPr="006730E9" w:rsidRDefault="000B3BC8" w:rsidP="000B3BC8">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24</w:t>
      </w:r>
      <w:r w:rsidRPr="00E72E05">
        <w:rPr>
          <w:rFonts w:ascii="Verdana" w:eastAsia="Calibri" w:hAnsi="Verdana" w:cs="Arial"/>
          <w:lang w:val="es-ES" w:eastAsia="es-ES"/>
        </w:rPr>
        <w:t xml:space="preserve"> de </w:t>
      </w:r>
      <w:r>
        <w:rPr>
          <w:rFonts w:ascii="Verdana" w:eastAsia="Calibri" w:hAnsi="Verdana" w:cs="Arial"/>
          <w:lang w:val="es-ES" w:eastAsia="es-ES"/>
        </w:rPr>
        <w:t>noviembre</w:t>
      </w:r>
      <w:r w:rsidRPr="00E72E05">
        <w:rPr>
          <w:rFonts w:ascii="Verdana" w:eastAsia="Calibri" w:hAnsi="Verdana" w:cs="Arial"/>
          <w:lang w:val="es-ES" w:eastAsia="es-ES"/>
        </w:rPr>
        <w:t xml:space="preserve"> de 2025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4C1FFE5F" w14:textId="77777777" w:rsidR="000B3BC8" w:rsidRPr="001773DA" w:rsidRDefault="000B3BC8" w:rsidP="000B3BC8">
      <w:pPr>
        <w:spacing w:after="0" w:line="276" w:lineRule="auto"/>
        <w:ind w:left="709" w:right="474"/>
        <w:jc w:val="both"/>
        <w:rPr>
          <w:rFonts w:ascii="Verdana" w:hAnsi="Verdana" w:cs="Arial"/>
          <w:i/>
          <w:iCs/>
          <w:sz w:val="20"/>
          <w:szCs w:val="20"/>
          <w:shd w:val="clear" w:color="auto" w:fill="FFFFFF"/>
        </w:rPr>
      </w:pPr>
      <w:bookmarkStart w:id="2" w:name="_Hlk95313578"/>
    </w:p>
    <w:bookmarkEnd w:id="2"/>
    <w:p w14:paraId="026E51F1" w14:textId="77777777" w:rsidR="000B3BC8" w:rsidRPr="001773DA" w:rsidRDefault="000B3BC8" w:rsidP="000B3BC8">
      <w:pPr>
        <w:tabs>
          <w:tab w:val="left" w:pos="142"/>
          <w:tab w:val="left" w:pos="567"/>
        </w:tabs>
        <w:spacing w:after="0" w:line="240" w:lineRule="auto"/>
        <w:ind w:left="709" w:right="709"/>
        <w:jc w:val="both"/>
        <w:rPr>
          <w:rFonts w:ascii="Verdana" w:eastAsia="Century Gothic" w:hAnsi="Verdana" w:cs="Century Gothic"/>
          <w:i/>
          <w:iCs/>
          <w:sz w:val="20"/>
          <w:szCs w:val="20"/>
        </w:rPr>
      </w:pPr>
      <w:r w:rsidRPr="001773DA">
        <w:rPr>
          <w:rFonts w:ascii="Verdana" w:eastAsia="Century Gothic" w:hAnsi="Verdana" w:cs="Century Gothic"/>
          <w:i/>
          <w:iCs/>
          <w:sz w:val="20"/>
          <w:szCs w:val="20"/>
        </w:rPr>
        <w:t xml:space="preserve">“(…) </w:t>
      </w:r>
    </w:p>
    <w:p w14:paraId="5D4A2C58" w14:textId="77777777" w:rsidR="000B3BC8" w:rsidRDefault="000B3BC8" w:rsidP="000B3BC8">
      <w:pPr>
        <w:tabs>
          <w:tab w:val="left" w:pos="142"/>
          <w:tab w:val="left" w:pos="567"/>
        </w:tabs>
        <w:spacing w:after="0" w:line="240" w:lineRule="auto"/>
        <w:ind w:left="709" w:right="709"/>
        <w:jc w:val="both"/>
        <w:rPr>
          <w:rFonts w:ascii="Verdana" w:eastAsia="Century Gothic" w:hAnsi="Verdana" w:cs="Century Gothic"/>
          <w:i/>
          <w:iCs/>
          <w:sz w:val="20"/>
          <w:szCs w:val="20"/>
        </w:rPr>
      </w:pPr>
    </w:p>
    <w:p w14:paraId="019402BE" w14:textId="77777777" w:rsidR="000B3BC8" w:rsidRDefault="000B3BC8" w:rsidP="000B3BC8">
      <w:pPr>
        <w:tabs>
          <w:tab w:val="left" w:pos="142"/>
          <w:tab w:val="left" w:pos="567"/>
        </w:tabs>
        <w:spacing w:after="0" w:line="240" w:lineRule="auto"/>
        <w:ind w:left="709" w:right="709"/>
        <w:jc w:val="both"/>
        <w:rPr>
          <w:rFonts w:ascii="Verdana" w:eastAsia="Century Gothic" w:hAnsi="Verdana" w:cs="Century Gothic"/>
          <w:i/>
          <w:iCs/>
          <w:sz w:val="20"/>
          <w:szCs w:val="20"/>
        </w:rPr>
      </w:pPr>
      <w:r w:rsidRPr="00E56D8F">
        <w:rPr>
          <w:rFonts w:ascii="Verdana" w:eastAsia="Century Gothic" w:hAnsi="Verdana" w:cs="Century Gothic"/>
          <w:i/>
          <w:iCs/>
          <w:sz w:val="20"/>
          <w:szCs w:val="20"/>
        </w:rPr>
        <w:t xml:space="preserve">Para la ejecución de un proyecto se necesita un artículo o producto especializado que no tiene fabricantes ni vendedores nacionales pero que se consigue en plataformas de comercio electrónico como Amazon, Mercado Libre, </w:t>
      </w:r>
      <w:proofErr w:type="spellStart"/>
      <w:r w:rsidRPr="00E56D8F">
        <w:rPr>
          <w:rFonts w:ascii="Verdana" w:eastAsia="Century Gothic" w:hAnsi="Verdana" w:cs="Century Gothic"/>
          <w:i/>
          <w:iCs/>
          <w:sz w:val="20"/>
          <w:szCs w:val="20"/>
        </w:rPr>
        <w:t>Ebay</w:t>
      </w:r>
      <w:proofErr w:type="spellEnd"/>
      <w:r w:rsidRPr="00E56D8F">
        <w:rPr>
          <w:rFonts w:ascii="Verdana" w:eastAsia="Century Gothic" w:hAnsi="Verdana" w:cs="Century Gothic"/>
          <w:i/>
          <w:iCs/>
          <w:sz w:val="20"/>
          <w:szCs w:val="20"/>
        </w:rPr>
        <w:t xml:space="preserve">, </w:t>
      </w:r>
      <w:proofErr w:type="spellStart"/>
      <w:r w:rsidRPr="00E56D8F">
        <w:rPr>
          <w:rFonts w:ascii="Verdana" w:eastAsia="Century Gothic" w:hAnsi="Verdana" w:cs="Century Gothic"/>
          <w:i/>
          <w:iCs/>
          <w:sz w:val="20"/>
          <w:szCs w:val="20"/>
        </w:rPr>
        <w:t>etc</w:t>
      </w:r>
      <w:proofErr w:type="spellEnd"/>
      <w:r w:rsidRPr="00E56D8F">
        <w:rPr>
          <w:rFonts w:ascii="Verdana" w:eastAsia="Century Gothic" w:hAnsi="Verdana" w:cs="Century Gothic"/>
          <w:i/>
          <w:iCs/>
          <w:sz w:val="20"/>
          <w:szCs w:val="20"/>
        </w:rPr>
        <w:t xml:space="preserve">, </w:t>
      </w:r>
    </w:p>
    <w:p w14:paraId="2639E42E" w14:textId="77777777" w:rsidR="000B3BC8" w:rsidRPr="00E56D8F" w:rsidRDefault="000B3BC8" w:rsidP="000B3BC8">
      <w:pPr>
        <w:tabs>
          <w:tab w:val="left" w:pos="142"/>
          <w:tab w:val="left" w:pos="567"/>
        </w:tabs>
        <w:spacing w:after="0" w:line="240" w:lineRule="auto"/>
        <w:ind w:left="709" w:right="709"/>
        <w:jc w:val="both"/>
        <w:rPr>
          <w:rFonts w:ascii="Verdana" w:eastAsia="Century Gothic" w:hAnsi="Verdana" w:cs="Century Gothic"/>
          <w:i/>
          <w:iCs/>
          <w:sz w:val="20"/>
          <w:szCs w:val="20"/>
        </w:rPr>
      </w:pPr>
    </w:p>
    <w:p w14:paraId="15F3722F" w14:textId="77777777" w:rsidR="000B3BC8" w:rsidRDefault="000B3BC8" w:rsidP="000B3BC8">
      <w:pPr>
        <w:tabs>
          <w:tab w:val="left" w:pos="142"/>
          <w:tab w:val="left" w:pos="567"/>
        </w:tabs>
        <w:spacing w:after="0" w:line="240" w:lineRule="auto"/>
        <w:ind w:left="709" w:right="709"/>
        <w:jc w:val="both"/>
        <w:rPr>
          <w:rFonts w:ascii="Verdana" w:eastAsia="Century Gothic" w:hAnsi="Verdana" w:cs="Century Gothic"/>
          <w:i/>
          <w:iCs/>
          <w:sz w:val="20"/>
          <w:szCs w:val="20"/>
        </w:rPr>
      </w:pPr>
      <w:proofErr w:type="gramStart"/>
      <w:r w:rsidRPr="00E56D8F">
        <w:rPr>
          <w:rFonts w:ascii="Verdana" w:eastAsia="Century Gothic" w:hAnsi="Verdana" w:cs="Century Gothic"/>
          <w:i/>
          <w:iCs/>
          <w:sz w:val="20"/>
          <w:szCs w:val="20"/>
        </w:rPr>
        <w:t>1.¿</w:t>
      </w:r>
      <w:proofErr w:type="gramEnd"/>
      <w:r w:rsidRPr="00E56D8F">
        <w:rPr>
          <w:rFonts w:ascii="Verdana" w:eastAsia="Century Gothic" w:hAnsi="Verdana" w:cs="Century Gothic"/>
          <w:i/>
          <w:iCs/>
          <w:sz w:val="20"/>
          <w:szCs w:val="20"/>
        </w:rPr>
        <w:t xml:space="preserve">Es posible usar la descripción y valores que se encuentran en la búsqueda en estas plataformas como referentes de cotización para efectos de estudio de </w:t>
      </w:r>
      <w:proofErr w:type="gramStart"/>
      <w:r w:rsidRPr="00E56D8F">
        <w:rPr>
          <w:rFonts w:ascii="Verdana" w:eastAsia="Century Gothic" w:hAnsi="Verdana" w:cs="Century Gothic"/>
          <w:i/>
          <w:iCs/>
          <w:sz w:val="20"/>
          <w:szCs w:val="20"/>
        </w:rPr>
        <w:t>mercado?.</w:t>
      </w:r>
      <w:proofErr w:type="gramEnd"/>
      <w:r w:rsidRPr="00E56D8F">
        <w:rPr>
          <w:rFonts w:ascii="Verdana" w:eastAsia="Century Gothic" w:hAnsi="Verdana" w:cs="Century Gothic"/>
          <w:i/>
          <w:iCs/>
          <w:sz w:val="20"/>
          <w:szCs w:val="20"/>
        </w:rPr>
        <w:t xml:space="preserve"> </w:t>
      </w:r>
    </w:p>
    <w:p w14:paraId="37704044" w14:textId="77777777" w:rsidR="000B3BC8" w:rsidRPr="00E56D8F" w:rsidRDefault="000B3BC8" w:rsidP="000B3BC8">
      <w:pPr>
        <w:tabs>
          <w:tab w:val="left" w:pos="142"/>
          <w:tab w:val="left" w:pos="567"/>
        </w:tabs>
        <w:spacing w:after="0" w:line="240" w:lineRule="auto"/>
        <w:ind w:left="709" w:right="709"/>
        <w:jc w:val="both"/>
        <w:rPr>
          <w:rFonts w:ascii="Verdana" w:eastAsia="Century Gothic" w:hAnsi="Verdana" w:cs="Century Gothic"/>
          <w:i/>
          <w:iCs/>
          <w:sz w:val="20"/>
          <w:szCs w:val="20"/>
        </w:rPr>
      </w:pPr>
    </w:p>
    <w:p w14:paraId="685E41F6" w14:textId="77777777" w:rsidR="000B3BC8" w:rsidRDefault="000B3BC8" w:rsidP="000B3BC8">
      <w:pPr>
        <w:tabs>
          <w:tab w:val="left" w:pos="142"/>
          <w:tab w:val="left" w:pos="567"/>
        </w:tabs>
        <w:spacing w:after="0" w:line="240" w:lineRule="auto"/>
        <w:ind w:left="709" w:right="709"/>
        <w:jc w:val="both"/>
        <w:rPr>
          <w:rFonts w:ascii="Verdana" w:eastAsia="Century Gothic" w:hAnsi="Verdana" w:cs="Century Gothic"/>
          <w:i/>
          <w:iCs/>
          <w:sz w:val="20"/>
          <w:szCs w:val="20"/>
        </w:rPr>
      </w:pPr>
      <w:r w:rsidRPr="00E56D8F">
        <w:rPr>
          <w:rFonts w:ascii="Verdana" w:eastAsia="Century Gothic" w:hAnsi="Verdana" w:cs="Century Gothic"/>
          <w:i/>
          <w:iCs/>
          <w:sz w:val="20"/>
          <w:szCs w:val="20"/>
        </w:rPr>
        <w:t xml:space="preserve">2.En términos generales ¿cuáles son los lineamientos o recomendaciones de Colombia Compra Eficiente para el caso de productos o artículos </w:t>
      </w:r>
      <w:r w:rsidRPr="00E56D8F">
        <w:rPr>
          <w:rFonts w:ascii="Verdana" w:eastAsia="Century Gothic" w:hAnsi="Verdana" w:cs="Century Gothic"/>
          <w:i/>
          <w:iCs/>
          <w:sz w:val="20"/>
          <w:szCs w:val="20"/>
        </w:rPr>
        <w:lastRenderedPageBreak/>
        <w:t>especializados que no se consiguen en venta directa en el país pero que se pueden adquirir mediante plataformas de comercio electrónico y que se por su naturaleza especialidad es necesario incluir en procesos de compras de entidades públicas?</w:t>
      </w:r>
    </w:p>
    <w:p w14:paraId="03156704" w14:textId="77777777" w:rsidR="000B3BC8" w:rsidRPr="00B350FE" w:rsidRDefault="000B3BC8" w:rsidP="000B3BC8">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6939EC">
        <w:rPr>
          <w:rFonts w:ascii="Verdana" w:eastAsia="Century Gothic" w:hAnsi="Verdana" w:cs="Century Gothic"/>
          <w:i/>
          <w:iCs/>
          <w:sz w:val="20"/>
          <w:szCs w:val="20"/>
        </w:rPr>
        <w:t xml:space="preserve"> </w:t>
      </w:r>
      <w:r w:rsidRPr="00B350FE">
        <w:rPr>
          <w:rFonts w:ascii="Verdana" w:eastAsia="Century Gothic" w:hAnsi="Verdana" w:cs="Century Gothic"/>
          <w:i/>
          <w:iCs/>
          <w:sz w:val="20"/>
          <w:szCs w:val="20"/>
        </w:rPr>
        <w:t xml:space="preserve">(…)”. </w:t>
      </w:r>
    </w:p>
    <w:p w14:paraId="671DC677" w14:textId="77777777" w:rsidR="000B3BC8" w:rsidRDefault="000B3BC8" w:rsidP="000B3BC8">
      <w:pPr>
        <w:spacing w:after="0" w:line="276" w:lineRule="auto"/>
        <w:ind w:firstLine="709"/>
        <w:jc w:val="both"/>
        <w:rPr>
          <w:rFonts w:ascii="Verdana" w:eastAsia="Calibri" w:hAnsi="Verdana" w:cs="Arial"/>
          <w:lang w:val="es-ES" w:eastAsia="es-ES"/>
        </w:rPr>
      </w:pPr>
    </w:p>
    <w:p w14:paraId="7C539E0B" w14:textId="77777777" w:rsidR="000B3BC8" w:rsidRPr="00AA3B9F" w:rsidRDefault="000B3BC8" w:rsidP="000B3BC8">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EE30289" w14:textId="77777777" w:rsidR="000B3BC8" w:rsidRPr="00AA3B9F" w:rsidRDefault="000B3BC8" w:rsidP="000B3BC8">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55E50308" w14:textId="77777777" w:rsidR="000B3BC8" w:rsidRDefault="000B3BC8" w:rsidP="000B3BC8">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DB22BC3" w14:textId="77777777" w:rsidR="000B3BC8" w:rsidRDefault="000B3BC8" w:rsidP="000B3BC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4745BA38" w14:textId="77777777" w:rsidR="000B3BC8" w:rsidRDefault="000B3BC8" w:rsidP="000B3BC8">
      <w:pPr>
        <w:pStyle w:val="Prrafodelista"/>
        <w:tabs>
          <w:tab w:val="left" w:pos="142"/>
          <w:tab w:val="left" w:pos="284"/>
        </w:tabs>
        <w:spacing w:after="0" w:line="276" w:lineRule="auto"/>
        <w:ind w:left="0"/>
        <w:jc w:val="both"/>
        <w:rPr>
          <w:rFonts w:ascii="Verdana" w:eastAsia="Century Gothic" w:hAnsi="Verdana" w:cs="Century Gothic"/>
          <w:b/>
          <w:bCs/>
        </w:rPr>
      </w:pPr>
    </w:p>
    <w:p w14:paraId="5905E323" w14:textId="77777777" w:rsidR="000B3BC8" w:rsidRDefault="000B3BC8" w:rsidP="000B3BC8">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Pr>
          <w:rFonts w:ascii="Verdana" w:eastAsia="Calibri" w:hAnsi="Verdana" w:cs="Arial"/>
          <w:lang w:eastAsia="es-ES"/>
        </w:rPr>
        <w:t xml:space="preserve"> </w:t>
      </w:r>
      <w:r w:rsidRPr="003C1F32">
        <w:rPr>
          <w:rFonts w:ascii="Verdana" w:eastAsia="Calibri" w:hAnsi="Verdana" w:cs="Arial"/>
          <w:lang w:eastAsia="es-ES"/>
        </w:rPr>
        <w:t>¿Puede una entidad estatal utilizar precios y descripciones de plataformas de comercio electrónico como referente para el estudio de mercado</w:t>
      </w:r>
      <w:r w:rsidRPr="00BA3CBA">
        <w:rPr>
          <w:rFonts w:ascii="Verdana" w:eastAsia="Calibri" w:hAnsi="Verdana" w:cs="Arial"/>
          <w:lang w:eastAsia="es-ES"/>
        </w:rPr>
        <w:t>?</w:t>
      </w:r>
    </w:p>
    <w:p w14:paraId="51E7AC07" w14:textId="77777777" w:rsidR="000B3BC8" w:rsidRPr="001773DA" w:rsidRDefault="000B3BC8" w:rsidP="000B3BC8">
      <w:pPr>
        <w:spacing w:after="0" w:line="276" w:lineRule="auto"/>
        <w:jc w:val="both"/>
        <w:rPr>
          <w:rFonts w:ascii="Verdana" w:eastAsia="Century Gothic" w:hAnsi="Verdana" w:cs="Century Gothic"/>
        </w:rPr>
      </w:pPr>
    </w:p>
    <w:bookmarkEnd w:id="3"/>
    <w:p w14:paraId="3FBF5B1D" w14:textId="77777777" w:rsidR="000B3BC8" w:rsidRDefault="000B3BC8" w:rsidP="000B3BC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B1747D2" w14:textId="77777777" w:rsidR="000B3BC8" w:rsidRPr="00593A5F" w:rsidRDefault="000B3BC8" w:rsidP="000B3BC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B3BC8" w:rsidRPr="00593A5F" w14:paraId="3F26AFE5" w14:textId="77777777" w:rsidTr="007502D3">
        <w:tc>
          <w:tcPr>
            <w:tcW w:w="8828" w:type="dxa"/>
          </w:tcPr>
          <w:p w14:paraId="372B066D" w14:textId="6EBCD536" w:rsidR="000B3BC8" w:rsidRDefault="000B3BC8" w:rsidP="007502D3">
            <w:pPr>
              <w:spacing w:after="120" w:line="276" w:lineRule="auto"/>
              <w:jc w:val="both"/>
              <w:rPr>
                <w:rFonts w:ascii="Verdana" w:hAnsi="Verdana" w:cs="Arial"/>
                <w:bCs/>
                <w:color w:val="000000" w:themeColor="text1"/>
              </w:rPr>
            </w:pPr>
            <w:r>
              <w:rPr>
                <w:rFonts w:ascii="Verdana" w:hAnsi="Verdana" w:cs="Arial"/>
                <w:lang w:val="es-ES"/>
              </w:rPr>
              <w:t>L</w:t>
            </w:r>
            <w:r w:rsidRPr="002D4479">
              <w:rPr>
                <w:rFonts w:ascii="Verdana" w:eastAsia="Calibri" w:hAnsi="Verdana" w:cs="Arial"/>
                <w:lang w:val="es-ES"/>
              </w:rPr>
              <w:t xml:space="preserve">a Agencia Nacional de Contratación Pública - Colombia Compra Eficiente dispone </w:t>
            </w:r>
            <w:r>
              <w:rPr>
                <w:rFonts w:ascii="Verdana" w:eastAsia="Calibri" w:hAnsi="Verdana" w:cs="Arial"/>
                <w:lang w:val="es-ES"/>
              </w:rPr>
              <w:t xml:space="preserve">actualmente de </w:t>
            </w:r>
            <w:r w:rsidRPr="002D4479">
              <w:rPr>
                <w:rFonts w:ascii="Verdana" w:hAnsi="Verdana" w:cs="Arial"/>
                <w:bCs/>
                <w:color w:val="000000" w:themeColor="text1"/>
              </w:rPr>
              <w:t xml:space="preserve">la </w:t>
            </w:r>
            <w:r>
              <w:rPr>
                <w:rFonts w:ascii="Verdana" w:hAnsi="Verdana" w:cs="Arial"/>
                <w:bCs/>
                <w:color w:val="000000" w:themeColor="text1"/>
              </w:rPr>
              <w:t>“</w:t>
            </w:r>
            <w:r w:rsidRPr="002D4479">
              <w:rPr>
                <w:rFonts w:ascii="Verdana" w:hAnsi="Verdana" w:cs="Arial"/>
                <w:bCs/>
                <w:color w:val="000000" w:themeColor="text1"/>
              </w:rPr>
              <w:t>Guía De Elaboración De Estudios De Sector</w:t>
            </w:r>
            <w:r>
              <w:rPr>
                <w:rFonts w:ascii="Verdana" w:hAnsi="Verdana" w:cs="Arial"/>
                <w:bCs/>
                <w:color w:val="000000" w:themeColor="text1"/>
              </w:rPr>
              <w:t>”</w:t>
            </w:r>
            <w:r w:rsidRPr="002D4479">
              <w:rPr>
                <w:rFonts w:ascii="Verdana" w:hAnsi="Verdana" w:cs="Arial"/>
                <w:bCs/>
                <w:color w:val="000000" w:themeColor="text1"/>
              </w:rPr>
              <w:t xml:space="preserve">, </w:t>
            </w:r>
            <w:r>
              <w:rPr>
                <w:rFonts w:ascii="Verdana" w:hAnsi="Verdana" w:cs="Arial"/>
                <w:bCs/>
                <w:color w:val="000000" w:themeColor="text1"/>
              </w:rPr>
              <w:t>cuyo</w:t>
            </w:r>
            <w:r w:rsidRPr="002D4479">
              <w:rPr>
                <w:rFonts w:ascii="Verdana" w:hAnsi="Verdana" w:cs="Arial"/>
                <w:bCs/>
                <w:color w:val="000000" w:themeColor="text1"/>
              </w:rPr>
              <w:t xml:space="preserve"> objetivo es “desarrollar recomendaciones y buenas prácticas que servirán a las Entidades Estatales para entender el mercado del bien, obra o servicio que </w:t>
            </w:r>
            <w:r w:rsidRPr="002D4479">
              <w:rPr>
                <w:rFonts w:ascii="Verdana" w:hAnsi="Verdana" w:cs="Arial"/>
                <w:bCs/>
                <w:color w:val="000000" w:themeColor="text1"/>
              </w:rPr>
              <w:lastRenderedPageBreak/>
              <w:t>pretende adquirir y diseñar el Proceso de Contratación con la información necesaria para alcanzar objetivos de eficacia, eficiencia, economía, promoción de la competencia y manejo del riesgo”.</w:t>
            </w:r>
          </w:p>
          <w:p w14:paraId="08A253D9" w14:textId="77777777" w:rsidR="000B3BC8" w:rsidRDefault="000B3BC8" w:rsidP="007502D3">
            <w:pPr>
              <w:spacing w:after="120" w:line="276" w:lineRule="auto"/>
              <w:ind w:firstLine="709"/>
              <w:jc w:val="both"/>
              <w:rPr>
                <w:rFonts w:ascii="Verdana" w:eastAsia="Calibri" w:hAnsi="Verdana" w:cs="Arial"/>
                <w:lang w:val="es-ES"/>
              </w:rPr>
            </w:pPr>
            <w:r w:rsidRPr="00B7290B">
              <w:rPr>
                <w:rFonts w:ascii="Verdana" w:eastAsia="Calibri" w:hAnsi="Verdana" w:cs="Arial"/>
                <w:bCs/>
                <w:lang w:val="es-ES_tradnl"/>
              </w:rPr>
              <w:t>A través de esta guía se</w:t>
            </w:r>
            <w:r w:rsidRPr="00B7290B">
              <w:rPr>
                <w:rFonts w:ascii="Verdana" w:eastAsia="Calibri" w:hAnsi="Verdana" w:cs="Arial"/>
                <w:lang w:val="es-ES"/>
              </w:rPr>
              <w:t xml:space="preserve"> recomienda como mecanismo para la elaboración de </w:t>
            </w:r>
            <w:r w:rsidRPr="00B7290B">
              <w:rPr>
                <w:rFonts w:ascii="Verdana" w:eastAsia="Calibri" w:hAnsi="Verdana" w:cs="Arial"/>
                <w:i/>
                <w:iCs/>
                <w:lang w:val="es-ES"/>
              </w:rPr>
              <w:t>estudios del mercado</w:t>
            </w:r>
            <w:r w:rsidRPr="00B7290B">
              <w:rPr>
                <w:rFonts w:ascii="Verdana" w:eastAsia="Calibri" w:hAnsi="Verdana" w:cs="Arial"/>
                <w:lang w:val="es-ES"/>
              </w:rPr>
              <w:t xml:space="preserve">, que sirvan para entender la dinámica de los precios y establecer el presupuesto oficial de la contratación, </w:t>
            </w:r>
            <w:r w:rsidRPr="00B7290B">
              <w:rPr>
                <w:rFonts w:ascii="Verdana" w:eastAsia="Calibri" w:hAnsi="Verdana" w:cs="Arial"/>
                <w:i/>
                <w:lang w:val="es-ES"/>
              </w:rPr>
              <w:t>requerir a los potenciales proveedores</w:t>
            </w:r>
            <w:r w:rsidRPr="00B7290B">
              <w:rPr>
                <w:rFonts w:ascii="Verdana" w:eastAsia="Calibri" w:hAnsi="Verdana" w:cs="Arial"/>
                <w:lang w:val="es-ES"/>
              </w:rPr>
              <w:t xml:space="preserve"> a fin de que remitan la información necesaria para determinar diversos aspectos de los bienes o servicios a contratar, entre ellos su valor, especificaciones técnicas, el plazo, entre otra información relevante. </w:t>
            </w:r>
          </w:p>
          <w:p w14:paraId="567773E9" w14:textId="77777777" w:rsidR="000B3BC8" w:rsidRDefault="000B3BC8" w:rsidP="00E41881">
            <w:pPr>
              <w:spacing w:after="120" w:line="276" w:lineRule="auto"/>
              <w:ind w:firstLine="709"/>
              <w:jc w:val="both"/>
              <w:rPr>
                <w:rFonts w:ascii="Verdana" w:eastAsia="Times New Roman" w:hAnsi="Verdana" w:cs="Arial"/>
                <w:shd w:val="clear" w:color="auto" w:fill="FFFFFF"/>
                <w:lang w:val="es-ES"/>
              </w:rPr>
            </w:pPr>
            <w:r>
              <w:rPr>
                <w:rFonts w:ascii="Verdana" w:eastAsia="Times New Roman" w:hAnsi="Verdana" w:cs="Arial"/>
                <w:shd w:val="clear" w:color="auto" w:fill="FFFFFF"/>
                <w:lang w:val="es-ES"/>
              </w:rPr>
              <w:t>C</w:t>
            </w:r>
            <w:r w:rsidRPr="0034345F">
              <w:rPr>
                <w:rFonts w:ascii="Verdana" w:eastAsia="Times New Roman" w:hAnsi="Verdana" w:cs="Arial"/>
                <w:shd w:val="clear" w:color="auto" w:fill="FFFFFF"/>
                <w:lang w:val="es-ES"/>
              </w:rPr>
              <w:t>abe resaltar que los precios de mercado es la solicitud de cotizaciones, cuyo procedimiento se efectúa remitiendo a los posibles oferentes la información básica del bien o servicio a adquirir, por lo que la entidad contratante puede optar por realizar la cotización dentro de todo el mercado y</w:t>
            </w:r>
            <w:r>
              <w:rPr>
                <w:rFonts w:ascii="Verdana" w:eastAsia="Times New Roman" w:hAnsi="Verdana" w:cs="Arial"/>
                <w:shd w:val="clear" w:color="auto" w:fill="FFFFFF"/>
                <w:lang w:val="es-ES"/>
              </w:rPr>
              <w:t>/</w:t>
            </w:r>
            <w:r w:rsidRPr="0034345F">
              <w:rPr>
                <w:rFonts w:ascii="Verdana" w:eastAsia="Times New Roman" w:hAnsi="Verdana" w:cs="Arial"/>
                <w:shd w:val="clear" w:color="auto" w:fill="FFFFFF"/>
                <w:lang w:val="es-ES"/>
              </w:rPr>
              <w:t>o la oferta de los bienes, las obras o los servicios, que considere garanticen los principios de planeación y de economía, donde se brinde la oferta más favorable para el proceso, según lo enunciado en el numeral 4 del artículo 2.2.1.1.2.1.1 del Decreto 1082 de 2015</w:t>
            </w:r>
            <w:r>
              <w:rPr>
                <w:rFonts w:ascii="Verdana" w:eastAsia="Times New Roman" w:hAnsi="Verdana" w:cs="Arial"/>
                <w:shd w:val="clear" w:color="auto" w:fill="FFFFFF"/>
                <w:lang w:val="es-ES"/>
              </w:rPr>
              <w:t xml:space="preserve">. En todo caso, es importante señalar que la Guía también recomienda </w:t>
            </w:r>
            <w:r w:rsidRPr="00D32067">
              <w:rPr>
                <w:rFonts w:ascii="Verdana" w:eastAsia="Calibri" w:hAnsi="Verdana" w:cs="Arial"/>
                <w:lang w:val="es-ES"/>
              </w:rPr>
              <w:t>los siguientes mecanismos para elaborar el estudio de precios de mercado:</w:t>
            </w:r>
            <w:r>
              <w:rPr>
                <w:rFonts w:ascii="Verdana" w:eastAsia="Calibri" w:hAnsi="Verdana" w:cs="Arial"/>
                <w:lang w:val="es-ES"/>
              </w:rPr>
              <w:t xml:space="preserve"> revisión de bases de datos especializadas y revisión de precios históricos. </w:t>
            </w:r>
          </w:p>
          <w:p w14:paraId="778074D5" w14:textId="77777777" w:rsidR="000B3BC8" w:rsidRDefault="000B3BC8" w:rsidP="007502D3">
            <w:pPr>
              <w:spacing w:after="120" w:line="276" w:lineRule="auto"/>
              <w:jc w:val="both"/>
              <w:rPr>
                <w:rFonts w:ascii="Verdana" w:hAnsi="Verdana"/>
              </w:rPr>
            </w:pPr>
            <w:r>
              <w:rPr>
                <w:rFonts w:ascii="Verdana" w:hAnsi="Verdana"/>
              </w:rPr>
              <w:t xml:space="preserve">         En el </w:t>
            </w:r>
            <w:r w:rsidRPr="00AC2D6B">
              <w:rPr>
                <w:rFonts w:ascii="Verdana" w:hAnsi="Verdana"/>
              </w:rPr>
              <w:t>mecanismo</w:t>
            </w:r>
            <w:r>
              <w:rPr>
                <w:rFonts w:ascii="Verdana" w:hAnsi="Verdana"/>
              </w:rPr>
              <w:t xml:space="preserve"> que sea empleado</w:t>
            </w:r>
            <w:r w:rsidRPr="00AC2D6B">
              <w:rPr>
                <w:rFonts w:ascii="Verdana" w:hAnsi="Verdana"/>
              </w:rPr>
              <w:t xml:space="preserve"> para conocer los precios del mercado, es importante </w:t>
            </w:r>
            <w:r>
              <w:rPr>
                <w:rFonts w:ascii="Verdana" w:hAnsi="Verdana"/>
              </w:rPr>
              <w:t xml:space="preserve">que este permita </w:t>
            </w:r>
            <w:r w:rsidRPr="00AC2D6B">
              <w:rPr>
                <w:rFonts w:ascii="Verdana" w:hAnsi="Verdana"/>
              </w:rPr>
              <w:t xml:space="preserve">identificar y analizar las variables que puedan incidir en los precios, como por ejemplo la variación del IPC o de la tasa de cambio, así como </w:t>
            </w:r>
            <w:r>
              <w:rPr>
                <w:rFonts w:ascii="Verdana" w:hAnsi="Verdana"/>
              </w:rPr>
              <w:t>la fluctuación</w:t>
            </w:r>
            <w:r w:rsidRPr="00AC2D6B">
              <w:rPr>
                <w:rFonts w:ascii="Verdana" w:hAnsi="Verdana"/>
              </w:rPr>
              <w:t xml:space="preserve"> en los precios de</w:t>
            </w:r>
            <w:r>
              <w:rPr>
                <w:rFonts w:ascii="Verdana" w:hAnsi="Verdana"/>
              </w:rPr>
              <w:t xml:space="preserve"> las</w:t>
            </w:r>
            <w:r w:rsidRPr="00AC2D6B">
              <w:rPr>
                <w:rFonts w:ascii="Verdana" w:hAnsi="Verdana"/>
              </w:rPr>
              <w:t xml:space="preserve"> materias primas</w:t>
            </w:r>
            <w:r>
              <w:rPr>
                <w:rFonts w:ascii="Verdana" w:hAnsi="Verdana"/>
              </w:rPr>
              <w:t>, por lo que l</w:t>
            </w:r>
            <w:r w:rsidRPr="00260880">
              <w:rPr>
                <w:rFonts w:ascii="Verdana" w:hAnsi="Verdana"/>
              </w:rPr>
              <w:t>a conclusión del estudio de mercado deberá proporcionar un análisis claro y fundamentado de estas dinámicas. A partir de ello, será posible determinar un presupuesto oficial que se ajuste a la realidad económica y garantice la viabilidad del proceso de contratación, minimizando riesgos financieros y asegurando una asignación eficiente de los recursos.</w:t>
            </w:r>
          </w:p>
          <w:p w14:paraId="160EF7E8" w14:textId="77777777" w:rsidR="000B3BC8" w:rsidRDefault="000B3BC8" w:rsidP="007502D3">
            <w:pPr>
              <w:spacing w:after="120" w:line="276" w:lineRule="auto"/>
              <w:ind w:firstLine="567"/>
              <w:jc w:val="both"/>
              <w:rPr>
                <w:rFonts w:ascii="Verdana" w:hAnsi="Verdana"/>
              </w:rPr>
            </w:pPr>
            <w:r>
              <w:rPr>
                <w:rFonts w:ascii="Verdana" w:hAnsi="Verdana"/>
              </w:rPr>
              <w:t xml:space="preserve">En este sentido y para responder al problema jurídico planteado, la utilización de precios de internet puede configurarse en una herramienta para establecer precios de referencia del mercado si la Entidad Estatal que estructura el estudio de mercado los considera viable, sin embargo desde la perspectiva de la Agencia, este tipo de herramientas (precios de internet) debe ser utilizada en la medida que a partir de la información obtenida La Entidad </w:t>
            </w:r>
            <w:r>
              <w:rPr>
                <w:rFonts w:ascii="Verdana" w:hAnsi="Verdana"/>
              </w:rPr>
              <w:lastRenderedPageBreak/>
              <w:t>pueda reflejar las condiciones reales del precio del bien o servicio conforme con el alcance requerido.</w:t>
            </w:r>
          </w:p>
          <w:p w14:paraId="574941BE" w14:textId="77777777" w:rsidR="000B3BC8" w:rsidRDefault="000B3BC8" w:rsidP="007502D3">
            <w:pPr>
              <w:spacing w:after="120" w:line="276" w:lineRule="auto"/>
              <w:ind w:firstLine="709"/>
              <w:jc w:val="both"/>
              <w:rPr>
                <w:rFonts w:ascii="Verdana" w:eastAsia="Times New Roman" w:hAnsi="Verdana" w:cs="Arial"/>
                <w:shd w:val="clear" w:color="auto" w:fill="FFFFFF"/>
                <w:lang w:val="es-ES"/>
              </w:rPr>
            </w:pPr>
            <w:r>
              <w:rPr>
                <w:rFonts w:ascii="Verdana" w:hAnsi="Verdana"/>
              </w:rPr>
              <w:t xml:space="preserve">Es por ello, que, en el marco de los lineamientos para el desarrollo de estudios de mercado referenciados en la Guía, al respecto de la utilización de precios tomados de internet (por ejemplo, los tomados de plataformas de </w:t>
            </w:r>
            <w:proofErr w:type="spellStart"/>
            <w:r>
              <w:rPr>
                <w:rFonts w:ascii="Verdana" w:hAnsi="Verdana"/>
              </w:rPr>
              <w:t>Ecommerce</w:t>
            </w:r>
            <w:proofErr w:type="spellEnd"/>
            <w:r>
              <w:rPr>
                <w:rFonts w:ascii="Verdana" w:hAnsi="Verdana"/>
              </w:rPr>
              <w:t xml:space="preserve"> como “MercadoLibre”), es de vital importancia que se tenga en consideración los riesgos o dificultades que pueden acarrear la utilización de precios de internet para la obtención de una cotización integral y ajustada a las necesidades de la Entidad.</w:t>
            </w:r>
          </w:p>
          <w:p w14:paraId="306BF449" w14:textId="77777777" w:rsidR="000B3BC8" w:rsidRDefault="000B3BC8" w:rsidP="007502D3">
            <w:pPr>
              <w:spacing w:after="120" w:line="276" w:lineRule="auto"/>
              <w:jc w:val="both"/>
              <w:rPr>
                <w:rFonts w:ascii="Verdana" w:eastAsia="Calibri" w:hAnsi="Verdana" w:cs="Arial"/>
              </w:rPr>
            </w:pPr>
            <w:r>
              <w:rPr>
                <w:rFonts w:ascii="Verdana" w:eastAsia="Times New Roman" w:hAnsi="Verdana" w:cs="Arial"/>
                <w:lang w:val="es-ES" w:eastAsia="es-ES"/>
              </w:rPr>
              <w:t xml:space="preserve">           De igual manera,</w:t>
            </w:r>
            <w:r w:rsidRPr="4AC72E6F">
              <w:rPr>
                <w:rFonts w:ascii="Verdana" w:eastAsia="Times New Roman" w:hAnsi="Verdana" w:cs="Arial"/>
                <w:lang w:val="es-ES" w:eastAsia="es-ES"/>
              </w:rPr>
              <w:t xml:space="preserve"> es importante manifestar que existen múltiples formas de para el manejo de datos y análisis estadístico, conforme lo señalado en la “Guía de Elaboración de Estudios de Sector” expedida por esta agencia. En conclusión, las Entidades Estales son autónomas para establecer en su Manual de Contratación la metodología para elaborar el Estudio del Sector y en especial la forma como desarrollar los estudios de mercado, siempre y cuando acaten la Ley 1150 de 2007 y el Decreto 1082 de 2015 frente a esta materia, estableciendo siempre argumentos financieros que permitirán escoger el mejor precio de conformidad con los criterios establecidos por la misma.</w:t>
            </w:r>
          </w:p>
          <w:p w14:paraId="38875B54" w14:textId="77777777" w:rsidR="000B3BC8" w:rsidRDefault="000B3BC8" w:rsidP="00E41881">
            <w:pPr>
              <w:spacing w:after="120" w:line="276" w:lineRule="auto"/>
              <w:ind w:firstLine="709"/>
              <w:jc w:val="both"/>
              <w:rPr>
                <w:rFonts w:ascii="Verdana" w:eastAsia="Calibri" w:hAnsi="Verdana" w:cs="Times New Roman"/>
                <w:lang w:val="es-ES"/>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6D6B0EE1" w14:textId="77777777" w:rsidR="000B3BC8" w:rsidRPr="00E529C2" w:rsidRDefault="000B3BC8" w:rsidP="00E41881">
            <w:pPr>
              <w:spacing w:after="12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r w:rsidR="000B3BC8" w:rsidRPr="00593A5F" w14:paraId="30E00DAF" w14:textId="77777777" w:rsidTr="00E41881">
        <w:trPr>
          <w:trHeight w:val="56"/>
        </w:trPr>
        <w:tc>
          <w:tcPr>
            <w:tcW w:w="8828" w:type="dxa"/>
          </w:tcPr>
          <w:p w14:paraId="4A36BC3B" w14:textId="77777777" w:rsidR="000B3BC8" w:rsidRDefault="000B3BC8" w:rsidP="007502D3">
            <w:pPr>
              <w:spacing w:after="120" w:line="276" w:lineRule="auto"/>
              <w:jc w:val="both"/>
              <w:rPr>
                <w:rFonts w:ascii="Verdana" w:eastAsia="Calibri" w:hAnsi="Verdana" w:cs="Arial"/>
                <w:bCs/>
                <w:lang w:eastAsia="es-ES_tradnl"/>
              </w:rPr>
            </w:pPr>
          </w:p>
        </w:tc>
      </w:tr>
    </w:tbl>
    <w:p w14:paraId="1E79BBC8" w14:textId="77777777" w:rsidR="000B3BC8" w:rsidRDefault="000B3BC8" w:rsidP="000B3BC8">
      <w:pPr>
        <w:tabs>
          <w:tab w:val="left" w:pos="142"/>
          <w:tab w:val="left" w:pos="284"/>
        </w:tabs>
        <w:spacing w:after="0" w:line="276" w:lineRule="auto"/>
        <w:jc w:val="both"/>
        <w:rPr>
          <w:rFonts w:ascii="Verdana" w:eastAsia="Century Gothic" w:hAnsi="Verdana" w:cs="Century Gothic"/>
          <w:b/>
          <w:bCs/>
          <w:lang w:val="es-ES"/>
        </w:rPr>
      </w:pPr>
    </w:p>
    <w:p w14:paraId="3F25ACE4" w14:textId="77777777" w:rsidR="000B3BC8" w:rsidRPr="00593A5F" w:rsidRDefault="000B3BC8" w:rsidP="000B3BC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3667A60" w14:textId="77777777" w:rsidR="000B3BC8" w:rsidRDefault="000B3BC8" w:rsidP="000B3BC8">
      <w:pPr>
        <w:spacing w:after="0" w:line="276" w:lineRule="auto"/>
        <w:ind w:firstLine="708"/>
        <w:jc w:val="both"/>
        <w:rPr>
          <w:rFonts w:ascii="Verdana" w:eastAsia="Calibri" w:hAnsi="Verdana" w:cs="Arial"/>
          <w:color w:val="000000" w:themeColor="text1"/>
        </w:rPr>
      </w:pPr>
    </w:p>
    <w:p w14:paraId="2D717CA8" w14:textId="6052F784" w:rsidR="000B3BC8" w:rsidRPr="00CC6878" w:rsidRDefault="000B3BC8" w:rsidP="000B3BC8">
      <w:pPr>
        <w:spacing w:line="276" w:lineRule="auto"/>
        <w:jc w:val="both"/>
        <w:rPr>
          <w:rFonts w:ascii="Verdana" w:eastAsia="Times New Roman" w:hAnsi="Verdana" w:cs="Arial"/>
          <w:lang w:val="es-ES_tradnl" w:eastAsia="es-MX"/>
        </w:rPr>
      </w:pPr>
      <w:r w:rsidRPr="00CC6878">
        <w:rPr>
          <w:rFonts w:ascii="Verdana" w:eastAsia="Calibri" w:hAnsi="Verdana" w:cs="Arial"/>
          <w:bCs/>
          <w:lang w:val="es-ES_tradnl" w:eastAsia="es-MX"/>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75C81351" w14:textId="77777777" w:rsidR="000B3BC8" w:rsidRPr="00B7290B" w:rsidRDefault="000B3BC8" w:rsidP="000B3BC8">
      <w:pPr>
        <w:widowControl w:val="0"/>
        <w:autoSpaceDE w:val="0"/>
        <w:autoSpaceDN w:val="0"/>
        <w:spacing w:after="0" w:line="276" w:lineRule="auto"/>
        <w:ind w:firstLine="708"/>
        <w:jc w:val="both"/>
        <w:rPr>
          <w:rFonts w:ascii="Verdana" w:eastAsia="Calibri" w:hAnsi="Verdana" w:cs="Arial"/>
          <w:bCs/>
          <w:lang w:val="es-MX"/>
        </w:rPr>
      </w:pPr>
      <w:r w:rsidRPr="00B7290B">
        <w:rPr>
          <w:rFonts w:ascii="Verdana" w:eastAsia="Calibri" w:hAnsi="Verdana" w:cs="Arial"/>
          <w:bCs/>
          <w:lang w:val="es-MX"/>
        </w:rPr>
        <w:t xml:space="preserve">El Estatuto General de Contratación de la Administración Pública – en adelante EGCAP – contiene disposiciones que exigen a las Entidades Estatales el deber de realizar actividades de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w:t>
      </w:r>
      <w:r>
        <w:rPr>
          <w:rFonts w:ascii="Verdana" w:eastAsia="Calibri" w:hAnsi="Verdana" w:cs="Arial"/>
          <w:bCs/>
          <w:lang w:val="es-MX"/>
        </w:rPr>
        <w:t xml:space="preserve">En relación con el valor del futuro contrato, </w:t>
      </w:r>
      <w:r w:rsidRPr="00B7290B">
        <w:rPr>
          <w:rFonts w:ascii="Verdana" w:eastAsia="Calibri" w:hAnsi="Verdana" w:cs="Arial"/>
          <w:bCs/>
          <w:lang w:val="es-MX"/>
        </w:rPr>
        <w:t>se encuentra el artículo 25 de la Ley 80 de 1993 que dispone en virtud del principio de economía, entre otros que:</w:t>
      </w:r>
    </w:p>
    <w:p w14:paraId="179A05E9" w14:textId="77777777" w:rsidR="000B3BC8" w:rsidRPr="00B7290B" w:rsidRDefault="000B3BC8" w:rsidP="000B3BC8">
      <w:pPr>
        <w:widowControl w:val="0"/>
        <w:autoSpaceDE w:val="0"/>
        <w:autoSpaceDN w:val="0"/>
        <w:spacing w:after="0" w:line="276" w:lineRule="auto"/>
        <w:jc w:val="both"/>
        <w:rPr>
          <w:rFonts w:ascii="Verdana" w:eastAsia="Calibri" w:hAnsi="Verdana" w:cs="Arial"/>
          <w:bCs/>
          <w:lang w:val="es-MX"/>
        </w:rPr>
      </w:pPr>
    </w:p>
    <w:p w14:paraId="0AE17C50" w14:textId="77777777" w:rsidR="000B3BC8" w:rsidRPr="004F47F3" w:rsidRDefault="000B3BC8" w:rsidP="000B3BC8">
      <w:pPr>
        <w:widowControl w:val="0"/>
        <w:autoSpaceDE w:val="0"/>
        <w:autoSpaceDN w:val="0"/>
        <w:spacing w:after="0" w:line="240" w:lineRule="auto"/>
        <w:ind w:left="708"/>
        <w:jc w:val="both"/>
        <w:rPr>
          <w:rFonts w:ascii="Verdana" w:eastAsia="Calibri" w:hAnsi="Verdana" w:cs="Arial"/>
          <w:bCs/>
          <w:sz w:val="20"/>
          <w:szCs w:val="20"/>
          <w:lang w:val="es-MX"/>
        </w:rPr>
      </w:pPr>
      <w:r>
        <w:rPr>
          <w:rFonts w:ascii="Verdana" w:eastAsia="Calibri" w:hAnsi="Verdana" w:cs="Arial"/>
          <w:bCs/>
          <w:sz w:val="20"/>
          <w:szCs w:val="20"/>
          <w:lang w:val="es-MX"/>
        </w:rPr>
        <w:t>“</w:t>
      </w:r>
      <w:r w:rsidRPr="004F47F3">
        <w:rPr>
          <w:rFonts w:ascii="Verdana" w:eastAsia="Calibri" w:hAnsi="Verdana" w:cs="Arial"/>
          <w:bCs/>
          <w:sz w:val="20"/>
          <w:szCs w:val="20"/>
          <w:lang w:val="es-MX"/>
        </w:rPr>
        <w:t>[…]</w:t>
      </w:r>
    </w:p>
    <w:p w14:paraId="076AB32D" w14:textId="77777777" w:rsidR="000B3BC8" w:rsidRPr="004F47F3" w:rsidRDefault="000B3BC8" w:rsidP="000B3BC8">
      <w:pPr>
        <w:widowControl w:val="0"/>
        <w:autoSpaceDE w:val="0"/>
        <w:autoSpaceDN w:val="0"/>
        <w:spacing w:after="0" w:line="240" w:lineRule="auto"/>
        <w:ind w:left="708"/>
        <w:jc w:val="both"/>
        <w:rPr>
          <w:rFonts w:ascii="Verdana" w:hAnsi="Verdana" w:cs="Open Sans"/>
          <w:sz w:val="20"/>
          <w:szCs w:val="20"/>
        </w:rPr>
      </w:pPr>
      <w:r w:rsidRPr="004F47F3">
        <w:rPr>
          <w:rFonts w:ascii="Verdana" w:eastAsia="Calibri" w:hAnsi="Verdana" w:cs="Arial"/>
          <w:bCs/>
          <w:sz w:val="20"/>
          <w:szCs w:val="20"/>
          <w:lang w:val="es-MX"/>
        </w:rPr>
        <w:t xml:space="preserve">12. </w:t>
      </w:r>
      <w:r w:rsidRPr="004F47F3">
        <w:rPr>
          <w:rFonts w:ascii="Verdana" w:hAnsi="Verdana" w:cs="Open Sans"/>
          <w:sz w:val="20"/>
          <w:szCs w:val="20"/>
        </w:rPr>
        <w:t xml:space="preserve">Previo a la apertura de un proceso de selección, o a la firma del contrato en el caso en que la modalidad de selección sea contratación directa, deberán elaborarse los estudios, diseños y proyectos requeridos, y los pliegos de condiciones, según corresponda. </w:t>
      </w:r>
      <w:r w:rsidRPr="00010771">
        <w:rPr>
          <w:rFonts w:ascii="Verdana" w:hAnsi="Verdana" w:cs="Open Sans"/>
          <w:sz w:val="20"/>
          <w:szCs w:val="20"/>
        </w:rPr>
        <w:t>[…]</w:t>
      </w:r>
      <w:r>
        <w:rPr>
          <w:rFonts w:ascii="Verdana" w:hAnsi="Verdana" w:cs="Open Sans"/>
          <w:sz w:val="20"/>
          <w:szCs w:val="20"/>
        </w:rPr>
        <w:t>”</w:t>
      </w:r>
    </w:p>
    <w:p w14:paraId="23687BF9" w14:textId="77777777" w:rsidR="000B3BC8" w:rsidRPr="00B7290B" w:rsidRDefault="000B3BC8" w:rsidP="000B3BC8">
      <w:pPr>
        <w:widowControl w:val="0"/>
        <w:autoSpaceDE w:val="0"/>
        <w:autoSpaceDN w:val="0"/>
        <w:spacing w:after="0" w:line="276" w:lineRule="auto"/>
        <w:jc w:val="both"/>
        <w:rPr>
          <w:rFonts w:ascii="Verdana" w:eastAsia="Calibri" w:hAnsi="Verdana" w:cs="Arial"/>
          <w:bCs/>
          <w:lang w:val="es-MX"/>
        </w:rPr>
      </w:pPr>
    </w:p>
    <w:p w14:paraId="7A68C2E4" w14:textId="77777777" w:rsidR="000B3BC8" w:rsidRDefault="000B3BC8" w:rsidP="000B3BC8">
      <w:pPr>
        <w:spacing w:after="120" w:line="276" w:lineRule="auto"/>
        <w:ind w:firstLine="709"/>
        <w:jc w:val="both"/>
        <w:rPr>
          <w:rFonts w:ascii="Verdana" w:hAnsi="Verdana" w:cs="Arial"/>
        </w:rPr>
      </w:pPr>
      <w:r w:rsidRPr="007A2CB0">
        <w:rPr>
          <w:rFonts w:ascii="Verdana" w:hAnsi="Verdana" w:cs="Arial"/>
        </w:rPr>
        <w:t>Lo anterior le permitirá a la Entidad Estatal identificar</w:t>
      </w:r>
      <w:r>
        <w:rPr>
          <w:rFonts w:ascii="Verdana" w:hAnsi="Verdana" w:cs="Arial"/>
        </w:rPr>
        <w:t>,</w:t>
      </w:r>
      <w:r w:rsidRPr="007A2CB0">
        <w:rPr>
          <w:rFonts w:ascii="Verdana" w:hAnsi="Verdana" w:cs="Arial"/>
        </w:rPr>
        <w:t xml:space="preserve"> desde el punto de vista técnico y financiero</w:t>
      </w:r>
      <w:r>
        <w:rPr>
          <w:rFonts w:ascii="Verdana" w:hAnsi="Verdana" w:cs="Arial"/>
        </w:rPr>
        <w:t>,</w:t>
      </w:r>
      <w:r w:rsidRPr="007A2CB0">
        <w:rPr>
          <w:rFonts w:ascii="Verdana" w:hAnsi="Verdana" w:cs="Arial"/>
        </w:rPr>
        <w:t xml:space="preserve"> el objeto del contrato, las particularidades de su ejecución, los potenciales proponentes, </w:t>
      </w:r>
      <w:r>
        <w:rPr>
          <w:rFonts w:ascii="Verdana" w:hAnsi="Verdana" w:cs="Arial"/>
        </w:rPr>
        <w:t xml:space="preserve">los </w:t>
      </w:r>
      <w:r w:rsidRPr="007A2CB0">
        <w:rPr>
          <w:rFonts w:ascii="Verdana" w:hAnsi="Verdana" w:cs="Arial"/>
        </w:rPr>
        <w:t xml:space="preserve">requisitos mínimos para evaluar la idoneidad del contratista, así como analizar todas las variables que puedan afectar el procedimiento de selección, celebración y ejecución del contrato. Tal es la importancia de los estudios y documentos previos que su deficiencia o ausencia, </w:t>
      </w:r>
      <w:r>
        <w:rPr>
          <w:rFonts w:ascii="Verdana" w:hAnsi="Verdana" w:cs="Arial"/>
        </w:rPr>
        <w:t>“</w:t>
      </w:r>
      <w:r w:rsidRPr="007A2CB0">
        <w:rPr>
          <w:rFonts w:ascii="Verdana" w:hAnsi="Verdana" w:cs="Arial"/>
        </w:rPr>
        <w:t xml:space="preserve">genera prácticas indebidas, revocatoria de actos administrativos de apertura, declaratorias de desierta de procesos de selección, comisión de faltas </w:t>
      </w:r>
      <w:r w:rsidRPr="007A2CB0">
        <w:rPr>
          <w:rFonts w:ascii="Verdana" w:hAnsi="Verdana" w:cs="Arial"/>
        </w:rPr>
        <w:lastRenderedPageBreak/>
        <w:t>disciplinarias, mayores costos o mayor permanencia de la obra y, en general, el fracaso en la ejecución de contratos estatales</w:t>
      </w:r>
      <w:r>
        <w:rPr>
          <w:rFonts w:ascii="Verdana" w:hAnsi="Verdana" w:cs="Arial"/>
        </w:rPr>
        <w:t>”</w:t>
      </w:r>
      <w:r w:rsidRPr="007A2CB0">
        <w:rPr>
          <w:rFonts w:ascii="Verdana" w:hAnsi="Verdana" w:cs="Arial"/>
          <w:vertAlign w:val="superscript"/>
        </w:rPr>
        <w:footnoteReference w:id="1"/>
      </w:r>
      <w:r w:rsidRPr="007A2CB0">
        <w:rPr>
          <w:rFonts w:ascii="Verdana" w:hAnsi="Verdana" w:cs="Arial"/>
        </w:rPr>
        <w:t xml:space="preserve">. </w:t>
      </w:r>
    </w:p>
    <w:p w14:paraId="200990F4" w14:textId="77777777" w:rsidR="000B3BC8" w:rsidRPr="00B7290B" w:rsidRDefault="000B3BC8" w:rsidP="000B3BC8">
      <w:pPr>
        <w:spacing w:after="0" w:line="276" w:lineRule="auto"/>
        <w:ind w:firstLine="709"/>
        <w:jc w:val="both"/>
        <w:rPr>
          <w:rFonts w:ascii="Verdana" w:hAnsi="Verdana" w:cs="Arial"/>
        </w:rPr>
      </w:pPr>
      <w:r w:rsidRPr="00B7290B">
        <w:rPr>
          <w:rFonts w:ascii="Verdana" w:hAnsi="Verdana" w:cs="Arial"/>
        </w:rPr>
        <w:t>En congruencia con el artículo 25 de la Ley 80 de 1993, el Decreto Único Reglamentario del Sector Administrativo de Planeación Nacional –Decreto 1082 de 2015–, dispone en el artículo 2.2.1.1.2.1.1 el contenido mínimo de los estudios y documentos previos:</w:t>
      </w:r>
    </w:p>
    <w:p w14:paraId="2A0A9850" w14:textId="77777777" w:rsidR="000B3BC8" w:rsidRPr="00B7290B" w:rsidRDefault="000B3BC8" w:rsidP="000B3BC8">
      <w:pPr>
        <w:widowControl w:val="0"/>
        <w:autoSpaceDE w:val="0"/>
        <w:autoSpaceDN w:val="0"/>
        <w:spacing w:after="0" w:line="276" w:lineRule="auto"/>
        <w:jc w:val="both"/>
        <w:rPr>
          <w:rFonts w:ascii="Verdana" w:eastAsia="Calibri" w:hAnsi="Verdana" w:cs="Arial"/>
          <w:bCs/>
          <w:lang w:val="es-MX"/>
        </w:rPr>
      </w:pPr>
    </w:p>
    <w:p w14:paraId="73820D53" w14:textId="77777777" w:rsidR="000B3BC8" w:rsidRPr="004F47F3" w:rsidRDefault="000B3BC8" w:rsidP="000B3BC8">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“Artículo 2.2.1.1.2.1.1.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 </w:t>
      </w:r>
    </w:p>
    <w:p w14:paraId="5F46284E" w14:textId="77777777" w:rsidR="000B3BC8" w:rsidRPr="004F47F3" w:rsidRDefault="000B3BC8" w:rsidP="000B3BC8">
      <w:pPr>
        <w:spacing w:after="0" w:line="240" w:lineRule="auto"/>
        <w:ind w:left="709" w:right="709"/>
        <w:jc w:val="both"/>
        <w:rPr>
          <w:rFonts w:ascii="Verdana" w:hAnsi="Verdana" w:cs="Arial"/>
          <w:sz w:val="20"/>
          <w:szCs w:val="20"/>
        </w:rPr>
      </w:pPr>
    </w:p>
    <w:p w14:paraId="21851B9E" w14:textId="77777777" w:rsidR="000B3BC8" w:rsidRPr="004F47F3" w:rsidRDefault="000B3BC8" w:rsidP="000B3BC8">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1. La descripción de la necesidad que la Entidad Estatal pretende satisfacer con el Proceso de Contratación. </w:t>
      </w:r>
      <w:r w:rsidRPr="004F47F3">
        <w:rPr>
          <w:rFonts w:ascii="Arial" w:hAnsi="Arial" w:cs="Arial"/>
          <w:sz w:val="20"/>
          <w:szCs w:val="20"/>
        </w:rPr>
        <w:t>​</w:t>
      </w:r>
    </w:p>
    <w:p w14:paraId="0A8149BA" w14:textId="77777777" w:rsidR="000B3BC8" w:rsidRPr="004F47F3" w:rsidRDefault="000B3BC8" w:rsidP="000B3BC8">
      <w:pPr>
        <w:spacing w:after="0" w:line="240" w:lineRule="auto"/>
        <w:ind w:left="709" w:right="709"/>
        <w:jc w:val="both"/>
        <w:rPr>
          <w:rFonts w:ascii="Verdana" w:hAnsi="Verdana" w:cs="Arial"/>
          <w:sz w:val="20"/>
          <w:szCs w:val="20"/>
        </w:rPr>
      </w:pPr>
    </w:p>
    <w:p w14:paraId="1CF6296F" w14:textId="77777777" w:rsidR="000B3BC8" w:rsidRPr="004F47F3" w:rsidRDefault="000B3BC8" w:rsidP="000B3BC8">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2. El objeto a contratar, con sus especificaciones, las autorizaciones, permisos y licencias requeridos para su ejecución, y cuando el contrato incluye diseño y construcción, los documentos técnicos para el desarrollo del proyecto. </w:t>
      </w:r>
    </w:p>
    <w:p w14:paraId="2AA03807" w14:textId="77777777" w:rsidR="000B3BC8" w:rsidRPr="004F47F3" w:rsidRDefault="000B3BC8" w:rsidP="000B3BC8">
      <w:pPr>
        <w:spacing w:after="0" w:line="240" w:lineRule="auto"/>
        <w:ind w:left="709" w:right="709"/>
        <w:jc w:val="both"/>
        <w:rPr>
          <w:rFonts w:ascii="Verdana" w:hAnsi="Verdana" w:cs="Arial"/>
          <w:sz w:val="20"/>
          <w:szCs w:val="20"/>
        </w:rPr>
      </w:pPr>
    </w:p>
    <w:p w14:paraId="5F9240EE" w14:textId="77777777" w:rsidR="000B3BC8" w:rsidRPr="004F47F3" w:rsidRDefault="000B3BC8" w:rsidP="000B3BC8">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3. La modalidad de selección del contratista y su justificación, incluyendo los fundamentos jurídicos. </w:t>
      </w:r>
    </w:p>
    <w:p w14:paraId="08D1C2E1" w14:textId="77777777" w:rsidR="000B3BC8" w:rsidRPr="004F47F3" w:rsidRDefault="000B3BC8" w:rsidP="000B3BC8">
      <w:pPr>
        <w:spacing w:after="0" w:line="240" w:lineRule="auto"/>
        <w:ind w:left="709" w:right="709"/>
        <w:jc w:val="both"/>
        <w:rPr>
          <w:rFonts w:ascii="Verdana" w:hAnsi="Verdana" w:cs="Arial"/>
          <w:sz w:val="20"/>
          <w:szCs w:val="20"/>
        </w:rPr>
      </w:pPr>
    </w:p>
    <w:p w14:paraId="722DF219" w14:textId="77777777" w:rsidR="000B3BC8" w:rsidRPr="004F47F3" w:rsidRDefault="000B3BC8" w:rsidP="000B3BC8">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4. </w:t>
      </w:r>
      <w:r w:rsidRPr="004F47F3">
        <w:rPr>
          <w:rFonts w:ascii="Verdana" w:hAnsi="Verdana" w:cs="Arial"/>
          <w:i/>
          <w:iCs/>
          <w:sz w:val="20"/>
          <w:szCs w:val="20"/>
        </w:rPr>
        <w:t xml:space="preserve">El valor estimado del contrato y la justificación </w:t>
      </w:r>
      <w:proofErr w:type="gramStart"/>
      <w:r w:rsidRPr="004F47F3">
        <w:rPr>
          <w:rFonts w:ascii="Verdana" w:hAnsi="Verdana" w:cs="Arial"/>
          <w:i/>
          <w:iCs/>
          <w:sz w:val="20"/>
          <w:szCs w:val="20"/>
        </w:rPr>
        <w:t>del mismo</w:t>
      </w:r>
      <w:proofErr w:type="gramEnd"/>
      <w:r w:rsidRPr="004F47F3">
        <w:rPr>
          <w:rFonts w:ascii="Verdana" w:hAnsi="Verdana" w:cs="Arial"/>
          <w:sz w:val="20"/>
          <w:szCs w:val="20"/>
        </w:rPr>
        <w:t xml:space="preserve">.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67ADAA68" w14:textId="77777777" w:rsidR="000B3BC8" w:rsidRPr="004F47F3" w:rsidRDefault="000B3BC8" w:rsidP="000B3BC8">
      <w:pPr>
        <w:spacing w:after="0" w:line="240" w:lineRule="auto"/>
        <w:ind w:left="709" w:right="709"/>
        <w:jc w:val="both"/>
        <w:rPr>
          <w:rFonts w:ascii="Verdana" w:hAnsi="Verdana" w:cs="Arial"/>
          <w:sz w:val="20"/>
          <w:szCs w:val="20"/>
        </w:rPr>
      </w:pPr>
    </w:p>
    <w:p w14:paraId="0C6F4568" w14:textId="77777777" w:rsidR="000B3BC8" w:rsidRPr="004F47F3" w:rsidRDefault="000B3BC8" w:rsidP="000B3BC8">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5. Los criterios para seleccionar la oferta más favorable. </w:t>
      </w:r>
    </w:p>
    <w:p w14:paraId="23C6504B" w14:textId="77777777" w:rsidR="000B3BC8" w:rsidRPr="004F47F3" w:rsidRDefault="000B3BC8" w:rsidP="000B3BC8">
      <w:pPr>
        <w:spacing w:after="0" w:line="240" w:lineRule="auto"/>
        <w:ind w:left="709" w:right="709"/>
        <w:jc w:val="both"/>
        <w:rPr>
          <w:rFonts w:ascii="Verdana" w:hAnsi="Verdana" w:cs="Arial"/>
          <w:sz w:val="20"/>
          <w:szCs w:val="20"/>
        </w:rPr>
      </w:pPr>
    </w:p>
    <w:p w14:paraId="0A0318DA" w14:textId="77777777" w:rsidR="000B3BC8" w:rsidRPr="004F47F3" w:rsidRDefault="000B3BC8" w:rsidP="000B3BC8">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6. El análisis de Riesgo y la forma de mitigarlo. </w:t>
      </w:r>
    </w:p>
    <w:p w14:paraId="33DD213D" w14:textId="77777777" w:rsidR="000B3BC8" w:rsidRPr="004F47F3" w:rsidRDefault="000B3BC8" w:rsidP="000B3BC8">
      <w:pPr>
        <w:spacing w:after="0" w:line="240" w:lineRule="auto"/>
        <w:ind w:left="709" w:right="709"/>
        <w:jc w:val="both"/>
        <w:rPr>
          <w:rFonts w:ascii="Verdana" w:hAnsi="Verdana" w:cs="Arial"/>
          <w:sz w:val="20"/>
          <w:szCs w:val="20"/>
        </w:rPr>
      </w:pPr>
    </w:p>
    <w:p w14:paraId="4550E3EC" w14:textId="77777777" w:rsidR="000B3BC8" w:rsidRPr="004F47F3" w:rsidRDefault="000B3BC8" w:rsidP="000B3BC8">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7. Las garantías que la Entidad Estatal contempla exigir en el proceso de contratación. </w:t>
      </w:r>
    </w:p>
    <w:p w14:paraId="4B44A881" w14:textId="77777777" w:rsidR="000B3BC8" w:rsidRPr="004F47F3" w:rsidRDefault="000B3BC8" w:rsidP="000B3BC8">
      <w:pPr>
        <w:spacing w:after="0" w:line="240" w:lineRule="auto"/>
        <w:ind w:left="709" w:right="709"/>
        <w:jc w:val="both"/>
        <w:rPr>
          <w:rFonts w:ascii="Verdana" w:hAnsi="Verdana" w:cs="Arial"/>
          <w:sz w:val="20"/>
          <w:szCs w:val="20"/>
        </w:rPr>
      </w:pPr>
    </w:p>
    <w:p w14:paraId="2401398D" w14:textId="77777777" w:rsidR="000B3BC8" w:rsidRPr="004F47F3" w:rsidRDefault="000B3BC8" w:rsidP="000B3BC8">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8. La indicación de si el proceso de contratación está cobijado por un acuerdo comercial. </w:t>
      </w:r>
    </w:p>
    <w:p w14:paraId="5E09A426" w14:textId="77777777" w:rsidR="000B3BC8" w:rsidRPr="004F47F3" w:rsidRDefault="000B3BC8" w:rsidP="000B3BC8">
      <w:pPr>
        <w:spacing w:after="0" w:line="240" w:lineRule="auto"/>
        <w:ind w:left="709" w:right="709"/>
        <w:jc w:val="both"/>
        <w:rPr>
          <w:rFonts w:ascii="Verdana" w:hAnsi="Verdana" w:cs="Arial"/>
          <w:sz w:val="20"/>
          <w:szCs w:val="20"/>
        </w:rPr>
      </w:pPr>
    </w:p>
    <w:p w14:paraId="32EB1C0C" w14:textId="77777777" w:rsidR="000B3BC8" w:rsidRPr="004F47F3" w:rsidRDefault="000B3BC8" w:rsidP="000B3BC8">
      <w:pPr>
        <w:spacing w:after="0" w:line="240" w:lineRule="auto"/>
        <w:ind w:left="709" w:right="709"/>
        <w:jc w:val="both"/>
        <w:rPr>
          <w:rFonts w:ascii="Verdana" w:hAnsi="Verdana" w:cs="Arial"/>
          <w:sz w:val="20"/>
          <w:szCs w:val="20"/>
        </w:rPr>
      </w:pPr>
      <w:r w:rsidRPr="004F47F3">
        <w:rPr>
          <w:rFonts w:ascii="Verdana" w:hAnsi="Verdana" w:cs="Arial"/>
          <w:sz w:val="20"/>
          <w:szCs w:val="20"/>
        </w:rPr>
        <w:lastRenderedPageBreak/>
        <w:t>El presente artículo no es aplicable a la contratación por mínima cuantía.” (Énfasis por fuera de texto)</w:t>
      </w:r>
    </w:p>
    <w:p w14:paraId="009FD4D3" w14:textId="77777777" w:rsidR="000B3BC8" w:rsidRPr="00B7290B" w:rsidRDefault="000B3BC8" w:rsidP="000B3BC8">
      <w:pPr>
        <w:widowControl w:val="0"/>
        <w:autoSpaceDE w:val="0"/>
        <w:autoSpaceDN w:val="0"/>
        <w:spacing w:after="0" w:line="276" w:lineRule="auto"/>
        <w:jc w:val="both"/>
        <w:rPr>
          <w:rFonts w:ascii="Verdana" w:eastAsia="Calibri" w:hAnsi="Verdana" w:cs="Arial"/>
          <w:bCs/>
          <w:lang w:val="es-MX"/>
        </w:rPr>
      </w:pPr>
    </w:p>
    <w:p w14:paraId="0EB45BAD" w14:textId="77777777" w:rsidR="000B3BC8" w:rsidRDefault="000B3BC8" w:rsidP="000B3BC8">
      <w:pPr>
        <w:spacing w:after="0" w:line="276" w:lineRule="auto"/>
        <w:ind w:firstLine="708"/>
        <w:jc w:val="both"/>
        <w:rPr>
          <w:rFonts w:ascii="Verdana" w:eastAsia="Calibri" w:hAnsi="Verdana" w:cs="Arial"/>
          <w:bCs/>
          <w:lang w:val="es-ES_tradnl"/>
        </w:rPr>
      </w:pPr>
      <w:r w:rsidRPr="00B7290B">
        <w:rPr>
          <w:rFonts w:ascii="Verdana" w:eastAsia="Calibri" w:hAnsi="Verdana" w:cs="Arial"/>
          <w:bCs/>
          <w:lang w:val="es-MX"/>
        </w:rPr>
        <w:t xml:space="preserve">Adicionalmente, en </w:t>
      </w:r>
      <w:r w:rsidRPr="00B7290B">
        <w:rPr>
          <w:rFonts w:ascii="Verdana" w:eastAsia="Calibri" w:hAnsi="Verdana" w:cs="Arial"/>
          <w:bCs/>
          <w:lang w:val="es-ES_tradnl"/>
        </w:rPr>
        <w:t>el artículo 2.2.1.1.1.6.1 del Decreto 1082 de 2015 se dispone que:</w:t>
      </w:r>
    </w:p>
    <w:p w14:paraId="382DB818" w14:textId="77777777" w:rsidR="000B3BC8" w:rsidRPr="004F47F3" w:rsidRDefault="000B3BC8" w:rsidP="000B3BC8">
      <w:pPr>
        <w:spacing w:after="0" w:line="276" w:lineRule="auto"/>
        <w:ind w:firstLine="708"/>
        <w:jc w:val="both"/>
        <w:rPr>
          <w:rFonts w:ascii="Verdana" w:eastAsia="Calibri" w:hAnsi="Verdana" w:cs="Arial"/>
          <w:bCs/>
          <w:sz w:val="20"/>
          <w:szCs w:val="20"/>
          <w:lang w:val="es-ES_tradnl"/>
        </w:rPr>
      </w:pPr>
    </w:p>
    <w:p w14:paraId="4CFC3132" w14:textId="77777777" w:rsidR="000B3BC8" w:rsidRDefault="000B3BC8" w:rsidP="000B3BC8">
      <w:pPr>
        <w:spacing w:after="0" w:line="240" w:lineRule="auto"/>
        <w:ind w:left="708" w:right="709"/>
        <w:jc w:val="both"/>
        <w:rPr>
          <w:rFonts w:ascii="Verdana" w:eastAsia="Calibri" w:hAnsi="Verdana" w:cs="Arial"/>
          <w:bCs/>
          <w:sz w:val="20"/>
          <w:szCs w:val="20"/>
          <w:lang w:val="es-ES_tradnl"/>
        </w:rPr>
      </w:pPr>
      <w:r w:rsidRPr="004F47F3">
        <w:rPr>
          <w:rFonts w:ascii="Verdana" w:eastAsia="Calibri" w:hAnsi="Verdana" w:cs="Arial"/>
          <w:bCs/>
          <w:sz w:val="20"/>
          <w:szCs w:val="20"/>
          <w:lang w:val="es-ES_tradnl"/>
        </w:rPr>
        <w:t>“La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p w14:paraId="01F81D70" w14:textId="77777777" w:rsidR="000B3BC8" w:rsidRPr="00ED1CA5" w:rsidRDefault="000B3BC8" w:rsidP="000B3BC8">
      <w:pPr>
        <w:spacing w:after="0" w:line="276" w:lineRule="auto"/>
        <w:ind w:left="708" w:right="709"/>
        <w:jc w:val="both"/>
        <w:rPr>
          <w:rFonts w:ascii="Verdana" w:eastAsia="Calibri" w:hAnsi="Verdana" w:cs="Arial"/>
          <w:bCs/>
          <w:lang w:val="es-ES_tradnl"/>
        </w:rPr>
      </w:pPr>
    </w:p>
    <w:p w14:paraId="268E1619" w14:textId="77777777" w:rsidR="000B3BC8" w:rsidRPr="007E492A" w:rsidRDefault="000B3BC8" w:rsidP="000B3BC8">
      <w:pPr>
        <w:spacing w:after="120" w:line="276" w:lineRule="auto"/>
        <w:ind w:firstLine="709"/>
        <w:jc w:val="both"/>
        <w:rPr>
          <w:rFonts w:ascii="Verdana" w:eastAsia="Calibri" w:hAnsi="Verdana" w:cs="Arial"/>
          <w:bCs/>
          <w:lang w:val="es-ES_tradnl"/>
        </w:rPr>
      </w:pPr>
      <w:r w:rsidRPr="002F6699">
        <w:rPr>
          <w:rFonts w:ascii="Verdana" w:eastAsia="Times New Roman" w:hAnsi="Verdana" w:cs="Arial"/>
          <w:lang w:val="es-ES_tradnl" w:eastAsia="es-MX"/>
        </w:rPr>
        <w:t xml:space="preserve">Tal es la importancia de los estudios y documentos previos que su deficiencia o ausencia, “genera prácticas indebidas, revocatoria de actos administrativos de apertura, declaratorias de desierta de procesos de selección, comisión </w:t>
      </w:r>
      <w:r w:rsidRPr="007E492A">
        <w:rPr>
          <w:rFonts w:ascii="Verdana" w:eastAsia="Calibri" w:hAnsi="Verdana" w:cs="Arial"/>
          <w:bCs/>
          <w:lang w:val="es-ES_tradnl"/>
        </w:rPr>
        <w:t>de faltas disciplinarias, mayores costos o mayor permanencia de la obra y, en general, el fracaso en la ejecución de contratos estatales”</w:t>
      </w:r>
      <w:r w:rsidRPr="00D9531E">
        <w:rPr>
          <w:rFonts w:ascii="Verdana" w:eastAsia="Calibri" w:hAnsi="Verdana" w:cs="Arial"/>
          <w:bCs/>
          <w:vertAlign w:val="superscript"/>
          <w:lang w:val="es-ES_tradnl"/>
        </w:rPr>
        <w:footnoteReference w:id="2"/>
      </w:r>
      <w:r w:rsidRPr="00D9531E">
        <w:rPr>
          <w:rFonts w:ascii="Verdana" w:eastAsia="Calibri" w:hAnsi="Verdana" w:cs="Arial"/>
          <w:bCs/>
          <w:vertAlign w:val="superscript"/>
          <w:lang w:val="es-ES_tradnl"/>
        </w:rPr>
        <w:t>.</w:t>
      </w:r>
      <w:r w:rsidRPr="007E492A">
        <w:rPr>
          <w:rFonts w:ascii="Verdana" w:eastAsia="Calibri" w:hAnsi="Verdana" w:cs="Arial"/>
          <w:bCs/>
          <w:lang w:val="es-ES_tradnl"/>
        </w:rPr>
        <w:t xml:space="preserve"> </w:t>
      </w:r>
    </w:p>
    <w:p w14:paraId="33F290B5" w14:textId="77777777" w:rsidR="000B3BC8" w:rsidRPr="00B7290B" w:rsidRDefault="000B3BC8" w:rsidP="000B3BC8">
      <w:pPr>
        <w:spacing w:after="120" w:line="276" w:lineRule="auto"/>
        <w:ind w:firstLine="709"/>
        <w:jc w:val="both"/>
        <w:rPr>
          <w:rFonts w:ascii="Verdana" w:eastAsia="Calibri" w:hAnsi="Verdana" w:cs="Arial"/>
          <w:bCs/>
          <w:lang w:val="es-ES_tradnl"/>
        </w:rPr>
      </w:pPr>
      <w:r w:rsidRPr="007E492A">
        <w:rPr>
          <w:rFonts w:ascii="Verdana" w:eastAsia="Calibri" w:hAnsi="Verdana" w:cs="Arial"/>
          <w:bCs/>
          <w:lang w:val="es-ES_tradnl"/>
        </w:rPr>
        <w:t>De ac</w:t>
      </w:r>
      <w:proofErr w:type="spellStart"/>
      <w:r w:rsidRPr="00B7290B">
        <w:rPr>
          <w:rFonts w:ascii="Verdana" w:eastAsia="Calibri" w:hAnsi="Verdana" w:cs="Arial"/>
          <w:lang w:val="es-ES"/>
        </w:rPr>
        <w:t>uerdo</w:t>
      </w:r>
      <w:proofErr w:type="spellEnd"/>
      <w:r w:rsidRPr="00B7290B">
        <w:rPr>
          <w:rFonts w:ascii="Verdana" w:eastAsia="Calibri" w:hAnsi="Verdana" w:cs="Arial"/>
          <w:lang w:val="es-ES"/>
        </w:rPr>
        <w:t xml:space="preserve"> con las normas citadas, e</w:t>
      </w:r>
      <w:r w:rsidRPr="00B7290B">
        <w:rPr>
          <w:rFonts w:ascii="Verdana" w:eastAsia="Calibri" w:hAnsi="Verdana" w:cs="Arial"/>
          <w:bCs/>
          <w:lang w:val="es-ES_tradnl"/>
        </w:rPr>
        <w:t>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7BA62F24" w14:textId="77777777" w:rsidR="000B3BC8" w:rsidRPr="00B7290B" w:rsidRDefault="000B3BC8" w:rsidP="000B3BC8">
      <w:pPr>
        <w:spacing w:after="120" w:line="276" w:lineRule="auto"/>
        <w:ind w:firstLine="709"/>
        <w:jc w:val="both"/>
        <w:rPr>
          <w:rFonts w:ascii="Verdana" w:eastAsia="Calibri" w:hAnsi="Verdana" w:cs="Arial"/>
          <w:lang w:val="es-ES"/>
        </w:rPr>
      </w:pPr>
      <w:r w:rsidRPr="00B7290B">
        <w:rPr>
          <w:rFonts w:ascii="Verdana" w:eastAsia="Calibri" w:hAnsi="Verdana" w:cs="Arial"/>
          <w:lang w:val="es-ES"/>
        </w:rPr>
        <w:t xml:space="preserve">Dicho análisis facilita tanto el conocimiento del sector, desde una perspectiva multidisciplinaria, como de los proveedores disponibles en el mercado para satisfacer la necesidad de la entidad contratante. Así mismo, el análisis del sector implica un estudio de la oferta, lo que permitirá identificar qué proveedores existen en el mercado y cómo intervienen en la cadena de producción, comercialización y distribución de los bienes, obras o servicios. De igual manera, podrá estudiar la demanda para determinar las entidades estatales y los particulares cómo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w:t>
      </w:r>
      <w:r w:rsidRPr="00B7290B">
        <w:rPr>
          <w:rFonts w:ascii="Verdana" w:eastAsia="Calibri" w:hAnsi="Verdana" w:cs="Arial"/>
          <w:lang w:val="es-ES"/>
        </w:rPr>
        <w:lastRenderedPageBreak/>
        <w:t xml:space="preserve">pactadas, tanto para la entidad contratante como para el contratista que proveerá el bien, obra o servicio. </w:t>
      </w:r>
    </w:p>
    <w:p w14:paraId="316B6B8B" w14:textId="77777777" w:rsidR="000B3BC8" w:rsidRDefault="000B3BC8" w:rsidP="000B3BC8">
      <w:pPr>
        <w:spacing w:after="120" w:line="276" w:lineRule="auto"/>
        <w:ind w:firstLine="709"/>
        <w:jc w:val="both"/>
        <w:rPr>
          <w:rFonts w:ascii="Verdana" w:hAnsi="Verdana" w:cs="Arial"/>
          <w:bCs/>
          <w:lang w:val="es-ES_tradnl"/>
        </w:rPr>
      </w:pPr>
      <w:r w:rsidRPr="00B7290B">
        <w:rPr>
          <w:rFonts w:ascii="Verdana" w:eastAsia="Calibri" w:hAnsi="Verdana" w:cs="Arial"/>
          <w:bCs/>
          <w:lang w:val="es-ES_tradnl"/>
        </w:rPr>
        <w:t xml:space="preserve">Si bien la normativa en materia de contratación estatal establece la obligatoriedad de realizar el análisis necesario para conocer el sector relativo al objeto del proceso de contratación, no determinan un procedimiento específico para efectuar dicho análisis. Por ello, las entidades </w:t>
      </w:r>
      <w:r w:rsidRPr="00B7290B">
        <w:rPr>
          <w:rFonts w:ascii="Verdana" w:hAnsi="Verdana" w:cs="Arial"/>
          <w:lang w:eastAsia="es-CO"/>
        </w:rPr>
        <w:t xml:space="preserve">son autónomas para estructurarlo, para lo cual deberán cumplir lo dispuesto en el artículo </w:t>
      </w:r>
      <w:r w:rsidRPr="00B7290B">
        <w:rPr>
          <w:rFonts w:ascii="Verdana" w:eastAsia="Calibri" w:hAnsi="Verdana" w:cs="Arial"/>
          <w:bCs/>
          <w:lang w:val="es-ES_tradnl"/>
        </w:rPr>
        <w:t xml:space="preserve">2.2.1.1.1.6.1 del Decreto 1082 de 2015 y realizar un análisis integral de planeación que </w:t>
      </w:r>
      <w:r w:rsidRPr="00B7290B">
        <w:rPr>
          <w:rFonts w:ascii="Verdana" w:hAnsi="Verdana" w:cs="Arial"/>
        </w:rPr>
        <w:t xml:space="preserve">sirva de sustento a la decisión de </w:t>
      </w:r>
      <w:r w:rsidRPr="00B7290B">
        <w:rPr>
          <w:rFonts w:ascii="Verdana" w:hAnsi="Verdana" w:cs="Arial"/>
          <w:bCs/>
          <w:lang w:val="es-ES_tradnl"/>
        </w:rPr>
        <w:t>realizar un proceso de contratación.</w:t>
      </w:r>
    </w:p>
    <w:p w14:paraId="010989E5" w14:textId="77777777" w:rsidR="000B3BC8" w:rsidRPr="00B7290B" w:rsidRDefault="000B3BC8" w:rsidP="000B3BC8">
      <w:pPr>
        <w:spacing w:after="120" w:line="276" w:lineRule="auto"/>
        <w:ind w:firstLine="709"/>
        <w:jc w:val="both"/>
        <w:rPr>
          <w:rFonts w:ascii="Verdana" w:eastAsia="Calibri" w:hAnsi="Verdana" w:cs="Arial"/>
          <w:bCs/>
          <w:lang w:val="es-ES"/>
        </w:rPr>
      </w:pPr>
      <w:r w:rsidRPr="00B7290B">
        <w:rPr>
          <w:rFonts w:ascii="Verdana" w:eastAsia="Calibri" w:hAnsi="Verdana" w:cs="Arial"/>
          <w:bCs/>
          <w:lang w:val="es-ES_tradnl"/>
        </w:rPr>
        <w:t>La Agencia Nacional de Contratación Pública - Colombia Compra Eficiente dispone de la “Guía de Elaboración del Estudio del Sector”, instrumento que sirve de apoyo para entender el mercado del bien, obra o servicio que la Entidad Estatal pretende adquirir y diseñar el proceso de contratación con la información necesaria para alcanzar los objetivos de eficacia, eficiencia, economía, promoción de la competencia y manejo del riesgo</w:t>
      </w:r>
      <w:r w:rsidRPr="00B7290B">
        <w:rPr>
          <w:rFonts w:ascii="Verdana" w:eastAsia="Calibri" w:hAnsi="Verdana" w:cs="Arial"/>
          <w:bCs/>
          <w:vertAlign w:val="superscript"/>
          <w:lang w:val="es-ES_tradnl"/>
        </w:rPr>
        <w:footnoteReference w:id="3"/>
      </w:r>
      <w:r w:rsidRPr="00B7290B">
        <w:rPr>
          <w:rFonts w:ascii="Verdana" w:eastAsia="Calibri" w:hAnsi="Verdana" w:cs="Arial"/>
          <w:bCs/>
          <w:lang w:val="es-ES_tradnl"/>
        </w:rPr>
        <w:t>. 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w:t>
      </w:r>
      <w:r w:rsidRPr="00B7290B">
        <w:rPr>
          <w:rFonts w:ascii="Verdana" w:eastAsia="Calibri" w:hAnsi="Verdana" w:cs="Arial"/>
          <w:bCs/>
          <w:lang w:val="es-ES"/>
        </w:rPr>
        <w:t xml:space="preserve"> recomendaciones generales por lo que no debe aplicarse de manera mecánica, pues la profundidad del estudio del sector depende de la complejidad y particularidades de cada proceso de contratación. </w:t>
      </w:r>
    </w:p>
    <w:p w14:paraId="65FBB3DC" w14:textId="77777777" w:rsidR="000B3BC8" w:rsidRPr="00B7290B" w:rsidRDefault="000B3BC8" w:rsidP="71DC60D4">
      <w:pPr>
        <w:spacing w:after="120" w:line="276" w:lineRule="auto"/>
        <w:ind w:firstLine="709"/>
        <w:jc w:val="both"/>
        <w:rPr>
          <w:rFonts w:ascii="Verdana" w:eastAsia="Calibri" w:hAnsi="Verdana" w:cs="Arial"/>
          <w:lang w:val="es-ES"/>
        </w:rPr>
      </w:pPr>
      <w:r w:rsidRPr="71DC60D4">
        <w:rPr>
          <w:rFonts w:ascii="Verdana" w:eastAsia="Calibri" w:hAnsi="Verdana" w:cs="Arial"/>
          <w:lang w:val="es-ES"/>
        </w:rPr>
        <w:t>En este instrumento se recomienda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w:t>
      </w:r>
    </w:p>
    <w:p w14:paraId="042FFC6F" w14:textId="77777777" w:rsidR="000B3BC8" w:rsidRPr="00D32067" w:rsidRDefault="000B3BC8" w:rsidP="000B3BC8">
      <w:pPr>
        <w:spacing w:after="120" w:line="276" w:lineRule="auto"/>
        <w:ind w:firstLine="709"/>
        <w:jc w:val="both"/>
        <w:rPr>
          <w:rFonts w:ascii="Verdana" w:eastAsia="Calibri" w:hAnsi="Verdana" w:cs="Arial"/>
          <w:bCs/>
          <w:lang w:val="es-ES_tradnl"/>
        </w:rPr>
      </w:pPr>
      <w:r w:rsidRPr="00B7290B">
        <w:rPr>
          <w:rFonts w:ascii="Verdana" w:eastAsia="Calibri" w:hAnsi="Verdana" w:cs="Arial"/>
          <w:bCs/>
          <w:lang w:val="es-ES_tradnl"/>
        </w:rPr>
        <w:t xml:space="preserve">Así mismo, en la Guía se indica que como parte de la estructura del estudio del sector se debe realizar un análisis del comportamiento del gasto histórico, el </w:t>
      </w:r>
      <w:r w:rsidRPr="00B7290B">
        <w:rPr>
          <w:rFonts w:ascii="Verdana" w:eastAsia="Calibri" w:hAnsi="Verdana" w:cs="Arial"/>
          <w:bCs/>
          <w:lang w:val="es-ES_tradnl"/>
        </w:rPr>
        <w:lastRenderedPageBreak/>
        <w:t xml:space="preserve">estudio de la oferta y el estudio del mercado. </w:t>
      </w:r>
      <w:r w:rsidRPr="00D32067">
        <w:rPr>
          <w:rFonts w:ascii="Verdana" w:eastAsia="Calibri" w:hAnsi="Verdana" w:cs="Arial"/>
          <w:bCs/>
          <w:lang w:val="es-ES_tradnl"/>
        </w:rPr>
        <w:t xml:space="preserve">En </w:t>
      </w:r>
      <w:r w:rsidRPr="00D32067">
        <w:rPr>
          <w:rFonts w:ascii="Verdana" w:eastAsia="Calibri" w:hAnsi="Verdana" w:cs="Arial"/>
          <w:bCs/>
          <w:lang w:val="es-ES"/>
        </w:rPr>
        <w:t xml:space="preserve">el marco del </w:t>
      </w:r>
      <w:r w:rsidRPr="004F47F3">
        <w:rPr>
          <w:rFonts w:ascii="Verdana" w:eastAsia="Calibri" w:hAnsi="Verdana" w:cs="Arial"/>
          <w:bCs/>
          <w:i/>
          <w:iCs/>
          <w:lang w:val="es-ES"/>
        </w:rPr>
        <w:t>comportamiento del gasto histórico</w:t>
      </w:r>
      <w:r w:rsidRPr="00D32067">
        <w:rPr>
          <w:rFonts w:ascii="Verdana" w:eastAsia="Calibri" w:hAnsi="Verdana" w:cs="Arial"/>
          <w:bCs/>
          <w:lang w:val="es-ES"/>
        </w:rPr>
        <w:t xml:space="preserve"> se recomienda que la entidad analice el comportamiento de sus adquisiciones anteriores del bien, obra o servicio teniendo en cuenta distintas variables como la modalidad de selección, el objeto del contrato, el presupuesto, entre otros. También es importante que se analice la forma en la cual otras entidades o particulares han adquirido bienes y servicios iguales o comparables similares mediante plataformas de información como datos abiertos o las herramientas de visualización </w:t>
      </w:r>
      <w:r w:rsidRPr="00D32067">
        <w:rPr>
          <w:rFonts w:ascii="Verdana" w:eastAsia="Arial MT" w:hAnsi="Verdana" w:cs="Arial"/>
          <w:lang w:val="es-ES"/>
        </w:rPr>
        <w:t>desarrolladas por esta Agencia en el marco del modelo de abastecimiento estratégico</w:t>
      </w:r>
      <w:r w:rsidRPr="00D32067">
        <w:rPr>
          <w:rFonts w:ascii="Verdana" w:eastAsia="Arial MT" w:hAnsi="Verdana" w:cs="Arial"/>
          <w:vertAlign w:val="superscript"/>
          <w:lang w:val="es-ES"/>
        </w:rPr>
        <w:footnoteReference w:id="4"/>
      </w:r>
      <w:r w:rsidRPr="00D32067">
        <w:rPr>
          <w:rFonts w:ascii="Verdana" w:eastAsia="Arial MT" w:hAnsi="Verdana" w:cs="Arial"/>
          <w:lang w:val="es-ES"/>
        </w:rPr>
        <w:t xml:space="preserve">. </w:t>
      </w:r>
    </w:p>
    <w:p w14:paraId="3FF3D06B" w14:textId="77777777" w:rsidR="000B3BC8" w:rsidRPr="00D32067" w:rsidRDefault="000B3BC8" w:rsidP="000B3BC8">
      <w:pPr>
        <w:spacing w:after="120" w:line="276" w:lineRule="auto"/>
        <w:ind w:firstLine="709"/>
        <w:jc w:val="both"/>
        <w:rPr>
          <w:rFonts w:ascii="Verdana" w:eastAsia="Calibri" w:hAnsi="Verdana" w:cs="Arial"/>
          <w:color w:val="000000" w:themeColor="text1"/>
          <w:lang w:val="es-ES"/>
        </w:rPr>
      </w:pPr>
      <w:r w:rsidRPr="00D32067">
        <w:rPr>
          <w:rFonts w:ascii="Verdana" w:eastAsia="Calibri" w:hAnsi="Verdana" w:cs="Arial"/>
          <w:color w:val="000000" w:themeColor="text1"/>
          <w:lang w:val="es-ES"/>
        </w:rPr>
        <w:t xml:space="preserve">Por su parte, según la Guía, el </w:t>
      </w:r>
      <w:r w:rsidRPr="00D32067">
        <w:rPr>
          <w:rFonts w:ascii="Verdana" w:eastAsia="Calibri" w:hAnsi="Verdana" w:cs="Arial"/>
          <w:i/>
          <w:iCs/>
          <w:color w:val="000000" w:themeColor="text1"/>
          <w:lang w:val="es-ES"/>
        </w:rPr>
        <w:t>estudio de la oferta</w:t>
      </w:r>
      <w:r w:rsidRPr="00D32067">
        <w:rPr>
          <w:rFonts w:ascii="Verdana" w:eastAsia="Calibri" w:hAnsi="Verdana" w:cs="Arial"/>
          <w:color w:val="000000" w:themeColor="text1"/>
          <w:lang w:val="es-ES"/>
        </w:rPr>
        <w:t xml:space="preserve"> tiene como objetivo </w:t>
      </w:r>
      <w:r w:rsidRPr="00D32067">
        <w:rPr>
          <w:rFonts w:ascii="Verdana" w:eastAsia="Calibri" w:hAnsi="Verdana" w:cs="Arial"/>
          <w:color w:val="000000" w:themeColor="text1"/>
        </w:rPr>
        <w:t>identificar las opciones de suministro para las categorías de compra definidas, y los posibles proveedores que pueden suministrar los bienes, obras o servicios que requiere para satisfacer su necesidad</w:t>
      </w:r>
      <w:r w:rsidRPr="00D32067">
        <w:rPr>
          <w:rFonts w:ascii="Verdana" w:eastAsia="Calibri" w:hAnsi="Verdana" w:cs="Arial"/>
          <w:color w:val="000000" w:themeColor="text1"/>
          <w:lang w:val="es-ES"/>
        </w:rPr>
        <w:t xml:space="preserve">. En esta actividad las entidades estatales deben realizar un estudio de la oferta, que responda, entre otras, las siguientes preguntas: i) “¿Cuál es la dinámica de producción, distribución y entrega de bienes, obras o servicios?” –teniendo en cuenta elementos como la producción, la distribución, transporte etc.– y </w:t>
      </w:r>
      <w:proofErr w:type="spellStart"/>
      <w:r w:rsidRPr="00D32067">
        <w:rPr>
          <w:rFonts w:ascii="Verdana" w:eastAsia="Calibri" w:hAnsi="Verdana" w:cs="Arial"/>
          <w:color w:val="000000" w:themeColor="text1"/>
          <w:lang w:val="es-ES"/>
        </w:rPr>
        <w:t>ii</w:t>
      </w:r>
      <w:proofErr w:type="spellEnd"/>
      <w:r w:rsidRPr="00D32067">
        <w:rPr>
          <w:rFonts w:ascii="Verdana" w:eastAsia="Calibri" w:hAnsi="Verdana" w:cs="Arial"/>
          <w:color w:val="000000" w:themeColor="text1"/>
          <w:lang w:val="es-ES"/>
        </w:rPr>
        <w:t xml:space="preserve">) “¿A quién se va a comprar?”. En relación con la primera pregunta, la Guía señala que “para la Entidad Estatal es importante conocer, entre otras, el proceso de producción, distribución y entrega de los bienes o servicios que pretende adquirir, así como los costos asociados a tales procesos, cuáles son las formas de distribución y entrega de los bienes o suministros del servicio, y demás criterios que apliquen”. </w:t>
      </w:r>
    </w:p>
    <w:p w14:paraId="078F6527" w14:textId="77777777" w:rsidR="000B3BC8" w:rsidRPr="00D32067" w:rsidRDefault="000B3BC8" w:rsidP="000B3BC8">
      <w:pPr>
        <w:spacing w:after="120" w:line="276" w:lineRule="auto"/>
        <w:ind w:firstLine="709"/>
        <w:jc w:val="both"/>
        <w:rPr>
          <w:rFonts w:ascii="Verdana" w:eastAsia="Calibri" w:hAnsi="Verdana" w:cs="Arial"/>
          <w:color w:val="000000" w:themeColor="text1"/>
          <w:lang w:val="es-ES"/>
        </w:rPr>
      </w:pPr>
      <w:r w:rsidRPr="00D32067">
        <w:rPr>
          <w:rFonts w:ascii="Verdana" w:eastAsia="Calibri" w:hAnsi="Verdana" w:cs="Arial"/>
          <w:color w:val="000000" w:themeColor="text1"/>
          <w:lang w:val="es-ES"/>
        </w:rPr>
        <w:t>Para estos efectos, se recomienda a la entidad diseñar e implementar escenarios y procedimientos de consulta de información abiertos e incluyentes con el mercado, en los cuales se defina qué información, cuándo, por qué medio y a quienes se solicitará. La Guía</w:t>
      </w:r>
      <w:r w:rsidRPr="00D32067">
        <w:rPr>
          <w:rFonts w:ascii="Verdana" w:eastAsia="Calibri" w:hAnsi="Verdana" w:cs="Arial"/>
          <w:color w:val="000000" w:themeColor="text1"/>
        </w:rPr>
        <w:t xml:space="preserve"> indica que </w:t>
      </w:r>
      <w:r w:rsidRPr="00D32067">
        <w:rPr>
          <w:rFonts w:ascii="Verdana" w:eastAsia="Calibri" w:hAnsi="Verdana" w:cs="Arial"/>
          <w:color w:val="000000" w:themeColor="text1"/>
          <w:lang w:val="es-ES"/>
        </w:rPr>
        <w:t>“la Entidad Estatal debe identificar los proveedores en el mercado del bien o servicio, así como sus principales características como tamaño empresarial, ubicación, esquemas de producción y comportamiento financiero”</w:t>
      </w:r>
      <w:r w:rsidRPr="00D32067">
        <w:rPr>
          <w:rFonts w:ascii="Verdana" w:eastAsia="Calibri" w:hAnsi="Verdana" w:cs="Arial"/>
          <w:color w:val="000000" w:themeColor="text1"/>
        </w:rPr>
        <w:t>. Para la identificación de los proveedores se propone analizar el listado de los proveedores que participaron en los procesos de contratación iguales o similares que haya realizado la entidad y los que hayan realizado otras entidades con objetos comparables.</w:t>
      </w:r>
    </w:p>
    <w:p w14:paraId="23283933" w14:textId="77777777" w:rsidR="000B3BC8" w:rsidRDefault="000B3BC8" w:rsidP="000B3BC8">
      <w:pPr>
        <w:spacing w:after="0" w:line="276" w:lineRule="auto"/>
        <w:ind w:firstLine="709"/>
        <w:jc w:val="both"/>
        <w:rPr>
          <w:rFonts w:ascii="Verdana" w:eastAsia="Calibri" w:hAnsi="Verdana" w:cs="Arial"/>
          <w:lang w:val="es-ES"/>
        </w:rPr>
      </w:pPr>
      <w:r>
        <w:rPr>
          <w:rFonts w:ascii="Verdana" w:eastAsia="Calibri" w:hAnsi="Verdana" w:cs="Arial"/>
          <w:color w:val="000000" w:themeColor="text1"/>
          <w:lang w:val="es-ES"/>
        </w:rPr>
        <w:lastRenderedPageBreak/>
        <w:t xml:space="preserve">Respecto al </w:t>
      </w:r>
      <w:r w:rsidRPr="004F47F3">
        <w:rPr>
          <w:rFonts w:ascii="Verdana" w:eastAsia="Calibri" w:hAnsi="Verdana" w:cs="Arial"/>
          <w:i/>
          <w:iCs/>
          <w:color w:val="000000" w:themeColor="text1"/>
          <w:lang w:val="es-ES"/>
        </w:rPr>
        <w:t>estudio del mercado</w:t>
      </w:r>
      <w:r>
        <w:rPr>
          <w:rFonts w:ascii="Verdana" w:eastAsia="Calibri" w:hAnsi="Verdana" w:cs="Arial"/>
          <w:lang w:val="es-ES"/>
        </w:rPr>
        <w:t>,</w:t>
      </w:r>
      <w:r w:rsidRPr="00B7290B">
        <w:rPr>
          <w:rFonts w:ascii="Verdana" w:eastAsia="Calibri" w:hAnsi="Verdana" w:cs="Arial"/>
          <w:lang w:val="es-ES"/>
        </w:rPr>
        <w:t xml:space="preserve"> en el numeral 1.3.4, la Guía explica que “</w:t>
      </w:r>
      <w:r w:rsidRPr="00B7290B">
        <w:rPr>
          <w:rFonts w:ascii="Verdana" w:eastAsia="Calibri" w:hAnsi="Verdana" w:cs="Arial"/>
          <w:i/>
          <w:iCs/>
          <w:lang w:val="es-ES"/>
        </w:rPr>
        <w:t>el estudio de mercado permite comprender la dinámica de los precios y establecer el presupuesto oficial de la contratación. Este comprende la realización de un análisis de los diferentes precios de los bienes o servicios a contratar que se registran en el mercado, los cuales pueden consultarse a través de mecanismos como la solicitud de cotizaciones, la consulta de bases de datos especializadas y el análisis de precios históricos […]”</w:t>
      </w:r>
      <w:r>
        <w:rPr>
          <w:rFonts w:ascii="Verdana" w:eastAsia="Calibri" w:hAnsi="Verdana" w:cs="Arial"/>
          <w:lang w:val="es-ES"/>
        </w:rPr>
        <w:t xml:space="preserve"> y</w:t>
      </w:r>
      <w:r w:rsidRPr="00B7290B">
        <w:rPr>
          <w:rFonts w:ascii="Verdana" w:eastAsia="Calibri" w:hAnsi="Verdana" w:cs="Arial"/>
          <w:lang w:val="es-ES"/>
        </w:rPr>
        <w:t xml:space="preserve"> propone a las Entidades Estatales los siguientes mecanismos para su elaboración: </w:t>
      </w:r>
    </w:p>
    <w:p w14:paraId="59271D90" w14:textId="77777777" w:rsidR="000B3BC8" w:rsidRPr="00B7290B" w:rsidRDefault="000B3BC8" w:rsidP="000B3BC8">
      <w:pPr>
        <w:spacing w:after="0" w:line="276" w:lineRule="auto"/>
        <w:ind w:firstLine="709"/>
        <w:jc w:val="both"/>
        <w:rPr>
          <w:rFonts w:ascii="Verdana" w:eastAsia="Calibri" w:hAnsi="Verdana" w:cs="Arial"/>
          <w:lang w:val="es-ES"/>
        </w:rPr>
      </w:pPr>
    </w:p>
    <w:p w14:paraId="4CA5F474" w14:textId="77777777" w:rsidR="000B3BC8" w:rsidRPr="004F47F3" w:rsidRDefault="000B3BC8" w:rsidP="00E41881">
      <w:pPr>
        <w:spacing w:after="0" w:line="240" w:lineRule="auto"/>
        <w:ind w:left="709" w:right="709"/>
        <w:contextualSpacing/>
        <w:jc w:val="both"/>
        <w:rPr>
          <w:rFonts w:ascii="Verdana" w:eastAsia="Calibri" w:hAnsi="Verdana" w:cs="Arial"/>
          <w:i/>
          <w:iCs/>
          <w:sz w:val="20"/>
          <w:szCs w:val="20"/>
          <w:lang w:val="es-ES"/>
        </w:rPr>
      </w:pPr>
      <w:bookmarkStart w:id="4" w:name="_Hlk176860475"/>
      <w:r w:rsidRPr="004F47F3">
        <w:rPr>
          <w:rFonts w:ascii="Verdana" w:eastAsia="Calibri" w:hAnsi="Verdana" w:cs="Arial"/>
          <w:sz w:val="20"/>
          <w:szCs w:val="20"/>
          <w:lang w:val="es-ES"/>
        </w:rPr>
        <w:t>“</w:t>
      </w:r>
      <w:r w:rsidRPr="004F47F3">
        <w:rPr>
          <w:rFonts w:ascii="Verdana" w:eastAsia="Calibri" w:hAnsi="Verdana" w:cs="Arial"/>
          <w:i/>
          <w:iCs/>
          <w:sz w:val="20"/>
          <w:szCs w:val="20"/>
          <w:lang w:val="es-ES"/>
        </w:rPr>
        <w:t>1. Revisión de precios por solicitud de cotizaciones</w:t>
      </w:r>
      <w:bookmarkEnd w:id="4"/>
      <w:r w:rsidRPr="004F47F3">
        <w:rPr>
          <w:rFonts w:ascii="Verdana" w:eastAsia="Calibri" w:hAnsi="Verdana" w:cs="Arial"/>
          <w:i/>
          <w:iCs/>
          <w:sz w:val="20"/>
          <w:szCs w:val="20"/>
          <w:lang w:val="es-ES"/>
        </w:rPr>
        <w:t xml:space="preserve">: requerir a los potenciales proveedores de los bienes o servicios para que remitan la información necesaria para determinar, entre otros aspectos, el valor del servicio o del bien correspondiente. Para estos efectos, se sugiere incluir en la comunicación toda aquella información pertinente del contrato a ejecutar que permita a los potenciales proveedores estructurar una cotización integral y ajustada a las necesidades de la Entidad, </w:t>
      </w:r>
      <w:proofErr w:type="gramStart"/>
      <w:r w:rsidRPr="004F47F3">
        <w:rPr>
          <w:rFonts w:ascii="Verdana" w:eastAsia="Calibri" w:hAnsi="Verdana" w:cs="Arial"/>
          <w:i/>
          <w:iCs/>
          <w:sz w:val="20"/>
          <w:szCs w:val="20"/>
          <w:lang w:val="es-ES"/>
        </w:rPr>
        <w:t>como</w:t>
      </w:r>
      <w:proofErr w:type="gramEnd"/>
      <w:r w:rsidRPr="004F47F3">
        <w:rPr>
          <w:rFonts w:ascii="Verdana" w:eastAsia="Calibri" w:hAnsi="Verdana" w:cs="Arial"/>
          <w:i/>
          <w:iCs/>
          <w:sz w:val="20"/>
          <w:szCs w:val="20"/>
          <w:lang w:val="es-ES"/>
        </w:rPr>
        <w:t xml:space="preserve"> por ejemplo, especificaciones técnicas del bien o servicio a contratar, plazo del contrato, así como toda aquella información relevante que incida en el precio del bien o servicio.</w:t>
      </w:r>
    </w:p>
    <w:p w14:paraId="159FE980" w14:textId="77777777" w:rsidR="000B3BC8" w:rsidRPr="004F47F3" w:rsidRDefault="000B3BC8" w:rsidP="00E41881">
      <w:pPr>
        <w:spacing w:after="0" w:line="240" w:lineRule="auto"/>
        <w:ind w:left="709" w:right="709"/>
        <w:contextualSpacing/>
        <w:jc w:val="both"/>
        <w:rPr>
          <w:rFonts w:ascii="Verdana" w:eastAsia="Calibri" w:hAnsi="Verdana" w:cs="Arial"/>
          <w:sz w:val="20"/>
          <w:szCs w:val="20"/>
          <w:lang w:val="es-ES"/>
        </w:rPr>
      </w:pPr>
    </w:p>
    <w:p w14:paraId="32CD816F" w14:textId="77777777" w:rsidR="000B3BC8" w:rsidRPr="004F47F3" w:rsidRDefault="000B3BC8" w:rsidP="00E41881">
      <w:pPr>
        <w:spacing w:after="0" w:line="240" w:lineRule="auto"/>
        <w:ind w:left="709" w:right="709"/>
        <w:contextualSpacing/>
        <w:jc w:val="both"/>
        <w:rPr>
          <w:rFonts w:ascii="Verdana" w:eastAsia="Calibri" w:hAnsi="Verdana" w:cs="Arial"/>
          <w:sz w:val="20"/>
          <w:szCs w:val="20"/>
          <w:lang w:val="es-ES"/>
        </w:rPr>
      </w:pPr>
      <w:r w:rsidRPr="004F47F3">
        <w:rPr>
          <w:rFonts w:ascii="Verdana" w:eastAsia="Calibri" w:hAnsi="Verdana" w:cs="Arial"/>
          <w:sz w:val="20"/>
          <w:szCs w:val="20"/>
          <w:lang w:val="es-ES"/>
        </w:rPr>
        <w:t>2. Al recibir las cotizaciones, debe verificarse la ocurrencia de circunstancias que eventualmente pueden distorsionar los precios del mercado, como ofertas especiales de almacenes de cadena, fenómenos de escasez o abundancia del producto, entre otros aspectos.</w:t>
      </w:r>
    </w:p>
    <w:p w14:paraId="10EB4011" w14:textId="77777777" w:rsidR="000B3BC8" w:rsidRPr="004F47F3" w:rsidRDefault="000B3BC8" w:rsidP="00E41881">
      <w:pPr>
        <w:spacing w:after="0" w:line="240" w:lineRule="auto"/>
        <w:ind w:left="709" w:right="709"/>
        <w:contextualSpacing/>
        <w:jc w:val="both"/>
        <w:rPr>
          <w:rFonts w:ascii="Verdana" w:eastAsia="Calibri" w:hAnsi="Verdana" w:cs="Arial"/>
          <w:sz w:val="20"/>
          <w:szCs w:val="20"/>
          <w:lang w:val="es-ES"/>
        </w:rPr>
      </w:pPr>
    </w:p>
    <w:p w14:paraId="2C057D41" w14:textId="77777777" w:rsidR="000B3BC8" w:rsidRPr="004F47F3" w:rsidRDefault="000B3BC8" w:rsidP="00E41881">
      <w:pPr>
        <w:spacing w:after="0" w:line="240" w:lineRule="auto"/>
        <w:ind w:left="709" w:right="709"/>
        <w:contextualSpacing/>
        <w:jc w:val="both"/>
        <w:rPr>
          <w:rFonts w:ascii="Verdana" w:eastAsia="Calibri" w:hAnsi="Verdana" w:cs="Arial"/>
          <w:sz w:val="20"/>
          <w:szCs w:val="20"/>
          <w:lang w:val="es-ES"/>
        </w:rPr>
      </w:pPr>
      <w:r w:rsidRPr="004F47F3">
        <w:rPr>
          <w:rFonts w:ascii="Verdana" w:eastAsia="Calibri" w:hAnsi="Verdana" w:cs="Arial"/>
          <w:sz w:val="20"/>
          <w:szCs w:val="20"/>
          <w:lang w:val="es-ES"/>
        </w:rPr>
        <w:t>3. Revisión de bases de datos especializadas: se adelanta cuando por las condiciones del mercado del bien o servicio a contratar se requiera, y el responsable deberá dejar constancia de las consultas realizadas y de los precios que soportan su estudio. Las bases de datos consultadas deben ser especializadas y representativas en el mercado del bien o servicio a contratar.</w:t>
      </w:r>
    </w:p>
    <w:p w14:paraId="69A2FF7A" w14:textId="77777777" w:rsidR="000B3BC8" w:rsidRPr="004F47F3" w:rsidRDefault="000B3BC8" w:rsidP="00E41881">
      <w:pPr>
        <w:spacing w:after="0" w:line="240" w:lineRule="auto"/>
        <w:ind w:left="709" w:right="709"/>
        <w:contextualSpacing/>
        <w:jc w:val="both"/>
        <w:rPr>
          <w:rFonts w:ascii="Verdana" w:eastAsia="Calibri" w:hAnsi="Verdana" w:cs="Arial"/>
          <w:sz w:val="20"/>
          <w:szCs w:val="20"/>
          <w:lang w:val="es-ES"/>
        </w:rPr>
      </w:pPr>
    </w:p>
    <w:p w14:paraId="2D2FD57F" w14:textId="77777777" w:rsidR="000B3BC8" w:rsidRPr="004F47F3" w:rsidRDefault="000B3BC8" w:rsidP="00E41881">
      <w:pPr>
        <w:spacing w:after="0" w:line="240" w:lineRule="auto"/>
        <w:ind w:left="709" w:right="709"/>
        <w:contextualSpacing/>
        <w:jc w:val="both"/>
        <w:rPr>
          <w:rFonts w:ascii="Verdana" w:eastAsia="Calibri" w:hAnsi="Verdana" w:cs="Arial"/>
          <w:sz w:val="20"/>
          <w:szCs w:val="20"/>
          <w:lang w:val="es-ES"/>
        </w:rPr>
      </w:pPr>
      <w:r w:rsidRPr="004F47F3">
        <w:rPr>
          <w:rFonts w:ascii="Verdana" w:eastAsia="Calibri" w:hAnsi="Verdana" w:cs="Arial"/>
          <w:sz w:val="20"/>
          <w:szCs w:val="20"/>
          <w:lang w:val="es-ES"/>
        </w:rPr>
        <w:t>4. Revisión de precios históricos: para emplear el mecanismo se sugiere verificar la variación de los precios históricos derivados del índice de precios al consumidor en cada año, examinando si se han presentado fenómenos económicos que hayan implicado fluctuaciones importantes en el comercio del bien o servicio. Las características del bien o servicio deben ser las mismas entre una contratación y otra”.</w:t>
      </w:r>
    </w:p>
    <w:p w14:paraId="1F1E2B60" w14:textId="77777777" w:rsidR="000B3BC8" w:rsidRPr="00B7290B" w:rsidRDefault="000B3BC8" w:rsidP="000B3BC8">
      <w:pPr>
        <w:spacing w:after="0" w:line="276" w:lineRule="auto"/>
        <w:ind w:firstLine="709"/>
        <w:jc w:val="both"/>
        <w:rPr>
          <w:rFonts w:ascii="Verdana" w:eastAsia="Calibri" w:hAnsi="Verdana" w:cs="Arial"/>
          <w:color w:val="000000" w:themeColor="text1"/>
          <w:lang w:val="es-ES"/>
        </w:rPr>
      </w:pPr>
    </w:p>
    <w:p w14:paraId="6372CB3A" w14:textId="77777777" w:rsidR="000B3BC8" w:rsidRPr="00531CDD" w:rsidRDefault="000B3BC8" w:rsidP="000B3BC8">
      <w:pPr>
        <w:spacing w:after="120" w:line="276" w:lineRule="auto"/>
        <w:ind w:firstLine="708"/>
        <w:jc w:val="both"/>
        <w:rPr>
          <w:rFonts w:ascii="Verdana" w:hAnsi="Verdana" w:cs="Arial"/>
          <w:bCs/>
        </w:rPr>
      </w:pPr>
      <w:r w:rsidRPr="00782142">
        <w:rPr>
          <w:rFonts w:ascii="Verdana" w:hAnsi="Verdana"/>
        </w:rPr>
        <w:t xml:space="preserve">De forma general, e independientemente de cuál de los mecanismos anteriormente referenciados sea el utilizado para la definición del precio del bien o servicio analizado, se debe tener en cuenta que </w:t>
      </w:r>
      <w:r w:rsidRPr="00782142">
        <w:rPr>
          <w:rFonts w:ascii="Verdana" w:hAnsi="Verdana" w:cs="Arial"/>
          <w:bCs/>
        </w:rPr>
        <w:t xml:space="preserve">cuando se dispone de una cantidad suficiente de información, se puede realizar análisis numérico y gráfico </w:t>
      </w:r>
      <w:r w:rsidRPr="00782142">
        <w:rPr>
          <w:rFonts w:ascii="Verdana" w:hAnsi="Verdana" w:cs="Arial"/>
          <w:bCs/>
        </w:rPr>
        <w:lastRenderedPageBreak/>
        <w:t>para interpretar y visualizar mejor el comportamiento del mercado. La calidad del análisis y la fiabilidad de las conclusiones del estudio están directamente relacionadas con el tamaño de la muestra y la cantidad de datos analizados. A mayor volumen de información considerada, mayor será la precisión del estudio y la confianza en los resultados obtenidos.</w:t>
      </w:r>
      <w:r w:rsidRPr="00782142">
        <w:rPr>
          <w:rFonts w:ascii="Verdana" w:eastAsia="Arial MT" w:hAnsi="Verdana" w:cstheme="majorBidi"/>
        </w:rPr>
        <w:t xml:space="preserve"> Así, si la Entidad adopta decisiones con el acceso a la mayor información disponible tendrá como resultado que las conclusiones del análisis sean más confiables, ya que puede calcularse una mayor cantidad de datos estadísticos que describan el comportamiento del mercado del bien a adquirir.</w:t>
      </w:r>
    </w:p>
    <w:p w14:paraId="45EB699B" w14:textId="77777777" w:rsidR="000B3BC8" w:rsidRDefault="000B3BC8" w:rsidP="000B3BC8">
      <w:pPr>
        <w:spacing w:after="120" w:line="276" w:lineRule="auto"/>
        <w:ind w:firstLine="708"/>
        <w:jc w:val="both"/>
        <w:rPr>
          <w:rFonts w:ascii="Verdana" w:eastAsia="Calibri" w:hAnsi="Verdana" w:cs="Arial"/>
          <w:szCs w:val="24"/>
          <w:lang w:eastAsia="es-ES_tradnl"/>
        </w:rPr>
      </w:pPr>
      <w:r w:rsidRPr="00F26AF2">
        <w:rPr>
          <w:rFonts w:ascii="Verdana" w:eastAsia="Calibri" w:hAnsi="Verdana" w:cs="Arial"/>
          <w:szCs w:val="24"/>
          <w:lang w:eastAsia="es-ES_tradnl"/>
        </w:rPr>
        <w:t xml:space="preserve">Como se observa, la “Guía de Elaboración de Estudios del Sector” recomienda como mecanismo para la elaboración de </w:t>
      </w:r>
      <w:r w:rsidRPr="00F26AF2">
        <w:rPr>
          <w:rFonts w:ascii="Verdana" w:eastAsia="Calibri" w:hAnsi="Verdana" w:cs="Arial"/>
          <w:i/>
          <w:iCs/>
          <w:szCs w:val="24"/>
          <w:lang w:eastAsia="es-ES_tradnl"/>
        </w:rPr>
        <w:t>estudios del mercado</w:t>
      </w:r>
      <w:r w:rsidRPr="00F26AF2">
        <w:rPr>
          <w:rFonts w:ascii="Verdana" w:eastAsia="Calibri" w:hAnsi="Verdana" w:cs="Arial"/>
          <w:szCs w:val="24"/>
          <w:lang w:eastAsia="es-ES_tradnl"/>
        </w:rPr>
        <w:t>, que sirvan para entender la dinámica de los precios y establecer el presupuesto oficial de la contratación, requerir a los potenciales proveedores a fin de que remitan la información necesaria para determinar diversos aspectos de los bienes o servicios a contratar, entre ellos su valor, especificaciones técnicas, el plazo, entre otra información relevante. En principio, que un potencial proveedor participe en estos estudios del mercado, remitiendo cotizaciones por citar un ejemplo, no implica que en el futuro no pueda participar del Proceso de Contratación que se adelante.</w:t>
      </w:r>
    </w:p>
    <w:p w14:paraId="733F2A9C" w14:textId="77777777" w:rsidR="000B3BC8" w:rsidRDefault="000B3BC8" w:rsidP="000B3BC8">
      <w:pPr>
        <w:spacing w:line="276" w:lineRule="auto"/>
        <w:ind w:firstLine="708"/>
        <w:jc w:val="both"/>
        <w:rPr>
          <w:rFonts w:ascii="Verdana" w:hAnsi="Verdana" w:cs="Arial"/>
          <w:sz w:val="20"/>
          <w:szCs w:val="20"/>
        </w:rPr>
      </w:pPr>
      <w:r>
        <w:rPr>
          <w:rFonts w:ascii="Verdana" w:eastAsia="Times New Roman" w:hAnsi="Verdana" w:cs="Arial"/>
          <w:szCs w:val="24"/>
          <w:lang w:eastAsia="es-ES_tradnl"/>
        </w:rPr>
        <w:t>En este punto</w:t>
      </w:r>
      <w:r w:rsidRPr="003767C8">
        <w:rPr>
          <w:rFonts w:ascii="Verdana" w:eastAsia="Times New Roman" w:hAnsi="Verdana" w:cs="Arial"/>
          <w:szCs w:val="24"/>
          <w:lang w:eastAsia="es-ES_tradnl"/>
        </w:rPr>
        <w:t xml:space="preserve"> es pertinente que la entidad </w:t>
      </w:r>
      <w:r w:rsidRPr="0085777B">
        <w:rPr>
          <w:rFonts w:ascii="Verdana" w:eastAsia="Times New Roman" w:hAnsi="Verdana" w:cs="Arial"/>
          <w:szCs w:val="24"/>
          <w:lang w:eastAsia="es-ES_tradnl"/>
        </w:rPr>
        <w:t>evalú</w:t>
      </w:r>
      <w:r>
        <w:rPr>
          <w:rFonts w:ascii="Verdana" w:eastAsia="Times New Roman" w:hAnsi="Verdana" w:cs="Arial"/>
          <w:szCs w:val="24"/>
          <w:lang w:eastAsia="es-ES_tradnl"/>
        </w:rPr>
        <w:t>e</w:t>
      </w:r>
      <w:r w:rsidRPr="0085777B">
        <w:rPr>
          <w:rFonts w:ascii="Verdana" w:eastAsia="Times New Roman" w:hAnsi="Verdana" w:cs="Arial"/>
          <w:szCs w:val="24"/>
          <w:lang w:eastAsia="es-ES_tradnl"/>
        </w:rPr>
        <w:t xml:space="preserve"> cuidadosamente si aplicó un proceso riguroso y bien fundamentado en la recopilación de información de los proveedores, verificando la pertinencia y calidad de las estrategias utilizadas</w:t>
      </w:r>
      <w:r w:rsidRPr="003767C8">
        <w:rPr>
          <w:rFonts w:ascii="Verdana" w:eastAsia="Times New Roman" w:hAnsi="Verdana" w:cs="Arial"/>
          <w:szCs w:val="24"/>
          <w:lang w:eastAsia="es-ES_tradnl"/>
        </w:rPr>
        <w:t xml:space="preserve">, ¿dispuso de una base de datos de posibles proveedores o antiguos contratistas que pudieran prestar el </w:t>
      </w:r>
      <w:r w:rsidRPr="00497637">
        <w:rPr>
          <w:rFonts w:ascii="Verdana" w:eastAsia="Times New Roman" w:hAnsi="Verdana" w:cs="Arial"/>
          <w:szCs w:val="24"/>
          <w:lang w:eastAsia="es-ES_tradnl"/>
        </w:rPr>
        <w:t>servicio</w:t>
      </w:r>
      <w:r w:rsidRPr="003767C8">
        <w:rPr>
          <w:rFonts w:ascii="Verdana" w:eastAsia="Times New Roman" w:hAnsi="Verdana" w:cs="Arial"/>
          <w:szCs w:val="24"/>
          <w:lang w:eastAsia="es-ES_tradnl"/>
        </w:rPr>
        <w:t xml:space="preserve"> o el bien requerido</w:t>
      </w:r>
      <w:r>
        <w:rPr>
          <w:rFonts w:ascii="Verdana" w:eastAsia="Times New Roman" w:hAnsi="Verdana" w:cs="Arial"/>
          <w:szCs w:val="24"/>
          <w:lang w:eastAsia="es-ES_tradnl"/>
        </w:rPr>
        <w:t xml:space="preserve"> por la entidad</w:t>
      </w:r>
      <w:r w:rsidRPr="003767C8">
        <w:rPr>
          <w:rFonts w:ascii="Verdana" w:eastAsia="Times New Roman" w:hAnsi="Verdana" w:cs="Arial"/>
          <w:szCs w:val="24"/>
          <w:lang w:eastAsia="es-ES_tradnl"/>
        </w:rPr>
        <w:t>?</w:t>
      </w:r>
      <w:r>
        <w:rPr>
          <w:rFonts w:ascii="Verdana" w:eastAsia="Times New Roman" w:hAnsi="Verdana" w:cs="Arial"/>
          <w:szCs w:val="24"/>
          <w:lang w:eastAsia="es-ES_tradnl"/>
        </w:rPr>
        <w:t>,</w:t>
      </w:r>
      <w:r w:rsidRPr="003767C8">
        <w:rPr>
          <w:rFonts w:ascii="Verdana" w:eastAsia="Times New Roman" w:hAnsi="Verdana" w:cs="Arial"/>
          <w:szCs w:val="24"/>
          <w:lang w:eastAsia="es-ES_tradnl"/>
        </w:rPr>
        <w:t xml:space="preserve"> ¿envió correos electrónicos a un </w:t>
      </w:r>
      <w:r w:rsidRPr="00497637">
        <w:rPr>
          <w:rFonts w:ascii="Verdana" w:eastAsia="Times New Roman" w:hAnsi="Verdana" w:cs="Arial"/>
          <w:szCs w:val="24"/>
          <w:lang w:eastAsia="es-ES_tradnl"/>
        </w:rPr>
        <w:t>número</w:t>
      </w:r>
      <w:r w:rsidRPr="003767C8">
        <w:rPr>
          <w:rFonts w:ascii="Verdana" w:eastAsia="Times New Roman" w:hAnsi="Verdana" w:cs="Arial"/>
          <w:szCs w:val="24"/>
          <w:lang w:eastAsia="es-ES_tradnl"/>
        </w:rPr>
        <w:t xml:space="preserve"> </w:t>
      </w:r>
      <w:r w:rsidRPr="0086117B">
        <w:rPr>
          <w:rFonts w:ascii="Verdana" w:eastAsia="Times New Roman" w:hAnsi="Verdana" w:cs="Arial"/>
          <w:szCs w:val="24"/>
          <w:lang w:eastAsia="es-ES_tradnl"/>
        </w:rPr>
        <w:t>significativo de posibles oferentes para ampliar la recopilación de información</w:t>
      </w:r>
      <w:r w:rsidRPr="003767C8">
        <w:rPr>
          <w:rFonts w:ascii="Verdana" w:eastAsia="Times New Roman" w:hAnsi="Verdana" w:cs="Arial"/>
          <w:szCs w:val="24"/>
          <w:lang w:eastAsia="es-ES_tradnl"/>
        </w:rPr>
        <w:t>?</w:t>
      </w:r>
      <w:r>
        <w:rPr>
          <w:rFonts w:ascii="Verdana" w:eastAsia="Times New Roman" w:hAnsi="Verdana" w:cs="Arial"/>
          <w:szCs w:val="24"/>
          <w:lang w:eastAsia="es-ES_tradnl"/>
        </w:rPr>
        <w:t xml:space="preserve"> ¿realizó</w:t>
      </w:r>
      <w:r w:rsidRPr="003767C8">
        <w:rPr>
          <w:rFonts w:ascii="Verdana" w:eastAsia="Times New Roman" w:hAnsi="Verdana" w:cs="Arial"/>
          <w:szCs w:val="24"/>
          <w:lang w:eastAsia="es-ES_tradnl"/>
        </w:rPr>
        <w:t xml:space="preserve"> </w:t>
      </w:r>
      <w:r w:rsidRPr="007E492A">
        <w:rPr>
          <w:rFonts w:ascii="Verdana" w:eastAsia="Times New Roman" w:hAnsi="Verdana" w:cs="Arial"/>
          <w:szCs w:val="24"/>
          <w:lang w:eastAsia="es-ES_tradnl"/>
        </w:rPr>
        <w:t>sondeos de mercado utilizando la funcionalidad de “Solicitud de Información a Proveedores” de la plataforma SECOP II? A través de esta funcionalidad se puede enviar solicitudes de información a todos los proveedores registrados en el SECOP II con los códigos de Naciones Unidas de su Proceso de Contratación.</w:t>
      </w:r>
      <w:r w:rsidRPr="003767C8">
        <w:rPr>
          <w:rFonts w:ascii="Verdana" w:hAnsi="Verdana" w:cs="Arial"/>
          <w:sz w:val="20"/>
          <w:szCs w:val="20"/>
        </w:rPr>
        <w:t xml:space="preserve"> </w:t>
      </w:r>
    </w:p>
    <w:p w14:paraId="59529191" w14:textId="77777777" w:rsidR="000B3BC8" w:rsidRPr="007E492A" w:rsidRDefault="000B3BC8" w:rsidP="000B3BC8">
      <w:pPr>
        <w:spacing w:after="120" w:line="276" w:lineRule="auto"/>
        <w:ind w:firstLine="708"/>
        <w:jc w:val="both"/>
        <w:rPr>
          <w:rFonts w:ascii="Verdana" w:eastAsia="Calibri" w:hAnsi="Verdana" w:cs="Arial"/>
          <w:szCs w:val="24"/>
          <w:lang w:eastAsia="es-ES_tradnl"/>
        </w:rPr>
      </w:pPr>
      <w:proofErr w:type="spellStart"/>
      <w:r w:rsidRPr="003A73CC">
        <w:rPr>
          <w:rFonts w:ascii="Verdana" w:eastAsia="Calibri" w:hAnsi="Verdana" w:cs="Arial"/>
          <w:szCs w:val="24"/>
          <w:lang w:eastAsia="es-ES_tradnl"/>
        </w:rPr>
        <w:t>ii</w:t>
      </w:r>
      <w:proofErr w:type="spellEnd"/>
      <w:r w:rsidRPr="003A73CC">
        <w:rPr>
          <w:rFonts w:ascii="Verdana" w:eastAsia="Calibri" w:hAnsi="Verdana" w:cs="Arial"/>
          <w:szCs w:val="24"/>
          <w:lang w:eastAsia="es-ES_tradnl"/>
        </w:rPr>
        <w:t>) En concordancia con lo previamente expuesto  y siguiendo esa línea de pensamiento,</w:t>
      </w:r>
      <w:r w:rsidRPr="003A73CC">
        <w:rPr>
          <w:rFonts w:ascii="Verdana" w:eastAsia="Calibri" w:hAnsi="Verdana" w:cs="Arial"/>
          <w:bCs/>
          <w:szCs w:val="24"/>
          <w:lang w:val="es-ES_tradnl" w:eastAsia="es-ES_tradnl"/>
        </w:rPr>
        <w:t xml:space="preserve"> el análisis del sector </w:t>
      </w:r>
      <w:r w:rsidRPr="003A73CC">
        <w:rPr>
          <w:rFonts w:ascii="Verdana" w:eastAsia="Times New Roman" w:hAnsi="Verdana" w:cs="Arial"/>
          <w:bCs/>
          <w:szCs w:val="24"/>
          <w:lang w:val="es-ES_tradnl" w:eastAsia="es-ES_tradnl"/>
        </w:rPr>
        <w:t xml:space="preserve">parte de un estudio desde una perspectiva multidisciplinaria, que implica los aspectos generales del mercado, el análisis de la demanda y de la oferta, así como el estudio del mercado que le permite a la entidad entender el mercado del bien, obra o servicio que pretenden adquirir, así como identificar los factores que inciden en el valor del contrato, tales como </w:t>
      </w:r>
      <w:r w:rsidRPr="003A73CC">
        <w:rPr>
          <w:rFonts w:ascii="Verdana" w:eastAsia="Times New Roman" w:hAnsi="Verdana" w:cs="Arial"/>
          <w:bCs/>
          <w:szCs w:val="24"/>
          <w:lang w:val="es-ES_tradnl" w:eastAsia="es-ES_tradnl"/>
        </w:rPr>
        <w:lastRenderedPageBreak/>
        <w:t xml:space="preserve">el análisis de precios, las cargas tributarias, la tasa de cambio, las garantías, los gastos de transporte, etc. Este análisis se </w:t>
      </w:r>
      <w:r w:rsidRPr="003A73CC">
        <w:rPr>
          <w:rFonts w:ascii="Verdana" w:eastAsia="Times New Roman" w:hAnsi="Verdana" w:cs="Arial"/>
          <w:szCs w:val="24"/>
          <w:lang w:eastAsia="es-ES_tradnl"/>
        </w:rPr>
        <w:t xml:space="preserve">debe consignar en los </w:t>
      </w:r>
      <w:r w:rsidRPr="003A73CC">
        <w:rPr>
          <w:rFonts w:ascii="Verdana" w:eastAsia="Calibri" w:hAnsi="Verdana" w:cs="Arial"/>
          <w:szCs w:val="24"/>
          <w:lang w:eastAsia="es-ES_tradnl"/>
        </w:rPr>
        <w:t>Documentos del Proceso, bien sea en los estudios previos o en la información soporte de estos.</w:t>
      </w:r>
      <w:r w:rsidRPr="007E492A">
        <w:rPr>
          <w:rFonts w:ascii="Verdana" w:eastAsia="Calibri" w:hAnsi="Verdana" w:cs="Arial"/>
          <w:szCs w:val="24"/>
          <w:lang w:eastAsia="es-ES_tradnl"/>
        </w:rPr>
        <w:t xml:space="preserve"> </w:t>
      </w:r>
    </w:p>
    <w:p w14:paraId="4FA73AEC" w14:textId="77777777" w:rsidR="000B3BC8" w:rsidRDefault="000B3BC8" w:rsidP="000B3BC8">
      <w:pPr>
        <w:ind w:firstLine="567"/>
        <w:jc w:val="both"/>
        <w:rPr>
          <w:rFonts w:ascii="Verdana" w:hAnsi="Verdana"/>
        </w:rPr>
      </w:pPr>
      <w:r>
        <w:rPr>
          <w:rFonts w:ascii="Verdana" w:hAnsi="Verdana"/>
        </w:rPr>
        <w:t>En c</w:t>
      </w:r>
      <w:r w:rsidRPr="00AC2D6B">
        <w:rPr>
          <w:rFonts w:ascii="Verdana" w:hAnsi="Verdana"/>
        </w:rPr>
        <w:t xml:space="preserve">ualquier </w:t>
      </w:r>
      <w:r>
        <w:rPr>
          <w:rFonts w:ascii="Verdana" w:hAnsi="Verdana"/>
        </w:rPr>
        <w:t xml:space="preserve">caso, en el </w:t>
      </w:r>
      <w:r w:rsidRPr="00AC2D6B">
        <w:rPr>
          <w:rFonts w:ascii="Verdana" w:hAnsi="Verdana"/>
        </w:rPr>
        <w:t>mecanismo</w:t>
      </w:r>
      <w:r>
        <w:rPr>
          <w:rFonts w:ascii="Verdana" w:hAnsi="Verdana"/>
        </w:rPr>
        <w:t xml:space="preserve"> que sea empleado</w:t>
      </w:r>
      <w:r w:rsidRPr="00AC2D6B">
        <w:rPr>
          <w:rFonts w:ascii="Verdana" w:hAnsi="Verdana"/>
        </w:rPr>
        <w:t xml:space="preserve"> para conocer los precios del mercado, es importante </w:t>
      </w:r>
      <w:r>
        <w:rPr>
          <w:rFonts w:ascii="Verdana" w:hAnsi="Verdana"/>
        </w:rPr>
        <w:t xml:space="preserve">que este permita </w:t>
      </w:r>
      <w:r w:rsidRPr="00AC2D6B">
        <w:rPr>
          <w:rFonts w:ascii="Verdana" w:hAnsi="Verdana"/>
        </w:rPr>
        <w:t xml:space="preserve">identificar y analizar las variables que puedan incidir en los precios, como por ejemplo la variación del IPC o de la tasa de cambio, así como </w:t>
      </w:r>
      <w:r>
        <w:rPr>
          <w:rFonts w:ascii="Verdana" w:hAnsi="Verdana"/>
        </w:rPr>
        <w:t>la fluctuación</w:t>
      </w:r>
      <w:r w:rsidRPr="00AC2D6B">
        <w:rPr>
          <w:rFonts w:ascii="Verdana" w:hAnsi="Verdana"/>
        </w:rPr>
        <w:t xml:space="preserve"> en los precios de</w:t>
      </w:r>
      <w:r>
        <w:rPr>
          <w:rFonts w:ascii="Verdana" w:hAnsi="Verdana"/>
        </w:rPr>
        <w:t xml:space="preserve"> las</w:t>
      </w:r>
      <w:r w:rsidRPr="00AC2D6B">
        <w:rPr>
          <w:rFonts w:ascii="Verdana" w:hAnsi="Verdana"/>
        </w:rPr>
        <w:t xml:space="preserve"> materias primas</w:t>
      </w:r>
      <w:r>
        <w:rPr>
          <w:rFonts w:ascii="Verdana" w:hAnsi="Verdana"/>
        </w:rPr>
        <w:t>, por lo que l</w:t>
      </w:r>
      <w:r w:rsidRPr="00260880">
        <w:rPr>
          <w:rFonts w:ascii="Verdana" w:hAnsi="Verdana"/>
        </w:rPr>
        <w:t>a conclusión del estudio de mercado deberá proporcionar un análisis claro y fundamentado de estas dinámicas. A partir de ello, será posible determinar un presupuesto oficial que se ajuste a la realidad económica y garantice la viabilidad del proceso de contratación, minimizando riesgos financieros y asegurando una asignación eficiente de los recursos.</w:t>
      </w:r>
    </w:p>
    <w:p w14:paraId="5D8C4201" w14:textId="77777777" w:rsidR="000B3BC8" w:rsidRDefault="000B3BC8" w:rsidP="000B3BC8">
      <w:pPr>
        <w:ind w:firstLine="567"/>
        <w:jc w:val="both"/>
        <w:rPr>
          <w:rFonts w:ascii="Verdana" w:hAnsi="Verdana"/>
        </w:rPr>
      </w:pPr>
      <w:r>
        <w:rPr>
          <w:rFonts w:ascii="Verdana" w:hAnsi="Verdana"/>
        </w:rPr>
        <w:t>En este sentido y para responder al segundo problema jurídico planteado, la utilización de precios de internet puede configurarse en una herramienta para establecer precios de referencia del mercado si la Entidad Estatal que estructura el estudio de mercado los considera viable, sin embargo desde la perspectiva de la Agencia, este tipo de herramientas (precios de internet) debe ser utilizada en la medida que a partir de la información obtenida por la Entidad pueda reflejar las condiciones reales del precio del bien o servicio conforme con el alcance requerido.</w:t>
      </w:r>
    </w:p>
    <w:p w14:paraId="68CD0B22" w14:textId="77777777" w:rsidR="000B3BC8" w:rsidRDefault="000B3BC8" w:rsidP="000B3BC8">
      <w:pPr>
        <w:ind w:firstLine="567"/>
        <w:jc w:val="both"/>
        <w:rPr>
          <w:rFonts w:ascii="Verdana" w:hAnsi="Verdana"/>
        </w:rPr>
      </w:pPr>
      <w:r>
        <w:rPr>
          <w:rFonts w:ascii="Verdana" w:hAnsi="Verdana"/>
        </w:rPr>
        <w:t xml:space="preserve">Es por ello, </w:t>
      </w:r>
      <w:proofErr w:type="gramStart"/>
      <w:r>
        <w:rPr>
          <w:rFonts w:ascii="Verdana" w:hAnsi="Verdana"/>
        </w:rPr>
        <w:t>que</w:t>
      </w:r>
      <w:proofErr w:type="gramEnd"/>
      <w:r>
        <w:rPr>
          <w:rFonts w:ascii="Verdana" w:hAnsi="Verdana"/>
        </w:rPr>
        <w:t xml:space="preserve"> en el marco de los lineamientos para el desarrollo de estudios de mercado referenciados en la Guía, al respecto de la utilización de precios tomados de internet (por </w:t>
      </w:r>
      <w:proofErr w:type="gramStart"/>
      <w:r>
        <w:rPr>
          <w:rFonts w:ascii="Verdana" w:hAnsi="Verdana"/>
        </w:rPr>
        <w:t>ejemplo</w:t>
      </w:r>
      <w:proofErr w:type="gramEnd"/>
      <w:r>
        <w:rPr>
          <w:rFonts w:ascii="Verdana" w:hAnsi="Verdana"/>
        </w:rPr>
        <w:t xml:space="preserve"> los tomados de plataformas de </w:t>
      </w:r>
      <w:proofErr w:type="spellStart"/>
      <w:r>
        <w:rPr>
          <w:rFonts w:ascii="Verdana" w:hAnsi="Verdana"/>
        </w:rPr>
        <w:t>Ecommerce</w:t>
      </w:r>
      <w:proofErr w:type="spellEnd"/>
      <w:r>
        <w:rPr>
          <w:rFonts w:ascii="Verdana" w:hAnsi="Verdana"/>
        </w:rPr>
        <w:t xml:space="preserve"> como “MercadoLibre”), es de vital importancia que se tenga en consideración los riesgos o dificultades que pueden acarrear la utilización de precios de internet para la obtención de una cotización integral y ajustada a las necesidades de la Entidad:</w:t>
      </w:r>
    </w:p>
    <w:p w14:paraId="1D311156" w14:textId="77777777" w:rsidR="000B3BC8" w:rsidRDefault="000B3BC8" w:rsidP="000B3BC8">
      <w:pPr>
        <w:pStyle w:val="Prrafodelista"/>
        <w:numPr>
          <w:ilvl w:val="0"/>
          <w:numId w:val="18"/>
        </w:numPr>
        <w:jc w:val="both"/>
        <w:rPr>
          <w:rFonts w:ascii="Verdana" w:hAnsi="Verdana"/>
        </w:rPr>
      </w:pPr>
      <w:r>
        <w:rPr>
          <w:rFonts w:ascii="Verdana" w:hAnsi="Verdana"/>
        </w:rPr>
        <w:t>Tomar precios de internet sin un adecuado análisis técnico, puede traer como consecuencia la utilización de precios de referencia alejados de las necesidades de la Entidad, lo que implicaría riesgos de sobreestimación o subestimación de precios, ya que l</w:t>
      </w:r>
      <w:r w:rsidRPr="0057180B">
        <w:rPr>
          <w:rFonts w:ascii="Verdana" w:hAnsi="Verdana"/>
        </w:rPr>
        <w:t>a necesidad de estandarización de las especificaciones técnicas de los bienes o servicios requeridos</w:t>
      </w:r>
      <w:r>
        <w:rPr>
          <w:rFonts w:ascii="Verdana" w:hAnsi="Verdana"/>
        </w:rPr>
        <w:t>,</w:t>
      </w:r>
      <w:r w:rsidRPr="0057180B">
        <w:rPr>
          <w:rFonts w:ascii="Verdana" w:hAnsi="Verdana"/>
        </w:rPr>
        <w:t xml:space="preserve"> </w:t>
      </w:r>
      <w:r>
        <w:rPr>
          <w:rFonts w:ascii="Verdana" w:hAnsi="Verdana"/>
        </w:rPr>
        <w:t>para</w:t>
      </w:r>
      <w:r w:rsidRPr="0057180B">
        <w:rPr>
          <w:rFonts w:ascii="Verdana" w:hAnsi="Verdana"/>
        </w:rPr>
        <w:t xml:space="preserve"> efectos de contar con precios de referencia acotados a la necesidad de la Entidad</w:t>
      </w:r>
      <w:r>
        <w:rPr>
          <w:rFonts w:ascii="Verdana" w:hAnsi="Verdana"/>
        </w:rPr>
        <w:t>, es un eje central para el éxito de un análisis de mercado.</w:t>
      </w:r>
    </w:p>
    <w:p w14:paraId="7E72DEFD" w14:textId="77777777" w:rsidR="000B3BC8" w:rsidRDefault="000B3BC8" w:rsidP="000B3BC8">
      <w:pPr>
        <w:pStyle w:val="Prrafodelista"/>
        <w:jc w:val="both"/>
        <w:rPr>
          <w:rFonts w:ascii="Verdana" w:hAnsi="Verdana"/>
        </w:rPr>
      </w:pPr>
    </w:p>
    <w:p w14:paraId="17E18C72" w14:textId="77777777" w:rsidR="000B3BC8" w:rsidRDefault="000B3BC8" w:rsidP="000B3BC8">
      <w:pPr>
        <w:pStyle w:val="Prrafodelista"/>
        <w:numPr>
          <w:ilvl w:val="0"/>
          <w:numId w:val="18"/>
        </w:numPr>
        <w:jc w:val="both"/>
        <w:rPr>
          <w:rFonts w:ascii="Verdana" w:hAnsi="Verdana"/>
        </w:rPr>
      </w:pPr>
      <w:r>
        <w:rPr>
          <w:rFonts w:ascii="Verdana" w:hAnsi="Verdana"/>
        </w:rPr>
        <w:t>L</w:t>
      </w:r>
      <w:r w:rsidRPr="00AA6DD5">
        <w:rPr>
          <w:rFonts w:ascii="Verdana" w:hAnsi="Verdana"/>
        </w:rPr>
        <w:t>as necesidades de la Entidad no se a</w:t>
      </w:r>
      <w:r>
        <w:rPr>
          <w:rFonts w:ascii="Verdana" w:hAnsi="Verdana"/>
        </w:rPr>
        <w:t>gotan</w:t>
      </w:r>
      <w:r w:rsidRPr="00AA6DD5">
        <w:rPr>
          <w:rFonts w:ascii="Verdana" w:hAnsi="Verdana"/>
        </w:rPr>
        <w:t xml:space="preserve"> en la especificación del bien o servicio requerido, adicionalmente, estas</w:t>
      </w:r>
      <w:r>
        <w:rPr>
          <w:rFonts w:ascii="Verdana" w:hAnsi="Verdana"/>
        </w:rPr>
        <w:t xml:space="preserve"> incluyen la definición de</w:t>
      </w:r>
      <w:r w:rsidRPr="00AA6DD5">
        <w:rPr>
          <w:rFonts w:ascii="Verdana" w:hAnsi="Verdana"/>
        </w:rPr>
        <w:t xml:space="preserve"> </w:t>
      </w:r>
      <w:r w:rsidRPr="00AA6DD5">
        <w:rPr>
          <w:rFonts w:ascii="Verdana" w:hAnsi="Verdana"/>
        </w:rPr>
        <w:lastRenderedPageBreak/>
        <w:t>cantidades,</w:t>
      </w:r>
      <w:r>
        <w:rPr>
          <w:rFonts w:ascii="Verdana" w:hAnsi="Verdana"/>
        </w:rPr>
        <w:t xml:space="preserve"> condiciones de entrega (plazo, forma y lugar), </w:t>
      </w:r>
      <w:r w:rsidRPr="00AA6DD5">
        <w:rPr>
          <w:rFonts w:ascii="Verdana" w:hAnsi="Verdana"/>
        </w:rPr>
        <w:t>plazos</w:t>
      </w:r>
      <w:r>
        <w:rPr>
          <w:rFonts w:ascii="Verdana" w:hAnsi="Verdana"/>
        </w:rPr>
        <w:t xml:space="preserve"> de ejecución</w:t>
      </w:r>
      <w:r w:rsidRPr="00AA6DD5">
        <w:rPr>
          <w:rFonts w:ascii="Verdana" w:hAnsi="Verdana"/>
        </w:rPr>
        <w:t>,</w:t>
      </w:r>
      <w:r>
        <w:rPr>
          <w:rFonts w:ascii="Verdana" w:hAnsi="Verdana"/>
        </w:rPr>
        <w:t xml:space="preserve"> personal mínimo, garantías y demás elementos</w:t>
      </w:r>
      <w:r w:rsidRPr="00AA6DD5">
        <w:rPr>
          <w:rFonts w:ascii="Verdana" w:hAnsi="Verdana"/>
        </w:rPr>
        <w:t xml:space="preserve"> que </w:t>
      </w:r>
      <w:r>
        <w:rPr>
          <w:rFonts w:ascii="Verdana" w:hAnsi="Verdana"/>
        </w:rPr>
        <w:t>pueden incidir</w:t>
      </w:r>
      <w:r w:rsidRPr="00AA6DD5">
        <w:rPr>
          <w:rFonts w:ascii="Verdana" w:hAnsi="Verdana"/>
        </w:rPr>
        <w:t xml:space="preserve"> en el precio del bien o servicio.</w:t>
      </w:r>
      <w:r>
        <w:rPr>
          <w:rFonts w:ascii="Verdana" w:hAnsi="Verdana"/>
        </w:rPr>
        <w:t xml:space="preserve"> </w:t>
      </w:r>
    </w:p>
    <w:p w14:paraId="42D5A0B2" w14:textId="77777777" w:rsidR="000B3BC8" w:rsidRPr="004A016E" w:rsidRDefault="000B3BC8" w:rsidP="000B3BC8">
      <w:pPr>
        <w:pStyle w:val="Prrafodelista"/>
        <w:rPr>
          <w:rFonts w:ascii="Verdana" w:hAnsi="Verdana"/>
        </w:rPr>
      </w:pPr>
    </w:p>
    <w:p w14:paraId="188297BF" w14:textId="77777777" w:rsidR="000B3BC8" w:rsidRPr="003A73CC" w:rsidRDefault="000B3BC8" w:rsidP="000B3BC8">
      <w:pPr>
        <w:ind w:left="851"/>
        <w:jc w:val="both"/>
        <w:rPr>
          <w:rFonts w:ascii="Verdana" w:hAnsi="Verdana"/>
        </w:rPr>
      </w:pPr>
      <w:r w:rsidRPr="003A73CC">
        <w:rPr>
          <w:rFonts w:ascii="Verdana" w:hAnsi="Verdana"/>
        </w:rPr>
        <w:t xml:space="preserve">Por lo anterior, tomar un precio de internet sin tener en consideración alguno de estos elementos, puede suponer un riesgo para el ejercicio de estimación de precios, ya que posiblemente la utilización de un precio descontextualizado del alcance total del bien o servicio requerido, podría implicar una </w:t>
      </w:r>
      <w:r>
        <w:rPr>
          <w:rFonts w:ascii="Verdana" w:hAnsi="Verdana"/>
        </w:rPr>
        <w:t>incorrecta</w:t>
      </w:r>
      <w:r w:rsidRPr="003A73CC">
        <w:rPr>
          <w:rFonts w:ascii="Verdana" w:hAnsi="Verdana"/>
        </w:rPr>
        <w:t xml:space="preserve"> estimación del costo del mismo; por ejemplo, una Entidad que requiere un determinado bien, pero adicionalmente requiere que el mismo sea entregado en diferentes puntos regionales en el país, y al momento de tomar el precio de internet, utiliza un precio unitario sin considerar el precio del transporte, hasta los diferentes puntos en los que este requiere ser entregado.</w:t>
      </w:r>
    </w:p>
    <w:p w14:paraId="65042E03" w14:textId="77777777" w:rsidR="000B3BC8" w:rsidRPr="0091001D" w:rsidRDefault="000B3BC8" w:rsidP="000B3BC8">
      <w:pPr>
        <w:pStyle w:val="Prrafodelista"/>
        <w:jc w:val="both"/>
        <w:rPr>
          <w:rFonts w:ascii="Verdana" w:hAnsi="Verdana"/>
        </w:rPr>
      </w:pPr>
    </w:p>
    <w:p w14:paraId="6C6608B2" w14:textId="77777777" w:rsidR="000B3BC8" w:rsidRDefault="000B3BC8" w:rsidP="000B3BC8">
      <w:pPr>
        <w:pStyle w:val="Prrafodelista"/>
        <w:numPr>
          <w:ilvl w:val="0"/>
          <w:numId w:val="18"/>
        </w:numPr>
        <w:jc w:val="both"/>
        <w:rPr>
          <w:rFonts w:ascii="Verdana" w:hAnsi="Verdana"/>
        </w:rPr>
      </w:pPr>
      <w:r>
        <w:rPr>
          <w:rFonts w:ascii="Verdana" w:hAnsi="Verdana"/>
        </w:rPr>
        <w:t>Considerando que</w:t>
      </w:r>
      <w:r w:rsidRPr="00AC2D6B">
        <w:rPr>
          <w:rFonts w:ascii="Verdana" w:hAnsi="Verdana"/>
        </w:rPr>
        <w:t xml:space="preserve"> conclusión del estudio de mercado deberá responder claramente </w:t>
      </w:r>
      <w:r>
        <w:rPr>
          <w:rFonts w:ascii="Verdana" w:hAnsi="Verdana"/>
        </w:rPr>
        <w:t xml:space="preserve">a </w:t>
      </w:r>
      <w:r w:rsidRPr="00AC2D6B">
        <w:rPr>
          <w:rFonts w:ascii="Verdana" w:hAnsi="Verdana"/>
        </w:rPr>
        <w:t>cuáles son las dinámicas de precios</w:t>
      </w:r>
      <w:r>
        <w:rPr>
          <w:rFonts w:ascii="Verdana" w:hAnsi="Verdana"/>
        </w:rPr>
        <w:t xml:space="preserve"> de un determinado bien o servicio, la Entidad al momento de utilizar precios de internet para establecer el precio de referencia de un bien o servicio, debe analizar si esta metodología le permite evidenciar las condiciones del mercado del bien o servicio y las dinámicas de precios, por ejemplo, las economías de escala que se pueda presentar ante la compra de mayores cantidades, etc.</w:t>
      </w:r>
    </w:p>
    <w:p w14:paraId="21688C2D" w14:textId="77777777" w:rsidR="000B3BC8" w:rsidRDefault="000B3BC8" w:rsidP="000B3BC8">
      <w:pPr>
        <w:pStyle w:val="Prrafodelista"/>
        <w:jc w:val="both"/>
        <w:rPr>
          <w:rFonts w:ascii="Verdana" w:hAnsi="Verdana"/>
        </w:rPr>
      </w:pPr>
    </w:p>
    <w:p w14:paraId="42D66966" w14:textId="77777777" w:rsidR="000B3BC8" w:rsidRDefault="000B3BC8" w:rsidP="000B3BC8">
      <w:pPr>
        <w:pStyle w:val="Prrafodelista"/>
        <w:numPr>
          <w:ilvl w:val="0"/>
          <w:numId w:val="18"/>
        </w:numPr>
        <w:jc w:val="both"/>
        <w:rPr>
          <w:rFonts w:ascii="Verdana" w:hAnsi="Verdana"/>
        </w:rPr>
      </w:pPr>
      <w:r>
        <w:rPr>
          <w:rFonts w:ascii="Verdana" w:hAnsi="Verdana"/>
        </w:rPr>
        <w:t>El estudio de sector, es un ejercicio que le permite a las Entidades Estatales conocer las condiciones del mercado de un bien o servicio en particular, lo cual no supone únicamente el componente precio, igualmente supone obtener información relevante respecto a proveedores, dinámicas de compra y  venta de un bien o servicio específico, por ende, y teniendo en cuenta las dinámicas particulares para la compra de bienes y servicios por parte de las Entidades Estatales, limitar el ejercicio de análisis de precios al esquema de búsqueda por internet, se puede configurar en una limitante para identificar características propias de los proveedores que prestan un determinado bien o servicio, y las condiciones en las que los suministran.</w:t>
      </w:r>
    </w:p>
    <w:p w14:paraId="369639BC" w14:textId="77777777" w:rsidR="000B3BC8" w:rsidRPr="007E492A" w:rsidRDefault="000B3BC8" w:rsidP="00E41881">
      <w:pPr>
        <w:spacing w:after="120" w:line="276" w:lineRule="auto"/>
        <w:ind w:firstLine="360"/>
        <w:jc w:val="both"/>
        <w:rPr>
          <w:rFonts w:ascii="Verdana" w:eastAsia="Times New Roman" w:hAnsi="Verdana" w:cs="Arial"/>
          <w:lang w:val="es-ES" w:eastAsia="es-ES"/>
        </w:rPr>
      </w:pPr>
      <w:r>
        <w:rPr>
          <w:rFonts w:ascii="Verdana" w:eastAsia="Calibri" w:hAnsi="Verdana" w:cs="Arial"/>
          <w:color w:val="7030A0"/>
          <w:lang w:val="es-ES"/>
        </w:rPr>
        <w:t xml:space="preserve"> </w:t>
      </w:r>
      <w:r>
        <w:rPr>
          <w:rFonts w:ascii="Verdana" w:eastAsia="Times New Roman" w:hAnsi="Verdana" w:cs="Arial"/>
          <w:lang w:val="es-ES" w:eastAsia="es-ES"/>
        </w:rPr>
        <w:t xml:space="preserve">De </w:t>
      </w:r>
      <w:proofErr w:type="gramStart"/>
      <w:r>
        <w:rPr>
          <w:rFonts w:ascii="Verdana" w:eastAsia="Times New Roman" w:hAnsi="Verdana" w:cs="Arial"/>
          <w:lang w:val="es-ES" w:eastAsia="es-ES"/>
        </w:rPr>
        <w:t>igual  manera</w:t>
      </w:r>
      <w:proofErr w:type="gramEnd"/>
      <w:r w:rsidRPr="4AC72E6F">
        <w:rPr>
          <w:rFonts w:ascii="Verdana" w:eastAsia="Times New Roman" w:hAnsi="Verdana" w:cs="Arial"/>
          <w:lang w:val="es-ES" w:eastAsia="es-ES"/>
        </w:rPr>
        <w:t xml:space="preserve"> es importante manifestar que existen múltiples formas de para el manejo de datos y análisis estadístico, conforme lo señalado en la “Guía de Elaboración de Estudios de Sector” expedida por esta agencia. En conclusión, </w:t>
      </w:r>
      <w:r w:rsidRPr="4AC72E6F">
        <w:rPr>
          <w:rFonts w:ascii="Verdana" w:eastAsia="Times New Roman" w:hAnsi="Verdana" w:cs="Arial"/>
          <w:lang w:val="es-ES" w:eastAsia="es-ES"/>
        </w:rPr>
        <w:lastRenderedPageBreak/>
        <w:t>las Entidades Estales son autónomas para establecer en su Manual de Contratación la metodología para elaborar el Estudio del Sector y en especial la forma como desarrollar los estudios de mercado, siempre y cuando acaten la Ley 1150 de 2007 y el Decreto 1082 de 2015 frente a esta materia, estableciendo siempre argumentos financieros que permitirán escoger el mejor precio de conformidad con los criterios establecidos por la misma.</w:t>
      </w:r>
    </w:p>
    <w:p w14:paraId="57C5E357" w14:textId="77777777" w:rsidR="000B3BC8" w:rsidRPr="004F7B86" w:rsidRDefault="000B3BC8" w:rsidP="000B3BC8">
      <w:pPr>
        <w:spacing w:line="276" w:lineRule="auto"/>
        <w:ind w:firstLine="709"/>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DAF54C0" w14:textId="77777777" w:rsidR="000B3BC8" w:rsidRDefault="000B3BC8" w:rsidP="000B3BC8">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2A5322EB" w14:textId="77777777" w:rsidR="000B3BC8" w:rsidRPr="008E2432" w:rsidRDefault="000B3BC8" w:rsidP="000B3BC8">
      <w:pPr>
        <w:spacing w:after="0" w:line="276" w:lineRule="auto"/>
        <w:ind w:firstLine="708"/>
        <w:jc w:val="both"/>
        <w:rPr>
          <w:rFonts w:ascii="Verdana" w:eastAsia="Calibri" w:hAnsi="Verdana" w:cs="Times New Roman"/>
          <w:lang w:val="es-ES"/>
        </w:rPr>
      </w:pPr>
    </w:p>
    <w:p w14:paraId="526F4AB1" w14:textId="77777777" w:rsidR="000B3BC8" w:rsidRPr="0060676F" w:rsidRDefault="000B3BC8" w:rsidP="000B3BC8">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1291406B" w14:textId="77777777" w:rsidR="000B3BC8" w:rsidRPr="00593A5F" w:rsidRDefault="000B3BC8" w:rsidP="000B3BC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B3BC8" w:rsidRPr="00593A5F" w14:paraId="555F17CA" w14:textId="77777777" w:rsidTr="007502D3">
        <w:trPr>
          <w:trHeight w:val="870"/>
        </w:trPr>
        <w:tc>
          <w:tcPr>
            <w:tcW w:w="8647" w:type="dxa"/>
          </w:tcPr>
          <w:p w14:paraId="696113B9" w14:textId="77777777" w:rsidR="000B3BC8" w:rsidRDefault="000B3BC8" w:rsidP="007502D3">
            <w:pPr>
              <w:widowControl w:val="0"/>
              <w:numPr>
                <w:ilvl w:val="0"/>
                <w:numId w:val="17"/>
              </w:numPr>
              <w:autoSpaceDE w:val="0"/>
              <w:autoSpaceDN w:val="0"/>
              <w:spacing w:line="276" w:lineRule="auto"/>
              <w:jc w:val="both"/>
              <w:rPr>
                <w:rFonts w:ascii="Verdana" w:eastAsia="Calibri" w:hAnsi="Verdana" w:cs="Arial"/>
                <w:lang w:val="es-ES"/>
              </w:rPr>
            </w:pPr>
            <w:r w:rsidRPr="006D034C">
              <w:rPr>
                <w:rFonts w:ascii="Verdana" w:eastAsia="Calibri" w:hAnsi="Verdana" w:cs="Arial"/>
                <w:lang w:val="es-ES"/>
              </w:rPr>
              <w:t>Ley 80 de 1993: Artículo 25</w:t>
            </w:r>
          </w:p>
          <w:p w14:paraId="4C3E8BA7" w14:textId="77777777" w:rsidR="000B3BC8" w:rsidRPr="006D034C" w:rsidRDefault="000B3BC8" w:rsidP="007502D3">
            <w:pPr>
              <w:widowControl w:val="0"/>
              <w:autoSpaceDE w:val="0"/>
              <w:autoSpaceDN w:val="0"/>
              <w:spacing w:line="276" w:lineRule="auto"/>
              <w:ind w:left="720"/>
              <w:jc w:val="both"/>
              <w:rPr>
                <w:rFonts w:ascii="Verdana" w:eastAsia="Calibri" w:hAnsi="Verdana" w:cs="Arial"/>
                <w:lang w:val="es-ES"/>
              </w:rPr>
            </w:pPr>
          </w:p>
          <w:p w14:paraId="168071A4" w14:textId="77777777" w:rsidR="000B3BC8" w:rsidRPr="00466191" w:rsidRDefault="000B3BC8" w:rsidP="007502D3">
            <w:pPr>
              <w:widowControl w:val="0"/>
              <w:numPr>
                <w:ilvl w:val="0"/>
                <w:numId w:val="17"/>
              </w:numPr>
              <w:autoSpaceDE w:val="0"/>
              <w:autoSpaceDN w:val="0"/>
              <w:spacing w:line="276" w:lineRule="auto"/>
              <w:jc w:val="both"/>
              <w:rPr>
                <w:rFonts w:ascii="Verdana" w:eastAsia="Calibri" w:hAnsi="Verdana" w:cs="Arial"/>
                <w:lang w:val="es-ES"/>
              </w:rPr>
            </w:pPr>
            <w:r w:rsidRPr="006D034C">
              <w:rPr>
                <w:rFonts w:ascii="Verdana" w:eastAsia="Calibri" w:hAnsi="Verdana" w:cs="Arial"/>
                <w:lang w:val="es-ES"/>
              </w:rPr>
              <w:t xml:space="preserve">Decreto 1082 de 2015:  Artículos </w:t>
            </w:r>
            <w:r w:rsidRPr="006D034C">
              <w:rPr>
                <w:rFonts w:ascii="Verdana" w:hAnsi="Verdana" w:cs="Arial"/>
              </w:rPr>
              <w:t xml:space="preserve">2.2.1.1.2.1.1 y </w:t>
            </w:r>
            <w:r w:rsidRPr="006D034C">
              <w:rPr>
                <w:rFonts w:ascii="Verdana" w:eastAsia="Calibri" w:hAnsi="Verdana" w:cs="Arial"/>
                <w:bCs/>
                <w:lang w:val="es-ES_tradnl"/>
              </w:rPr>
              <w:t>2.2.1.1.1.6.1</w:t>
            </w:r>
          </w:p>
          <w:p w14:paraId="5894709A" w14:textId="77777777" w:rsidR="000B3BC8" w:rsidRDefault="000B3BC8" w:rsidP="007502D3">
            <w:pPr>
              <w:widowControl w:val="0"/>
              <w:autoSpaceDE w:val="0"/>
              <w:autoSpaceDN w:val="0"/>
              <w:spacing w:line="276" w:lineRule="auto"/>
              <w:jc w:val="both"/>
              <w:rPr>
                <w:rFonts w:ascii="Verdana" w:eastAsia="Calibri" w:hAnsi="Verdana" w:cs="Arial"/>
                <w:lang w:val="es-ES"/>
              </w:rPr>
            </w:pPr>
          </w:p>
          <w:p w14:paraId="4ADB2D21" w14:textId="788D27DD" w:rsidR="000B3BC8" w:rsidRPr="00466191" w:rsidRDefault="000B3BC8" w:rsidP="00E41881">
            <w:pPr>
              <w:widowControl w:val="0"/>
              <w:numPr>
                <w:ilvl w:val="0"/>
                <w:numId w:val="17"/>
              </w:numPr>
              <w:autoSpaceDE w:val="0"/>
              <w:autoSpaceDN w:val="0"/>
              <w:spacing w:line="276" w:lineRule="auto"/>
              <w:jc w:val="both"/>
              <w:rPr>
                <w:rFonts w:ascii="Verdana" w:eastAsia="Calibri" w:hAnsi="Verdana" w:cs="Arial"/>
                <w:lang w:val="es-ES"/>
              </w:rPr>
            </w:pPr>
            <w:r w:rsidRPr="00466191">
              <w:rPr>
                <w:rFonts w:ascii="Verdana" w:eastAsia="Calibri" w:hAnsi="Verdana" w:cs="Arial"/>
                <w:lang w:val="es-ES"/>
              </w:rPr>
              <w:t xml:space="preserve">Agencia Nacional de Contratación Pública – Colombia Compra Eficiente. </w:t>
            </w:r>
            <w:r w:rsidRPr="00466191">
              <w:rPr>
                <w:rFonts w:ascii="Verdana" w:eastAsia="Calibri" w:hAnsi="Verdana" w:cs="Arial"/>
                <w:bCs/>
                <w:lang w:val="es-ES_tradnl"/>
              </w:rPr>
              <w:t>Guía de Elaboración del Estudio del Sector</w:t>
            </w:r>
            <w:r w:rsidRPr="00466191">
              <w:rPr>
                <w:rFonts w:ascii="Verdana" w:eastAsia="Calibri" w:hAnsi="Verdana" w:cs="Arial"/>
                <w:lang w:val="es-ES"/>
              </w:rPr>
              <w:t xml:space="preserve"> </w:t>
            </w:r>
            <w:hyperlink r:id="rId13" w:history="1">
              <w:r w:rsidRPr="00466191">
                <w:rPr>
                  <w:rStyle w:val="Hipervnculo"/>
                  <w:rFonts w:ascii="Verdana" w:hAnsi="Verdana" w:cs="Arial"/>
                  <w:color w:val="000000" w:themeColor="text1"/>
                </w:rPr>
                <w:t>https://colombiacompra.gov.co/sites/cce_public/files/cce_documentos/cce-eicp-gi-18._gees_v.2_2.pdf</w:t>
              </w:r>
            </w:hyperlink>
            <w:r w:rsidRPr="00466191">
              <w:rPr>
                <w:rFonts w:ascii="Verdana" w:hAnsi="Verdana" w:cs="Arial"/>
                <w:color w:val="000000" w:themeColor="text1"/>
                <w:sz w:val="14"/>
                <w:szCs w:val="14"/>
              </w:rPr>
              <w:t xml:space="preserve">  </w:t>
            </w:r>
          </w:p>
        </w:tc>
      </w:tr>
    </w:tbl>
    <w:p w14:paraId="3C208131" w14:textId="77777777" w:rsidR="000B3BC8" w:rsidRDefault="000B3BC8" w:rsidP="000B3BC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609025A" w14:textId="77777777" w:rsidR="000B3BC8" w:rsidRDefault="000B3BC8" w:rsidP="000B3BC8">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2AC1075" w14:textId="77777777" w:rsidR="000B3BC8" w:rsidRPr="00593A5F" w:rsidRDefault="000B3BC8" w:rsidP="000B3BC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E004991" w14:textId="77777777" w:rsidR="000B3BC8" w:rsidRPr="002A22D8" w:rsidRDefault="000B3BC8" w:rsidP="000B3BC8">
      <w:pPr>
        <w:widowControl w:val="0"/>
        <w:autoSpaceDE w:val="0"/>
        <w:autoSpaceDN w:val="0"/>
        <w:spacing w:after="0" w:line="276" w:lineRule="auto"/>
        <w:jc w:val="both"/>
        <w:rPr>
          <w:rFonts w:ascii="Verdana" w:hAnsi="Verdana" w:cs="Arial"/>
          <w:bCs/>
          <w:shd w:val="clear" w:color="auto" w:fill="FFFFFF"/>
        </w:rPr>
      </w:pPr>
      <w:r w:rsidRPr="006D034C">
        <w:rPr>
          <w:rStyle w:val="normaltextrun"/>
          <w:rFonts w:ascii="Verdana" w:hAnsi="Verdana" w:cs="Arial"/>
          <w:shd w:val="clear" w:color="auto" w:fill="FFFFFF"/>
          <w:lang w:val="es-ES"/>
        </w:rPr>
        <w:lastRenderedPageBreak/>
        <w:t>Sobre la elaboración de análisis del sector en procesos de contratación se pronunció esta Subdirección en los conceptos</w:t>
      </w:r>
      <w:r w:rsidRPr="006D034C">
        <w:rPr>
          <w:rStyle w:val="normaltextrun"/>
          <w:rFonts w:ascii="Verdana" w:hAnsi="Verdana" w:cs="Calibri"/>
          <w:shd w:val="clear" w:color="auto" w:fill="FFFFFF"/>
        </w:rPr>
        <w:t xml:space="preserve"> </w:t>
      </w:r>
      <w:r w:rsidRPr="006D034C">
        <w:rPr>
          <w:rFonts w:ascii="Verdana" w:eastAsia="Aptos" w:hAnsi="Verdana" w:cs="Arial"/>
          <w:shd w:val="clear" w:color="auto" w:fill="FFFFFF"/>
          <w:lang w:val="es-ES"/>
        </w:rPr>
        <w:t>2202013000000037 del 7 de enero de 2020, C-223 del 29 de abril de 2020 y C-148 de 2021, C-856 del 13 de diciembre de 2022, C-235 del 5 de julio de 2023, C-124 del 24 de julio de 2024, C-168 del 25 de julio 2024, C-258 del 12 de agosto de 2024, C-255 del 14 de agosto de 2024, C-297 del 11 de septiembre de 2024 C-101 del 5 de marzo de 2025, C-154 del 18 de marzo de 2025, C-256 del 4 de abril de 2025</w:t>
      </w:r>
      <w:r>
        <w:rPr>
          <w:rFonts w:ascii="Verdana" w:eastAsia="Aptos" w:hAnsi="Verdana" w:cs="Arial"/>
          <w:shd w:val="clear" w:color="auto" w:fill="FFFFFF"/>
          <w:lang w:val="es-ES"/>
        </w:rPr>
        <w:t xml:space="preserve">, </w:t>
      </w:r>
      <w:r w:rsidRPr="006D034C">
        <w:rPr>
          <w:rFonts w:ascii="Verdana" w:eastAsia="Aptos" w:hAnsi="Verdana" w:cs="Arial"/>
          <w:shd w:val="clear" w:color="auto" w:fill="FFFFFF"/>
          <w:lang w:val="es-ES"/>
        </w:rPr>
        <w:t>C-357 del 30 de abril de 2025</w:t>
      </w:r>
      <w:r>
        <w:rPr>
          <w:rFonts w:ascii="Verdana" w:eastAsia="Aptos" w:hAnsi="Verdana" w:cs="Arial"/>
          <w:shd w:val="clear" w:color="auto" w:fill="FFFFFF"/>
          <w:lang w:val="es-ES"/>
        </w:rPr>
        <w:t>, C-505 del 3 de junio de 2025 y C-596 del 25 de junio de 2025</w:t>
      </w:r>
      <w:r>
        <w:rPr>
          <w:rFonts w:ascii="Verdana" w:eastAsia="Calibri" w:hAnsi="Verdana" w:cs="Arial"/>
          <w:lang w:val="es-ES_tradnl" w:eastAsia="es-ES"/>
        </w:rPr>
        <w:t xml:space="preserve">, </w:t>
      </w:r>
      <w:r w:rsidRPr="00E87EA6">
        <w:rPr>
          <w:rFonts w:ascii="Verdana" w:eastAsia="Calibri" w:hAnsi="Verdana" w:cs="Arial"/>
          <w:shd w:val="clear" w:color="auto" w:fill="FFFFFF"/>
          <w:lang w:val="es-ES"/>
        </w:rPr>
        <w:t>entre otros</w:t>
      </w:r>
      <w:r w:rsidRPr="00024134">
        <w:rPr>
          <w:rStyle w:val="normaltextrun"/>
          <w:rFonts w:ascii="Verdana" w:hAnsi="Verdana" w:cs="Arial"/>
          <w:shd w:val="clear" w:color="auto" w:fill="FFFFFF"/>
          <w:lang w:val="es-ES"/>
        </w:rPr>
        <w:t xml:space="preserve">. </w:t>
      </w:r>
      <w:r w:rsidRPr="00024134">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C13438C" w14:textId="77777777" w:rsidR="000B3BC8" w:rsidRPr="0065720B" w:rsidRDefault="000B3BC8" w:rsidP="000B3BC8">
      <w:pPr>
        <w:widowControl w:val="0"/>
        <w:autoSpaceDE w:val="0"/>
        <w:autoSpaceDN w:val="0"/>
        <w:spacing w:after="0" w:line="276" w:lineRule="auto"/>
        <w:jc w:val="both"/>
        <w:rPr>
          <w:rStyle w:val="normaltextrun"/>
          <w:rFonts w:ascii="Verdana" w:eastAsia="Calibri" w:hAnsi="Verdana" w:cs="Arial"/>
          <w:lang w:val="es-ES_tradnl" w:eastAsia="en-GB"/>
        </w:rPr>
      </w:pPr>
      <w:hyperlink r:id="rId14"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3A134613" w14:textId="77777777" w:rsidR="000B3BC8" w:rsidRPr="00505CD6" w:rsidRDefault="000B3BC8" w:rsidP="000B3BC8">
      <w:pPr>
        <w:widowControl w:val="0"/>
        <w:autoSpaceDE w:val="0"/>
        <w:autoSpaceDN w:val="0"/>
        <w:spacing w:after="0" w:line="276" w:lineRule="auto"/>
        <w:jc w:val="both"/>
        <w:rPr>
          <w:rFonts w:ascii="Verdana" w:hAnsi="Verdana" w:cs="Arial"/>
          <w:color w:val="000000" w:themeColor="text1"/>
          <w:shd w:val="clear" w:color="auto" w:fill="FFFFFF"/>
        </w:rPr>
      </w:pPr>
    </w:p>
    <w:p w14:paraId="10741641" w14:textId="77777777" w:rsidR="000B3BC8" w:rsidRPr="00103B90" w:rsidRDefault="000B3BC8" w:rsidP="000B3BC8">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50867CCD" w14:textId="77777777" w:rsidR="000B3BC8" w:rsidRPr="00103B90" w:rsidRDefault="000B3BC8" w:rsidP="000B3BC8">
      <w:pPr>
        <w:widowControl w:val="0"/>
        <w:autoSpaceDE w:val="0"/>
        <w:autoSpaceDN w:val="0"/>
        <w:spacing w:after="0" w:line="276" w:lineRule="auto"/>
        <w:jc w:val="both"/>
        <w:rPr>
          <w:rFonts w:ascii="Verdana" w:hAnsi="Verdana"/>
        </w:rPr>
      </w:pPr>
    </w:p>
    <w:p w14:paraId="526E9F5C" w14:textId="77777777" w:rsidR="000B3BC8" w:rsidRPr="00505CD6" w:rsidRDefault="000B3BC8" w:rsidP="000B3BC8">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78E472EC" w14:textId="77777777" w:rsidR="000B3BC8" w:rsidRPr="00505CD6" w:rsidRDefault="000B3BC8" w:rsidP="000B3BC8">
      <w:pPr>
        <w:widowControl w:val="0"/>
        <w:autoSpaceDE w:val="0"/>
        <w:autoSpaceDN w:val="0"/>
        <w:spacing w:after="0" w:line="276" w:lineRule="auto"/>
        <w:jc w:val="both"/>
        <w:rPr>
          <w:rFonts w:ascii="Verdana" w:hAnsi="Verdana" w:cs="Arial"/>
        </w:rPr>
      </w:pPr>
    </w:p>
    <w:p w14:paraId="6F19B427" w14:textId="77777777" w:rsidR="000B3BC8" w:rsidRPr="00E41881" w:rsidRDefault="000B3BC8" w:rsidP="000B3BC8">
      <w:pPr>
        <w:spacing w:after="0" w:line="276" w:lineRule="auto"/>
        <w:jc w:val="both"/>
        <w:rPr>
          <w:rFonts w:ascii="Verdana" w:hAnsi="Verdana"/>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48213613" w14:textId="77777777" w:rsidR="000B3BC8" w:rsidRDefault="000B3BC8" w:rsidP="000B3BC8">
      <w:pPr>
        <w:spacing w:line="276" w:lineRule="auto"/>
        <w:jc w:val="center"/>
        <w:rPr>
          <w:noProof/>
        </w:rPr>
      </w:pPr>
    </w:p>
    <w:p w14:paraId="38483785" w14:textId="06D5AFC1" w:rsidR="000B3BC8" w:rsidRDefault="00AF409D" w:rsidP="000B3BC8">
      <w:pPr>
        <w:spacing w:line="276" w:lineRule="auto"/>
        <w:jc w:val="center"/>
        <w:rPr>
          <w:noProof/>
        </w:rPr>
      </w:pPr>
      <w:r>
        <w:rPr>
          <w:noProof/>
        </w:rPr>
        <w:lastRenderedPageBreak/>
        <w:drawing>
          <wp:inline distT="0" distB="0" distL="0" distR="0" wp14:anchorId="1E582063" wp14:editId="0EAB4BB9">
            <wp:extent cx="3716655" cy="1595495"/>
            <wp:effectExtent l="0" t="0" r="0" b="5080"/>
            <wp:docPr id="202272821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19999" cy="1596930"/>
                    </a:xfrm>
                    <a:prstGeom prst="rect">
                      <a:avLst/>
                    </a:prstGeom>
                    <a:noFill/>
                    <a:ln>
                      <a:noFill/>
                    </a:ln>
                  </pic:spPr>
                </pic:pic>
              </a:graphicData>
            </a:graphic>
          </wp:inline>
        </w:drawing>
      </w:r>
    </w:p>
    <w:p w14:paraId="5D727BED" w14:textId="77777777" w:rsidR="00AF409D" w:rsidRDefault="00AF409D" w:rsidP="000B3BC8">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B3BC8" w:rsidRPr="00593A5F" w14:paraId="2F115375" w14:textId="77777777" w:rsidTr="007502D3">
        <w:trPr>
          <w:trHeight w:val="315"/>
        </w:trPr>
        <w:tc>
          <w:tcPr>
            <w:tcW w:w="893" w:type="dxa"/>
            <w:vAlign w:val="center"/>
            <w:hideMark/>
          </w:tcPr>
          <w:p w14:paraId="4586BA50" w14:textId="77777777" w:rsidR="000B3BC8" w:rsidRPr="003751C7" w:rsidRDefault="000B3BC8" w:rsidP="007502D3">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CA67676" w14:textId="77777777" w:rsidR="000B3BC8" w:rsidRPr="007911EE" w:rsidRDefault="000B3BC8" w:rsidP="007502D3">
            <w:pPr>
              <w:contextualSpacing/>
              <w:rPr>
                <w:rFonts w:ascii="Verdana" w:hAnsi="Verdana"/>
                <w:sz w:val="16"/>
                <w:szCs w:val="16"/>
              </w:rPr>
            </w:pPr>
            <w:r>
              <w:rPr>
                <w:rFonts w:ascii="Verdana" w:hAnsi="Verdana"/>
                <w:sz w:val="16"/>
                <w:szCs w:val="16"/>
              </w:rPr>
              <w:t>Nicolas Andrés Guzman</w:t>
            </w:r>
          </w:p>
          <w:p w14:paraId="791B802E" w14:textId="77777777" w:rsidR="000B3BC8" w:rsidRPr="007911EE" w:rsidRDefault="000B3BC8" w:rsidP="007502D3">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0B3BC8" w:rsidRPr="00593A5F" w14:paraId="0D96732B" w14:textId="77777777" w:rsidTr="007502D3">
        <w:trPr>
          <w:trHeight w:val="330"/>
        </w:trPr>
        <w:tc>
          <w:tcPr>
            <w:tcW w:w="893" w:type="dxa"/>
            <w:vAlign w:val="center"/>
            <w:hideMark/>
          </w:tcPr>
          <w:p w14:paraId="46BB74F6" w14:textId="77777777" w:rsidR="000B3BC8" w:rsidRPr="003751C7" w:rsidRDefault="000B3BC8" w:rsidP="007502D3">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082E9D2" w14:textId="77777777" w:rsidR="000B3BC8" w:rsidRDefault="000B3BC8" w:rsidP="007502D3">
            <w:pPr>
              <w:spacing w:line="276" w:lineRule="auto"/>
              <w:contextualSpacing/>
              <w:jc w:val="both"/>
              <w:rPr>
                <w:rFonts w:ascii="Verdana" w:hAnsi="Verdana"/>
                <w:sz w:val="16"/>
                <w:szCs w:val="16"/>
              </w:rPr>
            </w:pPr>
            <w:r>
              <w:rPr>
                <w:rFonts w:ascii="Verdana" w:hAnsi="Verdana"/>
                <w:sz w:val="16"/>
                <w:szCs w:val="16"/>
              </w:rPr>
              <w:t>Diana Lucia Saavedra</w:t>
            </w:r>
          </w:p>
          <w:p w14:paraId="5950D8B5" w14:textId="77777777" w:rsidR="000B3BC8" w:rsidRPr="007911EE" w:rsidRDefault="000B3BC8" w:rsidP="007502D3">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0B3BC8" w:rsidRPr="00593A5F" w14:paraId="0A0CDE8B" w14:textId="77777777" w:rsidTr="007502D3">
        <w:trPr>
          <w:trHeight w:val="330"/>
        </w:trPr>
        <w:tc>
          <w:tcPr>
            <w:tcW w:w="893" w:type="dxa"/>
            <w:vAlign w:val="center"/>
          </w:tcPr>
          <w:p w14:paraId="5FCD032C" w14:textId="77777777" w:rsidR="000B3BC8" w:rsidRPr="003751C7" w:rsidRDefault="000B3BC8" w:rsidP="007502D3">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6FFA4EC" w14:textId="77777777" w:rsidR="000B3BC8" w:rsidRDefault="000B3BC8" w:rsidP="007502D3">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2866C7D4" w14:textId="77777777" w:rsidR="000B3BC8" w:rsidRDefault="000B3BC8" w:rsidP="007502D3">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2AC23BC3" w14:textId="77777777" w:rsidR="000B3BC8" w:rsidRPr="00F30C63" w:rsidRDefault="000B3BC8" w:rsidP="000B3BC8"/>
    <w:p w14:paraId="0F293BF4" w14:textId="4280553D" w:rsidR="00127233" w:rsidRPr="000B3BC8" w:rsidRDefault="00127233" w:rsidP="000B3BC8"/>
    <w:sectPr w:rsidR="00127233" w:rsidRPr="000B3BC8"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C723DF" w14:textId="77777777" w:rsidR="00AC672B" w:rsidRDefault="00AC672B" w:rsidP="004A1847">
      <w:pPr>
        <w:spacing w:after="0" w:line="240" w:lineRule="auto"/>
      </w:pPr>
      <w:r>
        <w:separator/>
      </w:r>
    </w:p>
  </w:endnote>
  <w:endnote w:type="continuationSeparator" w:id="0">
    <w:p w14:paraId="458CAF15" w14:textId="77777777" w:rsidR="00AC672B" w:rsidRDefault="00AC672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BD77CA" w14:textId="77777777" w:rsidR="00AC672B" w:rsidRDefault="00AC672B" w:rsidP="004A1847">
      <w:pPr>
        <w:spacing w:after="0" w:line="240" w:lineRule="auto"/>
      </w:pPr>
      <w:r>
        <w:separator/>
      </w:r>
    </w:p>
  </w:footnote>
  <w:footnote w:type="continuationSeparator" w:id="0">
    <w:p w14:paraId="62CED030" w14:textId="77777777" w:rsidR="00AC672B" w:rsidRDefault="00AC672B" w:rsidP="004A1847">
      <w:pPr>
        <w:spacing w:after="0" w:line="240" w:lineRule="auto"/>
      </w:pPr>
      <w:r>
        <w:continuationSeparator/>
      </w:r>
    </w:p>
  </w:footnote>
  <w:footnote w:id="1">
    <w:p w14:paraId="4EF74ED9" w14:textId="77777777" w:rsidR="000B3BC8" w:rsidRPr="003A2C10" w:rsidRDefault="000B3BC8" w:rsidP="000B3BC8">
      <w:pPr>
        <w:spacing w:after="0" w:line="240" w:lineRule="auto"/>
        <w:ind w:firstLine="708"/>
        <w:jc w:val="both"/>
        <w:rPr>
          <w:rFonts w:ascii="Verdana" w:hAnsi="Verdana" w:cs="Arial"/>
          <w:sz w:val="16"/>
          <w:szCs w:val="16"/>
        </w:rPr>
      </w:pPr>
      <w:r w:rsidRPr="003A2C10">
        <w:rPr>
          <w:rStyle w:val="Refdenotaalpie"/>
          <w:rFonts w:ascii="Verdana" w:hAnsi="Verdana" w:cs="Arial"/>
          <w:sz w:val="16"/>
          <w:szCs w:val="16"/>
        </w:rPr>
        <w:footnoteRef/>
      </w:r>
      <w:r w:rsidRPr="003A2C10">
        <w:rPr>
          <w:rFonts w:ascii="Verdana" w:hAnsi="Verdana" w:cs="Arial"/>
          <w:position w:val="6"/>
          <w:sz w:val="16"/>
          <w:szCs w:val="16"/>
        </w:rPr>
        <w:t xml:space="preserve"> </w:t>
      </w:r>
      <w:r w:rsidRPr="003A2C10">
        <w:rPr>
          <w:rFonts w:ascii="Verdana" w:hAnsi="Verdana" w:cs="Arial"/>
          <w:sz w:val="16"/>
          <w:szCs w:val="16"/>
        </w:rPr>
        <w:t>DEIK ACOSTAMADIEDO, Carolina, Guía de Contratación Estatal: Deber de planeación y modalidades de selección, Buenos Aires, 2015, p. 59.</w:t>
      </w:r>
    </w:p>
    <w:p w14:paraId="0098B1C1" w14:textId="77777777" w:rsidR="000B3BC8" w:rsidRPr="003A2C10" w:rsidRDefault="000B3BC8" w:rsidP="000B3BC8">
      <w:pPr>
        <w:pStyle w:val="Textonotapie"/>
        <w:jc w:val="both"/>
        <w:rPr>
          <w:rFonts w:ascii="Verdana" w:hAnsi="Verdana" w:cs="Arial"/>
          <w:sz w:val="16"/>
          <w:szCs w:val="16"/>
        </w:rPr>
      </w:pPr>
    </w:p>
  </w:footnote>
  <w:footnote w:id="2">
    <w:p w14:paraId="7CE7E132" w14:textId="77777777" w:rsidR="000B3BC8" w:rsidRPr="007C130F" w:rsidRDefault="000B3BC8" w:rsidP="000B3BC8">
      <w:pPr>
        <w:spacing w:after="0" w:line="240" w:lineRule="auto"/>
        <w:ind w:firstLine="707"/>
        <w:contextualSpacing/>
        <w:jc w:val="both"/>
        <w:rPr>
          <w:rFonts w:ascii="Arial" w:hAnsi="Arial" w:cs="Arial"/>
          <w:sz w:val="14"/>
          <w:szCs w:val="14"/>
        </w:rPr>
      </w:pPr>
      <w:r w:rsidRPr="007C130F">
        <w:rPr>
          <w:rStyle w:val="Refdenotaalpie"/>
          <w:rFonts w:ascii="Arial" w:hAnsi="Arial" w:cs="Arial"/>
          <w:sz w:val="14"/>
          <w:szCs w:val="14"/>
        </w:rPr>
        <w:footnoteRef/>
      </w:r>
      <w:r w:rsidRPr="007C130F">
        <w:rPr>
          <w:rFonts w:ascii="Arial" w:hAnsi="Arial" w:cs="Arial"/>
          <w:position w:val="6"/>
          <w:sz w:val="14"/>
          <w:szCs w:val="14"/>
        </w:rPr>
        <w:t xml:space="preserve"> </w:t>
      </w:r>
      <w:r w:rsidRPr="007C130F">
        <w:rPr>
          <w:rFonts w:ascii="Arial" w:hAnsi="Arial" w:cs="Arial"/>
          <w:sz w:val="14"/>
          <w:szCs w:val="14"/>
        </w:rPr>
        <w:t>DEIK ACOSTAMADIEDO, Carolina, Guía de Contratación Estatal: Deber de planeación y modalidades de selección, Buenos Aires, 2015, p. 59.</w:t>
      </w:r>
    </w:p>
    <w:p w14:paraId="66B7422F" w14:textId="77777777" w:rsidR="000B3BC8" w:rsidRPr="007C130F" w:rsidRDefault="000B3BC8" w:rsidP="000B3BC8">
      <w:pPr>
        <w:pStyle w:val="Textonotapie"/>
        <w:contextualSpacing/>
        <w:jc w:val="both"/>
        <w:rPr>
          <w:rFonts w:ascii="Arial" w:hAnsi="Arial" w:cs="Arial"/>
          <w:sz w:val="14"/>
          <w:szCs w:val="14"/>
        </w:rPr>
      </w:pPr>
    </w:p>
  </w:footnote>
  <w:footnote w:id="3">
    <w:p w14:paraId="1F72F698" w14:textId="77777777" w:rsidR="000B3BC8" w:rsidRPr="00797430" w:rsidRDefault="000B3BC8" w:rsidP="000B3BC8">
      <w:pPr>
        <w:pStyle w:val="Textonotapie"/>
        <w:ind w:firstLine="709"/>
        <w:jc w:val="both"/>
        <w:rPr>
          <w:rFonts w:ascii="Verdana" w:hAnsi="Verdana" w:cs="Arial"/>
          <w:color w:val="000000" w:themeColor="text1"/>
          <w:sz w:val="14"/>
          <w:szCs w:val="14"/>
        </w:rPr>
      </w:pPr>
      <w:r w:rsidRPr="00797430">
        <w:rPr>
          <w:rStyle w:val="Refdenotaalpie"/>
          <w:rFonts w:ascii="Verdana" w:hAnsi="Verdana" w:cs="Arial"/>
          <w:sz w:val="14"/>
          <w:szCs w:val="14"/>
        </w:rPr>
        <w:footnoteRef/>
      </w:r>
      <w:r w:rsidRPr="00797430">
        <w:rPr>
          <w:rFonts w:ascii="Verdana" w:hAnsi="Verdana" w:cs="Arial"/>
          <w:sz w:val="14"/>
          <w:szCs w:val="14"/>
        </w:rPr>
        <w:t xml:space="preserve"> </w:t>
      </w:r>
      <w:r w:rsidRPr="00797430">
        <w:rPr>
          <w:rFonts w:ascii="Verdana" w:hAnsi="Verdana" w:cs="Arial"/>
          <w:sz w:val="14"/>
          <w:szCs w:val="14"/>
          <w:lang w:val="es-CO"/>
        </w:rPr>
        <w:t xml:space="preserve">La Versión 02 de esta Guía fue adoptada el 24 de junio de 2022. Disponible en </w:t>
      </w:r>
      <w:hyperlink r:id="rId1" w:history="1">
        <w:r w:rsidRPr="00797430">
          <w:rPr>
            <w:rStyle w:val="Hipervnculo"/>
            <w:rFonts w:ascii="Verdana" w:hAnsi="Verdana" w:cs="Arial"/>
            <w:color w:val="000000" w:themeColor="text1"/>
            <w:sz w:val="14"/>
            <w:szCs w:val="14"/>
          </w:rPr>
          <w:t>https://colombiacompra.gov.co/sites/cce_public/files/cce_documentos/cce-eicp-gi-18._gees_v.2_2.pdf</w:t>
        </w:r>
      </w:hyperlink>
      <w:r w:rsidRPr="00797430">
        <w:rPr>
          <w:rFonts w:ascii="Verdana" w:hAnsi="Verdana" w:cs="Arial"/>
          <w:color w:val="000000" w:themeColor="text1"/>
          <w:sz w:val="14"/>
          <w:szCs w:val="14"/>
        </w:rPr>
        <w:t xml:space="preserve">  </w:t>
      </w:r>
    </w:p>
    <w:p w14:paraId="186ADFD1" w14:textId="77777777" w:rsidR="000B3BC8" w:rsidRPr="00797430" w:rsidRDefault="000B3BC8" w:rsidP="000B3BC8">
      <w:pPr>
        <w:pStyle w:val="Textonotapie"/>
        <w:ind w:firstLine="709"/>
        <w:jc w:val="both"/>
        <w:rPr>
          <w:rFonts w:ascii="Verdana" w:hAnsi="Verdana" w:cs="Arial"/>
          <w:sz w:val="14"/>
          <w:szCs w:val="14"/>
          <w:lang w:val="es-CO"/>
        </w:rPr>
      </w:pPr>
    </w:p>
  </w:footnote>
  <w:footnote w:id="4">
    <w:p w14:paraId="57190A0D" w14:textId="77777777" w:rsidR="000B3BC8" w:rsidRPr="00797430" w:rsidRDefault="000B3BC8" w:rsidP="000B3BC8">
      <w:pPr>
        <w:pStyle w:val="Textonotapie"/>
        <w:ind w:firstLine="709"/>
        <w:jc w:val="both"/>
        <w:rPr>
          <w:rFonts w:ascii="Verdana" w:hAnsi="Verdana" w:cs="Arial"/>
          <w:sz w:val="14"/>
          <w:szCs w:val="14"/>
          <w:lang w:val="es-ES"/>
        </w:rPr>
      </w:pPr>
      <w:r w:rsidRPr="00797430">
        <w:rPr>
          <w:rStyle w:val="Refdenotaalpie"/>
          <w:rFonts w:ascii="Verdana" w:hAnsi="Verdana" w:cs="Arial"/>
          <w:sz w:val="14"/>
          <w:szCs w:val="14"/>
        </w:rPr>
        <w:footnoteRef/>
      </w:r>
      <w:r w:rsidRPr="00797430">
        <w:rPr>
          <w:rFonts w:ascii="Verdana" w:hAnsi="Verdana" w:cs="Arial"/>
          <w:sz w:val="14"/>
          <w:szCs w:val="14"/>
        </w:rPr>
        <w:t xml:space="preserve"> De conformidad con lo indicado en la Guía, e</w:t>
      </w:r>
      <w:r w:rsidRPr="00797430">
        <w:rPr>
          <w:rFonts w:ascii="Verdana" w:hAnsi="Verdana" w:cs="Arial"/>
          <w:sz w:val="14"/>
          <w:szCs w:val="14"/>
          <w:lang w:val="es-ES"/>
        </w:rPr>
        <w:t>l MAE hace parte de la Política de Compras y Contratación Pública, enmarcada dentro del Modelo Integrado de Planeación y Gestión- MIPG, y se articula con las demás buenas prácticas y herramientas usadas en los procesos de compra y contratación estatal que han sido desarrolladas por la Agencia Nacional de Contratación Pública – Colombia Compra Eficiente, con el fin de generar una mayor eficiencia, transparencia y optimización de los recursos del Estado.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01616395"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ED64ADF"/>
    <w:multiLevelType w:val="hybridMultilevel"/>
    <w:tmpl w:val="413C2D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1380713882">
    <w:abstractNumId w:val="0"/>
  </w:num>
  <w:num w:numId="17" w16cid:durableId="691802391">
    <w:abstractNumId w:val="10"/>
  </w:num>
  <w:num w:numId="18" w16cid:durableId="5605585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759A"/>
    <w:rsid w:val="00096F93"/>
    <w:rsid w:val="000A1D8C"/>
    <w:rsid w:val="000A683E"/>
    <w:rsid w:val="000B19B9"/>
    <w:rsid w:val="000B3BC8"/>
    <w:rsid w:val="000D0334"/>
    <w:rsid w:val="000D5DA7"/>
    <w:rsid w:val="000E09B6"/>
    <w:rsid w:val="000F6486"/>
    <w:rsid w:val="0010662C"/>
    <w:rsid w:val="00116940"/>
    <w:rsid w:val="00125105"/>
    <w:rsid w:val="00127233"/>
    <w:rsid w:val="0015095A"/>
    <w:rsid w:val="0015699B"/>
    <w:rsid w:val="00192046"/>
    <w:rsid w:val="001A33BF"/>
    <w:rsid w:val="001B2F5A"/>
    <w:rsid w:val="001D1136"/>
    <w:rsid w:val="001E4177"/>
    <w:rsid w:val="001F0B24"/>
    <w:rsid w:val="001F7DC6"/>
    <w:rsid w:val="0022400B"/>
    <w:rsid w:val="0023528A"/>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267DA"/>
    <w:rsid w:val="00330834"/>
    <w:rsid w:val="003448F4"/>
    <w:rsid w:val="00374F5E"/>
    <w:rsid w:val="00377E3E"/>
    <w:rsid w:val="003A510C"/>
    <w:rsid w:val="003A779E"/>
    <w:rsid w:val="003D0F4D"/>
    <w:rsid w:val="003D5B0D"/>
    <w:rsid w:val="003E0499"/>
    <w:rsid w:val="003E4F80"/>
    <w:rsid w:val="003E6439"/>
    <w:rsid w:val="003F3941"/>
    <w:rsid w:val="003F6684"/>
    <w:rsid w:val="00406575"/>
    <w:rsid w:val="00414C74"/>
    <w:rsid w:val="0042722E"/>
    <w:rsid w:val="0044405D"/>
    <w:rsid w:val="0044528D"/>
    <w:rsid w:val="00461CDB"/>
    <w:rsid w:val="00466E39"/>
    <w:rsid w:val="004A1847"/>
    <w:rsid w:val="004A305D"/>
    <w:rsid w:val="004F21C4"/>
    <w:rsid w:val="004F685F"/>
    <w:rsid w:val="00531065"/>
    <w:rsid w:val="005566E8"/>
    <w:rsid w:val="00574867"/>
    <w:rsid w:val="00591460"/>
    <w:rsid w:val="005A65E0"/>
    <w:rsid w:val="005B1F51"/>
    <w:rsid w:val="005B2B1D"/>
    <w:rsid w:val="005C3777"/>
    <w:rsid w:val="005C5CDC"/>
    <w:rsid w:val="005D476C"/>
    <w:rsid w:val="005F126D"/>
    <w:rsid w:val="005F5A26"/>
    <w:rsid w:val="006200BF"/>
    <w:rsid w:val="006219F8"/>
    <w:rsid w:val="00626851"/>
    <w:rsid w:val="006302F7"/>
    <w:rsid w:val="00646B9F"/>
    <w:rsid w:val="00665D70"/>
    <w:rsid w:val="006900D9"/>
    <w:rsid w:val="00706C16"/>
    <w:rsid w:val="00720207"/>
    <w:rsid w:val="007340C3"/>
    <w:rsid w:val="0075235A"/>
    <w:rsid w:val="00756841"/>
    <w:rsid w:val="007649AB"/>
    <w:rsid w:val="00766A09"/>
    <w:rsid w:val="00771D0C"/>
    <w:rsid w:val="007833AC"/>
    <w:rsid w:val="007B268C"/>
    <w:rsid w:val="007B7171"/>
    <w:rsid w:val="007C0C0F"/>
    <w:rsid w:val="007C3DC2"/>
    <w:rsid w:val="007E5497"/>
    <w:rsid w:val="00806F5F"/>
    <w:rsid w:val="00820278"/>
    <w:rsid w:val="008258C9"/>
    <w:rsid w:val="00844AE9"/>
    <w:rsid w:val="00867F95"/>
    <w:rsid w:val="00884356"/>
    <w:rsid w:val="008843B6"/>
    <w:rsid w:val="008860F1"/>
    <w:rsid w:val="00891928"/>
    <w:rsid w:val="008A446D"/>
    <w:rsid w:val="008B25F1"/>
    <w:rsid w:val="008B485E"/>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729B"/>
    <w:rsid w:val="00AB0ADB"/>
    <w:rsid w:val="00AB3BEB"/>
    <w:rsid w:val="00AC672B"/>
    <w:rsid w:val="00AF409D"/>
    <w:rsid w:val="00B00C0E"/>
    <w:rsid w:val="00B01B1A"/>
    <w:rsid w:val="00B0381D"/>
    <w:rsid w:val="00B44A47"/>
    <w:rsid w:val="00B72CD3"/>
    <w:rsid w:val="00B72FFF"/>
    <w:rsid w:val="00BC3D36"/>
    <w:rsid w:val="00BD54A6"/>
    <w:rsid w:val="00BD7F72"/>
    <w:rsid w:val="00BF0A08"/>
    <w:rsid w:val="00BF508A"/>
    <w:rsid w:val="00BF7425"/>
    <w:rsid w:val="00C04FB3"/>
    <w:rsid w:val="00C11D8B"/>
    <w:rsid w:val="00C15139"/>
    <w:rsid w:val="00C330EB"/>
    <w:rsid w:val="00C50D69"/>
    <w:rsid w:val="00C5365C"/>
    <w:rsid w:val="00C754BE"/>
    <w:rsid w:val="00C76B1C"/>
    <w:rsid w:val="00C925AC"/>
    <w:rsid w:val="00CB6357"/>
    <w:rsid w:val="00CC1B26"/>
    <w:rsid w:val="00D34FF6"/>
    <w:rsid w:val="00D361FD"/>
    <w:rsid w:val="00D423A2"/>
    <w:rsid w:val="00D44E26"/>
    <w:rsid w:val="00D520D8"/>
    <w:rsid w:val="00D53A0F"/>
    <w:rsid w:val="00D63AC2"/>
    <w:rsid w:val="00D7383B"/>
    <w:rsid w:val="00D7788A"/>
    <w:rsid w:val="00D817FE"/>
    <w:rsid w:val="00DA231B"/>
    <w:rsid w:val="00DC39FC"/>
    <w:rsid w:val="00DE01EC"/>
    <w:rsid w:val="00DF5254"/>
    <w:rsid w:val="00E02524"/>
    <w:rsid w:val="00E16408"/>
    <w:rsid w:val="00E20894"/>
    <w:rsid w:val="00E245AB"/>
    <w:rsid w:val="00E2764C"/>
    <w:rsid w:val="00E27F2E"/>
    <w:rsid w:val="00E41881"/>
    <w:rsid w:val="00E50AFE"/>
    <w:rsid w:val="00E75C92"/>
    <w:rsid w:val="00E771DC"/>
    <w:rsid w:val="00E8772A"/>
    <w:rsid w:val="00E90F6B"/>
    <w:rsid w:val="00E92C27"/>
    <w:rsid w:val="00EA0E3D"/>
    <w:rsid w:val="00EC38A7"/>
    <w:rsid w:val="00EE1AA8"/>
    <w:rsid w:val="00F23FEA"/>
    <w:rsid w:val="00F31EDC"/>
    <w:rsid w:val="00F34F69"/>
    <w:rsid w:val="00F462B3"/>
    <w:rsid w:val="00F5664F"/>
    <w:rsid w:val="00F62299"/>
    <w:rsid w:val="00F666C4"/>
    <w:rsid w:val="00F76AFC"/>
    <w:rsid w:val="00F9341C"/>
    <w:rsid w:val="00FA47C0"/>
    <w:rsid w:val="00FB5DD1"/>
    <w:rsid w:val="00FC2B5D"/>
    <w:rsid w:val="00FF1449"/>
    <w:rsid w:val="00FF7963"/>
    <w:rsid w:val="071B8F93"/>
    <w:rsid w:val="09908A09"/>
    <w:rsid w:val="0FF4CCA8"/>
    <w:rsid w:val="13CFC91B"/>
    <w:rsid w:val="19A2EC2C"/>
    <w:rsid w:val="2859CA1B"/>
    <w:rsid w:val="32A4F9CF"/>
    <w:rsid w:val="356CEDFD"/>
    <w:rsid w:val="69614A15"/>
    <w:rsid w:val="71DC60D4"/>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B3BC8"/>
    <w:rPr>
      <w:rFonts w:ascii="Geomanist Light" w:hAnsi="Geomanist Light"/>
      <w:lang w:val="es-ES"/>
    </w:rPr>
  </w:style>
  <w:style w:type="paragraph" w:customStyle="1" w:styleId="Appelnotedebasde">
    <w:name w:val="Appel note de bas de..."/>
    <w:basedOn w:val="Normal"/>
    <w:link w:val="Refdenotaalpie"/>
    <w:uiPriority w:val="99"/>
    <w:rsid w:val="000B3BC8"/>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lombiacompra.gov.co/sites/cce_public/files/cce_documentos/cce-eicp-gi-18._gees_v.2_2.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erleyflorez@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os/cce-eicp-gi-18._gees_v.2_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a6cb9e4b-f1d1-4245-83ec-6cad768d538a"/>
    <ds:schemaRef ds:uri="http://purl.org/dc/elements/1.1/"/>
    <ds:schemaRef ds:uri="http://schemas.microsoft.com/office/2006/metadata/properties"/>
    <ds:schemaRef ds:uri="9d85dbaf-23eb-4e57-a637-93dcacc8b1a1"/>
    <ds:schemaRef ds:uri="http://schemas.openxmlformats.org/package/2006/metadata/core-properties"/>
    <ds:schemaRef ds:uri="http://purl.org/dc/terms/"/>
    <ds:schemaRef ds:uri="http://schemas.microsoft.com/office/2006/documentManagement/types"/>
    <ds:schemaRef ds:uri="http://schemas.microsoft.com/office/infopath/2007/PartnerControls"/>
    <ds:schemaRef ds:uri="http://purl.org/dc/dcmitype/"/>
    <ds:schemaRef ds:uri="http://www.w3.org/XML/1998/namespac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90987A6-1C86-40A1-8D09-3A9FFA4ED2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94AE9B9-2CE9-4178-935D-FC86B979A99E}">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17</Pages>
  <Words>5699</Words>
  <Characters>31350</Characters>
  <Application>Microsoft Office Word</Application>
  <DocSecurity>0</DocSecurity>
  <Lines>627</Lines>
  <Paragraphs>126</Paragraphs>
  <ScaleCrop>false</ScaleCrop>
  <Company/>
  <LinksUpToDate>false</LinksUpToDate>
  <CharactersWithSpaces>36923</CharactersWithSpaces>
  <SharedDoc>false</SharedDoc>
  <HLinks>
    <vt:vector size="30" baseType="variant">
      <vt:variant>
        <vt:i4>7733357</vt:i4>
      </vt:variant>
      <vt:variant>
        <vt:i4>9</vt:i4>
      </vt:variant>
      <vt:variant>
        <vt:i4>0</vt:i4>
      </vt:variant>
      <vt:variant>
        <vt:i4>5</vt:i4>
      </vt:variant>
      <vt:variant>
        <vt:lpwstr>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6488139</vt:i4>
      </vt:variant>
      <vt:variant>
        <vt:i4>3</vt:i4>
      </vt:variant>
      <vt:variant>
        <vt:i4>0</vt:i4>
      </vt:variant>
      <vt:variant>
        <vt:i4>5</vt:i4>
      </vt:variant>
      <vt:variant>
        <vt:lpwstr>https://colombiacompra.gov.co/sites/cce_public/files/cce_documentos/cce-eicp-gi-18._gees_v.2_2.pdf</vt:lpwstr>
      </vt:variant>
      <vt:variant>
        <vt:lpwstr/>
      </vt:variant>
      <vt:variant>
        <vt:i4>1179700</vt:i4>
      </vt:variant>
      <vt:variant>
        <vt:i4>0</vt:i4>
      </vt:variant>
      <vt:variant>
        <vt:i4>0</vt:i4>
      </vt:variant>
      <vt:variant>
        <vt:i4>5</vt:i4>
      </vt:variant>
      <vt:variant>
        <vt:lpwstr>mailto:erleyflorez@gmail.com</vt:lpwstr>
      </vt:variant>
      <vt:variant>
        <vt:lpwstr/>
      </vt:variant>
      <vt:variant>
        <vt:i4>6488139</vt:i4>
      </vt:variant>
      <vt:variant>
        <vt:i4>0</vt:i4>
      </vt:variant>
      <vt:variant>
        <vt:i4>0</vt:i4>
      </vt:variant>
      <vt:variant>
        <vt:i4>5</vt:i4>
      </vt:variant>
      <vt:variant>
        <vt:lpwstr>https://colombiacompra.gov.co/sites/cce_public/files/cce_documentos/cce-eicp-gi-18._gees_v.2_2.pdf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2026-01-06T15:37:00Z</dcterms:created>
  <dcterms:modified xsi:type="dcterms:W3CDTF">2026-01-06T15:37:00Z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