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17348" w14:textId="77777777" w:rsidR="00865ECF" w:rsidRPr="00CD56DE" w:rsidRDefault="00865ECF" w:rsidP="00865ECF">
      <w:pPr>
        <w:spacing w:after="0" w:line="240" w:lineRule="auto"/>
        <w:jc w:val="both"/>
        <w:rPr>
          <w:rFonts w:ascii="Verdana" w:hAnsi="Verdana"/>
          <w:b/>
          <w:bCs/>
          <w:lang w:val="es-ES_tradnl"/>
        </w:rPr>
      </w:pPr>
      <w:bookmarkStart w:id="0" w:name="_Hlk143780582"/>
      <w:r w:rsidRPr="00CD56DE">
        <w:rPr>
          <w:rFonts w:ascii="Verdana" w:hAnsi="Verdana"/>
          <w:b/>
          <w:bCs/>
          <w:lang w:val="es-ES_tradnl"/>
        </w:rPr>
        <w:t xml:space="preserve">LEY DE EMPRENDIMIENTO – Artículos 31 y 32 – Criterios diferenciales - Reglamentación </w:t>
      </w:r>
    </w:p>
    <w:p w14:paraId="3460738A" w14:textId="77777777" w:rsidR="00865ECF" w:rsidRPr="00C71871" w:rsidRDefault="00865ECF" w:rsidP="00865ECF">
      <w:pPr>
        <w:spacing w:after="0" w:line="240" w:lineRule="auto"/>
        <w:rPr>
          <w:rFonts w:ascii="Verdana" w:hAnsi="Verdana"/>
          <w:b/>
          <w:bCs/>
          <w:sz w:val="20"/>
          <w:szCs w:val="20"/>
          <w:lang w:val="es-ES_tradnl"/>
        </w:rPr>
      </w:pPr>
    </w:p>
    <w:p w14:paraId="733D3BA3" w14:textId="77777777" w:rsidR="00865ECF" w:rsidRPr="00C71871" w:rsidRDefault="00865ECF" w:rsidP="00865ECF">
      <w:pPr>
        <w:spacing w:after="0" w:line="240" w:lineRule="auto"/>
        <w:rPr>
          <w:rFonts w:ascii="Verdana" w:eastAsia="Calibri" w:hAnsi="Verdana" w:cs="Arial"/>
          <w:sz w:val="20"/>
          <w:szCs w:val="20"/>
          <w:lang w:val="es-ES_tradnl"/>
        </w:rPr>
      </w:pPr>
      <w:r w:rsidRPr="00C71871">
        <w:rPr>
          <w:rFonts w:ascii="Verdana" w:eastAsia="Calibri" w:hAnsi="Verdana" w:cs="Arial"/>
          <w:sz w:val="20"/>
          <w:szCs w:val="20"/>
          <w:lang w:val="es-ES_tradnl"/>
        </w:rPr>
        <w:t xml:space="preserve">El 31 de diciembre de 2020 se promulgó la Ley 2069, “Por medio de la cual se impulsa el emprendimiento en Colombia”. </w:t>
      </w:r>
    </w:p>
    <w:p w14:paraId="0F25D980" w14:textId="77777777" w:rsidR="00865ECF" w:rsidRPr="00C71871" w:rsidRDefault="00865ECF" w:rsidP="00865ECF">
      <w:pPr>
        <w:spacing w:after="0" w:line="240" w:lineRule="auto"/>
        <w:rPr>
          <w:rFonts w:ascii="Verdana" w:eastAsia="Calibri" w:hAnsi="Verdana" w:cs="Arial"/>
          <w:sz w:val="20"/>
          <w:szCs w:val="20"/>
          <w:lang w:val="es-ES_tradnl"/>
        </w:rPr>
      </w:pPr>
    </w:p>
    <w:p w14:paraId="3A15AB96" w14:textId="77777777" w:rsidR="00865ECF" w:rsidRPr="00C71871" w:rsidRDefault="00865ECF" w:rsidP="00865ECF">
      <w:pPr>
        <w:tabs>
          <w:tab w:val="left" w:pos="709"/>
        </w:tabs>
        <w:spacing w:after="0" w:line="240" w:lineRule="auto"/>
        <w:jc w:val="both"/>
        <w:rPr>
          <w:rFonts w:ascii="Verdana" w:hAnsi="Verdana"/>
          <w:sz w:val="20"/>
          <w:szCs w:val="20"/>
        </w:rPr>
      </w:pPr>
      <w:r>
        <w:rPr>
          <w:rFonts w:ascii="Verdana" w:hAnsi="Verdana"/>
          <w:sz w:val="20"/>
          <w:szCs w:val="20"/>
        </w:rPr>
        <w:t xml:space="preserve">[…] </w:t>
      </w:r>
      <w:r w:rsidRPr="00C71871">
        <w:rPr>
          <w:rFonts w:ascii="Verdana" w:hAnsi="Verdana"/>
          <w:sz w:val="20"/>
          <w:szCs w:val="20"/>
        </w:rPr>
        <w:t>En ese contexto, la referida Ley incorpora una serie de estímulos e incentivos. En especial, en su Capítulo III “Compras públicas” del Título I</w:t>
      </w:r>
      <w:r w:rsidRPr="00C71871" w:rsidDel="0094280A">
        <w:rPr>
          <w:rFonts w:ascii="Verdana" w:hAnsi="Verdana"/>
          <w:sz w:val="20"/>
          <w:szCs w:val="20"/>
        </w:rPr>
        <w:t xml:space="preserve"> </w:t>
      </w:r>
      <w:r w:rsidRPr="00C71871">
        <w:rPr>
          <w:rFonts w:ascii="Verdana" w:hAnsi="Verdana"/>
          <w:sz w:val="20"/>
          <w:szCs w:val="20"/>
        </w:rPr>
        <w:t xml:space="preserve">se modifican varias disposiciones que regían el sistema de compra y contratación pública, las cuales tienen un impacto en distintas normas legales y reglamentarias. </w:t>
      </w:r>
    </w:p>
    <w:p w14:paraId="6C647A26" w14:textId="77777777" w:rsidR="00865ECF" w:rsidRDefault="00865ECF" w:rsidP="00865ECF">
      <w:pPr>
        <w:tabs>
          <w:tab w:val="left" w:pos="709"/>
        </w:tabs>
        <w:spacing w:after="0" w:line="240" w:lineRule="auto"/>
        <w:jc w:val="both"/>
        <w:rPr>
          <w:rFonts w:ascii="Verdana" w:eastAsia="Calibri" w:hAnsi="Verdana" w:cs="Arial"/>
          <w:bCs/>
          <w:sz w:val="20"/>
          <w:szCs w:val="20"/>
        </w:rPr>
      </w:pPr>
    </w:p>
    <w:p w14:paraId="65AEE9C8" w14:textId="77777777" w:rsidR="00865ECF" w:rsidRDefault="00865ECF" w:rsidP="00865ECF">
      <w:pPr>
        <w:tabs>
          <w:tab w:val="left" w:pos="709"/>
        </w:tabs>
        <w:spacing w:after="0" w:line="240" w:lineRule="auto"/>
        <w:jc w:val="both"/>
        <w:rPr>
          <w:rFonts w:ascii="Verdana" w:eastAsia="Calibri" w:hAnsi="Verdana" w:cs="Arial"/>
          <w:bCs/>
          <w:sz w:val="20"/>
          <w:szCs w:val="20"/>
        </w:rPr>
      </w:pPr>
      <w:r w:rsidRPr="00C71871">
        <w:rPr>
          <w:rFonts w:ascii="Verdana" w:eastAsia="Calibri" w:hAnsi="Verdana" w:cs="Arial"/>
          <w:bCs/>
          <w:sz w:val="20"/>
          <w:szCs w:val="20"/>
        </w:rPr>
        <w:t xml:space="preserve">Dentro del referido capítulo se encuentran los artículos 31 y 32 de la Ley 2069 de 2020, los cuales crean una serie de incentivos para las personas interesadas en celebrar contratos con el Estado. Por un lado, </w:t>
      </w:r>
      <w:r w:rsidRPr="00C71871">
        <w:rPr>
          <w:rFonts w:ascii="Verdana" w:eastAsia="Calibri" w:hAnsi="Verdana" w:cs="Arial"/>
          <w:bCs/>
          <w:sz w:val="20"/>
          <w:szCs w:val="20"/>
          <w:lang w:val="es-ES_tradnl"/>
        </w:rPr>
        <w:t xml:space="preserve">el artículo 31 </w:t>
      </w:r>
      <w:r w:rsidRPr="00C71871">
        <w:rPr>
          <w:rFonts w:ascii="Verdana" w:eastAsia="Calibri" w:hAnsi="Verdana" w:cs="Arial"/>
          <w:bCs/>
          <w:sz w:val="20"/>
          <w:szCs w:val="20"/>
        </w:rPr>
        <w:t xml:space="preserve">introduce criterios diferenciales para el acceso de las </w:t>
      </w:r>
      <w:proofErr w:type="spellStart"/>
      <w:r w:rsidRPr="00C71871">
        <w:rPr>
          <w:rFonts w:ascii="Verdana" w:eastAsia="Calibri" w:hAnsi="Verdana" w:cs="Arial"/>
          <w:bCs/>
          <w:sz w:val="20"/>
          <w:szCs w:val="20"/>
        </w:rPr>
        <w:t>Mipymes</w:t>
      </w:r>
      <w:proofErr w:type="spellEnd"/>
      <w:r w:rsidRPr="00C71871">
        <w:rPr>
          <w:rFonts w:ascii="Verdana" w:eastAsia="Calibri" w:hAnsi="Verdana" w:cs="Arial"/>
          <w:bCs/>
          <w:sz w:val="20"/>
          <w:szCs w:val="20"/>
        </w:rPr>
        <w:t xml:space="preserve"> al sistema de compras y contratación pública, mientras que el artículo 32 introduce criterios diferenciales en favor de los emprendimientos y empresas de mujeres. </w:t>
      </w:r>
    </w:p>
    <w:p w14:paraId="024B7FBE" w14:textId="77777777" w:rsidR="00865ECF" w:rsidRDefault="00865ECF" w:rsidP="00865ECF">
      <w:pPr>
        <w:tabs>
          <w:tab w:val="left" w:pos="709"/>
        </w:tabs>
        <w:spacing w:after="0" w:line="240" w:lineRule="auto"/>
        <w:jc w:val="both"/>
        <w:rPr>
          <w:rFonts w:ascii="Verdana" w:eastAsia="Calibri" w:hAnsi="Verdana" w:cs="Arial"/>
          <w:bCs/>
          <w:sz w:val="20"/>
          <w:szCs w:val="20"/>
        </w:rPr>
      </w:pPr>
    </w:p>
    <w:p w14:paraId="25704696" w14:textId="77777777" w:rsidR="00865ECF" w:rsidRPr="00C71871" w:rsidRDefault="00865ECF" w:rsidP="00865ECF">
      <w:pPr>
        <w:tabs>
          <w:tab w:val="left" w:pos="709"/>
        </w:tabs>
        <w:spacing w:after="0" w:line="240" w:lineRule="auto"/>
        <w:jc w:val="both"/>
        <w:rPr>
          <w:rFonts w:ascii="Verdana" w:hAnsi="Verdana"/>
          <w:b/>
          <w:bCs/>
          <w:lang w:val="es-ES_tradnl"/>
        </w:rPr>
      </w:pPr>
      <w:r w:rsidRPr="00C71871">
        <w:rPr>
          <w:rFonts w:ascii="Verdana" w:hAnsi="Verdana"/>
          <w:b/>
          <w:bCs/>
          <w:lang w:val="es-ES_tradnl"/>
        </w:rPr>
        <w:t>MIPYMES – Criterios diferenciales – Decreto 1860 de 2021 – Contenido – Distinciones</w:t>
      </w:r>
    </w:p>
    <w:p w14:paraId="5F50A290" w14:textId="77777777" w:rsidR="00865ECF" w:rsidRPr="00C71871" w:rsidRDefault="00865ECF" w:rsidP="00865ECF">
      <w:pPr>
        <w:tabs>
          <w:tab w:val="left" w:pos="709"/>
        </w:tabs>
        <w:spacing w:after="0" w:line="240" w:lineRule="auto"/>
        <w:jc w:val="both"/>
        <w:rPr>
          <w:rFonts w:ascii="Verdana" w:hAnsi="Verdana"/>
          <w:sz w:val="20"/>
          <w:szCs w:val="20"/>
          <w:lang w:val="es-ES_tradnl"/>
        </w:rPr>
      </w:pPr>
    </w:p>
    <w:p w14:paraId="33795664" w14:textId="77777777" w:rsidR="00865ECF" w:rsidRPr="00C71871" w:rsidRDefault="00865ECF" w:rsidP="00865ECF">
      <w:pPr>
        <w:tabs>
          <w:tab w:val="left" w:pos="709"/>
        </w:tabs>
        <w:spacing w:after="0" w:line="240" w:lineRule="auto"/>
        <w:jc w:val="both"/>
        <w:rPr>
          <w:rFonts w:ascii="Verdana" w:hAnsi="Verdana"/>
          <w:sz w:val="20"/>
          <w:szCs w:val="20"/>
        </w:rPr>
      </w:pPr>
      <w:r w:rsidRPr="00C71871">
        <w:rPr>
          <w:rFonts w:ascii="Verdana" w:hAnsi="Verdana"/>
          <w:sz w:val="20"/>
          <w:szCs w:val="20"/>
        </w:rPr>
        <w:t xml:space="preserve">En primer lugar, respecto de los criterios diferenciales para </w:t>
      </w:r>
      <w:proofErr w:type="spellStart"/>
      <w:r w:rsidRPr="00C71871">
        <w:rPr>
          <w:rFonts w:ascii="Verdana" w:hAnsi="Verdana"/>
          <w:sz w:val="20"/>
          <w:szCs w:val="20"/>
        </w:rPr>
        <w:t>Mipyme</w:t>
      </w:r>
      <w:proofErr w:type="spellEnd"/>
      <w:r w:rsidRPr="00C71871">
        <w:rPr>
          <w:rFonts w:ascii="Verdana" w:hAnsi="Verdana"/>
          <w:sz w:val="20"/>
          <w:szCs w:val="20"/>
        </w:rPr>
        <w:t xml:space="preserve">, el artículo 31 de la Ley 2069 de 2020 estableció que las entidades estatales, de acuerdo con el análisis del sector, podrán incluir requisitos diferenciales y puntajes adicionales en función del tamaño empresarial para la promoción del acceso de este tipo de empresas al mercado de compras públicas. La aplicación de estos criterios, por disposición expresa del referido artículo, quedó condicionada por la expedición de su reglamentación. </w:t>
      </w:r>
    </w:p>
    <w:p w14:paraId="50F3F944" w14:textId="77777777" w:rsidR="00865ECF" w:rsidRDefault="00865ECF" w:rsidP="00865ECF">
      <w:pPr>
        <w:tabs>
          <w:tab w:val="left" w:pos="709"/>
        </w:tabs>
        <w:spacing w:after="0" w:line="240" w:lineRule="auto"/>
        <w:jc w:val="both"/>
        <w:rPr>
          <w:rFonts w:ascii="Verdana" w:hAnsi="Verdana"/>
          <w:sz w:val="20"/>
          <w:szCs w:val="20"/>
        </w:rPr>
      </w:pPr>
      <w:r w:rsidRPr="00C71871">
        <w:rPr>
          <w:rFonts w:ascii="Verdana" w:hAnsi="Verdana"/>
          <w:sz w:val="20"/>
          <w:szCs w:val="20"/>
        </w:rPr>
        <w:t xml:space="preserve"> </w:t>
      </w:r>
    </w:p>
    <w:p w14:paraId="3AAE95B9" w14:textId="77777777" w:rsidR="00865ECF" w:rsidRDefault="00865ECF" w:rsidP="00865ECF">
      <w:pPr>
        <w:tabs>
          <w:tab w:val="left" w:pos="709"/>
        </w:tabs>
        <w:spacing w:after="0" w:line="240" w:lineRule="auto"/>
        <w:jc w:val="both"/>
        <w:rPr>
          <w:rFonts w:ascii="Verdana" w:hAnsi="Verdana"/>
          <w:sz w:val="20"/>
          <w:szCs w:val="20"/>
        </w:rPr>
      </w:pPr>
      <w:r w:rsidRPr="00C71871">
        <w:rPr>
          <w:rFonts w:ascii="Verdana" w:hAnsi="Verdana"/>
          <w:sz w:val="20"/>
          <w:szCs w:val="20"/>
        </w:rPr>
        <w:t xml:space="preserve">Por esta razón, el artículo 3 del Decreto 1860 de 2021, adicionó el artículo 2.2.1.2.4.2.18 al Decreto 1082 de 2015, regulando los criterios diferenciales para MiPymes establecidos por el artículo 31 de la Ley 2069 de 2020. En virtud de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C71871">
        <w:rPr>
          <w:rFonts w:ascii="Verdana" w:hAnsi="Verdana"/>
          <w:sz w:val="20"/>
          <w:szCs w:val="20"/>
        </w:rPr>
        <w:t>Mipyme</w:t>
      </w:r>
      <w:proofErr w:type="spellEnd"/>
      <w:r w:rsidRPr="00C71871">
        <w:rPr>
          <w:rFonts w:ascii="Verdana" w:hAnsi="Verdana"/>
          <w:sz w:val="20"/>
          <w:szCs w:val="20"/>
        </w:rPr>
        <w:t xml:space="preserve"> domiciliadas en Colombia.</w:t>
      </w:r>
    </w:p>
    <w:p w14:paraId="56B2A2E3" w14:textId="77777777" w:rsidR="00865ECF" w:rsidRDefault="00865ECF" w:rsidP="00865ECF">
      <w:pPr>
        <w:tabs>
          <w:tab w:val="left" w:pos="709"/>
        </w:tabs>
        <w:spacing w:after="0" w:line="240" w:lineRule="auto"/>
        <w:jc w:val="both"/>
        <w:rPr>
          <w:rFonts w:ascii="Verdana" w:hAnsi="Verdana"/>
          <w:sz w:val="20"/>
          <w:szCs w:val="20"/>
        </w:rPr>
      </w:pPr>
    </w:p>
    <w:p w14:paraId="1E1FBFA6" w14:textId="77777777" w:rsidR="00865ECF" w:rsidRPr="00EE29A5" w:rsidRDefault="00865ECF" w:rsidP="00865ECF">
      <w:pPr>
        <w:tabs>
          <w:tab w:val="left" w:pos="709"/>
        </w:tabs>
        <w:spacing w:after="0" w:line="240" w:lineRule="auto"/>
        <w:jc w:val="both"/>
        <w:rPr>
          <w:rFonts w:ascii="Verdana" w:hAnsi="Verdana"/>
          <w:sz w:val="20"/>
          <w:szCs w:val="20"/>
        </w:rPr>
      </w:pPr>
      <w:r w:rsidRPr="00EE29A5">
        <w:rPr>
          <w:rFonts w:ascii="Verdana" w:hAnsi="Verdana"/>
          <w:sz w:val="20"/>
          <w:szCs w:val="20"/>
        </w:rPr>
        <w:t xml:space="preserve">Lo anterior significa que la expresión “podrán” contenida en el artículo 31 de la Ley 2069 de 2020, fue utilizada por el legislador porque la incorporación de los criterios diferenciales y puntajes adicionales en favor de las </w:t>
      </w:r>
      <w:proofErr w:type="spellStart"/>
      <w:r w:rsidRPr="00EE29A5">
        <w:rPr>
          <w:rFonts w:ascii="Verdana" w:hAnsi="Verdana"/>
          <w:sz w:val="20"/>
          <w:szCs w:val="20"/>
        </w:rPr>
        <w:t>Mipymes</w:t>
      </w:r>
      <w:proofErr w:type="spellEnd"/>
      <w:r w:rsidRPr="00EE29A5">
        <w:rPr>
          <w:rFonts w:ascii="Verdana" w:hAnsi="Verdana"/>
          <w:sz w:val="20"/>
          <w:szCs w:val="20"/>
        </w:rPr>
        <w:t xml:space="preserve"> es potestativa de la entidad estatal. En todo caso, debe sustentarse en los resultados del análisis del sector realizado por la entidad estatal contratante en la etapa de planeación, lo que le permite a esta inferir que su incorporación es pertinente y se sustenta en la evaluación objetiva, la cual será consignada en los estudios y documentos previos. </w:t>
      </w:r>
    </w:p>
    <w:p w14:paraId="43080D55" w14:textId="77777777" w:rsidR="00865ECF" w:rsidRDefault="00865ECF" w:rsidP="00865ECF">
      <w:pPr>
        <w:tabs>
          <w:tab w:val="left" w:pos="709"/>
        </w:tabs>
        <w:spacing w:after="0" w:line="240" w:lineRule="auto"/>
        <w:jc w:val="both"/>
        <w:rPr>
          <w:rFonts w:ascii="Verdana" w:hAnsi="Verdana"/>
          <w:sz w:val="20"/>
          <w:szCs w:val="20"/>
        </w:rPr>
      </w:pPr>
    </w:p>
    <w:p w14:paraId="26F46167" w14:textId="77777777" w:rsidR="00865ECF" w:rsidRPr="00CD56DE" w:rsidRDefault="00865ECF" w:rsidP="00865ECF">
      <w:pPr>
        <w:tabs>
          <w:tab w:val="left" w:pos="709"/>
        </w:tabs>
        <w:spacing w:after="0" w:line="240" w:lineRule="auto"/>
        <w:jc w:val="both"/>
        <w:rPr>
          <w:rFonts w:ascii="Verdana" w:hAnsi="Verdana"/>
          <w:b/>
          <w:lang w:val="es-ES_tradnl"/>
        </w:rPr>
      </w:pPr>
      <w:r w:rsidRPr="00CD56DE">
        <w:rPr>
          <w:rFonts w:ascii="Verdana" w:hAnsi="Verdana"/>
          <w:b/>
          <w:lang w:val="es-ES_tradnl"/>
        </w:rPr>
        <w:lastRenderedPageBreak/>
        <w:t>LEY DE EMPRENDIMIENTO – Ley 2069 de 2020 – Artículo 32 – Criterios diferenciales – Emprendimientos – Empresas de mujeres – Necesidad de reglamentación – Decreto 1860 de 2021</w:t>
      </w:r>
    </w:p>
    <w:p w14:paraId="08497900" w14:textId="77777777" w:rsidR="00865ECF" w:rsidRDefault="00865ECF" w:rsidP="00865ECF">
      <w:pPr>
        <w:tabs>
          <w:tab w:val="left" w:pos="709"/>
        </w:tabs>
        <w:spacing w:after="0" w:line="240" w:lineRule="auto"/>
        <w:jc w:val="both"/>
        <w:rPr>
          <w:rFonts w:ascii="Verdana" w:hAnsi="Verdana"/>
          <w:sz w:val="20"/>
          <w:szCs w:val="20"/>
          <w:lang w:val="es-ES_tradnl"/>
        </w:rPr>
      </w:pPr>
    </w:p>
    <w:p w14:paraId="05B39A8B" w14:textId="77777777" w:rsidR="00865ECF" w:rsidRDefault="00865ECF" w:rsidP="00865ECF">
      <w:pPr>
        <w:tabs>
          <w:tab w:val="left" w:pos="709"/>
        </w:tabs>
        <w:spacing w:after="0" w:line="240" w:lineRule="auto"/>
        <w:jc w:val="both"/>
        <w:rPr>
          <w:rFonts w:ascii="Verdana" w:hAnsi="Verdana"/>
          <w:sz w:val="20"/>
          <w:szCs w:val="20"/>
        </w:rPr>
      </w:pPr>
      <w:r w:rsidRPr="00EE29A5">
        <w:rPr>
          <w:rFonts w:ascii="Verdana" w:hAnsi="Verdana"/>
          <w:sz w:val="20"/>
          <w:szCs w:val="20"/>
        </w:rPr>
        <w:t xml:space="preserve">En segundo lugar, como medidas de acción afirmativa para incentivar la participación de los emprendimientos y las empresas de mujeres en el sistema de compra pública, el artículo 32 de la Ley 2069 de 2020 establece que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de la Administración Pública.  </w:t>
      </w:r>
    </w:p>
    <w:p w14:paraId="563C7A0C" w14:textId="77777777" w:rsidR="00865ECF" w:rsidRDefault="00865ECF" w:rsidP="00865ECF">
      <w:pPr>
        <w:tabs>
          <w:tab w:val="left" w:pos="709"/>
        </w:tabs>
        <w:spacing w:after="0" w:line="240" w:lineRule="auto"/>
        <w:jc w:val="both"/>
        <w:rPr>
          <w:rFonts w:ascii="Verdana" w:hAnsi="Verdana"/>
          <w:sz w:val="20"/>
          <w:szCs w:val="20"/>
        </w:rPr>
      </w:pPr>
    </w:p>
    <w:p w14:paraId="6922F6FF" w14:textId="77777777" w:rsidR="00865ECF" w:rsidRPr="00EE29A5" w:rsidRDefault="00865ECF" w:rsidP="00865ECF">
      <w:pPr>
        <w:tabs>
          <w:tab w:val="left" w:pos="709"/>
        </w:tabs>
        <w:spacing w:after="0" w:line="240" w:lineRule="auto"/>
        <w:jc w:val="both"/>
        <w:rPr>
          <w:rFonts w:ascii="Verdana" w:hAnsi="Verdana"/>
          <w:sz w:val="20"/>
          <w:szCs w:val="20"/>
        </w:rPr>
      </w:pPr>
      <w:r w:rsidRPr="00EE29A5">
        <w:rPr>
          <w:rFonts w:ascii="Verdana" w:hAnsi="Verdana"/>
          <w:sz w:val="20"/>
          <w:szCs w:val="20"/>
        </w:rPr>
        <w:t>La inclusión de estos criterios diferenciales en los procesos de selección, quedaron condicionados a los resultados del análisis del sector que elabore la entidad pública en la etapa de planeación y al cumplimiento de los compromisos adquiridos por Colombia en los acuerdos comerciales en vigor. A su vez, el parágrafo primero de la norma analizada estableció que la definición de emprendimientos y empresas de mujeres se realizaría de manera reglamentaria.</w:t>
      </w:r>
    </w:p>
    <w:p w14:paraId="7D6A9044" w14:textId="77777777" w:rsidR="00865ECF" w:rsidRDefault="00865ECF" w:rsidP="00865ECF">
      <w:pPr>
        <w:tabs>
          <w:tab w:val="left" w:pos="709"/>
        </w:tabs>
        <w:spacing w:after="0" w:line="240" w:lineRule="auto"/>
        <w:jc w:val="both"/>
        <w:rPr>
          <w:rFonts w:ascii="Verdana" w:hAnsi="Verdana"/>
          <w:sz w:val="20"/>
          <w:szCs w:val="20"/>
        </w:rPr>
      </w:pPr>
    </w:p>
    <w:p w14:paraId="7C2D75AA" w14:textId="77777777" w:rsidR="00865ECF" w:rsidRPr="00EE29A5" w:rsidRDefault="00865ECF" w:rsidP="00865ECF">
      <w:pPr>
        <w:tabs>
          <w:tab w:val="left" w:pos="709"/>
        </w:tabs>
        <w:spacing w:after="0" w:line="240" w:lineRule="auto"/>
        <w:jc w:val="both"/>
        <w:rPr>
          <w:rFonts w:ascii="Verdana" w:hAnsi="Verdana"/>
          <w:sz w:val="20"/>
          <w:szCs w:val="20"/>
        </w:rPr>
      </w:pPr>
      <w:r w:rsidRPr="00EE29A5">
        <w:rPr>
          <w:rFonts w:ascii="Verdana" w:hAnsi="Verdana"/>
          <w:sz w:val="20"/>
          <w:szCs w:val="20"/>
        </w:rPr>
        <w:t>Por su parte, el artículo 3 del Decreto 1860 de 2021, que adicionó el artículo 2.2.1.2.4.2.15 al Decreto 1082 de 2015, establece que en los procesos de selección las entidades públicas adoptarán criterios diferenciales relacionados con las condiciones habilitantes y puntajes adicionales para incentivar los emprendimientos y empresas de mujeres con domicilio en el territorio nacional.</w:t>
      </w:r>
    </w:p>
    <w:p w14:paraId="7707E96D" w14:textId="77777777" w:rsidR="00865ECF" w:rsidRPr="00C71871" w:rsidRDefault="00865ECF" w:rsidP="00865ECF">
      <w:pPr>
        <w:tabs>
          <w:tab w:val="left" w:pos="709"/>
        </w:tabs>
        <w:spacing w:after="0" w:line="240" w:lineRule="auto"/>
        <w:jc w:val="both"/>
        <w:rPr>
          <w:rFonts w:ascii="Verdana" w:hAnsi="Verdana"/>
          <w:sz w:val="20"/>
          <w:szCs w:val="20"/>
          <w:lang w:val="es-ES"/>
        </w:rPr>
      </w:pPr>
    </w:p>
    <w:p w14:paraId="0592DF61" w14:textId="77777777" w:rsidR="00865ECF" w:rsidRDefault="00865ECF" w:rsidP="00865ECF">
      <w:pPr>
        <w:spacing w:after="0" w:line="240" w:lineRule="auto"/>
        <w:jc w:val="both"/>
        <w:rPr>
          <w:rFonts w:ascii="Verdana" w:hAnsi="Verdana"/>
          <w:sz w:val="20"/>
          <w:szCs w:val="20"/>
        </w:rPr>
      </w:pPr>
      <w:r w:rsidRPr="00EE29A5">
        <w:rPr>
          <w:rFonts w:ascii="Verdana" w:hAnsi="Verdana"/>
          <w:sz w:val="20"/>
          <w:szCs w:val="20"/>
        </w:rPr>
        <w:t>De acuerdo con lo anterior, esta Agencia ha considerado que, tratándose de emprendimientos y empresas de mujeres, la incorporación de los criterios diferenciales para emprendimientos y empresas de mujeres en el sistema de compras en los procesos de licitación pública, selección abreviada de menor cuantía y concurso de méritos, así como en los procesos competitivos que adelanten las entidades estatales que no apliquen en su gestión contractual el EGCAP, son obligatorios, en la medida que el artículo 32 consagra el verbo “</w:t>
      </w:r>
      <w:r w:rsidRPr="00EE29A5">
        <w:rPr>
          <w:rFonts w:ascii="Verdana" w:hAnsi="Verdana"/>
          <w:b/>
          <w:bCs/>
          <w:sz w:val="20"/>
          <w:szCs w:val="20"/>
          <w:u w:val="single"/>
        </w:rPr>
        <w:t>deberán</w:t>
      </w:r>
      <w:r w:rsidRPr="00EE29A5">
        <w:rPr>
          <w:rFonts w:ascii="Verdana" w:hAnsi="Verdana"/>
          <w:sz w:val="20"/>
          <w:szCs w:val="20"/>
        </w:rPr>
        <w:t>”.</w:t>
      </w:r>
    </w:p>
    <w:p w14:paraId="6E904B8D" w14:textId="77777777" w:rsidR="00865ECF" w:rsidRDefault="00865ECF" w:rsidP="00865ECF">
      <w:pPr>
        <w:spacing w:after="0" w:line="240" w:lineRule="auto"/>
        <w:jc w:val="both"/>
        <w:rPr>
          <w:rFonts w:ascii="Verdana" w:hAnsi="Verdana"/>
          <w:sz w:val="20"/>
          <w:szCs w:val="20"/>
        </w:rPr>
      </w:pPr>
    </w:p>
    <w:p w14:paraId="30AF4CB8" w14:textId="77777777" w:rsidR="00865ECF" w:rsidRPr="00CD56DE" w:rsidRDefault="00865ECF" w:rsidP="00865ECF">
      <w:pPr>
        <w:tabs>
          <w:tab w:val="left" w:pos="709"/>
        </w:tabs>
        <w:spacing w:after="0" w:line="240" w:lineRule="auto"/>
        <w:jc w:val="both"/>
        <w:rPr>
          <w:rFonts w:ascii="Verdana" w:hAnsi="Verdana"/>
          <w:b/>
          <w:bCs/>
          <w:lang w:val="es-ES"/>
        </w:rPr>
      </w:pPr>
      <w:r w:rsidRPr="00CD56DE">
        <w:rPr>
          <w:rFonts w:ascii="Verdana" w:hAnsi="Verdana"/>
          <w:b/>
          <w:bCs/>
          <w:lang w:val="es-ES"/>
        </w:rPr>
        <w:t xml:space="preserve">MIPYMES – Criterios diferenciales – Decreto 1860 de 2021 – </w:t>
      </w:r>
      <w:proofErr w:type="spellStart"/>
      <w:r w:rsidRPr="00CD56DE">
        <w:rPr>
          <w:rFonts w:ascii="Verdana" w:hAnsi="Verdana"/>
          <w:b/>
          <w:bCs/>
          <w:lang w:val="es-ES"/>
        </w:rPr>
        <w:t>Mipymes</w:t>
      </w:r>
      <w:proofErr w:type="spellEnd"/>
      <w:r w:rsidRPr="00CD56DE">
        <w:rPr>
          <w:rFonts w:ascii="Verdana" w:hAnsi="Verdana"/>
          <w:b/>
          <w:bCs/>
          <w:lang w:val="es-ES"/>
        </w:rPr>
        <w:t xml:space="preserve"> - Emprendimientos – Empresas de mujeres – Puntaje </w:t>
      </w:r>
    </w:p>
    <w:p w14:paraId="501F0948" w14:textId="77777777" w:rsidR="00865ECF" w:rsidRDefault="00865ECF" w:rsidP="00865ECF">
      <w:pPr>
        <w:tabs>
          <w:tab w:val="left" w:pos="709"/>
        </w:tabs>
        <w:spacing w:after="0" w:line="240" w:lineRule="auto"/>
        <w:jc w:val="both"/>
        <w:rPr>
          <w:rFonts w:ascii="Verdana" w:hAnsi="Verdana"/>
          <w:b/>
          <w:sz w:val="20"/>
          <w:szCs w:val="20"/>
          <w:lang w:val="es-ES_tradnl"/>
        </w:rPr>
      </w:pPr>
    </w:p>
    <w:p w14:paraId="51B3F236" w14:textId="77777777" w:rsidR="00865ECF" w:rsidRPr="00EE29A5" w:rsidRDefault="00865ECF" w:rsidP="00865ECF">
      <w:pPr>
        <w:spacing w:after="120" w:line="276" w:lineRule="auto"/>
        <w:jc w:val="both"/>
        <w:rPr>
          <w:rFonts w:ascii="Verdana" w:hAnsi="Verdana"/>
          <w:sz w:val="20"/>
          <w:szCs w:val="20"/>
        </w:rPr>
      </w:pPr>
      <w:r w:rsidRPr="00EE29A5">
        <w:rPr>
          <w:rFonts w:ascii="Verdana" w:hAnsi="Verdana"/>
          <w:sz w:val="20"/>
          <w:szCs w:val="20"/>
        </w:rPr>
        <w:t xml:space="preserve">En atención a lo anterior, la entidad estatal luego del resultado arrojado en el análisis del sector definirá el criterio o criterios diferenciales que adoptará, para beneficiar tanto a </w:t>
      </w:r>
      <w:proofErr w:type="spellStart"/>
      <w:r w:rsidRPr="00EE29A5">
        <w:rPr>
          <w:rFonts w:ascii="Verdana" w:hAnsi="Verdana"/>
          <w:sz w:val="20"/>
          <w:szCs w:val="20"/>
        </w:rPr>
        <w:t>Mipymes</w:t>
      </w:r>
      <w:proofErr w:type="spellEnd"/>
      <w:r w:rsidRPr="00EE29A5">
        <w:rPr>
          <w:rFonts w:ascii="Verdana" w:hAnsi="Verdana"/>
          <w:sz w:val="20"/>
          <w:szCs w:val="20"/>
        </w:rPr>
        <w:t xml:space="preserve"> como a los emprendimientos y empresas de mujeres. Para dichos efectos se establecerán condiciones más exigentes respecto a alguno o algunos de los criterios de participación antes enunciados para los demás proponentes que concurran al proceso de contratación que no sean </w:t>
      </w:r>
      <w:proofErr w:type="spellStart"/>
      <w:r w:rsidRPr="00EE29A5">
        <w:rPr>
          <w:rFonts w:ascii="Verdana" w:hAnsi="Verdana"/>
          <w:sz w:val="20"/>
          <w:szCs w:val="20"/>
        </w:rPr>
        <w:t>Mipyme</w:t>
      </w:r>
      <w:proofErr w:type="spellEnd"/>
      <w:r w:rsidRPr="00EE29A5">
        <w:rPr>
          <w:rFonts w:ascii="Verdana" w:hAnsi="Verdana"/>
          <w:sz w:val="20"/>
          <w:szCs w:val="20"/>
        </w:rPr>
        <w:t xml:space="preserve"> o empresa o empresa de mujeres. Es importante tener en cuenta que los requisitos antes mencionados deberán fijarse respetando las condiciones habilitantes requeridas para el cumplimiento adecuado del contrato, </w:t>
      </w:r>
      <w:r w:rsidRPr="00EE29A5">
        <w:rPr>
          <w:rFonts w:ascii="Verdana" w:hAnsi="Verdana"/>
          <w:sz w:val="20"/>
          <w:szCs w:val="20"/>
        </w:rPr>
        <w:lastRenderedPageBreak/>
        <w:t xml:space="preserve">teniendo en cuenta el alcance de las obligaciones. Asimismo, el artículo objeto de estudio dispone que, con la finalidad de beneficiar a las </w:t>
      </w:r>
      <w:proofErr w:type="spellStart"/>
      <w:r w:rsidRPr="00EE29A5">
        <w:rPr>
          <w:rFonts w:ascii="Verdana" w:hAnsi="Verdana"/>
          <w:sz w:val="20"/>
          <w:szCs w:val="20"/>
        </w:rPr>
        <w:t>Mipyme</w:t>
      </w:r>
      <w:proofErr w:type="spellEnd"/>
      <w:r w:rsidRPr="00EE29A5">
        <w:rPr>
          <w:rFonts w:ascii="Verdana" w:hAnsi="Verdana"/>
          <w:sz w:val="20"/>
          <w:szCs w:val="20"/>
        </w:rPr>
        <w:t xml:space="preserve">, </w:t>
      </w:r>
    </w:p>
    <w:p w14:paraId="7F5FE066" w14:textId="77777777" w:rsidR="00865ECF" w:rsidRDefault="00865ECF" w:rsidP="00865ECF">
      <w:pPr>
        <w:spacing w:after="120" w:line="276" w:lineRule="auto"/>
        <w:jc w:val="both"/>
        <w:rPr>
          <w:rFonts w:ascii="Verdana" w:hAnsi="Verdana"/>
          <w:sz w:val="20"/>
          <w:szCs w:val="20"/>
        </w:rPr>
      </w:pPr>
      <w:r w:rsidRPr="00EE29A5">
        <w:rPr>
          <w:rFonts w:ascii="Verdana" w:hAnsi="Verdana"/>
          <w:sz w:val="20"/>
          <w:szCs w:val="20"/>
        </w:rPr>
        <w:t xml:space="preserve">Ahora bien, los artículos 2.2.1.2.4.2.15 y el 2.2.1.2.4.2.18 del Decreto 1082 de 2015 también disponen de un puntaje adicional de hasta el cero punto veinticinco (0,25%) del valor total de los puntos establecidos en el pliego de condiciones o documentos equivalentes a los proponentes que acrediten su condición de </w:t>
      </w:r>
      <w:proofErr w:type="spellStart"/>
      <w:r w:rsidRPr="00EE29A5">
        <w:rPr>
          <w:rFonts w:ascii="Verdana" w:hAnsi="Verdana"/>
          <w:sz w:val="20"/>
          <w:szCs w:val="20"/>
        </w:rPr>
        <w:t>Mipymes</w:t>
      </w:r>
      <w:proofErr w:type="spellEnd"/>
      <w:r w:rsidRPr="00EE29A5">
        <w:rPr>
          <w:rFonts w:ascii="Verdana" w:hAnsi="Verdana"/>
          <w:sz w:val="20"/>
          <w:szCs w:val="20"/>
        </w:rPr>
        <w:t xml:space="preserve"> y/o emprendimiento o empresa de mujeres.  </w:t>
      </w:r>
    </w:p>
    <w:p w14:paraId="1C30A0A5" w14:textId="77777777" w:rsidR="00865ECF" w:rsidRDefault="00865ECF" w:rsidP="00865ECF">
      <w:pPr>
        <w:spacing w:after="120" w:line="276" w:lineRule="auto"/>
        <w:jc w:val="both"/>
        <w:rPr>
          <w:rFonts w:ascii="Verdana" w:hAnsi="Verdana"/>
          <w:sz w:val="20"/>
          <w:szCs w:val="20"/>
        </w:rPr>
      </w:pPr>
      <w:r w:rsidRPr="00EE29A5">
        <w:rPr>
          <w:rFonts w:ascii="Verdana" w:hAnsi="Verdana"/>
          <w:sz w:val="20"/>
          <w:szCs w:val="20"/>
        </w:rPr>
        <w:t xml:space="preserve">Tratándose de proponentes plurales, los criterios diferenciales y los puntajes adicionales solo se aplicarán si por lo menos uno de los integrantes acredita es </w:t>
      </w:r>
      <w:proofErr w:type="spellStart"/>
      <w:r w:rsidRPr="00EE29A5">
        <w:rPr>
          <w:rFonts w:ascii="Verdana" w:hAnsi="Verdana"/>
          <w:sz w:val="20"/>
          <w:szCs w:val="20"/>
        </w:rPr>
        <w:t>Mipyme</w:t>
      </w:r>
      <w:proofErr w:type="spellEnd"/>
      <w:r w:rsidRPr="00EE29A5">
        <w:rPr>
          <w:rFonts w:ascii="Verdana" w:hAnsi="Verdana"/>
          <w:sz w:val="20"/>
          <w:szCs w:val="20"/>
        </w:rPr>
        <w:t xml:space="preserve"> y/o emprendimiento y empresa de mujeres y que tiene una participación igual o superior al diez por ciento (10%) en el consorcio o la unión temporal.</w:t>
      </w:r>
    </w:p>
    <w:p w14:paraId="108F8986" w14:textId="77777777" w:rsidR="00865ECF" w:rsidRPr="00CD56DE" w:rsidRDefault="00865ECF" w:rsidP="00865ECF">
      <w:pPr>
        <w:spacing w:after="120" w:line="276" w:lineRule="auto"/>
        <w:jc w:val="both"/>
        <w:rPr>
          <w:rFonts w:ascii="Verdana" w:hAnsi="Verdana"/>
          <w:b/>
          <w:bCs/>
        </w:rPr>
      </w:pPr>
      <w:r w:rsidRPr="00CD56DE">
        <w:rPr>
          <w:rFonts w:ascii="Verdana" w:hAnsi="Verdana"/>
          <w:b/>
          <w:bCs/>
        </w:rPr>
        <w:t xml:space="preserve">CRITERIOS DIFERENCIALES – Obligatoriedad – Discrecionalidad de su incorporación en los procesos de contratación </w:t>
      </w:r>
    </w:p>
    <w:p w14:paraId="6D9B9A44" w14:textId="77777777" w:rsidR="00865ECF" w:rsidRDefault="00865ECF" w:rsidP="00865ECF">
      <w:pPr>
        <w:spacing w:after="120" w:line="276" w:lineRule="auto"/>
        <w:jc w:val="both"/>
        <w:rPr>
          <w:rFonts w:ascii="Verdana" w:hAnsi="Verdana"/>
          <w:sz w:val="20"/>
          <w:szCs w:val="20"/>
        </w:rPr>
      </w:pPr>
      <w:r>
        <w:rPr>
          <w:rFonts w:ascii="Verdana" w:hAnsi="Verdana"/>
          <w:sz w:val="20"/>
          <w:szCs w:val="20"/>
        </w:rPr>
        <w:t xml:space="preserve">[…] </w:t>
      </w:r>
      <w:r w:rsidRPr="004F5B1A">
        <w:rPr>
          <w:rFonts w:ascii="Verdana" w:hAnsi="Verdana"/>
          <w:sz w:val="20"/>
          <w:szCs w:val="20"/>
        </w:rPr>
        <w:t>la fijación de criterios diferenciales no es un asunto totalmente discrecional, sino que es un deber cuyo cumplimiento está sometido a lo previsto en los resultados del análisis del sector. Esto significa que, para acatarlo, las entidades públicas y los particulares descritos en las normas analizadas están limitados por el listado de aspectos a los que pueden circunscribirse los criterios diferenciales, sino que, además, deben tener en cuenta la información que refleje el estudio del sector que les corresponde realizar para cada uno de sus contratos.</w:t>
      </w:r>
    </w:p>
    <w:p w14:paraId="057A1293" w14:textId="77777777" w:rsidR="00865ECF" w:rsidRPr="00AC3254" w:rsidRDefault="00865ECF" w:rsidP="00865ECF">
      <w:pPr>
        <w:spacing w:after="120" w:line="276" w:lineRule="auto"/>
        <w:jc w:val="both"/>
        <w:rPr>
          <w:rFonts w:ascii="Verdana" w:hAnsi="Verdana"/>
          <w:sz w:val="20"/>
          <w:szCs w:val="20"/>
        </w:rPr>
      </w:pPr>
      <w:r w:rsidRPr="00AC3254">
        <w:rPr>
          <w:rFonts w:ascii="Verdana" w:hAnsi="Verdana"/>
          <w:sz w:val="20"/>
          <w:szCs w:val="20"/>
        </w:rPr>
        <w:t xml:space="preserve">[…] A lo anterior, debe agregarse que, en cuanto se refiere al otorgamiento de puntajes adicionales en favor de las </w:t>
      </w:r>
      <w:proofErr w:type="spellStart"/>
      <w:r w:rsidRPr="00AC3254">
        <w:rPr>
          <w:rFonts w:ascii="Verdana" w:hAnsi="Verdana"/>
          <w:sz w:val="20"/>
          <w:szCs w:val="20"/>
        </w:rPr>
        <w:t>Mipymes</w:t>
      </w:r>
      <w:proofErr w:type="spellEnd"/>
      <w:r w:rsidRPr="00AC3254">
        <w:rPr>
          <w:rFonts w:ascii="Verdana" w:hAnsi="Verdana"/>
          <w:sz w:val="20"/>
          <w:szCs w:val="20"/>
        </w:rPr>
        <w:t xml:space="preserve"> y/o emprendimientos y empresas de mujeres, o a la consagración de exigencias mayores para quienes compiten con éstas, las entidades públicas también encuentran límites definidos en la ley, que se deberán respetar para garantizar que el oferente a quien se adjudique el contrato presentó la propuesta más favorable a los intereses de la entidad y que aseguren que se respeten las condiciones habilitantes mínimas requeridas para</w:t>
      </w:r>
      <w:r w:rsidRPr="00AC3254">
        <w:rPr>
          <w:rFonts w:ascii="Verdana" w:eastAsia="Arial" w:hAnsi="Verdana" w:cs="Arial"/>
          <w:sz w:val="20"/>
          <w:szCs w:val="20"/>
        </w:rPr>
        <w:t xml:space="preserve"> el cumplimiento adecuado del contrato</w:t>
      </w:r>
      <w:r>
        <w:rPr>
          <w:rFonts w:ascii="Verdana" w:eastAsia="Arial" w:hAnsi="Verdana" w:cs="Arial"/>
          <w:sz w:val="20"/>
          <w:szCs w:val="20"/>
        </w:rPr>
        <w:t>.</w:t>
      </w:r>
    </w:p>
    <w:p w14:paraId="37274C39" w14:textId="77777777" w:rsidR="00865ECF" w:rsidRPr="00C71871" w:rsidRDefault="00865ECF" w:rsidP="00865ECF">
      <w:pPr>
        <w:tabs>
          <w:tab w:val="left" w:pos="709"/>
        </w:tabs>
        <w:spacing w:after="0" w:line="240" w:lineRule="auto"/>
        <w:jc w:val="both"/>
        <w:rPr>
          <w:rFonts w:ascii="Verdana" w:hAnsi="Verdana"/>
          <w:b/>
          <w:bCs/>
          <w:sz w:val="20"/>
          <w:szCs w:val="20"/>
        </w:rPr>
      </w:pPr>
    </w:p>
    <w:p w14:paraId="79A3F0BC" w14:textId="77777777" w:rsidR="00865ECF" w:rsidRPr="00EE29A5" w:rsidRDefault="00865ECF" w:rsidP="00865ECF">
      <w:pPr>
        <w:spacing w:after="0" w:line="240" w:lineRule="auto"/>
        <w:jc w:val="both"/>
        <w:rPr>
          <w:rFonts w:ascii="Verdana" w:hAnsi="Verdana"/>
          <w:sz w:val="20"/>
          <w:szCs w:val="20"/>
          <w:lang w:val="es-ES_tradnl"/>
        </w:rPr>
      </w:pPr>
    </w:p>
    <w:p w14:paraId="4B982D57" w14:textId="77777777" w:rsidR="00D84005" w:rsidRDefault="00D84005" w:rsidP="00D84005">
      <w:pPr>
        <w:spacing w:after="0" w:line="240" w:lineRule="auto"/>
        <w:rPr>
          <w:rFonts w:ascii="Verdana" w:hAnsi="Verdana"/>
          <w:lang w:val="es-ES_tradnl"/>
        </w:rPr>
      </w:pPr>
    </w:p>
    <w:p w14:paraId="5B63D803" w14:textId="77777777" w:rsidR="00865ECF" w:rsidRDefault="00865ECF" w:rsidP="00D84005">
      <w:pPr>
        <w:spacing w:after="0" w:line="240" w:lineRule="auto"/>
        <w:rPr>
          <w:rFonts w:ascii="Verdana" w:hAnsi="Verdana"/>
          <w:lang w:val="es-ES_tradnl"/>
        </w:rPr>
      </w:pPr>
    </w:p>
    <w:p w14:paraId="0BDE4575" w14:textId="77777777" w:rsidR="00865ECF" w:rsidRDefault="00865ECF" w:rsidP="00D84005">
      <w:pPr>
        <w:spacing w:after="0" w:line="240" w:lineRule="auto"/>
        <w:rPr>
          <w:rFonts w:ascii="Verdana" w:hAnsi="Verdana"/>
          <w:lang w:val="es-ES_tradnl"/>
        </w:rPr>
      </w:pPr>
    </w:p>
    <w:p w14:paraId="5A7E6729" w14:textId="77777777" w:rsidR="00865ECF" w:rsidRDefault="00865ECF" w:rsidP="00D84005">
      <w:pPr>
        <w:spacing w:after="0" w:line="240" w:lineRule="auto"/>
        <w:rPr>
          <w:rFonts w:ascii="Verdana" w:hAnsi="Verdana"/>
          <w:lang w:val="es-ES_tradnl"/>
        </w:rPr>
      </w:pPr>
    </w:p>
    <w:p w14:paraId="7D014C76" w14:textId="77777777" w:rsidR="00865ECF" w:rsidRDefault="00865ECF" w:rsidP="00D84005">
      <w:pPr>
        <w:spacing w:after="0" w:line="240" w:lineRule="auto"/>
        <w:rPr>
          <w:rFonts w:ascii="Verdana" w:hAnsi="Verdana"/>
          <w:lang w:val="es-ES_tradnl"/>
        </w:rPr>
      </w:pPr>
    </w:p>
    <w:p w14:paraId="5404AFA1" w14:textId="77777777" w:rsidR="00865ECF" w:rsidRDefault="00865ECF" w:rsidP="00D84005">
      <w:pPr>
        <w:spacing w:after="0" w:line="240" w:lineRule="auto"/>
        <w:rPr>
          <w:rFonts w:ascii="Verdana" w:hAnsi="Verdana"/>
          <w:lang w:val="es-ES_tradnl"/>
        </w:rPr>
      </w:pPr>
    </w:p>
    <w:p w14:paraId="719BCBA9" w14:textId="77777777" w:rsidR="00865ECF" w:rsidRDefault="00865ECF" w:rsidP="00D84005">
      <w:pPr>
        <w:spacing w:after="0" w:line="240" w:lineRule="auto"/>
        <w:rPr>
          <w:rFonts w:ascii="Verdana" w:hAnsi="Verdana"/>
          <w:lang w:val="es-ES_tradnl"/>
        </w:rPr>
      </w:pPr>
    </w:p>
    <w:p w14:paraId="53CA3DD1" w14:textId="77777777" w:rsidR="00865ECF" w:rsidRDefault="00865ECF" w:rsidP="00D84005">
      <w:pPr>
        <w:spacing w:after="0" w:line="240" w:lineRule="auto"/>
        <w:rPr>
          <w:rFonts w:ascii="Verdana" w:hAnsi="Verdana"/>
          <w:lang w:val="es-ES_tradnl"/>
        </w:rPr>
      </w:pPr>
    </w:p>
    <w:p w14:paraId="24CF5BD1" w14:textId="77777777" w:rsidR="00865ECF" w:rsidRDefault="00865ECF" w:rsidP="00D84005">
      <w:pPr>
        <w:spacing w:after="0" w:line="240" w:lineRule="auto"/>
        <w:rPr>
          <w:rFonts w:ascii="Verdana" w:hAnsi="Verdana"/>
          <w:lang w:val="es-ES_tradnl"/>
        </w:rPr>
      </w:pPr>
    </w:p>
    <w:p w14:paraId="5945196C" w14:textId="77777777" w:rsidR="00865ECF" w:rsidRDefault="00865ECF" w:rsidP="00D84005">
      <w:pPr>
        <w:spacing w:after="0" w:line="240" w:lineRule="auto"/>
        <w:rPr>
          <w:rFonts w:ascii="Verdana" w:hAnsi="Verdana"/>
          <w:lang w:val="es-ES_tradnl"/>
        </w:rPr>
      </w:pPr>
    </w:p>
    <w:p w14:paraId="4298D399" w14:textId="7BFA6BDF" w:rsidR="00865ECF" w:rsidRPr="00865ECF" w:rsidRDefault="00D84005" w:rsidP="00D84005">
      <w:pPr>
        <w:spacing w:after="0" w:line="240" w:lineRule="auto"/>
        <w:rPr>
          <w:rFonts w:ascii="Verdana" w:eastAsia="Geomanist Light" w:hAnsi="Verdana" w:cs="Arial"/>
        </w:rPr>
      </w:pPr>
      <w:r w:rsidRPr="00037AFB">
        <w:rPr>
          <w:rFonts w:ascii="Verdana" w:eastAsia="Geomanist Light" w:hAnsi="Verdana" w:cs="Arial"/>
        </w:rPr>
        <w:t>Bogotá D.C.,</w:t>
      </w:r>
      <w:r w:rsidR="00C36081">
        <w:rPr>
          <w:rFonts w:ascii="Verdana" w:eastAsia="Geomanist Light" w:hAnsi="Verdana" w:cs="Arial"/>
        </w:rPr>
        <w:t xml:space="preserve"> 31</w:t>
      </w:r>
      <w:r w:rsidRPr="00037AFB">
        <w:rPr>
          <w:rFonts w:ascii="Verdana" w:eastAsia="Geomanist Light" w:hAnsi="Verdana" w:cs="Arial"/>
        </w:rPr>
        <w:t xml:space="preserve"> de </w:t>
      </w:r>
      <w:r w:rsidR="00C36081">
        <w:rPr>
          <w:rFonts w:ascii="Verdana" w:eastAsia="Geomanist Light" w:hAnsi="Verdana" w:cs="Arial"/>
        </w:rPr>
        <w:t>diciembre</w:t>
      </w:r>
      <w:r w:rsidRPr="00037AFB">
        <w:rPr>
          <w:rFonts w:ascii="Verdana" w:eastAsia="Geomanist Light" w:hAnsi="Verdana" w:cs="Arial"/>
        </w:rPr>
        <w:t xml:space="preserve"> de</w:t>
      </w:r>
    </w:p>
    <w:p w14:paraId="1372A180" w14:textId="5A4E27FF" w:rsidR="00D84005" w:rsidRDefault="00D84005" w:rsidP="00D84005">
      <w:pPr>
        <w:spacing w:after="0" w:line="240" w:lineRule="auto"/>
        <w:rPr>
          <w:rFonts w:ascii="Verdana" w:eastAsia="Calibri" w:hAnsi="Verdana" w:cs="Arial"/>
          <w:b/>
          <w:bCs/>
          <w:lang w:eastAsia="es-ES_tradnl"/>
        </w:rPr>
      </w:pPr>
    </w:p>
    <w:p w14:paraId="79CFCF65" w14:textId="58D2212B" w:rsidR="00C36081" w:rsidRDefault="00C36081" w:rsidP="00865ECF">
      <w:pPr>
        <w:spacing w:after="0" w:line="240" w:lineRule="auto"/>
        <w:ind w:left="4248"/>
        <w:rPr>
          <w:rFonts w:ascii="Verdana" w:eastAsia="Calibri" w:hAnsi="Verdana" w:cs="Arial"/>
          <w:b/>
          <w:bCs/>
          <w:lang w:eastAsia="es-ES_tradnl"/>
        </w:rPr>
      </w:pPr>
      <w:r w:rsidRPr="00C36081">
        <w:rPr>
          <w:rFonts w:ascii="Verdana" w:eastAsia="Calibri" w:hAnsi="Verdana" w:cs="Arial"/>
          <w:b/>
          <w:bCs/>
          <w:noProof/>
          <w:lang w:eastAsia="es-ES_tradnl"/>
        </w:rPr>
        <w:drawing>
          <wp:inline distT="0" distB="0" distL="0" distR="0" wp14:anchorId="104F4CF6" wp14:editId="4D4820C7">
            <wp:extent cx="3229426" cy="876422"/>
            <wp:effectExtent l="0" t="0" r="9525" b="0"/>
            <wp:docPr id="19162373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237352" name=""/>
                    <pic:cNvPicPr/>
                  </pic:nvPicPr>
                  <pic:blipFill>
                    <a:blip r:embed="rId10"/>
                    <a:stretch>
                      <a:fillRect/>
                    </a:stretch>
                  </pic:blipFill>
                  <pic:spPr>
                    <a:xfrm>
                      <a:off x="0" y="0"/>
                      <a:ext cx="3229426" cy="876422"/>
                    </a:xfrm>
                    <a:prstGeom prst="rect">
                      <a:avLst/>
                    </a:prstGeom>
                  </pic:spPr>
                </pic:pic>
              </a:graphicData>
            </a:graphic>
          </wp:inline>
        </w:drawing>
      </w:r>
    </w:p>
    <w:p w14:paraId="6879DEF3" w14:textId="77777777" w:rsidR="00C36081" w:rsidRDefault="00C36081" w:rsidP="00D84005">
      <w:pPr>
        <w:spacing w:after="0" w:line="240" w:lineRule="auto"/>
        <w:rPr>
          <w:rFonts w:ascii="Verdana" w:eastAsia="Calibri" w:hAnsi="Verdana" w:cs="Arial"/>
          <w:b/>
          <w:bCs/>
          <w:lang w:eastAsia="es-ES_tradnl"/>
        </w:rPr>
      </w:pPr>
    </w:p>
    <w:p w14:paraId="567A34C4" w14:textId="77777777" w:rsidR="000D070F" w:rsidRPr="00037AFB" w:rsidRDefault="000D070F" w:rsidP="00D84005">
      <w:pPr>
        <w:spacing w:after="0" w:line="240" w:lineRule="auto"/>
        <w:rPr>
          <w:rFonts w:ascii="Verdana" w:eastAsia="Calibri" w:hAnsi="Verdana" w:cs="Arial"/>
          <w:b/>
          <w:bCs/>
          <w:lang w:eastAsia="es-ES_tradnl"/>
        </w:rPr>
      </w:pPr>
    </w:p>
    <w:p w14:paraId="2FAA6D83" w14:textId="77777777" w:rsidR="00D84005" w:rsidRPr="00037AFB" w:rsidRDefault="00D84005" w:rsidP="00D84005">
      <w:pPr>
        <w:spacing w:after="0" w:line="240" w:lineRule="auto"/>
        <w:rPr>
          <w:rFonts w:ascii="Verdana" w:eastAsia="Calibri" w:hAnsi="Verdana" w:cs="Arial"/>
          <w:lang w:eastAsia="es-ES_tradnl"/>
        </w:rPr>
      </w:pPr>
      <w:r w:rsidRPr="00037AFB">
        <w:rPr>
          <w:rFonts w:ascii="Verdana" w:eastAsia="Calibri" w:hAnsi="Verdana" w:cs="Arial"/>
          <w:lang w:eastAsia="es-ES_tradnl"/>
        </w:rPr>
        <w:t>Señor</w:t>
      </w:r>
    </w:p>
    <w:p w14:paraId="38381567" w14:textId="7C2C543F" w:rsidR="00D84005" w:rsidRDefault="002E1181" w:rsidP="00D84005">
      <w:pPr>
        <w:spacing w:after="0" w:line="240" w:lineRule="auto"/>
        <w:rPr>
          <w:rFonts w:ascii="Verdana" w:eastAsia="Calibri" w:hAnsi="Verdana" w:cs="Arial"/>
          <w:b/>
          <w:bCs/>
          <w:lang w:eastAsia="es-ES_tradnl"/>
        </w:rPr>
      </w:pPr>
      <w:r w:rsidRPr="00243D74">
        <w:rPr>
          <w:rFonts w:ascii="Verdana" w:eastAsia="Calibri" w:hAnsi="Verdana" w:cs="Arial"/>
          <w:b/>
          <w:bCs/>
          <w:lang w:eastAsia="es-ES_tradnl"/>
        </w:rPr>
        <w:t>CARLOS ANDRES</w:t>
      </w:r>
      <w:r w:rsidR="00D84005" w:rsidRPr="00243D74">
        <w:rPr>
          <w:rFonts w:ascii="Verdana" w:eastAsia="Calibri" w:hAnsi="Verdana" w:cs="Arial"/>
          <w:b/>
          <w:bCs/>
          <w:lang w:eastAsia="es-ES_tradnl"/>
        </w:rPr>
        <w:t xml:space="preserve"> </w:t>
      </w:r>
      <w:r w:rsidRPr="00243D74">
        <w:rPr>
          <w:rFonts w:ascii="Verdana" w:eastAsia="Calibri" w:hAnsi="Verdana" w:cs="Arial"/>
          <w:b/>
          <w:bCs/>
          <w:lang w:eastAsia="es-ES_tradnl"/>
        </w:rPr>
        <w:t>OTAIZA ORELLANO</w:t>
      </w:r>
    </w:p>
    <w:p w14:paraId="5A99EFF3" w14:textId="77777777" w:rsidR="00D84005" w:rsidRDefault="00D84005" w:rsidP="00D84005">
      <w:pPr>
        <w:spacing w:after="0" w:line="240" w:lineRule="auto"/>
        <w:rPr>
          <w:rFonts w:ascii="Verdana" w:eastAsia="Calibri" w:hAnsi="Verdana" w:cs="Arial"/>
          <w:lang w:eastAsia="es-ES_tradnl"/>
        </w:rPr>
      </w:pPr>
      <w:hyperlink r:id="rId11" w:history="1">
        <w:r w:rsidRPr="00FC423F">
          <w:rPr>
            <w:rStyle w:val="Hipervnculo"/>
            <w:rFonts w:ascii="Verdana" w:eastAsia="Calibri" w:hAnsi="Verdana" w:cs="Arial"/>
            <w:lang w:eastAsia="es-ES_tradnl"/>
          </w:rPr>
          <w:t>otaizacarlos08@gmail.com</w:t>
        </w:r>
      </w:hyperlink>
    </w:p>
    <w:p w14:paraId="5E972DD1" w14:textId="77777777" w:rsidR="00D84005" w:rsidRPr="00037AFB" w:rsidRDefault="00D84005" w:rsidP="00D84005">
      <w:pPr>
        <w:spacing w:after="0" w:line="240" w:lineRule="auto"/>
        <w:rPr>
          <w:rFonts w:ascii="Verdana" w:eastAsia="Calibri" w:hAnsi="Verdana" w:cs="Arial"/>
          <w:lang w:eastAsia="es-ES_tradnl"/>
        </w:rPr>
      </w:pPr>
      <w:proofErr w:type="spellStart"/>
      <w:r>
        <w:rPr>
          <w:rFonts w:ascii="Verdana" w:eastAsia="Calibri" w:hAnsi="Verdana" w:cs="Arial"/>
          <w:lang w:eastAsia="es-ES_tradnl"/>
        </w:rPr>
        <w:t>Bogota</w:t>
      </w:r>
      <w:proofErr w:type="spellEnd"/>
      <w:r>
        <w:rPr>
          <w:rFonts w:ascii="Verdana" w:eastAsia="Calibri" w:hAnsi="Verdana" w:cs="Arial"/>
          <w:lang w:eastAsia="es-ES_tradnl"/>
        </w:rPr>
        <w:t xml:space="preserve"> D.C.</w:t>
      </w:r>
    </w:p>
    <w:p w14:paraId="68C5A462" w14:textId="77777777" w:rsidR="00D84005" w:rsidRPr="00583B99" w:rsidRDefault="00D84005" w:rsidP="00D84005">
      <w:pPr>
        <w:spacing w:after="0" w:line="240" w:lineRule="auto"/>
        <w:rPr>
          <w:rFonts w:ascii="Verdana" w:eastAsia="Calibri" w:hAnsi="Verdana" w:cs="Arial"/>
          <w:b/>
          <w:bCs/>
          <w:lang w:eastAsia="es-ES_tradnl"/>
        </w:rPr>
      </w:pPr>
    </w:p>
    <w:p w14:paraId="01402E4E" w14:textId="77777777" w:rsidR="00D84005" w:rsidRPr="00D126E1" w:rsidRDefault="00D84005" w:rsidP="00D84005">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D84005" w:rsidRPr="00D126E1" w14:paraId="103EEEB9" w14:textId="77777777">
        <w:trPr>
          <w:trHeight w:val="229"/>
        </w:trPr>
        <w:tc>
          <w:tcPr>
            <w:tcW w:w="1985" w:type="dxa"/>
          </w:tcPr>
          <w:p w14:paraId="163D0CA1" w14:textId="77777777" w:rsidR="00D84005" w:rsidRPr="00D126E1" w:rsidRDefault="00D84005">
            <w:pPr>
              <w:jc w:val="both"/>
              <w:rPr>
                <w:rFonts w:ascii="Verdana" w:eastAsia="Calibri" w:hAnsi="Verdana" w:cs="Arial"/>
                <w:b/>
                <w:bCs/>
                <w:lang w:val="es-ES_tradnl" w:eastAsia="es-ES_tradnl"/>
              </w:rPr>
            </w:pPr>
          </w:p>
        </w:tc>
        <w:tc>
          <w:tcPr>
            <w:tcW w:w="6383" w:type="dxa"/>
          </w:tcPr>
          <w:p w14:paraId="3F1A28FF" w14:textId="77777777" w:rsidR="00D84005" w:rsidRPr="00D126E1" w:rsidRDefault="00D84005">
            <w:pPr>
              <w:jc w:val="both"/>
              <w:rPr>
                <w:rFonts w:ascii="Verdana" w:eastAsia="Calibri" w:hAnsi="Verdana" w:cs="Arial"/>
                <w:b/>
                <w:bCs/>
                <w:lang w:val="es-ES" w:eastAsia="es-ES"/>
              </w:rPr>
            </w:pPr>
            <w:r w:rsidRPr="00D126E1">
              <w:rPr>
                <w:rFonts w:ascii="Verdana" w:eastAsia="Calibri" w:hAnsi="Verdana" w:cs="Arial"/>
                <w:b/>
                <w:bCs/>
                <w:lang w:val="es-ES" w:eastAsia="es-ES"/>
              </w:rPr>
              <w:t xml:space="preserve">Concepto C- </w:t>
            </w:r>
            <w:r>
              <w:rPr>
                <w:rFonts w:ascii="Verdana" w:eastAsia="Calibri" w:hAnsi="Verdana" w:cs="Arial"/>
                <w:b/>
                <w:bCs/>
                <w:lang w:val="es-ES" w:eastAsia="es-ES"/>
              </w:rPr>
              <w:t xml:space="preserve">1743 </w:t>
            </w:r>
            <w:r w:rsidRPr="00D126E1">
              <w:rPr>
                <w:rFonts w:ascii="Verdana" w:eastAsia="Calibri" w:hAnsi="Verdana" w:cs="Arial"/>
                <w:b/>
                <w:bCs/>
                <w:lang w:val="es-ES" w:eastAsia="es-ES"/>
              </w:rPr>
              <w:t>de 2025</w:t>
            </w:r>
          </w:p>
          <w:p w14:paraId="69A39FEE" w14:textId="77777777" w:rsidR="00D84005" w:rsidRDefault="00D84005">
            <w:pPr>
              <w:jc w:val="both"/>
              <w:rPr>
                <w:rFonts w:ascii="Verdana" w:eastAsia="Calibri" w:hAnsi="Verdana" w:cs="Arial"/>
                <w:b/>
                <w:bCs/>
                <w:lang w:val="es-ES" w:eastAsia="es-ES"/>
              </w:rPr>
            </w:pPr>
          </w:p>
          <w:p w14:paraId="453B5529" w14:textId="77777777" w:rsidR="00D84005" w:rsidRPr="00D126E1" w:rsidRDefault="00D84005">
            <w:pPr>
              <w:jc w:val="both"/>
              <w:rPr>
                <w:rFonts w:ascii="Verdana" w:eastAsia="Calibri" w:hAnsi="Verdana" w:cs="Arial"/>
                <w:b/>
                <w:bCs/>
                <w:lang w:val="es-ES" w:eastAsia="es-ES"/>
              </w:rPr>
            </w:pPr>
          </w:p>
        </w:tc>
      </w:tr>
      <w:tr w:rsidR="00D84005" w:rsidRPr="00D126E1" w14:paraId="52D5DCFB" w14:textId="77777777">
        <w:trPr>
          <w:trHeight w:val="884"/>
        </w:trPr>
        <w:tc>
          <w:tcPr>
            <w:tcW w:w="1985" w:type="dxa"/>
          </w:tcPr>
          <w:p w14:paraId="5958E71A" w14:textId="77777777" w:rsidR="00D84005" w:rsidRPr="00D126E1" w:rsidRDefault="00D84005">
            <w:pPr>
              <w:jc w:val="both"/>
              <w:rPr>
                <w:rFonts w:ascii="Verdana" w:eastAsia="Calibri" w:hAnsi="Verdana" w:cs="Arial"/>
                <w:lang w:val="es-ES_tradnl" w:eastAsia="es-ES_tradnl"/>
              </w:rPr>
            </w:pPr>
            <w:r w:rsidRPr="00D126E1">
              <w:rPr>
                <w:rFonts w:ascii="Verdana" w:eastAsia="Calibri" w:hAnsi="Verdana" w:cs="Arial"/>
                <w:b/>
                <w:lang w:val="es-ES_tradnl" w:eastAsia="es-ES_tradnl"/>
              </w:rPr>
              <w:t>Temas:</w:t>
            </w:r>
            <w:r w:rsidRPr="00D126E1">
              <w:rPr>
                <w:rFonts w:ascii="Verdana" w:eastAsia="Calibri" w:hAnsi="Verdana" w:cs="Arial"/>
                <w:lang w:val="es-ES_tradnl" w:eastAsia="es-ES_tradnl"/>
              </w:rPr>
              <w:t xml:space="preserve">                   </w:t>
            </w:r>
          </w:p>
        </w:tc>
        <w:tc>
          <w:tcPr>
            <w:tcW w:w="6383" w:type="dxa"/>
          </w:tcPr>
          <w:p w14:paraId="42A6BD9E" w14:textId="77777777" w:rsidR="00D84005" w:rsidRDefault="00D84005">
            <w:pPr>
              <w:widowControl w:val="0"/>
              <w:autoSpaceDE w:val="0"/>
              <w:autoSpaceDN w:val="0"/>
              <w:jc w:val="both"/>
              <w:rPr>
                <w:rFonts w:ascii="Verdana" w:eastAsia="Calibri" w:hAnsi="Verdana" w:cs="Times New Roman"/>
                <w:lang w:val="es-ES"/>
              </w:rPr>
            </w:pPr>
            <w:r w:rsidRPr="00D126E1">
              <w:rPr>
                <w:rFonts w:ascii="Verdana" w:eastAsia="Calibri" w:hAnsi="Verdana" w:cs="Arial"/>
                <w:lang w:val="es-ES_tradnl"/>
              </w:rPr>
              <w:t xml:space="preserve">DOCUMENTOS TIPO – Fundamento normativo – Obligatoriedad / </w:t>
            </w:r>
            <w:r w:rsidRPr="00D126E1">
              <w:rPr>
                <w:rFonts w:ascii="Verdana" w:eastAsia="Calibri" w:hAnsi="Verdana" w:cs="Times New Roman"/>
                <w:lang w:val="es-ES"/>
              </w:rPr>
              <w:t xml:space="preserve">DOCUMENTOS TIPO – Aplicación – Matriz de Experiencia / DOCUMENTOS TIPO </w:t>
            </w:r>
          </w:p>
          <w:p w14:paraId="11C522D4" w14:textId="77777777" w:rsidR="00D84005" w:rsidRPr="00D126E1" w:rsidRDefault="00D84005">
            <w:pPr>
              <w:widowControl w:val="0"/>
              <w:autoSpaceDE w:val="0"/>
              <w:autoSpaceDN w:val="0"/>
              <w:jc w:val="both"/>
              <w:rPr>
                <w:rFonts w:ascii="Verdana" w:eastAsia="Calibri" w:hAnsi="Verdana" w:cs="Arial"/>
                <w:bCs/>
                <w:lang w:val="es-ES" w:eastAsia="es-ES"/>
              </w:rPr>
            </w:pPr>
          </w:p>
        </w:tc>
      </w:tr>
      <w:tr w:rsidR="00D84005" w:rsidRPr="00D126E1" w14:paraId="3462A486" w14:textId="77777777">
        <w:tc>
          <w:tcPr>
            <w:tcW w:w="1985" w:type="dxa"/>
          </w:tcPr>
          <w:p w14:paraId="718B6B56" w14:textId="77777777" w:rsidR="00D84005" w:rsidRPr="00D126E1" w:rsidRDefault="00D84005">
            <w:pPr>
              <w:jc w:val="both"/>
              <w:rPr>
                <w:rFonts w:ascii="Verdana" w:eastAsia="Calibri" w:hAnsi="Verdana" w:cs="Arial"/>
                <w:b/>
                <w:lang w:val="es-ES_tradnl" w:eastAsia="es-ES_tradnl"/>
              </w:rPr>
            </w:pPr>
            <w:r w:rsidRPr="00D126E1">
              <w:rPr>
                <w:rFonts w:ascii="Verdana" w:eastAsia="Calibri" w:hAnsi="Verdana" w:cs="Arial"/>
                <w:b/>
                <w:lang w:val="es-ES_tradnl" w:eastAsia="es-ES_tradnl"/>
              </w:rPr>
              <w:t>Radicación:</w:t>
            </w:r>
            <w:r w:rsidRPr="00D126E1">
              <w:rPr>
                <w:rFonts w:ascii="Verdana" w:eastAsia="Calibri" w:hAnsi="Verdana" w:cs="Arial"/>
                <w:lang w:val="es-ES_tradnl" w:eastAsia="es-ES_tradnl"/>
              </w:rPr>
              <w:t xml:space="preserve">               </w:t>
            </w:r>
          </w:p>
        </w:tc>
        <w:tc>
          <w:tcPr>
            <w:tcW w:w="6383" w:type="dxa"/>
          </w:tcPr>
          <w:p w14:paraId="0CA1C080" w14:textId="77777777" w:rsidR="00D84005" w:rsidRPr="00D126E1" w:rsidRDefault="00D84005">
            <w:pPr>
              <w:ind w:left="3" w:hanging="3"/>
              <w:jc w:val="both"/>
              <w:rPr>
                <w:rFonts w:ascii="Verdana" w:eastAsia="Calibri" w:hAnsi="Verdana" w:cs="Arial"/>
                <w:lang w:val="es-ES_tradnl" w:eastAsia="es-ES_tradnl"/>
              </w:rPr>
            </w:pPr>
            <w:r w:rsidRPr="00D126E1">
              <w:rPr>
                <w:rFonts w:ascii="Verdana" w:eastAsia="Calibri" w:hAnsi="Verdana" w:cs="Arial"/>
                <w:lang w:val="es-ES_tradnl" w:eastAsia="es-ES_tradnl"/>
              </w:rPr>
              <w:t xml:space="preserve">Respuesta a consulta con radicado No. </w:t>
            </w:r>
            <w:r w:rsidRPr="00243D74">
              <w:rPr>
                <w:rFonts w:ascii="Verdana" w:eastAsia="Calibri" w:hAnsi="Verdana" w:cs="Arial"/>
                <w:lang w:eastAsia="es-ES_tradnl"/>
              </w:rPr>
              <w:t>1_2025_11_24_013254</w:t>
            </w:r>
          </w:p>
        </w:tc>
      </w:tr>
    </w:tbl>
    <w:p w14:paraId="474E8118" w14:textId="77777777" w:rsidR="00D84005" w:rsidRDefault="00D84005" w:rsidP="00D84005">
      <w:pPr>
        <w:spacing w:after="0" w:line="276" w:lineRule="auto"/>
        <w:jc w:val="both"/>
        <w:rPr>
          <w:rFonts w:ascii="Verdana" w:eastAsia="Calibri" w:hAnsi="Verdana" w:cs="Arial"/>
          <w:lang w:val="es-ES" w:eastAsia="es-ES"/>
        </w:rPr>
      </w:pPr>
    </w:p>
    <w:p w14:paraId="29BB5C72" w14:textId="77777777" w:rsidR="00D84005" w:rsidRDefault="00D84005" w:rsidP="00D84005">
      <w:pPr>
        <w:spacing w:after="0" w:line="276" w:lineRule="auto"/>
        <w:jc w:val="both"/>
        <w:rPr>
          <w:rFonts w:ascii="Verdana" w:eastAsia="Calibri" w:hAnsi="Verdana" w:cs="Arial"/>
          <w:lang w:val="es-ES" w:eastAsia="es-ES"/>
        </w:rPr>
      </w:pPr>
    </w:p>
    <w:p w14:paraId="13D65C61" w14:textId="77777777" w:rsidR="00D84005" w:rsidRPr="00D126E1" w:rsidRDefault="00D84005" w:rsidP="00D84005">
      <w:pPr>
        <w:spacing w:after="0" w:line="276" w:lineRule="auto"/>
        <w:jc w:val="both"/>
        <w:rPr>
          <w:rFonts w:ascii="Verdana" w:eastAsia="Calibri" w:hAnsi="Verdana" w:cs="Arial"/>
          <w:lang w:val="es-ES" w:eastAsia="es-ES"/>
        </w:rPr>
      </w:pPr>
      <w:r>
        <w:rPr>
          <w:rFonts w:ascii="Verdana" w:eastAsia="Calibri" w:hAnsi="Verdana" w:cs="Arial"/>
          <w:lang w:eastAsia="es-ES"/>
        </w:rPr>
        <w:t xml:space="preserve">Estimado señor </w:t>
      </w:r>
      <w:r w:rsidRPr="00243D74">
        <w:rPr>
          <w:rFonts w:ascii="Verdana" w:eastAsia="Calibri" w:hAnsi="Verdana" w:cs="Arial"/>
          <w:lang w:eastAsia="es-ES_tradnl"/>
        </w:rPr>
        <w:t>Otaiza</w:t>
      </w:r>
      <w:r w:rsidRPr="00D126E1">
        <w:rPr>
          <w:rFonts w:ascii="Verdana" w:eastAsia="Calibri" w:hAnsi="Verdana" w:cs="Arial"/>
          <w:lang w:val="es-ES" w:eastAsia="es-ES"/>
        </w:rPr>
        <w:t xml:space="preserve">: </w:t>
      </w:r>
    </w:p>
    <w:p w14:paraId="21A2BC59" w14:textId="77777777" w:rsidR="00D84005" w:rsidRPr="00F71A6A" w:rsidRDefault="00D84005" w:rsidP="00D84005">
      <w:pPr>
        <w:tabs>
          <w:tab w:val="left" w:pos="3768"/>
        </w:tabs>
        <w:spacing w:after="0" w:line="276" w:lineRule="auto"/>
        <w:ind w:left="3768" w:hanging="3768"/>
        <w:jc w:val="both"/>
        <w:rPr>
          <w:rFonts w:ascii="Verdana" w:eastAsia="Calibri" w:hAnsi="Verdana" w:cs="Arial"/>
          <w:lang w:val="es-ES" w:eastAsia="es-ES"/>
        </w:rPr>
      </w:pPr>
      <w:r w:rsidRPr="00D126E1">
        <w:rPr>
          <w:rFonts w:ascii="Verdana" w:eastAsia="Calibri" w:hAnsi="Verdana" w:cs="Arial"/>
          <w:lang w:val="es-ES" w:eastAsia="es-ES"/>
        </w:rPr>
        <w:tab/>
      </w:r>
    </w:p>
    <w:p w14:paraId="7B206444" w14:textId="77777777" w:rsidR="00D84005" w:rsidRPr="00F71A6A" w:rsidRDefault="00D84005" w:rsidP="00D84005">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24B37EEA" w14:textId="77777777" w:rsidR="00D84005" w:rsidRPr="00960F72" w:rsidRDefault="00D84005" w:rsidP="00D84005">
      <w:pPr>
        <w:spacing w:after="0" w:line="276" w:lineRule="auto"/>
        <w:jc w:val="both"/>
        <w:rPr>
          <w:rFonts w:ascii="Verdana" w:eastAsia="Calibri" w:hAnsi="Verdana" w:cs="Arial"/>
          <w:lang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en el artículo 4 de la Resolución 1707 de 2018 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 xml:space="preserve">Pública – Colombia Compra Eficiente– responde su solicitud de consulta de </w:t>
      </w:r>
      <w:r>
        <w:rPr>
          <w:rFonts w:ascii="Verdana" w:eastAsia="Calibri" w:hAnsi="Verdana" w:cs="Arial"/>
          <w:lang w:eastAsia="es-ES"/>
        </w:rPr>
        <w:t xml:space="preserve">24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15189461" w14:textId="77777777" w:rsidR="00D84005" w:rsidRPr="00960F72" w:rsidRDefault="00D84005" w:rsidP="00D84005">
      <w:pPr>
        <w:spacing w:after="0" w:line="276" w:lineRule="auto"/>
        <w:jc w:val="both"/>
        <w:rPr>
          <w:rFonts w:ascii="Verdana" w:eastAsia="Calibri" w:hAnsi="Verdana" w:cs="Arial"/>
          <w:lang w:eastAsia="es-ES"/>
        </w:rPr>
      </w:pPr>
    </w:p>
    <w:p w14:paraId="6B00F7A5" w14:textId="77777777" w:rsidR="00D84005" w:rsidRPr="00583B99" w:rsidRDefault="00D84005" w:rsidP="00D84005">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3C2C84">
        <w:rPr>
          <w:rFonts w:ascii="Verdana" w:eastAsia="Calibri" w:hAnsi="Verdana" w:cs="Arial"/>
          <w:sz w:val="20"/>
          <w:szCs w:val="20"/>
          <w:lang w:eastAsia="es-ES"/>
        </w:rPr>
        <w:t>.</w:t>
      </w:r>
      <w:r w:rsidRPr="007A7B26">
        <w:rPr>
          <w:rFonts w:ascii="Verdana" w:eastAsia="Calibri" w:hAnsi="Verdana" w:cs="Arial"/>
          <w:sz w:val="20"/>
          <w:szCs w:val="20"/>
          <w:lang w:eastAsia="es-ES"/>
        </w:rPr>
        <w:t>En la evaluación de los procesos diferentes a los procesos de pliego tipo, en el</w:t>
      </w:r>
      <w:r>
        <w:rPr>
          <w:rFonts w:ascii="Verdana" w:eastAsia="Calibri" w:hAnsi="Verdana" w:cs="Arial"/>
          <w:sz w:val="20"/>
          <w:szCs w:val="20"/>
          <w:lang w:eastAsia="es-ES"/>
        </w:rPr>
        <w:t xml:space="preserve"> </w:t>
      </w:r>
      <w:r w:rsidRPr="007A7B26">
        <w:rPr>
          <w:rFonts w:ascii="Verdana" w:eastAsia="Calibri" w:hAnsi="Verdana" w:cs="Arial"/>
          <w:sz w:val="20"/>
          <w:szCs w:val="20"/>
          <w:lang w:eastAsia="es-ES"/>
        </w:rPr>
        <w:t>puntaje de MiPymes se puede aplicar los mismos criterios de evaluación</w:t>
      </w:r>
      <w:r>
        <w:rPr>
          <w:rFonts w:ascii="Verdana" w:eastAsia="Calibri" w:hAnsi="Verdana" w:cs="Arial"/>
          <w:sz w:val="20"/>
          <w:szCs w:val="20"/>
          <w:lang w:eastAsia="es-ES"/>
        </w:rPr>
        <w:t xml:space="preserve"> </w:t>
      </w:r>
      <w:r w:rsidRPr="007A7B26">
        <w:rPr>
          <w:rFonts w:ascii="Verdana" w:eastAsia="Calibri" w:hAnsi="Verdana" w:cs="Arial"/>
          <w:sz w:val="20"/>
          <w:szCs w:val="20"/>
          <w:lang w:eastAsia="es-ES"/>
        </w:rPr>
        <w:t>contemplados en los documentos tipo, es decir: para obtener el puntaje, el</w:t>
      </w:r>
      <w:r>
        <w:rPr>
          <w:rFonts w:ascii="Verdana" w:eastAsia="Calibri" w:hAnsi="Verdana" w:cs="Arial"/>
          <w:sz w:val="20"/>
          <w:szCs w:val="20"/>
          <w:lang w:eastAsia="es-ES"/>
        </w:rPr>
        <w:t xml:space="preserve"> </w:t>
      </w:r>
      <w:r w:rsidRPr="007A7B26">
        <w:rPr>
          <w:rFonts w:ascii="Verdana" w:eastAsia="Calibri" w:hAnsi="Verdana" w:cs="Arial"/>
          <w:sz w:val="20"/>
          <w:szCs w:val="20"/>
          <w:lang w:eastAsia="es-ES"/>
        </w:rPr>
        <w:t xml:space="preserve">Proponente entregará copia del certificado del Registro Único </w:t>
      </w:r>
      <w:r w:rsidRPr="007A7B26">
        <w:rPr>
          <w:rFonts w:ascii="Verdana" w:eastAsia="Calibri" w:hAnsi="Verdana" w:cs="Arial"/>
          <w:sz w:val="20"/>
          <w:szCs w:val="20"/>
          <w:lang w:eastAsia="es-ES"/>
        </w:rPr>
        <w:lastRenderedPageBreak/>
        <w:t>de Proponentes, el</w:t>
      </w:r>
      <w:r>
        <w:rPr>
          <w:rFonts w:ascii="Verdana" w:eastAsia="Calibri" w:hAnsi="Verdana" w:cs="Arial"/>
          <w:sz w:val="20"/>
          <w:szCs w:val="20"/>
          <w:lang w:eastAsia="es-ES"/>
        </w:rPr>
        <w:t xml:space="preserve"> </w:t>
      </w:r>
      <w:r w:rsidRPr="007A7B26">
        <w:rPr>
          <w:rFonts w:ascii="Verdana" w:eastAsia="Calibri" w:hAnsi="Verdana" w:cs="Arial"/>
          <w:sz w:val="20"/>
          <w:szCs w:val="20"/>
          <w:lang w:eastAsia="es-ES"/>
        </w:rPr>
        <w:t>cual deberá encontrarse vigente y en firme al momento de su presentación, en este</w:t>
      </w:r>
      <w:r>
        <w:rPr>
          <w:rFonts w:ascii="Verdana" w:eastAsia="Calibri" w:hAnsi="Verdana" w:cs="Arial"/>
          <w:sz w:val="20"/>
          <w:szCs w:val="20"/>
          <w:lang w:eastAsia="es-ES"/>
        </w:rPr>
        <w:t xml:space="preserve"> </w:t>
      </w:r>
      <w:r w:rsidRPr="007A7B26">
        <w:rPr>
          <w:rFonts w:ascii="Verdana" w:eastAsia="Calibri" w:hAnsi="Verdana" w:cs="Arial"/>
          <w:sz w:val="20"/>
          <w:szCs w:val="20"/>
          <w:lang w:eastAsia="es-ES"/>
        </w:rPr>
        <w:t>sentido solamente con la entrega del RUP que certifique su calidad de MiPymes, se</w:t>
      </w:r>
      <w:r>
        <w:rPr>
          <w:rFonts w:ascii="Verdana" w:eastAsia="Calibri" w:hAnsi="Verdana" w:cs="Arial"/>
          <w:sz w:val="20"/>
          <w:szCs w:val="20"/>
          <w:lang w:eastAsia="es-ES"/>
        </w:rPr>
        <w:t xml:space="preserve"> </w:t>
      </w:r>
      <w:r w:rsidRPr="007A7B26">
        <w:rPr>
          <w:rFonts w:ascii="Verdana" w:eastAsia="Calibri" w:hAnsi="Verdana" w:cs="Arial"/>
          <w:sz w:val="20"/>
          <w:szCs w:val="20"/>
          <w:lang w:eastAsia="es-ES"/>
        </w:rPr>
        <w:t>le otorgara el puntaje al proponente que lo acredite.</w:t>
      </w:r>
      <w:r>
        <w:rPr>
          <w:rFonts w:ascii="Verdana" w:eastAsia="Calibri" w:hAnsi="Verdana" w:cs="Arial"/>
          <w:sz w:val="20"/>
          <w:szCs w:val="20"/>
          <w:lang w:eastAsia="es-ES"/>
        </w:rPr>
        <w:t>”</w:t>
      </w:r>
      <w:r>
        <w:rPr>
          <w:rFonts w:ascii="Verdana" w:eastAsia="Times New Roman" w:hAnsi="Verdana" w:cs="Times New Roman"/>
          <w:color w:val="000000"/>
          <w:sz w:val="20"/>
          <w:szCs w:val="20"/>
          <w:lang w:eastAsia="es-CO"/>
        </w:rPr>
        <w:t>(SIC)</w:t>
      </w:r>
    </w:p>
    <w:p w14:paraId="1F296DCE" w14:textId="77777777" w:rsidR="00D84005" w:rsidRPr="00F71A6A" w:rsidRDefault="00D84005" w:rsidP="00D84005">
      <w:pPr>
        <w:pStyle w:val="Prrafodelista"/>
        <w:tabs>
          <w:tab w:val="left" w:pos="142"/>
          <w:tab w:val="left" w:pos="284"/>
        </w:tabs>
        <w:spacing w:after="0" w:line="240" w:lineRule="auto"/>
        <w:ind w:left="0"/>
        <w:jc w:val="both"/>
        <w:rPr>
          <w:rFonts w:ascii="Verdana" w:eastAsia="Century Gothic" w:hAnsi="Verdana" w:cs="Century Gothic"/>
          <w:b/>
          <w:bCs/>
        </w:rPr>
      </w:pPr>
    </w:p>
    <w:p w14:paraId="13662ADD" w14:textId="77777777" w:rsidR="00D84005" w:rsidRPr="00F71A6A" w:rsidRDefault="00D84005" w:rsidP="00D84005">
      <w:pPr>
        <w:spacing w:after="120" w:line="276" w:lineRule="auto"/>
        <w:ind w:firstLine="709"/>
        <w:jc w:val="both"/>
        <w:rPr>
          <w:rFonts w:ascii="Verdana" w:eastAsia="Calibri" w:hAnsi="Verdana" w:cs="Arial"/>
          <w:color w:val="000000"/>
          <w:szCs w:val="24"/>
          <w:lang w:val="es-ES_tradnl" w:eastAsia="es-ES_tradnl"/>
        </w:rPr>
      </w:pPr>
      <w:r w:rsidRPr="00F71A6A">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w:t>
      </w:r>
      <w:r>
        <w:rPr>
          <w:rFonts w:ascii="Verdana" w:eastAsia="Calibri" w:hAnsi="Verdana" w:cs="Arial"/>
          <w:color w:val="000000"/>
          <w:lang w:val="es-ES" w:eastAsia="es-ES"/>
        </w:rPr>
        <w:t>,</w:t>
      </w:r>
      <w:r w:rsidRPr="00F71A6A">
        <w:rPr>
          <w:rFonts w:ascii="Verdana" w:eastAsia="Calibri" w:hAnsi="Verdana" w:cs="Arial"/>
          <w:color w:val="000000"/>
          <w:lang w:val="es-ES" w:eastAsia="es-ES"/>
        </w:rPr>
        <w:t xml:space="preserve">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71A6A">
        <w:rPr>
          <w:rFonts w:ascii="Verdana" w:eastAsia="Calibri" w:hAnsi="Verdana" w:cs="Arial"/>
          <w:color w:val="000000"/>
          <w:szCs w:val="24"/>
          <w:lang w:val="es-ES_tradnl" w:eastAsia="es-ES_tradnl"/>
        </w:rPr>
        <w:tab/>
      </w:r>
    </w:p>
    <w:p w14:paraId="51872E82" w14:textId="77777777" w:rsidR="00D84005" w:rsidRDefault="00D84005" w:rsidP="00D84005">
      <w:pPr>
        <w:spacing w:after="0" w:line="276" w:lineRule="auto"/>
        <w:ind w:firstLine="709"/>
        <w:jc w:val="both"/>
        <w:rPr>
          <w:rFonts w:ascii="Verdana" w:eastAsia="Calibri" w:hAnsi="Verdana" w:cs="Arial"/>
          <w:color w:val="000000"/>
          <w:lang w:val="es-ES" w:eastAsia="es-ES"/>
        </w:rPr>
      </w:pPr>
      <w:r w:rsidRPr="00F71A6A">
        <w:rPr>
          <w:rFonts w:ascii="Verdana" w:eastAsia="Calibri" w:hAnsi="Verdana" w:cs="Arial"/>
          <w:color w:val="000000"/>
          <w:lang w:val="es-ES" w:eastAsia="es-ES"/>
        </w:rPr>
        <w:t xml:space="preserve">Conforme lo expuesto, en aras de </w:t>
      </w:r>
      <w:r>
        <w:rPr>
          <w:rFonts w:ascii="Verdana" w:eastAsia="Calibri" w:hAnsi="Verdana" w:cs="Arial"/>
          <w:color w:val="000000"/>
          <w:lang w:val="es-ES" w:eastAsia="es-ES"/>
        </w:rPr>
        <w:t>garantizar</w:t>
      </w:r>
      <w:r w:rsidRPr="00F71A6A">
        <w:rPr>
          <w:rFonts w:ascii="Verdana" w:eastAsia="Calibri" w:hAnsi="Verdana" w:cs="Arial"/>
          <w:color w:val="000000"/>
          <w:lang w:val="es-ES" w:eastAsia="es-ES"/>
        </w:rPr>
        <w:t xml:space="preserve"> el derecho fundamental de petición</w:t>
      </w:r>
      <w:r>
        <w:rPr>
          <w:rFonts w:ascii="Verdana" w:eastAsia="Calibri" w:hAnsi="Verdana" w:cs="Arial"/>
          <w:color w:val="000000"/>
          <w:lang w:val="es-ES" w:eastAsia="es-ES"/>
        </w:rPr>
        <w:t>,</w:t>
      </w:r>
      <w:r w:rsidRPr="00F71A6A">
        <w:rPr>
          <w:rFonts w:ascii="Verdana" w:eastAsia="Calibri" w:hAnsi="Verdana" w:cs="Arial"/>
          <w:color w:val="000000"/>
          <w:lang w:val="es-ES" w:eastAsia="es-ES"/>
        </w:rPr>
        <w:t xml:space="preserve"> se resolverá su </w:t>
      </w:r>
      <w:r>
        <w:rPr>
          <w:rFonts w:ascii="Verdana" w:eastAsia="Calibri" w:hAnsi="Verdana" w:cs="Arial"/>
          <w:color w:val="000000"/>
          <w:lang w:val="es-ES" w:eastAsia="es-ES"/>
        </w:rPr>
        <w:t>petición</w:t>
      </w:r>
      <w:r w:rsidRPr="00F71A6A">
        <w:rPr>
          <w:rFonts w:ascii="Verdana" w:eastAsia="Calibri" w:hAnsi="Verdana" w:cs="Arial"/>
          <w:color w:val="000000"/>
          <w:lang w:val="es-ES" w:eastAsia="es-ES"/>
        </w:rPr>
        <w:t xml:space="preserve"> dentro de los límites de la referida competencia consultiva, esto es, haciendo abstracción de las circunstancias particulares y concretas mencionadas en su petición, pero haciendo unas consideraciones sobre las normas generales relacionadas con el</w:t>
      </w:r>
      <w:r w:rsidRPr="00F71A6A">
        <w:rPr>
          <w:rFonts w:ascii="Verdana" w:eastAsia="Calibri" w:hAnsi="Verdana" w:cs="Arial"/>
          <w:color w:val="7030A0"/>
          <w:lang w:val="es-ES" w:eastAsia="es-ES"/>
        </w:rPr>
        <w:t xml:space="preserve"> </w:t>
      </w:r>
      <w:r w:rsidRPr="00F71A6A">
        <w:rPr>
          <w:rFonts w:ascii="Verdana" w:eastAsia="Calibri" w:hAnsi="Verdana" w:cs="Arial"/>
          <w:color w:val="000000"/>
          <w:lang w:val="es-ES" w:eastAsia="es-ES"/>
        </w:rPr>
        <w:t>problema</w:t>
      </w:r>
      <w:r w:rsidRPr="00F71A6A">
        <w:rPr>
          <w:rFonts w:ascii="Verdana" w:eastAsia="Calibri" w:hAnsi="Verdana" w:cs="Arial"/>
          <w:color w:val="7030A0"/>
          <w:lang w:val="es-ES" w:eastAsia="es-ES"/>
        </w:rPr>
        <w:t xml:space="preserve"> </w:t>
      </w:r>
      <w:r w:rsidRPr="00F71A6A">
        <w:rPr>
          <w:rFonts w:ascii="Verdana" w:eastAsia="Calibri" w:hAnsi="Verdana" w:cs="Arial"/>
          <w:color w:val="000000"/>
          <w:lang w:val="es-ES" w:eastAsia="es-ES"/>
        </w:rPr>
        <w:t>jurídico</w:t>
      </w:r>
      <w:r w:rsidRPr="00F71A6A">
        <w:rPr>
          <w:rFonts w:ascii="Verdana" w:eastAsia="Calibri" w:hAnsi="Verdana" w:cs="Arial"/>
          <w:color w:val="7030A0"/>
          <w:lang w:val="es-ES" w:eastAsia="es-ES"/>
        </w:rPr>
        <w:t xml:space="preserve"> </w:t>
      </w:r>
      <w:r w:rsidRPr="00F71A6A">
        <w:rPr>
          <w:rFonts w:ascii="Verdana" w:eastAsia="Calibri" w:hAnsi="Verdana" w:cs="Arial"/>
          <w:color w:val="000000"/>
          <w:lang w:val="es-ES" w:eastAsia="es-ES"/>
        </w:rPr>
        <w:t xml:space="preserve">de su consulta. </w:t>
      </w:r>
    </w:p>
    <w:p w14:paraId="4A102358" w14:textId="77777777" w:rsidR="00D84005" w:rsidRPr="00F71A6A" w:rsidRDefault="00D84005" w:rsidP="00D84005">
      <w:pPr>
        <w:spacing w:after="0" w:line="276" w:lineRule="auto"/>
        <w:jc w:val="both"/>
        <w:rPr>
          <w:rFonts w:ascii="Verdana" w:eastAsia="Calibri" w:hAnsi="Verdana" w:cs="Arial"/>
          <w:color w:val="000000"/>
          <w:lang w:val="es-ES" w:eastAsia="es-ES"/>
        </w:rPr>
      </w:pPr>
    </w:p>
    <w:p w14:paraId="6828B2F2" w14:textId="77777777" w:rsidR="00D84005" w:rsidRPr="00F71A6A" w:rsidRDefault="00D84005" w:rsidP="00D84005">
      <w:pPr>
        <w:pStyle w:val="Prrafodelista"/>
        <w:numPr>
          <w:ilvl w:val="0"/>
          <w:numId w:val="17"/>
        </w:numPr>
        <w:tabs>
          <w:tab w:val="left" w:pos="142"/>
          <w:tab w:val="left" w:pos="284"/>
        </w:tabs>
        <w:spacing w:after="0" w:line="276" w:lineRule="auto"/>
        <w:ind w:left="0" w:firstLine="0"/>
        <w:jc w:val="both"/>
        <w:rPr>
          <w:rFonts w:ascii="Verdana" w:eastAsia="Century Gothic" w:hAnsi="Verdana" w:cs="Century Gothic"/>
          <w:b/>
          <w:bCs/>
        </w:rPr>
      </w:pPr>
      <w:r w:rsidRPr="00F71A6A">
        <w:rPr>
          <w:rFonts w:ascii="Verdana" w:eastAsia="Century Gothic" w:hAnsi="Verdana" w:cs="Century Gothic"/>
          <w:b/>
          <w:bCs/>
        </w:rPr>
        <w:t>Problema planteado:</w:t>
      </w:r>
    </w:p>
    <w:p w14:paraId="7C65CECB" w14:textId="77777777" w:rsidR="00D84005" w:rsidRPr="00F71A6A" w:rsidRDefault="00D84005" w:rsidP="00D84005">
      <w:pPr>
        <w:tabs>
          <w:tab w:val="left" w:pos="426"/>
        </w:tabs>
        <w:spacing w:after="0" w:line="276" w:lineRule="auto"/>
        <w:jc w:val="both"/>
        <w:rPr>
          <w:rFonts w:ascii="Verdana" w:eastAsia="Century Gothic" w:hAnsi="Verdana" w:cs="Century Gothic"/>
          <w:lang w:val="es-ES"/>
        </w:rPr>
      </w:pPr>
    </w:p>
    <w:p w14:paraId="68BB3CA0" w14:textId="0F13171A" w:rsidR="00D84005" w:rsidRDefault="00D84005" w:rsidP="1DCF545B">
      <w:pPr>
        <w:spacing w:after="0" w:line="276" w:lineRule="auto"/>
        <w:jc w:val="both"/>
        <w:rPr>
          <w:rFonts w:ascii="Verdana" w:eastAsia="Calibri" w:hAnsi="Verdana" w:cs="Arial"/>
          <w:lang w:val="es-ES" w:eastAsia="es-ES"/>
        </w:rPr>
      </w:pPr>
      <w:r w:rsidRPr="1DCF545B">
        <w:rPr>
          <w:rFonts w:ascii="Verdana" w:eastAsia="Century Gothic" w:hAnsi="Verdana" w:cs="Century Gothic"/>
        </w:rPr>
        <w:t xml:space="preserve">De acuerdo con el contenido de su solicitud, esta Agencia resolverá el siguiente problema jurídico: </w:t>
      </w:r>
      <w:r w:rsidRPr="1DCF545B">
        <w:rPr>
          <w:rFonts w:ascii="Verdana" w:eastAsia="Calibri" w:hAnsi="Verdana" w:cs="Arial"/>
          <w:lang w:val="es-ES" w:eastAsia="es-ES"/>
        </w:rPr>
        <w:t xml:space="preserve">¿Es posible aplicar criterios </w:t>
      </w:r>
      <w:r w:rsidR="002E1181" w:rsidRPr="1DCF545B">
        <w:rPr>
          <w:rFonts w:ascii="Verdana" w:eastAsia="Calibri" w:hAnsi="Verdana" w:cs="Arial"/>
          <w:lang w:val="es-ES" w:eastAsia="es-ES"/>
        </w:rPr>
        <w:t>diferenciales a</w:t>
      </w:r>
      <w:r w:rsidRPr="1DCF545B">
        <w:rPr>
          <w:rFonts w:ascii="Verdana" w:eastAsia="Calibri" w:hAnsi="Verdana" w:cs="Arial"/>
          <w:lang w:val="es-ES" w:eastAsia="es-ES"/>
        </w:rPr>
        <w:t xml:space="preserve"> proceso</w:t>
      </w:r>
      <w:r w:rsidR="57FC5793" w:rsidRPr="1DCF545B">
        <w:rPr>
          <w:rFonts w:ascii="Verdana" w:eastAsia="Calibri" w:hAnsi="Verdana" w:cs="Arial"/>
          <w:lang w:val="es-ES" w:eastAsia="es-ES"/>
        </w:rPr>
        <w:t>s</w:t>
      </w:r>
      <w:r w:rsidRPr="1DCF545B">
        <w:rPr>
          <w:rFonts w:ascii="Verdana" w:eastAsia="Calibri" w:hAnsi="Verdana" w:cs="Arial"/>
          <w:lang w:val="es-ES" w:eastAsia="es-ES"/>
        </w:rPr>
        <w:t xml:space="preserve"> de Contratación </w:t>
      </w:r>
      <w:proofErr w:type="gramStart"/>
      <w:r w:rsidRPr="1DCF545B">
        <w:rPr>
          <w:rFonts w:ascii="Verdana" w:eastAsia="Calibri" w:hAnsi="Verdana" w:cs="Arial"/>
          <w:lang w:val="es-ES" w:eastAsia="es-ES"/>
        </w:rPr>
        <w:t>Pública</w:t>
      </w:r>
      <w:r w:rsidR="3D029613" w:rsidRPr="1DCF545B">
        <w:rPr>
          <w:rFonts w:ascii="Verdana" w:eastAsia="Calibri" w:hAnsi="Verdana" w:cs="Arial"/>
          <w:lang w:val="es-ES" w:eastAsia="es-ES"/>
        </w:rPr>
        <w:t xml:space="preserve">, </w:t>
      </w:r>
      <w:r w:rsidRPr="1DCF545B">
        <w:rPr>
          <w:rFonts w:ascii="Verdana" w:eastAsia="Calibri" w:hAnsi="Verdana" w:cs="Arial"/>
          <w:lang w:val="es-ES" w:eastAsia="es-ES"/>
        </w:rPr>
        <w:t xml:space="preserve"> limitad</w:t>
      </w:r>
      <w:r w:rsidR="737C128E" w:rsidRPr="1DCF545B">
        <w:rPr>
          <w:rFonts w:ascii="Verdana" w:eastAsia="Calibri" w:hAnsi="Verdana" w:cs="Arial"/>
          <w:lang w:val="es-ES" w:eastAsia="es-ES"/>
        </w:rPr>
        <w:t>os</w:t>
      </w:r>
      <w:proofErr w:type="gramEnd"/>
      <w:r w:rsidRPr="1DCF545B">
        <w:rPr>
          <w:rFonts w:ascii="Verdana" w:eastAsia="Calibri" w:hAnsi="Verdana" w:cs="Arial"/>
          <w:lang w:val="es-ES" w:eastAsia="es-ES"/>
        </w:rPr>
        <w:t xml:space="preserve"> a </w:t>
      </w:r>
      <w:r w:rsidRPr="1DCF545B">
        <w:rPr>
          <w:rFonts w:ascii="Verdana" w:hAnsi="Verdana"/>
          <w:sz w:val="20"/>
          <w:szCs w:val="20"/>
        </w:rPr>
        <w:t>MiPymes</w:t>
      </w:r>
      <w:r w:rsidR="6407D0E5" w:rsidRPr="1DCF545B">
        <w:rPr>
          <w:rFonts w:ascii="Verdana" w:hAnsi="Verdana"/>
          <w:sz w:val="20"/>
          <w:szCs w:val="20"/>
        </w:rPr>
        <w:t xml:space="preserve"> </w:t>
      </w:r>
      <w:r w:rsidR="6407D0E5" w:rsidRPr="1DCF545B">
        <w:rPr>
          <w:rFonts w:ascii="Verdana" w:eastAsia="Calibri" w:hAnsi="Verdana" w:cs="Arial"/>
          <w:lang w:val="es-ES" w:eastAsia="es-ES"/>
        </w:rPr>
        <w:t>que no tienen la obligatoriedad de aplicar documentos tipo</w:t>
      </w:r>
      <w:r w:rsidRPr="1DCF545B">
        <w:rPr>
          <w:rFonts w:ascii="Verdana" w:eastAsia="Calibri" w:hAnsi="Verdana" w:cs="Arial"/>
          <w:lang w:val="es-ES" w:eastAsia="es-ES"/>
        </w:rPr>
        <w:t>?</w:t>
      </w:r>
    </w:p>
    <w:p w14:paraId="7211C221" w14:textId="77777777" w:rsidR="00D84005" w:rsidRPr="00D126E1" w:rsidRDefault="00D84005" w:rsidP="00D84005">
      <w:pPr>
        <w:spacing w:after="0" w:line="276" w:lineRule="auto"/>
        <w:jc w:val="both"/>
        <w:rPr>
          <w:rFonts w:ascii="Verdana" w:eastAsia="Century Gothic" w:hAnsi="Verdana" w:cs="Century Gothic"/>
        </w:rPr>
      </w:pPr>
    </w:p>
    <w:p w14:paraId="2E515D6E" w14:textId="77777777" w:rsidR="00D84005" w:rsidRPr="00F9015C" w:rsidRDefault="00D84005" w:rsidP="00D84005">
      <w:pPr>
        <w:spacing w:after="0" w:line="240" w:lineRule="auto"/>
        <w:jc w:val="both"/>
        <w:rPr>
          <w:rFonts w:ascii="Verdana" w:eastAsia="Century Gothic" w:hAnsi="Verdana" w:cs="Century Gothic"/>
        </w:rPr>
      </w:pPr>
    </w:p>
    <w:p w14:paraId="027A1F1B" w14:textId="77777777" w:rsidR="00D84005" w:rsidRPr="003B2EAC" w:rsidRDefault="00D84005" w:rsidP="00D84005">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1BDA">
        <w:rPr>
          <w:rFonts w:ascii="Verdana" w:eastAsia="Century Gothic" w:hAnsi="Verdana" w:cs="Century Gothic"/>
          <w:b/>
          <w:bCs/>
        </w:rPr>
        <w:t>Respuesta:</w:t>
      </w:r>
    </w:p>
    <w:p w14:paraId="2207EFA1" w14:textId="77777777" w:rsidR="00D84005" w:rsidRPr="00F71A6A" w:rsidRDefault="00D84005" w:rsidP="00D8400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84005" w:rsidRPr="00F71A6A" w14:paraId="601EC921" w14:textId="77777777" w:rsidTr="1DCF545B">
        <w:tc>
          <w:tcPr>
            <w:tcW w:w="8828" w:type="dxa"/>
            <w:tcBorders>
              <w:top w:val="single" w:sz="4" w:space="0" w:color="auto"/>
              <w:left w:val="single" w:sz="4" w:space="0" w:color="auto"/>
              <w:bottom w:val="single" w:sz="4" w:space="0" w:color="auto"/>
              <w:right w:val="single" w:sz="4" w:space="0" w:color="auto"/>
            </w:tcBorders>
          </w:tcPr>
          <w:p w14:paraId="2580BC66" w14:textId="77777777" w:rsidR="00D84005" w:rsidRPr="004B6FBD" w:rsidRDefault="00D84005">
            <w:pPr>
              <w:widowControl w:val="0"/>
              <w:autoSpaceDE w:val="0"/>
              <w:autoSpaceDN w:val="0"/>
              <w:spacing w:after="120" w:line="276" w:lineRule="auto"/>
              <w:ind w:firstLine="708"/>
              <w:jc w:val="both"/>
              <w:rPr>
                <w:rFonts w:ascii="Verdana" w:hAnsi="Verdana"/>
              </w:rPr>
            </w:pPr>
            <w:r w:rsidRPr="004B6FBD">
              <w:rPr>
                <w:rFonts w:ascii="Verdana" w:hAnsi="Verdana"/>
              </w:rPr>
              <w:t xml:space="preserve">La decisión de limitar “a MiPymes colombianas que tengan domicilio en los departamentos o municipios en donde se va a ejecutar el contrato”, aunque es facultativa de la entidad, está supeditada a que se verifiquen los requisitos establecidos en los numerales 1 y 2 del precitado artículo 2.2.1.2.4.2.2 del </w:t>
            </w:r>
            <w:r w:rsidRPr="004B6FBD">
              <w:rPr>
                <w:rFonts w:ascii="Verdana" w:hAnsi="Verdana"/>
              </w:rPr>
              <w:lastRenderedPageBreak/>
              <w:t>Decreto 1082 de 2015, modificado por el Decreto 1860 de 2021. En ese sentido, si la entidad no recibió las solicitudes para limitar la convocatoria a MiPymes,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56C8556B" w14:textId="77777777" w:rsidR="00D84005" w:rsidRPr="004B6FBD" w:rsidRDefault="00D84005">
            <w:pPr>
              <w:widowControl w:val="0"/>
              <w:autoSpaceDE w:val="0"/>
              <w:autoSpaceDN w:val="0"/>
              <w:spacing w:after="120" w:line="276" w:lineRule="auto"/>
              <w:ind w:firstLine="708"/>
              <w:jc w:val="both"/>
              <w:rPr>
                <w:rFonts w:ascii="Verdana" w:hAnsi="Verdana"/>
              </w:rPr>
            </w:pPr>
            <w:r w:rsidRPr="004B6FBD">
              <w:rPr>
                <w:rFonts w:ascii="Verdana" w:hAnsi="Verdana"/>
              </w:rPr>
              <w:t xml:space="preserve">Cumplidos los dos requisitos del artículo 2.2.1.2.4.2.2 </w:t>
            </w:r>
            <w:proofErr w:type="spellStart"/>
            <w:r w:rsidRPr="004B6FBD">
              <w:rPr>
                <w:rFonts w:ascii="Verdana" w:hAnsi="Verdana"/>
                <w:i/>
                <w:iCs/>
              </w:rPr>
              <w:t>ibídem</w:t>
            </w:r>
            <w:proofErr w:type="spellEnd"/>
            <w:r w:rsidRPr="004B6FBD">
              <w:rPr>
                <w:rFonts w:ascii="Verdana" w:hAnsi="Verdana"/>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 Esto de acuerdo con el artículo 2.2.1.2.4.2.3 del Decreto 1082 de 2015 modificado por el Decreto 1860 de 2021, norma que se refiere a la facultad de la administración con el verbo infinitivo “poder”, no “deber”. </w:t>
            </w:r>
          </w:p>
          <w:p w14:paraId="5E81C4D5" w14:textId="77777777" w:rsidR="00D84005" w:rsidRPr="004B6FBD" w:rsidRDefault="00D84005">
            <w:pPr>
              <w:widowControl w:val="0"/>
              <w:autoSpaceDE w:val="0"/>
              <w:autoSpaceDN w:val="0"/>
              <w:spacing w:after="120" w:line="276" w:lineRule="auto"/>
              <w:ind w:firstLine="708"/>
              <w:jc w:val="both"/>
              <w:rPr>
                <w:rFonts w:ascii="Verdana" w:hAnsi="Verdana"/>
              </w:rPr>
            </w:pPr>
            <w:r w:rsidRPr="004B6FBD">
              <w:rPr>
                <w:rFonts w:ascii="Verdana" w:hAnsi="Verdana"/>
              </w:rPr>
              <w:t>Colombia Compra Eficiente ha sostenido que la decisión de limitar territorialmente una convocatoria a MiPymes es discrecional, y ha precisado que, de todos modos, esta debe justificarse con fundamento en los correspondientes “estudios del sector”. Así lo consideró en la consulta No. 216130003241, resuelta el 30 de junio de 2016. Igualmente, en la consulta resuelta en el radicado No. 2201813000008184 del 7 de septiembre de 2019, se explicó que, de acuerdo con el artículo 2.2.1.2.4.2.3 del Decreto 1082 de 2015, las MiPymes beneficiadas deben tener su domicilio principal en el municipio o departamento donde se ejecutará el contrato para participar en una convocatoria limitada territorialmente.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 lo cual es congruente como el verbo “podrán” del parágrafo primero del artículo 34 de la Ley de Emprendimiento.</w:t>
            </w:r>
          </w:p>
          <w:p w14:paraId="33690CDA" w14:textId="5CFB6CFA" w:rsidR="00D84005" w:rsidRPr="00D34D81" w:rsidRDefault="00D84005" w:rsidP="1DCF545B">
            <w:pPr>
              <w:spacing w:line="276" w:lineRule="auto"/>
              <w:jc w:val="both"/>
              <w:rPr>
                <w:rFonts w:ascii="Verdana" w:hAnsi="Verdana" w:cs="Arial"/>
              </w:rPr>
            </w:pPr>
            <w:r w:rsidRPr="1DCF545B">
              <w:rPr>
                <w:rFonts w:ascii="Verdana" w:hAnsi="Verdana"/>
              </w:rPr>
              <w:t xml:space="preserve">Sin embargo, aunque la discrecionalidad implica una elección administrativa, no puede ser una decisión irracional o arbitraria. Por ello, el ordenamiento impone una carga de motivación en el ejercicio de este tipo de facultades, </w:t>
            </w:r>
            <w:r w:rsidRPr="1DCF545B">
              <w:rPr>
                <w:rFonts w:ascii="Verdana" w:hAnsi="Verdana"/>
              </w:rPr>
              <w:lastRenderedPageBreak/>
              <w:t>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r w:rsidRPr="1DCF545B">
              <w:rPr>
                <w:rFonts w:ascii="Verdana" w:hAnsi="Verdana" w:cs="Arial"/>
              </w:rPr>
              <w:t xml:space="preserve"> </w:t>
            </w:r>
            <w:r w:rsidR="72D69271" w:rsidRPr="1DCF545B">
              <w:rPr>
                <w:rFonts w:ascii="Verdana" w:hAnsi="Verdana" w:cs="Arial"/>
              </w:rPr>
              <w:t xml:space="preserve">. Adicionalmente es deber de cada entidad verificar </w:t>
            </w:r>
            <w:r w:rsidR="7983E959" w:rsidRPr="1DCF545B">
              <w:rPr>
                <w:rFonts w:ascii="Verdana" w:hAnsi="Verdana" w:cs="Arial"/>
              </w:rPr>
              <w:t>de acuerdo con</w:t>
            </w:r>
            <w:r w:rsidR="72D69271" w:rsidRPr="1DCF545B">
              <w:rPr>
                <w:rFonts w:ascii="Verdana" w:hAnsi="Verdana" w:cs="Arial"/>
              </w:rPr>
              <w:t xml:space="preserve"> l</w:t>
            </w:r>
            <w:r w:rsidR="1650D529" w:rsidRPr="1DCF545B">
              <w:rPr>
                <w:rFonts w:ascii="Verdana" w:hAnsi="Verdana" w:cs="Arial"/>
              </w:rPr>
              <w:t>a</w:t>
            </w:r>
            <w:r w:rsidR="72D69271" w:rsidRPr="1DCF545B">
              <w:rPr>
                <w:rFonts w:ascii="Verdana" w:hAnsi="Verdana" w:cs="Arial"/>
              </w:rPr>
              <w:t xml:space="preserve"> </w:t>
            </w:r>
            <w:r w:rsidR="0FEB9910" w:rsidRPr="1DCF545B">
              <w:rPr>
                <w:rFonts w:ascii="Verdana" w:hAnsi="Verdana" w:cs="Arial"/>
              </w:rPr>
              <w:t>tipología</w:t>
            </w:r>
            <w:r w:rsidR="72D69271" w:rsidRPr="1DCF545B">
              <w:rPr>
                <w:rFonts w:ascii="Verdana" w:hAnsi="Verdana" w:cs="Arial"/>
              </w:rPr>
              <w:t xml:space="preserve"> contractual y </w:t>
            </w:r>
            <w:r w:rsidR="4D2824DD" w:rsidRPr="1DCF545B">
              <w:rPr>
                <w:rFonts w:ascii="Verdana" w:hAnsi="Verdana" w:cs="Arial"/>
              </w:rPr>
              <w:t>normatividad</w:t>
            </w:r>
            <w:r w:rsidR="72D69271" w:rsidRPr="1DCF545B">
              <w:rPr>
                <w:rFonts w:ascii="Verdana" w:hAnsi="Verdana" w:cs="Arial"/>
              </w:rPr>
              <w:t xml:space="preserve"> </w:t>
            </w:r>
            <w:r w:rsidR="0795D9EE" w:rsidRPr="1DCF545B">
              <w:rPr>
                <w:rFonts w:ascii="Verdana" w:hAnsi="Verdana" w:cs="Arial"/>
              </w:rPr>
              <w:t>aplicable,</w:t>
            </w:r>
            <w:r w:rsidR="72D69271" w:rsidRPr="1DCF545B">
              <w:rPr>
                <w:rFonts w:ascii="Verdana" w:hAnsi="Verdana" w:cs="Arial"/>
              </w:rPr>
              <w:t xml:space="preserve"> en qu</w:t>
            </w:r>
            <w:r w:rsidR="21DC6E95" w:rsidRPr="1DCF545B">
              <w:rPr>
                <w:rFonts w:ascii="Verdana" w:hAnsi="Verdana" w:cs="Arial"/>
              </w:rPr>
              <w:t>é</w:t>
            </w:r>
            <w:r w:rsidR="72D69271" w:rsidRPr="1DCF545B">
              <w:rPr>
                <w:rFonts w:ascii="Verdana" w:hAnsi="Verdana" w:cs="Arial"/>
              </w:rPr>
              <w:t xml:space="preserve"> procesos de selección es </w:t>
            </w:r>
            <w:r w:rsidR="2DFB7829" w:rsidRPr="1DCF545B">
              <w:rPr>
                <w:rFonts w:ascii="Verdana" w:hAnsi="Verdana" w:cs="Arial"/>
              </w:rPr>
              <w:t>obligatorio</w:t>
            </w:r>
            <w:r w:rsidR="72D69271" w:rsidRPr="1DCF545B">
              <w:rPr>
                <w:rFonts w:ascii="Verdana" w:hAnsi="Verdana" w:cs="Arial"/>
              </w:rPr>
              <w:t xml:space="preserve"> el </w:t>
            </w:r>
            <w:r w:rsidR="0AD193DC" w:rsidRPr="1DCF545B">
              <w:rPr>
                <w:rFonts w:ascii="Verdana" w:hAnsi="Verdana" w:cs="Arial"/>
              </w:rPr>
              <w:t>uso</w:t>
            </w:r>
            <w:r w:rsidR="72D69271" w:rsidRPr="1DCF545B">
              <w:rPr>
                <w:rFonts w:ascii="Verdana" w:hAnsi="Verdana" w:cs="Arial"/>
              </w:rPr>
              <w:t xml:space="preserve"> de </w:t>
            </w:r>
            <w:r w:rsidR="3447861A" w:rsidRPr="1DCF545B">
              <w:rPr>
                <w:rFonts w:ascii="Verdana" w:hAnsi="Verdana" w:cs="Arial"/>
              </w:rPr>
              <w:t>documentos</w:t>
            </w:r>
            <w:r w:rsidR="72D69271" w:rsidRPr="1DCF545B">
              <w:rPr>
                <w:rFonts w:ascii="Verdana" w:hAnsi="Verdana" w:cs="Arial"/>
              </w:rPr>
              <w:t xml:space="preserve"> tipo</w:t>
            </w:r>
            <w:r w:rsidR="1EE183FA" w:rsidRPr="1DCF545B">
              <w:rPr>
                <w:rFonts w:ascii="Verdana" w:hAnsi="Verdana" w:cs="Arial"/>
              </w:rPr>
              <w:t xml:space="preserve"> </w:t>
            </w:r>
            <w:r w:rsidR="72D69271" w:rsidRPr="1DCF545B">
              <w:rPr>
                <w:rFonts w:ascii="Verdana" w:hAnsi="Verdana" w:cs="Arial"/>
              </w:rPr>
              <w:t>y en</w:t>
            </w:r>
            <w:r w:rsidR="699DE87F" w:rsidRPr="1DCF545B">
              <w:rPr>
                <w:rFonts w:ascii="Verdana" w:hAnsi="Verdana" w:cs="Arial"/>
              </w:rPr>
              <w:t xml:space="preserve"> cu</w:t>
            </w:r>
            <w:r w:rsidR="04906EFC" w:rsidRPr="1DCF545B">
              <w:rPr>
                <w:rFonts w:ascii="Verdana" w:hAnsi="Verdana" w:cs="Arial"/>
              </w:rPr>
              <w:t>á</w:t>
            </w:r>
            <w:r w:rsidR="699DE87F" w:rsidRPr="1DCF545B">
              <w:rPr>
                <w:rFonts w:ascii="Verdana" w:hAnsi="Verdana" w:cs="Arial"/>
              </w:rPr>
              <w:t>les no,</w:t>
            </w:r>
            <w:r w:rsidR="10FB38B2" w:rsidRPr="1DCF545B">
              <w:rPr>
                <w:rFonts w:ascii="Verdana" w:hAnsi="Verdana" w:cs="Arial"/>
              </w:rPr>
              <w:t xml:space="preserve"> </w:t>
            </w:r>
            <w:r w:rsidR="699DE87F" w:rsidRPr="1DCF545B">
              <w:rPr>
                <w:rFonts w:ascii="Verdana" w:hAnsi="Verdana" w:cs="Arial"/>
              </w:rPr>
              <w:t xml:space="preserve">para que en </w:t>
            </w:r>
            <w:r w:rsidR="5696F99D" w:rsidRPr="1DCF545B">
              <w:rPr>
                <w:rFonts w:ascii="Verdana" w:hAnsi="Verdana" w:cs="Arial"/>
              </w:rPr>
              <w:t>este</w:t>
            </w:r>
            <w:r w:rsidR="699DE87F" w:rsidRPr="1DCF545B">
              <w:rPr>
                <w:rFonts w:ascii="Verdana" w:hAnsi="Verdana" w:cs="Arial"/>
              </w:rPr>
              <w:t xml:space="preserve"> </w:t>
            </w:r>
            <w:r w:rsidR="6663300D" w:rsidRPr="1DCF545B">
              <w:rPr>
                <w:rFonts w:ascii="Verdana" w:hAnsi="Verdana" w:cs="Arial"/>
              </w:rPr>
              <w:t>último</w:t>
            </w:r>
            <w:r w:rsidR="72D69271" w:rsidRPr="1DCF545B">
              <w:rPr>
                <w:rFonts w:ascii="Verdana" w:hAnsi="Verdana" w:cs="Arial"/>
              </w:rPr>
              <w:t xml:space="preserve"> caso</w:t>
            </w:r>
            <w:r w:rsidR="1A53B899" w:rsidRPr="1DCF545B">
              <w:rPr>
                <w:rFonts w:ascii="Verdana" w:hAnsi="Verdana" w:cs="Arial"/>
              </w:rPr>
              <w:t xml:space="preserve"> </w:t>
            </w:r>
            <w:r w:rsidR="76E64561" w:rsidRPr="1DCF545B">
              <w:rPr>
                <w:rFonts w:ascii="Verdana" w:hAnsi="Verdana" w:cs="Arial"/>
              </w:rPr>
              <w:t xml:space="preserve">proceda a </w:t>
            </w:r>
            <w:r w:rsidR="72D69271" w:rsidRPr="1DCF545B">
              <w:rPr>
                <w:rFonts w:ascii="Verdana" w:hAnsi="Verdana" w:cs="Arial"/>
              </w:rPr>
              <w:t xml:space="preserve">verificar </w:t>
            </w:r>
            <w:r w:rsidR="6987134A" w:rsidRPr="1DCF545B">
              <w:rPr>
                <w:rFonts w:ascii="Verdana" w:hAnsi="Verdana" w:cs="Arial"/>
              </w:rPr>
              <w:t>de acuerdo con</w:t>
            </w:r>
            <w:r w:rsidR="72D69271" w:rsidRPr="1DCF545B">
              <w:rPr>
                <w:rFonts w:ascii="Verdana" w:hAnsi="Verdana" w:cs="Arial"/>
              </w:rPr>
              <w:t xml:space="preserve"> la </w:t>
            </w:r>
            <w:r w:rsidR="788CA478" w:rsidRPr="1DCF545B">
              <w:rPr>
                <w:rFonts w:ascii="Verdana" w:hAnsi="Verdana" w:cs="Arial"/>
              </w:rPr>
              <w:t>potestad</w:t>
            </w:r>
            <w:r w:rsidR="72D69271" w:rsidRPr="1DCF545B">
              <w:rPr>
                <w:rFonts w:ascii="Verdana" w:hAnsi="Verdana" w:cs="Arial"/>
              </w:rPr>
              <w:t xml:space="preserve"> </w:t>
            </w:r>
            <w:r w:rsidR="03BFF44B" w:rsidRPr="1DCF545B">
              <w:rPr>
                <w:rFonts w:ascii="Verdana" w:hAnsi="Verdana" w:cs="Arial"/>
              </w:rPr>
              <w:t>anteriormente</w:t>
            </w:r>
            <w:r w:rsidR="72D69271" w:rsidRPr="1DCF545B">
              <w:rPr>
                <w:rFonts w:ascii="Verdana" w:hAnsi="Verdana" w:cs="Arial"/>
              </w:rPr>
              <w:t xml:space="preserve"> </w:t>
            </w:r>
            <w:r w:rsidR="56D0A247" w:rsidRPr="1DCF545B">
              <w:rPr>
                <w:rFonts w:ascii="Verdana" w:hAnsi="Verdana" w:cs="Arial"/>
              </w:rPr>
              <w:t>señalada</w:t>
            </w:r>
            <w:r w:rsidR="72D69271" w:rsidRPr="1DCF545B">
              <w:rPr>
                <w:rFonts w:ascii="Verdana" w:hAnsi="Verdana" w:cs="Arial"/>
              </w:rPr>
              <w:t xml:space="preserve">, si se </w:t>
            </w:r>
            <w:r w:rsidR="0BE53F8D" w:rsidRPr="1DCF545B">
              <w:rPr>
                <w:rFonts w:ascii="Verdana" w:hAnsi="Verdana" w:cs="Arial"/>
              </w:rPr>
              <w:t>utilizan</w:t>
            </w:r>
            <w:r w:rsidR="72D69271" w:rsidRPr="1DCF545B">
              <w:rPr>
                <w:rFonts w:ascii="Verdana" w:hAnsi="Verdana" w:cs="Arial"/>
              </w:rPr>
              <w:t xml:space="preserve"> los criterios diferenciales </w:t>
            </w:r>
            <w:r w:rsidR="2FEA7D1A" w:rsidRPr="1DCF545B">
              <w:rPr>
                <w:rFonts w:ascii="Verdana" w:hAnsi="Verdana" w:cs="Arial"/>
              </w:rPr>
              <w:t>en proceso</w:t>
            </w:r>
            <w:r w:rsidR="771E236E" w:rsidRPr="1DCF545B">
              <w:rPr>
                <w:rFonts w:ascii="Verdana" w:hAnsi="Verdana" w:cs="Arial"/>
              </w:rPr>
              <w:t>s</w:t>
            </w:r>
            <w:r w:rsidR="2FEA7D1A" w:rsidRPr="1DCF545B">
              <w:rPr>
                <w:rFonts w:ascii="Verdana" w:hAnsi="Verdana" w:cs="Arial"/>
              </w:rPr>
              <w:t xml:space="preserve"> de convocatoria </w:t>
            </w:r>
            <w:r w:rsidR="72D69271" w:rsidRPr="1DCF545B">
              <w:rPr>
                <w:rFonts w:ascii="Verdana" w:hAnsi="Verdana" w:cs="Arial"/>
              </w:rPr>
              <w:t>limit</w:t>
            </w:r>
            <w:r w:rsidR="5D48FAF1" w:rsidRPr="1DCF545B">
              <w:rPr>
                <w:rFonts w:ascii="Verdana" w:hAnsi="Verdana" w:cs="Arial"/>
              </w:rPr>
              <w:t>adas</w:t>
            </w:r>
            <w:r w:rsidR="72D69271" w:rsidRPr="1DCF545B">
              <w:rPr>
                <w:rFonts w:ascii="Verdana" w:hAnsi="Verdana" w:cs="Arial"/>
              </w:rPr>
              <w:t xml:space="preserve"> a </w:t>
            </w:r>
            <w:proofErr w:type="spellStart"/>
            <w:r w:rsidR="72D69271" w:rsidRPr="1DCF545B">
              <w:rPr>
                <w:rFonts w:ascii="Verdana" w:hAnsi="Verdana" w:cs="Arial"/>
              </w:rPr>
              <w:t>m</w:t>
            </w:r>
            <w:r w:rsidR="00A65FDF" w:rsidRPr="1DCF545B">
              <w:rPr>
                <w:rFonts w:ascii="Verdana" w:hAnsi="Verdana" w:cs="Arial"/>
              </w:rPr>
              <w:t>y</w:t>
            </w:r>
            <w:r w:rsidR="72D69271" w:rsidRPr="1DCF545B">
              <w:rPr>
                <w:rFonts w:ascii="Verdana" w:hAnsi="Verdana" w:cs="Arial"/>
              </w:rPr>
              <w:t>pimes</w:t>
            </w:r>
            <w:proofErr w:type="spellEnd"/>
            <w:r w:rsidR="72D69271" w:rsidRPr="1DCF545B">
              <w:rPr>
                <w:rFonts w:ascii="Verdana" w:hAnsi="Verdana" w:cs="Arial"/>
              </w:rPr>
              <w:t>.</w:t>
            </w:r>
          </w:p>
        </w:tc>
      </w:tr>
    </w:tbl>
    <w:p w14:paraId="1816F133" w14:textId="77777777" w:rsidR="00D84005" w:rsidRPr="0042517A" w:rsidRDefault="00D84005" w:rsidP="00D84005">
      <w:pPr>
        <w:tabs>
          <w:tab w:val="left" w:pos="142"/>
          <w:tab w:val="left" w:pos="284"/>
        </w:tabs>
        <w:spacing w:after="0" w:line="276" w:lineRule="auto"/>
        <w:jc w:val="both"/>
        <w:rPr>
          <w:rFonts w:ascii="Verdana" w:eastAsia="Century Gothic" w:hAnsi="Verdana" w:cs="Century Gothic"/>
          <w:b/>
          <w:bCs/>
          <w:lang w:val="es-ES"/>
        </w:rPr>
      </w:pPr>
    </w:p>
    <w:p w14:paraId="432FEED2" w14:textId="77777777" w:rsidR="00D84005" w:rsidRPr="0042517A" w:rsidRDefault="00D84005" w:rsidP="00D84005">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2517A">
        <w:rPr>
          <w:rFonts w:ascii="Verdana" w:eastAsia="Century Gothic" w:hAnsi="Verdana" w:cs="Century Gothic"/>
          <w:b/>
          <w:bCs/>
        </w:rPr>
        <w:t>Razones de la respuesta:</w:t>
      </w:r>
    </w:p>
    <w:p w14:paraId="20E9B818" w14:textId="77777777" w:rsidR="00D84005" w:rsidRPr="00621427" w:rsidRDefault="00D84005" w:rsidP="00D84005">
      <w:pPr>
        <w:spacing w:after="0" w:line="276" w:lineRule="auto"/>
        <w:jc w:val="both"/>
        <w:rPr>
          <w:rFonts w:ascii="Verdana" w:eastAsia="Calibri" w:hAnsi="Verdana" w:cs="Arial"/>
          <w:lang w:val="es-ES"/>
        </w:rPr>
      </w:pPr>
    </w:p>
    <w:p w14:paraId="41484756" w14:textId="77777777" w:rsidR="00D84005" w:rsidRPr="0042517A" w:rsidRDefault="00D84005" w:rsidP="00D84005">
      <w:pPr>
        <w:spacing w:after="0" w:line="276" w:lineRule="auto"/>
        <w:jc w:val="both"/>
        <w:rPr>
          <w:rFonts w:ascii="Verdana" w:eastAsia="Calibri" w:hAnsi="Verdana" w:cs="Arial"/>
          <w:lang w:val="es-ES"/>
        </w:rPr>
      </w:pPr>
      <w:r w:rsidRPr="0042517A">
        <w:rPr>
          <w:rFonts w:ascii="Verdana" w:eastAsia="Calibri" w:hAnsi="Verdana" w:cs="Arial"/>
          <w:lang w:val="es-ES"/>
        </w:rPr>
        <w:t xml:space="preserve">Lo anterior se sustenta en las siguientes consideraciones: </w:t>
      </w:r>
    </w:p>
    <w:p w14:paraId="0CE5872F" w14:textId="77777777" w:rsidR="00D84005" w:rsidRPr="0042517A" w:rsidRDefault="00D84005" w:rsidP="00D84005">
      <w:pPr>
        <w:spacing w:after="0" w:line="276" w:lineRule="auto"/>
        <w:jc w:val="both"/>
        <w:rPr>
          <w:rFonts w:ascii="Verdana" w:eastAsia="Calibri" w:hAnsi="Verdana" w:cs="Arial"/>
          <w:lang w:val="es-ES"/>
        </w:rPr>
      </w:pPr>
    </w:p>
    <w:p w14:paraId="5C7FE0DA" w14:textId="77777777" w:rsidR="00D84005" w:rsidRPr="0042517A" w:rsidRDefault="00D84005" w:rsidP="00D84005">
      <w:pPr>
        <w:tabs>
          <w:tab w:val="left" w:pos="709"/>
        </w:tabs>
        <w:spacing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i) </w:t>
      </w:r>
      <w:r w:rsidRPr="0042517A">
        <w:rPr>
          <w:rFonts w:ascii="Verdana" w:eastAsia="Calibri" w:hAnsi="Verdana" w:cs="Arial"/>
          <w:lang w:val="es-ES_tradnl"/>
        </w:rPr>
        <w:t>El 31 de diciembre de 2020 se promulgó la Ley 2069, “Por medio de la cual se impulsa el emprendimiento en Colombia”. Esta Ley</w:t>
      </w:r>
      <w:r w:rsidRPr="00621427">
        <w:rPr>
          <w:rFonts w:ascii="Verdana" w:hAnsi="Verdana"/>
        </w:rPr>
        <w:t xml:space="preserve"> establece un marco regulatorio que propicia el emprendimiento, crecimiento, consolidación y sostenibilidad de las empresas, con el fin de aumentar el bienestar social y generar equidad.</w:t>
      </w:r>
    </w:p>
    <w:p w14:paraId="30E1EFAD" w14:textId="77777777" w:rsidR="00D84005" w:rsidRDefault="00D84005" w:rsidP="00D84005">
      <w:pPr>
        <w:tabs>
          <w:tab w:val="left" w:pos="709"/>
        </w:tabs>
        <w:spacing w:after="120" w:line="276" w:lineRule="auto"/>
        <w:jc w:val="both"/>
        <w:rPr>
          <w:rFonts w:ascii="Verdana" w:hAnsi="Verdana"/>
        </w:rPr>
      </w:pPr>
      <w:r w:rsidRPr="0042517A">
        <w:rPr>
          <w:rFonts w:ascii="Verdana" w:eastAsia="Calibri" w:hAnsi="Verdana" w:cs="Arial"/>
          <w:lang w:val="es-ES_tradnl"/>
        </w:rPr>
        <w:tab/>
      </w:r>
      <w:r w:rsidRPr="007E605C">
        <w:rPr>
          <w:rFonts w:ascii="Verdana" w:hAnsi="Verdana"/>
        </w:rPr>
        <w:t>En ese contexto, la referida Ley incorpora una serie de estímulos e incentivos. En especial, en su Capítulo III “Compras públicas” del Título I</w:t>
      </w:r>
      <w:r w:rsidRPr="007E605C" w:rsidDel="0094280A">
        <w:rPr>
          <w:rFonts w:ascii="Verdana" w:hAnsi="Verdana"/>
        </w:rPr>
        <w:t xml:space="preserve"> </w:t>
      </w:r>
      <w:r w:rsidRPr="007E605C">
        <w:rPr>
          <w:rFonts w:ascii="Verdana" w:hAnsi="Verdana"/>
        </w:rPr>
        <w:t xml:space="preserve">se modifican varias disposiciones que regían el sistema de compra y contratación pública, las cuales tienen un impacto en distintas normas legales y reglamentarias. </w:t>
      </w:r>
    </w:p>
    <w:p w14:paraId="66B48993" w14:textId="77777777" w:rsidR="00D84005" w:rsidRPr="007E605C" w:rsidRDefault="00D84005" w:rsidP="00D84005">
      <w:pPr>
        <w:tabs>
          <w:tab w:val="left" w:pos="709"/>
        </w:tabs>
        <w:spacing w:after="120" w:line="276" w:lineRule="auto"/>
        <w:jc w:val="both"/>
        <w:rPr>
          <w:rFonts w:ascii="Verdana" w:eastAsia="Calibri" w:hAnsi="Verdana" w:cs="Arial"/>
          <w:bCs/>
        </w:rPr>
      </w:pPr>
      <w:r>
        <w:rPr>
          <w:rFonts w:ascii="Verdana" w:hAnsi="Verdana"/>
        </w:rPr>
        <w:tab/>
      </w:r>
      <w:r w:rsidRPr="007E605C">
        <w:rPr>
          <w:rFonts w:ascii="Verdana" w:eastAsia="Calibri" w:hAnsi="Verdana" w:cs="Arial"/>
          <w:bCs/>
        </w:rPr>
        <w:t xml:space="preserve">Dentro del referido capítulo se encuentran </w:t>
      </w:r>
      <w:bookmarkStart w:id="1" w:name="_Hlk63848566"/>
      <w:r w:rsidRPr="007E605C">
        <w:rPr>
          <w:rFonts w:ascii="Verdana" w:eastAsia="Calibri" w:hAnsi="Verdana" w:cs="Arial"/>
          <w:bCs/>
        </w:rPr>
        <w:t>los artículos 31 y 32 de la Ley 2069 de 2020</w:t>
      </w:r>
      <w:bookmarkEnd w:id="1"/>
      <w:r w:rsidRPr="007E605C">
        <w:rPr>
          <w:rFonts w:ascii="Verdana" w:eastAsia="Calibri" w:hAnsi="Verdana" w:cs="Arial"/>
          <w:bCs/>
        </w:rPr>
        <w:t xml:space="preserve">, los cuales crean una serie de incentivos para las personas interesadas en celebrar contratos con el Estado. Por un lado, </w:t>
      </w:r>
      <w:r w:rsidRPr="007E605C">
        <w:rPr>
          <w:rFonts w:ascii="Verdana" w:eastAsia="Calibri" w:hAnsi="Verdana" w:cs="Arial"/>
          <w:bCs/>
          <w:lang w:val="es-ES_tradnl"/>
        </w:rPr>
        <w:t xml:space="preserve">el artículo 31 </w:t>
      </w:r>
      <w:r w:rsidRPr="007E605C">
        <w:rPr>
          <w:rFonts w:ascii="Verdana" w:eastAsia="Calibri" w:hAnsi="Verdana" w:cs="Arial"/>
          <w:bCs/>
        </w:rPr>
        <w:t xml:space="preserve">introduce criterios diferenciales para el acceso de las </w:t>
      </w:r>
      <w:proofErr w:type="spellStart"/>
      <w:r w:rsidRPr="007E605C">
        <w:rPr>
          <w:rFonts w:ascii="Verdana" w:eastAsia="Calibri" w:hAnsi="Verdana" w:cs="Arial"/>
          <w:bCs/>
        </w:rPr>
        <w:t>Mipyme</w:t>
      </w:r>
      <w:r>
        <w:rPr>
          <w:rFonts w:ascii="Verdana" w:eastAsia="Calibri" w:hAnsi="Verdana" w:cs="Arial"/>
          <w:bCs/>
        </w:rPr>
        <w:t>s</w:t>
      </w:r>
      <w:proofErr w:type="spellEnd"/>
      <w:r w:rsidRPr="007E605C">
        <w:rPr>
          <w:rFonts w:ascii="Verdana" w:eastAsia="Calibri" w:hAnsi="Verdana" w:cs="Arial"/>
          <w:bCs/>
        </w:rPr>
        <w:t xml:space="preserve"> al sistema de compras y contratación pública, mientras que el artículo 32 introduce criterios diferenciales en favor de los emprendimientos y empresas de mujeres</w:t>
      </w:r>
      <w:r>
        <w:rPr>
          <w:rFonts w:ascii="Verdana" w:eastAsia="Calibri" w:hAnsi="Verdana" w:cs="Arial"/>
          <w:bCs/>
        </w:rPr>
        <w:t xml:space="preserve">. Teniendo en cuenta el objeto del primer problema jurídico, a continuación, se procede a analizar cada una de estas disposiciones y su respectiva reglamentación. </w:t>
      </w:r>
    </w:p>
    <w:p w14:paraId="370EC26A" w14:textId="77777777" w:rsidR="00D84005" w:rsidRPr="0040650F" w:rsidRDefault="00D84005" w:rsidP="00D84005">
      <w:pPr>
        <w:spacing w:after="120" w:line="276" w:lineRule="auto"/>
        <w:ind w:firstLine="709"/>
        <w:jc w:val="both"/>
        <w:rPr>
          <w:rFonts w:ascii="Verdana" w:hAnsi="Verdana"/>
        </w:rPr>
      </w:pPr>
      <w:r>
        <w:rPr>
          <w:rFonts w:ascii="Verdana" w:hAnsi="Verdana" w:cs="Arial"/>
          <w:color w:val="000000" w:themeColor="text1"/>
        </w:rPr>
        <w:lastRenderedPageBreak/>
        <w:t>En primer lugar, r</w:t>
      </w:r>
      <w:r w:rsidRPr="00271797">
        <w:rPr>
          <w:rFonts w:ascii="Verdana" w:hAnsi="Verdana" w:cs="Arial"/>
          <w:color w:val="000000" w:themeColor="text1"/>
        </w:rPr>
        <w:t xml:space="preserve">especto de los criterios diferenciales para </w:t>
      </w:r>
      <w:proofErr w:type="spellStart"/>
      <w:r w:rsidRPr="00271797">
        <w:rPr>
          <w:rFonts w:ascii="Verdana" w:hAnsi="Verdana" w:cs="Arial"/>
          <w:color w:val="000000" w:themeColor="text1"/>
        </w:rPr>
        <w:t>Mipyme</w:t>
      </w:r>
      <w:proofErr w:type="spellEnd"/>
      <w:r w:rsidRPr="00271797">
        <w:rPr>
          <w:rFonts w:ascii="Verdana" w:hAnsi="Verdana" w:cs="Arial"/>
          <w:color w:val="000000" w:themeColor="text1"/>
        </w:rPr>
        <w:t>,</w:t>
      </w:r>
      <w:r>
        <w:rPr>
          <w:rFonts w:ascii="Verdana" w:hAnsi="Verdana" w:cs="Arial"/>
          <w:color w:val="000000" w:themeColor="text1"/>
        </w:rPr>
        <w:t xml:space="preserve"> </w:t>
      </w:r>
      <w:r w:rsidRPr="0040650F">
        <w:rPr>
          <w:rFonts w:ascii="Verdana" w:hAnsi="Verdana"/>
        </w:rPr>
        <w:t>el artículo 31 de la Ley 2069 de 2020 estableció que las entidades estatales</w:t>
      </w:r>
      <w:r>
        <w:rPr>
          <w:rFonts w:ascii="Verdana" w:hAnsi="Verdana"/>
        </w:rPr>
        <w:t>,</w:t>
      </w:r>
      <w:r w:rsidRPr="0040650F">
        <w:rPr>
          <w:rFonts w:ascii="Verdana" w:hAnsi="Verdana"/>
        </w:rPr>
        <w:t xml:space="preserve"> de acuerdo con el análisis del sector</w:t>
      </w:r>
      <w:r>
        <w:rPr>
          <w:rFonts w:ascii="Verdana" w:hAnsi="Verdana"/>
        </w:rPr>
        <w:t>,</w:t>
      </w:r>
      <w:r w:rsidRPr="0040650F">
        <w:rPr>
          <w:rFonts w:ascii="Verdana" w:hAnsi="Verdana"/>
        </w:rPr>
        <w:t xml:space="preserve"> </w:t>
      </w:r>
      <w:r w:rsidRPr="007E605C">
        <w:rPr>
          <w:rFonts w:ascii="Verdana" w:hAnsi="Verdana"/>
          <w:i/>
          <w:iCs/>
        </w:rPr>
        <w:t>podrán</w:t>
      </w:r>
      <w:r>
        <w:rPr>
          <w:rFonts w:ascii="Verdana" w:hAnsi="Verdana"/>
        </w:rPr>
        <w:t xml:space="preserve"> incluir</w:t>
      </w:r>
      <w:r w:rsidRPr="0040650F">
        <w:rPr>
          <w:rFonts w:ascii="Verdana" w:hAnsi="Verdana"/>
        </w:rPr>
        <w:t xml:space="preserve"> requisitos diferenciales y puntajes adicionales </w:t>
      </w:r>
      <w:r>
        <w:rPr>
          <w:rFonts w:ascii="Verdana" w:hAnsi="Verdana"/>
        </w:rPr>
        <w:t xml:space="preserve">en </w:t>
      </w:r>
      <w:r w:rsidRPr="0040650F">
        <w:rPr>
          <w:rFonts w:ascii="Verdana" w:hAnsi="Verdana"/>
        </w:rPr>
        <w:t xml:space="preserve">función del tamaño empresarial para la promoción del acceso de </w:t>
      </w:r>
      <w:r>
        <w:rPr>
          <w:rFonts w:ascii="Verdana" w:hAnsi="Verdana"/>
        </w:rPr>
        <w:t>este tipo de empresas</w:t>
      </w:r>
      <w:r w:rsidRPr="0040650F">
        <w:rPr>
          <w:rFonts w:ascii="Verdana" w:hAnsi="Verdana"/>
        </w:rPr>
        <w:t xml:space="preserve"> al mercado de compras públicas. La aplicación de estos criterios, por disposición expresa del referido artículo, quedó condicionada por la expedición de su reglamentación. </w:t>
      </w:r>
    </w:p>
    <w:p w14:paraId="4C453991" w14:textId="77777777" w:rsidR="00D84005" w:rsidRDefault="00D84005" w:rsidP="00D84005">
      <w:pPr>
        <w:spacing w:after="0" w:line="276" w:lineRule="auto"/>
        <w:jc w:val="both"/>
        <w:rPr>
          <w:rFonts w:ascii="Verdana" w:eastAsia="Times New Roman" w:hAnsi="Verdana" w:cs="Arial"/>
          <w:lang w:eastAsia="es-MX"/>
        </w:rPr>
      </w:pPr>
      <w:r w:rsidRPr="0040650F">
        <w:rPr>
          <w:rFonts w:ascii="Verdana" w:hAnsi="Verdana"/>
        </w:rPr>
        <w:t xml:space="preserve"> </w:t>
      </w:r>
      <w:r w:rsidRPr="0040650F">
        <w:rPr>
          <w:rFonts w:ascii="Verdana" w:hAnsi="Verdana"/>
        </w:rPr>
        <w:tab/>
      </w:r>
      <w:r>
        <w:rPr>
          <w:rFonts w:ascii="Verdana" w:hAnsi="Verdana"/>
        </w:rPr>
        <w:t>Por esta razón, e</w:t>
      </w:r>
      <w:r w:rsidRPr="0040650F">
        <w:rPr>
          <w:rFonts w:ascii="Verdana" w:eastAsia="Times New Roman" w:hAnsi="Verdana" w:cs="Arial"/>
          <w:color w:val="000000" w:themeColor="text1"/>
          <w:lang w:eastAsia="es-MX"/>
        </w:rPr>
        <w:t xml:space="preserve">l artículo 3 del Decreto 1860 de 2021, adicionó </w:t>
      </w:r>
      <w:r w:rsidRPr="0040650F">
        <w:rPr>
          <w:rFonts w:ascii="Verdana" w:eastAsia="Times New Roman" w:hAnsi="Verdana" w:cs="Arial"/>
          <w:bCs/>
          <w:color w:val="000000" w:themeColor="text1"/>
          <w:lang w:eastAsia="es-MX"/>
        </w:rPr>
        <w:t xml:space="preserve">el artículo 2.2.1.2.4.2.18 al </w:t>
      </w:r>
      <w:r w:rsidRPr="0040650F">
        <w:rPr>
          <w:rFonts w:ascii="Verdana" w:eastAsia="Times New Roman" w:hAnsi="Verdana" w:cs="Arial"/>
          <w:lang w:eastAsia="es-MX"/>
        </w:rPr>
        <w:t>Decreto 1082 de 2015</w:t>
      </w:r>
      <w:r>
        <w:rPr>
          <w:rFonts w:ascii="Verdana" w:eastAsia="Times New Roman" w:hAnsi="Verdana" w:cs="Arial"/>
          <w:lang w:eastAsia="es-MX"/>
        </w:rPr>
        <w:t>,</w:t>
      </w:r>
      <w:r w:rsidRPr="0040650F">
        <w:rPr>
          <w:rFonts w:ascii="Verdana" w:eastAsia="Times New Roman" w:hAnsi="Verdana" w:cs="Arial"/>
          <w:lang w:eastAsia="es-MX"/>
        </w:rPr>
        <w:t xml:space="preserve"> regulando los criterios diferenciales para MiPyme</w:t>
      </w:r>
      <w:r>
        <w:rPr>
          <w:rFonts w:ascii="Verdana" w:eastAsia="Times New Roman" w:hAnsi="Verdana" w:cs="Arial"/>
          <w:lang w:eastAsia="es-MX"/>
        </w:rPr>
        <w:t>s</w:t>
      </w:r>
      <w:r w:rsidRPr="0040650F">
        <w:rPr>
          <w:rFonts w:ascii="Verdana" w:eastAsia="Times New Roman" w:hAnsi="Verdana" w:cs="Arial"/>
          <w:lang w:eastAsia="es-MX"/>
        </w:rPr>
        <w:t xml:space="preserve"> establecidos por el artículo 31 de la Ley 2069 de 2020. En virtud de esta norma las entidades estatales</w:t>
      </w:r>
      <w:r>
        <w:rPr>
          <w:rFonts w:ascii="Verdana" w:eastAsia="Times New Roman" w:hAnsi="Verdana" w:cs="Arial"/>
          <w:lang w:eastAsia="es-MX"/>
        </w:rPr>
        <w:t>,</w:t>
      </w:r>
      <w:r w:rsidRPr="0040650F">
        <w:rPr>
          <w:rFonts w:ascii="Verdana" w:eastAsia="Times New Roman" w:hAnsi="Verdana" w:cs="Arial"/>
          <w:lang w:eastAsia="es-MX"/>
        </w:rPr>
        <w:t xml:space="preserve">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40650F">
        <w:rPr>
          <w:rFonts w:ascii="Verdana" w:eastAsia="Times New Roman" w:hAnsi="Verdana" w:cs="Arial"/>
          <w:lang w:eastAsia="es-MX"/>
        </w:rPr>
        <w:t>Mipyme</w:t>
      </w:r>
      <w:proofErr w:type="spellEnd"/>
      <w:r w:rsidRPr="0040650F">
        <w:rPr>
          <w:rFonts w:ascii="Verdana" w:eastAsia="Times New Roman" w:hAnsi="Verdana" w:cs="Arial"/>
          <w:lang w:eastAsia="es-MX"/>
        </w:rPr>
        <w:t xml:space="preserve"> domiciliadas en Colombia. </w:t>
      </w:r>
    </w:p>
    <w:p w14:paraId="16BE6072" w14:textId="77777777" w:rsidR="00D84005" w:rsidRDefault="00D84005" w:rsidP="00D84005">
      <w:pPr>
        <w:spacing w:after="0" w:line="276" w:lineRule="auto"/>
        <w:jc w:val="both"/>
        <w:rPr>
          <w:rFonts w:ascii="Verdana" w:eastAsia="Times New Roman" w:hAnsi="Verdana" w:cs="Arial"/>
          <w:lang w:eastAsia="es-MX"/>
        </w:rPr>
      </w:pPr>
    </w:p>
    <w:p w14:paraId="2086B70E" w14:textId="77777777" w:rsidR="00D84005" w:rsidRPr="00311EC7" w:rsidRDefault="00D84005" w:rsidP="00D84005">
      <w:pPr>
        <w:spacing w:after="0" w:line="276" w:lineRule="auto"/>
        <w:jc w:val="both"/>
        <w:rPr>
          <w:rFonts w:ascii="Verdana" w:eastAsia="Times New Roman" w:hAnsi="Verdana" w:cs="Arial"/>
          <w:lang w:eastAsia="es-MX"/>
        </w:rPr>
      </w:pPr>
      <w:r w:rsidRPr="005D4133">
        <w:rPr>
          <w:rFonts w:ascii="Verdana" w:eastAsia="Times New Roman" w:hAnsi="Verdana" w:cs="Arial"/>
          <w:lang w:eastAsia="es-MX"/>
        </w:rPr>
        <w:t xml:space="preserve">La </w:t>
      </w:r>
      <w:r>
        <w:rPr>
          <w:rFonts w:ascii="Verdana" w:eastAsia="Times New Roman" w:hAnsi="Verdana" w:cs="Arial"/>
          <w:lang w:eastAsia="es-MX"/>
        </w:rPr>
        <w:t xml:space="preserve">referida </w:t>
      </w:r>
      <w:r w:rsidRPr="005D4133">
        <w:rPr>
          <w:rFonts w:ascii="Verdana" w:eastAsia="Times New Roman" w:hAnsi="Verdana" w:cs="Arial"/>
          <w:lang w:eastAsia="es-MX"/>
        </w:rPr>
        <w:t>norma indica lo siguien</w:t>
      </w:r>
      <w:r>
        <w:rPr>
          <w:rFonts w:ascii="Verdana" w:eastAsia="Times New Roman" w:hAnsi="Verdana" w:cs="Arial"/>
          <w:lang w:eastAsia="es-MX"/>
        </w:rPr>
        <w:t xml:space="preserve">te: </w:t>
      </w:r>
    </w:p>
    <w:p w14:paraId="6B294C0E"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Pr>
          <w:rFonts w:ascii="Verdana" w:eastAsia="Times New Roman" w:hAnsi="Verdana" w:cs="Arial"/>
          <w:b/>
          <w:bCs/>
          <w:sz w:val="20"/>
          <w:szCs w:val="20"/>
          <w:lang w:eastAsia="es-MX"/>
        </w:rPr>
        <w:t>“C</w:t>
      </w:r>
      <w:r w:rsidRPr="005D4133">
        <w:rPr>
          <w:rFonts w:ascii="Verdana" w:eastAsia="Times New Roman" w:hAnsi="Verdana" w:cs="Arial"/>
          <w:b/>
          <w:bCs/>
          <w:sz w:val="20"/>
          <w:szCs w:val="20"/>
          <w:lang w:eastAsia="es-MX"/>
        </w:rPr>
        <w:t xml:space="preserve">riterios diferenciales para </w:t>
      </w:r>
      <w:proofErr w:type="spellStart"/>
      <w:r w:rsidRPr="005D4133">
        <w:rPr>
          <w:rFonts w:ascii="Verdana" w:eastAsia="Times New Roman" w:hAnsi="Verdana" w:cs="Arial"/>
          <w:b/>
          <w:bCs/>
          <w:sz w:val="20"/>
          <w:szCs w:val="20"/>
          <w:lang w:eastAsia="es-MX"/>
        </w:rPr>
        <w:t>Mipyme</w:t>
      </w:r>
      <w:proofErr w:type="spellEnd"/>
      <w:r w:rsidRPr="005D4133">
        <w:rPr>
          <w:rFonts w:ascii="Verdana" w:eastAsia="Times New Roman" w:hAnsi="Verdana" w:cs="Arial"/>
          <w:b/>
          <w:bCs/>
          <w:sz w:val="20"/>
          <w:szCs w:val="20"/>
          <w:lang w:eastAsia="es-MX"/>
        </w:rPr>
        <w:t xml:space="preserve"> en el sistema de compras públicas.</w:t>
      </w:r>
      <w:r w:rsidRPr="005D4133">
        <w:rPr>
          <w:rFonts w:ascii="Verdana" w:eastAsia="Times New Roman" w:hAnsi="Verdana" w:cs="Arial"/>
          <w:sz w:val="20"/>
          <w:szCs w:val="20"/>
          <w:lang w:eastAsia="es-MX"/>
        </w:rPr>
        <w:t xml:space="preserve"> De acuerdo con el numeral 1 del artículo 12 de la Ley 590 de 2000, </w:t>
      </w:r>
      <w:r w:rsidRPr="00A87348">
        <w:rPr>
          <w:rFonts w:ascii="Verdana" w:eastAsia="Times New Roman" w:hAnsi="Verdana" w:cs="Arial"/>
          <w:i/>
          <w:iCs/>
          <w:sz w:val="20"/>
          <w:szCs w:val="20"/>
          <w:lang w:eastAsia="es-MX"/>
        </w:rPr>
        <w:t xml:space="preserve">según los resultados del análisis del sector,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A87348">
        <w:rPr>
          <w:rFonts w:ascii="Verdana" w:eastAsia="Times New Roman" w:hAnsi="Verdana" w:cs="Arial"/>
          <w:i/>
          <w:iCs/>
          <w:sz w:val="20"/>
          <w:szCs w:val="20"/>
          <w:lang w:eastAsia="es-MX"/>
        </w:rPr>
        <w:t>Mipyme</w:t>
      </w:r>
      <w:proofErr w:type="spellEnd"/>
      <w:r w:rsidRPr="00A87348">
        <w:rPr>
          <w:rFonts w:ascii="Verdana" w:eastAsia="Times New Roman" w:hAnsi="Verdana" w:cs="Arial"/>
          <w:i/>
          <w:iCs/>
          <w:sz w:val="20"/>
          <w:szCs w:val="20"/>
          <w:lang w:eastAsia="es-MX"/>
        </w:rPr>
        <w:t xml:space="preserve"> domiciliadas en Colombia.</w:t>
      </w:r>
      <w:r w:rsidRPr="005D4133">
        <w:rPr>
          <w:rFonts w:ascii="Verdana" w:eastAsia="Times New Roman" w:hAnsi="Verdana" w:cs="Arial"/>
          <w:sz w:val="20"/>
          <w:szCs w:val="20"/>
          <w:lang w:eastAsia="es-MX"/>
        </w:rPr>
        <w:t xml:space="preserve"> Para el efecto, en función de los criterios de clasificación empresarial, los Documentos del Proceso deberán incorporar requisitos habilitan tes diferencia/es relacionados con alguno o algunos de los siguientes aspectos:</w:t>
      </w:r>
    </w:p>
    <w:p w14:paraId="2A57A93A"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br/>
        <w:t>1. Tiempo de experiencia.</w:t>
      </w:r>
    </w:p>
    <w:p w14:paraId="0003DE88"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2. Número de contratos para la acreditación de la experiencia.</w:t>
      </w:r>
    </w:p>
    <w:p w14:paraId="2F7CAD52"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3. Índices de capacidad financiera.</w:t>
      </w:r>
    </w:p>
    <w:p w14:paraId="5D11F92E"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4. Índices de capacidad organizacional.</w:t>
      </w:r>
    </w:p>
    <w:p w14:paraId="159151F0"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5. Valor de la garantía de seriedad de /a oferta.</w:t>
      </w:r>
    </w:p>
    <w:p w14:paraId="0301157F"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br/>
        <w:t xml:space="preserve">Los requisitos mencionados deberán fijarse respetando las condiciones habilitantes requeridas para el cumplimiento adecuado del contrato, teniendo en cuenta el alcance de las obligaciones. En desarrollo de lo anterior, con la finalidad de beneficiar a las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xml:space="preserve">, se establecerán </w:t>
      </w:r>
      <w:r w:rsidRPr="005D4133">
        <w:rPr>
          <w:rFonts w:ascii="Verdana" w:eastAsia="Times New Roman" w:hAnsi="Verdana" w:cs="Arial"/>
          <w:sz w:val="20"/>
          <w:szCs w:val="20"/>
          <w:lang w:eastAsia="es-MX"/>
        </w:rPr>
        <w:lastRenderedPageBreak/>
        <w:t xml:space="preserve">condiciones más exigentes respecto a alguno o algunos de los criterios de participación antes enunciados frente a los demás proponentes que concurran al procedimiento de selección que no sean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w:t>
      </w:r>
      <w:r w:rsidRPr="005D4133">
        <w:rPr>
          <w:rFonts w:ascii="Verdana" w:eastAsia="Times New Roman" w:hAnsi="Verdana" w:cs="Arial"/>
          <w:sz w:val="20"/>
          <w:szCs w:val="20"/>
          <w:lang w:eastAsia="es-MX"/>
        </w:rPr>
        <w:br/>
      </w:r>
      <w:r w:rsidRPr="005D4133">
        <w:rPr>
          <w:rFonts w:ascii="Verdana" w:eastAsia="Times New Roman" w:hAnsi="Verdana" w:cs="Arial"/>
          <w:sz w:val="20"/>
          <w:szCs w:val="20"/>
          <w:lang w:eastAsia="es-MX"/>
        </w:rPr>
        <w:br/>
        <w:t xml:space="preserve">Con excepción de los procedimientos de selección abreviada por subasta inversa y de mínima cuantía, las entidades sometidas al Estatuto General de Contratación de la Administración Pública, teniendo en cuenta los criterios de clasificación empresarial, podrán establecer puntajes adicionales para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En ningún caso, estos podrán superar el cero punto veinticinco por ciento (0.25%) del total de los puntos establecidos en el pliego de condiciones.</w:t>
      </w:r>
    </w:p>
    <w:p w14:paraId="5BA24A2E"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p>
    <w:p w14:paraId="7C04A485"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1.</w:t>
      </w:r>
      <w:r w:rsidRPr="005D4133">
        <w:rPr>
          <w:rFonts w:ascii="Verdana" w:eastAsia="Times New Roman" w:hAnsi="Verdana" w:cs="Arial"/>
          <w:sz w:val="20"/>
          <w:szCs w:val="20"/>
          <w:lang w:eastAsia="es-MX"/>
        </w:rPr>
        <w:t> Para los efectos de este artículo, los criterios de clasificación empresarial son los definidos en el artículo 2.2.1.13.2.2 del Decreto 1074 de 2015, Único Reglamentario del Sector Comercio, Industria y Turismo, o la norma que lo modifique, derogue o sustituya.</w:t>
      </w:r>
    </w:p>
    <w:p w14:paraId="5928830B"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p>
    <w:p w14:paraId="0238193D"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2.</w:t>
      </w:r>
      <w:r w:rsidRPr="005D4133">
        <w:rPr>
          <w:rFonts w:ascii="Verdana" w:eastAsia="Times New Roman" w:hAnsi="Verdana" w:cs="Arial"/>
          <w:sz w:val="20"/>
          <w:szCs w:val="20"/>
          <w:lang w:eastAsia="es-MX"/>
        </w:rPr>
        <w:t xml:space="preserve"> Tratándose de proponentes plurales, los criterios diferenciales y los puntajes adicionales solo se aplicarán si por lo menos uno de los integrantes acredita la calidad de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xml:space="preserve"> y tiene una participación igual o superior al diez por ciento (10%) en el consorcio o la unión temporal.</w:t>
      </w:r>
    </w:p>
    <w:p w14:paraId="3D2CDD47"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p>
    <w:p w14:paraId="7D31B566" w14:textId="77777777" w:rsidR="00D84005" w:rsidRDefault="00D84005" w:rsidP="00D84005">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3</w:t>
      </w:r>
      <w:r w:rsidRPr="005D4133">
        <w:rPr>
          <w:rFonts w:ascii="Verdana" w:eastAsia="Times New Roman" w:hAnsi="Verdana" w:cs="Arial"/>
          <w:sz w:val="20"/>
          <w:szCs w:val="20"/>
          <w:lang w:eastAsia="es-MX"/>
        </w:rPr>
        <w:t>. Lo previsto en esta norma aplica sin perjuicio de lo dispuesto en los Acuerdos Comerciales suscritos por el Estado colombiano, pero no rige en las convocatorias limitadas que se realicen conforme a los artículos 2.2.1.2.4.2.2 y 2.2.1.2.4.2.3 de este Decreto</w:t>
      </w:r>
      <w:r>
        <w:rPr>
          <w:rFonts w:ascii="Verdana" w:eastAsia="Times New Roman" w:hAnsi="Verdana" w:cs="Arial"/>
          <w:sz w:val="20"/>
          <w:szCs w:val="20"/>
          <w:lang w:eastAsia="es-MX"/>
        </w:rPr>
        <w:t>”</w:t>
      </w:r>
      <w:r w:rsidRPr="005D4133">
        <w:rPr>
          <w:rFonts w:ascii="Verdana" w:eastAsia="Times New Roman" w:hAnsi="Verdana" w:cs="Arial"/>
          <w:sz w:val="20"/>
          <w:szCs w:val="20"/>
          <w:lang w:eastAsia="es-MX"/>
        </w:rPr>
        <w:t>.</w:t>
      </w:r>
      <w:r>
        <w:rPr>
          <w:rFonts w:ascii="Verdana" w:eastAsia="Times New Roman" w:hAnsi="Verdana" w:cs="Arial"/>
          <w:sz w:val="20"/>
          <w:szCs w:val="20"/>
          <w:lang w:eastAsia="es-MX"/>
        </w:rPr>
        <w:t xml:space="preserve"> (Énfasis fuera de texto). </w:t>
      </w:r>
    </w:p>
    <w:p w14:paraId="7708FB45" w14:textId="77777777" w:rsidR="00D84005" w:rsidRDefault="00D84005" w:rsidP="00D84005">
      <w:pPr>
        <w:spacing w:after="0" w:line="276" w:lineRule="auto"/>
        <w:jc w:val="both"/>
        <w:rPr>
          <w:rFonts w:ascii="Verdana" w:eastAsia="Times New Roman" w:hAnsi="Verdana" w:cs="Arial"/>
          <w:lang w:eastAsia="es-MX"/>
        </w:rPr>
      </w:pPr>
      <w:r w:rsidRPr="0040650F">
        <w:rPr>
          <w:rFonts w:ascii="Verdana" w:eastAsia="Times New Roman" w:hAnsi="Verdana" w:cs="Arial"/>
          <w:lang w:eastAsia="es-MX"/>
        </w:rPr>
        <w:t xml:space="preserve"> </w:t>
      </w:r>
    </w:p>
    <w:p w14:paraId="2E9C7197" w14:textId="77777777" w:rsidR="00D84005" w:rsidRPr="0040650F" w:rsidRDefault="00D84005" w:rsidP="00D84005">
      <w:pPr>
        <w:spacing w:after="120" w:line="276" w:lineRule="auto"/>
        <w:ind w:firstLine="708"/>
        <w:jc w:val="both"/>
        <w:rPr>
          <w:rFonts w:ascii="Verdana" w:eastAsia="Times New Roman" w:hAnsi="Verdana" w:cs="Arial"/>
          <w:color w:val="000000" w:themeColor="text1"/>
          <w:lang w:eastAsia="es-MX"/>
        </w:rPr>
      </w:pPr>
      <w:r>
        <w:rPr>
          <w:rFonts w:ascii="Verdana" w:eastAsia="Times New Roman" w:hAnsi="Verdana" w:cs="Arial"/>
          <w:lang w:eastAsia="es-MX"/>
        </w:rPr>
        <w:t>Conforme al artículo citado</w:t>
      </w:r>
      <w:r w:rsidRPr="0040650F">
        <w:rPr>
          <w:rFonts w:ascii="Verdana" w:eastAsia="Times New Roman" w:hAnsi="Verdana" w:cs="Arial"/>
          <w:lang w:eastAsia="es-MX"/>
        </w:rPr>
        <w:t>, según los resultados del análisis del sector</w:t>
      </w:r>
      <w:r>
        <w:rPr>
          <w:rFonts w:ascii="Verdana" w:eastAsia="Times New Roman" w:hAnsi="Verdana" w:cs="Arial"/>
          <w:lang w:eastAsia="es-MX"/>
        </w:rPr>
        <w:t xml:space="preserve"> y </w:t>
      </w:r>
      <w:r w:rsidRPr="0040650F">
        <w:rPr>
          <w:rFonts w:ascii="Verdana" w:eastAsia="Times New Roman" w:hAnsi="Verdana" w:cs="Arial"/>
          <w:lang w:eastAsia="es-MX"/>
        </w:rPr>
        <w:t xml:space="preserve">en función de los criterios de clasificación empresarial, los documentos del proceso </w:t>
      </w:r>
      <w:r>
        <w:rPr>
          <w:rFonts w:ascii="Verdana" w:eastAsia="Times New Roman" w:hAnsi="Verdana" w:cs="Arial"/>
          <w:lang w:eastAsia="es-MX"/>
        </w:rPr>
        <w:t>podrán</w:t>
      </w:r>
      <w:r w:rsidRPr="0040650F">
        <w:rPr>
          <w:rFonts w:ascii="Verdana" w:eastAsia="Times New Roman" w:hAnsi="Verdana" w:cs="Arial"/>
          <w:lang w:eastAsia="es-MX"/>
        </w:rPr>
        <w:t xml:space="preserve"> incorporar </w:t>
      </w:r>
      <w:r w:rsidRPr="0040650F">
        <w:rPr>
          <w:rFonts w:ascii="Verdana" w:eastAsia="Times New Roman" w:hAnsi="Verdana" w:cs="Arial"/>
          <w:color w:val="000000" w:themeColor="text1"/>
          <w:lang w:eastAsia="es-MX"/>
        </w:rPr>
        <w:t xml:space="preserve">requisitos habilitantes diferenciales relacionados con alguno o algunos de los siguientes aspectos: i) tiempo de experiencia, </w:t>
      </w:r>
      <w:proofErr w:type="spellStart"/>
      <w:r w:rsidRPr="0040650F">
        <w:rPr>
          <w:rFonts w:ascii="Verdana" w:eastAsia="Times New Roman" w:hAnsi="Verdana" w:cs="Arial"/>
          <w:color w:val="000000" w:themeColor="text1"/>
          <w:lang w:eastAsia="es-MX"/>
        </w:rPr>
        <w:t>ii</w:t>
      </w:r>
      <w:proofErr w:type="spellEnd"/>
      <w:r w:rsidRPr="0040650F">
        <w:rPr>
          <w:rFonts w:ascii="Verdana" w:eastAsia="Times New Roman" w:hAnsi="Verdana" w:cs="Arial"/>
          <w:color w:val="000000" w:themeColor="text1"/>
          <w:lang w:eastAsia="es-MX"/>
        </w:rPr>
        <w:t xml:space="preserve">) número de contratos para la acreditación de la experiencia, </w:t>
      </w:r>
      <w:proofErr w:type="spellStart"/>
      <w:r w:rsidRPr="0040650F">
        <w:rPr>
          <w:rFonts w:ascii="Verdana" w:eastAsia="Times New Roman" w:hAnsi="Verdana" w:cs="Arial"/>
          <w:color w:val="000000" w:themeColor="text1"/>
          <w:lang w:eastAsia="es-MX"/>
        </w:rPr>
        <w:t>iii</w:t>
      </w:r>
      <w:proofErr w:type="spellEnd"/>
      <w:r w:rsidRPr="0040650F">
        <w:rPr>
          <w:rFonts w:ascii="Verdana" w:eastAsia="Times New Roman" w:hAnsi="Verdana" w:cs="Arial"/>
          <w:color w:val="000000" w:themeColor="text1"/>
          <w:lang w:eastAsia="es-MX"/>
        </w:rPr>
        <w:t xml:space="preserve">) índices de capacidad financiera, </w:t>
      </w:r>
      <w:proofErr w:type="spellStart"/>
      <w:r w:rsidRPr="0040650F">
        <w:rPr>
          <w:rFonts w:ascii="Verdana" w:eastAsia="Times New Roman" w:hAnsi="Verdana" w:cs="Arial"/>
          <w:color w:val="000000" w:themeColor="text1"/>
          <w:lang w:eastAsia="es-MX"/>
        </w:rPr>
        <w:t>iv</w:t>
      </w:r>
      <w:proofErr w:type="spellEnd"/>
      <w:r w:rsidRPr="0040650F">
        <w:rPr>
          <w:rFonts w:ascii="Verdana" w:eastAsia="Times New Roman" w:hAnsi="Verdana" w:cs="Arial"/>
          <w:color w:val="000000" w:themeColor="text1"/>
          <w:lang w:eastAsia="es-MX"/>
        </w:rPr>
        <w:t>) índices de capacidad organizacional y v) valor de la garantía de seriedad de la oferta.</w:t>
      </w:r>
    </w:p>
    <w:p w14:paraId="42BE7A82" w14:textId="77777777" w:rsidR="00D84005" w:rsidRDefault="00D84005" w:rsidP="00D84005">
      <w:pPr>
        <w:spacing w:after="120" w:line="276" w:lineRule="auto"/>
        <w:ind w:firstLine="708"/>
        <w:jc w:val="both"/>
        <w:rPr>
          <w:rFonts w:ascii="Verdana" w:hAnsi="Verdana" w:cs="Arial"/>
          <w:bCs/>
        </w:rPr>
      </w:pPr>
      <w:r w:rsidRPr="0040650F">
        <w:rPr>
          <w:rFonts w:ascii="Verdana" w:eastAsia="Times New Roman" w:hAnsi="Verdana" w:cs="Arial"/>
          <w:color w:val="000000" w:themeColor="text1"/>
          <w:lang w:eastAsia="es-MX"/>
        </w:rPr>
        <w:t>Lo anterior significa que</w:t>
      </w:r>
      <w:r>
        <w:rPr>
          <w:rFonts w:ascii="Verdana" w:hAnsi="Verdana" w:cs="Arial"/>
          <w:bCs/>
        </w:rPr>
        <w:t xml:space="preserve"> la expresión “</w:t>
      </w:r>
      <w:r w:rsidRPr="007D5676">
        <w:rPr>
          <w:rFonts w:ascii="Verdana" w:hAnsi="Verdana" w:cs="Arial"/>
          <w:b/>
          <w:u w:val="single"/>
        </w:rPr>
        <w:t>podrán</w:t>
      </w:r>
      <w:r w:rsidRPr="007D5676">
        <w:rPr>
          <w:rFonts w:ascii="Verdana" w:hAnsi="Verdana" w:cs="Arial"/>
          <w:bCs/>
        </w:rPr>
        <w:t xml:space="preserve">” </w:t>
      </w:r>
      <w:r>
        <w:rPr>
          <w:rFonts w:ascii="Verdana" w:hAnsi="Verdana" w:cs="Arial"/>
          <w:bCs/>
        </w:rPr>
        <w:t xml:space="preserve">contenida en el artículo 31 de la Ley 2069 de 2020, fue utilizada por el legislador porque la incorporación de los criterios diferenciales y puntajes adicionales en favor de las </w:t>
      </w:r>
      <w:proofErr w:type="spellStart"/>
      <w:r>
        <w:rPr>
          <w:rFonts w:ascii="Verdana" w:hAnsi="Verdana" w:cs="Arial"/>
          <w:bCs/>
        </w:rPr>
        <w:t>Mipymes</w:t>
      </w:r>
      <w:proofErr w:type="spellEnd"/>
      <w:r>
        <w:rPr>
          <w:rFonts w:ascii="Verdana" w:hAnsi="Verdana" w:cs="Arial"/>
          <w:bCs/>
        </w:rPr>
        <w:t xml:space="preserve"> es potestativa de la entidad estatal. En todo caso, debe sustentarse en los resultados del análisis del sector realizado por la entidad estatal contratante en la etapa de planeación, lo que le permite a esta inferir que su incorporación es </w:t>
      </w:r>
      <w:r>
        <w:rPr>
          <w:rFonts w:ascii="Verdana" w:hAnsi="Verdana" w:cs="Arial"/>
          <w:bCs/>
        </w:rPr>
        <w:lastRenderedPageBreak/>
        <w:t xml:space="preserve">pertinente y se sustenta en la evaluación objetiva, la cual será consignada en los estudios y documentos previos. </w:t>
      </w:r>
    </w:p>
    <w:p w14:paraId="206EA019" w14:textId="77777777" w:rsidR="00D84005" w:rsidRDefault="00D84005" w:rsidP="00D84005">
      <w:pPr>
        <w:spacing w:after="120" w:line="276" w:lineRule="auto"/>
        <w:ind w:firstLine="708"/>
        <w:jc w:val="both"/>
        <w:rPr>
          <w:rFonts w:ascii="Verdana" w:hAnsi="Verdana" w:cs="Arial"/>
          <w:bCs/>
        </w:rPr>
      </w:pPr>
      <w:r>
        <w:rPr>
          <w:rFonts w:ascii="Verdana" w:hAnsi="Verdana" w:cs="Arial"/>
          <w:bCs/>
        </w:rPr>
        <w:t>De esta manera, en cada proceso de selección, la entidad estatal deberá definir, de manera concreta, la incorporación de tales criterios diferenciales y puntajes adicionales, sin que se entienda la norma como una regla obligatoria de inclusión en cabeza de las entidades estatales para su incorporación en los pliegos de condiciones. En todo caso, la entidad estatal siempre deberá justificar su inclusión u omisión, en los documentos del proceso de selección.</w:t>
      </w:r>
    </w:p>
    <w:p w14:paraId="4F00B4E0" w14:textId="77777777" w:rsidR="00D84005" w:rsidRPr="00A87348" w:rsidRDefault="00D84005" w:rsidP="00D84005">
      <w:pPr>
        <w:spacing w:after="120" w:line="276" w:lineRule="auto"/>
        <w:ind w:firstLine="709"/>
        <w:jc w:val="both"/>
        <w:rPr>
          <w:rFonts w:ascii="Verdana" w:eastAsia="Calibri" w:hAnsi="Verdana" w:cs="Arial"/>
          <w:lang w:val="es-ES"/>
        </w:rPr>
      </w:pPr>
      <w:r>
        <w:rPr>
          <w:rFonts w:ascii="Verdana" w:hAnsi="Verdana"/>
        </w:rPr>
        <w:t xml:space="preserve">En segundo lugar, </w:t>
      </w:r>
      <w:r>
        <w:rPr>
          <w:rFonts w:ascii="Verdana" w:hAnsi="Verdana" w:cs="Arial"/>
        </w:rPr>
        <w:t>c</w:t>
      </w:r>
      <w:r w:rsidRPr="002E3D1E">
        <w:rPr>
          <w:rFonts w:ascii="Verdana" w:hAnsi="Verdana" w:cs="Arial"/>
        </w:rPr>
        <w:t xml:space="preserve">omo medidas de acción afirmativa para incentivar la participación de los emprendimientos y las empresas de mujeres en el sistema de compra pública, el artículo 32 de la Ley 2069 de 2020 establece que las entidades estatales </w:t>
      </w:r>
      <w:r w:rsidRPr="00A87348">
        <w:rPr>
          <w:rFonts w:ascii="Verdana" w:hAnsi="Verdana" w:cs="Arial"/>
          <w:i/>
          <w:iCs/>
        </w:rPr>
        <w:t>incluirán</w:t>
      </w:r>
      <w:r w:rsidRPr="002E3D1E">
        <w:rPr>
          <w:rFonts w:ascii="Verdana" w:hAnsi="Verdana" w:cs="Arial"/>
        </w:rPr>
        <w:t xml:space="preserve">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w:t>
      </w:r>
      <w:r>
        <w:rPr>
          <w:rFonts w:ascii="Verdana" w:hAnsi="Verdana" w:cs="Arial"/>
        </w:rPr>
        <w:t xml:space="preserve"> de la</w:t>
      </w:r>
      <w:r w:rsidRPr="002E3D1E">
        <w:rPr>
          <w:rFonts w:ascii="Verdana" w:hAnsi="Verdana" w:cs="Arial"/>
        </w:rPr>
        <w:t xml:space="preserve"> Administra</w:t>
      </w:r>
      <w:r>
        <w:rPr>
          <w:rFonts w:ascii="Verdana" w:hAnsi="Verdana" w:cs="Arial"/>
        </w:rPr>
        <w:t>ción Pública</w:t>
      </w:r>
      <w:r w:rsidRPr="002E3D1E">
        <w:rPr>
          <w:rFonts w:ascii="Verdana" w:hAnsi="Verdana" w:cs="Arial"/>
        </w:rPr>
        <w:t xml:space="preserve">.  </w:t>
      </w:r>
    </w:p>
    <w:p w14:paraId="6927CE63" w14:textId="77777777" w:rsidR="00D84005" w:rsidRPr="002E3D1E" w:rsidRDefault="00D84005" w:rsidP="00D84005">
      <w:pPr>
        <w:spacing w:after="120" w:line="276" w:lineRule="auto"/>
        <w:ind w:firstLine="708"/>
        <w:jc w:val="both"/>
        <w:rPr>
          <w:rFonts w:ascii="Verdana" w:hAnsi="Verdana" w:cs="Arial"/>
        </w:rPr>
      </w:pPr>
      <w:r w:rsidRPr="002E3D1E">
        <w:rPr>
          <w:rFonts w:ascii="Verdana" w:eastAsia="Calibri" w:hAnsi="Verdana" w:cs="Arial"/>
        </w:rPr>
        <w:t>La inclusión de estos criterios diferenciales en los procesos de selección</w:t>
      </w:r>
      <w:r>
        <w:rPr>
          <w:rFonts w:ascii="Verdana" w:eastAsia="Calibri" w:hAnsi="Verdana" w:cs="Arial"/>
        </w:rPr>
        <w:t>,</w:t>
      </w:r>
      <w:r w:rsidRPr="002E3D1E">
        <w:rPr>
          <w:rFonts w:ascii="Verdana" w:eastAsia="Calibri" w:hAnsi="Verdana" w:cs="Arial"/>
        </w:rPr>
        <w:t xml:space="preserve"> quedaron condicionados </w:t>
      </w:r>
      <w:r w:rsidRPr="002E3D1E">
        <w:rPr>
          <w:rFonts w:ascii="Verdana" w:hAnsi="Verdana" w:cs="Arial"/>
        </w:rPr>
        <w:t>a los resultados del análisis del sector que elabore la entidad pública en la etapa de planeación y al cumplimiento de los compromisos adquiridos por Colombia en los acuerdos comerciales en vigor. A su vez, el parágrafo primero de la norma analizada estableció que la definición de emprendimientos y empresas de mujeres se realizaría de manera reglamentaria.</w:t>
      </w:r>
    </w:p>
    <w:p w14:paraId="3725A413" w14:textId="77777777" w:rsidR="00D84005" w:rsidRDefault="00D84005" w:rsidP="00D84005">
      <w:pPr>
        <w:spacing w:before="120" w:after="0" w:line="276" w:lineRule="auto"/>
        <w:ind w:firstLine="709"/>
        <w:jc w:val="both"/>
        <w:rPr>
          <w:rFonts w:ascii="Verdana" w:hAnsi="Verdana" w:cs="Arial"/>
          <w:color w:val="000000" w:themeColor="text1"/>
          <w:lang w:eastAsia="es-CO"/>
        </w:rPr>
      </w:pPr>
      <w:r w:rsidRPr="00FD33D7">
        <w:rPr>
          <w:rFonts w:ascii="Verdana" w:hAnsi="Verdana" w:cs="Arial"/>
          <w:color w:val="000000" w:themeColor="text1"/>
          <w:lang w:val="es-ES" w:eastAsia="es-CO"/>
        </w:rPr>
        <w:t xml:space="preserve">Por su parte, </w:t>
      </w:r>
      <w:r w:rsidRPr="00FD33D7">
        <w:rPr>
          <w:rFonts w:ascii="Verdana" w:hAnsi="Verdana" w:cs="Arial"/>
          <w:color w:val="000000" w:themeColor="text1"/>
          <w:lang w:eastAsia="es-CO"/>
        </w:rPr>
        <w:t xml:space="preserve">el artículo 3 del Decreto 1860 de 2021, que adicionó </w:t>
      </w:r>
      <w:r w:rsidRPr="00FD33D7">
        <w:rPr>
          <w:rFonts w:ascii="Verdana" w:hAnsi="Verdana" w:cs="Arial"/>
          <w:bCs/>
          <w:color w:val="000000" w:themeColor="text1"/>
          <w:lang w:eastAsia="es-CO"/>
        </w:rPr>
        <w:t xml:space="preserve">el artículo 2.2.1.2.4.2.15 al </w:t>
      </w:r>
      <w:r w:rsidRPr="00FD33D7">
        <w:rPr>
          <w:rFonts w:ascii="Verdana" w:hAnsi="Verdana" w:cs="Arial"/>
          <w:color w:val="000000" w:themeColor="text1"/>
          <w:lang w:eastAsia="es-CO"/>
        </w:rPr>
        <w:t xml:space="preserve">Decreto 1082 de 2015, establece que en los procesos de selección las entidades públicas adoptarán criterios diferenciales relacionados con las condiciones habilitantes y puntajes adicionales </w:t>
      </w:r>
      <w:r w:rsidRPr="00FD33D7">
        <w:rPr>
          <w:rFonts w:ascii="Verdana" w:hAnsi="Verdana" w:cs="Arial"/>
          <w:color w:val="000000" w:themeColor="text1"/>
        </w:rPr>
        <w:t>para incentivar los emprendimientos y empresas de mujeres con domicilio en el territorio nacional</w:t>
      </w:r>
      <w:r w:rsidRPr="00FD33D7">
        <w:rPr>
          <w:rFonts w:ascii="Verdana" w:hAnsi="Verdana" w:cs="Arial"/>
          <w:color w:val="000000" w:themeColor="text1"/>
          <w:lang w:eastAsia="es-CO"/>
        </w:rPr>
        <w:t>.</w:t>
      </w:r>
      <w:r>
        <w:rPr>
          <w:rFonts w:ascii="Verdana" w:hAnsi="Verdana" w:cs="Arial"/>
          <w:color w:val="000000" w:themeColor="text1"/>
          <w:lang w:eastAsia="es-CO"/>
        </w:rPr>
        <w:t xml:space="preserve"> </w:t>
      </w:r>
      <w:r w:rsidRPr="00787789">
        <w:rPr>
          <w:rFonts w:ascii="Verdana" w:hAnsi="Verdana" w:cs="Arial"/>
          <w:color w:val="000000" w:themeColor="text1"/>
          <w:lang w:eastAsia="es-CO"/>
        </w:rPr>
        <w:t>Al respecto la norma citada señala:</w:t>
      </w:r>
    </w:p>
    <w:p w14:paraId="3A144D43" w14:textId="77777777" w:rsidR="00D84005" w:rsidRPr="009017DC" w:rsidRDefault="00D84005" w:rsidP="00D84005">
      <w:pPr>
        <w:spacing w:after="0" w:line="276" w:lineRule="auto"/>
        <w:ind w:firstLine="709"/>
        <w:jc w:val="both"/>
        <w:rPr>
          <w:rFonts w:ascii="Verdana" w:hAnsi="Verdana" w:cs="Arial"/>
          <w:color w:val="000000" w:themeColor="text1"/>
          <w:lang w:eastAsia="es-CO"/>
        </w:rPr>
      </w:pPr>
    </w:p>
    <w:p w14:paraId="37E4CD72" w14:textId="77777777" w:rsidR="00D84005" w:rsidRDefault="00D84005" w:rsidP="00D84005">
      <w:pPr>
        <w:shd w:val="clear" w:color="auto" w:fill="FFFFFF"/>
        <w:spacing w:after="0" w:line="240" w:lineRule="auto"/>
        <w:ind w:left="709" w:right="709"/>
        <w:jc w:val="both"/>
        <w:rPr>
          <w:rFonts w:ascii="Verdana" w:hAnsi="Verdana" w:cs="Arial"/>
          <w:color w:val="000000" w:themeColor="text1"/>
          <w:sz w:val="20"/>
          <w:szCs w:val="20"/>
        </w:rPr>
      </w:pPr>
      <w:r>
        <w:rPr>
          <w:rFonts w:ascii="Verdana" w:hAnsi="Verdana" w:cs="Arial"/>
          <w:b/>
          <w:bCs/>
          <w:color w:val="000000" w:themeColor="text1"/>
          <w:sz w:val="20"/>
          <w:szCs w:val="20"/>
        </w:rPr>
        <w:t>“</w:t>
      </w:r>
      <w:r w:rsidRPr="00BC77B2">
        <w:rPr>
          <w:rFonts w:ascii="Verdana" w:hAnsi="Verdana" w:cs="Arial"/>
          <w:b/>
          <w:bCs/>
          <w:color w:val="000000" w:themeColor="text1"/>
          <w:sz w:val="20"/>
          <w:szCs w:val="20"/>
        </w:rPr>
        <w:t>Artículo 2.2.1.2.4.2.15. Criterios diferenciales para emprendimientos y empresas de mujeres en el sistema de compras públicas.</w:t>
      </w:r>
      <w:r w:rsidRPr="00BC77B2">
        <w:rPr>
          <w:rFonts w:ascii="Verdana" w:hAnsi="Verdana" w:cs="Arial"/>
          <w:color w:val="000000" w:themeColor="text1"/>
          <w:sz w:val="20"/>
          <w:szCs w:val="20"/>
        </w:rPr>
        <w:t xml:space="preserve"> En los procesos de licitación pública, selección abreviada de menor cuantía y concurso de méritos, así como en los procesos competitivos que adelanten las Entidades Estatales no sometidas al Estatuto General de Contratación de la Administración Pública, las Entidades </w:t>
      </w:r>
      <w:r w:rsidRPr="00A87348">
        <w:rPr>
          <w:rFonts w:ascii="Verdana" w:hAnsi="Verdana" w:cs="Arial"/>
          <w:i/>
          <w:iCs/>
          <w:color w:val="000000" w:themeColor="text1"/>
          <w:sz w:val="20"/>
          <w:szCs w:val="20"/>
        </w:rPr>
        <w:t>incluirán</w:t>
      </w:r>
      <w:r w:rsidRPr="00BC77B2">
        <w:rPr>
          <w:rFonts w:ascii="Verdana" w:hAnsi="Verdana" w:cs="Arial"/>
          <w:color w:val="000000" w:themeColor="text1"/>
          <w:sz w:val="20"/>
          <w:szCs w:val="20"/>
        </w:rPr>
        <w:t xml:space="preserve"> condiciones habilitantes para incentivar los </w:t>
      </w:r>
      <w:r w:rsidRPr="00BC77B2">
        <w:rPr>
          <w:rFonts w:ascii="Verdana" w:hAnsi="Verdana" w:cs="Arial"/>
          <w:color w:val="000000" w:themeColor="text1"/>
          <w:sz w:val="20"/>
          <w:szCs w:val="20"/>
        </w:rPr>
        <w:lastRenderedPageBreak/>
        <w:t>emprendimientos y empresas de mujeres con domicilio en el territorio nacional. Para el efecto, los Documentos del Proceso deberán incorporar requisitos habilitantes diferenciales relacionados con alguno o algunos de los siguientes aspectos:</w:t>
      </w:r>
    </w:p>
    <w:p w14:paraId="5FAA5A8A" w14:textId="77777777" w:rsidR="00D84005" w:rsidRPr="00BC77B2" w:rsidRDefault="00D84005" w:rsidP="00D84005">
      <w:pPr>
        <w:shd w:val="clear" w:color="auto" w:fill="FFFFFF"/>
        <w:spacing w:after="0" w:line="240" w:lineRule="auto"/>
        <w:ind w:left="709" w:right="709"/>
        <w:jc w:val="both"/>
        <w:rPr>
          <w:rFonts w:ascii="Verdana" w:hAnsi="Verdana" w:cs="Arial"/>
          <w:color w:val="000000" w:themeColor="text1"/>
          <w:sz w:val="20"/>
          <w:szCs w:val="20"/>
        </w:rPr>
      </w:pPr>
    </w:p>
    <w:p w14:paraId="25604EF4" w14:textId="77777777" w:rsidR="00D84005" w:rsidRPr="00BC77B2" w:rsidRDefault="00D84005" w:rsidP="00D84005">
      <w:pPr>
        <w:shd w:val="clear" w:color="auto" w:fill="FFFFFF"/>
        <w:spacing w:after="0" w:line="240" w:lineRule="auto"/>
        <w:ind w:left="709" w:right="709" w:firstLine="709"/>
        <w:jc w:val="both"/>
        <w:rPr>
          <w:rFonts w:ascii="Verdana" w:hAnsi="Verdana" w:cs="Arial"/>
          <w:color w:val="000000" w:themeColor="text1"/>
          <w:sz w:val="20"/>
          <w:szCs w:val="20"/>
        </w:rPr>
      </w:pPr>
      <w:r w:rsidRPr="00BC77B2">
        <w:rPr>
          <w:rFonts w:ascii="Verdana" w:hAnsi="Verdana" w:cs="Arial"/>
          <w:color w:val="000000" w:themeColor="text1"/>
          <w:sz w:val="20"/>
          <w:szCs w:val="20"/>
        </w:rPr>
        <w:t>1. Tiempo de experiencia.</w:t>
      </w:r>
    </w:p>
    <w:p w14:paraId="7AC1B2EA" w14:textId="77777777" w:rsidR="00D84005" w:rsidRPr="00BC77B2" w:rsidRDefault="00D84005" w:rsidP="00D84005">
      <w:pPr>
        <w:shd w:val="clear" w:color="auto" w:fill="FFFFFF"/>
        <w:spacing w:after="0" w:line="240" w:lineRule="auto"/>
        <w:ind w:left="709" w:right="709" w:firstLine="709"/>
        <w:jc w:val="both"/>
        <w:rPr>
          <w:rFonts w:ascii="Verdana" w:hAnsi="Verdana" w:cs="Arial"/>
          <w:color w:val="000000" w:themeColor="text1"/>
          <w:sz w:val="20"/>
          <w:szCs w:val="20"/>
        </w:rPr>
      </w:pPr>
      <w:r w:rsidRPr="00BC77B2">
        <w:rPr>
          <w:rFonts w:ascii="Verdana" w:hAnsi="Verdana" w:cs="Arial"/>
          <w:color w:val="000000" w:themeColor="text1"/>
          <w:sz w:val="20"/>
          <w:szCs w:val="20"/>
        </w:rPr>
        <w:t>2. Número de contratos para la acreditación de la experiencia.</w:t>
      </w:r>
    </w:p>
    <w:p w14:paraId="73F9B7C3" w14:textId="77777777" w:rsidR="00D84005" w:rsidRPr="00BC77B2" w:rsidRDefault="00D84005" w:rsidP="00D84005">
      <w:pPr>
        <w:shd w:val="clear" w:color="auto" w:fill="FFFFFF"/>
        <w:spacing w:after="0" w:line="240" w:lineRule="auto"/>
        <w:ind w:left="709" w:right="709" w:firstLine="709"/>
        <w:jc w:val="both"/>
        <w:rPr>
          <w:rFonts w:ascii="Verdana" w:hAnsi="Verdana" w:cs="Arial"/>
          <w:color w:val="000000" w:themeColor="text1"/>
          <w:sz w:val="20"/>
          <w:szCs w:val="20"/>
        </w:rPr>
      </w:pPr>
      <w:r w:rsidRPr="00BC77B2">
        <w:rPr>
          <w:rFonts w:ascii="Verdana" w:hAnsi="Verdana" w:cs="Arial"/>
          <w:color w:val="000000" w:themeColor="text1"/>
          <w:sz w:val="20"/>
          <w:szCs w:val="20"/>
        </w:rPr>
        <w:t>3. Índices de capacidad financiera.</w:t>
      </w:r>
    </w:p>
    <w:p w14:paraId="4E0B9E50" w14:textId="77777777" w:rsidR="00D84005" w:rsidRPr="00BC77B2" w:rsidRDefault="00D84005" w:rsidP="00D84005">
      <w:pPr>
        <w:shd w:val="clear" w:color="auto" w:fill="FFFFFF"/>
        <w:spacing w:after="0" w:line="240" w:lineRule="auto"/>
        <w:ind w:left="709" w:right="709" w:firstLine="709"/>
        <w:jc w:val="both"/>
        <w:rPr>
          <w:rFonts w:ascii="Verdana" w:hAnsi="Verdana" w:cs="Arial"/>
          <w:color w:val="000000" w:themeColor="text1"/>
          <w:sz w:val="20"/>
          <w:szCs w:val="20"/>
        </w:rPr>
      </w:pPr>
      <w:r w:rsidRPr="00BC77B2">
        <w:rPr>
          <w:rFonts w:ascii="Verdana" w:hAnsi="Verdana" w:cs="Arial"/>
          <w:color w:val="000000" w:themeColor="text1"/>
          <w:sz w:val="20"/>
          <w:szCs w:val="20"/>
        </w:rPr>
        <w:t>4. Índices de capacidad organizacional.</w:t>
      </w:r>
    </w:p>
    <w:p w14:paraId="2EC54140" w14:textId="77777777" w:rsidR="00D84005" w:rsidRPr="00BC77B2" w:rsidRDefault="00D84005" w:rsidP="00D84005">
      <w:pPr>
        <w:shd w:val="clear" w:color="auto" w:fill="FFFFFF"/>
        <w:spacing w:after="0" w:line="240" w:lineRule="auto"/>
        <w:ind w:left="709" w:right="709" w:firstLine="709"/>
        <w:jc w:val="both"/>
        <w:rPr>
          <w:rFonts w:ascii="Verdana" w:hAnsi="Verdana" w:cs="Arial"/>
          <w:color w:val="000000" w:themeColor="text1"/>
          <w:sz w:val="20"/>
          <w:szCs w:val="20"/>
        </w:rPr>
      </w:pPr>
      <w:r w:rsidRPr="00BC77B2">
        <w:rPr>
          <w:rFonts w:ascii="Verdana" w:hAnsi="Verdana" w:cs="Arial"/>
          <w:color w:val="000000" w:themeColor="text1"/>
          <w:sz w:val="20"/>
          <w:szCs w:val="20"/>
        </w:rPr>
        <w:t>5. Valor de la garantía de seriedad de la oferta.</w:t>
      </w:r>
    </w:p>
    <w:p w14:paraId="6064F416" w14:textId="77777777" w:rsidR="00D84005" w:rsidRPr="00BC77B2" w:rsidRDefault="00D84005" w:rsidP="00D84005">
      <w:pPr>
        <w:shd w:val="clear" w:color="auto" w:fill="FFFFFF"/>
        <w:spacing w:after="0" w:line="240" w:lineRule="auto"/>
        <w:ind w:left="709" w:right="709" w:firstLine="709"/>
        <w:jc w:val="both"/>
        <w:rPr>
          <w:rFonts w:ascii="Verdana" w:hAnsi="Verdana" w:cs="Arial"/>
          <w:color w:val="000000" w:themeColor="text1"/>
          <w:sz w:val="20"/>
          <w:szCs w:val="20"/>
        </w:rPr>
      </w:pPr>
    </w:p>
    <w:p w14:paraId="1BF4E6E8" w14:textId="77777777" w:rsidR="00D84005" w:rsidRDefault="00D84005" w:rsidP="00D84005">
      <w:pPr>
        <w:shd w:val="clear" w:color="auto" w:fill="FFFFFF"/>
        <w:spacing w:after="0" w:line="240" w:lineRule="auto"/>
        <w:ind w:left="709" w:right="709"/>
        <w:jc w:val="both"/>
        <w:rPr>
          <w:rFonts w:ascii="Verdana" w:hAnsi="Verdana" w:cs="Arial"/>
          <w:color w:val="000000" w:themeColor="text1"/>
          <w:sz w:val="20"/>
          <w:szCs w:val="20"/>
        </w:rPr>
      </w:pPr>
      <w:r w:rsidRPr="00BC77B2">
        <w:rPr>
          <w:rFonts w:ascii="Verdana" w:hAnsi="Verdana" w:cs="Arial"/>
          <w:color w:val="000000" w:themeColor="text1"/>
          <w:sz w:val="20"/>
          <w:szCs w:val="20"/>
        </w:rPr>
        <w:t>Los requisitos mencionados deberán fijarse respetando las condiciones habilitantes requeridas para el cumplimiento adecuado del contrato, teniendo en cuenta el alcance de las obligaciones. En desarrollo de lo anterior, con la finalidad de beneficiar a las empresas y emprendimientos de mujeres, se establecerán condiciones más exigentes respecto a alguno o algunos de los criterios de participación antes enunciados frente a los demás proponentes que concurran al procedimiento de selección que no sean empresas o emprendimientos de mujeres.</w:t>
      </w:r>
    </w:p>
    <w:p w14:paraId="1D4B0FE0" w14:textId="77777777" w:rsidR="00D84005" w:rsidRPr="00BC77B2" w:rsidRDefault="00D84005" w:rsidP="00D84005">
      <w:pPr>
        <w:shd w:val="clear" w:color="auto" w:fill="FFFFFF"/>
        <w:spacing w:after="0" w:line="240" w:lineRule="auto"/>
        <w:ind w:left="709" w:right="709"/>
        <w:jc w:val="both"/>
        <w:rPr>
          <w:rFonts w:ascii="Verdana" w:hAnsi="Verdana" w:cs="Arial"/>
          <w:color w:val="000000" w:themeColor="text1"/>
          <w:sz w:val="20"/>
          <w:szCs w:val="20"/>
        </w:rPr>
      </w:pPr>
    </w:p>
    <w:p w14:paraId="63ACC3B0" w14:textId="77777777" w:rsidR="00D84005" w:rsidRDefault="00D84005" w:rsidP="00D84005">
      <w:pPr>
        <w:shd w:val="clear" w:color="auto" w:fill="FFFFFF"/>
        <w:spacing w:after="0" w:line="240" w:lineRule="auto"/>
        <w:ind w:left="709" w:right="709"/>
        <w:jc w:val="both"/>
        <w:rPr>
          <w:rFonts w:ascii="Verdana" w:hAnsi="Verdana" w:cs="Arial"/>
          <w:color w:val="000000" w:themeColor="text1"/>
          <w:sz w:val="20"/>
          <w:szCs w:val="20"/>
        </w:rPr>
      </w:pPr>
      <w:r w:rsidRPr="00BC77B2">
        <w:rPr>
          <w:rFonts w:ascii="Verdana" w:hAnsi="Verdana" w:cs="Arial"/>
          <w:color w:val="000000" w:themeColor="text1"/>
          <w:sz w:val="20"/>
          <w:szCs w:val="20"/>
        </w:rPr>
        <w:t>De manera que no se ponga en riesgo el cumplimiento adecuado del objeto contractual, con excepción de los procedimientos donde el menor precio ofrecido sea el único factor de evaluación, las Entidades también otorgarán un puntaje adicional de hasta el cero punto veinticinco por ciento (0.25%) del valor total de los puntos establecidos en los pliegos de condiciones o documentos equivalentes, a los proponentes que acrediten alguno de los supuestos del artículo 2.2.1.2.4.2.14 del presente Decreto.</w:t>
      </w:r>
    </w:p>
    <w:p w14:paraId="75DC236E" w14:textId="77777777" w:rsidR="00D84005" w:rsidRPr="00BC77B2" w:rsidRDefault="00D84005" w:rsidP="00D84005">
      <w:pPr>
        <w:shd w:val="clear" w:color="auto" w:fill="FFFFFF"/>
        <w:spacing w:after="0" w:line="240" w:lineRule="auto"/>
        <w:ind w:left="709" w:right="709"/>
        <w:jc w:val="both"/>
        <w:rPr>
          <w:rFonts w:ascii="Verdana" w:hAnsi="Verdana" w:cs="Arial"/>
          <w:color w:val="000000" w:themeColor="text1"/>
          <w:sz w:val="20"/>
          <w:szCs w:val="20"/>
        </w:rPr>
      </w:pPr>
    </w:p>
    <w:p w14:paraId="194833C4" w14:textId="77777777" w:rsidR="00D84005" w:rsidRDefault="00D84005" w:rsidP="00D84005">
      <w:pPr>
        <w:shd w:val="clear" w:color="auto" w:fill="FFFFFF"/>
        <w:spacing w:after="0" w:line="240" w:lineRule="auto"/>
        <w:ind w:left="709" w:right="709"/>
        <w:jc w:val="both"/>
        <w:rPr>
          <w:rFonts w:ascii="Verdana" w:hAnsi="Verdana" w:cs="Arial"/>
          <w:color w:val="000000" w:themeColor="text1"/>
          <w:sz w:val="20"/>
          <w:szCs w:val="20"/>
        </w:rPr>
      </w:pPr>
      <w:r w:rsidRPr="00A87348">
        <w:rPr>
          <w:rFonts w:ascii="Verdana" w:hAnsi="Verdana" w:cs="Arial"/>
          <w:color w:val="000000" w:themeColor="text1"/>
          <w:sz w:val="20"/>
          <w:szCs w:val="20"/>
        </w:rPr>
        <w:t>Las Entidades incluirán estos requisitos diferenciales y puntajes adicionales de acuerdo con los resultados del análisis del sector</w:t>
      </w:r>
      <w:r w:rsidRPr="00BC77B2">
        <w:rPr>
          <w:rFonts w:ascii="Verdana" w:hAnsi="Verdana" w:cs="Arial"/>
          <w:color w:val="000000" w:themeColor="text1"/>
          <w:sz w:val="20"/>
          <w:szCs w:val="20"/>
        </w:rPr>
        <w:t>, desde la perspectiva del estudio de la oferta de las obras, bienes o servicios que requiere, sin perjuicio de los compromisos adquiridos por Colombia en los Acuerdos Comerciales vigentes.</w:t>
      </w:r>
    </w:p>
    <w:p w14:paraId="01F6A2F9" w14:textId="77777777" w:rsidR="00D84005" w:rsidRPr="00BC77B2" w:rsidRDefault="00D84005" w:rsidP="00D84005">
      <w:pPr>
        <w:shd w:val="clear" w:color="auto" w:fill="FFFFFF"/>
        <w:spacing w:after="0" w:line="240" w:lineRule="auto"/>
        <w:ind w:left="709" w:right="709"/>
        <w:jc w:val="both"/>
        <w:rPr>
          <w:rFonts w:ascii="Verdana" w:hAnsi="Verdana" w:cs="Arial"/>
          <w:color w:val="000000" w:themeColor="text1"/>
          <w:sz w:val="20"/>
          <w:szCs w:val="20"/>
        </w:rPr>
      </w:pPr>
    </w:p>
    <w:p w14:paraId="6DD6E9D8" w14:textId="77777777" w:rsidR="00D84005" w:rsidRDefault="00D84005" w:rsidP="00D84005">
      <w:pPr>
        <w:shd w:val="clear" w:color="auto" w:fill="FFFFFF"/>
        <w:spacing w:after="0" w:line="240" w:lineRule="auto"/>
        <w:ind w:left="709" w:right="709"/>
        <w:jc w:val="both"/>
        <w:rPr>
          <w:rFonts w:ascii="Verdana" w:hAnsi="Verdana" w:cs="Arial"/>
          <w:color w:val="000000" w:themeColor="text1"/>
          <w:sz w:val="20"/>
          <w:szCs w:val="20"/>
        </w:rPr>
      </w:pPr>
      <w:r w:rsidRPr="00BC77B2">
        <w:rPr>
          <w:rFonts w:ascii="Verdana" w:hAnsi="Verdana" w:cs="Arial"/>
          <w:b/>
          <w:bCs/>
          <w:color w:val="000000" w:themeColor="text1"/>
          <w:sz w:val="20"/>
          <w:szCs w:val="20"/>
        </w:rPr>
        <w:t>PARÁGRAFO 1.</w:t>
      </w:r>
      <w:r w:rsidRPr="00BC77B2">
        <w:rPr>
          <w:rFonts w:ascii="Verdana" w:hAnsi="Verdana" w:cs="Arial"/>
          <w:color w:val="000000" w:themeColor="text1"/>
          <w:sz w:val="20"/>
          <w:szCs w:val="20"/>
        </w:rPr>
        <w:t> Tratándose de proponentes plurales, los criterios diferenciales y los puntajes adicionales solo se aplicarán si por lo menos uno de los integrantes acredita que es emprendimiento y empresa de mujeres bajo los criterios dispuestos en el artículo precedente y que tiene una participación igual o superior al diez por ciento (10%) en el consorcio o la unión temporal.</w:t>
      </w:r>
    </w:p>
    <w:p w14:paraId="68D5F6EF" w14:textId="77777777" w:rsidR="00D84005" w:rsidRPr="00BC77B2" w:rsidRDefault="00D84005" w:rsidP="00D84005">
      <w:pPr>
        <w:shd w:val="clear" w:color="auto" w:fill="FFFFFF"/>
        <w:spacing w:after="0" w:line="240" w:lineRule="auto"/>
        <w:ind w:left="709" w:right="709"/>
        <w:jc w:val="both"/>
        <w:rPr>
          <w:rFonts w:ascii="Verdana" w:hAnsi="Verdana" w:cs="Arial"/>
          <w:color w:val="000000" w:themeColor="text1"/>
          <w:sz w:val="20"/>
          <w:szCs w:val="20"/>
        </w:rPr>
      </w:pPr>
    </w:p>
    <w:p w14:paraId="736F1C24" w14:textId="77777777" w:rsidR="00D84005" w:rsidRDefault="00D84005" w:rsidP="00D84005">
      <w:pPr>
        <w:spacing w:after="0" w:line="240" w:lineRule="auto"/>
        <w:ind w:left="709" w:right="709"/>
        <w:jc w:val="both"/>
        <w:rPr>
          <w:rFonts w:ascii="Verdana" w:hAnsi="Verdana" w:cs="Arial"/>
          <w:color w:val="000000" w:themeColor="text1"/>
          <w:sz w:val="20"/>
          <w:szCs w:val="20"/>
        </w:rPr>
      </w:pPr>
      <w:r w:rsidRPr="00BC77B2">
        <w:rPr>
          <w:rFonts w:ascii="Verdana" w:hAnsi="Verdana" w:cs="Arial"/>
          <w:b/>
          <w:bCs/>
          <w:color w:val="000000" w:themeColor="text1"/>
          <w:sz w:val="20"/>
          <w:szCs w:val="20"/>
        </w:rPr>
        <w:t>PARÁGRAFO 2.</w:t>
      </w:r>
      <w:r w:rsidRPr="00BC77B2">
        <w:rPr>
          <w:rFonts w:ascii="Verdana" w:hAnsi="Verdana" w:cs="Arial"/>
          <w:color w:val="000000" w:themeColor="text1"/>
          <w:sz w:val="20"/>
          <w:szCs w:val="20"/>
        </w:rPr>
        <w:t xml:space="preserve"> Los incentivos contractuales para las empresas y emprendimientos de mujeres no excluyen la aplicación de los criterios diferenciales para </w:t>
      </w:r>
      <w:proofErr w:type="spellStart"/>
      <w:r w:rsidRPr="00BC77B2">
        <w:rPr>
          <w:rFonts w:ascii="Verdana" w:hAnsi="Verdana" w:cs="Arial"/>
          <w:color w:val="000000" w:themeColor="text1"/>
          <w:sz w:val="20"/>
          <w:szCs w:val="20"/>
        </w:rPr>
        <w:t>Mipyme</w:t>
      </w:r>
      <w:proofErr w:type="spellEnd"/>
      <w:r w:rsidRPr="00BC77B2">
        <w:rPr>
          <w:rFonts w:ascii="Verdana" w:hAnsi="Verdana" w:cs="Arial"/>
          <w:color w:val="000000" w:themeColor="text1"/>
          <w:sz w:val="20"/>
          <w:szCs w:val="20"/>
        </w:rPr>
        <w:t xml:space="preserve"> en el sistema de compras públicas</w:t>
      </w:r>
      <w:r>
        <w:rPr>
          <w:rFonts w:ascii="Verdana" w:hAnsi="Verdana" w:cs="Arial"/>
          <w:color w:val="000000" w:themeColor="text1"/>
          <w:sz w:val="20"/>
          <w:szCs w:val="20"/>
        </w:rPr>
        <w:t>”</w:t>
      </w:r>
      <w:r w:rsidRPr="00BC77B2">
        <w:rPr>
          <w:rFonts w:ascii="Verdana" w:hAnsi="Verdana" w:cs="Arial"/>
          <w:color w:val="000000" w:themeColor="text1"/>
          <w:sz w:val="20"/>
          <w:szCs w:val="20"/>
        </w:rPr>
        <w:t>.</w:t>
      </w:r>
    </w:p>
    <w:p w14:paraId="089791CF" w14:textId="77777777" w:rsidR="00D84005" w:rsidRPr="00A87348" w:rsidRDefault="00D84005" w:rsidP="00D84005">
      <w:pPr>
        <w:spacing w:after="0" w:line="240" w:lineRule="auto"/>
        <w:ind w:left="708"/>
        <w:jc w:val="both"/>
        <w:rPr>
          <w:rFonts w:ascii="Verdana" w:hAnsi="Verdana" w:cs="Arial"/>
          <w:color w:val="000000" w:themeColor="text1"/>
        </w:rPr>
      </w:pPr>
    </w:p>
    <w:p w14:paraId="39C16813" w14:textId="77777777" w:rsidR="00D84005" w:rsidRDefault="00D84005" w:rsidP="00D84005">
      <w:pPr>
        <w:spacing w:after="120" w:line="276" w:lineRule="auto"/>
        <w:ind w:firstLine="708"/>
        <w:jc w:val="both"/>
        <w:rPr>
          <w:rFonts w:ascii="Verdana" w:hAnsi="Verdana" w:cs="Arial"/>
        </w:rPr>
      </w:pPr>
      <w:r w:rsidRPr="00D3109D">
        <w:rPr>
          <w:rFonts w:ascii="Verdana" w:hAnsi="Verdana" w:cs="Arial"/>
          <w:color w:val="000000" w:themeColor="text1"/>
        </w:rPr>
        <w:lastRenderedPageBreak/>
        <w:t>De acuerdo</w:t>
      </w:r>
      <w:r>
        <w:rPr>
          <w:rFonts w:ascii="Verdana" w:hAnsi="Verdana" w:cs="Arial"/>
          <w:color w:val="000000" w:themeColor="text1"/>
        </w:rPr>
        <w:t xml:space="preserve"> con lo anterior,</w:t>
      </w:r>
      <w:r w:rsidRPr="00D3109D">
        <w:rPr>
          <w:rFonts w:ascii="Verdana" w:hAnsi="Verdana" w:cs="Arial"/>
          <w:color w:val="000000" w:themeColor="text1"/>
        </w:rPr>
        <w:t xml:space="preserve"> </w:t>
      </w:r>
      <w:r>
        <w:rPr>
          <w:rFonts w:ascii="Verdana" w:hAnsi="Verdana" w:cs="Arial"/>
        </w:rPr>
        <w:t>esta Agencia ha considerado que, tratándose de emprendimientos y empresas de mujeres,</w:t>
      </w:r>
      <w:r w:rsidRPr="00D3109D">
        <w:rPr>
          <w:rFonts w:ascii="Verdana" w:hAnsi="Verdana" w:cs="Arial"/>
        </w:rPr>
        <w:t xml:space="preserve"> la incorporación de </w:t>
      </w:r>
      <w:r w:rsidRPr="00D3109D">
        <w:rPr>
          <w:rFonts w:ascii="Verdana" w:hAnsi="Verdana" w:cs="Arial"/>
          <w:color w:val="000000" w:themeColor="text1"/>
        </w:rPr>
        <w:t xml:space="preserve">los criterios diferenciales para emprendimientos y empresas de mujeres en el sistema de compras </w:t>
      </w:r>
      <w:r w:rsidRPr="00D3109D">
        <w:rPr>
          <w:rFonts w:ascii="Verdana" w:hAnsi="Verdana" w:cs="Arial"/>
        </w:rPr>
        <w:t xml:space="preserve">en los procesos de licitación pública, selección abreviada de menor cuantía y concurso de méritos, así como en los procesos competitivos que adelanten las entidades estatales que no apliquen en su gestión contractual el EGCAP, </w:t>
      </w:r>
      <w:r>
        <w:rPr>
          <w:rFonts w:ascii="Verdana" w:hAnsi="Verdana" w:cs="Arial"/>
        </w:rPr>
        <w:t xml:space="preserve">son obligatorios, en la medida que el artículo 32 consagra el verbo </w:t>
      </w:r>
      <w:r w:rsidRPr="00A87348">
        <w:rPr>
          <w:rFonts w:ascii="Verdana" w:hAnsi="Verdana" w:cs="Arial"/>
          <w:b/>
          <w:bCs/>
          <w:u w:val="single"/>
        </w:rPr>
        <w:t>“deberán”</w:t>
      </w:r>
      <w:r>
        <w:rPr>
          <w:rFonts w:ascii="Verdana" w:hAnsi="Verdana" w:cs="Arial"/>
          <w:b/>
          <w:bCs/>
          <w:u w:val="single"/>
        </w:rPr>
        <w:t xml:space="preserve">. </w:t>
      </w:r>
    </w:p>
    <w:p w14:paraId="4BC26B61" w14:textId="77777777" w:rsidR="00D84005" w:rsidRDefault="00D84005" w:rsidP="00D84005">
      <w:pPr>
        <w:spacing w:after="120" w:line="276" w:lineRule="auto"/>
        <w:ind w:firstLine="709"/>
        <w:jc w:val="both"/>
        <w:rPr>
          <w:rFonts w:ascii="Verdana" w:eastAsia="Arial" w:hAnsi="Verdana"/>
          <w:lang w:val="es-MX" w:eastAsia="es-CO"/>
        </w:rPr>
      </w:pPr>
      <w:r w:rsidRPr="000F1966">
        <w:rPr>
          <w:rFonts w:ascii="Verdana" w:hAnsi="Verdana" w:cs="Arial"/>
        </w:rPr>
        <w:t xml:space="preserve"> Conforme a lo expuesto, en relación con el primer problema jurídico, </w:t>
      </w:r>
      <w:r w:rsidRPr="00A87348">
        <w:rPr>
          <w:rFonts w:ascii="Verdana" w:hAnsi="Verdana"/>
        </w:rPr>
        <w:t xml:space="preserve">a diferencia del artículo 31, en el cual se señala que las entidades estatales </w:t>
      </w:r>
      <w:r w:rsidRPr="00A87348">
        <w:rPr>
          <w:rFonts w:ascii="Verdana" w:eastAsia="Arial" w:hAnsi="Verdana"/>
          <w:bCs/>
          <w:lang w:val="es-MX" w:eastAsia="es-CO"/>
        </w:rPr>
        <w:t>“</w:t>
      </w:r>
      <w:r w:rsidRPr="00A87348">
        <w:rPr>
          <w:rFonts w:ascii="Verdana" w:hAnsi="Verdana"/>
        </w:rPr>
        <w:t>podrán incluir</w:t>
      </w:r>
      <w:r w:rsidRPr="00A87348">
        <w:rPr>
          <w:rFonts w:ascii="Verdana" w:eastAsia="Arial" w:hAnsi="Verdana"/>
          <w:bCs/>
          <w:lang w:eastAsia="es-CO"/>
        </w:rPr>
        <w:t>”</w:t>
      </w:r>
      <w:r w:rsidRPr="00A87348">
        <w:rPr>
          <w:rFonts w:ascii="Verdana" w:eastAsia="Arial" w:hAnsi="Verdana"/>
          <w:bCs/>
          <w:lang w:val="es-MX" w:eastAsia="es-CO"/>
        </w:rPr>
        <w:t xml:space="preserve"> requisitos diferenciales y puntajes adicionales, el artículo 32 de manera imperativa dispone que las “Entidades Estatales incluirán” requisitos diferenciales y puntajes adicionales para los emprendimientos y empresas de mujeres en </w:t>
      </w:r>
      <w:r w:rsidRPr="00A87348">
        <w:rPr>
          <w:rFonts w:ascii="Verdana" w:eastAsia="Arial" w:hAnsi="Verdana"/>
          <w:lang w:val="es-MX" w:eastAsia="es-CO"/>
        </w:rPr>
        <w:t xml:space="preserve">procesos de licitación pública, selección abreviada de menor cuantía y concurso de méritos, excluyendo las demás modalidades de selección establecidas en el artículo 2 de la Ley 1150 de 2007 </w:t>
      </w:r>
      <w:r w:rsidRPr="00A87348">
        <w:rPr>
          <w:rFonts w:ascii="Verdana" w:eastAsia="Arial" w:hAnsi="Verdana"/>
          <w:bCs/>
          <w:lang w:val="es-MX" w:eastAsia="es-CO"/>
        </w:rPr>
        <w:t>-estos son los procesos de mínima cuantía y a la contratación directa-</w:t>
      </w:r>
      <w:r w:rsidRPr="00A87348">
        <w:rPr>
          <w:rFonts w:ascii="Verdana" w:eastAsia="Arial" w:hAnsi="Verdana"/>
          <w:lang w:val="es-MX" w:eastAsia="es-CO"/>
        </w:rPr>
        <w:t xml:space="preserve">. La norma en comento también se extiende a todos los procedimientos competitivos previstos en el manual de las </w:t>
      </w:r>
      <w:r w:rsidRPr="00A87348">
        <w:rPr>
          <w:rFonts w:ascii="Verdana" w:eastAsia="Arial" w:hAnsi="Verdana"/>
          <w:bCs/>
          <w:lang w:val="es-MX" w:eastAsia="es-CO"/>
        </w:rPr>
        <w:t>entidades que no están cobijadas por</w:t>
      </w:r>
      <w:r w:rsidRPr="00A87348">
        <w:rPr>
          <w:rFonts w:ascii="Verdana" w:eastAsia="Arial" w:hAnsi="Verdana"/>
          <w:lang w:val="es-MX" w:eastAsia="es-CO"/>
        </w:rPr>
        <w:t xml:space="preserve"> la Ley 80 de 1993. </w:t>
      </w:r>
    </w:p>
    <w:p w14:paraId="7C9E5734" w14:textId="77777777" w:rsidR="00D84005" w:rsidRPr="00A87348" w:rsidRDefault="00D84005" w:rsidP="00D84005">
      <w:pPr>
        <w:spacing w:after="120" w:line="276" w:lineRule="auto"/>
        <w:ind w:firstLine="709"/>
        <w:jc w:val="both"/>
        <w:rPr>
          <w:rFonts w:ascii="Verdana" w:eastAsia="Arial" w:hAnsi="Verdana"/>
          <w:bCs/>
          <w:lang w:val="es-MX" w:eastAsia="es-CO"/>
        </w:rPr>
      </w:pPr>
      <w:r w:rsidRPr="00A87348">
        <w:rPr>
          <w:rFonts w:ascii="Verdana" w:eastAsia="Arial" w:hAnsi="Verdana"/>
          <w:lang w:val="es-MX" w:eastAsia="es-CO"/>
        </w:rPr>
        <w:t xml:space="preserve">Tanto para el caso de </w:t>
      </w:r>
      <w:proofErr w:type="spellStart"/>
      <w:r w:rsidRPr="00A87348">
        <w:rPr>
          <w:rFonts w:ascii="Verdana" w:eastAsia="Arial" w:hAnsi="Verdana"/>
          <w:lang w:val="es-MX" w:eastAsia="es-CO"/>
        </w:rPr>
        <w:t>Mipymes</w:t>
      </w:r>
      <w:proofErr w:type="spellEnd"/>
      <w:r w:rsidRPr="00A87348">
        <w:rPr>
          <w:rFonts w:ascii="Verdana" w:eastAsia="Arial" w:hAnsi="Verdana"/>
          <w:lang w:val="es-MX" w:eastAsia="es-CO"/>
        </w:rPr>
        <w:t xml:space="preserve"> como el de emprendimientos y empresas de mujeres, </w:t>
      </w:r>
      <w:r w:rsidRPr="000F1966">
        <w:rPr>
          <w:rFonts w:ascii="Verdana" w:eastAsia="Arial" w:hAnsi="Verdana"/>
          <w:lang w:val="es-MX" w:eastAsia="es-CO"/>
        </w:rPr>
        <w:t>la incorporación</w:t>
      </w:r>
      <w:r w:rsidRPr="00A87348">
        <w:rPr>
          <w:rFonts w:ascii="Verdana" w:eastAsia="Arial" w:hAnsi="Verdana"/>
          <w:lang w:val="es-MX" w:eastAsia="es-CO"/>
        </w:rPr>
        <w:t xml:space="preserve"> de estas medidas afirmativas se debe realizar de acuerdo con el análisis del sector. </w:t>
      </w:r>
    </w:p>
    <w:p w14:paraId="61846677" w14:textId="77777777" w:rsidR="00D84005" w:rsidRPr="00A87348" w:rsidRDefault="00D84005" w:rsidP="00D84005">
      <w:pPr>
        <w:spacing w:after="120" w:line="276" w:lineRule="auto"/>
        <w:ind w:firstLine="709"/>
        <w:jc w:val="both"/>
        <w:rPr>
          <w:rFonts w:ascii="Verdana" w:hAnsi="Verdana" w:cs="Arial"/>
          <w:lang w:val="es-MX"/>
        </w:rPr>
      </w:pPr>
      <w:proofErr w:type="spellStart"/>
      <w:r>
        <w:rPr>
          <w:rFonts w:ascii="Verdana" w:hAnsi="Verdana" w:cs="Arial"/>
          <w:lang w:val="es-MX"/>
        </w:rPr>
        <w:t>ii</w:t>
      </w:r>
      <w:proofErr w:type="spellEnd"/>
      <w:r>
        <w:rPr>
          <w:rFonts w:ascii="Verdana" w:hAnsi="Verdana" w:cs="Arial"/>
          <w:lang w:val="es-MX"/>
        </w:rPr>
        <w:t xml:space="preserve">) </w:t>
      </w:r>
      <w:r>
        <w:rPr>
          <w:rFonts w:ascii="Verdana" w:hAnsi="Verdana" w:cs="Arial"/>
          <w:bCs/>
        </w:rPr>
        <w:t xml:space="preserve">Por otro lado, los artículos </w:t>
      </w:r>
      <w:r w:rsidRPr="007817AA">
        <w:rPr>
          <w:rFonts w:ascii="Verdana" w:hAnsi="Verdana" w:cs="Arial"/>
          <w:bCs/>
        </w:rPr>
        <w:t>2.2.1.2.4.2.15</w:t>
      </w:r>
      <w:r>
        <w:rPr>
          <w:rFonts w:ascii="Verdana" w:hAnsi="Verdana" w:cs="Arial"/>
          <w:bCs/>
        </w:rPr>
        <w:t xml:space="preserve"> y el </w:t>
      </w:r>
      <w:r w:rsidRPr="007817AA">
        <w:rPr>
          <w:rFonts w:ascii="Verdana" w:hAnsi="Verdana" w:cs="Arial"/>
          <w:bCs/>
        </w:rPr>
        <w:t>2.2.1.2.4.2.18</w:t>
      </w:r>
      <w:r>
        <w:rPr>
          <w:rFonts w:ascii="Verdana" w:hAnsi="Verdana" w:cs="Arial"/>
          <w:bCs/>
        </w:rPr>
        <w:t xml:space="preserve"> del Decreto 1082 de 2015 definieron los criterios diferenciales que las entidades públicas adoptarán en los procesos de selección (según se trate para el caso de emprendimientos y empresas de mujeres, así como </w:t>
      </w:r>
      <w:proofErr w:type="spellStart"/>
      <w:r>
        <w:rPr>
          <w:rFonts w:ascii="Verdana" w:hAnsi="Verdana" w:cs="Arial"/>
          <w:bCs/>
        </w:rPr>
        <w:t>Mipyme</w:t>
      </w:r>
      <w:proofErr w:type="spellEnd"/>
      <w:r>
        <w:rPr>
          <w:rFonts w:ascii="Verdana" w:hAnsi="Verdana" w:cs="Arial"/>
          <w:bCs/>
        </w:rPr>
        <w:t xml:space="preserve"> en el sistema de compras públicas) que podrán ser en alguno o algunos de los siguientes aspectos: </w:t>
      </w:r>
    </w:p>
    <w:p w14:paraId="2F5BD7BF" w14:textId="77777777" w:rsidR="00D84005" w:rsidRPr="00B31BBE" w:rsidRDefault="00D84005" w:rsidP="00D84005">
      <w:pPr>
        <w:spacing w:after="120" w:line="276" w:lineRule="auto"/>
        <w:ind w:firstLine="708"/>
        <w:jc w:val="both"/>
        <w:rPr>
          <w:rFonts w:ascii="Verdana" w:hAnsi="Verdana" w:cs="Arial"/>
          <w:bCs/>
        </w:rPr>
      </w:pPr>
      <w:r w:rsidRPr="00B31BBE">
        <w:rPr>
          <w:rFonts w:ascii="Verdana" w:hAnsi="Verdana" w:cs="Arial"/>
          <w:bCs/>
        </w:rPr>
        <w:t>1. Tiempo de experiencia.</w:t>
      </w:r>
    </w:p>
    <w:p w14:paraId="71707F2B" w14:textId="77777777" w:rsidR="00D84005" w:rsidRPr="00B31BBE" w:rsidRDefault="00D84005" w:rsidP="00D84005">
      <w:pPr>
        <w:spacing w:after="120" w:line="276" w:lineRule="auto"/>
        <w:ind w:firstLine="708"/>
        <w:jc w:val="both"/>
        <w:rPr>
          <w:rFonts w:ascii="Verdana" w:hAnsi="Verdana" w:cs="Arial"/>
          <w:bCs/>
        </w:rPr>
      </w:pPr>
      <w:r w:rsidRPr="00B31BBE">
        <w:rPr>
          <w:rFonts w:ascii="Verdana" w:hAnsi="Verdana" w:cs="Arial"/>
          <w:bCs/>
        </w:rPr>
        <w:t>2. Número de contratos para la acreditación de la experiencia</w:t>
      </w:r>
      <w:r>
        <w:rPr>
          <w:rFonts w:ascii="Verdana" w:hAnsi="Verdana" w:cs="Arial"/>
          <w:bCs/>
        </w:rPr>
        <w:t>.</w:t>
      </w:r>
    </w:p>
    <w:p w14:paraId="03CB8B16" w14:textId="77777777" w:rsidR="00D84005" w:rsidRPr="00B31BBE" w:rsidRDefault="00D84005" w:rsidP="00D84005">
      <w:pPr>
        <w:spacing w:after="120" w:line="276" w:lineRule="auto"/>
        <w:ind w:firstLine="708"/>
        <w:jc w:val="both"/>
        <w:rPr>
          <w:rFonts w:ascii="Verdana" w:hAnsi="Verdana" w:cs="Arial"/>
          <w:bCs/>
        </w:rPr>
      </w:pPr>
      <w:r w:rsidRPr="00B31BBE">
        <w:rPr>
          <w:rFonts w:ascii="Verdana" w:hAnsi="Verdana" w:cs="Arial"/>
          <w:bCs/>
        </w:rPr>
        <w:t>3. Índices de capacidad financiera.</w:t>
      </w:r>
    </w:p>
    <w:p w14:paraId="32A38536" w14:textId="77777777" w:rsidR="00D84005" w:rsidRPr="00B31BBE" w:rsidRDefault="00D84005" w:rsidP="00D84005">
      <w:pPr>
        <w:spacing w:after="120" w:line="276" w:lineRule="auto"/>
        <w:ind w:firstLine="708"/>
        <w:jc w:val="both"/>
        <w:rPr>
          <w:rFonts w:ascii="Verdana" w:hAnsi="Verdana" w:cs="Arial"/>
          <w:bCs/>
        </w:rPr>
      </w:pPr>
      <w:r w:rsidRPr="00B31BBE">
        <w:rPr>
          <w:rFonts w:ascii="Verdana" w:hAnsi="Verdana" w:cs="Arial"/>
          <w:bCs/>
        </w:rPr>
        <w:t>4. Índices de capacidad organizacional.</w:t>
      </w:r>
    </w:p>
    <w:p w14:paraId="463A47A0" w14:textId="77777777" w:rsidR="00D84005" w:rsidRDefault="00D84005" w:rsidP="00D84005">
      <w:pPr>
        <w:spacing w:after="120" w:line="276" w:lineRule="auto"/>
        <w:ind w:firstLine="708"/>
        <w:jc w:val="both"/>
        <w:rPr>
          <w:rFonts w:ascii="Verdana" w:hAnsi="Verdana" w:cs="Arial"/>
          <w:bCs/>
        </w:rPr>
      </w:pPr>
      <w:r w:rsidRPr="00B31BBE">
        <w:rPr>
          <w:rFonts w:ascii="Verdana" w:hAnsi="Verdana" w:cs="Arial"/>
          <w:bCs/>
        </w:rPr>
        <w:t>5. Valor de la garantía de seriedad de la oferta.</w:t>
      </w:r>
    </w:p>
    <w:p w14:paraId="44DAAB41" w14:textId="77777777" w:rsidR="00D84005" w:rsidRPr="003966CB" w:rsidRDefault="00D84005" w:rsidP="00D84005">
      <w:pPr>
        <w:spacing w:after="120" w:line="276" w:lineRule="auto"/>
        <w:ind w:firstLine="709"/>
        <w:jc w:val="both"/>
        <w:rPr>
          <w:rFonts w:ascii="Verdana" w:eastAsia="Calibri" w:hAnsi="Verdana" w:cs="Arial"/>
        </w:rPr>
      </w:pPr>
      <w:r w:rsidRPr="003966CB">
        <w:rPr>
          <w:rFonts w:ascii="Verdana" w:hAnsi="Verdana" w:cs="Arial"/>
          <w:bCs/>
        </w:rPr>
        <w:lastRenderedPageBreak/>
        <w:t xml:space="preserve">En atención a lo anterior, la entidad estatal luego del resultado arrojado en el análisis del sector definirá el criterio o criterios diferenciales que adoptará, para beneficiar tanto a </w:t>
      </w:r>
      <w:proofErr w:type="spellStart"/>
      <w:r w:rsidRPr="003966CB">
        <w:rPr>
          <w:rFonts w:ascii="Verdana" w:hAnsi="Verdana" w:cs="Arial"/>
          <w:bCs/>
        </w:rPr>
        <w:t>Mipymes</w:t>
      </w:r>
      <w:proofErr w:type="spellEnd"/>
      <w:r w:rsidRPr="003966CB">
        <w:rPr>
          <w:rFonts w:ascii="Verdana" w:hAnsi="Verdana" w:cs="Arial"/>
          <w:bCs/>
        </w:rPr>
        <w:t xml:space="preserve"> como a los emprendimientos y empresas de mujeres. Para dichos efectos </w:t>
      </w:r>
      <w:r w:rsidRPr="00A87348">
        <w:rPr>
          <w:rFonts w:ascii="Verdana" w:eastAsia="Calibri" w:hAnsi="Verdana"/>
        </w:rPr>
        <w:t xml:space="preserve">se establecerán condiciones más exigentes respecto a alguno o algunos de los criterios de participación antes enunciados </w:t>
      </w:r>
      <w:r w:rsidRPr="00A87348">
        <w:rPr>
          <w:rFonts w:ascii="Verdana" w:hAnsi="Verdana"/>
        </w:rPr>
        <w:t>para</w:t>
      </w:r>
      <w:r w:rsidRPr="00A87348">
        <w:rPr>
          <w:rFonts w:ascii="Verdana" w:eastAsia="Calibri" w:hAnsi="Verdana"/>
        </w:rPr>
        <w:t xml:space="preserve"> los demás proponentes que concurran al proceso de contratación que no sean </w:t>
      </w:r>
      <w:proofErr w:type="spellStart"/>
      <w:r w:rsidRPr="00A87348">
        <w:rPr>
          <w:rFonts w:ascii="Verdana" w:eastAsia="Calibri" w:hAnsi="Verdana"/>
        </w:rPr>
        <w:t>Mipyme</w:t>
      </w:r>
      <w:proofErr w:type="spellEnd"/>
      <w:r w:rsidRPr="00A87348">
        <w:rPr>
          <w:rFonts w:ascii="Verdana" w:eastAsia="Calibri" w:hAnsi="Verdana"/>
        </w:rPr>
        <w:t xml:space="preserve"> o empresa o empresa de mujeres. </w:t>
      </w:r>
      <w:r w:rsidRPr="003966CB">
        <w:rPr>
          <w:rFonts w:ascii="Verdana" w:hAnsi="Verdana" w:cs="Arial"/>
          <w:bCs/>
        </w:rPr>
        <w:t>Es importante tener en cuenta que l</w:t>
      </w:r>
      <w:r w:rsidRPr="00A87348">
        <w:rPr>
          <w:rFonts w:ascii="Verdana" w:hAnsi="Verdana"/>
        </w:rPr>
        <w:t xml:space="preserve">os requisitos antes mencionados deberán fijarse respetando las condiciones habilitantes requeridas para el cumplimiento adecuado del contrato, teniendo en cuenta el alcance de las obligaciones. Asimismo, el artículo objeto de estudio dispone que, con la finalidad de </w:t>
      </w:r>
      <w:r w:rsidRPr="00A87348">
        <w:rPr>
          <w:rFonts w:ascii="Verdana" w:eastAsia="Calibri" w:hAnsi="Verdana"/>
        </w:rPr>
        <w:t xml:space="preserve">beneficiar a las </w:t>
      </w:r>
      <w:proofErr w:type="spellStart"/>
      <w:r w:rsidRPr="00A87348">
        <w:rPr>
          <w:rFonts w:ascii="Verdana" w:eastAsia="Calibri" w:hAnsi="Verdana"/>
        </w:rPr>
        <w:t>Mipyme</w:t>
      </w:r>
      <w:proofErr w:type="spellEnd"/>
      <w:r w:rsidRPr="00A87348">
        <w:rPr>
          <w:rFonts w:ascii="Verdana" w:eastAsia="Calibri" w:hAnsi="Verdana"/>
        </w:rPr>
        <w:t xml:space="preserve">, </w:t>
      </w:r>
    </w:p>
    <w:p w14:paraId="13E8A632" w14:textId="77777777" w:rsidR="00D84005" w:rsidRDefault="00D84005" w:rsidP="00D84005">
      <w:pPr>
        <w:spacing w:after="120" w:line="276" w:lineRule="auto"/>
        <w:ind w:firstLine="709"/>
        <w:jc w:val="both"/>
        <w:rPr>
          <w:rFonts w:ascii="Verdana" w:eastAsia="Calibri" w:hAnsi="Verdana" w:cs="Arial"/>
        </w:rPr>
      </w:pPr>
      <w:r>
        <w:rPr>
          <w:rFonts w:ascii="Verdana" w:hAnsi="Verdana" w:cs="Arial"/>
          <w:bCs/>
        </w:rPr>
        <w:t xml:space="preserve">Ahora bien, los artículos </w:t>
      </w:r>
      <w:r w:rsidRPr="007817AA">
        <w:rPr>
          <w:rFonts w:ascii="Verdana" w:hAnsi="Verdana" w:cs="Arial"/>
          <w:bCs/>
        </w:rPr>
        <w:t>2.2.1.2.4.2.15</w:t>
      </w:r>
      <w:r>
        <w:rPr>
          <w:rFonts w:ascii="Verdana" w:hAnsi="Verdana" w:cs="Arial"/>
          <w:bCs/>
        </w:rPr>
        <w:t xml:space="preserve"> y el </w:t>
      </w:r>
      <w:r w:rsidRPr="007817AA">
        <w:rPr>
          <w:rFonts w:ascii="Verdana" w:hAnsi="Verdana" w:cs="Arial"/>
          <w:bCs/>
        </w:rPr>
        <w:t>2.2.1.2.4.2.18</w:t>
      </w:r>
      <w:r>
        <w:rPr>
          <w:rFonts w:ascii="Verdana" w:hAnsi="Verdana" w:cs="Arial"/>
          <w:bCs/>
        </w:rPr>
        <w:t xml:space="preserve"> del Decreto 1082 de 2015 también disponen de un puntaje adicional de hasta el cero punto veinticinco (0,25%) del valor total de los puntos establecidos en el pliego de condiciones o documentos equivalentes a los proponentes que acrediten su condición de </w:t>
      </w:r>
      <w:proofErr w:type="spellStart"/>
      <w:r>
        <w:rPr>
          <w:rFonts w:ascii="Verdana" w:hAnsi="Verdana" w:cs="Arial"/>
          <w:bCs/>
        </w:rPr>
        <w:t>Mipymes</w:t>
      </w:r>
      <w:proofErr w:type="spellEnd"/>
      <w:r>
        <w:rPr>
          <w:rFonts w:ascii="Verdana" w:hAnsi="Verdana" w:cs="Arial"/>
          <w:bCs/>
        </w:rPr>
        <w:t xml:space="preserve"> y/o emprendimiento o empresa de mujeres.  </w:t>
      </w:r>
    </w:p>
    <w:p w14:paraId="5F3C8DE0" w14:textId="77777777" w:rsidR="00D84005" w:rsidRDefault="00D84005" w:rsidP="00D84005">
      <w:pPr>
        <w:spacing w:after="120" w:line="276" w:lineRule="auto"/>
        <w:ind w:firstLine="709"/>
        <w:jc w:val="both"/>
        <w:rPr>
          <w:rFonts w:ascii="Verdana" w:eastAsia="Calibri" w:hAnsi="Verdana" w:cs="Arial"/>
        </w:rPr>
      </w:pPr>
      <w:r w:rsidRPr="00330A7F">
        <w:rPr>
          <w:rFonts w:ascii="Verdana" w:eastAsia="Calibri" w:hAnsi="Verdana" w:cs="Arial"/>
        </w:rPr>
        <w:t>Tratándose de proponentes plurales, los criterios diferenciales y los puntajes adicionales solo se aplicarán si por lo menos uno de los integrantes acredita es</w:t>
      </w:r>
      <w:r>
        <w:rPr>
          <w:rFonts w:ascii="Verdana" w:eastAsia="Calibri" w:hAnsi="Verdana" w:cs="Arial"/>
        </w:rPr>
        <w:t xml:space="preserve"> </w:t>
      </w:r>
      <w:proofErr w:type="spellStart"/>
      <w:r>
        <w:rPr>
          <w:rFonts w:ascii="Verdana" w:eastAsia="Calibri" w:hAnsi="Verdana" w:cs="Arial"/>
        </w:rPr>
        <w:t>Mipyme</w:t>
      </w:r>
      <w:proofErr w:type="spellEnd"/>
      <w:r>
        <w:rPr>
          <w:rFonts w:ascii="Verdana" w:eastAsia="Calibri" w:hAnsi="Verdana" w:cs="Arial"/>
        </w:rPr>
        <w:t xml:space="preserve"> y/o</w:t>
      </w:r>
      <w:r w:rsidRPr="00330A7F">
        <w:rPr>
          <w:rFonts w:ascii="Verdana" w:eastAsia="Calibri" w:hAnsi="Verdana" w:cs="Arial"/>
        </w:rPr>
        <w:t xml:space="preserve"> emprendimiento y empresa de mujeres y que tiene una participación igual</w:t>
      </w:r>
      <w:r>
        <w:rPr>
          <w:rFonts w:ascii="Verdana" w:eastAsia="Calibri" w:hAnsi="Verdana" w:cs="Arial"/>
        </w:rPr>
        <w:t xml:space="preserve"> </w:t>
      </w:r>
      <w:r w:rsidRPr="00330A7F">
        <w:rPr>
          <w:rFonts w:ascii="Verdana" w:eastAsia="Calibri" w:hAnsi="Verdana" w:cs="Arial"/>
        </w:rPr>
        <w:t>o superior al diez por ciento (10%) en el consorcio o la unión temporal.</w:t>
      </w:r>
    </w:p>
    <w:p w14:paraId="311BAFAE" w14:textId="77777777" w:rsidR="00D84005" w:rsidRPr="00A87348" w:rsidRDefault="00D84005" w:rsidP="00D84005">
      <w:pPr>
        <w:spacing w:after="120" w:line="276" w:lineRule="auto"/>
        <w:ind w:firstLine="708"/>
        <w:jc w:val="both"/>
        <w:rPr>
          <w:rFonts w:ascii="Verdana" w:hAnsi="Verdana" w:cs="Arial"/>
        </w:rPr>
      </w:pPr>
      <w:proofErr w:type="spellStart"/>
      <w:r w:rsidRPr="00B45523">
        <w:rPr>
          <w:rFonts w:ascii="Verdana" w:eastAsia="Calibri" w:hAnsi="Verdana" w:cs="Arial"/>
        </w:rPr>
        <w:t>iii</w:t>
      </w:r>
      <w:proofErr w:type="spellEnd"/>
      <w:r w:rsidRPr="00B45523">
        <w:rPr>
          <w:rFonts w:ascii="Verdana" w:eastAsia="Calibri" w:hAnsi="Verdana" w:cs="Arial"/>
        </w:rPr>
        <w:t xml:space="preserve">) </w:t>
      </w:r>
      <w:r>
        <w:rPr>
          <w:rFonts w:ascii="Verdana" w:eastAsia="Calibri" w:hAnsi="Verdana" w:cs="Arial"/>
        </w:rPr>
        <w:t xml:space="preserve">Finalmente, en relación con el tercer problema jurídico planteado, </w:t>
      </w:r>
      <w:r w:rsidRPr="00A87348">
        <w:rPr>
          <w:rFonts w:ascii="Verdana" w:eastAsia="Arial" w:hAnsi="Verdana" w:cs="Arial"/>
        </w:rPr>
        <w:t>la fijación de criterios diferenciales no es un asunto totalmente discrecional, sino que es un deber cuyo cumplimiento está sometido a lo previsto en los resultados del análisis del sector</w:t>
      </w:r>
      <w:r>
        <w:rPr>
          <w:rFonts w:ascii="Verdana" w:eastAsia="Arial" w:hAnsi="Verdana" w:cs="Arial"/>
        </w:rPr>
        <w:t xml:space="preserve">. Esto </w:t>
      </w:r>
      <w:r w:rsidRPr="00A87348">
        <w:rPr>
          <w:rFonts w:ascii="Verdana" w:eastAsia="Arial" w:hAnsi="Verdana" w:cs="Arial"/>
        </w:rPr>
        <w:t xml:space="preserve">significa que, para acatarlo, las </w:t>
      </w:r>
      <w:r w:rsidRPr="00C415A8">
        <w:rPr>
          <w:rFonts w:ascii="Verdana" w:eastAsia="Arial" w:hAnsi="Verdana" w:cs="Arial"/>
        </w:rPr>
        <w:t xml:space="preserve">entidades públicas </w:t>
      </w:r>
      <w:r w:rsidRPr="00A87348">
        <w:rPr>
          <w:rFonts w:ascii="Verdana" w:eastAsia="Arial" w:hAnsi="Verdana" w:cs="Arial"/>
        </w:rPr>
        <w:t>y los particulares descritos en la</w:t>
      </w:r>
      <w:r>
        <w:rPr>
          <w:rFonts w:ascii="Verdana" w:eastAsia="Arial" w:hAnsi="Verdana" w:cs="Arial"/>
        </w:rPr>
        <w:t>s</w:t>
      </w:r>
      <w:r w:rsidRPr="00A87348">
        <w:rPr>
          <w:rFonts w:ascii="Verdana" w:eastAsia="Arial" w:hAnsi="Verdana" w:cs="Arial"/>
        </w:rPr>
        <w:t xml:space="preserve"> norma</w:t>
      </w:r>
      <w:r>
        <w:rPr>
          <w:rFonts w:ascii="Verdana" w:eastAsia="Arial" w:hAnsi="Verdana" w:cs="Arial"/>
        </w:rPr>
        <w:t>s</w:t>
      </w:r>
      <w:r w:rsidRPr="00A87348">
        <w:rPr>
          <w:rFonts w:ascii="Verdana" w:eastAsia="Arial" w:hAnsi="Verdana" w:cs="Arial"/>
        </w:rPr>
        <w:t xml:space="preserve"> </w:t>
      </w:r>
      <w:r>
        <w:rPr>
          <w:rFonts w:ascii="Verdana" w:eastAsia="Arial" w:hAnsi="Verdana" w:cs="Arial"/>
        </w:rPr>
        <w:t>analizadas</w:t>
      </w:r>
      <w:r w:rsidRPr="00A87348">
        <w:rPr>
          <w:rFonts w:ascii="Verdana" w:eastAsia="Arial" w:hAnsi="Verdana" w:cs="Arial"/>
        </w:rPr>
        <w:t xml:space="preserve"> están limitados por el listado de aspectos a los que pueden circunscribirse los criterios diferenciales, sino que, además, deben tener en cuenta la información que refleje el estudio del sector que les corresponde realizar para cada uno de sus contratos</w:t>
      </w:r>
      <w:r w:rsidRPr="00A87348">
        <w:rPr>
          <w:rFonts w:ascii="Verdana" w:hAnsi="Verdana" w:cs="Arial"/>
        </w:rPr>
        <w:t>.</w:t>
      </w:r>
    </w:p>
    <w:p w14:paraId="0E2F6FDE" w14:textId="77777777" w:rsidR="00D84005" w:rsidRPr="00A87348" w:rsidRDefault="00D84005" w:rsidP="00D84005">
      <w:pPr>
        <w:tabs>
          <w:tab w:val="left" w:pos="284"/>
        </w:tabs>
        <w:spacing w:after="120" w:line="276" w:lineRule="auto"/>
        <w:jc w:val="both"/>
        <w:rPr>
          <w:rFonts w:ascii="Verdana" w:eastAsia="Arial" w:hAnsi="Verdana" w:cs="Arial"/>
        </w:rPr>
      </w:pPr>
      <w:r w:rsidRPr="00A87348">
        <w:rPr>
          <w:rFonts w:ascii="Verdana" w:eastAsia="Arial" w:hAnsi="Verdana" w:cs="Arial"/>
        </w:rPr>
        <w:tab/>
      </w:r>
      <w:r w:rsidRPr="00A87348">
        <w:rPr>
          <w:rFonts w:ascii="Verdana" w:eastAsia="Arial" w:hAnsi="Verdana" w:cs="Arial"/>
        </w:rPr>
        <w:tab/>
        <w:t xml:space="preserve">Sobre este punto conviene recordar que, en los términos del artículo 2.1.1.1.6.1. del Decreto 1082 de 2015, para la contratación de los bienes y servicios que requieran, las </w:t>
      </w:r>
      <w:r w:rsidRPr="00DB04F8">
        <w:rPr>
          <w:rFonts w:ascii="Verdana" w:eastAsia="Arial" w:hAnsi="Verdana" w:cs="Arial"/>
        </w:rPr>
        <w:t xml:space="preserve">entidades públicas </w:t>
      </w:r>
      <w:r w:rsidRPr="00A87348">
        <w:rPr>
          <w:rFonts w:ascii="Verdana" w:eastAsia="Arial" w:hAnsi="Verdana" w:cs="Arial"/>
        </w:rPr>
        <w:t xml:space="preserve">deben realizar el análisis del sector económico al que pertenecen tales bienes y servicios, desde la perspectiva legal, comercial, financiera, organizacional, técnica, y de análisis de Riesgo y que deben dejar constancia de dicho análisis en los documentos del proceso. </w:t>
      </w:r>
    </w:p>
    <w:p w14:paraId="4CE36054" w14:textId="77777777" w:rsidR="00D84005" w:rsidRPr="00A87348" w:rsidRDefault="00D84005" w:rsidP="00D84005">
      <w:pPr>
        <w:tabs>
          <w:tab w:val="left" w:pos="284"/>
        </w:tabs>
        <w:spacing w:after="120" w:line="276" w:lineRule="auto"/>
        <w:jc w:val="both"/>
        <w:rPr>
          <w:rFonts w:ascii="Verdana" w:eastAsia="Arial" w:hAnsi="Verdana" w:cs="Arial"/>
        </w:rPr>
      </w:pPr>
      <w:r w:rsidRPr="00A87348">
        <w:rPr>
          <w:rFonts w:ascii="Verdana" w:eastAsia="Arial" w:hAnsi="Verdana" w:cs="Arial"/>
        </w:rPr>
        <w:lastRenderedPageBreak/>
        <w:tab/>
      </w:r>
      <w:r w:rsidRPr="00A87348">
        <w:rPr>
          <w:rFonts w:ascii="Verdana" w:eastAsia="Arial" w:hAnsi="Verdana" w:cs="Arial"/>
        </w:rPr>
        <w:tab/>
        <w:t xml:space="preserve">En ese contexto, de acuerdo con lo señalado en la </w:t>
      </w:r>
      <w:r>
        <w:rPr>
          <w:rFonts w:ascii="Verdana" w:eastAsia="Arial" w:hAnsi="Verdana" w:cs="Arial"/>
        </w:rPr>
        <w:t>“</w:t>
      </w:r>
      <w:r w:rsidRPr="00A87348">
        <w:rPr>
          <w:rFonts w:ascii="Verdana" w:eastAsia="Arial" w:hAnsi="Verdana" w:cs="Arial"/>
          <w:i/>
          <w:iCs/>
        </w:rPr>
        <w:t>Guía para Elaboración de Estudios del Sector</w:t>
      </w:r>
      <w:r>
        <w:rPr>
          <w:rFonts w:ascii="Verdana" w:eastAsia="Arial" w:hAnsi="Verdana" w:cs="Arial"/>
          <w:i/>
          <w:iCs/>
        </w:rPr>
        <w:t>”</w:t>
      </w:r>
      <w:r w:rsidRPr="00F77116">
        <w:rPr>
          <w:rFonts w:ascii="Verdana" w:eastAsia="Arial" w:hAnsi="Verdana" w:cs="Arial"/>
        </w:rPr>
        <w:t xml:space="preserve"> </w:t>
      </w:r>
      <w:r w:rsidRPr="00A87348">
        <w:rPr>
          <w:rFonts w:ascii="Verdana" w:eastAsia="Arial" w:hAnsi="Verdana" w:cs="Arial"/>
        </w:rPr>
        <w:t>expedida por esta Agencia</w:t>
      </w:r>
      <w:r>
        <w:rPr>
          <w:rFonts w:ascii="Verdana" w:eastAsia="Arial" w:hAnsi="Verdana" w:cs="Arial"/>
        </w:rPr>
        <w:t>,</w:t>
      </w:r>
      <w:r w:rsidRPr="00A87348">
        <w:rPr>
          <w:rFonts w:ascii="Verdana" w:eastAsia="Arial" w:hAnsi="Verdana" w:cs="Arial"/>
        </w:rPr>
        <w:t xml:space="preserve"> la </w:t>
      </w:r>
      <w:r w:rsidRPr="00F77116">
        <w:rPr>
          <w:rFonts w:ascii="Verdana" w:eastAsia="Arial" w:hAnsi="Verdana" w:cs="Arial"/>
        </w:rPr>
        <w:t xml:space="preserve">entidad estatal </w:t>
      </w:r>
      <w:r w:rsidRPr="00A87348">
        <w:rPr>
          <w:rFonts w:ascii="Verdana" w:eastAsia="Arial" w:hAnsi="Verdana" w:cs="Arial"/>
        </w:rPr>
        <w:t xml:space="preserve">debe entender claramente y conocer: “(a) cuál es su necesidad y cómo puede satisfacerla; </w:t>
      </w:r>
      <w:r w:rsidRPr="00A87348">
        <w:rPr>
          <w:rFonts w:ascii="Verdana" w:eastAsia="Arial" w:hAnsi="Verdana" w:cs="Arial"/>
          <w:i/>
          <w:iCs/>
        </w:rPr>
        <w:t>(b) cómo y quiénes pueden proveer los bienes, obras y servicios que necesita; y (c) el contexto en el cual los posibles proveedores desarrollan su actividad”.</w:t>
      </w:r>
      <w:r w:rsidRPr="00A87348">
        <w:rPr>
          <w:rFonts w:ascii="Verdana" w:eastAsia="Arial" w:hAnsi="Verdana" w:cs="Arial"/>
          <w:b/>
          <w:i/>
          <w:iCs/>
        </w:rPr>
        <w:t xml:space="preserve"> </w:t>
      </w:r>
      <w:r w:rsidRPr="00A87348">
        <w:rPr>
          <w:rFonts w:ascii="Verdana" w:eastAsia="Arial" w:hAnsi="Verdana" w:cs="Arial"/>
          <w:bCs/>
        </w:rPr>
        <w:t>[Énfasis fuera del texto original]</w:t>
      </w:r>
    </w:p>
    <w:p w14:paraId="49F357B3" w14:textId="77777777" w:rsidR="00D84005" w:rsidRPr="00A87348" w:rsidRDefault="00D84005" w:rsidP="00D84005">
      <w:pPr>
        <w:tabs>
          <w:tab w:val="left" w:pos="284"/>
        </w:tabs>
        <w:spacing w:after="120" w:line="276" w:lineRule="auto"/>
        <w:jc w:val="both"/>
        <w:rPr>
          <w:rFonts w:ascii="Verdana" w:eastAsia="Arial" w:hAnsi="Verdana" w:cs="Arial"/>
        </w:rPr>
      </w:pPr>
      <w:r w:rsidRPr="00A87348">
        <w:rPr>
          <w:rFonts w:ascii="Verdana" w:eastAsia="Arial" w:hAnsi="Verdana" w:cs="Arial"/>
          <w:lang w:eastAsia="es-CO"/>
        </w:rPr>
        <w:tab/>
      </w:r>
      <w:r w:rsidRPr="00A87348">
        <w:rPr>
          <w:rFonts w:ascii="Verdana" w:eastAsia="Arial" w:hAnsi="Verdana" w:cs="Arial"/>
          <w:lang w:eastAsia="es-CO"/>
        </w:rPr>
        <w:tab/>
      </w:r>
      <w:r w:rsidRPr="00A87348">
        <w:rPr>
          <w:rFonts w:ascii="Verdana" w:eastAsia="Arial" w:hAnsi="Verdana" w:cs="Arial"/>
        </w:rPr>
        <w:t xml:space="preserve">Conforme a lo anterior, se concluye que la información del análisis del sector constituye el insumo objetivo con base en el cual se deberá dar cumplimiento al deber consagrado en el artículo </w:t>
      </w:r>
      <w:proofErr w:type="gramStart"/>
      <w:r w:rsidRPr="007817AA">
        <w:rPr>
          <w:rFonts w:ascii="Verdana" w:hAnsi="Verdana" w:cs="Arial"/>
          <w:bCs/>
        </w:rPr>
        <w:t>2.2.1.2.4.2.15</w:t>
      </w:r>
      <w:r>
        <w:rPr>
          <w:rFonts w:ascii="Verdana" w:hAnsi="Verdana" w:cs="Arial"/>
          <w:bCs/>
        </w:rPr>
        <w:t xml:space="preserve">  y</w:t>
      </w:r>
      <w:proofErr w:type="gramEnd"/>
      <w:r>
        <w:rPr>
          <w:rFonts w:ascii="Verdana" w:hAnsi="Verdana" w:cs="Arial"/>
          <w:bCs/>
        </w:rPr>
        <w:t xml:space="preserve"> </w:t>
      </w:r>
      <w:r w:rsidRPr="00A87348">
        <w:rPr>
          <w:rFonts w:ascii="Verdana" w:eastAsia="Arial" w:hAnsi="Verdana" w:cs="Arial"/>
        </w:rPr>
        <w:t xml:space="preserve">2.2.1.2.4.2.18 del Decreto 1082 del 2015 – adicionado por el Decreto 1860 de 2021, en cuanto a la fijación de criterios diferenciales en favor de </w:t>
      </w:r>
      <w:proofErr w:type="spellStart"/>
      <w:r>
        <w:rPr>
          <w:rFonts w:ascii="Verdana" w:eastAsia="Arial" w:hAnsi="Verdana" w:cs="Arial"/>
        </w:rPr>
        <w:t>Mipymes</w:t>
      </w:r>
      <w:proofErr w:type="spellEnd"/>
      <w:r>
        <w:rPr>
          <w:rFonts w:ascii="Verdana" w:eastAsia="Arial" w:hAnsi="Verdana" w:cs="Arial"/>
        </w:rPr>
        <w:t xml:space="preserve"> y emprendimientos y empresas de mujeres. P</w:t>
      </w:r>
      <w:r w:rsidRPr="00A87348">
        <w:rPr>
          <w:rFonts w:ascii="Verdana" w:eastAsia="Arial" w:hAnsi="Verdana" w:cs="Arial"/>
        </w:rPr>
        <w:t xml:space="preserve">or consiguiente, para fijar criterios diferenciales las </w:t>
      </w:r>
      <w:r w:rsidRPr="00C308D7">
        <w:rPr>
          <w:rFonts w:ascii="Verdana" w:eastAsia="Arial" w:hAnsi="Verdana" w:cs="Arial"/>
        </w:rPr>
        <w:t xml:space="preserve">entidades públicas </w:t>
      </w:r>
      <w:r w:rsidRPr="00A87348">
        <w:rPr>
          <w:rFonts w:ascii="Verdana" w:eastAsia="Arial" w:hAnsi="Verdana" w:cs="Arial"/>
        </w:rPr>
        <w:t>no podrán abstraerse de los datos obtenidos en su análisis del sector, que se hacen constar por escrito y debe ser objeto de publicidad.</w:t>
      </w:r>
    </w:p>
    <w:p w14:paraId="1778380F" w14:textId="77777777" w:rsidR="00D84005" w:rsidRPr="00A87348" w:rsidRDefault="00D84005" w:rsidP="00D84005">
      <w:pPr>
        <w:spacing w:after="120" w:line="276" w:lineRule="auto"/>
        <w:ind w:firstLine="708"/>
        <w:jc w:val="both"/>
        <w:rPr>
          <w:rFonts w:ascii="Verdana" w:eastAsia="Arial" w:hAnsi="Verdana" w:cs="Arial"/>
        </w:rPr>
      </w:pPr>
      <w:r w:rsidRPr="00A87348">
        <w:rPr>
          <w:rFonts w:ascii="Verdana" w:eastAsia="Arial" w:hAnsi="Verdana" w:cs="Arial"/>
        </w:rPr>
        <w:t xml:space="preserve">A lo anterior, debe agregarse que, en cuanto se refiere al otorgamiento de puntajes adicionales en favor de las </w:t>
      </w:r>
      <w:proofErr w:type="spellStart"/>
      <w:r w:rsidRPr="00A87348">
        <w:rPr>
          <w:rFonts w:ascii="Verdana" w:eastAsia="Arial" w:hAnsi="Verdana" w:cs="Arial"/>
        </w:rPr>
        <w:t>Mipymes</w:t>
      </w:r>
      <w:proofErr w:type="spellEnd"/>
      <w:r w:rsidRPr="00A87348">
        <w:rPr>
          <w:rFonts w:ascii="Verdana" w:eastAsia="Arial" w:hAnsi="Verdana" w:cs="Arial"/>
        </w:rPr>
        <w:t xml:space="preserve"> </w:t>
      </w:r>
      <w:r>
        <w:rPr>
          <w:rFonts w:ascii="Verdana" w:eastAsia="Arial" w:hAnsi="Verdana" w:cs="Arial"/>
        </w:rPr>
        <w:t xml:space="preserve">y/o emprendimientos y empresas de mujeres, </w:t>
      </w:r>
      <w:r w:rsidRPr="00A87348">
        <w:rPr>
          <w:rFonts w:ascii="Verdana" w:eastAsia="Arial" w:hAnsi="Verdana" w:cs="Arial"/>
        </w:rPr>
        <w:t xml:space="preserve">o a la consagración de exigencias mayores para quienes compiten con éstas, las </w:t>
      </w:r>
      <w:r w:rsidRPr="00C308D7">
        <w:rPr>
          <w:rFonts w:ascii="Verdana" w:eastAsia="Arial" w:hAnsi="Verdana" w:cs="Arial"/>
        </w:rPr>
        <w:t xml:space="preserve">entidades públicas </w:t>
      </w:r>
      <w:r w:rsidRPr="00A87348">
        <w:rPr>
          <w:rFonts w:ascii="Verdana" w:eastAsia="Arial" w:hAnsi="Verdana" w:cs="Arial"/>
        </w:rPr>
        <w:t>también encuentran límites definidos en la ley, que se deberán respetar para garantizar que el oferente a quien se adjudique el contrato presentó la propuesta más favorable a los intereses de la entidad y que aseguren que se respeten las condiciones habilitantes mínimas requeridas para el cumplimiento adecuado del contrato.</w:t>
      </w:r>
    </w:p>
    <w:p w14:paraId="7A0B5C9B" w14:textId="77777777" w:rsidR="00D84005" w:rsidRPr="00B45523" w:rsidRDefault="00D84005" w:rsidP="00D84005">
      <w:pPr>
        <w:spacing w:after="0" w:line="276" w:lineRule="auto"/>
        <w:ind w:firstLine="709"/>
        <w:jc w:val="both"/>
        <w:rPr>
          <w:rFonts w:ascii="Verdana" w:hAnsi="Verdana" w:cs="Arial"/>
          <w:bCs/>
        </w:rPr>
      </w:pPr>
      <w:r w:rsidRPr="00B45523">
        <w:rPr>
          <w:rFonts w:ascii="Verdana" w:hAnsi="Verdana" w:cs="Arial"/>
          <w:bCs/>
        </w:rPr>
        <w:t xml:space="preserve">En conclusión, luego de los resultados definidos en el estudio del sector, la entidad estatal deberá definir el criterio o criterios que aplicará y sobre ellos determinará condiciones más exigentes para aquellos oferentes que no sean emprendimientos o empresas de mujeres o MiPymes.    </w:t>
      </w:r>
    </w:p>
    <w:p w14:paraId="20EC9940" w14:textId="77777777" w:rsidR="00D84005" w:rsidRPr="00A82784" w:rsidRDefault="00D84005" w:rsidP="00D84005">
      <w:pPr>
        <w:spacing w:after="0" w:line="276" w:lineRule="auto"/>
        <w:ind w:firstLine="709"/>
        <w:jc w:val="both"/>
        <w:rPr>
          <w:rFonts w:ascii="Verdana" w:hAnsi="Verdana" w:cs="Arial"/>
          <w:bCs/>
        </w:rPr>
      </w:pPr>
    </w:p>
    <w:p w14:paraId="2FBFF84E" w14:textId="77777777" w:rsidR="00D84005" w:rsidRPr="00ED7249" w:rsidRDefault="00D84005" w:rsidP="00D84005">
      <w:pPr>
        <w:spacing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4005" w:rsidRPr="00F71A6A" w14:paraId="03CAACD2" w14:textId="77777777">
        <w:trPr>
          <w:trHeight w:val="973"/>
        </w:trPr>
        <w:tc>
          <w:tcPr>
            <w:tcW w:w="8647" w:type="dxa"/>
          </w:tcPr>
          <w:p w14:paraId="72A589D2" w14:textId="77777777" w:rsidR="00D84005" w:rsidRPr="00715BE1" w:rsidRDefault="00D84005" w:rsidP="00D84005">
            <w:pPr>
              <w:pStyle w:val="Prrafodelista"/>
              <w:numPr>
                <w:ilvl w:val="0"/>
                <w:numId w:val="16"/>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2069 de 2020. Artículos 31 y 32.</w:t>
            </w:r>
          </w:p>
          <w:p w14:paraId="53A5340D" w14:textId="77777777" w:rsidR="00D84005" w:rsidRPr="00B03625" w:rsidRDefault="00D84005" w:rsidP="00D84005">
            <w:pPr>
              <w:pStyle w:val="Prrafodelista"/>
              <w:numPr>
                <w:ilvl w:val="0"/>
                <w:numId w:val="16"/>
              </w:numPr>
              <w:spacing w:line="276" w:lineRule="auto"/>
              <w:jc w:val="both"/>
              <w:rPr>
                <w:lang w:eastAsia="es-ES_tradnl" w:bidi="es-ES"/>
              </w:rPr>
            </w:pPr>
            <w:r>
              <w:rPr>
                <w:rFonts w:ascii="Verdana" w:eastAsia="Calibri" w:hAnsi="Verdana" w:cs="Arial"/>
                <w:bCs/>
                <w:color w:val="000000"/>
                <w:szCs w:val="24"/>
                <w:lang w:val="es-ES_tradnl" w:eastAsia="es-ES_tradnl" w:bidi="es-ES"/>
              </w:rPr>
              <w:t xml:space="preserve">Decreto 1082 de 2015. Artículos </w:t>
            </w:r>
            <w:r w:rsidRPr="00FB4EEF">
              <w:rPr>
                <w:rFonts w:ascii="Verdana" w:hAnsi="Verdana" w:cs="Arial"/>
              </w:rPr>
              <w:t>2.2.1.13.2.2</w:t>
            </w:r>
            <w:r>
              <w:rPr>
                <w:rFonts w:ascii="Verdana" w:hAnsi="Verdana" w:cs="Arial"/>
              </w:rPr>
              <w:t>,</w:t>
            </w:r>
            <w:r w:rsidRPr="00FB4EEF">
              <w:rPr>
                <w:rFonts w:ascii="Verdana" w:hAnsi="Verdana" w:cs="Arial"/>
              </w:rPr>
              <w:t xml:space="preserve"> </w:t>
            </w:r>
            <w:r w:rsidRPr="008B2E9F">
              <w:rPr>
                <w:rFonts w:ascii="Verdana" w:hAnsi="Verdana" w:cs="Arial"/>
              </w:rPr>
              <w:t>2.2.1.2.4.2.15.</w:t>
            </w:r>
            <w:r>
              <w:rPr>
                <w:rFonts w:ascii="Verdana" w:hAnsi="Verdana" w:cs="Arial"/>
              </w:rPr>
              <w:t xml:space="preserve"> y </w:t>
            </w:r>
            <w:r w:rsidRPr="00FB4EEF">
              <w:rPr>
                <w:rFonts w:ascii="Verdana" w:hAnsi="Verdana" w:cs="Arial"/>
              </w:rPr>
              <w:t>2.2.1.2.4.2.18.</w:t>
            </w:r>
            <w:r w:rsidRPr="008B2E9F">
              <w:rPr>
                <w:rFonts w:ascii="Verdana" w:hAnsi="Verdana" w:cs="Arial"/>
              </w:rPr>
              <w:t xml:space="preserve"> </w:t>
            </w:r>
            <w:r>
              <w:rPr>
                <w:rFonts w:ascii="Verdana" w:eastAsia="Calibri" w:hAnsi="Verdana" w:cs="Arial"/>
                <w:bCs/>
                <w:color w:val="000000"/>
                <w:szCs w:val="24"/>
                <w:lang w:val="es-ES_tradnl" w:eastAsia="es-ES_tradnl" w:bidi="es-ES"/>
              </w:rPr>
              <w:t xml:space="preserve"> </w:t>
            </w:r>
          </w:p>
        </w:tc>
      </w:tr>
    </w:tbl>
    <w:p w14:paraId="11549C74" w14:textId="77777777" w:rsidR="00D84005" w:rsidRDefault="00D84005" w:rsidP="00D84005">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602CF66" w14:textId="77777777" w:rsidR="00D84005" w:rsidRPr="00F71A6A" w:rsidRDefault="00D84005" w:rsidP="00D8400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lang w:val="es-CO"/>
        </w:rPr>
        <w:t xml:space="preserve">5. </w:t>
      </w:r>
      <w:r w:rsidRPr="00F71A6A">
        <w:rPr>
          <w:rFonts w:ascii="Verdana" w:eastAsia="Century Gothic" w:hAnsi="Verdana" w:cs="Century Gothic"/>
          <w:b/>
          <w:bCs/>
        </w:rPr>
        <w:t>Doctrina de la Agencia Nacional de Contratación Pública:</w:t>
      </w:r>
    </w:p>
    <w:p w14:paraId="64DB8446" w14:textId="77777777" w:rsidR="00D84005" w:rsidRPr="00CD22BC" w:rsidRDefault="00D84005" w:rsidP="00D84005">
      <w:pPr>
        <w:widowControl w:val="0"/>
        <w:autoSpaceDE w:val="0"/>
        <w:autoSpaceDN w:val="0"/>
        <w:spacing w:after="0" w:line="276" w:lineRule="auto"/>
        <w:jc w:val="both"/>
        <w:rPr>
          <w:rFonts w:ascii="Verdana" w:hAnsi="Verdana" w:cs="Arial"/>
          <w:lang w:val="es-ES"/>
        </w:rPr>
      </w:pPr>
    </w:p>
    <w:p w14:paraId="546E53F6" w14:textId="77777777" w:rsidR="00D84005" w:rsidRDefault="00D84005" w:rsidP="00D84005">
      <w:pPr>
        <w:jc w:val="both"/>
        <w:rPr>
          <w:rFonts w:ascii="Verdana" w:hAnsi="Verdana" w:cs="Arial"/>
          <w:shd w:val="clear" w:color="auto" w:fill="FFFFFF"/>
        </w:rPr>
      </w:pPr>
      <w:r w:rsidRPr="003764D0">
        <w:rPr>
          <w:rFonts w:ascii="Verdana" w:hAnsi="Verdana" w:cs="Arial"/>
          <w:shd w:val="clear" w:color="auto" w:fill="FFFFFF"/>
          <w:lang w:val="es-ES"/>
        </w:rPr>
        <w:lastRenderedPageBreak/>
        <w:t xml:space="preserve">Sobre los incentivos en favor de las MiPymes en la contratación estatal, según la modificación realizada por el Decreto 1860 de 2021 al Decreto 1082 de 2015, esta Subdirección se ha referido en los Conceptos C-043 del 09 de febrero de 2021, C-005 del 16 de febrero de 2021, C-081 del 23 de febrero de 2021, C-087 del 23 de febrero de 2021, C- 025 del 25 de febrero de 2021, C-037 del 26 de febrero de 2021, C-035 del 02 de marzo de 2021, C-040 del 02 de marzo de 2021, C-044 del 03 de marzo de 2021, C-102 del 25 de marzo de 2021, C-125 del 05 de abril de 2021, C-127 del 06 de abril de 2021, C-130 del 07 de abril de 2021, C- 144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y C-455 del 31 de agosto de 2021, </w:t>
      </w:r>
      <w:r>
        <w:rPr>
          <w:rFonts w:ascii="Verdana" w:hAnsi="Verdana" w:cs="Arial"/>
          <w:shd w:val="clear" w:color="auto" w:fill="FFFFFF"/>
          <w:lang w:val="es-ES"/>
        </w:rPr>
        <w:t xml:space="preserve">C-822 del 13 de diciembre de 2024, </w:t>
      </w:r>
      <w:r w:rsidRPr="003764D0">
        <w:rPr>
          <w:rFonts w:ascii="Verdana" w:hAnsi="Verdana" w:cs="Arial"/>
          <w:shd w:val="clear" w:color="auto" w:fill="FFFFFF"/>
          <w:lang w:val="es-ES"/>
        </w:rPr>
        <w:t>entre otros.</w:t>
      </w:r>
      <w:r>
        <w:rPr>
          <w:rFonts w:ascii="Verdana" w:hAnsi="Verdana" w:cs="Arial"/>
          <w:shd w:val="clear" w:color="auto" w:fill="FFFFFF"/>
          <w:lang w:val="es-ES"/>
        </w:rPr>
        <w:t xml:space="preserve"> En cuanto a los criterios diferenciales en favor del emprendimiento y empresas de mujeres la Subdirección de Gestión contractual ha emitido los siguientes conceptos </w:t>
      </w:r>
      <w:r w:rsidRPr="00EF25A0">
        <w:rPr>
          <w:rFonts w:ascii="Verdana" w:hAnsi="Verdana" w:cs="Arial"/>
          <w:shd w:val="clear" w:color="auto" w:fill="FFFFFF"/>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 C-201 del 26 de octubre de 2024, C-328 del 26 de agosto de 2024, C-479 del 24 de septiembre de 2024 y C- 585 del 22 de octubre de 2024</w:t>
      </w:r>
      <w:r>
        <w:rPr>
          <w:rFonts w:ascii="Verdana" w:hAnsi="Verdana" w:cs="Arial"/>
          <w:shd w:val="clear" w:color="auto" w:fill="FFFFFF"/>
        </w:rPr>
        <w:t xml:space="preserve">, </w:t>
      </w:r>
      <w:r>
        <w:rPr>
          <w:rFonts w:ascii="Verdana" w:hAnsi="Verdana" w:cs="Arial"/>
          <w:shd w:val="clear" w:color="auto" w:fill="FFFFFF"/>
          <w:lang w:val="es-ES"/>
        </w:rPr>
        <w:t xml:space="preserve">C-978 del 13 de enero de 2025, entre otros. </w:t>
      </w:r>
      <w:r w:rsidRPr="005A267A">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w:t>
      </w:r>
      <w:r w:rsidRPr="005D1F62">
        <w:rPr>
          <w:rFonts w:ascii="Verdana" w:hAnsi="Verdana" w:cs="Arial"/>
          <w:shd w:val="clear" w:color="auto" w:fill="FFFFFF"/>
        </w:rPr>
        <w:t xml:space="preserve"> contratación concordada con la doctrina de la Subdirección de Gestión Contractual.</w:t>
      </w:r>
      <w:r>
        <w:rPr>
          <w:rFonts w:ascii="Verdana" w:hAnsi="Verdana" w:cs="Arial"/>
          <w:shd w:val="clear" w:color="auto" w:fill="FFFFFF"/>
        </w:rPr>
        <w:t xml:space="preserve"> </w:t>
      </w:r>
      <w:r w:rsidRPr="005D1F62">
        <w:rPr>
          <w:rFonts w:ascii="Verdana" w:hAnsi="Verdana" w:cs="Arial"/>
          <w:shd w:val="clear" w:color="auto" w:fill="FFFFFF"/>
        </w:rPr>
        <w:t>Accede a través del siguiente enlace: </w:t>
      </w:r>
      <w:hyperlink r:id="rId12" w:tgtFrame="_blank" w:tooltip="Dirección URL original: https://relatoria.colombiacompra.gov.co/. Haga clic o pulse si confía en este vínculo." w:history="1">
        <w:r w:rsidRPr="005D1F62">
          <w:rPr>
            <w:rStyle w:val="Hipervnculo"/>
            <w:rFonts w:ascii="Verdana" w:hAnsi="Verdana" w:cs="Arial"/>
            <w:shd w:val="clear" w:color="auto" w:fill="FFFFFF"/>
          </w:rPr>
          <w:t>https://relatoria.colombiacompra.gov.co/</w:t>
        </w:r>
      </w:hyperlink>
      <w:r w:rsidRPr="005D1F62">
        <w:rPr>
          <w:rFonts w:ascii="Verdana" w:hAnsi="Verdana" w:cs="Arial"/>
          <w:shd w:val="clear" w:color="auto" w:fill="FFFFFF"/>
        </w:rPr>
        <w:t>.</w:t>
      </w:r>
    </w:p>
    <w:p w14:paraId="2797D8BD" w14:textId="77777777" w:rsidR="00D84005" w:rsidRDefault="00D84005" w:rsidP="00D84005">
      <w:pPr>
        <w:widowControl w:val="0"/>
        <w:autoSpaceDE w:val="0"/>
        <w:autoSpaceDN w:val="0"/>
        <w:spacing w:after="0" w:line="276" w:lineRule="auto"/>
        <w:jc w:val="both"/>
        <w:rPr>
          <w:rStyle w:val="normaltextrun"/>
          <w:rFonts w:ascii="Verdana" w:hAnsi="Verdana" w:cs="Arial"/>
          <w:color w:val="4472C4" w:themeColor="accent1"/>
          <w:shd w:val="clear" w:color="auto" w:fill="FFFFFF"/>
          <w:lang w:val="es-ES"/>
        </w:rPr>
      </w:pPr>
      <w:r w:rsidRPr="00F71A6A">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F71A6A">
        <w:rPr>
          <w:rStyle w:val="normaltextrun"/>
          <w:rFonts w:ascii="Verdana" w:hAnsi="Verdana" w:cs="Arial"/>
          <w:color w:val="4472C4" w:themeColor="accent1"/>
          <w:shd w:val="clear" w:color="auto" w:fill="FFFFFF"/>
          <w:lang w:val="es-ES"/>
        </w:rPr>
        <w:t xml:space="preserve"> </w:t>
      </w:r>
      <w:hyperlink r:id="rId13" w:history="1">
        <w:r w:rsidRPr="00F71A6A">
          <w:rPr>
            <w:rStyle w:val="Hipervnculo"/>
            <w:rFonts w:ascii="Verdana" w:hAnsi="Verdana" w:cs="Arial"/>
            <w:color w:val="4472C4" w:themeColor="accent1"/>
            <w:shd w:val="clear" w:color="auto" w:fill="FFFFFF"/>
            <w:lang w:val="es-ES"/>
          </w:rPr>
          <w:t>https://www.colombiacompra.gov.co/sala-de-prensa/boletin-digital</w:t>
        </w:r>
      </w:hyperlink>
      <w:r w:rsidRPr="00F71A6A">
        <w:rPr>
          <w:rStyle w:val="normaltextrun"/>
          <w:rFonts w:ascii="Verdana" w:hAnsi="Verdana" w:cs="Arial"/>
          <w:color w:val="4472C4" w:themeColor="accent1"/>
          <w:shd w:val="clear" w:color="auto" w:fill="FFFFFF"/>
          <w:lang w:val="es-ES"/>
        </w:rPr>
        <w:t xml:space="preserve">      </w:t>
      </w:r>
    </w:p>
    <w:p w14:paraId="0762925F" w14:textId="77777777" w:rsidR="00D84005" w:rsidRPr="00F71A6A" w:rsidRDefault="00D84005" w:rsidP="00D8400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B95F377" w14:textId="77777777" w:rsidR="00D84005" w:rsidRPr="00B679E6" w:rsidRDefault="00D84005" w:rsidP="00D84005">
      <w:pPr>
        <w:spacing w:after="0" w:line="276" w:lineRule="auto"/>
        <w:jc w:val="both"/>
        <w:rPr>
          <w:rFonts w:ascii="Verdana" w:hAnsi="Verdana"/>
        </w:rPr>
      </w:pPr>
      <w:r w:rsidRPr="00B679E6">
        <w:rPr>
          <w:rStyle w:val="normaltextrun"/>
          <w:rFonts w:ascii="Verdana" w:hAnsi="Verdana" w:cs="Arial"/>
          <w:color w:val="000000" w:themeColor="text1"/>
          <w:shd w:val="clear" w:color="auto" w:fill="FFFFFF"/>
          <w:lang w:val="es-ES"/>
        </w:rPr>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B679E6">
        <w:rPr>
          <w:rFonts w:ascii="Verdana" w:hAnsi="Verdana"/>
        </w:rPr>
        <w:t xml:space="preserve"> enlace: </w:t>
      </w:r>
      <w:hyperlink r:id="rId14" w:tgtFrame="_blank" w:tooltip="Dirección URL original: https://www.colombiacompra.gov.co/manuales-guias-y-pliegos-tipo/manuales-y-guias/cartilla-para-incentivar-y-fortalecer-el-acceso-las. Haga clic o pulse si confía en este vínculo." w:history="1">
        <w:r w:rsidRPr="00B679E6">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72AA1BD5" w14:textId="77777777" w:rsidR="00D84005" w:rsidRDefault="00D84005" w:rsidP="00D84005">
      <w:pPr>
        <w:spacing w:after="0" w:line="276" w:lineRule="auto"/>
        <w:jc w:val="both"/>
        <w:rPr>
          <w:rFonts w:ascii="Verdana" w:hAnsi="Verdana"/>
        </w:rPr>
      </w:pPr>
    </w:p>
    <w:p w14:paraId="02FAA11C" w14:textId="77777777" w:rsidR="00D84005" w:rsidRPr="00B679E6" w:rsidRDefault="00D84005" w:rsidP="00D84005">
      <w:pPr>
        <w:spacing w:after="0" w:line="276" w:lineRule="auto"/>
        <w:jc w:val="both"/>
        <w:rPr>
          <w:rFonts w:ascii="Verdana" w:hAnsi="Verdana"/>
        </w:rPr>
      </w:pPr>
      <w:r w:rsidRPr="00B679E6">
        <w:rPr>
          <w:rFonts w:ascii="Verdana" w:hAnsi="Verdana"/>
        </w:rPr>
        <w:t>De otra parte, te informamos que, con el objetivo de garantizar un conocimiento adecuado de las </w:t>
      </w:r>
      <w:r w:rsidRPr="00B679E6">
        <w:rPr>
          <w:rFonts w:ascii="Verdana" w:hAnsi="Verdana"/>
          <w:b/>
          <w:bCs/>
        </w:rPr>
        <w:t>modificaciones y/o actualizaciones realizadas a los Documentos Tipo</w:t>
      </w:r>
      <w:r w:rsidRPr="00B679E6">
        <w:rPr>
          <w:rFonts w:ascii="Verdana" w:hAnsi="Verdana"/>
        </w:rPr>
        <w:t>, hemos programado una serie de </w:t>
      </w:r>
      <w:r w:rsidRPr="00B679E6">
        <w:rPr>
          <w:rFonts w:ascii="Verdana" w:hAnsi="Verdana"/>
          <w:b/>
          <w:bCs/>
        </w:rPr>
        <w:t>capacitaciones </w:t>
      </w:r>
      <w:r w:rsidRPr="00B679E6">
        <w:rPr>
          <w:rFonts w:ascii="Verdana" w:hAnsi="Verdana"/>
        </w:rPr>
        <w:t>dirigidas a todos los actores involucrados en los procesos de selección. Podrás conocer la programación y realizar tu inscripción a estas capacitaciones a través del siguiente enlace: </w:t>
      </w:r>
      <w:hyperlink r:id="rId15" w:tgtFrame="_blank" w:tooltip="Dirección URL original: https://www.colombiacompra.gov.co/ciudadanos/calendario. Haga clic o pulse si confía en este vínculo." w:history="1">
        <w:r w:rsidRPr="00B679E6">
          <w:rPr>
            <w:rStyle w:val="Hipervnculo"/>
            <w:rFonts w:ascii="Verdana" w:hAnsi="Verdana"/>
          </w:rPr>
          <w:t>Calendario | Colombia Compra Eficiente | Agencia Nacional de Contratación Pública</w:t>
        </w:r>
      </w:hyperlink>
    </w:p>
    <w:p w14:paraId="640363D8" w14:textId="77777777" w:rsidR="00D84005" w:rsidRDefault="00D84005" w:rsidP="00D84005">
      <w:pPr>
        <w:spacing w:after="0" w:line="276" w:lineRule="auto"/>
        <w:jc w:val="both"/>
        <w:rPr>
          <w:rFonts w:ascii="Verdana" w:hAnsi="Verdana"/>
        </w:rPr>
      </w:pPr>
    </w:p>
    <w:p w14:paraId="711A49E8" w14:textId="77777777" w:rsidR="00D84005" w:rsidRPr="00B679E6" w:rsidRDefault="00D84005" w:rsidP="00D84005">
      <w:pPr>
        <w:spacing w:after="0" w:line="276" w:lineRule="auto"/>
        <w:jc w:val="both"/>
        <w:rPr>
          <w:rFonts w:ascii="Verdana" w:hAnsi="Verdana"/>
        </w:rPr>
      </w:pPr>
      <w:r w:rsidRPr="00B679E6">
        <w:rPr>
          <w:rFonts w:ascii="Verdana" w:hAnsi="Verdana"/>
        </w:rPr>
        <w:t>También, te contamos que ya publicamos </w:t>
      </w:r>
      <w:r w:rsidRPr="00B679E6">
        <w:rPr>
          <w:rFonts w:ascii="Verdana" w:hAnsi="Verdana"/>
          <w:b/>
          <w:bCs/>
        </w:rPr>
        <w:t>la nueva Guía de Contratación Pública Sostenible y Socialmente Responsable</w:t>
      </w:r>
      <w:r w:rsidRPr="00B679E6">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B679E6">
          <w:rPr>
            <w:rStyle w:val="Hipervnculo"/>
            <w:rFonts w:ascii="Verdana" w:hAnsi="Verdana"/>
          </w:rPr>
          <w:t>Guía de Contratación Pública Sostenible y Socialmente Responsable | Colombia Compra Eficiente | Agencia Nacional de Contratación Pública</w:t>
        </w:r>
      </w:hyperlink>
    </w:p>
    <w:p w14:paraId="18924477" w14:textId="77777777" w:rsidR="00D84005" w:rsidRDefault="00D84005" w:rsidP="00D84005">
      <w:pPr>
        <w:spacing w:after="0" w:line="240" w:lineRule="auto"/>
        <w:jc w:val="both"/>
        <w:rPr>
          <w:rFonts w:ascii="Verdana" w:hAnsi="Verdana"/>
        </w:rPr>
      </w:pPr>
    </w:p>
    <w:p w14:paraId="3E595462" w14:textId="77777777" w:rsidR="00D84005" w:rsidRPr="00F71A6A" w:rsidRDefault="00D84005" w:rsidP="00D84005">
      <w:pPr>
        <w:spacing w:after="0" w:line="240" w:lineRule="auto"/>
        <w:jc w:val="both"/>
        <w:rPr>
          <w:rFonts w:ascii="Verdana" w:hAnsi="Verdana"/>
        </w:rPr>
      </w:pPr>
      <w:r w:rsidRPr="00F71A6A">
        <w:rPr>
          <w:rFonts w:ascii="Verdana" w:hAnsi="Verdana"/>
        </w:rPr>
        <w:t xml:space="preserve">Por último, lo invitamos a seguirnos en las redes sociales en las cuales se difunde información institucional: </w:t>
      </w:r>
    </w:p>
    <w:p w14:paraId="04071490" w14:textId="77777777" w:rsidR="00D84005" w:rsidRPr="00F71A6A" w:rsidRDefault="00D84005" w:rsidP="00D84005">
      <w:pPr>
        <w:spacing w:after="0" w:line="240" w:lineRule="auto"/>
        <w:jc w:val="both"/>
        <w:rPr>
          <w:rFonts w:ascii="Verdana" w:hAnsi="Verdana"/>
        </w:rPr>
      </w:pPr>
    </w:p>
    <w:p w14:paraId="1EAC8D70" w14:textId="77777777" w:rsidR="00D84005" w:rsidRPr="00F71A6A" w:rsidRDefault="00D84005" w:rsidP="00D84005">
      <w:pPr>
        <w:spacing w:after="0" w:line="240"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5CBAD335" w14:textId="77777777" w:rsidR="00D84005" w:rsidRPr="00F71A6A" w:rsidRDefault="00D84005" w:rsidP="00D84005">
      <w:pPr>
        <w:spacing w:after="0" w:line="240" w:lineRule="auto"/>
        <w:jc w:val="both"/>
        <w:rPr>
          <w:rFonts w:ascii="Verdana" w:hAnsi="Verdana"/>
        </w:rPr>
      </w:pPr>
      <w:r w:rsidRPr="00F71A6A">
        <w:rPr>
          <w:rFonts w:ascii="Verdana" w:hAnsi="Verdana"/>
        </w:rPr>
        <w:t xml:space="preserve">Facebook: </w:t>
      </w:r>
      <w:proofErr w:type="spellStart"/>
      <w:r w:rsidRPr="00F71A6A">
        <w:rPr>
          <w:rStyle w:val="Hipervnculo"/>
          <w:rFonts w:ascii="Verdana" w:hAnsi="Verdana"/>
          <w:color w:val="4472C4" w:themeColor="accent1"/>
        </w:rPr>
        <w:t>ColombiaCompraEficiente</w:t>
      </w:r>
      <w:proofErr w:type="spellEnd"/>
    </w:p>
    <w:p w14:paraId="06458A13" w14:textId="77777777" w:rsidR="00D84005" w:rsidRPr="00F71A6A" w:rsidRDefault="00D84005" w:rsidP="00D84005">
      <w:pPr>
        <w:spacing w:after="0" w:line="240" w:lineRule="auto"/>
        <w:jc w:val="both"/>
        <w:rPr>
          <w:rFonts w:ascii="Verdana" w:hAnsi="Verdana"/>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34CEAB02" w14:textId="77777777" w:rsidR="00D84005" w:rsidRPr="00F71A6A" w:rsidRDefault="00D84005" w:rsidP="00D84005">
      <w:pPr>
        <w:widowControl w:val="0"/>
        <w:autoSpaceDE w:val="0"/>
        <w:autoSpaceDN w:val="0"/>
        <w:spacing w:after="0" w:line="276" w:lineRule="auto"/>
        <w:jc w:val="both"/>
        <w:rPr>
          <w:rFonts w:ascii="Verdana" w:hAnsi="Verdana" w:cs="Arial"/>
        </w:rPr>
      </w:pPr>
    </w:p>
    <w:p w14:paraId="778336BA" w14:textId="77777777" w:rsidR="00D84005" w:rsidRPr="00F71A6A" w:rsidRDefault="00D84005" w:rsidP="00D84005">
      <w:pPr>
        <w:widowControl w:val="0"/>
        <w:autoSpaceDE w:val="0"/>
        <w:autoSpaceDN w:val="0"/>
        <w:spacing w:after="0" w:line="276" w:lineRule="auto"/>
        <w:jc w:val="both"/>
        <w:rPr>
          <w:rFonts w:ascii="Verdana" w:hAnsi="Verdana" w:cs="Arial"/>
          <w:lang w:val="es-ES_tradnl"/>
        </w:rPr>
      </w:pPr>
      <w:r w:rsidRPr="00F71A6A">
        <w:rPr>
          <w:rFonts w:ascii="Verdana" w:hAnsi="Verdana" w:cs="Arial"/>
        </w:rPr>
        <w:lastRenderedPageBreak/>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7FD776F3" w14:textId="77777777" w:rsidR="00D84005" w:rsidRPr="00F71A6A" w:rsidRDefault="00D84005" w:rsidP="00D84005">
      <w:pPr>
        <w:widowControl w:val="0"/>
        <w:autoSpaceDE w:val="0"/>
        <w:autoSpaceDN w:val="0"/>
        <w:spacing w:after="0" w:line="276" w:lineRule="auto"/>
        <w:jc w:val="both"/>
        <w:rPr>
          <w:rFonts w:ascii="Verdana" w:hAnsi="Verdana" w:cs="Arial"/>
        </w:rPr>
      </w:pPr>
    </w:p>
    <w:bookmarkEnd w:id="0"/>
    <w:p w14:paraId="07FB5260" w14:textId="77777777" w:rsidR="00D84005" w:rsidRPr="00D126E1" w:rsidRDefault="00D84005" w:rsidP="00D84005">
      <w:pPr>
        <w:spacing w:after="0" w:line="276" w:lineRule="auto"/>
        <w:jc w:val="both"/>
        <w:rPr>
          <w:rFonts w:ascii="Verdana" w:eastAsia="Calibri" w:hAnsi="Verdana" w:cs="Times New Roman"/>
          <w:kern w:val="2"/>
          <w14:ligatures w14:val="standardContextual"/>
        </w:rPr>
      </w:pPr>
      <w:r w:rsidRPr="00D126E1">
        <w:rPr>
          <w:rFonts w:ascii="Verdana" w:eastAsia="Calibri" w:hAnsi="Verdana" w:cs="Times New Roman"/>
          <w:kern w:val="2"/>
          <w14:ligatures w14:val="standardContextual"/>
        </w:rPr>
        <w:t>Atentamente,</w:t>
      </w:r>
    </w:p>
    <w:p w14:paraId="4F93D75C" w14:textId="1CFA80D4" w:rsidR="00D84005" w:rsidRPr="00D126E1" w:rsidRDefault="00865ECF" w:rsidP="00D84005">
      <w:pPr>
        <w:tabs>
          <w:tab w:val="left" w:pos="1320"/>
        </w:tabs>
        <w:jc w:val="center"/>
        <w:rPr>
          <w:rFonts w:ascii="Century Gothic" w:eastAsia="Aptos" w:hAnsi="Century Gothic" w:cs="Times New Roman"/>
        </w:rPr>
      </w:pPr>
      <w:r w:rsidRPr="002C3AD6">
        <w:rPr>
          <w:rFonts w:ascii="Century Gothic" w:hAnsi="Century Gothic"/>
          <w:noProof/>
        </w:rPr>
        <w:drawing>
          <wp:inline distT="0" distB="0" distL="0" distR="0" wp14:anchorId="512D0F7E" wp14:editId="48B843B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84005" w:rsidRPr="00D126E1" w14:paraId="243099D8" w14:textId="77777777">
        <w:trPr>
          <w:trHeight w:val="315"/>
        </w:trPr>
        <w:tc>
          <w:tcPr>
            <w:tcW w:w="893" w:type="dxa"/>
            <w:vAlign w:val="center"/>
            <w:hideMark/>
          </w:tcPr>
          <w:p w14:paraId="75B9BDE2" w14:textId="77777777" w:rsidR="00D84005" w:rsidRPr="00D126E1" w:rsidRDefault="00D84005">
            <w:pPr>
              <w:rPr>
                <w:rFonts w:ascii="Verdana" w:eastAsia="Calibri" w:hAnsi="Verdana" w:cs="Arial"/>
                <w:sz w:val="16"/>
                <w:szCs w:val="16"/>
                <w:lang w:eastAsia="es-ES"/>
              </w:rPr>
            </w:pPr>
            <w:r w:rsidRPr="00D126E1">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71B682A8" w14:textId="77777777" w:rsidR="00D84005" w:rsidRPr="00D53651" w:rsidRDefault="00D84005">
            <w:pPr>
              <w:spacing w:line="276" w:lineRule="auto"/>
              <w:jc w:val="both"/>
              <w:rPr>
                <w:rFonts w:ascii="Verdana" w:hAnsi="Verdana"/>
                <w:sz w:val="16"/>
                <w:szCs w:val="16"/>
              </w:rPr>
            </w:pPr>
            <w:r>
              <w:rPr>
                <w:rFonts w:ascii="Verdana" w:hAnsi="Verdana"/>
                <w:sz w:val="16"/>
                <w:szCs w:val="16"/>
              </w:rPr>
              <w:t>Karol Andrea Gonzalez Marin</w:t>
            </w:r>
          </w:p>
          <w:p w14:paraId="01BF551B" w14:textId="77777777" w:rsidR="00D84005" w:rsidRPr="00D126E1" w:rsidRDefault="00D84005">
            <w:pPr>
              <w:rPr>
                <w:rFonts w:ascii="Verdana" w:eastAsia="Arial" w:hAnsi="Verdana" w:cs="Arial"/>
                <w:sz w:val="16"/>
                <w:szCs w:val="16"/>
              </w:rPr>
            </w:pPr>
            <w:r w:rsidRPr="00D53651">
              <w:rPr>
                <w:rFonts w:ascii="Verdana" w:hAnsi="Verdana"/>
                <w:sz w:val="16"/>
                <w:szCs w:val="16"/>
              </w:rPr>
              <w:t>Contratista de la Subdirección de Gestión Contractual</w:t>
            </w:r>
          </w:p>
        </w:tc>
      </w:tr>
      <w:tr w:rsidR="00D84005" w:rsidRPr="00D126E1" w14:paraId="0D6A7CD1" w14:textId="77777777">
        <w:trPr>
          <w:trHeight w:val="330"/>
        </w:trPr>
        <w:tc>
          <w:tcPr>
            <w:tcW w:w="893" w:type="dxa"/>
            <w:vAlign w:val="center"/>
            <w:hideMark/>
          </w:tcPr>
          <w:p w14:paraId="778AAD50" w14:textId="77777777" w:rsidR="00D84005" w:rsidRPr="00D126E1" w:rsidRDefault="00D84005">
            <w:pPr>
              <w:rPr>
                <w:rFonts w:ascii="Verdana" w:eastAsia="Calibri" w:hAnsi="Verdana" w:cs="Arial"/>
                <w:sz w:val="16"/>
                <w:szCs w:val="16"/>
                <w:lang w:eastAsia="es-ES"/>
              </w:rPr>
            </w:pPr>
            <w:r w:rsidRPr="00D126E1">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E27CF99" w14:textId="77777777" w:rsidR="00D84005" w:rsidRPr="00D126E1" w:rsidRDefault="00D84005">
            <w:pPr>
              <w:rPr>
                <w:rFonts w:ascii="Verdana" w:eastAsia="Times New Roman" w:hAnsi="Verdana" w:cs="Segoe UI"/>
                <w:sz w:val="16"/>
                <w:szCs w:val="16"/>
                <w:lang w:eastAsia="es-ES_tradnl"/>
              </w:rPr>
            </w:pPr>
          </w:p>
          <w:p w14:paraId="7853EC08" w14:textId="77777777" w:rsidR="00D84005" w:rsidRPr="00583B99" w:rsidRDefault="00D84005">
            <w:pPr>
              <w:spacing w:line="276" w:lineRule="auto"/>
              <w:jc w:val="both"/>
              <w:rPr>
                <w:rFonts w:ascii="Verdana" w:hAnsi="Verdana"/>
                <w:sz w:val="16"/>
                <w:szCs w:val="16"/>
              </w:rPr>
            </w:pPr>
            <w:r>
              <w:rPr>
                <w:rFonts w:ascii="Verdana" w:hAnsi="Verdana"/>
                <w:sz w:val="16"/>
                <w:szCs w:val="16"/>
              </w:rPr>
              <w:t>Juan Carlos González Vásquez</w:t>
            </w:r>
          </w:p>
          <w:p w14:paraId="4692EBBD" w14:textId="77777777" w:rsidR="00D84005" w:rsidRPr="00D126E1" w:rsidRDefault="00D84005">
            <w:pPr>
              <w:rPr>
                <w:rFonts w:ascii="Verdana" w:eastAsia="Times New Roman" w:hAnsi="Verdana" w:cs="Segoe UI"/>
                <w:sz w:val="16"/>
                <w:szCs w:val="16"/>
                <w:lang w:eastAsia="es-ES_tradnl"/>
              </w:rPr>
            </w:pPr>
            <w:r w:rsidRPr="00D126E1">
              <w:rPr>
                <w:rFonts w:ascii="Verdana" w:eastAsia="Arial" w:hAnsi="Verdana" w:cs="Arial"/>
                <w:sz w:val="16"/>
                <w:szCs w:val="16"/>
              </w:rPr>
              <w:t>Contratista de la Subdirección de Gestión Contractual</w:t>
            </w:r>
          </w:p>
        </w:tc>
      </w:tr>
      <w:tr w:rsidR="00D84005" w:rsidRPr="00D126E1" w14:paraId="0F4BCDE1" w14:textId="77777777">
        <w:trPr>
          <w:trHeight w:val="300"/>
        </w:trPr>
        <w:tc>
          <w:tcPr>
            <w:tcW w:w="893" w:type="dxa"/>
            <w:vAlign w:val="center"/>
          </w:tcPr>
          <w:p w14:paraId="49431885" w14:textId="77777777" w:rsidR="00D84005" w:rsidRPr="00D126E1" w:rsidRDefault="00D84005">
            <w:pPr>
              <w:rPr>
                <w:rFonts w:ascii="Verdana" w:eastAsia="Calibri" w:hAnsi="Verdana" w:cs="Arial"/>
                <w:sz w:val="16"/>
                <w:szCs w:val="16"/>
                <w:lang w:eastAsia="es-ES"/>
              </w:rPr>
            </w:pPr>
            <w:r w:rsidRPr="00D126E1">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E1081CE" w14:textId="77777777" w:rsidR="00D84005" w:rsidRPr="00D126E1" w:rsidRDefault="00D84005">
            <w:pPr>
              <w:rPr>
                <w:rFonts w:ascii="Verdana" w:eastAsia="Calibri" w:hAnsi="Verdana" w:cs="Arial"/>
                <w:sz w:val="16"/>
                <w:szCs w:val="16"/>
                <w:lang w:eastAsia="es-ES"/>
              </w:rPr>
            </w:pPr>
            <w:r w:rsidRPr="00D126E1">
              <w:rPr>
                <w:rFonts w:ascii="Verdana" w:eastAsia="Calibri" w:hAnsi="Verdana" w:cs="Arial"/>
                <w:sz w:val="16"/>
                <w:szCs w:val="16"/>
                <w:lang w:eastAsia="es-ES"/>
              </w:rPr>
              <w:t>Carolina Quintero Gacharná</w:t>
            </w:r>
          </w:p>
          <w:p w14:paraId="4A508D5C" w14:textId="77777777" w:rsidR="00D84005" w:rsidRPr="00D126E1" w:rsidRDefault="00D84005">
            <w:pPr>
              <w:rPr>
                <w:rFonts w:ascii="Verdana" w:eastAsia="Calibri" w:hAnsi="Verdana" w:cs="Arial"/>
                <w:sz w:val="16"/>
                <w:szCs w:val="16"/>
                <w:lang w:eastAsia="es-ES"/>
              </w:rPr>
            </w:pPr>
            <w:r w:rsidRPr="00D126E1">
              <w:rPr>
                <w:rFonts w:ascii="Verdana" w:eastAsia="Calibri" w:hAnsi="Verdana" w:cs="Arial"/>
                <w:sz w:val="16"/>
                <w:szCs w:val="16"/>
                <w:lang w:eastAsia="es-ES"/>
              </w:rPr>
              <w:t>Subdirectora de Gestión Contractual ANCP – CCE</w:t>
            </w:r>
          </w:p>
        </w:tc>
      </w:tr>
    </w:tbl>
    <w:p w14:paraId="6A25E0D7" w14:textId="77777777" w:rsidR="00D84005" w:rsidRPr="006650D4" w:rsidRDefault="00D84005" w:rsidP="00D84005"/>
    <w:p w14:paraId="0F293BF4" w14:textId="131448B9" w:rsidR="00127233" w:rsidRPr="006650D4" w:rsidRDefault="00127233" w:rsidP="000A2AB6">
      <w:pPr>
        <w:spacing w:after="0" w:line="240" w:lineRule="auto"/>
        <w:jc w:val="both"/>
      </w:pPr>
    </w:p>
    <w:sectPr w:rsidR="00127233" w:rsidRPr="006650D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F7420" w14:textId="77777777" w:rsidR="00A95FA5" w:rsidRDefault="00A95FA5" w:rsidP="004A1847">
      <w:pPr>
        <w:spacing w:after="0" w:line="240" w:lineRule="auto"/>
      </w:pPr>
      <w:r>
        <w:separator/>
      </w:r>
    </w:p>
  </w:endnote>
  <w:endnote w:type="continuationSeparator" w:id="0">
    <w:p w14:paraId="05250F76" w14:textId="77777777" w:rsidR="00A95FA5" w:rsidRDefault="00A95FA5" w:rsidP="004A1847">
      <w:pPr>
        <w:spacing w:after="0" w:line="240" w:lineRule="auto"/>
      </w:pPr>
      <w:r>
        <w:continuationSeparator/>
      </w:r>
    </w:p>
  </w:endnote>
  <w:endnote w:type="continuationNotice" w:id="1">
    <w:p w14:paraId="10DDEB7F" w14:textId="77777777" w:rsidR="00A95FA5" w:rsidRDefault="00A95F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E1181"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2E1181">
      <w:rPr>
        <w:rFonts w:ascii="Century Gothic" w:eastAsia="Geo" w:hAnsi="Century Gothic" w:cs="Geo"/>
        <w:b/>
        <w:bCs/>
        <w:color w:val="000000" w:themeColor="text1"/>
        <w:sz w:val="16"/>
        <w:szCs w:val="16"/>
        <w:lang w:val="pt-PT" w:eastAsia="es-CO"/>
      </w:rPr>
      <w:t xml:space="preserve">Código: </w:t>
    </w:r>
    <w:r w:rsidRPr="002E1181">
      <w:rPr>
        <w:rFonts w:ascii="Century Gothic" w:eastAsia="Geo" w:hAnsi="Century Gothic" w:cs="Geo"/>
        <w:color w:val="000000" w:themeColor="text1"/>
        <w:sz w:val="16"/>
        <w:szCs w:val="16"/>
        <w:lang w:val="pt-PT" w:eastAsia="es-CO"/>
      </w:rPr>
      <w:t xml:space="preserve">CCE-REC-FM-17 </w:t>
    </w:r>
    <w:r w:rsidRPr="002E1181">
      <w:rPr>
        <w:rFonts w:ascii="Century Gothic" w:eastAsia="Geo" w:hAnsi="Century Gothic" w:cs="Geo"/>
        <w:b/>
        <w:bCs/>
        <w:color w:val="000000" w:themeColor="text1"/>
        <w:sz w:val="16"/>
        <w:szCs w:val="16"/>
        <w:lang w:val="pt-PT" w:eastAsia="es-CO"/>
      </w:rPr>
      <w:t>V</w:t>
    </w:r>
    <w:r w:rsidRPr="002E1181">
      <w:rPr>
        <w:rFonts w:ascii="Century Gothic" w:eastAsia="Arial Nova" w:hAnsi="Century Gothic" w:cs="Arial Nova"/>
        <w:b/>
        <w:bCs/>
        <w:color w:val="000000" w:themeColor="text1"/>
        <w:sz w:val="16"/>
        <w:szCs w:val="16"/>
        <w:lang w:val="pt-PT" w:eastAsia="es-CO"/>
      </w:rPr>
      <w:t xml:space="preserve">: </w:t>
    </w:r>
    <w:r w:rsidRPr="002E1181">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0171B" w14:textId="77777777" w:rsidR="00A95FA5" w:rsidRDefault="00A95FA5" w:rsidP="004A1847">
      <w:pPr>
        <w:spacing w:after="0" w:line="240" w:lineRule="auto"/>
      </w:pPr>
      <w:r>
        <w:separator/>
      </w:r>
    </w:p>
  </w:footnote>
  <w:footnote w:type="continuationSeparator" w:id="0">
    <w:p w14:paraId="42FC97BE" w14:textId="77777777" w:rsidR="00A95FA5" w:rsidRDefault="00A95FA5" w:rsidP="004A1847">
      <w:pPr>
        <w:spacing w:after="0" w:line="240" w:lineRule="auto"/>
      </w:pPr>
      <w:r>
        <w:continuationSeparator/>
      </w:r>
    </w:p>
  </w:footnote>
  <w:footnote w:type="continuationNotice" w:id="1">
    <w:p w14:paraId="57E82BEE" w14:textId="77777777" w:rsidR="00A95FA5" w:rsidRDefault="00A95F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F8F"/>
    <w:rsid w:val="00016F78"/>
    <w:rsid w:val="00046945"/>
    <w:rsid w:val="00061B2A"/>
    <w:rsid w:val="00082362"/>
    <w:rsid w:val="000A2AB6"/>
    <w:rsid w:val="000A683E"/>
    <w:rsid w:val="000B19B9"/>
    <w:rsid w:val="000C69F7"/>
    <w:rsid w:val="000C6BF5"/>
    <w:rsid w:val="000D0334"/>
    <w:rsid w:val="000D070F"/>
    <w:rsid w:val="000D5DA7"/>
    <w:rsid w:val="000E469B"/>
    <w:rsid w:val="000F6486"/>
    <w:rsid w:val="0010555F"/>
    <w:rsid w:val="00116940"/>
    <w:rsid w:val="00125105"/>
    <w:rsid w:val="00127233"/>
    <w:rsid w:val="0015699B"/>
    <w:rsid w:val="001A33BF"/>
    <w:rsid w:val="001C1A93"/>
    <w:rsid w:val="001D161E"/>
    <w:rsid w:val="001E4177"/>
    <w:rsid w:val="001F0B24"/>
    <w:rsid w:val="001F12BB"/>
    <w:rsid w:val="001F69EE"/>
    <w:rsid w:val="001F7DC6"/>
    <w:rsid w:val="0022400B"/>
    <w:rsid w:val="002421BB"/>
    <w:rsid w:val="0025796E"/>
    <w:rsid w:val="002707A2"/>
    <w:rsid w:val="002849B5"/>
    <w:rsid w:val="00291D95"/>
    <w:rsid w:val="002951A0"/>
    <w:rsid w:val="002962BC"/>
    <w:rsid w:val="002A0754"/>
    <w:rsid w:val="002A093D"/>
    <w:rsid w:val="002A0DD0"/>
    <w:rsid w:val="002A49AC"/>
    <w:rsid w:val="002A64FD"/>
    <w:rsid w:val="002C7A84"/>
    <w:rsid w:val="002D7DE8"/>
    <w:rsid w:val="002E1181"/>
    <w:rsid w:val="002E2BF8"/>
    <w:rsid w:val="002E4FD9"/>
    <w:rsid w:val="0030657A"/>
    <w:rsid w:val="00322A85"/>
    <w:rsid w:val="00324168"/>
    <w:rsid w:val="00330834"/>
    <w:rsid w:val="003448F4"/>
    <w:rsid w:val="003731C3"/>
    <w:rsid w:val="00374F5E"/>
    <w:rsid w:val="00377E3E"/>
    <w:rsid w:val="003A0F78"/>
    <w:rsid w:val="003A779E"/>
    <w:rsid w:val="003D0AEF"/>
    <w:rsid w:val="003D0F4D"/>
    <w:rsid w:val="003D5B0D"/>
    <w:rsid w:val="003E0499"/>
    <w:rsid w:val="003E4F80"/>
    <w:rsid w:val="003E6439"/>
    <w:rsid w:val="003F3941"/>
    <w:rsid w:val="00406575"/>
    <w:rsid w:val="00414C74"/>
    <w:rsid w:val="0042722E"/>
    <w:rsid w:val="0044528D"/>
    <w:rsid w:val="0046416B"/>
    <w:rsid w:val="00466E39"/>
    <w:rsid w:val="004747A9"/>
    <w:rsid w:val="004A1847"/>
    <w:rsid w:val="004A305D"/>
    <w:rsid w:val="004B40B3"/>
    <w:rsid w:val="004F21C4"/>
    <w:rsid w:val="004F5E7F"/>
    <w:rsid w:val="004F685F"/>
    <w:rsid w:val="00510A17"/>
    <w:rsid w:val="00516E4D"/>
    <w:rsid w:val="00531026"/>
    <w:rsid w:val="00544408"/>
    <w:rsid w:val="005566E8"/>
    <w:rsid w:val="00574867"/>
    <w:rsid w:val="00591460"/>
    <w:rsid w:val="005963C1"/>
    <w:rsid w:val="00596E0C"/>
    <w:rsid w:val="005A2A3D"/>
    <w:rsid w:val="005A65E0"/>
    <w:rsid w:val="005A6DEB"/>
    <w:rsid w:val="005C02FE"/>
    <w:rsid w:val="005C3777"/>
    <w:rsid w:val="005C5CDC"/>
    <w:rsid w:val="005D304D"/>
    <w:rsid w:val="005D476C"/>
    <w:rsid w:val="005E7C8E"/>
    <w:rsid w:val="00616F12"/>
    <w:rsid w:val="006200BF"/>
    <w:rsid w:val="006219F8"/>
    <w:rsid w:val="006302F7"/>
    <w:rsid w:val="00646B9F"/>
    <w:rsid w:val="006650D4"/>
    <w:rsid w:val="00665D70"/>
    <w:rsid w:val="006900D9"/>
    <w:rsid w:val="00706C16"/>
    <w:rsid w:val="007340C3"/>
    <w:rsid w:val="00736B0A"/>
    <w:rsid w:val="007462D4"/>
    <w:rsid w:val="00751514"/>
    <w:rsid w:val="0075235A"/>
    <w:rsid w:val="00756841"/>
    <w:rsid w:val="007649AB"/>
    <w:rsid w:val="00771D0C"/>
    <w:rsid w:val="007833AC"/>
    <w:rsid w:val="00784C02"/>
    <w:rsid w:val="007970F5"/>
    <w:rsid w:val="007B268C"/>
    <w:rsid w:val="007B7171"/>
    <w:rsid w:val="007C0C0F"/>
    <w:rsid w:val="007C3DC2"/>
    <w:rsid w:val="007E5497"/>
    <w:rsid w:val="00806F5F"/>
    <w:rsid w:val="00820278"/>
    <w:rsid w:val="0082296F"/>
    <w:rsid w:val="008258C9"/>
    <w:rsid w:val="00844AE9"/>
    <w:rsid w:val="00862E6A"/>
    <w:rsid w:val="00865ECF"/>
    <w:rsid w:val="00867F95"/>
    <w:rsid w:val="008843B6"/>
    <w:rsid w:val="00891928"/>
    <w:rsid w:val="008A446D"/>
    <w:rsid w:val="008A6A09"/>
    <w:rsid w:val="008B25F1"/>
    <w:rsid w:val="008D180B"/>
    <w:rsid w:val="008F0EA7"/>
    <w:rsid w:val="00912274"/>
    <w:rsid w:val="00923EEF"/>
    <w:rsid w:val="009419F9"/>
    <w:rsid w:val="00945112"/>
    <w:rsid w:val="00945FDD"/>
    <w:rsid w:val="00953B4E"/>
    <w:rsid w:val="0095509C"/>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5FDF"/>
    <w:rsid w:val="00A95FA5"/>
    <w:rsid w:val="00AB0ADB"/>
    <w:rsid w:val="00AC3A4D"/>
    <w:rsid w:val="00B00C0E"/>
    <w:rsid w:val="00B01B1A"/>
    <w:rsid w:val="00B0381D"/>
    <w:rsid w:val="00B0507E"/>
    <w:rsid w:val="00B44A47"/>
    <w:rsid w:val="00B60E02"/>
    <w:rsid w:val="00B72CD3"/>
    <w:rsid w:val="00B72FFF"/>
    <w:rsid w:val="00BA69AE"/>
    <w:rsid w:val="00BA7398"/>
    <w:rsid w:val="00BC3D36"/>
    <w:rsid w:val="00BD54A6"/>
    <w:rsid w:val="00BD7F72"/>
    <w:rsid w:val="00BE1A75"/>
    <w:rsid w:val="00BE437D"/>
    <w:rsid w:val="00BF70B6"/>
    <w:rsid w:val="00BF7425"/>
    <w:rsid w:val="00C04FB3"/>
    <w:rsid w:val="00C11D8B"/>
    <w:rsid w:val="00C15139"/>
    <w:rsid w:val="00C330EB"/>
    <w:rsid w:val="00C36081"/>
    <w:rsid w:val="00C4070D"/>
    <w:rsid w:val="00C50BD0"/>
    <w:rsid w:val="00C50D69"/>
    <w:rsid w:val="00C52994"/>
    <w:rsid w:val="00C5365C"/>
    <w:rsid w:val="00C754BE"/>
    <w:rsid w:val="00C76B1C"/>
    <w:rsid w:val="00C925AC"/>
    <w:rsid w:val="00CB6357"/>
    <w:rsid w:val="00CC1393"/>
    <w:rsid w:val="00CC1B26"/>
    <w:rsid w:val="00CD56DE"/>
    <w:rsid w:val="00CE1F05"/>
    <w:rsid w:val="00D361FD"/>
    <w:rsid w:val="00D423A2"/>
    <w:rsid w:val="00D44E26"/>
    <w:rsid w:val="00D520D8"/>
    <w:rsid w:val="00D63AC2"/>
    <w:rsid w:val="00D7383B"/>
    <w:rsid w:val="00D7788A"/>
    <w:rsid w:val="00D84005"/>
    <w:rsid w:val="00D94086"/>
    <w:rsid w:val="00DA231B"/>
    <w:rsid w:val="00DA41DA"/>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238C"/>
    <w:rsid w:val="00F462B3"/>
    <w:rsid w:val="00F5664F"/>
    <w:rsid w:val="00F666C4"/>
    <w:rsid w:val="00F76AFC"/>
    <w:rsid w:val="00FA47C0"/>
    <w:rsid w:val="00FB5DD1"/>
    <w:rsid w:val="00FC2B5D"/>
    <w:rsid w:val="00FE196A"/>
    <w:rsid w:val="00FE7FDE"/>
    <w:rsid w:val="00FF1449"/>
    <w:rsid w:val="00FF7963"/>
    <w:rsid w:val="03BFF44B"/>
    <w:rsid w:val="04906EFC"/>
    <w:rsid w:val="04A6D17E"/>
    <w:rsid w:val="071B8F93"/>
    <w:rsid w:val="0795D9EE"/>
    <w:rsid w:val="09908A09"/>
    <w:rsid w:val="0AD193DC"/>
    <w:rsid w:val="0BE53F8D"/>
    <w:rsid w:val="0D6DF250"/>
    <w:rsid w:val="0E1A1B71"/>
    <w:rsid w:val="0FEB9910"/>
    <w:rsid w:val="0FF4CCA8"/>
    <w:rsid w:val="10FB38B2"/>
    <w:rsid w:val="11A89B13"/>
    <w:rsid w:val="13CFC91B"/>
    <w:rsid w:val="1650D529"/>
    <w:rsid w:val="1711E1A7"/>
    <w:rsid w:val="19A2EC2C"/>
    <w:rsid w:val="1A53B899"/>
    <w:rsid w:val="1DCF545B"/>
    <w:rsid w:val="1EE183FA"/>
    <w:rsid w:val="21DC6E95"/>
    <w:rsid w:val="2859CA1B"/>
    <w:rsid w:val="2DFB7829"/>
    <w:rsid w:val="2F2CC052"/>
    <w:rsid w:val="2FEA7D1A"/>
    <w:rsid w:val="32A4F9CF"/>
    <w:rsid w:val="3447861A"/>
    <w:rsid w:val="3470A49C"/>
    <w:rsid w:val="356CEDFD"/>
    <w:rsid w:val="3D029613"/>
    <w:rsid w:val="43405F38"/>
    <w:rsid w:val="4A566D90"/>
    <w:rsid w:val="4D2824DD"/>
    <w:rsid w:val="554769E0"/>
    <w:rsid w:val="5696F99D"/>
    <w:rsid w:val="56D0A247"/>
    <w:rsid w:val="57FC5793"/>
    <w:rsid w:val="58EDA01A"/>
    <w:rsid w:val="5D48FAF1"/>
    <w:rsid w:val="6407D0E5"/>
    <w:rsid w:val="656A05D5"/>
    <w:rsid w:val="6663300D"/>
    <w:rsid w:val="69614A15"/>
    <w:rsid w:val="6987134A"/>
    <w:rsid w:val="699DE87F"/>
    <w:rsid w:val="72D69271"/>
    <w:rsid w:val="737C128E"/>
    <w:rsid w:val="742FC6F3"/>
    <w:rsid w:val="7517ADC7"/>
    <w:rsid w:val="76E64561"/>
    <w:rsid w:val="771E236E"/>
    <w:rsid w:val="788CA478"/>
    <w:rsid w:val="7983E959"/>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9D8D99E-EA5D-425A-8D8E-52E41F436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955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5509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509C"/>
    <w:rPr>
      <w:rFonts w:ascii="Geomanist Light" w:hAnsi="Geomanist Light"/>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ala-de-prensa/boletin-digita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taizacarlos08@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6095D84-18FE-45D8-B58C-D6CF89A27E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17</Pages>
  <Words>6330</Words>
  <Characters>34562</Characters>
  <Application>Microsoft Office Word</Application>
  <DocSecurity>0</DocSecurity>
  <Lines>691</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40740</CharactersWithSpaces>
  <SharedDoc>false</SharedDoc>
  <HLinks>
    <vt:vector size="36" baseType="variant">
      <vt:variant>
        <vt:i4>2228259</vt:i4>
      </vt:variant>
      <vt:variant>
        <vt:i4>15</vt:i4>
      </vt:variant>
      <vt:variant>
        <vt:i4>0</vt:i4>
      </vt:variant>
      <vt:variant>
        <vt:i4>5</vt:i4>
      </vt:variant>
      <vt:variant>
        <vt:lpwstr>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vt:lpwstr>
      </vt:variant>
      <vt:variant>
        <vt:lpwstr/>
      </vt:variant>
      <vt:variant>
        <vt:i4>7012393</vt:i4>
      </vt:variant>
      <vt:variant>
        <vt:i4>12</vt:i4>
      </vt:variant>
      <vt:variant>
        <vt:i4>0</vt:i4>
      </vt:variant>
      <vt:variant>
        <vt:i4>5</vt:i4>
      </vt:variant>
      <vt:variant>
        <vt:lpwstr>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vt:lpwstr>
      </vt:variant>
      <vt:variant>
        <vt:lpwstr/>
      </vt:variant>
      <vt:variant>
        <vt:i4>7012465</vt:i4>
      </vt:variant>
      <vt:variant>
        <vt:i4>9</vt:i4>
      </vt:variant>
      <vt:variant>
        <vt:i4>0</vt:i4>
      </vt:variant>
      <vt:variant>
        <vt:i4>5</vt:i4>
      </vt:variant>
      <vt:variant>
        <vt:lpwstr>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vt:lpwstr>
      </vt:variant>
      <vt:variant>
        <vt:lpwstr/>
      </vt:variant>
      <vt:variant>
        <vt:i4>5439494</vt:i4>
      </vt:variant>
      <vt:variant>
        <vt:i4>6</vt:i4>
      </vt:variant>
      <vt:variant>
        <vt:i4>0</vt:i4>
      </vt:variant>
      <vt:variant>
        <vt:i4>5</vt:i4>
      </vt:variant>
      <vt:variant>
        <vt:lpwstr>https://www.colombiacompra.gov.co/sala-de-prensa/boletin-digital</vt:lpwstr>
      </vt:variant>
      <vt:variant>
        <vt:lpwstr/>
      </vt:variant>
      <vt:variant>
        <vt:i4>3866680</vt:i4>
      </vt:variant>
      <vt:variant>
        <vt:i4>3</vt:i4>
      </vt:variant>
      <vt:variant>
        <vt:i4>0</vt:i4>
      </vt:variant>
      <vt:variant>
        <vt:i4>5</vt:i4>
      </vt:variant>
      <vt:variant>
        <vt:lpwstr>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vt:lpwstr>
      </vt:variant>
      <vt:variant>
        <vt:lpwstr/>
      </vt:variant>
      <vt:variant>
        <vt:i4>6094969</vt:i4>
      </vt:variant>
      <vt:variant>
        <vt:i4>0</vt:i4>
      </vt:variant>
      <vt:variant>
        <vt:i4>0</vt:i4>
      </vt:variant>
      <vt:variant>
        <vt:i4>5</vt:i4>
      </vt:variant>
      <vt:variant>
        <vt:lpwstr>mailto:otaizacarlos08@gmail.com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2023-01-11T00:18:00Z</cp:lastPrinted>
  <dcterms:created xsi:type="dcterms:W3CDTF">2026-01-06T22:22:00Z</dcterms:created>
  <dcterms:modified xsi:type="dcterms:W3CDTF">2026-01-06T22:26:00Z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