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CC741" w14:textId="77777777" w:rsidR="00602D4B" w:rsidRPr="004D4DED" w:rsidRDefault="00602D4B" w:rsidP="00602D4B">
      <w:pPr>
        <w:tabs>
          <w:tab w:val="left" w:pos="426"/>
        </w:tabs>
        <w:rPr>
          <w:rFonts w:ascii="Verdana" w:hAnsi="Verdana" w:cs="Arial"/>
          <w:b/>
          <w:lang w:val="es-ES" w:eastAsia="es-CO"/>
        </w:rPr>
      </w:pPr>
      <w:bookmarkStart w:id="0" w:name="_Hlk77152637"/>
      <w:bookmarkStart w:id="1" w:name="_Hlk77157066"/>
      <w:bookmarkStart w:id="2" w:name="_Hlk181166130"/>
      <w:bookmarkStart w:id="3" w:name="_Hlk209714638"/>
      <w:r w:rsidRPr="004D4DED">
        <w:rPr>
          <w:rFonts w:ascii="Verdana" w:hAnsi="Verdana" w:cs="Arial"/>
          <w:b/>
          <w:lang w:val="es-ES" w:eastAsia="es-CO"/>
        </w:rPr>
        <w:t>LEY DE GARANTÍAS ELECTORALES ‒</w:t>
      </w:r>
      <w:bookmarkEnd w:id="0"/>
      <w:r w:rsidRPr="004D4DED">
        <w:rPr>
          <w:rFonts w:ascii="Verdana" w:hAnsi="Verdana" w:cs="Arial"/>
          <w:b/>
          <w:lang w:val="es-ES" w:eastAsia="es-CO"/>
        </w:rPr>
        <w:t xml:space="preserve"> Definición – Finalidad</w:t>
      </w:r>
    </w:p>
    <w:bookmarkEnd w:id="1"/>
    <w:p w14:paraId="5294C215" w14:textId="77777777" w:rsidR="00602D4B" w:rsidRPr="00F22AB0" w:rsidRDefault="00602D4B" w:rsidP="00602D4B">
      <w:pPr>
        <w:tabs>
          <w:tab w:val="left" w:pos="426"/>
        </w:tabs>
        <w:jc w:val="both"/>
        <w:rPr>
          <w:rFonts w:ascii="Verdana" w:eastAsia="Calibri" w:hAnsi="Verdana" w:cs="Arial"/>
          <w:noProof/>
          <w:sz w:val="20"/>
          <w:szCs w:val="20"/>
          <w:lang w:val="es-ES_tradnl"/>
        </w:rPr>
      </w:pPr>
      <w:r w:rsidRPr="00F22AB0">
        <w:rPr>
          <w:rFonts w:ascii="Verdana" w:eastAsia="Calibri" w:hAnsi="Verdana" w:cs="Arial"/>
          <w:noProof/>
          <w:sz w:val="20"/>
          <w:szCs w:val="20"/>
          <w:lang w:val="es-ES_tradnl"/>
        </w:rPr>
        <w:t>[…] la Ley 996 de 2005 establece dos (2) tipos de restricciones en materia de contratación, las cuales coinciden parcialmente. En primer lugar,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sidRPr="00F22AB0">
        <w:rPr>
          <w:rFonts w:ascii="Verdana" w:eastAsia="Calibri" w:hAnsi="Verdana" w:cs="Arial"/>
          <w:noProof/>
          <w:sz w:val="20"/>
          <w:szCs w:val="20"/>
        </w:rPr>
        <w:t xml:space="preserve"> </w:t>
      </w:r>
    </w:p>
    <w:p w14:paraId="2FE685AF" w14:textId="28F4BEE8" w:rsidR="00602D4B" w:rsidRPr="009001D4" w:rsidRDefault="00602D4B" w:rsidP="00602D4B">
      <w:pPr>
        <w:jc w:val="both"/>
        <w:rPr>
          <w:rFonts w:ascii="Verdana" w:hAnsi="Verdana" w:cs="Arial"/>
          <w:b/>
          <w:lang w:val="es-ES" w:eastAsia="es-CO"/>
        </w:rPr>
      </w:pPr>
      <w:r w:rsidRPr="004D4DED">
        <w:rPr>
          <w:rFonts w:ascii="Verdana" w:hAnsi="Verdana" w:cs="Arial"/>
          <w:b/>
          <w:bCs/>
          <w:lang w:eastAsia="es-CO"/>
        </w:rPr>
        <w:t xml:space="preserve">LEY DE GARANTÍAS ELECTORALES </w:t>
      </w:r>
      <w:bookmarkStart w:id="4" w:name="_Hlk77166669"/>
      <w:r w:rsidRPr="004D4DED">
        <w:rPr>
          <w:rFonts w:ascii="Verdana" w:hAnsi="Verdana" w:cs="Arial"/>
          <w:b/>
          <w:bCs/>
          <w:lang w:eastAsia="es-CO"/>
        </w:rPr>
        <w:t>‒</w:t>
      </w:r>
      <w:bookmarkEnd w:id="4"/>
      <w:r w:rsidRPr="004D4DED">
        <w:rPr>
          <w:rFonts w:ascii="Verdana" w:hAnsi="Verdana" w:cs="Arial"/>
          <w:b/>
          <w:bCs/>
          <w:lang w:eastAsia="es-CO"/>
        </w:rPr>
        <w:t xml:space="preserve"> </w:t>
      </w:r>
      <w:r w:rsidRPr="004D4DED">
        <w:rPr>
          <w:rFonts w:ascii="Verdana" w:hAnsi="Verdana" w:cs="Arial"/>
          <w:b/>
          <w:lang w:val="es-ES" w:eastAsia="es-CO"/>
        </w:rPr>
        <w:t xml:space="preserve">Prohibición del artículo 33 </w:t>
      </w:r>
      <w:r w:rsidRPr="004D4DED">
        <w:rPr>
          <w:rFonts w:ascii="Verdana" w:hAnsi="Verdana" w:cs="Arial"/>
          <w:b/>
          <w:bCs/>
          <w:lang w:eastAsia="es-CO"/>
        </w:rPr>
        <w:t xml:space="preserve">‒ Destinatarios </w:t>
      </w:r>
    </w:p>
    <w:p w14:paraId="39A34D30" w14:textId="77777777" w:rsidR="00602D4B" w:rsidRPr="00F22AB0" w:rsidRDefault="00602D4B" w:rsidP="00602D4B">
      <w:pPr>
        <w:tabs>
          <w:tab w:val="left" w:pos="426"/>
        </w:tabs>
        <w:jc w:val="both"/>
        <w:rPr>
          <w:rFonts w:ascii="Verdana" w:eastAsia="Calibri" w:hAnsi="Verdana" w:cs="Arial"/>
          <w:noProof/>
          <w:sz w:val="20"/>
          <w:szCs w:val="20"/>
        </w:rPr>
      </w:pPr>
      <w:r w:rsidRPr="00F22AB0">
        <w:rPr>
          <w:rFonts w:ascii="Verdana" w:eastAsia="Calibri" w:hAnsi="Verdana" w:cs="Arial"/>
          <w:noProof/>
          <w:sz w:val="20"/>
          <w:szCs w:val="20"/>
          <w:lang w:val="es-ES_tradnl"/>
        </w:rPr>
        <w:t xml:space="preserve">[…] </w:t>
      </w:r>
      <w:r w:rsidRPr="00F22AB0">
        <w:rPr>
          <w:rFonts w:ascii="Verdana" w:eastAsia="Calibri" w:hAnsi="Verdana" w:cs="Arial"/>
          <w:noProof/>
          <w:sz w:val="20"/>
          <w:szCs w:val="20"/>
        </w:rPr>
        <w:t>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48D4F045" w14:textId="77777777" w:rsidR="00602D4B" w:rsidRPr="00F22AB0" w:rsidRDefault="00602D4B" w:rsidP="00602D4B">
      <w:pPr>
        <w:tabs>
          <w:tab w:val="left" w:pos="426"/>
        </w:tabs>
        <w:jc w:val="both"/>
        <w:rPr>
          <w:rFonts w:ascii="Verdana" w:eastAsia="Calibri" w:hAnsi="Verdana" w:cs="Arial"/>
          <w:noProof/>
          <w:sz w:val="20"/>
          <w:szCs w:val="20"/>
        </w:rPr>
      </w:pPr>
      <w:r w:rsidRPr="00F22AB0">
        <w:rPr>
          <w:rFonts w:ascii="Verdana" w:eastAsia="Calibri" w:hAnsi="Verdana" w:cs="Arial"/>
          <w:noProof/>
          <w:sz w:val="20"/>
          <w:szCs w:val="20"/>
        </w:rPr>
        <w:t xml:space="preserve">Para efectos de la consulta es relevante el quinto evento exceptuado de la prohibición, relacionado con la contratación por parte de las entidades sanitarias y hospitalarias. La aplicación de esta excepción a la restricción impuesta como regla general por el primer inciso del artículo 33, permite que las entidades sanitarias y hospitalarias, ante la importancia de los servicios que prestan para el grueso de la ciudadanía, puedan seguir realizando las compras y adquisiciones que requieren para prestarlos, incluso de manera directa, durante los periodos prelectorales, con lo que se busca garantizar que el interés público no se vea afectado por el rigor de la regla general. </w:t>
      </w:r>
    </w:p>
    <w:p w14:paraId="2C126BFF" w14:textId="77777777" w:rsidR="00602D4B" w:rsidRPr="00F22AB0" w:rsidRDefault="00602D4B" w:rsidP="00602D4B">
      <w:pPr>
        <w:tabs>
          <w:tab w:val="left" w:pos="426"/>
        </w:tabs>
        <w:jc w:val="both"/>
        <w:rPr>
          <w:rFonts w:ascii="Verdana" w:eastAsia="Calibri" w:hAnsi="Verdana" w:cs="Arial"/>
          <w:noProof/>
          <w:sz w:val="20"/>
          <w:szCs w:val="20"/>
        </w:rPr>
      </w:pPr>
      <w:r w:rsidRPr="00F22AB0">
        <w:rPr>
          <w:rFonts w:ascii="Verdana" w:eastAsia="Calibri" w:hAnsi="Verdana" w:cs="Arial"/>
          <w:noProof/>
          <w:sz w:val="20"/>
          <w:szCs w:val="20"/>
        </w:rPr>
        <w:t>El alcance de esta excepción está determinado por la prestación de servicios sanitarios y hospitalarios, por lo que son las entidades públicas directamente encargadas de prestar estos servicios quienes estarían cobijadas por la excepción.</w:t>
      </w:r>
    </w:p>
    <w:p w14:paraId="264F46B8" w14:textId="77777777" w:rsidR="00602D4B" w:rsidRPr="00781AF3" w:rsidRDefault="00602D4B" w:rsidP="00602D4B">
      <w:pPr>
        <w:spacing w:after="0" w:line="240" w:lineRule="auto"/>
      </w:pPr>
    </w:p>
    <w:p w14:paraId="4A58B9F0" w14:textId="77777777" w:rsidR="00602D4B" w:rsidRDefault="00602D4B" w:rsidP="00602D4B">
      <w:pPr>
        <w:spacing w:after="0" w:line="240" w:lineRule="auto"/>
        <w:rPr>
          <w:lang w:val="es-ES"/>
        </w:rPr>
      </w:pPr>
    </w:p>
    <w:p w14:paraId="0D1DECE1" w14:textId="2BA16191" w:rsidR="00602D4B" w:rsidRDefault="00602D4B" w:rsidP="00602D4B">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004416EB">
        <w:rPr>
          <w:rFonts w:ascii="Verdana" w:hAnsi="Verdana"/>
        </w:rPr>
        <w:t>31</w:t>
      </w:r>
      <w:r>
        <w:rPr>
          <w:rFonts w:ascii="Verdana" w:hAnsi="Verdana"/>
        </w:rPr>
        <w:t xml:space="preserve"> de diciembre de 2025.</w:t>
      </w:r>
    </w:p>
    <w:bookmarkEnd w:id="2"/>
    <w:p w14:paraId="50151AED" w14:textId="77777777" w:rsidR="00602D4B" w:rsidRDefault="00602D4B" w:rsidP="00602D4B">
      <w:pPr>
        <w:spacing w:after="0" w:line="240" w:lineRule="auto"/>
        <w:rPr>
          <w:rFonts w:ascii="Verdana" w:hAnsi="Verdana"/>
        </w:rPr>
      </w:pPr>
    </w:p>
    <w:p w14:paraId="204C41E2" w14:textId="54524981" w:rsidR="004416EB" w:rsidRDefault="004416EB" w:rsidP="004416EB">
      <w:pPr>
        <w:spacing w:after="0" w:line="240" w:lineRule="auto"/>
        <w:jc w:val="right"/>
        <w:rPr>
          <w:rFonts w:ascii="Verdana" w:hAnsi="Verdana"/>
        </w:rPr>
      </w:pPr>
    </w:p>
    <w:p w14:paraId="54B6CFDC" w14:textId="73DAB93F" w:rsidR="00602D4B" w:rsidRDefault="007121AF" w:rsidP="00602D4B">
      <w:pPr>
        <w:spacing w:after="0" w:line="240" w:lineRule="auto"/>
        <w:jc w:val="right"/>
        <w:rPr>
          <w:rFonts w:ascii="Verdana" w:hAnsi="Verdana"/>
        </w:rPr>
      </w:pPr>
      <w:r>
        <w:rPr>
          <w:rFonts w:ascii="Verdana" w:hAnsi="Verdana"/>
          <w:noProof/>
        </w:rPr>
        <w:drawing>
          <wp:anchor distT="0" distB="0" distL="114300" distR="114300" simplePos="0" relativeHeight="251658240" behindDoc="0" locked="0" layoutInCell="1" allowOverlap="1" wp14:anchorId="4B91186C" wp14:editId="2901887E">
            <wp:simplePos x="0" y="0"/>
            <wp:positionH relativeFrom="margin">
              <wp:align>right</wp:align>
            </wp:positionH>
            <wp:positionV relativeFrom="paragraph">
              <wp:posOffset>75041</wp:posOffset>
            </wp:positionV>
            <wp:extent cx="2676525" cy="771525"/>
            <wp:effectExtent l="0" t="0" r="9525" b="9525"/>
            <wp:wrapSquare wrapText="bothSides"/>
            <wp:docPr id="20418738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76525" cy="771525"/>
                    </a:xfrm>
                    <a:prstGeom prst="rect">
                      <a:avLst/>
                    </a:prstGeom>
                    <a:noFill/>
                    <a:ln>
                      <a:noFill/>
                    </a:ln>
                  </pic:spPr>
                </pic:pic>
              </a:graphicData>
            </a:graphic>
          </wp:anchor>
        </w:drawing>
      </w:r>
    </w:p>
    <w:p w14:paraId="04511BFE" w14:textId="77777777" w:rsidR="00602D4B" w:rsidRPr="00631045" w:rsidRDefault="00602D4B" w:rsidP="00602D4B">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36AB966C" w14:textId="77777777" w:rsidR="00602D4B" w:rsidRDefault="00602D4B" w:rsidP="00602D4B">
      <w:pPr>
        <w:spacing w:after="0" w:line="240" w:lineRule="auto"/>
        <w:rPr>
          <w:rFonts w:ascii="Verdana" w:eastAsia="Calibri" w:hAnsi="Verdana" w:cs="Arial"/>
          <w:b/>
          <w:bCs/>
          <w:lang w:eastAsia="es-ES"/>
        </w:rPr>
      </w:pPr>
      <w:r>
        <w:rPr>
          <w:rFonts w:ascii="Verdana" w:eastAsia="Calibri" w:hAnsi="Verdana" w:cs="Arial"/>
          <w:b/>
          <w:bCs/>
          <w:lang w:eastAsia="es-ES"/>
        </w:rPr>
        <w:t>LUIS ARTURO ARANGON GIL</w:t>
      </w:r>
    </w:p>
    <w:p w14:paraId="6FB67B15" w14:textId="77777777" w:rsidR="00602D4B" w:rsidRPr="006E30B6" w:rsidRDefault="00602D4B" w:rsidP="00602D4B">
      <w:pPr>
        <w:spacing w:after="0" w:line="240" w:lineRule="auto"/>
        <w:rPr>
          <w:rFonts w:ascii="Verdana" w:hAnsi="Verdana" w:cs="Times New Roman"/>
        </w:rPr>
      </w:pPr>
      <w:hyperlink r:id="rId11" w:history="1">
        <w:r w:rsidRPr="00606886">
          <w:rPr>
            <w:rStyle w:val="Hipervnculo"/>
            <w:rFonts w:ascii="Verdana" w:hAnsi="Verdana" w:cs="Times New Roman"/>
          </w:rPr>
          <w:t>luiarturoaragon@hotmail.com</w:t>
        </w:r>
      </w:hyperlink>
      <w:r>
        <w:rPr>
          <w:rFonts w:ascii="Verdana" w:hAnsi="Verdana" w:cs="Times New Roman"/>
        </w:rPr>
        <w:t xml:space="preserve"> </w:t>
      </w:r>
    </w:p>
    <w:p w14:paraId="469CCA44" w14:textId="77777777" w:rsidR="00602D4B" w:rsidRDefault="00602D4B" w:rsidP="00602D4B">
      <w:pPr>
        <w:spacing w:after="0" w:line="240" w:lineRule="auto"/>
        <w:rPr>
          <w:rFonts w:ascii="Verdana" w:hAnsi="Verdana"/>
        </w:rPr>
      </w:pPr>
      <w:r>
        <w:rPr>
          <w:rFonts w:ascii="Verdana" w:hAnsi="Verdana"/>
        </w:rPr>
        <w:t>La Albania (Guajira)</w:t>
      </w:r>
    </w:p>
    <w:p w14:paraId="08087370" w14:textId="77777777" w:rsidR="00602D4B" w:rsidRDefault="00602D4B" w:rsidP="00602D4B">
      <w:pPr>
        <w:spacing w:after="0" w:line="240" w:lineRule="auto"/>
        <w:rPr>
          <w:rFonts w:ascii="Verdana" w:eastAsia="Calibri" w:hAnsi="Verdana" w:cs="Arial"/>
          <w:color w:val="000000"/>
          <w:lang w:val="es-ES_tradnl" w:eastAsia="es-ES_tradnl"/>
        </w:rPr>
      </w:pPr>
    </w:p>
    <w:p w14:paraId="47415645" w14:textId="77777777" w:rsidR="00602D4B" w:rsidRPr="00FE3DEC" w:rsidRDefault="00602D4B" w:rsidP="00602D4B">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602D4B" w:rsidRPr="00593A5F" w14:paraId="13189115" w14:textId="77777777" w:rsidTr="007502D3">
        <w:trPr>
          <w:trHeight w:val="273"/>
        </w:trPr>
        <w:tc>
          <w:tcPr>
            <w:tcW w:w="2295" w:type="dxa"/>
          </w:tcPr>
          <w:p w14:paraId="309772F4" w14:textId="77777777" w:rsidR="00602D4B" w:rsidRPr="00E5644F" w:rsidRDefault="00602D4B" w:rsidP="007502D3">
            <w:pPr>
              <w:jc w:val="both"/>
              <w:rPr>
                <w:rFonts w:ascii="Verdana" w:eastAsia="Calibri" w:hAnsi="Verdana" w:cs="Arial"/>
                <w:b/>
                <w:bCs/>
                <w:color w:val="7030A0"/>
                <w:lang w:val="es-ES_tradnl" w:eastAsia="es-ES_tradnl"/>
              </w:rPr>
            </w:pPr>
          </w:p>
        </w:tc>
        <w:tc>
          <w:tcPr>
            <w:tcW w:w="6481" w:type="dxa"/>
            <w:gridSpan w:val="2"/>
          </w:tcPr>
          <w:p w14:paraId="3D21C4F8" w14:textId="77777777" w:rsidR="00602D4B" w:rsidRPr="001773DA" w:rsidRDefault="00602D4B" w:rsidP="007502D3">
            <w:pPr>
              <w:jc w:val="both"/>
              <w:rPr>
                <w:rFonts w:ascii="Verdana" w:eastAsia="Calibri" w:hAnsi="Verdana" w:cs="Arial"/>
                <w:b/>
                <w:bCs/>
                <w:lang w:val="es-ES" w:eastAsia="es-ES"/>
              </w:rPr>
            </w:pPr>
            <w:r w:rsidRPr="001773DA">
              <w:rPr>
                <w:rFonts w:ascii="Verdana" w:eastAsia="Calibri" w:hAnsi="Verdana" w:cs="Arial"/>
                <w:b/>
                <w:bCs/>
                <w:lang w:val="es-ES" w:eastAsia="es-ES"/>
              </w:rPr>
              <w:t xml:space="preserve">Concepto C- </w:t>
            </w:r>
            <w:r>
              <w:rPr>
                <w:rFonts w:ascii="Verdana" w:eastAsia="Calibri" w:hAnsi="Verdana" w:cs="Arial"/>
                <w:b/>
                <w:bCs/>
                <w:lang w:val="es-ES" w:eastAsia="es-ES"/>
              </w:rPr>
              <w:t xml:space="preserve">1726 </w:t>
            </w:r>
            <w:r w:rsidRPr="001773DA">
              <w:rPr>
                <w:rFonts w:ascii="Verdana" w:eastAsia="Calibri" w:hAnsi="Verdana" w:cs="Arial"/>
                <w:b/>
                <w:bCs/>
                <w:lang w:val="es-ES" w:eastAsia="es-ES"/>
              </w:rPr>
              <w:t>de 2025</w:t>
            </w:r>
          </w:p>
          <w:p w14:paraId="538E3F20" w14:textId="77777777" w:rsidR="00602D4B" w:rsidRPr="001773DA" w:rsidRDefault="00602D4B" w:rsidP="007502D3">
            <w:pPr>
              <w:jc w:val="both"/>
              <w:rPr>
                <w:rFonts w:ascii="Verdana" w:eastAsia="Calibri" w:hAnsi="Verdana" w:cs="Arial"/>
                <w:b/>
                <w:bCs/>
                <w:color w:val="7030A0"/>
                <w:lang w:val="es-ES" w:eastAsia="es-ES"/>
              </w:rPr>
            </w:pPr>
          </w:p>
        </w:tc>
      </w:tr>
      <w:tr w:rsidR="00602D4B" w:rsidRPr="00280D79" w14:paraId="02E4584A" w14:textId="77777777" w:rsidTr="007502D3">
        <w:trPr>
          <w:trHeight w:val="1583"/>
        </w:trPr>
        <w:tc>
          <w:tcPr>
            <w:tcW w:w="2295" w:type="dxa"/>
          </w:tcPr>
          <w:p w14:paraId="3082A008" w14:textId="77777777" w:rsidR="00602D4B" w:rsidRPr="00593A5F" w:rsidRDefault="00602D4B" w:rsidP="007502D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69A1E53E" w14:textId="10A8709C" w:rsidR="00602D4B" w:rsidRPr="006939EC" w:rsidRDefault="00602D4B" w:rsidP="00F80E30">
            <w:pPr>
              <w:spacing w:line="276" w:lineRule="auto"/>
              <w:jc w:val="both"/>
              <w:rPr>
                <w:rFonts w:ascii="Verdana" w:eastAsia="Calibri" w:hAnsi="Verdana" w:cs="Arial"/>
                <w:b/>
                <w:highlight w:val="yellow"/>
                <w:lang w:val="es-ES" w:eastAsia="es-ES"/>
              </w:rPr>
            </w:pPr>
            <w:r w:rsidRPr="004D4DED">
              <w:rPr>
                <w:rFonts w:ascii="Verdana" w:eastAsia="Calibri" w:hAnsi="Verdana" w:cs="Arial"/>
                <w:lang w:val="es-ES" w:eastAsia="es-ES"/>
              </w:rPr>
              <w:t xml:space="preserve">LEY DE GARANTÍAS ELECTORALES – Prohibición del artículo 33 ‒ Destinatarios </w:t>
            </w:r>
          </w:p>
        </w:tc>
      </w:tr>
      <w:tr w:rsidR="00602D4B" w:rsidRPr="00593A5F" w14:paraId="7F9ADD51" w14:textId="77777777" w:rsidTr="007502D3">
        <w:trPr>
          <w:trHeight w:val="545"/>
        </w:trPr>
        <w:tc>
          <w:tcPr>
            <w:tcW w:w="2295" w:type="dxa"/>
          </w:tcPr>
          <w:p w14:paraId="0D1BBD6B" w14:textId="77777777" w:rsidR="00602D4B" w:rsidRPr="006730E9" w:rsidRDefault="00602D4B" w:rsidP="007502D3">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C3E5DA1" w14:textId="3ADE251D" w:rsidR="00602D4B" w:rsidRPr="006730E9" w:rsidRDefault="00602D4B" w:rsidP="007502D3">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6E30B6">
              <w:rPr>
                <w:rFonts w:ascii="Verdana" w:eastAsia="Calibri" w:hAnsi="Verdana" w:cs="Arial"/>
                <w:lang w:val="es-ES_tradnl" w:eastAsia="es-ES_tradnl"/>
              </w:rPr>
              <w:t>1_2025_11_25_013292</w:t>
            </w:r>
          </w:p>
        </w:tc>
      </w:tr>
      <w:tr w:rsidR="00602D4B" w:rsidRPr="00DB23D2" w14:paraId="13E65485" w14:textId="77777777" w:rsidTr="007502D3">
        <w:trPr>
          <w:gridAfter w:val="1"/>
          <w:wAfter w:w="319" w:type="dxa"/>
          <w:trHeight w:val="242"/>
        </w:trPr>
        <w:tc>
          <w:tcPr>
            <w:tcW w:w="8457" w:type="dxa"/>
            <w:gridSpan w:val="2"/>
          </w:tcPr>
          <w:p w14:paraId="73295672" w14:textId="77777777" w:rsidR="00602D4B" w:rsidRPr="00DB23D2" w:rsidRDefault="00602D4B" w:rsidP="007502D3">
            <w:pPr>
              <w:spacing w:line="276" w:lineRule="auto"/>
              <w:jc w:val="both"/>
              <w:rPr>
                <w:rFonts w:ascii="Verdana" w:eastAsia="Calibri" w:hAnsi="Verdana" w:cs="Arial"/>
                <w:lang w:val="es-ES_tradnl" w:eastAsia="es-ES"/>
              </w:rPr>
            </w:pPr>
          </w:p>
        </w:tc>
      </w:tr>
    </w:tbl>
    <w:p w14:paraId="06452499" w14:textId="77777777" w:rsidR="00602D4B" w:rsidRPr="006730E9" w:rsidRDefault="00602D4B" w:rsidP="00602D4B">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o señor Arangon;</w:t>
      </w:r>
    </w:p>
    <w:p w14:paraId="2599B07D" w14:textId="77777777" w:rsidR="00602D4B" w:rsidRDefault="00602D4B" w:rsidP="00602D4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4147A03" w14:textId="77777777" w:rsidR="00602D4B" w:rsidRPr="006730E9" w:rsidRDefault="00602D4B" w:rsidP="00602D4B">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25 </w:t>
      </w:r>
      <w:r w:rsidRPr="00E72E05">
        <w:rPr>
          <w:rFonts w:ascii="Verdana" w:eastAsia="Calibri" w:hAnsi="Verdana" w:cs="Arial"/>
          <w:lang w:val="es-ES" w:eastAsia="es-ES"/>
        </w:rPr>
        <w:t xml:space="preserve">de </w:t>
      </w:r>
      <w:r>
        <w:rPr>
          <w:rFonts w:ascii="Verdana" w:eastAsia="Calibri" w:hAnsi="Verdana" w:cs="Arial"/>
          <w:lang w:val="es-ES" w:eastAsia="es-ES"/>
        </w:rPr>
        <w:t>noviembre</w:t>
      </w:r>
      <w:r w:rsidRPr="00E72E05">
        <w:rPr>
          <w:rFonts w:ascii="Verdana" w:eastAsia="Calibri" w:hAnsi="Verdana" w:cs="Arial"/>
          <w:lang w:val="es-ES" w:eastAsia="es-ES"/>
        </w:rPr>
        <w:t xml:space="preserve"> de 2025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0998D51" w14:textId="77777777" w:rsidR="00602D4B" w:rsidRPr="001773DA" w:rsidRDefault="00602D4B" w:rsidP="00602D4B">
      <w:pPr>
        <w:spacing w:after="0" w:line="276" w:lineRule="auto"/>
        <w:ind w:left="709" w:right="474"/>
        <w:jc w:val="both"/>
        <w:rPr>
          <w:rFonts w:ascii="Verdana" w:hAnsi="Verdana" w:cs="Arial"/>
          <w:i/>
          <w:iCs/>
          <w:sz w:val="20"/>
          <w:szCs w:val="20"/>
          <w:shd w:val="clear" w:color="auto" w:fill="FFFFFF"/>
        </w:rPr>
      </w:pPr>
      <w:bookmarkStart w:id="5" w:name="_Hlk95313578"/>
    </w:p>
    <w:bookmarkEnd w:id="5"/>
    <w:p w14:paraId="4DCF6086" w14:textId="77777777" w:rsidR="00602D4B" w:rsidRDefault="00602D4B" w:rsidP="00602D4B">
      <w:pPr>
        <w:tabs>
          <w:tab w:val="left" w:pos="142"/>
          <w:tab w:val="left" w:pos="567"/>
        </w:tabs>
        <w:spacing w:after="0" w:line="240" w:lineRule="auto"/>
        <w:ind w:left="709" w:right="709"/>
        <w:jc w:val="both"/>
        <w:rPr>
          <w:rFonts w:ascii="Verdana" w:eastAsia="Century Gothic" w:hAnsi="Verdana" w:cs="Century Gothic"/>
          <w:i/>
          <w:iCs/>
          <w:sz w:val="20"/>
          <w:szCs w:val="20"/>
        </w:rPr>
      </w:pPr>
      <w:r w:rsidRPr="001773DA">
        <w:rPr>
          <w:rFonts w:ascii="Verdana" w:eastAsia="Century Gothic" w:hAnsi="Verdana" w:cs="Century Gothic"/>
          <w:i/>
          <w:iCs/>
          <w:sz w:val="20"/>
          <w:szCs w:val="20"/>
        </w:rPr>
        <w:t xml:space="preserve">“(…) </w:t>
      </w:r>
    </w:p>
    <w:p w14:paraId="27B6D783" w14:textId="77777777" w:rsidR="00602D4B" w:rsidRPr="001773DA" w:rsidRDefault="00602D4B" w:rsidP="00602D4B">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C768678" w14:textId="77777777" w:rsidR="00602D4B" w:rsidRPr="006E30B6" w:rsidRDefault="00602D4B" w:rsidP="00602D4B">
      <w:pPr>
        <w:tabs>
          <w:tab w:val="left" w:pos="142"/>
          <w:tab w:val="left" w:pos="567"/>
        </w:tabs>
        <w:spacing w:after="0" w:line="240" w:lineRule="auto"/>
        <w:ind w:left="709" w:right="709"/>
        <w:jc w:val="both"/>
        <w:rPr>
          <w:rFonts w:ascii="Verdana" w:eastAsia="Century Gothic" w:hAnsi="Verdana" w:cs="Century Gothic"/>
          <w:i/>
          <w:iCs/>
          <w:sz w:val="20"/>
          <w:szCs w:val="20"/>
        </w:rPr>
      </w:pPr>
      <w:r w:rsidRPr="006E30B6">
        <w:rPr>
          <w:rFonts w:ascii="Verdana" w:eastAsia="Century Gothic" w:hAnsi="Verdana" w:cs="Century Gothic"/>
          <w:i/>
          <w:iCs/>
          <w:sz w:val="20"/>
          <w:szCs w:val="20"/>
        </w:rPr>
        <w:t>TENIENDO EN CUENTA, QUE LA LEY DE GARANTIAS ELECTORALES INICIA EL DIA 08 DE NOVIEMBRE</w:t>
      </w:r>
      <w:r>
        <w:rPr>
          <w:rFonts w:ascii="Verdana" w:eastAsia="Century Gothic" w:hAnsi="Verdana" w:cs="Century Gothic"/>
          <w:i/>
          <w:iCs/>
          <w:sz w:val="20"/>
          <w:szCs w:val="20"/>
        </w:rPr>
        <w:t xml:space="preserve"> </w:t>
      </w:r>
      <w:r w:rsidRPr="006E30B6">
        <w:rPr>
          <w:rFonts w:ascii="Verdana" w:eastAsia="Century Gothic" w:hAnsi="Verdana" w:cs="Century Gothic"/>
          <w:i/>
          <w:iCs/>
          <w:sz w:val="20"/>
          <w:szCs w:val="20"/>
        </w:rPr>
        <w:t>DE 2025, EN CUMPLIMIENTO DE LA LEY 996 DE 2005, Y LA MISMA TIENE UNAS LIMITACIONES</w:t>
      </w:r>
      <w:r>
        <w:rPr>
          <w:rFonts w:ascii="Verdana" w:eastAsia="Century Gothic" w:hAnsi="Verdana" w:cs="Century Gothic"/>
          <w:i/>
          <w:iCs/>
          <w:sz w:val="20"/>
          <w:szCs w:val="20"/>
        </w:rPr>
        <w:t xml:space="preserve"> </w:t>
      </w:r>
      <w:r w:rsidRPr="006E30B6">
        <w:rPr>
          <w:rFonts w:ascii="Verdana" w:eastAsia="Century Gothic" w:hAnsi="Verdana" w:cs="Century Gothic"/>
          <w:i/>
          <w:iCs/>
          <w:sz w:val="20"/>
          <w:szCs w:val="20"/>
        </w:rPr>
        <w:t>RESTRICTIVAS PARA LA CELEBRACION DE CONTRATOS DE MANERA DIRECTA, ENTRE ELLOS LOS</w:t>
      </w:r>
      <w:r>
        <w:rPr>
          <w:rFonts w:ascii="Verdana" w:eastAsia="Century Gothic" w:hAnsi="Verdana" w:cs="Century Gothic"/>
          <w:i/>
          <w:iCs/>
          <w:sz w:val="20"/>
          <w:szCs w:val="20"/>
        </w:rPr>
        <w:t xml:space="preserve"> </w:t>
      </w:r>
      <w:r w:rsidRPr="006E30B6">
        <w:rPr>
          <w:rFonts w:ascii="Verdana" w:eastAsia="Century Gothic" w:hAnsi="Verdana" w:cs="Century Gothic"/>
          <w:i/>
          <w:iCs/>
          <w:sz w:val="20"/>
          <w:szCs w:val="20"/>
        </w:rPr>
        <w:t>CONTRATOS DE PRESTACION DE SERVICIOS PROFESIOANLES, PARA TODAS LAS ENTIDADES</w:t>
      </w:r>
      <w:r>
        <w:rPr>
          <w:rFonts w:ascii="Verdana" w:eastAsia="Century Gothic" w:hAnsi="Verdana" w:cs="Century Gothic"/>
          <w:i/>
          <w:iCs/>
          <w:sz w:val="20"/>
          <w:szCs w:val="20"/>
        </w:rPr>
        <w:t xml:space="preserve"> </w:t>
      </w:r>
      <w:r w:rsidRPr="006E30B6">
        <w:rPr>
          <w:rFonts w:ascii="Verdana" w:eastAsia="Century Gothic" w:hAnsi="Verdana" w:cs="Century Gothic"/>
          <w:i/>
          <w:iCs/>
          <w:sz w:val="20"/>
          <w:szCs w:val="20"/>
        </w:rPr>
        <w:t>ESTATALES, EN APLICACION AL PRNCIPIO DE PLANIFICACION Y TRANPARENCIA, POR MUCHO QUE</w:t>
      </w:r>
      <w:r>
        <w:rPr>
          <w:rFonts w:ascii="Verdana" w:eastAsia="Century Gothic" w:hAnsi="Verdana" w:cs="Century Gothic"/>
          <w:i/>
          <w:iCs/>
          <w:sz w:val="20"/>
          <w:szCs w:val="20"/>
        </w:rPr>
        <w:t xml:space="preserve"> </w:t>
      </w:r>
      <w:r w:rsidRPr="006E30B6">
        <w:rPr>
          <w:rFonts w:ascii="Verdana" w:eastAsia="Century Gothic" w:hAnsi="Verdana" w:cs="Century Gothic"/>
          <w:i/>
          <w:iCs/>
          <w:sz w:val="20"/>
          <w:szCs w:val="20"/>
        </w:rPr>
        <w:t>LAS ENTIDADES ESTATALES PLANIFIQUEN SU FUNCIONAMIENTO, POR LIMITACION EN LA ESFERA</w:t>
      </w:r>
      <w:r>
        <w:rPr>
          <w:rFonts w:ascii="Verdana" w:eastAsia="Century Gothic" w:hAnsi="Verdana" w:cs="Century Gothic"/>
          <w:i/>
          <w:iCs/>
          <w:sz w:val="20"/>
          <w:szCs w:val="20"/>
        </w:rPr>
        <w:t xml:space="preserve"> </w:t>
      </w:r>
      <w:r w:rsidRPr="006E30B6">
        <w:rPr>
          <w:rFonts w:ascii="Verdana" w:eastAsia="Century Gothic" w:hAnsi="Verdana" w:cs="Century Gothic"/>
          <w:i/>
          <w:iCs/>
          <w:sz w:val="20"/>
          <w:szCs w:val="20"/>
        </w:rPr>
        <w:t>FINANCIERA Y EN CUMPLIMIENTO DE LA LEY SE DEBE REALIZAR CIERRE FISCAL DE CADA</w:t>
      </w:r>
      <w:r>
        <w:rPr>
          <w:rFonts w:ascii="Verdana" w:eastAsia="Century Gothic" w:hAnsi="Verdana" w:cs="Century Gothic"/>
          <w:i/>
          <w:iCs/>
          <w:sz w:val="20"/>
          <w:szCs w:val="20"/>
        </w:rPr>
        <w:t xml:space="preserve"> </w:t>
      </w:r>
      <w:r w:rsidRPr="006E30B6">
        <w:rPr>
          <w:rFonts w:ascii="Verdana" w:eastAsia="Century Gothic" w:hAnsi="Verdana" w:cs="Century Gothic"/>
          <w:i/>
          <w:iCs/>
          <w:sz w:val="20"/>
          <w:szCs w:val="20"/>
        </w:rPr>
        <w:t xml:space="preserve">VIGENCIA PRESUPUESTAL, COMO DEBEN HACER </w:t>
      </w:r>
      <w:r w:rsidRPr="006E30B6">
        <w:rPr>
          <w:rFonts w:ascii="Verdana" w:eastAsia="Century Gothic" w:hAnsi="Verdana" w:cs="Century Gothic"/>
          <w:i/>
          <w:iCs/>
          <w:sz w:val="20"/>
          <w:szCs w:val="20"/>
        </w:rPr>
        <w:lastRenderedPageBreak/>
        <w:t>LAS ASAMBLEAS DEPARTAMENTALES Y DEMAS</w:t>
      </w:r>
      <w:r>
        <w:rPr>
          <w:rFonts w:ascii="Verdana" w:eastAsia="Century Gothic" w:hAnsi="Verdana" w:cs="Century Gothic"/>
          <w:i/>
          <w:iCs/>
          <w:sz w:val="20"/>
          <w:szCs w:val="20"/>
        </w:rPr>
        <w:t xml:space="preserve"> </w:t>
      </w:r>
      <w:r w:rsidRPr="006E30B6">
        <w:rPr>
          <w:rFonts w:ascii="Verdana" w:eastAsia="Century Gothic" w:hAnsi="Verdana" w:cs="Century Gothic"/>
          <w:i/>
          <w:iCs/>
          <w:sz w:val="20"/>
          <w:szCs w:val="20"/>
        </w:rPr>
        <w:t>ENTIDADES COLEGIADAS PARA SUSCRIBIR CONTRATOS DE PRESTACION DE SERVICIOS</w:t>
      </w:r>
      <w:r>
        <w:rPr>
          <w:rFonts w:ascii="Verdana" w:eastAsia="Century Gothic" w:hAnsi="Verdana" w:cs="Century Gothic"/>
          <w:i/>
          <w:iCs/>
          <w:sz w:val="20"/>
          <w:szCs w:val="20"/>
        </w:rPr>
        <w:t xml:space="preserve"> </w:t>
      </w:r>
      <w:r w:rsidRPr="006E30B6">
        <w:rPr>
          <w:rFonts w:ascii="Verdana" w:eastAsia="Century Gothic" w:hAnsi="Verdana" w:cs="Century Gothic"/>
          <w:i/>
          <w:iCs/>
          <w:sz w:val="20"/>
          <w:szCs w:val="20"/>
        </w:rPr>
        <w:t>PROFESIONALES, PARA EL NORMAL DESARROLLO DE SUS FUNCIONES CONSTITUCIONALES Y</w:t>
      </w:r>
      <w:r>
        <w:rPr>
          <w:rFonts w:ascii="Verdana" w:eastAsia="Century Gothic" w:hAnsi="Verdana" w:cs="Century Gothic"/>
          <w:i/>
          <w:iCs/>
          <w:sz w:val="20"/>
          <w:szCs w:val="20"/>
        </w:rPr>
        <w:t xml:space="preserve"> </w:t>
      </w:r>
      <w:r w:rsidRPr="006E30B6">
        <w:rPr>
          <w:rFonts w:ascii="Verdana" w:eastAsia="Century Gothic" w:hAnsi="Verdana" w:cs="Century Gothic"/>
          <w:i/>
          <w:iCs/>
          <w:sz w:val="20"/>
          <w:szCs w:val="20"/>
        </w:rPr>
        <w:t>LEGALES, YA QUE NO CUENTAN CON PERSONAL PARA DESEMPEÑAR LAS FUNCIONES, CASO DEL</w:t>
      </w:r>
      <w:r>
        <w:rPr>
          <w:rFonts w:ascii="Verdana" w:eastAsia="Century Gothic" w:hAnsi="Verdana" w:cs="Century Gothic"/>
          <w:i/>
          <w:iCs/>
          <w:sz w:val="20"/>
          <w:szCs w:val="20"/>
        </w:rPr>
        <w:t xml:space="preserve"> </w:t>
      </w:r>
      <w:r w:rsidRPr="006E30B6">
        <w:rPr>
          <w:rFonts w:ascii="Verdana" w:eastAsia="Century Gothic" w:hAnsi="Verdana" w:cs="Century Gothic"/>
          <w:i/>
          <w:iCs/>
          <w:sz w:val="20"/>
          <w:szCs w:val="20"/>
        </w:rPr>
        <w:t>DEPARTAMENTO DE LA GUAJIRA, QUE NO TIENE PERSONAL DE PLANTA?</w:t>
      </w:r>
    </w:p>
    <w:p w14:paraId="5A11872E" w14:textId="77777777" w:rsidR="00602D4B" w:rsidRPr="00B350FE" w:rsidRDefault="00602D4B" w:rsidP="00602D4B">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6D7BC487" w14:textId="77777777" w:rsidR="00602D4B" w:rsidRDefault="00602D4B" w:rsidP="00602D4B">
      <w:pPr>
        <w:spacing w:after="0" w:line="276" w:lineRule="auto"/>
        <w:ind w:firstLine="709"/>
        <w:jc w:val="both"/>
        <w:rPr>
          <w:rFonts w:ascii="Verdana" w:eastAsia="Calibri" w:hAnsi="Verdana" w:cs="Arial"/>
          <w:lang w:val="es-ES" w:eastAsia="es-ES"/>
        </w:rPr>
      </w:pPr>
    </w:p>
    <w:p w14:paraId="402F608F" w14:textId="77777777" w:rsidR="00602D4B" w:rsidRPr="00AA3B9F" w:rsidRDefault="00602D4B" w:rsidP="00602D4B">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74982EFA" w14:textId="77777777" w:rsidR="00602D4B" w:rsidRPr="00AA3B9F" w:rsidRDefault="00602D4B" w:rsidP="00602D4B">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0D4F35A5" w14:textId="77777777" w:rsidR="00602D4B" w:rsidRDefault="00602D4B" w:rsidP="00602D4B">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32C9A221" w14:textId="77777777" w:rsidR="00602D4B" w:rsidRDefault="00602D4B" w:rsidP="00602D4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7C5DA5C0" w14:textId="77777777" w:rsidR="00602D4B" w:rsidRDefault="00602D4B" w:rsidP="00602D4B">
      <w:pPr>
        <w:pStyle w:val="Prrafodelista"/>
        <w:tabs>
          <w:tab w:val="left" w:pos="142"/>
          <w:tab w:val="left" w:pos="284"/>
        </w:tabs>
        <w:spacing w:after="0" w:line="276" w:lineRule="auto"/>
        <w:ind w:left="0"/>
        <w:jc w:val="both"/>
        <w:rPr>
          <w:rFonts w:ascii="Verdana" w:eastAsia="Century Gothic" w:hAnsi="Verdana" w:cs="Century Gothic"/>
          <w:b/>
          <w:bCs/>
        </w:rPr>
      </w:pPr>
    </w:p>
    <w:p w14:paraId="2FACA7D1" w14:textId="57583423" w:rsidR="00602D4B" w:rsidRDefault="00602D4B" w:rsidP="00602D4B">
      <w:pPr>
        <w:spacing w:after="0" w:line="276" w:lineRule="auto"/>
        <w:jc w:val="both"/>
        <w:rPr>
          <w:rFonts w:ascii="Verdana" w:eastAsia="Calibri" w:hAnsi="Verdana" w:cs="Arial"/>
          <w:lang w:eastAsia="es-ES"/>
        </w:rPr>
      </w:pPr>
      <w:r w:rsidRPr="152F85F5">
        <w:rPr>
          <w:rFonts w:ascii="Verdana" w:eastAsia="Calibri" w:hAnsi="Verdana" w:cs="Arial"/>
          <w:lang w:eastAsia="es-ES"/>
        </w:rPr>
        <w:t>De acuerdo con el contenido de su solicitud, esta Agencia resolverá el siguiente problema jurídico:</w:t>
      </w:r>
      <w:bookmarkStart w:id="6" w:name="_Hlk196737317"/>
      <w:r w:rsidRPr="152F85F5">
        <w:rPr>
          <w:rFonts w:ascii="Verdana" w:eastAsia="Calibri" w:hAnsi="Verdana" w:cs="Arial"/>
          <w:lang w:eastAsia="es-ES"/>
        </w:rPr>
        <w:t xml:space="preserve"> </w:t>
      </w:r>
      <w:r w:rsidRPr="00965ADE">
        <w:rPr>
          <w:rFonts w:ascii="Verdana" w:eastAsia="Calibri" w:hAnsi="Verdana" w:cs="Arial"/>
          <w:lang w:eastAsia="es-ES"/>
        </w:rPr>
        <w:t>¿</w:t>
      </w:r>
      <w:r w:rsidR="009F2739" w:rsidRPr="009F2739">
        <w:rPr>
          <w:rFonts w:ascii="Verdana" w:eastAsia="Calibri" w:hAnsi="Verdana" w:cs="Arial"/>
          <w:lang w:eastAsia="es-ES"/>
        </w:rPr>
        <w:t>Cuáles son los criterios y límites que deben observar las entidades públicas respecto a la prohibición de contratación directa prevista en el Artículo 33 de la Ley 996 de 2005, específicamente sobre los contratos de prestación de servicios profesionales y de apoyo a la gestión, cuando estos son indispensables para la continuidad del servicio público</w:t>
      </w:r>
      <w:r w:rsidRPr="00965ADE">
        <w:rPr>
          <w:rFonts w:ascii="Verdana" w:eastAsia="Calibri" w:hAnsi="Verdana" w:cs="Arial"/>
          <w:lang w:eastAsia="es-ES"/>
        </w:rPr>
        <w:t>?</w:t>
      </w:r>
    </w:p>
    <w:p w14:paraId="0DAEDA84" w14:textId="77777777" w:rsidR="00602D4B" w:rsidRDefault="00602D4B" w:rsidP="00602D4B">
      <w:pPr>
        <w:spacing w:after="0" w:line="276" w:lineRule="auto"/>
        <w:jc w:val="both"/>
        <w:rPr>
          <w:rFonts w:ascii="Verdana" w:eastAsia="Calibri" w:hAnsi="Verdana" w:cs="Arial"/>
          <w:lang w:eastAsia="es-ES"/>
        </w:rPr>
      </w:pPr>
    </w:p>
    <w:p w14:paraId="0801A86A" w14:textId="77777777" w:rsidR="00602D4B" w:rsidRDefault="00602D4B" w:rsidP="00602D4B">
      <w:pPr>
        <w:spacing w:after="0" w:line="276" w:lineRule="auto"/>
        <w:jc w:val="both"/>
        <w:rPr>
          <w:rFonts w:ascii="Verdana" w:eastAsia="Calibri" w:hAnsi="Verdana" w:cs="Arial"/>
          <w:lang w:eastAsia="es-ES"/>
        </w:rPr>
      </w:pPr>
    </w:p>
    <w:p w14:paraId="42A68F4C" w14:textId="77777777" w:rsidR="00602D4B" w:rsidRDefault="00602D4B" w:rsidP="00602D4B">
      <w:pPr>
        <w:spacing w:after="0" w:line="276" w:lineRule="auto"/>
        <w:jc w:val="both"/>
        <w:rPr>
          <w:rFonts w:ascii="Verdana" w:eastAsia="Calibri" w:hAnsi="Verdana" w:cs="Arial"/>
          <w:lang w:eastAsia="es-ES"/>
        </w:rPr>
      </w:pPr>
    </w:p>
    <w:p w14:paraId="0AD43792" w14:textId="77777777" w:rsidR="00602D4B" w:rsidRDefault="00602D4B" w:rsidP="00602D4B">
      <w:pPr>
        <w:spacing w:after="0" w:line="276" w:lineRule="auto"/>
        <w:jc w:val="both"/>
        <w:rPr>
          <w:rFonts w:ascii="Verdana" w:eastAsia="Calibri" w:hAnsi="Verdana" w:cs="Arial"/>
          <w:lang w:eastAsia="es-ES"/>
        </w:rPr>
      </w:pPr>
    </w:p>
    <w:bookmarkEnd w:id="6"/>
    <w:p w14:paraId="0A64912B" w14:textId="77777777" w:rsidR="00602D4B" w:rsidRDefault="00602D4B" w:rsidP="00602D4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F21C9C7" w14:textId="77777777" w:rsidR="00602D4B" w:rsidRPr="00593A5F" w:rsidRDefault="00602D4B" w:rsidP="00602D4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02D4B" w:rsidRPr="00593A5F" w14:paraId="5C9E0DA3" w14:textId="77777777" w:rsidTr="007502D3">
        <w:tc>
          <w:tcPr>
            <w:tcW w:w="8828" w:type="dxa"/>
          </w:tcPr>
          <w:p w14:paraId="5E46C91C" w14:textId="77777777" w:rsidR="00602D4B" w:rsidRPr="00E529C2" w:rsidRDefault="00602D4B" w:rsidP="007502D3">
            <w:pPr>
              <w:spacing w:before="120" w:line="276" w:lineRule="auto"/>
              <w:jc w:val="both"/>
              <w:rPr>
                <w:rFonts w:ascii="Verdana" w:eastAsia="Calibri" w:hAnsi="Verdana" w:cs="Times New Roman"/>
                <w:lang w:val="es-ES"/>
              </w:rPr>
            </w:pPr>
            <w:r w:rsidRPr="152F85F5">
              <w:rPr>
                <w:rFonts w:ascii="Verdana" w:eastAsia="Calibri" w:hAnsi="Verdana" w:cs="Arial"/>
                <w:lang w:val="es-ES" w:eastAsia="es-ES"/>
              </w:rPr>
              <w:t xml:space="preserve">        </w:t>
            </w:r>
          </w:p>
        </w:tc>
      </w:tr>
      <w:tr w:rsidR="00602D4B" w:rsidRPr="00593A5F" w14:paraId="6FA9C681" w14:textId="77777777" w:rsidTr="007502D3">
        <w:tc>
          <w:tcPr>
            <w:tcW w:w="8828" w:type="dxa"/>
          </w:tcPr>
          <w:p w14:paraId="56E900F8" w14:textId="77777777" w:rsidR="009F2739" w:rsidRPr="009F2739" w:rsidRDefault="009F2739" w:rsidP="009F2739">
            <w:pPr>
              <w:spacing w:after="120" w:line="276" w:lineRule="auto"/>
              <w:ind w:firstLine="709"/>
              <w:jc w:val="both"/>
              <w:rPr>
                <w:rFonts w:ascii="Verdana" w:eastAsia="Calibri" w:hAnsi="Verdana" w:cs="Arial"/>
                <w:bCs/>
                <w:lang w:eastAsia="es-ES_tradnl"/>
              </w:rPr>
            </w:pPr>
            <w:r w:rsidRPr="009F2739">
              <w:rPr>
                <w:rFonts w:ascii="Verdana" w:eastAsia="Calibri" w:hAnsi="Verdana" w:cs="Arial"/>
                <w:bCs/>
                <w:lang w:eastAsia="es-ES_tradnl"/>
              </w:rPr>
              <w:t xml:space="preserve">De manera preliminar, resulta pertinente indicar que la Ley de Garantías Electorales (Ley 996 de 2005) establece restricciones en la contratación pública con el fin de asegurar la transparencia y la equidad del proceso electoral. Específicamente, para las elecciones presidenciales, las restricciones a aplicar son las del artículo 33, el cual dispone que, dentro de los cuatro (4) meses anteriores a la elección presidencial —es decir, desde el 31 de enero de 2026— y hasta el momento de la elección del </w:t>
            </w:r>
            <w:proofErr w:type="gramStart"/>
            <w:r w:rsidRPr="009F2739">
              <w:rPr>
                <w:rFonts w:ascii="Verdana" w:eastAsia="Calibri" w:hAnsi="Verdana" w:cs="Arial"/>
                <w:bCs/>
                <w:lang w:eastAsia="es-ES_tradnl"/>
              </w:rPr>
              <w:t>Presidente</w:t>
            </w:r>
            <w:proofErr w:type="gramEnd"/>
            <w:r w:rsidRPr="009F2739">
              <w:rPr>
                <w:rFonts w:ascii="Verdana" w:eastAsia="Calibri" w:hAnsi="Verdana" w:cs="Arial"/>
                <w:bCs/>
                <w:lang w:eastAsia="es-ES_tradnl"/>
              </w:rPr>
              <w:t xml:space="preserve"> de la República, queda prohibida la contratación directa por parte de todos los entes del Estado.</w:t>
            </w:r>
          </w:p>
          <w:p w14:paraId="43D6FB8A" w14:textId="77777777" w:rsidR="009F2739" w:rsidRPr="009F2739" w:rsidRDefault="009F2739" w:rsidP="009F2739">
            <w:pPr>
              <w:spacing w:after="120" w:line="276" w:lineRule="auto"/>
              <w:ind w:firstLine="709"/>
              <w:jc w:val="both"/>
              <w:rPr>
                <w:rFonts w:ascii="Verdana" w:eastAsia="Calibri" w:hAnsi="Verdana" w:cs="Arial"/>
                <w:bCs/>
                <w:lang w:eastAsia="es-ES_tradnl"/>
              </w:rPr>
            </w:pPr>
            <w:r w:rsidRPr="009F2739">
              <w:rPr>
                <w:rFonts w:ascii="Verdana" w:eastAsia="Calibri" w:hAnsi="Verdana" w:cs="Arial"/>
                <w:bCs/>
                <w:lang w:eastAsia="es-ES_tradnl"/>
              </w:rPr>
              <w:t>Esta prohibición del artículo 33 incluye de forma taxativa los contratos de prestación de servicios profesionales y de apoyo a la gestión, siempre que se pretendan celebrar mediante la modalidad de contratación directa. Por lo tanto, para asegurar el normal funcionamiento de las alcaldías o cualquier otra entidad pública, es imperativo que estos contratos sean debidamente planeados y formalizados antes del 31 de enero de 2026, garantizando así la continuidad administrativa durante el periodo en que rige la restricción.</w:t>
            </w:r>
          </w:p>
          <w:p w14:paraId="297CC7FB" w14:textId="77777777" w:rsidR="009F2739" w:rsidRPr="009F2739" w:rsidRDefault="009F2739" w:rsidP="009F2739">
            <w:pPr>
              <w:spacing w:after="120" w:line="276" w:lineRule="auto"/>
              <w:ind w:firstLine="709"/>
              <w:jc w:val="both"/>
              <w:rPr>
                <w:rFonts w:ascii="Verdana" w:eastAsia="Calibri" w:hAnsi="Verdana" w:cs="Arial"/>
                <w:bCs/>
                <w:lang w:eastAsia="es-ES_tradnl"/>
              </w:rPr>
            </w:pPr>
            <w:r w:rsidRPr="009F2739">
              <w:rPr>
                <w:rFonts w:ascii="Verdana" w:eastAsia="Calibri" w:hAnsi="Verdana" w:cs="Arial"/>
                <w:bCs/>
                <w:lang w:eastAsia="es-ES_tradnl"/>
              </w:rPr>
              <w:t>Es fundamental entender que la finalidad de la Ley de Garantías no es impedir el funcionamiento de la administración pública, sino evitar el uso de recursos con fines proselitistas. Por tanto, si los contratos de prestación de servicios son indispensables para la operación de la entidad, han sido planeados con anterioridad al inicio de la restricción y responden a necesidades reales del servicio, su celebración anticipada es jurídicamente viable y necesaria. De acuerdo con Colombia Compra Eficiente, la ley no debe entenderse como un instrumento de parálisis institucional, sino como una medida preventiva que debe armonizarse con la satisfacción de las necesidades esenciales de la ciudadanía.</w:t>
            </w:r>
          </w:p>
          <w:p w14:paraId="2F491930" w14:textId="77777777" w:rsidR="009F2739" w:rsidRDefault="009F2739" w:rsidP="009F2739">
            <w:pPr>
              <w:spacing w:after="120" w:line="276" w:lineRule="auto"/>
              <w:ind w:firstLine="709"/>
              <w:jc w:val="both"/>
              <w:rPr>
                <w:rFonts w:ascii="Verdana" w:eastAsia="Calibri" w:hAnsi="Verdana" w:cs="Arial"/>
                <w:bCs/>
                <w:lang w:eastAsia="es-ES_tradnl"/>
              </w:rPr>
            </w:pPr>
            <w:r w:rsidRPr="009F2739">
              <w:rPr>
                <w:rFonts w:ascii="Verdana" w:eastAsia="Calibri" w:hAnsi="Verdana" w:cs="Arial"/>
                <w:bCs/>
                <w:lang w:eastAsia="es-ES_tradnl"/>
              </w:rPr>
              <w:t xml:space="preserve">En conclusión, la entidad deberá determinar, bajo los principios de planeación y responsabilidad, cuáles contratos deben suscribirse antes de que entre en vigor la prohibición de contratación directa del artículo 33. </w:t>
            </w:r>
          </w:p>
          <w:p w14:paraId="3310C2C6" w14:textId="3A497638" w:rsidR="009F2739" w:rsidRPr="009F2739" w:rsidRDefault="009F2739" w:rsidP="009F2739">
            <w:pPr>
              <w:spacing w:after="120" w:line="276" w:lineRule="auto"/>
              <w:ind w:firstLine="709"/>
              <w:jc w:val="both"/>
              <w:rPr>
                <w:rFonts w:ascii="Verdana" w:eastAsia="Calibri" w:hAnsi="Verdana" w:cs="Arial"/>
                <w:bCs/>
                <w:lang w:eastAsia="es-ES_tradnl"/>
              </w:rPr>
            </w:pPr>
            <w:r w:rsidRPr="009F2739">
              <w:rPr>
                <w:rFonts w:ascii="Verdana" w:eastAsia="Calibri" w:hAnsi="Verdana" w:cs="Arial"/>
                <w:bCs/>
                <w:lang w:eastAsia="es-ES_tradnl"/>
              </w:rPr>
              <w:t xml:space="preserve">Finalmente, debe advertirse que el análisis de situaciones específicas corresponde a la propia entidad y a sus asesores, pues las afirmaciones aquí </w:t>
            </w:r>
            <w:r w:rsidRPr="009F2739">
              <w:rPr>
                <w:rFonts w:ascii="Verdana" w:eastAsia="Calibri" w:hAnsi="Verdana" w:cs="Arial"/>
                <w:bCs/>
                <w:lang w:eastAsia="es-ES_tradnl"/>
              </w:rPr>
              <w:lastRenderedPageBreak/>
              <w:t>realizadas constituyen elementos de carácter general y no juicios de valor sobre casos concretos, cuya decisión final es responsabilidad de los ordenadores del gasto conforme al principio de juridicidad.</w:t>
            </w:r>
          </w:p>
          <w:p w14:paraId="0A849A6A" w14:textId="47B76F09" w:rsidR="00602D4B" w:rsidRDefault="00602D4B" w:rsidP="009F2739">
            <w:pPr>
              <w:spacing w:after="120" w:line="276" w:lineRule="auto"/>
              <w:ind w:firstLine="709"/>
              <w:jc w:val="both"/>
              <w:rPr>
                <w:rFonts w:ascii="Verdana" w:eastAsia="Calibri" w:hAnsi="Verdana" w:cs="Times New Roman"/>
                <w:lang w:val="es-ES"/>
              </w:rPr>
            </w:pPr>
            <w:r>
              <w:rPr>
                <w:rFonts w:ascii="Verdana" w:eastAsia="Calibri" w:hAnsi="Verdana" w:cs="Arial"/>
                <w:bCs/>
                <w:lang w:eastAsia="es-ES_tradnl"/>
              </w:rPr>
              <w:t xml:space="preserve"> </w:t>
            </w:r>
            <w:r w:rsidR="009F2739">
              <w:rPr>
                <w:rFonts w:ascii="Verdana" w:eastAsia="Calibri" w:hAnsi="Verdana" w:cs="Times New Roman"/>
                <w:lang w:val="es-ES"/>
              </w:rPr>
              <w:t xml:space="preserve">De esta manera, </w:t>
            </w:r>
            <w:r w:rsidRPr="00B00396">
              <w:rPr>
                <w:rFonts w:ascii="Verdana" w:eastAsia="Calibri" w:hAnsi="Verdana" w:cs="Times New Roman"/>
                <w:lang w:val="es-ES"/>
              </w:rPr>
              <w:t xml:space="preserve">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E5F78CB" w14:textId="77777777" w:rsidR="00602D4B" w:rsidRDefault="00602D4B" w:rsidP="007502D3">
            <w:pPr>
              <w:spacing w:line="276" w:lineRule="auto"/>
              <w:ind w:firstLine="709"/>
              <w:jc w:val="both"/>
              <w:rPr>
                <w:rFonts w:ascii="Verdana" w:eastAsia="Calibri" w:hAnsi="Verdana" w:cs="Arial"/>
                <w:bCs/>
                <w:lang w:eastAsia="es-ES_tradnl"/>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5F313CFF" w14:textId="77777777" w:rsidR="00602D4B" w:rsidRDefault="00602D4B" w:rsidP="00602D4B">
      <w:pPr>
        <w:tabs>
          <w:tab w:val="left" w:pos="142"/>
          <w:tab w:val="left" w:pos="284"/>
        </w:tabs>
        <w:spacing w:after="0" w:line="276" w:lineRule="auto"/>
        <w:jc w:val="both"/>
        <w:rPr>
          <w:rFonts w:ascii="Verdana" w:eastAsia="Century Gothic" w:hAnsi="Verdana" w:cs="Century Gothic"/>
          <w:b/>
          <w:bCs/>
          <w:lang w:val="es-ES"/>
        </w:rPr>
      </w:pPr>
    </w:p>
    <w:p w14:paraId="7EFDDF78" w14:textId="77777777" w:rsidR="00602D4B" w:rsidRDefault="00602D4B" w:rsidP="00602D4B">
      <w:pPr>
        <w:tabs>
          <w:tab w:val="left" w:pos="142"/>
          <w:tab w:val="left" w:pos="284"/>
        </w:tabs>
        <w:spacing w:after="0" w:line="276" w:lineRule="auto"/>
        <w:jc w:val="both"/>
        <w:rPr>
          <w:rFonts w:ascii="Verdana" w:eastAsia="Century Gothic" w:hAnsi="Verdana" w:cs="Century Gothic"/>
          <w:b/>
          <w:bCs/>
          <w:lang w:val="es-ES"/>
        </w:rPr>
      </w:pPr>
    </w:p>
    <w:p w14:paraId="6C7300D1" w14:textId="77777777" w:rsidR="00602D4B" w:rsidRPr="00593A5F" w:rsidRDefault="00602D4B" w:rsidP="00602D4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2F34671" w14:textId="77777777" w:rsidR="00602D4B" w:rsidRDefault="00602D4B" w:rsidP="00602D4B">
      <w:pPr>
        <w:spacing w:after="0" w:line="276" w:lineRule="auto"/>
        <w:ind w:firstLine="708"/>
        <w:jc w:val="both"/>
        <w:rPr>
          <w:rFonts w:ascii="Verdana" w:eastAsia="Calibri" w:hAnsi="Verdana" w:cs="Arial"/>
          <w:color w:val="000000" w:themeColor="text1"/>
        </w:rPr>
      </w:pPr>
    </w:p>
    <w:p w14:paraId="19E221EA" w14:textId="77777777" w:rsidR="00602D4B" w:rsidRPr="00461891" w:rsidRDefault="00602D4B" w:rsidP="00602D4B">
      <w:pPr>
        <w:spacing w:line="276" w:lineRule="auto"/>
        <w:jc w:val="both"/>
        <w:rPr>
          <w:rFonts w:ascii="Verdana" w:eastAsia="Times New Roman" w:hAnsi="Verdana" w:cs="Arial"/>
          <w:lang w:eastAsia="es-CO"/>
        </w:rPr>
      </w:pPr>
      <w:bookmarkStart w:id="7" w:name="_Hlk108519028"/>
      <w:r>
        <w:rPr>
          <w:rFonts w:ascii="Verdana" w:eastAsia="Calibri" w:hAnsi="Verdana" w:cs="Arial"/>
          <w:color w:val="000000" w:themeColor="text1"/>
        </w:rPr>
        <w:t xml:space="preserve">        </w:t>
      </w:r>
      <w:r>
        <w:rPr>
          <w:rFonts w:ascii="Verdana" w:eastAsia="Calibri" w:hAnsi="Verdana" w:cs="Arial"/>
          <w:bCs/>
          <w:lang w:eastAsia="es-MX"/>
        </w:rPr>
        <w:t xml:space="preserve"> </w:t>
      </w:r>
      <w:bookmarkEnd w:id="7"/>
      <w:r w:rsidRPr="00461891">
        <w:rPr>
          <w:rFonts w:ascii="Verdana" w:eastAsia="Calibri" w:hAnsi="Verdana" w:cs="Arial"/>
        </w:rPr>
        <w:t>El ordenamiento jurídico colombiano contempla previsiones claras para evitar la obtención de beneficios personales en asuntos propios de la administración pública</w:t>
      </w:r>
      <w:r w:rsidRPr="00461891">
        <w:rPr>
          <w:rFonts w:ascii="Verdana" w:eastAsia="Calibri" w:hAnsi="Verdana" w:cs="Arial"/>
          <w:i/>
        </w:rPr>
        <w:t xml:space="preserve">. </w:t>
      </w:r>
      <w:r w:rsidRPr="00461891">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461891">
        <w:rPr>
          <w:vertAlign w:val="superscript"/>
        </w:rPr>
        <w:footnoteReference w:id="1"/>
      </w:r>
      <w:r w:rsidRPr="00461891">
        <w:rPr>
          <w:rFonts w:ascii="Verdana" w:eastAsia="Calibri" w:hAnsi="Verdana" w:cs="Arial"/>
        </w:rPr>
        <w:t xml:space="preserve">. </w:t>
      </w:r>
    </w:p>
    <w:p w14:paraId="133BBEB7" w14:textId="77777777" w:rsidR="00602D4B" w:rsidRPr="00461891" w:rsidRDefault="00602D4B" w:rsidP="00602D4B">
      <w:pPr>
        <w:tabs>
          <w:tab w:val="left" w:pos="426"/>
        </w:tabs>
        <w:spacing w:after="120" w:line="276" w:lineRule="auto"/>
        <w:ind w:firstLine="709"/>
        <w:jc w:val="both"/>
        <w:rPr>
          <w:rFonts w:ascii="Verdana" w:eastAsia="Calibri" w:hAnsi="Verdana" w:cs="Arial"/>
          <w:lang w:val="es-ES_tradnl"/>
        </w:rPr>
      </w:pPr>
      <w:r w:rsidRPr="00461891">
        <w:rPr>
          <w:rFonts w:ascii="Verdana" w:eastAsia="Times New Roman" w:hAnsi="Verdana" w:cs="Arial"/>
          <w:lang w:eastAsia="es-CO"/>
        </w:rPr>
        <w:lastRenderedPageBreak/>
        <w:t>En el mismo sentido</w:t>
      </w:r>
      <w:r w:rsidRPr="00461891">
        <w:rPr>
          <w:rFonts w:ascii="Verdana" w:eastAsia="Times New Roman" w:hAnsi="Verdana" w:cs="Arial"/>
          <w:lang w:val="es-MX" w:eastAsia="es-CO"/>
        </w:rPr>
        <w:t xml:space="preserve">, </w:t>
      </w:r>
      <w:bookmarkStart w:id="8" w:name="_Hlk99576829"/>
      <w:r w:rsidRPr="00461891">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461891">
        <w:rPr>
          <w:rFonts w:ascii="Verdana" w:eastAsia="Times New Roman" w:hAnsi="Verdana" w:cs="Arial"/>
          <w:vertAlign w:val="superscript"/>
          <w:lang w:val="es-MX" w:eastAsia="es-CO"/>
        </w:rPr>
        <w:footnoteReference w:id="2"/>
      </w:r>
      <w:r w:rsidRPr="00461891">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461891">
        <w:rPr>
          <w:rFonts w:ascii="Verdana" w:eastAsia="Calibri" w:hAnsi="Verdana" w:cs="Arial"/>
          <w:lang w:val="es-ES_tradnl"/>
        </w:rPr>
        <w:t xml:space="preserve"> </w:t>
      </w:r>
      <w:bookmarkEnd w:id="8"/>
    </w:p>
    <w:p w14:paraId="76102880" w14:textId="77777777" w:rsidR="00602D4B" w:rsidRPr="00461891" w:rsidRDefault="00602D4B" w:rsidP="00602D4B">
      <w:pPr>
        <w:tabs>
          <w:tab w:val="left" w:pos="426"/>
        </w:tabs>
        <w:spacing w:after="0" w:line="276" w:lineRule="auto"/>
        <w:ind w:firstLine="709"/>
        <w:jc w:val="both"/>
        <w:rPr>
          <w:rFonts w:ascii="Verdana" w:eastAsia="Times New Roman" w:hAnsi="Verdana" w:cs="Arial"/>
          <w:lang w:val="es-MX" w:eastAsia="es-CO"/>
        </w:rPr>
      </w:pPr>
      <w:r w:rsidRPr="00461891">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4EEB547" w14:textId="77777777" w:rsidR="00602D4B" w:rsidRPr="00461891" w:rsidRDefault="00602D4B" w:rsidP="00602D4B">
      <w:pPr>
        <w:spacing w:after="0" w:line="276" w:lineRule="auto"/>
        <w:ind w:right="709"/>
        <w:contextualSpacing/>
        <w:jc w:val="both"/>
        <w:rPr>
          <w:rFonts w:ascii="Verdana" w:eastAsia="Times New Roman" w:hAnsi="Verdana" w:cs="Arial"/>
          <w:lang w:val="es-ES" w:eastAsia="es-CO"/>
        </w:rPr>
      </w:pPr>
    </w:p>
    <w:p w14:paraId="34AD4B85" w14:textId="77777777" w:rsidR="00602D4B" w:rsidRPr="00461891" w:rsidRDefault="00602D4B" w:rsidP="00602D4B">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ES" w:eastAsia="es-CO"/>
        </w:rPr>
        <w:t xml:space="preserve">“[…] </w:t>
      </w:r>
      <w:r w:rsidRPr="00461891">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7370847" w14:textId="77777777" w:rsidR="00602D4B" w:rsidRPr="00461891" w:rsidRDefault="00602D4B" w:rsidP="00602D4B">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 xml:space="preserve">[…] </w:t>
      </w:r>
    </w:p>
    <w:p w14:paraId="15457944" w14:textId="77777777" w:rsidR="00602D4B" w:rsidRPr="00461891" w:rsidRDefault="00602D4B" w:rsidP="00602D4B">
      <w:pPr>
        <w:spacing w:after="0" w:line="240" w:lineRule="auto"/>
        <w:ind w:right="709"/>
        <w:contextualSpacing/>
        <w:jc w:val="both"/>
        <w:rPr>
          <w:rFonts w:ascii="Verdana" w:eastAsia="Times New Roman" w:hAnsi="Verdana" w:cs="Arial"/>
          <w:sz w:val="20"/>
          <w:szCs w:val="20"/>
          <w:lang w:val="es-MX" w:eastAsia="es-CO"/>
        </w:rPr>
      </w:pPr>
    </w:p>
    <w:p w14:paraId="2549E7B8" w14:textId="77777777" w:rsidR="00602D4B" w:rsidRPr="00461891" w:rsidRDefault="00602D4B" w:rsidP="00602D4B">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61891">
        <w:rPr>
          <w:rFonts w:ascii="Verdana" w:eastAsia="Calibri" w:hAnsi="Verdana" w:cs="Arial"/>
          <w:sz w:val="20"/>
          <w:szCs w:val="20"/>
          <w:vertAlign w:val="superscript"/>
          <w:lang w:val="es-MX"/>
        </w:rPr>
        <w:footnoteReference w:id="3"/>
      </w:r>
    </w:p>
    <w:p w14:paraId="1F4B324C" w14:textId="77777777" w:rsidR="00602D4B" w:rsidRPr="00461891" w:rsidRDefault="00602D4B" w:rsidP="00602D4B">
      <w:pPr>
        <w:spacing w:after="0" w:line="276" w:lineRule="auto"/>
        <w:ind w:firstLine="709"/>
        <w:jc w:val="both"/>
        <w:rPr>
          <w:rFonts w:ascii="Verdana" w:eastAsia="Times New Roman" w:hAnsi="Verdana" w:cs="Arial"/>
          <w:lang w:val="es-MX" w:eastAsia="es-CO"/>
        </w:rPr>
      </w:pPr>
      <w:bookmarkStart w:id="9" w:name="_Hlk78818186"/>
    </w:p>
    <w:p w14:paraId="22D546C8" w14:textId="77777777" w:rsidR="00602D4B" w:rsidRPr="00461891" w:rsidRDefault="00602D4B" w:rsidP="00602D4B">
      <w:pPr>
        <w:spacing w:after="0" w:line="276" w:lineRule="auto"/>
        <w:ind w:firstLine="709"/>
        <w:jc w:val="both"/>
        <w:rPr>
          <w:rFonts w:ascii="Verdana" w:eastAsia="Times New Roman" w:hAnsi="Verdana" w:cs="Arial"/>
          <w:lang w:val="es-MX" w:eastAsia="es-CO"/>
        </w:rPr>
      </w:pPr>
      <w:r w:rsidRPr="00461891">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el actuar de los servidores públicos, evitando interferencias en la contienda electoral, así como la posible desviación de recursos públicos en aspiraciones electorales. </w:t>
      </w:r>
      <w:bookmarkEnd w:id="9"/>
      <w:r w:rsidRPr="00461891">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6B0930D5" w14:textId="77777777" w:rsidR="00602D4B" w:rsidRPr="00461891" w:rsidRDefault="00602D4B" w:rsidP="00602D4B">
      <w:pPr>
        <w:spacing w:after="0" w:line="276" w:lineRule="auto"/>
        <w:ind w:firstLine="709"/>
        <w:jc w:val="both"/>
        <w:rPr>
          <w:rFonts w:ascii="Verdana" w:eastAsia="Times New Roman" w:hAnsi="Verdana" w:cs="Arial"/>
          <w:lang w:val="es-MX" w:eastAsia="es-CO"/>
        </w:rPr>
      </w:pPr>
    </w:p>
    <w:p w14:paraId="5AA354D6" w14:textId="77777777" w:rsidR="00602D4B" w:rsidRPr="00461891" w:rsidRDefault="00602D4B" w:rsidP="00602D4B">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461891">
        <w:rPr>
          <w:rFonts w:ascii="Verdana" w:eastAsia="Times New Roman" w:hAnsi="Verdana" w:cs="Arial"/>
          <w:sz w:val="20"/>
          <w:szCs w:val="20"/>
          <w:lang w:val="es-MX" w:eastAsia="es-CO"/>
        </w:rPr>
        <w:t>legis</w:t>
      </w:r>
      <w:proofErr w:type="spellEnd"/>
      <w:r w:rsidRPr="00461891">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6FA8084" w14:textId="77777777" w:rsidR="00602D4B" w:rsidRPr="00461891" w:rsidRDefault="00602D4B" w:rsidP="00602D4B">
      <w:pPr>
        <w:spacing w:after="0" w:line="240" w:lineRule="auto"/>
        <w:ind w:right="709"/>
        <w:contextualSpacing/>
        <w:jc w:val="both"/>
        <w:rPr>
          <w:rFonts w:ascii="Verdana" w:eastAsia="Times New Roman" w:hAnsi="Verdana" w:cs="Arial"/>
          <w:lang w:val="es-MX" w:eastAsia="es-CO"/>
        </w:rPr>
      </w:pPr>
    </w:p>
    <w:p w14:paraId="13211B93" w14:textId="77777777" w:rsidR="00602D4B" w:rsidRPr="00461891" w:rsidRDefault="00602D4B" w:rsidP="00602D4B">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La jurisprudencia de la Corte Constitucional</w:t>
      </w:r>
      <w:r w:rsidRPr="00461891">
        <w:rPr>
          <w:rFonts w:ascii="Verdana" w:eastAsia="Times New Roman" w:hAnsi="Verdana" w:cs="Arial"/>
          <w:sz w:val="20"/>
          <w:szCs w:val="20"/>
          <w:vertAlign w:val="superscript"/>
          <w:lang w:val="es-MX" w:eastAsia="es-CO"/>
        </w:rPr>
        <w:footnoteReference w:id="4"/>
      </w:r>
      <w:r w:rsidRPr="00461891">
        <w:rPr>
          <w:rFonts w:ascii="Verdana" w:eastAsia="Times New Roman" w:hAnsi="Verdana" w:cs="Arial"/>
          <w:sz w:val="20"/>
          <w:szCs w:val="20"/>
          <w:lang w:val="es-MX" w:eastAsia="es-CO"/>
        </w:rPr>
        <w:t> y del Consejo de Estado</w:t>
      </w:r>
      <w:r w:rsidRPr="00461891">
        <w:rPr>
          <w:rFonts w:ascii="Verdana" w:eastAsia="Times New Roman" w:hAnsi="Verdana" w:cs="Arial"/>
          <w:sz w:val="20"/>
          <w:szCs w:val="20"/>
          <w:vertAlign w:val="superscript"/>
          <w:lang w:val="es-MX" w:eastAsia="es-CO"/>
        </w:rPr>
        <w:footnoteReference w:id="5"/>
      </w:r>
      <w:r w:rsidRPr="00461891">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61891">
        <w:rPr>
          <w:rFonts w:ascii="Verdana" w:eastAsia="Times New Roman" w:hAnsi="Verdana" w:cs="Arial"/>
          <w:sz w:val="20"/>
          <w:szCs w:val="20"/>
          <w:vertAlign w:val="superscript"/>
          <w:lang w:val="es-MX" w:eastAsia="es-CO"/>
        </w:rPr>
        <w:footnoteReference w:id="6"/>
      </w:r>
      <w:r w:rsidRPr="00461891">
        <w:rPr>
          <w:rFonts w:ascii="Verdana" w:eastAsia="Times New Roman" w:hAnsi="Verdana" w:cs="Arial"/>
          <w:sz w:val="20"/>
          <w:szCs w:val="20"/>
          <w:lang w:val="es-MX" w:eastAsia="es-CO"/>
        </w:rPr>
        <w:t>.</w:t>
      </w:r>
    </w:p>
    <w:p w14:paraId="782BA526" w14:textId="77777777" w:rsidR="00602D4B" w:rsidRPr="00461891" w:rsidRDefault="00602D4B" w:rsidP="00602D4B">
      <w:pPr>
        <w:spacing w:after="0" w:line="276" w:lineRule="auto"/>
        <w:jc w:val="both"/>
        <w:rPr>
          <w:rFonts w:ascii="Verdana" w:eastAsia="Calibri" w:hAnsi="Verdana" w:cs="Arial"/>
          <w:bCs/>
          <w:lang w:val="es-ES_tradnl"/>
        </w:rPr>
      </w:pPr>
    </w:p>
    <w:p w14:paraId="3D6B9F56" w14:textId="77777777" w:rsidR="00602D4B" w:rsidRPr="00461891" w:rsidRDefault="00602D4B" w:rsidP="00602D4B">
      <w:pPr>
        <w:spacing w:after="120" w:line="276" w:lineRule="auto"/>
        <w:ind w:firstLine="709"/>
        <w:jc w:val="both"/>
        <w:rPr>
          <w:rFonts w:ascii="Verdana" w:eastAsia="Arial" w:hAnsi="Verdana" w:cs="Arial"/>
          <w:lang w:val="es-ES" w:eastAsia="es-ES" w:bidi="es-ES"/>
        </w:rPr>
      </w:pPr>
      <w:r w:rsidRPr="00461891">
        <w:rPr>
          <w:rFonts w:ascii="Verdana" w:eastAsia="Times New Roman" w:hAnsi="Verdana" w:cs="Arial"/>
          <w:lang w:val="es-MX" w:eastAsia="es-CO"/>
        </w:rPr>
        <w:t>De</w:t>
      </w:r>
      <w:r w:rsidRPr="00461891">
        <w:rPr>
          <w:rFonts w:ascii="Verdana" w:eastAsia="Arial" w:hAnsi="Verdana" w:cs="Arial"/>
          <w:lang w:val="es-ES" w:eastAsia="es-ES" w:bidi="es-ES"/>
        </w:rPr>
        <w:t xml:space="preserve"> conformidad con lo anterior, </w:t>
      </w:r>
      <w:bookmarkStart w:id="10" w:name="_Hlk77236098"/>
      <w:bookmarkStart w:id="11" w:name="_Hlk100679383"/>
      <w:r w:rsidRPr="00461891">
        <w:rPr>
          <w:rFonts w:ascii="Verdana" w:eastAsia="Arial" w:hAnsi="Verdana" w:cs="Arial"/>
          <w:lang w:val="es-ES" w:eastAsia="es-ES" w:bidi="es-ES"/>
        </w:rPr>
        <w:t xml:space="preserve">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4CC7BE2" w14:textId="77777777" w:rsidR="00602D4B" w:rsidRPr="00461891" w:rsidRDefault="00602D4B" w:rsidP="00602D4B">
      <w:pPr>
        <w:spacing w:after="120" w:line="276" w:lineRule="auto"/>
        <w:ind w:firstLine="708"/>
        <w:jc w:val="both"/>
        <w:rPr>
          <w:rFonts w:ascii="Verdana" w:eastAsia="Arial" w:hAnsi="Verdana" w:cs="Arial"/>
          <w:lang w:val="es-ES" w:eastAsia="es-ES" w:bidi="es-ES"/>
        </w:rPr>
      </w:pPr>
      <w:r w:rsidRPr="00461891">
        <w:rPr>
          <w:rFonts w:ascii="Verdana" w:eastAsia="Arial" w:hAnsi="Verdana" w:cs="Arial"/>
          <w:lang w:val="es-ES" w:eastAsia="es-ES" w:bidi="es-ES"/>
        </w:rPr>
        <w:t xml:space="preserve">Precisado el propósito de la Ley, es pertinente señalar que las restricciones consagradas en la citada Ley se dirigen a dos (2) tipos de campañas electorales claramente diferenciadas: las presidenciales y las demás que se adelanten para </w:t>
      </w:r>
      <w:r w:rsidRPr="00461891">
        <w:rPr>
          <w:rFonts w:ascii="Verdana" w:eastAsia="Arial" w:hAnsi="Verdana" w:cs="Arial"/>
          <w:lang w:val="es-ES" w:eastAsia="es-ES" w:bidi="es-ES"/>
        </w:rPr>
        <w:lastRenderedPageBreak/>
        <w:t>la elección de los demás cargos de elección popular, tanto a nivel nacional como territorial.</w:t>
      </w:r>
      <w:bookmarkEnd w:id="10"/>
    </w:p>
    <w:p w14:paraId="13B97E8C" w14:textId="77777777" w:rsidR="00602D4B" w:rsidRPr="00461891" w:rsidRDefault="00602D4B" w:rsidP="00602D4B">
      <w:pPr>
        <w:spacing w:after="120" w:line="276" w:lineRule="auto"/>
        <w:ind w:firstLine="708"/>
        <w:jc w:val="both"/>
        <w:rPr>
          <w:rFonts w:ascii="Verdana" w:eastAsia="Calibri" w:hAnsi="Verdana" w:cs="Arial"/>
        </w:rPr>
      </w:pPr>
      <w:r w:rsidRPr="00461891">
        <w:rPr>
          <w:rFonts w:ascii="Verdana" w:eastAsia="Calibri" w:hAnsi="Verdana" w:cs="Arial"/>
        </w:rPr>
        <w:t xml:space="preserve">Por un lado, el </w:t>
      </w:r>
      <w:r w:rsidRPr="00461891">
        <w:rPr>
          <w:rFonts w:ascii="Verdana" w:eastAsia="Calibri" w:hAnsi="Verdana" w:cs="Arial"/>
          <w:i/>
          <w:iCs/>
        </w:rPr>
        <w:t>artículo 33 de la Ley 996 de 2005</w:t>
      </w:r>
      <w:r w:rsidRPr="00461891">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61891">
        <w:rPr>
          <w:rFonts w:ascii="Verdana" w:eastAsia="Calibri" w:hAnsi="Verdana" w:cs="Arial"/>
          <w:vertAlign w:val="superscript"/>
        </w:rPr>
        <w:footnoteReference w:id="7"/>
      </w:r>
      <w:r w:rsidRPr="00461891">
        <w:rPr>
          <w:rFonts w:ascii="Verdana" w:eastAsia="Calibri" w:hAnsi="Verdana" w:cs="Arial"/>
        </w:rPr>
        <w:t>.</w:t>
      </w:r>
    </w:p>
    <w:p w14:paraId="4E38747C" w14:textId="77777777" w:rsidR="00602D4B" w:rsidRPr="00461891" w:rsidRDefault="00602D4B" w:rsidP="00602D4B">
      <w:pPr>
        <w:widowControl w:val="0"/>
        <w:autoSpaceDE w:val="0"/>
        <w:autoSpaceDN w:val="0"/>
        <w:spacing w:after="120" w:line="276" w:lineRule="auto"/>
        <w:ind w:right="113" w:firstLine="709"/>
        <w:jc w:val="both"/>
        <w:rPr>
          <w:rFonts w:ascii="Verdana" w:eastAsia="Arial" w:hAnsi="Verdana" w:cs="Arial"/>
          <w:lang w:val="es-ES" w:eastAsia="es-ES" w:bidi="es-ES"/>
        </w:rPr>
      </w:pPr>
      <w:r w:rsidRPr="00461891">
        <w:rPr>
          <w:rFonts w:ascii="Verdana" w:eastAsia="Calibri" w:hAnsi="Verdana" w:cs="Arial"/>
        </w:rPr>
        <w:t xml:space="preserve">Por otro lado, </w:t>
      </w:r>
      <w:r w:rsidRPr="00461891">
        <w:rPr>
          <w:rFonts w:ascii="Verdana" w:eastAsia="Calibri" w:hAnsi="Verdana" w:cs="Arial"/>
          <w:i/>
          <w:iCs/>
        </w:rPr>
        <w:t>el parágrafo del artículo 38 de la Ley 996 de 2005</w:t>
      </w:r>
      <w:r w:rsidRPr="00461891">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461891">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61891">
        <w:rPr>
          <w:rFonts w:ascii="Verdana" w:eastAsia="Calibri" w:hAnsi="Verdana" w:cs="Arial"/>
        </w:rPr>
        <w:t>”</w:t>
      </w:r>
      <w:bookmarkEnd w:id="11"/>
      <w:r w:rsidRPr="00461891">
        <w:rPr>
          <w:rFonts w:ascii="Verdana" w:eastAsia="Calibri" w:hAnsi="Verdana" w:cs="Arial"/>
          <w:vertAlign w:val="superscript"/>
        </w:rPr>
        <w:footnoteReference w:id="8"/>
      </w:r>
      <w:r w:rsidRPr="00461891">
        <w:rPr>
          <w:rFonts w:ascii="Verdana" w:eastAsia="Calibri" w:hAnsi="Verdana" w:cs="Arial"/>
          <w:lang w:val="es-MX"/>
        </w:rPr>
        <w:t>.</w:t>
      </w:r>
      <w:r w:rsidRPr="00461891">
        <w:rPr>
          <w:rFonts w:ascii="Verdana" w:eastAsia="Arial" w:hAnsi="Verdana" w:cs="Arial"/>
          <w:lang w:val="es-ES" w:eastAsia="es-ES" w:bidi="es-ES"/>
        </w:rPr>
        <w:t xml:space="preserve"> </w:t>
      </w:r>
    </w:p>
    <w:p w14:paraId="66D998A7" w14:textId="77777777" w:rsidR="00602D4B" w:rsidRPr="00461891" w:rsidRDefault="00602D4B" w:rsidP="00602D4B">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461891">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44C2362E" w14:textId="77777777" w:rsidR="00602D4B" w:rsidRPr="00461891" w:rsidRDefault="00602D4B" w:rsidP="00602D4B">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9A551AF" w14:textId="77777777" w:rsidR="00602D4B" w:rsidRPr="00461891" w:rsidRDefault="00602D4B" w:rsidP="00602D4B">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461891">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14" w:name="_Hlk76109421"/>
      <w:r w:rsidRPr="00461891">
        <w:rPr>
          <w:rFonts w:ascii="Verdana" w:eastAsia="Arial" w:hAnsi="Verdana" w:cs="Arial"/>
          <w:sz w:val="20"/>
          <w:szCs w:val="20"/>
          <w:lang w:eastAsia="es-ES" w:bidi="es-ES"/>
        </w:rPr>
        <w:t>se integran parcialmente</w:t>
      </w:r>
      <w:bookmarkEnd w:id="14"/>
      <w:r w:rsidRPr="00461891">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461891">
        <w:rPr>
          <w:rFonts w:ascii="Verdana" w:eastAsia="Arial" w:hAnsi="Verdana" w:cs="Arial"/>
          <w:sz w:val="20"/>
          <w:szCs w:val="20"/>
          <w:lang w:eastAsia="es-ES" w:bidi="es-ES"/>
        </w:rPr>
        <w:t>Presidente</w:t>
      </w:r>
      <w:proofErr w:type="gramEnd"/>
      <w:r w:rsidRPr="00461891">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461891">
        <w:rPr>
          <w:rFonts w:ascii="Verdana" w:eastAsia="Arial" w:hAnsi="Verdana" w:cs="Arial"/>
          <w:sz w:val="20"/>
          <w:szCs w:val="20"/>
          <w:vertAlign w:val="superscript"/>
          <w:lang w:eastAsia="es-ES" w:bidi="es-ES"/>
        </w:rPr>
        <w:footnoteReference w:id="9"/>
      </w:r>
    </w:p>
    <w:p w14:paraId="063B91A7" w14:textId="77777777" w:rsidR="00602D4B" w:rsidRPr="00461891" w:rsidRDefault="00602D4B" w:rsidP="00602D4B">
      <w:pPr>
        <w:widowControl w:val="0"/>
        <w:autoSpaceDE w:val="0"/>
        <w:autoSpaceDN w:val="0"/>
        <w:spacing w:after="0" w:line="276" w:lineRule="auto"/>
        <w:contextualSpacing/>
        <w:rPr>
          <w:rFonts w:ascii="Verdana" w:eastAsia="Arial" w:hAnsi="Verdana" w:cs="Arial"/>
          <w:lang w:val="es-ES" w:eastAsia="es-ES" w:bidi="es-ES"/>
        </w:rPr>
      </w:pPr>
    </w:p>
    <w:p w14:paraId="364F5670" w14:textId="77777777" w:rsidR="00602D4B" w:rsidRPr="00461891" w:rsidRDefault="00602D4B" w:rsidP="00602D4B">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lang w:val="es-ES" w:eastAsia="es-ES" w:bidi="es-ES"/>
        </w:rPr>
        <w:t xml:space="preserve">De conformidad con lo anterior, </w:t>
      </w:r>
      <w:bookmarkStart w:id="15" w:name="_Hlk77236420"/>
      <w:bookmarkStart w:id="16" w:name="_Hlk78818435"/>
      <w:bookmarkStart w:id="17" w:name="_Hlk75780333"/>
      <w:r w:rsidRPr="00461891">
        <w:rPr>
          <w:rFonts w:ascii="Verdana" w:eastAsia="Arial" w:hAnsi="Verdana" w:cs="Arial"/>
          <w:lang w:val="es-ES" w:eastAsia="es-ES" w:bidi="es-ES"/>
        </w:rPr>
        <w:t xml:space="preserve">la Ley 996 de 2005 establece dos (2) tipos de restricciones en materia de contratación, las cuales coinciden parcialmente. </w:t>
      </w:r>
      <w:r w:rsidRPr="00461891">
        <w:rPr>
          <w:rFonts w:ascii="Verdana" w:eastAsia="Arial" w:hAnsi="Verdana" w:cs="Arial"/>
          <w:i/>
          <w:lang w:val="es-ES" w:eastAsia="es-ES" w:bidi="es-ES"/>
        </w:rPr>
        <w:t>En primer lugar</w:t>
      </w:r>
      <w:r w:rsidRPr="00461891">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61891">
        <w:rPr>
          <w:rFonts w:ascii="Verdana" w:eastAsia="Arial" w:hAnsi="Verdana" w:cs="Arial"/>
          <w:i/>
          <w:lang w:val="es-ES" w:eastAsia="es-ES" w:bidi="es-ES"/>
        </w:rPr>
        <w:t>En segundo lugar</w:t>
      </w:r>
      <w:r w:rsidRPr="00461891">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5"/>
    </w:p>
    <w:bookmarkEnd w:id="16"/>
    <w:p w14:paraId="1CB3C4F5" w14:textId="77777777" w:rsidR="00602D4B" w:rsidRPr="00461891" w:rsidRDefault="00602D4B" w:rsidP="00602D4B">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w:t>
      </w:r>
      <w:r w:rsidRPr="00461891">
        <w:rPr>
          <w:rFonts w:ascii="Verdana" w:eastAsia="Arial" w:hAnsi="Verdana" w:cs="Arial"/>
          <w:lang w:val="es-ES" w:eastAsia="es-ES" w:bidi="es-ES"/>
        </w:rPr>
        <w:lastRenderedPageBreak/>
        <w:t xml:space="preserve">tratándose de elecciones en general, excluyendo las correspondientes al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12ABCB9F" w14:textId="77777777" w:rsidR="00602D4B" w:rsidRPr="00461891" w:rsidRDefault="00602D4B" w:rsidP="00602D4B">
      <w:pPr>
        <w:widowControl w:val="0"/>
        <w:autoSpaceDE w:val="0"/>
        <w:autoSpaceDN w:val="0"/>
        <w:spacing w:after="0" w:line="276" w:lineRule="auto"/>
        <w:ind w:firstLine="709"/>
        <w:contextualSpacing/>
        <w:jc w:val="both"/>
        <w:rPr>
          <w:rFonts w:ascii="Verdana" w:eastAsia="Calibri" w:hAnsi="Verdana" w:cs="Arial"/>
          <w:lang w:eastAsia="es-ES" w:bidi="es-ES"/>
        </w:rPr>
      </w:pPr>
      <w:bookmarkStart w:id="18" w:name="_Hlk78820161"/>
      <w:bookmarkEnd w:id="17"/>
      <w:r w:rsidRPr="00461891">
        <w:rPr>
          <w:rFonts w:ascii="Verdana" w:eastAsia="Calibri" w:hAnsi="Verdana" w:cs="Arial"/>
          <w:lang w:eastAsia="es-ES" w:bidi="es-ES"/>
        </w:rPr>
        <w:t>Así las cosas, las restricciones establecidas en la Ley de Garantías Electorales buscan cumplir el propósito de proteger la democracia participativa y la igualdad entre candidatos, independientemente de la naturaleza de la elección. Por ello, la Ley de Garantías debe ser aplicada sin distinción asegurando que, tanto en elecciones ordinarias como las atípicas, se mantenga la integridad del proceso electoral. Sobre el particular, el Consejo Nacional Electoral en concepto 9519 del 14 de octubre de 2020</w:t>
      </w:r>
      <w:r w:rsidRPr="00461891">
        <w:rPr>
          <w:rFonts w:ascii="Verdana" w:eastAsia="Calibri" w:hAnsi="Verdana" w:cs="Arial"/>
          <w:vertAlign w:val="superscript"/>
          <w:lang w:eastAsia="es-ES" w:bidi="es-ES"/>
        </w:rPr>
        <w:footnoteReference w:id="10"/>
      </w:r>
      <w:r w:rsidRPr="00461891">
        <w:rPr>
          <w:rFonts w:ascii="Verdana" w:eastAsia="Calibri" w:hAnsi="Verdana" w:cs="Arial"/>
          <w:lang w:eastAsia="es-ES" w:bidi="es-ES"/>
        </w:rPr>
        <w:t xml:space="preserve">, frente a la aplicación de la ley de garantías en elecciones atípicas señaló lo siguiente: </w:t>
      </w:r>
    </w:p>
    <w:p w14:paraId="63AF561F" w14:textId="77777777" w:rsidR="00602D4B" w:rsidRPr="00461891" w:rsidRDefault="00602D4B" w:rsidP="00602D4B">
      <w:pPr>
        <w:widowControl w:val="0"/>
        <w:autoSpaceDE w:val="0"/>
        <w:autoSpaceDN w:val="0"/>
        <w:spacing w:after="0" w:line="276" w:lineRule="auto"/>
        <w:ind w:firstLine="709"/>
        <w:contextualSpacing/>
        <w:jc w:val="both"/>
        <w:rPr>
          <w:rFonts w:ascii="Verdana" w:eastAsia="Calibri" w:hAnsi="Verdana" w:cs="Arial"/>
          <w:lang w:eastAsia="es-ES" w:bidi="es-ES"/>
        </w:rPr>
      </w:pPr>
    </w:p>
    <w:p w14:paraId="5887C86A" w14:textId="77777777" w:rsidR="00602D4B" w:rsidRPr="00461891" w:rsidRDefault="00602D4B" w:rsidP="00602D4B">
      <w:pPr>
        <w:widowControl w:val="0"/>
        <w:autoSpaceDE w:val="0"/>
        <w:autoSpaceDN w:val="0"/>
        <w:spacing w:after="0" w:line="240" w:lineRule="auto"/>
        <w:ind w:left="709" w:right="616"/>
        <w:contextualSpacing/>
        <w:jc w:val="both"/>
        <w:rPr>
          <w:rFonts w:ascii="Verdana" w:eastAsia="Calibri" w:hAnsi="Verdana" w:cs="Arial"/>
          <w:sz w:val="20"/>
          <w:szCs w:val="20"/>
          <w:lang w:eastAsia="es-ES" w:bidi="es-ES"/>
        </w:rPr>
      </w:pPr>
      <w:r w:rsidRPr="00461891">
        <w:rPr>
          <w:rFonts w:ascii="Verdana" w:eastAsia="Calibri" w:hAnsi="Verdana" w:cs="Arial"/>
          <w:sz w:val="20"/>
          <w:szCs w:val="20"/>
          <w:lang w:eastAsia="es-ES" w:bidi="es-ES"/>
        </w:rPr>
        <w:t xml:space="preserve">“En esta elección atípica como evento electoral extraordinario que se realiza por fuera del calendario electoral ordinario, con el fin de cubrir la vacancia absoluta de un mandatario y elegir una autoridad por el tiempo que resta del periodo constitucional del cargo, siempre y cuando esta vacancia se registre faltando 18 meses o más para la terminación de dicho periodo, como es el caso concreto </w:t>
      </w:r>
      <w:r w:rsidRPr="00461891">
        <w:rPr>
          <w:rFonts w:ascii="Verdana" w:eastAsia="Calibri" w:hAnsi="Verdana" w:cs="Arial"/>
          <w:i/>
          <w:iCs/>
          <w:sz w:val="20"/>
          <w:szCs w:val="20"/>
          <w:lang w:eastAsia="es-ES" w:bidi="es-ES"/>
        </w:rPr>
        <w:t>solo le es aplicable de la Ley 996 de 2005 el parágrafo del artículo 38</w:t>
      </w:r>
      <w:r w:rsidRPr="00461891">
        <w:rPr>
          <w:rFonts w:ascii="Verdana" w:eastAsia="Calibri" w:hAnsi="Verdana" w:cs="Arial"/>
          <w:sz w:val="20"/>
          <w:szCs w:val="20"/>
          <w:lang w:eastAsia="es-ES" w:bidi="es-ES"/>
        </w:rPr>
        <w:t xml:space="preserve"> y enunciado en el numeral 3.1.2 de los fundamentos jurídicos.</w:t>
      </w:r>
    </w:p>
    <w:p w14:paraId="6C206C96" w14:textId="77777777" w:rsidR="00602D4B" w:rsidRPr="00461891" w:rsidRDefault="00602D4B" w:rsidP="00602D4B">
      <w:pPr>
        <w:widowControl w:val="0"/>
        <w:autoSpaceDE w:val="0"/>
        <w:autoSpaceDN w:val="0"/>
        <w:spacing w:after="0" w:line="240" w:lineRule="auto"/>
        <w:ind w:firstLine="709"/>
        <w:contextualSpacing/>
        <w:jc w:val="both"/>
        <w:rPr>
          <w:rFonts w:ascii="Verdana" w:eastAsia="Calibri" w:hAnsi="Verdana" w:cs="Arial"/>
          <w:sz w:val="20"/>
          <w:szCs w:val="20"/>
          <w:lang w:eastAsia="es-ES" w:bidi="es-ES"/>
        </w:rPr>
      </w:pPr>
    </w:p>
    <w:p w14:paraId="32F2ADC7" w14:textId="77777777" w:rsidR="00602D4B" w:rsidRPr="00461891" w:rsidRDefault="00602D4B" w:rsidP="00602D4B">
      <w:pPr>
        <w:widowControl w:val="0"/>
        <w:autoSpaceDE w:val="0"/>
        <w:autoSpaceDN w:val="0"/>
        <w:spacing w:after="0" w:line="240" w:lineRule="auto"/>
        <w:ind w:left="709" w:right="616"/>
        <w:contextualSpacing/>
        <w:jc w:val="both"/>
        <w:rPr>
          <w:rFonts w:ascii="Verdana" w:hAnsi="Verdana"/>
          <w:sz w:val="20"/>
          <w:szCs w:val="20"/>
        </w:rPr>
      </w:pPr>
      <w:r w:rsidRPr="00461891">
        <w:rPr>
          <w:rFonts w:ascii="Verdana" w:hAnsi="Verdana"/>
          <w:sz w:val="20"/>
          <w:szCs w:val="20"/>
        </w:rPr>
        <w:t xml:space="preserve">Por lo expuesto, en los procesos </w:t>
      </w:r>
      <w:proofErr w:type="spellStart"/>
      <w:r w:rsidRPr="00461891">
        <w:rPr>
          <w:rFonts w:ascii="Verdana" w:hAnsi="Verdana"/>
          <w:sz w:val="20"/>
          <w:szCs w:val="20"/>
        </w:rPr>
        <w:t>pre-electorales</w:t>
      </w:r>
      <w:proofErr w:type="spellEnd"/>
      <w:r w:rsidRPr="00461891">
        <w:rPr>
          <w:rFonts w:ascii="Verdana" w:hAnsi="Verdana"/>
          <w:sz w:val="20"/>
          <w:szCs w:val="20"/>
        </w:rPr>
        <w:t xml:space="preserve"> de estas elecciones atípicos para Alcaldía Municipal, deben seguirse las siguientes reglas: </w:t>
      </w:r>
    </w:p>
    <w:p w14:paraId="23018BBA" w14:textId="77777777" w:rsidR="00602D4B" w:rsidRPr="00461891" w:rsidRDefault="00602D4B" w:rsidP="00602D4B">
      <w:pPr>
        <w:widowControl w:val="0"/>
        <w:autoSpaceDE w:val="0"/>
        <w:autoSpaceDN w:val="0"/>
        <w:spacing w:after="0" w:line="240" w:lineRule="auto"/>
        <w:ind w:left="709" w:right="616"/>
        <w:contextualSpacing/>
        <w:jc w:val="both"/>
        <w:rPr>
          <w:rFonts w:ascii="Verdana" w:hAnsi="Verdana"/>
          <w:sz w:val="20"/>
          <w:szCs w:val="20"/>
        </w:rPr>
      </w:pPr>
    </w:p>
    <w:p w14:paraId="0D5A2FA5" w14:textId="77777777" w:rsidR="00602D4B" w:rsidRPr="00461891" w:rsidRDefault="00602D4B" w:rsidP="00602D4B">
      <w:pPr>
        <w:widowControl w:val="0"/>
        <w:autoSpaceDE w:val="0"/>
        <w:autoSpaceDN w:val="0"/>
        <w:spacing w:after="0" w:line="240" w:lineRule="auto"/>
        <w:ind w:left="709" w:right="616"/>
        <w:contextualSpacing/>
        <w:jc w:val="both"/>
        <w:rPr>
          <w:rFonts w:ascii="Verdana" w:hAnsi="Verdana"/>
          <w:sz w:val="20"/>
          <w:szCs w:val="20"/>
        </w:rPr>
      </w:pPr>
      <w:r w:rsidRPr="00461891">
        <w:rPr>
          <w:rFonts w:ascii="Verdana" w:hAnsi="Verdana"/>
          <w:sz w:val="20"/>
          <w:szCs w:val="20"/>
        </w:rPr>
        <w:t xml:space="preserve">a) Los gobernadores, alcaldes municipales o distritales, secretarios, gerentes y directores de las entidades descentralizadas del orden municipal, departamental o distrital no pueden celebrar convenios interadministrativos para la ejecución de recursos públicos, ni participar, promover o destinar recursos públicos de las entidades a su cargo, como tampoco de las que participen como miembros de sus juntas directivas, en o para reuniones de carácter proselitista dentro de los cuatro (4) meses anteriores a las elecciones. </w:t>
      </w:r>
    </w:p>
    <w:p w14:paraId="57E294F2" w14:textId="77777777" w:rsidR="00602D4B" w:rsidRPr="00461891" w:rsidRDefault="00602D4B" w:rsidP="00602D4B">
      <w:pPr>
        <w:widowControl w:val="0"/>
        <w:autoSpaceDE w:val="0"/>
        <w:autoSpaceDN w:val="0"/>
        <w:spacing w:after="0" w:line="240" w:lineRule="auto"/>
        <w:ind w:left="709" w:right="616"/>
        <w:contextualSpacing/>
        <w:jc w:val="both"/>
        <w:rPr>
          <w:rFonts w:ascii="Verdana" w:hAnsi="Verdana"/>
          <w:sz w:val="20"/>
          <w:szCs w:val="20"/>
        </w:rPr>
      </w:pPr>
    </w:p>
    <w:p w14:paraId="2A78F71C" w14:textId="77777777" w:rsidR="00602D4B" w:rsidRPr="00461891" w:rsidRDefault="00602D4B" w:rsidP="00602D4B">
      <w:pPr>
        <w:widowControl w:val="0"/>
        <w:autoSpaceDE w:val="0"/>
        <w:autoSpaceDN w:val="0"/>
        <w:spacing w:after="0" w:line="240" w:lineRule="auto"/>
        <w:ind w:left="709" w:right="616"/>
        <w:contextualSpacing/>
        <w:jc w:val="both"/>
        <w:rPr>
          <w:rFonts w:ascii="Verdana" w:hAnsi="Verdana"/>
          <w:sz w:val="20"/>
          <w:szCs w:val="20"/>
        </w:rPr>
      </w:pPr>
      <w:r w:rsidRPr="00461891">
        <w:rPr>
          <w:rFonts w:ascii="Verdana" w:hAnsi="Verdana"/>
          <w:sz w:val="20"/>
          <w:szCs w:val="20"/>
        </w:rPr>
        <w:t>(….)</w:t>
      </w:r>
    </w:p>
    <w:p w14:paraId="7DACB5EC" w14:textId="77777777" w:rsidR="00602D4B" w:rsidRPr="00461891" w:rsidRDefault="00602D4B" w:rsidP="00602D4B">
      <w:pPr>
        <w:widowControl w:val="0"/>
        <w:autoSpaceDE w:val="0"/>
        <w:autoSpaceDN w:val="0"/>
        <w:spacing w:after="0" w:line="240" w:lineRule="auto"/>
        <w:ind w:left="709" w:right="616"/>
        <w:contextualSpacing/>
        <w:jc w:val="both"/>
        <w:rPr>
          <w:rFonts w:ascii="Verdana" w:hAnsi="Verdana"/>
          <w:sz w:val="20"/>
          <w:szCs w:val="20"/>
        </w:rPr>
      </w:pPr>
    </w:p>
    <w:p w14:paraId="65CC2D3F" w14:textId="77777777" w:rsidR="00602D4B" w:rsidRPr="00461891" w:rsidRDefault="00602D4B" w:rsidP="00602D4B">
      <w:pPr>
        <w:widowControl w:val="0"/>
        <w:autoSpaceDE w:val="0"/>
        <w:autoSpaceDN w:val="0"/>
        <w:spacing w:after="0" w:line="240" w:lineRule="auto"/>
        <w:ind w:left="709" w:right="616"/>
        <w:contextualSpacing/>
        <w:jc w:val="both"/>
        <w:rPr>
          <w:rFonts w:ascii="Verdana" w:eastAsia="Calibri" w:hAnsi="Verdana" w:cs="Arial"/>
          <w:sz w:val="20"/>
          <w:szCs w:val="20"/>
          <w:lang w:eastAsia="es-ES" w:bidi="es-ES"/>
        </w:rPr>
      </w:pPr>
      <w:r w:rsidRPr="00461891">
        <w:rPr>
          <w:rFonts w:ascii="Verdana" w:hAnsi="Verdana"/>
          <w:sz w:val="20"/>
          <w:szCs w:val="20"/>
        </w:rPr>
        <w:t xml:space="preserve">Ahora bien, como se referenció previamente, las normas vigentes establecen que entre el Decreto que convoca a elecciones complementarias, y la votación para las mismas transcurren aproximadamente 60 días o lo que es lo mismo, dos (2) meses. En consecuencia, si la norma establece un plazo aproximado de 60 días para que se celebren las votaciones complementarias, no es posible aplicar al </w:t>
      </w:r>
      <w:r w:rsidRPr="00461891">
        <w:rPr>
          <w:rFonts w:ascii="Verdana" w:hAnsi="Verdana"/>
          <w:sz w:val="20"/>
          <w:szCs w:val="20"/>
        </w:rPr>
        <w:lastRenderedPageBreak/>
        <w:t>efecto la prohibición de modificar nómina y de celebrar convenios interadministrativos, dentro de los cuatro (4) meses anteriores a las elecciones, contemplados en el parágrafo del artículo 38 de la Ley 996 de 2005”. (Énfasis por fuera de texto)</w:t>
      </w:r>
    </w:p>
    <w:p w14:paraId="64F0B64E" w14:textId="77777777" w:rsidR="00602D4B" w:rsidRPr="00461891" w:rsidRDefault="00602D4B" w:rsidP="00602D4B">
      <w:pPr>
        <w:widowControl w:val="0"/>
        <w:autoSpaceDE w:val="0"/>
        <w:autoSpaceDN w:val="0"/>
        <w:spacing w:after="0" w:line="276" w:lineRule="auto"/>
        <w:ind w:firstLine="709"/>
        <w:contextualSpacing/>
        <w:jc w:val="both"/>
        <w:rPr>
          <w:rFonts w:ascii="Verdana" w:eastAsia="Calibri" w:hAnsi="Verdana" w:cs="Arial"/>
          <w:lang w:eastAsia="es-ES" w:bidi="es-ES"/>
        </w:rPr>
      </w:pPr>
    </w:p>
    <w:bookmarkEnd w:id="18"/>
    <w:p w14:paraId="3E36A751" w14:textId="77777777" w:rsidR="003340B4" w:rsidRPr="009F2739" w:rsidRDefault="009F2739" w:rsidP="003340B4">
      <w:pPr>
        <w:spacing w:after="120" w:line="276" w:lineRule="auto"/>
        <w:ind w:firstLine="709"/>
        <w:jc w:val="both"/>
        <w:rPr>
          <w:rFonts w:ascii="Verdana" w:eastAsia="Calibri" w:hAnsi="Verdana" w:cs="Arial"/>
          <w:bCs/>
          <w:lang w:eastAsia="es-ES_tradnl"/>
        </w:rPr>
      </w:pPr>
      <w:r>
        <w:rPr>
          <w:rFonts w:ascii="Verdana" w:eastAsia="Calibri" w:hAnsi="Verdana" w:cs="Times New Roman"/>
          <w:lang w:val="es-ES"/>
        </w:rPr>
        <w:t>Ahora bien, en atención al problema jurídico planteado</w:t>
      </w:r>
      <w:r w:rsidR="003340B4">
        <w:rPr>
          <w:rFonts w:ascii="Verdana" w:eastAsia="Calibri" w:hAnsi="Verdana" w:cs="Times New Roman"/>
          <w:lang w:val="es-ES"/>
        </w:rPr>
        <w:t xml:space="preserve"> </w:t>
      </w:r>
      <w:r w:rsidR="003340B4" w:rsidRPr="009F2739">
        <w:rPr>
          <w:rFonts w:ascii="Verdana" w:eastAsia="Calibri" w:hAnsi="Verdana" w:cs="Arial"/>
          <w:bCs/>
          <w:lang w:eastAsia="es-ES_tradnl"/>
        </w:rPr>
        <w:t>prohibición del artículo 33 incluye de forma taxativa los contratos de prestación de servicios profesionales y de apoyo a la gestión, siempre que se pretendan celebrar mediante la modalidad de contratación directa. Por lo tanto, para asegurar el normal funcionamiento de las alcaldías o cualquier otra entidad pública, es imperativo que estos contratos sean debidamente planeados y formalizados antes del 31 de enero de 2026, garantizando así la continuidad administrativa durante el periodo en que rige la restricción.</w:t>
      </w:r>
    </w:p>
    <w:p w14:paraId="51BDB0F5" w14:textId="77777777" w:rsidR="003340B4" w:rsidRPr="009F2739" w:rsidRDefault="003340B4" w:rsidP="003340B4">
      <w:pPr>
        <w:spacing w:after="120" w:line="276" w:lineRule="auto"/>
        <w:ind w:firstLine="709"/>
        <w:jc w:val="both"/>
        <w:rPr>
          <w:rFonts w:ascii="Verdana" w:eastAsia="Calibri" w:hAnsi="Verdana" w:cs="Arial"/>
          <w:bCs/>
          <w:lang w:eastAsia="es-ES_tradnl"/>
        </w:rPr>
      </w:pPr>
      <w:r w:rsidRPr="009F2739">
        <w:rPr>
          <w:rFonts w:ascii="Verdana" w:eastAsia="Calibri" w:hAnsi="Verdana" w:cs="Arial"/>
          <w:bCs/>
          <w:lang w:eastAsia="es-ES_tradnl"/>
        </w:rPr>
        <w:t>Es fundamental entender que la finalidad de la Ley de Garantías no es impedir el funcionamiento de la administración pública, sino evitar el uso de recursos con fines proselitistas. Por tanto, si los contratos de prestación de servicios son indispensables para la operación de la entidad, han sido planeados con anterioridad al inicio de la restricción y responden a necesidades reales del servicio, su celebración anticipada es jurídicamente viable y necesaria. De acuerdo con Colombia Compra Eficiente, la ley no debe entenderse como un instrumento de parálisis institucional, sino como una medida preventiva que debe armonizarse con la satisfacción de las necesidades esenciales de la ciudadanía.</w:t>
      </w:r>
    </w:p>
    <w:p w14:paraId="753A7B5F" w14:textId="77777777" w:rsidR="003340B4" w:rsidRDefault="003340B4" w:rsidP="003340B4">
      <w:pPr>
        <w:spacing w:after="120" w:line="276" w:lineRule="auto"/>
        <w:ind w:firstLine="709"/>
        <w:jc w:val="both"/>
        <w:rPr>
          <w:rFonts w:ascii="Verdana" w:eastAsia="Calibri" w:hAnsi="Verdana" w:cs="Arial"/>
          <w:bCs/>
          <w:lang w:eastAsia="es-ES_tradnl"/>
        </w:rPr>
      </w:pPr>
      <w:r w:rsidRPr="009F2739">
        <w:rPr>
          <w:rFonts w:ascii="Verdana" w:eastAsia="Calibri" w:hAnsi="Verdana" w:cs="Arial"/>
          <w:bCs/>
          <w:lang w:eastAsia="es-ES_tradnl"/>
        </w:rPr>
        <w:t xml:space="preserve">En conclusión, la entidad deberá determinar, bajo los principios de planeación y responsabilidad, cuáles contratos deben suscribirse antes de que entre en vigor la prohibición de contratación directa del artículo 33. </w:t>
      </w:r>
    </w:p>
    <w:p w14:paraId="5F9BD994" w14:textId="77777777" w:rsidR="003340B4" w:rsidRPr="009F2739" w:rsidRDefault="003340B4" w:rsidP="003340B4">
      <w:pPr>
        <w:spacing w:after="120" w:line="276" w:lineRule="auto"/>
        <w:ind w:firstLine="709"/>
        <w:jc w:val="both"/>
        <w:rPr>
          <w:rFonts w:ascii="Verdana" w:eastAsia="Calibri" w:hAnsi="Verdana" w:cs="Arial"/>
          <w:bCs/>
          <w:lang w:eastAsia="es-ES_tradnl"/>
        </w:rPr>
      </w:pPr>
      <w:r w:rsidRPr="009F2739">
        <w:rPr>
          <w:rFonts w:ascii="Verdana" w:eastAsia="Calibri" w:hAnsi="Verdana" w:cs="Arial"/>
          <w:bCs/>
          <w:lang w:eastAsia="es-ES_tradnl"/>
        </w:rPr>
        <w:t>Finalmente, debe advertirse que el análisis de situaciones específicas corresponde a la propia entidad y a sus asesores, pues las afirmaciones aquí realizadas constituyen elementos de carácter general y no juicios de valor sobre casos concretos, cuya decisión final es responsabilidad de los ordenadores del gasto conforme al principio de juridicidad.</w:t>
      </w:r>
    </w:p>
    <w:p w14:paraId="78F6FC85" w14:textId="77777777" w:rsidR="003340B4" w:rsidRDefault="003340B4" w:rsidP="003340B4">
      <w:pPr>
        <w:spacing w:after="120" w:line="276" w:lineRule="auto"/>
        <w:ind w:firstLine="709"/>
        <w:jc w:val="both"/>
        <w:rPr>
          <w:rFonts w:ascii="Verdana" w:eastAsia="Calibri" w:hAnsi="Verdana" w:cs="Times New Roman"/>
          <w:lang w:val="es-ES"/>
        </w:rPr>
      </w:pPr>
      <w:r>
        <w:rPr>
          <w:rFonts w:ascii="Verdana" w:eastAsia="Calibri" w:hAnsi="Verdana" w:cs="Arial"/>
          <w:bCs/>
          <w:lang w:eastAsia="es-ES_tradnl"/>
        </w:rPr>
        <w:t xml:space="preserve"> </w:t>
      </w:r>
      <w:r>
        <w:rPr>
          <w:rFonts w:ascii="Verdana" w:eastAsia="Calibri" w:hAnsi="Verdana" w:cs="Times New Roman"/>
          <w:lang w:val="es-ES"/>
        </w:rPr>
        <w:t xml:space="preserve">De esta manera, </w:t>
      </w:r>
      <w:r w:rsidRPr="00B00396">
        <w:rPr>
          <w:rFonts w:ascii="Verdana" w:eastAsia="Calibri" w:hAnsi="Verdana" w:cs="Times New Roman"/>
          <w:lang w:val="es-ES"/>
        </w:rPr>
        <w:t xml:space="preserve">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w:t>
      </w:r>
      <w:r w:rsidRPr="00DB4737">
        <w:rPr>
          <w:rFonts w:ascii="Verdana" w:eastAsia="Calibri" w:hAnsi="Verdana" w:cs="Times New Roman"/>
          <w:lang w:val="es-ES"/>
        </w:rPr>
        <w:lastRenderedPageBreak/>
        <w:t>solución de situaciones particulares corresponderá a los interesados de adoptar la decisión y, en caso de conflicto, a las autoridades judiciales, fiscales y disciplinarias.</w:t>
      </w:r>
    </w:p>
    <w:p w14:paraId="7798E7E6" w14:textId="364280E3" w:rsidR="009F2739" w:rsidRDefault="003340B4" w:rsidP="003340B4">
      <w:pPr>
        <w:spacing w:line="276" w:lineRule="auto"/>
        <w:ind w:firstLine="709"/>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 xml:space="preserve">. </w:t>
      </w:r>
      <w:r w:rsidR="009F2739">
        <w:rPr>
          <w:rFonts w:ascii="Verdana" w:eastAsia="Calibri" w:hAnsi="Verdana" w:cs="Times New Roman"/>
          <w:lang w:val="es-ES"/>
        </w:rPr>
        <w:t xml:space="preserve"> </w:t>
      </w:r>
    </w:p>
    <w:p w14:paraId="782B94FC" w14:textId="77777777" w:rsidR="00602D4B" w:rsidRPr="008E2432" w:rsidRDefault="00602D4B" w:rsidP="00602D4B">
      <w:pPr>
        <w:spacing w:after="0" w:line="276" w:lineRule="auto"/>
        <w:ind w:firstLine="708"/>
        <w:jc w:val="both"/>
        <w:rPr>
          <w:rFonts w:ascii="Verdana" w:eastAsia="Calibri" w:hAnsi="Verdana" w:cs="Times New Roman"/>
          <w:lang w:val="es-ES"/>
        </w:rPr>
      </w:pPr>
    </w:p>
    <w:p w14:paraId="3AFF759E" w14:textId="77777777" w:rsidR="00602D4B" w:rsidRPr="0060676F" w:rsidRDefault="00602D4B" w:rsidP="00602D4B">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55001CA" w14:textId="77777777" w:rsidR="00602D4B" w:rsidRPr="00593A5F" w:rsidRDefault="00602D4B" w:rsidP="00602D4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02D4B" w:rsidRPr="00593A5F" w14:paraId="683E9B47" w14:textId="77777777" w:rsidTr="007502D3">
        <w:trPr>
          <w:trHeight w:val="870"/>
        </w:trPr>
        <w:tc>
          <w:tcPr>
            <w:tcW w:w="8647" w:type="dxa"/>
          </w:tcPr>
          <w:p w14:paraId="1961A8F5" w14:textId="77777777" w:rsidR="00602D4B" w:rsidRPr="00351650" w:rsidRDefault="00602D4B" w:rsidP="00602D4B">
            <w:pPr>
              <w:pStyle w:val="Prrafodelista"/>
              <w:numPr>
                <w:ilvl w:val="0"/>
                <w:numId w:val="17"/>
              </w:numPr>
              <w:rPr>
                <w:rFonts w:ascii="Verdana" w:hAnsi="Verdana" w:cs="Arial"/>
                <w:lang w:bidi="es-ES"/>
              </w:rPr>
            </w:pPr>
            <w:r w:rsidRPr="00351650">
              <w:rPr>
                <w:rFonts w:ascii="Verdana" w:hAnsi="Verdana" w:cs="Arial"/>
              </w:rPr>
              <w:t>Constitución Política: Artículo 127.</w:t>
            </w:r>
          </w:p>
          <w:p w14:paraId="529B7B2C" w14:textId="2527296F" w:rsidR="00602D4B" w:rsidRPr="00351650" w:rsidRDefault="00602D4B" w:rsidP="00602D4B">
            <w:pPr>
              <w:pStyle w:val="Prrafodelista"/>
              <w:numPr>
                <w:ilvl w:val="0"/>
                <w:numId w:val="17"/>
              </w:numPr>
              <w:rPr>
                <w:rFonts w:ascii="Verdana" w:hAnsi="Verdana" w:cs="Arial"/>
                <w:lang w:bidi="es-ES"/>
              </w:rPr>
            </w:pPr>
            <w:r w:rsidRPr="00351650">
              <w:rPr>
                <w:rFonts w:ascii="Verdana" w:hAnsi="Verdana" w:cs="Arial"/>
                <w:bCs/>
                <w:lang w:bidi="es-ES"/>
              </w:rPr>
              <w:t>Ley 996 de 2005: artículos 33</w:t>
            </w:r>
            <w:r w:rsidR="003340B4">
              <w:rPr>
                <w:rFonts w:ascii="Verdana" w:hAnsi="Verdana" w:cs="Arial"/>
                <w:bCs/>
                <w:lang w:bidi="es-ES"/>
              </w:rPr>
              <w:t>.</w:t>
            </w:r>
          </w:p>
          <w:p w14:paraId="31D11B5B" w14:textId="77777777" w:rsidR="00602D4B" w:rsidRPr="00351650" w:rsidRDefault="00602D4B" w:rsidP="00602D4B">
            <w:pPr>
              <w:pStyle w:val="Prrafodelista"/>
              <w:numPr>
                <w:ilvl w:val="0"/>
                <w:numId w:val="17"/>
              </w:numPr>
              <w:rPr>
                <w:rFonts w:ascii="Verdana" w:hAnsi="Verdana" w:cs="Arial"/>
                <w:lang w:bidi="es-ES"/>
              </w:rPr>
            </w:pPr>
            <w:r w:rsidRPr="00351650">
              <w:rPr>
                <w:rFonts w:ascii="Verdana" w:hAnsi="Verdana" w:cs="Arial"/>
              </w:rPr>
              <w:t>Ley 136 de 1994: Artículo 98.</w:t>
            </w:r>
          </w:p>
          <w:p w14:paraId="3E1339C4" w14:textId="77777777" w:rsidR="00602D4B" w:rsidRPr="00351650" w:rsidRDefault="00602D4B" w:rsidP="00602D4B">
            <w:pPr>
              <w:pStyle w:val="Prrafodelista"/>
              <w:numPr>
                <w:ilvl w:val="0"/>
                <w:numId w:val="17"/>
              </w:numPr>
              <w:rPr>
                <w:rFonts w:ascii="Verdana" w:hAnsi="Verdana" w:cs="Arial"/>
              </w:rPr>
            </w:pPr>
            <w:r w:rsidRPr="00351650">
              <w:rPr>
                <w:rFonts w:ascii="Verdana" w:hAnsi="Verdana" w:cs="Arial"/>
              </w:rPr>
              <w:t>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029BE787" w14:textId="77777777" w:rsidR="00602D4B" w:rsidRPr="00351650" w:rsidRDefault="00602D4B" w:rsidP="00602D4B">
            <w:pPr>
              <w:pStyle w:val="Prrafodelista"/>
              <w:numPr>
                <w:ilvl w:val="0"/>
                <w:numId w:val="17"/>
              </w:numPr>
              <w:rPr>
                <w:rFonts w:ascii="Verdana" w:hAnsi="Verdana" w:cs="Arial"/>
                <w:lang w:val="pt-BR"/>
              </w:rPr>
            </w:pPr>
            <w:r w:rsidRPr="00351650">
              <w:rPr>
                <w:rFonts w:ascii="Verdana" w:hAnsi="Verdana" w:cs="Arial"/>
                <w:lang w:val="pt-BR"/>
              </w:rPr>
              <w:t>Corte Constitucional. Sentencia C-671 de 2015. M.P. Alberto Rojas Ríos.</w:t>
            </w:r>
          </w:p>
          <w:p w14:paraId="320DD8EC" w14:textId="77777777" w:rsidR="00602D4B" w:rsidRPr="00351650" w:rsidRDefault="00602D4B" w:rsidP="00602D4B">
            <w:pPr>
              <w:pStyle w:val="Prrafodelista"/>
              <w:numPr>
                <w:ilvl w:val="0"/>
                <w:numId w:val="17"/>
              </w:numPr>
              <w:rPr>
                <w:rFonts w:ascii="Verdana" w:hAnsi="Verdana" w:cs="Arial"/>
              </w:rPr>
            </w:pPr>
            <w:r w:rsidRPr="00351650">
              <w:rPr>
                <w:rFonts w:ascii="Verdana" w:hAnsi="Verdana" w:cs="Arial"/>
              </w:rPr>
              <w:t xml:space="preserve">Consejo de Estado, Sala de lo Contencioso Administrativo, Sección Primera. Sentencia de 3 de marzo de 2005, expediente número 2004-00823-01(PI). </w:t>
            </w:r>
          </w:p>
          <w:p w14:paraId="58479606" w14:textId="77777777" w:rsidR="00602D4B" w:rsidRPr="00351650" w:rsidRDefault="00602D4B" w:rsidP="00602D4B">
            <w:pPr>
              <w:pStyle w:val="Prrafodelista"/>
              <w:numPr>
                <w:ilvl w:val="0"/>
                <w:numId w:val="17"/>
              </w:numPr>
              <w:rPr>
                <w:rFonts w:ascii="Verdana" w:hAnsi="Verdana" w:cs="Arial"/>
              </w:rPr>
            </w:pPr>
            <w:r w:rsidRPr="00351650">
              <w:rPr>
                <w:rFonts w:ascii="Verdana" w:hAnsi="Verdana" w:cs="Arial"/>
              </w:rPr>
              <w:t>Consejo de Estado. Sala de Consulta y Servicio Civil. Concepto del 15 de noviembre de 2007. Radicado 1863. C.P: Luis Fernando Álvarez Jaramillo.</w:t>
            </w:r>
          </w:p>
          <w:p w14:paraId="4D534F2D" w14:textId="77777777" w:rsidR="00602D4B" w:rsidRPr="00351650" w:rsidRDefault="00602D4B" w:rsidP="00602D4B">
            <w:pPr>
              <w:pStyle w:val="Prrafodelista"/>
              <w:numPr>
                <w:ilvl w:val="0"/>
                <w:numId w:val="17"/>
              </w:numPr>
              <w:rPr>
                <w:rFonts w:ascii="Verdana" w:hAnsi="Verdana" w:cs="Arial"/>
              </w:rPr>
            </w:pPr>
            <w:r w:rsidRPr="00351650">
              <w:rPr>
                <w:rFonts w:ascii="Verdana" w:hAnsi="Verdana" w:cs="Arial"/>
              </w:rPr>
              <w:t xml:space="preserve">Consejo de Estado, Sala de Consulta y Servicio Civil. Concepto de 24 de julio de 2013. Radicado 2166. C. P. Álvaro Namén Vargas.  </w:t>
            </w:r>
          </w:p>
          <w:p w14:paraId="101159E0" w14:textId="77777777" w:rsidR="00602D4B" w:rsidRPr="00351650" w:rsidRDefault="00602D4B" w:rsidP="00602D4B">
            <w:pPr>
              <w:pStyle w:val="Prrafodelista"/>
              <w:numPr>
                <w:ilvl w:val="0"/>
                <w:numId w:val="17"/>
              </w:numPr>
              <w:rPr>
                <w:rFonts w:ascii="Verdana" w:hAnsi="Verdana" w:cs="Arial"/>
              </w:rPr>
            </w:pPr>
            <w:r w:rsidRPr="00351650">
              <w:rPr>
                <w:rFonts w:ascii="Verdana" w:hAnsi="Verdana" w:cs="Arial"/>
              </w:rPr>
              <w:t>Consejo de Estado. Sala de Consulta y Servicio Civil. Concepto del 20 de febrero de 2018. Expediente número 12366. Consejero Ponente: Oscar Darío Amaya Navas.</w:t>
            </w:r>
          </w:p>
          <w:p w14:paraId="04B1A8C4" w14:textId="77777777" w:rsidR="00602D4B" w:rsidRDefault="00602D4B" w:rsidP="00602D4B">
            <w:pPr>
              <w:pStyle w:val="Prrafodelista"/>
              <w:numPr>
                <w:ilvl w:val="0"/>
                <w:numId w:val="17"/>
              </w:numPr>
              <w:rPr>
                <w:rFonts w:ascii="Verdana" w:hAnsi="Verdana" w:cs="Arial"/>
              </w:rPr>
            </w:pPr>
            <w:r w:rsidRPr="00351650">
              <w:rPr>
                <w:rFonts w:ascii="Verdana" w:hAnsi="Verdana" w:cs="Arial"/>
              </w:rPr>
              <w:t>Consejo de Estado. Sala de Consulta y Servicio Civil. Concepto del 17 de febrero de 2015. Radicado 2269. C.P. William Zambrano Cetina</w:t>
            </w:r>
          </w:p>
          <w:p w14:paraId="2EA41822" w14:textId="77777777" w:rsidR="00602D4B" w:rsidRPr="00EB6C9B" w:rsidRDefault="00602D4B" w:rsidP="00602D4B">
            <w:pPr>
              <w:pStyle w:val="Prrafodelista"/>
              <w:numPr>
                <w:ilvl w:val="0"/>
                <w:numId w:val="17"/>
              </w:numPr>
              <w:rPr>
                <w:rFonts w:ascii="Verdana" w:hAnsi="Verdana" w:cs="Arial"/>
              </w:rPr>
            </w:pPr>
            <w:r w:rsidRPr="00EB6C9B">
              <w:rPr>
                <w:rFonts w:ascii="Verdana" w:hAnsi="Verdana" w:cs="Arial"/>
              </w:rPr>
              <w:lastRenderedPageBreak/>
              <w:t xml:space="preserve">Consejo de Estado, Sala de lo Contencioso Administrativo, Sección Tercera. Auto del 4 de octubre de 2024. Radicado No. 70.313. MP: Fredy Ibarra Martínez </w:t>
            </w:r>
          </w:p>
        </w:tc>
      </w:tr>
    </w:tbl>
    <w:p w14:paraId="44D7E535" w14:textId="77777777" w:rsidR="00602D4B" w:rsidRDefault="00602D4B" w:rsidP="00602D4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9810A1B" w14:textId="77777777" w:rsidR="00602D4B" w:rsidRDefault="00602D4B" w:rsidP="00602D4B">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66D7E35" w14:textId="77777777" w:rsidR="00602D4B" w:rsidRPr="00593A5F" w:rsidRDefault="00602D4B" w:rsidP="00602D4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18F8D46" w14:textId="77777777" w:rsidR="00602D4B" w:rsidRPr="002A22D8" w:rsidRDefault="00602D4B" w:rsidP="00602D4B">
      <w:pPr>
        <w:widowControl w:val="0"/>
        <w:autoSpaceDE w:val="0"/>
        <w:autoSpaceDN w:val="0"/>
        <w:spacing w:after="0" w:line="276" w:lineRule="auto"/>
        <w:jc w:val="both"/>
        <w:rPr>
          <w:rFonts w:ascii="Verdana" w:hAnsi="Verdana" w:cs="Arial"/>
          <w:bCs/>
          <w:shd w:val="clear" w:color="auto" w:fill="FFFFFF"/>
        </w:rPr>
      </w:pPr>
      <w:r w:rsidRPr="009375B1">
        <w:rPr>
          <w:rFonts w:ascii="Verdana" w:eastAsia="Calibri" w:hAnsi="Verdana" w:cs="Arial"/>
          <w:lang w:val="es-ES_tradnl" w:eastAsia="es-ES_tradnl"/>
        </w:rPr>
        <w:t>Sobre las restricciones de la contratación directa en vigencia de la Ley de Garantías Electorales se pronunció esta Subdirección en los conceptos No. 4201913000006135 del 10 de septiembre de 2019, 4201912000004117 del 17 de septiembre de 2019, C-140 del 31 de abril de 2020, C-223 del 29 de abril de 2020, C-477 del 27 de julio de 2020, C-656 del 17 de noviembre de 2020, C-763 del 7 de enero de 2021, C-785 del 18 de enero de 2021, C-155 del 14 de abril de 2021, C-364 del 28 de julio de 2021, C-394 del 17 de septiembre de 2021, C-627 del 25 de octubre de 2021, C-002 del 15 de febrero de 2022, C-008 del 25 de febrero de 2022, C-079 del 18 de marzo de 2022, C-092 del 16 de marzo de 2022, C-107 del 18 de marzo de 2022, C-116 del 18 de febrero de 2022, C-119 del 25 de marzo de 2022, C-177 del 8 de abril de 2022, C-185 del 12 de abril de 2022, C-333 del 24 de mayo de 2022, C-390 del 21 de junio de 2022, C-404 del 26 de mayo de 2022, C-435 del 6 de julio de 2022, C-455 del 15 de julio de 2022, C-465 del 21 de julio de 2022, C-559 del 2 de septiembre de 2022, C-576 del 25 de septiembre de 2022, C-588 del 21 de septiembre de 2022, C-682 del 19 de octubre de 2022, C-717 del 31 de octubre de 2022, C-718 del 31 de octubre de 2022, C-729 del 28 de noviembre de 2022, C-730 del 3 de noviembre de 2022, C-740 del 31 de octubre de 2022, C-940 del 29 de diciembre de 2022, C-971 del 28 de febrero de 2023, C-972 del 8 de febrero de 2023</w:t>
      </w:r>
      <w:r>
        <w:rPr>
          <w:rFonts w:ascii="Verdana" w:eastAsia="Calibri" w:hAnsi="Verdana" w:cs="Arial"/>
          <w:lang w:val="es-ES_tradnl" w:eastAsia="es-ES_tradnl"/>
        </w:rPr>
        <w:t xml:space="preserve">, </w:t>
      </w:r>
      <w:r w:rsidRPr="009375B1">
        <w:rPr>
          <w:rFonts w:ascii="Verdana" w:eastAsia="Calibri" w:hAnsi="Verdana" w:cs="Arial"/>
          <w:lang w:val="es-ES_tradnl" w:eastAsia="es-ES_tradnl"/>
        </w:rPr>
        <w:t>C-068 del 9 de marzo de 2023</w:t>
      </w:r>
      <w:r>
        <w:rPr>
          <w:rFonts w:ascii="Verdana" w:eastAsia="Calibri" w:hAnsi="Verdana" w:cs="Arial"/>
          <w:lang w:val="es-ES_tradnl" w:eastAsia="es-ES_tradnl"/>
        </w:rPr>
        <w:t xml:space="preserve">, </w:t>
      </w:r>
      <w:r w:rsidRPr="009375B1">
        <w:rPr>
          <w:rFonts w:ascii="Verdana" w:eastAsia="Calibri" w:hAnsi="Verdana" w:cs="Arial"/>
          <w:lang w:val="es-ES_tradnl" w:eastAsia="es-ES_tradnl"/>
        </w:rPr>
        <w:t>C-40 del 22 de marzo de 2023</w:t>
      </w:r>
      <w:r>
        <w:rPr>
          <w:rFonts w:ascii="Verdana" w:eastAsia="Calibri" w:hAnsi="Verdana" w:cs="Arial"/>
          <w:lang w:val="es-ES_tradnl" w:eastAsia="es-ES_tradnl"/>
        </w:rPr>
        <w:t>, C-317 del 25 de abril de 2025</w:t>
      </w:r>
      <w:r>
        <w:rPr>
          <w:rFonts w:ascii="Verdana" w:eastAsia="Calibri" w:hAnsi="Verdana" w:cs="Arial"/>
          <w:lang w:val="es-ES_tradnl" w:eastAsia="es-ES"/>
        </w:rPr>
        <w:t xml:space="preserve">, </w:t>
      </w:r>
      <w:r w:rsidRPr="00E87EA6">
        <w:rPr>
          <w:rFonts w:ascii="Verdana" w:eastAsia="Calibri" w:hAnsi="Verdana" w:cs="Arial"/>
          <w:shd w:val="clear" w:color="auto" w:fill="FFFFFF"/>
          <w:lang w:val="es-ES"/>
        </w:rPr>
        <w:t>entre otros</w:t>
      </w:r>
      <w:r w:rsidRPr="00024134">
        <w:rPr>
          <w:rStyle w:val="normaltextrun"/>
          <w:rFonts w:ascii="Verdana" w:hAnsi="Verdana" w:cs="Arial"/>
          <w:shd w:val="clear" w:color="auto" w:fill="FFFFFF"/>
          <w:lang w:val="es-ES"/>
        </w:rPr>
        <w:t xml:space="preserve">. </w:t>
      </w:r>
      <w:r w:rsidRPr="00024134">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B2B7DFD" w14:textId="77777777" w:rsidR="00602D4B" w:rsidRPr="0065720B" w:rsidRDefault="00602D4B" w:rsidP="00602D4B">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0E8D184C" w14:textId="77777777" w:rsidR="00602D4B" w:rsidRPr="00505CD6" w:rsidRDefault="00602D4B" w:rsidP="00602D4B">
      <w:pPr>
        <w:widowControl w:val="0"/>
        <w:autoSpaceDE w:val="0"/>
        <w:autoSpaceDN w:val="0"/>
        <w:spacing w:after="0" w:line="276" w:lineRule="auto"/>
        <w:jc w:val="both"/>
        <w:rPr>
          <w:rFonts w:ascii="Verdana" w:hAnsi="Verdana" w:cs="Arial"/>
          <w:color w:val="000000" w:themeColor="text1"/>
          <w:shd w:val="clear" w:color="auto" w:fill="FFFFFF"/>
        </w:rPr>
      </w:pPr>
    </w:p>
    <w:p w14:paraId="55E9D6BA" w14:textId="77777777" w:rsidR="00602D4B" w:rsidRPr="00103B90" w:rsidRDefault="00602D4B" w:rsidP="00602D4B">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xml:space="preserve">. Esta guía es un instrumento clave para integrar buenas prácticas en la contratación estatal, promoviendo los Objetivos de Desarrollo Sostenible (ODS) a través de criterios y obligaciones </w:t>
      </w:r>
      <w:r w:rsidRPr="00505CD6">
        <w:rPr>
          <w:rFonts w:ascii="Verdana" w:hAnsi="Verdana" w:cs="Arial"/>
          <w:color w:val="000000" w:themeColor="text1"/>
          <w:shd w:val="clear" w:color="auto" w:fill="FFFFFF"/>
        </w:rPr>
        <w:lastRenderedPageBreak/>
        <w:t>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06DF837A" w14:textId="77777777" w:rsidR="00602D4B" w:rsidRPr="00103B90" w:rsidRDefault="00602D4B" w:rsidP="00602D4B">
      <w:pPr>
        <w:widowControl w:val="0"/>
        <w:autoSpaceDE w:val="0"/>
        <w:autoSpaceDN w:val="0"/>
        <w:spacing w:after="0" w:line="276" w:lineRule="auto"/>
        <w:jc w:val="both"/>
        <w:rPr>
          <w:rFonts w:ascii="Verdana" w:hAnsi="Verdana"/>
        </w:rPr>
      </w:pPr>
    </w:p>
    <w:p w14:paraId="47C393FF" w14:textId="77777777" w:rsidR="00602D4B" w:rsidRPr="00505CD6" w:rsidRDefault="00602D4B" w:rsidP="00602D4B">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5116BB7" w14:textId="77777777" w:rsidR="00602D4B" w:rsidRPr="00505CD6" w:rsidRDefault="00602D4B" w:rsidP="00602D4B">
      <w:pPr>
        <w:widowControl w:val="0"/>
        <w:autoSpaceDE w:val="0"/>
        <w:autoSpaceDN w:val="0"/>
        <w:spacing w:after="0" w:line="276" w:lineRule="auto"/>
        <w:jc w:val="both"/>
        <w:rPr>
          <w:rFonts w:ascii="Verdana" w:hAnsi="Verdana" w:cs="Arial"/>
        </w:rPr>
      </w:pPr>
    </w:p>
    <w:p w14:paraId="785E094B" w14:textId="77777777" w:rsidR="00602D4B" w:rsidRDefault="00602D4B" w:rsidP="00602D4B">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4A977CD4" w14:textId="77777777" w:rsidR="00602D4B" w:rsidRDefault="00602D4B" w:rsidP="00602D4B">
      <w:pPr>
        <w:spacing w:line="276" w:lineRule="auto"/>
        <w:jc w:val="center"/>
        <w:rPr>
          <w:noProof/>
        </w:rPr>
      </w:pPr>
    </w:p>
    <w:p w14:paraId="309CB126" w14:textId="216F24FC" w:rsidR="00602D4B" w:rsidRDefault="004416EB" w:rsidP="00602D4B">
      <w:pPr>
        <w:spacing w:line="276" w:lineRule="auto"/>
        <w:jc w:val="center"/>
        <w:rPr>
          <w:noProof/>
        </w:rPr>
      </w:pPr>
      <w:r>
        <w:rPr>
          <w:noProof/>
        </w:rPr>
        <w:drawing>
          <wp:inline distT="0" distB="0" distL="0" distR="0" wp14:anchorId="361C5027" wp14:editId="1BF29F5D">
            <wp:extent cx="3564255" cy="1530073"/>
            <wp:effectExtent l="0" t="0" r="0" b="0"/>
            <wp:docPr id="131725484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70313" cy="1532674"/>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02D4B" w:rsidRPr="00593A5F" w14:paraId="56A0937C" w14:textId="77777777" w:rsidTr="007502D3">
        <w:trPr>
          <w:trHeight w:val="315"/>
        </w:trPr>
        <w:tc>
          <w:tcPr>
            <w:tcW w:w="893" w:type="dxa"/>
            <w:vAlign w:val="center"/>
            <w:hideMark/>
          </w:tcPr>
          <w:p w14:paraId="0644DA5F" w14:textId="77777777" w:rsidR="00602D4B" w:rsidRPr="003751C7" w:rsidRDefault="00602D4B" w:rsidP="007502D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A7A20A4" w14:textId="77777777" w:rsidR="00602D4B" w:rsidRPr="007911EE" w:rsidRDefault="00602D4B" w:rsidP="007502D3">
            <w:pPr>
              <w:contextualSpacing/>
              <w:rPr>
                <w:rFonts w:ascii="Verdana" w:hAnsi="Verdana"/>
                <w:sz w:val="16"/>
                <w:szCs w:val="16"/>
              </w:rPr>
            </w:pPr>
            <w:r>
              <w:rPr>
                <w:rFonts w:ascii="Verdana" w:hAnsi="Verdana"/>
                <w:sz w:val="16"/>
                <w:szCs w:val="16"/>
              </w:rPr>
              <w:t>Nicolas Andrés Guzman</w:t>
            </w:r>
          </w:p>
          <w:p w14:paraId="5A42FAE9" w14:textId="77777777" w:rsidR="00602D4B" w:rsidRPr="007911EE" w:rsidRDefault="00602D4B" w:rsidP="007502D3">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602D4B" w:rsidRPr="00593A5F" w14:paraId="1A59672D" w14:textId="77777777" w:rsidTr="007502D3">
        <w:trPr>
          <w:trHeight w:val="330"/>
        </w:trPr>
        <w:tc>
          <w:tcPr>
            <w:tcW w:w="893" w:type="dxa"/>
            <w:vAlign w:val="center"/>
            <w:hideMark/>
          </w:tcPr>
          <w:p w14:paraId="6946E9E4" w14:textId="77777777" w:rsidR="00602D4B" w:rsidRPr="003751C7" w:rsidRDefault="00602D4B" w:rsidP="007502D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87B49B" w14:textId="77777777" w:rsidR="00602D4B" w:rsidRDefault="00602D4B" w:rsidP="007502D3">
            <w:pPr>
              <w:spacing w:line="276" w:lineRule="auto"/>
              <w:contextualSpacing/>
              <w:jc w:val="both"/>
              <w:rPr>
                <w:rFonts w:ascii="Verdana" w:hAnsi="Verdana"/>
                <w:sz w:val="16"/>
                <w:szCs w:val="16"/>
              </w:rPr>
            </w:pPr>
            <w:r>
              <w:rPr>
                <w:rFonts w:ascii="Verdana" w:hAnsi="Verdana"/>
                <w:sz w:val="16"/>
                <w:szCs w:val="16"/>
              </w:rPr>
              <w:t>Diana Lucia Saavedra</w:t>
            </w:r>
          </w:p>
          <w:p w14:paraId="512883E9" w14:textId="77777777" w:rsidR="00602D4B" w:rsidRPr="007911EE" w:rsidRDefault="00602D4B" w:rsidP="007502D3">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602D4B" w:rsidRPr="00593A5F" w14:paraId="6E9D005D" w14:textId="77777777" w:rsidTr="007502D3">
        <w:trPr>
          <w:trHeight w:val="330"/>
        </w:trPr>
        <w:tc>
          <w:tcPr>
            <w:tcW w:w="893" w:type="dxa"/>
            <w:vAlign w:val="center"/>
          </w:tcPr>
          <w:p w14:paraId="72D7E18B" w14:textId="77777777" w:rsidR="00602D4B" w:rsidRPr="003751C7" w:rsidRDefault="00602D4B" w:rsidP="007502D3">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EF4742D" w14:textId="77777777" w:rsidR="00602D4B" w:rsidRDefault="00602D4B" w:rsidP="007502D3">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6319C4BA" w14:textId="77777777" w:rsidR="00602D4B" w:rsidRDefault="00602D4B" w:rsidP="007502D3">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3"/>
    </w:tbl>
    <w:p w14:paraId="1823E61A" w14:textId="77777777" w:rsidR="00602D4B" w:rsidRPr="00F8204E" w:rsidRDefault="00602D4B" w:rsidP="00602D4B"/>
    <w:p w14:paraId="0F293BF4" w14:textId="7174A013" w:rsidR="00127233" w:rsidRPr="00C93D52" w:rsidRDefault="00127233" w:rsidP="00C93D52"/>
    <w:sectPr w:rsidR="00127233" w:rsidRPr="00C93D52"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0078B0" w14:textId="77777777" w:rsidR="002C567E" w:rsidRDefault="002C567E" w:rsidP="004A1847">
      <w:pPr>
        <w:spacing w:after="0" w:line="240" w:lineRule="auto"/>
      </w:pPr>
      <w:r>
        <w:separator/>
      </w:r>
    </w:p>
  </w:endnote>
  <w:endnote w:type="continuationSeparator" w:id="0">
    <w:p w14:paraId="56579420" w14:textId="77777777" w:rsidR="002C567E" w:rsidRDefault="002C567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C886B" w14:textId="77777777" w:rsidR="002C567E" w:rsidRDefault="002C567E" w:rsidP="004A1847">
      <w:pPr>
        <w:spacing w:after="0" w:line="240" w:lineRule="auto"/>
      </w:pPr>
      <w:r>
        <w:separator/>
      </w:r>
    </w:p>
  </w:footnote>
  <w:footnote w:type="continuationSeparator" w:id="0">
    <w:p w14:paraId="73F13406" w14:textId="77777777" w:rsidR="002C567E" w:rsidRDefault="002C567E" w:rsidP="004A1847">
      <w:pPr>
        <w:spacing w:after="0" w:line="240" w:lineRule="auto"/>
      </w:pPr>
      <w:r>
        <w:continuationSeparator/>
      </w:r>
    </w:p>
  </w:footnote>
  <w:footnote w:id="1">
    <w:p w14:paraId="46D2A2AB" w14:textId="77777777" w:rsidR="00602D4B" w:rsidRPr="00FA6811" w:rsidRDefault="00602D4B" w:rsidP="00602D4B">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9B74AD2" w14:textId="77777777" w:rsidR="00602D4B" w:rsidRPr="00FA6811" w:rsidRDefault="00602D4B" w:rsidP="00602D4B">
      <w:pPr>
        <w:pStyle w:val="Textonotapie"/>
        <w:ind w:firstLine="709"/>
        <w:contextualSpacing/>
        <w:jc w:val="both"/>
        <w:rPr>
          <w:rFonts w:ascii="Verdana" w:hAnsi="Verdana" w:cs="Arial"/>
          <w:sz w:val="16"/>
          <w:szCs w:val="16"/>
        </w:rPr>
      </w:pPr>
      <w:r w:rsidRPr="00FA6811">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27BE25D2" w14:textId="77777777" w:rsidR="00602D4B" w:rsidRPr="00FA6811" w:rsidRDefault="00602D4B" w:rsidP="00602D4B">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Gaceta del Congreso de la República No. 71 del 2005.</w:t>
      </w:r>
    </w:p>
  </w:footnote>
  <w:footnote w:id="3">
    <w:p w14:paraId="44BDA05D" w14:textId="77777777" w:rsidR="00602D4B" w:rsidRPr="00B80F4D" w:rsidRDefault="00602D4B" w:rsidP="00602D4B">
      <w:pPr>
        <w:pStyle w:val="Textonotapie"/>
        <w:ind w:firstLine="709"/>
        <w:contextualSpacing/>
        <w:jc w:val="both"/>
        <w:rPr>
          <w:rFonts w:ascii="Verdana" w:hAnsi="Verdana" w:cs="Arial"/>
          <w:sz w:val="16"/>
          <w:szCs w:val="16"/>
          <w:lang w:val="pt-BR"/>
        </w:rPr>
      </w:pPr>
      <w:r w:rsidRPr="00FA6811">
        <w:rPr>
          <w:rStyle w:val="Refdenotaalpie"/>
          <w:rFonts w:ascii="Verdana" w:hAnsi="Verdana" w:cs="Arial"/>
          <w:sz w:val="16"/>
          <w:szCs w:val="16"/>
        </w:rPr>
        <w:footnoteRef/>
      </w:r>
      <w:r w:rsidRPr="00B80F4D">
        <w:rPr>
          <w:rFonts w:ascii="Verdana" w:hAnsi="Verdana" w:cs="Arial"/>
          <w:sz w:val="16"/>
          <w:szCs w:val="16"/>
          <w:lang w:val="pt-BR"/>
        </w:rPr>
        <w:t xml:space="preserve"> Corte Constitucional, Sentencia C- 1153 de 2005, M.P. Marco Gerardo Monroy Cabra.</w:t>
      </w:r>
    </w:p>
  </w:footnote>
  <w:footnote w:id="4">
    <w:p w14:paraId="39BDD6AB" w14:textId="77777777" w:rsidR="00602D4B" w:rsidRPr="00B80F4D" w:rsidRDefault="00602D4B" w:rsidP="00602D4B">
      <w:pPr>
        <w:pStyle w:val="Textonotapie"/>
        <w:ind w:firstLine="709"/>
        <w:contextualSpacing/>
        <w:jc w:val="both"/>
        <w:rPr>
          <w:rFonts w:ascii="Verdana" w:hAnsi="Verdana" w:cs="Arial"/>
          <w:sz w:val="16"/>
          <w:szCs w:val="16"/>
          <w:lang w:val="pt-BR"/>
        </w:rPr>
      </w:pPr>
      <w:r w:rsidRPr="00FA6811">
        <w:rPr>
          <w:rStyle w:val="Refdenotaalpie"/>
          <w:rFonts w:ascii="Verdana" w:hAnsi="Verdana" w:cs="Arial"/>
          <w:sz w:val="16"/>
          <w:szCs w:val="16"/>
        </w:rPr>
        <w:footnoteRef/>
      </w:r>
      <w:r w:rsidRPr="00B80F4D">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42E13184" w14:textId="77777777" w:rsidR="00602D4B" w:rsidRPr="00B80F4D" w:rsidRDefault="00602D4B" w:rsidP="00602D4B">
      <w:pPr>
        <w:pStyle w:val="Textonotapie"/>
        <w:ind w:firstLine="709"/>
        <w:contextualSpacing/>
        <w:jc w:val="both"/>
        <w:rPr>
          <w:rFonts w:ascii="Verdana" w:hAnsi="Verdana" w:cs="Arial"/>
          <w:sz w:val="16"/>
          <w:szCs w:val="16"/>
          <w:lang w:val="pt-BR"/>
        </w:rPr>
      </w:pPr>
    </w:p>
  </w:footnote>
  <w:footnote w:id="5">
    <w:p w14:paraId="54357529" w14:textId="77777777" w:rsidR="00602D4B" w:rsidRPr="00FA6811" w:rsidRDefault="00602D4B" w:rsidP="00602D4B">
      <w:pPr>
        <w:pStyle w:val="Textonotapie"/>
        <w:ind w:firstLine="709"/>
        <w:contextualSpacing/>
        <w:jc w:val="both"/>
        <w:rPr>
          <w:rFonts w:ascii="Verdana" w:hAnsi="Verdana" w:cs="Arial"/>
          <w:sz w:val="16"/>
          <w:szCs w:val="16"/>
          <w:lang w:val="es-CO"/>
        </w:rPr>
      </w:pPr>
      <w:r w:rsidRPr="00FA6811">
        <w:rPr>
          <w:rStyle w:val="Refdenotaalpie"/>
          <w:rFonts w:ascii="Verdana" w:hAnsi="Verdana" w:cs="Arial"/>
          <w:sz w:val="16"/>
          <w:szCs w:val="16"/>
        </w:rPr>
        <w:footnoteRef/>
      </w:r>
      <w:r w:rsidRPr="00FA6811">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21DC886D" w14:textId="77777777" w:rsidR="00602D4B" w:rsidRPr="00FA6811" w:rsidRDefault="00602D4B" w:rsidP="00602D4B">
      <w:pPr>
        <w:pStyle w:val="Textonotapie"/>
        <w:ind w:firstLine="709"/>
        <w:contextualSpacing/>
        <w:jc w:val="both"/>
        <w:rPr>
          <w:rFonts w:ascii="Verdana" w:hAnsi="Verdana" w:cs="Arial"/>
          <w:sz w:val="16"/>
          <w:szCs w:val="16"/>
        </w:rPr>
      </w:pPr>
    </w:p>
    <w:p w14:paraId="246A91F8" w14:textId="77777777" w:rsidR="00602D4B" w:rsidRPr="00FA6811" w:rsidRDefault="00602D4B" w:rsidP="00602D4B">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Consejo de Estado, Sala de Consulta y Servicio Civil de fecha 24 de julio de 2013, radicado 2166, C. P. Álvaro Namén Vargas.  </w:t>
      </w:r>
    </w:p>
  </w:footnote>
  <w:footnote w:id="7">
    <w:p w14:paraId="276E9ECD" w14:textId="77777777" w:rsidR="00602D4B" w:rsidRPr="00FA6811" w:rsidRDefault="00602D4B" w:rsidP="00602D4B">
      <w:pPr>
        <w:spacing w:after="0" w:line="240" w:lineRule="auto"/>
        <w:ind w:firstLine="709"/>
        <w:contextualSpacing/>
        <w:jc w:val="both"/>
        <w:rPr>
          <w:rFonts w:ascii="Verdana" w:eastAsia="Times New Roman"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bookmarkStart w:id="12" w:name="33"/>
      <w:r w:rsidRPr="00FA6811">
        <w:rPr>
          <w:rFonts w:ascii="Verdana" w:eastAsia="Calibri" w:hAnsi="Verdana" w:cs="Arial"/>
          <w:color w:val="000000"/>
          <w:sz w:val="16"/>
          <w:szCs w:val="16"/>
        </w:rPr>
        <w:t>“</w:t>
      </w:r>
      <w:r w:rsidRPr="00FA6811">
        <w:rPr>
          <w:rFonts w:ascii="Verdana" w:eastAsia="Times New Roman" w:hAnsi="Verdana" w:cs="Arial"/>
          <w:sz w:val="16"/>
          <w:szCs w:val="16"/>
        </w:rPr>
        <w:t>Artículo 33. Restricciones a la contratación pública.</w:t>
      </w:r>
      <w:bookmarkEnd w:id="12"/>
      <w:r w:rsidRPr="00FA6811">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59CEF1CB" w14:textId="77777777" w:rsidR="00602D4B" w:rsidRPr="00FA6811" w:rsidRDefault="00602D4B" w:rsidP="00602D4B">
      <w:pPr>
        <w:spacing w:after="0" w:line="240" w:lineRule="auto"/>
        <w:ind w:firstLine="709"/>
        <w:contextualSpacing/>
        <w:jc w:val="both"/>
        <w:rPr>
          <w:rFonts w:ascii="Verdana" w:eastAsia="Times New Roman" w:hAnsi="Verdana" w:cs="Arial"/>
          <w:sz w:val="16"/>
          <w:szCs w:val="16"/>
        </w:rPr>
      </w:pPr>
      <w:r w:rsidRPr="00FA6811">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A6811">
        <w:rPr>
          <w:rFonts w:ascii="Verdana" w:eastAsia="Calibri" w:hAnsi="Verdana" w:cs="Arial"/>
          <w:color w:val="000000"/>
          <w:sz w:val="16"/>
          <w:szCs w:val="16"/>
        </w:rPr>
        <w:t>”</w:t>
      </w:r>
      <w:r w:rsidRPr="00FA6811">
        <w:rPr>
          <w:rFonts w:ascii="Verdana" w:eastAsia="Times New Roman" w:hAnsi="Verdana" w:cs="Arial"/>
          <w:sz w:val="16"/>
          <w:szCs w:val="16"/>
        </w:rPr>
        <w:t>.</w:t>
      </w:r>
    </w:p>
  </w:footnote>
  <w:footnote w:id="8">
    <w:p w14:paraId="731ED1FC" w14:textId="77777777" w:rsidR="00602D4B" w:rsidRPr="00FA6811" w:rsidRDefault="00602D4B" w:rsidP="00602D4B">
      <w:pPr>
        <w:pStyle w:val="NormalWeb"/>
        <w:spacing w:after="0"/>
        <w:ind w:firstLine="709"/>
        <w:contextualSpacing/>
        <w:jc w:val="both"/>
        <w:rPr>
          <w:rFonts w:ascii="Verdana" w:hAnsi="Verdana" w:cs="Arial"/>
          <w:sz w:val="16"/>
          <w:szCs w:val="16"/>
          <w:lang w:val="es-MX"/>
        </w:rPr>
      </w:pPr>
      <w:r w:rsidRPr="00FA6811">
        <w:rPr>
          <w:rStyle w:val="Refdenotaalpie"/>
          <w:rFonts w:ascii="Verdana" w:hAnsi="Verdana" w:cs="Arial"/>
          <w:sz w:val="16"/>
          <w:szCs w:val="16"/>
        </w:rPr>
        <w:footnoteRef/>
      </w:r>
      <w:r w:rsidRPr="00FA6811">
        <w:rPr>
          <w:rFonts w:ascii="Verdana" w:hAnsi="Verdana" w:cs="Arial"/>
          <w:sz w:val="16"/>
          <w:szCs w:val="16"/>
        </w:rPr>
        <w:t xml:space="preserve"> </w:t>
      </w:r>
      <w:bookmarkStart w:id="13" w:name="38"/>
      <w:r w:rsidRPr="00FA6811">
        <w:rPr>
          <w:rFonts w:ascii="Verdana" w:eastAsia="Calibri" w:hAnsi="Verdana" w:cs="Arial"/>
          <w:color w:val="000000"/>
          <w:sz w:val="16"/>
          <w:szCs w:val="16"/>
        </w:rPr>
        <w:t>“</w:t>
      </w:r>
      <w:r w:rsidRPr="00FA6811">
        <w:rPr>
          <w:rFonts w:ascii="Verdana" w:hAnsi="Verdana" w:cs="Arial"/>
          <w:sz w:val="16"/>
          <w:szCs w:val="16"/>
          <w:lang w:val="es-MX"/>
        </w:rPr>
        <w:t>Artículo 38. Prohibiciones para los servidores públicos. A los empleados del Estado les está prohibido:</w:t>
      </w:r>
      <w:bookmarkEnd w:id="13"/>
      <w:r w:rsidRPr="00FA6811">
        <w:rPr>
          <w:rFonts w:ascii="Verdana" w:hAnsi="Verdana" w:cs="Arial"/>
          <w:sz w:val="16"/>
          <w:szCs w:val="16"/>
          <w:lang w:val="es-MX"/>
        </w:rPr>
        <w:t xml:space="preserve"> […]</w:t>
      </w:r>
    </w:p>
    <w:p w14:paraId="006A9734" w14:textId="77777777" w:rsidR="00602D4B" w:rsidRPr="00FA6811" w:rsidRDefault="00602D4B" w:rsidP="00602D4B">
      <w:pPr>
        <w:pStyle w:val="NormalWeb"/>
        <w:spacing w:after="0"/>
        <w:ind w:firstLine="709"/>
        <w:contextualSpacing/>
        <w:jc w:val="both"/>
        <w:rPr>
          <w:rFonts w:ascii="Verdana" w:hAnsi="Verdana" w:cs="Arial"/>
          <w:sz w:val="16"/>
          <w:szCs w:val="16"/>
          <w:lang w:val="es-MX"/>
        </w:rPr>
      </w:pPr>
      <w:r w:rsidRPr="00FA6811">
        <w:rPr>
          <w:rStyle w:val="baj"/>
          <w:rFonts w:ascii="Verdana" w:hAnsi="Verdana" w:cs="Arial"/>
          <w:sz w:val="16"/>
          <w:szCs w:val="16"/>
          <w:lang w:val="es-MX"/>
        </w:rPr>
        <w:t>Parágrafo.</w:t>
      </w:r>
      <w:r w:rsidRPr="00FA6811">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A6811">
        <w:rPr>
          <w:rFonts w:ascii="Verdana" w:eastAsia="Calibri" w:hAnsi="Verdana" w:cs="Arial"/>
          <w:color w:val="000000"/>
          <w:sz w:val="16"/>
          <w:szCs w:val="16"/>
        </w:rPr>
        <w:t>”</w:t>
      </w:r>
      <w:r w:rsidRPr="00FA6811">
        <w:rPr>
          <w:rFonts w:ascii="Verdana" w:hAnsi="Verdana" w:cs="Arial"/>
          <w:sz w:val="16"/>
          <w:szCs w:val="16"/>
          <w:lang w:val="es-MX"/>
        </w:rPr>
        <w:t>.</w:t>
      </w:r>
    </w:p>
    <w:p w14:paraId="143753AD" w14:textId="77777777" w:rsidR="00602D4B" w:rsidRPr="00FA6811" w:rsidRDefault="00602D4B" w:rsidP="00602D4B">
      <w:pPr>
        <w:pStyle w:val="NormalWeb"/>
        <w:spacing w:after="0"/>
        <w:ind w:firstLine="709"/>
        <w:contextualSpacing/>
        <w:jc w:val="both"/>
        <w:rPr>
          <w:rFonts w:ascii="Verdana" w:hAnsi="Verdana" w:cs="Arial"/>
          <w:sz w:val="16"/>
          <w:szCs w:val="16"/>
          <w:lang w:val="es-MX"/>
        </w:rPr>
      </w:pPr>
    </w:p>
  </w:footnote>
  <w:footnote w:id="9">
    <w:p w14:paraId="2991C6A7" w14:textId="77777777" w:rsidR="00602D4B" w:rsidRPr="00FA6811" w:rsidRDefault="00602D4B" w:rsidP="00602D4B">
      <w:pPr>
        <w:spacing w:after="0" w:line="240" w:lineRule="auto"/>
        <w:ind w:left="100" w:right="244" w:firstLine="709"/>
        <w:contextualSpacing/>
        <w:jc w:val="both"/>
        <w:rPr>
          <w:rFonts w:ascii="Verdana" w:hAnsi="Verdana" w:cs="Arial"/>
          <w:sz w:val="16"/>
          <w:szCs w:val="16"/>
          <w:lang w:val="es-ES"/>
        </w:rPr>
      </w:pPr>
      <w:r w:rsidRPr="00FA6811">
        <w:rPr>
          <w:rStyle w:val="Refdenotaalpie"/>
          <w:rFonts w:ascii="Verdana" w:hAnsi="Verdana" w:cs="Arial"/>
          <w:sz w:val="16"/>
          <w:szCs w:val="16"/>
        </w:rPr>
        <w:footnoteRef/>
      </w:r>
      <w:r w:rsidRPr="00FA6811">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587EB97D" w14:textId="77777777" w:rsidR="00602D4B" w:rsidRPr="00515319" w:rsidRDefault="00602D4B" w:rsidP="00602D4B">
      <w:pPr>
        <w:pStyle w:val="Textonotapie"/>
        <w:ind w:firstLine="709"/>
        <w:rPr>
          <w:lang w:val="es-CO"/>
        </w:rPr>
      </w:pPr>
      <w:r>
        <w:rPr>
          <w:rStyle w:val="Refdenotaalpie"/>
        </w:rPr>
        <w:footnoteRef/>
      </w:r>
      <w:r>
        <w:t xml:space="preserve"> Disponible en: </w:t>
      </w:r>
      <w:hyperlink r:id="rId1" w:history="1">
        <w:r w:rsidRPr="004C7F35">
          <w:rPr>
            <w:rStyle w:val="Hipervnculo"/>
          </w:rPr>
          <w:t>https://relatoria.cne.gov.co/relatoria/</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1F1D142D"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E5A21DE"/>
    <w:multiLevelType w:val="multilevel"/>
    <w:tmpl w:val="0A6C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1"/>
  </w:num>
  <w:num w:numId="13" w16cid:durableId="1512908409">
    <w:abstractNumId w:val="3"/>
  </w:num>
  <w:num w:numId="14" w16cid:durableId="895897244">
    <w:abstractNumId w:val="13"/>
  </w:num>
  <w:num w:numId="15" w16cid:durableId="390349800">
    <w:abstractNumId w:val="9"/>
  </w:num>
  <w:num w:numId="16" w16cid:durableId="1380713882">
    <w:abstractNumId w:val="0"/>
  </w:num>
  <w:num w:numId="17" w16cid:durableId="101784985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567E"/>
    <w:rsid w:val="002C7A84"/>
    <w:rsid w:val="002E2BF8"/>
    <w:rsid w:val="002E4FD9"/>
    <w:rsid w:val="0030657A"/>
    <w:rsid w:val="00322A85"/>
    <w:rsid w:val="00324168"/>
    <w:rsid w:val="00330834"/>
    <w:rsid w:val="003340B4"/>
    <w:rsid w:val="003448F4"/>
    <w:rsid w:val="00374F5E"/>
    <w:rsid w:val="00377E3E"/>
    <w:rsid w:val="003A779E"/>
    <w:rsid w:val="003D0F4D"/>
    <w:rsid w:val="003D5B0D"/>
    <w:rsid w:val="003E0499"/>
    <w:rsid w:val="003E4F80"/>
    <w:rsid w:val="003E6439"/>
    <w:rsid w:val="003F3941"/>
    <w:rsid w:val="00406575"/>
    <w:rsid w:val="00414C74"/>
    <w:rsid w:val="0042722E"/>
    <w:rsid w:val="004416EB"/>
    <w:rsid w:val="0044528D"/>
    <w:rsid w:val="00466E39"/>
    <w:rsid w:val="004A1847"/>
    <w:rsid w:val="004A305D"/>
    <w:rsid w:val="004F21C4"/>
    <w:rsid w:val="004F685F"/>
    <w:rsid w:val="005566E8"/>
    <w:rsid w:val="00574867"/>
    <w:rsid w:val="00591460"/>
    <w:rsid w:val="005A65E0"/>
    <w:rsid w:val="005C3777"/>
    <w:rsid w:val="005C5CDC"/>
    <w:rsid w:val="005D476C"/>
    <w:rsid w:val="00602D4B"/>
    <w:rsid w:val="00607E35"/>
    <w:rsid w:val="006200BF"/>
    <w:rsid w:val="006219F8"/>
    <w:rsid w:val="006302F7"/>
    <w:rsid w:val="00645164"/>
    <w:rsid w:val="00646B9F"/>
    <w:rsid w:val="00665D70"/>
    <w:rsid w:val="006900D9"/>
    <w:rsid w:val="00706C16"/>
    <w:rsid w:val="007121AF"/>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2739"/>
    <w:rsid w:val="009F3A13"/>
    <w:rsid w:val="00A122D3"/>
    <w:rsid w:val="00A14468"/>
    <w:rsid w:val="00A17F13"/>
    <w:rsid w:val="00A20739"/>
    <w:rsid w:val="00A23AF9"/>
    <w:rsid w:val="00A33C78"/>
    <w:rsid w:val="00A96A9E"/>
    <w:rsid w:val="00AA7955"/>
    <w:rsid w:val="00AB0ADB"/>
    <w:rsid w:val="00B003EA"/>
    <w:rsid w:val="00B00C0E"/>
    <w:rsid w:val="00B01B1A"/>
    <w:rsid w:val="00B0381D"/>
    <w:rsid w:val="00B04F56"/>
    <w:rsid w:val="00B44A47"/>
    <w:rsid w:val="00B72CD3"/>
    <w:rsid w:val="00B72FFF"/>
    <w:rsid w:val="00BC3D36"/>
    <w:rsid w:val="00BD54A6"/>
    <w:rsid w:val="00BD7F72"/>
    <w:rsid w:val="00BF508A"/>
    <w:rsid w:val="00BF7425"/>
    <w:rsid w:val="00C04FB3"/>
    <w:rsid w:val="00C11D8B"/>
    <w:rsid w:val="00C15139"/>
    <w:rsid w:val="00C330EB"/>
    <w:rsid w:val="00C50D69"/>
    <w:rsid w:val="00C5365C"/>
    <w:rsid w:val="00C754BE"/>
    <w:rsid w:val="00C76B1C"/>
    <w:rsid w:val="00C925AC"/>
    <w:rsid w:val="00C93D52"/>
    <w:rsid w:val="00CB6357"/>
    <w:rsid w:val="00CC1B26"/>
    <w:rsid w:val="00D361FD"/>
    <w:rsid w:val="00D423A2"/>
    <w:rsid w:val="00D44E26"/>
    <w:rsid w:val="00D520D8"/>
    <w:rsid w:val="00D63AC2"/>
    <w:rsid w:val="00D66FB3"/>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80E30"/>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02D4B"/>
    <w:rPr>
      <w:rFonts w:ascii="Geomanist Light" w:hAnsi="Geomanist Light"/>
      <w:lang w:val="es-ES"/>
    </w:rPr>
  </w:style>
  <w:style w:type="paragraph" w:customStyle="1" w:styleId="Appelnotedebasde">
    <w:name w:val="Appel note de bas de..."/>
    <w:basedOn w:val="Normal"/>
    <w:link w:val="Refdenotaalpie"/>
    <w:uiPriority w:val="99"/>
    <w:rsid w:val="00602D4B"/>
    <w:pPr>
      <w:spacing w:line="240" w:lineRule="exact"/>
    </w:pPr>
    <w:rPr>
      <w:vertAlign w:val="superscript"/>
    </w:rPr>
  </w:style>
  <w:style w:type="character" w:customStyle="1" w:styleId="baj">
    <w:name w:val="b_aj"/>
    <w:basedOn w:val="Fuentedeprrafopredeter"/>
    <w:rsid w:val="00602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uiarturoaragon@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ne.gov.co/relatori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F4024ED-E576-45F9-BD15-F8F287869A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purl.org/dc/elements/1.1/"/>
    <ds:schemaRef ds:uri="http://schemas.microsoft.com/office/infopath/2007/PartnerControls"/>
    <ds:schemaRef ds:uri="http://schemas.microsoft.com/office/2006/metadata/properties"/>
    <ds:schemaRef ds:uri="http://purl.org/dc/terms/"/>
    <ds:schemaRef ds:uri="http://schemas.microsoft.com/office/2006/documentManagement/types"/>
    <ds:schemaRef ds:uri="9d85dbaf-23eb-4e57-a637-93dcacc8b1a1"/>
    <ds:schemaRef ds:uri="http://schemas.openxmlformats.org/package/2006/metadata/core-properties"/>
    <ds:schemaRef ds:uri="a6cb9e4b-f1d1-4245-83ec-6cad768d538a"/>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14</Pages>
  <Words>4752</Words>
  <Characters>25853</Characters>
  <Application>Microsoft Office Word</Application>
  <DocSecurity>0</DocSecurity>
  <Lines>506</Lines>
  <Paragraphs>110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2026-01-06T22:39:00Z</dcterms:created>
  <dcterms:modified xsi:type="dcterms:W3CDTF">2026-01-06T22:39:00Z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