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4AB0A1" w14:textId="77777777" w:rsidR="00BA52D3" w:rsidRPr="00682C93" w:rsidRDefault="00BA52D3" w:rsidP="00BA52D3">
      <w:pPr>
        <w:spacing w:after="0" w:line="240" w:lineRule="auto"/>
        <w:jc w:val="both"/>
        <w:rPr>
          <w:rFonts w:ascii="Verdana" w:hAnsi="Verdana" w:cs="Arial"/>
          <w:b/>
          <w:lang w:val="es-MX" w:eastAsia="es-ES_tradnl"/>
        </w:rPr>
      </w:pPr>
      <w:bookmarkStart w:id="0" w:name="_Hlk143780582"/>
      <w:r w:rsidRPr="00682C93">
        <w:rPr>
          <w:rFonts w:ascii="Verdana" w:hAnsi="Verdana" w:cs="Arial"/>
          <w:b/>
          <w:lang w:val="es-MX" w:eastAsia="es-ES_tradnl"/>
        </w:rPr>
        <w:t xml:space="preserve">LEY DE GARANTÍAS ELECTORALES </w:t>
      </w:r>
      <w:r w:rsidRPr="00682C93">
        <w:rPr>
          <w:rFonts w:ascii="Verdana" w:hAnsi="Verdana" w:cs="Arial"/>
          <w:b/>
          <w:bCs/>
          <w:lang w:val="es-MX" w:eastAsia="es-ES_tradnl"/>
        </w:rPr>
        <w:t>‒</w:t>
      </w:r>
      <w:r w:rsidRPr="00682C93">
        <w:rPr>
          <w:rFonts w:ascii="Verdana" w:hAnsi="Verdana" w:cs="Arial"/>
          <w:b/>
          <w:lang w:val="es-MX" w:eastAsia="es-ES_tradnl"/>
        </w:rPr>
        <w:t xml:space="preserve"> Finalidad </w:t>
      </w:r>
    </w:p>
    <w:p w14:paraId="4166FBA3" w14:textId="77777777" w:rsidR="00BA52D3" w:rsidRDefault="00BA52D3" w:rsidP="00BA52D3">
      <w:pPr>
        <w:spacing w:after="0" w:line="240" w:lineRule="auto"/>
        <w:jc w:val="both"/>
        <w:rPr>
          <w:rFonts w:ascii="Verdana" w:hAnsi="Verdana" w:cs="Arial"/>
          <w:b/>
          <w:lang w:val="es-MX" w:eastAsia="es-ES_tradnl"/>
        </w:rPr>
      </w:pPr>
    </w:p>
    <w:p w14:paraId="26D06C77" w14:textId="77777777" w:rsidR="00BA52D3" w:rsidRDefault="00BA52D3" w:rsidP="00BA52D3">
      <w:pPr>
        <w:spacing w:after="0" w:line="240" w:lineRule="auto"/>
        <w:jc w:val="both"/>
        <w:rPr>
          <w:rFonts w:ascii="Verdana" w:eastAsia="Times New Roman" w:hAnsi="Verdana" w:cs="Arial"/>
          <w:sz w:val="20"/>
          <w:lang w:val="es-MX" w:eastAsia="es-CO"/>
        </w:rPr>
      </w:pPr>
      <w:r w:rsidRPr="00682C93">
        <w:rPr>
          <w:rFonts w:ascii="Verdana" w:eastAsia="Times New Roman" w:hAnsi="Verdana" w:cs="Arial"/>
          <w:sz w:val="20"/>
          <w:lang w:val="es-MX" w:eastAsia="es-CO"/>
        </w:rPr>
        <w:t>En este contexto, la Ley de Garantías Electorales establece el marco jurídico para el desarrollo de las elecciones, procurando condiciones de igualdad y transparencia para los aspirantes. Paralelamente, se incluyen restricciones en las actuaciones de los servidores públicos, evitando interferencias en la contienda electoral, así como la posible desviación de recursos públicos en aspiraciones electorales. Por ello, varias de las disposiciones de la Ley 996 de 2005, al contener normas prohibitivas, no admiten una interpretación amplia, sino que deben interpretarse restrictivamente.</w:t>
      </w:r>
    </w:p>
    <w:p w14:paraId="24DDD950" w14:textId="77777777" w:rsidR="00BA52D3" w:rsidRPr="00682C93" w:rsidRDefault="00BA52D3" w:rsidP="00BA52D3">
      <w:pPr>
        <w:spacing w:after="0" w:line="240" w:lineRule="auto"/>
        <w:jc w:val="both"/>
        <w:rPr>
          <w:rFonts w:ascii="Verdana" w:hAnsi="Verdana" w:cs="Arial"/>
          <w:b/>
          <w:sz w:val="20"/>
          <w:lang w:val="es-MX" w:eastAsia="es-ES_tradnl"/>
        </w:rPr>
      </w:pPr>
    </w:p>
    <w:p w14:paraId="6DE6A1DC" w14:textId="77777777" w:rsidR="00BA52D3" w:rsidRPr="00682C93" w:rsidRDefault="00BA52D3" w:rsidP="00BA52D3">
      <w:pPr>
        <w:spacing w:after="0" w:line="240" w:lineRule="auto"/>
        <w:jc w:val="both"/>
        <w:rPr>
          <w:rFonts w:ascii="Verdana" w:hAnsi="Verdana" w:cs="Arial"/>
          <w:b/>
          <w:lang w:val="es-MX" w:eastAsia="es-ES_tradnl"/>
        </w:rPr>
      </w:pPr>
      <w:r w:rsidRPr="00682C93">
        <w:rPr>
          <w:rFonts w:ascii="Verdana" w:hAnsi="Verdana" w:cs="Arial"/>
          <w:b/>
          <w:lang w:val="es-MX" w:eastAsia="es-ES_tradnl"/>
        </w:rPr>
        <w:t xml:space="preserve">LEY DE GARANTÍAS ELECTORALES </w:t>
      </w:r>
      <w:r w:rsidRPr="00682C93">
        <w:rPr>
          <w:rFonts w:ascii="Verdana" w:hAnsi="Verdana" w:cs="Arial"/>
          <w:b/>
          <w:bCs/>
          <w:lang w:val="es-MX" w:eastAsia="es-ES_tradnl"/>
        </w:rPr>
        <w:t>‒</w:t>
      </w:r>
      <w:r w:rsidRPr="00682C93">
        <w:rPr>
          <w:rFonts w:ascii="Verdana" w:hAnsi="Verdana" w:cs="Arial"/>
          <w:b/>
          <w:lang w:val="es-MX" w:eastAsia="es-ES_tradnl"/>
        </w:rPr>
        <w:t xml:space="preserve"> Tipos de restricciones </w:t>
      </w:r>
      <w:r w:rsidRPr="00682C93">
        <w:rPr>
          <w:rFonts w:ascii="Verdana" w:hAnsi="Verdana" w:cs="Arial"/>
          <w:b/>
          <w:bCs/>
          <w:lang w:val="es-MX" w:eastAsia="es-ES_tradnl"/>
        </w:rPr>
        <w:t>‒</w:t>
      </w:r>
      <w:r w:rsidRPr="00682C93">
        <w:rPr>
          <w:rFonts w:ascii="Verdana" w:hAnsi="Verdana" w:cs="Arial"/>
          <w:b/>
          <w:lang w:val="es-MX" w:eastAsia="es-ES_tradnl"/>
        </w:rPr>
        <w:t xml:space="preserve"> Ámbito temporal – celebración- límite</w:t>
      </w:r>
    </w:p>
    <w:p w14:paraId="43DC5FEB" w14:textId="77777777" w:rsidR="00BA52D3" w:rsidRDefault="00BA52D3" w:rsidP="00BA52D3">
      <w:pPr>
        <w:spacing w:after="0" w:line="240" w:lineRule="auto"/>
        <w:jc w:val="both"/>
        <w:rPr>
          <w:rFonts w:ascii="Verdana" w:hAnsi="Verdana" w:cs="Arial"/>
          <w:b/>
          <w:lang w:val="es-MX" w:eastAsia="es-ES_tradnl"/>
        </w:rPr>
      </w:pPr>
    </w:p>
    <w:p w14:paraId="7858A2E5" w14:textId="77777777" w:rsidR="00BA52D3" w:rsidRPr="00E41F23" w:rsidRDefault="00BA52D3" w:rsidP="00BA52D3">
      <w:pPr>
        <w:spacing w:after="0" w:line="240" w:lineRule="auto"/>
        <w:jc w:val="both"/>
        <w:rPr>
          <w:rFonts w:ascii="Verdana" w:eastAsia="Calibri" w:hAnsi="Verdana" w:cs="Arial"/>
          <w:sz w:val="20"/>
        </w:rPr>
      </w:pPr>
      <w:r w:rsidRPr="00E41F23">
        <w:rPr>
          <w:rFonts w:ascii="Verdana" w:eastAsia="Calibri" w:hAnsi="Verdana" w:cs="Arial"/>
          <w:sz w:val="20"/>
        </w:rPr>
        <w:t xml:space="preserve">Por un lado, el </w:t>
      </w:r>
      <w:r w:rsidRPr="00E41F23">
        <w:rPr>
          <w:rFonts w:ascii="Verdana" w:eastAsia="Calibri" w:hAnsi="Verdana" w:cs="Arial"/>
          <w:i/>
          <w:iCs/>
          <w:sz w:val="20"/>
        </w:rPr>
        <w:t>artículo 33 de la Ley 996 de 2005</w:t>
      </w:r>
      <w:r w:rsidRPr="00E41F23">
        <w:rPr>
          <w:rFonts w:ascii="Verdana" w:eastAsia="Calibri" w:hAnsi="Verdana" w:cs="Arial"/>
          <w:sz w:val="20"/>
        </w:rPr>
        <w:t xml:space="preserve">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7B6E13F0" w14:textId="77777777" w:rsidR="00BA52D3" w:rsidRPr="00E41F23" w:rsidRDefault="00BA52D3" w:rsidP="00BA52D3">
      <w:pPr>
        <w:spacing w:after="0" w:line="240" w:lineRule="auto"/>
        <w:jc w:val="both"/>
        <w:rPr>
          <w:rFonts w:ascii="Verdana" w:eastAsia="Calibri" w:hAnsi="Verdana" w:cs="Arial"/>
          <w:sz w:val="20"/>
        </w:rPr>
      </w:pPr>
    </w:p>
    <w:p w14:paraId="48FFDBFE" w14:textId="77777777" w:rsidR="00BA52D3" w:rsidRDefault="00BA52D3" w:rsidP="00BA52D3">
      <w:pPr>
        <w:widowControl w:val="0"/>
        <w:autoSpaceDE w:val="0"/>
        <w:autoSpaceDN w:val="0"/>
        <w:spacing w:after="0" w:line="240" w:lineRule="auto"/>
        <w:ind w:right="113"/>
        <w:jc w:val="both"/>
        <w:rPr>
          <w:rFonts w:ascii="Verdana" w:eastAsia="Arial" w:hAnsi="Verdana" w:cs="Arial"/>
          <w:sz w:val="20"/>
          <w:lang w:val="es-ES" w:eastAsia="es-ES" w:bidi="es-ES"/>
        </w:rPr>
      </w:pPr>
      <w:r w:rsidRPr="00E41F23">
        <w:rPr>
          <w:rFonts w:ascii="Verdana" w:eastAsia="Calibri" w:hAnsi="Verdana" w:cs="Arial"/>
          <w:sz w:val="20"/>
        </w:rPr>
        <w:t xml:space="preserve">Por otro lado, </w:t>
      </w:r>
      <w:r w:rsidRPr="00E41F23">
        <w:rPr>
          <w:rFonts w:ascii="Verdana" w:eastAsia="Calibri" w:hAnsi="Verdana" w:cs="Arial"/>
          <w:i/>
          <w:iCs/>
          <w:sz w:val="20"/>
        </w:rPr>
        <w:t>el parágrafo del artículo 38 de la Ley 996 de 2005</w:t>
      </w:r>
      <w:r w:rsidRPr="00E41F23">
        <w:rPr>
          <w:rFonts w:ascii="Verdana" w:eastAsia="Calibri" w:hAnsi="Verdana" w:cs="Arial"/>
          <w:sz w:val="20"/>
        </w:rPr>
        <w:t xml:space="preserve"> prevé una restricción, aplicable respecto de cualquier tipo de contienda electoral, que prohíbe a los gobernadores, alcaldes municipales o distritales, secretarios, gerentes y directores de entidades descentralizadas del orden municipal, departamental o distrital “[…] </w:t>
      </w:r>
      <w:r w:rsidRPr="00E41F23">
        <w:rPr>
          <w:rFonts w:ascii="Verdana" w:eastAsia="Calibri" w:hAnsi="Verdana" w:cs="Arial"/>
          <w:sz w:val="20"/>
          <w:lang w:val="es-MX"/>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E41F23">
        <w:rPr>
          <w:rFonts w:ascii="Verdana" w:eastAsia="Calibri" w:hAnsi="Verdana" w:cs="Arial"/>
          <w:sz w:val="20"/>
        </w:rPr>
        <w:t>”</w:t>
      </w:r>
      <w:r w:rsidRPr="00E41F23">
        <w:rPr>
          <w:rFonts w:ascii="Verdana" w:eastAsia="Calibri" w:hAnsi="Verdana" w:cs="Arial"/>
          <w:sz w:val="20"/>
          <w:lang w:val="es-MX"/>
        </w:rPr>
        <w:t>.</w:t>
      </w:r>
      <w:r w:rsidRPr="00E41F23">
        <w:rPr>
          <w:rFonts w:ascii="Verdana" w:eastAsia="Arial" w:hAnsi="Verdana" w:cs="Arial"/>
          <w:sz w:val="20"/>
          <w:lang w:val="es-ES" w:eastAsia="es-ES" w:bidi="es-ES"/>
        </w:rPr>
        <w:t xml:space="preserve"> </w:t>
      </w:r>
    </w:p>
    <w:p w14:paraId="1AA77837" w14:textId="77777777" w:rsidR="00BA52D3" w:rsidRPr="00E41F23" w:rsidRDefault="00BA52D3" w:rsidP="00BA52D3">
      <w:pPr>
        <w:widowControl w:val="0"/>
        <w:autoSpaceDE w:val="0"/>
        <w:autoSpaceDN w:val="0"/>
        <w:spacing w:after="0" w:line="240" w:lineRule="auto"/>
        <w:ind w:right="113"/>
        <w:jc w:val="both"/>
        <w:rPr>
          <w:rFonts w:ascii="Verdana" w:eastAsia="Arial" w:hAnsi="Verdana" w:cs="Arial"/>
          <w:sz w:val="20"/>
          <w:lang w:val="es-ES" w:eastAsia="es-ES" w:bidi="es-ES"/>
        </w:rPr>
      </w:pPr>
    </w:p>
    <w:p w14:paraId="25BBA0C3" w14:textId="77777777" w:rsidR="00BA52D3" w:rsidRPr="00E41F23" w:rsidRDefault="00BA52D3" w:rsidP="00BA52D3">
      <w:pPr>
        <w:spacing w:after="0" w:line="240" w:lineRule="auto"/>
        <w:jc w:val="both"/>
        <w:rPr>
          <w:rFonts w:ascii="Verdana" w:eastAsia="Times New Roman" w:hAnsi="Verdana" w:cs="Arial"/>
          <w:bCs/>
          <w:sz w:val="20"/>
          <w:lang w:val="es-ES" w:eastAsia="es-CO"/>
        </w:rPr>
      </w:pPr>
      <w:r w:rsidRPr="00E41F23">
        <w:rPr>
          <w:rFonts w:ascii="Verdana" w:eastAsia="Times New Roman" w:hAnsi="Verdana" w:cs="Arial"/>
          <w:bCs/>
          <w:sz w:val="20"/>
          <w:lang w:eastAsia="es-CO"/>
        </w:rPr>
        <w:t xml:space="preserve">En efecto, el concepto de celebración en el marco de la contratación estatal se relaciona con el perfeccionamiento, es decir, con los requisitos para que exista un contrato estatal. Al respecto, se destaca que en entidades sometidas al Estatuto General de Contratación de la Administración Pública </w:t>
      </w:r>
      <w:r w:rsidRPr="00E41F23">
        <w:rPr>
          <w:rFonts w:ascii="Verdana" w:eastAsia="Times New Roman" w:hAnsi="Verdana" w:cs="Arial"/>
          <w:bCs/>
          <w:sz w:val="20"/>
          <w:lang w:val="es-ES" w:eastAsia="es-CO"/>
        </w:rPr>
        <w:t xml:space="preserve">la existencia de los contratos estatales, es decir, la producción de efectos jurídicos en los términos del artículo 1501 </w:t>
      </w:r>
      <w:proofErr w:type="spellStart"/>
      <w:r w:rsidRPr="00E41F23">
        <w:rPr>
          <w:rFonts w:ascii="Verdana" w:eastAsia="Times New Roman" w:hAnsi="Verdana" w:cs="Arial"/>
          <w:bCs/>
          <w:i/>
          <w:sz w:val="20"/>
          <w:lang w:val="es-ES" w:eastAsia="es-CO"/>
        </w:rPr>
        <w:t>ibídem</w:t>
      </w:r>
      <w:proofErr w:type="spellEnd"/>
      <w:r w:rsidRPr="00E41F23">
        <w:rPr>
          <w:rFonts w:ascii="Verdana" w:eastAsia="Times New Roman" w:hAnsi="Verdana" w:cs="Arial"/>
          <w:bCs/>
          <w:sz w:val="20"/>
          <w:lang w:val="es-ES" w:eastAsia="es-CO"/>
        </w:rPr>
        <w:t xml:space="preserve">, depende de la regulación del inciso primero de los artículos 39 y 41 de la Ley 80 de 1993. Por un lado, “Los contratos que celebren las entidades estatales constarán por escrito y no requerirán ser elevados a escritura pública, con excepción de aquellos que impliquen mutación del dominio o imposición de gravámenes y servidumbres sobre bienes inmuebles y, en general, aquellos que conforme a las normas legales vigentes deban cumplir con dicha formalidad”. Por otra parte, “Los contratos del Estado se perfeccionan cuando se logre acuerdo sobre el objeto y la contraprestación y éste se eleve a escrito”. </w:t>
      </w:r>
    </w:p>
    <w:p w14:paraId="2A1316F5" w14:textId="77777777" w:rsidR="00BA52D3" w:rsidRPr="00682C93" w:rsidRDefault="00BA52D3" w:rsidP="00BA52D3">
      <w:pPr>
        <w:spacing w:after="0" w:line="240" w:lineRule="auto"/>
        <w:jc w:val="both"/>
        <w:rPr>
          <w:rFonts w:ascii="Verdana" w:hAnsi="Verdana" w:cs="Arial"/>
          <w:b/>
          <w:lang w:val="es-ES" w:eastAsia="es-ES_tradnl"/>
        </w:rPr>
      </w:pPr>
    </w:p>
    <w:p w14:paraId="39647EBC" w14:textId="77777777" w:rsidR="00BA52D3" w:rsidRPr="00682C93" w:rsidRDefault="00BA52D3" w:rsidP="00BA52D3">
      <w:pPr>
        <w:spacing w:after="0" w:line="240" w:lineRule="auto"/>
        <w:jc w:val="both"/>
        <w:rPr>
          <w:rFonts w:ascii="Verdana" w:hAnsi="Verdana" w:cs="Arial"/>
          <w:b/>
          <w:lang w:val="es-MX" w:eastAsia="es-ES_tradnl"/>
        </w:rPr>
      </w:pPr>
      <w:r w:rsidRPr="00682C93">
        <w:rPr>
          <w:rFonts w:ascii="Verdana" w:hAnsi="Verdana" w:cs="Arial"/>
          <w:b/>
          <w:lang w:val="es-MX" w:eastAsia="es-ES_tradnl"/>
        </w:rPr>
        <w:lastRenderedPageBreak/>
        <w:t xml:space="preserve">LEY DE GARANTÍAS ELECTORALES – Contratos y convenios interadministrativos – Criterio orgánico </w:t>
      </w:r>
    </w:p>
    <w:p w14:paraId="5F5EC1F2" w14:textId="77777777" w:rsidR="00BA52D3" w:rsidRDefault="00BA52D3" w:rsidP="00BA52D3">
      <w:pPr>
        <w:spacing w:after="0" w:line="240" w:lineRule="auto"/>
        <w:jc w:val="both"/>
        <w:rPr>
          <w:rFonts w:ascii="Verdana" w:hAnsi="Verdana" w:cs="Arial"/>
          <w:b/>
          <w:lang w:val="es-MX" w:eastAsia="es-ES_tradnl"/>
        </w:rPr>
      </w:pPr>
    </w:p>
    <w:p w14:paraId="51433DF9" w14:textId="77777777" w:rsidR="00BA52D3" w:rsidRPr="00E41F23" w:rsidRDefault="00BA52D3" w:rsidP="00BA52D3">
      <w:pPr>
        <w:spacing w:after="0" w:line="240" w:lineRule="auto"/>
        <w:jc w:val="both"/>
        <w:rPr>
          <w:rFonts w:ascii="Verdana" w:eastAsia="Calibri" w:hAnsi="Verdana" w:cs="Arial"/>
          <w:sz w:val="20"/>
          <w:lang w:bidi="es-ES"/>
        </w:rPr>
      </w:pPr>
      <w:r w:rsidRPr="00E41F23">
        <w:rPr>
          <w:rFonts w:ascii="Verdana" w:eastAsia="Times New Roman" w:hAnsi="Verdana" w:cs="Arial"/>
          <w:sz w:val="20"/>
          <w:lang w:val="es-MX" w:eastAsia="x-none"/>
        </w:rPr>
        <w:t xml:space="preserve">Sobre este aspecto, es importante señalar que esta Subdirección, en los conceptos emitidos sobre la aplicación de la Ley de Garantías Electorales, ha defendido y mantenido la postura acerca de que la prohibición señalada en </w:t>
      </w:r>
      <w:r w:rsidRPr="00E41F23">
        <w:rPr>
          <w:rFonts w:ascii="Verdana" w:eastAsia="Arial" w:hAnsi="Verdana" w:cs="Arial"/>
          <w:sz w:val="20"/>
          <w:lang w:val="es-ES" w:eastAsia="es-ES" w:bidi="es-ES"/>
        </w:rPr>
        <w:t>e</w:t>
      </w:r>
      <w:r w:rsidRPr="00E41F23">
        <w:rPr>
          <w:rFonts w:ascii="Verdana" w:eastAsia="Calibri" w:hAnsi="Verdana" w:cs="Arial"/>
          <w:sz w:val="20"/>
        </w:rPr>
        <w:t xml:space="preserve">l parágrafo del artículo 38 cobija tanto a los convenios como a los contratos interadministrativos. Esta tesis se fundamenta en que </w:t>
      </w:r>
      <w:r w:rsidRPr="00E41F23">
        <w:rPr>
          <w:rFonts w:ascii="Verdana" w:eastAsia="Calibri" w:hAnsi="Verdana" w:cs="Arial"/>
          <w:sz w:val="20"/>
          <w:lang w:bidi="es-ES"/>
        </w:rPr>
        <w:t xml:space="preserve">si bien actualmente el Estatuto General de Contratación de la Administración Pública – en adelante EGCAP – se refiere de manera expresa al contrato interadministrativo o en términos generales a los interadministrativos y no al convenio, no por esto puede concluirse que se trate de figuras totalmente diferentes, pues las Entidades del Estado, en el marco de la Ley 80 de 1993, pueden acordar entre sí diferentes tipos de obligaciones, siempre que su objeto de creación les permita cumplirlas, con el objetivo común de materializar los fines del Estado. </w:t>
      </w:r>
    </w:p>
    <w:p w14:paraId="1BAD6A3A" w14:textId="77777777" w:rsidR="00BA52D3" w:rsidRPr="00682C93" w:rsidRDefault="00BA52D3" w:rsidP="00BA52D3">
      <w:pPr>
        <w:spacing w:after="0" w:line="240" w:lineRule="auto"/>
        <w:jc w:val="both"/>
        <w:rPr>
          <w:rFonts w:ascii="Verdana" w:hAnsi="Verdana" w:cs="Arial"/>
          <w:b/>
          <w:lang w:val="es-MX" w:eastAsia="es-ES_tradnl"/>
        </w:rPr>
      </w:pPr>
    </w:p>
    <w:p w14:paraId="66D0F4B5" w14:textId="77777777" w:rsidR="00BA52D3" w:rsidRDefault="00BA52D3" w:rsidP="00BA52D3">
      <w:pPr>
        <w:spacing w:after="0" w:line="240" w:lineRule="auto"/>
        <w:jc w:val="both"/>
        <w:rPr>
          <w:rFonts w:ascii="Verdana" w:hAnsi="Verdana" w:cs="Arial"/>
          <w:b/>
          <w:lang w:val="es-MX" w:eastAsia="es-ES_tradnl"/>
        </w:rPr>
      </w:pPr>
      <w:r w:rsidRPr="00682C93">
        <w:rPr>
          <w:rFonts w:ascii="Verdana" w:hAnsi="Verdana" w:cs="Arial"/>
          <w:b/>
          <w:lang w:val="es-MX" w:eastAsia="es-ES_tradnl"/>
        </w:rPr>
        <w:t>CONTRATOS Y CONVENIOS INTERADMINISTRATIVOS – Definición – Criterio org</w:t>
      </w:r>
      <w:r>
        <w:rPr>
          <w:rFonts w:ascii="Verdana" w:hAnsi="Verdana" w:cs="Arial"/>
          <w:b/>
          <w:lang w:val="es-MX" w:eastAsia="es-ES_tradnl"/>
        </w:rPr>
        <w:t>ánico</w:t>
      </w:r>
    </w:p>
    <w:p w14:paraId="7948A216" w14:textId="77777777" w:rsidR="00BA52D3" w:rsidRDefault="00BA52D3" w:rsidP="00BA52D3">
      <w:pPr>
        <w:spacing w:after="0" w:line="240" w:lineRule="auto"/>
        <w:jc w:val="both"/>
        <w:rPr>
          <w:rFonts w:ascii="Verdana" w:hAnsi="Verdana" w:cs="Arial"/>
          <w:b/>
          <w:lang w:val="es-MX" w:eastAsia="es-ES_tradnl"/>
        </w:rPr>
      </w:pPr>
    </w:p>
    <w:p w14:paraId="727F1A21" w14:textId="77777777" w:rsidR="00BA52D3" w:rsidRPr="003F2A9C" w:rsidRDefault="00BA52D3" w:rsidP="00BA52D3">
      <w:pPr>
        <w:spacing w:after="0" w:line="240" w:lineRule="auto"/>
        <w:jc w:val="both"/>
        <w:rPr>
          <w:rFonts w:ascii="Verdana" w:hAnsi="Verdana" w:cs="Arial"/>
          <w:b/>
          <w:lang w:val="es-MX" w:eastAsia="es-ES_tradnl"/>
        </w:rPr>
      </w:pPr>
      <w:r w:rsidRPr="003F2A9C">
        <w:rPr>
          <w:rFonts w:ascii="Verdana" w:eastAsia="Calibri" w:hAnsi="Verdana" w:cs="Arial"/>
          <w:sz w:val="20"/>
          <w:lang w:bidi="es-ES"/>
        </w:rPr>
        <w:t xml:space="preserve">Por este motivo, se argumenta en dichos conceptos que cuando la Ley 80 de 1993 se refiere a contratos interadministrativos de la misma forma lo hace frente a los convenios, entre otras razones, porque este cuerpo normativo faculta a las Entidades Públicas a celebrar los demás acuerdos que permitan la autonomía de la voluntad y requieran el cumplimiento de los fines estatales. Además, se señala que </w:t>
      </w:r>
      <w:r w:rsidRPr="003F2A9C">
        <w:rPr>
          <w:rFonts w:ascii="Verdana" w:eastAsia="Arial" w:hAnsi="Verdana" w:cs="Arial"/>
          <w:sz w:val="20"/>
          <w:lang w:val="es-ES" w:eastAsia="es-ES" w:bidi="es-ES"/>
        </w:rPr>
        <w:t>el legislador y el ordenamiento jurídico, en general, en distintas ocasiones utiliza de forma indistinta los conceptos de contrato o convenio para referirse a la misma institución jurídica. Incluso, la Corte Constitucional fundamenta la posibilidad de celebrar convenios interadministrativos de forma directa, con fundamento en la causal establecida en la Ley 1150 de 2007 respecto a los contratos int</w:t>
      </w:r>
      <w:r>
        <w:rPr>
          <w:rFonts w:ascii="Verdana" w:eastAsia="Arial" w:hAnsi="Verdana" w:cs="Arial"/>
          <w:sz w:val="20"/>
          <w:lang w:val="es-ES" w:eastAsia="es-ES" w:bidi="es-ES"/>
        </w:rPr>
        <w:t>eradministrativos</w:t>
      </w:r>
      <w:r w:rsidRPr="003F2A9C">
        <w:rPr>
          <w:rFonts w:ascii="Verdana" w:eastAsia="Arial" w:hAnsi="Verdana" w:cs="Arial"/>
          <w:sz w:val="20"/>
          <w:lang w:val="es-ES" w:eastAsia="es-ES" w:bidi="es-ES"/>
        </w:rPr>
        <w:t>.</w:t>
      </w:r>
    </w:p>
    <w:p w14:paraId="111A52CF" w14:textId="77777777" w:rsidR="00BA52D3" w:rsidRPr="003F2A9C" w:rsidRDefault="00BA52D3" w:rsidP="00BA52D3">
      <w:pPr>
        <w:spacing w:after="0" w:line="240" w:lineRule="auto"/>
        <w:jc w:val="both"/>
        <w:rPr>
          <w:rFonts w:ascii="Verdana" w:eastAsia="Calibri" w:hAnsi="Verdana" w:cs="Arial"/>
          <w:sz w:val="20"/>
          <w:lang w:bidi="es-ES"/>
        </w:rPr>
      </w:pPr>
    </w:p>
    <w:p w14:paraId="39E79B8D" w14:textId="77777777" w:rsidR="00BA52D3" w:rsidRDefault="00BA52D3" w:rsidP="00BA52D3">
      <w:pPr>
        <w:spacing w:after="0" w:line="240" w:lineRule="auto"/>
        <w:jc w:val="both"/>
        <w:rPr>
          <w:rFonts w:ascii="Verdana" w:eastAsia="Arial" w:hAnsi="Verdana" w:cs="Arial"/>
          <w:sz w:val="20"/>
          <w:lang w:val="es-ES" w:eastAsia="es-ES" w:bidi="es-ES"/>
        </w:rPr>
      </w:pPr>
      <w:r w:rsidRPr="003F2A9C">
        <w:rPr>
          <w:rFonts w:ascii="Verdana" w:eastAsia="Calibri" w:hAnsi="Verdana" w:cs="Arial"/>
          <w:sz w:val="20"/>
          <w:lang w:val="es-ES" w:bidi="es-ES"/>
        </w:rPr>
        <w:t>De este modo, en la Circular Externa</w:t>
      </w:r>
      <w:r w:rsidRPr="003F2A9C">
        <w:rPr>
          <w:rFonts w:ascii="Verdana" w:eastAsia="Arial" w:hAnsi="Verdana" w:cs="Arial"/>
          <w:sz w:val="20"/>
          <w:lang w:val="es-ES" w:eastAsia="es-ES" w:bidi="es-ES"/>
        </w:rPr>
        <w:t xml:space="preserve"> Única de Colombia Compra Eficiente, pese a reconocer que se han realizado algunas distinciones jurisprudenciales en torno a los contratos y convenios interadministrativos, relacionados con el alcance de las obligaciones que los caracterizan, se señaló que no existe una definición legal que diferencie los conceptos de convenio o de contrato</w:t>
      </w:r>
      <w:r>
        <w:rPr>
          <w:rFonts w:ascii="Verdana" w:eastAsia="Arial" w:hAnsi="Verdana" w:cs="Arial"/>
          <w:sz w:val="20"/>
          <w:lang w:val="es-ES" w:eastAsia="es-ES" w:bidi="es-ES"/>
        </w:rPr>
        <w:t>.</w:t>
      </w:r>
    </w:p>
    <w:p w14:paraId="03B6E52A" w14:textId="77777777" w:rsidR="00BA52D3" w:rsidRDefault="00BA52D3" w:rsidP="00C15139">
      <w:pPr>
        <w:spacing w:after="0"/>
        <w:rPr>
          <w:rFonts w:ascii="Verdana" w:hAnsi="Verdana"/>
          <w:lang w:val="es-ES"/>
        </w:rPr>
      </w:pPr>
    </w:p>
    <w:p w14:paraId="12C09E9C" w14:textId="77777777" w:rsidR="00BA52D3" w:rsidRDefault="00BA52D3" w:rsidP="00C15139">
      <w:pPr>
        <w:spacing w:after="0"/>
        <w:rPr>
          <w:rFonts w:ascii="Verdana" w:hAnsi="Verdana"/>
          <w:lang w:val="es-ES"/>
        </w:rPr>
      </w:pPr>
    </w:p>
    <w:p w14:paraId="2374E50E" w14:textId="77777777" w:rsidR="00BA52D3" w:rsidRDefault="00BA52D3" w:rsidP="00C15139">
      <w:pPr>
        <w:spacing w:after="0"/>
        <w:rPr>
          <w:rFonts w:ascii="Verdana" w:hAnsi="Verdana"/>
          <w:lang w:val="es-ES"/>
        </w:rPr>
      </w:pPr>
    </w:p>
    <w:p w14:paraId="22A02F19" w14:textId="77777777" w:rsidR="00BA52D3" w:rsidRDefault="00BA52D3" w:rsidP="00C15139">
      <w:pPr>
        <w:spacing w:after="0"/>
        <w:rPr>
          <w:rFonts w:ascii="Verdana" w:hAnsi="Verdana"/>
          <w:lang w:val="es-ES"/>
        </w:rPr>
      </w:pPr>
    </w:p>
    <w:p w14:paraId="68BE1FBC" w14:textId="77777777" w:rsidR="00BA52D3" w:rsidRDefault="00BA52D3" w:rsidP="00C15139">
      <w:pPr>
        <w:spacing w:after="0"/>
        <w:rPr>
          <w:rFonts w:ascii="Verdana" w:hAnsi="Verdana"/>
          <w:lang w:val="es-ES"/>
        </w:rPr>
      </w:pPr>
    </w:p>
    <w:p w14:paraId="4D39FC0A" w14:textId="77777777" w:rsidR="00BA52D3" w:rsidRDefault="00BA52D3" w:rsidP="00C15139">
      <w:pPr>
        <w:spacing w:after="0"/>
        <w:rPr>
          <w:rFonts w:ascii="Verdana" w:hAnsi="Verdana"/>
          <w:lang w:val="es-ES"/>
        </w:rPr>
      </w:pPr>
    </w:p>
    <w:p w14:paraId="05BC6908" w14:textId="77777777" w:rsidR="00BA52D3" w:rsidRPr="00BA52D3" w:rsidRDefault="00BA52D3" w:rsidP="00C15139">
      <w:pPr>
        <w:spacing w:after="0"/>
        <w:rPr>
          <w:rFonts w:ascii="Verdana" w:hAnsi="Verdana"/>
          <w:lang w:val="es-ES"/>
        </w:rPr>
      </w:pPr>
    </w:p>
    <w:p w14:paraId="0CD8EEB8" w14:textId="77777777" w:rsidR="00BA52D3" w:rsidRDefault="00BA52D3" w:rsidP="00C15139">
      <w:pPr>
        <w:spacing w:after="0"/>
        <w:rPr>
          <w:rFonts w:ascii="Verdana" w:hAnsi="Verdana"/>
        </w:rPr>
      </w:pPr>
    </w:p>
    <w:p w14:paraId="1468C46D" w14:textId="2B9F10A2" w:rsidR="00C15139" w:rsidRDefault="00C15139" w:rsidP="00F715C4">
      <w:pPr>
        <w:spacing w:after="0"/>
        <w:rPr>
          <w:rFonts w:ascii="Verdana" w:hAnsi="Verdana"/>
        </w:rPr>
      </w:pPr>
      <w:r w:rsidRPr="009F6981">
        <w:rPr>
          <w:rFonts w:ascii="Verdana" w:hAnsi="Verdana"/>
        </w:rPr>
        <w:lastRenderedPageBreak/>
        <w:t xml:space="preserve">Bogotá D.C., </w:t>
      </w:r>
      <w:r w:rsidR="001E0036">
        <w:rPr>
          <w:rFonts w:ascii="Verdana" w:hAnsi="Verdana"/>
        </w:rPr>
        <w:t>2</w:t>
      </w:r>
      <w:r w:rsidR="005E099F">
        <w:rPr>
          <w:rFonts w:ascii="Verdana" w:hAnsi="Verdana"/>
        </w:rPr>
        <w:t>3</w:t>
      </w:r>
      <w:r w:rsidR="001E0036">
        <w:rPr>
          <w:rFonts w:ascii="Verdana" w:hAnsi="Verdana"/>
        </w:rPr>
        <w:t xml:space="preserve"> de diciembre del 2025</w:t>
      </w:r>
      <w:r w:rsidRPr="009F6981">
        <w:rPr>
          <w:rFonts w:ascii="Verdana" w:hAnsi="Verdana"/>
        </w:rPr>
        <w:br/>
      </w:r>
      <w:r w:rsidRPr="009F6981">
        <w:rPr>
          <w:rFonts w:ascii="Verdana" w:hAnsi="Verdana"/>
        </w:rPr>
        <w:tab/>
      </w:r>
      <w:r w:rsidR="00F715C4">
        <w:rPr>
          <w:rFonts w:ascii="Verdana" w:hAnsi="Verdana"/>
        </w:rPr>
        <w:t xml:space="preserve"> </w:t>
      </w:r>
    </w:p>
    <w:p w14:paraId="175FBBC3" w14:textId="2AA4EC08" w:rsidR="00F715C4" w:rsidRPr="009F6981" w:rsidRDefault="00F715C4" w:rsidP="00F715C4">
      <w:pPr>
        <w:spacing w:after="0"/>
        <w:ind w:left="4956"/>
        <w:rPr>
          <w:rFonts w:ascii="Verdana" w:hAnsi="Verdana"/>
        </w:rPr>
      </w:pPr>
      <w:r w:rsidRPr="00F715C4">
        <w:rPr>
          <w:rFonts w:ascii="Verdana" w:hAnsi="Verdana"/>
          <w:noProof/>
        </w:rPr>
        <w:drawing>
          <wp:inline distT="0" distB="0" distL="0" distR="0" wp14:anchorId="13FFB8F0" wp14:editId="7E55E6E8">
            <wp:extent cx="3219899" cy="905001"/>
            <wp:effectExtent l="0" t="0" r="0" b="9525"/>
            <wp:docPr id="714562976"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4562976" name="Imagen 1" descr="Texto&#10;&#10;El contenido generado por IA puede ser incorrecto."/>
                    <pic:cNvPicPr/>
                  </pic:nvPicPr>
                  <pic:blipFill>
                    <a:blip r:embed="rId10"/>
                    <a:stretch>
                      <a:fillRect/>
                    </a:stretch>
                  </pic:blipFill>
                  <pic:spPr>
                    <a:xfrm>
                      <a:off x="0" y="0"/>
                      <a:ext cx="3219899" cy="905001"/>
                    </a:xfrm>
                    <a:prstGeom prst="rect">
                      <a:avLst/>
                    </a:prstGeom>
                  </pic:spPr>
                </pic:pic>
              </a:graphicData>
            </a:graphic>
          </wp:inline>
        </w:drawing>
      </w:r>
    </w:p>
    <w:p w14:paraId="5ED53C7F" w14:textId="6A97206F" w:rsidR="001E0036" w:rsidRPr="009F6981" w:rsidRDefault="001E0036" w:rsidP="001E0036">
      <w:pPr>
        <w:spacing w:after="0"/>
        <w:jc w:val="right"/>
        <w:rPr>
          <w:rFonts w:ascii="Verdana" w:hAnsi="Verdana"/>
        </w:rPr>
      </w:pPr>
    </w:p>
    <w:bookmarkEnd w:id="0"/>
    <w:p w14:paraId="5791EFE3" w14:textId="353DF79A" w:rsidR="003F64B8" w:rsidRPr="005E099F" w:rsidRDefault="005E099F" w:rsidP="005E099F">
      <w:pPr>
        <w:spacing w:after="0" w:line="240" w:lineRule="auto"/>
        <w:jc w:val="both"/>
        <w:rPr>
          <w:rFonts w:ascii="Verdana" w:eastAsia="Calibri" w:hAnsi="Verdana" w:cs="Arial"/>
          <w:b/>
          <w:bCs/>
          <w:color w:val="000000" w:themeColor="text1"/>
          <w:lang w:eastAsia="es-ES"/>
        </w:rPr>
      </w:pPr>
      <w:r>
        <w:rPr>
          <w:rFonts w:ascii="Verdana" w:eastAsia="Calibri" w:hAnsi="Verdana" w:cs="Arial"/>
          <w:b/>
          <w:bCs/>
          <w:color w:val="000000" w:themeColor="text1"/>
          <w:lang w:eastAsia="es-ES"/>
        </w:rPr>
        <w:t>Anónimo</w:t>
      </w:r>
      <w:r w:rsidR="009F6981" w:rsidRPr="005E099F">
        <w:rPr>
          <w:rFonts w:ascii="Verdana" w:eastAsia="Calibri" w:hAnsi="Verdana" w:cs="Arial"/>
          <w:b/>
          <w:bCs/>
          <w:color w:val="000000" w:themeColor="text1"/>
          <w:lang w:eastAsia="es-ES"/>
        </w:rPr>
        <w:t xml:space="preserve"> </w:t>
      </w:r>
    </w:p>
    <w:p w14:paraId="7ABDE196" w14:textId="3D5AF764" w:rsidR="005E099F" w:rsidRPr="005E099F" w:rsidRDefault="005E099F" w:rsidP="005E099F">
      <w:pPr>
        <w:spacing w:after="0" w:line="240" w:lineRule="auto"/>
        <w:jc w:val="both"/>
        <w:rPr>
          <w:rFonts w:ascii="Verdana" w:eastAsia="Calibri" w:hAnsi="Verdana" w:cs="Arial"/>
          <w:b/>
          <w:bCs/>
          <w:color w:val="000000" w:themeColor="text1"/>
          <w:lang w:eastAsia="es-ES"/>
        </w:rPr>
      </w:pPr>
      <w:hyperlink r:id="rId11" w:history="1">
        <w:r w:rsidRPr="005E099F">
          <w:rPr>
            <w:rStyle w:val="Hipervnculo"/>
            <w:rFonts w:ascii="Verdana" w:eastAsia="Calibri" w:hAnsi="Verdana" w:cs="Arial"/>
            <w:b/>
            <w:bCs/>
            <w:lang w:eastAsia="es-ES"/>
          </w:rPr>
          <w:t>davidpecheneabogado@gmail.com</w:t>
        </w:r>
      </w:hyperlink>
    </w:p>
    <w:p w14:paraId="0BDE1BD2" w14:textId="5E114506" w:rsidR="001C0382" w:rsidRPr="003F64B8" w:rsidRDefault="001C0382" w:rsidP="001C0382">
      <w:pPr>
        <w:spacing w:after="0" w:line="240" w:lineRule="auto"/>
        <w:rPr>
          <w:rFonts w:ascii="Verdana" w:eastAsia="Calibri" w:hAnsi="Verdana" w:cs="Arial"/>
          <w:b/>
          <w:bCs/>
          <w:color w:val="000000" w:themeColor="text1"/>
          <w:lang w:val="es-ES_tradnl" w:eastAsia="es-ES"/>
        </w:rPr>
      </w:pPr>
      <w:r w:rsidRPr="003F64B8">
        <w:rPr>
          <w:rFonts w:ascii="Verdana" w:eastAsia="Calibri" w:hAnsi="Verdana" w:cs="Arial"/>
          <w:color w:val="000000" w:themeColor="text1"/>
          <w:lang w:val="es-ES_tradnl" w:eastAsia="es-ES"/>
        </w:rPr>
        <w:t>Bogotá D.C.</w:t>
      </w:r>
    </w:p>
    <w:p w14:paraId="62DDEE53" w14:textId="77777777" w:rsidR="001C0382" w:rsidRPr="003F64B8" w:rsidRDefault="001C0382" w:rsidP="001C0382">
      <w:pPr>
        <w:spacing w:after="0" w:line="240" w:lineRule="auto"/>
        <w:rPr>
          <w:rFonts w:ascii="Verdana" w:eastAsia="Calibri" w:hAnsi="Verdana" w:cs="Arial"/>
          <w:b/>
          <w:bCs/>
          <w:color w:val="000000" w:themeColor="text1"/>
          <w:highlight w:val="cyan"/>
          <w:lang w:val="es-ES_tradnl" w:eastAsia="es-ES_tradnl"/>
        </w:rPr>
      </w:pPr>
    </w:p>
    <w:p w14:paraId="2F2856FB" w14:textId="77777777" w:rsidR="005E099F" w:rsidRDefault="001C0382" w:rsidP="001C0382">
      <w:pPr>
        <w:spacing w:after="0" w:line="240" w:lineRule="auto"/>
        <w:rPr>
          <w:rFonts w:ascii="Verdana" w:eastAsia="Calibri" w:hAnsi="Verdana" w:cs="Arial"/>
          <w:b/>
          <w:bCs/>
          <w:color w:val="000000" w:themeColor="text1"/>
          <w:lang w:val="es-ES_tradnl" w:eastAsia="es-ES_tradnl"/>
        </w:rPr>
      </w:pPr>
      <w:r w:rsidRPr="003F64B8">
        <w:rPr>
          <w:rFonts w:ascii="Verdana" w:eastAsia="Calibri" w:hAnsi="Verdana" w:cs="Arial"/>
          <w:b/>
          <w:bCs/>
          <w:color w:val="000000" w:themeColor="text1"/>
          <w:lang w:val="es-ES_tradnl" w:eastAsia="es-ES_tradnl"/>
        </w:rPr>
        <w:t xml:space="preserve">                                   </w:t>
      </w:r>
    </w:p>
    <w:p w14:paraId="770CD857" w14:textId="0BC21C35" w:rsidR="001C0382" w:rsidRPr="003F64B8" w:rsidRDefault="005E099F" w:rsidP="001C0382">
      <w:pPr>
        <w:spacing w:after="0" w:line="240" w:lineRule="auto"/>
        <w:rPr>
          <w:rFonts w:ascii="Verdana" w:eastAsia="Calibri" w:hAnsi="Verdana" w:cs="Arial"/>
          <w:b/>
          <w:bCs/>
          <w:color w:val="000000" w:themeColor="text1"/>
          <w:lang w:val="es-ES_tradnl" w:eastAsia="es-ES_tradnl"/>
        </w:rPr>
      </w:pPr>
      <w:r>
        <w:rPr>
          <w:rFonts w:ascii="Verdana" w:eastAsia="Calibri" w:hAnsi="Verdana" w:cs="Arial"/>
          <w:b/>
          <w:bCs/>
          <w:color w:val="000000" w:themeColor="text1"/>
          <w:lang w:val="es-ES_tradnl" w:eastAsia="es-ES_tradnl"/>
        </w:rPr>
        <w:t xml:space="preserve">                                   </w:t>
      </w:r>
      <w:r w:rsidR="001C0382" w:rsidRPr="003F64B8">
        <w:rPr>
          <w:rFonts w:ascii="Verdana" w:eastAsia="Calibri" w:hAnsi="Verdana" w:cs="Arial"/>
          <w:b/>
          <w:bCs/>
          <w:color w:val="000000" w:themeColor="text1"/>
          <w:lang w:val="es-ES_tradnl" w:eastAsia="es-ES_tradnl"/>
        </w:rPr>
        <w:t xml:space="preserve">Concepto </w:t>
      </w:r>
      <w:r w:rsidR="002B3D5A" w:rsidRPr="003F64B8">
        <w:rPr>
          <w:rFonts w:ascii="Verdana" w:eastAsia="Calibri" w:hAnsi="Verdana" w:cs="Arial"/>
          <w:b/>
          <w:bCs/>
          <w:color w:val="000000" w:themeColor="text1"/>
          <w:lang w:val="es-ES_tradnl" w:eastAsia="es-ES_tradnl"/>
        </w:rPr>
        <w:t>C-</w:t>
      </w:r>
      <w:r>
        <w:rPr>
          <w:rFonts w:ascii="Verdana" w:eastAsia="Calibri" w:hAnsi="Verdana" w:cs="Arial"/>
          <w:b/>
          <w:bCs/>
          <w:color w:val="000000" w:themeColor="text1"/>
          <w:lang w:val="es-ES_tradnl" w:eastAsia="es-ES_tradnl"/>
        </w:rPr>
        <w:t>1746</w:t>
      </w:r>
      <w:r w:rsidR="002B3D5A" w:rsidRPr="003F64B8">
        <w:rPr>
          <w:rFonts w:ascii="Verdana" w:eastAsia="Calibri" w:hAnsi="Verdana" w:cs="Arial"/>
          <w:b/>
          <w:bCs/>
          <w:color w:val="000000" w:themeColor="text1"/>
          <w:lang w:val="es-ES_tradnl" w:eastAsia="es-ES_tradnl"/>
        </w:rPr>
        <w:t xml:space="preserve"> </w:t>
      </w:r>
      <w:r w:rsidR="001C0382" w:rsidRPr="003F64B8">
        <w:rPr>
          <w:rFonts w:ascii="Verdana" w:eastAsia="Calibri" w:hAnsi="Verdana" w:cs="Arial"/>
          <w:b/>
          <w:bCs/>
          <w:color w:val="000000" w:themeColor="text1"/>
          <w:lang w:val="es-ES_tradnl" w:eastAsia="es-ES_tradnl"/>
        </w:rPr>
        <w:t>del 2025</w:t>
      </w: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1C0382" w:rsidRPr="003F64B8" w14:paraId="6C7C3FD7" w14:textId="77777777" w:rsidTr="00FB43C2">
        <w:trPr>
          <w:gridAfter w:val="1"/>
          <w:wAfter w:w="6100" w:type="dxa"/>
          <w:trHeight w:val="133"/>
        </w:trPr>
        <w:tc>
          <w:tcPr>
            <w:tcW w:w="2689" w:type="dxa"/>
          </w:tcPr>
          <w:p w14:paraId="42D47AEA" w14:textId="77777777" w:rsidR="001C0382" w:rsidRPr="003F64B8" w:rsidRDefault="001C0382" w:rsidP="00FB43C2">
            <w:pPr>
              <w:jc w:val="both"/>
              <w:rPr>
                <w:rFonts w:ascii="Verdana" w:eastAsia="Calibri" w:hAnsi="Verdana" w:cs="Arial"/>
                <w:b/>
                <w:bCs/>
                <w:color w:val="000000" w:themeColor="text1"/>
                <w:highlight w:val="cyan"/>
                <w:lang w:val="es-ES_tradnl" w:eastAsia="es-ES_tradnl"/>
              </w:rPr>
            </w:pPr>
          </w:p>
        </w:tc>
      </w:tr>
      <w:tr w:rsidR="001C0382" w:rsidRPr="003F64B8" w14:paraId="1701D17E" w14:textId="77777777" w:rsidTr="00FB43C2">
        <w:trPr>
          <w:trHeight w:val="884"/>
        </w:trPr>
        <w:tc>
          <w:tcPr>
            <w:tcW w:w="2689" w:type="dxa"/>
          </w:tcPr>
          <w:p w14:paraId="75AA1D54" w14:textId="77777777" w:rsidR="001C0382" w:rsidRPr="00247F29" w:rsidRDefault="001C0382" w:rsidP="00FB43C2">
            <w:pPr>
              <w:jc w:val="both"/>
              <w:rPr>
                <w:rFonts w:ascii="Verdana" w:eastAsia="Calibri" w:hAnsi="Verdana" w:cs="Arial"/>
                <w:color w:val="000000" w:themeColor="text1"/>
                <w:lang w:val="es-ES_tradnl" w:eastAsia="es-ES_tradnl"/>
              </w:rPr>
            </w:pPr>
            <w:r w:rsidRPr="00247F29">
              <w:rPr>
                <w:rFonts w:ascii="Verdana" w:eastAsia="Calibri" w:hAnsi="Verdana" w:cs="Arial"/>
                <w:b/>
                <w:color w:val="000000" w:themeColor="text1"/>
                <w:lang w:val="es-ES_tradnl" w:eastAsia="es-ES_tradnl"/>
              </w:rPr>
              <w:t>Temas:</w:t>
            </w:r>
            <w:r w:rsidRPr="00247F29">
              <w:rPr>
                <w:rFonts w:ascii="Verdana" w:eastAsia="Calibri" w:hAnsi="Verdana" w:cs="Arial"/>
                <w:color w:val="000000" w:themeColor="text1"/>
                <w:lang w:val="es-ES_tradnl" w:eastAsia="es-ES_tradnl"/>
              </w:rPr>
              <w:t xml:space="preserve">                   </w:t>
            </w:r>
          </w:p>
        </w:tc>
        <w:tc>
          <w:tcPr>
            <w:tcW w:w="6100" w:type="dxa"/>
          </w:tcPr>
          <w:p w14:paraId="2A903678" w14:textId="5AAA4104" w:rsidR="00247F29" w:rsidRPr="00247F29" w:rsidRDefault="00247F29" w:rsidP="00247F29">
            <w:pPr>
              <w:spacing w:line="276" w:lineRule="auto"/>
              <w:jc w:val="both"/>
              <w:rPr>
                <w:rFonts w:ascii="Verdana" w:eastAsia="Calibri" w:hAnsi="Verdana" w:cs="Arial"/>
                <w:lang w:val="es-ES" w:eastAsia="es-ES"/>
              </w:rPr>
            </w:pPr>
            <w:r w:rsidRPr="00247F29">
              <w:rPr>
                <w:rFonts w:ascii="Verdana" w:eastAsia="Calibri" w:hAnsi="Verdana" w:cs="Arial"/>
                <w:lang w:val="es-ES" w:eastAsia="es-ES"/>
              </w:rPr>
              <w:t xml:space="preserve">LEY DE GARANTÍAS ELECTORALES ‒ Finalidad / LEY DE GARANTÍAS ELECTORALES ‒ Tipos de restricciones ‒ Ámbito temporal – </w:t>
            </w:r>
            <w:r w:rsidR="006D12F2">
              <w:rPr>
                <w:rFonts w:ascii="Verdana" w:eastAsia="Calibri" w:hAnsi="Verdana" w:cs="Arial"/>
                <w:lang w:val="es-ES" w:eastAsia="es-ES"/>
              </w:rPr>
              <w:t>C</w:t>
            </w:r>
            <w:r w:rsidRPr="00247F29">
              <w:rPr>
                <w:rFonts w:ascii="Verdana" w:eastAsia="Calibri" w:hAnsi="Verdana" w:cs="Arial"/>
                <w:lang w:val="es-ES" w:eastAsia="es-ES"/>
              </w:rPr>
              <w:t xml:space="preserve">elebración – </w:t>
            </w:r>
            <w:r w:rsidR="006D12F2">
              <w:rPr>
                <w:rFonts w:ascii="Verdana" w:eastAsia="Calibri" w:hAnsi="Verdana" w:cs="Arial"/>
                <w:lang w:val="es-ES" w:eastAsia="es-ES"/>
              </w:rPr>
              <w:t>L</w:t>
            </w:r>
            <w:r w:rsidRPr="00247F29">
              <w:rPr>
                <w:rFonts w:ascii="Verdana" w:eastAsia="Calibri" w:hAnsi="Verdana" w:cs="Arial"/>
                <w:lang w:val="es-ES" w:eastAsia="es-ES"/>
              </w:rPr>
              <w:t xml:space="preserve">ímite / LEY DE GARANTÍAS ELECTORALES – Contratos y convenios interadministrativos – Criterio orgánico / CONTRATOS Y CONVENIOS INTERADMINISTRATIVOS – Definición – Criterio orgánico                    </w:t>
            </w:r>
          </w:p>
          <w:p w14:paraId="5AEB7C06" w14:textId="77777777" w:rsidR="001C0382" w:rsidRPr="00247F29" w:rsidRDefault="001C0382" w:rsidP="00FB43C2">
            <w:pPr>
              <w:spacing w:line="276" w:lineRule="auto"/>
              <w:jc w:val="both"/>
              <w:rPr>
                <w:rFonts w:ascii="Verdana" w:hAnsi="Verdana" w:cs="Arial"/>
                <w:bCs/>
                <w:color w:val="000000" w:themeColor="text1"/>
                <w:lang w:val="es-ES"/>
              </w:rPr>
            </w:pPr>
          </w:p>
        </w:tc>
      </w:tr>
      <w:tr w:rsidR="001C0382" w:rsidRPr="003F64B8" w14:paraId="116B75AD" w14:textId="77777777" w:rsidTr="00FB43C2">
        <w:tc>
          <w:tcPr>
            <w:tcW w:w="2689" w:type="dxa"/>
          </w:tcPr>
          <w:p w14:paraId="3BCE840C" w14:textId="77777777" w:rsidR="001C0382" w:rsidRPr="00247F29" w:rsidRDefault="001C0382" w:rsidP="00FB43C2">
            <w:pPr>
              <w:jc w:val="both"/>
              <w:rPr>
                <w:rFonts w:ascii="Verdana" w:eastAsia="Calibri" w:hAnsi="Verdana" w:cs="Arial"/>
                <w:b/>
                <w:color w:val="000000" w:themeColor="text1"/>
                <w:lang w:val="es-ES_tradnl" w:eastAsia="es-ES_tradnl"/>
              </w:rPr>
            </w:pPr>
            <w:r w:rsidRPr="00247F29">
              <w:rPr>
                <w:rFonts w:ascii="Verdana" w:eastAsia="Calibri" w:hAnsi="Verdana" w:cs="Arial"/>
                <w:b/>
                <w:color w:val="000000" w:themeColor="text1"/>
                <w:lang w:val="es-ES_tradnl" w:eastAsia="es-ES_tradnl"/>
              </w:rPr>
              <w:t>Radicación:</w:t>
            </w:r>
            <w:r w:rsidRPr="00247F29">
              <w:rPr>
                <w:rFonts w:ascii="Verdana" w:eastAsia="Calibri" w:hAnsi="Verdana" w:cs="Arial"/>
                <w:color w:val="000000" w:themeColor="text1"/>
                <w:lang w:val="es-ES_tradnl" w:eastAsia="es-ES_tradnl"/>
              </w:rPr>
              <w:t xml:space="preserve">               </w:t>
            </w:r>
          </w:p>
        </w:tc>
        <w:tc>
          <w:tcPr>
            <w:tcW w:w="6100" w:type="dxa"/>
          </w:tcPr>
          <w:p w14:paraId="7CAC9FD1" w14:textId="41239AD3" w:rsidR="001C0382" w:rsidRPr="00247F29" w:rsidRDefault="001C0382" w:rsidP="00FB43C2">
            <w:pPr>
              <w:jc w:val="both"/>
              <w:rPr>
                <w:rFonts w:ascii="Verdana" w:eastAsia="Calibri" w:hAnsi="Verdana" w:cs="Arial"/>
                <w:color w:val="000000" w:themeColor="text1"/>
                <w:lang w:eastAsia="es-ES_tradnl"/>
              </w:rPr>
            </w:pPr>
            <w:r w:rsidRPr="00247F29">
              <w:rPr>
                <w:rFonts w:ascii="Verdana" w:eastAsia="Calibri" w:hAnsi="Verdana" w:cs="Arial"/>
                <w:color w:val="000000" w:themeColor="text1"/>
                <w:lang w:val="es-ES_tradnl" w:eastAsia="es-ES_tradnl"/>
              </w:rPr>
              <w:t>Respuesta a consulta con radicado No.</w:t>
            </w:r>
            <w:r w:rsidRPr="00247F29">
              <w:rPr>
                <w:rFonts w:ascii="Verdana" w:hAnsi="Verdana"/>
              </w:rPr>
              <w:t xml:space="preserve"> </w:t>
            </w:r>
            <w:r w:rsidR="00AC2411" w:rsidRPr="00247F29">
              <w:rPr>
                <w:rFonts w:ascii="Verdana" w:eastAsia="Calibri" w:hAnsi="Verdana" w:cs="Arial"/>
                <w:color w:val="000000" w:themeColor="text1"/>
                <w:lang w:eastAsia="es-ES_tradnl"/>
              </w:rPr>
              <w:t>1_2025_11_</w:t>
            </w:r>
            <w:r w:rsidR="005E099F">
              <w:rPr>
                <w:rFonts w:ascii="Verdana" w:eastAsia="Calibri" w:hAnsi="Verdana" w:cs="Arial"/>
                <w:color w:val="000000" w:themeColor="text1"/>
                <w:lang w:eastAsia="es-ES_tradnl"/>
              </w:rPr>
              <w:t>24_013264</w:t>
            </w:r>
          </w:p>
          <w:p w14:paraId="057BFE81" w14:textId="77777777" w:rsidR="001C0382" w:rsidRPr="00247F29" w:rsidRDefault="001C0382" w:rsidP="00FB43C2">
            <w:pPr>
              <w:jc w:val="both"/>
              <w:rPr>
                <w:rFonts w:ascii="Verdana" w:hAnsi="Verdana" w:cs="Arial"/>
              </w:rPr>
            </w:pPr>
          </w:p>
          <w:p w14:paraId="00DF4BCC" w14:textId="77777777" w:rsidR="001C0382" w:rsidRPr="00247F29" w:rsidRDefault="001C0382" w:rsidP="00FB43C2">
            <w:pPr>
              <w:jc w:val="both"/>
              <w:rPr>
                <w:rFonts w:ascii="Verdana" w:hAnsi="Verdana"/>
                <w:color w:val="000000"/>
              </w:rPr>
            </w:pPr>
          </w:p>
        </w:tc>
      </w:tr>
    </w:tbl>
    <w:p w14:paraId="628E39E6" w14:textId="4E7DB7C3" w:rsidR="001C0382" w:rsidRPr="00E70A61" w:rsidRDefault="001C0382" w:rsidP="001C0382">
      <w:pPr>
        <w:spacing w:after="0" w:line="276" w:lineRule="auto"/>
        <w:jc w:val="both"/>
        <w:rPr>
          <w:rFonts w:ascii="Verdana" w:eastAsia="Calibri" w:hAnsi="Verdana" w:cs="Arial"/>
          <w:color w:val="000000" w:themeColor="text1"/>
          <w:lang w:val="es-ES" w:eastAsia="es-ES"/>
        </w:rPr>
      </w:pPr>
      <w:r w:rsidRPr="00E70A61">
        <w:rPr>
          <w:rFonts w:ascii="Verdana" w:eastAsia="Calibri" w:hAnsi="Verdana" w:cs="Arial"/>
          <w:color w:val="000000" w:themeColor="text1"/>
          <w:lang w:val="es-ES" w:eastAsia="es-ES"/>
        </w:rPr>
        <w:t xml:space="preserve">Estimado </w:t>
      </w:r>
      <w:r w:rsidR="00E70A61" w:rsidRPr="00E70A61">
        <w:rPr>
          <w:rFonts w:ascii="Verdana" w:eastAsia="Calibri" w:hAnsi="Verdana" w:cs="Arial"/>
          <w:color w:val="000000" w:themeColor="text1"/>
          <w:lang w:val="es-ES" w:eastAsia="es-ES"/>
        </w:rPr>
        <w:t>señor</w:t>
      </w:r>
      <w:r w:rsidR="005E099F">
        <w:rPr>
          <w:rFonts w:ascii="Verdana" w:eastAsia="Calibri" w:hAnsi="Verdana" w:cs="Arial"/>
          <w:color w:val="000000" w:themeColor="text1"/>
          <w:lang w:val="es-ES" w:eastAsia="es-ES"/>
        </w:rPr>
        <w:t xml:space="preserve"> (a)</w:t>
      </w:r>
      <w:r w:rsidRPr="00E70A61">
        <w:rPr>
          <w:rFonts w:ascii="Verdana" w:eastAsia="Calibri" w:hAnsi="Verdana" w:cs="Arial"/>
          <w:color w:val="000000" w:themeColor="text1"/>
          <w:lang w:val="es-ES" w:eastAsia="es-ES"/>
        </w:rPr>
        <w:t xml:space="preserve">: </w:t>
      </w:r>
    </w:p>
    <w:p w14:paraId="05501FE9" w14:textId="77777777" w:rsidR="001C0382" w:rsidRPr="001C0382" w:rsidRDefault="001C0382" w:rsidP="001C0382">
      <w:pPr>
        <w:spacing w:after="0"/>
        <w:rPr>
          <w:rFonts w:ascii="Verdana" w:eastAsia="Times New Roman" w:hAnsi="Verdana" w:cs="Segoe UI"/>
          <w:highlight w:val="cyan"/>
          <w:lang w:eastAsia="es-CO"/>
        </w:rPr>
      </w:pPr>
    </w:p>
    <w:p w14:paraId="6DE4E65D" w14:textId="617F4365" w:rsidR="001C0382" w:rsidRPr="00526F61" w:rsidRDefault="001C0382" w:rsidP="001C0382">
      <w:pPr>
        <w:spacing w:after="0" w:line="276" w:lineRule="auto"/>
        <w:jc w:val="both"/>
        <w:rPr>
          <w:rFonts w:ascii="Verdana" w:eastAsia="Calibri" w:hAnsi="Verdana" w:cs="Arial"/>
          <w:color w:val="000000" w:themeColor="text1"/>
          <w:lang w:val="es-ES" w:eastAsia="es-ES"/>
        </w:rPr>
      </w:pPr>
      <w:r w:rsidRPr="00526F61">
        <w:rPr>
          <w:rFonts w:ascii="Verdana" w:eastAsia="Calibri" w:hAnsi="Verdana" w:cs="Arial"/>
          <w:color w:val="000000" w:themeColor="text1"/>
          <w:lang w:val="es-ES" w:eastAsia="es-ES"/>
        </w:rPr>
        <w:t>En ejercicio de la competencia otorgada por los artículos 3, numeral 5º, y 11, numeral 8º, del Decreto Ley 4170 de 2011,</w:t>
      </w:r>
      <w:r w:rsidRPr="00526F61">
        <w:rPr>
          <w:rFonts w:ascii="Verdana" w:eastAsia="Arial MT" w:hAnsi="Verdana" w:cs="Arial MT"/>
          <w:color w:val="000000" w:themeColor="text1"/>
          <w:lang w:val="es-ES" w:eastAsia="es-ES"/>
        </w:rPr>
        <w:t xml:space="preserve"> </w:t>
      </w:r>
      <w:r w:rsidRPr="00526F61">
        <w:rPr>
          <w:rFonts w:ascii="Verdana" w:hAnsi="Verdana" w:cs="Arial"/>
          <w:color w:val="000000" w:themeColor="text1"/>
        </w:rPr>
        <w:t xml:space="preserve">así como lo establecido en el artículo 4 de la Resolución 1707 de 2018 expedida por esta Entidad, </w:t>
      </w:r>
      <w:r w:rsidRPr="00526F61">
        <w:rPr>
          <w:rFonts w:ascii="Verdana" w:eastAsia="Calibri" w:hAnsi="Verdana" w:cs="Arial"/>
          <w:color w:val="000000" w:themeColor="text1"/>
          <w:lang w:val="es-ES" w:eastAsia="es-ES"/>
        </w:rPr>
        <w:t xml:space="preserve">la Agencia Nacional de Contratación Pública – Colombia Compra Eficiente– responde su solicitud de consulta de fecha </w:t>
      </w:r>
      <w:r w:rsidR="00526F61" w:rsidRPr="00526F61">
        <w:rPr>
          <w:rFonts w:ascii="Verdana" w:eastAsia="Calibri" w:hAnsi="Verdana" w:cs="Arial"/>
          <w:color w:val="000000" w:themeColor="text1"/>
          <w:lang w:val="es-ES" w:eastAsia="es-ES"/>
        </w:rPr>
        <w:t>01 de octubre del 2025</w:t>
      </w:r>
      <w:r w:rsidRPr="00526F61">
        <w:rPr>
          <w:rFonts w:ascii="Verdana" w:eastAsia="Calibri" w:hAnsi="Verdana" w:cs="Arial"/>
          <w:color w:val="000000" w:themeColor="text1"/>
          <w:lang w:val="es-ES" w:eastAsia="es-ES"/>
        </w:rPr>
        <w:t xml:space="preserve">, traslada por el Departamento Administrativo de la Función Pública, el </w:t>
      </w:r>
      <w:r w:rsidR="005E099F">
        <w:rPr>
          <w:rFonts w:ascii="Verdana" w:eastAsia="Calibri" w:hAnsi="Verdana" w:cs="Arial"/>
          <w:color w:val="000000" w:themeColor="text1"/>
          <w:lang w:val="es-ES" w:eastAsia="es-ES"/>
        </w:rPr>
        <w:t>24</w:t>
      </w:r>
      <w:r w:rsidR="00686C35" w:rsidRPr="00526F61">
        <w:rPr>
          <w:rFonts w:ascii="Verdana" w:eastAsia="Calibri" w:hAnsi="Verdana" w:cs="Arial"/>
          <w:color w:val="000000" w:themeColor="text1"/>
          <w:lang w:val="es-ES" w:eastAsia="es-ES"/>
        </w:rPr>
        <w:t xml:space="preserve"> de noviembre del 2025</w:t>
      </w:r>
      <w:r w:rsidRPr="00526F61">
        <w:rPr>
          <w:rFonts w:ascii="Verdana" w:eastAsia="Calibri" w:hAnsi="Verdana" w:cs="Arial"/>
          <w:color w:val="000000" w:themeColor="text1"/>
          <w:lang w:val="es-ES" w:eastAsia="es-ES"/>
        </w:rPr>
        <w:t xml:space="preserve">, en la cual manifiesta lo siguiente: </w:t>
      </w:r>
    </w:p>
    <w:p w14:paraId="01666AE3" w14:textId="77777777" w:rsidR="001C0382" w:rsidRPr="001C0382" w:rsidRDefault="001C0382" w:rsidP="001C0382">
      <w:pPr>
        <w:spacing w:after="0" w:line="276" w:lineRule="auto"/>
        <w:jc w:val="both"/>
        <w:rPr>
          <w:rFonts w:ascii="Verdana" w:eastAsia="Calibri" w:hAnsi="Verdana" w:cs="Arial"/>
          <w:color w:val="000000" w:themeColor="text1"/>
          <w:highlight w:val="cyan"/>
          <w:lang w:val="es-ES" w:eastAsia="es-ES"/>
        </w:rPr>
      </w:pPr>
    </w:p>
    <w:p w14:paraId="4C0D3B9D" w14:textId="4B23FD9F" w:rsidR="001C0382" w:rsidRPr="00732024" w:rsidRDefault="001C0382" w:rsidP="005E099F">
      <w:pPr>
        <w:spacing w:after="0" w:line="240" w:lineRule="auto"/>
        <w:ind w:left="709" w:right="709"/>
        <w:jc w:val="both"/>
        <w:rPr>
          <w:rFonts w:ascii="Verdana" w:eastAsia="Century Gothic" w:hAnsi="Verdana" w:cs="Century Gothic"/>
          <w:i/>
          <w:iCs/>
          <w:color w:val="000000" w:themeColor="text1"/>
          <w:sz w:val="20"/>
          <w:szCs w:val="20"/>
          <w:lang w:val="es-ES"/>
        </w:rPr>
      </w:pPr>
      <w:bookmarkStart w:id="1" w:name="_Hlk95313578"/>
      <w:r w:rsidRPr="00732024">
        <w:rPr>
          <w:rFonts w:ascii="Verdana" w:eastAsia="Century Gothic" w:hAnsi="Verdana" w:cs="Century Gothic"/>
          <w:i/>
          <w:iCs/>
          <w:color w:val="000000" w:themeColor="text1"/>
          <w:sz w:val="20"/>
          <w:szCs w:val="20"/>
          <w:lang w:val="es-ES"/>
        </w:rPr>
        <w:lastRenderedPageBreak/>
        <w:t>“</w:t>
      </w:r>
      <w:bookmarkEnd w:id="1"/>
      <w:r w:rsidRPr="00732024">
        <w:rPr>
          <w:rFonts w:ascii="Verdana" w:eastAsia="Century Gothic" w:hAnsi="Verdana" w:cs="Century Gothic"/>
          <w:i/>
          <w:iCs/>
          <w:color w:val="000000" w:themeColor="text1"/>
          <w:sz w:val="20"/>
          <w:szCs w:val="20"/>
          <w:lang w:val="es-ES"/>
        </w:rPr>
        <w:t>[…]</w:t>
      </w:r>
      <w:r w:rsidR="005E099F" w:rsidRPr="005E099F">
        <w:rPr>
          <w:rFonts w:ascii="Verdana" w:eastAsia="Century Gothic" w:hAnsi="Verdana" w:cs="Century Gothic"/>
          <w:i/>
          <w:iCs/>
          <w:color w:val="000000" w:themeColor="text1"/>
          <w:sz w:val="20"/>
          <w:szCs w:val="20"/>
          <w:lang w:val="es-ES"/>
        </w:rPr>
        <w:t>Se puede realizar un convenio interadministrativo en ley de garantías entre el</w:t>
      </w:r>
      <w:r w:rsidR="005E099F">
        <w:rPr>
          <w:rFonts w:ascii="Verdana" w:eastAsia="Century Gothic" w:hAnsi="Verdana" w:cs="Century Gothic"/>
          <w:i/>
          <w:iCs/>
          <w:color w:val="000000" w:themeColor="text1"/>
          <w:sz w:val="20"/>
          <w:szCs w:val="20"/>
          <w:lang w:val="es-ES"/>
        </w:rPr>
        <w:t xml:space="preserve"> </w:t>
      </w:r>
      <w:r w:rsidR="005E099F" w:rsidRPr="005E099F">
        <w:rPr>
          <w:rFonts w:ascii="Verdana" w:eastAsia="Century Gothic" w:hAnsi="Verdana" w:cs="Century Gothic"/>
          <w:i/>
          <w:iCs/>
          <w:color w:val="000000" w:themeColor="text1"/>
          <w:sz w:val="20"/>
          <w:szCs w:val="20"/>
          <w:lang w:val="es-ES"/>
        </w:rPr>
        <w:t>municipio y la defensa civil</w:t>
      </w:r>
      <w:r w:rsidR="00732024" w:rsidRPr="00732024">
        <w:rPr>
          <w:rFonts w:ascii="Verdana" w:hAnsi="Verdana"/>
          <w:i/>
          <w:iCs/>
          <w:sz w:val="20"/>
          <w:szCs w:val="20"/>
        </w:rPr>
        <w:t xml:space="preserve">? </w:t>
      </w:r>
      <w:r w:rsidRPr="00732024">
        <w:rPr>
          <w:rFonts w:ascii="Verdana" w:eastAsia="Century Gothic" w:hAnsi="Verdana" w:cs="Century Gothic"/>
          <w:i/>
          <w:iCs/>
          <w:color w:val="000000" w:themeColor="text1"/>
          <w:sz w:val="20"/>
          <w:szCs w:val="20"/>
          <w:lang w:val="es-ES"/>
        </w:rPr>
        <w:t>[…]”.</w:t>
      </w:r>
    </w:p>
    <w:p w14:paraId="32B4CF47" w14:textId="77777777" w:rsidR="001C0382" w:rsidRPr="001C0382" w:rsidRDefault="001C0382" w:rsidP="001C0382">
      <w:pPr>
        <w:spacing w:after="0" w:line="240" w:lineRule="auto"/>
        <w:ind w:left="709" w:right="709"/>
        <w:jc w:val="both"/>
        <w:rPr>
          <w:rFonts w:ascii="Verdana" w:eastAsia="Times New Roman" w:hAnsi="Verdana" w:cs="Arial"/>
          <w:i/>
          <w:iCs/>
          <w:sz w:val="20"/>
          <w:szCs w:val="20"/>
          <w:highlight w:val="cyan"/>
          <w:lang w:eastAsia="es-ES_tradnl"/>
        </w:rPr>
      </w:pPr>
    </w:p>
    <w:p w14:paraId="5D809714" w14:textId="77777777" w:rsidR="001C0382" w:rsidRPr="0017044B" w:rsidRDefault="001C0382" w:rsidP="001C0382">
      <w:pPr>
        <w:spacing w:after="120" w:line="276" w:lineRule="auto"/>
        <w:ind w:firstLine="709"/>
        <w:jc w:val="both"/>
        <w:rPr>
          <w:rFonts w:ascii="Verdana" w:eastAsia="Calibri" w:hAnsi="Verdana" w:cs="Arial"/>
          <w:color w:val="000000" w:themeColor="text1"/>
          <w:szCs w:val="24"/>
          <w:lang w:val="es-ES_tradnl" w:eastAsia="es-ES_tradnl"/>
        </w:rPr>
      </w:pPr>
      <w:r w:rsidRPr="0017044B">
        <w:rPr>
          <w:rFonts w:ascii="Verdana" w:eastAsia="Calibri" w:hAnsi="Verdana" w:cs="Arial"/>
          <w:color w:val="000000" w:themeColor="text1"/>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17044B">
        <w:rPr>
          <w:rFonts w:ascii="Verdana" w:eastAsia="Calibri" w:hAnsi="Verdana" w:cs="Arial"/>
          <w:color w:val="000000" w:themeColor="text1"/>
          <w:szCs w:val="24"/>
          <w:lang w:val="es-ES_tradnl" w:eastAsia="es-ES_tradnl"/>
        </w:rPr>
        <w:tab/>
      </w:r>
    </w:p>
    <w:p w14:paraId="2930D4A0" w14:textId="77777777" w:rsidR="001C0382" w:rsidRPr="0017044B" w:rsidRDefault="001C0382" w:rsidP="001C0382">
      <w:pPr>
        <w:spacing w:after="0" w:line="276" w:lineRule="auto"/>
        <w:ind w:firstLine="709"/>
        <w:jc w:val="both"/>
        <w:rPr>
          <w:rFonts w:ascii="Verdana" w:eastAsia="Calibri" w:hAnsi="Verdana" w:cs="Arial"/>
          <w:color w:val="000000" w:themeColor="text1"/>
          <w:lang w:val="es-ES" w:eastAsia="es-ES"/>
        </w:rPr>
      </w:pPr>
      <w:r w:rsidRPr="0017044B">
        <w:rPr>
          <w:rFonts w:ascii="Verdana" w:eastAsia="Calibri" w:hAnsi="Verdana" w:cs="Arial"/>
          <w:color w:val="000000" w:themeColor="text1"/>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(los) problema(s) jurídico(s) de su consulta. </w:t>
      </w:r>
    </w:p>
    <w:p w14:paraId="5159C95A" w14:textId="77777777" w:rsidR="001C0382" w:rsidRPr="001C0382" w:rsidRDefault="001C0382" w:rsidP="001C0382">
      <w:pPr>
        <w:spacing w:after="0" w:line="276" w:lineRule="auto"/>
        <w:jc w:val="both"/>
        <w:rPr>
          <w:rFonts w:ascii="Verdana" w:eastAsia="Calibri" w:hAnsi="Verdana" w:cs="Arial"/>
          <w:color w:val="000000" w:themeColor="text1"/>
          <w:highlight w:val="cyan"/>
          <w:lang w:val="es-ES" w:eastAsia="es-ES"/>
        </w:rPr>
      </w:pPr>
    </w:p>
    <w:p w14:paraId="7C8E699E" w14:textId="77777777" w:rsidR="001C0382" w:rsidRPr="0017044B" w:rsidRDefault="001C0382" w:rsidP="001C0382">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color w:val="000000" w:themeColor="text1"/>
        </w:rPr>
      </w:pPr>
      <w:r w:rsidRPr="0017044B">
        <w:rPr>
          <w:rFonts w:ascii="Verdana" w:eastAsia="Century Gothic" w:hAnsi="Verdana" w:cs="Century Gothic"/>
          <w:b/>
          <w:bCs/>
          <w:color w:val="000000" w:themeColor="text1"/>
        </w:rPr>
        <w:t>Problema planteado:</w:t>
      </w:r>
    </w:p>
    <w:p w14:paraId="7E76D020" w14:textId="77777777" w:rsidR="001C0382" w:rsidRDefault="001C0382" w:rsidP="001C0382">
      <w:pPr>
        <w:tabs>
          <w:tab w:val="left" w:pos="426"/>
        </w:tabs>
        <w:spacing w:after="0" w:line="276" w:lineRule="auto"/>
        <w:jc w:val="both"/>
        <w:rPr>
          <w:rFonts w:ascii="Verdana" w:eastAsia="Century Gothic" w:hAnsi="Verdana" w:cs="Century Gothic"/>
          <w:color w:val="000000" w:themeColor="text1"/>
          <w:lang w:val="es-ES"/>
        </w:rPr>
      </w:pPr>
    </w:p>
    <w:p w14:paraId="6126CD93" w14:textId="760BD6B9" w:rsidR="008A6B9F" w:rsidRPr="00593A5F" w:rsidRDefault="008A6B9F" w:rsidP="008A6B9F">
      <w:pPr>
        <w:spacing w:after="0" w:line="276" w:lineRule="auto"/>
        <w:jc w:val="both"/>
        <w:rPr>
          <w:rFonts w:ascii="Verdana" w:eastAsia="Century Gothic" w:hAnsi="Verdana" w:cs="Century Gothic"/>
        </w:rPr>
      </w:pPr>
      <w:r w:rsidRPr="00906BE9">
        <w:rPr>
          <w:rFonts w:ascii="Verdana" w:eastAsia="Century Gothic" w:hAnsi="Verdana" w:cs="Century Gothic"/>
        </w:rPr>
        <w:t xml:space="preserve">De acuerdo con el contenido de su solicitud, esta Agencia resolverá </w:t>
      </w:r>
      <w:r>
        <w:rPr>
          <w:rFonts w:ascii="Verdana" w:eastAsia="Century Gothic" w:hAnsi="Verdana" w:cs="Century Gothic"/>
        </w:rPr>
        <w:t>el</w:t>
      </w:r>
      <w:r w:rsidRPr="00906BE9">
        <w:rPr>
          <w:rFonts w:ascii="Verdana" w:eastAsia="Century Gothic" w:hAnsi="Verdana" w:cs="Century Gothic"/>
        </w:rPr>
        <w:t xml:space="preserve"> siguiente</w:t>
      </w:r>
      <w:r>
        <w:rPr>
          <w:rFonts w:ascii="Verdana" w:eastAsia="Century Gothic" w:hAnsi="Verdana" w:cs="Century Gothic"/>
        </w:rPr>
        <w:t xml:space="preserve"> </w:t>
      </w:r>
      <w:r w:rsidRPr="00906BE9">
        <w:rPr>
          <w:rFonts w:ascii="Verdana" w:eastAsia="Century Gothic" w:hAnsi="Verdana" w:cs="Century Gothic"/>
        </w:rPr>
        <w:t>problema jurídico:</w:t>
      </w:r>
      <w:r>
        <w:rPr>
          <w:rFonts w:ascii="Verdana" w:eastAsia="Century Gothic" w:hAnsi="Verdana" w:cs="Century Gothic"/>
        </w:rPr>
        <w:t xml:space="preserve"> </w:t>
      </w:r>
      <w:r w:rsidR="00F8074B">
        <w:rPr>
          <w:rFonts w:ascii="Verdana" w:eastAsia="Century Gothic" w:hAnsi="Verdana" w:cs="Century Gothic"/>
        </w:rPr>
        <w:t>¿Es</w:t>
      </w:r>
      <w:r w:rsidR="00316877">
        <w:rPr>
          <w:rFonts w:ascii="Verdana" w:eastAsia="Century Gothic" w:hAnsi="Verdana" w:cs="Century Gothic"/>
        </w:rPr>
        <w:t xml:space="preserve"> viable que un Municipio celebre un convenio interadministrativo con la Defensa Civil Colombiana durante la vigencia de la Ley de </w:t>
      </w:r>
      <w:r w:rsidR="00F8074B">
        <w:rPr>
          <w:rFonts w:ascii="Verdana" w:eastAsia="Century Gothic" w:hAnsi="Verdana" w:cs="Century Gothic"/>
        </w:rPr>
        <w:t>Garantías</w:t>
      </w:r>
      <w:r w:rsidR="00316877">
        <w:rPr>
          <w:rFonts w:ascii="Verdana" w:eastAsia="Century Gothic" w:hAnsi="Verdana" w:cs="Century Gothic"/>
        </w:rPr>
        <w:t xml:space="preserve"> </w:t>
      </w:r>
      <w:r>
        <w:rPr>
          <w:rFonts w:ascii="Verdana" w:eastAsia="Century Gothic" w:hAnsi="Verdana" w:cs="Century Gothic"/>
        </w:rPr>
        <w:t>previstas en los artículos 33 y 38 de la Ley 996 de 2005?</w:t>
      </w:r>
      <w:r w:rsidRPr="00906BE9">
        <w:rPr>
          <w:rFonts w:ascii="Verdana" w:eastAsia="Century Gothic" w:hAnsi="Verdana" w:cs="Century Gothic"/>
        </w:rPr>
        <w:t xml:space="preserve">       </w:t>
      </w:r>
      <w:r>
        <w:rPr>
          <w:rFonts w:ascii="Verdana" w:eastAsia="Century Gothic" w:hAnsi="Verdana" w:cs="Century Gothic"/>
        </w:rPr>
        <w:t xml:space="preserve">       </w:t>
      </w:r>
      <w:r w:rsidRPr="00C00976">
        <w:rPr>
          <w:rFonts w:ascii="Verdana" w:eastAsia="Century Gothic" w:hAnsi="Verdana" w:cs="Century Gothic"/>
          <w:color w:val="7030A0"/>
        </w:rPr>
        <w:t xml:space="preserve"> </w:t>
      </w:r>
    </w:p>
    <w:p w14:paraId="7541CBC3" w14:textId="77777777" w:rsidR="00252A56" w:rsidRPr="00C55BDE" w:rsidRDefault="00252A56" w:rsidP="00252A56">
      <w:pPr>
        <w:spacing w:after="0" w:line="276" w:lineRule="auto"/>
        <w:jc w:val="both"/>
        <w:rPr>
          <w:rFonts w:ascii="Verdana" w:eastAsia="Century Gothic" w:hAnsi="Verdana" w:cs="Century Gothic"/>
          <w:color w:val="000000" w:themeColor="text1"/>
        </w:rPr>
      </w:pPr>
    </w:p>
    <w:p w14:paraId="7832F38B" w14:textId="77777777" w:rsidR="00252A56" w:rsidRPr="00C55BDE" w:rsidRDefault="00252A56" w:rsidP="00252A56">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C55BDE">
        <w:rPr>
          <w:rFonts w:ascii="Verdana" w:eastAsia="Century Gothic" w:hAnsi="Verdana" w:cs="Century Gothic"/>
          <w:b/>
          <w:bCs/>
          <w:color w:val="000000" w:themeColor="text1"/>
        </w:rPr>
        <w:t xml:space="preserve">Respuesta: </w:t>
      </w:r>
    </w:p>
    <w:p w14:paraId="7CFD2DD4" w14:textId="77777777" w:rsidR="00F54E36" w:rsidRPr="00C55BDE" w:rsidRDefault="00F54E36" w:rsidP="00252A56">
      <w:pPr>
        <w:tabs>
          <w:tab w:val="left" w:pos="142"/>
          <w:tab w:val="left" w:pos="284"/>
        </w:tabs>
        <w:spacing w:after="0" w:line="276" w:lineRule="auto"/>
        <w:jc w:val="both"/>
        <w:rPr>
          <w:rFonts w:ascii="Verdana" w:eastAsia="Century Gothic" w:hAnsi="Verdana" w:cs="Century Gothic"/>
          <w:b/>
          <w:bCs/>
          <w:color w:val="000000" w:themeColor="text1"/>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252A56" w:rsidRPr="00C55BDE" w14:paraId="3AB54E41" w14:textId="77777777" w:rsidTr="00FB43C2">
        <w:tc>
          <w:tcPr>
            <w:tcW w:w="8828" w:type="dxa"/>
          </w:tcPr>
          <w:p w14:paraId="45B07B04" w14:textId="77777777" w:rsidR="00252A56" w:rsidRPr="00C55BDE" w:rsidRDefault="00252A56" w:rsidP="00FB43C2">
            <w:pPr>
              <w:spacing w:before="120" w:after="120" w:line="276" w:lineRule="auto"/>
              <w:jc w:val="both"/>
              <w:rPr>
                <w:rFonts w:ascii="Verdana" w:hAnsi="Verdana" w:cs="Arial"/>
                <w:color w:val="000000" w:themeColor="text1"/>
              </w:rPr>
            </w:pPr>
            <w:r w:rsidRPr="00C55BDE">
              <w:rPr>
                <w:rFonts w:ascii="Verdana" w:hAnsi="Verdana" w:cs="Arial"/>
                <w:color w:val="000000" w:themeColor="text1"/>
              </w:rPr>
              <w:t>En respuesta al problema antes planteado esta Subdirección manifiesta lo siguiente:</w:t>
            </w:r>
          </w:p>
          <w:p w14:paraId="1C0300E8" w14:textId="3C5A43E5" w:rsidR="00F54E36" w:rsidRPr="00F54E36" w:rsidRDefault="00F54E36" w:rsidP="00F54E36">
            <w:pPr>
              <w:spacing w:before="120" w:after="120" w:line="276" w:lineRule="auto"/>
              <w:ind w:firstLine="709"/>
              <w:jc w:val="both"/>
              <w:rPr>
                <w:rFonts w:ascii="Verdana" w:hAnsi="Verdana" w:cs="Arial"/>
              </w:rPr>
            </w:pPr>
            <w:r w:rsidRPr="000955E3">
              <w:rPr>
                <w:rFonts w:ascii="Verdana" w:eastAsia="Calibri" w:hAnsi="Verdana" w:cs="Arial"/>
                <w:bCs/>
                <w:color w:val="000000" w:themeColor="text1"/>
              </w:rPr>
              <w:t>Conforme a la interpretación general de las normas del sistema de compras públicas</w:t>
            </w:r>
            <w:r w:rsidRPr="000955E3">
              <w:rPr>
                <w:rFonts w:ascii="Verdana" w:eastAsia="Arial" w:hAnsi="Verdana" w:cs="Arial"/>
                <w:lang w:val="es-MX" w:eastAsia="es-ES" w:bidi="es-ES"/>
              </w:rPr>
              <w:t xml:space="preserve">, </w:t>
            </w:r>
            <w:r w:rsidRPr="009526D1">
              <w:rPr>
                <w:rFonts w:ascii="Verdana" w:eastAsia="Arial" w:hAnsi="Verdana" w:cs="Arial"/>
                <w:lang w:val="es-MX" w:eastAsia="es-ES" w:bidi="es-ES"/>
              </w:rPr>
              <w:t xml:space="preserve">el artículo 33 de la Ley 996 de 2005 prohíbe “[…] la </w:t>
            </w:r>
            <w:r w:rsidRPr="009526D1">
              <w:rPr>
                <w:rFonts w:ascii="Verdana" w:eastAsia="Arial" w:hAnsi="Verdana" w:cs="Arial"/>
                <w:lang w:val="es-MX" w:eastAsia="es-ES" w:bidi="es-ES"/>
              </w:rPr>
              <w:lastRenderedPageBreak/>
              <w:t>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Pr>
                <w:rFonts w:ascii="Verdana" w:eastAsia="Arial" w:hAnsi="Verdana" w:cs="Arial"/>
                <w:lang w:val="es-MX" w:eastAsia="es-ES" w:bidi="es-ES"/>
              </w:rPr>
              <w:t>.</w:t>
            </w:r>
          </w:p>
          <w:p w14:paraId="3A467882" w14:textId="77777777" w:rsidR="00F54E36" w:rsidRDefault="00F54E36" w:rsidP="00F54E36">
            <w:pPr>
              <w:spacing w:before="120" w:line="276" w:lineRule="auto"/>
              <w:jc w:val="both"/>
              <w:rPr>
                <w:rFonts w:ascii="Verdana" w:eastAsia="Arial" w:hAnsi="Verdana" w:cs="Arial"/>
                <w:lang w:val="es-MX" w:eastAsia="es-ES" w:bidi="es-ES"/>
              </w:rPr>
            </w:pPr>
            <w:r>
              <w:rPr>
                <w:rFonts w:ascii="Verdana" w:eastAsia="Arial" w:hAnsi="Verdana" w:cs="Arial"/>
                <w:lang w:val="es-MX" w:eastAsia="es-ES" w:bidi="es-ES"/>
              </w:rPr>
              <w:tab/>
              <w:t>E</w:t>
            </w:r>
            <w:r w:rsidRPr="009526D1">
              <w:rPr>
                <w:rFonts w:ascii="Verdana" w:eastAsia="Arial" w:hAnsi="Verdana" w:cs="Arial"/>
                <w:lang w:val="es-MX" w:eastAsia="es-ES" w:bidi="es-ES"/>
              </w:rPr>
              <w:t>l artículo 33 de la Ley 996 de 2005 señala expresamente a los destinatarios de la prohibición, en el sentido de que son “todos los entes del Estado”, expresión que contempla a los diferentes organismos o entidades autorizadas por la ley para suscribir contratos. En efecto, tal como lo ha sostenido el Consejo de Estado, el vocablo “todos” utilizado por el legislador comprende 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w:t>
            </w:r>
          </w:p>
          <w:p w14:paraId="3C89DDDB" w14:textId="77777777" w:rsidR="00F54E36" w:rsidRPr="000955E3" w:rsidRDefault="00F54E36" w:rsidP="00F54E36">
            <w:pPr>
              <w:spacing w:before="120" w:line="276" w:lineRule="auto"/>
              <w:ind w:firstLine="708"/>
              <w:jc w:val="both"/>
              <w:rPr>
                <w:rFonts w:ascii="Verdana" w:eastAsia="Times New Roman" w:hAnsi="Verdana" w:cs="Arial"/>
                <w:lang w:val="es-MX" w:eastAsia="es-CO"/>
              </w:rPr>
            </w:pPr>
            <w:r>
              <w:rPr>
                <w:rFonts w:ascii="Verdana" w:eastAsia="Times New Roman" w:hAnsi="Verdana" w:cs="Arial"/>
                <w:lang w:val="es-MX" w:eastAsia="es-CO"/>
              </w:rPr>
              <w:t xml:space="preserve">Por su parte, </w:t>
            </w:r>
            <w:r w:rsidRPr="000955E3">
              <w:rPr>
                <w:rFonts w:ascii="Verdana" w:eastAsia="Times New Roman" w:hAnsi="Verdana" w:cs="Arial"/>
                <w:lang w:val="es-MX" w:eastAsia="es-CO"/>
              </w:rPr>
              <w:t xml:space="preserve">el parágrafo del artículo 38 de la Ley 996 de 2005 prohíbe a los Alcaldes, Gobernadores, Secretarios, Gerentes y Directores de las entidades del orden municipal, departamental o distrital celebrar </w:t>
            </w:r>
            <w:r w:rsidRPr="000955E3">
              <w:rPr>
                <w:rFonts w:ascii="Verdana" w:eastAsia="Times New Roman" w:hAnsi="Verdana" w:cs="Arial"/>
                <w:i/>
                <w:iCs/>
                <w:lang w:val="es-MX" w:eastAsia="es-CO"/>
              </w:rPr>
              <w:t>convenios interadministrativos</w:t>
            </w:r>
            <w:r w:rsidRPr="000955E3">
              <w:rPr>
                <w:rFonts w:ascii="Verdana" w:eastAsia="Times New Roman" w:hAnsi="Verdana" w:cs="Arial"/>
                <w:lang w:val="es-MX" w:eastAsia="es-CO"/>
              </w:rPr>
              <w:t xml:space="preserve"> para la ejecución de recursos públicos. En este sentido, si una o ambas partes de la relación contractual es una entidad de aquellas descritas en el parágrafo </w:t>
            </w:r>
            <w:r w:rsidRPr="000955E3">
              <w:rPr>
                <w:rFonts w:ascii="Verdana" w:eastAsia="Times New Roman" w:hAnsi="Verdana" w:cs="Arial"/>
                <w:i/>
                <w:lang w:val="es-MX" w:eastAsia="es-CO"/>
              </w:rPr>
              <w:t>ibidem</w:t>
            </w:r>
            <w:r w:rsidRPr="000955E3">
              <w:rPr>
                <w:rFonts w:ascii="Verdana" w:eastAsia="Times New Roman" w:hAnsi="Verdana" w:cs="Arial"/>
                <w:lang w:val="es-MX" w:eastAsia="es-CO"/>
              </w:rPr>
              <w:t xml:space="preserve">, no podrá celebrar tales </w:t>
            </w:r>
            <w:r w:rsidRPr="000955E3">
              <w:rPr>
                <w:rFonts w:ascii="Verdana" w:eastAsia="Times New Roman" w:hAnsi="Verdana" w:cs="Arial"/>
                <w:i/>
                <w:iCs/>
                <w:lang w:val="es-MX" w:eastAsia="es-CO"/>
              </w:rPr>
              <w:t>convenios</w:t>
            </w:r>
            <w:r w:rsidRPr="000955E3">
              <w:rPr>
                <w:rFonts w:ascii="Verdana" w:eastAsia="Times New Roman" w:hAnsi="Verdana" w:cs="Arial"/>
                <w:lang w:val="es-MX" w:eastAsia="es-CO"/>
              </w:rPr>
              <w:t xml:space="preserve"> durante la aplicación de la Ley de Garantías Electorales, toda vez que la citada disposición hace referencia a dicha tipología contractual sin que el legislador hubiere contemplado un efecto extensivo a otra tipología. </w:t>
            </w:r>
          </w:p>
          <w:p w14:paraId="1010F11B" w14:textId="77777777" w:rsidR="00F54E36" w:rsidRDefault="00F54E36" w:rsidP="00F54E36">
            <w:pPr>
              <w:spacing w:before="120" w:line="276" w:lineRule="auto"/>
              <w:ind w:firstLine="708"/>
              <w:jc w:val="both"/>
              <w:rPr>
                <w:rFonts w:ascii="Verdana" w:eastAsia="Times New Roman" w:hAnsi="Verdana" w:cs="Arial"/>
                <w:lang w:eastAsia="es-CO"/>
              </w:rPr>
            </w:pPr>
            <w:r w:rsidRPr="000955E3">
              <w:rPr>
                <w:rFonts w:ascii="Verdana" w:eastAsia="Times New Roman" w:hAnsi="Verdana" w:cs="Arial"/>
                <w:lang w:val="es-MX" w:eastAsia="es-CO"/>
              </w:rPr>
              <w:t xml:space="preserve">Respecto del alcance de esta prohibición la Circular Externa No. 006 de 2025 expedida por la ANCP-CCE, en los literales </w:t>
            </w:r>
            <w:proofErr w:type="spellStart"/>
            <w:r w:rsidRPr="000955E3">
              <w:rPr>
                <w:rFonts w:ascii="Verdana" w:eastAsia="Times New Roman" w:hAnsi="Verdana" w:cs="Arial"/>
                <w:lang w:val="es-MX" w:eastAsia="es-CO"/>
              </w:rPr>
              <w:t>ii</w:t>
            </w:r>
            <w:proofErr w:type="spellEnd"/>
            <w:r w:rsidRPr="000955E3">
              <w:rPr>
                <w:rFonts w:ascii="Verdana" w:eastAsia="Times New Roman" w:hAnsi="Verdana" w:cs="Arial"/>
                <w:lang w:val="es-MX" w:eastAsia="es-CO"/>
              </w:rPr>
              <w:t xml:space="preserve">) y </w:t>
            </w:r>
            <w:proofErr w:type="spellStart"/>
            <w:r w:rsidRPr="000955E3">
              <w:rPr>
                <w:rFonts w:ascii="Verdana" w:eastAsia="Times New Roman" w:hAnsi="Verdana" w:cs="Arial"/>
                <w:lang w:val="es-MX" w:eastAsia="es-CO"/>
              </w:rPr>
              <w:t>iv</w:t>
            </w:r>
            <w:proofErr w:type="spellEnd"/>
            <w:r w:rsidRPr="000955E3">
              <w:rPr>
                <w:rFonts w:ascii="Verdana" w:eastAsia="Times New Roman" w:hAnsi="Verdana" w:cs="Arial"/>
                <w:lang w:val="es-MX" w:eastAsia="es-CO"/>
              </w:rPr>
              <w:t>) del numeral 2</w:t>
            </w:r>
            <w:r w:rsidRPr="000955E3">
              <w:rPr>
                <w:rFonts w:ascii="Verdana" w:eastAsia="Times New Roman" w:hAnsi="Verdana" w:cs="Arial"/>
                <w:lang w:eastAsia="es-CO"/>
              </w:rPr>
              <w:t>,</w:t>
            </w:r>
            <w:r w:rsidRPr="000955E3">
              <w:rPr>
                <w:rFonts w:ascii="Verdana" w:eastAsia="Times New Roman" w:hAnsi="Verdana" w:cs="Arial"/>
                <w:lang w:val="es-MX" w:eastAsia="es-CO"/>
              </w:rPr>
              <w:t xml:space="preserve"> indica que el </w:t>
            </w:r>
            <w:r w:rsidRPr="000955E3">
              <w:rPr>
                <w:rFonts w:ascii="Verdana" w:eastAsia="Times New Roman" w:hAnsi="Verdana" w:cs="Arial"/>
                <w:lang w:eastAsia="es-CO"/>
              </w:rPr>
              <w:t xml:space="preserve">parágrafo del artículo 38 de la Ley 996 de 2005 cobija expresamente a los </w:t>
            </w:r>
            <w:r w:rsidRPr="000955E3">
              <w:rPr>
                <w:rFonts w:ascii="Verdana" w:eastAsia="Times New Roman" w:hAnsi="Verdana" w:cs="Arial"/>
                <w:i/>
                <w:iCs/>
                <w:lang w:eastAsia="es-CO"/>
              </w:rPr>
              <w:t>convenios interadministrativos</w:t>
            </w:r>
            <w:r w:rsidRPr="000955E3">
              <w:rPr>
                <w:rFonts w:ascii="Verdana" w:eastAsia="Times New Roman" w:hAnsi="Verdana" w:cs="Arial"/>
                <w:lang w:eastAsia="es-CO"/>
              </w:rPr>
              <w:t xml:space="preserve"> en los que se contemple la ejecución de recursos públicos. Además, precisa que el parágrafo referido no estableció ningún supuesto que exceptúe la aplicación de esta prohibición, por lo que la restricción referida a la celebración de convenios interadministrativos aplicará </w:t>
            </w:r>
            <w:r w:rsidRPr="000955E3">
              <w:rPr>
                <w:rFonts w:ascii="Verdana" w:eastAsia="Times New Roman" w:hAnsi="Verdana" w:cs="Arial"/>
                <w:lang w:eastAsia="es-CO"/>
              </w:rPr>
              <w:lastRenderedPageBreak/>
              <w:t xml:space="preserve">a los sujetos allí señalados, </w:t>
            </w:r>
            <w:r w:rsidRPr="000955E3">
              <w:rPr>
                <w:rFonts w:ascii="Verdana" w:eastAsia="Times New Roman" w:hAnsi="Verdana" w:cs="Arial"/>
                <w:i/>
                <w:iCs/>
                <w:lang w:eastAsia="es-CO"/>
              </w:rPr>
              <w:t>“aunque se configure alguno de los supuestos de excepción que señaló el inciso final del artículo 33”.</w:t>
            </w:r>
            <w:r w:rsidRPr="000955E3">
              <w:rPr>
                <w:rFonts w:ascii="Verdana" w:eastAsia="Times New Roman" w:hAnsi="Verdana" w:cs="Arial"/>
                <w:lang w:eastAsia="es-CO"/>
              </w:rPr>
              <w:t xml:space="preserve"> </w:t>
            </w:r>
            <w:r w:rsidRPr="00DC206C">
              <w:rPr>
                <w:rFonts w:ascii="Verdana" w:eastAsia="Times New Roman" w:hAnsi="Verdana" w:cs="Arial"/>
                <w:lang w:eastAsia="es-CO"/>
              </w:rPr>
              <w:t>Es decir, no aplica</w:t>
            </w:r>
            <w:r>
              <w:rPr>
                <w:rFonts w:ascii="Verdana" w:eastAsia="Times New Roman" w:hAnsi="Verdana" w:cs="Arial"/>
                <w:lang w:eastAsia="es-CO"/>
              </w:rPr>
              <w:t xml:space="preserve"> a</w:t>
            </w:r>
            <w:r w:rsidRPr="00DC206C">
              <w:rPr>
                <w:rFonts w:ascii="Verdana" w:eastAsia="Times New Roman" w:hAnsi="Verdana" w:cs="Arial"/>
                <w:lang w:eastAsia="es-CO"/>
              </w:rPr>
              <w:t xml:space="preserve"> “[…] los requeridos para cubrir las emergencias educativas, sanitarias y desastres […]”</w:t>
            </w:r>
            <w:r>
              <w:rPr>
                <w:rFonts w:ascii="Verdana" w:eastAsia="Times New Roman" w:hAnsi="Verdana" w:cs="Arial"/>
                <w:lang w:eastAsia="es-CO"/>
              </w:rPr>
              <w:t>, expresiones cuyo alcance se determina a partir de las 1523 de 2012 y 1753 de 2015, así como la</w:t>
            </w:r>
            <w:r w:rsidRPr="00DC206C">
              <w:rPr>
                <w:rFonts w:ascii="Verdana" w:eastAsia="Times New Roman" w:hAnsi="Verdana" w:cs="Arial"/>
                <w:lang w:eastAsia="es-CO"/>
              </w:rPr>
              <w:t xml:space="preserve"> Resolución del Ministerio de Educación Nacional 6519 del 1˚ de abril de 2025</w:t>
            </w:r>
            <w:r>
              <w:rPr>
                <w:rFonts w:ascii="Verdana" w:eastAsia="Times New Roman" w:hAnsi="Verdana" w:cs="Arial"/>
                <w:lang w:eastAsia="es-CO"/>
              </w:rPr>
              <w:t xml:space="preserve">. </w:t>
            </w:r>
            <w:r w:rsidRPr="000955E3">
              <w:rPr>
                <w:rFonts w:ascii="Verdana" w:eastAsia="Times New Roman" w:hAnsi="Verdana" w:cs="Arial"/>
                <w:lang w:eastAsia="es-CO"/>
              </w:rPr>
              <w:t>Por lo demás, la norma tampoco contempla excepciones respecto a la contratación con esquemas asociativos territoriales, además de que la restricción rige al margen del contenido de los proyectos que se pretendan ejecutar. Como las excepciones son de reserva legal, tampoco son disponibles por las partes al suscribir el negocio jurídico</w:t>
            </w:r>
            <w:r>
              <w:rPr>
                <w:rFonts w:ascii="Verdana" w:eastAsia="Times New Roman" w:hAnsi="Verdana" w:cs="Arial"/>
                <w:lang w:eastAsia="es-CO"/>
              </w:rPr>
              <w:t>,</w:t>
            </w:r>
            <w:r w:rsidRPr="00DC206C">
              <w:rPr>
                <w:rFonts w:ascii="Verdana" w:eastAsia="Times New Roman" w:hAnsi="Verdana" w:cs="Arial"/>
                <w:lang w:eastAsia="es-CO"/>
              </w:rPr>
              <w:t xml:space="preserve"> por lo que no existe justificación alguna para desconocer la prohibición</w:t>
            </w:r>
            <w:r w:rsidRPr="000955E3">
              <w:rPr>
                <w:rFonts w:ascii="Verdana" w:eastAsia="Times New Roman" w:hAnsi="Verdana" w:cs="Arial"/>
                <w:lang w:eastAsia="es-CO"/>
              </w:rPr>
              <w:t>.</w:t>
            </w:r>
          </w:p>
          <w:p w14:paraId="3BE3C101" w14:textId="77777777" w:rsidR="00F1140D" w:rsidRDefault="00F54E36" w:rsidP="00F1140D">
            <w:pPr>
              <w:spacing w:before="120" w:after="120" w:line="276" w:lineRule="auto"/>
              <w:ind w:firstLine="709"/>
              <w:jc w:val="both"/>
              <w:rPr>
                <w:rFonts w:ascii="Verdana" w:eastAsia="Times New Roman" w:hAnsi="Verdana" w:cs="Arial"/>
                <w:lang w:eastAsia="es-CO"/>
              </w:rPr>
            </w:pPr>
            <w:r>
              <w:rPr>
                <w:rFonts w:ascii="Verdana" w:eastAsia="Times New Roman" w:hAnsi="Verdana" w:cs="Arial"/>
                <w:lang w:eastAsia="es-CO"/>
              </w:rPr>
              <w:t>Dichas prohibiciones</w:t>
            </w:r>
            <w:r w:rsidRPr="0082263C">
              <w:rPr>
                <w:rFonts w:ascii="Verdana" w:eastAsia="Times New Roman" w:hAnsi="Verdana" w:cs="Arial"/>
                <w:lang w:eastAsia="es-CO"/>
              </w:rPr>
              <w:t xml:space="preserve"> coinciden parcialmente. </w:t>
            </w:r>
            <w:r w:rsidRPr="0082263C">
              <w:rPr>
                <w:rFonts w:ascii="Verdana" w:eastAsia="Times New Roman" w:hAnsi="Verdana" w:cs="Arial"/>
                <w:i/>
                <w:iCs/>
                <w:lang w:eastAsia="es-CO"/>
              </w:rPr>
              <w:t>En primer lugar</w:t>
            </w:r>
            <w:r w:rsidRPr="0082263C">
              <w:rPr>
                <w:rFonts w:ascii="Verdana" w:eastAsia="Times New Roman" w:hAnsi="Verdana" w:cs="Arial"/>
                <w:lang w:eastAsia="es-CO"/>
              </w:rPr>
              <w:t xml:space="preserve">, la del artículo 33 que opera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82263C">
              <w:rPr>
                <w:rFonts w:ascii="Verdana" w:eastAsia="Times New Roman" w:hAnsi="Verdana" w:cs="Arial"/>
                <w:i/>
                <w:iCs/>
                <w:lang w:eastAsia="es-CO"/>
              </w:rPr>
              <w:t>En segundo lugar</w:t>
            </w:r>
            <w:r w:rsidRPr="0082263C">
              <w:rPr>
                <w:rFonts w:ascii="Verdana" w:eastAsia="Times New Roman" w:hAnsi="Verdana" w:cs="Arial"/>
                <w:lang w:eastAsia="es-CO"/>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p>
          <w:p w14:paraId="4EC1EAB3" w14:textId="75465365" w:rsidR="00F1140D" w:rsidRPr="00E95688" w:rsidRDefault="00EE3ACB" w:rsidP="00F1140D">
            <w:pPr>
              <w:spacing w:before="120" w:after="120" w:line="276" w:lineRule="auto"/>
              <w:ind w:firstLine="709"/>
              <w:jc w:val="both"/>
              <w:rPr>
                <w:rFonts w:ascii="Verdana" w:eastAsia="Times New Roman" w:hAnsi="Verdana" w:cs="Arial"/>
                <w:lang w:eastAsia="es-CO"/>
              </w:rPr>
            </w:pPr>
            <w:r w:rsidRPr="00E95688">
              <w:rPr>
                <w:rFonts w:ascii="Verdana" w:eastAsia="Times New Roman" w:hAnsi="Verdana" w:cs="Arial"/>
                <w:lang w:eastAsia="es-CO"/>
              </w:rPr>
              <w:t>En armonía con lo anterior</w:t>
            </w:r>
            <w:r w:rsidR="00F1140D" w:rsidRPr="00E95688">
              <w:rPr>
                <w:rFonts w:ascii="Verdana" w:eastAsia="Times New Roman" w:hAnsi="Verdana" w:cs="Arial"/>
                <w:lang w:eastAsia="es-CO"/>
              </w:rPr>
              <w:t>, resulta necesario indicar que la restricción a la celebración de convenios interadministrativos aplicable a las entidades territoriales y sus entes descentralizados inicia el 8 de noviembre de 2025, mientras que la restricción general a la contratación directa que cobija a todas la Entidades Estatales comienza a regir a partir del 31 de enero de 2026. Ambas restricciones se mantendrán hasta el 31 de mayo, o hasta el 21 de junio en caso de requerirse segunda vuelta en las elecciones presidenciales.</w:t>
            </w:r>
          </w:p>
          <w:p w14:paraId="41E9A03E" w14:textId="332FE070" w:rsidR="00252A56" w:rsidRPr="00C55BDE" w:rsidRDefault="00F54E36" w:rsidP="00F1140D">
            <w:pPr>
              <w:spacing w:before="120" w:after="120" w:line="276" w:lineRule="auto"/>
              <w:ind w:firstLine="709"/>
              <w:jc w:val="both"/>
              <w:rPr>
                <w:rFonts w:ascii="Verdana" w:eastAsia="Times New Roman" w:hAnsi="Verdana" w:cs="Arial"/>
                <w:lang w:eastAsia="es-CO"/>
              </w:rPr>
            </w:pPr>
            <w:r w:rsidRPr="00007D0A">
              <w:rPr>
                <w:rStyle w:val="s15"/>
                <w:rFonts w:ascii="Verdana" w:hAnsi="Verdana"/>
                <w:color w:val="000000"/>
              </w:rPr>
              <w:t xml:space="preserve">Al margen de la explicación </w:t>
            </w:r>
            <w:r>
              <w:rPr>
                <w:rStyle w:val="s15"/>
                <w:rFonts w:ascii="Verdana" w:hAnsi="Verdana"/>
                <w:color w:val="000000"/>
              </w:rPr>
              <w:t>precedente,</w:t>
            </w:r>
            <w:r w:rsidRPr="00007D0A">
              <w:rPr>
                <w:rStyle w:val="s15"/>
                <w:rFonts w:ascii="Verdana" w:hAnsi="Verdana"/>
                <w:color w:val="000000"/>
              </w:rPr>
              <w:t xml:space="preserve"> debe advertirse que el análisis requerido para resolver problemas específicos en torno a la gestión contractual </w:t>
            </w:r>
            <w:r w:rsidRPr="00007D0A">
              <w:rPr>
                <w:rStyle w:val="s15"/>
                <w:rFonts w:ascii="Verdana" w:hAnsi="Verdana"/>
                <w:color w:val="000000"/>
              </w:rPr>
              <w:lastRenderedPageBreak/>
              <w:t xml:space="preserve">de las entidades públicas debe ser realizado por quienes tengan interés en ello, de acuerdo con lo explicado </w:t>
            </w:r>
            <w:r>
              <w:rPr>
                <w:rStyle w:val="s15"/>
                <w:rFonts w:ascii="Verdana" w:hAnsi="Verdana"/>
                <w:color w:val="000000"/>
              </w:rPr>
              <w:t>en la</w:t>
            </w:r>
            <w:r w:rsidRPr="00007D0A">
              <w:rPr>
                <w:rStyle w:val="s15"/>
                <w:rFonts w:ascii="Verdana" w:hAnsi="Verdana"/>
                <w:color w:val="000000"/>
              </w:rPr>
              <w:t xml:space="preserve"> aclaración preliminar del presente oficio. Por lo anterior, previo concepto de sus asesores, la solución de situaciones particulares corresponde a los interesados adoptar la decisión correspondiente y, en caso de conflicto, a las autoridades judiciales, fiscales y disciplinarias. Así, cada entidad definirá la forma de adelantar su gestión contractual, sin que sea atribución de Colombia Compra Eficiente validar sus actuaciones.</w:t>
            </w:r>
          </w:p>
        </w:tc>
      </w:tr>
    </w:tbl>
    <w:p w14:paraId="5887E463" w14:textId="77777777" w:rsidR="00252A56" w:rsidRPr="00C55BDE" w:rsidRDefault="00252A56" w:rsidP="00252A56">
      <w:pPr>
        <w:tabs>
          <w:tab w:val="left" w:pos="142"/>
          <w:tab w:val="left" w:pos="284"/>
        </w:tabs>
        <w:spacing w:after="0" w:line="276" w:lineRule="auto"/>
        <w:jc w:val="both"/>
        <w:rPr>
          <w:rFonts w:ascii="Verdana" w:eastAsia="Century Gothic" w:hAnsi="Verdana" w:cs="Century Gothic"/>
          <w:b/>
          <w:bCs/>
          <w:color w:val="000000" w:themeColor="text1"/>
          <w:lang w:val="es-ES"/>
        </w:rPr>
      </w:pPr>
    </w:p>
    <w:p w14:paraId="70517C75" w14:textId="77777777" w:rsidR="00252A56" w:rsidRPr="00C55BDE" w:rsidRDefault="00252A56" w:rsidP="00252A56">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C55BDE">
        <w:rPr>
          <w:rFonts w:ascii="Verdana" w:eastAsia="Century Gothic" w:hAnsi="Verdana" w:cs="Century Gothic"/>
          <w:b/>
          <w:bCs/>
          <w:color w:val="000000" w:themeColor="text1"/>
        </w:rPr>
        <w:t>Razones de la respuesta:</w:t>
      </w:r>
    </w:p>
    <w:p w14:paraId="3CD93E8F" w14:textId="77777777" w:rsidR="00252A56" w:rsidRPr="008A6B9F" w:rsidRDefault="00252A56" w:rsidP="001C0382">
      <w:pPr>
        <w:tabs>
          <w:tab w:val="left" w:pos="426"/>
        </w:tabs>
        <w:spacing w:after="0" w:line="276" w:lineRule="auto"/>
        <w:jc w:val="both"/>
        <w:rPr>
          <w:rFonts w:ascii="Verdana" w:eastAsia="Century Gothic" w:hAnsi="Verdana" w:cs="Century Gothic"/>
          <w:color w:val="000000" w:themeColor="text1"/>
        </w:rPr>
      </w:pPr>
    </w:p>
    <w:p w14:paraId="4B8F0AC0" w14:textId="77777777" w:rsidR="00965BFD" w:rsidRDefault="00965BFD" w:rsidP="00965BFD">
      <w:pPr>
        <w:spacing w:after="0" w:line="276" w:lineRule="auto"/>
        <w:jc w:val="both"/>
        <w:rPr>
          <w:rFonts w:ascii="Verdana" w:eastAsia="Calibri" w:hAnsi="Verdana" w:cs="Arial"/>
          <w:lang w:val="es-ES"/>
        </w:rPr>
      </w:pPr>
      <w:r w:rsidRPr="00B96799">
        <w:rPr>
          <w:rFonts w:ascii="Verdana" w:eastAsia="Calibri" w:hAnsi="Verdana" w:cs="Arial"/>
          <w:lang w:val="es-ES"/>
        </w:rPr>
        <w:t>Lo anterior se sustenta en las siguientes consideraciones:</w:t>
      </w:r>
    </w:p>
    <w:p w14:paraId="499C3AFF" w14:textId="77777777" w:rsidR="00965BFD" w:rsidRPr="00415608" w:rsidRDefault="00965BFD" w:rsidP="00965BFD">
      <w:pPr>
        <w:spacing w:after="0" w:line="276" w:lineRule="auto"/>
        <w:jc w:val="both"/>
        <w:rPr>
          <w:rFonts w:ascii="Verdana" w:eastAsia="Calibri" w:hAnsi="Verdana" w:cs="Arial"/>
          <w:lang w:val="es-ES"/>
        </w:rPr>
      </w:pPr>
    </w:p>
    <w:p w14:paraId="09901AE9" w14:textId="77777777" w:rsidR="00965BFD" w:rsidRPr="009E105D" w:rsidRDefault="00965BFD" w:rsidP="00965BFD">
      <w:pPr>
        <w:tabs>
          <w:tab w:val="left" w:pos="426"/>
        </w:tabs>
        <w:spacing w:after="120" w:line="276" w:lineRule="auto"/>
        <w:jc w:val="both"/>
        <w:rPr>
          <w:rFonts w:ascii="Verdana" w:eastAsia="Times New Roman" w:hAnsi="Verdana" w:cs="Arial"/>
          <w:lang w:eastAsia="es-CO"/>
        </w:rPr>
      </w:pPr>
      <w:r>
        <w:rPr>
          <w:rFonts w:ascii="Verdana" w:eastAsia="Calibri" w:hAnsi="Verdana" w:cs="Arial"/>
          <w:color w:val="000000" w:themeColor="text1"/>
        </w:rPr>
        <w:t xml:space="preserve">i. </w:t>
      </w:r>
      <w:r w:rsidRPr="009E105D">
        <w:rPr>
          <w:rFonts w:ascii="Verdana" w:eastAsia="Calibri" w:hAnsi="Verdana" w:cs="Arial"/>
        </w:rPr>
        <w:t>El ordenamiento jurídico colombiano contempla previsiones claras para evitar la obtención de beneficios personales en asuntos propios de la administración pública</w:t>
      </w:r>
      <w:r w:rsidRPr="009E105D">
        <w:rPr>
          <w:rFonts w:ascii="Verdana" w:eastAsia="Calibri" w:hAnsi="Verdana" w:cs="Arial"/>
          <w:i/>
        </w:rPr>
        <w:t xml:space="preserve">. </w:t>
      </w:r>
      <w:r w:rsidRPr="009E105D">
        <w:rPr>
          <w:rFonts w:ascii="Verdana" w:eastAsia="Calibri" w:hAnsi="Verdana" w:cs="Arial"/>
        </w:rPr>
        <w:t>Por ejemplo, el artículo 127 de la Constitución Política establece una prohibición contractual a los servidores públicos y en cuanto a aspectos políticos consagra restricciones a ciertos empleados del Estado, incluso en época no electoral</w:t>
      </w:r>
      <w:r w:rsidRPr="009E105D">
        <w:rPr>
          <w:rFonts w:ascii="Verdana" w:eastAsia="Calibri" w:hAnsi="Verdana" w:cs="Arial"/>
          <w:vertAlign w:val="superscript"/>
        </w:rPr>
        <w:footnoteReference w:id="1"/>
      </w:r>
      <w:r w:rsidRPr="009E105D">
        <w:rPr>
          <w:rFonts w:ascii="Verdana" w:eastAsia="Calibri" w:hAnsi="Verdana" w:cs="Arial"/>
        </w:rPr>
        <w:t xml:space="preserve">. </w:t>
      </w:r>
    </w:p>
    <w:p w14:paraId="7865210D" w14:textId="77777777" w:rsidR="00965BFD" w:rsidRPr="009E105D" w:rsidRDefault="00965BFD" w:rsidP="00965BFD">
      <w:pPr>
        <w:tabs>
          <w:tab w:val="left" w:pos="426"/>
        </w:tabs>
        <w:spacing w:after="0" w:line="276" w:lineRule="auto"/>
        <w:ind w:firstLine="709"/>
        <w:jc w:val="both"/>
        <w:rPr>
          <w:rFonts w:ascii="Verdana" w:eastAsia="Times New Roman" w:hAnsi="Verdana" w:cs="Arial"/>
          <w:lang w:val="es-MX" w:eastAsia="es-CO"/>
        </w:rPr>
      </w:pPr>
      <w:r w:rsidRPr="009E105D">
        <w:rPr>
          <w:rFonts w:ascii="Verdana" w:eastAsia="Times New Roman" w:hAnsi="Verdana" w:cs="Arial"/>
          <w:lang w:eastAsia="es-CO"/>
        </w:rPr>
        <w:t>En el mismo sentido</w:t>
      </w:r>
      <w:r w:rsidRPr="009E105D">
        <w:rPr>
          <w:rFonts w:ascii="Verdana" w:eastAsia="Times New Roman" w:hAnsi="Verdana" w:cs="Arial"/>
          <w:lang w:val="es-MX" w:eastAsia="es-CO"/>
        </w:rPr>
        <w:t xml:space="preserve">, </w:t>
      </w:r>
      <w:bookmarkStart w:id="2" w:name="_Hlk99576829"/>
      <w:r w:rsidRPr="009E105D">
        <w:rPr>
          <w:rFonts w:ascii="Verdana" w:eastAsia="Times New Roman" w:hAnsi="Verdana" w:cs="Arial"/>
          <w:lang w:val="es-MX" w:eastAsia="es-CO"/>
        </w:rPr>
        <w:t>la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9E105D">
        <w:rPr>
          <w:rFonts w:ascii="Verdana" w:eastAsia="Times New Roman" w:hAnsi="Verdana" w:cs="Arial"/>
          <w:vertAlign w:val="superscript"/>
          <w:lang w:val="es-MX" w:eastAsia="es-CO"/>
        </w:rPr>
        <w:footnoteReference w:id="2"/>
      </w:r>
      <w:r w:rsidRPr="009E105D">
        <w:rPr>
          <w:rFonts w:ascii="Verdana" w:eastAsia="Times New Roman" w:hAnsi="Verdana" w:cs="Arial"/>
          <w:lang w:val="es-MX" w:eastAsia="es-CO"/>
        </w:rPr>
        <w:t xml:space="preserve">. En esta medida, introduce limitaciones para realizar nombramientos, postulaciones, contrataciones o cualquier otro tipo de actividad que implique destinación de </w:t>
      </w:r>
      <w:r w:rsidRPr="009E105D">
        <w:rPr>
          <w:rFonts w:ascii="Verdana" w:eastAsia="Times New Roman" w:hAnsi="Verdana" w:cs="Arial"/>
          <w:lang w:val="es-MX" w:eastAsia="es-CO"/>
        </w:rPr>
        <w:lastRenderedPageBreak/>
        <w:t>recursos públicos bajo el devenir propio de las entidades estatales.</w:t>
      </w:r>
      <w:r w:rsidRPr="009E105D">
        <w:rPr>
          <w:rFonts w:ascii="Verdana" w:eastAsia="Calibri" w:hAnsi="Verdana" w:cs="Arial"/>
          <w:lang w:val="es-ES_tradnl"/>
        </w:rPr>
        <w:t xml:space="preserve"> </w:t>
      </w:r>
      <w:bookmarkEnd w:id="2"/>
      <w:r w:rsidRPr="009E105D">
        <w:rPr>
          <w:rFonts w:ascii="Verdana" w:eastAsia="Times New Roman" w:hAnsi="Verdana" w:cs="Arial"/>
          <w:lang w:val="es-MX" w:eastAsia="es-CO"/>
        </w:rPr>
        <w:t>En armonía con lo anterior, la Corte Constitucional ha abordado la definición de la Ley de Garantías Electorales. De esta manera, explica que tiene como propósito:</w:t>
      </w:r>
    </w:p>
    <w:p w14:paraId="5AB1E9B4" w14:textId="77777777" w:rsidR="00965BFD" w:rsidRPr="009E105D" w:rsidRDefault="00965BFD" w:rsidP="00965BFD">
      <w:pPr>
        <w:spacing w:after="0" w:line="276" w:lineRule="auto"/>
        <w:ind w:right="709"/>
        <w:contextualSpacing/>
        <w:jc w:val="both"/>
        <w:rPr>
          <w:rFonts w:ascii="Verdana" w:eastAsia="Times New Roman" w:hAnsi="Verdana" w:cs="Arial"/>
          <w:sz w:val="21"/>
          <w:szCs w:val="21"/>
          <w:lang w:val="es-ES" w:eastAsia="es-CO"/>
        </w:rPr>
      </w:pPr>
    </w:p>
    <w:p w14:paraId="765F9380" w14:textId="77777777" w:rsidR="00965BFD" w:rsidRPr="00E066AC" w:rsidRDefault="00965BFD" w:rsidP="00965BFD">
      <w:pPr>
        <w:spacing w:after="0" w:line="240" w:lineRule="auto"/>
        <w:ind w:left="709" w:right="709"/>
        <w:contextualSpacing/>
        <w:jc w:val="both"/>
        <w:rPr>
          <w:rFonts w:ascii="Verdana" w:eastAsia="Times New Roman" w:hAnsi="Verdana" w:cs="Arial"/>
          <w:sz w:val="20"/>
          <w:szCs w:val="20"/>
          <w:lang w:val="es-MX" w:eastAsia="es-CO"/>
        </w:rPr>
      </w:pPr>
      <w:r w:rsidRPr="00E066AC">
        <w:rPr>
          <w:rFonts w:ascii="Verdana" w:eastAsia="Times New Roman" w:hAnsi="Verdana" w:cs="Arial"/>
          <w:sz w:val="20"/>
          <w:szCs w:val="20"/>
          <w:lang w:val="es-ES" w:eastAsia="es-CO"/>
        </w:rPr>
        <w:t xml:space="preserve">“[…] </w:t>
      </w:r>
      <w:r w:rsidRPr="00E066AC">
        <w:rPr>
          <w:rFonts w:ascii="Verdana" w:eastAsia="Times New Roman" w:hAnsi="Verdana" w:cs="Arial"/>
          <w:sz w:val="20"/>
          <w:szCs w:val="20"/>
          <w:lang w:val="es-MX" w:eastAsia="es-CO"/>
        </w:rPr>
        <w:t>la definición de reglas claras que permitan acceder a los canales de expresión democrática de manera efectiva e igualitaria. El objetivo de una ley de garantías es definir esas reglas.</w:t>
      </w:r>
    </w:p>
    <w:p w14:paraId="4BAA9208" w14:textId="77777777" w:rsidR="00965BFD" w:rsidRDefault="00965BFD" w:rsidP="00965BFD">
      <w:pPr>
        <w:spacing w:after="120" w:line="240" w:lineRule="auto"/>
        <w:ind w:left="709" w:right="709"/>
        <w:contextualSpacing/>
        <w:jc w:val="both"/>
        <w:rPr>
          <w:rFonts w:ascii="Verdana" w:eastAsia="Times New Roman" w:hAnsi="Verdana" w:cs="Arial"/>
          <w:sz w:val="20"/>
          <w:szCs w:val="20"/>
          <w:lang w:val="es-MX" w:eastAsia="es-CO"/>
        </w:rPr>
      </w:pPr>
      <w:r w:rsidRPr="00E066AC">
        <w:rPr>
          <w:rFonts w:ascii="Verdana" w:eastAsia="Times New Roman" w:hAnsi="Verdana" w:cs="Arial"/>
          <w:sz w:val="20"/>
          <w:szCs w:val="20"/>
          <w:lang w:val="es-MX" w:eastAsia="es-CO"/>
        </w:rPr>
        <w:t xml:space="preserve">[…] </w:t>
      </w:r>
    </w:p>
    <w:p w14:paraId="69B1128C" w14:textId="77777777" w:rsidR="00965BFD" w:rsidRPr="00E066AC" w:rsidRDefault="00965BFD" w:rsidP="00965BFD">
      <w:pPr>
        <w:spacing w:after="120" w:line="240" w:lineRule="auto"/>
        <w:ind w:left="709" w:right="709"/>
        <w:contextualSpacing/>
        <w:jc w:val="both"/>
        <w:rPr>
          <w:rFonts w:ascii="Verdana" w:eastAsia="Times New Roman" w:hAnsi="Verdana" w:cs="Arial"/>
          <w:sz w:val="12"/>
          <w:szCs w:val="12"/>
          <w:lang w:val="es-MX" w:eastAsia="es-CO"/>
        </w:rPr>
      </w:pPr>
    </w:p>
    <w:p w14:paraId="4921764D" w14:textId="77777777" w:rsidR="00965BFD" w:rsidRPr="00E066AC" w:rsidRDefault="00965BFD" w:rsidP="00965BFD">
      <w:pPr>
        <w:spacing w:after="0" w:line="240" w:lineRule="auto"/>
        <w:ind w:left="709" w:right="709"/>
        <w:contextualSpacing/>
        <w:jc w:val="both"/>
        <w:rPr>
          <w:rFonts w:ascii="Verdana" w:eastAsia="Times New Roman" w:hAnsi="Verdana" w:cs="Arial"/>
          <w:sz w:val="20"/>
          <w:szCs w:val="20"/>
          <w:lang w:val="es-MX" w:eastAsia="es-CO"/>
        </w:rPr>
      </w:pPr>
      <w:r w:rsidRPr="00E066AC">
        <w:rPr>
          <w:rFonts w:ascii="Verdana" w:eastAsia="Times New Roman" w:hAnsi="Verdana" w:cs="Arial"/>
          <w:sz w:val="20"/>
          <w:szCs w:val="20"/>
          <w:lang w:val="es-MX"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sidRPr="00E066AC">
        <w:rPr>
          <w:rFonts w:ascii="Verdana" w:eastAsia="Calibri" w:hAnsi="Verdana" w:cs="Arial"/>
          <w:sz w:val="20"/>
          <w:szCs w:val="20"/>
          <w:vertAlign w:val="superscript"/>
          <w:lang w:val="es-MX"/>
        </w:rPr>
        <w:footnoteReference w:id="3"/>
      </w:r>
      <w:r w:rsidRPr="00E066AC">
        <w:rPr>
          <w:rFonts w:ascii="Verdana" w:eastAsia="Times New Roman" w:hAnsi="Verdana" w:cs="Arial"/>
          <w:sz w:val="20"/>
          <w:szCs w:val="20"/>
          <w:lang w:val="es-MX" w:eastAsia="es-CO"/>
        </w:rPr>
        <w:t>.</w:t>
      </w:r>
    </w:p>
    <w:p w14:paraId="23C441F7" w14:textId="77777777" w:rsidR="00965BFD" w:rsidRPr="009E105D" w:rsidRDefault="00965BFD" w:rsidP="00965BFD">
      <w:pPr>
        <w:spacing w:after="0" w:line="276" w:lineRule="auto"/>
        <w:ind w:left="709" w:right="709"/>
        <w:contextualSpacing/>
        <w:jc w:val="both"/>
        <w:rPr>
          <w:rFonts w:ascii="Verdana" w:eastAsia="Times New Roman" w:hAnsi="Verdana" w:cs="Arial"/>
          <w:sz w:val="21"/>
          <w:szCs w:val="21"/>
          <w:lang w:val="es-MX" w:eastAsia="es-CO"/>
        </w:rPr>
      </w:pPr>
    </w:p>
    <w:p w14:paraId="3B2359FA" w14:textId="77777777" w:rsidR="00965BFD" w:rsidRPr="009E105D" w:rsidRDefault="00965BFD" w:rsidP="00965BFD">
      <w:pPr>
        <w:spacing w:after="0" w:line="276" w:lineRule="auto"/>
        <w:ind w:firstLine="709"/>
        <w:jc w:val="both"/>
        <w:rPr>
          <w:rFonts w:ascii="Verdana" w:eastAsia="Times New Roman" w:hAnsi="Verdana" w:cs="Arial"/>
          <w:lang w:val="es-MX" w:eastAsia="es-CO"/>
        </w:rPr>
      </w:pPr>
      <w:bookmarkStart w:id="3" w:name="_Hlk78818186"/>
      <w:r w:rsidRPr="009E105D">
        <w:rPr>
          <w:rFonts w:ascii="Verdana" w:eastAsia="Times New Roman" w:hAnsi="Verdana" w:cs="Arial"/>
          <w:lang w:val="es-MX" w:eastAsia="es-CO"/>
        </w:rPr>
        <w:t xml:space="preserve">De esta manera, la Ley de Garantías Electorales establece el marco jurídico para el desarrollo de las elecciones, procurando condiciones de igualdad y transparencia para los aspirantes y paralelamente se incluyen restricciones en el actuar de los servidores públicos, evitando interferencias en la contienda electoral, así como la posible desviación de recursos públicos en aspiraciones electorales. </w:t>
      </w:r>
      <w:bookmarkEnd w:id="3"/>
      <w:r w:rsidRPr="009E105D">
        <w:rPr>
          <w:rFonts w:ascii="Verdana" w:eastAsia="Times New Roman" w:hAnsi="Verdana" w:cs="Arial"/>
          <w:lang w:val="es-MX" w:eastAsia="es-CO"/>
        </w:rPr>
        <w:t>Por ello, varias de las disposiciones de la Ley 996 de 2005, al contener normas prohibitivas, no admiten una interpretación amplia, sino que deben interpretarse restrictivamente. En efecto, la Sala de Consulta y Servicio Civil del Consejo de Estado, precisó lo siguiente:</w:t>
      </w:r>
    </w:p>
    <w:p w14:paraId="563F9CF7" w14:textId="77777777" w:rsidR="00965BFD" w:rsidRPr="009E105D" w:rsidRDefault="00965BFD" w:rsidP="00965BFD">
      <w:pPr>
        <w:spacing w:after="0" w:line="276" w:lineRule="auto"/>
        <w:ind w:firstLine="709"/>
        <w:contextualSpacing/>
        <w:jc w:val="both"/>
        <w:rPr>
          <w:rFonts w:ascii="Verdana" w:eastAsia="Times New Roman" w:hAnsi="Verdana" w:cs="Arial"/>
          <w:lang w:val="es-MX" w:eastAsia="es-CO"/>
        </w:rPr>
      </w:pPr>
    </w:p>
    <w:p w14:paraId="6175A511" w14:textId="77777777" w:rsidR="00965BFD" w:rsidRPr="00E066AC" w:rsidRDefault="00965BFD" w:rsidP="00965BFD">
      <w:pPr>
        <w:spacing w:after="0" w:line="240" w:lineRule="auto"/>
        <w:ind w:left="709" w:right="709"/>
        <w:contextualSpacing/>
        <w:jc w:val="both"/>
        <w:rPr>
          <w:rFonts w:ascii="Verdana" w:eastAsia="Times New Roman" w:hAnsi="Verdana" w:cs="Arial"/>
          <w:sz w:val="20"/>
          <w:szCs w:val="20"/>
          <w:lang w:val="es-MX" w:eastAsia="es-CO"/>
        </w:rPr>
      </w:pPr>
      <w:r w:rsidRPr="00E066AC">
        <w:rPr>
          <w:rFonts w:ascii="Verdana" w:eastAsia="Times New Roman" w:hAnsi="Verdana" w:cs="Arial"/>
          <w:sz w:val="20"/>
          <w:szCs w:val="20"/>
          <w:lang w:val="es-MX" w:eastAsia="es-CO"/>
        </w:rPr>
        <w:t xml:space="preserve">“No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w:t>
      </w:r>
      <w:proofErr w:type="spellStart"/>
      <w:r w:rsidRPr="00E066AC">
        <w:rPr>
          <w:rFonts w:ascii="Verdana" w:eastAsia="Times New Roman" w:hAnsi="Verdana" w:cs="Arial"/>
          <w:sz w:val="20"/>
          <w:szCs w:val="20"/>
          <w:lang w:val="es-MX" w:eastAsia="es-CO"/>
        </w:rPr>
        <w:t>legis</w:t>
      </w:r>
      <w:proofErr w:type="spellEnd"/>
      <w:r w:rsidRPr="00E066AC">
        <w:rPr>
          <w:rFonts w:ascii="Verdana" w:eastAsia="Times New Roman" w:hAnsi="Verdana" w:cs="Arial"/>
          <w:sz w:val="20"/>
          <w:szCs w:val="20"/>
          <w:lang w:val="es-MX" w:eastAsia="es-CO"/>
        </w:rPr>
        <w:t xml:space="preserve">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794A683F" w14:textId="77777777" w:rsidR="00965BFD" w:rsidRPr="00E066AC" w:rsidRDefault="00965BFD" w:rsidP="00965BFD">
      <w:pPr>
        <w:spacing w:after="0" w:line="240" w:lineRule="auto"/>
        <w:ind w:right="709"/>
        <w:contextualSpacing/>
        <w:jc w:val="both"/>
        <w:rPr>
          <w:rFonts w:ascii="Verdana" w:eastAsia="Times New Roman" w:hAnsi="Verdana" w:cs="Arial"/>
          <w:sz w:val="12"/>
          <w:szCs w:val="12"/>
          <w:lang w:val="es-MX" w:eastAsia="es-CO"/>
        </w:rPr>
      </w:pPr>
    </w:p>
    <w:p w14:paraId="368E2862" w14:textId="77777777" w:rsidR="00965BFD" w:rsidRPr="00E066AC" w:rsidRDefault="00965BFD" w:rsidP="00965BFD">
      <w:pPr>
        <w:spacing w:after="0" w:line="240" w:lineRule="auto"/>
        <w:ind w:left="709" w:right="709"/>
        <w:contextualSpacing/>
        <w:jc w:val="both"/>
        <w:rPr>
          <w:rFonts w:ascii="Verdana" w:eastAsia="Times New Roman" w:hAnsi="Verdana" w:cs="Arial"/>
          <w:sz w:val="20"/>
          <w:szCs w:val="20"/>
          <w:lang w:val="es-MX" w:eastAsia="es-CO"/>
        </w:rPr>
      </w:pPr>
      <w:r w:rsidRPr="00E066AC">
        <w:rPr>
          <w:rFonts w:ascii="Verdana" w:eastAsia="Times New Roman" w:hAnsi="Verdana" w:cs="Arial"/>
          <w:sz w:val="20"/>
          <w:szCs w:val="20"/>
          <w:lang w:val="es-MX" w:eastAsia="es-CO"/>
        </w:rPr>
        <w:lastRenderedPageBreak/>
        <w:t>La jurisprudencia de la Corte Constitucional</w:t>
      </w:r>
      <w:r w:rsidRPr="00E066AC">
        <w:rPr>
          <w:rFonts w:ascii="Verdana" w:eastAsia="Times New Roman" w:hAnsi="Verdana" w:cs="Arial"/>
          <w:sz w:val="20"/>
          <w:szCs w:val="20"/>
          <w:vertAlign w:val="superscript"/>
          <w:lang w:val="es-MX" w:eastAsia="es-CO"/>
        </w:rPr>
        <w:footnoteReference w:id="4"/>
      </w:r>
      <w:r w:rsidRPr="00E066AC">
        <w:rPr>
          <w:rFonts w:ascii="Verdana" w:eastAsia="Times New Roman" w:hAnsi="Verdana" w:cs="Arial"/>
          <w:sz w:val="20"/>
          <w:szCs w:val="20"/>
          <w:lang w:val="es-MX" w:eastAsia="es-CO"/>
        </w:rPr>
        <w:t> y del Consejo de Estado</w:t>
      </w:r>
      <w:r w:rsidRPr="00E066AC">
        <w:rPr>
          <w:rFonts w:ascii="Verdana" w:eastAsia="Times New Roman" w:hAnsi="Verdana" w:cs="Arial"/>
          <w:sz w:val="20"/>
          <w:szCs w:val="20"/>
          <w:vertAlign w:val="superscript"/>
          <w:lang w:val="es-MX" w:eastAsia="es-CO"/>
        </w:rPr>
        <w:footnoteReference w:id="5"/>
      </w:r>
      <w:r w:rsidRPr="00E066AC">
        <w:rPr>
          <w:rFonts w:ascii="Verdana" w:eastAsia="Times New Roman" w:hAnsi="Verdana" w:cs="Arial"/>
          <w:sz w:val="20"/>
          <w:szCs w:val="20"/>
          <w:lang w:val="es-MX" w:eastAsia="es-CO"/>
        </w:rPr>
        <w:t>,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sidRPr="00E066AC">
        <w:rPr>
          <w:rFonts w:ascii="Verdana" w:eastAsia="Times New Roman" w:hAnsi="Verdana" w:cs="Arial"/>
          <w:sz w:val="20"/>
          <w:szCs w:val="20"/>
          <w:vertAlign w:val="superscript"/>
          <w:lang w:val="es-MX" w:eastAsia="es-CO"/>
        </w:rPr>
        <w:footnoteReference w:id="6"/>
      </w:r>
      <w:r w:rsidRPr="00E066AC">
        <w:rPr>
          <w:rFonts w:ascii="Verdana" w:eastAsia="Times New Roman" w:hAnsi="Verdana" w:cs="Arial"/>
          <w:sz w:val="20"/>
          <w:szCs w:val="20"/>
          <w:lang w:val="es-MX" w:eastAsia="es-CO"/>
        </w:rPr>
        <w:t>.</w:t>
      </w:r>
    </w:p>
    <w:p w14:paraId="06AFF5DF" w14:textId="77777777" w:rsidR="00965BFD" w:rsidRPr="009E105D" w:rsidRDefault="00965BFD" w:rsidP="00965BFD">
      <w:pPr>
        <w:spacing w:after="0" w:line="276" w:lineRule="auto"/>
        <w:ind w:right="709"/>
        <w:contextualSpacing/>
        <w:jc w:val="both"/>
        <w:rPr>
          <w:rFonts w:ascii="Verdana" w:eastAsia="Times New Roman" w:hAnsi="Verdana" w:cs="Arial"/>
          <w:sz w:val="21"/>
          <w:szCs w:val="21"/>
          <w:lang w:val="es-MX" w:eastAsia="es-CO"/>
        </w:rPr>
      </w:pPr>
    </w:p>
    <w:p w14:paraId="27781D51" w14:textId="77777777" w:rsidR="00965BFD" w:rsidRPr="009E105D" w:rsidRDefault="00965BFD" w:rsidP="00965BFD">
      <w:pPr>
        <w:spacing w:after="120" w:line="276" w:lineRule="auto"/>
        <w:jc w:val="both"/>
        <w:rPr>
          <w:rFonts w:ascii="Verdana" w:eastAsia="Arial" w:hAnsi="Verdana" w:cs="Arial"/>
          <w:lang w:val="es-ES" w:eastAsia="es-ES" w:bidi="es-ES"/>
        </w:rPr>
      </w:pPr>
      <w:r w:rsidRPr="009E105D">
        <w:rPr>
          <w:rFonts w:ascii="Verdana" w:eastAsia="Times New Roman" w:hAnsi="Verdana" w:cs="Arial"/>
          <w:lang w:val="es-MX" w:eastAsia="es-CO"/>
        </w:rPr>
        <w:tab/>
        <w:t>De</w:t>
      </w:r>
      <w:r w:rsidRPr="009E105D">
        <w:rPr>
          <w:rFonts w:ascii="Verdana" w:eastAsia="Arial" w:hAnsi="Verdana" w:cs="Arial"/>
          <w:lang w:val="es-ES" w:eastAsia="es-ES" w:bidi="es-ES"/>
        </w:rPr>
        <w:t xml:space="preserve"> conformidad con lo anterior, </w:t>
      </w:r>
      <w:bookmarkStart w:id="4" w:name="_Hlk77236098"/>
      <w:bookmarkStart w:id="5" w:name="_Hlk100679383"/>
      <w:r w:rsidRPr="009E105D">
        <w:rPr>
          <w:rFonts w:ascii="Verdana" w:eastAsia="Arial" w:hAnsi="Verdana" w:cs="Arial"/>
          <w:lang w:val="es-ES" w:eastAsia="es-ES" w:bidi="es-ES"/>
        </w:rPr>
        <w:t>la Ley de Garantías Electorales fijó una serie de regulaciones y prohibiciones dirigidas a los servidores públicos.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Específicamente, las restricciones consagradas en la citada ley se dirigen a dos (2) tipos de campañas electorales claramente diferenciadas: las presidenciales y las demás que se adelanten para la elección de los demás cargos de elección popular, tanto a nivel nacional como territorial.</w:t>
      </w:r>
      <w:bookmarkEnd w:id="4"/>
    </w:p>
    <w:p w14:paraId="460973D5" w14:textId="77777777" w:rsidR="00965BFD" w:rsidRPr="009E105D" w:rsidRDefault="00965BFD" w:rsidP="00965BFD">
      <w:pPr>
        <w:spacing w:after="120" w:line="276" w:lineRule="auto"/>
        <w:ind w:firstLine="708"/>
        <w:jc w:val="both"/>
        <w:rPr>
          <w:rFonts w:ascii="Verdana" w:eastAsia="Calibri" w:hAnsi="Verdana" w:cs="Arial"/>
        </w:rPr>
      </w:pPr>
      <w:r w:rsidRPr="00C50FB4">
        <w:rPr>
          <w:rFonts w:ascii="Verdana" w:eastAsia="Calibri" w:hAnsi="Verdana" w:cs="Arial"/>
          <w:i/>
          <w:iCs/>
        </w:rPr>
        <w:t>Por un lado</w:t>
      </w:r>
      <w:r w:rsidRPr="009E105D">
        <w:rPr>
          <w:rFonts w:ascii="Verdana" w:eastAsia="Calibri" w:hAnsi="Verdana" w:cs="Arial"/>
        </w:rPr>
        <w:t xml:space="preserve">, el artículo 33 de la Ley 996 de 2005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w:t>
      </w:r>
      <w:r w:rsidRPr="009E105D">
        <w:rPr>
          <w:rFonts w:ascii="Verdana" w:eastAsia="Calibri" w:hAnsi="Verdana" w:cs="Arial"/>
        </w:rPr>
        <w:lastRenderedPageBreak/>
        <w:t>acciones terroristas, desastres naturales o casos de fuerza mayor, y los que deban realizar las entidades sanitarias y hospitalarias”</w:t>
      </w:r>
      <w:r w:rsidRPr="009E105D">
        <w:rPr>
          <w:rFonts w:ascii="Verdana" w:eastAsia="Calibri" w:hAnsi="Verdana" w:cs="Arial"/>
          <w:vertAlign w:val="superscript"/>
        </w:rPr>
        <w:footnoteReference w:id="7"/>
      </w:r>
      <w:r w:rsidRPr="009E105D">
        <w:rPr>
          <w:rFonts w:ascii="Verdana" w:eastAsia="Calibri" w:hAnsi="Verdana" w:cs="Arial"/>
        </w:rPr>
        <w:t>.</w:t>
      </w:r>
    </w:p>
    <w:p w14:paraId="73AD9030" w14:textId="77777777" w:rsidR="00965BFD" w:rsidRPr="009E105D" w:rsidRDefault="00965BFD" w:rsidP="00965BFD">
      <w:pPr>
        <w:widowControl w:val="0"/>
        <w:autoSpaceDE w:val="0"/>
        <w:autoSpaceDN w:val="0"/>
        <w:spacing w:after="0" w:line="276" w:lineRule="auto"/>
        <w:ind w:right="113" w:firstLine="708"/>
        <w:contextualSpacing/>
        <w:jc w:val="both"/>
        <w:rPr>
          <w:rFonts w:ascii="Verdana" w:eastAsia="Arial" w:hAnsi="Verdana" w:cs="Arial"/>
          <w:lang w:val="es-ES" w:eastAsia="es-ES" w:bidi="es-ES"/>
        </w:rPr>
      </w:pPr>
      <w:r w:rsidRPr="00C50FB4">
        <w:rPr>
          <w:rFonts w:ascii="Verdana" w:eastAsia="Calibri" w:hAnsi="Verdana" w:cs="Arial"/>
          <w:i/>
          <w:iCs/>
        </w:rPr>
        <w:t>Por otro</w:t>
      </w:r>
      <w:r w:rsidRPr="009E105D">
        <w:rPr>
          <w:rFonts w:ascii="Verdana" w:eastAsia="Calibri" w:hAnsi="Verdana" w:cs="Arial"/>
        </w:rPr>
        <w:t xml:space="preserve">, el parágrafo del artículo 38 de la Ley 996 de 2005 prevé una restricción, aplicable respecto de cualquier tipo de contienda electoral, que prohíbe a los gobernadores, alcaldes municipales o distritales, secretarios, gerentes y directores de entidades descentralizadas del orden municipal, departamental o distrital “[…] </w:t>
      </w:r>
      <w:r w:rsidRPr="009E105D">
        <w:rPr>
          <w:rFonts w:ascii="Verdana" w:eastAsia="Calibri" w:hAnsi="Verdana" w:cs="Arial"/>
          <w:lang w:val="es-MX"/>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9E105D">
        <w:rPr>
          <w:rFonts w:ascii="Verdana" w:eastAsia="Calibri" w:hAnsi="Verdana" w:cs="Arial"/>
          <w:sz w:val="19"/>
          <w:szCs w:val="19"/>
        </w:rPr>
        <w:t>”</w:t>
      </w:r>
      <w:bookmarkEnd w:id="5"/>
      <w:r w:rsidRPr="009E105D">
        <w:rPr>
          <w:rFonts w:ascii="Verdana" w:eastAsia="Calibri" w:hAnsi="Verdana" w:cs="Arial"/>
          <w:sz w:val="19"/>
          <w:szCs w:val="19"/>
          <w:vertAlign w:val="superscript"/>
        </w:rPr>
        <w:footnoteReference w:id="8"/>
      </w:r>
      <w:r w:rsidRPr="009E105D">
        <w:rPr>
          <w:rFonts w:ascii="Verdana" w:eastAsia="Calibri" w:hAnsi="Verdana" w:cs="Arial"/>
          <w:lang w:val="es-MX"/>
        </w:rPr>
        <w:t>.</w:t>
      </w:r>
      <w:r w:rsidRPr="009E105D">
        <w:rPr>
          <w:rFonts w:ascii="Verdana" w:eastAsia="Arial" w:hAnsi="Verdana" w:cs="Arial"/>
          <w:lang w:val="es-ES" w:eastAsia="es-ES" w:bidi="es-ES"/>
        </w:rPr>
        <w:t xml:space="preserve"> La Sala de Consulta y Servicio Civil del Consejo de Estado ha aclarado la distinción en la aplicación de las prohibiciones de la Ley 996 de 2005, dependiendo del tipo de elección que se trate. Al respecto, considera que:</w:t>
      </w:r>
    </w:p>
    <w:p w14:paraId="64816B29" w14:textId="77777777" w:rsidR="00965BFD" w:rsidRPr="009E105D" w:rsidRDefault="00965BFD" w:rsidP="00965BFD">
      <w:pPr>
        <w:widowControl w:val="0"/>
        <w:autoSpaceDE w:val="0"/>
        <w:autoSpaceDN w:val="0"/>
        <w:spacing w:after="0" w:line="276" w:lineRule="auto"/>
        <w:ind w:left="805" w:right="812"/>
        <w:contextualSpacing/>
        <w:jc w:val="both"/>
        <w:rPr>
          <w:rFonts w:ascii="Verdana" w:eastAsia="Arial" w:hAnsi="Verdana" w:cs="Arial"/>
          <w:lang w:val="es-ES" w:eastAsia="es-ES" w:bidi="es-ES"/>
        </w:rPr>
      </w:pPr>
    </w:p>
    <w:p w14:paraId="53F8E91F" w14:textId="77777777" w:rsidR="00965BFD" w:rsidRPr="00E066AC" w:rsidRDefault="00965BFD" w:rsidP="00965BFD">
      <w:pPr>
        <w:widowControl w:val="0"/>
        <w:autoSpaceDE w:val="0"/>
        <w:autoSpaceDN w:val="0"/>
        <w:spacing w:after="0" w:line="240" w:lineRule="auto"/>
        <w:ind w:left="709" w:right="709"/>
        <w:contextualSpacing/>
        <w:jc w:val="both"/>
        <w:rPr>
          <w:rFonts w:ascii="Verdana" w:eastAsia="Arial" w:hAnsi="Verdana" w:cs="Arial"/>
          <w:sz w:val="20"/>
          <w:szCs w:val="20"/>
          <w:lang w:val="es-ES" w:eastAsia="es-ES" w:bidi="es-ES"/>
        </w:rPr>
      </w:pPr>
      <w:r w:rsidRPr="00E066AC">
        <w:rPr>
          <w:rFonts w:ascii="Verdana" w:eastAsia="Arial" w:hAnsi="Verdana" w:cs="Arial"/>
          <w:sz w:val="20"/>
          <w:szCs w:val="20"/>
          <w:lang w:val="es-ES" w:eastAsia="es-ES" w:bidi="es-ES"/>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w:t>
      </w:r>
      <w:bookmarkStart w:id="8" w:name="_Hlk76109421"/>
      <w:r w:rsidRPr="00E066AC">
        <w:rPr>
          <w:rFonts w:ascii="Verdana" w:eastAsia="Arial" w:hAnsi="Verdana" w:cs="Arial"/>
          <w:sz w:val="20"/>
          <w:szCs w:val="20"/>
          <w:lang w:val="es-ES" w:eastAsia="es-ES" w:bidi="es-ES"/>
        </w:rPr>
        <w:t>se integran parcialmente</w:t>
      </w:r>
      <w:bookmarkEnd w:id="8"/>
      <w:r w:rsidRPr="00E066AC">
        <w:rPr>
          <w:rFonts w:ascii="Verdana" w:eastAsia="Arial" w:hAnsi="Verdana" w:cs="Arial"/>
          <w:sz w:val="20"/>
          <w:szCs w:val="20"/>
          <w:lang w:val="es-ES" w:eastAsia="es-ES" w:bidi="es-ES"/>
        </w:rPr>
        <w:t xml:space="preserve">, lo que permite concluir que </w:t>
      </w:r>
      <w:r w:rsidRPr="00E066AC">
        <w:rPr>
          <w:rFonts w:ascii="Verdana" w:eastAsia="Arial" w:hAnsi="Verdana" w:cs="Arial"/>
          <w:sz w:val="20"/>
          <w:szCs w:val="20"/>
          <w:lang w:val="es-ES" w:eastAsia="es-ES" w:bidi="es-ES"/>
        </w:rPr>
        <w:lastRenderedPageBreak/>
        <w:t>en periodo preelectoral para elección de Presidente de la República, a todos los entes del Estado, incluidos los territoriales, se aplican las restricciones de los artículos 32 y 33 con sus excepciones, así como las del parágrafo del artículo 38. En cambio, para elecciones en general, excluyendo las correspondientes a Presidente de la República, a las autoridades territoriales allí mencionadas sólo se aplican las restricciones contenidas en el parágrafo del artículo 38”</w:t>
      </w:r>
      <w:r w:rsidRPr="00E066AC">
        <w:rPr>
          <w:rFonts w:ascii="Verdana" w:eastAsia="Arial" w:hAnsi="Verdana" w:cs="Arial"/>
          <w:sz w:val="20"/>
          <w:szCs w:val="20"/>
          <w:vertAlign w:val="superscript"/>
          <w:lang w:val="es-ES" w:eastAsia="es-ES" w:bidi="es-ES"/>
        </w:rPr>
        <w:footnoteReference w:id="9"/>
      </w:r>
      <w:r w:rsidRPr="00E066AC">
        <w:rPr>
          <w:rFonts w:ascii="Verdana" w:eastAsia="Arial" w:hAnsi="Verdana" w:cs="Arial"/>
          <w:sz w:val="20"/>
          <w:szCs w:val="20"/>
          <w:lang w:val="es-ES" w:eastAsia="es-ES" w:bidi="es-ES"/>
        </w:rPr>
        <w:t>.</w:t>
      </w:r>
    </w:p>
    <w:p w14:paraId="0F143351" w14:textId="77777777" w:rsidR="00965BFD" w:rsidRPr="009E105D" w:rsidRDefault="00965BFD" w:rsidP="00965BFD">
      <w:pPr>
        <w:widowControl w:val="0"/>
        <w:autoSpaceDE w:val="0"/>
        <w:autoSpaceDN w:val="0"/>
        <w:spacing w:after="0" w:line="276" w:lineRule="auto"/>
        <w:contextualSpacing/>
        <w:rPr>
          <w:rFonts w:ascii="Verdana" w:eastAsia="Arial" w:hAnsi="Verdana" w:cs="Arial"/>
          <w:lang w:val="es-ES" w:eastAsia="es-ES" w:bidi="es-ES"/>
        </w:rPr>
      </w:pPr>
    </w:p>
    <w:p w14:paraId="150150DE" w14:textId="77777777" w:rsidR="00965BFD" w:rsidRPr="009E105D" w:rsidRDefault="00965BFD" w:rsidP="00965BFD">
      <w:pPr>
        <w:spacing w:after="120" w:line="276" w:lineRule="auto"/>
        <w:ind w:firstLine="709"/>
        <w:jc w:val="both"/>
        <w:rPr>
          <w:rFonts w:ascii="Verdana" w:eastAsia="Arial" w:hAnsi="Verdana" w:cs="Arial"/>
          <w:lang w:val="es-ES" w:eastAsia="es-ES" w:bidi="es-ES"/>
        </w:rPr>
      </w:pPr>
      <w:r w:rsidRPr="009E105D">
        <w:rPr>
          <w:rFonts w:ascii="Verdana" w:eastAsia="Arial" w:hAnsi="Verdana" w:cs="Arial"/>
          <w:lang w:val="es-ES" w:eastAsia="es-ES" w:bidi="es-ES"/>
        </w:rPr>
        <w:t xml:space="preserve">De conformidad con lo anterior, </w:t>
      </w:r>
      <w:bookmarkStart w:id="9" w:name="_Hlk77236420"/>
      <w:bookmarkStart w:id="10" w:name="_Hlk78818435"/>
      <w:bookmarkStart w:id="11" w:name="_Hlk75780333"/>
      <w:r w:rsidRPr="009E105D">
        <w:rPr>
          <w:rFonts w:ascii="Verdana" w:eastAsia="Arial" w:hAnsi="Verdana" w:cs="Arial"/>
          <w:lang w:val="es-ES" w:eastAsia="es-ES" w:bidi="es-ES"/>
        </w:rPr>
        <w:t xml:space="preserve">la Ley 996 de 2005 establece dos (2) tipos de restricciones en materia de contratación, las cuales coinciden parcialmente. </w:t>
      </w:r>
      <w:r w:rsidRPr="009E105D">
        <w:rPr>
          <w:rFonts w:ascii="Verdana" w:eastAsia="Arial" w:hAnsi="Verdana" w:cs="Arial"/>
          <w:i/>
          <w:lang w:val="es-ES" w:eastAsia="es-ES" w:bidi="es-ES"/>
        </w:rPr>
        <w:t>En primer lugar</w:t>
      </w:r>
      <w:r w:rsidRPr="009E105D">
        <w:rPr>
          <w:rFonts w:ascii="Verdana" w:eastAsia="Arial" w:hAnsi="Verdana" w:cs="Arial"/>
          <w:lang w:val="es-ES" w:eastAsia="es-ES" w:bidi="es-ES"/>
        </w:rPr>
        <w:t xml:space="preserve">, la del artículo 33 que opera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9E105D">
        <w:rPr>
          <w:rFonts w:ascii="Verdana" w:eastAsia="Arial" w:hAnsi="Verdana" w:cs="Arial"/>
          <w:i/>
          <w:lang w:val="es-ES" w:eastAsia="es-ES" w:bidi="es-ES"/>
        </w:rPr>
        <w:t>En segundo lugar</w:t>
      </w:r>
      <w:r w:rsidRPr="009E105D">
        <w:rPr>
          <w:rFonts w:ascii="Verdana" w:eastAsia="Arial" w:hAnsi="Verdana" w:cs="Arial"/>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bookmarkEnd w:id="9"/>
    </w:p>
    <w:bookmarkEnd w:id="10"/>
    <w:p w14:paraId="6E880F17" w14:textId="77777777" w:rsidR="00965BFD" w:rsidRPr="009E105D" w:rsidRDefault="00965BFD" w:rsidP="00965BFD">
      <w:pPr>
        <w:spacing w:after="120" w:line="276" w:lineRule="auto"/>
        <w:ind w:firstLine="709"/>
        <w:jc w:val="both"/>
        <w:rPr>
          <w:rFonts w:ascii="Verdana" w:eastAsia="Arial" w:hAnsi="Verdana" w:cs="Arial"/>
          <w:lang w:val="es-ES" w:eastAsia="es-ES" w:bidi="es-ES"/>
        </w:rPr>
      </w:pPr>
      <w:r w:rsidRPr="009E105D">
        <w:rPr>
          <w:rFonts w:ascii="Verdana" w:eastAsia="Arial" w:hAnsi="Verdana" w:cs="Arial"/>
          <w:lang w:val="es-ES" w:eastAsia="es-ES" w:bidi="es-ES"/>
        </w:rPr>
        <w:t>Ambas restricciones no son excluyentes, lo que permite concluir que en el período preelectoral para elección de Presidente de la República, a todos los entes del Estado, incluidos los territoriales, aplican las restricciones del artículo 33 con sus excepciones, así como las del parágrafo del artículo 38. En cambio, tratándose de elecciones en general, excluyendo las correspondientes al Presidente de la República, las autoridades allí mencionadas sólo deben aplicar las restricciones contenidas en el parágrafo del artículo 38.</w:t>
      </w:r>
    </w:p>
    <w:bookmarkEnd w:id="11"/>
    <w:p w14:paraId="74B7D944" w14:textId="77777777" w:rsidR="00965BFD" w:rsidRDefault="00965BFD" w:rsidP="00965BFD">
      <w:pPr>
        <w:spacing w:after="0" w:line="276" w:lineRule="auto"/>
        <w:ind w:firstLine="708"/>
        <w:jc w:val="both"/>
        <w:rPr>
          <w:rFonts w:ascii="Verdana" w:eastAsia="Arial" w:hAnsi="Verdana" w:cs="Arial"/>
          <w:lang w:val="es-ES" w:eastAsia="es-ES" w:bidi="es-ES"/>
        </w:rPr>
      </w:pPr>
      <w:r w:rsidRPr="009E105D">
        <w:rPr>
          <w:rFonts w:ascii="Verdana" w:eastAsia="Arial" w:hAnsi="Verdana" w:cs="Arial"/>
          <w:lang w:val="es-ES" w:eastAsia="es-ES" w:bidi="es-ES"/>
        </w:rPr>
        <w:t>La Corte Constitucional, en la Sentencia C-1153 del 11 de noviembre de 2005, señaló que, para que la garantía sea plena, era necesario que la prohibición se aplicara para el Presidente o el Vicepresidente desde que éstos –</w:t>
      </w:r>
      <w:r w:rsidRPr="009E105D">
        <w:rPr>
          <w:rFonts w:ascii="Verdana" w:eastAsia="Arial" w:hAnsi="Verdana" w:cs="Arial"/>
          <w:lang w:val="es-ES" w:eastAsia="es-ES" w:bidi="es-ES"/>
        </w:rPr>
        <w:lastRenderedPageBreak/>
        <w:t>estando en ejercicio de su cargo– manifiesten el interés de ser candidato presidencial, lo cual debe ocurrir seis meses antes de la elección en primera vuelta, de acuerdo con el artículo 9 de la Ley 996 de 2005. Sin embargo, el condicionamiento impuesto por la Corte Constitucional, relacionado con el momento en que estas restricciones empiezan a regir para el Presidente y el Vicepresidente de la República, ha perdido vigencia ante la prohibición de la reelección presidencial, restablecida por el Acto Legislativo 2 de 2015, excepto para el Vicepresidente que no haya ejercido la presidencia o que la haya ejercido por un tiempo inferior a tres (3) meses durante el respectivo cuatrienio, en forma continua o discontinua, conforme al artículo 197 de la Constitución Política.</w:t>
      </w:r>
    </w:p>
    <w:p w14:paraId="4C1705E8" w14:textId="77777777" w:rsidR="00965BFD" w:rsidRDefault="00965BFD" w:rsidP="00965BFD">
      <w:pPr>
        <w:spacing w:after="0" w:line="276" w:lineRule="auto"/>
        <w:jc w:val="both"/>
        <w:rPr>
          <w:rFonts w:ascii="Verdana" w:eastAsia="Arial" w:hAnsi="Verdana" w:cs="Arial"/>
          <w:lang w:val="es-ES" w:eastAsia="es-ES" w:bidi="es-ES"/>
        </w:rPr>
      </w:pPr>
    </w:p>
    <w:p w14:paraId="2A4A6708" w14:textId="77777777" w:rsidR="00965BFD" w:rsidRPr="00F8199A" w:rsidRDefault="00965BFD" w:rsidP="00965BFD">
      <w:pPr>
        <w:spacing w:after="0" w:line="276" w:lineRule="auto"/>
        <w:jc w:val="both"/>
        <w:rPr>
          <w:rFonts w:ascii="Verdana" w:hAnsi="Verdana" w:cs="Arial"/>
          <w:bCs/>
          <w:lang w:val="es-MX" w:eastAsia="es-CO"/>
        </w:rPr>
      </w:pPr>
      <w:proofErr w:type="spellStart"/>
      <w:r w:rsidRPr="00F8199A">
        <w:rPr>
          <w:rFonts w:ascii="Verdana" w:eastAsia="Arial" w:hAnsi="Verdana" w:cs="Arial"/>
          <w:lang w:val="es-ES" w:eastAsia="es-ES" w:bidi="es-ES"/>
        </w:rPr>
        <w:t>ii</w:t>
      </w:r>
      <w:proofErr w:type="spellEnd"/>
      <w:r w:rsidRPr="00F8199A">
        <w:rPr>
          <w:rFonts w:ascii="Verdana" w:eastAsia="Arial" w:hAnsi="Verdana" w:cs="Arial"/>
          <w:lang w:val="es-ES" w:eastAsia="es-ES" w:bidi="es-ES"/>
        </w:rPr>
        <w:t xml:space="preserve">. </w:t>
      </w:r>
      <w:r w:rsidRPr="00F8199A">
        <w:rPr>
          <w:rFonts w:ascii="Verdana" w:hAnsi="Verdana" w:cs="Arial"/>
          <w:bCs/>
          <w:lang w:val="es-MX" w:eastAsia="x-none"/>
        </w:rPr>
        <w:t xml:space="preserve">El ámbito material de la prohibición contenida en el artículo 33 de la ley 996 de 2005 está delimitado por la expresión </w:t>
      </w:r>
      <w:r>
        <w:rPr>
          <w:rFonts w:ascii="Verdana" w:eastAsia="Calibri" w:hAnsi="Verdana" w:cs="Arial"/>
          <w:bCs/>
          <w:sz w:val="20"/>
          <w:szCs w:val="20"/>
          <w:lang w:val="es-MX"/>
        </w:rPr>
        <w:t>“</w:t>
      </w:r>
      <w:r w:rsidRPr="00F8199A">
        <w:rPr>
          <w:rFonts w:ascii="Verdana" w:hAnsi="Verdana" w:cs="Arial"/>
          <w:bCs/>
          <w:lang w:val="es-MX" w:eastAsia="x-none"/>
        </w:rPr>
        <w:t>queda prohibida la contratación directa</w:t>
      </w:r>
      <w:r>
        <w:rPr>
          <w:rFonts w:ascii="Verdana" w:hAnsi="Verdana" w:cs="Arial"/>
          <w:sz w:val="20"/>
          <w:szCs w:val="20"/>
          <w:lang w:val="es-MX"/>
        </w:rPr>
        <w:t>”</w:t>
      </w:r>
      <w:r w:rsidRPr="00F8199A">
        <w:rPr>
          <w:rFonts w:ascii="Verdana" w:hAnsi="Verdana" w:cs="Arial"/>
          <w:bCs/>
          <w:lang w:val="es-MX" w:eastAsia="x-none"/>
        </w:rPr>
        <w:t xml:space="preserve">. </w:t>
      </w:r>
      <w:r w:rsidRPr="00F8199A">
        <w:rPr>
          <w:rFonts w:ascii="Verdana" w:hAnsi="Verdana" w:cs="Arial"/>
          <w:lang w:val="es-MX" w:eastAsia="es-CO"/>
        </w:rPr>
        <w:t xml:space="preserve"> A propósito de </w:t>
      </w:r>
      <w:r w:rsidRPr="00F8199A">
        <w:rPr>
          <w:rFonts w:ascii="Verdana" w:hAnsi="Verdana" w:cs="Arial"/>
          <w:lang w:eastAsia="es-CO"/>
        </w:rPr>
        <w:t>esta restricción de la Ley de Garantías Electorales, la Sala de Consulta y Servicio Civil del Consejo de Estado ha considerado que:</w:t>
      </w:r>
    </w:p>
    <w:p w14:paraId="035F57E8" w14:textId="77777777" w:rsidR="00965BFD" w:rsidRPr="00F8199A" w:rsidRDefault="00965BFD" w:rsidP="00965BFD">
      <w:pPr>
        <w:spacing w:after="0" w:line="276" w:lineRule="auto"/>
        <w:ind w:left="708" w:right="709"/>
        <w:jc w:val="both"/>
        <w:rPr>
          <w:rFonts w:ascii="Verdana" w:hAnsi="Verdana" w:cs="Arial"/>
          <w:lang w:val="es-MX"/>
        </w:rPr>
      </w:pPr>
    </w:p>
    <w:p w14:paraId="7BBC0305" w14:textId="77777777" w:rsidR="00965BFD" w:rsidRPr="00F8199A" w:rsidRDefault="00965BFD" w:rsidP="00965BFD">
      <w:pPr>
        <w:spacing w:after="120"/>
        <w:ind w:left="709" w:right="709"/>
        <w:jc w:val="both"/>
        <w:rPr>
          <w:rFonts w:ascii="Verdana" w:hAnsi="Verdana" w:cs="Arial"/>
          <w:sz w:val="20"/>
          <w:szCs w:val="20"/>
          <w:lang w:val="es-MX"/>
        </w:rPr>
      </w:pPr>
      <w:r>
        <w:rPr>
          <w:rFonts w:ascii="Verdana" w:hAnsi="Verdana" w:cs="Arial"/>
          <w:sz w:val="18"/>
          <w:szCs w:val="18"/>
          <w:lang w:val="es-MX"/>
        </w:rPr>
        <w:t>“</w:t>
      </w:r>
      <w:r w:rsidRPr="00F8199A">
        <w:rPr>
          <w:rFonts w:ascii="Verdana" w:hAnsi="Verdana" w:cs="Arial"/>
          <w:sz w:val="20"/>
          <w:szCs w:val="20"/>
          <w:lang w:val="es-MX"/>
        </w:rPr>
        <w:t>La contratación directa es un mecanismo de selección de carácter excepcional, en virtud del cual las entidades públicas pueden contratar mediante un trámite simplificado, ágil y expedito sin necesidad de realizar previamente un proceso de licitación pública o concurso, únicamente en los casos en que expresa y taxativamente señale la ley (numeral 4, artículo 2, ley 1150 de 2007), y cumpliendo siempre los principios que rigen la contratación pública</w:t>
      </w:r>
      <w:r w:rsidRPr="00F8199A">
        <w:rPr>
          <w:rFonts w:ascii="Verdana" w:hAnsi="Verdana" w:cs="Arial"/>
          <w:sz w:val="20"/>
          <w:szCs w:val="20"/>
          <w:vertAlign w:val="superscript"/>
          <w:lang w:eastAsia="es-CO"/>
        </w:rPr>
        <w:footnoteReference w:id="10"/>
      </w:r>
      <w:r w:rsidRPr="00F8199A">
        <w:rPr>
          <w:rFonts w:ascii="Verdana" w:hAnsi="Verdana" w:cs="Arial"/>
          <w:sz w:val="20"/>
          <w:szCs w:val="20"/>
          <w:lang w:val="es-MX"/>
        </w:rPr>
        <w:t>.</w:t>
      </w:r>
    </w:p>
    <w:p w14:paraId="76CCC94E" w14:textId="77777777" w:rsidR="00965BFD" w:rsidRPr="00F8199A" w:rsidRDefault="00965BFD" w:rsidP="00965BFD">
      <w:pPr>
        <w:spacing w:after="0"/>
        <w:ind w:left="708" w:right="709"/>
        <w:jc w:val="both"/>
        <w:rPr>
          <w:rFonts w:ascii="Verdana" w:hAnsi="Verdana" w:cs="Arial"/>
          <w:sz w:val="20"/>
          <w:szCs w:val="20"/>
          <w:lang w:val="es-MX"/>
        </w:rPr>
      </w:pPr>
      <w:r w:rsidRPr="00F8199A">
        <w:rPr>
          <w:rFonts w:ascii="Verdana" w:hAnsi="Verdana" w:cs="Arial"/>
          <w:sz w:val="20"/>
          <w:szCs w:val="20"/>
          <w:lang w:val="es-MX"/>
        </w:rPr>
        <w:t xml:space="preserve">Esta Sala ha entendido que para los efectos de la ley de garantías, y dada su finalidad, el enunciado </w:t>
      </w:r>
      <w:r>
        <w:rPr>
          <w:rFonts w:ascii="Verdana" w:hAnsi="Verdana" w:cs="Arial"/>
          <w:sz w:val="20"/>
          <w:szCs w:val="20"/>
          <w:lang w:val="es-MX"/>
        </w:rPr>
        <w:t>‘</w:t>
      </w:r>
      <w:r w:rsidRPr="00F8199A">
        <w:rPr>
          <w:rFonts w:ascii="Verdana" w:hAnsi="Verdana" w:cs="Arial"/>
          <w:sz w:val="20"/>
          <w:szCs w:val="20"/>
          <w:lang w:val="es-MX"/>
        </w:rPr>
        <w:t>contratación direct</w:t>
      </w:r>
      <w:r>
        <w:rPr>
          <w:rFonts w:ascii="Verdana" w:hAnsi="Verdana" w:cs="Arial"/>
          <w:sz w:val="20"/>
          <w:szCs w:val="20"/>
          <w:lang w:val="es-MX"/>
        </w:rPr>
        <w:t>a’</w:t>
      </w:r>
      <w:r w:rsidRPr="00F8199A">
        <w:rPr>
          <w:rFonts w:ascii="Verdana" w:hAnsi="Verdana" w:cs="Arial"/>
          <w:sz w:val="20"/>
          <w:szCs w:val="20"/>
          <w:lang w:val="es-MX"/>
        </w:rPr>
        <w:t xml:space="preserve"> es sinónimo de cualquier sistema que no implique convocatoria pública y posibilidad de pluralidad de oferentes, y que, además, no necesariamente hace referencia al procedimiento especial regulado por la ley de contratación estatal, sino a cualquier otro que prescinda de un proceso de licitación pública o concurso</w:t>
      </w:r>
      <w:r w:rsidRPr="00F8199A">
        <w:rPr>
          <w:rFonts w:ascii="Verdana" w:hAnsi="Verdana" w:cs="Arial"/>
          <w:sz w:val="20"/>
          <w:szCs w:val="20"/>
          <w:vertAlign w:val="superscript"/>
          <w:lang w:val="es-MX"/>
        </w:rPr>
        <w:footnoteReference w:id="11"/>
      </w:r>
      <w:r w:rsidRPr="00F8199A">
        <w:rPr>
          <w:rFonts w:ascii="Verdana" w:hAnsi="Verdana" w:cs="Arial"/>
          <w:sz w:val="20"/>
          <w:szCs w:val="20"/>
          <w:vertAlign w:val="superscript"/>
          <w:lang w:val="es-MX"/>
        </w:rPr>
        <w:t>.</w:t>
      </w:r>
      <w:r w:rsidRPr="00F8199A">
        <w:rPr>
          <w:rFonts w:ascii="Verdana" w:hAnsi="Verdana" w:cs="Arial"/>
          <w:sz w:val="20"/>
          <w:szCs w:val="20"/>
          <w:lang w:val="es-MX"/>
        </w:rPr>
        <w:t xml:space="preserve"> Por tanto, no son materia de la prohibición las demás modalidades de selección previstas en la ley 1150 de 2007, siendo estas, la licitación pública, el concurso de méritos y la selección abreviada, razón </w:t>
      </w:r>
      <w:r w:rsidRPr="00F8199A">
        <w:rPr>
          <w:rFonts w:ascii="Verdana" w:hAnsi="Verdana" w:cs="Arial"/>
          <w:sz w:val="20"/>
          <w:szCs w:val="20"/>
          <w:lang w:val="es-MX"/>
        </w:rPr>
        <w:lastRenderedPageBreak/>
        <w:t>por la cual en ese periodo preelectoral de que trata la disposición pueden las entidades públicas seguir contratando bajo estos sistemas</w:t>
      </w:r>
      <w:r>
        <w:rPr>
          <w:rFonts w:ascii="Verdana" w:hAnsi="Verdana" w:cs="Arial"/>
          <w:sz w:val="20"/>
          <w:szCs w:val="20"/>
          <w:lang w:val="es-MX"/>
        </w:rPr>
        <w:t xml:space="preserve"> </w:t>
      </w:r>
      <w:r w:rsidRPr="00F8199A">
        <w:rPr>
          <w:rFonts w:ascii="Verdana" w:hAnsi="Verdana" w:cs="Arial"/>
          <w:sz w:val="20"/>
          <w:szCs w:val="20"/>
          <w:lang w:val="es-MX"/>
        </w:rPr>
        <w:t>[...]</w:t>
      </w:r>
      <w:r>
        <w:rPr>
          <w:rFonts w:ascii="Verdana" w:hAnsi="Verdana" w:cs="Arial"/>
          <w:sz w:val="20"/>
          <w:szCs w:val="20"/>
          <w:lang w:val="es-MX"/>
        </w:rPr>
        <w:t>”</w:t>
      </w:r>
      <w:r w:rsidRPr="00F8199A">
        <w:rPr>
          <w:rFonts w:ascii="Verdana" w:hAnsi="Verdana" w:cs="Arial"/>
          <w:sz w:val="20"/>
          <w:szCs w:val="20"/>
          <w:vertAlign w:val="superscript"/>
          <w:lang w:eastAsia="es-CO"/>
        </w:rPr>
        <w:footnoteReference w:id="12"/>
      </w:r>
      <w:r w:rsidRPr="00F8199A">
        <w:rPr>
          <w:rFonts w:ascii="Verdana" w:hAnsi="Verdana" w:cs="Arial"/>
          <w:sz w:val="20"/>
          <w:szCs w:val="20"/>
          <w:lang w:val="es-MX"/>
        </w:rPr>
        <w:t>.</w:t>
      </w:r>
    </w:p>
    <w:p w14:paraId="2953A428" w14:textId="77777777" w:rsidR="00965BFD" w:rsidRPr="00F8199A" w:rsidRDefault="00965BFD" w:rsidP="00965BFD">
      <w:pPr>
        <w:shd w:val="clear" w:color="auto" w:fill="FFFFFF"/>
        <w:spacing w:after="0" w:line="276" w:lineRule="auto"/>
        <w:ind w:firstLine="709"/>
        <w:jc w:val="both"/>
        <w:rPr>
          <w:rFonts w:ascii="Verdana" w:hAnsi="Verdana" w:cs="Arial"/>
          <w:lang w:eastAsia="x-none"/>
        </w:rPr>
      </w:pPr>
    </w:p>
    <w:p w14:paraId="08CD5EE3" w14:textId="77777777" w:rsidR="00965BFD" w:rsidRPr="00F8199A" w:rsidRDefault="00965BFD" w:rsidP="00965BFD">
      <w:pPr>
        <w:spacing w:after="120" w:line="276" w:lineRule="auto"/>
        <w:ind w:firstLine="708"/>
        <w:jc w:val="both"/>
        <w:rPr>
          <w:rFonts w:ascii="Verdana" w:hAnsi="Verdana" w:cs="Arial"/>
          <w:bCs/>
          <w:lang w:eastAsia="x-none"/>
        </w:rPr>
      </w:pPr>
      <w:r w:rsidRPr="00F8199A">
        <w:rPr>
          <w:rFonts w:ascii="Verdana" w:hAnsi="Verdana" w:cs="Arial"/>
          <w:lang w:eastAsia="x-none"/>
        </w:rPr>
        <w:t xml:space="preserve">De acuerdo con el citado concepto, la prohibición del artículo 33 de la Ley de Garantías Electorales se refiere a </w:t>
      </w:r>
      <w:r>
        <w:rPr>
          <w:rFonts w:ascii="Verdana" w:hAnsi="Verdana" w:cs="Arial"/>
          <w:sz w:val="19"/>
          <w:szCs w:val="19"/>
          <w:lang w:eastAsia="en-GB"/>
        </w:rPr>
        <w:t>“</w:t>
      </w:r>
      <w:r w:rsidRPr="00F8199A">
        <w:rPr>
          <w:rFonts w:ascii="Verdana" w:hAnsi="Verdana" w:cs="Arial"/>
          <w:lang w:eastAsia="x-none"/>
        </w:rPr>
        <w:t>cualquier sistema que no implique convocatoria pública y posibilidad de pluralidad de oferentes</w:t>
      </w:r>
      <w:r>
        <w:rPr>
          <w:rFonts w:ascii="Verdana" w:hAnsi="Verdana" w:cs="Arial"/>
          <w:lang w:eastAsia="en-GB"/>
        </w:rPr>
        <w:t>”</w:t>
      </w:r>
      <w:r w:rsidRPr="00F8199A">
        <w:rPr>
          <w:rFonts w:ascii="Verdana" w:hAnsi="Verdana" w:cs="Arial"/>
          <w:lang w:eastAsia="x-none"/>
        </w:rPr>
        <w:t>, por lo que excluye las demás modalidades de contratación previstas en la Ley 1150 de 2007, es decir, la licitación pública, la selección abreviada y el concurso de méritos u otros previstos en normas especiales. Esta posición es congruente con la expedición de la Ley 1150 de 2007 que, entre otras reformas, introdujo la selección abreviada, rediseñó el concurso de méritos</w:t>
      </w:r>
      <w:r w:rsidRPr="00F8199A">
        <w:rPr>
          <w:rFonts w:ascii="Verdana" w:hAnsi="Verdana" w:cs="Arial"/>
          <w:vertAlign w:val="superscript"/>
          <w:lang w:val="en-GB" w:eastAsia="x-none"/>
        </w:rPr>
        <w:footnoteReference w:id="13"/>
      </w:r>
      <w:r w:rsidRPr="00F8199A">
        <w:rPr>
          <w:rFonts w:ascii="Verdana" w:hAnsi="Verdana" w:cs="Arial"/>
          <w:lang w:eastAsia="x-none"/>
        </w:rPr>
        <w:t xml:space="preserve"> y sistematizó las causales de contratación directa</w:t>
      </w:r>
      <w:r w:rsidRPr="00F8199A">
        <w:rPr>
          <w:rFonts w:ascii="Verdana" w:hAnsi="Verdana" w:cs="Arial"/>
          <w:vertAlign w:val="superscript"/>
          <w:lang w:val="en-GB" w:eastAsia="x-none"/>
        </w:rPr>
        <w:footnoteReference w:id="14"/>
      </w:r>
      <w:r w:rsidRPr="00F8199A">
        <w:rPr>
          <w:rFonts w:ascii="Verdana" w:hAnsi="Verdana" w:cs="Arial"/>
          <w:lang w:eastAsia="x-none"/>
        </w:rPr>
        <w:t xml:space="preserve">. </w:t>
      </w:r>
    </w:p>
    <w:p w14:paraId="49BDE176" w14:textId="77777777" w:rsidR="00965BFD" w:rsidRPr="00F8199A" w:rsidRDefault="00965BFD" w:rsidP="00965BFD">
      <w:pPr>
        <w:spacing w:after="120" w:line="276" w:lineRule="auto"/>
        <w:ind w:firstLine="708"/>
        <w:jc w:val="both"/>
        <w:rPr>
          <w:rFonts w:ascii="Verdana" w:hAnsi="Verdana" w:cs="Arial"/>
          <w:lang w:val="es-MX" w:eastAsia="x-none"/>
        </w:rPr>
      </w:pPr>
      <w:r w:rsidRPr="00F8199A">
        <w:rPr>
          <w:rFonts w:ascii="Verdana" w:hAnsi="Verdana" w:cs="Arial"/>
          <w:lang w:eastAsia="x-none"/>
        </w:rPr>
        <w:t xml:space="preserve">De esta forma, con fundamento en la evolución de la normativa sobre la contratación pública, se ha depurado la noción de </w:t>
      </w:r>
      <w:r>
        <w:rPr>
          <w:rFonts w:ascii="Verdana" w:hAnsi="Verdana" w:cs="Arial"/>
          <w:sz w:val="19"/>
          <w:szCs w:val="19"/>
          <w:lang w:eastAsia="en-GB"/>
        </w:rPr>
        <w:t>“</w:t>
      </w:r>
      <w:r w:rsidRPr="00F8199A">
        <w:rPr>
          <w:rFonts w:ascii="Verdana" w:hAnsi="Verdana" w:cs="Arial"/>
          <w:lang w:eastAsia="x-none"/>
        </w:rPr>
        <w:t>contratación directa</w:t>
      </w:r>
      <w:r>
        <w:rPr>
          <w:rFonts w:ascii="Verdana" w:hAnsi="Verdana" w:cs="Arial"/>
          <w:lang w:eastAsia="en-GB"/>
        </w:rPr>
        <w:t>”</w:t>
      </w:r>
      <w:r w:rsidRPr="00F8199A">
        <w:rPr>
          <w:rFonts w:ascii="Verdana" w:hAnsi="Verdana" w:cs="Arial"/>
          <w:lang w:eastAsia="x-none"/>
        </w:rPr>
        <w:t xml:space="preserve">, precisando el Consejo de Estado –en el concepto citado– que, </w:t>
      </w:r>
      <w:r>
        <w:rPr>
          <w:rFonts w:ascii="Verdana" w:hAnsi="Verdana" w:cs="Arial"/>
          <w:lang w:eastAsia="x-none"/>
        </w:rPr>
        <w:t>“</w:t>
      </w:r>
      <w:r w:rsidRPr="00F8199A">
        <w:rPr>
          <w:rFonts w:ascii="Verdana" w:hAnsi="Verdana" w:cs="Arial"/>
          <w:lang w:eastAsia="x-none"/>
        </w:rPr>
        <w:t>aun cuando no coincide única y exactamente con la regulación que de dicho sistema de selección hace el artículo 2º de la Ley 1150 de 2007, tampoco puede afirmarse que sea cualquier procedimiento de contratación distinto de la licitación pública, pues esto sería tanto como desconocer que el legislador, no solo en el Estatuto General de la Contratación de la Administración Pública, sino también en leyes especiales e, incluso, en el derecho privado</w:t>
      </w:r>
      <w:r w:rsidRPr="00F8199A">
        <w:rPr>
          <w:rFonts w:ascii="Verdana" w:hAnsi="Verdana" w:cs="Arial"/>
          <w:vertAlign w:val="superscript"/>
          <w:lang w:val="en-GB" w:eastAsia="x-none"/>
        </w:rPr>
        <w:footnoteReference w:id="15"/>
      </w:r>
      <w:r w:rsidRPr="00F8199A">
        <w:rPr>
          <w:rFonts w:ascii="Verdana" w:hAnsi="Verdana" w:cs="Arial"/>
          <w:lang w:eastAsia="x-none"/>
        </w:rPr>
        <w:t>, han establecido sistemas de contratación que implican convocatoria pública y participación de varios oferentes</w:t>
      </w:r>
      <w:r>
        <w:rPr>
          <w:rFonts w:ascii="Verdana" w:hAnsi="Verdana" w:cs="Arial"/>
          <w:lang w:eastAsia="en-GB"/>
        </w:rPr>
        <w:t>”</w:t>
      </w:r>
      <w:r w:rsidRPr="00F8199A">
        <w:rPr>
          <w:rFonts w:ascii="Verdana" w:hAnsi="Verdana" w:cs="Arial"/>
          <w:lang w:eastAsia="x-none"/>
        </w:rPr>
        <w:t xml:space="preserve">. </w:t>
      </w:r>
    </w:p>
    <w:p w14:paraId="147F5226" w14:textId="77777777" w:rsidR="00965BFD" w:rsidRPr="00F8199A" w:rsidRDefault="00965BFD" w:rsidP="00965BFD">
      <w:pPr>
        <w:spacing w:after="120" w:line="276" w:lineRule="auto"/>
        <w:ind w:firstLine="708"/>
        <w:jc w:val="both"/>
        <w:rPr>
          <w:rFonts w:ascii="Verdana" w:hAnsi="Verdana" w:cs="Arial"/>
          <w:bCs/>
          <w:lang w:val="es-MX" w:eastAsia="es-CO"/>
        </w:rPr>
      </w:pPr>
      <w:r w:rsidRPr="00F8199A">
        <w:rPr>
          <w:rFonts w:ascii="Verdana" w:hAnsi="Verdana" w:cs="Arial"/>
          <w:bCs/>
          <w:lang w:val="es-MX" w:eastAsia="x-none"/>
        </w:rPr>
        <w:t>E</w:t>
      </w:r>
      <w:r w:rsidRPr="00F8199A">
        <w:rPr>
          <w:rFonts w:ascii="Verdana" w:hAnsi="Verdana" w:cs="Arial"/>
          <w:lang w:eastAsia="x-none"/>
        </w:rPr>
        <w:t xml:space="preserve">n efecto, vale la pena mencionar que, en algunos sistemas de contratación, utilizados por entidades públicas con regímenes especiales, o sujetas al derecho privado, la convocatoria o invitación para contratar puede limitarse a aquellas personas que previamente se hayan inscrito en una lista de precalificados o de simples interesados, o en un determinado registro o banco de datos de proveedores. En estos casos, lo determinante para considerar que dicho sistema no constituye </w:t>
      </w:r>
      <w:r>
        <w:rPr>
          <w:rFonts w:ascii="Verdana" w:hAnsi="Verdana" w:cs="Arial"/>
          <w:lang w:eastAsia="x-none"/>
        </w:rPr>
        <w:t>“</w:t>
      </w:r>
      <w:r w:rsidRPr="00F8199A">
        <w:rPr>
          <w:rFonts w:ascii="Verdana" w:hAnsi="Verdana" w:cs="Arial"/>
          <w:lang w:eastAsia="x-none"/>
        </w:rPr>
        <w:t>contratación directa</w:t>
      </w:r>
      <w:r>
        <w:rPr>
          <w:rFonts w:ascii="Verdana" w:hAnsi="Verdana" w:cs="Arial"/>
          <w:lang w:eastAsia="x-none"/>
        </w:rPr>
        <w:t>”</w:t>
      </w:r>
      <w:r w:rsidRPr="00F8199A">
        <w:rPr>
          <w:rFonts w:ascii="Verdana" w:hAnsi="Verdana" w:cs="Arial"/>
          <w:lang w:eastAsia="x-none"/>
        </w:rPr>
        <w:t xml:space="preserve">, es que la convocatoria para </w:t>
      </w:r>
      <w:r w:rsidRPr="00F8199A">
        <w:rPr>
          <w:rFonts w:ascii="Verdana" w:hAnsi="Verdana" w:cs="Arial"/>
          <w:lang w:eastAsia="x-none"/>
        </w:rPr>
        <w:lastRenderedPageBreak/>
        <w:t>inscribirse en forma previa se haga de manera pública, y que se permita la participación de una pluralidad de oferentes</w:t>
      </w:r>
      <w:r w:rsidRPr="00F8199A">
        <w:rPr>
          <w:rFonts w:ascii="Verdana" w:hAnsi="Verdana" w:cs="Arial"/>
          <w:vertAlign w:val="superscript"/>
          <w:lang w:eastAsia="x-none"/>
        </w:rPr>
        <w:footnoteReference w:id="16"/>
      </w:r>
      <w:r w:rsidRPr="00F8199A">
        <w:rPr>
          <w:rFonts w:ascii="Verdana" w:hAnsi="Verdana" w:cs="Arial"/>
          <w:lang w:eastAsia="x-none"/>
        </w:rPr>
        <w:t xml:space="preserve">. </w:t>
      </w:r>
    </w:p>
    <w:p w14:paraId="737F2CF4" w14:textId="77777777" w:rsidR="00965BFD" w:rsidRPr="00F8199A" w:rsidRDefault="00965BFD" w:rsidP="00965BFD">
      <w:pPr>
        <w:spacing w:after="120" w:line="276" w:lineRule="auto"/>
        <w:ind w:firstLine="708"/>
        <w:jc w:val="both"/>
        <w:rPr>
          <w:rFonts w:ascii="Verdana" w:hAnsi="Verdana" w:cs="Arial"/>
          <w:bCs/>
          <w:lang w:val="es-MX" w:eastAsia="es-CO"/>
        </w:rPr>
      </w:pPr>
      <w:r w:rsidRPr="00F8199A">
        <w:rPr>
          <w:rFonts w:ascii="Verdana" w:hAnsi="Verdana" w:cs="Arial"/>
          <w:bCs/>
          <w:lang w:val="es-MX" w:eastAsia="es-CO"/>
        </w:rPr>
        <w:t xml:space="preserve">Como se advierte de lo anterior, el Consejo de Estado realiza una interpretación amplia de la contratación directa, para efectos de aplicar las restricciones establecidas en la Ley de Garantías, al señalar que no solo aplica frente a las entidades sometidas al Estatuto general de Contratación de la Administración Pública, sino también frente a las entidades que tengan un régimen especial de contratación. No obstante, también se observa que luego de la expedición de Ley 1150 de 2007, el Consejo de Estado comenzó a delimitar con mayor precisión el término de </w:t>
      </w:r>
      <w:r>
        <w:rPr>
          <w:rFonts w:ascii="Verdana" w:hAnsi="Verdana" w:cs="Arial"/>
          <w:bCs/>
          <w:lang w:val="es-MX" w:eastAsia="es-CO"/>
        </w:rPr>
        <w:t>“</w:t>
      </w:r>
      <w:r w:rsidRPr="00F8199A">
        <w:rPr>
          <w:rFonts w:ascii="Verdana" w:hAnsi="Verdana" w:cs="Arial"/>
          <w:bCs/>
          <w:lang w:val="es-MX" w:eastAsia="es-CO"/>
        </w:rPr>
        <w:t>contratación directa</w:t>
      </w:r>
      <w:r>
        <w:rPr>
          <w:rFonts w:ascii="Verdana" w:hAnsi="Verdana" w:cs="Arial"/>
          <w:bCs/>
          <w:lang w:val="es-MX" w:eastAsia="es-CO"/>
        </w:rPr>
        <w:t>”</w:t>
      </w:r>
      <w:r w:rsidRPr="00F8199A">
        <w:rPr>
          <w:rFonts w:ascii="Verdana" w:hAnsi="Verdana" w:cs="Arial"/>
          <w:bCs/>
          <w:lang w:val="es-MX" w:eastAsia="es-CO"/>
        </w:rPr>
        <w:t>.</w:t>
      </w:r>
    </w:p>
    <w:p w14:paraId="70EC92D6" w14:textId="77777777" w:rsidR="00965BFD" w:rsidRPr="00F8199A" w:rsidRDefault="00965BFD" w:rsidP="00965BFD">
      <w:pPr>
        <w:spacing w:after="120" w:line="276" w:lineRule="auto"/>
        <w:ind w:firstLine="708"/>
        <w:jc w:val="both"/>
        <w:rPr>
          <w:rFonts w:ascii="Verdana" w:hAnsi="Verdana" w:cs="Arial"/>
          <w:bCs/>
          <w:lang w:val="es-MX" w:eastAsia="x-none"/>
        </w:rPr>
      </w:pPr>
      <w:r w:rsidRPr="00F8199A">
        <w:rPr>
          <w:rFonts w:ascii="Verdana" w:hAnsi="Verdana" w:cs="Arial"/>
          <w:bCs/>
          <w:lang w:val="es-MX" w:eastAsia="x-none"/>
        </w:rPr>
        <w:t xml:space="preserve"> Así las cosas, ha de entenderse que, para los efectos de la Ley de Garantías Electorales y, en particular, para la prohibición o restricción temporal contenida en su artículo 33, </w:t>
      </w:r>
      <w:r>
        <w:rPr>
          <w:rFonts w:ascii="Verdana" w:hAnsi="Verdana" w:cs="Arial"/>
          <w:bCs/>
          <w:lang w:val="es-MX" w:eastAsia="x-none"/>
        </w:rPr>
        <w:t>“</w:t>
      </w:r>
      <w:r w:rsidRPr="00F8199A">
        <w:rPr>
          <w:rFonts w:ascii="Verdana" w:hAnsi="Verdana" w:cs="Arial"/>
          <w:bCs/>
          <w:lang w:val="es-MX" w:eastAsia="x-none"/>
        </w:rPr>
        <w:t>contratación directa</w:t>
      </w:r>
      <w:r>
        <w:rPr>
          <w:rFonts w:ascii="Verdana" w:hAnsi="Verdana" w:cs="Arial"/>
          <w:bCs/>
          <w:lang w:val="es-MX" w:eastAsia="x-none"/>
        </w:rPr>
        <w:t>”</w:t>
      </w:r>
      <w:r w:rsidRPr="00F8199A">
        <w:rPr>
          <w:rFonts w:ascii="Verdana" w:hAnsi="Verdana" w:cs="Arial"/>
          <w:bCs/>
          <w:lang w:val="es-MX" w:eastAsia="x-none"/>
        </w:rPr>
        <w:t xml:space="preserve"> es cualquier sistema de selección o procedimiento de contratación utilizado por las entidades estatales que no incluya la convocatoria pública en alguna de sus etapas, ni permita la participación de una pluralidad de oferentes</w:t>
      </w:r>
      <w:r w:rsidRPr="00F8199A">
        <w:rPr>
          <w:rFonts w:ascii="Verdana" w:hAnsi="Verdana" w:cs="Arial"/>
          <w:vertAlign w:val="superscript"/>
          <w:lang w:eastAsia="x-none"/>
        </w:rPr>
        <w:footnoteReference w:id="17"/>
      </w:r>
      <w:r w:rsidRPr="00F8199A">
        <w:rPr>
          <w:rFonts w:ascii="Verdana" w:hAnsi="Verdana" w:cs="Arial"/>
          <w:bCs/>
          <w:lang w:val="es-MX" w:eastAsia="x-none"/>
        </w:rPr>
        <w:t>.</w:t>
      </w:r>
      <w:r w:rsidRPr="00F8199A">
        <w:rPr>
          <w:rFonts w:ascii="Verdana" w:hAnsi="Verdana" w:cs="Arial"/>
          <w:vertAlign w:val="superscript"/>
          <w:lang w:eastAsia="x-none"/>
        </w:rPr>
        <w:t xml:space="preserve"> </w:t>
      </w:r>
    </w:p>
    <w:p w14:paraId="3ECA01DF" w14:textId="77777777" w:rsidR="00965BFD" w:rsidRPr="00F8199A" w:rsidRDefault="00965BFD" w:rsidP="00965BFD">
      <w:pPr>
        <w:spacing w:after="120" w:line="276" w:lineRule="auto"/>
        <w:ind w:firstLine="708"/>
        <w:jc w:val="both"/>
        <w:rPr>
          <w:rFonts w:ascii="Verdana" w:hAnsi="Verdana" w:cs="Arial"/>
          <w:lang w:eastAsia="x-none"/>
        </w:rPr>
      </w:pPr>
      <w:r w:rsidRPr="00F8199A">
        <w:rPr>
          <w:rFonts w:ascii="Verdana" w:hAnsi="Verdana" w:cs="Arial"/>
          <w:bCs/>
          <w:lang w:val="es-MX" w:eastAsia="x-none"/>
        </w:rPr>
        <w:t>De lo anterior se desprende que la restricción aplica, sin perjuicio de las excepciones establecidas en la misma ley, para celebrar cualquier contrato de forma directa, esto es, sin que exista un proceso abierto y competitivo.</w:t>
      </w:r>
      <w:r w:rsidRPr="00F8199A">
        <w:rPr>
          <w:rFonts w:ascii="Verdana" w:hAnsi="Verdana" w:cs="Arial"/>
          <w:lang w:eastAsia="x-none"/>
        </w:rPr>
        <w:t xml:space="preserve"> Por tanto, no son materia de la prohibición las demás modalidades de selección previstas en la Ley 1150 de 2007, es decir, la licitación pública, el concurso de méritos y la selección abreviada, razón por la cual en ese período preelectoral de que trata la disposición pueden las entidades públicas seguir contratando bajo estos sistemas.</w:t>
      </w:r>
    </w:p>
    <w:p w14:paraId="66B691AA" w14:textId="77777777" w:rsidR="00965BFD" w:rsidRPr="00F8199A" w:rsidRDefault="00965BFD" w:rsidP="00965BFD">
      <w:pPr>
        <w:spacing w:after="120" w:line="276" w:lineRule="auto"/>
        <w:ind w:firstLine="708"/>
        <w:jc w:val="both"/>
        <w:rPr>
          <w:rFonts w:ascii="Verdana" w:hAnsi="Verdana" w:cs="Arial"/>
          <w:bCs/>
          <w:lang w:val="es-MX" w:eastAsia="x-none"/>
        </w:rPr>
      </w:pPr>
      <w:bookmarkStart w:id="12" w:name="_Hlk77237094"/>
      <w:r w:rsidRPr="00F8199A">
        <w:rPr>
          <w:rFonts w:ascii="Verdana" w:hAnsi="Verdana" w:cs="Arial"/>
          <w:bCs/>
          <w:lang w:val="es-MX" w:eastAsia="es-CO"/>
        </w:rPr>
        <w:t xml:space="preserve">Como en otras oportunidades lo ha manifestado esta Agencia, las prórrogas, modificaciones o adiciones de los contratos suscritos antes de la </w:t>
      </w:r>
      <w:proofErr w:type="gramStart"/>
      <w:r w:rsidRPr="00F8199A">
        <w:rPr>
          <w:rFonts w:ascii="Verdana" w:hAnsi="Verdana" w:cs="Arial"/>
          <w:bCs/>
          <w:lang w:val="es-MX" w:eastAsia="es-CO"/>
        </w:rPr>
        <w:t>entrada en vigencia</w:t>
      </w:r>
      <w:proofErr w:type="gramEnd"/>
      <w:r w:rsidRPr="00F8199A">
        <w:rPr>
          <w:rFonts w:ascii="Verdana" w:hAnsi="Verdana" w:cs="Arial"/>
          <w:bCs/>
          <w:lang w:val="es-MX" w:eastAsia="es-CO"/>
        </w:rPr>
        <w:t xml:space="preserve"> de las prohibiciones anotadas, así como la cesión de </w:t>
      </w:r>
      <w:proofErr w:type="gramStart"/>
      <w:r w:rsidRPr="00F8199A">
        <w:rPr>
          <w:rFonts w:ascii="Verdana" w:hAnsi="Verdana" w:cs="Arial"/>
          <w:bCs/>
          <w:lang w:val="es-MX" w:eastAsia="es-CO"/>
        </w:rPr>
        <w:t>los mismos</w:t>
      </w:r>
      <w:proofErr w:type="gramEnd"/>
      <w:r w:rsidRPr="00F8199A">
        <w:rPr>
          <w:rFonts w:ascii="Verdana" w:hAnsi="Verdana" w:cs="Arial"/>
          <w:bCs/>
          <w:lang w:val="es-MX" w:eastAsia="es-CO"/>
        </w:rPr>
        <w:t>, pueden tener lugar en el período de aplicación de la Ley de Garantías, sin que ello haga nugatoria la restricción de la contratación directa y siempre que cumplan los principios de planeación, transparencia y responsabilidad.</w:t>
      </w:r>
      <w:bookmarkEnd w:id="12"/>
    </w:p>
    <w:p w14:paraId="04FF15CE" w14:textId="77777777" w:rsidR="00965BFD" w:rsidRPr="00F8199A" w:rsidRDefault="00965BFD" w:rsidP="00965BFD">
      <w:pPr>
        <w:spacing w:after="120" w:line="276" w:lineRule="auto"/>
        <w:ind w:firstLine="708"/>
        <w:jc w:val="both"/>
        <w:rPr>
          <w:rFonts w:ascii="Verdana" w:hAnsi="Verdana" w:cs="Arial"/>
          <w:bCs/>
          <w:lang w:val="es-MX" w:eastAsia="es-CO"/>
        </w:rPr>
      </w:pPr>
      <w:r w:rsidRPr="00F8199A">
        <w:rPr>
          <w:rFonts w:ascii="Verdana" w:hAnsi="Verdana" w:cs="Arial"/>
          <w:bCs/>
          <w:lang w:val="es-MX" w:eastAsia="x-none"/>
        </w:rPr>
        <w:lastRenderedPageBreak/>
        <w:t xml:space="preserve">De otro lado, las excepciones a la restricción prevista en la Ley de Garantías, con fundamento en las cuales podrán las entidades públicas adelantar procedimientos de selección directa en períodos previos a la contienda electoral por la Presidencia, se encuentran consagradas de manera taxativa en el inciso final del citado artículo 33 de la Ley 996 de 2005 en lo referente a i) la defensa y seguridad del Estado; </w:t>
      </w:r>
      <w:proofErr w:type="spellStart"/>
      <w:r w:rsidRPr="00F8199A">
        <w:rPr>
          <w:rFonts w:ascii="Verdana" w:hAnsi="Verdana" w:cs="Arial"/>
          <w:bCs/>
          <w:lang w:val="es-MX" w:eastAsia="x-none"/>
        </w:rPr>
        <w:t>ii</w:t>
      </w:r>
      <w:proofErr w:type="spellEnd"/>
      <w:r w:rsidRPr="00F8199A">
        <w:rPr>
          <w:rFonts w:ascii="Verdana" w:hAnsi="Verdana" w:cs="Arial"/>
          <w:bCs/>
          <w:lang w:val="es-MX" w:eastAsia="x-none"/>
        </w:rPr>
        <w:t xml:space="preserve">) los contratos de crédito público; </w:t>
      </w:r>
      <w:proofErr w:type="spellStart"/>
      <w:r w:rsidRPr="00F8199A">
        <w:rPr>
          <w:rFonts w:ascii="Verdana" w:hAnsi="Verdana" w:cs="Arial"/>
          <w:bCs/>
          <w:lang w:val="es-MX" w:eastAsia="x-none"/>
        </w:rPr>
        <w:t>iii</w:t>
      </w:r>
      <w:proofErr w:type="spellEnd"/>
      <w:r w:rsidRPr="00F8199A">
        <w:rPr>
          <w:rFonts w:ascii="Verdana" w:hAnsi="Verdana" w:cs="Arial"/>
          <w:bCs/>
          <w:lang w:val="es-MX" w:eastAsia="x-none"/>
        </w:rPr>
        <w:t xml:space="preserve">) los requeridos para cubrir las emergencias educativas, sanitarias y desastres; </w:t>
      </w:r>
      <w:proofErr w:type="spellStart"/>
      <w:r w:rsidRPr="00F8199A">
        <w:rPr>
          <w:rFonts w:ascii="Verdana" w:hAnsi="Verdana" w:cs="Arial"/>
          <w:bCs/>
          <w:lang w:val="es-MX" w:eastAsia="x-none"/>
        </w:rPr>
        <w:t>iv</w:t>
      </w:r>
      <w:proofErr w:type="spellEnd"/>
      <w:r w:rsidRPr="00F8199A">
        <w:rPr>
          <w:rFonts w:ascii="Verdana" w:hAnsi="Verdana" w:cs="Arial"/>
          <w:bCs/>
          <w:lang w:val="es-MX" w:eastAsia="x-none"/>
        </w:rPr>
        <w:t>)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F8199A">
        <w:rPr>
          <w:rFonts w:ascii="Verdana" w:hAnsi="Verdana" w:cs="Arial"/>
          <w:bCs/>
          <w:lang w:val="es-MX" w:eastAsia="es-CO"/>
        </w:rPr>
        <w:t xml:space="preserve"> </w:t>
      </w:r>
      <w:r>
        <w:rPr>
          <w:rFonts w:ascii="Verdana" w:hAnsi="Verdana" w:cs="Arial"/>
          <w:bCs/>
          <w:lang w:val="es-MX" w:eastAsia="es-CO"/>
        </w:rPr>
        <w:t xml:space="preserve">Es </w:t>
      </w:r>
      <w:r w:rsidRPr="00F8199A">
        <w:rPr>
          <w:rFonts w:ascii="Verdana" w:hAnsi="Verdana" w:cs="Arial"/>
          <w:bCs/>
          <w:lang w:val="es-MX" w:eastAsia="es-CO"/>
        </w:rPr>
        <w:t>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48F43AA8" w14:textId="77777777" w:rsidR="00965BFD" w:rsidRDefault="00965BFD" w:rsidP="00965BFD">
      <w:pPr>
        <w:spacing w:after="0" w:line="276" w:lineRule="auto"/>
        <w:ind w:firstLine="708"/>
        <w:jc w:val="both"/>
        <w:rPr>
          <w:rFonts w:ascii="Verdana" w:hAnsi="Verdana" w:cs="Arial"/>
          <w:bCs/>
          <w:lang w:val="es-MX" w:eastAsia="x-none"/>
        </w:rPr>
      </w:pPr>
      <w:r w:rsidRPr="00F8199A">
        <w:rPr>
          <w:rFonts w:ascii="Verdana" w:hAnsi="Verdana" w:cs="Arial"/>
          <w:bCs/>
          <w:lang w:val="es-MX" w:eastAsia="x-none"/>
        </w:rPr>
        <w:t xml:space="preserve">En esta labor es importante tener en cuenta, como lo anotó la Corte Constitucional, en Sentencia C-1153 de noviembre 11 de 2005 </w:t>
      </w:r>
      <w:bookmarkStart w:id="13" w:name="_Hlk74309042"/>
      <w:r w:rsidRPr="00F8199A">
        <w:rPr>
          <w:rFonts w:ascii="Verdana" w:hAnsi="Verdana" w:cs="Arial"/>
          <w:bCs/>
          <w:lang w:val="es-MX" w:eastAsia="x-none"/>
        </w:rPr>
        <w:t xml:space="preserve">que </w:t>
      </w:r>
      <w:r>
        <w:rPr>
          <w:rFonts w:ascii="Verdana" w:hAnsi="Verdana" w:cs="Arial"/>
          <w:bCs/>
          <w:lang w:val="es-MX" w:eastAsia="x-none"/>
        </w:rPr>
        <w:t>“</w:t>
      </w:r>
      <w:bookmarkEnd w:id="13"/>
      <w:r w:rsidRPr="00F8199A">
        <w:rPr>
          <w:rFonts w:ascii="Verdana" w:hAnsi="Verdana" w:cs="Arial"/>
          <w:bCs/>
          <w:lang w:val="es-MX" w:eastAsia="x-none"/>
        </w:rPr>
        <w:t xml:space="preserve">si bien la limitación garantiza la igualdad de condiciones, también es necesario que tal limitación que pretende la igualdad </w:t>
      </w:r>
      <w:bookmarkStart w:id="14" w:name="_Hlk75768308"/>
      <w:r w:rsidRPr="00F8199A">
        <w:rPr>
          <w:rFonts w:ascii="Verdana" w:hAnsi="Verdana" w:cs="Arial"/>
          <w:bCs/>
          <w:lang w:val="es-MX" w:eastAsia="x-none"/>
        </w:rPr>
        <w:t>no termine yendo en detrimento de intereses públicos, cuya garantía está en cabeza del ejecutivo, como son los inmersos en las excepciones para la prohibición de contratación</w:t>
      </w:r>
      <w:r>
        <w:rPr>
          <w:rFonts w:ascii="Verdana" w:hAnsi="Verdana" w:cs="Arial"/>
          <w:bCs/>
          <w:lang w:val="es-MX" w:eastAsia="x-none"/>
        </w:rPr>
        <w:t>”</w:t>
      </w:r>
      <w:r w:rsidRPr="00F8199A">
        <w:rPr>
          <w:rFonts w:ascii="Verdana" w:hAnsi="Verdana" w:cs="Arial"/>
          <w:vertAlign w:val="superscript"/>
          <w:lang w:val="es-MX"/>
        </w:rPr>
        <w:footnoteReference w:id="18"/>
      </w:r>
      <w:r w:rsidRPr="00F8199A">
        <w:rPr>
          <w:rFonts w:ascii="Verdana" w:hAnsi="Verdana" w:cs="Arial"/>
          <w:bCs/>
          <w:lang w:val="es-MX" w:eastAsia="x-none"/>
        </w:rPr>
        <w:t>. De ahí que la Corte haya señalado que las excepciones a la restricción protegen diversos tipos de urgencias de defensa, salud, educación, infraestructura vial y de servicios públicos y ecológicas, que tienden a no limitar desproporcionadamente la acción del Estado en el cumplimiento de sus fines, en procura de la igualdad entre los candidatos como garantía electoral.</w:t>
      </w:r>
      <w:bookmarkEnd w:id="14"/>
    </w:p>
    <w:p w14:paraId="5C7B090F" w14:textId="77777777" w:rsidR="00965BFD" w:rsidRPr="00F8199A" w:rsidRDefault="00965BFD" w:rsidP="00965BFD">
      <w:pPr>
        <w:spacing w:after="0" w:line="276" w:lineRule="auto"/>
        <w:ind w:firstLine="708"/>
        <w:jc w:val="both"/>
        <w:rPr>
          <w:rFonts w:ascii="Verdana" w:hAnsi="Verdana" w:cs="Arial"/>
          <w:bCs/>
          <w:lang w:val="es-MX" w:eastAsia="x-none"/>
        </w:rPr>
      </w:pPr>
    </w:p>
    <w:p w14:paraId="77176FF8" w14:textId="77777777" w:rsidR="00965BFD" w:rsidRPr="00A45D99" w:rsidRDefault="00965BFD" w:rsidP="00965BFD">
      <w:pPr>
        <w:spacing w:after="0" w:line="276" w:lineRule="auto"/>
        <w:jc w:val="both"/>
        <w:rPr>
          <w:rFonts w:ascii="Verdana" w:hAnsi="Verdana" w:cs="Arial"/>
          <w:bCs/>
          <w:lang w:val="es-MX" w:eastAsia="x-none"/>
        </w:rPr>
      </w:pPr>
      <w:proofErr w:type="spellStart"/>
      <w:r w:rsidRPr="00A45D99">
        <w:rPr>
          <w:rFonts w:ascii="Verdana" w:eastAsia="Arial" w:hAnsi="Verdana" w:cs="Arial"/>
          <w:lang w:val="es-MX" w:eastAsia="es-ES" w:bidi="es-ES"/>
        </w:rPr>
        <w:t>iii</w:t>
      </w:r>
      <w:proofErr w:type="spellEnd"/>
      <w:r w:rsidRPr="00A45D99">
        <w:rPr>
          <w:rFonts w:ascii="Verdana" w:eastAsia="Arial" w:hAnsi="Verdana" w:cs="Arial"/>
          <w:lang w:val="es-MX" w:eastAsia="es-ES" w:bidi="es-ES"/>
        </w:rPr>
        <w:t xml:space="preserve">. </w:t>
      </w:r>
      <w:r w:rsidRPr="00A45D99">
        <w:rPr>
          <w:rFonts w:ascii="Verdana" w:hAnsi="Verdana" w:cs="Arial"/>
          <w:bCs/>
          <w:lang w:val="es-MX" w:eastAsia="x-none"/>
        </w:rPr>
        <w:t xml:space="preserve">El artículo 33 de la Ley 996 de 2005 señala expresamente a los destinatarios de la prohibición, en el sentido de que son </w:t>
      </w:r>
      <w:r>
        <w:rPr>
          <w:rFonts w:ascii="Verdana" w:hAnsi="Verdana" w:cs="Arial"/>
          <w:bCs/>
          <w:lang w:val="es-MX" w:eastAsia="x-none"/>
        </w:rPr>
        <w:t>“</w:t>
      </w:r>
      <w:r w:rsidRPr="00A45D99">
        <w:rPr>
          <w:rFonts w:ascii="Verdana" w:hAnsi="Verdana" w:cs="Arial"/>
          <w:bCs/>
          <w:lang w:val="es-MX" w:eastAsia="x-none"/>
        </w:rPr>
        <w:t>todos los entes del Estado</w:t>
      </w:r>
      <w:r>
        <w:rPr>
          <w:rFonts w:ascii="Verdana" w:hAnsi="Verdana" w:cs="Arial"/>
          <w:bCs/>
          <w:lang w:val="es-MX" w:eastAsia="x-none"/>
        </w:rPr>
        <w:t>”</w:t>
      </w:r>
      <w:r w:rsidRPr="00A45D99">
        <w:rPr>
          <w:rFonts w:ascii="Verdana" w:hAnsi="Verdana" w:cs="Arial"/>
          <w:bCs/>
          <w:lang w:val="es-MX" w:eastAsia="x-none"/>
        </w:rPr>
        <w:t>, expresión que contempla a los diferentes organismos o entidades autorizadas por la ley para suscribir contratos.</w:t>
      </w:r>
      <w:r w:rsidRPr="00A45D99">
        <w:rPr>
          <w:rFonts w:ascii="Verdana" w:hAnsi="Verdana" w:cs="Arial"/>
          <w:lang w:val="es-MX"/>
        </w:rPr>
        <w:t xml:space="preserve"> </w:t>
      </w:r>
      <w:r w:rsidRPr="00A45D99">
        <w:rPr>
          <w:rFonts w:ascii="Verdana" w:hAnsi="Verdana" w:cs="Arial"/>
          <w:bCs/>
          <w:lang w:val="es-MX" w:eastAsia="x-none"/>
        </w:rPr>
        <w:t xml:space="preserve">En efecto, tal como lo ha sostenido el Consejo de Estado, el vocablo </w:t>
      </w:r>
      <w:r>
        <w:rPr>
          <w:rFonts w:ascii="Verdana" w:hAnsi="Verdana" w:cs="Arial"/>
          <w:bCs/>
          <w:lang w:val="es-MX" w:eastAsia="x-none"/>
        </w:rPr>
        <w:t>“</w:t>
      </w:r>
      <w:r w:rsidRPr="00A45D99">
        <w:rPr>
          <w:rFonts w:ascii="Verdana" w:hAnsi="Verdana" w:cs="Arial"/>
          <w:bCs/>
          <w:lang w:val="es-MX" w:eastAsia="x-none"/>
        </w:rPr>
        <w:t>todos</w:t>
      </w:r>
      <w:r>
        <w:rPr>
          <w:rFonts w:ascii="Verdana" w:hAnsi="Verdana" w:cs="Arial"/>
          <w:bCs/>
          <w:lang w:val="es-MX" w:eastAsia="x-none"/>
        </w:rPr>
        <w:t>”</w:t>
      </w:r>
      <w:r w:rsidRPr="00A45D99">
        <w:rPr>
          <w:rFonts w:ascii="Verdana" w:hAnsi="Verdana" w:cs="Arial"/>
          <w:bCs/>
          <w:lang w:val="es-MX" w:eastAsia="x-none"/>
        </w:rPr>
        <w:t xml:space="preserve"> utilizado por el legislador comprende</w:t>
      </w:r>
      <w:r w:rsidRPr="00A45D99">
        <w:rPr>
          <w:rFonts w:ascii="Verdana" w:hAnsi="Verdana" w:cs="Arial"/>
          <w:lang w:val="es-MX"/>
        </w:rPr>
        <w:t xml:space="preserve"> </w:t>
      </w:r>
      <w:r w:rsidRPr="00A45D99">
        <w:rPr>
          <w:rFonts w:ascii="Verdana" w:hAnsi="Verdana" w:cs="Arial"/>
          <w:bCs/>
          <w:lang w:val="es-MX" w:eastAsia="x-none"/>
        </w:rPr>
        <w:t xml:space="preserve">a la totalidad de los entes del Estado, sin distinción del régimen jurídico, forma de organización </w:t>
      </w:r>
      <w:r w:rsidRPr="00A45D99">
        <w:rPr>
          <w:rFonts w:ascii="Verdana" w:hAnsi="Verdana" w:cs="Arial"/>
          <w:bCs/>
          <w:lang w:val="es-MX" w:eastAsia="x-none"/>
        </w:rPr>
        <w:lastRenderedPageBreak/>
        <w:t xml:space="preserve">o naturaleza, su pertenencia a una u otra rama del poder público o su autonomía, e incluso si las entidades estatales tienen régimen especial de contratación y están exceptuadas del ámbito de aplicación del Estatuto General de Contratación de la Administración Pública. El Consejo de Estado, en Concepto con radicado 1727 de fecha 20 de febrero de 2006, consideró que: </w:t>
      </w:r>
    </w:p>
    <w:p w14:paraId="592F7008" w14:textId="77777777" w:rsidR="00965BFD" w:rsidRPr="00A45D99" w:rsidRDefault="00965BFD" w:rsidP="00965BFD">
      <w:pPr>
        <w:spacing w:after="0" w:line="276" w:lineRule="auto"/>
        <w:ind w:firstLine="708"/>
        <w:jc w:val="both"/>
        <w:rPr>
          <w:rFonts w:ascii="Verdana" w:hAnsi="Verdana" w:cs="Arial"/>
          <w:bCs/>
          <w:lang w:val="es-MX" w:eastAsia="x-none"/>
        </w:rPr>
      </w:pPr>
    </w:p>
    <w:p w14:paraId="0BE9D553" w14:textId="77777777" w:rsidR="00965BFD" w:rsidRPr="00A45D99" w:rsidRDefault="00965BFD" w:rsidP="00965BFD">
      <w:pPr>
        <w:spacing w:after="0" w:line="240" w:lineRule="auto"/>
        <w:ind w:left="708" w:right="709"/>
        <w:jc w:val="both"/>
        <w:rPr>
          <w:rFonts w:ascii="Verdana" w:hAnsi="Verdana" w:cs="Arial"/>
          <w:bCs/>
          <w:sz w:val="20"/>
          <w:szCs w:val="20"/>
          <w:lang w:val="es-MX" w:eastAsia="es-CO"/>
        </w:rPr>
      </w:pPr>
      <w:r w:rsidRPr="00A45D99">
        <w:rPr>
          <w:rFonts w:ascii="Verdana" w:hAnsi="Verdana" w:cs="Arial"/>
          <w:bCs/>
          <w:sz w:val="20"/>
          <w:szCs w:val="20"/>
          <w:lang w:val="es-MX" w:eastAsia="x-none"/>
        </w:rPr>
        <w:t xml:space="preserve">“El artículo 33 de la ley 996 de 2005, </w:t>
      </w:r>
      <w:bookmarkStart w:id="15" w:name="_Hlk75787147"/>
      <w:r w:rsidRPr="00A45D99">
        <w:rPr>
          <w:rFonts w:ascii="Verdana" w:hAnsi="Verdana" w:cs="Arial"/>
          <w:bCs/>
          <w:sz w:val="20"/>
          <w:szCs w:val="20"/>
          <w:lang w:val="es-MX" w:eastAsia="x-none"/>
        </w:rPr>
        <w:t>efectivamente se aplica incluso a las entidades estatales con régimen especial de contratación y que están exceptuadas del ámbito de aplicación del Estatuto General de Contratación de la Administración Pública, como por ejemplo los prestadores de servicios públicos domiciliarios (empresas de servicios públicos oficiales y empresas industriales y comerciales del Estado) y a los municipios prestadores directos, incluyendo las excepciones contenidas en el segundo inciso de esta norma”</w:t>
      </w:r>
      <w:r w:rsidRPr="00A45D99">
        <w:rPr>
          <w:rFonts w:ascii="Verdana" w:hAnsi="Verdana" w:cs="Arial"/>
          <w:bCs/>
          <w:sz w:val="20"/>
          <w:szCs w:val="20"/>
          <w:vertAlign w:val="superscript"/>
          <w:lang w:val="es-MX" w:eastAsia="x-none"/>
        </w:rPr>
        <w:footnoteReference w:id="19"/>
      </w:r>
      <w:r w:rsidRPr="00A45D99">
        <w:rPr>
          <w:rFonts w:ascii="Verdana" w:hAnsi="Verdana" w:cs="Arial"/>
          <w:bCs/>
          <w:sz w:val="20"/>
          <w:szCs w:val="20"/>
          <w:lang w:val="es-MX" w:eastAsia="x-none"/>
        </w:rPr>
        <w:t>.</w:t>
      </w:r>
      <w:r w:rsidRPr="00A45D99">
        <w:rPr>
          <w:rFonts w:ascii="Verdana" w:hAnsi="Verdana" w:cs="Arial"/>
          <w:bCs/>
          <w:sz w:val="20"/>
          <w:szCs w:val="20"/>
          <w:lang w:val="es-MX" w:eastAsia="es-CO"/>
        </w:rPr>
        <w:t xml:space="preserve"> </w:t>
      </w:r>
    </w:p>
    <w:p w14:paraId="24A992A4" w14:textId="77777777" w:rsidR="00965BFD" w:rsidRPr="00A45D99" w:rsidRDefault="00965BFD" w:rsidP="00965BFD">
      <w:pPr>
        <w:spacing w:after="0" w:line="276" w:lineRule="auto"/>
        <w:ind w:firstLine="708"/>
        <w:jc w:val="both"/>
        <w:rPr>
          <w:rFonts w:ascii="Verdana" w:hAnsi="Verdana" w:cs="Arial"/>
          <w:bCs/>
          <w:lang w:val="es-MX" w:eastAsia="es-CO"/>
        </w:rPr>
      </w:pPr>
    </w:p>
    <w:p w14:paraId="186B6DFB" w14:textId="77777777" w:rsidR="00965BFD" w:rsidRPr="00A45D99" w:rsidRDefault="00965BFD" w:rsidP="00965BFD">
      <w:pPr>
        <w:spacing w:after="0" w:line="276" w:lineRule="auto"/>
        <w:ind w:firstLine="708"/>
        <w:jc w:val="both"/>
        <w:rPr>
          <w:rFonts w:ascii="Verdana" w:hAnsi="Verdana" w:cs="Arial"/>
          <w:lang w:val="es-MX"/>
        </w:rPr>
      </w:pPr>
      <w:r w:rsidRPr="00A45D99">
        <w:rPr>
          <w:rFonts w:ascii="Verdana" w:hAnsi="Verdana" w:cs="Arial"/>
          <w:bCs/>
          <w:lang w:val="es-MX" w:eastAsia="x-none"/>
        </w:rPr>
        <w:t xml:space="preserve">De igual forma, en Concepto con radicado 1738 de 6 de abril de 2006, esa misma Corporación manifestó que </w:t>
      </w:r>
      <w:r>
        <w:rPr>
          <w:rFonts w:ascii="Verdana" w:hAnsi="Verdana" w:cs="Arial"/>
          <w:bCs/>
          <w:lang w:val="es-MX" w:eastAsia="x-none"/>
        </w:rPr>
        <w:t>“</w:t>
      </w:r>
      <w:r w:rsidRPr="00A45D99">
        <w:rPr>
          <w:rFonts w:ascii="Verdana" w:hAnsi="Verdana" w:cs="Arial"/>
          <w:bCs/>
          <w:lang w:val="es-MX" w:eastAsia="x-none"/>
        </w:rPr>
        <w:t>Las restricciones de la Ley de Garantías en materia de contratación directa y celebración de convenios interadministrativos, se aplican a las empresas industriales y comerciales del Estado y a las Sociedades de Economía Mixta, salvo cuando la celebración de un convenio interadministrativo sea ordenada, para ambas partes, por el Legislador</w:t>
      </w:r>
      <w:r>
        <w:rPr>
          <w:rFonts w:ascii="Verdana" w:hAnsi="Verdana" w:cs="Arial"/>
          <w:bCs/>
          <w:lang w:val="es-MX" w:eastAsia="x-none"/>
        </w:rPr>
        <w:t>”</w:t>
      </w:r>
      <w:bookmarkStart w:id="16" w:name="_Hlk75758868"/>
      <w:bookmarkStart w:id="17" w:name="_Hlk75741220"/>
      <w:r w:rsidRPr="00A45D99">
        <w:rPr>
          <w:rFonts w:ascii="Verdana" w:hAnsi="Verdana" w:cs="Arial"/>
          <w:vertAlign w:val="superscript"/>
          <w:lang w:val="es-MX"/>
        </w:rPr>
        <w:footnoteReference w:id="20"/>
      </w:r>
      <w:bookmarkEnd w:id="16"/>
      <w:bookmarkEnd w:id="17"/>
      <w:r w:rsidRPr="00A45D99">
        <w:rPr>
          <w:rFonts w:ascii="Verdana" w:hAnsi="Verdana" w:cs="Arial"/>
          <w:bCs/>
          <w:lang w:val="es-MX" w:eastAsia="x-none"/>
        </w:rPr>
        <w:t>.</w:t>
      </w:r>
      <w:r w:rsidRPr="00A45D99">
        <w:rPr>
          <w:rFonts w:ascii="Verdana" w:hAnsi="Verdana" w:cs="Arial"/>
          <w:lang w:val="es-MX"/>
        </w:rPr>
        <w:t xml:space="preserve"> Sin embargo, debe precisarse el siguiente aspecto que distinguió la Sala de Consulta y Servicio Civil:</w:t>
      </w:r>
    </w:p>
    <w:p w14:paraId="6C66E5D6" w14:textId="77777777" w:rsidR="00965BFD" w:rsidRPr="00A45D99" w:rsidRDefault="00965BFD" w:rsidP="00965BFD">
      <w:pPr>
        <w:spacing w:after="0" w:line="276" w:lineRule="auto"/>
        <w:jc w:val="both"/>
        <w:rPr>
          <w:rFonts w:ascii="Verdana" w:hAnsi="Verdana" w:cs="Arial"/>
          <w:lang w:val="es-MX"/>
        </w:rPr>
      </w:pPr>
    </w:p>
    <w:p w14:paraId="428C30AA" w14:textId="77777777" w:rsidR="00965BFD" w:rsidRPr="00A45D99" w:rsidRDefault="00965BFD" w:rsidP="00965BFD">
      <w:pPr>
        <w:spacing w:after="0" w:line="240" w:lineRule="auto"/>
        <w:ind w:left="708" w:right="709"/>
        <w:jc w:val="both"/>
        <w:rPr>
          <w:rFonts w:ascii="Verdana" w:hAnsi="Verdana" w:cs="Arial"/>
          <w:sz w:val="20"/>
          <w:szCs w:val="20"/>
          <w:lang w:val="es-MX"/>
        </w:rPr>
      </w:pPr>
      <w:bookmarkStart w:id="19" w:name="_Hlk75811446"/>
      <w:r w:rsidRPr="00A45D99">
        <w:rPr>
          <w:rFonts w:ascii="Verdana" w:hAnsi="Verdana" w:cs="Arial"/>
          <w:sz w:val="20"/>
          <w:szCs w:val="20"/>
          <w:lang w:val="es-MX"/>
        </w:rPr>
        <w:lastRenderedPageBreak/>
        <w:t>“En el concepto No. 1727 de fecha 20 de febrero de 2006, ésta Sala distinguió dos clases de contratos en relación con las empresas de servicios públicos domiciliarios: unos, en los que la posición de la empresa es la de consumidora de las prestaciones objeto del contrato, que utiliza para la prestación de los servicios a su cargo, y los otros, en los que la empresa entrega esos servicios a los usuarios, conforme a unas reglas uniformes para todos ellos y sin que haya privilegios o tratos desiguales. En los primeros contratos, es claro que la empresa debe adquirir esos bienes previa licitación pública, según se expuso anteriormente, pero en el segundo caso, las empresas no pueden dejar de entregar los servicios públicos a su cargo a nuevas personas, ni dejar de renovar los contratos existentes, pues significaría la parálisis de una actividad propia de la administración, que incluso podría desconocer los derechos fundamentales</w:t>
      </w:r>
      <w:bookmarkEnd w:id="19"/>
      <w:r w:rsidRPr="00A45D99">
        <w:rPr>
          <w:rFonts w:ascii="Verdana" w:hAnsi="Verdana" w:cs="Arial"/>
          <w:sz w:val="20"/>
          <w:szCs w:val="20"/>
          <w:lang w:val="es-MX"/>
        </w:rPr>
        <w:t>”</w:t>
      </w:r>
      <w:r w:rsidRPr="00A45D99">
        <w:rPr>
          <w:rFonts w:ascii="Verdana" w:hAnsi="Verdana" w:cs="Arial"/>
          <w:sz w:val="20"/>
          <w:szCs w:val="20"/>
          <w:vertAlign w:val="superscript"/>
          <w:lang w:val="es-MX"/>
        </w:rPr>
        <w:footnoteReference w:id="21"/>
      </w:r>
      <w:r w:rsidRPr="00A45D99">
        <w:rPr>
          <w:rFonts w:ascii="Verdana" w:hAnsi="Verdana" w:cs="Arial"/>
          <w:bCs/>
          <w:sz w:val="20"/>
          <w:szCs w:val="20"/>
          <w:lang w:val="es-MX" w:eastAsia="x-none"/>
        </w:rPr>
        <w:t>.</w:t>
      </w:r>
    </w:p>
    <w:p w14:paraId="1733AF38" w14:textId="77777777" w:rsidR="00965BFD" w:rsidRPr="00A45D99" w:rsidRDefault="00965BFD" w:rsidP="00965BFD">
      <w:pPr>
        <w:spacing w:after="0" w:line="276" w:lineRule="auto"/>
        <w:jc w:val="both"/>
        <w:rPr>
          <w:rFonts w:ascii="Verdana" w:hAnsi="Verdana" w:cs="Arial"/>
          <w:lang w:val="es-MX"/>
        </w:rPr>
      </w:pPr>
    </w:p>
    <w:p w14:paraId="34D5B96E" w14:textId="77777777" w:rsidR="00965BFD" w:rsidRPr="00A45D99" w:rsidRDefault="00965BFD" w:rsidP="00965BFD">
      <w:pPr>
        <w:spacing w:after="120" w:line="276" w:lineRule="auto"/>
        <w:ind w:firstLine="709"/>
        <w:jc w:val="both"/>
        <w:rPr>
          <w:rFonts w:ascii="Verdana" w:hAnsi="Verdana" w:cs="Arial"/>
          <w:bCs/>
          <w:lang w:val="es-MX" w:eastAsia="x-none"/>
        </w:rPr>
      </w:pPr>
      <w:r w:rsidRPr="00A45D99">
        <w:rPr>
          <w:rFonts w:ascii="Verdana" w:hAnsi="Verdana" w:cs="Arial"/>
          <w:lang w:val="es-MX"/>
        </w:rPr>
        <w:t>Aplicando este razonamiento,</w:t>
      </w:r>
      <w:bookmarkStart w:id="20" w:name="_Hlk75811096"/>
      <w:r w:rsidRPr="00A45D99">
        <w:rPr>
          <w:rFonts w:ascii="Verdana" w:hAnsi="Verdana" w:cs="Arial"/>
          <w:lang w:val="es-MX"/>
        </w:rPr>
        <w:t xml:space="preserve"> se tiene que las empresas industriales y comerciales del estado y a las empresas de servicios públicos oficiales y mixtas no pueden adquirir los suministros de bienes y servicios necesarios para la realización de su actividad por contratación directa sino por mecanismos competitivos que impliquen convocatoria pública y la posibilidad de pluralidad de oferentes, pero, </w:t>
      </w:r>
      <w:r>
        <w:rPr>
          <w:rFonts w:ascii="Verdana" w:hAnsi="Verdana" w:cs="Arial"/>
          <w:lang w:val="es-MX"/>
        </w:rPr>
        <w:t>“</w:t>
      </w:r>
      <w:r w:rsidRPr="00A45D99">
        <w:rPr>
          <w:rFonts w:ascii="Verdana" w:hAnsi="Verdana" w:cs="Arial"/>
          <w:lang w:val="es-MX"/>
        </w:rPr>
        <w:t>es obvio que si una de estas entidades va a prestar un servicio a un particular, lo puede hacer, pues estos se ofrecen a toda la comunidad en condiciones de igualdad. Si se supusiera que está prohibida su contratación directa, significaría la parálisis de tal actividad de interés público, lo que de ninguna manera es lo querido por la ley 996 de 2005</w:t>
      </w:r>
      <w:bookmarkEnd w:id="20"/>
      <w:r>
        <w:rPr>
          <w:rFonts w:ascii="Verdana" w:hAnsi="Verdana" w:cs="Arial"/>
          <w:lang w:val="es-MX"/>
        </w:rPr>
        <w:t>”</w:t>
      </w:r>
      <w:r w:rsidRPr="00A45D99">
        <w:rPr>
          <w:rFonts w:ascii="Verdana" w:hAnsi="Verdana" w:cs="Arial"/>
          <w:vertAlign w:val="superscript"/>
          <w:lang w:val="es-MX"/>
        </w:rPr>
        <w:t xml:space="preserve"> </w:t>
      </w:r>
      <w:r w:rsidRPr="00A45D99">
        <w:rPr>
          <w:rFonts w:ascii="Verdana" w:hAnsi="Verdana" w:cs="Arial"/>
          <w:vertAlign w:val="superscript"/>
          <w:lang w:val="es-MX"/>
        </w:rPr>
        <w:footnoteReference w:id="22"/>
      </w:r>
      <w:r w:rsidRPr="00A45D99">
        <w:rPr>
          <w:rFonts w:ascii="Verdana" w:hAnsi="Verdana" w:cs="Arial"/>
          <w:lang w:val="es-MX"/>
        </w:rPr>
        <w:t>.</w:t>
      </w:r>
    </w:p>
    <w:p w14:paraId="063792BF" w14:textId="77777777" w:rsidR="00965BFD" w:rsidRDefault="00965BFD" w:rsidP="00965BFD">
      <w:pPr>
        <w:spacing w:after="0" w:line="276" w:lineRule="auto"/>
        <w:ind w:firstLine="708"/>
        <w:jc w:val="both"/>
        <w:rPr>
          <w:rFonts w:ascii="Verdana" w:hAnsi="Verdana" w:cs="Arial"/>
          <w:bCs/>
          <w:lang w:val="es-MX" w:eastAsia="x-none"/>
        </w:rPr>
      </w:pPr>
      <w:bookmarkStart w:id="21" w:name="_Hlk77237229"/>
      <w:bookmarkEnd w:id="15"/>
      <w:r w:rsidRPr="00A45D99">
        <w:rPr>
          <w:rFonts w:ascii="Verdana" w:hAnsi="Verdana" w:cs="Arial"/>
          <w:lang w:val="es-MX"/>
        </w:rPr>
        <w:t>Por lo tanto, la restricción prevista en la Ley 996 de 200</w:t>
      </w:r>
      <w:bookmarkStart w:id="22" w:name="_Hlk75741539"/>
      <w:r w:rsidRPr="00A45D99">
        <w:rPr>
          <w:rFonts w:ascii="Verdana" w:hAnsi="Verdana" w:cs="Arial"/>
          <w:lang w:val="es-MX"/>
        </w:rPr>
        <w:t xml:space="preserve">5, </w:t>
      </w:r>
      <w:r w:rsidRPr="00A45D99">
        <w:rPr>
          <w:rFonts w:ascii="Verdana" w:hAnsi="Verdana" w:cs="Arial"/>
          <w:bCs/>
          <w:lang w:val="es-MX" w:eastAsia="x-none"/>
        </w:rPr>
        <w:t>teniendo en cuenta la finalidad de la ley de garantías electorales, cobija a cualquier ente público que pueda a través de la contratación directa romper el equilibrio entre los candidatos en desarrollo de las elecciones presidenciales. Tampoco existe un supuesto de exoneración a la prohibición por tener un régimen especial de los actos o contratos, pues, la posibilidad de que los entes del Estado utilicen la contratación con fines políticos, esto es, con la intención de influir a los electores y alterar la voluntad popular en las contiendas electorales, se puede presentar tanto en la contratación regulada por la Ley 80 de 1993 como en la regida por el Derecho Privado.</w:t>
      </w:r>
    </w:p>
    <w:p w14:paraId="1D055E70" w14:textId="77777777" w:rsidR="00965BFD" w:rsidRDefault="00965BFD" w:rsidP="00965BFD">
      <w:pPr>
        <w:spacing w:after="0" w:line="276" w:lineRule="auto"/>
        <w:ind w:firstLine="708"/>
        <w:jc w:val="both"/>
        <w:rPr>
          <w:rFonts w:ascii="Verdana" w:hAnsi="Verdana" w:cs="Arial"/>
          <w:bCs/>
          <w:lang w:val="es-MX" w:eastAsia="x-none"/>
        </w:rPr>
      </w:pPr>
    </w:p>
    <w:p w14:paraId="7204B93D" w14:textId="77777777" w:rsidR="00965BFD" w:rsidRPr="0004207F" w:rsidRDefault="00965BFD" w:rsidP="00965BFD">
      <w:pPr>
        <w:spacing w:line="276" w:lineRule="auto"/>
        <w:jc w:val="both"/>
        <w:rPr>
          <w:rFonts w:ascii="Verdana" w:hAnsi="Verdana" w:cs="Arial"/>
          <w:bCs/>
          <w:lang w:val="es-MX" w:eastAsia="x-none"/>
        </w:rPr>
      </w:pPr>
      <w:proofErr w:type="spellStart"/>
      <w:r w:rsidRPr="0004207F">
        <w:rPr>
          <w:rFonts w:ascii="Verdana" w:hAnsi="Verdana" w:cs="Arial"/>
          <w:bCs/>
          <w:lang w:val="es-MX" w:eastAsia="x-none"/>
        </w:rPr>
        <w:t>iv</w:t>
      </w:r>
      <w:proofErr w:type="spellEnd"/>
      <w:r w:rsidRPr="0004207F">
        <w:rPr>
          <w:rFonts w:ascii="Verdana" w:hAnsi="Verdana" w:cs="Arial"/>
          <w:bCs/>
          <w:lang w:val="es-MX" w:eastAsia="x-none"/>
        </w:rPr>
        <w:t>. Es importante reiterar que el segundo inciso del artículo 33 de la Ley de Garantías Electorales consagró las excepciones aplicables a la prohibición de contratación directa establecida en el mismo artículo. La Sala de Consulta y Servicio Civil del Consejo de Estado, en Concepto del 4 de febrero de 2010, explica que “[…] Las excepciones establecidas en los artículos 32 y 33 en comento, guardan relación, exclusivamente, con algunos servicios públicos que por su naturaleza no admiten postergaciones en la atención de sus necesidades de personal, bienes y servicios [...]”</w:t>
      </w:r>
      <w:r w:rsidRPr="0004207F">
        <w:rPr>
          <w:rStyle w:val="Refdenotaalpie"/>
          <w:rFonts w:ascii="Verdana" w:hAnsi="Verdana" w:cs="Arial"/>
          <w:lang w:val="es-ES_tradnl" w:eastAsia="es-CO"/>
        </w:rPr>
        <w:footnoteReference w:id="23"/>
      </w:r>
      <w:r w:rsidRPr="0004207F">
        <w:rPr>
          <w:rFonts w:ascii="Verdana" w:hAnsi="Verdana" w:cs="Arial"/>
          <w:bCs/>
          <w:lang w:val="es-MX" w:eastAsia="x-none"/>
        </w:rPr>
        <w:t>.</w:t>
      </w:r>
    </w:p>
    <w:p w14:paraId="3A434F19" w14:textId="77777777" w:rsidR="00965BFD" w:rsidRPr="0004207F" w:rsidRDefault="00965BFD" w:rsidP="00965BFD">
      <w:pPr>
        <w:shd w:val="clear" w:color="auto" w:fill="FFFFFF" w:themeFill="background1"/>
        <w:spacing w:line="276" w:lineRule="auto"/>
        <w:ind w:firstLine="709"/>
        <w:jc w:val="both"/>
        <w:rPr>
          <w:rFonts w:ascii="Verdana" w:hAnsi="Verdana" w:cs="Arial"/>
          <w:lang w:val="es-ES" w:eastAsia="es-CO"/>
        </w:rPr>
      </w:pPr>
      <w:r w:rsidRPr="62118079">
        <w:rPr>
          <w:rFonts w:ascii="Verdana" w:hAnsi="Verdana" w:cs="Arial"/>
          <w:lang w:val="es-ES" w:eastAsia="es-CO"/>
        </w:rPr>
        <w:t xml:space="preserve">A su vez, la Corte Constitucional, al analizar la constitucionalidad de la Ley de Garantías Electorales, consideró que las prohibiciones consagradas en los artículos 32 y 33 de la ley mencionada no pueden ir en detrimento de intereses públicos. Por lo anterior, la Alta Corte consideró que las excepciones para la prohibición de contratación se encontraban justificadas, declarando su </w:t>
      </w:r>
      <w:proofErr w:type="spellStart"/>
      <w:r w:rsidRPr="62118079">
        <w:rPr>
          <w:rFonts w:ascii="Verdana" w:hAnsi="Verdana" w:cs="Arial"/>
          <w:lang w:val="es-ES" w:eastAsia="es-CO"/>
        </w:rPr>
        <w:t>exequibilidad</w:t>
      </w:r>
      <w:proofErr w:type="spellEnd"/>
      <w:r w:rsidRPr="62118079">
        <w:rPr>
          <w:rFonts w:ascii="Verdana" w:hAnsi="Verdana" w:cs="Arial"/>
          <w:lang w:val="es-ES" w:eastAsia="es-CO"/>
        </w:rPr>
        <w:t>. Así, por ejemplo, la Corte Constitucional explicó que “[…] las excepciones de limitación protegen diversos tipos de urgencias de defensa, salud, educación, infraestructura vial y de servicios públicos y ecológicas tienden a no limitar desproporcionadamente la acción del Estado en el cumplimiento de sus fines, en procura de la igualdad entre candidatos como garantía electoral”</w:t>
      </w:r>
      <w:r w:rsidRPr="62118079">
        <w:rPr>
          <w:rStyle w:val="Refdenotaalpie"/>
          <w:rFonts w:ascii="Verdana" w:hAnsi="Verdana" w:cs="Arial"/>
          <w:lang w:val="es-ES" w:eastAsia="es-CO"/>
        </w:rPr>
        <w:footnoteReference w:id="24"/>
      </w:r>
      <w:r w:rsidRPr="62118079">
        <w:rPr>
          <w:rFonts w:ascii="Verdana" w:hAnsi="Verdana" w:cs="Arial"/>
          <w:lang w:val="es-ES" w:eastAsia="es-CO"/>
        </w:rPr>
        <w:t xml:space="preserve">. </w:t>
      </w:r>
    </w:p>
    <w:p w14:paraId="433E4853" w14:textId="77777777" w:rsidR="00965BFD" w:rsidRPr="0004207F" w:rsidRDefault="00965BFD" w:rsidP="00965BFD">
      <w:pPr>
        <w:shd w:val="clear" w:color="auto" w:fill="FFFFFF"/>
        <w:spacing w:line="276" w:lineRule="auto"/>
        <w:ind w:firstLine="709"/>
        <w:jc w:val="both"/>
        <w:rPr>
          <w:rFonts w:ascii="Verdana" w:hAnsi="Verdana" w:cs="Arial"/>
          <w:lang w:val="es-ES_tradnl" w:eastAsia="es-CO"/>
        </w:rPr>
      </w:pPr>
      <w:r w:rsidRPr="0004207F">
        <w:rPr>
          <w:rFonts w:ascii="Verdana" w:hAnsi="Verdana" w:cs="Arial"/>
          <w:bCs/>
          <w:lang w:val="es-ES_tradnl"/>
        </w:rPr>
        <w:t>Por tanto, las excepciones a la prohibición contenida en el inciso segundo de artículo 33 de la ley de garantías electorales tienen por finalidad garantizar la prestación ininterrumpida de algunos servicios públicos que, dada su importancia en el orden interno, se verían irrazonablemente afectados por la restricción explicada. Lo anterior implica que las excepciones al artículo 33 en comento deben interpretarse y aplicarse de manera restrictiva. En otras palabras, que no sería factible hacer interpretaciones extensivas para incluir otros supuestos de hecho similares a las circunstancias previstas en dicho artículo, pues el carácter taxativo implica que solo en los eventos consagrados expresamente en la norma permiten que ciertas entidades estatales se vean exceptuadas de la prohibición.</w:t>
      </w:r>
    </w:p>
    <w:p w14:paraId="4769749D" w14:textId="77777777" w:rsidR="00965BFD" w:rsidRPr="0004207F" w:rsidRDefault="00965BFD" w:rsidP="00965BFD">
      <w:pPr>
        <w:spacing w:line="276" w:lineRule="auto"/>
        <w:ind w:firstLine="708"/>
        <w:jc w:val="both"/>
        <w:rPr>
          <w:rFonts w:ascii="Verdana" w:eastAsia="Calibri" w:hAnsi="Verdana" w:cs="Arial"/>
        </w:rPr>
      </w:pPr>
      <w:r w:rsidRPr="0004207F">
        <w:rPr>
          <w:rFonts w:ascii="Verdana" w:hAnsi="Verdana" w:cs="Arial"/>
          <w:bCs/>
          <w:lang w:val="es-MX" w:eastAsia="x-none"/>
        </w:rPr>
        <w:t>Entre las excepciones del artículo en comento se encuentran “[…] l</w:t>
      </w:r>
      <w:r w:rsidRPr="0004207F">
        <w:rPr>
          <w:rFonts w:ascii="Verdana" w:hAnsi="Verdana" w:cs="Arial"/>
          <w:bCs/>
          <w:lang w:eastAsia="x-none"/>
        </w:rPr>
        <w:t>os requeridos para cubrir las emergencias educativas, sanitarias y desastres […]</w:t>
      </w:r>
      <w:r w:rsidRPr="0004207F">
        <w:rPr>
          <w:rFonts w:ascii="Verdana" w:hAnsi="Verdana" w:cs="Arial"/>
          <w:bCs/>
          <w:lang w:val="es-MX" w:eastAsia="x-none"/>
        </w:rPr>
        <w:t>”</w:t>
      </w:r>
      <w:r w:rsidRPr="0004207F">
        <w:rPr>
          <w:rFonts w:ascii="Verdana" w:eastAsia="Calibri" w:hAnsi="Verdana" w:cs="Arial"/>
        </w:rPr>
        <w:t xml:space="preserve">. </w:t>
      </w:r>
      <w:r w:rsidRPr="0004207F">
        <w:rPr>
          <w:rFonts w:ascii="Verdana" w:eastAsia="Calibri" w:hAnsi="Verdana" w:cs="Arial"/>
        </w:rPr>
        <w:lastRenderedPageBreak/>
        <w:t xml:space="preserve">Sobre el alcance de estas excepciones, es necesario tener en cuenta que el </w:t>
      </w:r>
      <w:r w:rsidRPr="0004207F">
        <w:rPr>
          <w:rFonts w:ascii="Verdana" w:eastAsia="Calibri" w:hAnsi="Verdana" w:cs="Arial"/>
          <w:bCs/>
          <w:color w:val="000000" w:themeColor="text1"/>
        </w:rPr>
        <w:t xml:space="preserve">artículo 28 del Código Civil dispone que “Las palabras de la ley se entenderán en su sentido natural y obvio, según el uso general de las mismas palabras; pero cuando el legislador las haya definido expresamente para ciertas materias, se les dará en éstas su significado legal”; igualmente, el artículo 29 </w:t>
      </w:r>
      <w:r w:rsidRPr="0004207F">
        <w:rPr>
          <w:rFonts w:ascii="Verdana" w:eastAsia="Calibri" w:hAnsi="Verdana" w:cs="Arial"/>
          <w:bCs/>
          <w:i/>
          <w:iCs/>
          <w:color w:val="000000" w:themeColor="text1"/>
        </w:rPr>
        <w:t>ibidem</w:t>
      </w:r>
      <w:r w:rsidRPr="0004207F">
        <w:rPr>
          <w:rFonts w:ascii="Verdana" w:eastAsia="Calibri" w:hAnsi="Verdana" w:cs="Arial"/>
          <w:bCs/>
          <w:color w:val="000000" w:themeColor="text1"/>
        </w:rPr>
        <w:t xml:space="preserve"> prescribe lo siguiente: “Las palabras técnicas de toda ciencia o arte se tomarán en el sentido que les den los que profesan la misma ciencia o arte; a menos que aparezca claramente que se han formado en sentido diverso”</w:t>
      </w:r>
      <w:r w:rsidRPr="0004207F">
        <w:rPr>
          <w:rStyle w:val="Refdenotaalpie"/>
          <w:rFonts w:ascii="Verdana" w:eastAsia="Calibri" w:hAnsi="Verdana" w:cs="Arial"/>
          <w:bCs/>
          <w:color w:val="000000" w:themeColor="text1"/>
        </w:rPr>
        <w:footnoteReference w:id="25"/>
      </w:r>
      <w:r w:rsidRPr="0004207F">
        <w:rPr>
          <w:rFonts w:ascii="Verdana" w:eastAsia="Calibri" w:hAnsi="Verdana" w:cs="Arial"/>
          <w:bCs/>
          <w:color w:val="000000" w:themeColor="text1"/>
        </w:rPr>
        <w:t>.</w:t>
      </w:r>
    </w:p>
    <w:p w14:paraId="33AB8A6C" w14:textId="77777777" w:rsidR="00965BFD" w:rsidRPr="0004207F" w:rsidRDefault="00965BFD" w:rsidP="00965BFD">
      <w:pPr>
        <w:spacing w:line="276" w:lineRule="auto"/>
        <w:jc w:val="both"/>
        <w:rPr>
          <w:rFonts w:ascii="Verdana" w:eastAsia="Calibri" w:hAnsi="Verdana" w:cs="Arial"/>
          <w:bCs/>
          <w:color w:val="000000" w:themeColor="text1"/>
        </w:rPr>
      </w:pPr>
      <w:r w:rsidRPr="0004207F">
        <w:rPr>
          <w:rFonts w:ascii="Verdana" w:eastAsia="Calibri" w:hAnsi="Verdana" w:cs="Arial"/>
          <w:bCs/>
          <w:color w:val="000000" w:themeColor="text1"/>
        </w:rPr>
        <w:tab/>
        <w:t xml:space="preserve">Dentro de este marco, el inciso primero del artículo 69 de la Ley 1753 de 2015 dispone que “El Ministerio de Salud y Protección Social (MSPS) podrá declarar la emergencia sanitaria y/o eventos catastróficos, cuando se presenten situaciones por riesgo de epidemia, epidemia declarada, insuficiencia o desabastecimiento de bienes o servicios de salud o eventos catastróficos que afecten la salud colectiva, u otros cuya magnitud supere la capacidad de adaptación de la comunidad en la que aquel se produce y que la afecten en forma masiva e indiscriminada generando la necesidad de ayuda externa”. </w:t>
      </w:r>
    </w:p>
    <w:p w14:paraId="56EA0D7A" w14:textId="77777777" w:rsidR="00965BFD" w:rsidRPr="00D93A6C" w:rsidRDefault="00965BFD" w:rsidP="00965BFD">
      <w:pPr>
        <w:spacing w:after="120" w:line="276" w:lineRule="auto"/>
        <w:jc w:val="both"/>
        <w:rPr>
          <w:rFonts w:ascii="Verdana" w:eastAsia="Calibri" w:hAnsi="Verdana" w:cs="Arial"/>
          <w:lang w:val="es-ES"/>
        </w:rPr>
      </w:pPr>
      <w:r w:rsidRPr="0004207F">
        <w:rPr>
          <w:rFonts w:ascii="Verdana" w:eastAsia="Calibri" w:hAnsi="Verdana" w:cs="Arial"/>
          <w:bCs/>
          <w:color w:val="000000" w:themeColor="text1"/>
        </w:rPr>
        <w:tab/>
        <w:t xml:space="preserve">Asimismo, </w:t>
      </w:r>
      <w:r>
        <w:rPr>
          <w:rFonts w:ascii="Verdana" w:eastAsia="Calibri" w:hAnsi="Verdana" w:cs="Arial"/>
          <w:lang w:val="es-ES"/>
        </w:rPr>
        <w:t>e</w:t>
      </w:r>
      <w:r w:rsidRPr="3683B926">
        <w:rPr>
          <w:rFonts w:ascii="Verdana" w:eastAsia="Calibri" w:hAnsi="Verdana" w:cs="Arial"/>
          <w:lang w:val="es-ES"/>
        </w:rPr>
        <w:t>l artículo 42 de la Ley 80 de 1993 dispone que la urgencia manifiesta se declara, entre otras tres (3) circunstancias, con la finalidad de “[…] conjurar situaciones excepcionales relacionadas con hechos de calamidad o constitutivos de fuerza mayor o desastre que demanden actuaciones inmediatas […]”.</w:t>
      </w:r>
      <w:r>
        <w:rPr>
          <w:rFonts w:ascii="Verdana" w:eastAsia="Calibri" w:hAnsi="Verdana" w:cs="Arial"/>
          <w:lang w:val="es-ES"/>
        </w:rPr>
        <w:t xml:space="preserve"> E</w:t>
      </w:r>
      <w:r w:rsidRPr="3683B926">
        <w:rPr>
          <w:rFonts w:ascii="Verdana" w:eastAsia="Calibri" w:hAnsi="Verdana" w:cs="Arial"/>
          <w:lang w:val="es-ES"/>
        </w:rPr>
        <w:t xml:space="preserve">n la medida en que la norma utiliza la conjunción “o”, en principio asimilaría la </w:t>
      </w:r>
      <w:r w:rsidRPr="3683B926">
        <w:rPr>
          <w:rFonts w:ascii="Verdana" w:eastAsia="Calibri" w:hAnsi="Verdana" w:cs="Arial"/>
          <w:i/>
          <w:lang w:val="es-ES"/>
        </w:rPr>
        <w:t>calamidad</w:t>
      </w:r>
      <w:r w:rsidRPr="3683B926">
        <w:rPr>
          <w:rFonts w:ascii="Verdana" w:eastAsia="Calibri" w:hAnsi="Verdana" w:cs="Arial"/>
          <w:lang w:val="es-ES"/>
        </w:rPr>
        <w:t xml:space="preserve"> y el </w:t>
      </w:r>
      <w:r w:rsidRPr="3683B926">
        <w:rPr>
          <w:rFonts w:ascii="Verdana" w:eastAsia="Calibri" w:hAnsi="Verdana" w:cs="Arial"/>
          <w:i/>
          <w:lang w:val="es-ES"/>
        </w:rPr>
        <w:t xml:space="preserve">desastre </w:t>
      </w:r>
      <w:r w:rsidRPr="3683B926">
        <w:rPr>
          <w:rFonts w:ascii="Verdana" w:eastAsia="Calibri" w:hAnsi="Verdana" w:cs="Arial"/>
          <w:lang w:val="es-ES"/>
        </w:rPr>
        <w:t xml:space="preserve">con la </w:t>
      </w:r>
      <w:r w:rsidRPr="3683B926">
        <w:rPr>
          <w:rFonts w:ascii="Verdana" w:eastAsia="Calibri" w:hAnsi="Verdana" w:cs="Arial"/>
          <w:i/>
          <w:lang w:val="es-ES"/>
        </w:rPr>
        <w:t>fuerza mayor</w:t>
      </w:r>
      <w:r w:rsidRPr="3683B926">
        <w:rPr>
          <w:rFonts w:ascii="Verdana" w:eastAsia="Calibri" w:hAnsi="Verdana" w:cs="Arial"/>
          <w:lang w:val="es-ES"/>
        </w:rPr>
        <w:t xml:space="preserve"> o el </w:t>
      </w:r>
      <w:r w:rsidRPr="3683B926">
        <w:rPr>
          <w:rFonts w:ascii="Verdana" w:eastAsia="Calibri" w:hAnsi="Verdana" w:cs="Arial"/>
          <w:i/>
          <w:lang w:val="es-ES"/>
        </w:rPr>
        <w:t>caso fortuito</w:t>
      </w:r>
      <w:r w:rsidRPr="3683B926">
        <w:rPr>
          <w:rFonts w:ascii="Verdana" w:eastAsia="Calibri" w:hAnsi="Verdana" w:cs="Arial"/>
          <w:lang w:val="es-ES"/>
        </w:rPr>
        <w:t xml:space="preserve">. </w:t>
      </w:r>
    </w:p>
    <w:p w14:paraId="6C13DCA8" w14:textId="77777777" w:rsidR="00965BFD" w:rsidRPr="00D93A6C" w:rsidRDefault="00965BFD" w:rsidP="00965BFD">
      <w:pPr>
        <w:spacing w:after="0" w:line="276" w:lineRule="auto"/>
        <w:ind w:firstLine="708"/>
        <w:jc w:val="both"/>
        <w:rPr>
          <w:rFonts w:ascii="Verdana" w:eastAsia="Calibri" w:hAnsi="Verdana" w:cs="Arial"/>
          <w:lang w:val="es-ES_tradnl"/>
        </w:rPr>
      </w:pPr>
      <w:r w:rsidRPr="00D93A6C">
        <w:rPr>
          <w:rFonts w:ascii="Verdana" w:eastAsia="Calibri" w:hAnsi="Verdana" w:cs="Arial"/>
          <w:lang w:val="es-ES_tradnl"/>
        </w:rPr>
        <w:lastRenderedPageBreak/>
        <w:t xml:space="preserve">Al respecto, el artículo 64 del Código Civil define como tal “[…] el imprevisto o que no es posible resistir, como un naufragio, un terremoto, </w:t>
      </w:r>
      <w:bookmarkStart w:id="23" w:name="_Hlk35871146"/>
      <w:r w:rsidRPr="00D93A6C">
        <w:rPr>
          <w:rFonts w:ascii="Verdana" w:eastAsia="Calibri" w:hAnsi="Verdana" w:cs="Arial"/>
          <w:lang w:val="es-ES_tradnl"/>
        </w:rPr>
        <w:t>el apresamiento de enemigos, los actos de autoridad ejercidos por un funcionario público</w:t>
      </w:r>
      <w:bookmarkEnd w:id="23"/>
      <w:r w:rsidRPr="00D93A6C">
        <w:rPr>
          <w:rFonts w:ascii="Verdana" w:eastAsia="Calibri" w:hAnsi="Verdana" w:cs="Arial"/>
          <w:lang w:val="es-ES_tradnl"/>
        </w:rPr>
        <w:t>, etc.”</w:t>
      </w:r>
      <w:r w:rsidRPr="00D93A6C">
        <w:rPr>
          <w:rFonts w:ascii="Verdana" w:eastAsia="Calibri" w:hAnsi="Verdana" w:cs="Arial"/>
          <w:sz w:val="21"/>
          <w:szCs w:val="21"/>
          <w:vertAlign w:val="superscript"/>
          <w:lang w:val="es-ES_tradnl"/>
        </w:rPr>
        <w:footnoteReference w:id="26"/>
      </w:r>
      <w:r w:rsidRPr="00D93A6C">
        <w:rPr>
          <w:rFonts w:ascii="Verdana" w:eastAsia="Calibri" w:hAnsi="Verdana" w:cs="Arial"/>
          <w:sz w:val="21"/>
          <w:szCs w:val="21"/>
          <w:lang w:val="es-ES_tradnl"/>
        </w:rPr>
        <w:t>.</w:t>
      </w:r>
      <w:r w:rsidRPr="00D93A6C">
        <w:rPr>
          <w:rFonts w:ascii="Verdana" w:eastAsia="Calibri" w:hAnsi="Verdana" w:cs="Arial"/>
          <w:lang w:val="es-ES_tradnl"/>
        </w:rPr>
        <w:t xml:space="preserve"> Cuando provienen de fenómenos de la naturaleza estas características confluyen con los conceptos de desastre y calamidad, los cuales –conforme al Diccionario de la Real Academia Española– constituyen una “Desgracia grande, suceso infeliz y lamentable” o “Desgracia o infortunio que alcanza a muchas personas”, respectivamente. Conforme al significado natural de las palabras, parece que la diferencia es el mayor alcance de la segunda respecto al primero. No obstante, además de la ocurrencia de desastres y calamidades que –aunque irresistibles– se presentan con cierto grado de previsibilidad o que, incluso, se originan en la actuación humana intencional, estos dos conceptos también los definió </w:t>
      </w:r>
      <w:bookmarkStart w:id="24" w:name="_Hlk35879271"/>
      <w:r w:rsidRPr="00D93A6C">
        <w:rPr>
          <w:rFonts w:ascii="Verdana" w:eastAsia="Calibri" w:hAnsi="Verdana" w:cs="Arial"/>
          <w:lang w:val="es-ES_tradnl"/>
        </w:rPr>
        <w:t>el artículo 4, numerales 5 y 8, de la Ley 1523 de 2012</w:t>
      </w:r>
      <w:bookmarkEnd w:id="24"/>
      <w:r w:rsidRPr="00D93A6C">
        <w:rPr>
          <w:rFonts w:ascii="Verdana" w:eastAsia="Calibri" w:hAnsi="Verdana" w:cs="Arial"/>
          <w:lang w:val="es-ES_tradnl"/>
        </w:rPr>
        <w:t>:</w:t>
      </w:r>
    </w:p>
    <w:p w14:paraId="510502FB" w14:textId="77777777" w:rsidR="00965BFD" w:rsidRPr="00D93A6C" w:rsidRDefault="00965BFD" w:rsidP="00965BFD">
      <w:pPr>
        <w:spacing w:after="0" w:line="276" w:lineRule="auto"/>
        <w:ind w:firstLine="708"/>
        <w:jc w:val="both"/>
        <w:rPr>
          <w:rFonts w:ascii="Verdana" w:eastAsia="Calibri" w:hAnsi="Verdana" w:cs="Arial"/>
          <w:lang w:val="es-ES_tradnl"/>
        </w:rPr>
      </w:pPr>
    </w:p>
    <w:p w14:paraId="48502B07" w14:textId="77777777" w:rsidR="00965BFD" w:rsidRPr="00DB5641" w:rsidRDefault="00965BFD" w:rsidP="00965BFD">
      <w:pPr>
        <w:spacing w:after="0" w:line="240" w:lineRule="auto"/>
        <w:ind w:left="709" w:right="709"/>
        <w:jc w:val="both"/>
        <w:rPr>
          <w:rFonts w:ascii="Verdana" w:eastAsia="Calibri" w:hAnsi="Verdana" w:cs="Arial"/>
          <w:sz w:val="20"/>
          <w:szCs w:val="20"/>
          <w:lang w:val="es-ES_tradnl"/>
        </w:rPr>
      </w:pPr>
      <w:r w:rsidRPr="00DB5641">
        <w:rPr>
          <w:rFonts w:ascii="Verdana" w:eastAsia="Calibri" w:hAnsi="Verdana" w:cs="Arial"/>
          <w:sz w:val="20"/>
          <w:szCs w:val="20"/>
          <w:lang w:val="es-ES_tradnl"/>
        </w:rPr>
        <w:t>“Art. 4. Para efectos de la presente ley se entenderá por:</w:t>
      </w:r>
    </w:p>
    <w:p w14:paraId="468F8F33" w14:textId="77777777" w:rsidR="00965BFD" w:rsidRPr="00DB5641" w:rsidRDefault="00965BFD" w:rsidP="00965BFD">
      <w:pPr>
        <w:spacing w:after="120" w:line="240" w:lineRule="auto"/>
        <w:ind w:left="709" w:right="709"/>
        <w:jc w:val="both"/>
        <w:rPr>
          <w:rFonts w:ascii="Verdana" w:eastAsia="Calibri" w:hAnsi="Verdana" w:cs="Arial"/>
          <w:sz w:val="20"/>
          <w:szCs w:val="20"/>
          <w:lang w:val="es-ES_tradnl"/>
        </w:rPr>
      </w:pPr>
      <w:r w:rsidRPr="00DB5641">
        <w:rPr>
          <w:rFonts w:ascii="Verdana" w:eastAsia="Calibri" w:hAnsi="Verdana" w:cs="Arial"/>
          <w:sz w:val="20"/>
          <w:szCs w:val="20"/>
          <w:lang w:val="es-ES_tradnl"/>
        </w:rPr>
        <w:t>[…]</w:t>
      </w:r>
    </w:p>
    <w:p w14:paraId="0C756156" w14:textId="77777777" w:rsidR="00965BFD" w:rsidRPr="00DB5641" w:rsidRDefault="00965BFD" w:rsidP="00965BFD">
      <w:pPr>
        <w:spacing w:after="0" w:line="240" w:lineRule="auto"/>
        <w:ind w:left="709" w:right="709"/>
        <w:jc w:val="both"/>
        <w:rPr>
          <w:rFonts w:ascii="Verdana" w:eastAsia="Calibri" w:hAnsi="Verdana" w:cs="Arial"/>
          <w:sz w:val="20"/>
          <w:szCs w:val="20"/>
          <w:lang w:val="es-ES_tradnl"/>
        </w:rPr>
      </w:pPr>
      <w:r w:rsidRPr="00DB5641">
        <w:rPr>
          <w:rFonts w:ascii="Verdana" w:eastAsia="Calibri" w:hAnsi="Verdana" w:cs="Arial"/>
          <w:sz w:val="20"/>
          <w:szCs w:val="20"/>
          <w:lang w:val="es-ES_tradnl"/>
        </w:rPr>
        <w:lastRenderedPageBreak/>
        <w:t xml:space="preserve">5. Calamidad pública: Es </w:t>
      </w:r>
      <w:bookmarkStart w:id="25" w:name="_Hlk35879333"/>
      <w:r w:rsidRPr="00DB5641">
        <w:rPr>
          <w:rFonts w:ascii="Verdana" w:eastAsia="Calibri" w:hAnsi="Verdana" w:cs="Arial"/>
          <w:sz w:val="20"/>
          <w:szCs w:val="20"/>
          <w:lang w:val="es-ES_tradnl"/>
        </w:rPr>
        <w:t xml:space="preserve">el resultado que se desencadena de la manifestación de uno o varios eventos naturales </w:t>
      </w:r>
      <w:bookmarkStart w:id="26" w:name="_Hlk35870820"/>
      <w:r w:rsidRPr="00DB5641">
        <w:rPr>
          <w:rFonts w:ascii="Verdana" w:eastAsia="Calibri" w:hAnsi="Verdana" w:cs="Arial"/>
          <w:sz w:val="20"/>
          <w:szCs w:val="20"/>
          <w:lang w:val="es-ES_tradnl"/>
        </w:rPr>
        <w:t xml:space="preserve">o antropogénicos no intencionales </w:t>
      </w:r>
      <w:bookmarkEnd w:id="26"/>
      <w:r w:rsidRPr="00DB5641">
        <w:rPr>
          <w:rFonts w:ascii="Verdana" w:eastAsia="Calibri" w:hAnsi="Verdana" w:cs="Arial"/>
          <w:sz w:val="20"/>
          <w:szCs w:val="20"/>
          <w:lang w:val="es-ES_tradnl"/>
        </w:rPr>
        <w:t xml:space="preserve">que al encontrar condiciones propicias de vulnerabilidad en las personas, los bienes, la infraestructura, los medios de subsistencia, la prestación de servicios o los recursos ambientales, causa daños o pérdidas humanas, materiales, económicas o ambientales, generando una alteración intensa, grave y extendida en las condiciones normales de funcionamiento </w:t>
      </w:r>
      <w:bookmarkEnd w:id="25"/>
      <w:r w:rsidRPr="00DB5641">
        <w:rPr>
          <w:rFonts w:ascii="Verdana" w:eastAsia="Calibri" w:hAnsi="Verdana" w:cs="Arial"/>
          <w:sz w:val="20"/>
          <w:szCs w:val="20"/>
          <w:lang w:val="es-ES_tradnl"/>
        </w:rPr>
        <w:t>de la población, en el respectivo territorio, que exige al municipio, distrito o departamento ejecutar acciones de respuesta a la emergencia, rehabilitación y reconstrucción.</w:t>
      </w:r>
    </w:p>
    <w:p w14:paraId="0E23D080" w14:textId="77777777" w:rsidR="00965BFD" w:rsidRPr="00DB5641" w:rsidRDefault="00965BFD" w:rsidP="00965BFD">
      <w:pPr>
        <w:spacing w:after="120" w:line="240" w:lineRule="auto"/>
        <w:ind w:left="709" w:right="709"/>
        <w:jc w:val="both"/>
        <w:rPr>
          <w:rFonts w:ascii="Verdana" w:eastAsia="Calibri" w:hAnsi="Verdana" w:cs="Arial"/>
          <w:sz w:val="20"/>
          <w:szCs w:val="20"/>
          <w:lang w:val="es-ES_tradnl"/>
        </w:rPr>
      </w:pPr>
      <w:r w:rsidRPr="00DB5641">
        <w:rPr>
          <w:rFonts w:ascii="Verdana" w:eastAsia="Calibri" w:hAnsi="Verdana" w:cs="Arial"/>
          <w:sz w:val="20"/>
          <w:szCs w:val="20"/>
          <w:lang w:val="es-ES_tradnl"/>
        </w:rPr>
        <w:t xml:space="preserve">[…] </w:t>
      </w:r>
    </w:p>
    <w:p w14:paraId="0F027114" w14:textId="77777777" w:rsidR="00965BFD" w:rsidRPr="00D93A6C" w:rsidRDefault="00965BFD" w:rsidP="00965BFD">
      <w:pPr>
        <w:spacing w:after="0" w:line="240" w:lineRule="auto"/>
        <w:ind w:left="709" w:right="709"/>
        <w:jc w:val="both"/>
        <w:rPr>
          <w:rFonts w:ascii="Verdana" w:eastAsia="Calibri" w:hAnsi="Verdana" w:cs="Arial"/>
          <w:lang w:val="es-ES_tradnl"/>
        </w:rPr>
      </w:pPr>
      <w:r w:rsidRPr="00DB5641">
        <w:rPr>
          <w:rFonts w:ascii="Verdana" w:eastAsia="Calibri" w:hAnsi="Verdana" w:cs="Arial"/>
          <w:sz w:val="20"/>
          <w:szCs w:val="20"/>
          <w:lang w:val="es-ES_tradnl"/>
        </w:rPr>
        <w:t>8. Desastre: Es el resultado que se desencadena de la manifestación de uno o varios eventos naturales o antropogénicos no intencionales que al encontrar condiciones propicias de vulnerabilidad en las personas, los bienes, la infraestructura, los medios de subsistencia, la prestación de servicios o los recursos ambientales, causa daños o pérdidas humanas, materiales, económicas o ambientales, generando una alteración intensa, grave y extendida en las condiciones normales de funcionamiento de la sociedad, que exige del Estado y del sistema nacional ejecutar acciones de respuesta a la emergencia, rehabilitación y reconstrucción”.</w:t>
      </w:r>
    </w:p>
    <w:p w14:paraId="6BB8D70B" w14:textId="77777777" w:rsidR="00965BFD" w:rsidRPr="00D93A6C" w:rsidRDefault="00965BFD" w:rsidP="00965BFD">
      <w:pPr>
        <w:spacing w:after="0" w:line="276" w:lineRule="auto"/>
        <w:ind w:left="709" w:right="709"/>
        <w:jc w:val="both"/>
        <w:rPr>
          <w:rFonts w:ascii="Verdana" w:eastAsia="Calibri" w:hAnsi="Verdana" w:cs="Arial"/>
          <w:lang w:val="es-ES_tradnl"/>
        </w:rPr>
      </w:pPr>
    </w:p>
    <w:p w14:paraId="2D1EA57A" w14:textId="77777777" w:rsidR="00965BFD" w:rsidRDefault="00965BFD" w:rsidP="00965BFD">
      <w:pPr>
        <w:spacing w:after="120" w:line="276" w:lineRule="auto"/>
        <w:ind w:firstLine="709"/>
        <w:jc w:val="both"/>
        <w:rPr>
          <w:rFonts w:ascii="Verdana" w:eastAsia="Calibri" w:hAnsi="Verdana" w:cs="Arial"/>
          <w:lang w:val="es-ES"/>
        </w:rPr>
      </w:pPr>
      <w:r w:rsidRPr="3683B926">
        <w:rPr>
          <w:rFonts w:ascii="Verdana" w:eastAsia="Calibri" w:hAnsi="Verdana" w:cs="Arial"/>
          <w:lang w:val="es-ES"/>
        </w:rPr>
        <w:t xml:space="preserve">Esta norma debe armonizarse con los artículos 56 y 57 </w:t>
      </w:r>
      <w:r w:rsidRPr="3683B926">
        <w:rPr>
          <w:rFonts w:ascii="Verdana" w:eastAsia="Calibri" w:hAnsi="Verdana" w:cs="Arial"/>
          <w:i/>
          <w:lang w:val="es-ES"/>
        </w:rPr>
        <w:t>ibidem</w:t>
      </w:r>
      <w:r w:rsidRPr="3683B926">
        <w:rPr>
          <w:rFonts w:ascii="Verdana" w:eastAsia="Calibri" w:hAnsi="Verdana" w:cs="Arial"/>
          <w:lang w:val="es-ES"/>
        </w:rPr>
        <w:t xml:space="preserve">, que asignan la competencia para declarar la ocurrencia de una situación de </w:t>
      </w:r>
      <w:r w:rsidRPr="3683B926">
        <w:rPr>
          <w:rFonts w:ascii="Verdana" w:eastAsia="Calibri" w:hAnsi="Verdana" w:cs="Arial"/>
          <w:i/>
          <w:lang w:val="es-ES"/>
        </w:rPr>
        <w:t>desastre</w:t>
      </w:r>
      <w:r w:rsidRPr="3683B926">
        <w:rPr>
          <w:rFonts w:ascii="Verdana" w:eastAsia="Calibri" w:hAnsi="Verdana" w:cs="Arial"/>
          <w:lang w:val="es-ES"/>
        </w:rPr>
        <w:t xml:space="preserve"> o una situación de </w:t>
      </w:r>
      <w:r w:rsidRPr="3683B926">
        <w:rPr>
          <w:rFonts w:ascii="Verdana" w:eastAsia="Calibri" w:hAnsi="Verdana" w:cs="Arial"/>
          <w:i/>
          <w:lang w:val="es-ES"/>
        </w:rPr>
        <w:t>calamidad pública</w:t>
      </w:r>
      <w:r w:rsidRPr="3683B926">
        <w:rPr>
          <w:rFonts w:ascii="Verdana" w:eastAsia="Calibri" w:hAnsi="Verdana" w:cs="Arial"/>
          <w:lang w:val="es-ES"/>
        </w:rPr>
        <w:t xml:space="preserve">. Particularmente, disponen que al Presidente de la República le corresponde declarar la situación de </w:t>
      </w:r>
      <w:r w:rsidRPr="3683B926">
        <w:rPr>
          <w:rFonts w:ascii="Verdana" w:eastAsia="Calibri" w:hAnsi="Verdana" w:cs="Arial"/>
          <w:i/>
          <w:lang w:val="es-ES"/>
        </w:rPr>
        <w:t>desastre</w:t>
      </w:r>
      <w:r w:rsidRPr="3683B926">
        <w:rPr>
          <w:rFonts w:ascii="Verdana" w:eastAsia="Calibri" w:hAnsi="Verdana" w:cs="Arial"/>
          <w:lang w:val="es-ES"/>
        </w:rPr>
        <w:t>, tanto en el orden nacional, departamental, como en el municipal y distrital</w:t>
      </w:r>
      <w:r w:rsidRPr="3683B926">
        <w:rPr>
          <w:rStyle w:val="Refdenotaalpie"/>
          <w:rFonts w:ascii="Verdana" w:eastAsia="Calibri" w:hAnsi="Verdana" w:cs="Arial"/>
          <w:lang w:val="es-ES"/>
        </w:rPr>
        <w:footnoteReference w:id="27"/>
      </w:r>
      <w:r w:rsidRPr="3683B926">
        <w:rPr>
          <w:rFonts w:ascii="Verdana" w:eastAsia="Calibri" w:hAnsi="Verdana" w:cs="Arial"/>
          <w:lang w:val="es-ES"/>
        </w:rPr>
        <w:t xml:space="preserve">, facultad </w:t>
      </w:r>
      <w:r w:rsidRPr="3683B926">
        <w:rPr>
          <w:rFonts w:ascii="Verdana" w:eastAsia="Calibri" w:hAnsi="Verdana" w:cs="Arial"/>
          <w:lang w:val="es-ES"/>
        </w:rPr>
        <w:lastRenderedPageBreak/>
        <w:t xml:space="preserve">que no pueden ejercer los gobernadores y alcaldes, porque la norma no les asignó esta competencia. No obstante, a los gobernadores y alcaldes sí les corresponde declarar la </w:t>
      </w:r>
      <w:r w:rsidRPr="3683B926">
        <w:rPr>
          <w:rFonts w:ascii="Verdana" w:eastAsia="Calibri" w:hAnsi="Verdana" w:cs="Arial"/>
          <w:i/>
          <w:lang w:val="es-ES"/>
        </w:rPr>
        <w:t>situación de calamidad pública</w:t>
      </w:r>
      <w:r w:rsidRPr="3683B926">
        <w:rPr>
          <w:rFonts w:ascii="Verdana" w:eastAsia="Calibri" w:hAnsi="Verdana" w:cs="Arial"/>
          <w:lang w:val="es-ES"/>
        </w:rPr>
        <w:t>, en los respectivos ámbitos, facultad que, en cambio, no puede ejercer el presidente de la república</w:t>
      </w:r>
      <w:r w:rsidRPr="3683B926">
        <w:rPr>
          <w:rStyle w:val="Refdenotaalpie"/>
          <w:rFonts w:ascii="Verdana" w:eastAsia="Calibri" w:hAnsi="Verdana" w:cs="Arial"/>
          <w:lang w:val="es-ES"/>
        </w:rPr>
        <w:footnoteReference w:id="28"/>
      </w:r>
      <w:r w:rsidRPr="3683B926">
        <w:rPr>
          <w:rFonts w:ascii="Verdana" w:eastAsia="Calibri" w:hAnsi="Verdana" w:cs="Arial"/>
          <w:lang w:val="es-ES"/>
        </w:rPr>
        <w:t xml:space="preserve">. </w:t>
      </w:r>
    </w:p>
    <w:p w14:paraId="0BBF0321" w14:textId="77777777" w:rsidR="00965BFD" w:rsidRDefault="00965BFD" w:rsidP="00965BFD">
      <w:pPr>
        <w:spacing w:after="120" w:line="276" w:lineRule="auto"/>
        <w:ind w:firstLine="709"/>
        <w:jc w:val="both"/>
        <w:rPr>
          <w:rFonts w:ascii="Verdana" w:eastAsia="Calibri" w:hAnsi="Verdana" w:cs="Arial"/>
          <w:lang w:val="es-ES"/>
        </w:rPr>
      </w:pPr>
      <w:r>
        <w:rPr>
          <w:rFonts w:ascii="Verdana" w:eastAsia="Calibri" w:hAnsi="Verdana" w:cs="Arial"/>
          <w:lang w:val="es-ES"/>
        </w:rPr>
        <w:t xml:space="preserve">Finalmente, el artículo 2 de la Resolución del Ministerio de Educación Nacional 6519 del 1˚ de abril de 2025 dispone que </w:t>
      </w:r>
      <w:r w:rsidRPr="00626A30">
        <w:rPr>
          <w:rFonts w:ascii="Verdana" w:eastAsia="Calibri" w:hAnsi="Verdana" w:cs="Arial"/>
          <w:lang w:val="es-ES"/>
        </w:rPr>
        <w:t>la</w:t>
      </w:r>
      <w:r>
        <w:rPr>
          <w:rFonts w:ascii="Verdana" w:eastAsia="Calibri" w:hAnsi="Verdana" w:cs="Arial"/>
          <w:lang w:val="es-ES"/>
        </w:rPr>
        <w:t xml:space="preserve"> </w:t>
      </w:r>
      <w:r w:rsidRPr="00626A30">
        <w:rPr>
          <w:rFonts w:ascii="Verdana" w:eastAsia="Calibri" w:hAnsi="Verdana" w:cs="Arial"/>
          <w:lang w:val="es-ES"/>
        </w:rPr>
        <w:t>Política Pública de Gestión Integral del Riesgo Escolar y Educación en Emergencias</w:t>
      </w:r>
      <w:r>
        <w:rPr>
          <w:rFonts w:ascii="Verdana" w:eastAsia="Calibri" w:hAnsi="Verdana" w:cs="Arial"/>
          <w:lang w:val="es-ES"/>
        </w:rPr>
        <w:t xml:space="preserve"> tiene como objetivo “[…] </w:t>
      </w:r>
      <w:r w:rsidRPr="00626A30">
        <w:rPr>
          <w:rFonts w:ascii="Verdana" w:eastAsia="Calibri" w:hAnsi="Verdana" w:cs="Arial"/>
          <w:lang w:val="es-ES"/>
        </w:rPr>
        <w:t>es proteger, durante</w:t>
      </w:r>
      <w:r>
        <w:rPr>
          <w:rFonts w:ascii="Verdana" w:eastAsia="Calibri" w:hAnsi="Verdana" w:cs="Arial"/>
          <w:lang w:val="es-ES"/>
        </w:rPr>
        <w:t xml:space="preserve"> </w:t>
      </w:r>
      <w:r w:rsidRPr="00626A30">
        <w:rPr>
          <w:rFonts w:ascii="Verdana" w:eastAsia="Calibri" w:hAnsi="Verdana" w:cs="Arial"/>
          <w:lang w:val="es-ES"/>
        </w:rPr>
        <w:t>toda la trayectoria educativa, el derecho a la educación de niños, niñas, adolescentes, jóvenes</w:t>
      </w:r>
      <w:r>
        <w:rPr>
          <w:rFonts w:ascii="Verdana" w:eastAsia="Calibri" w:hAnsi="Verdana" w:cs="Arial"/>
          <w:lang w:val="es-ES"/>
        </w:rPr>
        <w:t xml:space="preserve"> </w:t>
      </w:r>
      <w:r w:rsidRPr="00626A30">
        <w:rPr>
          <w:rFonts w:ascii="Verdana" w:eastAsia="Calibri" w:hAnsi="Verdana" w:cs="Arial"/>
          <w:lang w:val="es-ES"/>
        </w:rPr>
        <w:t>y adultos y salvaguardar su vida e integridad, junto con la de los docentes, directivos docentes</w:t>
      </w:r>
      <w:r>
        <w:rPr>
          <w:rFonts w:ascii="Verdana" w:eastAsia="Calibri" w:hAnsi="Verdana" w:cs="Arial"/>
          <w:lang w:val="es-ES"/>
        </w:rPr>
        <w:t xml:space="preserve"> </w:t>
      </w:r>
      <w:r w:rsidRPr="00626A30">
        <w:rPr>
          <w:rFonts w:ascii="Verdana" w:eastAsia="Calibri" w:hAnsi="Verdana" w:cs="Arial"/>
          <w:lang w:val="es-ES"/>
        </w:rPr>
        <w:t>y personal administrativo, frente a los riesgos derivados de los fenómenos amenazantes de</w:t>
      </w:r>
      <w:r>
        <w:rPr>
          <w:rFonts w:ascii="Verdana" w:eastAsia="Calibri" w:hAnsi="Verdana" w:cs="Arial"/>
          <w:lang w:val="es-ES"/>
        </w:rPr>
        <w:t xml:space="preserve"> </w:t>
      </w:r>
      <w:r w:rsidRPr="00626A30">
        <w:rPr>
          <w:rFonts w:ascii="Verdana" w:eastAsia="Calibri" w:hAnsi="Verdana" w:cs="Arial"/>
          <w:lang w:val="es-ES"/>
        </w:rPr>
        <w:t>origen natural, socio natural y antrópico no intencionado así como también de aquellos que</w:t>
      </w:r>
      <w:r>
        <w:rPr>
          <w:rFonts w:ascii="Verdana" w:eastAsia="Calibri" w:hAnsi="Verdana" w:cs="Arial"/>
          <w:lang w:val="es-ES"/>
        </w:rPr>
        <w:t xml:space="preserve"> </w:t>
      </w:r>
      <w:r w:rsidRPr="00626A30">
        <w:rPr>
          <w:rFonts w:ascii="Verdana" w:eastAsia="Calibri" w:hAnsi="Verdana" w:cs="Arial"/>
          <w:lang w:val="es-ES"/>
        </w:rPr>
        <w:t>son resultado de los fenómenos sociales, en particular aquellos que se encuentran asociados</w:t>
      </w:r>
      <w:r>
        <w:rPr>
          <w:rFonts w:ascii="Verdana" w:eastAsia="Calibri" w:hAnsi="Verdana" w:cs="Arial"/>
          <w:lang w:val="es-ES"/>
        </w:rPr>
        <w:t xml:space="preserve"> </w:t>
      </w:r>
      <w:r w:rsidRPr="00626A30">
        <w:rPr>
          <w:rFonts w:ascii="Verdana" w:eastAsia="Calibri" w:hAnsi="Verdana" w:cs="Arial"/>
          <w:lang w:val="es-ES"/>
        </w:rPr>
        <w:t>con conflicto armado interno, fortaleciendo el conocimiento, la reducción del riesgo, así como</w:t>
      </w:r>
      <w:r>
        <w:rPr>
          <w:rFonts w:ascii="Verdana" w:eastAsia="Calibri" w:hAnsi="Verdana" w:cs="Arial"/>
          <w:lang w:val="es-ES"/>
        </w:rPr>
        <w:t xml:space="preserve"> </w:t>
      </w:r>
      <w:r w:rsidRPr="00626A30">
        <w:rPr>
          <w:rFonts w:ascii="Verdana" w:eastAsia="Calibri" w:hAnsi="Verdana" w:cs="Arial"/>
          <w:lang w:val="es-ES"/>
        </w:rPr>
        <w:t>el manejo de desastres y la vulneración de derechos en entornos escolares</w:t>
      </w:r>
      <w:r>
        <w:rPr>
          <w:rFonts w:ascii="Verdana" w:eastAsia="Calibri" w:hAnsi="Verdana" w:cs="Arial"/>
          <w:lang w:val="es-ES"/>
        </w:rPr>
        <w:t>”</w:t>
      </w:r>
      <w:r w:rsidRPr="00626A30">
        <w:rPr>
          <w:rFonts w:ascii="Verdana" w:eastAsia="Calibri" w:hAnsi="Verdana" w:cs="Arial"/>
          <w:lang w:val="es-ES"/>
        </w:rPr>
        <w:t>.</w:t>
      </w:r>
      <w:r>
        <w:rPr>
          <w:rFonts w:ascii="Verdana" w:eastAsia="Calibri" w:hAnsi="Verdana" w:cs="Arial"/>
          <w:lang w:val="es-ES"/>
        </w:rPr>
        <w:t xml:space="preserve"> </w:t>
      </w:r>
    </w:p>
    <w:p w14:paraId="39E7B93E" w14:textId="77777777" w:rsidR="00965BFD" w:rsidRPr="00D93A6C" w:rsidRDefault="00965BFD" w:rsidP="00965BFD">
      <w:pPr>
        <w:spacing w:after="0" w:line="276" w:lineRule="auto"/>
        <w:ind w:firstLine="709"/>
        <w:jc w:val="both"/>
        <w:rPr>
          <w:rFonts w:ascii="Verdana" w:eastAsia="Calibri" w:hAnsi="Verdana" w:cs="Arial"/>
          <w:lang w:val="es-ES"/>
        </w:rPr>
      </w:pPr>
      <w:r>
        <w:rPr>
          <w:rFonts w:ascii="Verdana" w:eastAsia="Calibri" w:hAnsi="Verdana" w:cs="Arial"/>
          <w:lang w:val="es-ES"/>
        </w:rPr>
        <w:t xml:space="preserve">De acuerdo con el documento que se integra a dicho acto administrativo conforme al artículo 4 </w:t>
      </w:r>
      <w:r w:rsidRPr="00626A30">
        <w:rPr>
          <w:rFonts w:ascii="Verdana" w:eastAsia="Calibri" w:hAnsi="Verdana" w:cs="Arial"/>
          <w:i/>
          <w:iCs/>
          <w:lang w:val="es-ES"/>
        </w:rPr>
        <w:t>ibidem</w:t>
      </w:r>
      <w:r>
        <w:rPr>
          <w:rFonts w:ascii="Verdana" w:eastAsia="Calibri" w:hAnsi="Verdana" w:cs="Arial"/>
          <w:lang w:val="es-ES"/>
        </w:rPr>
        <w:t>, “</w:t>
      </w:r>
      <w:r w:rsidRPr="001A33C1">
        <w:rPr>
          <w:rFonts w:ascii="Verdana" w:eastAsia="Calibri" w:hAnsi="Verdana" w:cs="Arial"/>
          <w:lang w:val="es-ES"/>
        </w:rPr>
        <w:t>Para llevar a cabo la definición y organización de los objetivos específicos, ejes y líneas de</w:t>
      </w:r>
      <w:r>
        <w:rPr>
          <w:rFonts w:ascii="Verdana" w:eastAsia="Calibri" w:hAnsi="Verdana" w:cs="Arial"/>
          <w:lang w:val="es-ES"/>
        </w:rPr>
        <w:t xml:space="preserve"> </w:t>
      </w:r>
      <w:r w:rsidRPr="001A33C1">
        <w:rPr>
          <w:rFonts w:ascii="Verdana" w:eastAsia="Calibri" w:hAnsi="Verdana" w:cs="Arial"/>
          <w:lang w:val="es-ES"/>
        </w:rPr>
        <w:t>acción de la Política Pública GIRE se tomó como referencia lo planteado desde el marco de</w:t>
      </w:r>
      <w:r>
        <w:rPr>
          <w:rFonts w:ascii="Verdana" w:eastAsia="Calibri" w:hAnsi="Verdana" w:cs="Arial"/>
          <w:lang w:val="es-ES"/>
        </w:rPr>
        <w:t xml:space="preserve"> </w:t>
      </w:r>
      <w:r w:rsidRPr="001A33C1">
        <w:rPr>
          <w:rFonts w:ascii="Verdana" w:eastAsia="Calibri" w:hAnsi="Verdana" w:cs="Arial"/>
          <w:lang w:val="es-ES"/>
        </w:rPr>
        <w:t>Sendai y la Ley 1523 de 2012 con relación a los procesos para la gestión del riesgo:</w:t>
      </w:r>
      <w:r>
        <w:rPr>
          <w:rFonts w:ascii="Verdana" w:eastAsia="Calibri" w:hAnsi="Verdana" w:cs="Arial"/>
          <w:lang w:val="es-ES"/>
        </w:rPr>
        <w:t xml:space="preserve"> </w:t>
      </w:r>
      <w:r w:rsidRPr="001A33C1">
        <w:rPr>
          <w:rFonts w:ascii="Verdana" w:eastAsia="Calibri" w:hAnsi="Verdana" w:cs="Arial"/>
          <w:lang w:val="es-ES"/>
        </w:rPr>
        <w:t>conocimiento, reducción y manejo del desastre</w:t>
      </w:r>
      <w:r>
        <w:rPr>
          <w:rFonts w:ascii="Verdana" w:eastAsia="Calibri" w:hAnsi="Verdana" w:cs="Arial"/>
          <w:lang w:val="es-ES"/>
        </w:rPr>
        <w:t xml:space="preserve">. </w:t>
      </w:r>
      <w:r w:rsidRPr="00CD73B5">
        <w:rPr>
          <w:rFonts w:ascii="Verdana" w:eastAsia="Calibri" w:hAnsi="Verdana" w:cs="Arial"/>
          <w:lang w:val="es-ES"/>
        </w:rPr>
        <w:t>En cada uno de los procesos, el sector</w:t>
      </w:r>
      <w:r>
        <w:rPr>
          <w:rFonts w:ascii="Verdana" w:eastAsia="Calibri" w:hAnsi="Verdana" w:cs="Arial"/>
          <w:lang w:val="es-ES"/>
        </w:rPr>
        <w:t xml:space="preserve"> </w:t>
      </w:r>
      <w:r w:rsidRPr="00CD73B5">
        <w:rPr>
          <w:rFonts w:ascii="Verdana" w:eastAsia="Calibri" w:hAnsi="Verdana" w:cs="Arial"/>
          <w:lang w:val="es-ES"/>
        </w:rPr>
        <w:t>educación incluye la vulneración de derechos de los niños, niños, adolescentes, jóvenes y</w:t>
      </w:r>
      <w:r>
        <w:rPr>
          <w:rFonts w:ascii="Verdana" w:eastAsia="Calibri" w:hAnsi="Verdana" w:cs="Arial"/>
          <w:lang w:val="es-ES"/>
        </w:rPr>
        <w:t xml:space="preserve"> </w:t>
      </w:r>
      <w:r w:rsidRPr="00CD73B5">
        <w:rPr>
          <w:rFonts w:ascii="Verdana" w:eastAsia="Calibri" w:hAnsi="Verdana" w:cs="Arial"/>
          <w:lang w:val="es-ES"/>
        </w:rPr>
        <w:t>adultos por parte de actores armados</w:t>
      </w:r>
      <w:r>
        <w:rPr>
          <w:rFonts w:ascii="Verdana" w:eastAsia="Calibri" w:hAnsi="Verdana" w:cs="Arial"/>
          <w:lang w:val="es-ES"/>
        </w:rPr>
        <w:t xml:space="preserve">”. Esto significa que, </w:t>
      </w:r>
      <w:r w:rsidRPr="00CD73B5">
        <w:rPr>
          <w:rFonts w:ascii="Verdana" w:eastAsia="Calibri" w:hAnsi="Verdana" w:cs="Arial"/>
          <w:i/>
          <w:iCs/>
          <w:lang w:val="es-ES"/>
        </w:rPr>
        <w:t xml:space="preserve">para efectos </w:t>
      </w:r>
      <w:r w:rsidRPr="00CD73B5">
        <w:rPr>
          <w:rFonts w:ascii="Verdana" w:eastAsia="Calibri" w:hAnsi="Verdana" w:cs="Arial"/>
          <w:i/>
          <w:iCs/>
          <w:lang w:val="es-ES"/>
        </w:rPr>
        <w:lastRenderedPageBreak/>
        <w:t>de las emergencias educativas</w:t>
      </w:r>
      <w:r>
        <w:rPr>
          <w:rFonts w:ascii="Verdana" w:eastAsia="Calibri" w:hAnsi="Verdana" w:cs="Arial"/>
          <w:lang w:val="es-ES"/>
        </w:rPr>
        <w:t xml:space="preserve">, debe tomarse como referencia el marco normativo por el cual el Congreso de la República </w:t>
      </w:r>
      <w:r w:rsidRPr="00CD73B5">
        <w:rPr>
          <w:rFonts w:ascii="Verdana" w:eastAsia="Calibri" w:hAnsi="Verdana" w:cs="Arial"/>
          <w:lang w:val="es-ES"/>
        </w:rPr>
        <w:t>adopt</w:t>
      </w:r>
      <w:r>
        <w:rPr>
          <w:rFonts w:ascii="Verdana" w:eastAsia="Calibri" w:hAnsi="Verdana" w:cs="Arial"/>
          <w:lang w:val="es-ES"/>
        </w:rPr>
        <w:t>ó</w:t>
      </w:r>
      <w:r w:rsidRPr="00CD73B5">
        <w:rPr>
          <w:rFonts w:ascii="Verdana" w:eastAsia="Calibri" w:hAnsi="Verdana" w:cs="Arial"/>
          <w:lang w:val="es-ES"/>
        </w:rPr>
        <w:t xml:space="preserve"> la política nacional de gestión del riesgo de desastres y se establece el Sistema Nacional de Gestión del Riesgo de Desastres</w:t>
      </w:r>
      <w:r>
        <w:rPr>
          <w:rFonts w:ascii="Verdana" w:eastAsia="Calibri" w:hAnsi="Verdana" w:cs="Arial"/>
          <w:lang w:val="es-ES"/>
        </w:rPr>
        <w:t xml:space="preserve">. </w:t>
      </w:r>
    </w:p>
    <w:p w14:paraId="09BA5878" w14:textId="77777777" w:rsidR="00965BFD" w:rsidRPr="00037111" w:rsidRDefault="00965BFD" w:rsidP="00965BFD">
      <w:pPr>
        <w:spacing w:after="0" w:line="276" w:lineRule="auto"/>
        <w:jc w:val="both"/>
        <w:rPr>
          <w:rFonts w:ascii="Verdana" w:eastAsia="Arial" w:hAnsi="Verdana" w:cs="Arial"/>
          <w:bCs/>
        </w:rPr>
      </w:pPr>
    </w:p>
    <w:p w14:paraId="4CE09802" w14:textId="77777777" w:rsidR="00965BFD" w:rsidRPr="00667CD6" w:rsidRDefault="00965BFD" w:rsidP="00965BFD">
      <w:pPr>
        <w:spacing w:after="120" w:line="276" w:lineRule="auto"/>
        <w:jc w:val="both"/>
        <w:rPr>
          <w:rFonts w:ascii="Verdana" w:hAnsi="Verdana" w:cs="Arial"/>
          <w:lang w:val="es-ES"/>
        </w:rPr>
      </w:pPr>
      <w:r>
        <w:rPr>
          <w:rFonts w:ascii="Verdana" w:eastAsia="Calibri" w:hAnsi="Verdana" w:cs="Arial"/>
        </w:rPr>
        <w:t xml:space="preserve">v. </w:t>
      </w:r>
      <w:bookmarkEnd w:id="21"/>
      <w:bookmarkEnd w:id="22"/>
      <w:r w:rsidRPr="00667CD6">
        <w:rPr>
          <w:rFonts w:ascii="Verdana" w:hAnsi="Verdana" w:cs="Arial"/>
          <w:lang w:val="es-ES"/>
        </w:rPr>
        <w:t xml:space="preserve">Ahora bien, respecto del alcance del parágrafo </w:t>
      </w:r>
      <w:r w:rsidRPr="00667CD6">
        <w:rPr>
          <w:rFonts w:ascii="Verdana" w:hAnsi="Verdana" w:cs="Arial"/>
        </w:rPr>
        <w:t>del artículo 38 de la Ley 996 de 2005, esta prohibición dispone que “</w:t>
      </w:r>
      <w:r>
        <w:rPr>
          <w:rFonts w:ascii="Verdana" w:hAnsi="Verdana" w:cs="Arial"/>
        </w:rPr>
        <w:t>L</w:t>
      </w:r>
      <w:r w:rsidRPr="00667CD6">
        <w:rPr>
          <w:rFonts w:ascii="Verdana" w:hAnsi="Verdana" w:cs="Arial"/>
        </w:rPr>
        <w:t xml:space="preserve">os Gobernadores, Alcaldes Municipales y/o Distritales, Secretarios, Gerentes y directores de Entidades Descentralizadas del orden Municipal, Departamental o Distrital, dentro de los cuatro (4) meses anteriores a las elecciones, no podrán celebrar </w:t>
      </w:r>
      <w:r w:rsidRPr="00DC2873">
        <w:rPr>
          <w:rFonts w:ascii="Verdana" w:hAnsi="Verdana" w:cs="Arial"/>
        </w:rPr>
        <w:t>convenios interadministrativos para la ejecución de recursos públicos</w:t>
      </w:r>
      <w:r w:rsidRPr="00667CD6">
        <w:rPr>
          <w:rFonts w:ascii="Verdana" w:hAnsi="Verdana" w:cs="Arial"/>
        </w:rPr>
        <w:t>”.</w:t>
      </w:r>
      <w:r w:rsidRPr="00667CD6">
        <w:rPr>
          <w:rFonts w:ascii="Verdana" w:eastAsia="Times New Roman" w:hAnsi="Verdana" w:cs="Arial"/>
          <w:lang w:val="es-MX" w:eastAsia="x-none"/>
        </w:rPr>
        <w:t xml:space="preserve"> </w:t>
      </w:r>
    </w:p>
    <w:p w14:paraId="5F346934" w14:textId="77777777" w:rsidR="00965BFD" w:rsidRPr="00667CD6" w:rsidRDefault="00965BFD" w:rsidP="00965BFD">
      <w:pPr>
        <w:spacing w:after="120" w:line="276" w:lineRule="auto"/>
        <w:ind w:firstLine="709"/>
        <w:jc w:val="both"/>
        <w:rPr>
          <w:rFonts w:ascii="Verdana" w:hAnsi="Verdana" w:cs="Arial"/>
          <w:lang w:eastAsia="es-ES"/>
        </w:rPr>
      </w:pPr>
      <w:r w:rsidRPr="2035D652">
        <w:rPr>
          <w:rFonts w:ascii="Verdana" w:eastAsia="Times New Roman" w:hAnsi="Verdana" w:cs="Arial"/>
          <w:lang w:val="es-ES" w:eastAsia="es-ES"/>
        </w:rPr>
        <w:t xml:space="preserve">Para tales efectos, debe precisarse que </w:t>
      </w:r>
      <w:r w:rsidRPr="00667CD6">
        <w:rPr>
          <w:rFonts w:ascii="Verdana" w:eastAsia="Times New Roman" w:hAnsi="Verdana" w:cs="Arial"/>
          <w:color w:val="000000" w:themeColor="text1"/>
          <w:lang w:val="es-ES" w:eastAsia="es-CO"/>
        </w:rPr>
        <w:t xml:space="preserve">los contratos o convenios interadministrativos están determinados por un criterio orgánico, pues es necesario que los extremos de la relación contractual sean entidades públicas, </w:t>
      </w:r>
      <w:r w:rsidRPr="00667CD6">
        <w:rPr>
          <w:rFonts w:ascii="Verdana" w:hAnsi="Verdana" w:cs="Arial"/>
          <w:lang w:eastAsia="es-ES"/>
        </w:rPr>
        <w:t>independientemente de las normas que regulan la relación contractual. En este sentido, los convenios interadministrativos solo pueden ser celebrados entre entidades públicas, pues a éstas corresponde la realización de los fines y tareas que el legislador les ha asignado</w:t>
      </w:r>
      <w:r w:rsidRPr="00667CD6">
        <w:rPr>
          <w:rFonts w:ascii="Verdana" w:hAnsi="Verdana" w:cs="Arial"/>
          <w:vertAlign w:val="superscript"/>
          <w:lang w:eastAsia="es-ES"/>
        </w:rPr>
        <w:footnoteReference w:id="29"/>
      </w:r>
      <w:r w:rsidRPr="00667CD6">
        <w:rPr>
          <w:rFonts w:ascii="Verdana" w:hAnsi="Verdana" w:cs="Arial"/>
          <w:lang w:eastAsia="es-ES"/>
        </w:rPr>
        <w:t>.</w:t>
      </w:r>
    </w:p>
    <w:p w14:paraId="78B4DFFB" w14:textId="77777777" w:rsidR="00965BFD" w:rsidRPr="00667CD6" w:rsidRDefault="00965BFD" w:rsidP="00965BFD">
      <w:pPr>
        <w:spacing w:after="120" w:line="276" w:lineRule="auto"/>
        <w:ind w:firstLine="709"/>
        <w:jc w:val="both"/>
        <w:rPr>
          <w:rFonts w:ascii="Verdana" w:hAnsi="Verdana" w:cs="Arial"/>
          <w:color w:val="000000" w:themeColor="text1"/>
          <w:lang w:val="es-ES_tradnl"/>
        </w:rPr>
      </w:pPr>
      <w:r w:rsidRPr="00667CD6">
        <w:rPr>
          <w:rFonts w:ascii="Verdana" w:hAnsi="Verdana" w:cs="Arial"/>
          <w:color w:val="000000" w:themeColor="text1"/>
          <w:lang w:val="es-ES_tradnl"/>
        </w:rPr>
        <w:t>Si bien los contratos o convenios interadministrativos están previstos en la Ley 80 de 1993, en la Ley 1150 de 2007 y en el Decreto 1082 de 2015, no quiere decir que solo puedan celebrarse entre Entidades Estatales que apliquen el régimen de contratación allí previsto. En efecto, una Entidad Estatal de la Ley 80 de 1993 – como es el caso de un municipio – bien puede celebrar esta clase de convenios con una Entidad Estatal de régimen especial y no por ello dejará de ser un contrato o convenio interadministrativo.</w:t>
      </w:r>
    </w:p>
    <w:p w14:paraId="4E019632" w14:textId="77777777" w:rsidR="00965BFD" w:rsidRPr="00667CD6" w:rsidRDefault="00965BFD" w:rsidP="00965BFD">
      <w:pPr>
        <w:spacing w:before="120" w:after="0" w:line="276" w:lineRule="auto"/>
        <w:ind w:firstLine="708"/>
        <w:jc w:val="both"/>
        <w:rPr>
          <w:rFonts w:ascii="Verdana" w:hAnsi="Verdana" w:cs="Arial"/>
          <w:lang w:val="es-ES_tradnl"/>
        </w:rPr>
      </w:pPr>
      <w:r w:rsidRPr="2035D652">
        <w:rPr>
          <w:rFonts w:ascii="Verdana" w:hAnsi="Verdana" w:cs="Arial"/>
          <w:lang w:val="es-ES"/>
        </w:rPr>
        <w:t xml:space="preserve">Un contrato o convenio interadministrativo no está determinado por la modalidad de selección utilizada para celebrarlo. La Ley 1150 de 2007 establece que pueden celebrarse directamente, siempre que las obligaciones derivadas del mismo tengan relación directa con el objeto de la entidad ejecutora, señalado en la ley o en sus reglamentos, a menos que, según las excepciones previstas en dicha Ley, deba adelantarse un procedimiento susceptible de pluralidad de </w:t>
      </w:r>
      <w:r w:rsidRPr="2035D652">
        <w:rPr>
          <w:rFonts w:ascii="Verdana" w:hAnsi="Verdana" w:cs="Arial"/>
          <w:lang w:val="es-ES"/>
        </w:rPr>
        <w:lastRenderedPageBreak/>
        <w:t>oferentes</w:t>
      </w:r>
      <w:r w:rsidRPr="2035D652">
        <w:rPr>
          <w:rFonts w:ascii="Verdana" w:hAnsi="Verdana" w:cs="Arial"/>
          <w:vertAlign w:val="superscript"/>
          <w:lang w:val="es-ES"/>
        </w:rPr>
        <w:footnoteReference w:id="30"/>
      </w:r>
      <w:r w:rsidRPr="2035D652">
        <w:rPr>
          <w:rFonts w:ascii="Verdana" w:hAnsi="Verdana" w:cs="Arial"/>
          <w:lang w:val="es-ES"/>
        </w:rPr>
        <w:t>. Nótese que, en este caso, lo que cambia es la modalidad de selección y no la naturaleza de contrato interadministrativo.</w:t>
      </w:r>
    </w:p>
    <w:p w14:paraId="2DEBD94D" w14:textId="77777777" w:rsidR="00965BFD" w:rsidRPr="00667CD6" w:rsidRDefault="00965BFD" w:rsidP="00965BFD">
      <w:pPr>
        <w:spacing w:before="120" w:after="0" w:line="276" w:lineRule="auto"/>
        <w:ind w:firstLine="708"/>
        <w:jc w:val="both"/>
        <w:rPr>
          <w:rFonts w:ascii="Verdana" w:hAnsi="Verdana" w:cs="Arial"/>
          <w:lang w:val="es-ES_tradnl"/>
        </w:rPr>
      </w:pPr>
      <w:r w:rsidRPr="2035D652">
        <w:rPr>
          <w:rFonts w:ascii="Verdana" w:hAnsi="Verdana" w:cs="Arial"/>
          <w:lang w:val="es-ES"/>
        </w:rPr>
        <w:t>Además, es necesario tener en cuenta que para que un contrato o convenio interadministrativo exista debe cumplir con los siguientes elementos: acuerdo sobre el objeto y la contraprestación y que conste por escrito</w:t>
      </w:r>
      <w:r w:rsidRPr="2035D652">
        <w:rPr>
          <w:rFonts w:ascii="Verdana" w:hAnsi="Verdana" w:cs="Arial"/>
          <w:vertAlign w:val="superscript"/>
          <w:lang w:val="es-ES"/>
        </w:rPr>
        <w:footnoteReference w:id="31"/>
      </w:r>
      <w:r w:rsidRPr="2035D652">
        <w:rPr>
          <w:rFonts w:ascii="Verdana" w:hAnsi="Verdana" w:cs="Arial"/>
          <w:lang w:val="es-ES"/>
        </w:rPr>
        <w:t>. Entonces, si ambas partes son entidades estatales, pueden celebrar convenios interadministrativos, porque las disposiciones que regulan esta tipología hacen referencia a la calidad de los sujetos que intervienen en la contratación, que deben ser entidades estatales o de derecho público.</w:t>
      </w:r>
    </w:p>
    <w:p w14:paraId="4BFC3058" w14:textId="77777777" w:rsidR="00965BFD" w:rsidRPr="00667CD6" w:rsidRDefault="00965BFD" w:rsidP="00965BFD">
      <w:pPr>
        <w:spacing w:before="120" w:after="0" w:line="276" w:lineRule="auto"/>
        <w:ind w:firstLine="708"/>
        <w:jc w:val="both"/>
        <w:rPr>
          <w:rFonts w:ascii="Verdana" w:hAnsi="Verdana"/>
          <w:sz w:val="24"/>
          <w:szCs w:val="24"/>
          <w:lang w:eastAsia="es-CO"/>
        </w:rPr>
      </w:pPr>
      <w:r w:rsidRPr="2035D652">
        <w:rPr>
          <w:rFonts w:ascii="Verdana" w:hAnsi="Verdana" w:cs="Arial"/>
          <w:lang w:val="es-ES"/>
        </w:rPr>
        <w:t>Sobre este aspecto, se resalta que la Corte Constitucional señaló en la Sentencia C–671 de 2015 que “Lo que hace interadministrativo a un contrato o convenio no es el procedimiento de selección aplicable, sino la calidad de los sujetos contratantes, esto es que las dos partes de la relación jurídica contractual formen parte de la administración pública”. Así las cosas, atendiendo a la literalidad de las normas enunciadas, no cabe una interpretación diferente</w:t>
      </w:r>
      <w:r w:rsidRPr="2035D652">
        <w:rPr>
          <w:rFonts w:ascii="Verdana" w:hAnsi="Verdana" w:cs="Arial"/>
          <w:vertAlign w:val="superscript"/>
          <w:lang w:val="es-ES"/>
        </w:rPr>
        <w:footnoteReference w:id="32"/>
      </w:r>
      <w:r w:rsidRPr="2035D652">
        <w:rPr>
          <w:rFonts w:ascii="Verdana" w:hAnsi="Verdana" w:cs="Arial"/>
          <w:lang w:val="es-ES"/>
        </w:rPr>
        <w:t>, pues, de acuerdo con lo anotado, esta clase de acuerdos de voluntades se definen por un criterio orgánico, por lo que uno de sus elementos esenciales es que en los extremos de la relación jurídico negocial concurran personas de derecho público</w:t>
      </w:r>
      <w:r w:rsidRPr="00667CD6">
        <w:rPr>
          <w:rFonts w:ascii="Verdana" w:hAnsi="Verdana"/>
          <w:sz w:val="24"/>
          <w:szCs w:val="24"/>
          <w:lang w:eastAsia="es-CO"/>
        </w:rPr>
        <w:t>.</w:t>
      </w:r>
    </w:p>
    <w:p w14:paraId="24D783DA" w14:textId="77777777" w:rsidR="00965BFD" w:rsidRPr="00667CD6" w:rsidRDefault="00965BFD" w:rsidP="00965BFD">
      <w:pPr>
        <w:spacing w:before="120" w:after="0" w:line="276" w:lineRule="auto"/>
        <w:ind w:firstLine="708"/>
        <w:jc w:val="both"/>
        <w:rPr>
          <w:rFonts w:ascii="Verdana" w:eastAsia="Times New Roman" w:hAnsi="Verdana" w:cs="Arial"/>
          <w:lang w:val="es-MX" w:eastAsia="es-CO"/>
        </w:rPr>
      </w:pPr>
      <w:r w:rsidRPr="00667CD6">
        <w:rPr>
          <w:rFonts w:ascii="Verdana" w:eastAsia="Arial" w:hAnsi="Verdana" w:cs="Arial"/>
          <w:lang w:val="es-MX" w:eastAsia="es-ES" w:bidi="es-ES"/>
        </w:rPr>
        <w:t>De esta manera, se</w:t>
      </w:r>
      <w:r w:rsidRPr="00667CD6">
        <w:rPr>
          <w:rFonts w:ascii="Verdana" w:eastAsia="Times New Roman" w:hAnsi="Verdana" w:cs="Arial"/>
          <w:lang w:eastAsia="es-CO"/>
        </w:rPr>
        <w:t xml:space="preserve"> observa entonces que </w:t>
      </w:r>
      <w:r w:rsidRPr="00667CD6">
        <w:rPr>
          <w:rFonts w:ascii="Verdana" w:eastAsia="Times New Roman" w:hAnsi="Verdana" w:cs="Arial"/>
          <w:lang w:val="es-MX" w:eastAsia="es-CO"/>
        </w:rPr>
        <w:t xml:space="preserve">el parágrafo del artículo 38 de la Ley 996 de 2005 prohíbe a los Alcaldes, Gobernadores, Secretarios, Gerentes y Directores de las entidades del orden municipal, departamental o distrital celebrar </w:t>
      </w:r>
      <w:r w:rsidRPr="00667CD6">
        <w:rPr>
          <w:rFonts w:ascii="Verdana" w:eastAsia="Times New Roman" w:hAnsi="Verdana" w:cs="Arial"/>
          <w:i/>
          <w:iCs/>
          <w:lang w:val="es-MX" w:eastAsia="es-CO"/>
        </w:rPr>
        <w:t>convenios interadministrativos</w:t>
      </w:r>
      <w:r w:rsidRPr="00667CD6">
        <w:rPr>
          <w:rFonts w:ascii="Verdana" w:eastAsia="Times New Roman" w:hAnsi="Verdana" w:cs="Arial"/>
          <w:lang w:val="es-MX" w:eastAsia="es-CO"/>
        </w:rPr>
        <w:t xml:space="preserve"> para la ejecución de recursos públicos. En este sentido, si una o ambas partes de la relación contractual es una entidad </w:t>
      </w:r>
      <w:r w:rsidRPr="00667CD6">
        <w:rPr>
          <w:rFonts w:ascii="Verdana" w:eastAsia="Times New Roman" w:hAnsi="Verdana" w:cs="Arial"/>
          <w:lang w:val="es-MX" w:eastAsia="es-CO"/>
        </w:rPr>
        <w:lastRenderedPageBreak/>
        <w:t xml:space="preserve">de aquellas descritas en el parágrafo </w:t>
      </w:r>
      <w:r w:rsidRPr="00667CD6">
        <w:rPr>
          <w:rFonts w:ascii="Verdana" w:eastAsia="Times New Roman" w:hAnsi="Verdana" w:cs="Arial"/>
          <w:i/>
          <w:lang w:val="es-MX" w:eastAsia="es-CO"/>
        </w:rPr>
        <w:t>ibidem</w:t>
      </w:r>
      <w:r w:rsidRPr="00667CD6">
        <w:rPr>
          <w:rFonts w:ascii="Verdana" w:eastAsia="Times New Roman" w:hAnsi="Verdana" w:cs="Arial"/>
          <w:lang w:val="es-MX" w:eastAsia="es-CO"/>
        </w:rPr>
        <w:t xml:space="preserve">, no podrá celebrar tales </w:t>
      </w:r>
      <w:r w:rsidRPr="00667CD6">
        <w:rPr>
          <w:rFonts w:ascii="Verdana" w:eastAsia="Times New Roman" w:hAnsi="Verdana" w:cs="Arial"/>
          <w:i/>
          <w:iCs/>
          <w:lang w:val="es-MX" w:eastAsia="es-CO"/>
        </w:rPr>
        <w:t>convenios</w:t>
      </w:r>
      <w:r w:rsidRPr="00667CD6">
        <w:rPr>
          <w:rFonts w:ascii="Verdana" w:eastAsia="Times New Roman" w:hAnsi="Verdana" w:cs="Arial"/>
          <w:lang w:val="es-MX" w:eastAsia="es-CO"/>
        </w:rPr>
        <w:t xml:space="preserve"> durante la aplicación de la Ley de Garantías Electorales, toda vez que la citada disposición hace referencia a dicha tipología contractual sin que el legislador hubiere contemplado un efecto extensivo a otra tipología. </w:t>
      </w:r>
    </w:p>
    <w:p w14:paraId="7AE9FA8A" w14:textId="77777777" w:rsidR="00965BFD" w:rsidRDefault="00965BFD" w:rsidP="00965BFD">
      <w:pPr>
        <w:spacing w:before="120" w:after="0" w:line="276" w:lineRule="auto"/>
        <w:ind w:firstLine="708"/>
        <w:jc w:val="both"/>
        <w:rPr>
          <w:rFonts w:ascii="Verdana" w:eastAsia="Times New Roman" w:hAnsi="Verdana" w:cs="Arial"/>
          <w:lang w:eastAsia="es-CO"/>
        </w:rPr>
      </w:pPr>
      <w:r w:rsidRPr="00667CD6">
        <w:rPr>
          <w:rFonts w:ascii="Verdana" w:eastAsia="Times New Roman" w:hAnsi="Verdana" w:cs="Arial"/>
          <w:lang w:val="es-MX" w:eastAsia="es-CO"/>
        </w:rPr>
        <w:t>Respecto del alcance de esta prohibición la Circular Externa No. 006 de 2025 expedida por la ANCP</w:t>
      </w:r>
      <w:r>
        <w:rPr>
          <w:rFonts w:ascii="Verdana" w:eastAsia="Times New Roman" w:hAnsi="Verdana" w:cs="Arial"/>
          <w:lang w:val="es-MX" w:eastAsia="es-CO"/>
        </w:rPr>
        <w:t>-</w:t>
      </w:r>
      <w:r w:rsidRPr="00667CD6">
        <w:rPr>
          <w:rFonts w:ascii="Verdana" w:eastAsia="Times New Roman" w:hAnsi="Verdana" w:cs="Arial"/>
          <w:lang w:val="es-MX" w:eastAsia="es-CO"/>
        </w:rPr>
        <w:t xml:space="preserve">CCE, en los literales </w:t>
      </w:r>
      <w:proofErr w:type="spellStart"/>
      <w:r w:rsidRPr="00667CD6">
        <w:rPr>
          <w:rFonts w:ascii="Verdana" w:eastAsia="Times New Roman" w:hAnsi="Verdana" w:cs="Arial"/>
          <w:lang w:val="es-MX" w:eastAsia="es-CO"/>
        </w:rPr>
        <w:t>ii</w:t>
      </w:r>
      <w:proofErr w:type="spellEnd"/>
      <w:r w:rsidRPr="00667CD6">
        <w:rPr>
          <w:rFonts w:ascii="Verdana" w:eastAsia="Times New Roman" w:hAnsi="Verdana" w:cs="Arial"/>
          <w:lang w:val="es-MX" w:eastAsia="es-CO"/>
        </w:rPr>
        <w:t xml:space="preserve">) y </w:t>
      </w:r>
      <w:proofErr w:type="spellStart"/>
      <w:r w:rsidRPr="00667CD6">
        <w:rPr>
          <w:rFonts w:ascii="Verdana" w:eastAsia="Times New Roman" w:hAnsi="Verdana" w:cs="Arial"/>
          <w:lang w:val="es-MX" w:eastAsia="es-CO"/>
        </w:rPr>
        <w:t>iv</w:t>
      </w:r>
      <w:proofErr w:type="spellEnd"/>
      <w:r w:rsidRPr="00667CD6">
        <w:rPr>
          <w:rFonts w:ascii="Verdana" w:eastAsia="Times New Roman" w:hAnsi="Verdana" w:cs="Arial"/>
          <w:lang w:val="es-MX" w:eastAsia="es-CO"/>
        </w:rPr>
        <w:t>) del numeral 2</w:t>
      </w:r>
      <w:r w:rsidRPr="00667CD6">
        <w:rPr>
          <w:rFonts w:ascii="Verdana" w:eastAsia="Times New Roman" w:hAnsi="Verdana" w:cs="Arial"/>
          <w:lang w:eastAsia="es-CO"/>
        </w:rPr>
        <w:t>,</w:t>
      </w:r>
      <w:r w:rsidRPr="00667CD6">
        <w:rPr>
          <w:rFonts w:ascii="Verdana" w:eastAsia="Times New Roman" w:hAnsi="Verdana" w:cs="Arial"/>
          <w:lang w:val="es-MX" w:eastAsia="es-CO"/>
        </w:rPr>
        <w:t xml:space="preserve"> indica que el </w:t>
      </w:r>
      <w:r w:rsidRPr="00667CD6">
        <w:rPr>
          <w:rFonts w:ascii="Verdana" w:eastAsia="Times New Roman" w:hAnsi="Verdana" w:cs="Arial"/>
          <w:lang w:eastAsia="es-CO"/>
        </w:rPr>
        <w:t xml:space="preserve">parágrafo del artículo 38 de la Ley 996 de 2005 cobija expresamente a los </w:t>
      </w:r>
      <w:r w:rsidRPr="00667CD6">
        <w:rPr>
          <w:rFonts w:ascii="Verdana" w:eastAsia="Times New Roman" w:hAnsi="Verdana" w:cs="Arial"/>
          <w:i/>
          <w:iCs/>
          <w:lang w:eastAsia="es-CO"/>
        </w:rPr>
        <w:t>convenios interadministrativos</w:t>
      </w:r>
      <w:r w:rsidRPr="00667CD6">
        <w:rPr>
          <w:rFonts w:ascii="Verdana" w:eastAsia="Times New Roman" w:hAnsi="Verdana" w:cs="Arial"/>
          <w:lang w:eastAsia="es-CO"/>
        </w:rPr>
        <w:t xml:space="preserve"> en los que se contemple la ejecución de recursos públicos. Además, precisa que el parágrafo referido no estableció ningún supuesto que exceptúe la aplicación de esta prohibición, por lo que la restricción referida a la celebración de convenios interadministrativos aplicará a los sujetos allí señalados, </w:t>
      </w:r>
      <w:r w:rsidRPr="00667CD6">
        <w:rPr>
          <w:rFonts w:ascii="Verdana" w:eastAsia="Times New Roman" w:hAnsi="Verdana" w:cs="Arial"/>
          <w:i/>
          <w:iCs/>
          <w:lang w:eastAsia="es-CO"/>
        </w:rPr>
        <w:t>“aunque se configure alguno de los supuestos de excepción que señaló el inciso final del artículo 33</w:t>
      </w:r>
      <w:r w:rsidRPr="005163A3">
        <w:rPr>
          <w:rFonts w:ascii="Verdana" w:eastAsia="Times New Roman" w:hAnsi="Verdana" w:cs="Arial"/>
          <w:lang w:eastAsia="es-CO"/>
        </w:rPr>
        <w:t>”</w:t>
      </w:r>
      <w:r>
        <w:rPr>
          <w:rFonts w:ascii="Verdana" w:eastAsia="Times New Roman" w:hAnsi="Verdana" w:cs="Arial"/>
          <w:lang w:eastAsia="es-CO"/>
        </w:rPr>
        <w:t xml:space="preserve">. Es decir, no aplica a </w:t>
      </w:r>
      <w:r w:rsidRPr="0004207F">
        <w:rPr>
          <w:rFonts w:ascii="Verdana" w:hAnsi="Verdana" w:cs="Arial"/>
          <w:bCs/>
          <w:lang w:val="es-MX" w:eastAsia="x-none"/>
        </w:rPr>
        <w:t>“[…] l</w:t>
      </w:r>
      <w:r w:rsidRPr="0004207F">
        <w:rPr>
          <w:rFonts w:ascii="Verdana" w:hAnsi="Verdana" w:cs="Arial"/>
          <w:bCs/>
          <w:lang w:eastAsia="x-none"/>
        </w:rPr>
        <w:t>os requeridos para cubrir las emergencias educativas, sanitarias y desastres […]</w:t>
      </w:r>
      <w:r>
        <w:rPr>
          <w:rFonts w:ascii="Verdana" w:hAnsi="Verdana" w:cs="Arial"/>
          <w:bCs/>
          <w:lang w:eastAsia="x-none"/>
        </w:rPr>
        <w:t>”</w:t>
      </w:r>
      <w:r>
        <w:rPr>
          <w:rFonts w:ascii="Verdana" w:hAnsi="Verdana" w:cs="Arial"/>
          <w:bCs/>
          <w:lang w:val="es-MX" w:eastAsia="x-none"/>
        </w:rPr>
        <w:t>.</w:t>
      </w:r>
      <w:r w:rsidRPr="00667CD6">
        <w:rPr>
          <w:rFonts w:ascii="Verdana" w:eastAsia="Times New Roman" w:hAnsi="Verdana" w:cs="Arial"/>
          <w:lang w:eastAsia="es-CO"/>
        </w:rPr>
        <w:t xml:space="preserve"> </w:t>
      </w:r>
      <w:r>
        <w:rPr>
          <w:rFonts w:ascii="Verdana" w:eastAsia="Times New Roman" w:hAnsi="Verdana" w:cs="Arial"/>
          <w:lang w:eastAsia="es-CO"/>
        </w:rPr>
        <w:t>Por lo demás, la norma tampoco contempla excepciones respecto a la contratación con esquemas asociativos territoriales, además de que la restricción rige al margen del contenido de los proyectos que se pretendan ejecutar. Como las excepciones son de reserva legal, tampoco son disponibles por las partes al suscribir el negocio jurídico, por lo que no existe justificación alguna para desconocer la prohibición.</w:t>
      </w:r>
    </w:p>
    <w:p w14:paraId="7D3D70BF" w14:textId="77777777" w:rsidR="00965BFD" w:rsidRPr="00667CD6" w:rsidRDefault="00965BFD" w:rsidP="00965BFD">
      <w:pPr>
        <w:spacing w:before="120" w:after="0" w:line="276" w:lineRule="auto"/>
        <w:ind w:firstLine="708"/>
        <w:jc w:val="both"/>
        <w:rPr>
          <w:rFonts w:ascii="Verdana" w:eastAsia="Times New Roman" w:hAnsi="Verdana" w:cs="Arial"/>
          <w:lang w:eastAsia="es-CO"/>
        </w:rPr>
      </w:pPr>
      <w:r w:rsidRPr="00667CD6">
        <w:rPr>
          <w:rFonts w:ascii="Verdana" w:eastAsia="Times New Roman" w:hAnsi="Verdana" w:cs="Arial"/>
          <w:lang w:eastAsia="es-CO"/>
        </w:rPr>
        <w:t xml:space="preserve">Sin embargo, el ámbito de aplicación de la restricción prevista en el parágrafo del artículo 38 de la Ley 996 de 2005 </w:t>
      </w:r>
      <w:r>
        <w:rPr>
          <w:rFonts w:ascii="Verdana" w:eastAsia="Times New Roman" w:hAnsi="Verdana" w:cs="Arial"/>
          <w:lang w:eastAsia="es-CO"/>
        </w:rPr>
        <w:t>comprende</w:t>
      </w:r>
      <w:r w:rsidRPr="00667CD6">
        <w:rPr>
          <w:rFonts w:ascii="Verdana" w:eastAsia="Times New Roman" w:hAnsi="Verdana" w:cs="Arial"/>
          <w:lang w:eastAsia="es-CO"/>
        </w:rPr>
        <w:t xml:space="preserve"> a los </w:t>
      </w:r>
      <w:r w:rsidRPr="00667CD6">
        <w:rPr>
          <w:rFonts w:ascii="Verdana" w:eastAsia="Times New Roman" w:hAnsi="Verdana" w:cs="Arial"/>
          <w:i/>
          <w:iCs/>
          <w:lang w:eastAsia="es-CO"/>
        </w:rPr>
        <w:t>convenios interadministrativos</w:t>
      </w:r>
      <w:r w:rsidRPr="00667CD6">
        <w:rPr>
          <w:rFonts w:ascii="Verdana" w:eastAsia="Times New Roman" w:hAnsi="Verdana" w:cs="Arial"/>
          <w:lang w:eastAsia="es-CO"/>
        </w:rPr>
        <w:t xml:space="preserve"> en los que </w:t>
      </w:r>
      <w:r>
        <w:rPr>
          <w:rFonts w:ascii="Verdana" w:eastAsia="Times New Roman" w:hAnsi="Verdana" w:cs="Arial"/>
          <w:lang w:eastAsia="es-CO"/>
        </w:rPr>
        <w:t>exista</w:t>
      </w:r>
      <w:r w:rsidRPr="00667CD6">
        <w:rPr>
          <w:rFonts w:ascii="Verdana" w:eastAsia="Times New Roman" w:hAnsi="Verdana" w:cs="Arial"/>
          <w:lang w:eastAsia="es-CO"/>
        </w:rPr>
        <w:t xml:space="preserve"> </w:t>
      </w:r>
      <w:r w:rsidRPr="00667CD6">
        <w:rPr>
          <w:rFonts w:ascii="Verdana" w:eastAsia="Times New Roman" w:hAnsi="Verdana" w:cs="Arial"/>
          <w:i/>
          <w:iCs/>
          <w:lang w:eastAsia="es-CO"/>
        </w:rPr>
        <w:t>ejecución de recursos públicos</w:t>
      </w:r>
      <w:r>
        <w:rPr>
          <w:rFonts w:ascii="Verdana" w:eastAsia="Times New Roman" w:hAnsi="Verdana" w:cs="Arial"/>
          <w:lang w:eastAsia="es-CO"/>
        </w:rPr>
        <w:t>, sin importar de que estos sean en dinero o en especie, ya que la norma no distingue</w:t>
      </w:r>
      <w:r w:rsidRPr="00667CD6">
        <w:rPr>
          <w:rFonts w:ascii="Verdana" w:eastAsia="Times New Roman" w:hAnsi="Verdana" w:cs="Arial"/>
          <w:lang w:eastAsia="es-CO"/>
        </w:rPr>
        <w:t xml:space="preserve">. </w:t>
      </w:r>
      <w:r w:rsidRPr="00C016C8">
        <w:rPr>
          <w:rFonts w:ascii="Verdana" w:eastAsia="Times New Roman" w:hAnsi="Verdana" w:cs="Arial"/>
          <w:lang w:val="es-ES" w:eastAsia="es-CO"/>
        </w:rPr>
        <w:t>Lo anterior conforme a la directriz interpretativa del artículo 31 del Código Civil, según la cual “Lo favorable u odioso de una disposición no se tomará en cuenta para ampliar o restringir su interpretación. La extensión que deba darse a toda ley se determinará por su genuino sentido, y según las reglas de interpretación precedentes”</w:t>
      </w:r>
      <w:r>
        <w:rPr>
          <w:rStyle w:val="Refdenotaalpie"/>
          <w:rFonts w:ascii="Verdana" w:hAnsi="Verdana" w:cs="Arial"/>
          <w:lang w:val="es-ES"/>
        </w:rPr>
        <w:footnoteReference w:id="33"/>
      </w:r>
      <w:r>
        <w:rPr>
          <w:rFonts w:ascii="Verdana" w:eastAsia="Times New Roman" w:hAnsi="Verdana" w:cs="Arial"/>
          <w:lang w:val="es-ES" w:eastAsia="es-CO"/>
        </w:rPr>
        <w:t>.</w:t>
      </w:r>
      <w:r w:rsidRPr="00667CD6">
        <w:rPr>
          <w:rFonts w:ascii="Verdana" w:eastAsia="Times New Roman" w:hAnsi="Verdana" w:cs="Arial"/>
          <w:lang w:eastAsia="es-CO"/>
        </w:rPr>
        <w:t xml:space="preserve"> </w:t>
      </w:r>
      <w:r>
        <w:rPr>
          <w:rFonts w:ascii="Verdana" w:eastAsia="Times New Roman" w:hAnsi="Verdana" w:cs="Arial"/>
          <w:lang w:eastAsia="es-CO"/>
        </w:rPr>
        <w:t xml:space="preserve">Por ello, en el Concepto </w:t>
      </w:r>
      <w:r w:rsidRPr="00C016C8">
        <w:rPr>
          <w:rFonts w:ascii="Verdana" w:eastAsia="Times New Roman" w:hAnsi="Verdana" w:cs="Arial"/>
          <w:lang w:eastAsia="es-CO"/>
        </w:rPr>
        <w:t>2201913000006634</w:t>
      </w:r>
      <w:r>
        <w:rPr>
          <w:rFonts w:ascii="Verdana" w:eastAsia="Times New Roman" w:hAnsi="Verdana" w:cs="Arial"/>
          <w:lang w:eastAsia="es-CO"/>
        </w:rPr>
        <w:t xml:space="preserve"> del 6 de septiembre </w:t>
      </w:r>
      <w:r>
        <w:rPr>
          <w:rFonts w:ascii="Verdana" w:eastAsia="Times New Roman" w:hAnsi="Verdana" w:cs="Arial"/>
          <w:lang w:eastAsia="es-CO"/>
        </w:rPr>
        <w:lastRenderedPageBreak/>
        <w:t xml:space="preserve">de 2019, la Agencia sostuvo que la ejecución de recursos no se agota en el “[…] </w:t>
      </w:r>
      <w:r w:rsidRPr="00C016C8">
        <w:rPr>
          <w:rFonts w:ascii="Verdana" w:eastAsia="Times New Roman" w:hAnsi="Verdana" w:cs="Arial"/>
          <w:lang w:eastAsia="es-CO"/>
        </w:rPr>
        <w:t>el dinero que integra el ciclo presupuestal de la entidad</w:t>
      </w:r>
      <w:r>
        <w:rPr>
          <w:rFonts w:ascii="Verdana" w:eastAsia="Times New Roman" w:hAnsi="Verdana" w:cs="Arial"/>
          <w:lang w:eastAsia="es-CO"/>
        </w:rPr>
        <w:t xml:space="preserve"> […]”, pues “[…] </w:t>
      </w:r>
      <w:r w:rsidRPr="00C016C8">
        <w:rPr>
          <w:rFonts w:ascii="Verdana" w:eastAsia="Times New Roman" w:hAnsi="Verdana" w:cs="Arial"/>
          <w:lang w:eastAsia="es-CO"/>
        </w:rPr>
        <w:t xml:space="preserve">también los bienes muebles, inmuebles y personal hacen parte del concepto de </w:t>
      </w:r>
      <w:r>
        <w:rPr>
          <w:rFonts w:ascii="Verdana" w:eastAsia="Times New Roman" w:hAnsi="Verdana" w:cs="Arial"/>
          <w:lang w:eastAsia="es-CO"/>
        </w:rPr>
        <w:t>‘</w:t>
      </w:r>
      <w:r w:rsidRPr="00C016C8">
        <w:rPr>
          <w:rFonts w:ascii="Verdana" w:eastAsia="Times New Roman" w:hAnsi="Verdana" w:cs="Arial"/>
          <w:lang w:eastAsia="es-CO"/>
        </w:rPr>
        <w:t>recursos públicos</w:t>
      </w:r>
      <w:r>
        <w:rPr>
          <w:rFonts w:ascii="Verdana" w:eastAsia="Times New Roman" w:hAnsi="Verdana" w:cs="Arial"/>
          <w:lang w:eastAsia="es-CO"/>
        </w:rPr>
        <w:t>’”.</w:t>
      </w:r>
    </w:p>
    <w:p w14:paraId="391B4FE4" w14:textId="77777777" w:rsidR="00965BFD" w:rsidRPr="00667CD6" w:rsidRDefault="00965BFD" w:rsidP="00965BFD">
      <w:pPr>
        <w:spacing w:before="120" w:after="0" w:line="276" w:lineRule="auto"/>
        <w:ind w:firstLine="708"/>
        <w:jc w:val="both"/>
        <w:rPr>
          <w:rFonts w:ascii="Verdana" w:eastAsia="Times New Roman" w:hAnsi="Verdana" w:cs="Arial"/>
          <w:lang w:eastAsia="es-CO"/>
        </w:rPr>
      </w:pPr>
      <w:r w:rsidRPr="00667CD6">
        <w:rPr>
          <w:rFonts w:ascii="Verdana" w:eastAsia="Times New Roman" w:hAnsi="Verdana" w:cs="Arial"/>
          <w:lang w:eastAsia="es-CO"/>
        </w:rPr>
        <w:t xml:space="preserve">De esta manera, conforme a lo dispuesto en la Circular referida, si se suscriben </w:t>
      </w:r>
      <w:r w:rsidRPr="00667CD6">
        <w:rPr>
          <w:rFonts w:ascii="Verdana" w:eastAsia="Times New Roman" w:hAnsi="Verdana" w:cs="Arial"/>
          <w:i/>
          <w:iCs/>
          <w:lang w:eastAsia="es-CO"/>
        </w:rPr>
        <w:t>convenios interadministrativos para la ejecución de recursos públicos</w:t>
      </w:r>
      <w:r w:rsidRPr="00667CD6">
        <w:rPr>
          <w:rFonts w:ascii="Verdana" w:eastAsia="Times New Roman" w:hAnsi="Verdana" w:cs="Arial"/>
          <w:lang w:eastAsia="es-CO"/>
        </w:rPr>
        <w:t xml:space="preserve"> por los alcaldes, gobernadores, secretarios, gerentes y directores de las entidades del orden municipal, departamental o distrital, aplicará la prohibición del parágrafo del artículo 38 </w:t>
      </w:r>
      <w:r w:rsidRPr="00667CD6">
        <w:rPr>
          <w:rFonts w:ascii="Verdana" w:eastAsia="Times New Roman" w:hAnsi="Verdana" w:cs="Arial"/>
          <w:i/>
          <w:iCs/>
          <w:lang w:eastAsia="es-CO"/>
        </w:rPr>
        <w:t>ibidem</w:t>
      </w:r>
      <w:r w:rsidRPr="00667CD6">
        <w:rPr>
          <w:rFonts w:ascii="Verdana" w:eastAsia="Times New Roman" w:hAnsi="Verdana" w:cs="Arial"/>
          <w:lang w:eastAsia="es-CO"/>
        </w:rPr>
        <w:t>, independientemente de que se configure alguno de los supuestos de excepción que señaló el inciso final del artículo 33, es decir, que se trate de:</w:t>
      </w:r>
      <w:r w:rsidRPr="00667CD6">
        <w:rPr>
          <w:rFonts w:ascii="Verdana" w:hAnsi="Verdana" w:cs="Arial"/>
          <w:bCs/>
          <w:lang w:val="es-MX" w:eastAsia="x-none"/>
        </w:rPr>
        <w:t xml:space="preserve"> i) la defensa y seguridad del Estado; </w:t>
      </w:r>
      <w:proofErr w:type="spellStart"/>
      <w:r w:rsidRPr="00667CD6">
        <w:rPr>
          <w:rFonts w:ascii="Verdana" w:hAnsi="Verdana" w:cs="Arial"/>
          <w:bCs/>
          <w:lang w:val="es-MX" w:eastAsia="x-none"/>
        </w:rPr>
        <w:t>ii</w:t>
      </w:r>
      <w:proofErr w:type="spellEnd"/>
      <w:r w:rsidRPr="00667CD6">
        <w:rPr>
          <w:rFonts w:ascii="Verdana" w:hAnsi="Verdana" w:cs="Arial"/>
          <w:bCs/>
          <w:lang w:val="es-MX" w:eastAsia="x-none"/>
        </w:rPr>
        <w:t xml:space="preserve">) los contratos de crédito público; </w:t>
      </w:r>
      <w:proofErr w:type="spellStart"/>
      <w:r w:rsidRPr="00667CD6">
        <w:rPr>
          <w:rFonts w:ascii="Verdana" w:hAnsi="Verdana" w:cs="Arial"/>
          <w:bCs/>
          <w:lang w:val="es-MX" w:eastAsia="x-none"/>
        </w:rPr>
        <w:t>iii</w:t>
      </w:r>
      <w:proofErr w:type="spellEnd"/>
      <w:r w:rsidRPr="00667CD6">
        <w:rPr>
          <w:rFonts w:ascii="Verdana" w:hAnsi="Verdana" w:cs="Arial"/>
          <w:bCs/>
          <w:lang w:val="es-MX" w:eastAsia="x-none"/>
        </w:rPr>
        <w:t xml:space="preserve">) los requeridos para cubrir las emergencias educativas, sanitarias y desastres; </w:t>
      </w:r>
      <w:proofErr w:type="spellStart"/>
      <w:r w:rsidRPr="00667CD6">
        <w:rPr>
          <w:rFonts w:ascii="Verdana" w:hAnsi="Verdana" w:cs="Arial"/>
          <w:bCs/>
          <w:lang w:val="es-MX" w:eastAsia="x-none"/>
        </w:rPr>
        <w:t>iv</w:t>
      </w:r>
      <w:proofErr w:type="spellEnd"/>
      <w:r w:rsidRPr="00667CD6">
        <w:rPr>
          <w:rFonts w:ascii="Verdana" w:hAnsi="Verdana" w:cs="Arial"/>
          <w:bCs/>
          <w:lang w:val="es-MX" w:eastAsia="x-none"/>
        </w:rPr>
        <w:t>)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667CD6">
        <w:rPr>
          <w:rFonts w:ascii="Verdana" w:hAnsi="Verdana" w:cs="Arial"/>
          <w:bCs/>
          <w:lang w:val="es-MX" w:eastAsia="es-CO"/>
        </w:rPr>
        <w:t xml:space="preserve"> </w:t>
      </w:r>
      <w:r w:rsidRPr="00667CD6">
        <w:rPr>
          <w:rFonts w:ascii="Verdana" w:eastAsia="Times New Roman" w:hAnsi="Verdana" w:cs="Arial"/>
          <w:lang w:eastAsia="es-CO"/>
        </w:rPr>
        <w:t xml:space="preserve">  </w:t>
      </w:r>
    </w:p>
    <w:p w14:paraId="67D4A515" w14:textId="77777777" w:rsidR="00965BFD" w:rsidRPr="00667CD6" w:rsidRDefault="00965BFD" w:rsidP="00965BFD">
      <w:pPr>
        <w:spacing w:before="120" w:after="0" w:line="276" w:lineRule="auto"/>
        <w:ind w:firstLine="708"/>
        <w:jc w:val="both"/>
        <w:rPr>
          <w:rFonts w:ascii="Verdana" w:eastAsia="Times New Roman" w:hAnsi="Verdana" w:cs="Arial"/>
          <w:lang w:eastAsia="es-CO"/>
        </w:rPr>
      </w:pPr>
      <w:r w:rsidRPr="00667CD6">
        <w:rPr>
          <w:rFonts w:ascii="Verdana" w:eastAsia="Times New Roman" w:hAnsi="Verdana" w:cs="Arial"/>
          <w:lang w:eastAsia="es-CO"/>
        </w:rPr>
        <w:t xml:space="preserve">En este punto, </w:t>
      </w:r>
      <w:r>
        <w:rPr>
          <w:rFonts w:ascii="Verdana" w:eastAsia="Times New Roman" w:hAnsi="Verdana" w:cs="Arial"/>
          <w:lang w:eastAsia="es-CO"/>
        </w:rPr>
        <w:t>teniendo en cuenta lo señalado en el contenido de su petición</w:t>
      </w:r>
      <w:r w:rsidRPr="00667CD6">
        <w:rPr>
          <w:rFonts w:ascii="Verdana" w:eastAsia="Times New Roman" w:hAnsi="Verdana" w:cs="Arial"/>
          <w:lang w:eastAsia="es-CO"/>
        </w:rPr>
        <w:t xml:space="preserve">, vale la pena destacar que </w:t>
      </w:r>
      <w:r w:rsidRPr="00667CD6">
        <w:rPr>
          <w:rFonts w:ascii="Verdana" w:eastAsia="Arial" w:hAnsi="Verdana" w:cs="Arial"/>
          <w:lang w:val="es-MX" w:eastAsia="es-ES" w:bidi="es-ES"/>
        </w:rPr>
        <w:t xml:space="preserve">mediante auto de 4 de octubre del 2024, el Consejo de Estado, Subsección C de la Sección Tercera, decretó medida de suspensión provisional parcial del </w:t>
      </w:r>
      <w:r w:rsidRPr="00667CD6">
        <w:rPr>
          <w:rFonts w:ascii="Verdana" w:hAnsi="Verdana" w:cs="Arial"/>
        </w:rPr>
        <w:t xml:space="preserve">numeral 16.2 de la Circular Externa Única de 2022 expedida por la Agencia Nacional de Contratación Pública </w:t>
      </w:r>
      <w:r>
        <w:rPr>
          <w:rFonts w:ascii="Verdana" w:hAnsi="Verdana" w:cs="Arial"/>
        </w:rPr>
        <w:t xml:space="preserve">– </w:t>
      </w:r>
      <w:r w:rsidRPr="00667CD6">
        <w:rPr>
          <w:rFonts w:ascii="Verdana" w:hAnsi="Verdana" w:cs="Arial"/>
        </w:rPr>
        <w:t>Colombia Compra Eficiente, concretamente, respecto de los siguientes apartes normativos</w:t>
      </w:r>
      <w:r w:rsidRPr="00667CD6">
        <w:rPr>
          <w:rFonts w:ascii="Verdana" w:hAnsi="Verdana" w:cs="Arial"/>
          <w:vertAlign w:val="superscript"/>
        </w:rPr>
        <w:footnoteReference w:id="34"/>
      </w:r>
      <w:r w:rsidRPr="00667CD6">
        <w:rPr>
          <w:rFonts w:ascii="Verdana" w:hAnsi="Verdana" w:cs="Arial"/>
        </w:rPr>
        <w:t xml:space="preserve">: </w:t>
      </w:r>
    </w:p>
    <w:p w14:paraId="63CE0CDD" w14:textId="77777777" w:rsidR="00965BFD" w:rsidRPr="00667CD6" w:rsidRDefault="00965BFD" w:rsidP="00965BFD">
      <w:pPr>
        <w:spacing w:after="0" w:line="276" w:lineRule="auto"/>
        <w:ind w:firstLine="709"/>
        <w:jc w:val="both"/>
        <w:rPr>
          <w:rFonts w:ascii="Verdana" w:hAnsi="Verdana" w:cs="Arial"/>
        </w:rPr>
      </w:pPr>
    </w:p>
    <w:p w14:paraId="72D06C40" w14:textId="77777777" w:rsidR="00965BFD" w:rsidRPr="00667CD6" w:rsidRDefault="00965BFD" w:rsidP="00965BFD">
      <w:pPr>
        <w:spacing w:after="120" w:line="240" w:lineRule="auto"/>
        <w:ind w:left="709" w:right="709"/>
        <w:jc w:val="both"/>
        <w:rPr>
          <w:rFonts w:ascii="Verdana" w:hAnsi="Verdana" w:cs="Arial"/>
          <w:sz w:val="20"/>
          <w:szCs w:val="20"/>
        </w:rPr>
      </w:pPr>
      <w:r>
        <w:rPr>
          <w:rFonts w:ascii="Verdana" w:hAnsi="Verdana" w:cs="Arial"/>
          <w:sz w:val="20"/>
          <w:szCs w:val="20"/>
          <w:lang w:val="es-MX"/>
        </w:rPr>
        <w:t>“</w:t>
      </w:r>
      <w:r w:rsidRPr="00667CD6">
        <w:rPr>
          <w:rFonts w:ascii="Verdana" w:hAnsi="Verdana" w:cs="Arial"/>
          <w:sz w:val="20"/>
          <w:szCs w:val="20"/>
          <w:lang w:val="es-MX"/>
        </w:rPr>
        <w:t>i)</w:t>
      </w:r>
      <w:r w:rsidRPr="00667CD6">
        <w:rPr>
          <w:rFonts w:ascii="Verdana" w:hAnsi="Verdana" w:cs="Arial"/>
          <w:sz w:val="20"/>
          <w:szCs w:val="20"/>
        </w:rPr>
        <w:t xml:space="preserve"> el inciso segundo 2 que dispone: </w:t>
      </w:r>
      <w:r>
        <w:rPr>
          <w:rFonts w:ascii="Verdana" w:hAnsi="Verdana" w:cs="Arial"/>
          <w:sz w:val="20"/>
          <w:szCs w:val="20"/>
        </w:rPr>
        <w:t>‘</w:t>
      </w:r>
      <w:r w:rsidRPr="00667CD6">
        <w:rPr>
          <w:rFonts w:ascii="Verdana" w:hAnsi="Verdana" w:cs="Arial"/>
          <w:sz w:val="20"/>
          <w:szCs w:val="20"/>
        </w:rPr>
        <w:t xml:space="preserve">Esta restricción es aplicable tanto a los convenios como a los contratos interadministrativos, toda vez que, al no existir definición legal que diferencie el concepto de convenio del concepto de contrato, la denominación prevista por la Ley 80 de 1993 y la </w:t>
      </w:r>
      <w:r w:rsidRPr="00667CD6">
        <w:rPr>
          <w:rFonts w:ascii="Verdana" w:hAnsi="Verdana" w:cs="Arial"/>
          <w:sz w:val="20"/>
          <w:szCs w:val="20"/>
        </w:rPr>
        <w:lastRenderedPageBreak/>
        <w:t>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w:t>
      </w:r>
      <w:r>
        <w:rPr>
          <w:rFonts w:ascii="Verdana" w:hAnsi="Verdana" w:cs="Arial"/>
          <w:sz w:val="20"/>
          <w:szCs w:val="20"/>
        </w:rPr>
        <w:t>’</w:t>
      </w:r>
      <w:r w:rsidRPr="00667CD6">
        <w:rPr>
          <w:rFonts w:ascii="Verdana" w:hAnsi="Verdana" w:cs="Arial"/>
          <w:sz w:val="20"/>
          <w:szCs w:val="20"/>
        </w:rPr>
        <w:t xml:space="preserve"> y, </w:t>
      </w:r>
    </w:p>
    <w:p w14:paraId="40D5B7A7" w14:textId="77777777" w:rsidR="00965BFD" w:rsidRPr="00667CD6" w:rsidRDefault="00965BFD" w:rsidP="00965BFD">
      <w:pPr>
        <w:spacing w:after="0" w:line="240" w:lineRule="auto"/>
        <w:ind w:left="709" w:right="709"/>
        <w:jc w:val="both"/>
        <w:rPr>
          <w:rFonts w:ascii="Verdana" w:hAnsi="Verdana" w:cs="Arial"/>
          <w:sz w:val="20"/>
          <w:szCs w:val="20"/>
        </w:rPr>
      </w:pPr>
      <w:proofErr w:type="spellStart"/>
      <w:r w:rsidRPr="00667CD6">
        <w:rPr>
          <w:rFonts w:ascii="Verdana" w:hAnsi="Verdana" w:cs="Arial"/>
          <w:sz w:val="20"/>
          <w:szCs w:val="20"/>
        </w:rPr>
        <w:t>ii</w:t>
      </w:r>
      <w:proofErr w:type="spellEnd"/>
      <w:r w:rsidRPr="00667CD6">
        <w:rPr>
          <w:rFonts w:ascii="Verdana" w:hAnsi="Verdana" w:cs="Arial"/>
          <w:sz w:val="20"/>
          <w:szCs w:val="20"/>
        </w:rPr>
        <w:t xml:space="preserve">) la expresión y el siguiente párrafo contenidos en el inciso cuarto </w:t>
      </w:r>
      <w:r>
        <w:rPr>
          <w:rFonts w:ascii="Verdana" w:hAnsi="Verdana" w:cs="Arial"/>
          <w:sz w:val="20"/>
          <w:szCs w:val="20"/>
        </w:rPr>
        <w:t>‘</w:t>
      </w:r>
      <w:r w:rsidRPr="00667CD6">
        <w:rPr>
          <w:rFonts w:ascii="Verdana" w:hAnsi="Verdana" w:cs="Arial"/>
          <w:sz w:val="20"/>
          <w:szCs w:val="20"/>
        </w:rPr>
        <w:t>contratos</w:t>
      </w:r>
      <w:r>
        <w:rPr>
          <w:rFonts w:ascii="Verdana" w:hAnsi="Verdana" w:cs="Arial"/>
          <w:sz w:val="20"/>
          <w:szCs w:val="20"/>
        </w:rPr>
        <w:t>’</w:t>
      </w:r>
      <w:r w:rsidRPr="00667CD6">
        <w:rPr>
          <w:rFonts w:ascii="Verdana" w:hAnsi="Verdana" w:cs="Arial"/>
          <w:sz w:val="20"/>
          <w:szCs w:val="20"/>
        </w:rPr>
        <w:t xml:space="preserve"> y </w:t>
      </w:r>
      <w:r>
        <w:rPr>
          <w:rFonts w:ascii="Verdana" w:hAnsi="Verdana" w:cs="Arial"/>
          <w:sz w:val="20"/>
          <w:szCs w:val="20"/>
        </w:rPr>
        <w:t>‘</w:t>
      </w:r>
      <w:r w:rsidRPr="00667CD6">
        <w:rPr>
          <w:rFonts w:ascii="Verdana" w:hAnsi="Verdana" w:cs="Arial"/>
          <w:sz w:val="20"/>
          <w:szCs w:val="20"/>
        </w:rPr>
        <w:t>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w:t>
      </w:r>
      <w:r>
        <w:rPr>
          <w:rFonts w:ascii="Verdana" w:hAnsi="Verdana" w:cs="Arial"/>
          <w:sz w:val="20"/>
          <w:szCs w:val="20"/>
        </w:rPr>
        <w:t>’”</w:t>
      </w:r>
      <w:r w:rsidRPr="00667CD6">
        <w:rPr>
          <w:rFonts w:ascii="Verdana" w:hAnsi="Verdana" w:cs="Arial"/>
          <w:sz w:val="20"/>
          <w:szCs w:val="20"/>
        </w:rPr>
        <w:t xml:space="preserve">. </w:t>
      </w:r>
    </w:p>
    <w:p w14:paraId="61F36ACA" w14:textId="77777777" w:rsidR="00965BFD" w:rsidRPr="00667CD6" w:rsidRDefault="00965BFD" w:rsidP="00965BFD">
      <w:pPr>
        <w:spacing w:after="0" w:line="276" w:lineRule="auto"/>
        <w:ind w:left="709" w:right="709"/>
        <w:jc w:val="both"/>
        <w:rPr>
          <w:rFonts w:ascii="Verdana" w:hAnsi="Verdana" w:cs="Arial"/>
        </w:rPr>
      </w:pPr>
    </w:p>
    <w:p w14:paraId="5254C184" w14:textId="77777777" w:rsidR="00965BFD" w:rsidRPr="00667CD6" w:rsidRDefault="00965BFD" w:rsidP="00965BFD">
      <w:pPr>
        <w:spacing w:after="120" w:line="276" w:lineRule="auto"/>
        <w:ind w:firstLine="709"/>
        <w:jc w:val="both"/>
        <w:rPr>
          <w:rFonts w:ascii="Verdana" w:eastAsia="Arial" w:hAnsi="Verdana" w:cs="Arial"/>
          <w:i/>
          <w:iCs/>
          <w:lang w:eastAsia="es-ES" w:bidi="es-ES"/>
        </w:rPr>
      </w:pPr>
      <w:r w:rsidRPr="00667CD6">
        <w:rPr>
          <w:rFonts w:ascii="Verdana" w:eastAsia="Arial" w:hAnsi="Verdana" w:cs="Arial"/>
          <w:lang w:val="es-MX" w:eastAsia="es-ES" w:bidi="es-ES"/>
        </w:rPr>
        <w:t xml:space="preserve">De conformidad con los argumentos de dicha providencia, se parte de la distinción entre los conceptos </w:t>
      </w:r>
      <w:r w:rsidRPr="00667CD6">
        <w:rPr>
          <w:rFonts w:ascii="Verdana" w:eastAsia="Arial" w:hAnsi="Verdana" w:cs="Arial"/>
          <w:lang w:eastAsia="es-ES" w:bidi="es-ES"/>
        </w:rPr>
        <w:t>de “convenio” y “contrato” interadministrativos, para diferenciarlos en su naturaleza, contenido y alcance, lo cual ha servido de fundamento para que tanto la Sección Tercera como también la Sala de Consulta y Servicio Civil de esa Corporación hayan realzado la distinción entre uno y otro negocio jurídico.</w:t>
      </w:r>
      <w:r w:rsidRPr="00667CD6">
        <w:rPr>
          <w:rFonts w:ascii="Verdana" w:hAnsi="Verdana"/>
          <w:sz w:val="24"/>
          <w:szCs w:val="24"/>
          <w:lang w:eastAsia="es-CO"/>
        </w:rPr>
        <w:t xml:space="preserve"> </w:t>
      </w:r>
      <w:r w:rsidRPr="00667CD6">
        <w:rPr>
          <w:rFonts w:ascii="Verdana" w:eastAsia="Arial" w:hAnsi="Verdana" w:cs="Arial"/>
          <w:lang w:eastAsia="es-ES" w:bidi="es-ES"/>
        </w:rPr>
        <w:t xml:space="preserve">En este sentido, en relación con el parágrafo del artículo 38 de la Ley 996 de 2005 concluyó que </w:t>
      </w:r>
      <w:r w:rsidRPr="00667CD6">
        <w:rPr>
          <w:rFonts w:ascii="Verdana" w:eastAsia="Arial" w:hAnsi="Verdana" w:cs="Arial"/>
          <w:i/>
          <w:iCs/>
          <w:lang w:eastAsia="es-ES" w:bidi="es-ES"/>
        </w:rPr>
        <w:t xml:space="preserve">“si el legislador no diferenció al establecer la prohibición o la restricción, mal haría el reglamento en aplicar un efecto expansivo o extensivo para incluir una categoría no cobijada con la limitación, (…)”. </w:t>
      </w:r>
      <w:r w:rsidRPr="00667CD6">
        <w:rPr>
          <w:rFonts w:ascii="Verdana" w:eastAsia="Arial" w:hAnsi="Verdana" w:cs="Arial"/>
          <w:lang w:eastAsia="es-ES" w:bidi="es-ES"/>
        </w:rPr>
        <w:t xml:space="preserve">Por tal motivo, para efectos de decretar la medida de suspensión provisional de los apartes señalados del numeral 16.2 de la Circular Externa Única, argumentó que </w:t>
      </w:r>
      <w:r w:rsidRPr="00667CD6">
        <w:rPr>
          <w:rFonts w:ascii="Verdana" w:eastAsia="Arial" w:hAnsi="Verdana" w:cs="Arial"/>
          <w:i/>
          <w:iCs/>
          <w:lang w:eastAsia="es-ES" w:bidi="es-ES"/>
        </w:rPr>
        <w:t>“con independencia del propósito loable o plausible de la disposición ya que, procura que no se usen los recursos estatales para incidir o afectar la contienda electoral, no cabe duda de que la entidad demandada incorporó en la prohibición una categoría que no quedó comprendida expresa e inequívocamente en la ley</w:t>
      </w:r>
      <w:r>
        <w:rPr>
          <w:rFonts w:ascii="Verdana" w:eastAsia="Arial" w:hAnsi="Verdana" w:cs="Arial"/>
          <w:lang w:eastAsia="es-ES" w:bidi="es-ES"/>
        </w:rPr>
        <w:t>”</w:t>
      </w:r>
      <w:r w:rsidRPr="00667CD6">
        <w:rPr>
          <w:rFonts w:ascii="Verdana" w:eastAsia="Arial" w:hAnsi="Verdana" w:cs="Arial"/>
          <w:i/>
          <w:iCs/>
          <w:lang w:eastAsia="es-ES" w:bidi="es-ES"/>
        </w:rPr>
        <w:t xml:space="preserve">. </w:t>
      </w:r>
    </w:p>
    <w:p w14:paraId="1890C1A4" w14:textId="77777777" w:rsidR="00965BFD" w:rsidRPr="00667CD6" w:rsidRDefault="00965BFD" w:rsidP="00965BFD">
      <w:pPr>
        <w:spacing w:after="120" w:line="276" w:lineRule="auto"/>
        <w:ind w:firstLine="709"/>
        <w:jc w:val="both"/>
        <w:rPr>
          <w:rFonts w:ascii="Verdana" w:eastAsia="Arial" w:hAnsi="Verdana" w:cs="Arial"/>
          <w:lang w:eastAsia="es-ES" w:bidi="es-ES"/>
        </w:rPr>
      </w:pPr>
      <w:r w:rsidRPr="00667CD6">
        <w:rPr>
          <w:rFonts w:ascii="Verdana" w:eastAsia="Arial" w:hAnsi="Verdana" w:cs="Arial"/>
          <w:lang w:eastAsia="es-ES" w:bidi="es-ES"/>
        </w:rPr>
        <w:t>De igual manera, mediante auto del 6 de noviembre de 2025, el Consejo de Estado, Subsección A de la Sección Tercera, decretó</w:t>
      </w:r>
      <w:r w:rsidRPr="00667CD6">
        <w:rPr>
          <w:rFonts w:ascii="Verdana" w:eastAsia="Arial" w:hAnsi="Verdana" w:cs="Arial"/>
          <w:b/>
          <w:bCs/>
          <w:lang w:eastAsia="es-ES" w:bidi="es-ES"/>
        </w:rPr>
        <w:t xml:space="preserve"> </w:t>
      </w:r>
      <w:r w:rsidRPr="00667CD6">
        <w:rPr>
          <w:rFonts w:ascii="Verdana" w:eastAsia="Arial" w:hAnsi="Verdana" w:cs="Arial"/>
          <w:lang w:eastAsia="es-ES" w:bidi="es-ES"/>
        </w:rPr>
        <w:t>la suspensión provisional de los apartes cuestionados del inciso segundo y del inciso cuarto del numeral 16.2 de la Circular Externa Única, versión 3 del 27 de diciembre de 2023, expedida por la Agencia Nacional de Contratación Pública – Colombia Compra Eficiente relacionados con los contratos interadministrativos</w:t>
      </w:r>
      <w:r w:rsidRPr="00667CD6">
        <w:rPr>
          <w:rFonts w:ascii="Verdana" w:eastAsia="Arial" w:hAnsi="Verdana" w:cs="Arial"/>
          <w:vertAlign w:val="superscript"/>
          <w:lang w:eastAsia="es-ES" w:bidi="es-ES"/>
        </w:rPr>
        <w:footnoteReference w:id="35"/>
      </w:r>
      <w:r w:rsidRPr="00667CD6">
        <w:rPr>
          <w:rFonts w:ascii="Verdana" w:eastAsia="Arial" w:hAnsi="Verdana" w:cs="Arial"/>
          <w:lang w:eastAsia="es-ES" w:bidi="es-ES"/>
        </w:rPr>
        <w:t xml:space="preserve">. Para tales </w:t>
      </w:r>
      <w:r w:rsidRPr="00667CD6">
        <w:rPr>
          <w:rFonts w:ascii="Verdana" w:eastAsia="Arial" w:hAnsi="Verdana" w:cs="Arial"/>
          <w:lang w:eastAsia="es-ES" w:bidi="es-ES"/>
        </w:rPr>
        <w:lastRenderedPageBreak/>
        <w:t xml:space="preserve">efectos, el alto tribunal resaltó la interpretación restrictiva de las normas que contienen prohibiciones, como la del parágrafo del artículo 38 de la Ley 996 de 2005, por manera que se excluye la analogía </w:t>
      </w:r>
      <w:proofErr w:type="spellStart"/>
      <w:r w:rsidRPr="00667CD6">
        <w:rPr>
          <w:rFonts w:ascii="Verdana" w:eastAsia="Arial" w:hAnsi="Verdana" w:cs="Arial"/>
          <w:lang w:eastAsia="es-ES" w:bidi="es-ES"/>
        </w:rPr>
        <w:t>legis</w:t>
      </w:r>
      <w:proofErr w:type="spellEnd"/>
      <w:r w:rsidRPr="00667CD6">
        <w:rPr>
          <w:rFonts w:ascii="Verdana" w:eastAsia="Arial" w:hAnsi="Verdana" w:cs="Arial"/>
          <w:lang w:eastAsia="es-ES" w:bidi="es-ES"/>
        </w:rPr>
        <w:t xml:space="preserve"> o iuris y la interpretación extensiva y reiteró los argumentos sobre la diferencia entre contratos y convenios interadministrativos. </w:t>
      </w:r>
    </w:p>
    <w:p w14:paraId="04617E82" w14:textId="77777777" w:rsidR="00965BFD" w:rsidRDefault="00965BFD" w:rsidP="00965BFD">
      <w:pPr>
        <w:spacing w:after="120" w:line="276" w:lineRule="auto"/>
        <w:ind w:firstLine="709"/>
        <w:jc w:val="both"/>
        <w:rPr>
          <w:rFonts w:ascii="Verdana" w:eastAsia="Times New Roman" w:hAnsi="Verdana" w:cs="Times New Roman"/>
          <w:lang w:eastAsia="es-ES"/>
        </w:rPr>
      </w:pPr>
      <w:r w:rsidRPr="31E4E861">
        <w:rPr>
          <w:rFonts w:ascii="Verdana" w:eastAsia="Arial" w:hAnsi="Verdana" w:cs="Arial"/>
          <w:lang w:eastAsia="es-ES" w:bidi="es-ES"/>
        </w:rPr>
        <w:t xml:space="preserve">Finalmente, mediante sentencia del 17 de octubre de 2025, emitida por la Sala de lo Contencioso Administrativo del Consejo de Estado, dentro del expediente </w:t>
      </w:r>
      <w:r w:rsidRPr="31E4E861">
        <w:rPr>
          <w:rFonts w:ascii="Verdana" w:eastAsia="Times New Roman" w:hAnsi="Verdana" w:cs="Times New Roman"/>
          <w:lang w:eastAsia="es-ES"/>
        </w:rPr>
        <w:t xml:space="preserve">11001-03-26-000-2023-00139-00, se declaró la nulidad parcial del numeral 16.2 de la Circular Externa Única de 2022 expedida por la Agencia Nacional de Contratación Pública - Colombia Compra Eficiente que indicaba: “Esta restricción es aplicable tanto a los convenios como a los contratos interadministrativos…”. </w:t>
      </w:r>
    </w:p>
    <w:p w14:paraId="2B3EF11B" w14:textId="77777777" w:rsidR="00965BFD" w:rsidRDefault="00965BFD" w:rsidP="00965BFD">
      <w:pPr>
        <w:spacing w:after="120" w:line="276" w:lineRule="auto"/>
        <w:ind w:firstLine="709"/>
        <w:jc w:val="both"/>
        <w:rPr>
          <w:rFonts w:ascii="Verdana" w:eastAsia="Times New Roman" w:hAnsi="Verdana" w:cs="Times New Roman"/>
          <w:lang w:eastAsia="es-ES"/>
        </w:rPr>
      </w:pPr>
      <w:r w:rsidRPr="2035D652">
        <w:rPr>
          <w:rFonts w:ascii="Verdana" w:eastAsia="Times New Roman" w:hAnsi="Verdana" w:cs="Times New Roman"/>
          <w:lang w:eastAsia="es-ES"/>
        </w:rPr>
        <w:t>La anterior decisión se adoptó al considerar que la Agencia excedió su competencia material al incluir contratos en una restricción que la Ley de Garantías Electorales solo previó para convenios, cuando no es posible aplicar por analogía o extensión una norma que establece prohibiciones</w:t>
      </w:r>
      <w:r w:rsidRPr="2035D652">
        <w:rPr>
          <w:rStyle w:val="Refdenotaalpie"/>
          <w:rFonts w:ascii="Verdana" w:eastAsia="Times New Roman" w:hAnsi="Verdana" w:cs="Times New Roman"/>
          <w:lang w:eastAsia="es-ES"/>
        </w:rPr>
        <w:footnoteReference w:id="36"/>
      </w:r>
      <w:r w:rsidRPr="2035D652">
        <w:rPr>
          <w:rFonts w:ascii="Verdana" w:eastAsia="Times New Roman" w:hAnsi="Verdana" w:cs="Times New Roman"/>
          <w:lang w:eastAsia="es-ES"/>
        </w:rPr>
        <w:t xml:space="preserve">. Sobre el </w:t>
      </w:r>
      <w:r w:rsidRPr="2035D652">
        <w:rPr>
          <w:rFonts w:ascii="Verdana" w:eastAsia="Times New Roman" w:hAnsi="Verdana" w:cs="Times New Roman"/>
          <w:lang w:eastAsia="es-ES"/>
        </w:rPr>
        <w:lastRenderedPageBreak/>
        <w:t xml:space="preserve">particular, la Sala concluyó que contratos y convenios interadministrativos son figuras distintas en naturaleza, objeto y efectos, pues mientras los contratos implican obligaciones patrimoniales y contraprestación, los convenios se basan en cooperación sin ánimo económico. Por ello, la restricción legal no podía aplicarse extensivamente a los contratos. </w:t>
      </w:r>
    </w:p>
    <w:p w14:paraId="28B47546" w14:textId="77777777" w:rsidR="00965BFD" w:rsidRDefault="00965BFD" w:rsidP="00965BFD">
      <w:pPr>
        <w:spacing w:after="0" w:line="276" w:lineRule="auto"/>
        <w:ind w:firstLine="709"/>
        <w:jc w:val="both"/>
        <w:rPr>
          <w:rFonts w:ascii="Verdana" w:eastAsia="Times New Roman" w:hAnsi="Verdana" w:cs="Arial"/>
          <w:lang w:eastAsia="es-CO"/>
        </w:rPr>
      </w:pPr>
      <w:r w:rsidRPr="2035D652">
        <w:rPr>
          <w:rFonts w:ascii="Verdana" w:eastAsia="Times New Roman" w:hAnsi="Verdana" w:cs="Times New Roman"/>
          <w:lang w:eastAsia="es-ES"/>
        </w:rPr>
        <w:t xml:space="preserve">A juicio de la Sala, aunque el propósito de la Circular Externa era legítimo </w:t>
      </w:r>
      <w:r>
        <w:rPr>
          <w:rFonts w:ascii="Verdana" w:eastAsia="Times New Roman" w:hAnsi="Verdana" w:cs="Times New Roman"/>
          <w:lang w:eastAsia="es-ES"/>
        </w:rPr>
        <w:t>–</w:t>
      </w:r>
      <w:r w:rsidRPr="2035D652">
        <w:rPr>
          <w:rFonts w:ascii="Verdana" w:eastAsia="Times New Roman" w:hAnsi="Verdana" w:cs="Times New Roman"/>
          <w:lang w:eastAsia="es-ES"/>
        </w:rPr>
        <w:t>evitar el uso indebido de recursos en época electoral</w:t>
      </w:r>
      <w:r>
        <w:rPr>
          <w:rFonts w:ascii="Verdana" w:eastAsia="Times New Roman" w:hAnsi="Verdana" w:cs="Times New Roman"/>
          <w:lang w:eastAsia="es-ES"/>
        </w:rPr>
        <w:t>–</w:t>
      </w:r>
      <w:r w:rsidRPr="2035D652">
        <w:rPr>
          <w:rFonts w:ascii="Verdana" w:eastAsia="Times New Roman" w:hAnsi="Verdana" w:cs="Times New Roman"/>
          <w:lang w:eastAsia="es-ES"/>
        </w:rPr>
        <w:t>, el numeral 16.2. desconoció el alcance literal del artículo 38 de la Ley 996 de 2005 y los límites de la potestad reglamentaria, lo que configuró un vicio de contenido.</w:t>
      </w:r>
      <w:r>
        <w:rPr>
          <w:rFonts w:ascii="Verdana" w:eastAsia="Times New Roman" w:hAnsi="Verdana" w:cs="Times New Roman"/>
          <w:lang w:eastAsia="es-ES"/>
        </w:rPr>
        <w:t xml:space="preserve"> </w:t>
      </w:r>
      <w:r w:rsidRPr="00667CD6">
        <w:rPr>
          <w:rFonts w:ascii="Verdana" w:eastAsia="Times New Roman" w:hAnsi="Verdana" w:cs="Arial"/>
          <w:lang w:eastAsia="es-CO"/>
        </w:rPr>
        <w:t>Así las cosas, a la luz de lo expuesto por el Consejo de Estado</w:t>
      </w:r>
      <w:r>
        <w:rPr>
          <w:rFonts w:ascii="Verdana" w:eastAsia="Times New Roman" w:hAnsi="Verdana" w:cs="Arial"/>
          <w:lang w:eastAsia="es-CO"/>
        </w:rPr>
        <w:t xml:space="preserve">, </w:t>
      </w:r>
      <w:r w:rsidRPr="2035D652">
        <w:rPr>
          <w:rFonts w:ascii="Verdana" w:eastAsia="Times New Roman" w:hAnsi="Verdana" w:cs="Arial"/>
          <w:lang w:eastAsia="es-CO"/>
        </w:rPr>
        <w:t>en la sentencia expedida por la Sección Tercera de la Sala de lo Contencioso Administrativo del 17 de octubre de 2025</w:t>
      </w:r>
      <w:r>
        <w:rPr>
          <w:rFonts w:ascii="Verdana" w:eastAsia="Times New Roman" w:hAnsi="Verdana" w:cs="Arial"/>
          <w:lang w:eastAsia="es-CO"/>
        </w:rPr>
        <w:t>,</w:t>
      </w:r>
      <w:r w:rsidRPr="00667CD6">
        <w:rPr>
          <w:rFonts w:ascii="Verdana" w:eastAsia="Times New Roman" w:hAnsi="Verdana" w:cs="Arial"/>
          <w:lang w:eastAsia="es-CO"/>
        </w:rPr>
        <w:t xml:space="preserve"> en los autos del 4 de octubre de 2024 y 6 de noviembre de 2025, no resultaría aplicable la prohibición del parágrafo del artículo 38 de la Ley de Garantías Electorales a los </w:t>
      </w:r>
      <w:r w:rsidRPr="00667CD6">
        <w:rPr>
          <w:rFonts w:ascii="Verdana" w:eastAsia="Times New Roman" w:hAnsi="Verdana" w:cs="Arial"/>
          <w:i/>
          <w:iCs/>
          <w:lang w:eastAsia="es-CO"/>
        </w:rPr>
        <w:t>contratos interadministrativos</w:t>
      </w:r>
      <w:r>
        <w:rPr>
          <w:rFonts w:ascii="Verdana" w:eastAsia="Times New Roman" w:hAnsi="Verdana" w:cs="Arial"/>
          <w:lang w:eastAsia="es-CO"/>
        </w:rPr>
        <w:t>, esta prohibición solo aplicaría a los convenios interadministrativos que impliquen la ejecución de recursos públicos</w:t>
      </w:r>
      <w:r>
        <w:rPr>
          <w:rStyle w:val="Refdenotaalpie"/>
          <w:rFonts w:ascii="Verdana" w:eastAsia="Times New Roman" w:hAnsi="Verdana" w:cs="Arial"/>
          <w:lang w:eastAsia="es-CO"/>
        </w:rPr>
        <w:footnoteReference w:id="37"/>
      </w:r>
      <w:r>
        <w:rPr>
          <w:rFonts w:ascii="Verdana" w:eastAsia="Times New Roman" w:hAnsi="Verdana" w:cs="Arial"/>
          <w:lang w:eastAsia="es-CO"/>
        </w:rPr>
        <w:t>.</w:t>
      </w:r>
    </w:p>
    <w:p w14:paraId="2E03B774" w14:textId="77777777" w:rsidR="00965BFD" w:rsidRDefault="00965BFD" w:rsidP="00965BFD">
      <w:pPr>
        <w:spacing w:after="0" w:line="276" w:lineRule="auto"/>
        <w:jc w:val="both"/>
        <w:rPr>
          <w:rFonts w:ascii="Verdana" w:eastAsia="Arial" w:hAnsi="Verdana" w:cs="Arial"/>
          <w:lang w:val="es-ES" w:eastAsia="es-ES" w:bidi="es-ES"/>
        </w:rPr>
      </w:pPr>
    </w:p>
    <w:p w14:paraId="5FA19962" w14:textId="77777777" w:rsidR="00965BFD" w:rsidRPr="003A380F" w:rsidRDefault="00965BFD" w:rsidP="00965BFD">
      <w:pPr>
        <w:spacing w:after="120" w:line="276" w:lineRule="auto"/>
        <w:jc w:val="both"/>
        <w:rPr>
          <w:rFonts w:ascii="Verdana" w:eastAsia="Calibri" w:hAnsi="Verdana" w:cs="Arial"/>
          <w:bCs/>
          <w:color w:val="000000" w:themeColor="text1"/>
        </w:rPr>
      </w:pPr>
      <w:r w:rsidRPr="003A380F">
        <w:rPr>
          <w:rFonts w:ascii="Verdana" w:eastAsia="Calibri" w:hAnsi="Verdana" w:cs="Arial"/>
          <w:bCs/>
          <w:color w:val="000000" w:themeColor="text1"/>
        </w:rPr>
        <w:t>vi. Al margen de la explicación precedente</w:t>
      </w:r>
      <w:r>
        <w:rPr>
          <w:rFonts w:ascii="Verdana" w:eastAsia="Calibri" w:hAnsi="Verdana" w:cs="Arial"/>
          <w:bCs/>
          <w:color w:val="000000" w:themeColor="text1"/>
        </w:rPr>
        <w:t>,</w:t>
      </w:r>
      <w:r w:rsidRPr="003A380F">
        <w:rPr>
          <w:rFonts w:ascii="Verdana" w:eastAsia="Calibri" w:hAnsi="Verdana" w:cs="Arial"/>
          <w:bCs/>
          <w:color w:val="000000" w:themeColor="text1"/>
        </w:rPr>
        <w:t xml:space="preserve"> debe advertirse que el análisis requerido para resolver problemas específicos en torno a la gestión contractual de las entidades públicas debe ser realizado por quienes tengan interés en ello, de acuerdo con lo explicado </w:t>
      </w:r>
      <w:r>
        <w:rPr>
          <w:rFonts w:ascii="Verdana" w:eastAsia="Calibri" w:hAnsi="Verdana" w:cs="Arial"/>
          <w:bCs/>
          <w:color w:val="000000" w:themeColor="text1"/>
        </w:rPr>
        <w:t>en la</w:t>
      </w:r>
      <w:r w:rsidRPr="003A380F">
        <w:rPr>
          <w:rFonts w:ascii="Verdana" w:eastAsia="Calibri" w:hAnsi="Verdana" w:cs="Arial"/>
          <w:bCs/>
          <w:color w:val="000000" w:themeColor="text1"/>
        </w:rPr>
        <w:t xml:space="preserve">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55861FF0" w14:textId="77777777" w:rsidR="00965BFD" w:rsidRPr="00185EE9" w:rsidRDefault="00965BFD" w:rsidP="00965BFD">
      <w:pPr>
        <w:spacing w:after="0" w:line="276" w:lineRule="auto"/>
        <w:ind w:firstLine="708"/>
        <w:jc w:val="both"/>
        <w:rPr>
          <w:rFonts w:ascii="Verdana" w:eastAsia="Calibri" w:hAnsi="Verdana" w:cs="Arial"/>
          <w:bCs/>
          <w:color w:val="000000" w:themeColor="text1"/>
        </w:rPr>
      </w:pPr>
      <w:r w:rsidRPr="003A380F">
        <w:rPr>
          <w:rFonts w:ascii="Verdana" w:eastAsia="Calibri" w:hAnsi="Verdana" w:cs="Arial"/>
          <w:bCs/>
          <w:color w:val="000000" w:themeColor="text1"/>
        </w:rPr>
        <w:lastRenderedPageBreak/>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r w:rsidRPr="00185EE9">
        <w:rPr>
          <w:rFonts w:ascii="Verdana" w:eastAsia="Calibri" w:hAnsi="Verdana" w:cs="Arial"/>
          <w:bCs/>
          <w:color w:val="000000" w:themeColor="text1"/>
        </w:rPr>
        <w:t xml:space="preserve"> </w:t>
      </w:r>
    </w:p>
    <w:p w14:paraId="1A3CD5A2" w14:textId="77777777" w:rsidR="009C0FC6" w:rsidRPr="003002F9" w:rsidRDefault="009C0FC6" w:rsidP="009C0FC6">
      <w:pPr>
        <w:spacing w:after="0" w:line="276" w:lineRule="auto"/>
        <w:jc w:val="both"/>
        <w:rPr>
          <w:rFonts w:ascii="Verdana" w:eastAsia="Calibri" w:hAnsi="Verdana" w:cs="Arial"/>
          <w:bCs/>
          <w:color w:val="000000" w:themeColor="text1"/>
        </w:rPr>
      </w:pPr>
    </w:p>
    <w:p w14:paraId="2ADC6D29" w14:textId="77777777" w:rsidR="009C0FC6" w:rsidRPr="00667CD6" w:rsidRDefault="009C0FC6" w:rsidP="009C0FC6">
      <w:pPr>
        <w:numPr>
          <w:ilvl w:val="0"/>
          <w:numId w:val="16"/>
        </w:numPr>
        <w:tabs>
          <w:tab w:val="left" w:pos="142"/>
          <w:tab w:val="left" w:pos="284"/>
        </w:tabs>
        <w:spacing w:after="0" w:line="276" w:lineRule="auto"/>
        <w:ind w:left="360"/>
        <w:jc w:val="both"/>
        <w:rPr>
          <w:rFonts w:ascii="Verdana" w:eastAsia="Century Gothic" w:hAnsi="Verdana" w:cs="Century Gothic"/>
          <w:b/>
          <w:bCs/>
          <w:lang w:val="es-ES_tradnl"/>
        </w:rPr>
      </w:pPr>
      <w:r w:rsidRPr="00667CD6">
        <w:rPr>
          <w:rFonts w:ascii="Verdana" w:eastAsia="Century Gothic" w:hAnsi="Verdana" w:cs="Century Gothic"/>
          <w:b/>
          <w:bCs/>
          <w:lang w:val="es-ES_tradnl"/>
        </w:rPr>
        <w:t>Referencias normativas:</w:t>
      </w:r>
    </w:p>
    <w:p w14:paraId="65549868" w14:textId="77777777" w:rsidR="009C0FC6" w:rsidRPr="00667CD6" w:rsidRDefault="009C0FC6" w:rsidP="009C0FC6">
      <w:pPr>
        <w:widowControl w:val="0"/>
        <w:autoSpaceDE w:val="0"/>
        <w:autoSpaceDN w:val="0"/>
        <w:spacing w:after="0" w:line="276" w:lineRule="auto"/>
        <w:jc w:val="both"/>
        <w:rPr>
          <w:rFonts w:ascii="Verdana" w:hAnsi="Verdana" w:cs="Arial"/>
          <w:lang w:val="es-ES_tradnl"/>
        </w:rPr>
      </w:pPr>
    </w:p>
    <w:tbl>
      <w:tblPr>
        <w:tblStyle w:val="Tablaconcuadrcula1"/>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9C0FC6" w:rsidRPr="00667CD6" w14:paraId="3893089C" w14:textId="77777777" w:rsidTr="00FB43C2">
        <w:trPr>
          <w:trHeight w:val="491"/>
          <w:jc w:val="center"/>
        </w:trPr>
        <w:tc>
          <w:tcPr>
            <w:tcW w:w="8647" w:type="dxa"/>
          </w:tcPr>
          <w:p w14:paraId="7967B7CD" w14:textId="77777777" w:rsidR="009C0FC6" w:rsidRDefault="009C0FC6" w:rsidP="00FB43C2">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667CD6">
              <w:rPr>
                <w:rFonts w:ascii="Verdana" w:eastAsia="Arial MT" w:hAnsi="Verdana" w:cs="Arial"/>
                <w:lang w:val="es-ES" w:eastAsia="es-ES" w:bidi="es-ES"/>
              </w:rPr>
              <w:t>Constitución Política, artículo 127</w:t>
            </w:r>
            <w:r>
              <w:rPr>
                <w:rFonts w:ascii="Verdana" w:eastAsia="Arial MT" w:hAnsi="Verdana" w:cs="Arial"/>
                <w:lang w:val="es-ES" w:eastAsia="es-ES" w:bidi="es-ES"/>
              </w:rPr>
              <w:t xml:space="preserve"> y 197</w:t>
            </w:r>
          </w:p>
          <w:p w14:paraId="1B033480" w14:textId="77777777" w:rsidR="009C0FC6" w:rsidRDefault="009C0FC6" w:rsidP="00FB43C2">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6C67CA">
              <w:rPr>
                <w:rFonts w:ascii="Verdana" w:eastAsia="Arial MT" w:hAnsi="Verdana" w:cs="Arial"/>
                <w:lang w:eastAsia="es-ES" w:bidi="es-ES"/>
              </w:rPr>
              <w:t>Ley 80 de 1993, artículos 39 y 41.</w:t>
            </w:r>
          </w:p>
          <w:p w14:paraId="6501E43F" w14:textId="77777777" w:rsidR="009C0FC6" w:rsidRPr="006C67CA" w:rsidRDefault="009C0FC6" w:rsidP="00FB43C2">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6C67CA">
              <w:rPr>
                <w:rFonts w:ascii="Verdana" w:eastAsia="Arial MT" w:hAnsi="Verdana" w:cs="Arial"/>
                <w:bCs/>
                <w:lang w:val="es-ES" w:eastAsia="es-ES" w:bidi="es-ES"/>
              </w:rPr>
              <w:t>Ley 996 de 2005, artículos 33 y 38.</w:t>
            </w:r>
          </w:p>
          <w:p w14:paraId="149E253F" w14:textId="77777777" w:rsidR="009C0FC6" w:rsidRPr="007B33FF" w:rsidRDefault="009C0FC6" w:rsidP="00FB43C2">
            <w:pPr>
              <w:widowControl w:val="0"/>
              <w:numPr>
                <w:ilvl w:val="0"/>
                <w:numId w:val="17"/>
              </w:numPr>
              <w:autoSpaceDE w:val="0"/>
              <w:autoSpaceDN w:val="0"/>
              <w:spacing w:after="120" w:line="276" w:lineRule="auto"/>
              <w:jc w:val="both"/>
              <w:rPr>
                <w:rFonts w:ascii="Verdana" w:eastAsia="Arial MT" w:hAnsi="Verdana" w:cs="Arial"/>
                <w:lang w:val="es-ES" w:eastAsia="es-ES" w:bidi="es-ES"/>
              </w:rPr>
            </w:pPr>
            <w:r>
              <w:rPr>
                <w:rFonts w:ascii="Verdana" w:hAnsi="Verdana" w:cs="Arial"/>
                <w:bCs/>
                <w:color w:val="000000" w:themeColor="text1"/>
                <w:lang w:val="es-ES"/>
              </w:rPr>
              <w:t>Ley 1150 de 2007, artículo 2.</w:t>
            </w:r>
          </w:p>
          <w:p w14:paraId="1207ABFE" w14:textId="77777777" w:rsidR="009C0FC6" w:rsidRPr="002B65C4" w:rsidRDefault="009C0FC6" w:rsidP="00FB43C2">
            <w:pPr>
              <w:widowControl w:val="0"/>
              <w:numPr>
                <w:ilvl w:val="0"/>
                <w:numId w:val="17"/>
              </w:numPr>
              <w:autoSpaceDE w:val="0"/>
              <w:autoSpaceDN w:val="0"/>
              <w:spacing w:after="120" w:line="276" w:lineRule="auto"/>
              <w:jc w:val="both"/>
              <w:rPr>
                <w:rFonts w:ascii="Verdana" w:hAnsi="Verdana" w:cs="Arial"/>
                <w:lang w:val="es-ES"/>
              </w:rPr>
            </w:pPr>
            <w:r w:rsidRPr="005E099F">
              <w:rPr>
                <w:rFonts w:ascii="Verdana" w:eastAsia="Times New Roman" w:hAnsi="Verdana" w:cs="Times New Roman"/>
                <w:lang w:val="pt-PT" w:eastAsia="es-ES_tradnl"/>
              </w:rPr>
              <w:t xml:space="preserve">Corte Constitucional. Sentencia C- 1153 de 2005. </w:t>
            </w:r>
            <w:r w:rsidRPr="00E348E8">
              <w:rPr>
                <w:rFonts w:ascii="Verdana" w:eastAsia="Times New Roman" w:hAnsi="Verdana" w:cs="Times New Roman"/>
                <w:lang w:eastAsia="es-ES_tradnl"/>
              </w:rPr>
              <w:t>M.P. Marco Gerardo Monroy Cabra</w:t>
            </w:r>
            <w:r w:rsidRPr="00670659">
              <w:rPr>
                <w:rFonts w:ascii="Verdana" w:eastAsia="Times New Roman" w:hAnsi="Verdana" w:cs="Times New Roman"/>
                <w:lang w:eastAsia="es-ES_tradnl"/>
              </w:rPr>
              <w:t xml:space="preserve"> </w:t>
            </w:r>
          </w:p>
          <w:p w14:paraId="4B5DFB66" w14:textId="77777777" w:rsidR="009C0FC6" w:rsidRDefault="009C0FC6" w:rsidP="00FB43C2">
            <w:pPr>
              <w:widowControl w:val="0"/>
              <w:numPr>
                <w:ilvl w:val="0"/>
                <w:numId w:val="17"/>
              </w:numPr>
              <w:autoSpaceDE w:val="0"/>
              <w:autoSpaceDN w:val="0"/>
              <w:spacing w:after="120" w:line="276" w:lineRule="auto"/>
              <w:jc w:val="both"/>
              <w:rPr>
                <w:rFonts w:ascii="Verdana" w:hAnsi="Verdana" w:cs="Arial"/>
                <w:lang w:val="es-ES"/>
              </w:rPr>
            </w:pPr>
            <w:r w:rsidRPr="002B65C4">
              <w:rPr>
                <w:rFonts w:ascii="Verdana" w:hAnsi="Verdana" w:cs="Arial"/>
                <w:lang w:val="es-ES"/>
              </w:rPr>
              <w:t>Corte Constitucional. Sentencias: C-233 de 4 de abril de 2002, expediente: D-3704; C-551 de 9 de julio de 2003, expediente: CRF-001 de 9 de julio de 2003</w:t>
            </w:r>
            <w:r>
              <w:t xml:space="preserve">, </w:t>
            </w:r>
            <w:r w:rsidRPr="003D1395">
              <w:rPr>
                <w:rFonts w:ascii="Verdana" w:hAnsi="Verdana" w:cs="Arial"/>
                <w:lang w:val="es-ES"/>
              </w:rPr>
              <w:t>C-652 de 5 de agosto de 2003, expediente: D-4330; C-353 de 20 de mayo de 2009, expediente: D-7518, C-541 de 30 de junio de 2010, expediente: DD7966</w:t>
            </w:r>
          </w:p>
          <w:p w14:paraId="6F8266DF" w14:textId="77777777" w:rsidR="009C0FC6" w:rsidRDefault="009C0FC6" w:rsidP="00FB43C2">
            <w:pPr>
              <w:widowControl w:val="0"/>
              <w:numPr>
                <w:ilvl w:val="0"/>
                <w:numId w:val="17"/>
              </w:numPr>
              <w:autoSpaceDE w:val="0"/>
              <w:autoSpaceDN w:val="0"/>
              <w:spacing w:after="120" w:line="276" w:lineRule="auto"/>
              <w:jc w:val="both"/>
              <w:rPr>
                <w:rFonts w:ascii="Verdana" w:hAnsi="Verdana" w:cs="Arial"/>
                <w:lang w:val="es-ES"/>
              </w:rPr>
            </w:pPr>
            <w:r w:rsidRPr="008130B2">
              <w:rPr>
                <w:rFonts w:ascii="Verdana" w:hAnsi="Verdana" w:cs="Arial"/>
                <w:lang w:val="es-ES"/>
              </w:rPr>
              <w:t>Consejo de Estado, Sala de lo Contencioso Administrativo, Sección Primera. Sentencia de 3 de marzo de 2005, expediente número 2004-00823-01(PI).</w:t>
            </w:r>
          </w:p>
          <w:p w14:paraId="78B16BA6" w14:textId="77777777" w:rsidR="009C0FC6" w:rsidRDefault="009C0FC6" w:rsidP="00FB43C2">
            <w:pPr>
              <w:widowControl w:val="0"/>
              <w:numPr>
                <w:ilvl w:val="0"/>
                <w:numId w:val="17"/>
              </w:numPr>
              <w:autoSpaceDE w:val="0"/>
              <w:autoSpaceDN w:val="0"/>
              <w:spacing w:after="120" w:line="276" w:lineRule="auto"/>
              <w:jc w:val="both"/>
              <w:rPr>
                <w:rFonts w:ascii="Verdana" w:hAnsi="Verdana" w:cs="Arial"/>
                <w:lang w:val="es-ES"/>
              </w:rPr>
            </w:pPr>
            <w:r w:rsidRPr="00A1584C">
              <w:rPr>
                <w:rFonts w:ascii="Verdana" w:hAnsi="Verdana" w:cs="Arial"/>
                <w:lang w:val="es-ES"/>
              </w:rPr>
              <w:t xml:space="preserve">Consejo de Estado, Sala de Consulta y Servicio Civil de fecha 24 de julio de 2013, radicado 2166, C. P. Álvaro Namén Vargas.  </w:t>
            </w:r>
          </w:p>
          <w:p w14:paraId="497BBC36" w14:textId="77777777" w:rsidR="009C0FC6" w:rsidRDefault="009C0FC6" w:rsidP="00FB43C2">
            <w:pPr>
              <w:widowControl w:val="0"/>
              <w:numPr>
                <w:ilvl w:val="0"/>
                <w:numId w:val="17"/>
              </w:numPr>
              <w:autoSpaceDE w:val="0"/>
              <w:autoSpaceDN w:val="0"/>
              <w:spacing w:after="120" w:line="276" w:lineRule="auto"/>
              <w:jc w:val="both"/>
              <w:rPr>
                <w:rFonts w:ascii="Verdana" w:hAnsi="Verdana" w:cs="Arial"/>
                <w:lang w:val="es-ES"/>
              </w:rPr>
            </w:pPr>
            <w:r w:rsidRPr="001B2705">
              <w:rPr>
                <w:rFonts w:ascii="Verdana" w:hAnsi="Verdana" w:cs="Arial"/>
                <w:lang w:val="es-ES"/>
              </w:rPr>
              <w:t>Consejo de Estado. Sala de Consulta y Servicio Civil. Concepto del 17 de febrero de 2015. C.P. William Zambrano Cetina. Radicación No. 11001-03-06-000-2015-00164-00(2269).</w:t>
            </w:r>
          </w:p>
          <w:p w14:paraId="2AF035AA" w14:textId="77777777" w:rsidR="009C0FC6" w:rsidRDefault="009C0FC6" w:rsidP="00FB43C2">
            <w:pPr>
              <w:widowControl w:val="0"/>
              <w:numPr>
                <w:ilvl w:val="0"/>
                <w:numId w:val="17"/>
              </w:numPr>
              <w:autoSpaceDE w:val="0"/>
              <w:autoSpaceDN w:val="0"/>
              <w:spacing w:after="120" w:line="276" w:lineRule="auto"/>
              <w:jc w:val="both"/>
              <w:rPr>
                <w:rFonts w:ascii="Verdana" w:hAnsi="Verdana" w:cs="Arial"/>
                <w:lang w:val="es-ES"/>
              </w:rPr>
            </w:pPr>
            <w:r w:rsidRPr="000F506D">
              <w:rPr>
                <w:rFonts w:ascii="Verdana" w:hAnsi="Verdana" w:cs="Arial"/>
                <w:lang w:val="es-ES"/>
              </w:rPr>
              <w:t xml:space="preserve">Consejo de Estado. Sección Tercera. Sentencia de 3 de diciembre de </w:t>
            </w:r>
            <w:r w:rsidRPr="000F506D">
              <w:rPr>
                <w:rFonts w:ascii="Verdana" w:hAnsi="Verdana" w:cs="Arial"/>
                <w:lang w:val="es-ES"/>
              </w:rPr>
              <w:lastRenderedPageBreak/>
              <w:t>2007. Radicados: 24.715, 25.206, 25.409, 24.524, 27.834, 25.410, 26.105, 28.244, 31.447 -acumulados</w:t>
            </w:r>
          </w:p>
          <w:p w14:paraId="5C4790A0" w14:textId="77777777" w:rsidR="009C0FC6" w:rsidRDefault="009C0FC6" w:rsidP="00FB43C2">
            <w:pPr>
              <w:widowControl w:val="0"/>
              <w:numPr>
                <w:ilvl w:val="0"/>
                <w:numId w:val="17"/>
              </w:numPr>
              <w:autoSpaceDE w:val="0"/>
              <w:autoSpaceDN w:val="0"/>
              <w:spacing w:after="120" w:line="276" w:lineRule="auto"/>
              <w:jc w:val="both"/>
              <w:rPr>
                <w:rFonts w:ascii="Verdana" w:hAnsi="Verdana" w:cs="Arial"/>
                <w:lang w:val="es-ES"/>
              </w:rPr>
            </w:pPr>
            <w:r w:rsidRPr="00123B97">
              <w:rPr>
                <w:rFonts w:ascii="Verdana" w:hAnsi="Verdana" w:cs="Arial"/>
                <w:lang w:val="es-ES"/>
              </w:rPr>
              <w:t>Consejo de Estado. Sala de Consulta y Servicio Civil. Concepto del 2 de septiembre de 2013. Radicación número: 11001-03-06-000-2013-00412-00 (2168). Consejero Ponente: Álvaro Namén Vargas.</w:t>
            </w:r>
          </w:p>
          <w:p w14:paraId="40842A1C" w14:textId="77777777" w:rsidR="009C0FC6" w:rsidRDefault="009C0FC6" w:rsidP="00FB43C2">
            <w:pPr>
              <w:widowControl w:val="0"/>
              <w:numPr>
                <w:ilvl w:val="0"/>
                <w:numId w:val="17"/>
              </w:numPr>
              <w:autoSpaceDE w:val="0"/>
              <w:autoSpaceDN w:val="0"/>
              <w:spacing w:after="120" w:line="276" w:lineRule="auto"/>
              <w:jc w:val="both"/>
              <w:rPr>
                <w:rFonts w:ascii="Verdana" w:hAnsi="Verdana" w:cs="Arial"/>
                <w:lang w:val="es-ES"/>
              </w:rPr>
            </w:pPr>
            <w:r w:rsidRPr="00442B36">
              <w:rPr>
                <w:rFonts w:ascii="Verdana" w:hAnsi="Verdana" w:cs="Arial"/>
                <w:lang w:val="es-ES"/>
              </w:rPr>
              <w:t>Consejo de Estado. Sala de Consulta y Servicio Civil, Concepto de 8 de mayo de 2018. Radicación Número: 11001-03-06-000-2018-00095-00(2382). C.P. Álvaro Namén Vargas.</w:t>
            </w:r>
          </w:p>
          <w:p w14:paraId="295041CD" w14:textId="77777777" w:rsidR="009C0FC6" w:rsidRDefault="009C0FC6" w:rsidP="00FB43C2">
            <w:pPr>
              <w:widowControl w:val="0"/>
              <w:numPr>
                <w:ilvl w:val="0"/>
                <w:numId w:val="17"/>
              </w:numPr>
              <w:autoSpaceDE w:val="0"/>
              <w:autoSpaceDN w:val="0"/>
              <w:spacing w:after="120" w:line="276" w:lineRule="auto"/>
              <w:jc w:val="both"/>
              <w:rPr>
                <w:rFonts w:ascii="Verdana" w:hAnsi="Verdana" w:cs="Arial"/>
                <w:lang w:val="es-ES"/>
              </w:rPr>
            </w:pPr>
            <w:r w:rsidRPr="006D48AE">
              <w:rPr>
                <w:rFonts w:ascii="Verdana" w:hAnsi="Verdana" w:cs="Arial"/>
                <w:lang w:val="es-ES"/>
              </w:rPr>
              <w:t>Corte Constitucional</w:t>
            </w:r>
            <w:r>
              <w:rPr>
                <w:rFonts w:ascii="Verdana" w:hAnsi="Verdana" w:cs="Arial"/>
                <w:lang w:val="es-ES"/>
              </w:rPr>
              <w:t xml:space="preserve">. </w:t>
            </w:r>
            <w:r w:rsidRPr="006D48AE">
              <w:rPr>
                <w:rFonts w:ascii="Verdana" w:hAnsi="Verdana" w:cs="Arial"/>
                <w:lang w:val="es-ES"/>
              </w:rPr>
              <w:t>Sentencia C-1153-05 de 11 de noviembre de 2005</w:t>
            </w:r>
            <w:r>
              <w:rPr>
                <w:rFonts w:ascii="Verdana" w:hAnsi="Verdana" w:cs="Arial"/>
                <w:lang w:val="es-ES"/>
              </w:rPr>
              <w:t xml:space="preserve">. </w:t>
            </w:r>
            <w:r w:rsidRPr="006D48AE">
              <w:rPr>
                <w:rFonts w:ascii="Verdana" w:hAnsi="Verdana" w:cs="Arial"/>
                <w:lang w:val="es-ES"/>
              </w:rPr>
              <w:t>Magistrado Ponente Marco Gerardo Monroy Cabra</w:t>
            </w:r>
            <w:r>
              <w:rPr>
                <w:rFonts w:ascii="Verdana" w:hAnsi="Verdana" w:cs="Arial"/>
                <w:lang w:val="es-ES"/>
              </w:rPr>
              <w:t>.</w:t>
            </w:r>
          </w:p>
          <w:p w14:paraId="06F90FD8" w14:textId="77777777" w:rsidR="009C0FC6" w:rsidRDefault="009C0FC6" w:rsidP="00FB43C2">
            <w:pPr>
              <w:widowControl w:val="0"/>
              <w:numPr>
                <w:ilvl w:val="0"/>
                <w:numId w:val="17"/>
              </w:numPr>
              <w:autoSpaceDE w:val="0"/>
              <w:autoSpaceDN w:val="0"/>
              <w:spacing w:after="120" w:line="276" w:lineRule="auto"/>
              <w:jc w:val="both"/>
              <w:rPr>
                <w:rFonts w:ascii="Verdana" w:hAnsi="Verdana" w:cs="Arial"/>
                <w:lang w:val="es-ES"/>
              </w:rPr>
            </w:pPr>
            <w:r w:rsidRPr="00CF3813">
              <w:rPr>
                <w:rFonts w:ascii="Verdana" w:hAnsi="Verdana" w:cs="Arial"/>
                <w:lang w:val="es-ES"/>
              </w:rPr>
              <w:t>Consejo de Estado. Sala de Consulta y Servicio Civil. Concepto de 20 de febrero de 2006. Radicación Número: 11001-03-06-000-2006-00026-00 (1727). C.P. Enrique José Arboleda Perdomo</w:t>
            </w:r>
            <w:r>
              <w:rPr>
                <w:rFonts w:ascii="Verdana" w:hAnsi="Verdana" w:cs="Arial"/>
                <w:lang w:val="es-ES"/>
              </w:rPr>
              <w:t>.</w:t>
            </w:r>
          </w:p>
          <w:p w14:paraId="1BE1980E" w14:textId="77777777" w:rsidR="009C0FC6" w:rsidRPr="003002F9" w:rsidRDefault="009C0FC6" w:rsidP="00FB43C2">
            <w:pPr>
              <w:widowControl w:val="0"/>
              <w:numPr>
                <w:ilvl w:val="0"/>
                <w:numId w:val="17"/>
              </w:numPr>
              <w:autoSpaceDE w:val="0"/>
              <w:autoSpaceDN w:val="0"/>
              <w:spacing w:after="120" w:line="276" w:lineRule="auto"/>
              <w:jc w:val="both"/>
              <w:rPr>
                <w:rFonts w:ascii="Verdana" w:hAnsi="Verdana" w:cs="Arial"/>
                <w:lang w:val="es-ES"/>
              </w:rPr>
            </w:pPr>
            <w:r w:rsidRPr="008C74B0">
              <w:rPr>
                <w:rFonts w:ascii="Verdana" w:hAnsi="Verdana" w:cs="Arial"/>
                <w:lang w:val="es-ES"/>
              </w:rPr>
              <w:t>Consejo de Estado. Sala de Consulta y Servicio Civil. Concepto de 6 de abril de 2006. Radicación Número: 11001-03-06-000-2006-00038-00 (1738). C.P. Enrique José Arboleda Perdomo</w:t>
            </w:r>
            <w:r>
              <w:rPr>
                <w:rFonts w:ascii="Verdana" w:hAnsi="Verdana" w:cs="Arial"/>
                <w:lang w:val="es-ES"/>
              </w:rPr>
              <w:t>.</w:t>
            </w:r>
          </w:p>
        </w:tc>
      </w:tr>
    </w:tbl>
    <w:p w14:paraId="4FADC9C9" w14:textId="77777777" w:rsidR="00A8676F" w:rsidRPr="00667CD6" w:rsidRDefault="00A8676F" w:rsidP="00A8676F">
      <w:pPr>
        <w:widowControl w:val="0"/>
        <w:autoSpaceDE w:val="0"/>
        <w:autoSpaceDN w:val="0"/>
        <w:spacing w:after="0" w:line="276" w:lineRule="auto"/>
        <w:jc w:val="both"/>
        <w:rPr>
          <w:rFonts w:ascii="Verdana" w:hAnsi="Verdana" w:cs="Arial"/>
          <w:lang w:val="es-ES_tradnl"/>
        </w:rPr>
      </w:pPr>
    </w:p>
    <w:p w14:paraId="5922FA43" w14:textId="77777777" w:rsidR="00A8676F" w:rsidRPr="00667CD6" w:rsidRDefault="00A8676F" w:rsidP="00A8676F">
      <w:pPr>
        <w:numPr>
          <w:ilvl w:val="0"/>
          <w:numId w:val="16"/>
        </w:numPr>
        <w:tabs>
          <w:tab w:val="left" w:pos="142"/>
          <w:tab w:val="left" w:pos="284"/>
        </w:tabs>
        <w:spacing w:after="0" w:line="276" w:lineRule="auto"/>
        <w:ind w:left="360"/>
        <w:jc w:val="both"/>
        <w:rPr>
          <w:rFonts w:ascii="Verdana" w:eastAsia="Century Gothic" w:hAnsi="Verdana" w:cs="Century Gothic"/>
          <w:b/>
          <w:bCs/>
          <w:lang w:val="es-ES_tradnl"/>
        </w:rPr>
      </w:pPr>
      <w:r w:rsidRPr="00667CD6">
        <w:rPr>
          <w:rFonts w:ascii="Verdana" w:eastAsia="Century Gothic" w:hAnsi="Verdana" w:cs="Century Gothic"/>
          <w:b/>
          <w:bCs/>
          <w:lang w:val="es-ES_tradnl"/>
        </w:rPr>
        <w:t>Doctrina de la Agencia Nacional de Contratación Pública:</w:t>
      </w:r>
    </w:p>
    <w:p w14:paraId="2DE7B8CE" w14:textId="77777777" w:rsidR="00A8676F" w:rsidRPr="00667CD6" w:rsidRDefault="00A8676F" w:rsidP="00A8676F">
      <w:pPr>
        <w:widowControl w:val="0"/>
        <w:autoSpaceDE w:val="0"/>
        <w:autoSpaceDN w:val="0"/>
        <w:spacing w:after="0" w:line="276" w:lineRule="auto"/>
        <w:jc w:val="both"/>
        <w:rPr>
          <w:rFonts w:ascii="Verdana" w:hAnsi="Verdana" w:cs="Arial"/>
          <w:lang w:val="es-ES_tradnl"/>
        </w:rPr>
      </w:pPr>
    </w:p>
    <w:p w14:paraId="2DA96FDC" w14:textId="77777777" w:rsidR="00A8676F" w:rsidRPr="00667CD6" w:rsidRDefault="00A8676F" w:rsidP="00A8676F">
      <w:pPr>
        <w:widowControl w:val="0"/>
        <w:autoSpaceDE w:val="0"/>
        <w:autoSpaceDN w:val="0"/>
        <w:spacing w:after="0" w:line="276" w:lineRule="auto"/>
        <w:jc w:val="both"/>
        <w:rPr>
          <w:rFonts w:ascii="Verdana" w:hAnsi="Verdana" w:cs="Arial"/>
          <w:shd w:val="clear" w:color="auto" w:fill="FFFFFF"/>
        </w:rPr>
      </w:pPr>
      <w:r w:rsidRPr="005D334E">
        <w:rPr>
          <w:rFonts w:ascii="Verdana" w:hAnsi="Verdana" w:cs="Arial"/>
          <w:shd w:val="clear" w:color="auto" w:fill="FFFFFF"/>
        </w:rPr>
        <w:t xml:space="preserve">Esta Subdirección se ha pronunciado sobre la finalidad y propósito de la Ley de Garantías Electorales en los Conceptos C-227 del 24 de mayo de 2021, C-396 del 13 de agosto de 2021, C-439 del 27 de agosto de 2021, C-481 del 9 de septiembre de 2021, C-528 del 27 de septiembre de 2021, C-550 del 5 de octubre de 2021, C-523 del 10 de octubre de 2021, C-606 del 28 de octubre de 2021, C-614 del 2 de noviembre de 2021, C-634 del 11 de noviembre de 2021, C-636 del 16 de noviembre de 2021, C-681 del 7 de diciembre de 2021, C-686 del 21 de diciembre de 2021, C-054 del 22 de marzo de 2022, C-179 del 8 de abril de 2022, C-161 del 17 de mayo de 2022, C- 180 del 21 de marzo de 2025, C-696 del 11 de julio de 2025, C-708 del 15 de julio de 2025, C-1186 del 17 de septiembre de 2025, C-1350 del 1˚ de octubre de 2025 y C-1430 del 12 de noviembre del 2025. </w:t>
      </w:r>
      <w:r w:rsidRPr="005D334E">
        <w:rPr>
          <w:rFonts w:ascii="Verdana" w:hAnsi="Verdana" w:cs="Arial"/>
          <w:shd w:val="clear" w:color="auto" w:fill="FFFFFF"/>
          <w:lang w:val="es-ES_tradnl"/>
        </w:rPr>
        <w:t xml:space="preserve">Estos conceptos se encuentran disponibles para consulta en el Sistema de relatoría de la Agencia, al cual puede accederse a través del siguiente enlace: </w:t>
      </w:r>
      <w:hyperlink r:id="rId12" w:history="1">
        <w:r w:rsidRPr="005D334E">
          <w:rPr>
            <w:rFonts w:ascii="Verdana" w:hAnsi="Verdana" w:cs="Arial"/>
            <w:color w:val="0000FF"/>
            <w:u w:val="single"/>
            <w:shd w:val="clear" w:color="auto" w:fill="FFFFFF"/>
            <w:lang w:val="es-ES_tradnl"/>
          </w:rPr>
          <w:t>https://relatoria.colombiacompra.gov.co/busqueda/conceptos</w:t>
        </w:r>
      </w:hyperlink>
      <w:r w:rsidRPr="005D334E">
        <w:rPr>
          <w:rFonts w:ascii="Verdana" w:hAnsi="Verdana" w:cs="Arial"/>
          <w:shd w:val="clear" w:color="auto" w:fill="FFFFFF"/>
          <w:lang w:val="es-ES_tradnl"/>
        </w:rPr>
        <w:t>.</w:t>
      </w:r>
      <w:r w:rsidRPr="00667CD6">
        <w:rPr>
          <w:rFonts w:ascii="Verdana" w:hAnsi="Verdana" w:cs="Arial"/>
          <w:shd w:val="clear" w:color="auto" w:fill="FFFFFF"/>
          <w:lang w:val="es-ES_tradnl"/>
        </w:rPr>
        <w:t xml:space="preserve"> </w:t>
      </w:r>
      <w:r w:rsidRPr="00667CD6">
        <w:rPr>
          <w:rFonts w:ascii="Verdana" w:hAnsi="Verdana" w:cs="Arial"/>
          <w:color w:val="FF0000"/>
          <w:shd w:val="clear" w:color="auto" w:fill="FFFFFF"/>
          <w:lang w:val="es-ES_tradnl"/>
        </w:rPr>
        <w:t xml:space="preserve"> </w:t>
      </w:r>
    </w:p>
    <w:p w14:paraId="5835072A" w14:textId="77777777" w:rsidR="00A8676F" w:rsidRPr="00667CD6" w:rsidRDefault="00A8676F" w:rsidP="00A8676F">
      <w:pPr>
        <w:widowControl w:val="0"/>
        <w:autoSpaceDE w:val="0"/>
        <w:autoSpaceDN w:val="0"/>
        <w:spacing w:after="0" w:line="276" w:lineRule="auto"/>
        <w:jc w:val="both"/>
        <w:rPr>
          <w:rFonts w:ascii="Verdana" w:hAnsi="Verdana" w:cs="Arial"/>
          <w:color w:val="FF0000"/>
          <w:shd w:val="clear" w:color="auto" w:fill="FFFFFF"/>
          <w:lang w:val="es-ES_tradnl"/>
        </w:rPr>
      </w:pPr>
    </w:p>
    <w:p w14:paraId="0560B199" w14:textId="77777777" w:rsidR="00A8676F" w:rsidRPr="00667CD6" w:rsidRDefault="00A8676F" w:rsidP="00A8676F">
      <w:pPr>
        <w:shd w:val="clear" w:color="auto" w:fill="FFFFFF"/>
        <w:spacing w:after="0" w:line="276" w:lineRule="auto"/>
        <w:jc w:val="both"/>
        <w:rPr>
          <w:rFonts w:ascii="Verdana" w:hAnsi="Verdana"/>
          <w:color w:val="467886"/>
          <w:u w:val="single"/>
        </w:rPr>
      </w:pPr>
      <w:r>
        <w:rPr>
          <w:rFonts w:ascii="Verdana" w:hAnsi="Verdana"/>
          <w:color w:val="000000"/>
          <w:lang w:val="es-ES_tradnl"/>
        </w:rPr>
        <w:t>Informamos</w:t>
      </w:r>
      <w:r>
        <w:rPr>
          <w:rFonts w:ascii="Verdana" w:hAnsi="Verdana"/>
          <w:color w:val="000000"/>
        </w:rPr>
        <w:t xml:space="preserve"> </w:t>
      </w:r>
      <w:r w:rsidRPr="00667CD6">
        <w:rPr>
          <w:rFonts w:ascii="Verdana" w:hAnsi="Verdana"/>
          <w:color w:val="000000"/>
        </w:rPr>
        <w:t>que ya se encuentra disponible la </w:t>
      </w:r>
      <w:r w:rsidRPr="00667CD6">
        <w:rPr>
          <w:rFonts w:ascii="Verdana" w:hAnsi="Verdana"/>
          <w:b/>
          <w:bCs/>
          <w:color w:val="000000"/>
        </w:rPr>
        <w:t>Guía de lineamientos de transparencia y selección objetiva para el departamento de La Guajira – Objetivo sexto constitucional de la Sentencia T-302 del 2017. </w:t>
      </w:r>
      <w:r w:rsidRPr="00667CD6">
        <w:rPr>
          <w:rFonts w:ascii="Verdana" w:hAnsi="Verdana"/>
          <w:color w:val="000000"/>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667CD6">
        <w:rPr>
          <w:rFonts w:ascii="Verdana" w:hAnsi="Verdana"/>
          <w:color w:val="000000"/>
        </w:rPr>
        <w:t>Wayúu</w:t>
      </w:r>
      <w:proofErr w:type="spellEnd"/>
      <w:r w:rsidRPr="00667CD6">
        <w:rPr>
          <w:rFonts w:ascii="Verdana" w:hAnsi="Verdana"/>
          <w:color w:val="000000"/>
        </w:rPr>
        <w:t>. Puede consultar la guía en el siguiente enlace: </w:t>
      </w:r>
      <w:hyperlink r:id="rId13" w:tgtFrame="_blank" w:tooltip="Dirección URL original: https://www.colombiacompra.gov.co/wp-content/uploads/2025/05/GUIA-DE-LINEAMIENTOS-DE-TRANSPARENCIA-Y-SELECCION-OBJETIVA-1.0.pdf. Haga clic o pulse si confía en este vínculo." w:history="1">
        <w:r w:rsidRPr="00667CD6">
          <w:rPr>
            <w:rFonts w:ascii="Verdana" w:hAnsi="Verdana"/>
            <w:color w:val="0000FF"/>
            <w:u w:val="single"/>
          </w:rPr>
          <w:t>Guía de lineamientos de transparencia y selección objetiva para el departamento de La Guajira – Objetivo sexto constitucional de la Sentencia T-302 del 2017</w:t>
        </w:r>
      </w:hyperlink>
      <w:r w:rsidRPr="00667CD6">
        <w:rPr>
          <w:rFonts w:ascii="Verdana" w:hAnsi="Verdana"/>
          <w:color w:val="000000"/>
          <w:u w:val="single"/>
        </w:rPr>
        <w:t>.</w:t>
      </w:r>
    </w:p>
    <w:p w14:paraId="6989FE2A" w14:textId="77777777" w:rsidR="00A8676F" w:rsidRPr="00667CD6" w:rsidRDefault="00A8676F" w:rsidP="00A8676F">
      <w:pPr>
        <w:widowControl w:val="0"/>
        <w:autoSpaceDE w:val="0"/>
        <w:autoSpaceDN w:val="0"/>
        <w:spacing w:after="0" w:line="276" w:lineRule="auto"/>
        <w:jc w:val="both"/>
        <w:rPr>
          <w:rFonts w:ascii="Verdana" w:hAnsi="Verdana" w:cs="Arial"/>
          <w:color w:val="000000" w:themeColor="text1"/>
          <w:shd w:val="clear" w:color="auto" w:fill="FFFFFF"/>
          <w:lang w:val="es-ES_tradnl"/>
        </w:rPr>
      </w:pPr>
      <w:r w:rsidRPr="00667CD6">
        <w:rPr>
          <w:rFonts w:ascii="Verdana" w:hAnsi="Verdana" w:cs="Arial"/>
          <w:color w:val="000000" w:themeColor="text1"/>
          <w:shd w:val="clear" w:color="auto" w:fill="FFFFFF"/>
          <w:lang w:val="es-ES_tradnl"/>
        </w:rPr>
        <w:t xml:space="preserve"> </w:t>
      </w:r>
    </w:p>
    <w:p w14:paraId="6DE88B50" w14:textId="77777777" w:rsidR="00A8676F" w:rsidRPr="00667CD6" w:rsidRDefault="00A8676F" w:rsidP="00A8676F">
      <w:pPr>
        <w:spacing w:after="0"/>
        <w:jc w:val="both"/>
        <w:rPr>
          <w:rFonts w:ascii="Verdana" w:hAnsi="Verdana"/>
        </w:rPr>
      </w:pPr>
      <w:r w:rsidRPr="00667CD6">
        <w:rPr>
          <w:rFonts w:ascii="Verdana" w:hAnsi="Verdana"/>
        </w:rPr>
        <w:t xml:space="preserve">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0D357826" w14:textId="77777777" w:rsidR="00A8676F" w:rsidRPr="00667CD6" w:rsidRDefault="00A8676F" w:rsidP="00A8676F">
      <w:pPr>
        <w:spacing w:after="0"/>
        <w:jc w:val="both"/>
        <w:rPr>
          <w:rFonts w:ascii="Verdana" w:hAnsi="Verdana"/>
        </w:rPr>
      </w:pPr>
    </w:p>
    <w:p w14:paraId="574EF57D" w14:textId="77777777" w:rsidR="00A8676F" w:rsidRPr="00667CD6" w:rsidRDefault="00A8676F" w:rsidP="00A8676F">
      <w:pPr>
        <w:numPr>
          <w:ilvl w:val="0"/>
          <w:numId w:val="15"/>
        </w:numPr>
        <w:spacing w:after="0" w:line="240" w:lineRule="auto"/>
        <w:contextualSpacing/>
        <w:jc w:val="both"/>
        <w:rPr>
          <w:rFonts w:ascii="Verdana" w:eastAsia="Verdana" w:hAnsi="Verdana" w:cs="Verdana"/>
          <w:color w:val="4472C4" w:themeColor="accent1"/>
          <w:u w:val="single"/>
          <w:lang w:val="es-MX"/>
        </w:rPr>
      </w:pPr>
      <w:r w:rsidRPr="00667CD6">
        <w:rPr>
          <w:rFonts w:ascii="Verdana" w:eastAsia="Verdana" w:hAnsi="Verdana" w:cs="Verdana"/>
          <w:lang w:val="es-MX"/>
        </w:rPr>
        <w:t xml:space="preserve">Línea nacional gratuita o servicio a la ciudadanía (Mesa de servicio): </w:t>
      </w:r>
      <w:r w:rsidRPr="00667CD6">
        <w:rPr>
          <w:rFonts w:ascii="Verdana" w:hAnsi="Verdana"/>
          <w:color w:val="0000FF"/>
          <w:u w:val="single"/>
          <w:lang w:val="es-ES"/>
        </w:rPr>
        <w:t>01800 0520808</w:t>
      </w:r>
    </w:p>
    <w:p w14:paraId="0B2C9248" w14:textId="77777777" w:rsidR="00A8676F" w:rsidRPr="00667CD6" w:rsidRDefault="00A8676F" w:rsidP="00A8676F">
      <w:pPr>
        <w:numPr>
          <w:ilvl w:val="0"/>
          <w:numId w:val="15"/>
        </w:numPr>
        <w:spacing w:after="0"/>
        <w:contextualSpacing/>
        <w:rPr>
          <w:rFonts w:ascii="Verdana" w:eastAsia="Verdana" w:hAnsi="Verdana" w:cs="Verdana"/>
          <w:color w:val="4472C4" w:themeColor="accent1"/>
          <w:u w:val="single"/>
          <w:lang w:val="es-MX"/>
        </w:rPr>
      </w:pPr>
      <w:r w:rsidRPr="00667CD6">
        <w:rPr>
          <w:rFonts w:ascii="Verdana" w:eastAsia="Verdana" w:hAnsi="Verdana" w:cs="Verdana"/>
          <w:lang w:val="es-MX"/>
        </w:rPr>
        <w:t>Línea en Bogotá (Mesa de servicio</w:t>
      </w:r>
      <w:proofErr w:type="gramStart"/>
      <w:r w:rsidRPr="00667CD6">
        <w:rPr>
          <w:rFonts w:ascii="Verdana" w:eastAsia="Verdana" w:hAnsi="Verdana" w:cs="Verdana"/>
          <w:lang w:val="es-MX"/>
        </w:rPr>
        <w:t>):</w:t>
      </w:r>
      <w:r w:rsidRPr="00667CD6">
        <w:rPr>
          <w:rFonts w:ascii="Verdana" w:hAnsi="Verdana"/>
          <w:color w:val="0000FF"/>
          <w:u w:val="single"/>
          <w:lang w:val="es-ES"/>
        </w:rPr>
        <w:t>+</w:t>
      </w:r>
      <w:proofErr w:type="gramEnd"/>
      <w:r w:rsidRPr="00667CD6">
        <w:rPr>
          <w:rFonts w:ascii="Verdana" w:hAnsi="Verdana"/>
          <w:color w:val="0000FF"/>
          <w:u w:val="single"/>
          <w:lang w:val="es-ES"/>
        </w:rPr>
        <w:t>57 601 7456788</w:t>
      </w:r>
    </w:p>
    <w:p w14:paraId="47F48DC7" w14:textId="77777777" w:rsidR="00A8676F" w:rsidRPr="00667CD6" w:rsidRDefault="00A8676F" w:rsidP="00A8676F">
      <w:pPr>
        <w:numPr>
          <w:ilvl w:val="0"/>
          <w:numId w:val="15"/>
        </w:numPr>
        <w:spacing w:after="0"/>
        <w:contextualSpacing/>
        <w:rPr>
          <w:rFonts w:ascii="Verdana" w:eastAsia="Verdana" w:hAnsi="Verdana" w:cs="Verdana"/>
          <w:color w:val="0000FF"/>
          <w:u w:val="single"/>
          <w:lang w:val="es-MX"/>
        </w:rPr>
      </w:pPr>
      <w:r w:rsidRPr="00667CD6">
        <w:rPr>
          <w:rFonts w:ascii="Verdana" w:eastAsia="Verdana" w:hAnsi="Verdana" w:cs="Verdana"/>
          <w:lang w:val="es-MX"/>
        </w:rPr>
        <w:t xml:space="preserve">Correo de radicación de correspondencia: </w:t>
      </w:r>
      <w:hyperlink r:id="rId14" w:history="1">
        <w:r w:rsidRPr="00667CD6">
          <w:rPr>
            <w:rFonts w:ascii="Verdana" w:eastAsia="Verdana" w:hAnsi="Verdana" w:cs="Verdana"/>
            <w:color w:val="0000FF"/>
            <w:u w:val="single"/>
            <w:lang w:val="es-MX"/>
          </w:rPr>
          <w:t>ventanilladeradicacion@colombiacompra.gov.co</w:t>
        </w:r>
      </w:hyperlink>
    </w:p>
    <w:p w14:paraId="0BEFD8EC" w14:textId="77777777" w:rsidR="00A8676F" w:rsidRPr="00667CD6" w:rsidRDefault="00A8676F" w:rsidP="00A8676F">
      <w:pPr>
        <w:numPr>
          <w:ilvl w:val="0"/>
          <w:numId w:val="15"/>
        </w:numPr>
        <w:spacing w:after="0"/>
        <w:contextualSpacing/>
        <w:rPr>
          <w:rFonts w:ascii="Verdana" w:eastAsia="Verdana" w:hAnsi="Verdana" w:cs="Verdana"/>
          <w:color w:val="0000FF"/>
          <w:u w:val="single"/>
          <w:lang w:val="es-MX"/>
        </w:rPr>
      </w:pPr>
      <w:r w:rsidRPr="00667CD6">
        <w:rPr>
          <w:rFonts w:ascii="Verdana" w:eastAsia="Verdana" w:hAnsi="Verdana" w:cs="Verdana"/>
          <w:lang w:val="es-ES"/>
        </w:rPr>
        <w:t xml:space="preserve">Formulario web para PQRSD: </w:t>
      </w:r>
      <w:hyperlink r:id="rId15" w:history="1">
        <w:r w:rsidRPr="00667CD6">
          <w:rPr>
            <w:rFonts w:ascii="Verdana" w:eastAsia="Verdana" w:hAnsi="Verdana" w:cs="Verdana"/>
            <w:color w:val="0000FF"/>
            <w:u w:val="single"/>
            <w:lang w:val="es-MX"/>
          </w:rPr>
          <w:t>https://www.colombiacompra.gov.co/pqrsd/informacion-importante-antes-de-formular-una-pqrsd</w:t>
        </w:r>
      </w:hyperlink>
    </w:p>
    <w:p w14:paraId="0B61901B" w14:textId="77777777" w:rsidR="00A8676F" w:rsidRPr="00667CD6" w:rsidRDefault="00A8676F" w:rsidP="00A8676F">
      <w:pPr>
        <w:spacing w:after="0" w:line="240" w:lineRule="auto"/>
        <w:ind w:left="720"/>
        <w:jc w:val="both"/>
        <w:rPr>
          <w:rFonts w:ascii="Verdana" w:hAnsi="Verdana"/>
        </w:rPr>
      </w:pPr>
    </w:p>
    <w:p w14:paraId="38E22264" w14:textId="77777777" w:rsidR="00A8676F" w:rsidRPr="00667CD6" w:rsidRDefault="00A8676F" w:rsidP="00A8676F">
      <w:pPr>
        <w:spacing w:after="0" w:line="240" w:lineRule="auto"/>
        <w:rPr>
          <w:rFonts w:ascii="Verdana" w:hAnsi="Verdana"/>
        </w:rPr>
      </w:pPr>
      <w:r w:rsidRPr="00667CD6">
        <w:rPr>
          <w:rFonts w:ascii="Verdana" w:hAnsi="Verdana"/>
        </w:rPr>
        <w:t>Evalúa el servicio que ofrece la Agencia por el canal de atención de PQRSD en el siguiente enlace:</w:t>
      </w:r>
      <w:r>
        <w:rPr>
          <w:rFonts w:ascii="Verdana" w:hAnsi="Verdana"/>
        </w:rPr>
        <w:t xml:space="preserve"> </w:t>
      </w:r>
      <w:hyperlink r:id="rId16" w:history="1">
        <w:r w:rsidRPr="00E633BD">
          <w:rPr>
            <w:rStyle w:val="Hipervnculo"/>
            <w:rFonts w:ascii="Verdana" w:hAnsi="Verdana"/>
          </w:rPr>
          <w:t>https://forms.office.com/r/pPHyWVs2SZ</w:t>
        </w:r>
      </w:hyperlink>
      <w:r w:rsidRPr="00667CD6">
        <w:rPr>
          <w:rFonts w:ascii="Verdana" w:hAnsi="Verdana"/>
        </w:rPr>
        <w:t xml:space="preserve"> .¡Ayúdanos a mejorar porque el compromiso es de todos!</w:t>
      </w:r>
    </w:p>
    <w:p w14:paraId="564E3436" w14:textId="77777777" w:rsidR="00A8676F" w:rsidRPr="00667CD6" w:rsidRDefault="00A8676F" w:rsidP="00A8676F">
      <w:pPr>
        <w:spacing w:after="0" w:line="240" w:lineRule="auto"/>
        <w:rPr>
          <w:rFonts w:ascii="Verdana" w:hAnsi="Verdana"/>
        </w:rPr>
      </w:pPr>
    </w:p>
    <w:p w14:paraId="1135EC50" w14:textId="77777777" w:rsidR="00A8676F" w:rsidRPr="00667CD6" w:rsidRDefault="00A8676F" w:rsidP="00A8676F">
      <w:pPr>
        <w:spacing w:after="0" w:line="240" w:lineRule="auto"/>
        <w:jc w:val="both"/>
        <w:rPr>
          <w:rFonts w:ascii="Verdana" w:hAnsi="Verdana"/>
        </w:rPr>
      </w:pPr>
      <w:r w:rsidRPr="00667CD6">
        <w:rPr>
          <w:rFonts w:ascii="Verdana" w:hAnsi="Verdana"/>
        </w:rPr>
        <w:t xml:space="preserve">Por último, lo invitamos a seguirnos en las redes sociales en las cuales se difunde información institucional: </w:t>
      </w:r>
    </w:p>
    <w:p w14:paraId="5CB773BB" w14:textId="77777777" w:rsidR="00A8676F" w:rsidRPr="00667CD6" w:rsidRDefault="00A8676F" w:rsidP="00A8676F">
      <w:pPr>
        <w:spacing w:after="0" w:line="240" w:lineRule="auto"/>
        <w:jc w:val="both"/>
        <w:rPr>
          <w:rFonts w:ascii="Verdana" w:hAnsi="Verdana"/>
        </w:rPr>
      </w:pPr>
    </w:p>
    <w:p w14:paraId="04DFAF65" w14:textId="77777777" w:rsidR="00A8676F" w:rsidRPr="00667CD6" w:rsidRDefault="00A8676F" w:rsidP="00A8676F">
      <w:pPr>
        <w:spacing w:after="0" w:line="240" w:lineRule="auto"/>
        <w:jc w:val="both"/>
        <w:rPr>
          <w:rFonts w:ascii="Verdana" w:hAnsi="Verdana"/>
        </w:rPr>
      </w:pPr>
      <w:r w:rsidRPr="00667CD6">
        <w:rPr>
          <w:rFonts w:ascii="Verdana" w:hAnsi="Verdana"/>
        </w:rPr>
        <w:t xml:space="preserve">Twitter: </w:t>
      </w:r>
      <w:r w:rsidRPr="00667CD6">
        <w:rPr>
          <w:rFonts w:ascii="Verdana" w:hAnsi="Verdana"/>
          <w:color w:val="0000FF"/>
          <w:u w:val="single"/>
        </w:rPr>
        <w:t>@colombiacompra</w:t>
      </w:r>
      <w:r w:rsidRPr="00667CD6">
        <w:rPr>
          <w:rFonts w:ascii="Verdana" w:hAnsi="Verdana"/>
        </w:rPr>
        <w:t xml:space="preserve"> </w:t>
      </w:r>
    </w:p>
    <w:p w14:paraId="14585CBB" w14:textId="77777777" w:rsidR="00A8676F" w:rsidRPr="00667CD6" w:rsidRDefault="00A8676F" w:rsidP="00A8676F">
      <w:pPr>
        <w:spacing w:after="0" w:line="240" w:lineRule="auto"/>
        <w:jc w:val="both"/>
        <w:rPr>
          <w:rFonts w:ascii="Verdana" w:hAnsi="Verdana"/>
        </w:rPr>
      </w:pPr>
      <w:r w:rsidRPr="00667CD6">
        <w:rPr>
          <w:rFonts w:ascii="Verdana" w:hAnsi="Verdana"/>
        </w:rPr>
        <w:t xml:space="preserve">Facebook: </w:t>
      </w:r>
      <w:proofErr w:type="spellStart"/>
      <w:r w:rsidRPr="00667CD6">
        <w:rPr>
          <w:rFonts w:ascii="Verdana" w:hAnsi="Verdana"/>
          <w:color w:val="0000FF"/>
          <w:u w:val="single"/>
        </w:rPr>
        <w:t>ColombiaCompraEficiente</w:t>
      </w:r>
      <w:proofErr w:type="spellEnd"/>
    </w:p>
    <w:p w14:paraId="1CEA3DC3" w14:textId="77777777" w:rsidR="00A8676F" w:rsidRPr="00667CD6" w:rsidRDefault="00A8676F" w:rsidP="00A8676F">
      <w:pPr>
        <w:spacing w:after="0" w:line="240" w:lineRule="auto"/>
        <w:jc w:val="both"/>
        <w:rPr>
          <w:rFonts w:ascii="Verdana" w:hAnsi="Verdana"/>
        </w:rPr>
      </w:pPr>
      <w:r w:rsidRPr="00667CD6">
        <w:rPr>
          <w:rFonts w:ascii="Verdana" w:hAnsi="Verdana"/>
        </w:rPr>
        <w:t xml:space="preserve">LinkedIn: </w:t>
      </w:r>
      <w:r w:rsidRPr="00667CD6">
        <w:rPr>
          <w:rFonts w:ascii="Verdana" w:hAnsi="Verdana"/>
          <w:color w:val="0000FF"/>
          <w:u w:val="single"/>
        </w:rPr>
        <w:t>Agencia Nacional de Contratación Pública - Colombia Compra Eficiente</w:t>
      </w:r>
      <w:r w:rsidRPr="00667CD6">
        <w:rPr>
          <w:rFonts w:ascii="Verdana" w:hAnsi="Verdana"/>
        </w:rPr>
        <w:t xml:space="preserve"> Instagram: </w:t>
      </w:r>
      <w:r w:rsidRPr="00667CD6">
        <w:rPr>
          <w:rFonts w:ascii="Verdana" w:hAnsi="Verdana"/>
          <w:color w:val="0000FF"/>
          <w:u w:val="single"/>
        </w:rPr>
        <w:t>@colombiacompraeficiente_cce</w:t>
      </w:r>
    </w:p>
    <w:p w14:paraId="615034C9" w14:textId="77777777" w:rsidR="00A8676F" w:rsidRPr="00667CD6" w:rsidRDefault="00A8676F" w:rsidP="00A8676F">
      <w:pPr>
        <w:widowControl w:val="0"/>
        <w:autoSpaceDE w:val="0"/>
        <w:autoSpaceDN w:val="0"/>
        <w:spacing w:after="120" w:line="276" w:lineRule="auto"/>
        <w:jc w:val="both"/>
        <w:rPr>
          <w:rFonts w:ascii="Verdana" w:hAnsi="Verdana" w:cs="Arial"/>
          <w:color w:val="FF0000"/>
          <w:shd w:val="clear" w:color="auto" w:fill="FFFFFF"/>
          <w:lang w:val="es-ES_tradnl"/>
        </w:rPr>
      </w:pPr>
      <w:r w:rsidRPr="00667CD6">
        <w:rPr>
          <w:rFonts w:ascii="Verdana" w:hAnsi="Verdana" w:cs="Arial"/>
          <w:color w:val="FF0000"/>
          <w:shd w:val="clear" w:color="auto" w:fill="FFFFFF"/>
          <w:lang w:val="es-ES_tradnl"/>
        </w:rPr>
        <w:lastRenderedPageBreak/>
        <w:t xml:space="preserve">        </w:t>
      </w:r>
    </w:p>
    <w:p w14:paraId="5D05DFC8" w14:textId="77777777" w:rsidR="00A8676F" w:rsidRPr="00667CD6" w:rsidRDefault="00A8676F" w:rsidP="00A8676F">
      <w:pPr>
        <w:widowControl w:val="0"/>
        <w:autoSpaceDE w:val="0"/>
        <w:autoSpaceDN w:val="0"/>
        <w:spacing w:after="0" w:line="276" w:lineRule="auto"/>
        <w:jc w:val="both"/>
        <w:rPr>
          <w:rFonts w:ascii="Verdana" w:hAnsi="Verdana" w:cs="Arial"/>
          <w:lang w:val="es-ES_tradnl"/>
        </w:rPr>
      </w:pPr>
      <w:r w:rsidRPr="00667CD6">
        <w:rPr>
          <w:rFonts w:ascii="Verdana" w:hAnsi="Verdana" w:cs="Arial"/>
          <w:lang w:val="es-ES_tradnl"/>
        </w:rPr>
        <w:t xml:space="preserve">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 </w:t>
      </w:r>
    </w:p>
    <w:p w14:paraId="4566D08D" w14:textId="77777777" w:rsidR="00A8676F" w:rsidRPr="00667CD6" w:rsidRDefault="00A8676F" w:rsidP="00A8676F">
      <w:pPr>
        <w:widowControl w:val="0"/>
        <w:autoSpaceDE w:val="0"/>
        <w:autoSpaceDN w:val="0"/>
        <w:spacing w:after="0" w:line="276" w:lineRule="auto"/>
        <w:jc w:val="both"/>
        <w:rPr>
          <w:rFonts w:ascii="Verdana" w:hAnsi="Verdana" w:cs="Arial"/>
          <w:lang w:val="es-ES_tradnl"/>
        </w:rPr>
      </w:pPr>
    </w:p>
    <w:p w14:paraId="145B8359" w14:textId="77777777" w:rsidR="00A8676F" w:rsidRPr="00667CD6" w:rsidRDefault="00A8676F" w:rsidP="00A8676F">
      <w:pPr>
        <w:spacing w:after="0" w:line="240" w:lineRule="auto"/>
        <w:rPr>
          <w:rFonts w:ascii="Verdana" w:hAnsi="Verdana" w:cs="Arial"/>
          <w:lang w:val="es-ES_tradnl" w:eastAsia="es-CO"/>
        </w:rPr>
      </w:pPr>
      <w:r w:rsidRPr="2035D652">
        <w:rPr>
          <w:rFonts w:ascii="Verdana" w:eastAsia="Times New Roman" w:hAnsi="Verdana" w:cs="Arial"/>
          <w:lang w:val="es-ES" w:eastAsia="es-CO"/>
        </w:rPr>
        <w:t>Atentamente,</w:t>
      </w:r>
      <w:r w:rsidRPr="2035D652">
        <w:rPr>
          <w:rFonts w:ascii="Verdana" w:hAnsi="Verdana" w:cs="Arial"/>
          <w:lang w:val="es-ES" w:eastAsia="es-CO"/>
        </w:rPr>
        <w:t xml:space="preserve"> </w:t>
      </w:r>
    </w:p>
    <w:p w14:paraId="15CAA3CF" w14:textId="77777777" w:rsidR="00A8676F" w:rsidRPr="00667CD6" w:rsidRDefault="00A8676F" w:rsidP="00A8676F">
      <w:pPr>
        <w:spacing w:after="0" w:line="240" w:lineRule="auto"/>
        <w:rPr>
          <w:rFonts w:ascii="Verdana" w:hAnsi="Verdana" w:cs="Arial"/>
          <w:lang w:val="es-ES" w:eastAsia="es-CO"/>
        </w:rPr>
      </w:pPr>
    </w:p>
    <w:p w14:paraId="7B9AC204" w14:textId="7FADAADE" w:rsidR="009C0FC6" w:rsidRDefault="00F715C4" w:rsidP="00B66650">
      <w:pPr>
        <w:spacing w:after="0"/>
        <w:jc w:val="center"/>
        <w:rPr>
          <w:rFonts w:ascii="Verdana" w:eastAsia="Times New Roman" w:hAnsi="Verdana" w:cs="Segoe UI"/>
          <w:lang w:val="es-ES" w:eastAsia="es-CO"/>
        </w:rPr>
      </w:pPr>
      <w:r w:rsidRPr="002C3AD6">
        <w:rPr>
          <w:rFonts w:ascii="Century Gothic" w:hAnsi="Century Gothic"/>
          <w:noProof/>
        </w:rPr>
        <w:drawing>
          <wp:inline distT="0" distB="0" distL="0" distR="0" wp14:anchorId="4480F817" wp14:editId="22BA647F">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7"/>
                    <a:stretch>
                      <a:fillRect/>
                    </a:stretch>
                  </pic:blipFill>
                  <pic:spPr>
                    <a:xfrm>
                      <a:off x="0" y="0"/>
                      <a:ext cx="3772426" cy="1400370"/>
                    </a:xfrm>
                    <a:prstGeom prst="rect">
                      <a:avLst/>
                    </a:prstGeom>
                  </pic:spPr>
                </pic:pic>
              </a:graphicData>
            </a:graphic>
          </wp:inline>
        </w:drawing>
      </w:r>
    </w:p>
    <w:p w14:paraId="5B6D4D7B" w14:textId="77777777" w:rsidR="00920B8D" w:rsidRDefault="00920B8D" w:rsidP="00B66650">
      <w:pPr>
        <w:spacing w:after="0"/>
        <w:jc w:val="center"/>
        <w:rPr>
          <w:rFonts w:ascii="Verdana" w:eastAsia="Times New Roman" w:hAnsi="Verdana" w:cs="Segoe UI"/>
          <w:lang w:val="es-ES" w:eastAsia="es-CO"/>
        </w:rPr>
      </w:pPr>
    </w:p>
    <w:tbl>
      <w:tblPr>
        <w:tblStyle w:val="Tablaconcuadrcula1"/>
        <w:tblW w:w="6521" w:type="dxa"/>
        <w:tblLook w:val="04A0" w:firstRow="1" w:lastRow="0" w:firstColumn="1" w:lastColumn="0" w:noHBand="0" w:noVBand="1"/>
      </w:tblPr>
      <w:tblGrid>
        <w:gridCol w:w="893"/>
        <w:gridCol w:w="5628"/>
      </w:tblGrid>
      <w:tr w:rsidR="00E56916" w:rsidRPr="007A4924" w14:paraId="676CA328" w14:textId="77777777" w:rsidTr="00FB43C2">
        <w:trPr>
          <w:trHeight w:val="315"/>
        </w:trPr>
        <w:tc>
          <w:tcPr>
            <w:tcW w:w="893" w:type="dxa"/>
            <w:vAlign w:val="center"/>
            <w:hideMark/>
          </w:tcPr>
          <w:p w14:paraId="55F78D48" w14:textId="77777777" w:rsidR="00E56916" w:rsidRPr="007A4924" w:rsidRDefault="00E56916" w:rsidP="00FB43C2">
            <w:pPr>
              <w:spacing w:after="160"/>
              <w:contextualSpacing/>
              <w:rPr>
                <w:rFonts w:ascii="Verdana" w:hAnsi="Verdana" w:cs="Arial"/>
                <w:sz w:val="16"/>
                <w:szCs w:val="16"/>
                <w:lang w:val="es-ES" w:eastAsia="es-ES"/>
              </w:rPr>
            </w:pPr>
            <w:r w:rsidRPr="007A4924">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14F3EE15" w14:textId="7F49253F" w:rsidR="00E56916" w:rsidRPr="007A4924" w:rsidRDefault="0097113A" w:rsidP="00FB43C2">
            <w:pPr>
              <w:spacing w:after="160"/>
              <w:contextualSpacing/>
              <w:rPr>
                <w:rFonts w:ascii="Verdana" w:hAnsi="Verdana"/>
                <w:sz w:val="16"/>
                <w:szCs w:val="16"/>
              </w:rPr>
            </w:pPr>
            <w:r>
              <w:rPr>
                <w:rFonts w:ascii="Verdana" w:hAnsi="Verdana"/>
                <w:sz w:val="16"/>
                <w:szCs w:val="16"/>
              </w:rPr>
              <w:t>Karol Andrea Gonzalez Marin</w:t>
            </w:r>
          </w:p>
          <w:p w14:paraId="6D0156D2" w14:textId="77777777" w:rsidR="00E56916" w:rsidRPr="007A4924" w:rsidRDefault="00E56916" w:rsidP="00FB43C2">
            <w:pPr>
              <w:spacing w:after="160"/>
              <w:contextualSpacing/>
              <w:rPr>
                <w:rFonts w:ascii="Verdana" w:eastAsia="Arial" w:hAnsi="Verdana" w:cs="Arial"/>
                <w:sz w:val="16"/>
                <w:szCs w:val="16"/>
                <w:highlight w:val="cyan"/>
              </w:rPr>
            </w:pPr>
            <w:r w:rsidRPr="007A4924">
              <w:rPr>
                <w:rFonts w:ascii="Verdana" w:hAnsi="Verdana"/>
                <w:sz w:val="16"/>
                <w:szCs w:val="16"/>
              </w:rPr>
              <w:t>Contratista de la Subdirección de Gestión Contractual</w:t>
            </w:r>
          </w:p>
        </w:tc>
      </w:tr>
      <w:tr w:rsidR="00E56916" w:rsidRPr="007A4924" w14:paraId="01754092" w14:textId="77777777" w:rsidTr="00FB43C2">
        <w:trPr>
          <w:trHeight w:val="330"/>
        </w:trPr>
        <w:tc>
          <w:tcPr>
            <w:tcW w:w="893" w:type="dxa"/>
            <w:vAlign w:val="center"/>
            <w:hideMark/>
          </w:tcPr>
          <w:p w14:paraId="4DBC32E3" w14:textId="77777777" w:rsidR="00E56916" w:rsidRPr="007A4924" w:rsidRDefault="00E56916" w:rsidP="00FB43C2">
            <w:pPr>
              <w:spacing w:after="160"/>
              <w:contextualSpacing/>
              <w:rPr>
                <w:rFonts w:ascii="Verdana" w:hAnsi="Verdana" w:cs="Arial"/>
                <w:sz w:val="16"/>
                <w:szCs w:val="16"/>
                <w:lang w:val="es-ES" w:eastAsia="es-ES"/>
              </w:rPr>
            </w:pPr>
            <w:r w:rsidRPr="007A4924">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47F903E2" w14:textId="47694274" w:rsidR="00E56916" w:rsidRPr="007A4924" w:rsidRDefault="0097113A" w:rsidP="00FB43C2">
            <w:pPr>
              <w:spacing w:after="160"/>
              <w:contextualSpacing/>
              <w:textAlignment w:val="baseline"/>
              <w:rPr>
                <w:rFonts w:ascii="Verdana" w:eastAsia="Times New Roman" w:hAnsi="Verdana" w:cs="Segoe UI"/>
                <w:sz w:val="16"/>
                <w:szCs w:val="16"/>
                <w:lang w:eastAsia="es-ES_tradnl"/>
              </w:rPr>
            </w:pPr>
            <w:r w:rsidRPr="0097113A">
              <w:rPr>
                <w:rFonts w:ascii="Verdana" w:eastAsia="Times New Roman" w:hAnsi="Verdana" w:cs="Segoe UI"/>
                <w:sz w:val="16"/>
                <w:szCs w:val="16"/>
                <w:lang w:eastAsia="es-ES_tradnl"/>
              </w:rPr>
              <w:t xml:space="preserve">Juan Carlos </w:t>
            </w:r>
            <w:proofErr w:type="spellStart"/>
            <w:r w:rsidRPr="0097113A">
              <w:rPr>
                <w:rFonts w:ascii="Verdana" w:eastAsia="Times New Roman" w:hAnsi="Verdana" w:cs="Segoe UI"/>
                <w:sz w:val="16"/>
                <w:szCs w:val="16"/>
                <w:lang w:eastAsia="es-ES_tradnl"/>
              </w:rPr>
              <w:t>Gonzalez</w:t>
            </w:r>
            <w:proofErr w:type="spellEnd"/>
            <w:r w:rsidRPr="0097113A">
              <w:rPr>
                <w:rFonts w:ascii="Verdana" w:eastAsia="Times New Roman" w:hAnsi="Verdana" w:cs="Segoe UI"/>
                <w:sz w:val="16"/>
                <w:szCs w:val="16"/>
                <w:lang w:eastAsia="es-ES_tradnl"/>
              </w:rPr>
              <w:t xml:space="preserve"> Vasquez</w:t>
            </w:r>
          </w:p>
          <w:p w14:paraId="3716D1A4" w14:textId="54115610" w:rsidR="00E56916" w:rsidRPr="007A4924" w:rsidRDefault="00E56916" w:rsidP="00FB43C2">
            <w:pPr>
              <w:spacing w:after="160"/>
              <w:contextualSpacing/>
              <w:textAlignment w:val="baseline"/>
              <w:rPr>
                <w:rFonts w:ascii="Verdana" w:eastAsia="Times New Roman" w:hAnsi="Verdana" w:cs="Segoe UI"/>
                <w:sz w:val="16"/>
                <w:szCs w:val="16"/>
                <w:highlight w:val="cyan"/>
                <w:lang w:eastAsia="es-ES_tradnl"/>
              </w:rPr>
            </w:pPr>
            <w:r w:rsidRPr="007A4924">
              <w:rPr>
                <w:rFonts w:ascii="Verdana" w:hAnsi="Verdana"/>
                <w:sz w:val="16"/>
                <w:szCs w:val="16"/>
              </w:rPr>
              <w:t>Contratista de la Subdirección de Gestión Contractual</w:t>
            </w:r>
          </w:p>
        </w:tc>
      </w:tr>
      <w:tr w:rsidR="00E56916" w:rsidRPr="007A4924" w14:paraId="265B2AE6" w14:textId="77777777" w:rsidTr="00FB43C2">
        <w:trPr>
          <w:trHeight w:val="300"/>
        </w:trPr>
        <w:tc>
          <w:tcPr>
            <w:tcW w:w="893" w:type="dxa"/>
            <w:vAlign w:val="center"/>
          </w:tcPr>
          <w:p w14:paraId="0A3AD92A" w14:textId="77777777" w:rsidR="00E56916" w:rsidRPr="007A4924" w:rsidRDefault="00E56916" w:rsidP="00FB43C2">
            <w:pPr>
              <w:spacing w:after="160"/>
              <w:contextualSpacing/>
              <w:rPr>
                <w:rFonts w:ascii="Verdana" w:hAnsi="Verdana" w:cs="Arial"/>
                <w:sz w:val="16"/>
                <w:szCs w:val="16"/>
                <w:lang w:val="es-ES" w:eastAsia="es-ES"/>
              </w:rPr>
            </w:pPr>
            <w:r w:rsidRPr="007A4924">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0EA9D59C" w14:textId="77777777" w:rsidR="00E56916" w:rsidRDefault="00E56916" w:rsidP="00FB43C2">
            <w:pPr>
              <w:spacing w:after="160"/>
              <w:contextualSpacing/>
              <w:rPr>
                <w:rFonts w:ascii="Verdana" w:hAnsi="Verdana" w:cs="Arial"/>
                <w:sz w:val="16"/>
                <w:szCs w:val="16"/>
                <w:lang w:val="pt-BR" w:eastAsia="es-ES"/>
              </w:rPr>
            </w:pPr>
            <w:r w:rsidRPr="00B42669">
              <w:rPr>
                <w:rFonts w:ascii="Verdana" w:hAnsi="Verdana" w:cs="Arial"/>
                <w:sz w:val="16"/>
                <w:szCs w:val="16"/>
                <w:lang w:val="pt-BR" w:eastAsia="es-ES"/>
              </w:rPr>
              <w:t xml:space="preserve">Carolina Quintero </w:t>
            </w:r>
            <w:proofErr w:type="spellStart"/>
            <w:r w:rsidRPr="00B42669">
              <w:rPr>
                <w:rFonts w:ascii="Verdana" w:hAnsi="Verdana" w:cs="Arial"/>
                <w:sz w:val="16"/>
                <w:szCs w:val="16"/>
                <w:lang w:val="pt-BR" w:eastAsia="es-ES"/>
              </w:rPr>
              <w:t>Gacharná</w:t>
            </w:r>
            <w:proofErr w:type="spellEnd"/>
          </w:p>
          <w:p w14:paraId="24748D3D" w14:textId="77777777" w:rsidR="00E56916" w:rsidRPr="007A4924" w:rsidRDefault="00E56916" w:rsidP="00FB43C2">
            <w:pPr>
              <w:spacing w:after="160"/>
              <w:contextualSpacing/>
              <w:rPr>
                <w:rFonts w:ascii="Verdana" w:hAnsi="Verdana" w:cs="Arial"/>
                <w:sz w:val="16"/>
                <w:szCs w:val="16"/>
                <w:lang w:val="pt-BR" w:eastAsia="es-ES"/>
              </w:rPr>
            </w:pPr>
            <w:r w:rsidRPr="007A4924">
              <w:rPr>
                <w:rFonts w:ascii="Verdana" w:hAnsi="Verdana" w:cs="Arial"/>
                <w:sz w:val="16"/>
                <w:szCs w:val="16"/>
                <w:lang w:eastAsia="es-ES"/>
              </w:rPr>
              <w:t>Subdirectora</w:t>
            </w:r>
            <w:r w:rsidRPr="007A4924">
              <w:rPr>
                <w:rFonts w:ascii="Verdana" w:hAnsi="Verdana" w:cs="Arial"/>
                <w:sz w:val="16"/>
                <w:szCs w:val="16"/>
                <w:lang w:val="pt-BR" w:eastAsia="es-ES"/>
              </w:rPr>
              <w:t xml:space="preserve"> de Gestión Contratual ANCP – CCE</w:t>
            </w:r>
          </w:p>
        </w:tc>
      </w:tr>
    </w:tbl>
    <w:p w14:paraId="7FE381CD" w14:textId="77777777" w:rsidR="00E56916" w:rsidRPr="00E56916" w:rsidRDefault="00E56916" w:rsidP="001C0382">
      <w:pPr>
        <w:spacing w:after="0"/>
        <w:rPr>
          <w:rFonts w:ascii="Verdana" w:eastAsia="Times New Roman" w:hAnsi="Verdana" w:cs="Segoe UI"/>
          <w:lang w:eastAsia="es-CO"/>
        </w:rPr>
      </w:pPr>
    </w:p>
    <w:sectPr w:rsidR="00E56916" w:rsidRPr="00E56916" w:rsidSect="007C0C0F">
      <w:headerReference w:type="default" r:id="rId18"/>
      <w:footerReference w:type="default" r:id="rId19"/>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B3CF052" w14:textId="77777777" w:rsidR="00F17474" w:rsidRDefault="00F17474" w:rsidP="004A1847">
      <w:pPr>
        <w:spacing w:after="0" w:line="240" w:lineRule="auto"/>
      </w:pPr>
      <w:r>
        <w:separator/>
      </w:r>
    </w:p>
  </w:endnote>
  <w:endnote w:type="continuationSeparator" w:id="0">
    <w:p w14:paraId="1814E323" w14:textId="77777777" w:rsidR="00F17474" w:rsidRDefault="00F17474"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Pr="005E099F" w:rsidRDefault="356CEDFD" w:rsidP="356CEDFD">
    <w:pPr>
      <w:pBdr>
        <w:top w:val="nil"/>
        <w:left w:val="nil"/>
        <w:bottom w:val="nil"/>
        <w:right w:val="nil"/>
        <w:between w:val="nil"/>
      </w:pBdr>
      <w:tabs>
        <w:tab w:val="center" w:pos="4419"/>
        <w:tab w:val="right" w:pos="8838"/>
        <w:tab w:val="center" w:pos="5400"/>
      </w:tabs>
      <w:spacing w:after="0"/>
      <w:jc w:val="right"/>
      <w:rPr>
        <w:lang w:val="pt-PT"/>
      </w:rPr>
    </w:pPr>
    <w:r w:rsidRPr="005E099F">
      <w:rPr>
        <w:rFonts w:ascii="Century Gothic" w:eastAsia="Geo" w:hAnsi="Century Gothic" w:cs="Geo"/>
        <w:b/>
        <w:bCs/>
        <w:color w:val="000000" w:themeColor="text1"/>
        <w:sz w:val="16"/>
        <w:szCs w:val="16"/>
        <w:lang w:val="pt-PT" w:eastAsia="es-CO"/>
      </w:rPr>
      <w:t xml:space="preserve">Código: </w:t>
    </w:r>
    <w:r w:rsidRPr="005E099F">
      <w:rPr>
        <w:rFonts w:ascii="Century Gothic" w:eastAsia="Geo" w:hAnsi="Century Gothic" w:cs="Geo"/>
        <w:color w:val="000000" w:themeColor="text1"/>
        <w:sz w:val="16"/>
        <w:szCs w:val="16"/>
        <w:lang w:val="pt-PT" w:eastAsia="es-CO"/>
      </w:rPr>
      <w:t xml:space="preserve">CCE-REC-FM-17 </w:t>
    </w:r>
    <w:r w:rsidRPr="005E099F">
      <w:rPr>
        <w:rFonts w:ascii="Century Gothic" w:eastAsia="Geo" w:hAnsi="Century Gothic" w:cs="Geo"/>
        <w:b/>
        <w:bCs/>
        <w:color w:val="000000" w:themeColor="text1"/>
        <w:sz w:val="16"/>
        <w:szCs w:val="16"/>
        <w:lang w:val="pt-PT" w:eastAsia="es-CO"/>
      </w:rPr>
      <w:t>V</w:t>
    </w:r>
    <w:r w:rsidRPr="005E099F">
      <w:rPr>
        <w:rFonts w:ascii="Century Gothic" w:eastAsia="Arial Nova" w:hAnsi="Century Gothic" w:cs="Arial Nova"/>
        <w:b/>
        <w:bCs/>
        <w:color w:val="000000" w:themeColor="text1"/>
        <w:sz w:val="16"/>
        <w:szCs w:val="16"/>
        <w:lang w:val="pt-PT" w:eastAsia="es-CO"/>
      </w:rPr>
      <w:t xml:space="preserve">: </w:t>
    </w:r>
    <w:r w:rsidRPr="005E099F">
      <w:rPr>
        <w:rFonts w:ascii="Century Gothic" w:eastAsia="Geo" w:hAnsi="Century Gothic" w:cs="Geo"/>
        <w:sz w:val="16"/>
        <w:szCs w:val="16"/>
        <w:lang w:val="pt-PT"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642393F" w14:textId="77777777" w:rsidR="00F17474" w:rsidRDefault="00F17474" w:rsidP="004A1847">
      <w:pPr>
        <w:spacing w:after="0" w:line="240" w:lineRule="auto"/>
      </w:pPr>
      <w:r>
        <w:separator/>
      </w:r>
    </w:p>
  </w:footnote>
  <w:footnote w:type="continuationSeparator" w:id="0">
    <w:p w14:paraId="56A7905C" w14:textId="77777777" w:rsidR="00F17474" w:rsidRDefault="00F17474" w:rsidP="004A1847">
      <w:pPr>
        <w:spacing w:after="0" w:line="240" w:lineRule="auto"/>
      </w:pPr>
      <w:r>
        <w:continuationSeparator/>
      </w:r>
    </w:p>
  </w:footnote>
  <w:footnote w:id="1">
    <w:p w14:paraId="15842424" w14:textId="77777777" w:rsidR="00965BFD" w:rsidRPr="00FB43C2" w:rsidRDefault="00965BFD" w:rsidP="00965BFD">
      <w:pPr>
        <w:pStyle w:val="Textonotapie"/>
        <w:ind w:firstLine="709"/>
        <w:contextualSpacing/>
        <w:jc w:val="both"/>
        <w:rPr>
          <w:rFonts w:ascii="Verdana" w:hAnsi="Verdana" w:cs="Arial"/>
          <w:sz w:val="18"/>
          <w:szCs w:val="18"/>
        </w:rPr>
      </w:pPr>
      <w:r w:rsidRPr="00FB43C2">
        <w:rPr>
          <w:rStyle w:val="Refdenotaalpie"/>
          <w:rFonts w:ascii="Verdana" w:hAnsi="Verdana" w:cs="Arial"/>
          <w:sz w:val="18"/>
          <w:szCs w:val="18"/>
        </w:rPr>
        <w:footnoteRef/>
      </w:r>
      <w:r w:rsidRPr="00FB43C2">
        <w:rPr>
          <w:rFonts w:ascii="Verdana" w:hAnsi="Verdana" w:cs="Arial"/>
          <w:sz w:val="18"/>
          <w:szCs w:val="18"/>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096B266A" w14:textId="77777777" w:rsidR="00965BFD" w:rsidRPr="00FB43C2" w:rsidRDefault="00965BFD" w:rsidP="00965BFD">
      <w:pPr>
        <w:pStyle w:val="Textonotapie"/>
        <w:ind w:firstLine="709"/>
        <w:contextualSpacing/>
        <w:jc w:val="both"/>
        <w:rPr>
          <w:rFonts w:ascii="Verdana" w:hAnsi="Verdana" w:cs="Arial"/>
          <w:sz w:val="18"/>
          <w:szCs w:val="18"/>
        </w:rPr>
      </w:pPr>
      <w:r w:rsidRPr="00FB43C2">
        <w:rPr>
          <w:rFonts w:ascii="Verdana" w:hAnsi="Verdana" w:cs="Arial"/>
          <w:sz w:val="18"/>
          <w:szCs w:val="18"/>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footnote>
  <w:footnote w:id="2">
    <w:p w14:paraId="6EAD5FDC" w14:textId="77777777" w:rsidR="00965BFD" w:rsidRPr="00FB43C2" w:rsidRDefault="00965BFD" w:rsidP="00965BFD">
      <w:pPr>
        <w:pStyle w:val="Textonotapie"/>
        <w:ind w:firstLine="709"/>
        <w:contextualSpacing/>
        <w:jc w:val="both"/>
        <w:rPr>
          <w:rFonts w:ascii="Verdana" w:hAnsi="Verdana" w:cs="Arial"/>
          <w:sz w:val="18"/>
          <w:szCs w:val="18"/>
        </w:rPr>
      </w:pPr>
      <w:r w:rsidRPr="00FB43C2">
        <w:rPr>
          <w:rStyle w:val="Refdenotaalpie"/>
          <w:rFonts w:ascii="Verdana" w:hAnsi="Verdana" w:cs="Arial"/>
          <w:sz w:val="18"/>
          <w:szCs w:val="18"/>
        </w:rPr>
        <w:footnoteRef/>
      </w:r>
      <w:r w:rsidRPr="00FB43C2">
        <w:rPr>
          <w:rFonts w:ascii="Verdana" w:hAnsi="Verdana" w:cs="Arial"/>
          <w:sz w:val="18"/>
          <w:szCs w:val="18"/>
        </w:rPr>
        <w:t xml:space="preserve"> Gaceta del Congreso de la República No. 71 del 2005.</w:t>
      </w:r>
    </w:p>
  </w:footnote>
  <w:footnote w:id="3">
    <w:p w14:paraId="0C437356" w14:textId="77777777" w:rsidR="00965BFD" w:rsidRPr="005E099F" w:rsidRDefault="00965BFD" w:rsidP="00965BFD">
      <w:pPr>
        <w:pStyle w:val="Textonotapie"/>
        <w:ind w:firstLine="709"/>
        <w:contextualSpacing/>
        <w:jc w:val="both"/>
        <w:rPr>
          <w:rFonts w:ascii="Verdana" w:hAnsi="Verdana" w:cs="Arial"/>
          <w:sz w:val="18"/>
          <w:szCs w:val="18"/>
          <w:lang w:val="pt-PT"/>
        </w:rPr>
      </w:pPr>
      <w:r w:rsidRPr="00FB43C2">
        <w:rPr>
          <w:rStyle w:val="Refdenotaalpie"/>
          <w:rFonts w:ascii="Verdana" w:hAnsi="Verdana" w:cs="Arial"/>
          <w:sz w:val="18"/>
          <w:szCs w:val="18"/>
        </w:rPr>
        <w:footnoteRef/>
      </w:r>
      <w:r w:rsidRPr="005E099F">
        <w:rPr>
          <w:rFonts w:ascii="Verdana" w:hAnsi="Verdana" w:cs="Arial"/>
          <w:sz w:val="18"/>
          <w:szCs w:val="18"/>
          <w:lang w:val="pt-PT"/>
        </w:rPr>
        <w:t xml:space="preserve"> Corte Constitucional, Sentencia C- 1153 de 2005, M.P. Marco Gerardo Monroy Cabra.</w:t>
      </w:r>
    </w:p>
  </w:footnote>
  <w:footnote w:id="4">
    <w:p w14:paraId="12AC59D3" w14:textId="77777777" w:rsidR="00965BFD" w:rsidRPr="005E099F" w:rsidRDefault="00965BFD" w:rsidP="00965BFD">
      <w:pPr>
        <w:pStyle w:val="Textonotapie"/>
        <w:ind w:firstLine="709"/>
        <w:contextualSpacing/>
        <w:jc w:val="both"/>
        <w:rPr>
          <w:rFonts w:ascii="Verdana" w:hAnsi="Verdana" w:cs="Arial"/>
          <w:sz w:val="18"/>
          <w:szCs w:val="18"/>
          <w:lang w:val="pt-PT"/>
        </w:rPr>
      </w:pPr>
      <w:r w:rsidRPr="00FB43C2">
        <w:rPr>
          <w:rStyle w:val="Refdenotaalpie"/>
          <w:rFonts w:ascii="Verdana" w:hAnsi="Verdana" w:cs="Arial"/>
          <w:sz w:val="18"/>
          <w:szCs w:val="18"/>
        </w:rPr>
        <w:footnoteRef/>
      </w:r>
      <w:r w:rsidRPr="005E099F">
        <w:rPr>
          <w:rFonts w:ascii="Verdana" w:hAnsi="Verdana" w:cs="Arial"/>
          <w:sz w:val="18"/>
          <w:szCs w:val="18"/>
          <w:lang w:val="pt-PT"/>
        </w:rPr>
        <w:t xml:space="preserve"> Corte Constitucional. Sentencias: C-233 de 4 de abril de 2002, expediente: D-3704; C-551 de 9 de julio de 2003, expediente: CRF-001 de 9 de julio de 2003; C-652 de 5 de agosto de 2003, expediente: D-4330; C-353 de 20 de mayo de 2009, expediente: D-7518, C-541 de 30 de junio de 2010, expediente: DD7966; entre otras.</w:t>
      </w:r>
    </w:p>
  </w:footnote>
  <w:footnote w:id="5">
    <w:p w14:paraId="78FEB43D" w14:textId="77777777" w:rsidR="00965BFD" w:rsidRPr="00FB43C2" w:rsidRDefault="00965BFD" w:rsidP="00965BFD">
      <w:pPr>
        <w:pStyle w:val="Textonotapie"/>
        <w:ind w:firstLine="709"/>
        <w:contextualSpacing/>
        <w:jc w:val="both"/>
        <w:rPr>
          <w:rFonts w:ascii="Verdana" w:hAnsi="Verdana" w:cs="Arial"/>
          <w:sz w:val="18"/>
          <w:szCs w:val="18"/>
          <w:lang w:val="es-CO"/>
        </w:rPr>
      </w:pPr>
      <w:r w:rsidRPr="00FB43C2">
        <w:rPr>
          <w:rStyle w:val="Refdenotaalpie"/>
          <w:rFonts w:ascii="Verdana" w:hAnsi="Verdana" w:cs="Arial"/>
          <w:sz w:val="18"/>
          <w:szCs w:val="18"/>
        </w:rPr>
        <w:footnoteRef/>
      </w:r>
      <w:r w:rsidRPr="00FB43C2">
        <w:rPr>
          <w:rFonts w:ascii="Verdana" w:hAnsi="Verdana" w:cs="Arial"/>
          <w:sz w:val="18"/>
          <w:szCs w:val="18"/>
          <w:lang w:val="es-CO"/>
        </w:rPr>
        <w:t xml:space="preserve"> 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footnote>
  <w:footnote w:id="6">
    <w:p w14:paraId="5E557807" w14:textId="77777777" w:rsidR="00965BFD" w:rsidRPr="00FB43C2" w:rsidRDefault="00965BFD" w:rsidP="00965BFD">
      <w:pPr>
        <w:pStyle w:val="Textonotapie"/>
        <w:ind w:firstLine="709"/>
        <w:contextualSpacing/>
        <w:jc w:val="both"/>
        <w:rPr>
          <w:rFonts w:ascii="Verdana" w:hAnsi="Verdana" w:cs="Arial"/>
          <w:sz w:val="18"/>
          <w:szCs w:val="18"/>
        </w:rPr>
      </w:pPr>
      <w:r w:rsidRPr="00FB43C2">
        <w:rPr>
          <w:rStyle w:val="Refdenotaalpie"/>
          <w:rFonts w:ascii="Verdana" w:hAnsi="Verdana" w:cs="Arial"/>
          <w:sz w:val="18"/>
          <w:szCs w:val="18"/>
        </w:rPr>
        <w:footnoteRef/>
      </w:r>
      <w:r w:rsidRPr="00FB43C2">
        <w:rPr>
          <w:rFonts w:ascii="Verdana" w:hAnsi="Verdana" w:cs="Arial"/>
          <w:sz w:val="18"/>
          <w:szCs w:val="18"/>
        </w:rPr>
        <w:t xml:space="preserve"> Consejo de Estado, Sala de Consulta y Servicio Civil de fecha 24 de julio de 2013, radicado 2166, Consejero Ponente: Álvaro Namén Vargas.  </w:t>
      </w:r>
    </w:p>
  </w:footnote>
  <w:footnote w:id="7">
    <w:p w14:paraId="0FEA85BA" w14:textId="77777777" w:rsidR="00965BFD" w:rsidRPr="00FB43C2" w:rsidRDefault="00965BFD" w:rsidP="00965BFD">
      <w:pPr>
        <w:spacing w:after="0" w:line="240" w:lineRule="auto"/>
        <w:ind w:firstLine="709"/>
        <w:contextualSpacing/>
        <w:jc w:val="both"/>
        <w:rPr>
          <w:rFonts w:ascii="Verdana" w:eastAsia="Times New Roman" w:hAnsi="Verdana" w:cs="Arial"/>
          <w:sz w:val="18"/>
          <w:szCs w:val="18"/>
        </w:rPr>
      </w:pPr>
      <w:r w:rsidRPr="00FB43C2">
        <w:rPr>
          <w:rStyle w:val="Refdenotaalpie"/>
          <w:rFonts w:ascii="Verdana" w:hAnsi="Verdana" w:cs="Arial"/>
          <w:sz w:val="18"/>
          <w:szCs w:val="18"/>
        </w:rPr>
        <w:footnoteRef/>
      </w:r>
      <w:r w:rsidRPr="00FB43C2">
        <w:rPr>
          <w:rFonts w:ascii="Verdana" w:hAnsi="Verdana" w:cs="Arial"/>
          <w:sz w:val="18"/>
          <w:szCs w:val="18"/>
        </w:rPr>
        <w:t xml:space="preserve"> </w:t>
      </w:r>
      <w:bookmarkStart w:id="6" w:name="33"/>
      <w:r w:rsidRPr="00FB43C2">
        <w:rPr>
          <w:rFonts w:ascii="Verdana" w:eastAsia="Calibri" w:hAnsi="Verdana" w:cs="Arial"/>
          <w:color w:val="000000"/>
          <w:sz w:val="18"/>
          <w:szCs w:val="18"/>
        </w:rPr>
        <w:t>“</w:t>
      </w:r>
      <w:r w:rsidRPr="00FB43C2">
        <w:rPr>
          <w:rFonts w:ascii="Verdana" w:eastAsia="Times New Roman" w:hAnsi="Verdana" w:cs="Arial"/>
          <w:sz w:val="18"/>
          <w:szCs w:val="18"/>
        </w:rPr>
        <w:t>Artículo 33. Restricciones a la contratación pública.</w:t>
      </w:r>
      <w:bookmarkEnd w:id="6"/>
      <w:r w:rsidRPr="00FB43C2">
        <w:rPr>
          <w:rFonts w:ascii="Verdana" w:eastAsia="Times New Roman" w:hAnsi="Verdana" w:cs="Arial"/>
          <w:sz w:val="18"/>
          <w:szCs w:val="18"/>
        </w:rPr>
        <w:t> Durante los cuatro (4) meses anteriores a la elección presidencial y hasta la realización de la elección en la segunda vuelta, si fuere el caso, queda prohibida la contratación directa por parte de todos los entes del Estado.</w:t>
      </w:r>
    </w:p>
    <w:p w14:paraId="3318FA9A" w14:textId="77777777" w:rsidR="00965BFD" w:rsidRPr="00FB43C2" w:rsidRDefault="00965BFD" w:rsidP="00965BFD">
      <w:pPr>
        <w:spacing w:after="0" w:line="240" w:lineRule="auto"/>
        <w:ind w:firstLine="709"/>
        <w:contextualSpacing/>
        <w:jc w:val="both"/>
        <w:rPr>
          <w:rFonts w:ascii="Verdana" w:eastAsia="Times New Roman" w:hAnsi="Verdana" w:cs="Arial"/>
          <w:sz w:val="18"/>
          <w:szCs w:val="18"/>
        </w:rPr>
      </w:pPr>
      <w:r w:rsidRPr="00FB43C2">
        <w:rPr>
          <w:rFonts w:ascii="Verdana" w:eastAsia="Times New Roman" w:hAnsi="Verdana" w:cs="Arial"/>
          <w:sz w:val="18"/>
          <w:szCs w:val="18"/>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FB43C2">
        <w:rPr>
          <w:rFonts w:ascii="Verdana" w:eastAsia="Calibri" w:hAnsi="Verdana" w:cs="Arial"/>
          <w:color w:val="000000"/>
          <w:sz w:val="18"/>
          <w:szCs w:val="18"/>
        </w:rPr>
        <w:t>”</w:t>
      </w:r>
      <w:r w:rsidRPr="00FB43C2">
        <w:rPr>
          <w:rFonts w:ascii="Verdana" w:eastAsia="Times New Roman" w:hAnsi="Verdana" w:cs="Arial"/>
          <w:sz w:val="18"/>
          <w:szCs w:val="18"/>
        </w:rPr>
        <w:t>.</w:t>
      </w:r>
    </w:p>
  </w:footnote>
  <w:footnote w:id="8">
    <w:p w14:paraId="6052AB1A" w14:textId="77777777" w:rsidR="00965BFD" w:rsidRPr="00FB43C2" w:rsidRDefault="00965BFD" w:rsidP="00965BFD">
      <w:pPr>
        <w:pStyle w:val="NormalWeb"/>
        <w:spacing w:before="0" w:beforeAutospacing="0" w:after="0" w:afterAutospacing="0"/>
        <w:ind w:firstLine="709"/>
        <w:contextualSpacing/>
        <w:jc w:val="both"/>
        <w:rPr>
          <w:rFonts w:ascii="Verdana" w:hAnsi="Verdana" w:cs="Arial"/>
          <w:sz w:val="18"/>
          <w:szCs w:val="18"/>
          <w:lang w:val="es-MX"/>
        </w:rPr>
      </w:pPr>
      <w:r w:rsidRPr="00FB43C2">
        <w:rPr>
          <w:rStyle w:val="Refdenotaalpie"/>
          <w:rFonts w:ascii="Verdana" w:hAnsi="Verdana" w:cs="Arial"/>
          <w:sz w:val="18"/>
          <w:szCs w:val="18"/>
        </w:rPr>
        <w:footnoteRef/>
      </w:r>
      <w:r w:rsidRPr="00FB43C2">
        <w:rPr>
          <w:rFonts w:ascii="Verdana" w:hAnsi="Verdana" w:cs="Arial"/>
          <w:sz w:val="18"/>
          <w:szCs w:val="18"/>
        </w:rPr>
        <w:t xml:space="preserve"> </w:t>
      </w:r>
      <w:bookmarkStart w:id="7" w:name="38"/>
      <w:r w:rsidRPr="00FB43C2">
        <w:rPr>
          <w:rFonts w:ascii="Verdana" w:eastAsia="Calibri" w:hAnsi="Verdana" w:cs="Arial"/>
          <w:color w:val="000000"/>
          <w:sz w:val="18"/>
          <w:szCs w:val="18"/>
        </w:rPr>
        <w:t>“</w:t>
      </w:r>
      <w:r w:rsidRPr="00FB43C2">
        <w:rPr>
          <w:rFonts w:ascii="Verdana" w:hAnsi="Verdana" w:cs="Arial"/>
          <w:sz w:val="18"/>
          <w:szCs w:val="18"/>
          <w:lang w:val="es-MX"/>
        </w:rPr>
        <w:t>Artículo 38. Prohibiciones para los servidores públicos. A los empleados del Estado les está prohibido:</w:t>
      </w:r>
      <w:bookmarkEnd w:id="7"/>
    </w:p>
    <w:p w14:paraId="5E7AF762" w14:textId="77777777" w:rsidR="00965BFD" w:rsidRPr="00FB43C2" w:rsidRDefault="00965BFD" w:rsidP="00965BFD">
      <w:pPr>
        <w:pStyle w:val="NormalWeb"/>
        <w:spacing w:before="0" w:beforeAutospacing="0" w:after="0" w:afterAutospacing="0"/>
        <w:ind w:firstLine="709"/>
        <w:contextualSpacing/>
        <w:jc w:val="both"/>
        <w:rPr>
          <w:rFonts w:ascii="Verdana" w:hAnsi="Verdana" w:cs="Arial"/>
          <w:sz w:val="18"/>
          <w:szCs w:val="18"/>
          <w:lang w:val="es-MX"/>
        </w:rPr>
      </w:pPr>
      <w:r w:rsidRPr="00FB43C2">
        <w:rPr>
          <w:rFonts w:ascii="Verdana" w:hAnsi="Verdana" w:cs="Arial"/>
          <w:sz w:val="18"/>
          <w:szCs w:val="18"/>
          <w:lang w:val="es-MX"/>
        </w:rPr>
        <w:t>[…]</w:t>
      </w:r>
    </w:p>
    <w:p w14:paraId="2E715CDE" w14:textId="77777777" w:rsidR="00965BFD" w:rsidRPr="00FB43C2" w:rsidRDefault="00965BFD" w:rsidP="00965BFD">
      <w:pPr>
        <w:pStyle w:val="NormalWeb"/>
        <w:spacing w:before="0" w:beforeAutospacing="0" w:after="0" w:afterAutospacing="0"/>
        <w:ind w:firstLine="709"/>
        <w:contextualSpacing/>
        <w:jc w:val="both"/>
        <w:rPr>
          <w:rFonts w:ascii="Verdana" w:hAnsi="Verdana" w:cs="Arial"/>
          <w:sz w:val="18"/>
          <w:szCs w:val="18"/>
          <w:lang w:val="es-MX"/>
        </w:rPr>
      </w:pPr>
      <w:r w:rsidRPr="00FB43C2">
        <w:rPr>
          <w:rStyle w:val="baj"/>
          <w:rFonts w:ascii="Verdana" w:eastAsiaTheme="minorEastAsia" w:hAnsi="Verdana" w:cs="Arial"/>
          <w:sz w:val="18"/>
          <w:szCs w:val="18"/>
          <w:lang w:val="es-MX"/>
        </w:rPr>
        <w:t>Parágrafo.</w:t>
      </w:r>
      <w:r w:rsidRPr="00FB43C2">
        <w:rPr>
          <w:rFonts w:ascii="Verdana" w:hAnsi="Verdana" w:cs="Arial"/>
          <w:sz w:val="18"/>
          <w:szCs w:val="18"/>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FB43C2">
        <w:rPr>
          <w:rFonts w:ascii="Verdana" w:eastAsia="Calibri" w:hAnsi="Verdana" w:cs="Arial"/>
          <w:color w:val="000000"/>
          <w:sz w:val="18"/>
          <w:szCs w:val="18"/>
        </w:rPr>
        <w:t>”</w:t>
      </w:r>
      <w:r w:rsidRPr="00FB43C2">
        <w:rPr>
          <w:rFonts w:ascii="Verdana" w:hAnsi="Verdana" w:cs="Arial"/>
          <w:sz w:val="18"/>
          <w:szCs w:val="18"/>
          <w:lang w:val="es-MX"/>
        </w:rPr>
        <w:t>.</w:t>
      </w:r>
    </w:p>
  </w:footnote>
  <w:footnote w:id="9">
    <w:p w14:paraId="4E048A90" w14:textId="77777777" w:rsidR="00965BFD" w:rsidRPr="00FB43C2" w:rsidRDefault="00965BFD" w:rsidP="00965BFD">
      <w:pPr>
        <w:spacing w:after="0" w:line="240" w:lineRule="auto"/>
        <w:ind w:left="100" w:right="244" w:firstLine="709"/>
        <w:contextualSpacing/>
        <w:jc w:val="both"/>
        <w:rPr>
          <w:rFonts w:ascii="Verdana" w:hAnsi="Verdana" w:cs="Arial"/>
          <w:sz w:val="18"/>
          <w:szCs w:val="18"/>
          <w:lang w:val="es-ES"/>
        </w:rPr>
      </w:pPr>
      <w:r w:rsidRPr="00FB43C2">
        <w:rPr>
          <w:rStyle w:val="Refdenotaalpie"/>
          <w:rFonts w:ascii="Verdana" w:hAnsi="Verdana" w:cs="Arial"/>
          <w:sz w:val="18"/>
          <w:szCs w:val="18"/>
        </w:rPr>
        <w:footnoteRef/>
      </w:r>
      <w:r w:rsidRPr="00FB43C2">
        <w:rPr>
          <w:rFonts w:ascii="Verdana" w:hAnsi="Verdana" w:cs="Arial"/>
          <w:sz w:val="18"/>
          <w:szCs w:val="18"/>
        </w:rPr>
        <w:t xml:space="preserve"> Consejo de Estado. Sala de Consulta y Servicio Civil. Concepto del 17 de febrero de 2015. C.P. William Zambrano Cetina. Radicación No. 11001-03-06-000-2015-00164-00(2269).</w:t>
      </w:r>
    </w:p>
  </w:footnote>
  <w:footnote w:id="10">
    <w:p w14:paraId="1F448EF4" w14:textId="77777777" w:rsidR="00965BFD" w:rsidRPr="00FB43C2" w:rsidRDefault="00965BFD" w:rsidP="00965BFD">
      <w:pPr>
        <w:pStyle w:val="Textonotapie"/>
        <w:ind w:right="51" w:firstLine="709"/>
        <w:jc w:val="both"/>
        <w:rPr>
          <w:rFonts w:ascii="Verdana" w:hAnsi="Verdana" w:cs="Arial"/>
          <w:sz w:val="18"/>
          <w:szCs w:val="18"/>
        </w:rPr>
      </w:pPr>
      <w:r w:rsidRPr="00FB43C2">
        <w:rPr>
          <w:rStyle w:val="Refdenotaalpie"/>
          <w:rFonts w:ascii="Verdana" w:hAnsi="Verdana" w:cs="Arial"/>
          <w:sz w:val="18"/>
          <w:szCs w:val="18"/>
        </w:rPr>
        <w:footnoteRef/>
      </w:r>
      <w:r w:rsidRPr="00FB43C2">
        <w:rPr>
          <w:rFonts w:ascii="Verdana" w:hAnsi="Verdana" w:cs="Arial"/>
          <w:sz w:val="18"/>
          <w:szCs w:val="18"/>
        </w:rPr>
        <w:t xml:space="preserve"> “</w:t>
      </w:r>
      <w:r w:rsidRPr="00FB43C2">
        <w:rPr>
          <w:rFonts w:ascii="Verdana" w:hAnsi="Verdana" w:cs="Arial"/>
          <w:sz w:val="18"/>
          <w:szCs w:val="18"/>
          <w:lang w:val="es-ES"/>
        </w:rPr>
        <w:t xml:space="preserve">[25] </w:t>
      </w:r>
      <w:r w:rsidRPr="00FB43C2">
        <w:rPr>
          <w:rFonts w:ascii="Verdana" w:hAnsi="Verdana" w:cs="Arial"/>
          <w:sz w:val="18"/>
          <w:szCs w:val="18"/>
        </w:rPr>
        <w:t>Cfr. Consejo de Estado. Sección Tercera. Sentencia de 3 de diciembre de 2007. Radicados: 24.715, 25.206, 25.409, 24.524, 27.834, 25.410, 26.105, 28.244, 31.447 -acumulados-”.</w:t>
      </w:r>
    </w:p>
  </w:footnote>
  <w:footnote w:id="11">
    <w:p w14:paraId="242CFBE9" w14:textId="77777777" w:rsidR="00965BFD" w:rsidRPr="00FB43C2" w:rsidRDefault="00965BFD" w:rsidP="00965BFD">
      <w:pPr>
        <w:pStyle w:val="Textonotapie"/>
        <w:ind w:right="51" w:firstLine="709"/>
        <w:jc w:val="both"/>
        <w:rPr>
          <w:rFonts w:ascii="Verdana" w:hAnsi="Verdana" w:cs="Arial"/>
          <w:sz w:val="18"/>
          <w:szCs w:val="18"/>
        </w:rPr>
      </w:pPr>
      <w:r w:rsidRPr="00FB43C2">
        <w:rPr>
          <w:rStyle w:val="Refdenotaalpie"/>
          <w:rFonts w:ascii="Verdana" w:hAnsi="Verdana" w:cs="Arial"/>
          <w:sz w:val="18"/>
          <w:szCs w:val="18"/>
        </w:rPr>
        <w:footnoteRef/>
      </w:r>
      <w:r w:rsidRPr="00FB43C2">
        <w:rPr>
          <w:rFonts w:ascii="Verdana" w:hAnsi="Verdana" w:cs="Arial"/>
          <w:sz w:val="18"/>
          <w:szCs w:val="18"/>
        </w:rPr>
        <w:t xml:space="preserve"> “</w:t>
      </w:r>
      <w:r w:rsidRPr="00FB43C2">
        <w:rPr>
          <w:rFonts w:ascii="Verdana" w:hAnsi="Verdana" w:cs="Arial"/>
          <w:sz w:val="18"/>
          <w:szCs w:val="18"/>
          <w:lang w:val="es-ES"/>
        </w:rPr>
        <w:t xml:space="preserve">[26] </w:t>
      </w:r>
      <w:r w:rsidRPr="00FB43C2">
        <w:rPr>
          <w:rFonts w:ascii="Verdana" w:hAnsi="Verdana" w:cs="Arial"/>
          <w:sz w:val="18"/>
          <w:szCs w:val="18"/>
        </w:rPr>
        <w:t>Al respecto ver el concepto 1712 de 2 de febrero de 2006. Consejo de Estado Sala de Consulta y Servicio Civil”.</w:t>
      </w:r>
    </w:p>
  </w:footnote>
  <w:footnote w:id="12">
    <w:p w14:paraId="6CC8E83E" w14:textId="77777777" w:rsidR="00965BFD" w:rsidRPr="00FB43C2" w:rsidRDefault="00965BFD" w:rsidP="00965BFD">
      <w:pPr>
        <w:pStyle w:val="Textonotapie"/>
        <w:ind w:firstLine="709"/>
        <w:jc w:val="both"/>
        <w:rPr>
          <w:rFonts w:ascii="Verdana" w:hAnsi="Verdana" w:cs="Arial"/>
          <w:sz w:val="18"/>
          <w:szCs w:val="18"/>
        </w:rPr>
      </w:pPr>
      <w:r w:rsidRPr="00FB43C2">
        <w:rPr>
          <w:rStyle w:val="Refdenotaalpie"/>
          <w:rFonts w:ascii="Verdana" w:hAnsi="Verdana" w:cs="Arial"/>
          <w:sz w:val="18"/>
          <w:szCs w:val="18"/>
        </w:rPr>
        <w:footnoteRef/>
      </w:r>
      <w:r w:rsidRPr="00FB43C2">
        <w:rPr>
          <w:rFonts w:ascii="Verdana" w:hAnsi="Verdana" w:cs="Arial"/>
          <w:sz w:val="18"/>
          <w:szCs w:val="18"/>
        </w:rPr>
        <w:t xml:space="preserve"> Consejo de Estado. Sala de Consulta y Servicio Civil. Concepto del 2 de septiembre de 2013. Radicación número: 11001-03-06-000-2013-00412-00 (2168). Consejero Ponente: Álvaro Namén Vargas.</w:t>
      </w:r>
    </w:p>
  </w:footnote>
  <w:footnote w:id="13">
    <w:p w14:paraId="7282811D" w14:textId="77777777" w:rsidR="00965BFD" w:rsidRPr="00FB43C2" w:rsidRDefault="00965BFD" w:rsidP="00965BFD">
      <w:pPr>
        <w:pStyle w:val="Textonotapie"/>
        <w:ind w:firstLine="709"/>
        <w:jc w:val="both"/>
        <w:rPr>
          <w:rFonts w:ascii="Verdana" w:hAnsi="Verdana" w:cs="Arial"/>
          <w:sz w:val="18"/>
          <w:szCs w:val="18"/>
          <w:lang w:val="es-ES"/>
        </w:rPr>
      </w:pPr>
      <w:r w:rsidRPr="00FB43C2">
        <w:rPr>
          <w:rStyle w:val="Refdenotaalpie"/>
          <w:rFonts w:ascii="Verdana" w:hAnsi="Verdana" w:cs="Arial"/>
          <w:sz w:val="18"/>
          <w:szCs w:val="18"/>
        </w:rPr>
        <w:footnoteRef/>
      </w:r>
      <w:r w:rsidRPr="00FB43C2">
        <w:rPr>
          <w:rFonts w:ascii="Verdana" w:hAnsi="Verdana" w:cs="Arial"/>
          <w:sz w:val="18"/>
          <w:szCs w:val="18"/>
        </w:rPr>
        <w:t xml:space="preserve"> </w:t>
      </w:r>
      <w:r w:rsidRPr="00FB43C2">
        <w:rPr>
          <w:rFonts w:ascii="Verdana" w:hAnsi="Verdana" w:cs="Arial"/>
          <w:sz w:val="18"/>
          <w:szCs w:val="18"/>
          <w:lang w:val="es-ES"/>
        </w:rPr>
        <w:t xml:space="preserve">Artículo 2. </w:t>
      </w:r>
    </w:p>
  </w:footnote>
  <w:footnote w:id="14">
    <w:p w14:paraId="13A039A3" w14:textId="77777777" w:rsidR="00965BFD" w:rsidRPr="00FB43C2" w:rsidRDefault="00965BFD" w:rsidP="00965BFD">
      <w:pPr>
        <w:pStyle w:val="Textonotapie"/>
        <w:ind w:firstLine="709"/>
        <w:jc w:val="both"/>
        <w:rPr>
          <w:rFonts w:ascii="Verdana" w:hAnsi="Verdana" w:cs="Arial"/>
          <w:sz w:val="18"/>
          <w:szCs w:val="18"/>
          <w:lang w:val="es-ES"/>
        </w:rPr>
      </w:pPr>
      <w:r w:rsidRPr="00FB43C2">
        <w:rPr>
          <w:rStyle w:val="Refdenotaalpie"/>
          <w:rFonts w:ascii="Verdana" w:hAnsi="Verdana" w:cs="Arial"/>
          <w:sz w:val="18"/>
          <w:szCs w:val="18"/>
        </w:rPr>
        <w:footnoteRef/>
      </w:r>
      <w:r w:rsidRPr="00FB43C2">
        <w:rPr>
          <w:rFonts w:ascii="Verdana" w:hAnsi="Verdana" w:cs="Arial"/>
          <w:sz w:val="18"/>
          <w:szCs w:val="18"/>
        </w:rPr>
        <w:t xml:space="preserve"> </w:t>
      </w:r>
      <w:r w:rsidRPr="00FB43C2">
        <w:rPr>
          <w:rFonts w:ascii="Verdana" w:hAnsi="Verdana" w:cs="Arial"/>
          <w:i/>
          <w:sz w:val="18"/>
          <w:szCs w:val="18"/>
          <w:lang w:val="es-ES"/>
        </w:rPr>
        <w:t>Ibidem</w:t>
      </w:r>
      <w:r w:rsidRPr="00FB43C2">
        <w:rPr>
          <w:rFonts w:ascii="Verdana" w:hAnsi="Verdana" w:cs="Arial"/>
          <w:sz w:val="18"/>
          <w:szCs w:val="18"/>
          <w:lang w:val="es-ES"/>
        </w:rPr>
        <w:t>.</w:t>
      </w:r>
    </w:p>
  </w:footnote>
  <w:footnote w:id="15">
    <w:p w14:paraId="04CFDEB0" w14:textId="77777777" w:rsidR="00965BFD" w:rsidRPr="00FB43C2" w:rsidRDefault="00965BFD" w:rsidP="00965BFD">
      <w:pPr>
        <w:pStyle w:val="Textonotapie"/>
        <w:ind w:firstLine="709"/>
        <w:jc w:val="both"/>
        <w:rPr>
          <w:rFonts w:ascii="Verdana" w:hAnsi="Verdana" w:cs="Arial"/>
          <w:sz w:val="18"/>
          <w:szCs w:val="18"/>
          <w:lang w:val="es-ES"/>
        </w:rPr>
      </w:pPr>
      <w:r w:rsidRPr="00FB43C2">
        <w:rPr>
          <w:rStyle w:val="Refdenotaalpie"/>
          <w:rFonts w:ascii="Verdana" w:hAnsi="Verdana" w:cs="Arial"/>
          <w:sz w:val="18"/>
          <w:szCs w:val="18"/>
        </w:rPr>
        <w:footnoteRef/>
      </w:r>
      <w:r w:rsidRPr="00FB43C2">
        <w:rPr>
          <w:rStyle w:val="Refdenotaalpie"/>
          <w:rFonts w:ascii="Verdana" w:hAnsi="Verdana" w:cs="Arial"/>
          <w:sz w:val="18"/>
          <w:szCs w:val="18"/>
        </w:rPr>
        <w:t xml:space="preserve"> </w:t>
      </w:r>
      <w:r w:rsidRPr="00FB43C2">
        <w:rPr>
          <w:rFonts w:ascii="Verdana" w:hAnsi="Verdana" w:cs="Arial"/>
          <w:sz w:val="18"/>
          <w:szCs w:val="18"/>
          <w:lang w:val="es-ES"/>
        </w:rPr>
        <w:t xml:space="preserve">“[…] A este respecto, cabe recordar que el artículo 860 del Código de Comercio regula la licitación en el derecho privado”. </w:t>
      </w:r>
    </w:p>
  </w:footnote>
  <w:footnote w:id="16">
    <w:p w14:paraId="359EA974" w14:textId="77777777" w:rsidR="00965BFD" w:rsidRPr="00FB43C2" w:rsidRDefault="00965BFD" w:rsidP="00965BFD">
      <w:pPr>
        <w:shd w:val="clear" w:color="auto" w:fill="FFFFFF"/>
        <w:spacing w:after="0"/>
        <w:ind w:firstLine="709"/>
        <w:jc w:val="both"/>
        <w:rPr>
          <w:rFonts w:ascii="Verdana" w:hAnsi="Verdana" w:cs="Arial"/>
          <w:sz w:val="18"/>
          <w:szCs w:val="18"/>
          <w:lang w:val="es-ES"/>
        </w:rPr>
      </w:pPr>
      <w:r w:rsidRPr="00FB43C2">
        <w:rPr>
          <w:rStyle w:val="Refdenotaalpie"/>
          <w:rFonts w:ascii="Verdana" w:hAnsi="Verdana" w:cs="Arial"/>
          <w:sz w:val="18"/>
          <w:szCs w:val="18"/>
        </w:rPr>
        <w:footnoteRef/>
      </w:r>
      <w:r w:rsidRPr="00FB43C2">
        <w:rPr>
          <w:rStyle w:val="Refdenotaalpie"/>
          <w:rFonts w:ascii="Verdana" w:hAnsi="Verdana" w:cs="Arial"/>
          <w:sz w:val="18"/>
          <w:szCs w:val="18"/>
        </w:rPr>
        <w:t xml:space="preserve"> </w:t>
      </w:r>
      <w:r w:rsidRPr="00FB43C2">
        <w:rPr>
          <w:rFonts w:ascii="Verdana" w:hAnsi="Verdana" w:cs="Arial"/>
          <w:sz w:val="18"/>
          <w:szCs w:val="18"/>
          <w:lang w:val="es-ES"/>
        </w:rPr>
        <w:t>Consejo de Estado. Sala de Consulta y Servicio Civil, Concepto de 8 de mayo de 2018. Radicación Número: 11001-03-06-000-2018-00095-00(2382). Consejero Ponente: Álvaro Namén Vargas.</w:t>
      </w:r>
    </w:p>
  </w:footnote>
  <w:footnote w:id="17">
    <w:p w14:paraId="22D7A4BA" w14:textId="77777777" w:rsidR="00965BFD" w:rsidRPr="00FB43C2" w:rsidRDefault="00965BFD" w:rsidP="00965BFD">
      <w:pPr>
        <w:pStyle w:val="Textonotapie"/>
        <w:ind w:firstLine="709"/>
        <w:jc w:val="both"/>
        <w:rPr>
          <w:rFonts w:ascii="Verdana" w:hAnsi="Verdana" w:cs="Arial"/>
          <w:sz w:val="18"/>
          <w:szCs w:val="18"/>
        </w:rPr>
      </w:pPr>
      <w:r w:rsidRPr="00FB43C2">
        <w:rPr>
          <w:rStyle w:val="Refdenotaalpie"/>
          <w:rFonts w:ascii="Verdana" w:hAnsi="Verdana" w:cs="Arial"/>
          <w:sz w:val="18"/>
          <w:szCs w:val="18"/>
        </w:rPr>
        <w:footnoteRef/>
      </w:r>
      <w:r w:rsidRPr="00FB43C2">
        <w:rPr>
          <w:rFonts w:ascii="Verdana" w:hAnsi="Verdana" w:cs="Arial"/>
          <w:sz w:val="18"/>
          <w:szCs w:val="18"/>
        </w:rPr>
        <w:t xml:space="preserve"> Consejo de Estado. Sala de Consulta y Servicio Civil. Concepto del 08 de mayo de 2018. Exp. 2.382. C.P. Álvaro Namén Vargas.</w:t>
      </w:r>
    </w:p>
  </w:footnote>
  <w:footnote w:id="18">
    <w:p w14:paraId="45D74864" w14:textId="77777777" w:rsidR="00965BFD" w:rsidRPr="00FB43C2" w:rsidRDefault="00965BFD" w:rsidP="00965BFD">
      <w:pPr>
        <w:pStyle w:val="Textonotapie"/>
        <w:ind w:firstLine="709"/>
        <w:jc w:val="both"/>
        <w:rPr>
          <w:rFonts w:ascii="Verdana" w:hAnsi="Verdana" w:cs="Arial"/>
          <w:sz w:val="18"/>
          <w:szCs w:val="18"/>
        </w:rPr>
      </w:pPr>
      <w:r w:rsidRPr="00FB43C2">
        <w:rPr>
          <w:rStyle w:val="Refdenotaalpie"/>
          <w:rFonts w:ascii="Verdana" w:hAnsi="Verdana" w:cs="Arial"/>
          <w:sz w:val="18"/>
          <w:szCs w:val="18"/>
        </w:rPr>
        <w:footnoteRef/>
      </w:r>
      <w:r w:rsidRPr="00FB43C2">
        <w:rPr>
          <w:rFonts w:ascii="Verdana" w:hAnsi="Verdana" w:cs="Arial"/>
          <w:sz w:val="18"/>
          <w:szCs w:val="18"/>
        </w:rPr>
        <w:t xml:space="preserve"> La Corte Constitucional mediante Sentencia C-1153-05 de 11 de noviembre de 2005, Magistrado Ponente Marco Gerardo Monroy Cabra, efectuó el Control constitucional al Proyecto de Ley Estatutaria N° 216/05 Senado, N° 235-Cámara que dio lugar a la Ley de Garantías Electorales.</w:t>
      </w:r>
    </w:p>
  </w:footnote>
  <w:footnote w:id="19">
    <w:p w14:paraId="6F00EF7B" w14:textId="77777777" w:rsidR="00965BFD" w:rsidRPr="00FB43C2" w:rsidRDefault="00965BFD" w:rsidP="00965BFD">
      <w:pPr>
        <w:spacing w:after="0"/>
        <w:ind w:firstLine="709"/>
        <w:jc w:val="both"/>
        <w:rPr>
          <w:rFonts w:ascii="Verdana" w:hAnsi="Verdana" w:cs="Arial"/>
          <w:sz w:val="18"/>
          <w:szCs w:val="18"/>
        </w:rPr>
      </w:pPr>
      <w:r w:rsidRPr="00FB43C2">
        <w:rPr>
          <w:rStyle w:val="Refdenotaalpie"/>
          <w:rFonts w:ascii="Verdana" w:hAnsi="Verdana" w:cs="Arial"/>
          <w:sz w:val="18"/>
          <w:szCs w:val="18"/>
        </w:rPr>
        <w:footnoteRef/>
      </w:r>
      <w:r w:rsidRPr="00FB43C2">
        <w:rPr>
          <w:rFonts w:ascii="Verdana" w:hAnsi="Verdana" w:cs="Arial"/>
          <w:sz w:val="18"/>
          <w:szCs w:val="18"/>
        </w:rPr>
        <w:t xml:space="preserve"> Consejo de Estado. Sala de Consulta y Servicio Civil. Concepto de 20 de febrero de 2006. Radicación Número: 11001-03-06-000-2006-00026-00(1727). Consejero Ponente: Enrique José Arboleda Perdomo. Conceptuó que para las entidades que contratan por el derecho privado, estaba prohibida la contratación diferente de la licitación pública regulada por el código de comercio, criterio que luego se extendió para aquellos procesos que, en algunos sistemas de contratación utilizados por entidades públicas con regímenes especiales y establecidos en sus manuales de contratación, utilicen convocatoria de manera pública y se permita la participación de una pluralidad de oferentes.</w:t>
      </w:r>
    </w:p>
  </w:footnote>
  <w:footnote w:id="20">
    <w:p w14:paraId="11F022A5" w14:textId="77777777" w:rsidR="00965BFD" w:rsidRPr="00FB43C2" w:rsidRDefault="00965BFD" w:rsidP="00965BFD">
      <w:pPr>
        <w:pStyle w:val="Textonotapie"/>
        <w:ind w:right="51" w:firstLine="709"/>
        <w:jc w:val="both"/>
        <w:rPr>
          <w:rFonts w:ascii="Verdana" w:hAnsi="Verdana" w:cs="Arial"/>
          <w:sz w:val="18"/>
          <w:szCs w:val="18"/>
        </w:rPr>
      </w:pPr>
      <w:r w:rsidRPr="00FB43C2">
        <w:rPr>
          <w:rStyle w:val="Refdenotaalpie"/>
          <w:rFonts w:ascii="Verdana" w:hAnsi="Verdana" w:cs="Arial"/>
          <w:sz w:val="18"/>
          <w:szCs w:val="18"/>
        </w:rPr>
        <w:footnoteRef/>
      </w:r>
      <w:r w:rsidRPr="00FB43C2">
        <w:rPr>
          <w:rFonts w:ascii="Verdana" w:hAnsi="Verdana" w:cs="Arial"/>
          <w:sz w:val="18"/>
          <w:szCs w:val="18"/>
        </w:rPr>
        <w:t xml:space="preserve"> </w:t>
      </w:r>
      <w:bookmarkStart w:id="18" w:name="_Hlk75633115"/>
      <w:r w:rsidRPr="00FB43C2">
        <w:rPr>
          <w:rFonts w:ascii="Verdana" w:hAnsi="Verdana" w:cs="Arial"/>
          <w:sz w:val="18"/>
          <w:szCs w:val="18"/>
        </w:rPr>
        <w:t xml:space="preserve">Consejo de Estado. Sala de Consulta y Servicio Civil. Concepto </w:t>
      </w:r>
      <w:bookmarkEnd w:id="18"/>
      <w:r w:rsidRPr="00FB43C2">
        <w:rPr>
          <w:rFonts w:ascii="Verdana" w:hAnsi="Verdana" w:cs="Arial"/>
          <w:sz w:val="18"/>
          <w:szCs w:val="18"/>
        </w:rPr>
        <w:t>de 6 de abril de 2006. Radicación Número: 11001-03-06-000-2006-00038-00(1738). Consejero Ponente: Enrique José Arboleda Perdomo:</w:t>
      </w:r>
      <w:r w:rsidRPr="00FB43C2">
        <w:rPr>
          <w:rFonts w:ascii="Verdana" w:eastAsia="Times New Roman" w:hAnsi="Verdana" w:cs="Arial"/>
          <w:bCs/>
          <w:sz w:val="18"/>
          <w:szCs w:val="18"/>
          <w:lang w:eastAsia="x-none"/>
        </w:rPr>
        <w:t xml:space="preserve"> “</w:t>
      </w:r>
      <w:r w:rsidRPr="00FB43C2">
        <w:rPr>
          <w:rFonts w:ascii="Verdana" w:hAnsi="Verdana" w:cs="Arial"/>
          <w:sz w:val="18"/>
          <w:szCs w:val="18"/>
        </w:rPr>
        <w:t>Si bien en el tema del concepto del que se extractaron los párrafos transcritos, se hacía referencia a las empresas de servicios públicos domiciliarios mixtas, la explicación dada cobija también a las empresas industriales y comerciales del estado y a las de crédito, pues todas ellas hacen parte de la definición de administración pública de la ley 489 de 1998, y además encajan dentro de la noción de todos los entes del Estado que trae la ley 996 de 2005 en el artículo 33, de manera que no es lógico pretender exonerarse de ésta prohibición alegando un régimen especial de los actos o contratos</w:t>
      </w:r>
      <w:r w:rsidRPr="00FB43C2">
        <w:rPr>
          <w:rFonts w:ascii="Verdana" w:eastAsia="Times New Roman" w:hAnsi="Verdana" w:cs="Arial"/>
          <w:bCs/>
          <w:sz w:val="18"/>
          <w:szCs w:val="18"/>
          <w:lang w:eastAsia="x-none"/>
        </w:rPr>
        <w:t>”.</w:t>
      </w:r>
    </w:p>
  </w:footnote>
  <w:footnote w:id="21">
    <w:p w14:paraId="446DC937" w14:textId="77777777" w:rsidR="00965BFD" w:rsidRPr="00FB43C2" w:rsidRDefault="00965BFD" w:rsidP="00965BFD">
      <w:pPr>
        <w:pStyle w:val="Textonotapie"/>
        <w:ind w:right="51" w:firstLine="709"/>
        <w:jc w:val="both"/>
        <w:rPr>
          <w:rFonts w:ascii="Verdana" w:hAnsi="Verdana" w:cs="Arial"/>
          <w:sz w:val="18"/>
          <w:szCs w:val="18"/>
        </w:rPr>
      </w:pPr>
      <w:r w:rsidRPr="00FB43C2">
        <w:rPr>
          <w:rStyle w:val="Refdenotaalpie"/>
          <w:rFonts w:ascii="Verdana" w:hAnsi="Verdana" w:cs="Arial"/>
          <w:sz w:val="18"/>
          <w:szCs w:val="18"/>
        </w:rPr>
        <w:footnoteRef/>
      </w:r>
      <w:r w:rsidRPr="00FB43C2">
        <w:rPr>
          <w:rFonts w:ascii="Verdana" w:hAnsi="Verdana" w:cs="Arial"/>
          <w:sz w:val="18"/>
          <w:szCs w:val="18"/>
        </w:rPr>
        <w:t xml:space="preserve"> Consejo de Estado. Sala de Consulta y Servicio Civil. Concepto de 6 de abril de 2006. Radicación Número: 11001-03-06-000-2006-00038-00(1738). Consejero Ponente: Enrique José Arboleda Perdomo.</w:t>
      </w:r>
    </w:p>
  </w:footnote>
  <w:footnote w:id="22">
    <w:p w14:paraId="42CD2270" w14:textId="77777777" w:rsidR="00965BFD" w:rsidRPr="00FB43C2" w:rsidRDefault="00965BFD" w:rsidP="00965BFD">
      <w:pPr>
        <w:pStyle w:val="Textonotapie"/>
        <w:ind w:right="51" w:firstLine="709"/>
        <w:jc w:val="both"/>
        <w:rPr>
          <w:rFonts w:ascii="Verdana" w:hAnsi="Verdana" w:cs="Arial"/>
          <w:sz w:val="18"/>
          <w:szCs w:val="18"/>
        </w:rPr>
      </w:pPr>
      <w:r w:rsidRPr="00FB43C2">
        <w:rPr>
          <w:rStyle w:val="Refdenotaalpie"/>
          <w:rFonts w:ascii="Verdana" w:hAnsi="Verdana" w:cs="Arial"/>
          <w:sz w:val="18"/>
          <w:szCs w:val="18"/>
        </w:rPr>
        <w:footnoteRef/>
      </w:r>
      <w:r w:rsidRPr="00FB43C2">
        <w:rPr>
          <w:rFonts w:ascii="Verdana" w:hAnsi="Verdana" w:cs="Arial"/>
          <w:sz w:val="18"/>
          <w:szCs w:val="18"/>
        </w:rPr>
        <w:t xml:space="preserve"> Consejo de Estado. Sala de Consulta y Servicio Civil, </w:t>
      </w:r>
      <w:r w:rsidRPr="00FB43C2">
        <w:rPr>
          <w:rFonts w:ascii="Verdana" w:hAnsi="Verdana" w:cs="Arial"/>
          <w:i/>
          <w:iCs/>
          <w:sz w:val="18"/>
          <w:szCs w:val="18"/>
        </w:rPr>
        <w:t>ibidem</w:t>
      </w:r>
      <w:r w:rsidRPr="00FB43C2">
        <w:rPr>
          <w:rFonts w:ascii="Verdana" w:hAnsi="Verdana" w:cs="Arial"/>
          <w:sz w:val="18"/>
          <w:szCs w:val="18"/>
        </w:rPr>
        <w:t>.</w:t>
      </w:r>
    </w:p>
  </w:footnote>
  <w:footnote w:id="23">
    <w:p w14:paraId="52AF0C43" w14:textId="77777777" w:rsidR="00965BFD" w:rsidRPr="00FB43C2" w:rsidRDefault="00965BFD" w:rsidP="00965BFD">
      <w:pPr>
        <w:pStyle w:val="Textonotapie"/>
        <w:ind w:firstLine="708"/>
        <w:jc w:val="both"/>
        <w:rPr>
          <w:rFonts w:ascii="Verdana" w:hAnsi="Verdana" w:cs="Arial"/>
          <w:sz w:val="18"/>
          <w:szCs w:val="18"/>
        </w:rPr>
      </w:pPr>
      <w:r w:rsidRPr="00FB43C2">
        <w:rPr>
          <w:rStyle w:val="Refdenotaalpie"/>
          <w:rFonts w:ascii="Verdana" w:hAnsi="Verdana" w:cs="Arial"/>
          <w:sz w:val="18"/>
          <w:szCs w:val="18"/>
        </w:rPr>
        <w:footnoteRef/>
      </w:r>
      <w:r w:rsidRPr="00FB43C2">
        <w:rPr>
          <w:rFonts w:ascii="Verdana" w:hAnsi="Verdana" w:cs="Arial"/>
          <w:sz w:val="18"/>
          <w:szCs w:val="18"/>
        </w:rPr>
        <w:t xml:space="preserve"> Consejo de Estado. Sala de Consulta y Servicio Civil. Concepto del 18 de febrero 2010. Rad. 11001-03-06-000-2010-00006-00 (1985). C.P. Enrique José Arboleda Perdomo.</w:t>
      </w:r>
    </w:p>
  </w:footnote>
  <w:footnote w:id="24">
    <w:p w14:paraId="20763D8F" w14:textId="77777777" w:rsidR="00965BFD" w:rsidRPr="00FB43C2" w:rsidRDefault="00965BFD" w:rsidP="00965BFD">
      <w:pPr>
        <w:pStyle w:val="Textonotapie"/>
        <w:ind w:firstLine="708"/>
        <w:jc w:val="both"/>
        <w:rPr>
          <w:rFonts w:ascii="Verdana" w:hAnsi="Verdana" w:cs="Arial"/>
          <w:sz w:val="18"/>
          <w:szCs w:val="18"/>
        </w:rPr>
      </w:pPr>
      <w:r w:rsidRPr="00FB43C2">
        <w:rPr>
          <w:rStyle w:val="Refdenotaalpie"/>
          <w:rFonts w:ascii="Verdana" w:hAnsi="Verdana" w:cs="Arial"/>
          <w:sz w:val="18"/>
          <w:szCs w:val="18"/>
        </w:rPr>
        <w:footnoteRef/>
      </w:r>
      <w:r w:rsidRPr="00FB43C2">
        <w:rPr>
          <w:rFonts w:ascii="Verdana" w:hAnsi="Verdana" w:cs="Arial"/>
          <w:sz w:val="18"/>
          <w:szCs w:val="18"/>
        </w:rPr>
        <w:t xml:space="preserve"> Corte Constitucional. Sentencia C-1153 de 2005 M.P. Marco Gerardo Monroy Cabra. </w:t>
      </w:r>
    </w:p>
  </w:footnote>
  <w:footnote w:id="25">
    <w:p w14:paraId="73245AE8" w14:textId="77777777" w:rsidR="00965BFD" w:rsidRPr="00FB43C2" w:rsidRDefault="00965BFD" w:rsidP="00965BFD">
      <w:pPr>
        <w:pStyle w:val="Textonotapie"/>
        <w:ind w:firstLine="708"/>
        <w:jc w:val="both"/>
        <w:rPr>
          <w:rFonts w:ascii="Verdana" w:hAnsi="Verdana"/>
          <w:sz w:val="18"/>
          <w:szCs w:val="18"/>
          <w:lang w:val="es-CO"/>
        </w:rPr>
      </w:pPr>
      <w:r w:rsidRPr="00FB43C2">
        <w:rPr>
          <w:rStyle w:val="Refdenotaalpie"/>
          <w:rFonts w:ascii="Verdana" w:hAnsi="Verdana"/>
          <w:sz w:val="18"/>
          <w:szCs w:val="18"/>
        </w:rPr>
        <w:footnoteRef/>
      </w:r>
      <w:r w:rsidRPr="00FB43C2">
        <w:rPr>
          <w:rFonts w:ascii="Verdana" w:hAnsi="Verdana"/>
          <w:sz w:val="18"/>
          <w:szCs w:val="18"/>
        </w:rPr>
        <w:t xml:space="preserve"> Sobre el alcance de las normas equivalentes en el Código Civil chileno, CLARO SOLAR explica lo siguiente: “Las palabras de que el legislador se sirve pueden tener dos significaciones: el sentido vulgar y el sentido técnico. Según el artículo 20, ‘</w:t>
      </w:r>
      <w:r w:rsidRPr="00FB43C2">
        <w:rPr>
          <w:rFonts w:ascii="Verdana" w:hAnsi="Verdana"/>
          <w:i/>
          <w:iCs/>
          <w:sz w:val="18"/>
          <w:szCs w:val="18"/>
        </w:rPr>
        <w:t>las palabras de la ley se entenderán en su sentido natural y obvio, según el uso general de las mismas palabras</w:t>
      </w:r>
      <w:r w:rsidRPr="00FB43C2">
        <w:rPr>
          <w:rFonts w:ascii="Verdana" w:hAnsi="Verdana"/>
          <w:sz w:val="18"/>
          <w:szCs w:val="18"/>
        </w:rPr>
        <w:t>’, es decir, el uso de la gente educada. El Diccionario de la Lengua publicado por la Real Academia Española goza a este respecto de gran autoridad. ‘</w:t>
      </w:r>
      <w:r w:rsidRPr="00FB43C2">
        <w:rPr>
          <w:rFonts w:ascii="Verdana" w:hAnsi="Verdana"/>
          <w:i/>
          <w:iCs/>
          <w:sz w:val="18"/>
          <w:szCs w:val="18"/>
        </w:rPr>
        <w:t>Pero cuando el legislador</w:t>
      </w:r>
      <w:r w:rsidRPr="00FB43C2">
        <w:rPr>
          <w:rFonts w:ascii="Verdana" w:hAnsi="Verdana"/>
          <w:sz w:val="18"/>
          <w:szCs w:val="18"/>
        </w:rPr>
        <w:t xml:space="preserve">, agrega el artículo 20, </w:t>
      </w:r>
      <w:r w:rsidRPr="00FB43C2">
        <w:rPr>
          <w:rFonts w:ascii="Verdana" w:hAnsi="Verdana"/>
          <w:i/>
          <w:iCs/>
          <w:sz w:val="18"/>
          <w:szCs w:val="18"/>
        </w:rPr>
        <w:t>las haya definido expresamente para ciertas materias se les dará en éstas su significado legal</w:t>
      </w:r>
      <w:r w:rsidRPr="00FB43C2">
        <w:rPr>
          <w:rFonts w:ascii="Verdana" w:hAnsi="Verdana"/>
          <w:sz w:val="18"/>
          <w:szCs w:val="18"/>
        </w:rPr>
        <w:t>’. Por la inversa, según el artículo 21, ‘las palabras técnicas de toda ciencia o arte se tomarán en el sentido que les den los que profesan la misma ciencia o arte; a menos que aparezca claramente que se han tomado en sentido diverso’. Es de suponer que el legislador conozca bastante el idioma en que legisla y sea suficientemente instruido en la ciencia o arte para dar a las palabras de la lengua y a las palabras especiales de la ciencia o arte a que se refiere, el significado que les es propio; en el caso contrario, es necesario que ello aparezca de manifiesto y con toda claridad” (CLARO SOLAR, Luis. Explicaciones de derecho civil chileno y comparado. Volumen I. Tomo I. Santiago: Editorial Jurídica de Chile, 2013. p. 117. Énfasis dentro del texto).</w:t>
      </w:r>
    </w:p>
  </w:footnote>
  <w:footnote w:id="26">
    <w:p w14:paraId="54C06CD1" w14:textId="77777777" w:rsidR="00965BFD" w:rsidRPr="00FB43C2" w:rsidRDefault="00965BFD" w:rsidP="00965BFD">
      <w:pPr>
        <w:spacing w:after="0" w:line="240" w:lineRule="auto"/>
        <w:ind w:firstLine="708"/>
        <w:jc w:val="both"/>
        <w:rPr>
          <w:rFonts w:ascii="Verdana" w:eastAsia="Calibri" w:hAnsi="Verdana" w:cs="Arial"/>
          <w:sz w:val="18"/>
          <w:szCs w:val="18"/>
          <w:lang w:val="es-ES_tradnl"/>
        </w:rPr>
      </w:pPr>
      <w:r w:rsidRPr="00FB43C2">
        <w:rPr>
          <w:rStyle w:val="Refdenotaalpie"/>
          <w:rFonts w:ascii="Verdana" w:hAnsi="Verdana" w:cs="Arial"/>
          <w:sz w:val="18"/>
          <w:szCs w:val="18"/>
        </w:rPr>
        <w:footnoteRef/>
      </w:r>
      <w:r w:rsidRPr="00FB43C2">
        <w:rPr>
          <w:rFonts w:ascii="Verdana" w:hAnsi="Verdana" w:cs="Arial"/>
          <w:sz w:val="18"/>
          <w:szCs w:val="18"/>
        </w:rPr>
        <w:t xml:space="preserve"> </w:t>
      </w:r>
      <w:r w:rsidRPr="00FB43C2">
        <w:rPr>
          <w:rFonts w:ascii="Verdana" w:hAnsi="Verdana" w:cs="Arial"/>
          <w:sz w:val="18"/>
          <w:szCs w:val="18"/>
          <w:lang w:val="es-ES_tradnl"/>
        </w:rPr>
        <w:t>La jurisprudencia delimita su sentido y alcance de la siguiente manera –</w:t>
      </w:r>
      <w:r w:rsidRPr="00FB43C2">
        <w:rPr>
          <w:rFonts w:ascii="Verdana" w:hAnsi="Verdana" w:cs="Arial"/>
          <w:sz w:val="18"/>
          <w:szCs w:val="18"/>
          <w:lang w:val="es-ES"/>
        </w:rPr>
        <w:t>CORTE SUPREMA DE JUSTICIA. Sala de Casación Civil. Sentencia 20 de noviembre de 1989. MP. Alberto Ospina Botero. Publicada en la Gaceta Judicial. Tomo CXCVI. N° 2435. p. 93</w:t>
      </w:r>
      <w:r w:rsidRPr="00FB43C2">
        <w:rPr>
          <w:rFonts w:ascii="Verdana" w:hAnsi="Verdana" w:cs="Arial"/>
          <w:sz w:val="18"/>
          <w:szCs w:val="18"/>
          <w:lang w:val="es-ES_tradnl"/>
        </w:rPr>
        <w:t>–:</w:t>
      </w:r>
    </w:p>
    <w:p w14:paraId="751B758C" w14:textId="77777777" w:rsidR="00965BFD" w:rsidRPr="00FB43C2" w:rsidRDefault="00965BFD" w:rsidP="00965BFD">
      <w:pPr>
        <w:spacing w:after="0" w:line="240" w:lineRule="auto"/>
        <w:ind w:right="49" w:firstLine="708"/>
        <w:jc w:val="both"/>
        <w:rPr>
          <w:rFonts w:ascii="Verdana" w:eastAsia="Calibri" w:hAnsi="Verdana" w:cs="Arial"/>
          <w:sz w:val="18"/>
          <w:szCs w:val="18"/>
          <w:lang w:val="es-ES_tradnl"/>
        </w:rPr>
      </w:pPr>
      <w:r w:rsidRPr="00FB43C2">
        <w:rPr>
          <w:rFonts w:ascii="Verdana" w:eastAsia="Calibri" w:hAnsi="Verdana" w:cs="Arial"/>
          <w:sz w:val="18"/>
          <w:szCs w:val="18"/>
          <w:lang w:val="es-ES_tradnl"/>
        </w:rPr>
        <w:t>“6. […] la fuerza mayor o caso fortuito se configura por la concurrencia de dos factores:</w:t>
      </w:r>
    </w:p>
    <w:p w14:paraId="39798414" w14:textId="77777777" w:rsidR="00965BFD" w:rsidRPr="00FB43C2" w:rsidRDefault="00965BFD" w:rsidP="00965BFD">
      <w:pPr>
        <w:spacing w:after="0" w:line="240" w:lineRule="auto"/>
        <w:ind w:right="49" w:firstLine="708"/>
        <w:jc w:val="both"/>
        <w:rPr>
          <w:rFonts w:ascii="Verdana" w:eastAsia="Calibri" w:hAnsi="Verdana" w:cs="Arial"/>
          <w:sz w:val="18"/>
          <w:szCs w:val="18"/>
          <w:lang w:val="es-ES_tradnl"/>
        </w:rPr>
      </w:pPr>
      <w:r w:rsidRPr="00FB43C2">
        <w:rPr>
          <w:rFonts w:ascii="Verdana" w:eastAsia="Calibri" w:hAnsi="Verdana" w:cs="Arial"/>
          <w:sz w:val="18"/>
          <w:szCs w:val="18"/>
          <w:lang w:val="es-ES_tradnl"/>
        </w:rPr>
        <w:t>a) Que el hecho sea imprevisible, esto es, que dentro de las circunstancias normales de la vida, no sea posible contemplar por anticipado su ocurrencia. Por el contrario, si el hecho razonablemente hubiera podido preverse, por ser un acontecimiento normal o de ocurrencia frecuente, tal hecho no estructura el elemento imprevisible, y</w:t>
      </w:r>
    </w:p>
    <w:p w14:paraId="05CCD5CD" w14:textId="77777777" w:rsidR="00965BFD" w:rsidRPr="00FB43C2" w:rsidRDefault="00965BFD" w:rsidP="00965BFD">
      <w:pPr>
        <w:spacing w:after="0" w:line="240" w:lineRule="auto"/>
        <w:ind w:right="49" w:firstLine="708"/>
        <w:jc w:val="both"/>
        <w:rPr>
          <w:rFonts w:ascii="Verdana" w:eastAsia="Calibri" w:hAnsi="Verdana" w:cs="Arial"/>
          <w:sz w:val="18"/>
          <w:szCs w:val="18"/>
          <w:lang w:val="es-ES_tradnl"/>
        </w:rPr>
      </w:pPr>
      <w:r w:rsidRPr="00FB43C2">
        <w:rPr>
          <w:rFonts w:ascii="Verdana" w:eastAsia="Calibri" w:hAnsi="Verdana" w:cs="Arial"/>
          <w:sz w:val="18"/>
          <w:szCs w:val="18"/>
          <w:lang w:val="es-ES_tradnl"/>
        </w:rPr>
        <w:t>b) Que el hecho sea irresistible, o sea, que el agente no pueda evitar su acaecimiento ni superar sus consecuencias.</w:t>
      </w:r>
    </w:p>
    <w:p w14:paraId="1E32C77B" w14:textId="77777777" w:rsidR="00965BFD" w:rsidRPr="00FB43C2" w:rsidRDefault="00965BFD" w:rsidP="00965BFD">
      <w:pPr>
        <w:spacing w:after="0" w:line="240" w:lineRule="auto"/>
        <w:ind w:right="49" w:firstLine="708"/>
        <w:jc w:val="both"/>
        <w:rPr>
          <w:rFonts w:ascii="Verdana" w:eastAsia="Calibri" w:hAnsi="Verdana" w:cs="Arial"/>
          <w:sz w:val="18"/>
          <w:szCs w:val="18"/>
          <w:lang w:val="es-ES_tradnl"/>
        </w:rPr>
      </w:pPr>
      <w:r w:rsidRPr="00FB43C2">
        <w:rPr>
          <w:rFonts w:ascii="Verdana" w:eastAsia="Calibri" w:hAnsi="Verdana" w:cs="Arial"/>
          <w:sz w:val="18"/>
          <w:szCs w:val="18"/>
          <w:lang w:val="es-ES_tradnl"/>
        </w:rPr>
        <w:t>En este preciso punto es indispensable anotar la diferencia existente entre la imposibilidad para resistir o superar el hecho y la dificultad para enfrentarlo. Porque un hecho no constituye caso fortuito o fuerza mayor, por la sola circunstancia de que se haga más difícil o más onerosa de lo previsto inicialmente.</w:t>
      </w:r>
    </w:p>
    <w:p w14:paraId="1D1B8164" w14:textId="77777777" w:rsidR="00965BFD" w:rsidRPr="00FB43C2" w:rsidRDefault="00965BFD" w:rsidP="00965BFD">
      <w:pPr>
        <w:spacing w:after="0" w:line="240" w:lineRule="auto"/>
        <w:ind w:right="49" w:firstLine="708"/>
        <w:jc w:val="both"/>
        <w:rPr>
          <w:rFonts w:ascii="Verdana" w:eastAsia="Calibri" w:hAnsi="Verdana" w:cs="Arial"/>
          <w:sz w:val="18"/>
          <w:szCs w:val="18"/>
          <w:lang w:val="es-ES_tradnl"/>
        </w:rPr>
      </w:pPr>
      <w:r w:rsidRPr="00FB43C2">
        <w:rPr>
          <w:rFonts w:ascii="Verdana" w:eastAsia="Calibri" w:hAnsi="Verdana" w:cs="Arial"/>
          <w:sz w:val="18"/>
          <w:szCs w:val="18"/>
          <w:lang w:val="es-ES_tradnl"/>
        </w:rPr>
        <w:t>7. Según el verdadero sentido o inteligencia […] los elementos integrantes del caso fortuito o fuerza mayor, antes reseñados, deben ser concurrentes, lo cual se traduce en que si el hecho o suceso ciertamente es imprevisible pero se le puede resistir, no se da tal fenómeno, como tampoco se configura cuando a pesar de ser irresistible pudo preverse</w:t>
      </w:r>
    </w:p>
    <w:p w14:paraId="433FACA6" w14:textId="77777777" w:rsidR="00965BFD" w:rsidRPr="00FB43C2" w:rsidRDefault="00965BFD" w:rsidP="00965BFD">
      <w:pPr>
        <w:spacing w:after="0" w:line="240" w:lineRule="auto"/>
        <w:ind w:right="49"/>
        <w:jc w:val="both"/>
        <w:rPr>
          <w:rFonts w:ascii="Verdana" w:eastAsia="Calibri" w:hAnsi="Verdana" w:cs="Arial"/>
          <w:sz w:val="18"/>
          <w:szCs w:val="18"/>
          <w:lang w:val="es-ES_tradnl"/>
        </w:rPr>
      </w:pPr>
      <w:r w:rsidRPr="00FB43C2">
        <w:rPr>
          <w:rFonts w:ascii="Verdana" w:eastAsia="Calibri" w:hAnsi="Verdana" w:cs="Arial"/>
          <w:sz w:val="18"/>
          <w:szCs w:val="18"/>
          <w:lang w:val="es-ES_tradnl"/>
        </w:rPr>
        <w:t>[…]</w:t>
      </w:r>
    </w:p>
    <w:p w14:paraId="7CCF358A" w14:textId="77777777" w:rsidR="00965BFD" w:rsidRPr="00FB43C2" w:rsidRDefault="00965BFD" w:rsidP="00965BFD">
      <w:pPr>
        <w:pStyle w:val="Textonotapie"/>
        <w:ind w:right="49" w:firstLine="708"/>
        <w:jc w:val="both"/>
        <w:rPr>
          <w:rFonts w:ascii="Verdana" w:hAnsi="Verdana" w:cs="Arial"/>
          <w:sz w:val="18"/>
          <w:szCs w:val="18"/>
          <w:lang w:val="es-CO"/>
        </w:rPr>
      </w:pPr>
      <w:r w:rsidRPr="00FB43C2">
        <w:rPr>
          <w:rFonts w:ascii="Verdana" w:eastAsia="Calibri" w:hAnsi="Verdana" w:cs="Arial"/>
          <w:sz w:val="18"/>
          <w:szCs w:val="18"/>
          <w:lang w:val="es-ES_tradnl"/>
        </w:rPr>
        <w:t>8. Si, sólo puede calificarse como caso fortuito o fuerza mayor el hecho que concurrentemente contemple los caracteres de imprevisible e irresistible, no resulta propio elaborar un listado de los acontecimientos que constituyen tal fenómeno, ni de los que no lo constituyen. Por tal virtud, ha sostenido la doctrina nacional y foránea que un acontecimiento determinado no puede calificarse fatalmente, por sí mismo y por fuerza de su naturaleza específica como constitutivo de fuerza mayor o caso fortuito, puesto que es indispensable, en cada caso o acontecimiento, analizar y ponderar todas las circunstancias que rodearon el hecho”.</w:t>
      </w:r>
    </w:p>
  </w:footnote>
  <w:footnote w:id="27">
    <w:p w14:paraId="3445FC26" w14:textId="77777777" w:rsidR="00965BFD" w:rsidRPr="00FB43C2" w:rsidRDefault="00965BFD" w:rsidP="00965BFD">
      <w:pPr>
        <w:pStyle w:val="Textonotapie"/>
        <w:ind w:firstLine="708"/>
        <w:jc w:val="both"/>
        <w:rPr>
          <w:rFonts w:ascii="Verdana" w:hAnsi="Verdana" w:cs="Arial"/>
          <w:sz w:val="18"/>
          <w:szCs w:val="18"/>
          <w:lang w:val="es-ES"/>
        </w:rPr>
      </w:pPr>
      <w:r w:rsidRPr="00FB43C2">
        <w:rPr>
          <w:rStyle w:val="Refdenotaalpie"/>
          <w:rFonts w:ascii="Verdana" w:hAnsi="Verdana" w:cs="Arial"/>
          <w:sz w:val="18"/>
          <w:szCs w:val="18"/>
        </w:rPr>
        <w:footnoteRef/>
      </w:r>
      <w:r w:rsidRPr="00FB43C2">
        <w:rPr>
          <w:rFonts w:ascii="Verdana" w:hAnsi="Verdana" w:cs="Arial"/>
          <w:sz w:val="18"/>
          <w:szCs w:val="18"/>
        </w:rPr>
        <w:t xml:space="preserve"> “</w:t>
      </w:r>
      <w:r w:rsidRPr="00FB43C2">
        <w:rPr>
          <w:rFonts w:ascii="Verdana" w:hAnsi="Verdana" w:cs="Arial"/>
          <w:sz w:val="18"/>
          <w:szCs w:val="18"/>
          <w:lang w:val="es-ES"/>
        </w:rPr>
        <w:t>Artículo 56. Declaratoria de situación de desastre. Previa recomendación del Consejo Nacional, el Presidente de la República declarará mediante decreto la existencia de una situación de desastre y, en el mismo acto, la clasificará según su magnitud y efectos como de carácter nacional, regional, departamental, distrital o municipal, y pondrá en vigor las normas pertinentes propias del régimen especial para situaciones de desastre.</w:t>
      </w:r>
    </w:p>
    <w:p w14:paraId="7BE711F2" w14:textId="77777777" w:rsidR="00965BFD" w:rsidRPr="00FB43C2" w:rsidRDefault="00965BFD" w:rsidP="00965BFD">
      <w:pPr>
        <w:pStyle w:val="Textonotapie"/>
        <w:ind w:firstLine="708"/>
        <w:jc w:val="both"/>
        <w:rPr>
          <w:rFonts w:ascii="Verdana" w:hAnsi="Verdana" w:cs="Arial"/>
          <w:sz w:val="18"/>
          <w:szCs w:val="18"/>
          <w:lang w:val="es-ES"/>
        </w:rPr>
      </w:pPr>
      <w:r w:rsidRPr="00FB43C2">
        <w:rPr>
          <w:rFonts w:ascii="Verdana" w:hAnsi="Verdana" w:cs="Arial"/>
          <w:sz w:val="18"/>
          <w:szCs w:val="18"/>
          <w:lang w:val="es-ES"/>
        </w:rPr>
        <w:t>1. Nacional. Existirá una situación de desastre nacional:</w:t>
      </w:r>
    </w:p>
    <w:p w14:paraId="6AA87071" w14:textId="77777777" w:rsidR="00965BFD" w:rsidRPr="00FB43C2" w:rsidRDefault="00965BFD" w:rsidP="00965BFD">
      <w:pPr>
        <w:pStyle w:val="Textonotapie"/>
        <w:ind w:firstLine="708"/>
        <w:jc w:val="both"/>
        <w:rPr>
          <w:rFonts w:ascii="Verdana" w:hAnsi="Verdana" w:cs="Arial"/>
          <w:sz w:val="18"/>
          <w:szCs w:val="18"/>
          <w:lang w:val="es-ES"/>
        </w:rPr>
      </w:pPr>
      <w:r w:rsidRPr="00FB43C2">
        <w:rPr>
          <w:rFonts w:ascii="Verdana" w:hAnsi="Verdana" w:cs="Arial"/>
          <w:sz w:val="18"/>
          <w:szCs w:val="18"/>
          <w:lang w:val="es-ES"/>
        </w:rPr>
        <w:t>a). Cuando la materialización del riesgo afecte de manera desfavorable y grave los bienes jurídicos protegidos de las personas, de la colectividad nacional y de las instituciones de la Administración Pública Nacional, en todo el territorio nacional o en parte considerable del mismo.</w:t>
      </w:r>
    </w:p>
    <w:p w14:paraId="5AEE7EE2" w14:textId="77777777" w:rsidR="00965BFD" w:rsidRPr="00FB43C2" w:rsidRDefault="00965BFD" w:rsidP="00965BFD">
      <w:pPr>
        <w:pStyle w:val="Textonotapie"/>
        <w:ind w:firstLine="708"/>
        <w:jc w:val="both"/>
        <w:rPr>
          <w:rFonts w:ascii="Verdana" w:hAnsi="Verdana" w:cs="Arial"/>
          <w:sz w:val="18"/>
          <w:szCs w:val="18"/>
          <w:lang w:val="es-ES"/>
        </w:rPr>
      </w:pPr>
      <w:r w:rsidRPr="00FB43C2">
        <w:rPr>
          <w:rFonts w:ascii="Verdana" w:hAnsi="Verdana" w:cs="Arial"/>
          <w:sz w:val="18"/>
          <w:szCs w:val="18"/>
          <w:lang w:val="es-ES"/>
        </w:rPr>
        <w:t>b). Cuando se hayan producido efectos adversos en uno (1) o más departamentos y su impacto rebase la capacidad técnica y los recursos de las administraciones departamentales y municipales involucradas.</w:t>
      </w:r>
    </w:p>
    <w:p w14:paraId="0A868A28" w14:textId="77777777" w:rsidR="00965BFD" w:rsidRPr="00FB43C2" w:rsidRDefault="00965BFD" w:rsidP="00965BFD">
      <w:pPr>
        <w:pStyle w:val="Textonotapie"/>
        <w:ind w:firstLine="708"/>
        <w:jc w:val="both"/>
        <w:rPr>
          <w:rFonts w:ascii="Verdana" w:hAnsi="Verdana" w:cs="Arial"/>
          <w:sz w:val="18"/>
          <w:szCs w:val="18"/>
          <w:lang w:val="es-ES"/>
        </w:rPr>
      </w:pPr>
      <w:r w:rsidRPr="00FB43C2">
        <w:rPr>
          <w:rFonts w:ascii="Verdana" w:hAnsi="Verdana" w:cs="Arial"/>
          <w:sz w:val="18"/>
          <w:szCs w:val="18"/>
          <w:lang w:val="es-ES"/>
        </w:rPr>
        <w:t>c). Cuando la emergencia tenga la capacidad de impactar de manera desfavorable y grave la economía nacional, las redes de servicios nacionales en su totalidad o en parte significativa de las mismas, el distrito capital y otros centros urbanos de importancia regional en la red de ciudades.</w:t>
      </w:r>
    </w:p>
    <w:p w14:paraId="666EE324" w14:textId="77777777" w:rsidR="00965BFD" w:rsidRPr="00FB43C2" w:rsidRDefault="00965BFD" w:rsidP="00965BFD">
      <w:pPr>
        <w:pStyle w:val="Textonotapie"/>
        <w:ind w:firstLine="708"/>
        <w:jc w:val="both"/>
        <w:rPr>
          <w:rFonts w:ascii="Verdana" w:hAnsi="Verdana" w:cs="Arial"/>
          <w:sz w:val="18"/>
          <w:szCs w:val="18"/>
          <w:lang w:val="es-ES"/>
        </w:rPr>
      </w:pPr>
      <w:r w:rsidRPr="00FB43C2">
        <w:rPr>
          <w:rFonts w:ascii="Verdana" w:hAnsi="Verdana" w:cs="Arial"/>
          <w:sz w:val="18"/>
          <w:szCs w:val="18"/>
          <w:lang w:val="es-ES"/>
        </w:rPr>
        <w:t>2. Departamental. Existirá una situación de desastre departamental cuando la materialización del riesgo afecte de manera desfavorable y grave los bienes jurídicos protegidos de los habitantes de un (1) departamento y de la administración pública departamental. El desastre de orden departamental puede presentarse en todo el departamento o en parte sustancial de su territorio rebasando la capacidad técnica y de recursos de los municipios afectados.</w:t>
      </w:r>
    </w:p>
    <w:p w14:paraId="470CC846" w14:textId="77777777" w:rsidR="00965BFD" w:rsidRPr="00FB43C2" w:rsidRDefault="00965BFD" w:rsidP="00965BFD">
      <w:pPr>
        <w:pStyle w:val="Textonotapie"/>
        <w:ind w:firstLine="708"/>
        <w:jc w:val="both"/>
        <w:rPr>
          <w:rFonts w:ascii="Verdana" w:hAnsi="Verdana" w:cs="Arial"/>
          <w:sz w:val="18"/>
          <w:szCs w:val="18"/>
          <w:lang w:val="es-ES"/>
        </w:rPr>
      </w:pPr>
      <w:r w:rsidRPr="00FB43C2">
        <w:rPr>
          <w:rFonts w:ascii="Verdana" w:hAnsi="Verdana" w:cs="Arial"/>
          <w:sz w:val="18"/>
          <w:szCs w:val="18"/>
          <w:lang w:val="es-ES"/>
        </w:rPr>
        <w:t>3. Distrital o Municipal. Existirá una situación de desastre municipal o distrital cuando la materialización del riesgo afecte de manera desfavorable y grave los bienes jurídicos protegidos de los habitantes del municipio o distrito impactado y de la administración pública distrital. El desastre de orden distrital o municipal puede presentarse en todo el distrito o municipio o en parte sustancial del territorio de su jurisdicción, rebasando su capacidad técnica y de recursos […]”.</w:t>
      </w:r>
    </w:p>
  </w:footnote>
  <w:footnote w:id="28">
    <w:p w14:paraId="506C0A5B" w14:textId="77777777" w:rsidR="00965BFD" w:rsidRPr="00FB43C2" w:rsidRDefault="00965BFD" w:rsidP="00965BFD">
      <w:pPr>
        <w:pStyle w:val="Textonotapie"/>
        <w:ind w:firstLine="708"/>
        <w:jc w:val="both"/>
        <w:rPr>
          <w:rFonts w:ascii="Verdana" w:hAnsi="Verdana" w:cs="Arial"/>
          <w:sz w:val="18"/>
          <w:szCs w:val="18"/>
          <w:lang w:val="es-CO"/>
        </w:rPr>
      </w:pPr>
      <w:r w:rsidRPr="00FB43C2">
        <w:rPr>
          <w:rStyle w:val="Refdenotaalpie"/>
          <w:rFonts w:ascii="Verdana" w:hAnsi="Verdana" w:cs="Arial"/>
          <w:sz w:val="18"/>
          <w:szCs w:val="18"/>
        </w:rPr>
        <w:footnoteRef/>
      </w:r>
      <w:r w:rsidRPr="00FB43C2">
        <w:rPr>
          <w:rFonts w:ascii="Verdana" w:hAnsi="Verdana" w:cs="Arial"/>
          <w:sz w:val="18"/>
          <w:szCs w:val="18"/>
        </w:rPr>
        <w:t xml:space="preserve"> “</w:t>
      </w:r>
      <w:r w:rsidRPr="00FB43C2">
        <w:rPr>
          <w:rFonts w:ascii="Verdana" w:hAnsi="Verdana" w:cs="Arial"/>
          <w:sz w:val="18"/>
          <w:szCs w:val="18"/>
          <w:lang w:val="es-ES"/>
        </w:rPr>
        <w:t xml:space="preserve">Artículo 57. Declaratoria de situación de calamidad pública. </w:t>
      </w:r>
      <w:bookmarkStart w:id="27" w:name="_Hlk132729568"/>
      <w:r w:rsidRPr="00FB43C2">
        <w:rPr>
          <w:rFonts w:ascii="Verdana" w:hAnsi="Verdana" w:cs="Arial"/>
          <w:sz w:val="18"/>
          <w:szCs w:val="18"/>
          <w:lang w:val="es-ES"/>
        </w:rPr>
        <w:t>Los gobernadores y alcaldes, previo concepto favorable del Consejo Departamental, Distrital o Municipal de Gestión del Riesgo, podrán declararla situación de calamidad pública en su respectiva jurisdicción. Las declaratorias de situación de calamidad pública se producirán y aplicarán, en lo pertinente, de conformidad con las reglas de la declaratoria de la situación de desastre</w:t>
      </w:r>
      <w:bookmarkEnd w:id="27"/>
      <w:r w:rsidRPr="00FB43C2">
        <w:rPr>
          <w:rFonts w:ascii="Verdana" w:hAnsi="Verdana" w:cs="Arial"/>
          <w:sz w:val="18"/>
          <w:szCs w:val="18"/>
          <w:lang w:val="es-ES"/>
        </w:rPr>
        <w:t>”.</w:t>
      </w:r>
    </w:p>
  </w:footnote>
  <w:footnote w:id="29">
    <w:p w14:paraId="5BD63899" w14:textId="77777777" w:rsidR="00965BFD" w:rsidRPr="00FB43C2" w:rsidRDefault="00965BFD" w:rsidP="00965BFD">
      <w:pPr>
        <w:pStyle w:val="Textonotapie"/>
        <w:ind w:firstLine="709"/>
        <w:contextualSpacing/>
        <w:jc w:val="both"/>
        <w:rPr>
          <w:rFonts w:ascii="Verdana" w:hAnsi="Verdana" w:cs="Arial"/>
          <w:sz w:val="18"/>
          <w:szCs w:val="18"/>
        </w:rPr>
      </w:pPr>
      <w:r w:rsidRPr="00FB43C2">
        <w:rPr>
          <w:rStyle w:val="Refdenotaalpie"/>
          <w:rFonts w:ascii="Verdana" w:hAnsi="Verdana"/>
          <w:sz w:val="18"/>
          <w:szCs w:val="18"/>
        </w:rPr>
        <w:footnoteRef/>
      </w:r>
      <w:r w:rsidRPr="00FB43C2">
        <w:rPr>
          <w:rFonts w:ascii="Verdana" w:hAnsi="Verdana"/>
          <w:sz w:val="18"/>
          <w:szCs w:val="18"/>
        </w:rPr>
        <w:t xml:space="preserve"> </w:t>
      </w:r>
      <w:r w:rsidRPr="00FB43C2">
        <w:rPr>
          <w:rFonts w:ascii="Verdana" w:hAnsi="Verdana" w:cs="Arial"/>
          <w:sz w:val="18"/>
          <w:szCs w:val="18"/>
        </w:rPr>
        <w:t>Consejo de Estado -Sección Tercera-. Sentencia del 21 de febrero de 2025. Radicación Número: 68.280. CP: José Roberto Sáchica Méndez.</w:t>
      </w:r>
    </w:p>
  </w:footnote>
  <w:footnote w:id="30">
    <w:p w14:paraId="444622DE" w14:textId="77777777" w:rsidR="00965BFD" w:rsidRPr="00FB43C2" w:rsidRDefault="00965BFD" w:rsidP="00965BFD">
      <w:pPr>
        <w:pStyle w:val="Textonotapie"/>
        <w:ind w:firstLine="709"/>
        <w:contextualSpacing/>
        <w:jc w:val="both"/>
        <w:rPr>
          <w:rFonts w:ascii="Verdana" w:hAnsi="Verdana" w:cs="Arial"/>
          <w:sz w:val="18"/>
          <w:szCs w:val="18"/>
        </w:rPr>
      </w:pPr>
      <w:r w:rsidRPr="00FB43C2">
        <w:rPr>
          <w:rFonts w:ascii="Verdana" w:hAnsi="Verdana"/>
          <w:sz w:val="18"/>
          <w:szCs w:val="18"/>
          <w:vertAlign w:val="superscript"/>
        </w:rPr>
        <w:footnoteRef/>
      </w:r>
      <w:r w:rsidRPr="00FB43C2">
        <w:rPr>
          <w:rFonts w:ascii="Verdana" w:hAnsi="Verdana"/>
          <w:sz w:val="18"/>
          <w:szCs w:val="18"/>
          <w:vertAlign w:val="superscript"/>
        </w:rPr>
        <w:t xml:space="preserve"> </w:t>
      </w:r>
      <w:r w:rsidRPr="00FB43C2">
        <w:rPr>
          <w:rFonts w:ascii="Verdana" w:hAnsi="Verdana" w:cs="Arial"/>
          <w:sz w:val="18"/>
          <w:szCs w:val="18"/>
        </w:rPr>
        <w:t>Ley 1150 de 2007: Artículo 2, numeral 4, literal c. […] Se exceptúan los contratos de obra, suministro, prestación de servicios de evaluación de conformidad respecto de las normas o reglamentos técnicos, encargos fiduciarios y fiducia pública cuando las instituciones de educación superior públicas o las Sociedades de Economía Mixta con participación mayoritaria del Estado, o las personas jurídicas sin ánimo de lucro conformadas por la asociación de entidades públicas, o las federaciones de entidades territoriales sean las ejecutoras. Estos contratos podrán ser ejecutados por las mismas, siempre que participen en procesos de licitación pública o contratación abreviada de acuerdo con lo dispuesto por los numerales 1 y 2 del presente artículo.</w:t>
      </w:r>
    </w:p>
  </w:footnote>
  <w:footnote w:id="31">
    <w:p w14:paraId="51B47DF5" w14:textId="77777777" w:rsidR="00965BFD" w:rsidRPr="00FB43C2" w:rsidRDefault="00965BFD" w:rsidP="00965BFD">
      <w:pPr>
        <w:pStyle w:val="Textonotapie"/>
        <w:ind w:firstLine="709"/>
        <w:contextualSpacing/>
        <w:jc w:val="both"/>
        <w:rPr>
          <w:rFonts w:ascii="Verdana" w:hAnsi="Verdana" w:cs="Arial"/>
          <w:sz w:val="18"/>
          <w:szCs w:val="18"/>
        </w:rPr>
      </w:pPr>
      <w:r w:rsidRPr="00FB43C2">
        <w:rPr>
          <w:rFonts w:ascii="Verdana" w:hAnsi="Verdana"/>
          <w:sz w:val="18"/>
          <w:szCs w:val="18"/>
          <w:vertAlign w:val="superscript"/>
        </w:rPr>
        <w:footnoteRef/>
      </w:r>
      <w:r w:rsidRPr="00FB43C2">
        <w:rPr>
          <w:rFonts w:ascii="Verdana" w:hAnsi="Verdana" w:cs="Arial"/>
          <w:sz w:val="18"/>
          <w:szCs w:val="18"/>
          <w:vertAlign w:val="superscript"/>
        </w:rPr>
        <w:t xml:space="preserve"> </w:t>
      </w:r>
      <w:r w:rsidRPr="00FB43C2">
        <w:rPr>
          <w:rFonts w:ascii="Verdana" w:hAnsi="Verdana" w:cs="Arial"/>
          <w:sz w:val="18"/>
          <w:szCs w:val="18"/>
        </w:rPr>
        <w:t>Ley 80 de 1993: “Artículo 41. Del perfeccionamiento del contrato. Los contratos del Estado se perfeccionan cuando se logre acuerdo sobre el objeto y la contraprestación y éste se eleve a escrito.</w:t>
      </w:r>
    </w:p>
    <w:p w14:paraId="1450FBA5" w14:textId="77777777" w:rsidR="00965BFD" w:rsidRPr="00FB43C2" w:rsidRDefault="00965BFD" w:rsidP="00965BFD">
      <w:pPr>
        <w:pStyle w:val="Textonotapie"/>
        <w:ind w:firstLine="709"/>
        <w:contextualSpacing/>
        <w:jc w:val="both"/>
        <w:rPr>
          <w:rFonts w:ascii="Verdana" w:hAnsi="Verdana" w:cs="Arial"/>
          <w:sz w:val="18"/>
          <w:szCs w:val="18"/>
        </w:rPr>
      </w:pPr>
      <w:r w:rsidRPr="00FB43C2">
        <w:rPr>
          <w:rFonts w:ascii="Verdana" w:hAnsi="Verdana" w:cs="Arial"/>
          <w:sz w:val="18"/>
          <w:szCs w:val="18"/>
        </w:rPr>
        <w:t>[…]”.</w:t>
      </w:r>
    </w:p>
  </w:footnote>
  <w:footnote w:id="32">
    <w:p w14:paraId="01D2A20A" w14:textId="77777777" w:rsidR="00965BFD" w:rsidRPr="00FB43C2" w:rsidRDefault="00965BFD" w:rsidP="00965BFD">
      <w:pPr>
        <w:pStyle w:val="Textonotapie"/>
        <w:ind w:firstLine="709"/>
        <w:contextualSpacing/>
        <w:jc w:val="both"/>
        <w:rPr>
          <w:rFonts w:ascii="Verdana" w:hAnsi="Verdana" w:cs="Arial"/>
          <w:sz w:val="18"/>
          <w:szCs w:val="18"/>
        </w:rPr>
      </w:pPr>
      <w:r w:rsidRPr="00FB43C2">
        <w:rPr>
          <w:rFonts w:ascii="Verdana" w:hAnsi="Verdana"/>
          <w:sz w:val="18"/>
          <w:szCs w:val="18"/>
          <w:vertAlign w:val="superscript"/>
        </w:rPr>
        <w:footnoteRef/>
      </w:r>
      <w:r w:rsidRPr="00FB43C2">
        <w:rPr>
          <w:rFonts w:ascii="Verdana" w:hAnsi="Verdana" w:cs="Arial"/>
          <w:sz w:val="18"/>
          <w:szCs w:val="18"/>
          <w:vertAlign w:val="superscript"/>
        </w:rPr>
        <w:t xml:space="preserve"> </w:t>
      </w:r>
      <w:r w:rsidRPr="00FB43C2">
        <w:rPr>
          <w:rFonts w:ascii="Verdana" w:hAnsi="Verdana" w:cs="Arial"/>
          <w:sz w:val="18"/>
          <w:szCs w:val="18"/>
        </w:rPr>
        <w:t>Código Civil: “Artículo 27. Cuando el sentido de la ley sea claro, no se desatenderá su tenor a pretexto de consultar su espíritu”.</w:t>
      </w:r>
    </w:p>
  </w:footnote>
  <w:footnote w:id="33">
    <w:p w14:paraId="089F1CD9" w14:textId="77777777" w:rsidR="00965BFD" w:rsidRPr="00FB43C2" w:rsidRDefault="00965BFD" w:rsidP="00965BFD">
      <w:pPr>
        <w:pStyle w:val="Textonotapie"/>
        <w:ind w:firstLine="708"/>
        <w:jc w:val="both"/>
        <w:rPr>
          <w:rFonts w:ascii="Verdana" w:hAnsi="Verdana"/>
          <w:sz w:val="18"/>
          <w:szCs w:val="18"/>
          <w:lang w:val="es-ES"/>
        </w:rPr>
      </w:pPr>
      <w:r w:rsidRPr="00FB43C2">
        <w:rPr>
          <w:rStyle w:val="Refdenotaalpie"/>
          <w:rFonts w:ascii="Verdana" w:hAnsi="Verdana"/>
          <w:sz w:val="18"/>
          <w:szCs w:val="18"/>
        </w:rPr>
        <w:footnoteRef/>
      </w:r>
      <w:r w:rsidRPr="00FB43C2">
        <w:rPr>
          <w:rFonts w:ascii="Verdana" w:hAnsi="Verdana"/>
          <w:sz w:val="18"/>
          <w:szCs w:val="18"/>
        </w:rPr>
        <w:t xml:space="preserve"> </w:t>
      </w:r>
      <w:r w:rsidRPr="00FB43C2">
        <w:rPr>
          <w:rFonts w:ascii="Verdana" w:hAnsi="Verdana"/>
          <w:sz w:val="18"/>
          <w:szCs w:val="18"/>
          <w:lang w:val="es-ES"/>
        </w:rPr>
        <w:t xml:space="preserve">La doctrina chilena ilustra su aplicación en los siguientes términos: “La ley se ha de entender general e indistintamente. Cuando la ley no hace excepción alguna, pudiendo haberla hecho, no podemos separarnos de su disposición general por medio de una distinción que ella no ha formulado. </w:t>
      </w:r>
      <w:r w:rsidRPr="00FB43C2">
        <w:rPr>
          <w:rFonts w:ascii="Verdana" w:hAnsi="Verdana"/>
          <w:i/>
          <w:iCs/>
          <w:sz w:val="18"/>
          <w:szCs w:val="18"/>
          <w:lang w:val="es-ES"/>
        </w:rPr>
        <w:t>Ubi lex non distinguit nec nos distinguere debemus</w:t>
      </w:r>
      <w:r w:rsidRPr="00FB43C2">
        <w:rPr>
          <w:rFonts w:ascii="Verdana" w:hAnsi="Verdana"/>
          <w:sz w:val="18"/>
          <w:szCs w:val="18"/>
          <w:lang w:val="es-ES"/>
        </w:rPr>
        <w:t>, ‘donde la ley no distingue no puede el hombre distinguir’. ‘La extensión que deba dársele a la ley se determinará por su genuino sentido y según las reglas de interpretación precedentes’, dice el artículo 23.</w:t>
      </w:r>
    </w:p>
    <w:p w14:paraId="5B2261B0" w14:textId="77777777" w:rsidR="00965BFD" w:rsidRPr="00FB43C2" w:rsidRDefault="00965BFD" w:rsidP="00965BFD">
      <w:pPr>
        <w:pStyle w:val="Textonotapie"/>
        <w:ind w:firstLine="708"/>
        <w:jc w:val="both"/>
        <w:rPr>
          <w:rFonts w:ascii="Verdana" w:hAnsi="Verdana"/>
          <w:sz w:val="18"/>
          <w:szCs w:val="18"/>
          <w:lang w:val="es-CO"/>
        </w:rPr>
      </w:pPr>
      <w:r w:rsidRPr="00FB43C2">
        <w:rPr>
          <w:rFonts w:ascii="Verdana" w:hAnsi="Verdana"/>
          <w:sz w:val="18"/>
          <w:szCs w:val="18"/>
          <w:lang w:val="es-ES"/>
        </w:rPr>
        <w:t xml:space="preserve">En el derecho antiguo y en el derecho canónico se distinguían las leyes en favorables y odiosas, para ampliar o restringir su interpretación. </w:t>
      </w:r>
      <w:r w:rsidRPr="00FB43C2">
        <w:rPr>
          <w:rFonts w:ascii="Verdana" w:hAnsi="Verdana"/>
          <w:i/>
          <w:iCs/>
          <w:sz w:val="18"/>
          <w:szCs w:val="18"/>
          <w:lang w:val="es-ES"/>
        </w:rPr>
        <w:t>Odia restringí et favores convenit ampliari</w:t>
      </w:r>
      <w:r w:rsidRPr="00FB43C2">
        <w:rPr>
          <w:rFonts w:ascii="Verdana" w:hAnsi="Verdana"/>
          <w:sz w:val="18"/>
          <w:szCs w:val="18"/>
          <w:lang w:val="es-ES"/>
        </w:rPr>
        <w:t xml:space="preserve">. Según esto se tomaban las palabras en su más amplia y extensa significación en materia favorable y se procuraba limitar en lo posible, en caso de duda, en materia odiosa. Estas reglas de aplicación de las leyes eran contrarias a los principios de una correcta interpretación, que no tiene otro objeto que reconstruir el pensamiento del legislador y llegar por este medio al conocimiento completo de la ley. Por este motivo el Código no las admite […]” (Cfr. </w:t>
      </w:r>
      <w:r w:rsidRPr="00FB43C2">
        <w:rPr>
          <w:rFonts w:ascii="Verdana" w:hAnsi="Verdana"/>
          <w:sz w:val="18"/>
          <w:szCs w:val="18"/>
        </w:rPr>
        <w:t>CLARO SOLAR, Luis. Explicaciones de derecho civil chileno y comparado. Volumen I. Tomo I. Santiago: Editorial Jurídica de Chile, 2013. p. 119. Énfasis dentro del texto).</w:t>
      </w:r>
    </w:p>
  </w:footnote>
  <w:footnote w:id="34">
    <w:p w14:paraId="510A77E4" w14:textId="77777777" w:rsidR="00965BFD" w:rsidRPr="00FB43C2" w:rsidRDefault="00965BFD" w:rsidP="00965BFD">
      <w:pPr>
        <w:pStyle w:val="Textonotapie"/>
        <w:ind w:firstLine="709"/>
        <w:contextualSpacing/>
        <w:jc w:val="both"/>
        <w:rPr>
          <w:rFonts w:ascii="Verdana" w:hAnsi="Verdana"/>
          <w:sz w:val="18"/>
          <w:szCs w:val="18"/>
          <w:lang w:val="es-CO"/>
        </w:rPr>
      </w:pPr>
      <w:r w:rsidRPr="00FB43C2">
        <w:rPr>
          <w:rStyle w:val="Refdenotaalpie"/>
          <w:rFonts w:ascii="Verdana" w:hAnsi="Verdana"/>
          <w:sz w:val="18"/>
          <w:szCs w:val="18"/>
        </w:rPr>
        <w:footnoteRef/>
      </w:r>
      <w:r w:rsidRPr="00FB43C2">
        <w:rPr>
          <w:rFonts w:ascii="Verdana" w:hAnsi="Verdana"/>
          <w:sz w:val="18"/>
          <w:szCs w:val="18"/>
          <w:lang w:val="es-CO"/>
        </w:rPr>
        <w:t xml:space="preserve"> Consejo de Estado, Sección Tercera. Auto del 4 de octubre de 2024. Exp. 70.313. C.P: Fredy Ibarra Martínez.</w:t>
      </w:r>
    </w:p>
  </w:footnote>
  <w:footnote w:id="35">
    <w:p w14:paraId="19A64404" w14:textId="77777777" w:rsidR="00965BFD" w:rsidRPr="00FB43C2" w:rsidRDefault="00965BFD" w:rsidP="00965BFD">
      <w:pPr>
        <w:pStyle w:val="Textonotapie"/>
        <w:ind w:firstLine="709"/>
        <w:contextualSpacing/>
        <w:jc w:val="both"/>
        <w:rPr>
          <w:rFonts w:ascii="Verdana" w:hAnsi="Verdana"/>
          <w:sz w:val="18"/>
          <w:szCs w:val="18"/>
          <w:lang w:val="es-CO"/>
        </w:rPr>
      </w:pPr>
      <w:r w:rsidRPr="00FB43C2">
        <w:rPr>
          <w:rStyle w:val="Refdenotaalpie"/>
          <w:rFonts w:ascii="Verdana" w:hAnsi="Verdana"/>
          <w:sz w:val="18"/>
          <w:szCs w:val="18"/>
        </w:rPr>
        <w:footnoteRef/>
      </w:r>
      <w:r w:rsidRPr="00FB43C2">
        <w:rPr>
          <w:rFonts w:ascii="Verdana" w:hAnsi="Verdana"/>
          <w:sz w:val="18"/>
          <w:szCs w:val="18"/>
        </w:rPr>
        <w:t xml:space="preserve"> La parte resolutiva del auto dispone lo siguiente; “</w:t>
      </w:r>
      <w:r w:rsidRPr="00FB43C2">
        <w:rPr>
          <w:rFonts w:ascii="Verdana" w:hAnsi="Verdana"/>
          <w:b/>
          <w:sz w:val="18"/>
          <w:szCs w:val="18"/>
          <w:lang w:val="es-CO"/>
        </w:rPr>
        <w:t xml:space="preserve">PRIMERO: DECRETAR </w:t>
      </w:r>
      <w:r w:rsidRPr="00FB43C2">
        <w:rPr>
          <w:rFonts w:ascii="Verdana" w:hAnsi="Verdana"/>
          <w:sz w:val="18"/>
          <w:szCs w:val="18"/>
          <w:lang w:val="es-CO"/>
        </w:rPr>
        <w:t xml:space="preserve">la suspensión provisional de los apartes cuestionados del inciso segundo del numeral 16.2 de la Circular Externa única, versión 3 del 27 de diciembre de 2023, expedida por la Agencia Nacional de Contratación Pública – Colombia Compra Eficiente, según el cual </w:t>
      </w:r>
      <w:r w:rsidRPr="00FB43C2">
        <w:rPr>
          <w:rFonts w:ascii="Verdana" w:hAnsi="Verdana"/>
          <w:i/>
          <w:sz w:val="18"/>
          <w:szCs w:val="18"/>
          <w:lang w:val="es-CO"/>
        </w:rPr>
        <w:t>“[e]sta restricción es aplicable (…)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w:t>
      </w:r>
      <w:r w:rsidRPr="00FB43C2">
        <w:rPr>
          <w:rFonts w:ascii="Verdana" w:hAnsi="Verdana"/>
          <w:sz w:val="18"/>
          <w:szCs w:val="18"/>
          <w:lang w:val="es-CO"/>
        </w:rPr>
        <w:t xml:space="preserve">, por las razones expuestas en precedencia. </w:t>
      </w:r>
    </w:p>
    <w:p w14:paraId="1A8C0D4B" w14:textId="77777777" w:rsidR="00965BFD" w:rsidRPr="00FB43C2" w:rsidRDefault="00965BFD" w:rsidP="00965BFD">
      <w:pPr>
        <w:pStyle w:val="Textonotapie"/>
        <w:ind w:firstLine="709"/>
        <w:contextualSpacing/>
        <w:jc w:val="both"/>
        <w:rPr>
          <w:rFonts w:ascii="Verdana" w:hAnsi="Verdana"/>
          <w:sz w:val="18"/>
          <w:szCs w:val="18"/>
          <w:lang w:val="es-CO"/>
        </w:rPr>
      </w:pPr>
      <w:r w:rsidRPr="00FB43C2">
        <w:rPr>
          <w:rFonts w:ascii="Verdana" w:hAnsi="Verdana"/>
          <w:b/>
          <w:sz w:val="18"/>
          <w:szCs w:val="18"/>
          <w:lang w:val="es-CO"/>
        </w:rPr>
        <w:t xml:space="preserve">SEGUNDO: DECRETAR </w:t>
      </w:r>
      <w:r w:rsidRPr="00FB43C2">
        <w:rPr>
          <w:rFonts w:ascii="Verdana" w:hAnsi="Verdana"/>
          <w:sz w:val="18"/>
          <w:szCs w:val="18"/>
          <w:lang w:val="es-CO"/>
        </w:rPr>
        <w:t>la suspensión provisional de la expresión “</w:t>
      </w:r>
      <w:r w:rsidRPr="00FB43C2">
        <w:rPr>
          <w:rFonts w:ascii="Verdana" w:hAnsi="Verdana"/>
          <w:i/>
          <w:sz w:val="18"/>
          <w:szCs w:val="18"/>
          <w:lang w:val="es-CO"/>
        </w:rPr>
        <w:t>contratos</w:t>
      </w:r>
      <w:r w:rsidRPr="00FB43C2">
        <w:rPr>
          <w:rFonts w:ascii="Verdana" w:hAnsi="Verdana"/>
          <w:sz w:val="18"/>
          <w:szCs w:val="18"/>
          <w:lang w:val="es-CO"/>
        </w:rPr>
        <w:t xml:space="preserve">” y del párrafo </w:t>
      </w:r>
      <w:r w:rsidRPr="00FB43C2">
        <w:rPr>
          <w:rFonts w:ascii="Verdana" w:hAnsi="Verdana"/>
          <w:i/>
          <w:sz w:val="18"/>
          <w:szCs w:val="18"/>
          <w:lang w:val="es-CO"/>
        </w:rPr>
        <w:t>“[e]n este sentido, la prohibición que establece el parágrafo del artículo 38 de la Ley de Garantías consiste en evitar que los recursos del Estado se ejecuten para lograr apoyos indebidos mediante la suscripción de contratos (…) que, para efectos de la Ley de Garantías, tienen la misma connotación y propósito</w:t>
      </w:r>
      <w:r w:rsidRPr="00FB43C2">
        <w:rPr>
          <w:rFonts w:ascii="Verdana" w:hAnsi="Verdana"/>
          <w:sz w:val="18"/>
          <w:szCs w:val="18"/>
          <w:lang w:val="es-CO"/>
        </w:rPr>
        <w:t xml:space="preserve">”, contenidos en el inciso cuarto del numeral 16.2 de la Circular Externa única, versión 3 del 27 de diciembre de 2023, expedida por la Agencia Nacional de Contratación Pública – Colombia Compra Eficiente, por las razones expuestas de manera precedente”. Consejo de Estado, Sección Tercera. Auto del 6 de noviembre de 2025. Exp. 72.424. C.P: Fernando Alexei Pardo Flórez. </w:t>
      </w:r>
    </w:p>
  </w:footnote>
  <w:footnote w:id="36">
    <w:p w14:paraId="09E6C6CC" w14:textId="77777777" w:rsidR="00965BFD" w:rsidRPr="00FB43C2" w:rsidRDefault="00965BFD" w:rsidP="00965BFD">
      <w:pPr>
        <w:spacing w:after="0" w:line="240" w:lineRule="auto"/>
        <w:ind w:firstLine="709"/>
        <w:contextualSpacing/>
        <w:jc w:val="both"/>
        <w:rPr>
          <w:rFonts w:ascii="Verdana" w:eastAsia="Times New Roman" w:hAnsi="Verdana" w:cs="Times New Roman"/>
          <w:sz w:val="18"/>
          <w:szCs w:val="18"/>
          <w:lang w:eastAsia="es-ES"/>
        </w:rPr>
      </w:pPr>
      <w:r w:rsidRPr="00FB43C2">
        <w:rPr>
          <w:rStyle w:val="Refdenotaalpie"/>
          <w:rFonts w:ascii="Verdana" w:hAnsi="Verdana"/>
          <w:sz w:val="18"/>
          <w:szCs w:val="18"/>
        </w:rPr>
        <w:footnoteRef/>
      </w:r>
      <w:r w:rsidRPr="00FB43C2">
        <w:rPr>
          <w:rFonts w:ascii="Verdana" w:hAnsi="Verdana"/>
          <w:sz w:val="18"/>
          <w:szCs w:val="18"/>
        </w:rPr>
        <w:t xml:space="preserve"> </w:t>
      </w:r>
      <w:r w:rsidRPr="00FB43C2">
        <w:rPr>
          <w:rFonts w:ascii="Verdana" w:eastAsia="Times New Roman" w:hAnsi="Verdana" w:cs="Times New Roman"/>
          <w:sz w:val="18"/>
          <w:szCs w:val="18"/>
          <w:lang w:eastAsia="es-ES"/>
        </w:rPr>
        <w:t xml:space="preserve">Consejo de Estado. Sala de lo Contencioso Administrativo. Sección Tercera. Subsección B. 17 de octubre de 2025. Magistrado Ponente: Fredy Ibarra Martínez.  </w:t>
      </w:r>
      <w:r w:rsidRPr="00FB43C2">
        <w:rPr>
          <w:rFonts w:ascii="Verdana" w:hAnsi="Verdana"/>
          <w:sz w:val="18"/>
          <w:szCs w:val="18"/>
        </w:rPr>
        <w:t xml:space="preserve">La parte de la providencia señala: </w:t>
      </w:r>
      <w:r w:rsidRPr="00FB43C2">
        <w:rPr>
          <w:rFonts w:ascii="Verdana" w:eastAsia="Times New Roman" w:hAnsi="Verdana" w:cs="Times New Roman"/>
          <w:sz w:val="18"/>
          <w:szCs w:val="18"/>
          <w:lang w:eastAsia="es-ES"/>
        </w:rPr>
        <w:t>Declárase la nulidad parcial del numeral 16.2 de la Circular Externa Única de 2022 expedida por la Agencia Nacional de Contratación Pública -Colombia Compra Eficiente-, concretamente, de los siguientes apartes normativos: i) el inciso tercero que dispone: “Esta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 y, ii) la expresión y el siguiente párrafo contenidos en el inciso quinto “contratos” y “En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w:t>
      </w:r>
    </w:p>
  </w:footnote>
  <w:footnote w:id="37">
    <w:p w14:paraId="75653DB3" w14:textId="77777777" w:rsidR="00965BFD" w:rsidRPr="00C9050C" w:rsidRDefault="00965BFD" w:rsidP="00965BFD">
      <w:pPr>
        <w:pStyle w:val="Textonotapie"/>
        <w:ind w:firstLine="709"/>
        <w:rPr>
          <w:rFonts w:ascii="Verdana" w:hAnsi="Verdana"/>
          <w:sz w:val="16"/>
          <w:szCs w:val="16"/>
          <w:lang w:val="es-CO"/>
        </w:rPr>
      </w:pPr>
      <w:r w:rsidRPr="00FB43C2">
        <w:rPr>
          <w:rStyle w:val="Refdenotaalpie"/>
          <w:rFonts w:ascii="Verdana" w:hAnsi="Verdana"/>
          <w:sz w:val="18"/>
          <w:szCs w:val="18"/>
        </w:rPr>
        <w:footnoteRef/>
      </w:r>
      <w:r w:rsidRPr="00FB43C2">
        <w:rPr>
          <w:rFonts w:ascii="Verdana" w:hAnsi="Verdana"/>
          <w:sz w:val="18"/>
          <w:szCs w:val="18"/>
        </w:rPr>
        <w:t xml:space="preserve"> No obstante lo anterior, es importante mencionar que aún se encuentra por definir la demanda de nulidad simple, identificada con el Radicado número 11001-03-26-000-2025-00016-00, en la cual se cuestiona parcialmente el numeral 16.2 de la Circular Externa Única CCE-EICP-MA-06, Versión 03 del 27 de diciembre de 2023.</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9pt;height:11.9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4F891281"/>
    <w:multiLevelType w:val="multilevel"/>
    <w:tmpl w:val="0C2C61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4"/>
  </w:num>
  <w:num w:numId="7" w16cid:durableId="1946422806">
    <w:abstractNumId w:val="5"/>
  </w:num>
  <w:num w:numId="8" w16cid:durableId="152644682">
    <w:abstractNumId w:val="13"/>
  </w:num>
  <w:num w:numId="9" w16cid:durableId="1317221377">
    <w:abstractNumId w:val="7"/>
  </w:num>
  <w:num w:numId="10" w16cid:durableId="1471245386">
    <w:abstractNumId w:val="12"/>
  </w:num>
  <w:num w:numId="11" w16cid:durableId="289172385">
    <w:abstractNumId w:val="8"/>
  </w:num>
  <w:num w:numId="12" w16cid:durableId="1470781324">
    <w:abstractNumId w:val="1"/>
  </w:num>
  <w:num w:numId="13" w16cid:durableId="1512908409">
    <w:abstractNumId w:val="3"/>
  </w:num>
  <w:num w:numId="14" w16cid:durableId="895897244">
    <w:abstractNumId w:val="15"/>
  </w:num>
  <w:num w:numId="15" w16cid:durableId="390349800">
    <w:abstractNumId w:val="11"/>
  </w:num>
  <w:num w:numId="16" w16cid:durableId="341274352">
    <w:abstractNumId w:val="0"/>
  </w:num>
  <w:num w:numId="17" w16cid:durableId="679089576">
    <w:abstractNumId w:val="9"/>
  </w:num>
  <w:num w:numId="18" w16cid:durableId="750079460">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307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17BB"/>
    <w:rsid w:val="00016F78"/>
    <w:rsid w:val="00046945"/>
    <w:rsid w:val="00061B2A"/>
    <w:rsid w:val="000638D1"/>
    <w:rsid w:val="00082362"/>
    <w:rsid w:val="00092DD0"/>
    <w:rsid w:val="000A683E"/>
    <w:rsid w:val="000B19B9"/>
    <w:rsid w:val="000D0334"/>
    <w:rsid w:val="000D5DA7"/>
    <w:rsid w:val="000F6486"/>
    <w:rsid w:val="00116940"/>
    <w:rsid w:val="001237E3"/>
    <w:rsid w:val="00125105"/>
    <w:rsid w:val="00127233"/>
    <w:rsid w:val="00145845"/>
    <w:rsid w:val="0015699B"/>
    <w:rsid w:val="00162110"/>
    <w:rsid w:val="0017044B"/>
    <w:rsid w:val="001A33BF"/>
    <w:rsid w:val="001C0382"/>
    <w:rsid w:val="001E0036"/>
    <w:rsid w:val="001E4177"/>
    <w:rsid w:val="001F0B24"/>
    <w:rsid w:val="001F7DC6"/>
    <w:rsid w:val="0022400B"/>
    <w:rsid w:val="002421BB"/>
    <w:rsid w:val="00247F29"/>
    <w:rsid w:val="00252A56"/>
    <w:rsid w:val="0025796E"/>
    <w:rsid w:val="002707A2"/>
    <w:rsid w:val="002951A0"/>
    <w:rsid w:val="002962BC"/>
    <w:rsid w:val="002A093D"/>
    <w:rsid w:val="002A0DD0"/>
    <w:rsid w:val="002A49AC"/>
    <w:rsid w:val="002A64FD"/>
    <w:rsid w:val="002B3D5A"/>
    <w:rsid w:val="002B622A"/>
    <w:rsid w:val="002C7A84"/>
    <w:rsid w:val="002D0B9F"/>
    <w:rsid w:val="002E2BF8"/>
    <w:rsid w:val="002E4FD9"/>
    <w:rsid w:val="002F2546"/>
    <w:rsid w:val="002F7163"/>
    <w:rsid w:val="0030657A"/>
    <w:rsid w:val="00316877"/>
    <w:rsid w:val="00322A85"/>
    <w:rsid w:val="00324168"/>
    <w:rsid w:val="00330834"/>
    <w:rsid w:val="003448F4"/>
    <w:rsid w:val="00366ECB"/>
    <w:rsid w:val="00374F5E"/>
    <w:rsid w:val="00377E3E"/>
    <w:rsid w:val="003A779E"/>
    <w:rsid w:val="003D0F4D"/>
    <w:rsid w:val="003D5B0D"/>
    <w:rsid w:val="003E0499"/>
    <w:rsid w:val="003E4F80"/>
    <w:rsid w:val="003E6439"/>
    <w:rsid w:val="003F3941"/>
    <w:rsid w:val="003F64B8"/>
    <w:rsid w:val="00401A12"/>
    <w:rsid w:val="00406575"/>
    <w:rsid w:val="00414C74"/>
    <w:rsid w:val="0042722E"/>
    <w:rsid w:val="0044528D"/>
    <w:rsid w:val="00466E39"/>
    <w:rsid w:val="004A1847"/>
    <w:rsid w:val="004A305D"/>
    <w:rsid w:val="004F21C4"/>
    <w:rsid w:val="004F685F"/>
    <w:rsid w:val="0050774E"/>
    <w:rsid w:val="00526F61"/>
    <w:rsid w:val="00547CB0"/>
    <w:rsid w:val="005566E8"/>
    <w:rsid w:val="00574867"/>
    <w:rsid w:val="00591460"/>
    <w:rsid w:val="005A65E0"/>
    <w:rsid w:val="005B75A1"/>
    <w:rsid w:val="005C3777"/>
    <w:rsid w:val="005C5CDC"/>
    <w:rsid w:val="005D476C"/>
    <w:rsid w:val="005E099F"/>
    <w:rsid w:val="006200BF"/>
    <w:rsid w:val="006219F8"/>
    <w:rsid w:val="006302F7"/>
    <w:rsid w:val="00646B9F"/>
    <w:rsid w:val="00665D70"/>
    <w:rsid w:val="00686C35"/>
    <w:rsid w:val="006900D9"/>
    <w:rsid w:val="00697AAB"/>
    <w:rsid w:val="006A6E2E"/>
    <w:rsid w:val="006B20C1"/>
    <w:rsid w:val="006D12F2"/>
    <w:rsid w:val="00706C16"/>
    <w:rsid w:val="00732024"/>
    <w:rsid w:val="00733508"/>
    <w:rsid w:val="007340C3"/>
    <w:rsid w:val="0075235A"/>
    <w:rsid w:val="00756841"/>
    <w:rsid w:val="007649AB"/>
    <w:rsid w:val="00771D0C"/>
    <w:rsid w:val="00776937"/>
    <w:rsid w:val="007833AC"/>
    <w:rsid w:val="007B268C"/>
    <w:rsid w:val="007B7171"/>
    <w:rsid w:val="007C0C0F"/>
    <w:rsid w:val="007C3DC2"/>
    <w:rsid w:val="007E5497"/>
    <w:rsid w:val="00806F5F"/>
    <w:rsid w:val="00820278"/>
    <w:rsid w:val="008258C9"/>
    <w:rsid w:val="00840B1C"/>
    <w:rsid w:val="00844AE9"/>
    <w:rsid w:val="00864996"/>
    <w:rsid w:val="00867F95"/>
    <w:rsid w:val="008843B6"/>
    <w:rsid w:val="00884638"/>
    <w:rsid w:val="00891928"/>
    <w:rsid w:val="008A446D"/>
    <w:rsid w:val="008A6B9F"/>
    <w:rsid w:val="008A6E3C"/>
    <w:rsid w:val="008B25F1"/>
    <w:rsid w:val="008D180B"/>
    <w:rsid w:val="008F0EA7"/>
    <w:rsid w:val="00920B8D"/>
    <w:rsid w:val="00923EEF"/>
    <w:rsid w:val="009419F9"/>
    <w:rsid w:val="00951553"/>
    <w:rsid w:val="0095685E"/>
    <w:rsid w:val="00961B09"/>
    <w:rsid w:val="00965334"/>
    <w:rsid w:val="00965BFD"/>
    <w:rsid w:val="0097093E"/>
    <w:rsid w:val="0097113A"/>
    <w:rsid w:val="009A0DFA"/>
    <w:rsid w:val="009A1C6F"/>
    <w:rsid w:val="009B2D26"/>
    <w:rsid w:val="009C0FC6"/>
    <w:rsid w:val="009C71FA"/>
    <w:rsid w:val="009C72E7"/>
    <w:rsid w:val="009C7F7E"/>
    <w:rsid w:val="009D3058"/>
    <w:rsid w:val="009F3A13"/>
    <w:rsid w:val="009F6981"/>
    <w:rsid w:val="00A122D3"/>
    <w:rsid w:val="00A14468"/>
    <w:rsid w:val="00A17F13"/>
    <w:rsid w:val="00A20739"/>
    <w:rsid w:val="00A23AF9"/>
    <w:rsid w:val="00A33C78"/>
    <w:rsid w:val="00A53E3C"/>
    <w:rsid w:val="00A8676F"/>
    <w:rsid w:val="00A901FB"/>
    <w:rsid w:val="00AB0ADB"/>
    <w:rsid w:val="00AC024B"/>
    <w:rsid w:val="00AC2411"/>
    <w:rsid w:val="00AD5E9B"/>
    <w:rsid w:val="00AE4C49"/>
    <w:rsid w:val="00AF7B8C"/>
    <w:rsid w:val="00B00C0E"/>
    <w:rsid w:val="00B01B1A"/>
    <w:rsid w:val="00B0381D"/>
    <w:rsid w:val="00B44A47"/>
    <w:rsid w:val="00B66650"/>
    <w:rsid w:val="00B72CD3"/>
    <w:rsid w:val="00B72FFF"/>
    <w:rsid w:val="00BA52D3"/>
    <w:rsid w:val="00BA7398"/>
    <w:rsid w:val="00BC3D36"/>
    <w:rsid w:val="00BD54A6"/>
    <w:rsid w:val="00BD7F72"/>
    <w:rsid w:val="00BF7425"/>
    <w:rsid w:val="00C04FB3"/>
    <w:rsid w:val="00C11D8B"/>
    <w:rsid w:val="00C15139"/>
    <w:rsid w:val="00C330EB"/>
    <w:rsid w:val="00C50D69"/>
    <w:rsid w:val="00C5365C"/>
    <w:rsid w:val="00C754BE"/>
    <w:rsid w:val="00C76B1C"/>
    <w:rsid w:val="00C925AC"/>
    <w:rsid w:val="00CB6357"/>
    <w:rsid w:val="00CB6CFF"/>
    <w:rsid w:val="00CC1B26"/>
    <w:rsid w:val="00D31165"/>
    <w:rsid w:val="00D361FD"/>
    <w:rsid w:val="00D423A2"/>
    <w:rsid w:val="00D44E26"/>
    <w:rsid w:val="00D520D8"/>
    <w:rsid w:val="00D63AC2"/>
    <w:rsid w:val="00D7383B"/>
    <w:rsid w:val="00D7788A"/>
    <w:rsid w:val="00DA231B"/>
    <w:rsid w:val="00DC34B5"/>
    <w:rsid w:val="00DC39FC"/>
    <w:rsid w:val="00DE260D"/>
    <w:rsid w:val="00DF5254"/>
    <w:rsid w:val="00E02524"/>
    <w:rsid w:val="00E16408"/>
    <w:rsid w:val="00E20894"/>
    <w:rsid w:val="00E245AB"/>
    <w:rsid w:val="00E2764C"/>
    <w:rsid w:val="00E27F2E"/>
    <w:rsid w:val="00E50AFE"/>
    <w:rsid w:val="00E56916"/>
    <w:rsid w:val="00E70A61"/>
    <w:rsid w:val="00E75C92"/>
    <w:rsid w:val="00E771DC"/>
    <w:rsid w:val="00E8772A"/>
    <w:rsid w:val="00E90F6B"/>
    <w:rsid w:val="00E92C27"/>
    <w:rsid w:val="00E95688"/>
    <w:rsid w:val="00EA0E3D"/>
    <w:rsid w:val="00EC38A7"/>
    <w:rsid w:val="00EE1AA8"/>
    <w:rsid w:val="00EE3ACB"/>
    <w:rsid w:val="00F03839"/>
    <w:rsid w:val="00F1140D"/>
    <w:rsid w:val="00F16C1C"/>
    <w:rsid w:val="00F17474"/>
    <w:rsid w:val="00F23FEA"/>
    <w:rsid w:val="00F31EDC"/>
    <w:rsid w:val="00F462B3"/>
    <w:rsid w:val="00F54E36"/>
    <w:rsid w:val="00F5664F"/>
    <w:rsid w:val="00F666C4"/>
    <w:rsid w:val="00F715C4"/>
    <w:rsid w:val="00F76AFC"/>
    <w:rsid w:val="00F8074B"/>
    <w:rsid w:val="00FA47C0"/>
    <w:rsid w:val="00FB43C2"/>
    <w:rsid w:val="00FB5DD1"/>
    <w:rsid w:val="00FC2B5D"/>
    <w:rsid w:val="00FF1449"/>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3073"/>
    <o:shapelayout v:ext="edit">
      <o:idmap v:ext="edit" data="2"/>
    </o:shapelayout>
  </w:shapeDefaults>
  <w:decimalSymbol w:val=","/>
  <w:listSeparator w:val=";"/>
  <w14:docId w14:val="279607BD"/>
  <w15:chartTrackingRefBased/>
  <w15:docId w15:val="{7E0A7E93-A773-4353-A831-4850CC159B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1C0382"/>
    <w:rPr>
      <w:rFonts w:ascii="Geomanist Light" w:hAnsi="Geomanist Light"/>
      <w:lang w:val="es-ES"/>
    </w:rPr>
  </w:style>
  <w:style w:type="character" w:customStyle="1" w:styleId="s15">
    <w:name w:val="s15"/>
    <w:basedOn w:val="Fuentedeprrafopredeter"/>
    <w:rsid w:val="00F54E36"/>
  </w:style>
  <w:style w:type="paragraph" w:customStyle="1" w:styleId="Appelnotedebasde">
    <w:name w:val="Appel note de bas de..."/>
    <w:basedOn w:val="Normal"/>
    <w:link w:val="Refdenotaalpie"/>
    <w:uiPriority w:val="99"/>
    <w:rsid w:val="00965BFD"/>
    <w:pPr>
      <w:spacing w:line="240" w:lineRule="exact"/>
    </w:pPr>
    <w:rPr>
      <w:vertAlign w:val="superscript"/>
    </w:rPr>
  </w:style>
  <w:style w:type="character" w:customStyle="1" w:styleId="NormalWebCar">
    <w:name w:val="Normal (Web) Car"/>
    <w:link w:val="NormalWeb"/>
    <w:uiPriority w:val="99"/>
    <w:rsid w:val="00965BFD"/>
    <w:rPr>
      <w:rFonts w:ascii="Times New Roman" w:eastAsia="Times New Roman" w:hAnsi="Times New Roman" w:cs="Times New Roman"/>
      <w:sz w:val="24"/>
      <w:szCs w:val="24"/>
      <w:lang w:eastAsia="es-CO"/>
    </w:rPr>
  </w:style>
  <w:style w:type="character" w:customStyle="1" w:styleId="baj">
    <w:name w:val="b_aj"/>
    <w:basedOn w:val="Fuentedeprrafopredeter"/>
    <w:rsid w:val="00965BFD"/>
  </w:style>
  <w:style w:type="table" w:customStyle="1" w:styleId="Tablaconcuadrcula1">
    <w:name w:val="Tabla con cuadrícula1"/>
    <w:basedOn w:val="Tablanormal"/>
    <w:next w:val="Tablaconcuadrcula"/>
    <w:uiPriority w:val="39"/>
    <w:qFormat/>
    <w:rsid w:val="009C0FC6"/>
    <w:pPr>
      <w:spacing w:after="0" w:line="240" w:lineRule="auto"/>
    </w:pP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wp-content%2Fuploads%2F2025%2F05%2FGUIA-DE-LINEAMIENTOS-DE-TRANSPARENCIA-Y-SELECCION-OBJETIVA-1.0.pdf&amp;data=05%7C02%7Calejandro.sarmiento%40colombiacompra.gov.co%7Ca6218c48ccc04b19a61108dd97aecc6f%7C7b09041e245149d08cb179d5e3d8c1be%7C0%7C0%7C638833499204031869%7CUnknown%7CTWFpbGZsb3d8eyJFbXB0eU1hcGkiOnRydWUsIlYiOiIwLjAuMDAwMCIsIlAiOiJXaW4zMiIsIkFOIjoiTWFpbCIsIldUIjoyfQ%3D%3D%7C0%7C%7C%7C&amp;sdata=BNPGPGRZZPHN9b0zJi5VJtxyBM8%2Fb8kWxn04BiZ%2ByF4%3D&amp;reserved=0"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hyperlink" Target="https://forms.office.com/r/pPHyWVs2SZ"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davidpecheneabogado@gmail.com" TargetMode="External"/><Relationship Id="rId5" Type="http://schemas.openxmlformats.org/officeDocument/2006/relationships/styles" Target="styles.xml"/><Relationship Id="rId15" Type="http://schemas.openxmlformats.org/officeDocument/2006/relationships/hyperlink" Target="https://www.colombiacompra.gov.co/pqrsd/informacion-importante-antes-de-formular-una-pqrsd" TargetMode="External"/><Relationship Id="rId10" Type="http://schemas.openxmlformats.org/officeDocument/2006/relationships/image" Target="media/image2.png"/><Relationship Id="rId19"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mailto:ventanilladeradicacion@colombiacompra.gov.c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schemas.openxmlformats.org/package/2006/metadata/core-properties"/>
    <ds:schemaRef ds:uri="http://purl.org/dc/elements/1.1/"/>
    <ds:schemaRef ds:uri="http://schemas.microsoft.com/office/2006/metadata/properties"/>
    <ds:schemaRef ds:uri="http://schemas.microsoft.com/office/2006/documentManagement/types"/>
    <ds:schemaRef ds:uri="a6cb9e4b-f1d1-4245-83ec-6cad768d538a"/>
    <ds:schemaRef ds:uri="http://purl.org/dc/terms/"/>
    <ds:schemaRef ds:uri="http://purl.org/dc/dcmitype/"/>
    <ds:schemaRef ds:uri="9d85dbaf-23eb-4e57-a637-93dcacc8b1a1"/>
    <ds:schemaRef ds:uri="http://schemas.microsoft.com/office/infopath/2007/PartnerControls"/>
    <ds:schemaRef ds:uri="http://www.w3.org/XML/1998/namespace"/>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04A15CDA-3F25-402D-A504-7983E438ECA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2</TotalTime>
  <Pages>33</Pages>
  <Words>10270</Words>
  <Characters>55977</Characters>
  <Application>Microsoft Office Word</Application>
  <DocSecurity>0</DocSecurity>
  <Lines>1036</Lines>
  <Paragraphs>176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66071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2</cp:revision>
  <cp:lastPrinted>2023-01-10T21:18:00Z</cp:lastPrinted>
  <dcterms:created xsi:type="dcterms:W3CDTF">2026-01-06T22:48:00Z</dcterms:created>
  <dcterms:modified xsi:type="dcterms:W3CDTF">2026-01-06T22:48:00Z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