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940AC" w14:textId="77777777" w:rsidR="00781AF3" w:rsidRPr="004D4DED" w:rsidRDefault="00781AF3" w:rsidP="00781AF3">
      <w:pPr>
        <w:tabs>
          <w:tab w:val="left" w:pos="426"/>
        </w:tabs>
        <w:rPr>
          <w:rFonts w:ascii="Verdana" w:hAnsi="Verdana" w:cs="Arial"/>
          <w:b/>
          <w:lang w:val="es-ES" w:eastAsia="es-CO"/>
        </w:rPr>
      </w:pPr>
      <w:bookmarkStart w:id="0" w:name="_Hlk77152637"/>
      <w:bookmarkStart w:id="1" w:name="_Hlk77157066"/>
      <w:r w:rsidRPr="004D4DED">
        <w:rPr>
          <w:rFonts w:ascii="Verdana" w:hAnsi="Verdana" w:cs="Arial"/>
          <w:b/>
          <w:lang w:val="es-ES" w:eastAsia="es-CO"/>
        </w:rPr>
        <w:t>LEY DE GARANTÍAS ELECTORALES ‒</w:t>
      </w:r>
      <w:bookmarkEnd w:id="0"/>
      <w:r w:rsidRPr="004D4DED">
        <w:rPr>
          <w:rFonts w:ascii="Verdana" w:hAnsi="Verdana" w:cs="Arial"/>
          <w:b/>
          <w:lang w:val="es-ES" w:eastAsia="es-CO"/>
        </w:rPr>
        <w:t xml:space="preserve"> Definición – Finalidad</w:t>
      </w:r>
    </w:p>
    <w:bookmarkEnd w:id="1"/>
    <w:p w14:paraId="2892C606" w14:textId="77777777" w:rsidR="00781AF3" w:rsidRPr="00F22AB0" w:rsidRDefault="00781AF3" w:rsidP="00781AF3">
      <w:pPr>
        <w:tabs>
          <w:tab w:val="left" w:pos="426"/>
        </w:tabs>
        <w:jc w:val="both"/>
        <w:rPr>
          <w:rFonts w:ascii="Verdana" w:eastAsia="Calibri" w:hAnsi="Verdana" w:cs="Arial"/>
          <w:noProof/>
          <w:sz w:val="20"/>
          <w:szCs w:val="20"/>
          <w:lang w:val="es-ES_tradnl"/>
        </w:rPr>
      </w:pPr>
      <w:r w:rsidRPr="00F22AB0">
        <w:rPr>
          <w:rFonts w:ascii="Verdana" w:eastAsia="Calibri" w:hAnsi="Verdana" w:cs="Arial"/>
          <w:noProof/>
          <w:sz w:val="20"/>
          <w:szCs w:val="20"/>
          <w:lang w:val="es-ES_tradnl"/>
        </w:rPr>
        <w:t>[…] la Ley 996 de 2005 establece dos (2) tipos de restricciones en materia de contratación, las cuales coinciden parcialmente. En primer lugar,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En segundo lugar,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r w:rsidRPr="00F22AB0">
        <w:rPr>
          <w:rFonts w:ascii="Verdana" w:eastAsia="Calibri" w:hAnsi="Verdana" w:cs="Arial"/>
          <w:noProof/>
          <w:sz w:val="20"/>
          <w:szCs w:val="20"/>
        </w:rPr>
        <w:t xml:space="preserve"> </w:t>
      </w:r>
    </w:p>
    <w:p w14:paraId="21C3AF38" w14:textId="77777777" w:rsidR="00781AF3" w:rsidRPr="009001D4" w:rsidRDefault="00781AF3" w:rsidP="00781AF3">
      <w:pPr>
        <w:jc w:val="both"/>
        <w:rPr>
          <w:rFonts w:ascii="Verdana" w:hAnsi="Verdana" w:cs="Arial"/>
          <w:b/>
          <w:lang w:val="es-ES" w:eastAsia="es-CO"/>
        </w:rPr>
      </w:pPr>
      <w:r w:rsidRPr="004D4DED">
        <w:rPr>
          <w:rFonts w:ascii="Verdana" w:hAnsi="Verdana" w:cs="Arial"/>
          <w:b/>
          <w:bCs/>
          <w:lang w:eastAsia="es-CO"/>
        </w:rPr>
        <w:t xml:space="preserve">LEY DE GARANTÍAS ELECTORALES </w:t>
      </w:r>
      <w:bookmarkStart w:id="2" w:name="_Hlk77166669"/>
      <w:r w:rsidRPr="004D4DED">
        <w:rPr>
          <w:rFonts w:ascii="Verdana" w:hAnsi="Verdana" w:cs="Arial"/>
          <w:b/>
          <w:bCs/>
          <w:lang w:eastAsia="es-CO"/>
        </w:rPr>
        <w:t>‒</w:t>
      </w:r>
      <w:bookmarkEnd w:id="2"/>
      <w:r w:rsidRPr="004D4DED">
        <w:rPr>
          <w:rFonts w:ascii="Verdana" w:hAnsi="Verdana" w:cs="Arial"/>
          <w:b/>
          <w:bCs/>
          <w:lang w:eastAsia="es-CO"/>
        </w:rPr>
        <w:t xml:space="preserve"> </w:t>
      </w:r>
      <w:r w:rsidRPr="004D4DED">
        <w:rPr>
          <w:rFonts w:ascii="Verdana" w:hAnsi="Verdana" w:cs="Arial"/>
          <w:b/>
          <w:lang w:val="es-ES" w:eastAsia="es-CO"/>
        </w:rPr>
        <w:t xml:space="preserve">Prohibición del artículo 33 </w:t>
      </w:r>
      <w:r w:rsidRPr="004D4DED">
        <w:rPr>
          <w:rFonts w:ascii="Verdana" w:hAnsi="Verdana" w:cs="Arial"/>
          <w:b/>
          <w:bCs/>
          <w:lang w:eastAsia="es-CO"/>
        </w:rPr>
        <w:t xml:space="preserve">‒ Destinatarios ‒Excepciones </w:t>
      </w:r>
    </w:p>
    <w:p w14:paraId="6B25C56B" w14:textId="77777777" w:rsidR="00781AF3" w:rsidRPr="00F22AB0" w:rsidRDefault="00781AF3" w:rsidP="00781AF3">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lang w:val="es-ES_tradnl"/>
        </w:rPr>
        <w:t xml:space="preserve">[…] </w:t>
      </w:r>
      <w:r w:rsidRPr="00F22AB0">
        <w:rPr>
          <w:rFonts w:ascii="Verdana" w:eastAsia="Calibri" w:hAnsi="Verdana" w:cs="Arial"/>
          <w:noProof/>
          <w:sz w:val="20"/>
          <w:szCs w:val="20"/>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23137E0D" w14:textId="77777777" w:rsidR="00781AF3" w:rsidRPr="00F22AB0" w:rsidRDefault="00781AF3" w:rsidP="00781AF3">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rPr>
        <w:t xml:space="preserve">Para efectos de la consulta es relevante el quinto evento exceptuado de la prohibición, relacionado con la contratación por parte de las entidades sanitarias y hospitalarias. La aplicación de esta excepción a la restricción impuesta como regla general por el primer inciso del artículo 33, permite que las entidades sanitarias y hospitalarias, ante la importancia de los servicios que prestan para el grueso de la ciudadanía, puedan seguir realizando las compras y adquisiciones que requieren para prestarlos, incluso de manera directa, durante los periodos prelectorales, con lo que se busca garantizar que el interés público no se vea afectado por el rigor de la regla general. </w:t>
      </w:r>
    </w:p>
    <w:p w14:paraId="3DD78D04" w14:textId="77777777" w:rsidR="00781AF3" w:rsidRPr="00F22AB0" w:rsidRDefault="00781AF3" w:rsidP="00781AF3">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rPr>
        <w:t>El alcance de esta excepción está determinado por la prestación de servicios sanitarios y hospitalarios, por lo que son las entidades públicas directamente encargadas de prestar estos servicios quienes estarían cobijadas por la excepción.</w:t>
      </w:r>
    </w:p>
    <w:p w14:paraId="1149B98F" w14:textId="77777777" w:rsidR="00781AF3" w:rsidRPr="009001D4" w:rsidRDefault="00781AF3" w:rsidP="00781AF3">
      <w:pPr>
        <w:tabs>
          <w:tab w:val="left" w:pos="426"/>
        </w:tabs>
        <w:jc w:val="both"/>
        <w:rPr>
          <w:rFonts w:ascii="Verdana" w:eastAsia="Calibri" w:hAnsi="Verdana" w:cs="Arial"/>
          <w:b/>
          <w:bCs/>
          <w:noProof/>
        </w:rPr>
      </w:pPr>
      <w:r w:rsidRPr="004D4DED">
        <w:rPr>
          <w:rFonts w:ascii="Verdana" w:eastAsia="Calibri" w:hAnsi="Verdana" w:cs="Arial"/>
          <w:b/>
          <w:bCs/>
          <w:noProof/>
        </w:rPr>
        <w:lastRenderedPageBreak/>
        <w:t>LEY DE GARANTÍAS ELECTORALES ‒ Prohibición por elección de cargos populares – Convenios y contratos interadministrativos – Definición – Criterio orgánico</w:t>
      </w:r>
    </w:p>
    <w:p w14:paraId="54605407" w14:textId="77777777" w:rsidR="00781AF3" w:rsidRPr="00F22AB0" w:rsidRDefault="00781AF3" w:rsidP="00781AF3">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rPr>
        <w:t>Los convenios o contratos interadministrativos que se restringen en el parágrafo del artículo 38 de la Ley 996 de 2005, son únicamente aquellos en que se dispone la ejecución de recursos públicos, para evitar que mediante la suscripción de estos se comprometa el erario con fines políticos o partidistas.</w:t>
      </w:r>
    </w:p>
    <w:p w14:paraId="0E846969" w14:textId="77777777" w:rsidR="00781AF3" w:rsidRPr="00F22AB0" w:rsidRDefault="00781AF3" w:rsidP="00781AF3">
      <w:pPr>
        <w:tabs>
          <w:tab w:val="left" w:pos="426"/>
        </w:tabs>
        <w:jc w:val="both"/>
        <w:rPr>
          <w:rFonts w:ascii="Verdana" w:eastAsia="Calibri" w:hAnsi="Verdana" w:cs="Arial"/>
          <w:noProof/>
          <w:sz w:val="20"/>
          <w:szCs w:val="20"/>
        </w:rPr>
      </w:pPr>
      <w:r w:rsidRPr="00F22AB0">
        <w:rPr>
          <w:rFonts w:ascii="Verdana" w:eastAsia="Calibri" w:hAnsi="Verdana" w:cs="Arial"/>
          <w:noProof/>
          <w:sz w:val="20"/>
          <w:szCs w:val="20"/>
        </w:rPr>
        <w:t>[…] para determinar el alcance de la prohibición consagrada por la Ley de Garantías Electorales, conviene precisar la tipología de convenios o contratos interadministrativos. Aunque la ley no la definió ni desarrolló, el Decreto 1082 de 2015 califica a los convenios o contratos interadministrativos como aquella contratación entre entidades estatales. De acuerdo con lo anterior, el contrato o el convenio interadministrativo es el acuerdo donde concurre la voluntad de dos o más personas jurídicas de derecho público con la finalidad de cumplir, en el marco de sus objetivos misionales y sus competencias, con los fines del Estado. Es decir, los contratos o convenios interadministrativos están determinados por un criterio orgánico, pues es necesario que los extremos de la relación contractual sean entidades estatales.</w:t>
      </w:r>
    </w:p>
    <w:p w14:paraId="72B6D558" w14:textId="77777777" w:rsidR="00E31648" w:rsidRPr="00781AF3" w:rsidRDefault="00E31648" w:rsidP="00E6227E">
      <w:pPr>
        <w:spacing w:after="0" w:line="240" w:lineRule="auto"/>
      </w:pPr>
    </w:p>
    <w:p w14:paraId="4A8B8483" w14:textId="77777777" w:rsidR="00E31648" w:rsidRDefault="00E31648" w:rsidP="00E6227E">
      <w:pPr>
        <w:spacing w:after="0" w:line="240" w:lineRule="auto"/>
        <w:rPr>
          <w:lang w:val="es-ES"/>
        </w:rPr>
      </w:pPr>
    </w:p>
    <w:p w14:paraId="4D4FD371" w14:textId="77777777" w:rsidR="00E31648" w:rsidRDefault="00E31648" w:rsidP="00E6227E">
      <w:pPr>
        <w:spacing w:after="0" w:line="240" w:lineRule="auto"/>
        <w:rPr>
          <w:lang w:val="es-ES"/>
        </w:rPr>
      </w:pPr>
    </w:p>
    <w:p w14:paraId="70524D6E" w14:textId="77777777" w:rsidR="00E31648" w:rsidRDefault="00E31648" w:rsidP="00E6227E">
      <w:pPr>
        <w:spacing w:after="0" w:line="240" w:lineRule="auto"/>
        <w:rPr>
          <w:lang w:val="es-ES"/>
        </w:rPr>
      </w:pPr>
    </w:p>
    <w:p w14:paraId="37758E60" w14:textId="77777777" w:rsidR="00E31648" w:rsidRDefault="00E31648" w:rsidP="00E6227E">
      <w:pPr>
        <w:spacing w:after="0" w:line="240" w:lineRule="auto"/>
        <w:rPr>
          <w:lang w:val="es-ES"/>
        </w:rPr>
      </w:pPr>
    </w:p>
    <w:p w14:paraId="4254937A" w14:textId="77777777" w:rsidR="00E31648" w:rsidRDefault="00E31648" w:rsidP="00E6227E">
      <w:pPr>
        <w:spacing w:after="0" w:line="240" w:lineRule="auto"/>
        <w:rPr>
          <w:lang w:val="es-ES"/>
        </w:rPr>
      </w:pPr>
    </w:p>
    <w:p w14:paraId="46375D3F" w14:textId="77777777" w:rsidR="00E31648" w:rsidRDefault="00E31648" w:rsidP="00E6227E">
      <w:pPr>
        <w:spacing w:after="0" w:line="240" w:lineRule="auto"/>
        <w:rPr>
          <w:lang w:val="es-ES"/>
        </w:rPr>
      </w:pPr>
    </w:p>
    <w:p w14:paraId="2794DEC4" w14:textId="77777777" w:rsidR="00E31648" w:rsidRDefault="00E31648" w:rsidP="00E6227E">
      <w:pPr>
        <w:spacing w:after="0" w:line="240" w:lineRule="auto"/>
        <w:rPr>
          <w:lang w:val="es-ES"/>
        </w:rPr>
      </w:pPr>
    </w:p>
    <w:p w14:paraId="5AA3A62D" w14:textId="77777777" w:rsidR="00E31648" w:rsidRDefault="00E31648" w:rsidP="00E6227E">
      <w:pPr>
        <w:spacing w:after="0" w:line="240" w:lineRule="auto"/>
        <w:rPr>
          <w:lang w:val="es-ES"/>
        </w:rPr>
      </w:pPr>
    </w:p>
    <w:p w14:paraId="32F54CC5" w14:textId="77777777" w:rsidR="00E31648" w:rsidRDefault="00E31648" w:rsidP="00E6227E">
      <w:pPr>
        <w:spacing w:after="0" w:line="240" w:lineRule="auto"/>
        <w:rPr>
          <w:lang w:val="es-ES"/>
        </w:rPr>
      </w:pPr>
    </w:p>
    <w:p w14:paraId="122D4385" w14:textId="77777777" w:rsidR="00E31648" w:rsidRDefault="00E31648" w:rsidP="00E6227E">
      <w:pPr>
        <w:spacing w:after="0" w:line="240" w:lineRule="auto"/>
        <w:rPr>
          <w:lang w:val="es-ES"/>
        </w:rPr>
      </w:pPr>
    </w:p>
    <w:p w14:paraId="79FDC026" w14:textId="77777777" w:rsidR="00E31648" w:rsidRDefault="00E31648" w:rsidP="00E6227E">
      <w:pPr>
        <w:spacing w:after="0" w:line="240" w:lineRule="auto"/>
        <w:rPr>
          <w:lang w:val="es-ES"/>
        </w:rPr>
      </w:pPr>
    </w:p>
    <w:p w14:paraId="15B58EAF" w14:textId="77777777" w:rsidR="00E31648" w:rsidRDefault="00E31648" w:rsidP="00E6227E">
      <w:pPr>
        <w:spacing w:after="0" w:line="240" w:lineRule="auto"/>
        <w:rPr>
          <w:lang w:val="es-ES"/>
        </w:rPr>
      </w:pPr>
    </w:p>
    <w:p w14:paraId="48A365CC" w14:textId="77777777" w:rsidR="00E31648" w:rsidRDefault="00E31648" w:rsidP="00E6227E">
      <w:pPr>
        <w:spacing w:after="0" w:line="240" w:lineRule="auto"/>
        <w:rPr>
          <w:lang w:val="es-ES"/>
        </w:rPr>
      </w:pPr>
    </w:p>
    <w:p w14:paraId="70FF2496" w14:textId="77777777" w:rsidR="00E31648" w:rsidRDefault="00E31648" w:rsidP="00E6227E">
      <w:pPr>
        <w:spacing w:after="0" w:line="240" w:lineRule="auto"/>
        <w:rPr>
          <w:lang w:val="es-ES"/>
        </w:rPr>
      </w:pPr>
    </w:p>
    <w:p w14:paraId="286DC9B2" w14:textId="77777777" w:rsidR="00E31648" w:rsidRDefault="00E31648" w:rsidP="00E6227E">
      <w:pPr>
        <w:spacing w:after="0" w:line="240" w:lineRule="auto"/>
        <w:rPr>
          <w:lang w:val="es-ES"/>
        </w:rPr>
      </w:pPr>
    </w:p>
    <w:p w14:paraId="15AD6B6E" w14:textId="77777777" w:rsidR="00E31648" w:rsidRDefault="00E31648" w:rsidP="00E6227E">
      <w:pPr>
        <w:spacing w:after="0" w:line="240" w:lineRule="auto"/>
        <w:rPr>
          <w:lang w:val="es-ES"/>
        </w:rPr>
      </w:pPr>
    </w:p>
    <w:p w14:paraId="2E82F1B6" w14:textId="77777777" w:rsidR="00E31648" w:rsidRDefault="00E31648" w:rsidP="00E6227E">
      <w:pPr>
        <w:spacing w:after="0" w:line="240" w:lineRule="auto"/>
        <w:rPr>
          <w:lang w:val="es-ES"/>
        </w:rPr>
      </w:pPr>
    </w:p>
    <w:p w14:paraId="6A6643D7" w14:textId="77777777" w:rsidR="00E31648" w:rsidRDefault="00E31648" w:rsidP="00E6227E">
      <w:pPr>
        <w:spacing w:after="0" w:line="240" w:lineRule="auto"/>
        <w:rPr>
          <w:lang w:val="es-ES"/>
        </w:rPr>
      </w:pPr>
    </w:p>
    <w:p w14:paraId="36E56364" w14:textId="77777777" w:rsidR="00E31648" w:rsidRDefault="00E31648" w:rsidP="00E6227E">
      <w:pPr>
        <w:spacing w:after="0" w:line="240" w:lineRule="auto"/>
        <w:rPr>
          <w:lang w:val="es-ES"/>
        </w:rPr>
      </w:pPr>
    </w:p>
    <w:p w14:paraId="65205392" w14:textId="77777777" w:rsidR="00E31648" w:rsidRDefault="00E31648" w:rsidP="00E6227E">
      <w:pPr>
        <w:spacing w:after="0" w:line="240" w:lineRule="auto"/>
        <w:rPr>
          <w:lang w:val="es-ES"/>
        </w:rPr>
      </w:pPr>
    </w:p>
    <w:p w14:paraId="50ED70F1" w14:textId="77777777" w:rsidR="00E31648" w:rsidRDefault="00E31648" w:rsidP="00E6227E">
      <w:pPr>
        <w:spacing w:after="0" w:line="240" w:lineRule="auto"/>
        <w:rPr>
          <w:lang w:val="es-ES"/>
        </w:rPr>
      </w:pPr>
    </w:p>
    <w:p w14:paraId="27926EA8" w14:textId="77777777" w:rsidR="00E31648" w:rsidRDefault="00E31648" w:rsidP="00E6227E">
      <w:pPr>
        <w:spacing w:after="0" w:line="240" w:lineRule="auto"/>
        <w:rPr>
          <w:lang w:val="es-ES"/>
        </w:rPr>
      </w:pPr>
    </w:p>
    <w:p w14:paraId="5895B0C6" w14:textId="77777777" w:rsidR="00E31648" w:rsidRDefault="00E31648" w:rsidP="00E6227E">
      <w:pPr>
        <w:spacing w:after="0" w:line="240" w:lineRule="auto"/>
        <w:rPr>
          <w:lang w:val="es-ES"/>
        </w:rPr>
      </w:pPr>
    </w:p>
    <w:p w14:paraId="49508F0D" w14:textId="3D88B7A5" w:rsidR="005B261C" w:rsidRPr="00E31648" w:rsidRDefault="00C562D4" w:rsidP="00E6227E">
      <w:pPr>
        <w:spacing w:after="0" w:line="240" w:lineRule="auto"/>
      </w:pPr>
      <w:r w:rsidRPr="00C562D4">
        <w:rPr>
          <w:rFonts w:ascii="Verdana" w:eastAsia="Calibri" w:hAnsi="Verdana" w:cs="Arial"/>
          <w:color w:val="000000" w:themeColor="text1"/>
        </w:rPr>
        <w:lastRenderedPageBreak/>
        <w:t xml:space="preserve">Bogotá D.C., </w:t>
      </w:r>
      <w:r w:rsidR="00096CB6">
        <w:rPr>
          <w:rFonts w:ascii="Verdana" w:eastAsia="Calibri" w:hAnsi="Verdana" w:cs="Arial"/>
          <w:color w:val="000000" w:themeColor="text1"/>
        </w:rPr>
        <w:t>3</w:t>
      </w:r>
      <w:r w:rsidR="00393132">
        <w:rPr>
          <w:rFonts w:ascii="Verdana" w:eastAsia="Calibri" w:hAnsi="Verdana" w:cs="Arial"/>
          <w:color w:val="000000" w:themeColor="text1"/>
        </w:rPr>
        <w:t>1</w:t>
      </w:r>
      <w:r w:rsidRPr="00C562D4">
        <w:rPr>
          <w:rFonts w:ascii="Verdana" w:eastAsia="Calibri" w:hAnsi="Verdana" w:cs="Arial"/>
          <w:color w:val="000000" w:themeColor="text1"/>
        </w:rPr>
        <w:t xml:space="preserve"> de </w:t>
      </w:r>
      <w:r w:rsidR="00096CB6">
        <w:rPr>
          <w:rFonts w:ascii="Verdana" w:eastAsia="Calibri" w:hAnsi="Verdana" w:cs="Arial"/>
          <w:color w:val="000000" w:themeColor="text1"/>
        </w:rPr>
        <w:t>diciembre</w:t>
      </w:r>
      <w:r w:rsidRPr="00C562D4">
        <w:rPr>
          <w:rFonts w:ascii="Verdana" w:eastAsia="Calibri" w:hAnsi="Verdana" w:cs="Arial"/>
          <w:color w:val="000000" w:themeColor="text1"/>
        </w:rPr>
        <w:t xml:space="preserve"> de 2025</w:t>
      </w:r>
    </w:p>
    <w:p w14:paraId="328CC329" w14:textId="65155339" w:rsidR="005B261C" w:rsidRDefault="005B261C" w:rsidP="005B261C">
      <w:pPr>
        <w:spacing w:after="0" w:line="240" w:lineRule="auto"/>
        <w:jc w:val="both"/>
        <w:rPr>
          <w:rFonts w:ascii="Verdana" w:eastAsia="Calibri" w:hAnsi="Verdana" w:cs="Arial"/>
          <w:color w:val="000000" w:themeColor="text1"/>
          <w:lang w:val="es-ES"/>
        </w:rPr>
      </w:pPr>
    </w:p>
    <w:p w14:paraId="5D27C2C6" w14:textId="7D2B99B4" w:rsidR="005B261C" w:rsidRDefault="005B261C" w:rsidP="00393132">
      <w:pPr>
        <w:spacing w:after="0" w:line="240" w:lineRule="auto"/>
        <w:jc w:val="right"/>
        <w:rPr>
          <w:rFonts w:ascii="Verdana" w:eastAsia="Calibri" w:hAnsi="Verdana" w:cs="Arial"/>
          <w:color w:val="000000" w:themeColor="text1"/>
          <w:lang w:val="es-ES"/>
        </w:rPr>
      </w:pPr>
    </w:p>
    <w:p w14:paraId="1FAA0E0D" w14:textId="7C764C0C" w:rsidR="00393132" w:rsidRDefault="00393132" w:rsidP="005B261C">
      <w:pPr>
        <w:spacing w:after="0" w:line="240" w:lineRule="auto"/>
        <w:jc w:val="both"/>
        <w:rPr>
          <w:rFonts w:ascii="Verdana" w:eastAsia="Calibri" w:hAnsi="Verdana" w:cs="Arial"/>
          <w:color w:val="000000" w:themeColor="text1"/>
          <w:lang w:val="es-ES"/>
        </w:rPr>
      </w:pPr>
    </w:p>
    <w:p w14:paraId="78A62E05" w14:textId="0CB48A40" w:rsidR="00393132" w:rsidRPr="00115E3D" w:rsidRDefault="00732281" w:rsidP="005B261C">
      <w:pPr>
        <w:spacing w:after="0" w:line="240" w:lineRule="auto"/>
        <w:jc w:val="both"/>
        <w:rPr>
          <w:rFonts w:ascii="Verdana" w:eastAsia="Calibri" w:hAnsi="Verdana" w:cs="Arial"/>
          <w:color w:val="000000" w:themeColor="text1"/>
          <w:lang w:val="es-ES"/>
        </w:rPr>
      </w:pPr>
      <w:r>
        <w:rPr>
          <w:rFonts w:ascii="Verdana" w:eastAsia="Calibri" w:hAnsi="Verdana" w:cs="Arial"/>
          <w:noProof/>
          <w:color w:val="000000" w:themeColor="text1"/>
          <w:lang w:val="es-ES"/>
        </w:rPr>
        <w:drawing>
          <wp:anchor distT="0" distB="0" distL="114300" distR="114300" simplePos="0" relativeHeight="251657216" behindDoc="0" locked="0" layoutInCell="1" allowOverlap="1" wp14:anchorId="1ADFAF21" wp14:editId="05287678">
            <wp:simplePos x="0" y="0"/>
            <wp:positionH relativeFrom="margin">
              <wp:align>right</wp:align>
            </wp:positionH>
            <wp:positionV relativeFrom="paragraph">
              <wp:posOffset>11402</wp:posOffset>
            </wp:positionV>
            <wp:extent cx="2724150" cy="904875"/>
            <wp:effectExtent l="0" t="0" r="0" b="9525"/>
            <wp:wrapSquare wrapText="bothSides"/>
            <wp:docPr id="104114368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24150" cy="904875"/>
                    </a:xfrm>
                    <a:prstGeom prst="rect">
                      <a:avLst/>
                    </a:prstGeom>
                    <a:noFill/>
                    <a:ln>
                      <a:noFill/>
                    </a:ln>
                  </pic:spPr>
                </pic:pic>
              </a:graphicData>
            </a:graphic>
          </wp:anchor>
        </w:drawing>
      </w:r>
    </w:p>
    <w:p w14:paraId="59681FB0" w14:textId="77777777" w:rsidR="005B261C" w:rsidRPr="00115E3D" w:rsidRDefault="005B261C" w:rsidP="005B261C">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p>
    <w:p w14:paraId="0A948326" w14:textId="37573473" w:rsidR="005B261C" w:rsidRPr="00115E3D" w:rsidRDefault="00096CB6" w:rsidP="3D38C690">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 xml:space="preserve">JOSE </w:t>
      </w:r>
      <w:r w:rsidRPr="00096CB6">
        <w:rPr>
          <w:rFonts w:ascii="Verdana" w:eastAsia="Calibri" w:hAnsi="Verdana" w:cs="Arial"/>
          <w:b/>
          <w:bCs/>
          <w:color w:val="000000" w:themeColor="text1"/>
          <w:lang w:val="es-ES" w:eastAsia="es-ES"/>
        </w:rPr>
        <w:t>LÓPEZ</w:t>
      </w:r>
      <w:r>
        <w:rPr>
          <w:rFonts w:ascii="Verdana" w:eastAsia="Calibri" w:hAnsi="Verdana" w:cs="Arial"/>
          <w:b/>
          <w:bCs/>
          <w:color w:val="000000" w:themeColor="text1"/>
          <w:lang w:val="es-ES" w:eastAsia="es-ES"/>
        </w:rPr>
        <w:t xml:space="preserve"> </w:t>
      </w:r>
      <w:r w:rsidRPr="00096CB6">
        <w:rPr>
          <w:rFonts w:ascii="Verdana" w:eastAsia="Calibri" w:hAnsi="Verdana" w:cs="Arial"/>
          <w:b/>
          <w:bCs/>
          <w:color w:val="000000" w:themeColor="text1"/>
          <w:lang w:val="es-ES" w:eastAsia="es-ES"/>
        </w:rPr>
        <w:t>LÓPEZ</w:t>
      </w:r>
    </w:p>
    <w:p w14:paraId="7E7804F8" w14:textId="18C087C6" w:rsidR="005B261C" w:rsidRPr="00096CB6" w:rsidRDefault="00096CB6" w:rsidP="005B261C">
      <w:pPr>
        <w:spacing w:after="0" w:line="240" w:lineRule="auto"/>
        <w:rPr>
          <w:rFonts w:ascii="Verdana" w:eastAsia="Calibri" w:hAnsi="Verdana" w:cs="Arial"/>
          <w:color w:val="000000" w:themeColor="text1"/>
          <w:u w:val="single"/>
          <w:lang w:eastAsia="es-ES"/>
        </w:rPr>
      </w:pPr>
      <w:r w:rsidRPr="00096CB6">
        <w:rPr>
          <w:rFonts w:ascii="Verdana" w:hAnsi="Verdana"/>
        </w:rPr>
        <w:t>anibaljlopez@yahoo.es</w:t>
      </w:r>
    </w:p>
    <w:p w14:paraId="5D6398D3" w14:textId="6BD0D8D3" w:rsidR="005B261C" w:rsidRPr="00CB7ABE" w:rsidRDefault="00096CB6" w:rsidP="005B261C">
      <w:pPr>
        <w:spacing w:after="0" w:line="240" w:lineRule="auto"/>
        <w:rPr>
          <w:rFonts w:ascii="Verdana" w:eastAsia="Calibri" w:hAnsi="Verdana" w:cs="Arial"/>
          <w:b/>
          <w:bCs/>
          <w:color w:val="000000" w:themeColor="text1"/>
          <w:lang w:eastAsia="es-ES"/>
        </w:rPr>
      </w:pPr>
      <w:r>
        <w:rPr>
          <w:rFonts w:ascii="Verdana" w:eastAsia="Calibri" w:hAnsi="Verdana" w:cs="Arial"/>
          <w:color w:val="000000" w:themeColor="text1"/>
          <w:lang w:eastAsia="es-ES"/>
        </w:rPr>
        <w:t>Bogotá D.C.</w:t>
      </w:r>
    </w:p>
    <w:p w14:paraId="50EAC4DF" w14:textId="77777777" w:rsidR="005B261C" w:rsidRPr="00CB7ABE" w:rsidRDefault="005B261C" w:rsidP="005B261C">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5B261C" w:rsidRPr="00115E3D" w14:paraId="4695EBEF" w14:textId="77777777" w:rsidTr="00136DDB">
        <w:trPr>
          <w:trHeight w:val="615"/>
        </w:trPr>
        <w:tc>
          <w:tcPr>
            <w:tcW w:w="2270" w:type="dxa"/>
          </w:tcPr>
          <w:p w14:paraId="7138A810" w14:textId="77777777" w:rsidR="005B261C" w:rsidRPr="00CB7ABE" w:rsidRDefault="005B261C" w:rsidP="006F1A38">
            <w:pPr>
              <w:jc w:val="both"/>
              <w:rPr>
                <w:rFonts w:ascii="Verdana" w:eastAsia="Calibri" w:hAnsi="Verdana" w:cs="Arial"/>
                <w:b/>
                <w:bCs/>
                <w:color w:val="000000" w:themeColor="text1"/>
                <w:lang w:eastAsia="es-ES_tradnl"/>
              </w:rPr>
            </w:pPr>
          </w:p>
        </w:tc>
        <w:tc>
          <w:tcPr>
            <w:tcW w:w="6547" w:type="dxa"/>
          </w:tcPr>
          <w:p w14:paraId="25945537" w14:textId="23CD61E7" w:rsidR="005B261C" w:rsidRPr="00115E3D" w:rsidRDefault="005B261C" w:rsidP="006F1A38">
            <w:pPr>
              <w:jc w:val="both"/>
              <w:rPr>
                <w:rFonts w:ascii="Verdana" w:eastAsia="Calibri" w:hAnsi="Verdana" w:cs="Arial"/>
                <w:b/>
                <w:bCs/>
                <w:color w:val="000000" w:themeColor="text1"/>
                <w:lang w:val="es-ES" w:eastAsia="es-ES"/>
              </w:rPr>
            </w:pPr>
            <w:r w:rsidRPr="00115E3D">
              <w:rPr>
                <w:rFonts w:ascii="Verdana" w:eastAsia="Calibri" w:hAnsi="Verdana" w:cs="Arial"/>
                <w:b/>
                <w:bCs/>
                <w:color w:val="000000" w:themeColor="text1"/>
                <w:lang w:val="es-ES" w:eastAsia="es-ES"/>
              </w:rPr>
              <w:t xml:space="preserve">Concepto C- </w:t>
            </w:r>
            <w:r w:rsidR="00096CB6">
              <w:rPr>
                <w:rFonts w:ascii="Verdana" w:eastAsia="Calibri" w:hAnsi="Verdana" w:cs="Arial"/>
                <w:b/>
                <w:bCs/>
                <w:color w:val="000000" w:themeColor="text1"/>
                <w:lang w:val="es-ES" w:eastAsia="es-ES"/>
              </w:rPr>
              <w:t>1747</w:t>
            </w:r>
            <w:r w:rsidRPr="00115E3D">
              <w:rPr>
                <w:rFonts w:ascii="Verdana" w:eastAsia="Calibri" w:hAnsi="Verdana" w:cs="Arial"/>
                <w:b/>
                <w:bCs/>
                <w:color w:val="000000" w:themeColor="text1"/>
                <w:lang w:val="es-ES" w:eastAsia="es-ES"/>
              </w:rPr>
              <w:t xml:space="preserve"> de 202</w:t>
            </w:r>
            <w:r>
              <w:rPr>
                <w:rFonts w:ascii="Verdana" w:eastAsia="Calibri" w:hAnsi="Verdana" w:cs="Arial"/>
                <w:b/>
                <w:bCs/>
                <w:color w:val="000000" w:themeColor="text1"/>
                <w:lang w:val="es-ES" w:eastAsia="es-ES"/>
              </w:rPr>
              <w:t>5</w:t>
            </w:r>
          </w:p>
        </w:tc>
      </w:tr>
      <w:tr w:rsidR="005B261C" w:rsidRPr="00115E3D" w14:paraId="5710482D" w14:textId="77777777" w:rsidTr="00B14DA5">
        <w:trPr>
          <w:trHeight w:val="1071"/>
        </w:trPr>
        <w:tc>
          <w:tcPr>
            <w:tcW w:w="2270" w:type="dxa"/>
          </w:tcPr>
          <w:p w14:paraId="0088F836" w14:textId="77777777" w:rsidR="005B261C" w:rsidRPr="00115E3D" w:rsidRDefault="005B261C" w:rsidP="006F1A38">
            <w:pPr>
              <w:jc w:val="both"/>
              <w:rPr>
                <w:rFonts w:ascii="Verdana" w:eastAsia="Calibri" w:hAnsi="Verdana" w:cs="Arial"/>
                <w:color w:val="000000" w:themeColor="text1"/>
                <w:lang w:val="es-ES_tradnl" w:eastAsia="es-ES_tradnl"/>
              </w:rPr>
            </w:pPr>
            <w:r w:rsidRPr="00115E3D">
              <w:rPr>
                <w:rFonts w:ascii="Verdana" w:eastAsia="Calibri" w:hAnsi="Verdana" w:cs="Arial"/>
                <w:b/>
                <w:color w:val="000000" w:themeColor="text1"/>
                <w:lang w:val="es-ES_tradnl" w:eastAsia="es-ES_tradnl"/>
              </w:rPr>
              <w:t>Temas:</w:t>
            </w:r>
            <w:r w:rsidRPr="00115E3D">
              <w:rPr>
                <w:rFonts w:ascii="Verdana" w:eastAsia="Calibri" w:hAnsi="Verdana" w:cs="Arial"/>
                <w:color w:val="000000" w:themeColor="text1"/>
                <w:lang w:val="es-ES_tradnl" w:eastAsia="es-ES_tradnl"/>
              </w:rPr>
              <w:t xml:space="preserve">                   </w:t>
            </w:r>
          </w:p>
        </w:tc>
        <w:tc>
          <w:tcPr>
            <w:tcW w:w="6547" w:type="dxa"/>
          </w:tcPr>
          <w:p w14:paraId="21A6CE91" w14:textId="77777777" w:rsidR="005B261C" w:rsidRPr="004D4DED" w:rsidRDefault="005B261C" w:rsidP="006F1A38">
            <w:pPr>
              <w:spacing w:line="276" w:lineRule="auto"/>
              <w:jc w:val="both"/>
              <w:rPr>
                <w:rFonts w:ascii="Verdana" w:eastAsia="Calibri" w:hAnsi="Verdana" w:cs="Arial"/>
                <w:lang w:val="es-ES" w:eastAsia="es-ES"/>
              </w:rPr>
            </w:pPr>
            <w:r w:rsidRPr="004D4DED">
              <w:rPr>
                <w:rFonts w:ascii="Verdana" w:eastAsia="Calibri" w:hAnsi="Verdana" w:cs="Arial"/>
                <w:lang w:val="es-ES" w:eastAsia="es-ES"/>
              </w:rPr>
              <w:t>LEY DE GARANTÍAS ELECTORALES – Prohibición del artículo 33 ‒ Destinatarios ‒Excepciones / Prohibición por elección de cargos populares – Convenios y contratos interadministrativos – Definición – Criterio orgánico</w:t>
            </w:r>
          </w:p>
          <w:p w14:paraId="174F44D4" w14:textId="77777777" w:rsidR="005B261C" w:rsidRPr="00115E3D" w:rsidRDefault="005B261C" w:rsidP="006F1A38">
            <w:pPr>
              <w:spacing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 xml:space="preserve"> </w:t>
            </w:r>
          </w:p>
        </w:tc>
      </w:tr>
      <w:tr w:rsidR="005B261C" w:rsidRPr="00115E3D" w14:paraId="2F32F98A" w14:textId="77777777" w:rsidTr="00B14DA5">
        <w:trPr>
          <w:trHeight w:val="653"/>
        </w:trPr>
        <w:tc>
          <w:tcPr>
            <w:tcW w:w="2270" w:type="dxa"/>
          </w:tcPr>
          <w:p w14:paraId="26ADCFA9" w14:textId="43D11C53" w:rsidR="005B261C" w:rsidRPr="00CB7ABE" w:rsidRDefault="005B261C" w:rsidP="006F1A38">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42BEDD0C" w14:textId="3E62788A" w:rsidR="005B261C" w:rsidRPr="00CB7ABE" w:rsidRDefault="005B261C" w:rsidP="00DA4396">
            <w:pPr>
              <w:ind w:right="1"/>
              <w:jc w:val="both"/>
              <w:rPr>
                <w:rFonts w:ascii="Verdana" w:hAnsi="Verdana"/>
                <w:color w:val="000000"/>
              </w:rPr>
            </w:pPr>
            <w:r w:rsidRPr="00CB7ABE">
              <w:rPr>
                <w:rFonts w:ascii="Verdana" w:eastAsia="Calibri" w:hAnsi="Verdana" w:cs="Arial"/>
                <w:color w:val="000000" w:themeColor="text1"/>
                <w:lang w:val="es-ES_tradnl" w:eastAsia="es-ES_tradnl"/>
              </w:rPr>
              <w:t>Respuesta a consulta con radicado</w:t>
            </w:r>
            <w:r w:rsidR="00DA4396">
              <w:rPr>
                <w:rFonts w:ascii="Verdana" w:eastAsia="Calibri" w:hAnsi="Verdana" w:cs="Arial"/>
                <w:color w:val="000000" w:themeColor="text1"/>
                <w:lang w:val="es-ES_tradnl" w:eastAsia="es-ES_tradnl"/>
              </w:rPr>
              <w:t xml:space="preserve"> </w:t>
            </w:r>
            <w:r w:rsidR="00B14DA5">
              <w:rPr>
                <w:rFonts w:ascii="Verdana" w:eastAsia="Calibri" w:hAnsi="Verdana" w:cs="Arial"/>
                <w:color w:val="000000" w:themeColor="text1"/>
                <w:lang w:val="es-ES_tradnl" w:eastAsia="es-ES_tradnl"/>
              </w:rPr>
              <w:t>N.º</w:t>
            </w:r>
            <w:r w:rsidR="00DA4396">
              <w:rPr>
                <w:rFonts w:ascii="Verdana" w:eastAsia="Calibri" w:hAnsi="Verdana" w:cs="Arial"/>
                <w:color w:val="000000" w:themeColor="text1"/>
                <w:lang w:val="es-ES_tradnl" w:eastAsia="es-ES_tradnl"/>
              </w:rPr>
              <w:t xml:space="preserve"> </w:t>
            </w:r>
            <w:r w:rsidR="00096CB6" w:rsidRPr="00096CB6">
              <w:rPr>
                <w:rFonts w:ascii="Verdana" w:hAnsi="Verdana"/>
                <w:color w:val="000000"/>
              </w:rPr>
              <w:t>1_2025_11_25_013297</w:t>
            </w:r>
          </w:p>
        </w:tc>
      </w:tr>
    </w:tbl>
    <w:p w14:paraId="519BF75A" w14:textId="77777777" w:rsidR="005B261C" w:rsidRPr="00115E3D" w:rsidRDefault="005B261C" w:rsidP="005B261C">
      <w:pPr>
        <w:spacing w:after="0" w:line="240" w:lineRule="auto"/>
        <w:jc w:val="both"/>
        <w:rPr>
          <w:rFonts w:ascii="Verdana" w:eastAsia="Calibri" w:hAnsi="Verdana" w:cs="Arial"/>
          <w:color w:val="000000" w:themeColor="text1"/>
          <w:lang w:val="es-ES_tradnl" w:eastAsia="es-ES_tradnl"/>
        </w:rPr>
      </w:pPr>
    </w:p>
    <w:p w14:paraId="676D17D4" w14:textId="77777777" w:rsidR="005B261C" w:rsidRPr="00115E3D" w:rsidRDefault="005B261C" w:rsidP="005B261C">
      <w:pPr>
        <w:spacing w:after="0" w:line="240" w:lineRule="auto"/>
        <w:jc w:val="both"/>
        <w:rPr>
          <w:rFonts w:ascii="Verdana" w:eastAsia="Calibri" w:hAnsi="Verdana" w:cs="Arial"/>
          <w:color w:val="000000" w:themeColor="text1"/>
          <w:lang w:val="es-ES_tradnl" w:eastAsia="es-ES_tradnl"/>
        </w:rPr>
      </w:pPr>
    </w:p>
    <w:p w14:paraId="5F37FB94" w14:textId="79F151E8"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Estimado señor</w:t>
      </w:r>
      <w:r>
        <w:rPr>
          <w:rFonts w:ascii="Verdana" w:eastAsia="Calibri" w:hAnsi="Verdana" w:cs="Arial"/>
          <w:color w:val="000000" w:themeColor="text1"/>
          <w:lang w:val="es-ES" w:eastAsia="es-ES"/>
        </w:rPr>
        <w:t xml:space="preserve"> </w:t>
      </w:r>
      <w:r w:rsidR="00096CB6" w:rsidRPr="00096CB6">
        <w:rPr>
          <w:rFonts w:ascii="Verdana" w:eastAsia="Calibri" w:hAnsi="Verdana" w:cs="Arial"/>
          <w:color w:val="000000" w:themeColor="text1"/>
          <w:lang w:val="es-ES" w:eastAsia="es-ES"/>
        </w:rPr>
        <w:t>López</w:t>
      </w:r>
      <w:r w:rsidR="00096CB6" w:rsidRPr="00115E3D">
        <w:rPr>
          <w:rFonts w:ascii="Verdana" w:eastAsia="Calibri" w:hAnsi="Verdana" w:cs="Arial"/>
          <w:color w:val="000000" w:themeColor="text1"/>
          <w:lang w:val="es-ES" w:eastAsia="es-ES"/>
        </w:rPr>
        <w:t xml:space="preserve">: </w:t>
      </w:r>
    </w:p>
    <w:p w14:paraId="01BB3543" w14:textId="77777777" w:rsidR="005B261C" w:rsidRPr="00115E3D" w:rsidRDefault="005B261C" w:rsidP="005B261C">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05F6EC50" w14:textId="00CA2528" w:rsidR="005B261C" w:rsidRPr="00115E3D" w:rsidRDefault="005B261C" w:rsidP="005B261C">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 xml:space="preserve">la Agencia Nacional de Contratación Pública – Colombia Compra Eficiente– responde su solicitud de consulta </w:t>
      </w:r>
      <w:r w:rsidR="00096CB6">
        <w:rPr>
          <w:rFonts w:ascii="Verdana" w:eastAsia="Calibri" w:hAnsi="Verdana" w:cs="Arial"/>
          <w:color w:val="000000" w:themeColor="text1"/>
          <w:lang w:val="es-ES" w:eastAsia="es-ES"/>
        </w:rPr>
        <w:t>trasladada por competencia por parte del Departamento Administrativo de la Función Pública y radicada en esta entidad el 25 de noviembre</w:t>
      </w:r>
      <w:r w:rsidRPr="00115E3D">
        <w:rPr>
          <w:rFonts w:ascii="Verdana" w:eastAsia="Calibri" w:hAnsi="Verdana" w:cs="Arial"/>
          <w:color w:val="000000" w:themeColor="text1"/>
          <w:lang w:val="es-ES" w:eastAsia="es-ES"/>
        </w:rPr>
        <w:t xml:space="preserve"> de 20</w:t>
      </w:r>
      <w:r>
        <w:rPr>
          <w:rFonts w:ascii="Verdana" w:eastAsia="Calibri" w:hAnsi="Verdana" w:cs="Arial"/>
          <w:color w:val="000000" w:themeColor="text1"/>
          <w:lang w:val="es-ES" w:eastAsia="es-ES"/>
        </w:rPr>
        <w:t>25</w:t>
      </w:r>
      <w:r w:rsidRPr="00115E3D">
        <w:rPr>
          <w:rFonts w:ascii="Verdana" w:eastAsia="Calibri" w:hAnsi="Verdana" w:cs="Arial"/>
          <w:color w:val="000000" w:themeColor="text1"/>
          <w:lang w:val="es-ES" w:eastAsia="es-ES"/>
        </w:rPr>
        <w:t xml:space="preserve">, en la cual manifiesta lo siguiente: </w:t>
      </w:r>
    </w:p>
    <w:p w14:paraId="6BB223B9" w14:textId="77777777" w:rsidR="00096CB6" w:rsidRPr="00096CB6" w:rsidRDefault="005B261C" w:rsidP="00096CB6">
      <w:pPr>
        <w:spacing w:after="0" w:line="240" w:lineRule="auto"/>
        <w:ind w:left="709" w:right="709"/>
        <w:jc w:val="both"/>
        <w:rPr>
          <w:rFonts w:ascii="Verdana" w:eastAsia="Century Gothic" w:hAnsi="Verdana" w:cs="Century Gothic"/>
          <w:i/>
          <w:iCs/>
          <w:color w:val="000000" w:themeColor="text1"/>
          <w:sz w:val="20"/>
          <w:szCs w:val="20"/>
        </w:rPr>
      </w:pPr>
      <w:bookmarkStart w:id="3" w:name="_Hlk95313578"/>
      <w:r w:rsidRPr="00141269">
        <w:rPr>
          <w:rFonts w:ascii="Verdana" w:eastAsia="Century Gothic" w:hAnsi="Verdana" w:cs="Century Gothic"/>
          <w:i/>
          <w:iCs/>
          <w:color w:val="000000" w:themeColor="text1"/>
          <w:sz w:val="20"/>
          <w:szCs w:val="20"/>
          <w:lang w:val="es-ES"/>
        </w:rPr>
        <w:t>“</w:t>
      </w:r>
      <w:bookmarkEnd w:id="3"/>
    </w:p>
    <w:p w14:paraId="2BE1D7F9" w14:textId="50AF51EB" w:rsidR="005B261C" w:rsidRDefault="00096CB6" w:rsidP="00096CB6">
      <w:pPr>
        <w:spacing w:after="0" w:line="240" w:lineRule="auto"/>
        <w:ind w:left="709" w:right="709"/>
        <w:jc w:val="both"/>
        <w:rPr>
          <w:rFonts w:ascii="Verdana" w:eastAsia="Century Gothic" w:hAnsi="Verdana" w:cs="Century Gothic"/>
          <w:i/>
          <w:iCs/>
          <w:color w:val="000000" w:themeColor="text1"/>
          <w:sz w:val="20"/>
          <w:szCs w:val="20"/>
          <w:lang w:val="es-ES"/>
        </w:rPr>
      </w:pPr>
      <w:r w:rsidRPr="00096CB6">
        <w:rPr>
          <w:rFonts w:ascii="Verdana" w:eastAsia="Century Gothic" w:hAnsi="Verdana" w:cs="Century Gothic"/>
          <w:i/>
          <w:iCs/>
          <w:color w:val="000000" w:themeColor="text1"/>
          <w:sz w:val="20"/>
          <w:szCs w:val="20"/>
        </w:rPr>
        <w:t xml:space="preserve"> Buenos días, en el entendido que en la actualidad hay calendario electoral por elecciones atípicas de gobernación en el departamento del Magdalena</w:t>
      </w:r>
      <w:r w:rsidR="00AB5151">
        <w:rPr>
          <w:rFonts w:ascii="Verdana" w:eastAsia="Century Gothic" w:hAnsi="Verdana" w:cs="Century Gothic"/>
          <w:i/>
          <w:iCs/>
          <w:color w:val="000000" w:themeColor="text1"/>
          <w:sz w:val="20"/>
          <w:szCs w:val="20"/>
        </w:rPr>
        <w:t xml:space="preserve"> </w:t>
      </w:r>
      <w:r w:rsidRPr="00096CB6">
        <w:rPr>
          <w:rFonts w:ascii="Verdana" w:eastAsia="Century Gothic" w:hAnsi="Verdana" w:cs="Century Gothic"/>
          <w:i/>
          <w:iCs/>
          <w:color w:val="000000" w:themeColor="text1"/>
          <w:sz w:val="20"/>
          <w:szCs w:val="20"/>
        </w:rPr>
        <w:t>(adjunto archivo) , me gustaría que me indicaran si los municipios tienen algún impedimento para suscribir convenios con ministerios y entidades del orden nacional hasta antes del 7 de noviembre del 2025</w:t>
      </w:r>
      <w:r>
        <w:rPr>
          <w:rFonts w:ascii="Verdana" w:eastAsia="Century Gothic" w:hAnsi="Verdana" w:cs="Century Gothic"/>
          <w:i/>
          <w:iCs/>
          <w:color w:val="000000" w:themeColor="text1"/>
          <w:sz w:val="20"/>
          <w:szCs w:val="20"/>
        </w:rPr>
        <w:t xml:space="preserve"> </w:t>
      </w:r>
      <w:r w:rsidRPr="00096CB6">
        <w:rPr>
          <w:rFonts w:ascii="Verdana" w:eastAsia="Century Gothic" w:hAnsi="Verdana" w:cs="Century Gothic"/>
          <w:i/>
          <w:iCs/>
          <w:color w:val="000000" w:themeColor="text1"/>
          <w:sz w:val="20"/>
          <w:szCs w:val="20"/>
        </w:rPr>
        <w:t>Agradezco su rápida respuesta teniendo en cu</w:t>
      </w:r>
      <w:r>
        <w:rPr>
          <w:rFonts w:ascii="Verdana" w:eastAsia="Century Gothic" w:hAnsi="Verdana" w:cs="Century Gothic"/>
          <w:i/>
          <w:iCs/>
          <w:color w:val="000000" w:themeColor="text1"/>
          <w:sz w:val="20"/>
          <w:szCs w:val="20"/>
        </w:rPr>
        <w:t>e</w:t>
      </w:r>
      <w:r w:rsidRPr="00096CB6">
        <w:rPr>
          <w:rFonts w:ascii="Verdana" w:eastAsia="Century Gothic" w:hAnsi="Verdana" w:cs="Century Gothic"/>
          <w:i/>
          <w:iCs/>
          <w:color w:val="000000" w:themeColor="text1"/>
          <w:sz w:val="20"/>
          <w:szCs w:val="20"/>
        </w:rPr>
        <w:t>nta</w:t>
      </w:r>
      <w:r>
        <w:rPr>
          <w:rFonts w:ascii="Verdana" w:eastAsia="Century Gothic" w:hAnsi="Verdana" w:cs="Century Gothic"/>
          <w:i/>
          <w:iCs/>
          <w:color w:val="000000" w:themeColor="text1"/>
          <w:sz w:val="20"/>
          <w:szCs w:val="20"/>
        </w:rPr>
        <w:t xml:space="preserve"> que</w:t>
      </w:r>
      <w:r w:rsidRPr="00096CB6">
        <w:rPr>
          <w:rFonts w:ascii="Verdana" w:eastAsia="Century Gothic" w:hAnsi="Verdana" w:cs="Century Gothic"/>
          <w:i/>
          <w:iCs/>
          <w:color w:val="000000" w:themeColor="text1"/>
          <w:sz w:val="20"/>
          <w:szCs w:val="20"/>
        </w:rPr>
        <w:t xml:space="preserve"> </w:t>
      </w:r>
      <w:r w:rsidR="009E7E8C" w:rsidRPr="00096CB6">
        <w:rPr>
          <w:rFonts w:ascii="Verdana" w:eastAsia="Century Gothic" w:hAnsi="Verdana" w:cs="Century Gothic"/>
          <w:i/>
          <w:iCs/>
          <w:color w:val="000000" w:themeColor="text1"/>
          <w:sz w:val="20"/>
          <w:szCs w:val="20"/>
        </w:rPr>
        <w:t>los términos ya están</w:t>
      </w:r>
      <w:r w:rsidRPr="00096CB6">
        <w:rPr>
          <w:rFonts w:ascii="Verdana" w:eastAsia="Century Gothic" w:hAnsi="Verdana" w:cs="Century Gothic"/>
          <w:i/>
          <w:iCs/>
          <w:color w:val="000000" w:themeColor="text1"/>
          <w:sz w:val="20"/>
          <w:szCs w:val="20"/>
        </w:rPr>
        <w:t xml:space="preserve"> corriendo y evitar</w:t>
      </w:r>
      <w:r>
        <w:rPr>
          <w:rFonts w:ascii="Verdana" w:eastAsia="Century Gothic" w:hAnsi="Verdana" w:cs="Century Gothic"/>
          <w:i/>
          <w:iCs/>
          <w:color w:val="000000" w:themeColor="text1"/>
          <w:sz w:val="20"/>
          <w:szCs w:val="20"/>
        </w:rPr>
        <w:t xml:space="preserve"> </w:t>
      </w:r>
      <w:r w:rsidRPr="00096CB6">
        <w:rPr>
          <w:rFonts w:ascii="Verdana" w:eastAsia="Century Gothic" w:hAnsi="Verdana" w:cs="Century Gothic"/>
          <w:i/>
          <w:iCs/>
          <w:color w:val="000000" w:themeColor="text1"/>
          <w:sz w:val="20"/>
          <w:szCs w:val="20"/>
        </w:rPr>
        <w:t>algún desacierto administrativo</w:t>
      </w:r>
      <w:r w:rsidRPr="00096CB6">
        <w:rPr>
          <w:rFonts w:ascii="Verdana" w:eastAsia="Century Gothic" w:hAnsi="Verdana" w:cs="Century Gothic"/>
          <w:i/>
          <w:iCs/>
          <w:color w:val="000000" w:themeColor="text1"/>
          <w:sz w:val="20"/>
          <w:szCs w:val="20"/>
          <w:lang w:val="es-ES"/>
        </w:rPr>
        <w:t xml:space="preserve"> </w:t>
      </w:r>
      <w:r w:rsidR="005B261C">
        <w:rPr>
          <w:rFonts w:ascii="Verdana" w:eastAsia="Century Gothic" w:hAnsi="Verdana" w:cs="Century Gothic"/>
          <w:i/>
          <w:iCs/>
          <w:color w:val="000000" w:themeColor="text1"/>
          <w:sz w:val="20"/>
          <w:szCs w:val="20"/>
          <w:lang w:val="es-ES"/>
        </w:rPr>
        <w:t>“</w:t>
      </w:r>
    </w:p>
    <w:p w14:paraId="122737F6" w14:textId="77777777" w:rsidR="005B261C" w:rsidRPr="00680464" w:rsidRDefault="005B261C" w:rsidP="005B261C">
      <w:pPr>
        <w:spacing w:after="0" w:line="240" w:lineRule="auto"/>
        <w:ind w:left="709" w:right="709"/>
        <w:jc w:val="both"/>
        <w:rPr>
          <w:rFonts w:ascii="Verdana" w:eastAsia="Century Gothic" w:hAnsi="Verdana" w:cs="Century Gothic"/>
          <w:i/>
          <w:iCs/>
          <w:color w:val="000000" w:themeColor="text1"/>
          <w:sz w:val="20"/>
          <w:szCs w:val="20"/>
          <w:lang w:val="es-ES"/>
        </w:rPr>
      </w:pPr>
    </w:p>
    <w:p w14:paraId="059A9D4E" w14:textId="77777777" w:rsidR="005B261C" w:rsidRPr="00115E3D" w:rsidRDefault="005B261C" w:rsidP="005B261C">
      <w:pPr>
        <w:spacing w:after="120" w:line="276" w:lineRule="auto"/>
        <w:ind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w:t>
      </w:r>
      <w:r w:rsidRPr="00115E3D">
        <w:rPr>
          <w:rFonts w:ascii="Verdana" w:eastAsia="Calibri" w:hAnsi="Verdana" w:cs="Arial"/>
          <w:color w:val="000000" w:themeColor="text1"/>
          <w:lang w:val="es-ES" w:eastAsia="es-ES"/>
        </w:rPr>
        <w:lastRenderedPageBreak/>
        <w:t xml:space="preserve">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17917103" w14:textId="610BBADD"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009E7E8C">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41A931FE" w14:textId="77777777" w:rsidR="005B261C" w:rsidRPr="00115E3D" w:rsidRDefault="005B261C" w:rsidP="005B261C">
      <w:pPr>
        <w:spacing w:after="0" w:line="276" w:lineRule="auto"/>
        <w:ind w:firstLine="709"/>
        <w:jc w:val="both"/>
        <w:rPr>
          <w:rFonts w:ascii="Verdana" w:eastAsia="Calibri" w:hAnsi="Verdana" w:cs="Arial"/>
          <w:color w:val="000000" w:themeColor="text1"/>
          <w:lang w:val="es-ES" w:eastAsia="es-ES"/>
        </w:rPr>
      </w:pPr>
    </w:p>
    <w:p w14:paraId="12EFB61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11286705" w14:textId="77777777" w:rsidR="005B261C" w:rsidRPr="00115E3D" w:rsidRDefault="005B261C" w:rsidP="005B261C">
      <w:pPr>
        <w:tabs>
          <w:tab w:val="left" w:pos="426"/>
        </w:tabs>
        <w:spacing w:after="0" w:line="276" w:lineRule="auto"/>
        <w:jc w:val="both"/>
        <w:rPr>
          <w:rFonts w:ascii="Verdana" w:eastAsia="Century Gothic" w:hAnsi="Verdana" w:cs="Century Gothic"/>
          <w:color w:val="000000" w:themeColor="text1"/>
          <w:lang w:val="es-ES"/>
        </w:rPr>
      </w:pPr>
    </w:p>
    <w:p w14:paraId="5604F12C" w14:textId="0A3D7956" w:rsidR="005B261C" w:rsidRPr="00115E3D" w:rsidRDefault="005B261C" w:rsidP="005B261C">
      <w:pPr>
        <w:spacing w:after="0" w:line="276" w:lineRule="auto"/>
        <w:jc w:val="both"/>
        <w:rPr>
          <w:rFonts w:ascii="Verdana" w:eastAsia="Century Gothic" w:hAnsi="Verdana" w:cs="Century Gothic"/>
          <w:color w:val="000000" w:themeColor="text1"/>
        </w:rPr>
      </w:pPr>
      <w:r w:rsidRPr="00115E3D">
        <w:rPr>
          <w:rFonts w:ascii="Verdana" w:eastAsia="Century Gothic" w:hAnsi="Verdana" w:cs="Century Gothic"/>
          <w:color w:val="000000" w:themeColor="text1"/>
        </w:rPr>
        <w:t xml:space="preserve">De acuerdo con el contenido de su solicitud, esta Agencia resolverá el </w:t>
      </w:r>
      <w:r w:rsidR="009E7E8C" w:rsidRPr="00115E3D">
        <w:rPr>
          <w:rFonts w:ascii="Verdana" w:eastAsia="Century Gothic" w:hAnsi="Verdana" w:cs="Century Gothic"/>
          <w:color w:val="000000" w:themeColor="text1"/>
        </w:rPr>
        <w:t>siguiente problema</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 xml:space="preserve"> </w:t>
      </w:r>
      <w:r w:rsidR="009E7E8C" w:rsidRPr="009E7E8C">
        <w:rPr>
          <w:rFonts w:ascii="Verdana" w:eastAsia="Century Gothic" w:hAnsi="Verdana" w:cs="Century Gothic"/>
          <w:color w:val="000000" w:themeColor="text1"/>
        </w:rPr>
        <w:t xml:space="preserve">¿Pueden </w:t>
      </w:r>
      <w:r w:rsidR="009E7E8C">
        <w:rPr>
          <w:rFonts w:ascii="Verdana" w:eastAsia="Century Gothic" w:hAnsi="Verdana" w:cs="Century Gothic"/>
          <w:color w:val="000000" w:themeColor="text1"/>
        </w:rPr>
        <w:t>un municipio</w:t>
      </w:r>
      <w:r w:rsidR="009E7E8C" w:rsidRPr="009E7E8C">
        <w:rPr>
          <w:rFonts w:ascii="Verdana" w:eastAsia="Century Gothic" w:hAnsi="Verdana" w:cs="Century Gothic"/>
          <w:color w:val="000000" w:themeColor="text1"/>
        </w:rPr>
        <w:t xml:space="preserve"> suscribir convenios con entidades del orden nacional durante el calendario electoral vigente por las elecciones atípicas</w:t>
      </w:r>
      <w:r w:rsidR="00184FD0" w:rsidRPr="0084038E">
        <w:rPr>
          <w:rFonts w:ascii="Verdana" w:eastAsia="Century Gothic" w:hAnsi="Verdana" w:cs="Century Gothic"/>
          <w:color w:val="000000" w:themeColor="text1"/>
        </w:rPr>
        <w:t>?</w:t>
      </w:r>
      <w:r w:rsidR="00184FD0">
        <w:rPr>
          <w:rFonts w:ascii="Verdana" w:eastAsia="Century Gothic" w:hAnsi="Verdana" w:cs="Century Gothic"/>
          <w:color w:val="000000" w:themeColor="text1"/>
        </w:rPr>
        <w:t xml:space="preserve">  </w:t>
      </w:r>
    </w:p>
    <w:p w14:paraId="16A51455" w14:textId="77777777" w:rsidR="005B261C" w:rsidRPr="00115E3D" w:rsidRDefault="005B261C" w:rsidP="005B261C">
      <w:pPr>
        <w:spacing w:after="0" w:line="276" w:lineRule="auto"/>
        <w:jc w:val="both"/>
        <w:rPr>
          <w:rFonts w:ascii="Verdana" w:eastAsia="Calibri" w:hAnsi="Verdana" w:cs="Arial"/>
          <w:color w:val="000000" w:themeColor="text1"/>
          <w:lang w:val="es-ES"/>
        </w:rPr>
      </w:pPr>
    </w:p>
    <w:p w14:paraId="5609B135"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4CE01E29"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B261C" w:rsidRPr="00115E3D" w14:paraId="704DD47E" w14:textId="77777777" w:rsidTr="00FC056B">
        <w:trPr>
          <w:trHeight w:val="1908"/>
        </w:trPr>
        <w:tc>
          <w:tcPr>
            <w:tcW w:w="8828" w:type="dxa"/>
          </w:tcPr>
          <w:p w14:paraId="51FF6FB7" w14:textId="1A5D98EB" w:rsidR="00F65B8A" w:rsidRDefault="009E7E8C" w:rsidP="006F1A38">
            <w:pPr>
              <w:spacing w:after="120" w:line="276" w:lineRule="auto"/>
              <w:ind w:firstLine="709"/>
              <w:jc w:val="both"/>
              <w:rPr>
                <w:rFonts w:ascii="Verdana" w:eastAsia="Calibri" w:hAnsi="Verdana" w:cs="Arial"/>
              </w:rPr>
            </w:pPr>
            <w:r>
              <w:rPr>
                <w:rFonts w:ascii="Verdana" w:eastAsia="Calibri" w:hAnsi="Verdana" w:cs="Arial"/>
              </w:rPr>
              <w:t xml:space="preserve"> </w:t>
            </w:r>
            <w:r w:rsidR="000C5BB0" w:rsidRPr="000C5BB0">
              <w:rPr>
                <w:rFonts w:ascii="Verdana" w:eastAsia="Calibri" w:hAnsi="Verdana" w:cs="Arial"/>
              </w:rPr>
              <w:t xml:space="preserve">La Ley de Garantías Electorales (Ley 996 de 2005) establece restricciones en la contratación pública con el fin de asegurar la transparencia y la equidad del proceso electoral, evitando el uso indebido de los recursos públicos para fines proselitistas. Estas restricciones se aplican de manera distinta según el tipo de elecciones y las fechas en las que se desarrollen. </w:t>
            </w:r>
          </w:p>
          <w:p w14:paraId="25707B09" w14:textId="7CACFDFD" w:rsidR="00B108F3" w:rsidRDefault="000C5BB0" w:rsidP="00B108F3">
            <w:pPr>
              <w:spacing w:after="120" w:line="276" w:lineRule="auto"/>
              <w:ind w:firstLine="709"/>
              <w:jc w:val="both"/>
              <w:rPr>
                <w:rFonts w:ascii="Verdana" w:eastAsia="Calibri" w:hAnsi="Verdana" w:cs="Arial"/>
              </w:rPr>
            </w:pPr>
            <w:r w:rsidRPr="000C5BB0">
              <w:rPr>
                <w:rFonts w:ascii="Verdana" w:eastAsia="Calibri" w:hAnsi="Verdana" w:cs="Arial"/>
              </w:rPr>
              <w:t xml:space="preserve">Para las elecciones legislativas (Congreso), programadas para el 8 de marzo de 2026, las restricciones </w:t>
            </w:r>
            <w:r w:rsidR="00F65B8A" w:rsidRPr="000C5BB0">
              <w:rPr>
                <w:rFonts w:ascii="Verdana" w:eastAsia="Calibri" w:hAnsi="Verdana" w:cs="Arial"/>
              </w:rPr>
              <w:t>inicia</w:t>
            </w:r>
            <w:r w:rsidR="00F65B8A">
              <w:rPr>
                <w:rFonts w:ascii="Verdana" w:eastAsia="Calibri" w:hAnsi="Verdana" w:cs="Arial"/>
              </w:rPr>
              <w:t>rían</w:t>
            </w:r>
            <w:r w:rsidRPr="000C5BB0">
              <w:rPr>
                <w:rFonts w:ascii="Verdana" w:eastAsia="Calibri" w:hAnsi="Verdana" w:cs="Arial"/>
              </w:rPr>
              <w:t xml:space="preserve"> el 8 de noviembre de 2025, es decir, 4 meses antes de la fecha de las elecciones</w:t>
            </w:r>
            <w:r w:rsidR="00AF71F4">
              <w:rPr>
                <w:rFonts w:ascii="Verdana" w:eastAsia="Calibri" w:hAnsi="Verdana" w:cs="Arial"/>
              </w:rPr>
              <w:t xml:space="preserve">, </w:t>
            </w:r>
            <w:r w:rsidR="00F65B8A">
              <w:rPr>
                <w:rFonts w:ascii="Verdana" w:eastAsia="Calibri" w:hAnsi="Verdana" w:cs="Arial"/>
              </w:rPr>
              <w:t>en este caso las restricciones que se aplican son las del artículo 38 de la Ley 996 de 2005</w:t>
            </w:r>
            <w:r w:rsidR="00B108F3">
              <w:rPr>
                <w:rFonts w:ascii="Verdana" w:eastAsia="Calibri" w:hAnsi="Verdana" w:cs="Arial"/>
              </w:rPr>
              <w:t xml:space="preserve">, </w:t>
            </w:r>
            <w:r w:rsidR="00B108F3" w:rsidRPr="00461891">
              <w:rPr>
                <w:rFonts w:ascii="Verdana" w:eastAsia="Calibri" w:hAnsi="Verdana" w:cs="Arial"/>
              </w:rPr>
              <w:t>que prohíbe a los gobernadores, alcaldes municipales o distritales, secretarios, gerentes y directores de entidades descentralizadas del orden municipal, departamental o distrital</w:t>
            </w:r>
            <w:r w:rsidR="00B108F3">
              <w:rPr>
                <w:rFonts w:ascii="Verdana" w:eastAsia="Calibri" w:hAnsi="Verdana" w:cs="Arial"/>
              </w:rPr>
              <w:t xml:space="preserve"> </w:t>
            </w:r>
            <w:r w:rsidR="00B108F3" w:rsidRPr="00461891">
              <w:rPr>
                <w:rFonts w:ascii="Verdana" w:eastAsia="Calibri" w:hAnsi="Verdana" w:cs="Arial"/>
                <w:lang w:val="es-MX"/>
              </w:rPr>
              <w:t xml:space="preserve">celebrar convenios interadministrativos para la ejecución de </w:t>
            </w:r>
            <w:r w:rsidR="00B108F3" w:rsidRPr="00461891">
              <w:rPr>
                <w:rFonts w:ascii="Verdana" w:eastAsia="Calibri" w:hAnsi="Verdana" w:cs="Arial"/>
                <w:lang w:val="es-MX"/>
              </w:rPr>
              <w:lastRenderedPageBreak/>
              <w:t>recursos públicos, ni participar, promover y destinar recursos públicos de las entidades a su cargo, como tampoco de las que participen como miembros de sus juntas directivas, en o para reuniones de carácter proselitista</w:t>
            </w:r>
            <w:r w:rsidRPr="000C5BB0">
              <w:rPr>
                <w:rFonts w:ascii="Verdana" w:eastAsia="Calibri" w:hAnsi="Verdana" w:cs="Arial"/>
              </w:rPr>
              <w:t>.</w:t>
            </w:r>
          </w:p>
          <w:p w14:paraId="4CF1F7EA" w14:textId="3DCD6F68" w:rsidR="005B261C" w:rsidRDefault="00B108F3" w:rsidP="00B108F3">
            <w:pPr>
              <w:spacing w:after="120" w:line="276" w:lineRule="auto"/>
              <w:ind w:firstLine="709"/>
              <w:jc w:val="both"/>
              <w:rPr>
                <w:rFonts w:ascii="Verdana" w:eastAsia="Calibri" w:hAnsi="Verdana" w:cs="Arial"/>
              </w:rPr>
            </w:pPr>
            <w:r>
              <w:rPr>
                <w:rFonts w:ascii="Verdana" w:eastAsia="Calibri" w:hAnsi="Verdana" w:cs="Arial"/>
              </w:rPr>
              <w:t>P</w:t>
            </w:r>
            <w:r w:rsidR="000C5BB0" w:rsidRPr="000C5BB0">
              <w:rPr>
                <w:rFonts w:ascii="Verdana" w:eastAsia="Calibri" w:hAnsi="Verdana" w:cs="Arial"/>
              </w:rPr>
              <w:t xml:space="preserve">ara las elecciones presidenciales, </w:t>
            </w:r>
            <w:r>
              <w:rPr>
                <w:rFonts w:ascii="Verdana" w:eastAsia="Calibri" w:hAnsi="Verdana" w:cs="Arial"/>
              </w:rPr>
              <w:t xml:space="preserve">las restricciones a aplicar son las del </w:t>
            </w:r>
            <w:r w:rsidR="00D211A0">
              <w:rPr>
                <w:rFonts w:ascii="Verdana" w:eastAsia="Calibri" w:hAnsi="Verdana" w:cs="Arial"/>
              </w:rPr>
              <w:t>artículo</w:t>
            </w:r>
            <w:r>
              <w:rPr>
                <w:rFonts w:ascii="Verdana" w:eastAsia="Calibri" w:hAnsi="Verdana" w:cs="Arial"/>
              </w:rPr>
              <w:t xml:space="preserve"> </w:t>
            </w:r>
            <w:r w:rsidR="00D211A0">
              <w:rPr>
                <w:rFonts w:ascii="Verdana" w:eastAsia="Calibri" w:hAnsi="Verdana" w:cs="Arial"/>
              </w:rPr>
              <w:t>33 de la Ley 996 de 2005,</w:t>
            </w:r>
            <w:r w:rsidR="00B0078D">
              <w:rPr>
                <w:rFonts w:ascii="Verdana" w:eastAsia="Calibri" w:hAnsi="Verdana" w:cs="Arial"/>
              </w:rPr>
              <w:t xml:space="preserve"> por lo </w:t>
            </w:r>
            <w:r w:rsidR="00B2184C">
              <w:rPr>
                <w:rFonts w:ascii="Verdana" w:eastAsia="Calibri" w:hAnsi="Verdana" w:cs="Arial"/>
              </w:rPr>
              <w:t>cual,</w:t>
            </w:r>
            <w:r w:rsidR="00B0078D">
              <w:rPr>
                <w:rFonts w:ascii="Verdana" w:eastAsia="Calibri" w:hAnsi="Verdana" w:cs="Arial"/>
              </w:rPr>
              <w:t xml:space="preserve"> dentro de los 4 meses anteriores a la</w:t>
            </w:r>
            <w:r w:rsidR="00B2184C">
              <w:rPr>
                <w:rFonts w:ascii="Verdana" w:eastAsia="Calibri" w:hAnsi="Verdana" w:cs="Arial"/>
              </w:rPr>
              <w:t xml:space="preserve"> elección presidencial, </w:t>
            </w:r>
            <w:r w:rsidR="009413B7">
              <w:rPr>
                <w:rFonts w:ascii="Verdana" w:eastAsia="Calibri" w:hAnsi="Verdana" w:cs="Arial"/>
              </w:rPr>
              <w:t xml:space="preserve">es decir desde el 31 de enero de 2026, </w:t>
            </w:r>
            <w:r w:rsidR="00FE001E">
              <w:rPr>
                <w:rFonts w:ascii="Verdana" w:eastAsia="Calibri" w:hAnsi="Verdana" w:cs="Arial"/>
              </w:rPr>
              <w:t xml:space="preserve">y hasta </w:t>
            </w:r>
            <w:r w:rsidR="009413B7">
              <w:rPr>
                <w:rFonts w:ascii="Verdana" w:eastAsia="Calibri" w:hAnsi="Verdana" w:cs="Arial"/>
              </w:rPr>
              <w:t>el momento de la celebración de</w:t>
            </w:r>
            <w:r w:rsidR="00B2184C">
              <w:rPr>
                <w:rFonts w:ascii="Verdana" w:eastAsia="Calibri" w:hAnsi="Verdana" w:cs="Arial"/>
              </w:rPr>
              <w:t xml:space="preserve"> la segunda vuelta</w:t>
            </w:r>
            <w:r w:rsidR="009413B7">
              <w:rPr>
                <w:rFonts w:ascii="Verdana" w:eastAsia="Calibri" w:hAnsi="Verdana" w:cs="Arial"/>
              </w:rPr>
              <w:t>,</w:t>
            </w:r>
            <w:r w:rsidR="00B2184C">
              <w:rPr>
                <w:rFonts w:ascii="Verdana" w:eastAsia="Calibri" w:hAnsi="Verdana" w:cs="Arial"/>
              </w:rPr>
              <w:t xml:space="preserve"> si fuere el caso</w:t>
            </w:r>
            <w:r w:rsidR="00B0078D">
              <w:rPr>
                <w:rFonts w:ascii="Verdana" w:eastAsia="Calibri" w:hAnsi="Verdana" w:cs="Arial"/>
              </w:rPr>
              <w:t>,</w:t>
            </w:r>
            <w:r w:rsidR="008772F9">
              <w:rPr>
                <w:rFonts w:ascii="Verdana" w:eastAsia="Calibri" w:hAnsi="Verdana" w:cs="Arial"/>
              </w:rPr>
              <w:t xml:space="preserve"> q</w:t>
            </w:r>
            <w:r w:rsidR="008772F9" w:rsidRPr="008772F9">
              <w:rPr>
                <w:rFonts w:ascii="Verdana" w:eastAsia="Calibri" w:hAnsi="Verdana" w:cs="Arial"/>
              </w:rPr>
              <w:t>ueda prohibida la contratación directa por parte de todos los entes del Estado</w:t>
            </w:r>
            <w:r w:rsidR="00DC2265">
              <w:rPr>
                <w:rFonts w:ascii="Verdana" w:eastAsia="Calibri" w:hAnsi="Verdana" w:cs="Arial"/>
              </w:rPr>
              <w:t>, dentro de lo cual se incluye los contratos de prestación de servicios profesionales y de apoyo a la gestión</w:t>
            </w:r>
            <w:r w:rsidR="008772F9" w:rsidRPr="008772F9">
              <w:rPr>
                <w:rFonts w:ascii="Verdana" w:eastAsia="Calibri" w:hAnsi="Verdana" w:cs="Arial"/>
              </w:rPr>
              <w:t>.</w:t>
            </w:r>
          </w:p>
          <w:p w14:paraId="34771246" w14:textId="442C8B5A" w:rsidR="00AB5151" w:rsidRPr="00461891" w:rsidRDefault="00AD374D" w:rsidP="00AB5151">
            <w:pPr>
              <w:spacing w:after="120" w:line="276" w:lineRule="auto"/>
              <w:jc w:val="both"/>
              <w:rPr>
                <w:rFonts w:ascii="Verdana" w:eastAsia="Calibri" w:hAnsi="Verdana" w:cs="Arial"/>
              </w:rPr>
            </w:pPr>
            <w:r>
              <w:rPr>
                <w:rFonts w:ascii="Verdana" w:eastAsia="Calibri" w:hAnsi="Verdana" w:cs="Arial"/>
              </w:rPr>
              <w:t xml:space="preserve"> </w:t>
            </w:r>
            <w:r w:rsidR="00AB5151">
              <w:rPr>
                <w:rFonts w:ascii="Verdana" w:eastAsia="Calibri" w:hAnsi="Verdana" w:cs="Arial"/>
              </w:rPr>
              <w:t xml:space="preserve">         Ahora bien, </w:t>
            </w:r>
            <w:r w:rsidR="00AB5151" w:rsidRPr="00461891">
              <w:rPr>
                <w:rFonts w:ascii="Verdana" w:eastAsia="Arial" w:hAnsi="Verdana" w:cs="Arial"/>
                <w:lang w:val="es-ES" w:eastAsia="es-ES" w:bidi="es-ES"/>
              </w:rPr>
              <w:t xml:space="preserve">en relación con el problema jurídico planteado se tiene que, tratándose de elecciones en general, excluyendo las correspondientes al </w:t>
            </w:r>
            <w:proofErr w:type="gramStart"/>
            <w:r w:rsidR="00AB5151" w:rsidRPr="00461891">
              <w:rPr>
                <w:rFonts w:ascii="Verdana" w:eastAsia="Arial" w:hAnsi="Verdana" w:cs="Arial"/>
                <w:lang w:val="es-ES" w:eastAsia="es-ES" w:bidi="es-ES"/>
              </w:rPr>
              <w:t>Presidente</w:t>
            </w:r>
            <w:proofErr w:type="gramEnd"/>
            <w:r w:rsidR="00AB5151"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 los </w:t>
            </w:r>
            <w:r w:rsidR="00AB5151" w:rsidRPr="00461891">
              <w:rPr>
                <w:rFonts w:ascii="Verdana" w:eastAsia="Calibri" w:hAnsi="Verdana" w:cs="Arial"/>
              </w:rPr>
              <w:t xml:space="preserve">Gobernadores, </w:t>
            </w:r>
            <w:proofErr w:type="gramStart"/>
            <w:r w:rsidR="00AB5151" w:rsidRPr="00461891">
              <w:rPr>
                <w:rFonts w:ascii="Verdana" w:eastAsia="Calibri" w:hAnsi="Verdana" w:cs="Arial"/>
              </w:rPr>
              <w:t>Alcaldes</w:t>
            </w:r>
            <w:proofErr w:type="gramEnd"/>
            <w:r w:rsidR="00AB5151" w:rsidRPr="00461891">
              <w:rPr>
                <w:rFonts w:ascii="Verdana" w:eastAsia="Calibri" w:hAnsi="Verdana" w:cs="Arial"/>
              </w:rPr>
              <w:t xml:space="preserve"> Municipales y/o Distritales, </w:t>
            </w:r>
            <w:proofErr w:type="gramStart"/>
            <w:r w:rsidR="00AB5151" w:rsidRPr="00461891">
              <w:rPr>
                <w:rFonts w:ascii="Verdana" w:eastAsia="Calibri" w:hAnsi="Verdana" w:cs="Arial"/>
              </w:rPr>
              <w:t>Secretarios</w:t>
            </w:r>
            <w:proofErr w:type="gramEnd"/>
            <w:r w:rsidR="00AB5151"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Esta prohibición aplica incluso cuando se trate de elecciones atípicas de alcaldes o gobernadores, esto es, elecciones que se realicen por fuera del calendario ordinario electoral. </w:t>
            </w:r>
          </w:p>
          <w:p w14:paraId="5704D07C" w14:textId="77777777" w:rsidR="00AB5151" w:rsidRPr="00461891" w:rsidRDefault="00AB5151" w:rsidP="00AB5151">
            <w:pPr>
              <w:spacing w:after="120" w:line="276" w:lineRule="auto"/>
              <w:ind w:firstLine="709"/>
              <w:jc w:val="both"/>
              <w:rPr>
                <w:rFonts w:ascii="Verdana" w:eastAsia="Calibri" w:hAnsi="Verdana" w:cs="Arial"/>
              </w:rPr>
            </w:pPr>
            <w:r w:rsidRPr="00461891">
              <w:rPr>
                <w:rFonts w:ascii="Verdana" w:eastAsia="Calibri" w:hAnsi="Verdana" w:cs="Arial"/>
              </w:rPr>
              <w:t>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más para la terminación de dicho periodo”</w:t>
            </w:r>
            <w:r w:rsidRPr="00461891">
              <w:rPr>
                <w:rFonts w:ascii="Verdana" w:eastAsia="Calibri" w:hAnsi="Verdana" w:cs="Arial"/>
                <w:vertAlign w:val="superscript"/>
              </w:rPr>
              <w:footnoteReference w:id="2"/>
            </w:r>
            <w:r w:rsidRPr="00461891">
              <w:rPr>
                <w:rFonts w:ascii="Verdana" w:eastAsia="Calibri" w:hAnsi="Verdana" w:cs="Arial"/>
              </w:rPr>
              <w:t xml:space="preserve">. Su convocatoria puede derivar de diferentes situaciones como la muerte del gobernador o el alcalde, la renuncia aceptada, incapacidad física permanente, la declaratoria de nulidad por su elección, la interdicción judicial, la destitución, la revocatoria del </w:t>
            </w:r>
            <w:r w:rsidRPr="00461891">
              <w:rPr>
                <w:rFonts w:ascii="Verdana" w:eastAsia="Calibri" w:hAnsi="Verdana" w:cs="Arial"/>
              </w:rPr>
              <w:lastRenderedPageBreak/>
              <w:t>mandato y la incapacidad por enfermedad superior a ciento ochenta (180) días</w:t>
            </w:r>
            <w:r w:rsidRPr="00461891">
              <w:rPr>
                <w:rFonts w:ascii="Verdana" w:eastAsia="Calibri" w:hAnsi="Verdana" w:cs="Arial"/>
                <w:vertAlign w:val="superscript"/>
              </w:rPr>
              <w:footnoteReference w:id="3"/>
            </w:r>
            <w:r w:rsidRPr="00461891">
              <w:rPr>
                <w:rFonts w:ascii="Verdana" w:eastAsia="Calibri" w:hAnsi="Verdana" w:cs="Arial"/>
              </w:rPr>
              <w:t>.</w:t>
            </w:r>
          </w:p>
          <w:p w14:paraId="6EBF02B4" w14:textId="77777777" w:rsidR="00AB5151" w:rsidRPr="00461891" w:rsidRDefault="00AB5151" w:rsidP="00AB5151">
            <w:pPr>
              <w:spacing w:after="120" w:line="276" w:lineRule="auto"/>
              <w:ind w:firstLine="709"/>
              <w:jc w:val="both"/>
              <w:rPr>
                <w:rFonts w:ascii="Verdana" w:eastAsia="Calibri" w:hAnsi="Verdana" w:cs="Arial"/>
              </w:rPr>
            </w:pPr>
            <w:r w:rsidRPr="00461891">
              <w:rPr>
                <w:rFonts w:ascii="Verdana" w:eastAsia="Calibri" w:hAnsi="Verdana" w:cs="Arial"/>
              </w:rPr>
              <w:t xml:space="preserve">En tal sentido, aunque las elecciones atípicas se efectúan fuera de las fechas establecidas en la Ley, por circunstancias excepcionales que requieren 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p>
          <w:p w14:paraId="79C0B0DC" w14:textId="1724F5E1" w:rsidR="00AB5151" w:rsidRPr="000E7DFD" w:rsidRDefault="00AB5151" w:rsidP="006F1A38">
            <w:pPr>
              <w:spacing w:after="120" w:line="276" w:lineRule="auto"/>
              <w:ind w:firstLine="709"/>
              <w:jc w:val="both"/>
              <w:rPr>
                <w:rFonts w:ascii="Verdana" w:eastAsia="Calibri" w:hAnsi="Verdana" w:cs="Arial"/>
              </w:rPr>
            </w:pPr>
            <w:r w:rsidRPr="00DE5508">
              <w:rPr>
                <w:rFonts w:ascii="Verdana" w:hAnsi="Verdana"/>
              </w:rPr>
              <w:t>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74DDC741" w14:textId="77777777" w:rsidR="005B261C" w:rsidRPr="00115E3D" w:rsidRDefault="005B261C" w:rsidP="005B261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B31EE96"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459AF8F0" w14:textId="77777777" w:rsidR="005B261C" w:rsidRPr="00115E3D" w:rsidRDefault="005B261C" w:rsidP="005B261C">
      <w:pPr>
        <w:spacing w:after="0" w:line="276" w:lineRule="auto"/>
        <w:jc w:val="both"/>
        <w:rPr>
          <w:rFonts w:ascii="Verdana" w:eastAsia="Calibri" w:hAnsi="Verdana" w:cs="Arial"/>
          <w:color w:val="000000" w:themeColor="text1"/>
          <w:lang w:val="es-ES"/>
        </w:rPr>
      </w:pPr>
    </w:p>
    <w:p w14:paraId="654CE02F" w14:textId="77777777" w:rsidR="005B261C" w:rsidRDefault="005B261C" w:rsidP="005B261C">
      <w:pPr>
        <w:spacing w:after="0" w:line="276" w:lineRule="auto"/>
        <w:jc w:val="both"/>
        <w:rPr>
          <w:rFonts w:ascii="Verdana" w:eastAsia="Calibri" w:hAnsi="Verdana" w:cs="Arial"/>
          <w:color w:val="000000" w:themeColor="text1"/>
          <w:lang w:val="es-ES"/>
        </w:rPr>
      </w:pPr>
      <w:r w:rsidRPr="00115E3D">
        <w:rPr>
          <w:rFonts w:ascii="Verdana" w:eastAsia="Calibri" w:hAnsi="Verdana" w:cs="Arial"/>
          <w:color w:val="000000" w:themeColor="text1"/>
          <w:lang w:val="es-ES"/>
        </w:rPr>
        <w:t xml:space="preserve">Lo anterior se sustenta en las siguientes consideraciones: </w:t>
      </w:r>
    </w:p>
    <w:p w14:paraId="51415279" w14:textId="77777777" w:rsidR="005B261C" w:rsidRDefault="005B261C" w:rsidP="005B261C">
      <w:pPr>
        <w:spacing w:after="0" w:line="276" w:lineRule="auto"/>
        <w:jc w:val="both"/>
        <w:rPr>
          <w:rFonts w:ascii="Verdana" w:eastAsia="Calibri" w:hAnsi="Verdana" w:cs="Arial"/>
          <w:color w:val="000000" w:themeColor="text1"/>
          <w:lang w:val="es-ES"/>
        </w:rPr>
      </w:pPr>
    </w:p>
    <w:p w14:paraId="5205DF45" w14:textId="68393E74" w:rsidR="005B261C" w:rsidRPr="00461891" w:rsidRDefault="00AB5151" w:rsidP="005B261C">
      <w:pPr>
        <w:tabs>
          <w:tab w:val="left" w:pos="426"/>
        </w:tabs>
        <w:spacing w:after="120" w:line="276" w:lineRule="auto"/>
        <w:jc w:val="both"/>
        <w:rPr>
          <w:rFonts w:ascii="Verdana" w:eastAsia="Times New Roman" w:hAnsi="Verdana" w:cs="Arial"/>
          <w:lang w:eastAsia="es-CO"/>
        </w:rPr>
      </w:pPr>
      <w:r>
        <w:rPr>
          <w:rFonts w:ascii="Verdana" w:eastAsia="Calibri" w:hAnsi="Verdana" w:cs="Arial"/>
        </w:rPr>
        <w:tab/>
      </w:r>
      <w:r w:rsidR="005B261C" w:rsidRPr="00461891">
        <w:rPr>
          <w:rFonts w:ascii="Verdana" w:eastAsia="Calibri" w:hAnsi="Verdana" w:cs="Arial"/>
        </w:rPr>
        <w:t>El ordenamiento jurídico colombiano contempla previsiones claras para evitar la obtención de beneficios personales en asuntos propios de la administración pública</w:t>
      </w:r>
      <w:r w:rsidR="005B261C" w:rsidRPr="00461891">
        <w:rPr>
          <w:rFonts w:ascii="Verdana" w:eastAsia="Calibri" w:hAnsi="Verdana" w:cs="Arial"/>
          <w:i/>
        </w:rPr>
        <w:t xml:space="preserve">. </w:t>
      </w:r>
      <w:r w:rsidR="005B261C" w:rsidRPr="00461891">
        <w:rPr>
          <w:rFonts w:ascii="Verdana" w:eastAsia="Calibri" w:hAnsi="Verdana" w:cs="Arial"/>
        </w:rPr>
        <w:t>Por ejemplo, el artículo 127 de la Constitución Política establece una prohibición contractual a los servidores públicos y, en cuanto a aspectos políticos, consagra restricciones a ciertos empleados del Estado, incluso en época no electoral</w:t>
      </w:r>
      <w:r w:rsidR="005B261C" w:rsidRPr="00461891">
        <w:rPr>
          <w:vertAlign w:val="superscript"/>
        </w:rPr>
        <w:footnoteReference w:id="4"/>
      </w:r>
      <w:r w:rsidR="005B261C" w:rsidRPr="00461891">
        <w:rPr>
          <w:rFonts w:ascii="Verdana" w:eastAsia="Calibri" w:hAnsi="Verdana" w:cs="Arial"/>
        </w:rPr>
        <w:t xml:space="preserve">. </w:t>
      </w:r>
    </w:p>
    <w:p w14:paraId="465348CF" w14:textId="77777777" w:rsidR="005B261C" w:rsidRPr="00461891" w:rsidRDefault="005B261C" w:rsidP="005B261C">
      <w:pPr>
        <w:tabs>
          <w:tab w:val="left" w:pos="426"/>
        </w:tabs>
        <w:spacing w:after="120" w:line="276" w:lineRule="auto"/>
        <w:ind w:firstLine="709"/>
        <w:jc w:val="both"/>
        <w:rPr>
          <w:rFonts w:ascii="Verdana" w:eastAsia="Calibri" w:hAnsi="Verdana" w:cs="Arial"/>
          <w:lang w:val="es-ES_tradnl"/>
        </w:rPr>
      </w:pPr>
      <w:r w:rsidRPr="00461891">
        <w:rPr>
          <w:rFonts w:ascii="Verdana" w:eastAsia="Times New Roman" w:hAnsi="Verdana" w:cs="Arial"/>
          <w:lang w:eastAsia="es-CO"/>
        </w:rPr>
        <w:lastRenderedPageBreak/>
        <w:t>En el mismo sentido</w:t>
      </w:r>
      <w:r w:rsidRPr="00461891">
        <w:rPr>
          <w:rFonts w:ascii="Verdana" w:eastAsia="Times New Roman" w:hAnsi="Verdana" w:cs="Arial"/>
          <w:lang w:val="es-MX" w:eastAsia="es-CO"/>
        </w:rPr>
        <w:t xml:space="preserve">, </w:t>
      </w:r>
      <w:bookmarkStart w:id="4" w:name="_Hlk99576829"/>
      <w:r w:rsidRPr="00461891">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461891">
        <w:rPr>
          <w:rFonts w:ascii="Verdana" w:eastAsia="Times New Roman" w:hAnsi="Verdana" w:cs="Arial"/>
          <w:vertAlign w:val="superscript"/>
          <w:lang w:val="es-MX" w:eastAsia="es-CO"/>
        </w:rPr>
        <w:footnoteReference w:id="5"/>
      </w:r>
      <w:r w:rsidRPr="00461891">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461891">
        <w:rPr>
          <w:rFonts w:ascii="Verdana" w:eastAsia="Calibri" w:hAnsi="Verdana" w:cs="Arial"/>
          <w:lang w:val="es-ES_tradnl"/>
        </w:rPr>
        <w:t xml:space="preserve"> </w:t>
      </w:r>
      <w:bookmarkEnd w:id="4"/>
    </w:p>
    <w:p w14:paraId="041D18E0" w14:textId="77777777" w:rsidR="005B261C" w:rsidRPr="00461891" w:rsidRDefault="005B261C" w:rsidP="005B261C">
      <w:pPr>
        <w:tabs>
          <w:tab w:val="left" w:pos="426"/>
        </w:tabs>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6B4FFD86" w14:textId="77777777" w:rsidR="005B261C" w:rsidRPr="00461891" w:rsidRDefault="005B261C" w:rsidP="005B261C">
      <w:pPr>
        <w:spacing w:after="0" w:line="276" w:lineRule="auto"/>
        <w:ind w:right="709"/>
        <w:contextualSpacing/>
        <w:jc w:val="both"/>
        <w:rPr>
          <w:rFonts w:ascii="Verdana" w:eastAsia="Times New Roman" w:hAnsi="Verdana" w:cs="Arial"/>
          <w:lang w:val="es-ES" w:eastAsia="es-CO"/>
        </w:rPr>
      </w:pPr>
    </w:p>
    <w:p w14:paraId="76BDE7B3" w14:textId="77777777" w:rsidR="005B261C" w:rsidRPr="00461891" w:rsidRDefault="005B261C" w:rsidP="005B261C">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ES" w:eastAsia="es-CO"/>
        </w:rPr>
        <w:t xml:space="preserve">“[…] </w:t>
      </w:r>
      <w:r w:rsidRPr="00461891">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6E6EBF20" w14:textId="77777777" w:rsidR="005B261C" w:rsidRPr="00461891" w:rsidRDefault="005B261C" w:rsidP="005B261C">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 </w:t>
      </w:r>
    </w:p>
    <w:p w14:paraId="29A72DA1" w14:textId="77777777" w:rsidR="005B261C" w:rsidRPr="00461891" w:rsidRDefault="005B261C" w:rsidP="005B261C">
      <w:pPr>
        <w:spacing w:after="0" w:line="240" w:lineRule="auto"/>
        <w:ind w:right="709"/>
        <w:contextualSpacing/>
        <w:jc w:val="both"/>
        <w:rPr>
          <w:rFonts w:ascii="Verdana" w:eastAsia="Times New Roman" w:hAnsi="Verdana" w:cs="Arial"/>
          <w:sz w:val="20"/>
          <w:szCs w:val="20"/>
          <w:lang w:val="es-MX" w:eastAsia="es-CO"/>
        </w:rPr>
      </w:pPr>
    </w:p>
    <w:p w14:paraId="0D8E4ED6" w14:textId="77777777" w:rsidR="005B261C" w:rsidRPr="00461891" w:rsidRDefault="005B261C" w:rsidP="005B261C">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461891">
        <w:rPr>
          <w:rFonts w:ascii="Verdana" w:eastAsia="Calibri" w:hAnsi="Verdana" w:cs="Arial"/>
          <w:sz w:val="20"/>
          <w:szCs w:val="20"/>
          <w:vertAlign w:val="superscript"/>
          <w:lang w:val="es-MX"/>
        </w:rPr>
        <w:footnoteReference w:id="6"/>
      </w:r>
    </w:p>
    <w:p w14:paraId="277316F3" w14:textId="77777777" w:rsidR="005B261C" w:rsidRPr="00461891" w:rsidRDefault="005B261C" w:rsidP="005B261C">
      <w:pPr>
        <w:spacing w:after="0" w:line="276" w:lineRule="auto"/>
        <w:ind w:firstLine="709"/>
        <w:jc w:val="both"/>
        <w:rPr>
          <w:rFonts w:ascii="Verdana" w:eastAsia="Times New Roman" w:hAnsi="Verdana" w:cs="Arial"/>
          <w:lang w:val="es-MX" w:eastAsia="es-CO"/>
        </w:rPr>
      </w:pPr>
      <w:bookmarkStart w:id="5" w:name="_Hlk78818186"/>
    </w:p>
    <w:p w14:paraId="05442C64" w14:textId="77777777" w:rsidR="005B261C" w:rsidRPr="00461891" w:rsidRDefault="005B261C" w:rsidP="005B261C">
      <w:pPr>
        <w:spacing w:after="0" w:line="276" w:lineRule="auto"/>
        <w:ind w:firstLine="709"/>
        <w:jc w:val="both"/>
        <w:rPr>
          <w:rFonts w:ascii="Verdana" w:eastAsia="Times New Roman" w:hAnsi="Verdana" w:cs="Arial"/>
          <w:lang w:val="es-MX" w:eastAsia="es-CO"/>
        </w:rPr>
      </w:pPr>
      <w:r w:rsidRPr="00461891">
        <w:rPr>
          <w:rFonts w:ascii="Verdana" w:eastAsia="Times New Roman" w:hAnsi="Verdana" w:cs="Arial"/>
          <w:lang w:val="es-MX" w:eastAsia="es-CO"/>
        </w:rPr>
        <w:t xml:space="preserve">En este contexto, la Ley de Garantías Electorales establece el marco jurídico para el desarrollo de las elecciones, procurando condiciones de igualdad y transparencia para los aspirantes. Paralelamente, se incluyen restricciones en el actuar de los servidores públicos, evitando interferencias en la contienda electoral, así como la posible desviación de recursos públicos en aspiraciones </w:t>
      </w:r>
      <w:r w:rsidRPr="00461891">
        <w:rPr>
          <w:rFonts w:ascii="Verdana" w:eastAsia="Times New Roman" w:hAnsi="Verdana" w:cs="Arial"/>
          <w:lang w:val="es-MX" w:eastAsia="es-CO"/>
        </w:rPr>
        <w:lastRenderedPageBreak/>
        <w:t xml:space="preserve">electorales. </w:t>
      </w:r>
      <w:bookmarkEnd w:id="5"/>
      <w:r w:rsidRPr="00461891">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2367B014" w14:textId="77777777" w:rsidR="005B261C" w:rsidRPr="00461891" w:rsidRDefault="005B261C" w:rsidP="005B261C">
      <w:pPr>
        <w:spacing w:after="0" w:line="276" w:lineRule="auto"/>
        <w:ind w:firstLine="709"/>
        <w:jc w:val="both"/>
        <w:rPr>
          <w:rFonts w:ascii="Verdana" w:eastAsia="Times New Roman" w:hAnsi="Verdana" w:cs="Arial"/>
          <w:lang w:val="es-MX" w:eastAsia="es-CO"/>
        </w:rPr>
      </w:pPr>
    </w:p>
    <w:p w14:paraId="5BDAA823" w14:textId="77777777" w:rsidR="005B261C" w:rsidRPr="00461891" w:rsidRDefault="005B261C" w:rsidP="005B261C">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461891">
        <w:rPr>
          <w:rFonts w:ascii="Verdana" w:eastAsia="Times New Roman" w:hAnsi="Verdana" w:cs="Arial"/>
          <w:sz w:val="20"/>
          <w:szCs w:val="20"/>
          <w:lang w:val="es-MX" w:eastAsia="es-CO"/>
        </w:rPr>
        <w:t>legis</w:t>
      </w:r>
      <w:proofErr w:type="spellEnd"/>
      <w:r w:rsidRPr="00461891">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6E711B62" w14:textId="77777777" w:rsidR="005B261C" w:rsidRPr="00461891" w:rsidRDefault="005B261C" w:rsidP="005B261C">
      <w:pPr>
        <w:spacing w:after="0" w:line="240" w:lineRule="auto"/>
        <w:ind w:right="709"/>
        <w:contextualSpacing/>
        <w:jc w:val="both"/>
        <w:rPr>
          <w:rFonts w:ascii="Verdana" w:eastAsia="Times New Roman" w:hAnsi="Verdana" w:cs="Arial"/>
          <w:lang w:val="es-MX" w:eastAsia="es-CO"/>
        </w:rPr>
      </w:pPr>
    </w:p>
    <w:p w14:paraId="0434622F" w14:textId="77777777" w:rsidR="005B261C" w:rsidRPr="00461891" w:rsidRDefault="005B261C" w:rsidP="005B261C">
      <w:pPr>
        <w:spacing w:after="0" w:line="240" w:lineRule="auto"/>
        <w:ind w:left="709" w:right="709"/>
        <w:contextualSpacing/>
        <w:jc w:val="both"/>
        <w:rPr>
          <w:rFonts w:ascii="Verdana" w:eastAsia="Times New Roman" w:hAnsi="Verdana" w:cs="Arial"/>
          <w:sz w:val="20"/>
          <w:szCs w:val="20"/>
          <w:lang w:val="es-MX" w:eastAsia="es-CO"/>
        </w:rPr>
      </w:pPr>
      <w:r w:rsidRPr="00461891">
        <w:rPr>
          <w:rFonts w:ascii="Verdana" w:eastAsia="Times New Roman" w:hAnsi="Verdana" w:cs="Arial"/>
          <w:sz w:val="20"/>
          <w:szCs w:val="20"/>
          <w:lang w:val="es-MX" w:eastAsia="es-CO"/>
        </w:rPr>
        <w:t>La jurisprudencia de la Corte Constitucional</w:t>
      </w:r>
      <w:r w:rsidRPr="00461891">
        <w:rPr>
          <w:rFonts w:ascii="Verdana" w:eastAsia="Times New Roman" w:hAnsi="Verdana" w:cs="Arial"/>
          <w:sz w:val="20"/>
          <w:szCs w:val="20"/>
          <w:vertAlign w:val="superscript"/>
          <w:lang w:val="es-MX" w:eastAsia="es-CO"/>
        </w:rPr>
        <w:footnoteReference w:id="7"/>
      </w:r>
      <w:r w:rsidRPr="00461891">
        <w:rPr>
          <w:rFonts w:ascii="Verdana" w:eastAsia="Times New Roman" w:hAnsi="Verdana" w:cs="Arial"/>
          <w:sz w:val="20"/>
          <w:szCs w:val="20"/>
          <w:lang w:val="es-MX" w:eastAsia="es-CO"/>
        </w:rPr>
        <w:t> y del Consejo de Estado</w:t>
      </w:r>
      <w:r w:rsidRPr="00461891">
        <w:rPr>
          <w:rFonts w:ascii="Verdana" w:eastAsia="Times New Roman" w:hAnsi="Verdana" w:cs="Arial"/>
          <w:sz w:val="20"/>
          <w:szCs w:val="20"/>
          <w:vertAlign w:val="superscript"/>
          <w:lang w:val="es-MX" w:eastAsia="es-CO"/>
        </w:rPr>
        <w:footnoteReference w:id="8"/>
      </w:r>
      <w:r w:rsidRPr="00461891">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461891">
        <w:rPr>
          <w:rFonts w:ascii="Verdana" w:eastAsia="Times New Roman" w:hAnsi="Verdana" w:cs="Arial"/>
          <w:sz w:val="20"/>
          <w:szCs w:val="20"/>
          <w:vertAlign w:val="superscript"/>
          <w:lang w:val="es-MX" w:eastAsia="es-CO"/>
        </w:rPr>
        <w:footnoteReference w:id="9"/>
      </w:r>
      <w:r w:rsidRPr="00461891">
        <w:rPr>
          <w:rFonts w:ascii="Verdana" w:eastAsia="Times New Roman" w:hAnsi="Verdana" w:cs="Arial"/>
          <w:sz w:val="20"/>
          <w:szCs w:val="20"/>
          <w:lang w:val="es-MX" w:eastAsia="es-CO"/>
        </w:rPr>
        <w:t>.</w:t>
      </w:r>
    </w:p>
    <w:p w14:paraId="68A767FC" w14:textId="77777777" w:rsidR="005B261C" w:rsidRPr="00461891" w:rsidRDefault="005B261C" w:rsidP="005B261C">
      <w:pPr>
        <w:spacing w:after="0" w:line="276" w:lineRule="auto"/>
        <w:jc w:val="both"/>
        <w:rPr>
          <w:rFonts w:ascii="Verdana" w:eastAsia="Calibri" w:hAnsi="Verdana" w:cs="Arial"/>
          <w:bCs/>
          <w:lang w:val="es-ES_tradnl"/>
        </w:rPr>
      </w:pPr>
    </w:p>
    <w:p w14:paraId="794D1040" w14:textId="77777777" w:rsidR="005B261C" w:rsidRPr="00461891" w:rsidRDefault="005B261C" w:rsidP="005B261C">
      <w:pPr>
        <w:spacing w:after="120" w:line="276" w:lineRule="auto"/>
        <w:ind w:firstLine="709"/>
        <w:jc w:val="both"/>
        <w:rPr>
          <w:rFonts w:ascii="Verdana" w:eastAsia="Arial" w:hAnsi="Verdana" w:cs="Arial"/>
          <w:lang w:val="es-ES" w:eastAsia="es-ES" w:bidi="es-ES"/>
        </w:rPr>
      </w:pPr>
      <w:r w:rsidRPr="00461891">
        <w:rPr>
          <w:rFonts w:ascii="Verdana" w:eastAsia="Times New Roman" w:hAnsi="Verdana" w:cs="Arial"/>
          <w:lang w:val="es-MX" w:eastAsia="es-CO"/>
        </w:rPr>
        <w:t>De</w:t>
      </w:r>
      <w:r w:rsidRPr="00461891">
        <w:rPr>
          <w:rFonts w:ascii="Verdana" w:eastAsia="Arial" w:hAnsi="Verdana" w:cs="Arial"/>
          <w:lang w:val="es-ES" w:eastAsia="es-ES" w:bidi="es-ES"/>
        </w:rPr>
        <w:t xml:space="preserve"> conformidad con lo anterior, </w:t>
      </w:r>
      <w:bookmarkStart w:id="6" w:name="_Hlk77236098"/>
      <w:bookmarkStart w:id="7" w:name="_Hlk100679383"/>
      <w:r w:rsidRPr="00461891">
        <w:rPr>
          <w:rFonts w:ascii="Verdana" w:eastAsia="Arial" w:hAnsi="Verdana" w:cs="Arial"/>
          <w:lang w:val="es-ES" w:eastAsia="es-ES" w:bidi="es-ES"/>
        </w:rPr>
        <w:t xml:space="preserve">la Ley de Garantías Electorales fijó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C75620F" w14:textId="77777777" w:rsidR="005B261C" w:rsidRPr="00461891" w:rsidRDefault="005B261C" w:rsidP="005B261C">
      <w:pPr>
        <w:spacing w:after="120" w:line="276" w:lineRule="auto"/>
        <w:jc w:val="both"/>
        <w:rPr>
          <w:rFonts w:ascii="Verdana" w:eastAsia="Arial" w:hAnsi="Verdana" w:cs="Arial"/>
          <w:lang w:val="es-ES" w:eastAsia="es-ES" w:bidi="es-ES"/>
        </w:rPr>
      </w:pPr>
      <w:proofErr w:type="spellStart"/>
      <w:r w:rsidRPr="00461891">
        <w:rPr>
          <w:rFonts w:ascii="Verdana" w:eastAsia="Arial" w:hAnsi="Verdana" w:cs="Arial"/>
          <w:lang w:val="es-ES" w:eastAsia="es-ES" w:bidi="es-ES"/>
        </w:rPr>
        <w:lastRenderedPageBreak/>
        <w:t>ii</w:t>
      </w:r>
      <w:proofErr w:type="spellEnd"/>
      <w:r w:rsidRPr="00461891">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6"/>
    </w:p>
    <w:p w14:paraId="5E3FA833" w14:textId="77777777" w:rsidR="005B261C" w:rsidRPr="00461891" w:rsidRDefault="005B261C" w:rsidP="005B261C">
      <w:pPr>
        <w:spacing w:after="120" w:line="276" w:lineRule="auto"/>
        <w:ind w:firstLine="708"/>
        <w:jc w:val="both"/>
        <w:rPr>
          <w:rFonts w:ascii="Verdana" w:eastAsia="Calibri" w:hAnsi="Verdana" w:cs="Arial"/>
        </w:rPr>
      </w:pPr>
      <w:r w:rsidRPr="00461891">
        <w:rPr>
          <w:rFonts w:ascii="Verdana" w:eastAsia="Calibri" w:hAnsi="Verdana" w:cs="Arial"/>
        </w:rPr>
        <w:t xml:space="preserve">Por un lado, el </w:t>
      </w:r>
      <w:r w:rsidRPr="00461891">
        <w:rPr>
          <w:rFonts w:ascii="Verdana" w:eastAsia="Calibri" w:hAnsi="Verdana" w:cs="Arial"/>
          <w:i/>
          <w:iCs/>
        </w:rPr>
        <w:t>artículo 33 de la Ley 996 de 2005</w:t>
      </w:r>
      <w:r w:rsidRPr="00461891">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461891">
        <w:rPr>
          <w:rFonts w:ascii="Verdana" w:eastAsia="Calibri" w:hAnsi="Verdana" w:cs="Arial"/>
          <w:vertAlign w:val="superscript"/>
        </w:rPr>
        <w:footnoteReference w:id="10"/>
      </w:r>
      <w:r w:rsidRPr="00461891">
        <w:rPr>
          <w:rFonts w:ascii="Verdana" w:eastAsia="Calibri" w:hAnsi="Verdana" w:cs="Arial"/>
        </w:rPr>
        <w:t>.</w:t>
      </w:r>
    </w:p>
    <w:p w14:paraId="4B2482B2" w14:textId="77777777" w:rsidR="005B261C" w:rsidRPr="00461891" w:rsidRDefault="005B261C" w:rsidP="005B261C">
      <w:pPr>
        <w:widowControl w:val="0"/>
        <w:autoSpaceDE w:val="0"/>
        <w:autoSpaceDN w:val="0"/>
        <w:spacing w:after="120" w:line="276" w:lineRule="auto"/>
        <w:ind w:right="113" w:firstLine="709"/>
        <w:jc w:val="both"/>
        <w:rPr>
          <w:rFonts w:ascii="Verdana" w:eastAsia="Arial" w:hAnsi="Verdana" w:cs="Arial"/>
          <w:lang w:val="es-ES" w:eastAsia="es-ES" w:bidi="es-ES"/>
        </w:rPr>
      </w:pPr>
      <w:r w:rsidRPr="00461891">
        <w:rPr>
          <w:rFonts w:ascii="Verdana" w:eastAsia="Calibri" w:hAnsi="Verdana" w:cs="Arial"/>
        </w:rPr>
        <w:t xml:space="preserve">Por otro lado, </w:t>
      </w:r>
      <w:r w:rsidRPr="00461891">
        <w:rPr>
          <w:rFonts w:ascii="Verdana" w:eastAsia="Calibri" w:hAnsi="Verdana" w:cs="Arial"/>
          <w:i/>
          <w:iCs/>
        </w:rPr>
        <w:t>el parágrafo del artículo 38 de la Ley 996 de 2005</w:t>
      </w:r>
      <w:r w:rsidRPr="00461891">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461891">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461891">
        <w:rPr>
          <w:rFonts w:ascii="Verdana" w:eastAsia="Calibri" w:hAnsi="Verdana" w:cs="Arial"/>
        </w:rPr>
        <w:t>”</w:t>
      </w:r>
      <w:bookmarkEnd w:id="7"/>
      <w:r w:rsidRPr="00461891">
        <w:rPr>
          <w:rFonts w:ascii="Verdana" w:eastAsia="Calibri" w:hAnsi="Verdana" w:cs="Arial"/>
          <w:vertAlign w:val="superscript"/>
        </w:rPr>
        <w:footnoteReference w:id="11"/>
      </w:r>
      <w:r w:rsidRPr="00461891">
        <w:rPr>
          <w:rFonts w:ascii="Verdana" w:eastAsia="Calibri" w:hAnsi="Verdana" w:cs="Arial"/>
          <w:lang w:val="es-MX"/>
        </w:rPr>
        <w:t>.</w:t>
      </w:r>
      <w:r w:rsidRPr="00461891">
        <w:rPr>
          <w:rFonts w:ascii="Verdana" w:eastAsia="Arial" w:hAnsi="Verdana" w:cs="Arial"/>
          <w:lang w:val="es-ES" w:eastAsia="es-ES" w:bidi="es-ES"/>
        </w:rPr>
        <w:t xml:space="preserve"> </w:t>
      </w:r>
    </w:p>
    <w:p w14:paraId="52B6BC28" w14:textId="77777777" w:rsidR="005B261C" w:rsidRPr="00461891" w:rsidRDefault="005B261C" w:rsidP="005B261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461891">
        <w:rPr>
          <w:rFonts w:ascii="Verdana" w:eastAsia="Arial" w:hAnsi="Verdana" w:cs="Arial"/>
          <w:lang w:val="es-ES" w:eastAsia="es-ES" w:bidi="es-ES"/>
        </w:rPr>
        <w:t xml:space="preserve">La Sala de Consulta y Servicio Civil del Consejo de Estado ha aclarado la </w:t>
      </w:r>
      <w:r w:rsidRPr="00461891">
        <w:rPr>
          <w:rFonts w:ascii="Verdana" w:eastAsia="Arial" w:hAnsi="Verdana" w:cs="Arial"/>
          <w:lang w:val="es-ES" w:eastAsia="es-ES" w:bidi="es-ES"/>
        </w:rPr>
        <w:lastRenderedPageBreak/>
        <w:t>distinción en la aplicación de las prohibiciones de la Ley 996 de 2005, dependiendo del tipo de elección que se trate. Al respecto, considera que:</w:t>
      </w:r>
    </w:p>
    <w:p w14:paraId="475D2E09" w14:textId="77777777" w:rsidR="005B261C" w:rsidRPr="00461891" w:rsidRDefault="005B261C" w:rsidP="005B261C">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5CBBF180" w14:textId="77777777" w:rsidR="005B261C" w:rsidRPr="00461891" w:rsidRDefault="005B261C" w:rsidP="005B261C">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461891">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10" w:name="_Hlk76109421"/>
      <w:r w:rsidRPr="00461891">
        <w:rPr>
          <w:rFonts w:ascii="Verdana" w:eastAsia="Arial" w:hAnsi="Verdana" w:cs="Arial"/>
          <w:sz w:val="20"/>
          <w:szCs w:val="20"/>
          <w:lang w:eastAsia="es-ES" w:bidi="es-ES"/>
        </w:rPr>
        <w:t>se integran parcialmente</w:t>
      </w:r>
      <w:bookmarkEnd w:id="10"/>
      <w:r w:rsidRPr="00461891">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461891">
        <w:rPr>
          <w:rFonts w:ascii="Verdana" w:eastAsia="Arial" w:hAnsi="Verdana" w:cs="Arial"/>
          <w:sz w:val="20"/>
          <w:szCs w:val="20"/>
          <w:lang w:eastAsia="es-ES" w:bidi="es-ES"/>
        </w:rPr>
        <w:t>Presidente</w:t>
      </w:r>
      <w:proofErr w:type="gramEnd"/>
      <w:r w:rsidRPr="00461891">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461891">
        <w:rPr>
          <w:rFonts w:ascii="Verdana" w:eastAsia="Arial" w:hAnsi="Verdana" w:cs="Arial"/>
          <w:sz w:val="20"/>
          <w:szCs w:val="20"/>
          <w:vertAlign w:val="superscript"/>
          <w:lang w:eastAsia="es-ES" w:bidi="es-ES"/>
        </w:rPr>
        <w:footnoteReference w:id="12"/>
      </w:r>
    </w:p>
    <w:p w14:paraId="312C9A5C" w14:textId="77777777" w:rsidR="005B261C" w:rsidRPr="00461891" w:rsidRDefault="005B261C" w:rsidP="005B261C">
      <w:pPr>
        <w:widowControl w:val="0"/>
        <w:autoSpaceDE w:val="0"/>
        <w:autoSpaceDN w:val="0"/>
        <w:spacing w:after="0" w:line="276" w:lineRule="auto"/>
        <w:contextualSpacing/>
        <w:rPr>
          <w:rFonts w:ascii="Verdana" w:eastAsia="Arial" w:hAnsi="Verdana" w:cs="Arial"/>
          <w:lang w:val="es-ES" w:eastAsia="es-ES" w:bidi="es-ES"/>
        </w:rPr>
      </w:pPr>
    </w:p>
    <w:p w14:paraId="172A939E" w14:textId="77777777" w:rsidR="005B261C" w:rsidRPr="00461891" w:rsidRDefault="005B261C" w:rsidP="005B261C">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De conformidad con lo anterior, </w:t>
      </w:r>
      <w:bookmarkStart w:id="11" w:name="_Hlk77236420"/>
      <w:bookmarkStart w:id="12" w:name="_Hlk78818435"/>
      <w:bookmarkStart w:id="13" w:name="_Hlk75780333"/>
      <w:r w:rsidRPr="00461891">
        <w:rPr>
          <w:rFonts w:ascii="Verdana" w:eastAsia="Arial" w:hAnsi="Verdana" w:cs="Arial"/>
          <w:lang w:val="es-ES" w:eastAsia="es-ES" w:bidi="es-ES"/>
        </w:rPr>
        <w:t xml:space="preserve">la Ley 996 de 2005 establece dos (2) tipos de restricciones en materia de contratación, las cuales coinciden parcialmente. </w:t>
      </w:r>
      <w:r w:rsidRPr="00461891">
        <w:rPr>
          <w:rFonts w:ascii="Verdana" w:eastAsia="Arial" w:hAnsi="Verdana" w:cs="Arial"/>
          <w:i/>
          <w:lang w:val="es-ES" w:eastAsia="es-ES" w:bidi="es-ES"/>
        </w:rPr>
        <w:t>En primer lugar</w:t>
      </w:r>
      <w:r w:rsidRPr="00461891">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461891">
        <w:rPr>
          <w:rFonts w:ascii="Verdana" w:eastAsia="Arial" w:hAnsi="Verdana" w:cs="Arial"/>
          <w:i/>
          <w:lang w:val="es-ES" w:eastAsia="es-ES" w:bidi="es-ES"/>
        </w:rPr>
        <w:t>En segundo lugar</w:t>
      </w:r>
      <w:r w:rsidRPr="00461891">
        <w:rPr>
          <w:rFonts w:ascii="Verdana" w:eastAsia="Arial" w:hAnsi="Verdana" w:cs="Arial"/>
          <w:lang w:val="es-ES" w:eastAsia="es-ES" w:bidi="es-ES"/>
        </w:rPr>
        <w:t>, también se encuentra la prohibición del parágrafo del artículo 38, el cual debe aplicarse respecto de cualquier tipo de contienda electoral, y que prohíbe la celebración de convenios interadministrativos que impliquen la ejecución de recursos públicos dentro de los cuatro (4) meses anteriores a la respectiva jornada de votaciones.</w:t>
      </w:r>
      <w:bookmarkEnd w:id="11"/>
    </w:p>
    <w:bookmarkEnd w:id="12"/>
    <w:p w14:paraId="576DBFDB" w14:textId="77777777" w:rsidR="005B261C" w:rsidRPr="00461891" w:rsidRDefault="005B261C" w:rsidP="005B261C">
      <w:pPr>
        <w:spacing w:after="120" w:line="276" w:lineRule="auto"/>
        <w:ind w:firstLine="709"/>
        <w:jc w:val="both"/>
        <w:rPr>
          <w:rFonts w:ascii="Verdana" w:eastAsia="Arial" w:hAnsi="Verdana" w:cs="Arial"/>
          <w:lang w:val="es-ES" w:eastAsia="es-ES" w:bidi="es-ES"/>
        </w:rPr>
      </w:pPr>
      <w:r w:rsidRPr="00461891">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a todos los </w:t>
      </w:r>
      <w:r w:rsidRPr="00461891">
        <w:rPr>
          <w:rFonts w:ascii="Verdana" w:eastAsia="Arial" w:hAnsi="Verdana" w:cs="Arial"/>
          <w:lang w:val="es-ES" w:eastAsia="es-ES" w:bidi="es-ES"/>
        </w:rPr>
        <w:lastRenderedPageBreak/>
        <w:t xml:space="preserve">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3"/>
    <w:p w14:paraId="28661BE3" w14:textId="77777777" w:rsidR="005B261C" w:rsidRPr="00461891" w:rsidRDefault="005B261C" w:rsidP="005B261C">
      <w:pPr>
        <w:spacing w:after="120" w:line="276" w:lineRule="auto"/>
        <w:ind w:firstLine="708"/>
        <w:jc w:val="both"/>
        <w:rPr>
          <w:rFonts w:ascii="Verdana" w:eastAsia="Arial" w:hAnsi="Verdana" w:cs="Arial"/>
          <w:lang w:val="es-ES" w:eastAsia="es-ES" w:bidi="es-ES"/>
        </w:rPr>
      </w:pPr>
      <w:r w:rsidRPr="00461891">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o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461891">
        <w:rPr>
          <w:rFonts w:ascii="Verdana" w:eastAsia="Arial" w:hAnsi="Verdana" w:cs="Arial"/>
          <w:lang w:val="es-ES" w:eastAsia="es-ES" w:bidi="es-ES"/>
        </w:rPr>
        <w:t>Presidente</w:t>
      </w:r>
      <w:proofErr w:type="gramEnd"/>
      <w:r w:rsidRPr="00461891">
        <w:rPr>
          <w:rFonts w:ascii="Verdana" w:eastAsia="Arial" w:hAnsi="Verdana" w:cs="Arial"/>
          <w:lang w:val="es-ES" w:eastAsia="es-ES" w:bidi="es-ES"/>
        </w:rPr>
        <w:t xml:space="preserve"> y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de la República, ha perdido vigencia ante la prohibición de la reelección presidencial, restablecida por el Acto Legislativo 2 de 2015. Esto excepto para el </w:t>
      </w:r>
      <w:proofErr w:type="gramStart"/>
      <w:r w:rsidRPr="00461891">
        <w:rPr>
          <w:rFonts w:ascii="Verdana" w:eastAsia="Arial" w:hAnsi="Verdana" w:cs="Arial"/>
          <w:lang w:val="es-ES" w:eastAsia="es-ES" w:bidi="es-ES"/>
        </w:rPr>
        <w:t>Vicepresidente</w:t>
      </w:r>
      <w:proofErr w:type="gramEnd"/>
      <w:r w:rsidRPr="00461891">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70489972" w14:textId="46AA1690" w:rsidR="005B261C" w:rsidRPr="00461891" w:rsidRDefault="005B261C" w:rsidP="00AB5151">
      <w:pPr>
        <w:spacing w:after="120" w:line="276" w:lineRule="auto"/>
        <w:ind w:firstLine="708"/>
        <w:jc w:val="both"/>
        <w:rPr>
          <w:rFonts w:ascii="Verdana" w:eastAsia="Times New Roman" w:hAnsi="Verdana" w:cs="Arial"/>
          <w:lang w:val="es-MX" w:eastAsia="x-none"/>
        </w:rPr>
      </w:pPr>
      <w:r w:rsidRPr="00461891">
        <w:rPr>
          <w:rFonts w:ascii="Verdana" w:eastAsia="Arial" w:hAnsi="Verdana" w:cs="Arial"/>
          <w:lang w:val="es-ES" w:eastAsia="es-ES" w:bidi="es-ES"/>
        </w:rPr>
        <w:t xml:space="preserve">Ahora bien, </w:t>
      </w:r>
      <w:r w:rsidRPr="00461891">
        <w:rPr>
          <w:rFonts w:ascii="Verdana" w:eastAsia="Calibri" w:hAnsi="Verdana" w:cs="Arial"/>
          <w:lang w:eastAsia="es-ES" w:bidi="es-ES"/>
        </w:rPr>
        <w:t xml:space="preserve">para dar respuesta al problema jurídico planteado resulta necesario precisar el alcance de la prohibición </w:t>
      </w:r>
      <w:r w:rsidRPr="00461891">
        <w:rPr>
          <w:rFonts w:ascii="Verdana" w:eastAsia="Arial" w:hAnsi="Verdana" w:cs="Arial"/>
          <w:lang w:val="es-ES" w:eastAsia="es-ES" w:bidi="es-ES"/>
        </w:rPr>
        <w:t>establecida en e</w:t>
      </w:r>
      <w:r w:rsidRPr="00461891">
        <w:rPr>
          <w:rFonts w:ascii="Verdana" w:eastAsia="Calibri" w:hAnsi="Verdana" w:cs="Arial"/>
        </w:rPr>
        <w:t xml:space="preserve">l parágrafo del artículo 38 de la Ley 996 de 2005. La citada norma dispone que “[l]os Gobernadores, </w:t>
      </w:r>
      <w:proofErr w:type="gramStart"/>
      <w:r w:rsidRPr="00461891">
        <w:rPr>
          <w:rFonts w:ascii="Verdana" w:eastAsia="Calibri" w:hAnsi="Verdana" w:cs="Arial"/>
        </w:rPr>
        <w:t>Alcaldes</w:t>
      </w:r>
      <w:proofErr w:type="gramEnd"/>
      <w:r w:rsidRPr="00461891">
        <w:rPr>
          <w:rFonts w:ascii="Verdana" w:eastAsia="Calibri" w:hAnsi="Verdana" w:cs="Arial"/>
        </w:rPr>
        <w:t xml:space="preserve"> Municipales y/o Distritales, </w:t>
      </w:r>
      <w:proofErr w:type="gramStart"/>
      <w:r w:rsidRPr="00461891">
        <w:rPr>
          <w:rFonts w:ascii="Verdana" w:eastAsia="Calibri" w:hAnsi="Verdana" w:cs="Arial"/>
        </w:rPr>
        <w:t>Secretarios</w:t>
      </w:r>
      <w:proofErr w:type="gramEnd"/>
      <w:r w:rsidRPr="00461891">
        <w:rPr>
          <w:rFonts w:ascii="Verdana" w:eastAsia="Calibri" w:hAnsi="Verdana" w:cs="Arial"/>
        </w:rPr>
        <w:t xml:space="preserve">, Gerentes y directores de Entidades Descentralizadas del orden Municipal, Departamental o Distrital, dentro de los cuatro (4) meses anteriores a las elecciones, no podrán celebrar </w:t>
      </w:r>
      <w:r w:rsidRPr="00461891">
        <w:rPr>
          <w:rFonts w:ascii="Verdana" w:eastAsia="Calibri" w:hAnsi="Verdana" w:cs="Arial"/>
          <w:i/>
          <w:iCs/>
        </w:rPr>
        <w:t>convenios interadministrativos</w:t>
      </w:r>
      <w:r w:rsidRPr="00461891">
        <w:rPr>
          <w:rFonts w:ascii="Verdana" w:eastAsia="Calibri" w:hAnsi="Verdana" w:cs="Arial"/>
        </w:rPr>
        <w:t xml:space="preserve"> para la ejecución de recursos públicos”.</w:t>
      </w:r>
      <w:r w:rsidRPr="00461891">
        <w:rPr>
          <w:rFonts w:ascii="Verdana" w:eastAsia="Times New Roman" w:hAnsi="Verdana" w:cs="Arial"/>
          <w:lang w:val="es-MX" w:eastAsia="x-none"/>
        </w:rPr>
        <w:t xml:space="preserve"> </w:t>
      </w:r>
      <w:bookmarkStart w:id="14" w:name="_Hlk99578153"/>
      <w:r w:rsidRPr="00461891">
        <w:rPr>
          <w:rFonts w:ascii="Verdana" w:eastAsia="Times New Roman" w:hAnsi="Verdana" w:cs="Arial"/>
          <w:lang w:val="es-MX" w:eastAsia="x-none"/>
        </w:rPr>
        <w:t>[Énfasis fuera del texto original]</w:t>
      </w:r>
    </w:p>
    <w:p w14:paraId="2C339D48" w14:textId="77777777" w:rsidR="005B261C" w:rsidRPr="00461891" w:rsidRDefault="005B261C" w:rsidP="005B261C">
      <w:pPr>
        <w:spacing w:after="120" w:line="276" w:lineRule="auto"/>
        <w:ind w:firstLine="709"/>
        <w:jc w:val="both"/>
        <w:rPr>
          <w:rFonts w:ascii="Verdana" w:eastAsia="Calibri" w:hAnsi="Verdana" w:cs="Arial"/>
          <w:lang w:bidi="es-ES"/>
        </w:rPr>
      </w:pPr>
      <w:r w:rsidRPr="00461891">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461891">
        <w:rPr>
          <w:rFonts w:ascii="Verdana" w:eastAsia="Arial" w:hAnsi="Verdana" w:cs="Arial"/>
          <w:lang w:val="es-ES" w:eastAsia="es-ES" w:bidi="es-ES"/>
        </w:rPr>
        <w:t>e</w:t>
      </w:r>
      <w:r w:rsidRPr="00461891">
        <w:rPr>
          <w:rFonts w:ascii="Verdana" w:eastAsia="Calibri" w:hAnsi="Verdana" w:cs="Arial"/>
        </w:rPr>
        <w:t xml:space="preserve">l parágrafo del artículo 38 cobija tanto a los convenios como a los contratos interadministrativos. Esta tesis se fundamenta en que </w:t>
      </w:r>
      <w:r w:rsidRPr="00461891">
        <w:rPr>
          <w:rFonts w:ascii="Verdana" w:eastAsia="Calibri" w:hAnsi="Verdana" w:cs="Arial"/>
          <w:lang w:bidi="es-ES"/>
        </w:rPr>
        <w:t xml:space="preserve">si bien actualmente el Estatuto General de Contratación de la Administración Pública – en adelante EGCAP – hace referencia de manera expresa al contrato interadministrativo o en términos generales a los interadministrativos y no al convenio, no por esto puede concluirse que se trate de figuras totalmente diferentes, pues las Entidades del </w:t>
      </w:r>
      <w:r w:rsidRPr="00461891">
        <w:rPr>
          <w:rFonts w:ascii="Verdana" w:eastAsia="Calibri" w:hAnsi="Verdana" w:cs="Arial"/>
          <w:lang w:bidi="es-ES"/>
        </w:rPr>
        <w:lastRenderedPageBreak/>
        <w:t xml:space="preserve">Estado, en el marco de la Ley 80 de 1993, pueden acordar entre sí diferentes tipos de obligaciones, siempre que su objeto de creación les permita cumplirlas, con el objetivo común de materializar los fines del Estado. </w:t>
      </w:r>
    </w:p>
    <w:p w14:paraId="5325982A" w14:textId="77777777" w:rsidR="005B261C" w:rsidRPr="00461891" w:rsidRDefault="005B261C" w:rsidP="005B261C">
      <w:pPr>
        <w:spacing w:after="120" w:line="276" w:lineRule="auto"/>
        <w:ind w:firstLine="709"/>
        <w:jc w:val="both"/>
        <w:rPr>
          <w:rFonts w:ascii="Verdana" w:eastAsia="Calibri" w:hAnsi="Verdana" w:cs="Arial"/>
          <w:lang w:bidi="es-ES"/>
        </w:rPr>
      </w:pPr>
      <w:r w:rsidRPr="00461891">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461891">
        <w:rPr>
          <w:rFonts w:ascii="Verdana" w:eastAsia="Arial" w:hAnsi="Verdana" w:cs="Arial"/>
          <w:lang w:val="es-ES" w:eastAsia="es-ES" w:bidi="es-ES"/>
        </w:rPr>
        <w:t>el legislador y el ordenamiento jurídico, en general, en distintas ocasiones utiliza de forma indistinta los conceptos de contrato o convenio para referirse a la misma institución jurídica</w:t>
      </w:r>
      <w:r w:rsidRPr="00461891">
        <w:rPr>
          <w:rFonts w:ascii="Verdana" w:eastAsia="Arial" w:hAnsi="Verdana" w:cs="Arial"/>
          <w:vertAlign w:val="superscript"/>
          <w:lang w:val="es-ES" w:eastAsia="es-ES" w:bidi="es-ES"/>
        </w:rPr>
        <w:footnoteReference w:id="13"/>
      </w:r>
      <w:r w:rsidRPr="00461891">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461891">
        <w:rPr>
          <w:rFonts w:ascii="Verdana" w:eastAsia="Arial" w:hAnsi="Verdana" w:cs="Arial"/>
          <w:vertAlign w:val="superscript"/>
          <w:lang w:val="es-ES" w:eastAsia="es-ES" w:bidi="es-ES"/>
        </w:rPr>
        <w:footnoteReference w:id="14"/>
      </w:r>
      <w:r w:rsidRPr="00461891">
        <w:rPr>
          <w:rFonts w:ascii="Verdana" w:eastAsia="Arial" w:hAnsi="Verdana" w:cs="Arial"/>
          <w:lang w:val="es-ES" w:eastAsia="es-ES" w:bidi="es-ES"/>
        </w:rPr>
        <w:t>.</w:t>
      </w:r>
    </w:p>
    <w:p w14:paraId="644B6842" w14:textId="77777777" w:rsidR="005B261C" w:rsidRPr="00461891" w:rsidRDefault="005B261C" w:rsidP="005B261C">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461891">
        <w:rPr>
          <w:rFonts w:ascii="Verdana" w:eastAsia="Calibri" w:hAnsi="Verdana" w:cs="Arial"/>
          <w:lang w:val="es-ES" w:bidi="es-ES"/>
        </w:rPr>
        <w:t>De este modo, en la Circular Externa</w:t>
      </w:r>
      <w:r w:rsidRPr="00461891">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3BEBA67C" w14:textId="77777777" w:rsidR="005B261C" w:rsidRPr="00461891" w:rsidRDefault="005B261C" w:rsidP="005B261C">
      <w:pPr>
        <w:widowControl w:val="0"/>
        <w:autoSpaceDE w:val="0"/>
        <w:autoSpaceDN w:val="0"/>
        <w:spacing w:after="0" w:line="276" w:lineRule="auto"/>
        <w:contextualSpacing/>
        <w:jc w:val="both"/>
        <w:rPr>
          <w:rFonts w:ascii="Verdana" w:eastAsia="Arial" w:hAnsi="Verdana" w:cs="Arial"/>
          <w:lang w:val="es-ES" w:eastAsia="es-ES" w:bidi="es-ES"/>
        </w:rPr>
      </w:pPr>
    </w:p>
    <w:p w14:paraId="5A5EBC36" w14:textId="77777777" w:rsidR="005B261C" w:rsidRPr="00461891" w:rsidRDefault="005B261C" w:rsidP="005B261C">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461891">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7F67434C" w14:textId="77777777" w:rsidR="005B261C" w:rsidRPr="00461891" w:rsidRDefault="005B261C" w:rsidP="005B261C">
      <w:pPr>
        <w:spacing w:after="0" w:line="240" w:lineRule="auto"/>
        <w:ind w:left="709" w:right="709"/>
        <w:jc w:val="both"/>
        <w:rPr>
          <w:rFonts w:ascii="Verdana" w:eastAsia="Calibri" w:hAnsi="Verdana" w:cs="Arial"/>
          <w:sz w:val="20"/>
          <w:szCs w:val="20"/>
          <w:lang w:val="es-MX"/>
        </w:rPr>
      </w:pPr>
    </w:p>
    <w:p w14:paraId="378DB917" w14:textId="77777777" w:rsidR="005B261C" w:rsidRPr="00461891" w:rsidRDefault="005B261C" w:rsidP="005B261C">
      <w:pPr>
        <w:spacing w:after="0" w:line="240" w:lineRule="auto"/>
        <w:ind w:left="709" w:right="709"/>
        <w:jc w:val="both"/>
        <w:rPr>
          <w:rFonts w:ascii="Verdana" w:eastAsia="Calibri" w:hAnsi="Verdana" w:cs="Arial"/>
          <w:sz w:val="20"/>
          <w:szCs w:val="20"/>
          <w:lang w:val="es-MX"/>
        </w:rPr>
      </w:pPr>
      <w:r w:rsidRPr="00461891">
        <w:rPr>
          <w:rFonts w:ascii="Verdana" w:eastAsia="Calibri" w:hAnsi="Verdana" w:cs="Arial"/>
          <w:sz w:val="20"/>
          <w:szCs w:val="20"/>
          <w:lang w:val="es-MX"/>
        </w:rPr>
        <w:lastRenderedPageBreak/>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53027235" w14:textId="77777777" w:rsidR="005B261C" w:rsidRPr="00461891" w:rsidRDefault="005B261C" w:rsidP="005B261C">
      <w:pPr>
        <w:spacing w:after="0" w:line="240" w:lineRule="auto"/>
        <w:ind w:left="709" w:right="709"/>
        <w:jc w:val="both"/>
        <w:rPr>
          <w:rFonts w:ascii="Verdana" w:eastAsia="Calibri" w:hAnsi="Verdana" w:cs="Arial"/>
          <w:sz w:val="20"/>
          <w:szCs w:val="20"/>
          <w:lang w:val="es-MX"/>
        </w:rPr>
      </w:pPr>
    </w:p>
    <w:p w14:paraId="1FE446B4" w14:textId="77777777" w:rsidR="005B261C" w:rsidRPr="00461891" w:rsidRDefault="005B261C" w:rsidP="005B261C">
      <w:pPr>
        <w:spacing w:after="0" w:line="240" w:lineRule="auto"/>
        <w:ind w:left="709" w:right="709"/>
        <w:jc w:val="both"/>
        <w:rPr>
          <w:rFonts w:ascii="Verdana" w:eastAsia="Calibri" w:hAnsi="Verdana" w:cs="Arial"/>
          <w:sz w:val="20"/>
          <w:szCs w:val="20"/>
          <w:lang w:val="es-MX"/>
        </w:rPr>
      </w:pPr>
      <w:bookmarkStart w:id="15" w:name="_Hlk193459059"/>
      <w:r w:rsidRPr="00461891">
        <w:rPr>
          <w:rFonts w:ascii="Verdana" w:eastAsia="Calibri" w:hAnsi="Verdana" w:cs="Arial"/>
          <w:sz w:val="20"/>
          <w:szCs w:val="20"/>
          <w:lang w:val="es-MX"/>
        </w:rPr>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w:t>
      </w:r>
      <w:bookmarkEnd w:id="15"/>
      <w:r w:rsidRPr="00461891">
        <w:rPr>
          <w:rFonts w:ascii="Verdana" w:eastAsia="Calibri" w:hAnsi="Verdana" w:cs="Arial"/>
          <w:sz w:val="20"/>
          <w:szCs w:val="20"/>
          <w:lang w:val="es-MX"/>
        </w:rPr>
        <w:t>o”.</w:t>
      </w:r>
    </w:p>
    <w:p w14:paraId="13792D01" w14:textId="77777777" w:rsidR="005B261C" w:rsidRPr="00461891" w:rsidRDefault="005B261C" w:rsidP="005B261C">
      <w:pPr>
        <w:widowControl w:val="0"/>
        <w:autoSpaceDE w:val="0"/>
        <w:autoSpaceDN w:val="0"/>
        <w:spacing w:after="0" w:line="276" w:lineRule="auto"/>
        <w:contextualSpacing/>
        <w:jc w:val="both"/>
        <w:rPr>
          <w:rFonts w:ascii="Verdana" w:eastAsia="Arial" w:hAnsi="Verdana" w:cs="Arial"/>
          <w:lang w:val="es-ES" w:eastAsia="es-ES" w:bidi="es-ES"/>
        </w:rPr>
      </w:pPr>
    </w:p>
    <w:p w14:paraId="2AC02906" w14:textId="77777777" w:rsidR="005B261C" w:rsidRPr="00461891" w:rsidRDefault="005B261C" w:rsidP="005B261C">
      <w:pPr>
        <w:spacing w:after="120" w:line="276" w:lineRule="auto"/>
        <w:ind w:firstLine="709"/>
        <w:jc w:val="both"/>
        <w:rPr>
          <w:rFonts w:ascii="Verdana" w:eastAsia="Arial" w:hAnsi="Verdana" w:cs="Arial"/>
          <w:lang w:val="es-MX" w:eastAsia="es-ES" w:bidi="es-ES"/>
        </w:rPr>
      </w:pPr>
      <w:r w:rsidRPr="00461891">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461891">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28F2A4B9" w14:textId="77777777" w:rsidR="005B261C" w:rsidRPr="00461891" w:rsidRDefault="005B261C" w:rsidP="005B261C">
      <w:pPr>
        <w:spacing w:after="0" w:line="276" w:lineRule="auto"/>
        <w:ind w:firstLine="709"/>
        <w:jc w:val="both"/>
      </w:pPr>
      <w:r w:rsidRPr="00461891">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461891">
        <w:rPr>
          <w:rFonts w:ascii="Verdana" w:hAnsi="Verdana"/>
        </w:rPr>
        <w:t>numeral 16.2 de la Circular Externa Única de 2022 expedida por la Agencia Nacional de Contratación Pública -Colombia Compra Eficiente-, concretamente, respecto de los siguientes apartes normativos</w:t>
      </w:r>
      <w:r w:rsidRPr="00461891">
        <w:rPr>
          <w:rFonts w:ascii="Verdana" w:hAnsi="Verdana"/>
          <w:vertAlign w:val="superscript"/>
        </w:rPr>
        <w:footnoteReference w:id="15"/>
      </w:r>
      <w:r w:rsidRPr="00461891">
        <w:rPr>
          <w:rFonts w:ascii="Verdana" w:hAnsi="Verdana"/>
        </w:rPr>
        <w:t>:</w:t>
      </w:r>
      <w:r w:rsidRPr="00461891">
        <w:t xml:space="preserve"> </w:t>
      </w:r>
    </w:p>
    <w:p w14:paraId="7FA60301" w14:textId="77777777" w:rsidR="005B261C" w:rsidRPr="00461891" w:rsidRDefault="005B261C" w:rsidP="005B261C">
      <w:pPr>
        <w:spacing w:after="0" w:line="276" w:lineRule="auto"/>
        <w:ind w:firstLine="709"/>
        <w:jc w:val="both"/>
      </w:pPr>
    </w:p>
    <w:p w14:paraId="1ECE273D" w14:textId="77777777" w:rsidR="005B261C" w:rsidRPr="00461891" w:rsidRDefault="005B261C" w:rsidP="005B261C">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lang w:val="es-MX"/>
        </w:rPr>
        <w:t>i)</w:t>
      </w:r>
      <w:r w:rsidRPr="00461891">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w:t>
      </w:r>
      <w:r w:rsidRPr="00461891">
        <w:rPr>
          <w:rFonts w:ascii="Verdana" w:eastAsia="Calibri" w:hAnsi="Verdana" w:cs="Arial"/>
          <w:sz w:val="20"/>
          <w:szCs w:val="20"/>
        </w:rPr>
        <w:lastRenderedPageBreak/>
        <w:t xml:space="preserve">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5C41BF6" w14:textId="77777777" w:rsidR="005B261C" w:rsidRPr="00461891" w:rsidRDefault="005B261C" w:rsidP="005B261C">
      <w:pPr>
        <w:spacing w:after="0" w:line="240" w:lineRule="auto"/>
        <w:ind w:left="709" w:right="709"/>
        <w:jc w:val="both"/>
        <w:rPr>
          <w:rFonts w:ascii="Verdana" w:eastAsia="Calibri" w:hAnsi="Verdana" w:cs="Arial"/>
          <w:sz w:val="20"/>
          <w:szCs w:val="20"/>
        </w:rPr>
      </w:pPr>
    </w:p>
    <w:p w14:paraId="2F718D2D" w14:textId="77777777" w:rsidR="005B261C" w:rsidRPr="00461891" w:rsidRDefault="005B261C" w:rsidP="005B261C">
      <w:pPr>
        <w:spacing w:after="0" w:line="240" w:lineRule="auto"/>
        <w:ind w:left="709" w:right="709"/>
        <w:jc w:val="both"/>
        <w:rPr>
          <w:rFonts w:ascii="Verdana" w:hAnsi="Verdana"/>
          <w:sz w:val="20"/>
          <w:szCs w:val="20"/>
        </w:rPr>
      </w:pPr>
      <w:proofErr w:type="spellStart"/>
      <w:r w:rsidRPr="00461891">
        <w:rPr>
          <w:rFonts w:ascii="Verdana" w:hAnsi="Verdana"/>
          <w:sz w:val="20"/>
          <w:szCs w:val="20"/>
        </w:rPr>
        <w:t>ii</w:t>
      </w:r>
      <w:proofErr w:type="spellEnd"/>
      <w:r w:rsidRPr="00461891">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3241C4E6" w14:textId="77777777" w:rsidR="005B261C" w:rsidRPr="00461891" w:rsidRDefault="005B261C" w:rsidP="005B261C">
      <w:pPr>
        <w:spacing w:after="0" w:line="276" w:lineRule="auto"/>
        <w:ind w:left="709" w:right="709"/>
        <w:jc w:val="both"/>
        <w:rPr>
          <w:rFonts w:ascii="Verdana" w:hAnsi="Verdana"/>
        </w:rPr>
      </w:pPr>
    </w:p>
    <w:p w14:paraId="202B8552" w14:textId="77777777" w:rsidR="005B261C" w:rsidRPr="00461891" w:rsidRDefault="005B261C" w:rsidP="005B261C">
      <w:pPr>
        <w:spacing w:after="120" w:line="276" w:lineRule="auto"/>
        <w:ind w:firstLine="709"/>
        <w:jc w:val="both"/>
        <w:rPr>
          <w:rFonts w:ascii="Verdana" w:eastAsia="Arial" w:hAnsi="Verdana" w:cs="Arial"/>
          <w:i/>
          <w:iCs/>
          <w:lang w:val="es-MX" w:eastAsia="es-ES" w:bidi="es-ES"/>
        </w:rPr>
      </w:pPr>
      <w:r w:rsidRPr="00461891">
        <w:rPr>
          <w:rFonts w:ascii="Verdana" w:eastAsia="Arial" w:hAnsi="Verdana" w:cs="Arial"/>
          <w:lang w:val="es-MX" w:eastAsia="es-ES" w:bidi="es-ES"/>
        </w:rPr>
        <w:t xml:space="preserve">De conformidad con los argumentos de dicha providencia, se parte de la distinción entre los conceptos </w:t>
      </w:r>
      <w:r w:rsidRPr="00461891">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461891">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461891">
        <w:rPr>
          <w:rFonts w:ascii="Verdana" w:eastAsia="Arial" w:hAnsi="Verdana" w:cs="Arial"/>
          <w:lang w:eastAsia="es-ES" w:bidi="es-ES"/>
        </w:rPr>
        <w:t xml:space="preserve">Por tal motivo, para efectos de decretar la medida de suspensión provisional de los apartes señalados del numeral </w:t>
      </w:r>
      <w:bookmarkStart w:id="16" w:name="_Hlk192497089"/>
      <w:r w:rsidRPr="00461891">
        <w:rPr>
          <w:rFonts w:ascii="Verdana" w:eastAsia="Arial" w:hAnsi="Verdana" w:cs="Arial"/>
          <w:lang w:eastAsia="es-ES" w:bidi="es-ES"/>
        </w:rPr>
        <w:t>16.2 de la Circular Externa Única</w:t>
      </w:r>
      <w:bookmarkEnd w:id="16"/>
      <w:r w:rsidRPr="00461891">
        <w:rPr>
          <w:rFonts w:ascii="Verdana" w:eastAsia="Arial" w:hAnsi="Verdana" w:cs="Arial"/>
          <w:lang w:eastAsia="es-ES" w:bidi="es-ES"/>
        </w:rPr>
        <w:t xml:space="preserve">, argumentó que </w:t>
      </w:r>
      <w:r w:rsidRPr="00461891">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0A6657E" w14:textId="77777777" w:rsidR="005B261C" w:rsidRPr="00461891" w:rsidRDefault="005B261C" w:rsidP="005B261C">
      <w:pPr>
        <w:spacing w:after="120" w:line="276" w:lineRule="auto"/>
        <w:ind w:firstLine="709"/>
        <w:jc w:val="both"/>
        <w:rPr>
          <w:rFonts w:ascii="Verdana" w:eastAsia="Calibri" w:hAnsi="Verdana" w:cs="Arial"/>
          <w:lang w:val="es-MX"/>
        </w:rPr>
      </w:pPr>
      <w:r w:rsidRPr="00461891">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461891">
        <w:rPr>
          <w:rFonts w:ascii="Verdana" w:eastAsia="Arial" w:hAnsi="Verdana" w:cs="Arial"/>
          <w:lang w:eastAsia="es-ES" w:bidi="es-ES"/>
        </w:rPr>
        <w:t>16.2 de la Circular Externa Única</w:t>
      </w:r>
      <w:r w:rsidRPr="00461891">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461891">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461891">
        <w:rPr>
          <w:rFonts w:ascii="Verdana" w:eastAsia="Calibri" w:hAnsi="Verdana" w:cs="Arial"/>
          <w:lang w:val="es-MX"/>
        </w:rPr>
        <w:t xml:space="preserve">los recursos del Estado se ejecuten para lograr apoyos indebidos mediante la suscripción de contratos y/o </w:t>
      </w:r>
      <w:r w:rsidRPr="00461891">
        <w:rPr>
          <w:rFonts w:ascii="Verdana" w:eastAsia="Calibri" w:hAnsi="Verdana" w:cs="Arial"/>
          <w:lang w:val="es-MX"/>
        </w:rPr>
        <w:lastRenderedPageBreak/>
        <w:t xml:space="preserve">convenios, que para efectos de la Ley de Garantías tienen la misma connotación y propósitos. </w:t>
      </w:r>
    </w:p>
    <w:p w14:paraId="4A907049" w14:textId="77777777" w:rsidR="005B261C" w:rsidRPr="00461891" w:rsidRDefault="005B261C" w:rsidP="005B261C">
      <w:pPr>
        <w:spacing w:after="120" w:line="276" w:lineRule="auto"/>
        <w:ind w:firstLine="709"/>
        <w:jc w:val="both"/>
        <w:rPr>
          <w:rFonts w:ascii="Verdana" w:eastAsia="Arial" w:hAnsi="Verdana" w:cs="Arial"/>
          <w:lang w:val="es-MX" w:eastAsia="es-ES" w:bidi="es-ES"/>
        </w:rPr>
      </w:pPr>
      <w:r w:rsidRPr="00461891">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461891">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461891">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22306E5F" w14:textId="77777777" w:rsidR="005B261C" w:rsidRPr="00461891" w:rsidRDefault="005B261C" w:rsidP="005B261C">
      <w:pPr>
        <w:spacing w:after="120" w:line="276" w:lineRule="auto"/>
        <w:ind w:firstLine="709"/>
        <w:jc w:val="both"/>
        <w:rPr>
          <w:rFonts w:ascii="Verdana" w:eastAsia="Times New Roman" w:hAnsi="Verdana" w:cs="Arial"/>
          <w:lang w:val="es-MX" w:eastAsia="es-CO"/>
        </w:rPr>
      </w:pPr>
      <w:r w:rsidRPr="00461891">
        <w:rPr>
          <w:rFonts w:ascii="Verdana" w:eastAsia="Arial" w:hAnsi="Verdana" w:cs="Arial"/>
          <w:lang w:val="es-MX" w:eastAsia="es-ES" w:bidi="es-ES"/>
        </w:rPr>
        <w:t xml:space="preserve"> De esta manera, </w:t>
      </w:r>
      <w:bookmarkStart w:id="17" w:name="_Hlk78820161"/>
      <w:bookmarkEnd w:id="14"/>
      <w:r w:rsidRPr="00461891">
        <w:rPr>
          <w:rFonts w:ascii="Verdana" w:eastAsia="Arial" w:hAnsi="Verdana" w:cs="Arial"/>
          <w:lang w:val="es-MX" w:eastAsia="es-ES" w:bidi="es-ES"/>
        </w:rPr>
        <w:t>s</w:t>
      </w:r>
      <w:proofErr w:type="spellStart"/>
      <w:r w:rsidRPr="00461891">
        <w:rPr>
          <w:rFonts w:ascii="Verdana" w:eastAsia="Times New Roman" w:hAnsi="Verdana" w:cs="Arial"/>
          <w:lang w:eastAsia="es-CO"/>
        </w:rPr>
        <w:t>e</w:t>
      </w:r>
      <w:proofErr w:type="spellEnd"/>
      <w:r w:rsidRPr="00461891">
        <w:rPr>
          <w:rFonts w:ascii="Verdana" w:eastAsia="Times New Roman" w:hAnsi="Verdana" w:cs="Arial"/>
          <w:lang w:eastAsia="es-CO"/>
        </w:rPr>
        <w:t xml:space="preserve"> observa entonces que </w:t>
      </w:r>
      <w:r w:rsidRPr="00461891">
        <w:rPr>
          <w:rFonts w:ascii="Verdana" w:eastAsia="Times New Roman" w:hAnsi="Verdana" w:cs="Arial"/>
          <w:lang w:val="es-MX" w:eastAsia="es-CO"/>
        </w:rPr>
        <w:t xml:space="preserve">el parágrafo del artículo 38 de la Ley 996 de 2005 prohíbe a los </w:t>
      </w:r>
      <w:proofErr w:type="gramStart"/>
      <w:r w:rsidRPr="00461891">
        <w:rPr>
          <w:rFonts w:ascii="Verdana" w:eastAsia="Times New Roman" w:hAnsi="Verdana" w:cs="Arial"/>
          <w:lang w:val="es-MX" w:eastAsia="es-CO"/>
        </w:rPr>
        <w:t>Alcaldes</w:t>
      </w:r>
      <w:proofErr w:type="gramEnd"/>
      <w:r w:rsidRPr="00461891">
        <w:rPr>
          <w:rFonts w:ascii="Verdana" w:eastAsia="Times New Roman" w:hAnsi="Verdana" w:cs="Arial"/>
          <w:lang w:val="es-MX" w:eastAsia="es-CO"/>
        </w:rPr>
        <w:t xml:space="preserve">, Gobernadores, </w:t>
      </w:r>
      <w:proofErr w:type="gramStart"/>
      <w:r w:rsidRPr="00461891">
        <w:rPr>
          <w:rFonts w:ascii="Verdana" w:eastAsia="Times New Roman" w:hAnsi="Verdana" w:cs="Arial"/>
          <w:lang w:val="es-MX" w:eastAsia="es-CO"/>
        </w:rPr>
        <w:t>Secretarios</w:t>
      </w:r>
      <w:proofErr w:type="gramEnd"/>
      <w:r w:rsidRPr="00461891">
        <w:rPr>
          <w:rFonts w:ascii="Verdana" w:eastAsia="Times New Roman" w:hAnsi="Verdana" w:cs="Arial"/>
          <w:lang w:val="es-MX" w:eastAsia="es-CO"/>
        </w:rPr>
        <w:t xml:space="preserve">, Gerentes y </w:t>
      </w:r>
      <w:proofErr w:type="gramStart"/>
      <w:r w:rsidRPr="00461891">
        <w:rPr>
          <w:rFonts w:ascii="Verdana" w:eastAsia="Times New Roman" w:hAnsi="Verdana" w:cs="Arial"/>
          <w:lang w:val="es-MX" w:eastAsia="es-CO"/>
        </w:rPr>
        <w:t>Directores</w:t>
      </w:r>
      <w:proofErr w:type="gramEnd"/>
      <w:r w:rsidRPr="00461891">
        <w:rPr>
          <w:rFonts w:ascii="Verdana" w:eastAsia="Times New Roman" w:hAnsi="Verdana" w:cs="Arial"/>
          <w:lang w:val="es-MX" w:eastAsia="es-CO"/>
        </w:rPr>
        <w:t xml:space="preserve"> de las entidades del orden municipal, departamental o distrital celebrar </w:t>
      </w:r>
      <w:r w:rsidRPr="00461891">
        <w:rPr>
          <w:rFonts w:ascii="Verdana" w:eastAsia="Times New Roman" w:hAnsi="Verdana" w:cs="Arial"/>
          <w:i/>
          <w:iCs/>
          <w:lang w:val="es-MX" w:eastAsia="es-CO"/>
        </w:rPr>
        <w:t>convenios interadministrativos</w:t>
      </w:r>
      <w:r w:rsidRPr="00461891">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461891">
        <w:rPr>
          <w:rFonts w:ascii="Verdana" w:eastAsia="Times New Roman" w:hAnsi="Verdana" w:cs="Arial"/>
          <w:i/>
          <w:lang w:val="es-MX" w:eastAsia="es-CO"/>
        </w:rPr>
        <w:t>ibidem</w:t>
      </w:r>
      <w:r w:rsidRPr="00461891">
        <w:rPr>
          <w:rFonts w:ascii="Verdana" w:eastAsia="Times New Roman" w:hAnsi="Verdana" w:cs="Arial"/>
          <w:lang w:val="es-MX" w:eastAsia="es-CO"/>
        </w:rPr>
        <w:t xml:space="preserve">, no podrá celebrar tales </w:t>
      </w:r>
      <w:r w:rsidRPr="00461891">
        <w:rPr>
          <w:rFonts w:ascii="Verdana" w:eastAsia="Times New Roman" w:hAnsi="Verdana" w:cs="Arial"/>
          <w:i/>
          <w:iCs/>
          <w:lang w:val="es-MX" w:eastAsia="es-CO"/>
        </w:rPr>
        <w:t>convenios</w:t>
      </w:r>
      <w:r w:rsidRPr="00461891">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Ahora bien, como se expuso anteriormente, para esta Agencia tal restricción también cobijaría a los contratos interadministrativos.  </w:t>
      </w:r>
    </w:p>
    <w:p w14:paraId="370701C9" w14:textId="77777777" w:rsidR="005B261C" w:rsidRPr="00461891" w:rsidRDefault="005B261C" w:rsidP="005B261C">
      <w:pPr>
        <w:spacing w:after="120" w:line="276" w:lineRule="auto"/>
        <w:ind w:firstLine="709"/>
        <w:jc w:val="both"/>
        <w:rPr>
          <w:rFonts w:ascii="Verdana" w:eastAsia="Arial" w:hAnsi="Verdana" w:cs="Arial"/>
          <w:lang w:val="es-ES" w:eastAsia="es-ES" w:bidi="es-ES"/>
        </w:rPr>
      </w:pPr>
      <w:bookmarkStart w:id="18" w:name="_Hlk77154098"/>
      <w:r w:rsidRPr="00461891">
        <w:rPr>
          <w:rFonts w:ascii="Verdana" w:eastAsia="Times New Roman" w:hAnsi="Verdana" w:cs="Arial"/>
          <w:lang w:val="es-ES" w:eastAsia="es-CO" w:bidi="es-ES"/>
        </w:rPr>
        <w:t>En todo caso</w:t>
      </w:r>
      <w:r w:rsidRPr="00461891">
        <w:rPr>
          <w:rFonts w:ascii="Verdana" w:eastAsia="Arial" w:hAnsi="Verdana" w:cs="Arial"/>
          <w:lang w:val="es-ES" w:eastAsia="es-ES" w:bidi="es-ES"/>
        </w:rPr>
        <w:t xml:space="preserve">, es importante resaltar que la Sala de Consulta y Servicio Civil del Consejo de Estado se ha pronunciado en el sentido de que </w:t>
      </w:r>
      <w:bookmarkStart w:id="19" w:name="_Hlk78820889"/>
      <w:r w:rsidRPr="00461891">
        <w:rPr>
          <w:rFonts w:ascii="Verdana" w:eastAsia="Arial" w:hAnsi="Verdana" w:cs="Arial"/>
          <w:lang w:val="es-ES" w:eastAsia="es-ES" w:bidi="es-ES"/>
        </w:rPr>
        <w:t>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bookmarkEnd w:id="19"/>
      <w:r w:rsidRPr="00461891">
        <w:rPr>
          <w:rFonts w:ascii="Verdana" w:eastAsia="Arial" w:hAnsi="Verdana" w:cs="Arial"/>
          <w:vertAlign w:val="superscript"/>
          <w:lang w:val="es-ES" w:eastAsia="es-ES" w:bidi="es-ES"/>
        </w:rPr>
        <w:footnoteReference w:id="16"/>
      </w:r>
      <w:r w:rsidRPr="00461891">
        <w:rPr>
          <w:rFonts w:ascii="Verdana" w:eastAsia="Arial" w:hAnsi="Verdana" w:cs="Arial"/>
          <w:lang w:val="es-ES" w:eastAsia="es-ES" w:bidi="es-ES"/>
        </w:rPr>
        <w:t>.</w:t>
      </w:r>
      <w:bookmarkEnd w:id="18"/>
    </w:p>
    <w:p w14:paraId="22DC5C9B" w14:textId="40B6CBBD" w:rsidR="005B261C" w:rsidRPr="00461891" w:rsidRDefault="00AB5151" w:rsidP="005B261C">
      <w:pPr>
        <w:spacing w:after="120" w:line="276" w:lineRule="auto"/>
        <w:jc w:val="both"/>
        <w:rPr>
          <w:rFonts w:ascii="Verdana" w:eastAsia="Calibri" w:hAnsi="Verdana" w:cs="Arial"/>
        </w:rPr>
      </w:pPr>
      <w:r>
        <w:rPr>
          <w:rFonts w:ascii="Verdana" w:eastAsia="Arial" w:hAnsi="Verdana" w:cs="Arial"/>
          <w:lang w:val="es-ES" w:eastAsia="es-ES" w:bidi="es-ES"/>
        </w:rPr>
        <w:t xml:space="preserve">         </w:t>
      </w:r>
      <w:r w:rsidR="005B261C" w:rsidRPr="00461891">
        <w:rPr>
          <w:rFonts w:ascii="Verdana" w:eastAsia="Arial" w:hAnsi="Verdana" w:cs="Arial"/>
          <w:lang w:val="es-ES" w:eastAsia="es-ES" w:bidi="es-ES"/>
        </w:rPr>
        <w:t xml:space="preserve">Precisado lo anterior, en relación con el problema jurídico planteado se tiene que, tratándose de elecciones en general, excluyendo las correspondientes </w:t>
      </w:r>
      <w:r w:rsidR="005B261C" w:rsidRPr="00461891">
        <w:rPr>
          <w:rFonts w:ascii="Verdana" w:eastAsia="Arial" w:hAnsi="Verdana" w:cs="Arial"/>
          <w:lang w:val="es-ES" w:eastAsia="es-ES" w:bidi="es-ES"/>
        </w:rPr>
        <w:lastRenderedPageBreak/>
        <w:t xml:space="preserve">al </w:t>
      </w:r>
      <w:proofErr w:type="gramStart"/>
      <w:r w:rsidR="005B261C" w:rsidRPr="00461891">
        <w:rPr>
          <w:rFonts w:ascii="Verdana" w:eastAsia="Arial" w:hAnsi="Verdana" w:cs="Arial"/>
          <w:lang w:val="es-ES" w:eastAsia="es-ES" w:bidi="es-ES"/>
        </w:rPr>
        <w:t>Presidente</w:t>
      </w:r>
      <w:proofErr w:type="gramEnd"/>
      <w:r w:rsidR="005B261C" w:rsidRPr="00461891">
        <w:rPr>
          <w:rFonts w:ascii="Verdana" w:eastAsia="Arial" w:hAnsi="Verdana" w:cs="Arial"/>
          <w:lang w:val="es-ES" w:eastAsia="es-ES" w:bidi="es-ES"/>
        </w:rPr>
        <w:t xml:space="preserve"> de la República, las restricciones que resultan aplicables son las contenidas en el parágrafo del artículo 38. Es decir, cuando se convoca a elecciones para cargos de elección popular los </w:t>
      </w:r>
      <w:r w:rsidR="005B261C" w:rsidRPr="00461891">
        <w:rPr>
          <w:rFonts w:ascii="Verdana" w:eastAsia="Calibri" w:hAnsi="Verdana" w:cs="Arial"/>
        </w:rPr>
        <w:t xml:space="preserve">Gobernadores, </w:t>
      </w:r>
      <w:proofErr w:type="gramStart"/>
      <w:r w:rsidR="005B261C" w:rsidRPr="00461891">
        <w:rPr>
          <w:rFonts w:ascii="Verdana" w:eastAsia="Calibri" w:hAnsi="Verdana" w:cs="Arial"/>
        </w:rPr>
        <w:t>Alcaldes</w:t>
      </w:r>
      <w:proofErr w:type="gramEnd"/>
      <w:r w:rsidR="005B261C" w:rsidRPr="00461891">
        <w:rPr>
          <w:rFonts w:ascii="Verdana" w:eastAsia="Calibri" w:hAnsi="Verdana" w:cs="Arial"/>
        </w:rPr>
        <w:t xml:space="preserve"> Municipales y/o Distritales, </w:t>
      </w:r>
      <w:proofErr w:type="gramStart"/>
      <w:r w:rsidR="005B261C" w:rsidRPr="00461891">
        <w:rPr>
          <w:rFonts w:ascii="Verdana" w:eastAsia="Calibri" w:hAnsi="Verdana" w:cs="Arial"/>
        </w:rPr>
        <w:t>Secretarios</w:t>
      </w:r>
      <w:proofErr w:type="gramEnd"/>
      <w:r w:rsidR="005B261C" w:rsidRPr="00461891">
        <w:rPr>
          <w:rFonts w:ascii="Verdana" w:eastAsia="Calibri" w:hAnsi="Verdana" w:cs="Arial"/>
        </w:rPr>
        <w:t xml:space="preserve">, Gerentes y directores de Entidades Descentralizadas del orden Municipal, Departamental o Distrital, no podrán celebrar convenios interadministrativos para la ejecución de recursos públicos, dentro de los cuatro (4) meses anteriores a las elecciones. Esta prohibición aplica incluso cuando se trate de elecciones atípicas de alcaldes o gobernadores, esto es, elecciones que se realicen por fuera del calendario ordinario electoral. </w:t>
      </w:r>
    </w:p>
    <w:p w14:paraId="7AD95EF3" w14:textId="77777777" w:rsidR="005B261C" w:rsidRPr="00461891" w:rsidRDefault="005B261C" w:rsidP="005B261C">
      <w:pPr>
        <w:spacing w:after="120" w:line="276" w:lineRule="auto"/>
        <w:ind w:firstLine="709"/>
        <w:jc w:val="both"/>
        <w:rPr>
          <w:rFonts w:ascii="Verdana" w:eastAsia="Calibri" w:hAnsi="Verdana" w:cs="Arial"/>
        </w:rPr>
      </w:pPr>
      <w:r w:rsidRPr="00461891">
        <w:rPr>
          <w:rFonts w:ascii="Verdana" w:eastAsia="Calibri" w:hAnsi="Verdana" w:cs="Arial"/>
        </w:rPr>
        <w:t>En efecto, al analizar el contenido del parágrafo del artículo 38 de la Ley 996 de 2005 se evidencia que la prohibición se refiere de forma general a las “elecciones” sin realizar distinción respecto de si esta jornada de votación se realizará dentro del calendario electoral ordinario o de forma atípica. Este último tipo de elecciones “son eventos electorales que se realizan por fuera del calendario electoral ordinario, con el fin de cubrir la vacancia absoluta de un mandatario y elegir una autoridad por el tiempo que resta del periodo constitucional del cargo, cuando esta vacancia se registra faltando 18 meses o más para la terminación de dicho periodo”</w:t>
      </w:r>
      <w:r w:rsidRPr="00461891">
        <w:rPr>
          <w:rFonts w:ascii="Verdana" w:eastAsia="Calibri" w:hAnsi="Verdana" w:cs="Arial"/>
          <w:vertAlign w:val="superscript"/>
        </w:rPr>
        <w:footnoteReference w:id="17"/>
      </w:r>
      <w:r w:rsidRPr="00461891">
        <w:rPr>
          <w:rFonts w:ascii="Verdana" w:eastAsia="Calibri" w:hAnsi="Verdana" w:cs="Arial"/>
        </w:rPr>
        <w:t>. Su convocatoria puede derivar de diferentes situaciones como la muerte del gobernador o el alcalde, la renuncia aceptada, incapacidad física permanente, la declaratoria de nulidad por su elección, la interdicción judicial, la destitución, la revocatoria del mandato y la incapacidad por enfermedad superior a ciento ochenta (180) días</w:t>
      </w:r>
      <w:r w:rsidRPr="00461891">
        <w:rPr>
          <w:rFonts w:ascii="Verdana" w:eastAsia="Calibri" w:hAnsi="Verdana" w:cs="Arial"/>
          <w:vertAlign w:val="superscript"/>
        </w:rPr>
        <w:footnoteReference w:id="18"/>
      </w:r>
      <w:r w:rsidRPr="00461891">
        <w:rPr>
          <w:rFonts w:ascii="Verdana" w:eastAsia="Calibri" w:hAnsi="Verdana" w:cs="Arial"/>
        </w:rPr>
        <w:t>.</w:t>
      </w:r>
    </w:p>
    <w:p w14:paraId="001C9CC6" w14:textId="77777777" w:rsidR="005B261C" w:rsidRPr="00461891" w:rsidRDefault="005B261C" w:rsidP="005B261C">
      <w:pPr>
        <w:spacing w:after="120" w:line="276" w:lineRule="auto"/>
        <w:ind w:firstLine="709"/>
        <w:jc w:val="both"/>
        <w:rPr>
          <w:rFonts w:ascii="Verdana" w:eastAsia="Calibri" w:hAnsi="Verdana" w:cs="Arial"/>
        </w:rPr>
      </w:pPr>
      <w:r w:rsidRPr="00461891">
        <w:rPr>
          <w:rFonts w:ascii="Verdana" w:eastAsia="Calibri" w:hAnsi="Verdana" w:cs="Arial"/>
        </w:rPr>
        <w:t xml:space="preserve">En tal sentido, aunque las elecciones atípicas se efectúan fuera de las fechas establecidas en la Ley, por circunstancias excepcionales que requieren una convocatoria urgente, tienen el mismo propósito de las elecciones ordinarias de asegurar la provisión de un cargo de elección popular. Por tanto, la naturaleza y el fin de las elecciones atípicas son idénticos a los de las elecciones ordinarias, ya que ambas buscan asegurar el adecuado funcionamiento de las instituciones públicas y salvaguardar la democracia. </w:t>
      </w:r>
    </w:p>
    <w:p w14:paraId="64B6FB38" w14:textId="77777777" w:rsidR="005B261C" w:rsidRPr="00461891" w:rsidRDefault="005B261C" w:rsidP="005B261C">
      <w:pPr>
        <w:spacing w:after="0" w:line="276" w:lineRule="auto"/>
        <w:ind w:firstLine="709"/>
        <w:jc w:val="both"/>
        <w:rPr>
          <w:rFonts w:ascii="Verdana" w:eastAsia="Calibri" w:hAnsi="Verdana" w:cs="Arial"/>
        </w:rPr>
      </w:pPr>
      <w:r w:rsidRPr="00461891">
        <w:rPr>
          <w:rFonts w:ascii="Verdana" w:eastAsia="Calibri" w:hAnsi="Verdana" w:cs="Arial"/>
        </w:rPr>
        <w:t xml:space="preserve">Aunado a lo anterior, como se expuso, el propósito de la Ley 996 de 2005 es asegurar condiciones de igualdad y transparencia para todos los aspirantes en el proceso electoral, de manera que los participantes tengan las mismas oportunidades y no enfrenten ventajas indebidas durante la contienda electoral. Al mismo tiempo, la Ley establece restricciones que previenen la desviación de </w:t>
      </w:r>
      <w:r w:rsidRPr="00461891">
        <w:rPr>
          <w:rFonts w:ascii="Verdana" w:eastAsia="Calibri" w:hAnsi="Verdana" w:cs="Arial"/>
        </w:rPr>
        <w:lastRenderedPageBreak/>
        <w:t xml:space="preserve">recursos públicos con fines electorales, prohibiendo que los fondos y bienes del Estado sean utilizados para beneficiar a ciertos aspirantes. De este modo, en la Ley de Garantías se plantea como objetivos: </w:t>
      </w:r>
    </w:p>
    <w:p w14:paraId="5AD08263" w14:textId="77777777" w:rsidR="005B261C" w:rsidRPr="00461891" w:rsidRDefault="005B261C" w:rsidP="005B261C">
      <w:pPr>
        <w:spacing w:after="0" w:line="276" w:lineRule="auto"/>
        <w:ind w:firstLine="709"/>
        <w:jc w:val="both"/>
        <w:rPr>
          <w:rFonts w:ascii="Verdana" w:eastAsia="Calibri" w:hAnsi="Verdana" w:cs="Arial"/>
        </w:rPr>
      </w:pPr>
    </w:p>
    <w:p w14:paraId="0C26FF89" w14:textId="77777777" w:rsidR="005B261C" w:rsidRPr="00461891" w:rsidRDefault="005B261C" w:rsidP="005B261C">
      <w:pPr>
        <w:spacing w:after="0" w:line="240" w:lineRule="auto"/>
        <w:ind w:left="709" w:right="709"/>
        <w:jc w:val="both"/>
        <w:rPr>
          <w:rFonts w:ascii="Verdana" w:eastAsia="Calibri" w:hAnsi="Verdana" w:cs="Arial"/>
          <w:sz w:val="20"/>
          <w:szCs w:val="20"/>
        </w:rPr>
      </w:pPr>
      <w:r w:rsidRPr="00461891">
        <w:rPr>
          <w:rFonts w:ascii="Verdana" w:eastAsia="Calibri" w:hAnsi="Verdana" w:cs="Arial"/>
          <w:sz w:val="20"/>
          <w:szCs w:val="20"/>
        </w:rPr>
        <w:t>“a) garantizar la igualdad y equidad entre los candidatos que aspiran a ocupar cargos de elección popular, b) evitar que la voluntad de los electores sea influenciada por la acción u omisión de los servidores públicos, c) asegurar la objetividad y transparencia en las decisiones administrativas, d) impedir que el empleo público se utilice para obtener votos de los servidores o sus allegados, e) proteger al empleado que tiene una inclinación política distinta al nominador, y f) imposibilitar que las vinculaciones al Estado se utilicen como un mecanismo para buscar favores políticos durante las contiendas electorales”</w:t>
      </w:r>
      <w:r w:rsidRPr="00461891">
        <w:rPr>
          <w:rFonts w:ascii="Verdana" w:eastAsia="Calibri" w:hAnsi="Verdana" w:cs="Arial"/>
          <w:sz w:val="20"/>
          <w:szCs w:val="20"/>
          <w:vertAlign w:val="superscript"/>
        </w:rPr>
        <w:footnoteReference w:id="19"/>
      </w:r>
      <w:r w:rsidRPr="00461891">
        <w:rPr>
          <w:rFonts w:ascii="Verdana" w:eastAsia="Calibri" w:hAnsi="Verdana" w:cs="Arial"/>
          <w:sz w:val="20"/>
          <w:szCs w:val="20"/>
        </w:rPr>
        <w:t>. </w:t>
      </w:r>
    </w:p>
    <w:p w14:paraId="4F25F001" w14:textId="77777777" w:rsidR="005B261C" w:rsidRPr="00461891" w:rsidRDefault="005B261C" w:rsidP="005B261C">
      <w:pPr>
        <w:widowControl w:val="0"/>
        <w:autoSpaceDE w:val="0"/>
        <w:autoSpaceDN w:val="0"/>
        <w:spacing w:after="0" w:line="276" w:lineRule="auto"/>
        <w:ind w:firstLine="709"/>
        <w:contextualSpacing/>
        <w:jc w:val="both"/>
        <w:rPr>
          <w:rFonts w:ascii="Verdana" w:eastAsia="Calibri" w:hAnsi="Verdana" w:cs="Arial"/>
          <w:lang w:eastAsia="es-ES" w:bidi="es-ES"/>
        </w:rPr>
      </w:pPr>
    </w:p>
    <w:p w14:paraId="7D7529E8" w14:textId="77777777" w:rsidR="005B261C" w:rsidRPr="00461891" w:rsidRDefault="005B261C" w:rsidP="005B261C">
      <w:pPr>
        <w:widowControl w:val="0"/>
        <w:autoSpaceDE w:val="0"/>
        <w:autoSpaceDN w:val="0"/>
        <w:spacing w:after="0" w:line="276" w:lineRule="auto"/>
        <w:ind w:firstLine="709"/>
        <w:contextualSpacing/>
        <w:jc w:val="both"/>
        <w:rPr>
          <w:rFonts w:ascii="Verdana" w:eastAsia="Calibri" w:hAnsi="Verdana" w:cs="Arial"/>
          <w:lang w:eastAsia="es-ES" w:bidi="es-ES"/>
        </w:rPr>
      </w:pPr>
      <w:r w:rsidRPr="00461891">
        <w:rPr>
          <w:rFonts w:ascii="Verdana" w:eastAsia="Calibri" w:hAnsi="Verdana" w:cs="Arial"/>
          <w:lang w:eastAsia="es-ES" w:bidi="es-ES"/>
        </w:rPr>
        <w:t>Así las cosas, las restricciones establecidas en la Ley de Garantías Electorales buscan cumplir el propósito de proteger la democracia participativa y la igualdad entre candidatos, independientemente de la naturaleza de la elección. Por ello, la Ley de Garantías debe ser aplicada sin distinción asegurando que, tanto en elecciones ordinarias como las atípicas, se mantenga la integridad del proceso electoral. Sobre el particular, el Consejo Nacional Electoral en concepto 9519 del 14 de octubre de 2020</w:t>
      </w:r>
      <w:r w:rsidRPr="00461891">
        <w:rPr>
          <w:rFonts w:ascii="Verdana" w:eastAsia="Calibri" w:hAnsi="Verdana" w:cs="Arial"/>
          <w:vertAlign w:val="superscript"/>
          <w:lang w:eastAsia="es-ES" w:bidi="es-ES"/>
        </w:rPr>
        <w:footnoteReference w:id="20"/>
      </w:r>
      <w:r w:rsidRPr="00461891">
        <w:rPr>
          <w:rFonts w:ascii="Verdana" w:eastAsia="Calibri" w:hAnsi="Verdana" w:cs="Arial"/>
          <w:lang w:eastAsia="es-ES" w:bidi="es-ES"/>
        </w:rPr>
        <w:t xml:space="preserve">, frente a la aplicación de la ley de garantías en elecciones atípicas señaló lo siguiente: </w:t>
      </w:r>
    </w:p>
    <w:p w14:paraId="12D5976E" w14:textId="77777777" w:rsidR="005B261C" w:rsidRPr="00461891" w:rsidRDefault="005B261C" w:rsidP="005B261C">
      <w:pPr>
        <w:widowControl w:val="0"/>
        <w:autoSpaceDE w:val="0"/>
        <w:autoSpaceDN w:val="0"/>
        <w:spacing w:after="0" w:line="276" w:lineRule="auto"/>
        <w:ind w:firstLine="709"/>
        <w:contextualSpacing/>
        <w:jc w:val="both"/>
        <w:rPr>
          <w:rFonts w:ascii="Verdana" w:eastAsia="Calibri" w:hAnsi="Verdana" w:cs="Arial"/>
          <w:lang w:eastAsia="es-ES" w:bidi="es-ES"/>
        </w:rPr>
      </w:pPr>
    </w:p>
    <w:p w14:paraId="271F0B0A" w14:textId="77777777" w:rsidR="005B261C" w:rsidRPr="00461891" w:rsidRDefault="005B261C" w:rsidP="005B261C">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eastAsia="Calibri" w:hAnsi="Verdana" w:cs="Arial"/>
          <w:sz w:val="20"/>
          <w:szCs w:val="20"/>
          <w:lang w:eastAsia="es-ES" w:bidi="es-ES"/>
        </w:rPr>
        <w:t xml:space="preserve">“En esta elección atípica como evento electoral extraordinario que se realiza por fuera del calendario electoral ordinario, con el fin de cubrir la vacancia absoluta de un mandatario y elegir una autoridad por el tiempo que resta del periodo constitucional del cargo, siempre y cuando esta vacancia se registre faltando 18 meses o más para la terminación de dicho periodo, como es el caso concreto </w:t>
      </w:r>
      <w:r w:rsidRPr="00461891">
        <w:rPr>
          <w:rFonts w:ascii="Verdana" w:eastAsia="Calibri" w:hAnsi="Verdana" w:cs="Arial"/>
          <w:i/>
          <w:iCs/>
          <w:sz w:val="20"/>
          <w:szCs w:val="20"/>
          <w:lang w:eastAsia="es-ES" w:bidi="es-ES"/>
        </w:rPr>
        <w:t>solo le es aplicable de la Ley 996 de 2005 el parágrafo del artículo 38</w:t>
      </w:r>
      <w:r w:rsidRPr="00461891">
        <w:rPr>
          <w:rFonts w:ascii="Verdana" w:eastAsia="Calibri" w:hAnsi="Verdana" w:cs="Arial"/>
          <w:sz w:val="20"/>
          <w:szCs w:val="20"/>
          <w:lang w:eastAsia="es-ES" w:bidi="es-ES"/>
        </w:rPr>
        <w:t xml:space="preserve"> y enunciado en el numeral 3.1.2 de los fundamentos jurídicos.</w:t>
      </w:r>
    </w:p>
    <w:p w14:paraId="6CF73B53" w14:textId="77777777" w:rsidR="005B261C" w:rsidRPr="00461891" w:rsidRDefault="005B261C" w:rsidP="005B261C">
      <w:pPr>
        <w:widowControl w:val="0"/>
        <w:autoSpaceDE w:val="0"/>
        <w:autoSpaceDN w:val="0"/>
        <w:spacing w:after="0" w:line="240" w:lineRule="auto"/>
        <w:ind w:firstLine="709"/>
        <w:contextualSpacing/>
        <w:jc w:val="both"/>
        <w:rPr>
          <w:rFonts w:ascii="Verdana" w:eastAsia="Calibri" w:hAnsi="Verdana" w:cs="Arial"/>
          <w:sz w:val="20"/>
          <w:szCs w:val="20"/>
          <w:lang w:eastAsia="es-ES" w:bidi="es-ES"/>
        </w:rPr>
      </w:pPr>
    </w:p>
    <w:p w14:paraId="63ABBDEF" w14:textId="77777777" w:rsidR="005B261C" w:rsidRPr="00461891" w:rsidRDefault="005B261C" w:rsidP="005B261C">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Por lo expuesto, en los procesos </w:t>
      </w:r>
      <w:proofErr w:type="spellStart"/>
      <w:r w:rsidRPr="00461891">
        <w:rPr>
          <w:rFonts w:ascii="Verdana" w:hAnsi="Verdana"/>
          <w:sz w:val="20"/>
          <w:szCs w:val="20"/>
        </w:rPr>
        <w:t>pre-electorales</w:t>
      </w:r>
      <w:proofErr w:type="spellEnd"/>
      <w:r w:rsidRPr="00461891">
        <w:rPr>
          <w:rFonts w:ascii="Verdana" w:hAnsi="Verdana"/>
          <w:sz w:val="20"/>
          <w:szCs w:val="20"/>
        </w:rPr>
        <w:t xml:space="preserve"> de estas elecciones atípicos para Alcaldía Municipal, deben seguirse las siguientes reglas: </w:t>
      </w:r>
    </w:p>
    <w:p w14:paraId="4EA2717C" w14:textId="77777777" w:rsidR="005B261C" w:rsidRPr="00461891" w:rsidRDefault="005B261C" w:rsidP="005B261C">
      <w:pPr>
        <w:widowControl w:val="0"/>
        <w:autoSpaceDE w:val="0"/>
        <w:autoSpaceDN w:val="0"/>
        <w:spacing w:after="0" w:line="240" w:lineRule="auto"/>
        <w:ind w:left="709" w:right="616"/>
        <w:contextualSpacing/>
        <w:jc w:val="both"/>
        <w:rPr>
          <w:rFonts w:ascii="Verdana" w:hAnsi="Verdana"/>
          <w:sz w:val="20"/>
          <w:szCs w:val="20"/>
        </w:rPr>
      </w:pPr>
    </w:p>
    <w:p w14:paraId="48E87EF5" w14:textId="77777777" w:rsidR="005B261C" w:rsidRPr="00461891" w:rsidRDefault="005B261C" w:rsidP="005B261C">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 xml:space="preserve">a) Los gobernadores, alcaldes municipales o distritales, secretarios, gerentes y directores de las entidades descentralizadas del orden municipal, departamental o distrital no pueden celebrar convenios interadministrativos para la ejecución de recursos públicos, ni participar, </w:t>
      </w:r>
      <w:r w:rsidRPr="00461891">
        <w:rPr>
          <w:rFonts w:ascii="Verdana" w:hAnsi="Verdana"/>
          <w:sz w:val="20"/>
          <w:szCs w:val="20"/>
        </w:rPr>
        <w:lastRenderedPageBreak/>
        <w:t xml:space="preserve">promover o destinar recursos públicos de las entidades a su cargo, como tampoco de las que participen como miembros de sus juntas directivas, en o para reuniones de carácter proselitista dentro de los cuatro (4) meses anteriores a las elecciones. </w:t>
      </w:r>
    </w:p>
    <w:p w14:paraId="1A5B5FD6" w14:textId="77777777" w:rsidR="005B261C" w:rsidRPr="00461891" w:rsidRDefault="005B261C" w:rsidP="005B261C">
      <w:pPr>
        <w:widowControl w:val="0"/>
        <w:autoSpaceDE w:val="0"/>
        <w:autoSpaceDN w:val="0"/>
        <w:spacing w:after="0" w:line="240" w:lineRule="auto"/>
        <w:ind w:left="709" w:right="616"/>
        <w:contextualSpacing/>
        <w:jc w:val="both"/>
        <w:rPr>
          <w:rFonts w:ascii="Verdana" w:hAnsi="Verdana"/>
          <w:sz w:val="20"/>
          <w:szCs w:val="20"/>
        </w:rPr>
      </w:pPr>
    </w:p>
    <w:p w14:paraId="3E785E9F" w14:textId="77777777" w:rsidR="005B261C" w:rsidRPr="00461891" w:rsidRDefault="005B261C" w:rsidP="005B261C">
      <w:pPr>
        <w:widowControl w:val="0"/>
        <w:autoSpaceDE w:val="0"/>
        <w:autoSpaceDN w:val="0"/>
        <w:spacing w:after="0" w:line="240" w:lineRule="auto"/>
        <w:ind w:left="709" w:right="616"/>
        <w:contextualSpacing/>
        <w:jc w:val="both"/>
        <w:rPr>
          <w:rFonts w:ascii="Verdana" w:hAnsi="Verdana"/>
          <w:sz w:val="20"/>
          <w:szCs w:val="20"/>
        </w:rPr>
      </w:pPr>
      <w:r w:rsidRPr="00461891">
        <w:rPr>
          <w:rFonts w:ascii="Verdana" w:hAnsi="Verdana"/>
          <w:sz w:val="20"/>
          <w:szCs w:val="20"/>
        </w:rPr>
        <w:t>(….)</w:t>
      </w:r>
    </w:p>
    <w:p w14:paraId="2AD2D759" w14:textId="77777777" w:rsidR="005B261C" w:rsidRPr="00461891" w:rsidRDefault="005B261C" w:rsidP="005B261C">
      <w:pPr>
        <w:widowControl w:val="0"/>
        <w:autoSpaceDE w:val="0"/>
        <w:autoSpaceDN w:val="0"/>
        <w:spacing w:after="0" w:line="240" w:lineRule="auto"/>
        <w:ind w:left="709" w:right="616"/>
        <w:contextualSpacing/>
        <w:jc w:val="both"/>
        <w:rPr>
          <w:rFonts w:ascii="Verdana" w:hAnsi="Verdana"/>
          <w:sz w:val="20"/>
          <w:szCs w:val="20"/>
        </w:rPr>
      </w:pPr>
    </w:p>
    <w:p w14:paraId="759C4626" w14:textId="77777777" w:rsidR="005B261C" w:rsidRPr="00461891" w:rsidRDefault="005B261C" w:rsidP="005B261C">
      <w:pPr>
        <w:widowControl w:val="0"/>
        <w:autoSpaceDE w:val="0"/>
        <w:autoSpaceDN w:val="0"/>
        <w:spacing w:after="0" w:line="240" w:lineRule="auto"/>
        <w:ind w:left="709" w:right="616"/>
        <w:contextualSpacing/>
        <w:jc w:val="both"/>
        <w:rPr>
          <w:rFonts w:ascii="Verdana" w:eastAsia="Calibri" w:hAnsi="Verdana" w:cs="Arial"/>
          <w:sz w:val="20"/>
          <w:szCs w:val="20"/>
          <w:lang w:eastAsia="es-ES" w:bidi="es-ES"/>
        </w:rPr>
      </w:pPr>
      <w:r w:rsidRPr="00461891">
        <w:rPr>
          <w:rFonts w:ascii="Verdana" w:hAnsi="Verdana"/>
          <w:sz w:val="20"/>
          <w:szCs w:val="20"/>
        </w:rPr>
        <w:t>Ahora bien, como se referenció previamente, las normas vigentes establecen que entre el Decreto que convoca a elecciones complementarias, y la votación para las mismas transcurren aproximadamente 60 días o lo que es lo mismo, dos (2) meses. En consecuencia, si la norma establece un plazo aproximado de 60 días para que se celebren las votaciones complementarias, no es posible aplicar al efecto la prohibición de modificar nómina y de celebrar convenios interadministrativos, dentro de los cuatro (4) meses anteriores a las elecciones, contemplados en el parágrafo del artículo 38 de la Ley 996 de 2005”. (Énfasis por fuera de texto)</w:t>
      </w:r>
    </w:p>
    <w:p w14:paraId="073C1153" w14:textId="77777777" w:rsidR="005B261C" w:rsidRPr="00461891" w:rsidRDefault="005B261C" w:rsidP="005B261C">
      <w:pPr>
        <w:widowControl w:val="0"/>
        <w:autoSpaceDE w:val="0"/>
        <w:autoSpaceDN w:val="0"/>
        <w:spacing w:after="0" w:line="276" w:lineRule="auto"/>
        <w:ind w:firstLine="709"/>
        <w:contextualSpacing/>
        <w:jc w:val="both"/>
        <w:rPr>
          <w:rFonts w:ascii="Verdana" w:eastAsia="Calibri" w:hAnsi="Verdana" w:cs="Arial"/>
          <w:lang w:eastAsia="es-ES" w:bidi="es-ES"/>
        </w:rPr>
      </w:pPr>
    </w:p>
    <w:p w14:paraId="267157D3" w14:textId="77777777" w:rsidR="005B261C" w:rsidRPr="00461891" w:rsidRDefault="005B261C" w:rsidP="005B261C">
      <w:pPr>
        <w:widowControl w:val="0"/>
        <w:autoSpaceDE w:val="0"/>
        <w:autoSpaceDN w:val="0"/>
        <w:spacing w:after="120" w:line="276" w:lineRule="auto"/>
        <w:ind w:firstLine="709"/>
        <w:jc w:val="both"/>
        <w:rPr>
          <w:rFonts w:ascii="Verdana" w:eastAsia="Calibri" w:hAnsi="Verdana" w:cs="Arial"/>
          <w:lang w:eastAsia="es-ES" w:bidi="es-ES"/>
        </w:rPr>
      </w:pPr>
      <w:r w:rsidRPr="00461891">
        <w:rPr>
          <w:rFonts w:ascii="Verdana" w:eastAsia="Calibri" w:hAnsi="Verdana" w:cs="Arial"/>
          <w:lang w:eastAsia="es-ES" w:bidi="es-ES"/>
        </w:rPr>
        <w:t xml:space="preserve">Bajo estas consideraciones, se concluye que para las elecciones atípicas de alcaldía resulta aplicable las restricciones señaladas en el parágrafo del artículo 38 de la Ley 996 de 2005, lo que significa que, en materia de contratación estatal, los Alcaldes, los Gobernadores, Alcaldes Municipales y/o Distritales, Secretarios, Gerentes y directores de Entidades Descentralizadas del orden Municipal, Departamental o Distrital, no podrán celebrar convenios interadministrativos para la ejecución de recursos públicos, dentro del periodo en que se convocó a las elecciones atípicas y su votación. </w:t>
      </w:r>
    </w:p>
    <w:p w14:paraId="6542F5BE" w14:textId="77777777" w:rsidR="005B261C" w:rsidRDefault="005B261C" w:rsidP="005B261C">
      <w:pPr>
        <w:widowControl w:val="0"/>
        <w:autoSpaceDE w:val="0"/>
        <w:autoSpaceDN w:val="0"/>
        <w:spacing w:after="120" w:line="276" w:lineRule="auto"/>
        <w:ind w:firstLine="709"/>
        <w:jc w:val="both"/>
        <w:rPr>
          <w:rFonts w:ascii="Verdana" w:eastAsia="Calibri" w:hAnsi="Verdana" w:cs="Arial"/>
          <w:lang w:eastAsia="es-ES" w:bidi="es-ES"/>
        </w:rPr>
      </w:pPr>
      <w:r w:rsidRPr="00461891">
        <w:rPr>
          <w:rFonts w:ascii="Verdana" w:eastAsia="Calibri" w:hAnsi="Verdana" w:cs="Arial"/>
          <w:lang w:eastAsia="es-ES" w:bidi="es-ES"/>
        </w:rPr>
        <w:t xml:space="preserve">Naturalmente, en este caso, las restricciones del parágrafo del artículo 38, como lo expone el Consejo Nacional Electoral, no podrán aplicarse dentro del plazo señalado en la norma, por ello, tendrán lugar respecto del plazo que transcurre entre el momento en que se convoca a elecciones y el día en que se realizan efectivamente conforme con la normatividad vigente. </w:t>
      </w:r>
    </w:p>
    <w:bookmarkEnd w:id="17"/>
    <w:p w14:paraId="5AB2AA35" w14:textId="424CE5D4" w:rsidR="005B261C" w:rsidRDefault="00AB5151" w:rsidP="005B261C">
      <w:pPr>
        <w:widowControl w:val="0"/>
        <w:autoSpaceDE w:val="0"/>
        <w:autoSpaceDN w:val="0"/>
        <w:spacing w:after="0" w:line="276" w:lineRule="auto"/>
        <w:jc w:val="both"/>
        <w:rPr>
          <w:rFonts w:ascii="Verdana" w:hAnsi="Verdana"/>
        </w:rPr>
      </w:pPr>
      <w:r>
        <w:rPr>
          <w:rFonts w:ascii="Verdana" w:hAnsi="Verdana"/>
        </w:rPr>
        <w:t xml:space="preserve">          </w:t>
      </w:r>
      <w:r w:rsidRPr="00DE5508">
        <w:rPr>
          <w:rFonts w:ascii="Verdana" w:hAnsi="Verdana"/>
        </w:rPr>
        <w:t xml:space="preserve">Dentro de este marco, corresponde a cada entidad pública, en ejercicio de su competencia y previa valoración de los elementos fácticos y jurídicos, así como de las disposiciones legales mencionadas, determinar su gestión contractual durante la aplicación de las restricciones de la Ley de Garantías Electorales.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w:t>
      </w:r>
      <w:r w:rsidRPr="00DE5508">
        <w:rPr>
          <w:rFonts w:ascii="Verdana" w:hAnsi="Verdana"/>
        </w:rPr>
        <w:lastRenderedPageBreak/>
        <w:t>cada Entidad definirá la forma de adelantar su gestión contractual, sin que sea atribución de Colombia Compra Eficiente validar sus actuaciones</w:t>
      </w:r>
    </w:p>
    <w:p w14:paraId="47A3FD9A" w14:textId="77777777" w:rsidR="00AB5151" w:rsidRPr="005A6C33" w:rsidRDefault="00AB5151" w:rsidP="005B261C">
      <w:pPr>
        <w:widowControl w:val="0"/>
        <w:autoSpaceDE w:val="0"/>
        <w:autoSpaceDN w:val="0"/>
        <w:spacing w:after="0" w:line="276" w:lineRule="auto"/>
        <w:jc w:val="both"/>
        <w:rPr>
          <w:rFonts w:ascii="Verdana" w:hAnsi="Verdana" w:cs="Arial"/>
          <w:color w:val="000000" w:themeColor="text1"/>
        </w:rPr>
      </w:pPr>
    </w:p>
    <w:p w14:paraId="1338AC91"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0040ED14"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B261C" w:rsidRPr="00115E3D" w14:paraId="0BF4D7F6" w14:textId="77777777" w:rsidTr="008D7291">
        <w:trPr>
          <w:trHeight w:val="335"/>
        </w:trPr>
        <w:tc>
          <w:tcPr>
            <w:tcW w:w="8647" w:type="dxa"/>
          </w:tcPr>
          <w:p w14:paraId="55D3C6CC" w14:textId="77777777" w:rsidR="005B261C" w:rsidRPr="00351650" w:rsidRDefault="005B261C" w:rsidP="005B261C">
            <w:pPr>
              <w:pStyle w:val="Prrafodelista"/>
              <w:numPr>
                <w:ilvl w:val="0"/>
                <w:numId w:val="17"/>
              </w:numPr>
              <w:rPr>
                <w:rFonts w:ascii="Verdana" w:hAnsi="Verdana" w:cs="Arial"/>
                <w:lang w:bidi="es-ES"/>
              </w:rPr>
            </w:pPr>
            <w:r w:rsidRPr="007F4CB0">
              <w:rPr>
                <w:rFonts w:ascii="Verdana" w:hAnsi="Verdana" w:cs="Arial"/>
              </w:rPr>
              <w:t xml:space="preserve"> </w:t>
            </w:r>
            <w:r w:rsidRPr="00351650">
              <w:rPr>
                <w:rFonts w:ascii="Verdana" w:hAnsi="Verdana" w:cs="Arial"/>
              </w:rPr>
              <w:t>Constitución Política: Artículo 127.</w:t>
            </w:r>
          </w:p>
          <w:p w14:paraId="387E523C" w14:textId="77777777" w:rsidR="005B261C" w:rsidRPr="00351650" w:rsidRDefault="005B261C" w:rsidP="005B261C">
            <w:pPr>
              <w:pStyle w:val="Prrafodelista"/>
              <w:numPr>
                <w:ilvl w:val="0"/>
                <w:numId w:val="17"/>
              </w:numPr>
              <w:rPr>
                <w:rFonts w:ascii="Verdana" w:hAnsi="Verdana" w:cs="Arial"/>
                <w:lang w:bidi="es-ES"/>
              </w:rPr>
            </w:pPr>
            <w:r w:rsidRPr="00351650">
              <w:rPr>
                <w:rFonts w:ascii="Verdana" w:hAnsi="Verdana" w:cs="Arial"/>
                <w:bCs/>
                <w:lang w:bidi="es-ES"/>
              </w:rPr>
              <w:t>Ley 996 de 2005: artículos 33 y 38 parágrafo.</w:t>
            </w:r>
          </w:p>
          <w:p w14:paraId="61258CA7" w14:textId="77777777" w:rsidR="005B261C" w:rsidRPr="00351650" w:rsidRDefault="005B261C" w:rsidP="005B261C">
            <w:pPr>
              <w:pStyle w:val="Prrafodelista"/>
              <w:numPr>
                <w:ilvl w:val="0"/>
                <w:numId w:val="17"/>
              </w:numPr>
              <w:rPr>
                <w:rFonts w:ascii="Verdana" w:hAnsi="Verdana" w:cs="Arial"/>
                <w:lang w:bidi="es-ES"/>
              </w:rPr>
            </w:pPr>
            <w:r w:rsidRPr="00351650">
              <w:rPr>
                <w:rFonts w:ascii="Verdana" w:hAnsi="Verdana" w:cs="Arial"/>
              </w:rPr>
              <w:t>Ley 136 de 1994: Artículo 98.</w:t>
            </w:r>
          </w:p>
          <w:p w14:paraId="7891E018" w14:textId="77777777" w:rsidR="005B261C" w:rsidRPr="00351650" w:rsidRDefault="005B261C" w:rsidP="005B261C">
            <w:pPr>
              <w:pStyle w:val="Prrafodelista"/>
              <w:numPr>
                <w:ilvl w:val="0"/>
                <w:numId w:val="17"/>
              </w:numPr>
              <w:rPr>
                <w:rFonts w:ascii="Verdana" w:hAnsi="Verdana" w:cs="Arial"/>
              </w:rPr>
            </w:pPr>
            <w:r w:rsidRPr="00351650">
              <w:rPr>
                <w:rFonts w:ascii="Verdana" w:hAnsi="Verdana" w:cs="Arial"/>
              </w:rPr>
              <w:t>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0F4EFB79" w14:textId="77777777" w:rsidR="005B261C" w:rsidRPr="00351650" w:rsidRDefault="005B261C" w:rsidP="005B261C">
            <w:pPr>
              <w:pStyle w:val="Prrafodelista"/>
              <w:numPr>
                <w:ilvl w:val="0"/>
                <w:numId w:val="17"/>
              </w:numPr>
              <w:rPr>
                <w:rFonts w:ascii="Verdana" w:hAnsi="Verdana" w:cs="Arial"/>
                <w:lang w:val="pt-BR"/>
              </w:rPr>
            </w:pPr>
            <w:r w:rsidRPr="00351650">
              <w:rPr>
                <w:rFonts w:ascii="Verdana" w:hAnsi="Verdana" w:cs="Arial"/>
                <w:lang w:val="pt-BR"/>
              </w:rPr>
              <w:t>Corte Constitucional. Sentencia C-671 de 2015. M.P. Alberto Rojas Ríos.</w:t>
            </w:r>
          </w:p>
          <w:p w14:paraId="64120315" w14:textId="77777777" w:rsidR="005B261C" w:rsidRPr="00351650" w:rsidRDefault="005B261C" w:rsidP="005B261C">
            <w:pPr>
              <w:pStyle w:val="Prrafodelista"/>
              <w:numPr>
                <w:ilvl w:val="0"/>
                <w:numId w:val="17"/>
              </w:numPr>
              <w:rPr>
                <w:rFonts w:ascii="Verdana" w:hAnsi="Verdana" w:cs="Arial"/>
              </w:rPr>
            </w:pPr>
            <w:r w:rsidRPr="00351650">
              <w:rPr>
                <w:rFonts w:ascii="Verdana" w:hAnsi="Verdana" w:cs="Arial"/>
              </w:rPr>
              <w:t xml:space="preserve">Consejo de Estado, Sala de lo Contencioso Administrativo, Sección Primera. Sentencia de 3 de marzo de 2005, expediente número 2004-00823-01(PI). </w:t>
            </w:r>
          </w:p>
          <w:p w14:paraId="220D2A53" w14:textId="77777777" w:rsidR="005B261C" w:rsidRPr="00351650" w:rsidRDefault="005B261C" w:rsidP="005B261C">
            <w:pPr>
              <w:pStyle w:val="Prrafodelista"/>
              <w:numPr>
                <w:ilvl w:val="0"/>
                <w:numId w:val="17"/>
              </w:numPr>
              <w:rPr>
                <w:rFonts w:ascii="Verdana" w:hAnsi="Verdana" w:cs="Arial"/>
              </w:rPr>
            </w:pPr>
            <w:r w:rsidRPr="00351650">
              <w:rPr>
                <w:rFonts w:ascii="Verdana" w:hAnsi="Verdana" w:cs="Arial"/>
              </w:rPr>
              <w:t>Consejo de Estado. Sala de Consulta y Servicio Civil. Concepto del 15 de noviembre de 2007. Radicado 1863. C.P: Luis Fernando Álvarez Jaramillo.</w:t>
            </w:r>
          </w:p>
          <w:p w14:paraId="6E1D88FE" w14:textId="77777777" w:rsidR="005B261C" w:rsidRPr="00351650" w:rsidRDefault="005B261C" w:rsidP="005B261C">
            <w:pPr>
              <w:pStyle w:val="Prrafodelista"/>
              <w:numPr>
                <w:ilvl w:val="0"/>
                <w:numId w:val="17"/>
              </w:numPr>
              <w:rPr>
                <w:rFonts w:ascii="Verdana" w:hAnsi="Verdana" w:cs="Arial"/>
              </w:rPr>
            </w:pPr>
            <w:r w:rsidRPr="00351650">
              <w:rPr>
                <w:rFonts w:ascii="Verdana" w:hAnsi="Verdana" w:cs="Arial"/>
              </w:rPr>
              <w:t xml:space="preserve">Consejo de Estado, Sala de Consulta y Servicio Civil. Concepto de 24 de julio de 2013. Radicado 2166. C. P. Álvaro Namén Vargas.  </w:t>
            </w:r>
          </w:p>
          <w:p w14:paraId="7E1D661D" w14:textId="77777777" w:rsidR="005B261C" w:rsidRPr="00351650" w:rsidRDefault="005B261C" w:rsidP="005B261C">
            <w:pPr>
              <w:pStyle w:val="Prrafodelista"/>
              <w:numPr>
                <w:ilvl w:val="0"/>
                <w:numId w:val="17"/>
              </w:numPr>
              <w:rPr>
                <w:rFonts w:ascii="Verdana" w:hAnsi="Verdana" w:cs="Arial"/>
              </w:rPr>
            </w:pPr>
            <w:r w:rsidRPr="00351650">
              <w:rPr>
                <w:rFonts w:ascii="Verdana" w:hAnsi="Verdana" w:cs="Arial"/>
              </w:rPr>
              <w:t>Consejo de Estado. Sala de Consulta y Servicio Civil. Concepto del 20 de febrero de 2018. Expediente número 12366. Consejero Ponente: Oscar Darío Amaya Navas.</w:t>
            </w:r>
          </w:p>
          <w:p w14:paraId="48E371D4" w14:textId="77777777" w:rsidR="005B261C" w:rsidRPr="00351650" w:rsidRDefault="005B261C" w:rsidP="005B261C">
            <w:pPr>
              <w:pStyle w:val="Prrafodelista"/>
              <w:numPr>
                <w:ilvl w:val="0"/>
                <w:numId w:val="17"/>
              </w:numPr>
              <w:rPr>
                <w:rFonts w:ascii="Verdana" w:hAnsi="Verdana" w:cs="Arial"/>
              </w:rPr>
            </w:pPr>
            <w:r w:rsidRPr="00351650">
              <w:rPr>
                <w:rFonts w:ascii="Verdana" w:hAnsi="Verdana" w:cs="Arial"/>
              </w:rPr>
              <w:t>Consejo de Estado. Sala de Consulta y Servicio Civil. Concepto del 17 de febrero de 2015. Radicado 2269. C.P. William Zambrano Cetina</w:t>
            </w:r>
          </w:p>
          <w:p w14:paraId="58929F44" w14:textId="77777777" w:rsidR="005B261C" w:rsidRPr="00D81159" w:rsidRDefault="005B261C" w:rsidP="005B261C">
            <w:pPr>
              <w:pStyle w:val="Prrafodelista"/>
              <w:widowControl w:val="0"/>
              <w:numPr>
                <w:ilvl w:val="0"/>
                <w:numId w:val="17"/>
              </w:numPr>
              <w:autoSpaceDE w:val="0"/>
              <w:autoSpaceDN w:val="0"/>
              <w:spacing w:after="120" w:line="276" w:lineRule="auto"/>
              <w:jc w:val="both"/>
              <w:rPr>
                <w:rFonts w:ascii="Verdana" w:hAnsi="Verdana" w:cs="Arial"/>
              </w:rPr>
            </w:pPr>
            <w:r w:rsidRPr="00351650">
              <w:rPr>
                <w:rFonts w:ascii="Verdana" w:hAnsi="Verdana" w:cs="Arial"/>
              </w:rPr>
              <w:t>Consejo de Estado, Sala de lo Contencioso Administrativo, Sección Tercera. Auto del 4 de octubre de 2024. Radicado No. 70.313. MP: Fredy Ibarra Martínez</w:t>
            </w:r>
          </w:p>
        </w:tc>
      </w:tr>
    </w:tbl>
    <w:p w14:paraId="4B0DAD3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66BA0CD0" w14:textId="77777777" w:rsidR="005B261C" w:rsidRPr="00115E3D" w:rsidRDefault="005B261C" w:rsidP="005B261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0A8A6381"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7A17FA77" w14:textId="77777777" w:rsidR="005B261C" w:rsidRPr="00AB5151" w:rsidRDefault="005B261C" w:rsidP="005B261C">
      <w:pPr>
        <w:widowControl w:val="0"/>
        <w:autoSpaceDE w:val="0"/>
        <w:autoSpaceDN w:val="0"/>
        <w:spacing w:after="0" w:line="276" w:lineRule="auto"/>
        <w:jc w:val="both"/>
        <w:rPr>
          <w:rStyle w:val="normaltextrun"/>
          <w:rFonts w:ascii="Verdana" w:hAnsi="Verdana" w:cs="Arial"/>
          <w:shd w:val="clear" w:color="auto" w:fill="FFFFFF"/>
          <w:lang w:val="es-ES"/>
        </w:rPr>
      </w:pPr>
      <w:r w:rsidRPr="00AB5151">
        <w:rPr>
          <w:rStyle w:val="normaltextrun"/>
          <w:rFonts w:ascii="Verdana" w:hAnsi="Verdana" w:cs="Arial"/>
          <w:shd w:val="clear" w:color="auto" w:fill="FFFFFF"/>
          <w:lang w:val="es-ES"/>
        </w:rPr>
        <w:t>Sobre las restricciones de la contratación directa y los convenios y contratos interadministrativos en vigencia de la Ley de Garantías Electorales se pronunció esta Subdirección en los conceptos</w:t>
      </w:r>
      <w:r w:rsidRPr="00AB5151">
        <w:rPr>
          <w:rStyle w:val="normaltextrun"/>
          <w:rFonts w:ascii="Verdana" w:hAnsi="Verdana" w:cs="Calibri"/>
          <w:shd w:val="clear" w:color="auto" w:fill="FFFFFF"/>
        </w:rPr>
        <w:t xml:space="preserve"> </w:t>
      </w:r>
      <w:r w:rsidRPr="00AB5151">
        <w:rPr>
          <w:rStyle w:val="normaltextrun"/>
          <w:rFonts w:ascii="Verdana" w:hAnsi="Verdana" w:cs="Arial"/>
          <w:shd w:val="clear" w:color="auto" w:fill="FFFFFF"/>
          <w:lang w:val="es-ES"/>
        </w:rPr>
        <w:t>C</w:t>
      </w:r>
      <w:r w:rsidRPr="00AB5151">
        <w:rPr>
          <w:rFonts w:ascii="Verdana" w:eastAsia="Calibri" w:hAnsi="Verdana" w:cs="Arial"/>
          <w:lang w:eastAsia="en-GB"/>
        </w:rPr>
        <w:t xml:space="preserve"> C-168 del 14 de abril de 2021, </w:t>
      </w:r>
      <w:r w:rsidRPr="00AB5151">
        <w:rPr>
          <w:rFonts w:ascii="Verdana" w:eastAsia="Calibri" w:hAnsi="Verdana" w:cs="Arial"/>
          <w:lang w:val="es-ES" w:eastAsia="es-ES_tradnl"/>
        </w:rPr>
        <w:t xml:space="preserve">C-585 de 15 de octubre de 2021, C-639 del 14 de marzo de 2021, </w:t>
      </w:r>
      <w:r w:rsidRPr="00AB5151">
        <w:rPr>
          <w:rFonts w:ascii="Verdana" w:eastAsia="Calibri" w:hAnsi="Verdana" w:cs="Arial"/>
          <w:lang w:eastAsia="en-GB"/>
        </w:rPr>
        <w:t xml:space="preserve">C-664 del 1° de </w:t>
      </w:r>
      <w:r w:rsidRPr="00AB5151">
        <w:rPr>
          <w:rFonts w:ascii="Verdana" w:eastAsia="Calibri" w:hAnsi="Verdana" w:cs="Arial"/>
          <w:lang w:eastAsia="en-GB"/>
        </w:rPr>
        <w:lastRenderedPageBreak/>
        <w:t xml:space="preserve">septiembre de 2022, </w:t>
      </w:r>
      <w:r w:rsidRPr="00AB5151">
        <w:rPr>
          <w:rFonts w:ascii="Verdana" w:eastAsia="Calibri" w:hAnsi="Verdana" w:cs="Arial"/>
          <w:lang w:val="es-ES" w:eastAsia="es-ES_tradnl"/>
        </w:rPr>
        <w:t>C-771 del 29 de diciembre de 2022, analizó el régimen de los contratos y los convenios. Por otra parte, en los Conceptos No. 4201913000006135 del 10 de septiembre de 2019,</w:t>
      </w:r>
      <w:r w:rsidRPr="00AB5151">
        <w:rPr>
          <w:rFonts w:ascii="Verdana" w:eastAsia="Times New Roman" w:hAnsi="Verdana" w:cs="Arial"/>
          <w:lang w:eastAsia="es-ES_tradnl"/>
        </w:rPr>
        <w:t xml:space="preserve"> </w:t>
      </w:r>
      <w:r w:rsidRPr="00AB5151">
        <w:rPr>
          <w:rFonts w:ascii="Verdana" w:eastAsia="Calibri" w:hAnsi="Verdana" w:cs="Arial"/>
          <w:lang w:val="es-ES" w:eastAsia="es-ES_tradnl"/>
        </w:rPr>
        <w:t xml:space="preserve">4201912000004117 del 17 de septiembre de 2019, C-140 del 31 de abril de 2020, C-223 del 29 de abril de 2020, C-477 del 27 de julio de 2020, C-656 del 17 de noviembre de 2020, C-763 del 7 de enero de 2021, C-785 del 18 de enero de 2021, C-155 del 14 de abril de 2021, C-364 del 28 de julio de 2021, C-394 del 17 de septiembre de 2021, C-627 del 25 de octubre de 2021, C-002 del 15 de febrero de 2022, C-008 del 25 de febrero de 2022, C-079 del 18 de marzo de 2022, C-092 del 16 de marzo de 2022, C-107 del 18 de marzo de 2022, C-116 del 18 de febrero de 2022, C-119 del 25 de marzo de 2022, C-177 del 8 de abril de 2022, C-185 del 12 de abril de 2022, C-333 del 24 de mayo de 2022, C-390 del 21 de junio de 2022, C-404 del 26 de mayo de 2022, C-435 del 6 de julio de 2022, C-455 del 15 de julio de 2022, C-465 del 21 de julio de 2022, C-559 del 2 de septiembre de 2022, C-576 del 25 de septiembre de 2022, C-588 del 21 de septiembre de 2022, C-682 del 19 de octubre de 2022, C-717 del 31 de octubre de 2022, C-718 del 31 de octubre de 2022, C-729 del 28 de noviembre de 2022, C-730 del 3 de noviembre de 2022, C-740 del 31 de octubre de 2022, C-940 del 29 de diciembre de 2022, C-971 del 28 de febrero de 2023, C-972 del 8 de febrero de 2023 y C-068 del 9 de marzo de 2023 y C-40 del 22 de marzo de 2023 </w:t>
      </w:r>
      <w:r w:rsidRPr="00AB5151">
        <w:rPr>
          <w:rStyle w:val="normaltextrun"/>
          <w:rFonts w:ascii="Verdana" w:hAnsi="Verdana" w:cs="Arial"/>
          <w:shd w:val="clear" w:color="auto" w:fill="FFFFFF"/>
          <w:lang w:val="es-ES"/>
        </w:rPr>
        <w:t xml:space="preserve">, </w:t>
      </w:r>
      <w:r w:rsidRPr="00AB5151">
        <w:rPr>
          <w:rFonts w:ascii="Verdana" w:eastAsia="Arial" w:hAnsi="Verdana" w:cs="Arial"/>
          <w:lang w:val="es-ES_tradnl"/>
        </w:rPr>
        <w:t xml:space="preserve">4201912000004632 del 6 de agosto de 2019, 2201913000005655 del 8 de agosto de 2019, 2201913000006283 del 27 de agosto de 2019, 2201913000006521 del 3 de septiembre de 2019, 2201913000006634 del 6 de septiembre de 2019, 2201913000006639 del 9 de septiembre de 2019, 2201913000007430 del 7 de octubre de 2019, 2201913000007565 del 10 de octubre de 2019, 2201913000008259 del 6 de noviembre de 2019, 2201913000009312 del 17 de diciembre de 2019, </w:t>
      </w:r>
      <w:r w:rsidRPr="00AB5151">
        <w:rPr>
          <w:rFonts w:ascii="Verdana" w:eastAsia="Calibri" w:hAnsi="Verdana" w:cs="Arial"/>
          <w:bCs/>
          <w:lang w:val="es-ES_tradnl"/>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w:t>
      </w:r>
      <w:r w:rsidRPr="00AB5151">
        <w:rPr>
          <w:rFonts w:ascii="Verdana" w:eastAsia="Calibri" w:hAnsi="Verdana" w:cs="Arial"/>
          <w:bCs/>
          <w:lang w:val="es-ES_tradnl"/>
        </w:rPr>
        <w:lastRenderedPageBreak/>
        <w:t xml:space="preserve">de 2021, C-557 del 7 de octubre de 2021, C-563 del 8 de octubre de 2021, C-606 del 3 de noviembre de 2021, C-614 del 2 de noviembre de 2021, C-633 del 11 de noviembre de 2021, C-634 del 11 de noviembre de 2021, C-636 del 16 de noviembre de 2021, C-677 del 4 de diciembre de 2021, C-695 del 22 de diciembre de 2021, </w:t>
      </w:r>
      <w:r w:rsidRPr="00AB5151">
        <w:rPr>
          <w:rFonts w:ascii="Verdana" w:eastAsia="Calibri" w:hAnsi="Verdana" w:cs="Arial"/>
          <w:bCs/>
        </w:rPr>
        <w:t xml:space="preserve">C-015 del 12 de enero de 2022, C-037 del 21 de enero de 2022, </w:t>
      </w:r>
      <w:r w:rsidRPr="00AB5151">
        <w:rPr>
          <w:rFonts w:ascii="Verdana" w:eastAsia="Calibri" w:hAnsi="Verdana" w:cs="Arial"/>
          <w:lang w:val="es-ES_tradnl"/>
        </w:rPr>
        <w:t xml:space="preserve">C-715 del 21 de enero de 2022, C-718 del 24 de enero de 2022, C-726 del 24 de enero de 2022, C-014 de 18 de febrero de 2022, C- 023 del 22 de febrero de 2022, </w:t>
      </w:r>
      <w:r w:rsidRPr="00AB5151">
        <w:rPr>
          <w:rFonts w:ascii="Verdana" w:eastAsia="Calibri" w:hAnsi="Verdana" w:cs="Arial"/>
          <w:bCs/>
        </w:rPr>
        <w:t xml:space="preserve">C-107 del 18 de marzo de 2022, C-122 del 18 de marzo de 2022, C-156 del 28 de marzo de 2022 y C-183 del 7 de abril de 2022. </w:t>
      </w:r>
      <w:r w:rsidRPr="00AB5151">
        <w:rPr>
          <w:rStyle w:val="normaltextrun"/>
          <w:rFonts w:ascii="Verdana" w:hAnsi="Verdana" w:cs="Arial"/>
          <w:shd w:val="clear" w:color="auto" w:fill="FFFFFF"/>
          <w:lang w:val="es-ES"/>
        </w:rPr>
        <w:t xml:space="preserve"> Es</w:t>
      </w:r>
      <w:r w:rsidRPr="00AB5151">
        <w:rPr>
          <w:rFonts w:ascii="Verdana" w:hAnsi="Verdana"/>
        </w:rPr>
        <w:t>tos y otros conceptos se encuentran disponibles para consulta en el Sistema de relatoría de la Agencia, al cual se puede acceder a través del siguiente enlace:</w:t>
      </w:r>
      <w:r w:rsidRPr="00AB5151">
        <w:rPr>
          <w:rStyle w:val="normaltextrun"/>
          <w:rFonts w:ascii="Verdana" w:hAnsi="Verdana" w:cs="Arial"/>
          <w:shd w:val="clear" w:color="auto" w:fill="FFFFFF"/>
          <w:lang w:val="es-ES"/>
        </w:rPr>
        <w:t xml:space="preserve"> </w:t>
      </w:r>
      <w:hyperlink r:id="rId12" w:history="1">
        <w:r w:rsidRPr="00AB5151">
          <w:rPr>
            <w:rStyle w:val="Hipervnculo"/>
            <w:rFonts w:ascii="Verdana" w:hAnsi="Verdana" w:cs="Arial"/>
            <w:shd w:val="clear" w:color="auto" w:fill="FFFFFF"/>
            <w:lang w:val="es-ES"/>
          </w:rPr>
          <w:t>https://relatoria.colombiacompra.gov.co/busqueda/conceptos</w:t>
        </w:r>
      </w:hyperlink>
      <w:r w:rsidRPr="00AB5151">
        <w:rPr>
          <w:rStyle w:val="normaltextrun"/>
          <w:rFonts w:ascii="Verdana" w:hAnsi="Verdana" w:cs="Arial"/>
          <w:shd w:val="clear" w:color="auto" w:fill="FFFFFF"/>
          <w:lang w:val="es-ES"/>
        </w:rPr>
        <w:t xml:space="preserve">. </w:t>
      </w:r>
    </w:p>
    <w:p w14:paraId="1F37605E" w14:textId="77777777" w:rsidR="005B261C" w:rsidRPr="00115E3D" w:rsidRDefault="005B261C" w:rsidP="005B261C">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2A78B2FE" w14:textId="77777777" w:rsidR="005B261C" w:rsidRPr="00115E3D" w:rsidRDefault="005B261C" w:rsidP="005B261C">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737780A1" w14:textId="77777777" w:rsidR="005B261C" w:rsidRPr="00115E3D" w:rsidRDefault="005B261C" w:rsidP="005B261C">
      <w:pPr>
        <w:spacing w:after="0" w:line="240" w:lineRule="auto"/>
        <w:jc w:val="both"/>
        <w:rPr>
          <w:rFonts w:ascii="Verdana" w:hAnsi="Verdana"/>
          <w:color w:val="000000" w:themeColor="text1"/>
        </w:rPr>
      </w:pPr>
    </w:p>
    <w:p w14:paraId="4A8E8FD5"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5A30B538"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proofErr w:type="spellStart"/>
      <w:r w:rsidRPr="00115E3D">
        <w:rPr>
          <w:rStyle w:val="Hipervnculo"/>
          <w:rFonts w:ascii="Verdana" w:hAnsi="Verdana"/>
          <w:color w:val="000000" w:themeColor="text1"/>
        </w:rPr>
        <w:t>ColombiaCompraEficiente</w:t>
      </w:r>
      <w:proofErr w:type="spellEnd"/>
    </w:p>
    <w:p w14:paraId="19A51331" w14:textId="77777777" w:rsidR="005B261C" w:rsidRPr="00115E3D" w:rsidRDefault="005B261C" w:rsidP="005B261C">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6CDDFD37"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1B480C96"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361795A8" w14:textId="77777777" w:rsidR="005B261C" w:rsidRPr="00115E3D" w:rsidRDefault="005B261C" w:rsidP="005B261C">
      <w:pPr>
        <w:widowControl w:val="0"/>
        <w:autoSpaceDE w:val="0"/>
        <w:autoSpaceDN w:val="0"/>
        <w:spacing w:after="0" w:line="276" w:lineRule="auto"/>
        <w:jc w:val="both"/>
        <w:rPr>
          <w:rFonts w:ascii="Verdana" w:hAnsi="Verdana" w:cs="Arial"/>
          <w:color w:val="000000" w:themeColor="text1"/>
        </w:rPr>
      </w:pPr>
    </w:p>
    <w:p w14:paraId="41D52C97" w14:textId="77777777" w:rsidR="005B261C" w:rsidRPr="00115E3D" w:rsidRDefault="005B261C" w:rsidP="005B261C">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57C3358D" w14:textId="40FA0869" w:rsidR="00AB5151" w:rsidRDefault="00AB5151" w:rsidP="005B261C">
      <w:pPr>
        <w:spacing w:line="276" w:lineRule="auto"/>
        <w:jc w:val="center"/>
        <w:rPr>
          <w:noProof/>
        </w:rPr>
      </w:pPr>
    </w:p>
    <w:p w14:paraId="48EAA733" w14:textId="3F6CD07B" w:rsidR="00393132" w:rsidRDefault="00393132" w:rsidP="005B261C">
      <w:pPr>
        <w:spacing w:line="276" w:lineRule="auto"/>
        <w:jc w:val="center"/>
        <w:rPr>
          <w:noProof/>
        </w:rPr>
      </w:pPr>
      <w:r>
        <w:rPr>
          <w:noProof/>
        </w:rPr>
        <w:drawing>
          <wp:inline distT="0" distB="0" distL="0" distR="0" wp14:anchorId="04A27A50" wp14:editId="4682E923">
            <wp:extent cx="3335655" cy="1431939"/>
            <wp:effectExtent l="0" t="0" r="0" b="0"/>
            <wp:docPr id="132116748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37248" cy="1432623"/>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B261C" w:rsidRPr="00115E3D" w14:paraId="62B6198F" w14:textId="77777777" w:rsidTr="006F1A38">
        <w:trPr>
          <w:trHeight w:val="315"/>
        </w:trPr>
        <w:tc>
          <w:tcPr>
            <w:tcW w:w="893" w:type="dxa"/>
            <w:vAlign w:val="center"/>
            <w:hideMark/>
          </w:tcPr>
          <w:p w14:paraId="22558D1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1F7BB" w14:textId="474BC748" w:rsidR="005B261C" w:rsidRPr="00115E3D" w:rsidRDefault="00AB5151" w:rsidP="006F1A38">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w:t>
            </w:r>
            <w:r w:rsidR="005B261C">
              <w:rPr>
                <w:rFonts w:ascii="Verdana" w:eastAsia="Arial" w:hAnsi="Verdana" w:cs="Arial"/>
                <w:color w:val="000000" w:themeColor="text1"/>
                <w:sz w:val="16"/>
                <w:szCs w:val="16"/>
              </w:rPr>
              <w:t xml:space="preserve"> </w:t>
            </w:r>
          </w:p>
          <w:p w14:paraId="17599502" w14:textId="11540CED" w:rsidR="005B261C" w:rsidRPr="00115E3D" w:rsidRDefault="00AB5151" w:rsidP="006F1A38">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005B261C" w:rsidRPr="00115E3D">
              <w:rPr>
                <w:rStyle w:val="normaltextrun"/>
                <w:rFonts w:ascii="Verdana" w:eastAsia="Arial" w:hAnsi="Verdana" w:cs="Arial"/>
                <w:color w:val="000000" w:themeColor="text1"/>
                <w:sz w:val="16"/>
                <w:szCs w:val="16"/>
              </w:rPr>
              <w:t>de la Subdirección de Gestión Contractual</w:t>
            </w:r>
          </w:p>
        </w:tc>
      </w:tr>
      <w:tr w:rsidR="005B261C" w:rsidRPr="00115E3D" w14:paraId="7ACE6661" w14:textId="77777777" w:rsidTr="006F1A38">
        <w:trPr>
          <w:trHeight w:val="330"/>
        </w:trPr>
        <w:tc>
          <w:tcPr>
            <w:tcW w:w="893" w:type="dxa"/>
            <w:vAlign w:val="center"/>
            <w:hideMark/>
          </w:tcPr>
          <w:p w14:paraId="7EFF66C0"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lastRenderedPageBreak/>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715D1DB" w14:textId="7956FFD7" w:rsidR="005B261C" w:rsidRPr="00B37171" w:rsidRDefault="00AB5151"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r w:rsidR="005B261C">
              <w:rPr>
                <w:rFonts w:ascii="Verdana" w:hAnsi="Verdana" w:cs="Segoe UI"/>
                <w:color w:val="000000" w:themeColor="text1"/>
                <w:sz w:val="16"/>
                <w:szCs w:val="16"/>
              </w:rPr>
              <w:t xml:space="preserve"> </w:t>
            </w:r>
          </w:p>
          <w:p w14:paraId="0B208D03" w14:textId="77777777" w:rsidR="005B261C" w:rsidRPr="00115E3D" w:rsidRDefault="005B261C" w:rsidP="006F1A38">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5B261C" w:rsidRPr="00115E3D" w14:paraId="0756A38D" w14:textId="77777777" w:rsidTr="006F1A38">
        <w:trPr>
          <w:trHeight w:val="300"/>
        </w:trPr>
        <w:tc>
          <w:tcPr>
            <w:tcW w:w="893" w:type="dxa"/>
            <w:vAlign w:val="center"/>
          </w:tcPr>
          <w:p w14:paraId="5B3AA394" w14:textId="77777777" w:rsidR="005B261C" w:rsidRPr="00115E3D" w:rsidRDefault="005B261C" w:rsidP="006F1A38">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3A246D8"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3384C3C1" w14:textId="77777777" w:rsidR="005B261C" w:rsidRPr="00115E3D" w:rsidRDefault="005B261C" w:rsidP="006F1A38">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4D47E36" w14:textId="77777777" w:rsidR="005B261C" w:rsidRDefault="005B261C" w:rsidP="005B261C"/>
    <w:p w14:paraId="3900974D" w14:textId="77777777" w:rsidR="003D5B0D" w:rsidRPr="005B261C" w:rsidRDefault="003D5B0D" w:rsidP="005B261C"/>
    <w:sectPr w:rsidR="003D5B0D" w:rsidRPr="005B261C"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E77CD" w14:textId="77777777" w:rsidR="00652E2C" w:rsidRDefault="00652E2C" w:rsidP="004A1847">
      <w:pPr>
        <w:spacing w:after="0" w:line="240" w:lineRule="auto"/>
      </w:pPr>
      <w:r>
        <w:separator/>
      </w:r>
    </w:p>
  </w:endnote>
  <w:endnote w:type="continuationSeparator" w:id="0">
    <w:p w14:paraId="005D204F" w14:textId="77777777" w:rsidR="00652E2C" w:rsidRDefault="00652E2C" w:rsidP="004A1847">
      <w:pPr>
        <w:spacing w:after="0" w:line="240" w:lineRule="auto"/>
      </w:pPr>
      <w:r>
        <w:continuationSeparator/>
      </w:r>
    </w:p>
  </w:endnote>
  <w:endnote w:type="continuationNotice" w:id="1">
    <w:p w14:paraId="038237A4" w14:textId="77777777" w:rsidR="00652E2C" w:rsidRDefault="00652E2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42A72B" w14:textId="77777777" w:rsidR="00652E2C" w:rsidRDefault="00652E2C" w:rsidP="004A1847">
      <w:pPr>
        <w:spacing w:after="0" w:line="240" w:lineRule="auto"/>
      </w:pPr>
      <w:r>
        <w:separator/>
      </w:r>
    </w:p>
  </w:footnote>
  <w:footnote w:type="continuationSeparator" w:id="0">
    <w:p w14:paraId="4A9E8FAF" w14:textId="77777777" w:rsidR="00652E2C" w:rsidRDefault="00652E2C" w:rsidP="004A1847">
      <w:pPr>
        <w:spacing w:after="0" w:line="240" w:lineRule="auto"/>
      </w:pPr>
      <w:r>
        <w:continuationSeparator/>
      </w:r>
    </w:p>
  </w:footnote>
  <w:footnote w:type="continuationNotice" w:id="1">
    <w:p w14:paraId="1B182EDB" w14:textId="77777777" w:rsidR="00652E2C" w:rsidRDefault="00652E2C">
      <w:pPr>
        <w:spacing w:after="0" w:line="240" w:lineRule="auto"/>
      </w:pPr>
    </w:p>
  </w:footnote>
  <w:footnote w:id="2">
    <w:p w14:paraId="5E5C5C9A" w14:textId="77777777" w:rsidR="00AB5151" w:rsidRPr="0067738A" w:rsidRDefault="00AB5151" w:rsidP="00AB5151">
      <w:pPr>
        <w:pStyle w:val="Textonotapie"/>
        <w:ind w:firstLine="709"/>
        <w:rPr>
          <w:rFonts w:ascii="Verdana" w:hAnsi="Verdana"/>
          <w:sz w:val="16"/>
          <w:szCs w:val="16"/>
          <w:lang w:val="es-CO"/>
        </w:rPr>
      </w:pPr>
      <w:r w:rsidRPr="0067738A">
        <w:rPr>
          <w:rStyle w:val="Refdenotaalpie"/>
          <w:rFonts w:ascii="Verdana" w:hAnsi="Verdana"/>
          <w:sz w:val="16"/>
          <w:szCs w:val="16"/>
        </w:rPr>
        <w:footnoteRef/>
      </w:r>
      <w:r w:rsidRPr="0067738A">
        <w:rPr>
          <w:rFonts w:ascii="Verdana" w:hAnsi="Verdana"/>
          <w:sz w:val="16"/>
          <w:szCs w:val="16"/>
        </w:rPr>
        <w:t xml:space="preserve"> </w:t>
      </w:r>
      <w:hyperlink r:id="rId1" w:history="1">
        <w:r w:rsidRPr="0067738A">
          <w:rPr>
            <w:rStyle w:val="Hipervnculo"/>
            <w:rFonts w:ascii="Verdana" w:hAnsi="Verdana"/>
            <w:sz w:val="16"/>
            <w:szCs w:val="16"/>
          </w:rPr>
          <w:t>https://registraduria.gov.co/Que-son-las-elecciones-atipicas.html</w:t>
        </w:r>
      </w:hyperlink>
      <w:r w:rsidRPr="0067738A">
        <w:rPr>
          <w:rFonts w:ascii="Verdana" w:hAnsi="Verdana"/>
          <w:sz w:val="16"/>
          <w:szCs w:val="16"/>
        </w:rPr>
        <w:t xml:space="preserve"> </w:t>
      </w:r>
    </w:p>
  </w:footnote>
  <w:footnote w:id="3">
    <w:p w14:paraId="18596840" w14:textId="77777777" w:rsidR="00AB5151" w:rsidRPr="0067738A" w:rsidRDefault="00AB5151" w:rsidP="00AB5151">
      <w:pPr>
        <w:pStyle w:val="Textonotapie"/>
        <w:ind w:firstLine="709"/>
        <w:rPr>
          <w:rFonts w:ascii="Verdana" w:hAnsi="Verdana"/>
          <w:sz w:val="16"/>
          <w:szCs w:val="16"/>
          <w:lang w:val="es-CO"/>
        </w:rPr>
      </w:pPr>
      <w:r w:rsidRPr="0067738A">
        <w:rPr>
          <w:rStyle w:val="Refdenotaalpie"/>
          <w:rFonts w:ascii="Verdana" w:hAnsi="Verdana"/>
          <w:sz w:val="16"/>
          <w:szCs w:val="16"/>
        </w:rPr>
        <w:footnoteRef/>
      </w:r>
      <w:r w:rsidRPr="0067738A">
        <w:rPr>
          <w:rFonts w:ascii="Verdana" w:hAnsi="Verdana"/>
          <w:sz w:val="16"/>
          <w:szCs w:val="16"/>
        </w:rPr>
        <w:t xml:space="preserve"> </w:t>
      </w:r>
      <w:r w:rsidRPr="0067738A">
        <w:rPr>
          <w:rFonts w:ascii="Verdana" w:hAnsi="Verdana"/>
          <w:sz w:val="16"/>
          <w:szCs w:val="16"/>
          <w:lang w:val="es-CO"/>
        </w:rPr>
        <w:t>Ley 136 de 1994. Artículo 98</w:t>
      </w:r>
    </w:p>
  </w:footnote>
  <w:footnote w:id="4">
    <w:p w14:paraId="0CB4A9AB" w14:textId="77777777" w:rsidR="005B261C" w:rsidRPr="00FA6811" w:rsidRDefault="005B261C" w:rsidP="005B261C">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1CB45817" w14:textId="0CB18ED3" w:rsidR="005B261C" w:rsidRPr="00FA6811" w:rsidRDefault="005B261C" w:rsidP="005B261C">
      <w:pPr>
        <w:pStyle w:val="Textonotapie"/>
        <w:ind w:firstLine="709"/>
        <w:contextualSpacing/>
        <w:jc w:val="both"/>
        <w:rPr>
          <w:rFonts w:ascii="Verdana" w:hAnsi="Verdana" w:cs="Arial"/>
          <w:sz w:val="16"/>
          <w:szCs w:val="16"/>
        </w:rPr>
      </w:pPr>
      <w:r w:rsidRPr="00FA6811">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5">
    <w:p w14:paraId="4DA421A7" w14:textId="77777777" w:rsidR="005B261C" w:rsidRPr="00FA6811" w:rsidRDefault="005B261C" w:rsidP="005B261C">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Gaceta del Congreso de la República No. 71 del 2005.</w:t>
      </w:r>
    </w:p>
  </w:footnote>
  <w:footnote w:id="6">
    <w:p w14:paraId="2CABDF75" w14:textId="77777777" w:rsidR="005B261C" w:rsidRPr="00B80F4D" w:rsidRDefault="005B261C" w:rsidP="005B261C">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Corte Constitucional, Sentencia C- 1153 de 2005, M.P. Marco Gerardo Monroy Cabra.</w:t>
      </w:r>
    </w:p>
  </w:footnote>
  <w:footnote w:id="7">
    <w:p w14:paraId="58A85289" w14:textId="77777777" w:rsidR="005B261C" w:rsidRPr="00B80F4D" w:rsidRDefault="005B261C" w:rsidP="005B261C">
      <w:pPr>
        <w:pStyle w:val="Textonotapie"/>
        <w:ind w:firstLine="709"/>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B80F4D">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p w14:paraId="4C73331A" w14:textId="77777777" w:rsidR="005B261C" w:rsidRPr="00B80F4D" w:rsidRDefault="005B261C" w:rsidP="005B261C">
      <w:pPr>
        <w:pStyle w:val="Textonotapie"/>
        <w:ind w:firstLine="709"/>
        <w:contextualSpacing/>
        <w:jc w:val="both"/>
        <w:rPr>
          <w:rFonts w:ascii="Verdana" w:hAnsi="Verdana" w:cs="Arial"/>
          <w:sz w:val="16"/>
          <w:szCs w:val="16"/>
          <w:lang w:val="pt-BR"/>
        </w:rPr>
      </w:pPr>
    </w:p>
  </w:footnote>
  <w:footnote w:id="8">
    <w:p w14:paraId="7A7C4468" w14:textId="77777777" w:rsidR="005B261C" w:rsidRPr="00FA6811" w:rsidRDefault="005B261C" w:rsidP="005B261C">
      <w:pPr>
        <w:pStyle w:val="Textonotapie"/>
        <w:ind w:firstLine="709"/>
        <w:contextualSpacing/>
        <w:jc w:val="both"/>
        <w:rPr>
          <w:rFonts w:ascii="Verdana" w:hAnsi="Verdana" w:cs="Arial"/>
          <w:sz w:val="16"/>
          <w:szCs w:val="16"/>
          <w:lang w:val="es-CO"/>
        </w:rPr>
      </w:pPr>
      <w:r w:rsidRPr="00FA6811">
        <w:rPr>
          <w:rStyle w:val="Refdenotaalpie"/>
          <w:rFonts w:ascii="Verdana" w:hAnsi="Verdana" w:cs="Arial"/>
          <w:sz w:val="16"/>
          <w:szCs w:val="16"/>
        </w:rPr>
        <w:footnoteRef/>
      </w:r>
      <w:r w:rsidRPr="00FA6811">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9">
    <w:p w14:paraId="0C59536E" w14:textId="77777777" w:rsidR="005B261C" w:rsidRPr="00FA6811" w:rsidRDefault="005B261C" w:rsidP="005B261C">
      <w:pPr>
        <w:pStyle w:val="Textonotapie"/>
        <w:ind w:firstLine="709"/>
        <w:contextualSpacing/>
        <w:jc w:val="both"/>
        <w:rPr>
          <w:rFonts w:ascii="Verdana" w:hAnsi="Verdana" w:cs="Arial"/>
          <w:sz w:val="16"/>
          <w:szCs w:val="16"/>
        </w:rPr>
      </w:pPr>
    </w:p>
    <w:p w14:paraId="59E249FF" w14:textId="77777777" w:rsidR="005B261C" w:rsidRPr="00FA6811" w:rsidRDefault="005B261C" w:rsidP="005B261C">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Consejo de Estado, Sala de Consulta y Servicio Civil de fecha 24 de julio de 2013, radicado 2166, C. P. Álvaro Namén Vargas.  </w:t>
      </w:r>
    </w:p>
  </w:footnote>
  <w:footnote w:id="10">
    <w:p w14:paraId="593DADD4" w14:textId="77777777" w:rsidR="005B261C" w:rsidRPr="00FA6811" w:rsidRDefault="005B261C" w:rsidP="005B261C">
      <w:pPr>
        <w:spacing w:after="0" w:line="240" w:lineRule="auto"/>
        <w:ind w:firstLine="709"/>
        <w:contextualSpacing/>
        <w:jc w:val="both"/>
        <w:rPr>
          <w:rFonts w:ascii="Verdana" w:eastAsia="Times New Roman"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8" w:name="33"/>
      <w:r w:rsidRPr="00FA6811">
        <w:rPr>
          <w:rFonts w:ascii="Verdana" w:eastAsia="Calibri" w:hAnsi="Verdana" w:cs="Arial"/>
          <w:color w:val="000000"/>
          <w:sz w:val="16"/>
          <w:szCs w:val="16"/>
        </w:rPr>
        <w:t>“</w:t>
      </w:r>
      <w:r w:rsidRPr="00FA6811">
        <w:rPr>
          <w:rFonts w:ascii="Verdana" w:eastAsia="Times New Roman" w:hAnsi="Verdana" w:cs="Arial"/>
          <w:sz w:val="16"/>
          <w:szCs w:val="16"/>
        </w:rPr>
        <w:t>Artículo 33. Restricciones a la contratación pública.</w:t>
      </w:r>
      <w:bookmarkEnd w:id="8"/>
      <w:r w:rsidRPr="00FA6811">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45F46A21" w14:textId="75507FEB" w:rsidR="005B261C" w:rsidRPr="00FA6811" w:rsidRDefault="005B261C" w:rsidP="005B261C">
      <w:pPr>
        <w:spacing w:after="0" w:line="240" w:lineRule="auto"/>
        <w:ind w:firstLine="709"/>
        <w:contextualSpacing/>
        <w:jc w:val="both"/>
        <w:rPr>
          <w:rFonts w:ascii="Verdana" w:eastAsia="Times New Roman" w:hAnsi="Verdana" w:cs="Arial"/>
          <w:sz w:val="16"/>
          <w:szCs w:val="16"/>
        </w:rPr>
      </w:pPr>
      <w:r w:rsidRPr="00FA6811">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A6811">
        <w:rPr>
          <w:rFonts w:ascii="Verdana" w:eastAsia="Calibri" w:hAnsi="Verdana" w:cs="Arial"/>
          <w:color w:val="000000"/>
          <w:sz w:val="16"/>
          <w:szCs w:val="16"/>
        </w:rPr>
        <w:t>”</w:t>
      </w:r>
      <w:r w:rsidRPr="00FA6811">
        <w:rPr>
          <w:rFonts w:ascii="Verdana" w:eastAsia="Times New Roman" w:hAnsi="Verdana" w:cs="Arial"/>
          <w:sz w:val="16"/>
          <w:szCs w:val="16"/>
        </w:rPr>
        <w:t>.</w:t>
      </w:r>
    </w:p>
  </w:footnote>
  <w:footnote w:id="11">
    <w:p w14:paraId="4C9848E2" w14:textId="77777777" w:rsidR="005B261C" w:rsidRPr="00FA6811" w:rsidRDefault="005B261C" w:rsidP="005B261C">
      <w:pPr>
        <w:pStyle w:val="NormalWeb"/>
        <w:spacing w:after="0"/>
        <w:ind w:firstLine="709"/>
        <w:contextualSpacing/>
        <w:jc w:val="both"/>
        <w:rPr>
          <w:rFonts w:ascii="Verdana" w:hAnsi="Verdana" w:cs="Arial"/>
          <w:sz w:val="16"/>
          <w:szCs w:val="16"/>
          <w:lang w:val="es-MX"/>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9" w:name="38"/>
      <w:r w:rsidRPr="00FA6811">
        <w:rPr>
          <w:rFonts w:ascii="Verdana" w:eastAsia="Calibri" w:hAnsi="Verdana" w:cs="Arial"/>
          <w:color w:val="000000"/>
          <w:sz w:val="16"/>
          <w:szCs w:val="16"/>
        </w:rPr>
        <w:t>“</w:t>
      </w:r>
      <w:r w:rsidRPr="00FA6811">
        <w:rPr>
          <w:rFonts w:ascii="Verdana" w:hAnsi="Verdana" w:cs="Arial"/>
          <w:sz w:val="16"/>
          <w:szCs w:val="16"/>
          <w:lang w:val="es-MX"/>
        </w:rPr>
        <w:t>Artículo 38. Prohibiciones para los servidores públicos. A los empleados del Estado les está prohibido:</w:t>
      </w:r>
      <w:bookmarkEnd w:id="9"/>
      <w:r w:rsidRPr="00FA6811">
        <w:rPr>
          <w:rFonts w:ascii="Verdana" w:hAnsi="Verdana" w:cs="Arial"/>
          <w:sz w:val="16"/>
          <w:szCs w:val="16"/>
          <w:lang w:val="es-MX"/>
        </w:rPr>
        <w:t xml:space="preserve"> […]</w:t>
      </w:r>
    </w:p>
    <w:p w14:paraId="31E3DF8B" w14:textId="0630797E" w:rsidR="005B261C" w:rsidRPr="00FA6811" w:rsidRDefault="005B261C" w:rsidP="005B261C">
      <w:pPr>
        <w:pStyle w:val="NormalWeb"/>
        <w:spacing w:after="0"/>
        <w:ind w:firstLine="709"/>
        <w:contextualSpacing/>
        <w:jc w:val="both"/>
        <w:rPr>
          <w:rFonts w:ascii="Verdana" w:hAnsi="Verdana" w:cs="Arial"/>
          <w:sz w:val="16"/>
          <w:szCs w:val="16"/>
          <w:lang w:val="es-MX"/>
        </w:rPr>
      </w:pPr>
      <w:r w:rsidRPr="00FA6811">
        <w:rPr>
          <w:rStyle w:val="baj"/>
          <w:rFonts w:ascii="Verdana" w:hAnsi="Verdana" w:cs="Arial"/>
          <w:sz w:val="16"/>
          <w:szCs w:val="16"/>
          <w:lang w:val="es-MX"/>
        </w:rPr>
        <w:t>Parágrafo.</w:t>
      </w:r>
      <w:r w:rsidRPr="00FA6811">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A6811">
        <w:rPr>
          <w:rFonts w:ascii="Verdana" w:eastAsia="Calibri" w:hAnsi="Verdana" w:cs="Arial"/>
          <w:color w:val="000000"/>
          <w:sz w:val="16"/>
          <w:szCs w:val="16"/>
        </w:rPr>
        <w:t>”</w:t>
      </w:r>
      <w:r w:rsidRPr="00FA6811">
        <w:rPr>
          <w:rFonts w:ascii="Verdana" w:hAnsi="Verdana" w:cs="Arial"/>
          <w:sz w:val="16"/>
          <w:szCs w:val="16"/>
          <w:lang w:val="es-MX"/>
        </w:rPr>
        <w:t>.</w:t>
      </w:r>
    </w:p>
  </w:footnote>
  <w:footnote w:id="12">
    <w:p w14:paraId="0E03B35D" w14:textId="77777777" w:rsidR="005B261C" w:rsidRPr="00FA6811" w:rsidRDefault="005B261C" w:rsidP="005B261C">
      <w:pPr>
        <w:spacing w:after="0" w:line="240" w:lineRule="auto"/>
        <w:ind w:left="100" w:right="244" w:firstLine="709"/>
        <w:contextualSpacing/>
        <w:jc w:val="both"/>
        <w:rPr>
          <w:rFonts w:ascii="Verdana" w:hAnsi="Verdana" w:cs="Arial"/>
          <w:sz w:val="16"/>
          <w:szCs w:val="16"/>
          <w:lang w:val="es-ES"/>
        </w:rPr>
      </w:pPr>
      <w:r w:rsidRPr="00FA6811">
        <w:rPr>
          <w:rStyle w:val="Refdenotaalpie"/>
          <w:rFonts w:ascii="Verdana" w:hAnsi="Verdana" w:cs="Arial"/>
          <w:sz w:val="16"/>
          <w:szCs w:val="16"/>
        </w:rPr>
        <w:footnoteRef/>
      </w:r>
      <w:r w:rsidRPr="00FA6811">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3">
    <w:p w14:paraId="3F049E6C" w14:textId="77777777" w:rsidR="005B261C" w:rsidRPr="00FA6811" w:rsidRDefault="005B261C" w:rsidP="005B261C">
      <w:pPr>
        <w:pStyle w:val="Textonotapie"/>
        <w:ind w:firstLine="708"/>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Es lo que sucede, por ejemplo, con el Decreto 092 de 2017, que en su desarrollo hace referencia tanto a los “contratos” como a los “convenios”. </w:t>
      </w:r>
    </w:p>
  </w:footnote>
  <w:footnote w:id="14">
    <w:p w14:paraId="2F3E7272" w14:textId="77777777" w:rsidR="005B261C" w:rsidRPr="00B80F4D" w:rsidRDefault="005B261C" w:rsidP="005B261C">
      <w:pPr>
        <w:pStyle w:val="Textonotapie"/>
        <w:ind w:firstLine="708"/>
        <w:contextualSpacing/>
        <w:jc w:val="both"/>
        <w:rPr>
          <w:rFonts w:ascii="Verdana" w:hAnsi="Verdana" w:cs="Arial"/>
          <w:sz w:val="16"/>
          <w:szCs w:val="16"/>
          <w:lang w:val="pt-BR"/>
        </w:rPr>
      </w:pPr>
      <w:r w:rsidRPr="00FA6811">
        <w:rPr>
          <w:rStyle w:val="Refdenotaalpie"/>
          <w:rFonts w:ascii="Verdana" w:hAnsi="Verdana" w:cs="Arial"/>
          <w:sz w:val="16"/>
          <w:szCs w:val="16"/>
        </w:rPr>
        <w:footnoteRef/>
      </w:r>
      <w:r w:rsidRPr="00FA6811">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B80F4D">
        <w:rPr>
          <w:rFonts w:ascii="Verdana" w:hAnsi="Verdana" w:cs="Arial"/>
          <w:sz w:val="16"/>
          <w:szCs w:val="16"/>
          <w:lang w:val="pt-BR"/>
        </w:rPr>
        <w:t>(Corte Constitucional. Sentencia C-671 de 2015. M.P. Alberto Rojas Ríos).</w:t>
      </w:r>
    </w:p>
  </w:footnote>
  <w:footnote w:id="15">
    <w:p w14:paraId="09B957C2" w14:textId="77777777" w:rsidR="005B261C" w:rsidRPr="00B80F4D" w:rsidRDefault="005B261C" w:rsidP="005B261C">
      <w:pPr>
        <w:pStyle w:val="Textonotapie"/>
        <w:ind w:firstLine="709"/>
        <w:rPr>
          <w:lang w:val="pt-BR"/>
        </w:rPr>
      </w:pPr>
      <w:r w:rsidRPr="009C55EB">
        <w:rPr>
          <w:rStyle w:val="Refdenotaalpie"/>
        </w:rPr>
        <w:footnoteRef/>
      </w:r>
      <w:r w:rsidRPr="00B80F4D">
        <w:rPr>
          <w:lang w:val="pt-BR"/>
        </w:rPr>
        <w:t xml:space="preserve"> </w:t>
      </w:r>
      <w:r w:rsidRPr="00B80F4D">
        <w:rPr>
          <w:rFonts w:ascii="Verdana" w:hAnsi="Verdana" w:cs="Arial"/>
          <w:sz w:val="16"/>
          <w:szCs w:val="16"/>
          <w:lang w:val="pt-BR"/>
        </w:rPr>
        <w:t>Consejo de Estado, Sala de lo Contencioso Administrativo, Sección Tercera. Auto del 4 de octubre de 2024. Radicado No. 70.313. MP: Fredy Ibarra Martínez</w:t>
      </w:r>
    </w:p>
  </w:footnote>
  <w:footnote w:id="16">
    <w:p w14:paraId="266866E0" w14:textId="77777777" w:rsidR="005B261C" w:rsidRPr="00FA6811" w:rsidRDefault="005B261C" w:rsidP="005B261C">
      <w:pPr>
        <w:pStyle w:val="Textonotapie"/>
        <w:ind w:firstLine="709"/>
        <w:contextualSpacing/>
        <w:jc w:val="both"/>
        <w:rPr>
          <w:rFonts w:ascii="Verdana" w:hAnsi="Verdana" w:cs="Arial"/>
          <w:sz w:val="16"/>
          <w:szCs w:val="16"/>
        </w:rPr>
      </w:pPr>
      <w:r w:rsidRPr="00FA6811">
        <w:rPr>
          <w:rStyle w:val="Refdenotaalpie"/>
          <w:rFonts w:ascii="Verdana" w:hAnsi="Verdana" w:cs="Arial"/>
          <w:sz w:val="16"/>
          <w:szCs w:val="16"/>
        </w:rPr>
        <w:footnoteRef/>
      </w:r>
      <w:r w:rsidRPr="00FA6811">
        <w:rPr>
          <w:rFonts w:ascii="Verdana" w:hAnsi="Verdana" w:cs="Arial"/>
          <w:sz w:val="16"/>
          <w:szCs w:val="16"/>
        </w:rPr>
        <w:t xml:space="preserve"> </w:t>
      </w:r>
      <w:bookmarkStart w:id="20" w:name="_Hlk192533196"/>
      <w:r w:rsidRPr="00FA6811">
        <w:rPr>
          <w:rFonts w:ascii="Verdana" w:hAnsi="Verdana" w:cs="Arial"/>
          <w:sz w:val="16"/>
          <w:szCs w:val="16"/>
        </w:rPr>
        <w:t>Consejo de Estado. Sala de Consulta y Servicio Civil. Concepto del 15 de noviembre de 2007. Expediente número 1863. Consejero Ponente: Luis Fernando Álvarez Jaramillo.</w:t>
      </w:r>
    </w:p>
    <w:bookmarkEnd w:id="20"/>
  </w:footnote>
  <w:footnote w:id="17">
    <w:p w14:paraId="0E3F5819" w14:textId="77777777" w:rsidR="005B261C" w:rsidRPr="0067738A" w:rsidRDefault="005B261C" w:rsidP="005B261C">
      <w:pPr>
        <w:pStyle w:val="Textonotapie"/>
        <w:ind w:firstLine="709"/>
        <w:rPr>
          <w:rFonts w:ascii="Verdana" w:hAnsi="Verdana"/>
          <w:sz w:val="16"/>
          <w:szCs w:val="16"/>
          <w:lang w:val="es-CO"/>
        </w:rPr>
      </w:pPr>
      <w:r w:rsidRPr="0067738A">
        <w:rPr>
          <w:rStyle w:val="Refdenotaalpie"/>
          <w:rFonts w:ascii="Verdana" w:hAnsi="Verdana"/>
          <w:sz w:val="16"/>
          <w:szCs w:val="16"/>
        </w:rPr>
        <w:footnoteRef/>
      </w:r>
      <w:r w:rsidRPr="0067738A">
        <w:rPr>
          <w:rFonts w:ascii="Verdana" w:hAnsi="Verdana"/>
          <w:sz w:val="16"/>
          <w:szCs w:val="16"/>
        </w:rPr>
        <w:t xml:space="preserve"> </w:t>
      </w:r>
      <w:hyperlink r:id="rId2" w:history="1">
        <w:r w:rsidRPr="0067738A">
          <w:rPr>
            <w:rStyle w:val="Hipervnculo"/>
            <w:rFonts w:ascii="Verdana" w:hAnsi="Verdana"/>
            <w:sz w:val="16"/>
            <w:szCs w:val="16"/>
          </w:rPr>
          <w:t>https://registraduria.gov.co/Que-son-las-elecciones-atipicas.html</w:t>
        </w:r>
      </w:hyperlink>
      <w:r w:rsidRPr="0067738A">
        <w:rPr>
          <w:rFonts w:ascii="Verdana" w:hAnsi="Verdana"/>
          <w:sz w:val="16"/>
          <w:szCs w:val="16"/>
        </w:rPr>
        <w:t xml:space="preserve"> </w:t>
      </w:r>
    </w:p>
  </w:footnote>
  <w:footnote w:id="18">
    <w:p w14:paraId="2F237DD1" w14:textId="77777777" w:rsidR="005B261C" w:rsidRPr="0067738A" w:rsidRDefault="005B261C" w:rsidP="005B261C">
      <w:pPr>
        <w:pStyle w:val="Textonotapie"/>
        <w:ind w:firstLine="709"/>
        <w:rPr>
          <w:rFonts w:ascii="Verdana" w:hAnsi="Verdana"/>
          <w:sz w:val="16"/>
          <w:szCs w:val="16"/>
          <w:lang w:val="es-CO"/>
        </w:rPr>
      </w:pPr>
      <w:r w:rsidRPr="0067738A">
        <w:rPr>
          <w:rStyle w:val="Refdenotaalpie"/>
          <w:rFonts w:ascii="Verdana" w:hAnsi="Verdana"/>
          <w:sz w:val="16"/>
          <w:szCs w:val="16"/>
        </w:rPr>
        <w:footnoteRef/>
      </w:r>
      <w:r w:rsidRPr="0067738A">
        <w:rPr>
          <w:rFonts w:ascii="Verdana" w:hAnsi="Verdana"/>
          <w:sz w:val="16"/>
          <w:szCs w:val="16"/>
        </w:rPr>
        <w:t xml:space="preserve"> </w:t>
      </w:r>
      <w:r w:rsidRPr="0067738A">
        <w:rPr>
          <w:rFonts w:ascii="Verdana" w:hAnsi="Verdana"/>
          <w:sz w:val="16"/>
          <w:szCs w:val="16"/>
          <w:lang w:val="es-CO"/>
        </w:rPr>
        <w:t>Ley 136 de 1994. Artículo 98</w:t>
      </w:r>
    </w:p>
  </w:footnote>
  <w:footnote w:id="19">
    <w:p w14:paraId="7F9E8061" w14:textId="77777777" w:rsidR="005B261C" w:rsidRPr="00E776AA" w:rsidRDefault="005B261C" w:rsidP="005B261C">
      <w:pPr>
        <w:pStyle w:val="Textonotapie"/>
        <w:ind w:firstLine="709"/>
        <w:contextualSpacing/>
        <w:jc w:val="both"/>
        <w:rPr>
          <w:rFonts w:ascii="Verdana" w:hAnsi="Verdana" w:cs="Arial"/>
          <w:sz w:val="16"/>
          <w:szCs w:val="16"/>
        </w:rPr>
      </w:pPr>
      <w:r>
        <w:rPr>
          <w:rStyle w:val="Refdenotaalpie"/>
        </w:rPr>
        <w:footnoteRef/>
      </w:r>
      <w:r>
        <w:t xml:space="preserve"> </w:t>
      </w:r>
      <w:r w:rsidRPr="00FA6811">
        <w:rPr>
          <w:rFonts w:ascii="Verdana" w:hAnsi="Verdana" w:cs="Arial"/>
          <w:sz w:val="16"/>
          <w:szCs w:val="16"/>
        </w:rPr>
        <w:t xml:space="preserve">Consejo de Estado. Sala de Consulta y Servicio Civil. Concepto del </w:t>
      </w:r>
      <w:r>
        <w:rPr>
          <w:rFonts w:ascii="Verdana" w:hAnsi="Verdana" w:cs="Arial"/>
          <w:sz w:val="16"/>
          <w:szCs w:val="16"/>
        </w:rPr>
        <w:t>20</w:t>
      </w:r>
      <w:r w:rsidRPr="00FA6811">
        <w:rPr>
          <w:rFonts w:ascii="Verdana" w:hAnsi="Verdana" w:cs="Arial"/>
          <w:sz w:val="16"/>
          <w:szCs w:val="16"/>
        </w:rPr>
        <w:t xml:space="preserve"> de </w:t>
      </w:r>
      <w:r>
        <w:rPr>
          <w:rFonts w:ascii="Verdana" w:hAnsi="Verdana" w:cs="Arial"/>
          <w:sz w:val="16"/>
          <w:szCs w:val="16"/>
        </w:rPr>
        <w:t>febrero</w:t>
      </w:r>
      <w:r w:rsidRPr="00FA6811">
        <w:rPr>
          <w:rFonts w:ascii="Verdana" w:hAnsi="Verdana" w:cs="Arial"/>
          <w:sz w:val="16"/>
          <w:szCs w:val="16"/>
        </w:rPr>
        <w:t xml:space="preserve"> de 20</w:t>
      </w:r>
      <w:r>
        <w:rPr>
          <w:rFonts w:ascii="Verdana" w:hAnsi="Verdana" w:cs="Arial"/>
          <w:sz w:val="16"/>
          <w:szCs w:val="16"/>
        </w:rPr>
        <w:t>18</w:t>
      </w:r>
      <w:r w:rsidRPr="00FA6811">
        <w:rPr>
          <w:rFonts w:ascii="Verdana" w:hAnsi="Verdana" w:cs="Arial"/>
          <w:sz w:val="16"/>
          <w:szCs w:val="16"/>
        </w:rPr>
        <w:t>. Expediente número 1</w:t>
      </w:r>
      <w:r>
        <w:rPr>
          <w:rFonts w:ascii="Verdana" w:hAnsi="Verdana" w:cs="Arial"/>
          <w:sz w:val="16"/>
          <w:szCs w:val="16"/>
        </w:rPr>
        <w:t>2366</w:t>
      </w:r>
      <w:r w:rsidRPr="00FA6811">
        <w:rPr>
          <w:rFonts w:ascii="Verdana" w:hAnsi="Verdana" w:cs="Arial"/>
          <w:sz w:val="16"/>
          <w:szCs w:val="16"/>
        </w:rPr>
        <w:t xml:space="preserve">. Consejero Ponente: </w:t>
      </w:r>
      <w:r>
        <w:rPr>
          <w:rFonts w:ascii="Verdana" w:hAnsi="Verdana" w:cs="Arial"/>
          <w:sz w:val="16"/>
          <w:szCs w:val="16"/>
        </w:rPr>
        <w:t>Oscar Darío Amaya Navas</w:t>
      </w:r>
      <w:r w:rsidRPr="00FA6811">
        <w:rPr>
          <w:rFonts w:ascii="Verdana" w:hAnsi="Verdana" w:cs="Arial"/>
          <w:sz w:val="16"/>
          <w:szCs w:val="16"/>
        </w:rPr>
        <w:t>.</w:t>
      </w:r>
    </w:p>
  </w:footnote>
  <w:footnote w:id="20">
    <w:p w14:paraId="7EB0180C" w14:textId="77777777" w:rsidR="005B261C" w:rsidRPr="00515319" w:rsidRDefault="005B261C" w:rsidP="005B261C">
      <w:pPr>
        <w:pStyle w:val="Textonotapie"/>
        <w:ind w:firstLine="709"/>
        <w:rPr>
          <w:lang w:val="es-CO"/>
        </w:rPr>
      </w:pPr>
      <w:r>
        <w:rPr>
          <w:rStyle w:val="Refdenotaalpie"/>
        </w:rPr>
        <w:footnoteRef/>
      </w:r>
      <w:r>
        <w:t xml:space="preserve"> Disponible en: </w:t>
      </w:r>
      <w:hyperlink r:id="rId3" w:history="1">
        <w:r w:rsidRPr="004C7F35">
          <w:rPr>
            <w:rStyle w:val="Hipervnculo"/>
          </w:rPr>
          <w:t>https://relatoria.cne.gov.co/relatoria/</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444587744" o:spid="_x0000_i1025"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E5A21DE"/>
    <w:multiLevelType w:val="multilevel"/>
    <w:tmpl w:val="0A6C43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2"/>
  </w:num>
  <w:num w:numId="7" w16cid:durableId="1946422806">
    <w:abstractNumId w:val="5"/>
  </w:num>
  <w:num w:numId="8" w16cid:durableId="152644682">
    <w:abstractNumId w:val="11"/>
  </w:num>
  <w:num w:numId="9" w16cid:durableId="1317221377">
    <w:abstractNumId w:val="7"/>
  </w:num>
  <w:num w:numId="10" w16cid:durableId="1471245386">
    <w:abstractNumId w:val="10"/>
  </w:num>
  <w:num w:numId="11" w16cid:durableId="289172385">
    <w:abstractNumId w:val="8"/>
  </w:num>
  <w:num w:numId="12" w16cid:durableId="1470781324">
    <w:abstractNumId w:val="1"/>
  </w:num>
  <w:num w:numId="13" w16cid:durableId="1512908409">
    <w:abstractNumId w:val="3"/>
  </w:num>
  <w:num w:numId="14" w16cid:durableId="895897244">
    <w:abstractNumId w:val="13"/>
  </w:num>
  <w:num w:numId="15" w16cid:durableId="390349800">
    <w:abstractNumId w:val="9"/>
  </w:num>
  <w:num w:numId="16" w16cid:durableId="341274352">
    <w:abstractNumId w:val="0"/>
  </w:num>
  <w:num w:numId="17" w16cid:durableId="101784985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E67"/>
    <w:rsid w:val="00046945"/>
    <w:rsid w:val="00061B2A"/>
    <w:rsid w:val="00082362"/>
    <w:rsid w:val="00096CB6"/>
    <w:rsid w:val="000A683E"/>
    <w:rsid w:val="000B19B9"/>
    <w:rsid w:val="000C5BB0"/>
    <w:rsid w:val="000D0334"/>
    <w:rsid w:val="000F6486"/>
    <w:rsid w:val="00125105"/>
    <w:rsid w:val="00127233"/>
    <w:rsid w:val="00136DDB"/>
    <w:rsid w:val="001511A0"/>
    <w:rsid w:val="00160AE4"/>
    <w:rsid w:val="00184FD0"/>
    <w:rsid w:val="001C2B2F"/>
    <w:rsid w:val="001E4177"/>
    <w:rsid w:val="001F3C2F"/>
    <w:rsid w:val="001F7DC6"/>
    <w:rsid w:val="00236655"/>
    <w:rsid w:val="002421BB"/>
    <w:rsid w:val="00243EB3"/>
    <w:rsid w:val="0025796E"/>
    <w:rsid w:val="00261865"/>
    <w:rsid w:val="002707A2"/>
    <w:rsid w:val="0028627B"/>
    <w:rsid w:val="002951A0"/>
    <w:rsid w:val="002962BC"/>
    <w:rsid w:val="002A093D"/>
    <w:rsid w:val="002A0DD0"/>
    <w:rsid w:val="002A49AC"/>
    <w:rsid w:val="002A5959"/>
    <w:rsid w:val="002A64FD"/>
    <w:rsid w:val="002C7A84"/>
    <w:rsid w:val="002D7BA3"/>
    <w:rsid w:val="002E4FD9"/>
    <w:rsid w:val="00322A85"/>
    <w:rsid w:val="00324168"/>
    <w:rsid w:val="003448F4"/>
    <w:rsid w:val="00374F5E"/>
    <w:rsid w:val="003774DB"/>
    <w:rsid w:val="00377E3E"/>
    <w:rsid w:val="00393132"/>
    <w:rsid w:val="003A779E"/>
    <w:rsid w:val="003D0F4D"/>
    <w:rsid w:val="003D5B0D"/>
    <w:rsid w:val="003E0499"/>
    <w:rsid w:val="003F3941"/>
    <w:rsid w:val="003F4477"/>
    <w:rsid w:val="00406575"/>
    <w:rsid w:val="0041325A"/>
    <w:rsid w:val="00414C74"/>
    <w:rsid w:val="0042722E"/>
    <w:rsid w:val="0044528D"/>
    <w:rsid w:val="004A1847"/>
    <w:rsid w:val="004A305D"/>
    <w:rsid w:val="004B2C42"/>
    <w:rsid w:val="004E6EAC"/>
    <w:rsid w:val="004F21C4"/>
    <w:rsid w:val="004F685F"/>
    <w:rsid w:val="0055236C"/>
    <w:rsid w:val="005566E8"/>
    <w:rsid w:val="00574867"/>
    <w:rsid w:val="005762D6"/>
    <w:rsid w:val="00591460"/>
    <w:rsid w:val="005B261C"/>
    <w:rsid w:val="005B3816"/>
    <w:rsid w:val="005C3777"/>
    <w:rsid w:val="005C5CDC"/>
    <w:rsid w:val="005D476C"/>
    <w:rsid w:val="0060028A"/>
    <w:rsid w:val="00612C81"/>
    <w:rsid w:val="006219F8"/>
    <w:rsid w:val="00632FA8"/>
    <w:rsid w:val="00652E2C"/>
    <w:rsid w:val="00665D70"/>
    <w:rsid w:val="006900D9"/>
    <w:rsid w:val="00692C49"/>
    <w:rsid w:val="006C1950"/>
    <w:rsid w:val="00706C16"/>
    <w:rsid w:val="0071184A"/>
    <w:rsid w:val="00713684"/>
    <w:rsid w:val="0071623C"/>
    <w:rsid w:val="007223C5"/>
    <w:rsid w:val="00732281"/>
    <w:rsid w:val="00746725"/>
    <w:rsid w:val="00756841"/>
    <w:rsid w:val="007649AB"/>
    <w:rsid w:val="00771D0C"/>
    <w:rsid w:val="00781AF3"/>
    <w:rsid w:val="007833AC"/>
    <w:rsid w:val="007B268C"/>
    <w:rsid w:val="007B7171"/>
    <w:rsid w:val="007C0C0F"/>
    <w:rsid w:val="007C3DC2"/>
    <w:rsid w:val="007E5497"/>
    <w:rsid w:val="00806F5F"/>
    <w:rsid w:val="00820278"/>
    <w:rsid w:val="0084038E"/>
    <w:rsid w:val="0084385E"/>
    <w:rsid w:val="00867F95"/>
    <w:rsid w:val="00870C64"/>
    <w:rsid w:val="00876F78"/>
    <w:rsid w:val="008772F9"/>
    <w:rsid w:val="008843B6"/>
    <w:rsid w:val="00891928"/>
    <w:rsid w:val="008A446D"/>
    <w:rsid w:val="008C0E3B"/>
    <w:rsid w:val="008D180B"/>
    <w:rsid w:val="008D7291"/>
    <w:rsid w:val="008F0EA7"/>
    <w:rsid w:val="008F33B0"/>
    <w:rsid w:val="00923EEF"/>
    <w:rsid w:val="009413B7"/>
    <w:rsid w:val="009419F9"/>
    <w:rsid w:val="0095685E"/>
    <w:rsid w:val="00961B09"/>
    <w:rsid w:val="00965334"/>
    <w:rsid w:val="0097093E"/>
    <w:rsid w:val="009826BF"/>
    <w:rsid w:val="00986AC5"/>
    <w:rsid w:val="009A0DFA"/>
    <w:rsid w:val="009B2D26"/>
    <w:rsid w:val="009C71FA"/>
    <w:rsid w:val="009C72E7"/>
    <w:rsid w:val="009D3058"/>
    <w:rsid w:val="009E3429"/>
    <w:rsid w:val="009E51D5"/>
    <w:rsid w:val="009E7E8C"/>
    <w:rsid w:val="009F3A13"/>
    <w:rsid w:val="00A122D3"/>
    <w:rsid w:val="00A17F13"/>
    <w:rsid w:val="00A20739"/>
    <w:rsid w:val="00A33C78"/>
    <w:rsid w:val="00AB0ADB"/>
    <w:rsid w:val="00AB493F"/>
    <w:rsid w:val="00AB5151"/>
    <w:rsid w:val="00AD374D"/>
    <w:rsid w:val="00AD4293"/>
    <w:rsid w:val="00AF71F4"/>
    <w:rsid w:val="00B0078D"/>
    <w:rsid w:val="00B01B1A"/>
    <w:rsid w:val="00B04D1C"/>
    <w:rsid w:val="00B07844"/>
    <w:rsid w:val="00B108F3"/>
    <w:rsid w:val="00B14DA5"/>
    <w:rsid w:val="00B2184C"/>
    <w:rsid w:val="00B66319"/>
    <w:rsid w:val="00B70819"/>
    <w:rsid w:val="00B72CD3"/>
    <w:rsid w:val="00B72FFF"/>
    <w:rsid w:val="00B80F4F"/>
    <w:rsid w:val="00BC3D36"/>
    <w:rsid w:val="00BD7F72"/>
    <w:rsid w:val="00BF508A"/>
    <w:rsid w:val="00C04FB3"/>
    <w:rsid w:val="00C142DA"/>
    <w:rsid w:val="00C330EB"/>
    <w:rsid w:val="00C41061"/>
    <w:rsid w:val="00C562D4"/>
    <w:rsid w:val="00C754BE"/>
    <w:rsid w:val="00C76123"/>
    <w:rsid w:val="00C76B1C"/>
    <w:rsid w:val="00CB6357"/>
    <w:rsid w:val="00CC1B26"/>
    <w:rsid w:val="00D211A0"/>
    <w:rsid w:val="00D423A2"/>
    <w:rsid w:val="00D520D8"/>
    <w:rsid w:val="00D63AC2"/>
    <w:rsid w:val="00D7383B"/>
    <w:rsid w:val="00D85FC2"/>
    <w:rsid w:val="00D9402A"/>
    <w:rsid w:val="00D968D1"/>
    <w:rsid w:val="00DA231B"/>
    <w:rsid w:val="00DA4396"/>
    <w:rsid w:val="00DC2265"/>
    <w:rsid w:val="00DC39FC"/>
    <w:rsid w:val="00DF5254"/>
    <w:rsid w:val="00E16408"/>
    <w:rsid w:val="00E20894"/>
    <w:rsid w:val="00E245AB"/>
    <w:rsid w:val="00E2764C"/>
    <w:rsid w:val="00E27F2E"/>
    <w:rsid w:val="00E31648"/>
    <w:rsid w:val="00E50AFE"/>
    <w:rsid w:val="00E51404"/>
    <w:rsid w:val="00E6227E"/>
    <w:rsid w:val="00E7385A"/>
    <w:rsid w:val="00E75C92"/>
    <w:rsid w:val="00E771DC"/>
    <w:rsid w:val="00E8772A"/>
    <w:rsid w:val="00E90F6B"/>
    <w:rsid w:val="00E92C27"/>
    <w:rsid w:val="00EA0E3D"/>
    <w:rsid w:val="00EA6460"/>
    <w:rsid w:val="00EC38A7"/>
    <w:rsid w:val="00ED3D0B"/>
    <w:rsid w:val="00ED7384"/>
    <w:rsid w:val="00EE1AA8"/>
    <w:rsid w:val="00F04DA2"/>
    <w:rsid w:val="00F136D9"/>
    <w:rsid w:val="00F31EDC"/>
    <w:rsid w:val="00F32244"/>
    <w:rsid w:val="00F462B3"/>
    <w:rsid w:val="00F5664F"/>
    <w:rsid w:val="00F65B8A"/>
    <w:rsid w:val="00F666C4"/>
    <w:rsid w:val="00F76AFC"/>
    <w:rsid w:val="00F943E6"/>
    <w:rsid w:val="00FA47C0"/>
    <w:rsid w:val="00FB2223"/>
    <w:rsid w:val="00FB5DD1"/>
    <w:rsid w:val="00FC056B"/>
    <w:rsid w:val="00FC2B5D"/>
    <w:rsid w:val="00FE001E"/>
    <w:rsid w:val="00FE5741"/>
    <w:rsid w:val="00FF1449"/>
    <w:rsid w:val="3D38C69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B261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B261C"/>
    <w:rPr>
      <w:rFonts w:ascii="Geomanist Light" w:hAnsi="Geomanist Light"/>
      <w:lang w:val="es-ES"/>
    </w:rPr>
  </w:style>
  <w:style w:type="character" w:customStyle="1" w:styleId="baj">
    <w:name w:val="b_aj"/>
    <w:basedOn w:val="Fuentedeprrafopredeter"/>
    <w:rsid w:val="005B261C"/>
  </w:style>
  <w:style w:type="character" w:styleId="Refdecomentario">
    <w:name w:val="annotation reference"/>
    <w:basedOn w:val="Fuentedeprrafopredeter"/>
    <w:uiPriority w:val="99"/>
    <w:semiHidden/>
    <w:unhideWhenUsed/>
    <w:rsid w:val="0060028A"/>
    <w:rPr>
      <w:sz w:val="16"/>
      <w:szCs w:val="16"/>
    </w:rPr>
  </w:style>
  <w:style w:type="paragraph" w:styleId="Textocomentario">
    <w:name w:val="annotation text"/>
    <w:basedOn w:val="Normal"/>
    <w:link w:val="TextocomentarioCar"/>
    <w:uiPriority w:val="99"/>
    <w:unhideWhenUsed/>
    <w:rsid w:val="0060028A"/>
    <w:pPr>
      <w:spacing w:line="240" w:lineRule="auto"/>
    </w:pPr>
    <w:rPr>
      <w:sz w:val="20"/>
      <w:szCs w:val="20"/>
    </w:rPr>
  </w:style>
  <w:style w:type="character" w:customStyle="1" w:styleId="TextocomentarioCar">
    <w:name w:val="Texto comentario Car"/>
    <w:basedOn w:val="Fuentedeprrafopredeter"/>
    <w:link w:val="Textocomentario"/>
    <w:uiPriority w:val="99"/>
    <w:rsid w:val="0060028A"/>
    <w:rPr>
      <w:sz w:val="20"/>
      <w:szCs w:val="20"/>
    </w:rPr>
  </w:style>
  <w:style w:type="paragraph" w:styleId="Asuntodelcomentario">
    <w:name w:val="annotation subject"/>
    <w:basedOn w:val="Textocomentario"/>
    <w:next w:val="Textocomentario"/>
    <w:link w:val="AsuntodelcomentarioCar"/>
    <w:uiPriority w:val="99"/>
    <w:semiHidden/>
    <w:unhideWhenUsed/>
    <w:rsid w:val="0060028A"/>
    <w:rPr>
      <w:b/>
      <w:bCs/>
    </w:rPr>
  </w:style>
  <w:style w:type="character" w:customStyle="1" w:styleId="AsuntodelcomentarioCar">
    <w:name w:val="Asunto del comentario Car"/>
    <w:basedOn w:val="TextocomentarioCar"/>
    <w:link w:val="Asuntodelcomentario"/>
    <w:uiPriority w:val="99"/>
    <w:semiHidden/>
    <w:rsid w:val="0060028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2993300">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672371003">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s://relatoria.cne.gov.co/relatoria/" TargetMode="External"/><Relationship Id="rId2" Type="http://schemas.openxmlformats.org/officeDocument/2006/relationships/hyperlink" Target="https://registraduria.gov.co/Que-son-las-elecciones-atipicas.html" TargetMode="External"/><Relationship Id="rId1" Type="http://schemas.openxmlformats.org/officeDocument/2006/relationships/hyperlink" Target="https://registraduria.gov.co/Que-son-las-elecciones-atipicas.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7AC9E9E-64A4-4638-BD23-E9BB0BD2A01E}">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purl.org/dc/elements/1.1/"/>
    <ds:schemaRef ds:uri="9d85dbaf-23eb-4e57-a637-93dcacc8b1a1"/>
    <ds:schemaRef ds:uri="http://schemas.openxmlformats.org/package/2006/metadata/core-properties"/>
    <ds:schemaRef ds:uri="http://purl.org/dc/terms/"/>
    <ds:schemaRef ds:uri="http://schemas.microsoft.com/office/2006/documentManagement/types"/>
    <ds:schemaRef ds:uri="http://schemas.microsoft.com/office/2006/metadata/properties"/>
    <ds:schemaRef ds:uri="http://schemas.microsoft.com/office/infopath/2007/PartnerControls"/>
    <ds:schemaRef ds:uri="a6cb9e4b-f1d1-4245-83ec-6cad768d538a"/>
    <ds:schemaRef ds:uri="http://www.w3.org/XML/1998/namespace"/>
    <ds:schemaRef ds:uri="http://purl.org/dc/dcmitype/"/>
  </ds:schemaRefs>
</ds:datastoreItem>
</file>

<file path=customXml/itemProps4.xml><?xml version="1.0" encoding="utf-8"?>
<ds:datastoreItem xmlns:ds="http://schemas.openxmlformats.org/officeDocument/2006/customXml" ds:itemID="{A65E5F5E-3582-4ED8-A1D5-6F135FF3E22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22</Pages>
  <Words>7578</Words>
  <Characters>40392</Characters>
  <Application>Microsoft Office Word</Application>
  <DocSecurity>0</DocSecurity>
  <Lines>776</Lines>
  <Paragraphs>135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2026-01-06T23:01:00Z</dcterms:created>
  <dcterms:modified xsi:type="dcterms:W3CDTF">2026-01-06T23:01:00Z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