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AA358" w14:textId="77777777" w:rsidR="00861DDF" w:rsidRPr="00682C93" w:rsidRDefault="00861DDF" w:rsidP="00861DDF">
      <w:pPr>
        <w:spacing w:after="0" w:line="240" w:lineRule="auto"/>
        <w:jc w:val="both"/>
        <w:rPr>
          <w:rFonts w:ascii="Verdana" w:hAnsi="Verdana" w:cs="Arial"/>
          <w:b/>
          <w:lang w:val="es-MX" w:eastAsia="es-ES_tradnl"/>
        </w:rPr>
      </w:pPr>
      <w:bookmarkStart w:id="0" w:name="_Hlk215673488"/>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0C894EE6" w14:textId="77777777" w:rsidR="00861DDF" w:rsidRDefault="00861DDF" w:rsidP="00861DDF">
      <w:pPr>
        <w:spacing w:after="0" w:line="240" w:lineRule="auto"/>
        <w:jc w:val="both"/>
        <w:rPr>
          <w:rFonts w:ascii="Verdana" w:hAnsi="Verdana" w:cs="Arial"/>
          <w:b/>
          <w:lang w:val="es-MX" w:eastAsia="es-ES_tradnl"/>
        </w:rPr>
      </w:pPr>
    </w:p>
    <w:p w14:paraId="0AA47E90" w14:textId="77777777" w:rsidR="00861DDF" w:rsidRDefault="00861DDF" w:rsidP="00861DDF">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639805D8" w14:textId="77777777" w:rsidR="00861DDF" w:rsidRPr="00682C93" w:rsidRDefault="00861DDF" w:rsidP="00861DDF">
      <w:pPr>
        <w:spacing w:after="0" w:line="240" w:lineRule="auto"/>
        <w:jc w:val="both"/>
        <w:rPr>
          <w:rFonts w:ascii="Verdana" w:hAnsi="Verdana" w:cs="Arial"/>
          <w:b/>
          <w:sz w:val="20"/>
          <w:lang w:val="es-MX" w:eastAsia="es-ES_tradnl"/>
        </w:rPr>
      </w:pPr>
    </w:p>
    <w:p w14:paraId="5A251DC3" w14:textId="77777777" w:rsidR="00861DDF" w:rsidRDefault="00861DDF" w:rsidP="00861DDF">
      <w:pPr>
        <w:spacing w:after="0" w:line="240" w:lineRule="auto"/>
        <w:jc w:val="both"/>
        <w:rPr>
          <w:rFonts w:ascii="Verdana" w:hAnsi="Verdana" w:cs="Arial"/>
          <w:b/>
          <w:lang w:eastAsia="es-ES_tradnl"/>
        </w:rPr>
      </w:pPr>
      <w:r w:rsidRPr="0052381E">
        <w:rPr>
          <w:rFonts w:ascii="Verdana" w:hAnsi="Verdana" w:cs="Arial"/>
          <w:b/>
          <w:lang w:eastAsia="es-ES_tradnl"/>
        </w:rPr>
        <w:t>LEY DE GARANTÍAS ELECTORALES – Contratación directa – Alcance material – Interpretación restrictiva</w:t>
      </w:r>
    </w:p>
    <w:p w14:paraId="5CF3AA10" w14:textId="77777777" w:rsidR="00861DDF" w:rsidRDefault="00861DDF" w:rsidP="00861DDF">
      <w:pPr>
        <w:spacing w:after="0" w:line="240" w:lineRule="auto"/>
        <w:jc w:val="both"/>
        <w:rPr>
          <w:rFonts w:ascii="Verdana" w:hAnsi="Verdana" w:cs="Arial"/>
          <w:b/>
          <w:lang w:eastAsia="es-ES_tradnl"/>
        </w:rPr>
      </w:pPr>
    </w:p>
    <w:p w14:paraId="0AD01B0E" w14:textId="77777777" w:rsidR="00861DDF" w:rsidRDefault="00861DDF" w:rsidP="00861DDF">
      <w:pPr>
        <w:spacing w:after="0" w:line="240" w:lineRule="auto"/>
        <w:jc w:val="both"/>
        <w:rPr>
          <w:rFonts w:ascii="Verdana" w:eastAsia="Times New Roman" w:hAnsi="Verdana" w:cs="Arial"/>
          <w:sz w:val="20"/>
          <w:lang w:val="es-MX" w:eastAsia="es-CO"/>
        </w:rPr>
      </w:pPr>
      <w:r w:rsidRPr="003A6A89">
        <w:rPr>
          <w:rFonts w:ascii="Verdana" w:eastAsia="Times New Roman" w:hAnsi="Verdana" w:cs="Arial"/>
          <w:sz w:val="20"/>
          <w:lang w:val="es-MX" w:eastAsia="es-CO"/>
        </w:rPr>
        <w:t xml:space="preserve">El ámbito material de la prohibición contenida en el artículo 33 de la ley 996 de 2005 está delimitado por la expresión “queda prohibida la contratación directa”.  </w:t>
      </w:r>
    </w:p>
    <w:p w14:paraId="6CAAA97F" w14:textId="77777777" w:rsidR="00861DDF" w:rsidRDefault="00861DDF" w:rsidP="00861DDF">
      <w:pPr>
        <w:spacing w:after="0" w:line="240" w:lineRule="auto"/>
        <w:jc w:val="both"/>
        <w:rPr>
          <w:rFonts w:ascii="Verdana" w:eastAsia="Times New Roman" w:hAnsi="Verdana" w:cs="Arial"/>
          <w:sz w:val="20"/>
          <w:lang w:val="es-MX" w:eastAsia="es-CO"/>
        </w:rPr>
      </w:pPr>
    </w:p>
    <w:p w14:paraId="6A355CED" w14:textId="77777777" w:rsidR="00861DDF" w:rsidRDefault="00861DDF" w:rsidP="00861DDF">
      <w:pPr>
        <w:spacing w:after="0" w:line="240" w:lineRule="auto"/>
        <w:jc w:val="both"/>
        <w:rPr>
          <w:rFonts w:ascii="Verdana" w:eastAsia="Times New Roman" w:hAnsi="Verdana" w:cs="Arial"/>
          <w:sz w:val="20"/>
          <w:lang w:val="es-MX" w:eastAsia="es-CO"/>
        </w:rPr>
      </w:pPr>
      <w:r>
        <w:rPr>
          <w:rFonts w:ascii="Verdana" w:eastAsia="Times New Roman" w:hAnsi="Verdana" w:cs="Arial"/>
          <w:sz w:val="20"/>
          <w:lang w:val="es-MX" w:eastAsia="es-CO"/>
        </w:rPr>
        <w:t>[…]</w:t>
      </w:r>
    </w:p>
    <w:p w14:paraId="1C3AF09A" w14:textId="77777777" w:rsidR="00861DDF" w:rsidRDefault="00861DDF" w:rsidP="00861DDF">
      <w:pPr>
        <w:spacing w:after="0" w:line="240" w:lineRule="auto"/>
        <w:jc w:val="both"/>
        <w:rPr>
          <w:rFonts w:ascii="Verdana" w:eastAsia="Times New Roman" w:hAnsi="Verdana" w:cs="Arial"/>
          <w:sz w:val="20"/>
          <w:lang w:val="es-MX" w:eastAsia="es-CO"/>
        </w:rPr>
      </w:pPr>
    </w:p>
    <w:p w14:paraId="1C2D0B21" w14:textId="77777777" w:rsidR="00861DDF" w:rsidRDefault="00861DDF" w:rsidP="00861DDF">
      <w:pPr>
        <w:spacing w:after="0" w:line="240" w:lineRule="auto"/>
        <w:jc w:val="both"/>
        <w:rPr>
          <w:rFonts w:ascii="Verdana" w:eastAsia="Times New Roman" w:hAnsi="Verdana" w:cs="Arial"/>
          <w:sz w:val="20"/>
          <w:lang w:val="es-MX" w:eastAsia="es-CO"/>
        </w:rPr>
      </w:pPr>
      <w:r w:rsidRPr="003A6A89">
        <w:rPr>
          <w:rFonts w:ascii="Verdana" w:eastAsia="Times New Roman" w:hAnsi="Verdana" w:cs="Arial"/>
          <w:sz w:val="20"/>
          <w:lang w:val="es-MX" w:eastAsia="es-CO"/>
        </w:rPr>
        <w:t xml:space="preserve">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 y sistematizó las causales de contratación directa. </w:t>
      </w:r>
    </w:p>
    <w:p w14:paraId="0710B9E6" w14:textId="77777777" w:rsidR="00861DDF" w:rsidRPr="003A6A89" w:rsidRDefault="00861DDF" w:rsidP="00861DDF">
      <w:pPr>
        <w:spacing w:after="0" w:line="240" w:lineRule="auto"/>
        <w:jc w:val="both"/>
        <w:rPr>
          <w:rFonts w:ascii="Verdana" w:eastAsia="Times New Roman" w:hAnsi="Verdana" w:cs="Arial"/>
          <w:sz w:val="20"/>
          <w:lang w:val="es-MX" w:eastAsia="es-CO"/>
        </w:rPr>
      </w:pPr>
    </w:p>
    <w:p w14:paraId="27B855EB" w14:textId="77777777" w:rsidR="00861DDF" w:rsidRPr="003A6A89" w:rsidRDefault="00861DDF" w:rsidP="00861DDF">
      <w:pPr>
        <w:spacing w:after="0" w:line="240" w:lineRule="auto"/>
        <w:jc w:val="both"/>
        <w:rPr>
          <w:rFonts w:ascii="Verdana" w:eastAsia="Times New Roman" w:hAnsi="Verdana" w:cs="Arial"/>
          <w:sz w:val="20"/>
          <w:lang w:val="es-MX" w:eastAsia="es-CO"/>
        </w:rPr>
      </w:pPr>
      <w:r w:rsidRPr="003A6A89">
        <w:rPr>
          <w:rFonts w:ascii="Verdana" w:eastAsia="Times New Roman" w:hAnsi="Verdana" w:cs="Arial"/>
          <w:sz w:val="20"/>
          <w:lang w:val="es-MX" w:eastAsia="es-CO"/>
        </w:rPr>
        <w:t>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 han establecido sistemas de contratación que implican convocatoria pública y participación de varios oferentes”.</w:t>
      </w:r>
    </w:p>
    <w:p w14:paraId="65C4D609" w14:textId="77777777" w:rsidR="00861DDF" w:rsidRDefault="00861DDF" w:rsidP="00861DDF">
      <w:pPr>
        <w:spacing w:after="0" w:line="240" w:lineRule="auto"/>
        <w:jc w:val="both"/>
        <w:rPr>
          <w:rFonts w:ascii="Verdana" w:hAnsi="Verdana" w:cs="Arial"/>
          <w:b/>
          <w:lang w:eastAsia="es-ES_tradnl"/>
        </w:rPr>
      </w:pPr>
    </w:p>
    <w:p w14:paraId="4B5403EA" w14:textId="77777777" w:rsidR="00861DDF" w:rsidRDefault="00861DDF" w:rsidP="00861DDF">
      <w:pPr>
        <w:spacing w:after="0" w:line="240" w:lineRule="auto"/>
        <w:jc w:val="both"/>
        <w:rPr>
          <w:rFonts w:ascii="Verdana" w:hAnsi="Verdana" w:cs="Arial"/>
          <w:b/>
          <w:lang w:eastAsia="es-ES_tradnl"/>
        </w:rPr>
      </w:pPr>
      <w:r w:rsidRPr="005046A9">
        <w:rPr>
          <w:rFonts w:ascii="Verdana" w:hAnsi="Verdana" w:cs="Arial"/>
          <w:b/>
          <w:lang w:eastAsia="es-ES_tradnl"/>
        </w:rPr>
        <w:t>LEY DE GARANTÍAS ELECTORALES – Destinatarios – Entes del Estado – Régimen especial</w:t>
      </w:r>
    </w:p>
    <w:p w14:paraId="71271061" w14:textId="77777777" w:rsidR="00861DDF" w:rsidRDefault="00861DDF" w:rsidP="00861DDF">
      <w:pPr>
        <w:spacing w:after="0" w:line="240" w:lineRule="auto"/>
        <w:jc w:val="both"/>
        <w:rPr>
          <w:rFonts w:ascii="Verdana" w:hAnsi="Verdana" w:cs="Arial"/>
          <w:b/>
          <w:lang w:eastAsia="es-ES_tradnl"/>
        </w:rPr>
      </w:pPr>
    </w:p>
    <w:p w14:paraId="02AC5A6B" w14:textId="77777777" w:rsidR="00861DDF" w:rsidRDefault="00861DDF" w:rsidP="00861DDF">
      <w:pPr>
        <w:spacing w:after="0" w:line="240" w:lineRule="auto"/>
        <w:jc w:val="both"/>
        <w:rPr>
          <w:rFonts w:ascii="Verdana" w:eastAsia="Times New Roman" w:hAnsi="Verdana" w:cs="Arial"/>
          <w:sz w:val="20"/>
          <w:lang w:val="es-MX" w:eastAsia="es-CO"/>
        </w:rPr>
      </w:pPr>
      <w:r w:rsidRPr="005046A9">
        <w:rPr>
          <w:rFonts w:ascii="Verdana" w:eastAsia="Times New Roman" w:hAnsi="Verdana" w:cs="Arial"/>
          <w:sz w:val="20"/>
          <w:lang w:val="es-MX" w:eastAsia="es-CO"/>
        </w:rPr>
        <w:t xml:space="preserve">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w:t>
      </w:r>
      <w:r w:rsidRPr="005046A9">
        <w:rPr>
          <w:rFonts w:ascii="Verdana" w:eastAsia="Times New Roman" w:hAnsi="Verdana" w:cs="Arial"/>
          <w:sz w:val="20"/>
          <w:lang w:val="es-MX" w:eastAsia="es-CO"/>
        </w:rPr>
        <w:lastRenderedPageBreak/>
        <w:t>régimen especial de contratación y están exceptuadas del ámbito de aplicación del Estatuto General de Contratación de la Administración Pública.</w:t>
      </w:r>
    </w:p>
    <w:p w14:paraId="2915740B" w14:textId="77777777" w:rsidR="00861DDF" w:rsidRDefault="00861DDF" w:rsidP="00861DDF">
      <w:pPr>
        <w:spacing w:after="0" w:line="240" w:lineRule="auto"/>
        <w:jc w:val="both"/>
        <w:rPr>
          <w:rFonts w:ascii="Verdana" w:eastAsia="Times New Roman" w:hAnsi="Verdana" w:cs="Arial"/>
          <w:sz w:val="20"/>
          <w:lang w:val="es-MX" w:eastAsia="es-CO"/>
        </w:rPr>
      </w:pPr>
    </w:p>
    <w:p w14:paraId="3711942E" w14:textId="77777777" w:rsidR="00861DDF" w:rsidRDefault="00861DDF" w:rsidP="00861DDF">
      <w:pPr>
        <w:spacing w:after="0" w:line="240" w:lineRule="auto"/>
        <w:jc w:val="both"/>
        <w:rPr>
          <w:rFonts w:ascii="Verdana" w:hAnsi="Verdana" w:cs="Arial"/>
          <w:b/>
          <w:lang w:eastAsia="es-ES_tradnl"/>
        </w:rPr>
      </w:pPr>
      <w:r w:rsidRPr="00846560">
        <w:rPr>
          <w:rFonts w:ascii="Verdana" w:hAnsi="Verdana" w:cs="Arial"/>
          <w:b/>
          <w:lang w:eastAsia="es-ES_tradnl"/>
        </w:rPr>
        <w:t>EMPRESAS DE SERVICIOS PÚBLICOS DOMICILIARIOS – Naturaleza jurídica – Empresas oficiales – Régimen especial</w:t>
      </w:r>
    </w:p>
    <w:p w14:paraId="386E6C72" w14:textId="77777777" w:rsidR="00861DDF" w:rsidRDefault="00861DDF" w:rsidP="00861DDF">
      <w:pPr>
        <w:spacing w:after="0" w:line="240" w:lineRule="auto"/>
        <w:jc w:val="both"/>
        <w:rPr>
          <w:rFonts w:ascii="Verdana" w:hAnsi="Verdana" w:cs="Arial"/>
          <w:b/>
          <w:lang w:eastAsia="es-ES_tradnl"/>
        </w:rPr>
      </w:pPr>
    </w:p>
    <w:p w14:paraId="7F43330B" w14:textId="77777777" w:rsidR="00861DDF" w:rsidRDefault="00861DDF" w:rsidP="00861DDF">
      <w:pPr>
        <w:spacing w:after="0" w:line="240" w:lineRule="auto"/>
        <w:jc w:val="both"/>
        <w:rPr>
          <w:rFonts w:ascii="Verdana" w:eastAsia="Times New Roman" w:hAnsi="Verdana" w:cs="Arial"/>
          <w:sz w:val="20"/>
          <w:lang w:val="es-MX" w:eastAsia="es-CO"/>
        </w:rPr>
      </w:pPr>
      <w:r>
        <w:rPr>
          <w:rFonts w:ascii="Verdana" w:eastAsia="Times New Roman" w:hAnsi="Verdana" w:cs="Arial"/>
          <w:sz w:val="20"/>
          <w:lang w:val="es-MX" w:eastAsia="es-CO"/>
        </w:rPr>
        <w:t xml:space="preserve">[…] </w:t>
      </w:r>
      <w:r w:rsidRPr="00846560">
        <w:rPr>
          <w:rFonts w:ascii="Verdana" w:eastAsia="Times New Roman" w:hAnsi="Verdana" w:cs="Arial"/>
          <w:sz w:val="20"/>
          <w:lang w:val="es-MX" w:eastAsia="es-CO"/>
        </w:rPr>
        <w:t xml:space="preserve">las empresas de servicios públicos tienen una naturaleza jurídica especial que viene dada directamente por el artículo 356 de la Constitución Política, y el hecho de que su composición accionaria pueda estar compartida por recursos públicos y privados no las convierte en sociedades de economía mixta, pues las empresas en cuestión tienen su clasificación propia dependiendo de la composición de su capital accionario: empresas de servicios públicos oficiales, mixtas y privadas. Ahora, sin importar su clasificación, todas hacen parte de la Rama Ejecutiva del sector descentralizado por servicios. </w:t>
      </w:r>
    </w:p>
    <w:p w14:paraId="500A20D6" w14:textId="77777777" w:rsidR="00861DDF" w:rsidRPr="00846560" w:rsidRDefault="00861DDF" w:rsidP="00861DDF">
      <w:pPr>
        <w:spacing w:after="0" w:line="240" w:lineRule="auto"/>
        <w:jc w:val="both"/>
        <w:rPr>
          <w:rFonts w:ascii="Verdana" w:eastAsia="Times New Roman" w:hAnsi="Verdana" w:cs="Arial"/>
          <w:sz w:val="20"/>
          <w:lang w:val="es-MX" w:eastAsia="es-CO"/>
        </w:rPr>
      </w:pPr>
    </w:p>
    <w:p w14:paraId="2F9A84B0" w14:textId="77777777" w:rsidR="00861DDF" w:rsidRPr="00846560" w:rsidRDefault="00861DDF" w:rsidP="00861DDF">
      <w:pPr>
        <w:spacing w:after="0" w:line="240" w:lineRule="auto"/>
        <w:jc w:val="both"/>
        <w:rPr>
          <w:rFonts w:ascii="Verdana" w:eastAsia="Times New Roman" w:hAnsi="Verdana" w:cs="Arial"/>
          <w:sz w:val="20"/>
          <w:lang w:val="es-MX" w:eastAsia="es-CO"/>
        </w:rPr>
      </w:pPr>
      <w:r w:rsidRPr="00846560">
        <w:rPr>
          <w:rFonts w:ascii="Verdana" w:eastAsia="Times New Roman" w:hAnsi="Verdana" w:cs="Arial"/>
          <w:sz w:val="20"/>
          <w:lang w:val="es-MX" w:eastAsia="es-CO"/>
        </w:rPr>
        <w:t>En cuanto al régimen jurídico de contratación de las empresas de servicios públicos, el inciso primero del artículo 31 de la Ley 142 de 1994 señala que “[l]os contratos que celebren las entidades estatales que prestan los servicios públicos a los que se refiere esta ley no estarán sujetos a las disposiciones del Estatuto General de Contratación de la Administración Pública, salvo en lo que la presente ley disponga otra cosa”. De esta manera, sin perjuicio de lo dispuesto en el artículo 13 de la Ley 1150 de 2007 sobre la aplicación de los principios de la función administrativa, la gestión fiscal, las inhabilidades e incompatibilidades, el régimen jurídico aplicable a los contratos que celebren las empresas de servicios públicos, incluso para las oficiales y las mixtas, es el contenido en el derecho civil y comercial, esto es, por regla general no están sometidas a la Ley 80 de 1993.</w:t>
      </w:r>
    </w:p>
    <w:p w14:paraId="55E130B3" w14:textId="77777777" w:rsidR="00861DDF" w:rsidRPr="00846560" w:rsidRDefault="00861DDF" w:rsidP="00861DDF">
      <w:pPr>
        <w:spacing w:after="0" w:line="240" w:lineRule="auto"/>
        <w:jc w:val="both"/>
        <w:rPr>
          <w:rFonts w:ascii="Verdana" w:hAnsi="Verdana" w:cs="Arial"/>
          <w:b/>
          <w:lang w:eastAsia="es-ES_tradnl"/>
        </w:rPr>
      </w:pPr>
    </w:p>
    <w:p w14:paraId="3B1617EC" w14:textId="77777777" w:rsidR="00861DDF" w:rsidRDefault="00861DDF" w:rsidP="00861DDF">
      <w:pPr>
        <w:spacing w:after="0" w:line="240" w:lineRule="auto"/>
        <w:jc w:val="both"/>
        <w:rPr>
          <w:rFonts w:ascii="Verdana" w:hAnsi="Verdana" w:cs="Arial"/>
          <w:b/>
          <w:lang w:eastAsia="es-ES_tradnl"/>
        </w:rPr>
      </w:pPr>
      <w:r w:rsidRPr="001D7629">
        <w:rPr>
          <w:rFonts w:ascii="Verdana" w:hAnsi="Verdana" w:cs="Arial"/>
          <w:b/>
          <w:lang w:eastAsia="es-ES_tradnl"/>
        </w:rPr>
        <w:t>EMPRESAS DE SERVICIOS PÚBLICOS DOMICILIARIOS – Ley de Garantías Electorales – Contratación directa – Aplicación</w:t>
      </w:r>
    </w:p>
    <w:p w14:paraId="59A08ADB" w14:textId="77777777" w:rsidR="00861DDF" w:rsidRDefault="00861DDF" w:rsidP="00861DDF">
      <w:pPr>
        <w:spacing w:after="0" w:line="240" w:lineRule="auto"/>
        <w:jc w:val="both"/>
        <w:rPr>
          <w:rFonts w:ascii="Verdana" w:hAnsi="Verdana" w:cs="Arial"/>
          <w:b/>
          <w:lang w:eastAsia="es-ES_tradnl"/>
        </w:rPr>
      </w:pPr>
    </w:p>
    <w:p w14:paraId="7EFBD064" w14:textId="77777777" w:rsidR="00861DDF" w:rsidRDefault="00861DDF" w:rsidP="00861DDF">
      <w:pPr>
        <w:spacing w:after="0" w:line="240" w:lineRule="auto"/>
        <w:jc w:val="both"/>
        <w:rPr>
          <w:rFonts w:ascii="Verdana" w:eastAsia="Times New Roman" w:hAnsi="Verdana" w:cs="Arial"/>
          <w:sz w:val="20"/>
          <w:lang w:val="es-MX" w:eastAsia="es-CO"/>
        </w:rPr>
      </w:pPr>
      <w:r>
        <w:rPr>
          <w:rFonts w:ascii="Verdana" w:eastAsia="Times New Roman" w:hAnsi="Verdana" w:cs="Arial"/>
          <w:sz w:val="20"/>
          <w:lang w:val="es-MX" w:eastAsia="es-CO"/>
        </w:rPr>
        <w:t>[…]</w:t>
      </w:r>
    </w:p>
    <w:p w14:paraId="1D768E8E" w14:textId="77777777" w:rsidR="00861DDF" w:rsidRDefault="00861DDF" w:rsidP="00861DDF">
      <w:pPr>
        <w:spacing w:after="0" w:line="240" w:lineRule="auto"/>
        <w:jc w:val="both"/>
        <w:rPr>
          <w:rFonts w:ascii="Verdana" w:eastAsia="Times New Roman" w:hAnsi="Verdana" w:cs="Arial"/>
          <w:sz w:val="20"/>
          <w:lang w:val="es-MX" w:eastAsia="es-CO"/>
        </w:rPr>
      </w:pPr>
    </w:p>
    <w:p w14:paraId="6847ABBC" w14:textId="77777777" w:rsidR="00861DDF" w:rsidRPr="001D7629" w:rsidRDefault="00861DDF" w:rsidP="00861DDF">
      <w:pPr>
        <w:spacing w:after="0" w:line="240" w:lineRule="auto"/>
        <w:jc w:val="both"/>
        <w:rPr>
          <w:rFonts w:ascii="Verdana" w:eastAsia="Times New Roman" w:hAnsi="Verdana" w:cs="Arial"/>
          <w:sz w:val="20"/>
          <w:lang w:val="es-MX" w:eastAsia="es-CO"/>
        </w:rPr>
      </w:pPr>
      <w:r w:rsidRPr="001D7629">
        <w:rPr>
          <w:rFonts w:ascii="Verdana" w:eastAsia="Times New Roman" w:hAnsi="Verdana" w:cs="Arial"/>
          <w:sz w:val="20"/>
          <w:lang w:val="es-MX" w:eastAsia="es-CO"/>
        </w:rPr>
        <w:t>Así, durante el período de restricción previsto en el artículo 33 de la Ley 996 de 2005, las empresas de servicios públicos domiciliarios oficiales podrán adelantar procesos de selección que involucren mecanismos abiertos, competitivos y con convocatoria pública que garanticen la participación de una pluralidad de oferentes, sin perjuicio de la aplicación de los principios que rigen la función administrativa y la gestión contractual. Por el contrario, se encuentra proscrita la celebración de contratos mediante procedimientos de selección directa, salvo que el objeto contractual se enmarque de manera estricta en alguna de las excepciones previstas de forma taxativa por el legislador.</w:t>
      </w:r>
    </w:p>
    <w:p w14:paraId="20943672" w14:textId="77777777" w:rsidR="00861DDF" w:rsidRDefault="00861DDF" w:rsidP="00861DDF">
      <w:pPr>
        <w:spacing w:after="0" w:line="240" w:lineRule="auto"/>
        <w:jc w:val="both"/>
        <w:rPr>
          <w:rFonts w:ascii="Verdana" w:hAnsi="Verdana" w:cs="Arial"/>
          <w:b/>
          <w:lang w:eastAsia="es-ES_tradnl"/>
        </w:rPr>
      </w:pPr>
    </w:p>
    <w:p w14:paraId="70F98382" w14:textId="77777777" w:rsidR="00861DDF" w:rsidRDefault="00861DDF" w:rsidP="00861DDF">
      <w:pPr>
        <w:spacing w:after="0" w:line="240" w:lineRule="auto"/>
        <w:jc w:val="both"/>
        <w:rPr>
          <w:rFonts w:ascii="Verdana" w:hAnsi="Verdana" w:cs="Arial"/>
          <w:b/>
          <w:lang w:eastAsia="es-ES_tradnl"/>
        </w:rPr>
      </w:pPr>
      <w:r w:rsidRPr="00F27C95">
        <w:rPr>
          <w:rFonts w:ascii="Verdana" w:hAnsi="Verdana" w:cs="Arial"/>
          <w:b/>
          <w:lang w:eastAsia="es-ES_tradnl"/>
        </w:rPr>
        <w:t>LEY DE GARANTÍAS ELECTORALES – Convenios interadministrativos – Ejecución de recursos públicos – Criterio orgánico</w:t>
      </w:r>
    </w:p>
    <w:p w14:paraId="2F371919" w14:textId="77777777" w:rsidR="00861DDF" w:rsidRPr="001D7629" w:rsidRDefault="00861DDF" w:rsidP="00861DDF">
      <w:pPr>
        <w:spacing w:after="0" w:line="240" w:lineRule="auto"/>
        <w:jc w:val="both"/>
        <w:rPr>
          <w:rFonts w:ascii="Verdana" w:hAnsi="Verdana" w:cs="Arial"/>
          <w:b/>
          <w:lang w:eastAsia="es-ES_tradnl"/>
        </w:rPr>
      </w:pPr>
    </w:p>
    <w:p w14:paraId="6FCAAC1F" w14:textId="77777777" w:rsidR="00861DDF" w:rsidRDefault="00861DDF" w:rsidP="00861DDF">
      <w:pPr>
        <w:spacing w:after="0" w:line="240" w:lineRule="auto"/>
        <w:contextualSpacing/>
        <w:jc w:val="both"/>
        <w:rPr>
          <w:rFonts w:ascii="Verdana" w:eastAsia="Calibri" w:hAnsi="Verdana" w:cs="Arial"/>
          <w:sz w:val="20"/>
        </w:rPr>
      </w:pPr>
      <w:r w:rsidRPr="00567B29">
        <w:rPr>
          <w:rFonts w:ascii="Verdana" w:eastAsia="Calibri" w:hAnsi="Verdana" w:cs="Arial"/>
          <w:sz w:val="20"/>
        </w:rPr>
        <w:t xml:space="preserve">A partir de las consideraciones precedentes, resulta relevante precisar que la restricción prevista en el parágrafo del artículo 38 de la Ley 996 de 2005 se activa a partir de la concurrencia de los supuestos subjetivos definidos de manera expresa por el legislador, </w:t>
      </w:r>
      <w:r w:rsidRPr="00567B29">
        <w:rPr>
          <w:rFonts w:ascii="Verdana" w:eastAsia="Calibri" w:hAnsi="Verdana" w:cs="Arial"/>
          <w:sz w:val="20"/>
        </w:rPr>
        <w:lastRenderedPageBreak/>
        <w:t>de modo que su aplicación no depende de la naturaleza jurídica, del régimen contractual ni de la forma de organización administrativa de todas las entidades que intervienen en el convenio interadministrativo. En efecto, basta con que una de las partes ostente la calidad de gobernador, alcalde, secretario, gerente o director de una entidad del orden municipal, departamental o distrital, para que la prohibición resulte aplicable, siempre que se cumplan los demás presupuestos normativos.</w:t>
      </w:r>
    </w:p>
    <w:p w14:paraId="4D3A0B82" w14:textId="77777777" w:rsidR="00861DDF" w:rsidRPr="00567B29" w:rsidRDefault="00861DDF" w:rsidP="00861DDF">
      <w:pPr>
        <w:spacing w:after="0" w:line="240" w:lineRule="auto"/>
        <w:contextualSpacing/>
        <w:jc w:val="both"/>
        <w:rPr>
          <w:rFonts w:ascii="Verdana" w:eastAsia="Calibri" w:hAnsi="Verdana" w:cs="Arial"/>
          <w:sz w:val="20"/>
        </w:rPr>
      </w:pPr>
    </w:p>
    <w:p w14:paraId="46D869F2" w14:textId="77777777" w:rsidR="00861DDF" w:rsidRDefault="00861DDF" w:rsidP="00861DDF">
      <w:pPr>
        <w:spacing w:after="0" w:line="240" w:lineRule="auto"/>
        <w:contextualSpacing/>
        <w:jc w:val="both"/>
        <w:rPr>
          <w:rFonts w:ascii="Verdana" w:eastAsia="Calibri" w:hAnsi="Verdana" w:cs="Arial"/>
          <w:sz w:val="20"/>
        </w:rPr>
      </w:pPr>
      <w:r w:rsidRPr="00567B29">
        <w:rPr>
          <w:rFonts w:ascii="Verdana" w:eastAsia="Calibri" w:hAnsi="Verdana" w:cs="Arial"/>
          <w:sz w:val="20"/>
        </w:rPr>
        <w:t>En este sentido, el análisis sobre la procedencia de la restricción no debe centrarse en la denominación del instrumento jurídico ni en el régimen normativo que rige la actividad contractual de las entidades intervinientes, sino en la verificación objetiva de los elementos definidos por la ley, particularmente la tipología negocial y la calidad de los sujetos que concurren en su celebración. Esta precisión adquiere especial relevancia en aquellos eventos en los que una de las partes se rige por un régimen especial de contratación o desarrolla su actividad bajo reglas de derecho privado, circunstancias que, por sí solas, no resultan suficientes para excluir la aplicación de la prohibición.</w:t>
      </w:r>
    </w:p>
    <w:p w14:paraId="77653C15" w14:textId="77777777" w:rsidR="00861DDF" w:rsidRPr="00567B29" w:rsidRDefault="00861DDF" w:rsidP="00861DDF">
      <w:pPr>
        <w:spacing w:after="0" w:line="240" w:lineRule="auto"/>
        <w:contextualSpacing/>
        <w:jc w:val="both"/>
        <w:rPr>
          <w:rFonts w:ascii="Verdana" w:eastAsia="Calibri" w:hAnsi="Verdana" w:cs="Arial"/>
          <w:sz w:val="20"/>
        </w:rPr>
      </w:pPr>
    </w:p>
    <w:p w14:paraId="01BEE34D" w14:textId="77777777" w:rsidR="00861DDF" w:rsidRDefault="00861DDF" w:rsidP="00861DDF">
      <w:pPr>
        <w:spacing w:after="0" w:line="240" w:lineRule="auto"/>
        <w:contextualSpacing/>
        <w:jc w:val="both"/>
        <w:rPr>
          <w:rFonts w:ascii="Verdana" w:eastAsia="Calibri" w:hAnsi="Verdana" w:cs="Arial"/>
          <w:sz w:val="20"/>
        </w:rPr>
      </w:pPr>
      <w:r w:rsidRPr="00567B29">
        <w:rPr>
          <w:rFonts w:ascii="Verdana" w:eastAsia="Calibri" w:hAnsi="Verdana" w:cs="Arial"/>
          <w:sz w:val="20"/>
        </w:rPr>
        <w:t>De igual manera, atendiendo al carácter excepcional y restrictivo de las normas que limitan el ejercicio de la función administrativa durante los períodos preelectorales, la interpretación del parágrafo del artículo 38 no puede extenderse a figuras contractuales distintas de aquellas expresamente previstas por el legislador, ni aplicarse de manera analógica a negocios jurídicos que, aun cuando puedan involucrar a entidades públicas o la ejecución de recursos públicos, no correspondan a la noción de convenio interadministrativo en los términos definidos por el ordenamiento jurídico y la jurisprudencia.</w:t>
      </w:r>
    </w:p>
    <w:p w14:paraId="1322A338" w14:textId="77777777" w:rsidR="00861DDF" w:rsidRPr="00567B29" w:rsidRDefault="00861DDF" w:rsidP="00861DDF">
      <w:pPr>
        <w:spacing w:after="0" w:line="240" w:lineRule="auto"/>
        <w:contextualSpacing/>
        <w:jc w:val="both"/>
        <w:rPr>
          <w:rFonts w:ascii="Verdana" w:eastAsia="Calibri" w:hAnsi="Verdana" w:cs="Arial"/>
          <w:sz w:val="20"/>
        </w:rPr>
      </w:pPr>
    </w:p>
    <w:p w14:paraId="32DC4F33" w14:textId="77777777" w:rsidR="00861DDF" w:rsidRPr="00567B29" w:rsidRDefault="00861DDF" w:rsidP="00861DDF">
      <w:pPr>
        <w:spacing w:after="0" w:line="240" w:lineRule="auto"/>
        <w:contextualSpacing/>
        <w:jc w:val="both"/>
        <w:rPr>
          <w:rFonts w:ascii="Verdana" w:hAnsi="Verdana"/>
        </w:rPr>
      </w:pPr>
      <w:r w:rsidRPr="00567B29">
        <w:rPr>
          <w:rFonts w:ascii="Verdana" w:eastAsia="Calibri" w:hAnsi="Verdana" w:cs="Arial"/>
          <w:sz w:val="20"/>
        </w:rPr>
        <w:t>Finalmente, debe tenerse presente que la restricción contenida en el parágrafo del artículo 38 de la Ley 996 de 2005 no contempla excepciones relacionadas con el objeto contractual o con la finalidad perseguida mediante el convenio, razón por la cual su aplicación no puede condicionarse a consideraciones de oportunidad, conveniencia o necesidad administrativa. En consecuencia, la verificación de los supuestos de hecho y de derecho previstos en la norma constituye el único parámetro relevante para determinar la procedencia de la prohibición, en armonía con los principios que orientan la Ley de Garantías Electorales y con el alcance estrictamente normativo de las limitaciones allí establecidas.</w:t>
      </w:r>
    </w:p>
    <w:p w14:paraId="48D71651" w14:textId="77777777" w:rsidR="00861DDF" w:rsidRPr="001373BB" w:rsidRDefault="00861DDF" w:rsidP="00861DDF">
      <w:pPr>
        <w:spacing w:after="0" w:line="240" w:lineRule="auto"/>
        <w:contextualSpacing/>
        <w:jc w:val="both"/>
        <w:rPr>
          <w:rFonts w:ascii="Verdana" w:hAnsi="Verdana"/>
          <w:lang w:val="es-ES_tradnl"/>
        </w:rPr>
      </w:pPr>
    </w:p>
    <w:p w14:paraId="7E800381" w14:textId="77777777" w:rsidR="00861DDF" w:rsidRDefault="00861DDF" w:rsidP="00861DDF">
      <w:pPr>
        <w:spacing w:after="0" w:line="240" w:lineRule="auto"/>
        <w:contextualSpacing/>
        <w:jc w:val="both"/>
        <w:rPr>
          <w:rFonts w:ascii="Verdana" w:hAnsi="Verdana"/>
        </w:rPr>
      </w:pPr>
    </w:p>
    <w:p w14:paraId="10136327" w14:textId="77777777" w:rsidR="00861DDF" w:rsidRDefault="00861DDF" w:rsidP="00861DDF">
      <w:pPr>
        <w:spacing w:after="0" w:line="240" w:lineRule="auto"/>
        <w:contextualSpacing/>
        <w:jc w:val="both"/>
        <w:rPr>
          <w:rFonts w:ascii="Verdana" w:hAnsi="Verdana"/>
        </w:rPr>
      </w:pPr>
    </w:p>
    <w:p w14:paraId="52CF893D" w14:textId="77777777" w:rsidR="00861DDF" w:rsidRDefault="00861DDF" w:rsidP="00861DDF">
      <w:pPr>
        <w:spacing w:after="0" w:line="240" w:lineRule="auto"/>
        <w:contextualSpacing/>
        <w:jc w:val="both"/>
        <w:rPr>
          <w:rFonts w:ascii="Verdana" w:hAnsi="Verdana"/>
        </w:rPr>
      </w:pPr>
    </w:p>
    <w:p w14:paraId="7ED0BA3B" w14:textId="77777777" w:rsidR="00861DDF" w:rsidRDefault="00861DDF" w:rsidP="00861DDF">
      <w:pPr>
        <w:spacing w:after="0" w:line="240" w:lineRule="auto"/>
        <w:contextualSpacing/>
        <w:jc w:val="both"/>
        <w:rPr>
          <w:rFonts w:ascii="Verdana" w:hAnsi="Verdana"/>
        </w:rPr>
      </w:pPr>
    </w:p>
    <w:p w14:paraId="288557CE" w14:textId="77777777" w:rsidR="00861DDF" w:rsidRDefault="00861DDF" w:rsidP="00861DDF">
      <w:pPr>
        <w:spacing w:after="0" w:line="240" w:lineRule="auto"/>
        <w:contextualSpacing/>
        <w:jc w:val="both"/>
        <w:rPr>
          <w:rFonts w:ascii="Verdana" w:hAnsi="Verdana"/>
        </w:rPr>
      </w:pPr>
    </w:p>
    <w:p w14:paraId="1E8642BE" w14:textId="77777777" w:rsidR="00861DDF" w:rsidRDefault="00861DDF" w:rsidP="00861DDF">
      <w:pPr>
        <w:spacing w:after="0" w:line="240" w:lineRule="auto"/>
        <w:contextualSpacing/>
        <w:jc w:val="both"/>
        <w:rPr>
          <w:rFonts w:ascii="Verdana" w:hAnsi="Verdana"/>
        </w:rPr>
      </w:pPr>
    </w:p>
    <w:p w14:paraId="1FBB42C0" w14:textId="77777777" w:rsidR="00861DDF" w:rsidRDefault="00861DDF" w:rsidP="00861DDF">
      <w:pPr>
        <w:spacing w:after="0" w:line="240" w:lineRule="auto"/>
        <w:contextualSpacing/>
        <w:jc w:val="both"/>
        <w:rPr>
          <w:rFonts w:ascii="Verdana" w:hAnsi="Verdana"/>
        </w:rPr>
      </w:pPr>
    </w:p>
    <w:p w14:paraId="6DFC7D6A" w14:textId="77777777" w:rsidR="00861DDF" w:rsidRDefault="00861DDF" w:rsidP="00861DDF">
      <w:pPr>
        <w:spacing w:after="0" w:line="240" w:lineRule="auto"/>
        <w:contextualSpacing/>
        <w:jc w:val="both"/>
        <w:rPr>
          <w:rFonts w:ascii="Verdana" w:hAnsi="Verdana"/>
        </w:rPr>
      </w:pPr>
    </w:p>
    <w:p w14:paraId="0A643828" w14:textId="77777777" w:rsidR="00861DDF" w:rsidRDefault="00861DDF" w:rsidP="00861DDF">
      <w:pPr>
        <w:spacing w:after="0" w:line="240" w:lineRule="auto"/>
        <w:contextualSpacing/>
        <w:jc w:val="both"/>
        <w:rPr>
          <w:rFonts w:ascii="Verdana" w:hAnsi="Verdana"/>
        </w:rPr>
      </w:pPr>
    </w:p>
    <w:p w14:paraId="41CB18B1" w14:textId="77777777" w:rsidR="00861DDF" w:rsidRDefault="00861DDF" w:rsidP="00861DDF">
      <w:pPr>
        <w:spacing w:after="0" w:line="240" w:lineRule="auto"/>
        <w:contextualSpacing/>
        <w:jc w:val="both"/>
        <w:rPr>
          <w:rFonts w:ascii="Verdana" w:hAnsi="Verdana"/>
        </w:rPr>
      </w:pPr>
    </w:p>
    <w:p w14:paraId="277F270D" w14:textId="77777777" w:rsidR="00861DDF" w:rsidRDefault="00861DDF" w:rsidP="00861DDF">
      <w:pPr>
        <w:spacing w:after="0" w:line="240" w:lineRule="auto"/>
        <w:contextualSpacing/>
        <w:jc w:val="both"/>
        <w:rPr>
          <w:rFonts w:ascii="Verdana" w:hAnsi="Verdana"/>
        </w:rPr>
      </w:pPr>
    </w:p>
    <w:p w14:paraId="5409F503" w14:textId="77777777" w:rsidR="00861DDF" w:rsidRDefault="00861DDF" w:rsidP="00861DDF">
      <w:pPr>
        <w:spacing w:after="0" w:line="240" w:lineRule="auto"/>
        <w:contextualSpacing/>
        <w:jc w:val="both"/>
        <w:rPr>
          <w:rFonts w:ascii="Verdana" w:hAnsi="Verdana"/>
        </w:rPr>
      </w:pPr>
    </w:p>
    <w:p w14:paraId="1D096562" w14:textId="6AE70A9E" w:rsidR="00861DDF" w:rsidRPr="00533F0F" w:rsidRDefault="00861DDF" w:rsidP="00861DDF">
      <w:pPr>
        <w:spacing w:after="0" w:line="240" w:lineRule="auto"/>
        <w:contextualSpacing/>
        <w:jc w:val="both"/>
        <w:rPr>
          <w:rFonts w:ascii="Verdana" w:eastAsia="Times New Roman" w:hAnsi="Verdana" w:cs="Arial"/>
          <w:lang w:eastAsia="es-ES"/>
        </w:rPr>
      </w:pPr>
      <w:r w:rsidRPr="00533F0F">
        <w:rPr>
          <w:rFonts w:ascii="Verdana" w:hAnsi="Verdana"/>
        </w:rPr>
        <w:lastRenderedPageBreak/>
        <w:t xml:space="preserve">Bogotá D.C., </w:t>
      </w:r>
      <w:r w:rsidR="00533F0F" w:rsidRPr="00533F0F">
        <w:rPr>
          <w:rFonts w:ascii="Verdana" w:hAnsi="Verdana"/>
        </w:rPr>
        <w:t>5 de ener</w:t>
      </w:r>
      <w:r w:rsidR="00533F0F">
        <w:rPr>
          <w:rFonts w:ascii="Verdana" w:hAnsi="Verdana"/>
        </w:rPr>
        <w:t>o de 2026</w:t>
      </w:r>
    </w:p>
    <w:p w14:paraId="0C832CA8" w14:textId="1EA948E9" w:rsidR="00861DDF" w:rsidRPr="00533F0F" w:rsidRDefault="00861DDF" w:rsidP="00861DDF">
      <w:pPr>
        <w:spacing w:after="0" w:line="240" w:lineRule="auto"/>
        <w:jc w:val="right"/>
        <w:rPr>
          <w:rFonts w:ascii="Verdana" w:hAnsi="Verdana" w:cs="Arial"/>
          <w:color w:val="000000"/>
        </w:rPr>
      </w:pPr>
    </w:p>
    <w:p w14:paraId="1F54EA85" w14:textId="2E95B06C" w:rsidR="00861DDF" w:rsidRDefault="00861DDF" w:rsidP="00A40D17">
      <w:pPr>
        <w:spacing w:after="0" w:line="240" w:lineRule="auto"/>
        <w:jc w:val="right"/>
        <w:rPr>
          <w:rFonts w:ascii="Verdana" w:hAnsi="Verdana" w:cs="Arial"/>
          <w:lang w:eastAsia="es-ES"/>
        </w:rPr>
      </w:pPr>
    </w:p>
    <w:p w14:paraId="17B5C0B8" w14:textId="3F9DE78A" w:rsidR="00861DDF" w:rsidRPr="00A869FE" w:rsidRDefault="00E52E42" w:rsidP="00861DDF">
      <w:pPr>
        <w:spacing w:after="0" w:line="240" w:lineRule="auto"/>
        <w:jc w:val="both"/>
        <w:rPr>
          <w:rFonts w:ascii="Verdana" w:hAnsi="Verdana" w:cs="Arial"/>
          <w:lang w:eastAsia="es-ES"/>
        </w:rPr>
      </w:pPr>
      <w:r w:rsidRPr="00A40D17">
        <w:rPr>
          <w:rFonts w:ascii="Verdana" w:hAnsi="Verdana" w:cs="Arial"/>
          <w:noProof/>
          <w:lang w:eastAsia="es-ES"/>
        </w:rPr>
        <w:drawing>
          <wp:anchor distT="0" distB="0" distL="114300" distR="114300" simplePos="0" relativeHeight="251658240" behindDoc="0" locked="0" layoutInCell="1" allowOverlap="1" wp14:anchorId="5FDA9870" wp14:editId="29C1A187">
            <wp:simplePos x="0" y="0"/>
            <wp:positionH relativeFrom="column">
              <wp:posOffset>2829560</wp:posOffset>
            </wp:positionH>
            <wp:positionV relativeFrom="paragraph">
              <wp:posOffset>5715</wp:posOffset>
            </wp:positionV>
            <wp:extent cx="2842260" cy="809625"/>
            <wp:effectExtent l="0" t="0" r="0" b="9525"/>
            <wp:wrapSquare wrapText="bothSides"/>
            <wp:docPr id="1205470319"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470319" name="Imagen 1" descr="Interfaz de usuario gráfica, Texto, Aplicación&#10;&#10;El contenido generado por IA puede ser incorrecto."/>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42260" cy="809625"/>
                    </a:xfrm>
                    <a:prstGeom prst="rect">
                      <a:avLst/>
                    </a:prstGeom>
                  </pic:spPr>
                </pic:pic>
              </a:graphicData>
            </a:graphic>
            <wp14:sizeRelH relativeFrom="margin">
              <wp14:pctWidth>0</wp14:pctWidth>
            </wp14:sizeRelH>
            <wp14:sizeRelV relativeFrom="margin">
              <wp14:pctHeight>0</wp14:pctHeight>
            </wp14:sizeRelV>
          </wp:anchor>
        </w:drawing>
      </w:r>
      <w:r w:rsidR="00861DDF">
        <w:rPr>
          <w:rFonts w:ascii="Verdana" w:hAnsi="Verdana" w:cs="Arial"/>
          <w:lang w:eastAsia="es-ES"/>
        </w:rPr>
        <w:t xml:space="preserve">Señor </w:t>
      </w:r>
    </w:p>
    <w:p w14:paraId="32AF0280" w14:textId="77777777" w:rsidR="00861DDF" w:rsidRPr="00E52E42" w:rsidRDefault="00861DDF" w:rsidP="00861DDF">
      <w:pPr>
        <w:spacing w:after="0" w:line="240" w:lineRule="auto"/>
        <w:jc w:val="both"/>
        <w:rPr>
          <w:rFonts w:ascii="Verdana" w:hAnsi="Verdana" w:cs="Arial"/>
          <w:b/>
          <w:bCs/>
          <w:lang w:eastAsia="es-ES"/>
        </w:rPr>
      </w:pPr>
      <w:r w:rsidRPr="00E52E42">
        <w:rPr>
          <w:rFonts w:ascii="Verdana" w:hAnsi="Verdana" w:cs="Arial"/>
          <w:b/>
          <w:bCs/>
          <w:lang w:eastAsia="es-ES"/>
        </w:rPr>
        <w:t>Ricardo Mora Yazhir</w:t>
      </w:r>
    </w:p>
    <w:p w14:paraId="7EFFB00E" w14:textId="77777777" w:rsidR="00861DDF" w:rsidRPr="00E42CDA" w:rsidRDefault="00861DDF" w:rsidP="00861DDF">
      <w:pPr>
        <w:spacing w:after="0" w:line="240" w:lineRule="auto"/>
        <w:jc w:val="both"/>
        <w:rPr>
          <w:rFonts w:ascii="Verdana" w:hAnsi="Verdana" w:cs="Arial"/>
          <w:lang w:eastAsia="es-ES"/>
        </w:rPr>
      </w:pPr>
      <w:hyperlink r:id="rId11" w:history="1">
        <w:r w:rsidRPr="00F64BEA">
          <w:rPr>
            <w:rStyle w:val="Hipervnculo"/>
            <w:rFonts w:ascii="Verdana" w:hAnsi="Verdana" w:cs="Arial"/>
            <w:lang w:eastAsia="es-ES"/>
          </w:rPr>
          <w:t>yazhirrm82@gmail.com</w:t>
        </w:r>
      </w:hyperlink>
      <w:r>
        <w:rPr>
          <w:rFonts w:ascii="Verdana" w:hAnsi="Verdana" w:cs="Arial"/>
          <w:lang w:eastAsia="es-ES"/>
        </w:rPr>
        <w:t xml:space="preserve"> </w:t>
      </w:r>
    </w:p>
    <w:p w14:paraId="3211F4D6" w14:textId="77777777" w:rsidR="00861DDF" w:rsidRPr="008E0A05" w:rsidRDefault="00861DDF" w:rsidP="00861DDF">
      <w:pPr>
        <w:spacing w:after="0" w:line="240" w:lineRule="auto"/>
        <w:jc w:val="both"/>
        <w:rPr>
          <w:rFonts w:ascii="Verdana" w:hAnsi="Verdana" w:cs="Arial"/>
          <w:lang w:eastAsia="es-ES"/>
        </w:rPr>
      </w:pPr>
      <w:r>
        <w:rPr>
          <w:rFonts w:ascii="Verdana" w:hAnsi="Verdana" w:cs="Arial"/>
          <w:lang w:eastAsia="es-ES"/>
        </w:rPr>
        <w:t>Florencia, Caquetá</w:t>
      </w:r>
    </w:p>
    <w:p w14:paraId="75EA7102" w14:textId="77777777" w:rsidR="00861DDF" w:rsidRPr="008E0A05" w:rsidRDefault="00861DDF" w:rsidP="00861DDF">
      <w:pPr>
        <w:spacing w:after="0" w:line="240" w:lineRule="auto"/>
        <w:rPr>
          <w:rFonts w:ascii="Verdana" w:hAnsi="Verdana" w:cs="Arial"/>
          <w:b/>
          <w:bCs/>
          <w:color w:val="000000"/>
          <w:lang w:eastAsia="es-ES_tradnl"/>
        </w:rPr>
      </w:pPr>
    </w:p>
    <w:p w14:paraId="3DFE4D91" w14:textId="77777777" w:rsidR="00861DDF" w:rsidRPr="008E0A05" w:rsidRDefault="00861DDF" w:rsidP="00861DDF">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861DDF" w:rsidRPr="00A869FE" w14:paraId="45EE0F93" w14:textId="77777777" w:rsidTr="00093697">
        <w:trPr>
          <w:trHeight w:val="633"/>
        </w:trPr>
        <w:tc>
          <w:tcPr>
            <w:tcW w:w="2689" w:type="dxa"/>
          </w:tcPr>
          <w:p w14:paraId="5FF2869F" w14:textId="77777777" w:rsidR="00861DDF" w:rsidRPr="008E0A05" w:rsidRDefault="00861DDF" w:rsidP="00093697">
            <w:pPr>
              <w:jc w:val="both"/>
              <w:rPr>
                <w:rFonts w:ascii="Verdana" w:hAnsi="Verdana" w:cs="Arial"/>
                <w:b/>
                <w:bCs/>
                <w:color w:val="7030A0"/>
                <w:lang w:eastAsia="es-ES_tradnl"/>
              </w:rPr>
            </w:pPr>
          </w:p>
        </w:tc>
        <w:tc>
          <w:tcPr>
            <w:tcW w:w="6100" w:type="dxa"/>
          </w:tcPr>
          <w:p w14:paraId="76235E85" w14:textId="77777777" w:rsidR="00861DDF" w:rsidRPr="00A869FE" w:rsidRDefault="00861DDF" w:rsidP="00093697">
            <w:pPr>
              <w:jc w:val="both"/>
              <w:rPr>
                <w:rFonts w:ascii="Verdana" w:hAnsi="Verdana" w:cs="Arial"/>
                <w:b/>
                <w:bCs/>
                <w:color w:val="7030A0"/>
                <w:lang w:eastAsia="es-ES"/>
              </w:rPr>
            </w:pPr>
            <w:r w:rsidRPr="00A869FE">
              <w:rPr>
                <w:rFonts w:ascii="Verdana" w:hAnsi="Verdana" w:cs="Arial"/>
                <w:b/>
                <w:bCs/>
                <w:lang w:eastAsia="es-ES"/>
              </w:rPr>
              <w:t>Concepto C – 1</w:t>
            </w:r>
            <w:r>
              <w:rPr>
                <w:rFonts w:ascii="Verdana" w:hAnsi="Verdana" w:cs="Arial"/>
                <w:b/>
                <w:bCs/>
                <w:lang w:eastAsia="es-ES"/>
              </w:rPr>
              <w:t>749</w:t>
            </w:r>
            <w:r w:rsidRPr="00A869FE">
              <w:rPr>
                <w:rFonts w:ascii="Verdana" w:hAnsi="Verdana" w:cs="Arial"/>
                <w:b/>
                <w:bCs/>
                <w:lang w:eastAsia="es-ES"/>
              </w:rPr>
              <w:t xml:space="preserve"> de 2025</w:t>
            </w:r>
          </w:p>
        </w:tc>
      </w:tr>
      <w:tr w:rsidR="00861DDF" w:rsidRPr="00A869FE" w14:paraId="6E1446B4" w14:textId="77777777" w:rsidTr="00093697">
        <w:trPr>
          <w:trHeight w:val="884"/>
        </w:trPr>
        <w:tc>
          <w:tcPr>
            <w:tcW w:w="2689" w:type="dxa"/>
          </w:tcPr>
          <w:p w14:paraId="58D84C99" w14:textId="77777777" w:rsidR="00861DDF" w:rsidRPr="00A869FE" w:rsidRDefault="00861DDF" w:rsidP="00093697">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7CFF6D62" w14:textId="77777777" w:rsidR="00861DDF" w:rsidRPr="003C46CE" w:rsidRDefault="00861DDF" w:rsidP="00093697">
            <w:pPr>
              <w:jc w:val="both"/>
              <w:rPr>
                <w:lang w:val="es-ES"/>
              </w:rPr>
            </w:pPr>
            <w:r w:rsidRPr="00585B8F">
              <w:rPr>
                <w:rFonts w:ascii="Verdana" w:eastAsia="Calibri" w:hAnsi="Verdana" w:cs="Arial"/>
                <w:lang w:val="es-ES" w:eastAsia="es-ES"/>
              </w:rPr>
              <w:t xml:space="preserve">LEY DE GARANTÍAS ELECTORALES ‒ Finalidad / </w:t>
            </w:r>
            <w:r w:rsidRPr="003C46CE">
              <w:rPr>
                <w:rFonts w:ascii="Verdana" w:eastAsia="Calibri" w:hAnsi="Verdana" w:cs="Arial"/>
                <w:lang w:val="es-ES" w:eastAsia="es-ES"/>
              </w:rPr>
              <w:t>LEY DE GARANTÍAS ELECTORALES – Contratación directa – Alcance material – Interpretación restrictiva</w:t>
            </w:r>
            <w:r>
              <w:rPr>
                <w:rFonts w:ascii="Verdana" w:eastAsia="Calibri" w:hAnsi="Verdana" w:cs="Arial"/>
                <w:lang w:val="es-ES" w:eastAsia="es-ES"/>
              </w:rPr>
              <w:t xml:space="preserve"> </w:t>
            </w:r>
            <w:r w:rsidRPr="00585B8F">
              <w:rPr>
                <w:rFonts w:ascii="Verdana" w:eastAsia="Calibri" w:hAnsi="Verdana" w:cs="Arial"/>
                <w:lang w:val="es-ES" w:eastAsia="es-ES"/>
              </w:rPr>
              <w:t xml:space="preserve">/ </w:t>
            </w:r>
            <w:r w:rsidRPr="003C46CE">
              <w:rPr>
                <w:rFonts w:ascii="Verdana" w:eastAsia="Calibri" w:hAnsi="Verdana" w:cs="Arial"/>
                <w:lang w:val="es-ES" w:eastAsia="es-ES"/>
              </w:rPr>
              <w:t>LEY DE GARANTÍAS ELECTORALES – Destinatarios – Entes del Estado – Régimen especial</w:t>
            </w:r>
            <w:r>
              <w:rPr>
                <w:rFonts w:ascii="Verdana" w:eastAsia="Calibri" w:hAnsi="Verdana" w:cs="Arial"/>
                <w:lang w:val="es-ES" w:eastAsia="es-ES"/>
              </w:rPr>
              <w:t xml:space="preserve"> / </w:t>
            </w:r>
            <w:r w:rsidRPr="003C46CE">
              <w:rPr>
                <w:rFonts w:ascii="Verdana" w:eastAsia="Calibri" w:hAnsi="Verdana" w:cs="Arial"/>
                <w:lang w:val="es-ES" w:eastAsia="es-ES"/>
              </w:rPr>
              <w:t>EMPRESAS DE SERVICIOS PÚBLICOS DOMICILIARIOS – Naturaleza jurídica – Empresas oficiales – Régimen especial</w:t>
            </w:r>
            <w:r>
              <w:rPr>
                <w:rFonts w:ascii="Verdana" w:eastAsia="Calibri" w:hAnsi="Verdana" w:cs="Arial"/>
                <w:lang w:val="es-ES" w:eastAsia="es-ES"/>
              </w:rPr>
              <w:t xml:space="preserve"> / </w:t>
            </w:r>
            <w:r w:rsidRPr="003C46CE">
              <w:rPr>
                <w:rFonts w:ascii="Verdana" w:eastAsia="Calibri" w:hAnsi="Verdana" w:cs="Arial"/>
                <w:lang w:val="es-ES" w:eastAsia="es-ES"/>
              </w:rPr>
              <w:t>EMPRESAS DE SERVICIOS PÚBLICOS DOMICILIARIOS – Ley de Garantías Electorales – Contratación directa – Aplicación</w:t>
            </w:r>
            <w:r>
              <w:rPr>
                <w:rFonts w:ascii="Verdana" w:eastAsia="Calibri" w:hAnsi="Verdana" w:cs="Arial"/>
                <w:lang w:val="es-ES" w:eastAsia="es-ES"/>
              </w:rPr>
              <w:t xml:space="preserve"> / </w:t>
            </w:r>
            <w:r w:rsidRPr="003C46CE">
              <w:rPr>
                <w:rFonts w:ascii="Verdana" w:eastAsia="Calibri" w:hAnsi="Verdana" w:cs="Arial"/>
                <w:lang w:val="es-ES" w:eastAsia="es-ES"/>
              </w:rPr>
              <w:t>LEY DE GARANTÍAS ELECTORALES – Convenios interadministrativos – Ejecución de recursos públicos – Criterio orgánico</w:t>
            </w:r>
          </w:p>
        </w:tc>
      </w:tr>
      <w:tr w:rsidR="00861DDF" w:rsidRPr="00A869FE" w14:paraId="30E9CCA4" w14:textId="77777777" w:rsidTr="00093697">
        <w:tc>
          <w:tcPr>
            <w:tcW w:w="2689" w:type="dxa"/>
          </w:tcPr>
          <w:p w14:paraId="1AE95C35" w14:textId="77777777" w:rsidR="00861DDF" w:rsidRPr="00A869FE" w:rsidRDefault="00861DDF" w:rsidP="00093697">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058317A0" w14:textId="77777777" w:rsidR="00861DDF" w:rsidRPr="0087731B" w:rsidRDefault="00861DDF" w:rsidP="00093697">
            <w:pPr>
              <w:spacing w:line="276" w:lineRule="auto"/>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87731B">
              <w:rPr>
                <w:rFonts w:ascii="Verdana" w:hAnsi="Verdana" w:cs="Arial"/>
                <w:lang w:eastAsia="es-ES_tradnl"/>
              </w:rPr>
              <w:t>1_2025_11_25_013300</w:t>
            </w:r>
          </w:p>
          <w:p w14:paraId="112E1BB6" w14:textId="77777777" w:rsidR="00861DDF" w:rsidRPr="00A869FE" w:rsidRDefault="00861DDF" w:rsidP="00093697">
            <w:pPr>
              <w:spacing w:line="276" w:lineRule="auto"/>
              <w:jc w:val="both"/>
              <w:rPr>
                <w:rFonts w:ascii="Verdana" w:hAnsi="Verdana" w:cs="Arial"/>
                <w:lang w:eastAsia="es-ES_tradnl"/>
              </w:rPr>
            </w:pPr>
          </w:p>
        </w:tc>
      </w:tr>
    </w:tbl>
    <w:p w14:paraId="145C79E9" w14:textId="77777777" w:rsidR="00861DDF" w:rsidRPr="00A869FE" w:rsidRDefault="00861DDF" w:rsidP="00861DDF">
      <w:pPr>
        <w:spacing w:after="0" w:line="240" w:lineRule="auto"/>
        <w:jc w:val="both"/>
        <w:rPr>
          <w:rFonts w:ascii="Verdana" w:hAnsi="Verdana" w:cs="Arial"/>
          <w:color w:val="000000"/>
          <w:lang w:eastAsia="es-ES_tradnl"/>
        </w:rPr>
      </w:pPr>
    </w:p>
    <w:p w14:paraId="3ABD9A50" w14:textId="77777777" w:rsidR="00861DDF" w:rsidRPr="00A869FE" w:rsidRDefault="00861DDF" w:rsidP="00861DDF">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o señor Mora</w:t>
      </w:r>
      <w:r w:rsidRPr="00A869FE">
        <w:rPr>
          <w:rFonts w:ascii="Verdana" w:hAnsi="Verdana" w:cs="Arial"/>
          <w:lang w:eastAsia="es-ES"/>
        </w:rPr>
        <w:t>:</w:t>
      </w:r>
    </w:p>
    <w:p w14:paraId="16D5D185" w14:textId="77777777" w:rsidR="00861DDF" w:rsidRPr="00A869FE" w:rsidRDefault="00861DDF" w:rsidP="00861DDF">
      <w:pPr>
        <w:tabs>
          <w:tab w:val="left" w:pos="3768"/>
        </w:tabs>
        <w:spacing w:after="0" w:line="276" w:lineRule="auto"/>
        <w:jc w:val="both"/>
        <w:rPr>
          <w:rFonts w:ascii="Verdana" w:hAnsi="Verdana" w:cs="Arial"/>
          <w:color w:val="000000" w:themeColor="text1"/>
          <w:lang w:eastAsia="es-ES"/>
        </w:rPr>
      </w:pPr>
      <w:r w:rsidRPr="00A869FE">
        <w:rPr>
          <w:rFonts w:ascii="Verdana" w:hAnsi="Verdana" w:cs="Arial"/>
          <w:color w:val="000000" w:themeColor="text1"/>
          <w:lang w:eastAsia="es-ES"/>
        </w:rPr>
        <w:tab/>
      </w:r>
    </w:p>
    <w:p w14:paraId="23D3A8B8" w14:textId="77777777" w:rsidR="00861DDF" w:rsidRPr="002034D9" w:rsidRDefault="00861DDF" w:rsidP="00861DDF">
      <w:pPr>
        <w:spacing w:after="0" w:line="276" w:lineRule="auto"/>
        <w:jc w:val="both"/>
        <w:rPr>
          <w:rFonts w:ascii="Verdana" w:hAnsi="Verdana" w:cs="Arial"/>
          <w:lang w:eastAsia="es-ES"/>
        </w:rPr>
      </w:pPr>
      <w:r w:rsidRPr="00A869FE">
        <w:rPr>
          <w:rFonts w:ascii="Verdana" w:hAnsi="Verdana" w:cs="Arial"/>
          <w:color w:val="000000" w:themeColor="text1"/>
          <w:lang w:eastAsia="es-ES"/>
        </w:rPr>
        <w:t>En ejercicio de la competencia otorgada por los artículos 3, numeral 5º, y 11, numeral 8º, del Decreto Ley 4170 de 2011,</w:t>
      </w:r>
      <w:r w:rsidRPr="00A869FE">
        <w:rPr>
          <w:rFonts w:ascii="Verdana" w:eastAsia="Arial MT" w:hAnsi="Verdana" w:cs="Arial MT"/>
          <w:lang w:eastAsia="es-ES"/>
        </w:rPr>
        <w:t xml:space="preserve"> </w:t>
      </w:r>
      <w:r w:rsidRPr="00A869FE">
        <w:rPr>
          <w:rFonts w:ascii="Verdana" w:hAnsi="Verdana" w:cs="Arial"/>
        </w:rPr>
        <w:t xml:space="preserve">así como lo establecido en la Resolución 469 de 2025 expedida por esta Entidad, </w:t>
      </w:r>
      <w:r w:rsidRPr="00A869FE">
        <w:rPr>
          <w:rFonts w:ascii="Verdana" w:hAnsi="Verdana" w:cs="Arial"/>
          <w:color w:val="000000" w:themeColor="text1"/>
          <w:lang w:eastAsia="es-ES"/>
        </w:rPr>
        <w:t xml:space="preserve">la Agencia Nacional de Contratación Pública – Colombia Compra Eficiente </w:t>
      </w:r>
      <w:r w:rsidRPr="00593A5F">
        <w:rPr>
          <w:rFonts w:ascii="Verdana" w:eastAsia="Calibri" w:hAnsi="Verdana" w:cs="Arial"/>
          <w:color w:val="000000" w:themeColor="text1"/>
          <w:lang w:val="es-ES" w:eastAsia="es-ES"/>
        </w:rPr>
        <w:t>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20 de octubre de 2025 al </w:t>
      </w:r>
      <w:r>
        <w:rPr>
          <w:rFonts w:ascii="Verdana" w:hAnsi="Verdana" w:cs="Arial"/>
          <w:color w:val="000000" w:themeColor="text1"/>
          <w:lang w:eastAsia="es-ES"/>
        </w:rPr>
        <w:t>Departamento Administrativo de la Función Pública – DAFP</w:t>
      </w:r>
      <w:r w:rsidRPr="008E6AD9">
        <w:rPr>
          <w:rFonts w:ascii="Verdana" w:eastAsia="Calibri" w:hAnsi="Verdana" w:cs="Arial"/>
          <w:lang w:val="es-ES" w:eastAsia="es-ES"/>
        </w:rPr>
        <w:t>,</w:t>
      </w:r>
      <w:r>
        <w:rPr>
          <w:rFonts w:ascii="Verdana" w:eastAsia="Calibri" w:hAnsi="Verdana" w:cs="Arial"/>
          <w:lang w:val="es-ES" w:eastAsia="es-ES"/>
        </w:rPr>
        <w:t xml:space="preserve"> la cual –conforme al artículo 21 de la Ley 1437 de 2011– fue remitida por competencia a esta entidad mediante correo electrónico del 25 de noviembre de 2025, donde pregunta lo siguiente</w:t>
      </w:r>
      <w:r w:rsidRPr="008E6AD9">
        <w:rPr>
          <w:rFonts w:ascii="Verdana" w:eastAsia="Calibri" w:hAnsi="Verdana" w:cs="Arial"/>
          <w:lang w:val="es-ES" w:eastAsia="es-ES"/>
        </w:rPr>
        <w:t>:</w:t>
      </w:r>
    </w:p>
    <w:p w14:paraId="09FC66AD" w14:textId="77777777" w:rsidR="00861DDF" w:rsidRPr="00A869FE" w:rsidRDefault="00861DDF" w:rsidP="00861DDF">
      <w:pPr>
        <w:tabs>
          <w:tab w:val="left" w:pos="142"/>
          <w:tab w:val="left" w:pos="284"/>
        </w:tabs>
        <w:spacing w:after="0" w:line="276" w:lineRule="auto"/>
        <w:contextualSpacing/>
        <w:jc w:val="both"/>
        <w:rPr>
          <w:rFonts w:ascii="Verdana" w:eastAsia="Century Gothic" w:hAnsi="Verdana" w:cs="Century Gothic"/>
          <w:b/>
          <w:bCs/>
        </w:rPr>
      </w:pPr>
    </w:p>
    <w:p w14:paraId="32FBA76E" w14:textId="77777777" w:rsidR="00861DDF" w:rsidRPr="00A869FE" w:rsidRDefault="00861DDF" w:rsidP="00861DDF">
      <w:pPr>
        <w:spacing w:after="0" w:line="240" w:lineRule="auto"/>
        <w:ind w:left="709" w:right="709"/>
        <w:jc w:val="both"/>
        <w:rPr>
          <w:rFonts w:ascii="Verdana" w:hAnsi="Verdana"/>
          <w:sz w:val="20"/>
          <w:szCs w:val="20"/>
        </w:rPr>
      </w:pPr>
      <w:bookmarkStart w:id="1" w:name="_Hlk95313578"/>
      <w:r w:rsidRPr="00A869FE">
        <w:rPr>
          <w:rFonts w:ascii="Verdana" w:eastAsia="Century Gothic" w:hAnsi="Verdana" w:cs="Century Gothic"/>
          <w:sz w:val="20"/>
          <w:szCs w:val="20"/>
        </w:rPr>
        <w:t>“</w:t>
      </w:r>
      <w:bookmarkEnd w:id="1"/>
      <w:r>
        <w:rPr>
          <w:rFonts w:ascii="Verdana" w:eastAsia="Century Gothic" w:hAnsi="Verdana" w:cs="Century Gothic"/>
          <w:sz w:val="20"/>
          <w:szCs w:val="20"/>
        </w:rPr>
        <w:t xml:space="preserve">[…] </w:t>
      </w:r>
      <w:r w:rsidRPr="00EE64CB">
        <w:rPr>
          <w:rFonts w:ascii="Verdana" w:eastAsia="Century Gothic" w:hAnsi="Verdana" w:cs="Century Gothic"/>
          <w:sz w:val="20"/>
          <w:szCs w:val="20"/>
        </w:rPr>
        <w:t xml:space="preserve">Por medio de la presente me permito solicitar me indique los parámetros de contratación con respecto a la aplicación de la ley 996 de 2005 a una Empresa de Servicios </w:t>
      </w:r>
      <w:r>
        <w:rPr>
          <w:rFonts w:ascii="Verdana" w:eastAsia="Century Gothic" w:hAnsi="Verdana" w:cs="Century Gothic"/>
          <w:sz w:val="20"/>
          <w:szCs w:val="20"/>
        </w:rPr>
        <w:t>P</w:t>
      </w:r>
      <w:r w:rsidRPr="00EE64CB">
        <w:rPr>
          <w:rFonts w:ascii="Verdana" w:eastAsia="Century Gothic" w:hAnsi="Verdana" w:cs="Century Gothic"/>
          <w:sz w:val="20"/>
          <w:szCs w:val="20"/>
        </w:rPr>
        <w:t xml:space="preserve">úblicos que tiene el 100% de los recursos públicos, su naturaleza es Pública. Por favor indicarnos lo </w:t>
      </w:r>
      <w:r w:rsidRPr="00EE64CB">
        <w:rPr>
          <w:rFonts w:ascii="Verdana" w:eastAsia="Century Gothic" w:hAnsi="Verdana" w:cs="Century Gothic"/>
          <w:sz w:val="20"/>
          <w:szCs w:val="20"/>
        </w:rPr>
        <w:lastRenderedPageBreak/>
        <w:t>siguiente: EMSERPUCAR E.S.P. tiene diferentes tipos de invitaciones que se implementan dependiendo la necesidad y su cuantía, por lo que queremos tener claridad si en caso tal a corte de 31 de enero de 2026 o la fecha exacta del inicio de aplicación de la ley de garantías, algún contrato ya sea de suministro, arrendamiento, compraventa, entre otros, no se llegase a dejar firmado y legalizado, se puede desarrollar en el transcurso del año 2026 o no se puede adelantar, dejando de presente que estos contratos serían por medio de invitación única oferta, privada, menor cuantía, mayor cuantía. Desde hace varios meses el personal del área de contratación ha estado planificando y/o planeando cada requerimiento para poder en el mes de enero del año 2026, tener el 80% de la contratación al día, a fin de no interrumpir las funciones y actividades administrativas, operativas y comerciales, pero no sabemos si se nos puede quedar alguna actividad o bien sin contratar y eso nos deja una duda al respecto.</w:t>
      </w:r>
      <w:r w:rsidRPr="00A869FE">
        <w:rPr>
          <w:rFonts w:ascii="Verdana" w:hAnsi="Verdana"/>
          <w:sz w:val="20"/>
          <w:szCs w:val="20"/>
        </w:rPr>
        <w:t>”</w:t>
      </w:r>
    </w:p>
    <w:p w14:paraId="7B5303B8" w14:textId="77777777" w:rsidR="00861DDF" w:rsidRPr="00A869FE" w:rsidRDefault="00861DDF" w:rsidP="00861DDF">
      <w:pPr>
        <w:tabs>
          <w:tab w:val="left" w:pos="142"/>
          <w:tab w:val="left" w:pos="284"/>
        </w:tabs>
        <w:spacing w:after="0" w:line="276" w:lineRule="auto"/>
        <w:contextualSpacing/>
        <w:jc w:val="both"/>
        <w:rPr>
          <w:rFonts w:ascii="Verdana" w:eastAsia="Century Gothic" w:hAnsi="Verdana" w:cs="Century Gothic"/>
          <w:b/>
          <w:bCs/>
        </w:rPr>
      </w:pPr>
    </w:p>
    <w:p w14:paraId="3AC2A51A" w14:textId="77777777" w:rsidR="00861DDF" w:rsidRPr="00A869FE" w:rsidRDefault="00861DDF" w:rsidP="00861DDF">
      <w:pPr>
        <w:spacing w:after="120" w:line="276" w:lineRule="auto"/>
        <w:ind w:firstLine="709"/>
        <w:jc w:val="both"/>
        <w:rPr>
          <w:rFonts w:ascii="Verdana" w:hAnsi="Verdana" w:cs="Arial"/>
          <w:color w:val="000000"/>
          <w:lang w:eastAsia="es-ES"/>
        </w:rPr>
      </w:pPr>
      <w:r w:rsidRPr="00A869FE">
        <w:rPr>
          <w:rFonts w:ascii="Verdana" w:hAnsi="Verdana" w:cs="Arial"/>
          <w:color w:val="000000" w:themeColor="text1"/>
          <w:lang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hAnsi="Verdana" w:cs="Arial"/>
          <w:color w:val="000000" w:themeColor="text1"/>
          <w:lang w:eastAsia="es-ES"/>
        </w:rPr>
        <w:t xml:space="preserve">la Agencia Nacional de Contratación Pública – </w:t>
      </w:r>
      <w:r w:rsidRPr="00A869FE">
        <w:rPr>
          <w:rFonts w:ascii="Verdana" w:hAnsi="Verdana" w:cs="Arial"/>
          <w:color w:val="000000" w:themeColor="text1"/>
          <w:lang w:eastAsia="es-ES"/>
        </w:rPr>
        <w:t xml:space="preserve">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869FE">
        <w:tab/>
      </w:r>
    </w:p>
    <w:p w14:paraId="5844A8A4" w14:textId="77777777" w:rsidR="00861DDF" w:rsidRPr="00A869FE" w:rsidRDefault="00861DDF" w:rsidP="00861DDF">
      <w:pPr>
        <w:spacing w:after="0" w:line="276" w:lineRule="auto"/>
        <w:ind w:firstLine="709"/>
        <w:jc w:val="both"/>
        <w:rPr>
          <w:rFonts w:ascii="Verdana" w:hAnsi="Verdana" w:cs="Arial"/>
          <w:color w:val="000000"/>
          <w:lang w:eastAsia="es-ES"/>
        </w:rPr>
      </w:pPr>
      <w:r w:rsidRPr="00A869FE">
        <w:rPr>
          <w:rFonts w:ascii="Verdana"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A869FE">
        <w:rPr>
          <w:rFonts w:ascii="Verdana" w:hAnsi="Verdana" w:cs="Arial"/>
          <w:color w:val="7030A0"/>
          <w:lang w:eastAsia="es-ES"/>
        </w:rPr>
        <w:t xml:space="preserve"> </w:t>
      </w:r>
      <w:r w:rsidRPr="00A869FE">
        <w:rPr>
          <w:rFonts w:ascii="Verdana" w:hAnsi="Verdana" w:cs="Arial"/>
          <w:color w:val="000000"/>
          <w:lang w:eastAsia="es-ES"/>
        </w:rPr>
        <w:t>problema</w:t>
      </w:r>
      <w:r w:rsidRPr="00A869FE">
        <w:rPr>
          <w:rFonts w:ascii="Verdana" w:hAnsi="Verdana" w:cs="Arial"/>
          <w:color w:val="7030A0"/>
          <w:lang w:eastAsia="es-ES"/>
        </w:rPr>
        <w:t xml:space="preserve"> </w:t>
      </w:r>
      <w:r w:rsidRPr="00A869FE">
        <w:rPr>
          <w:rFonts w:ascii="Verdana" w:hAnsi="Verdana" w:cs="Arial"/>
          <w:color w:val="000000"/>
          <w:lang w:eastAsia="es-ES"/>
        </w:rPr>
        <w:t>jurídico</w:t>
      </w:r>
      <w:r w:rsidRPr="00A869FE">
        <w:rPr>
          <w:rFonts w:ascii="Verdana" w:hAnsi="Verdana" w:cs="Arial"/>
          <w:color w:val="7030A0"/>
          <w:lang w:eastAsia="es-ES"/>
        </w:rPr>
        <w:t xml:space="preserve"> </w:t>
      </w:r>
      <w:r w:rsidRPr="00A869FE">
        <w:rPr>
          <w:rFonts w:ascii="Verdana" w:hAnsi="Verdana" w:cs="Arial"/>
          <w:color w:val="000000"/>
          <w:lang w:eastAsia="es-ES"/>
        </w:rPr>
        <w:t>de su consulta.</w:t>
      </w:r>
    </w:p>
    <w:p w14:paraId="5D067F62" w14:textId="77777777" w:rsidR="00861DDF" w:rsidRPr="00A869FE" w:rsidRDefault="00861DDF" w:rsidP="00861DDF">
      <w:pPr>
        <w:spacing w:after="0" w:line="276" w:lineRule="auto"/>
        <w:ind w:firstLine="708"/>
        <w:jc w:val="both"/>
        <w:rPr>
          <w:rFonts w:ascii="Verdana" w:hAnsi="Verdana" w:cs="Arial"/>
          <w:lang w:eastAsia="es-ES"/>
        </w:rPr>
      </w:pPr>
    </w:p>
    <w:p w14:paraId="5D51AA57" w14:textId="77777777" w:rsidR="00861DDF" w:rsidRPr="00A869FE" w:rsidRDefault="00861DDF" w:rsidP="00861DDF">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Problema planteado:</w:t>
      </w:r>
    </w:p>
    <w:p w14:paraId="2100C059" w14:textId="77777777" w:rsidR="00861DDF" w:rsidRPr="00A869FE" w:rsidRDefault="00861DDF" w:rsidP="00861DDF">
      <w:pPr>
        <w:tabs>
          <w:tab w:val="left" w:pos="426"/>
        </w:tabs>
        <w:spacing w:after="0" w:line="276" w:lineRule="auto"/>
        <w:jc w:val="both"/>
        <w:rPr>
          <w:rFonts w:ascii="Verdana" w:eastAsia="Century Gothic" w:hAnsi="Verdana" w:cs="Century Gothic"/>
        </w:rPr>
      </w:pPr>
    </w:p>
    <w:p w14:paraId="34DFC9A9" w14:textId="77777777" w:rsidR="00861DDF" w:rsidRDefault="00861DDF" w:rsidP="00861DDF">
      <w:pPr>
        <w:spacing w:after="0" w:line="276" w:lineRule="auto"/>
        <w:jc w:val="both"/>
        <w:rPr>
          <w:rFonts w:ascii="Verdana" w:eastAsia="Century Gothic" w:hAnsi="Verdana" w:cs="Century Gothic"/>
        </w:rPr>
      </w:pPr>
      <w:r w:rsidRPr="00A869FE">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A869FE">
        <w:rPr>
          <w:rFonts w:ascii="Verdana" w:eastAsia="Century Gothic" w:hAnsi="Verdana" w:cs="Century Gothic"/>
        </w:rPr>
        <w:t xml:space="preserve"> siguiente problema jurídico: </w:t>
      </w:r>
      <w:r w:rsidRPr="001C59AF">
        <w:rPr>
          <w:rFonts w:ascii="Verdana" w:eastAsia="Century Gothic" w:hAnsi="Verdana" w:cs="Century Gothic"/>
        </w:rPr>
        <w:t xml:space="preserve">¿Cuál es el marco normativo aplicable para la interpretación general de las restricciones previstas en los artículos 33 y 38 de la Ley 996 de 2005, en relación con la actividad contractual de las entidades estatales y, en </w:t>
      </w:r>
      <w:r w:rsidRPr="001C59AF">
        <w:rPr>
          <w:rFonts w:ascii="Verdana" w:eastAsia="Century Gothic" w:hAnsi="Verdana" w:cs="Century Gothic"/>
        </w:rPr>
        <w:lastRenderedPageBreak/>
        <w:t>particular, de las empresas de servicios públicos domiciliarios de naturaleza oficial o con participación estatal?</w:t>
      </w:r>
    </w:p>
    <w:p w14:paraId="08481C22" w14:textId="77777777" w:rsidR="00861DDF" w:rsidRPr="00A869FE" w:rsidRDefault="00861DDF" w:rsidP="00861DDF">
      <w:pPr>
        <w:spacing w:after="0" w:line="276" w:lineRule="auto"/>
        <w:jc w:val="both"/>
        <w:rPr>
          <w:rFonts w:ascii="Verdana" w:hAnsi="Verdana" w:cs="Arial"/>
          <w:color w:val="7030A0"/>
        </w:rPr>
      </w:pPr>
    </w:p>
    <w:p w14:paraId="516BFF9E" w14:textId="77777777" w:rsidR="00861DDF" w:rsidRPr="00A869FE" w:rsidRDefault="00861DDF" w:rsidP="00861DDF">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Respuesta:</w:t>
      </w:r>
    </w:p>
    <w:p w14:paraId="373A443D" w14:textId="77777777" w:rsidR="00861DDF" w:rsidRPr="00A869FE" w:rsidRDefault="00861DDF" w:rsidP="00861DDF">
      <w:pPr>
        <w:tabs>
          <w:tab w:val="left" w:pos="142"/>
          <w:tab w:val="left" w:pos="284"/>
        </w:tabs>
        <w:spacing w:after="0" w:line="276" w:lineRule="auto"/>
        <w:jc w:val="both"/>
        <w:rPr>
          <w:rFonts w:ascii="Verdana" w:eastAsia="Century Gothic" w:hAnsi="Verdana" w:cs="Century Gothic"/>
          <w:b/>
          <w:bCs/>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61DDF" w:rsidRPr="00A869FE" w14:paraId="35275A55" w14:textId="77777777" w:rsidTr="00093697">
        <w:trPr>
          <w:jc w:val="center"/>
        </w:trPr>
        <w:tc>
          <w:tcPr>
            <w:tcW w:w="8828" w:type="dxa"/>
          </w:tcPr>
          <w:p w14:paraId="5158AAF5" w14:textId="77777777" w:rsidR="00861DDF" w:rsidRPr="002C5FC4" w:rsidRDefault="00861DDF" w:rsidP="00093697">
            <w:pPr>
              <w:spacing w:line="276" w:lineRule="auto"/>
              <w:jc w:val="both"/>
              <w:rPr>
                <w:rFonts w:ascii="Verdana" w:eastAsia="Calibri" w:hAnsi="Verdana" w:cs="Arial"/>
                <w:bCs/>
                <w:color w:val="000000" w:themeColor="text1"/>
              </w:rPr>
            </w:pPr>
            <w:r w:rsidRPr="002C5FC4">
              <w:rPr>
                <w:rFonts w:ascii="Verdana" w:eastAsia="Calibri" w:hAnsi="Verdana" w:cs="Arial"/>
                <w:bCs/>
                <w:color w:val="000000" w:themeColor="text1"/>
              </w:rPr>
              <w:t>Conforme a la interpretación general de las normas del sistema de compras públicas,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1A347D4" w14:textId="77777777" w:rsidR="00861DDF" w:rsidRPr="002C5FC4" w:rsidRDefault="00861DDF" w:rsidP="00093697">
            <w:pPr>
              <w:spacing w:before="120" w:line="276" w:lineRule="auto"/>
              <w:ind w:firstLine="708"/>
              <w:jc w:val="both"/>
              <w:rPr>
                <w:rFonts w:ascii="Verdana" w:eastAsia="Calibri" w:hAnsi="Verdana" w:cs="Arial"/>
                <w:bCs/>
                <w:color w:val="000000" w:themeColor="text1"/>
              </w:rPr>
            </w:pPr>
            <w:r w:rsidRPr="002C5FC4">
              <w:rPr>
                <w:rFonts w:ascii="Verdana" w:eastAsia="Calibri" w:hAnsi="Verdana" w:cs="Arial"/>
                <w:bCs/>
                <w:color w:val="000000" w:themeColor="text1"/>
              </w:rPr>
              <w:t>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00076D28" w14:textId="77777777" w:rsidR="00861DDF" w:rsidRPr="002C5FC4" w:rsidRDefault="00861DDF" w:rsidP="00093697">
            <w:pPr>
              <w:spacing w:before="120" w:line="276" w:lineRule="auto"/>
              <w:ind w:firstLine="708"/>
              <w:jc w:val="both"/>
              <w:rPr>
                <w:rFonts w:ascii="Verdana" w:eastAsia="Calibri" w:hAnsi="Verdana" w:cs="Arial"/>
                <w:bCs/>
                <w:color w:val="000000" w:themeColor="text1"/>
              </w:rPr>
            </w:pPr>
            <w:r w:rsidRPr="002C5FC4">
              <w:rPr>
                <w:rFonts w:ascii="Verdana" w:eastAsia="Calibri" w:hAnsi="Verdana" w:cs="Arial"/>
                <w:bCs/>
                <w:color w:val="000000" w:themeColor="text1"/>
              </w:rPr>
              <w:t xml:space="preserve">Ahora bien, el alcance de la prohibición prevista en el artículo 33 no se predica de </w:t>
            </w:r>
            <w:r w:rsidRPr="002C5FC4">
              <w:rPr>
                <w:rFonts w:ascii="Verdana" w:eastAsia="Calibri" w:hAnsi="Verdana" w:cs="Arial"/>
                <w:color w:val="000000" w:themeColor="text1"/>
              </w:rPr>
              <w:t>toda actividad contractual, sino específicamente de la contratación directa</w:t>
            </w:r>
            <w:r w:rsidRPr="002C5FC4">
              <w:rPr>
                <w:rFonts w:ascii="Verdana" w:eastAsia="Calibri" w:hAnsi="Verdana" w:cs="Arial"/>
                <w:bCs/>
                <w:color w:val="000000" w:themeColor="text1"/>
              </w:rPr>
              <w:t>, entendida en sentido material, esto es, como cualquier forma de selección que prescinda de un procedimiento competitivo con pluralidad de oferentes. En tal medida, la aplicación de esta restricción no depende de la denominación formal del procedimiento ni del régimen contractual aplicable a la entidad, sino de que el mecanismo de selección utilizado corresponda a una modalidad de escogencia directa que implique la ejecución de recursos públicos, salvo los eventos exceptuados de manera expresa por el legislador.</w:t>
            </w:r>
          </w:p>
          <w:p w14:paraId="37F3428A" w14:textId="77777777" w:rsidR="00861DDF" w:rsidRPr="002C5FC4" w:rsidRDefault="00861DDF" w:rsidP="00093697">
            <w:pPr>
              <w:spacing w:before="120" w:line="276" w:lineRule="auto"/>
              <w:ind w:firstLine="708"/>
              <w:jc w:val="both"/>
              <w:rPr>
                <w:rFonts w:ascii="Verdana" w:eastAsia="Calibri" w:hAnsi="Verdana" w:cs="Arial"/>
                <w:bCs/>
                <w:color w:val="000000" w:themeColor="text1"/>
              </w:rPr>
            </w:pPr>
            <w:r w:rsidRPr="002C5FC4">
              <w:rPr>
                <w:rFonts w:ascii="Verdana" w:eastAsia="Calibri" w:hAnsi="Verdana" w:cs="Arial"/>
                <w:bCs/>
                <w:color w:val="000000" w:themeColor="text1"/>
              </w:rPr>
              <w:t xml:space="preserve">Por su parte, el parágrafo del artículo 38 de la Ley 996 de 2005 prohíbe a los </w:t>
            </w:r>
            <w:proofErr w:type="gramStart"/>
            <w:r w:rsidRPr="002C5FC4">
              <w:rPr>
                <w:rFonts w:ascii="Verdana" w:eastAsia="Calibri" w:hAnsi="Verdana" w:cs="Arial"/>
                <w:bCs/>
                <w:color w:val="000000" w:themeColor="text1"/>
              </w:rPr>
              <w:t>Alcaldes</w:t>
            </w:r>
            <w:proofErr w:type="gramEnd"/>
            <w:r w:rsidRPr="002C5FC4">
              <w:rPr>
                <w:rFonts w:ascii="Verdana" w:eastAsia="Calibri" w:hAnsi="Verdana" w:cs="Arial"/>
                <w:bCs/>
                <w:color w:val="000000" w:themeColor="text1"/>
              </w:rPr>
              <w:t xml:space="preserve">, Gobernadores, </w:t>
            </w:r>
            <w:proofErr w:type="gramStart"/>
            <w:r w:rsidRPr="002C5FC4">
              <w:rPr>
                <w:rFonts w:ascii="Verdana" w:eastAsia="Calibri" w:hAnsi="Verdana" w:cs="Arial"/>
                <w:bCs/>
                <w:color w:val="000000" w:themeColor="text1"/>
              </w:rPr>
              <w:t>Secretarios</w:t>
            </w:r>
            <w:proofErr w:type="gramEnd"/>
            <w:r w:rsidRPr="002C5FC4">
              <w:rPr>
                <w:rFonts w:ascii="Verdana" w:eastAsia="Calibri" w:hAnsi="Verdana" w:cs="Arial"/>
                <w:bCs/>
                <w:color w:val="000000" w:themeColor="text1"/>
              </w:rPr>
              <w:t xml:space="preserve">, Gerentes y </w:t>
            </w:r>
            <w:proofErr w:type="gramStart"/>
            <w:r w:rsidRPr="002C5FC4">
              <w:rPr>
                <w:rFonts w:ascii="Verdana" w:eastAsia="Calibri" w:hAnsi="Verdana" w:cs="Arial"/>
                <w:bCs/>
                <w:color w:val="000000" w:themeColor="text1"/>
              </w:rPr>
              <w:t>Directores</w:t>
            </w:r>
            <w:proofErr w:type="gramEnd"/>
            <w:r w:rsidRPr="002C5FC4">
              <w:rPr>
                <w:rFonts w:ascii="Verdana" w:eastAsia="Calibri" w:hAnsi="Verdana" w:cs="Arial"/>
                <w:bCs/>
                <w:color w:val="000000" w:themeColor="text1"/>
              </w:rPr>
              <w:t xml:space="preserve"> de las entidades del orden municipal, departamental o distrital celebrar convenios </w:t>
            </w:r>
            <w:r w:rsidRPr="002C5FC4">
              <w:rPr>
                <w:rFonts w:ascii="Verdana" w:eastAsia="Calibri" w:hAnsi="Verdana" w:cs="Arial"/>
                <w:bCs/>
                <w:color w:val="000000" w:themeColor="text1"/>
              </w:rPr>
              <w:lastRenderedPageBreak/>
              <w:t>interadministrativos para la ejecución de recursos públicos. En este sentido, si una o ambas partes de la relación negocial corresponden a entidades de aquellas descritas en el parágrafo ibidem, no podrán celebrarse tales convenios durante la aplicación de la Ley de Garantías Electorales, toda vez que la citada disposición se refiere de manera expresa y exclusiva a dicha tipología negocial, sin que el legislador haya previsto un efecto extensivo a otras formas contractuales.</w:t>
            </w:r>
          </w:p>
          <w:p w14:paraId="0A4C8C04" w14:textId="77777777" w:rsidR="00861DDF" w:rsidRPr="002C5FC4" w:rsidRDefault="00861DDF" w:rsidP="00093697">
            <w:pPr>
              <w:spacing w:before="120" w:line="276" w:lineRule="auto"/>
              <w:ind w:firstLine="708"/>
              <w:jc w:val="both"/>
              <w:rPr>
                <w:rFonts w:ascii="Verdana" w:eastAsia="Calibri" w:hAnsi="Verdana" w:cs="Arial"/>
                <w:bCs/>
                <w:color w:val="000000" w:themeColor="text1"/>
              </w:rPr>
            </w:pPr>
            <w:r w:rsidRPr="002C5FC4">
              <w:rPr>
                <w:rFonts w:ascii="Verdana" w:eastAsia="Calibri" w:hAnsi="Verdana" w:cs="Arial"/>
                <w:bCs/>
                <w:color w:val="000000" w:themeColor="text1"/>
              </w:rPr>
              <w:t xml:space="preserve">Respecto del alcance de esta prohibición, la Circular Externa No. 006 de 2025 expedida por la ANCP-CCE, en los literales </w:t>
            </w:r>
            <w:proofErr w:type="spellStart"/>
            <w:r w:rsidRPr="002C5FC4">
              <w:rPr>
                <w:rFonts w:ascii="Verdana" w:eastAsia="Calibri" w:hAnsi="Verdana" w:cs="Arial"/>
                <w:bCs/>
                <w:color w:val="000000" w:themeColor="text1"/>
              </w:rPr>
              <w:t>ii</w:t>
            </w:r>
            <w:proofErr w:type="spellEnd"/>
            <w:r w:rsidRPr="002C5FC4">
              <w:rPr>
                <w:rFonts w:ascii="Verdana" w:eastAsia="Calibri" w:hAnsi="Verdana" w:cs="Arial"/>
                <w:bCs/>
                <w:color w:val="000000" w:themeColor="text1"/>
              </w:rPr>
              <w:t xml:space="preserve">) y </w:t>
            </w:r>
            <w:proofErr w:type="spellStart"/>
            <w:r w:rsidRPr="002C5FC4">
              <w:rPr>
                <w:rFonts w:ascii="Verdana" w:eastAsia="Calibri" w:hAnsi="Verdana" w:cs="Arial"/>
                <w:bCs/>
                <w:color w:val="000000" w:themeColor="text1"/>
              </w:rPr>
              <w:t>iv</w:t>
            </w:r>
            <w:proofErr w:type="spellEnd"/>
            <w:r w:rsidRPr="002C5FC4">
              <w:rPr>
                <w:rFonts w:ascii="Verdana" w:eastAsia="Calibri" w:hAnsi="Verdana" w:cs="Arial"/>
                <w:bCs/>
                <w:color w:val="000000" w:themeColor="text1"/>
              </w:rPr>
              <w:t>) del numeral 2, indica que el parágrafo del artículo 38 de la Ley 996 de 2005 cobija expresamente a los convenios interadministrativos en los que se contemple la ejecución de recursos públicos. Además, precisa que el parágrafo referido no estableció ningún supuesto que exceptúe la aplicación de esta prohibición, por lo que la restricción a la celebración de convenios interadministrativos aplicará a los sujetos allí señalados, “aunque se configure alguno de los supuestos de excepción que señaló el inciso final del artículo 33”. Es decir, no resulta aplicable, entre otros, el supuesto relativo a “[…] los utilizados para la reconstrucción de vías, puentes, carreteras, infraestructura energética y de comunicaciones, en caso de que hayan sido objeto de atentados, acciones terroristas, desastres naturales o casos de fuerza mayor […]”.</w:t>
            </w:r>
          </w:p>
          <w:p w14:paraId="35A43B70" w14:textId="77777777" w:rsidR="00861DDF" w:rsidRPr="002C5FC4" w:rsidRDefault="00861DDF" w:rsidP="00093697">
            <w:pPr>
              <w:spacing w:before="120" w:line="276" w:lineRule="auto"/>
              <w:ind w:firstLine="708"/>
              <w:jc w:val="both"/>
              <w:rPr>
                <w:rFonts w:ascii="Verdana" w:eastAsia="Calibri" w:hAnsi="Verdana" w:cs="Arial"/>
                <w:bCs/>
                <w:color w:val="000000" w:themeColor="text1"/>
              </w:rPr>
            </w:pPr>
            <w:r w:rsidRPr="002C5FC4">
              <w:rPr>
                <w:rFonts w:ascii="Verdana" w:eastAsia="Calibri" w:hAnsi="Verdana" w:cs="Arial"/>
                <w:bCs/>
                <w:color w:val="000000" w:themeColor="text1"/>
              </w:rPr>
              <w:t>Dichas prohibiciones coinciden parcialmente. En primer lugar, la prevista en el artículo 33, que opera únicamente respecto de las elecciones presidenciales, en virtud de la cual queda proscrita la contratación directa —en los términos antes señalados— dentro de los cuatro (4) meses anteriores a la celebración de los comicios, salvo las excepciones expresamente consagradas en la norma. No obstante, en el evento en que ninguno de los candidatos obtenga la mitad más uno de los votos válidos, la restricción se extenderá hasta la fecha en la que se realice la segunda vuelta, conforme a lo dispuesto en el artículo 190 de la Constitución Política. En segundo lugar, se encuentra la prohibición del parágrafo del artículo 38, la cual se aplica respecto de cualquier tipo de contienda electoral y proscribe la celebración de convenios interadministrativos que impliquen la ejecución de recursos públicos dentro de los cuatro (4) meses anteriores a la respectiva jornada electoral.</w:t>
            </w:r>
          </w:p>
          <w:p w14:paraId="78890430" w14:textId="77777777" w:rsidR="00861DDF" w:rsidRPr="002C5FC4" w:rsidRDefault="00861DDF" w:rsidP="00093697">
            <w:pPr>
              <w:spacing w:before="120" w:line="276" w:lineRule="auto"/>
              <w:ind w:firstLine="708"/>
              <w:jc w:val="both"/>
              <w:rPr>
                <w:rFonts w:ascii="Verdana" w:eastAsia="Calibri" w:hAnsi="Verdana" w:cs="Arial"/>
                <w:bCs/>
                <w:color w:val="000000" w:themeColor="text1"/>
              </w:rPr>
            </w:pPr>
            <w:r w:rsidRPr="002C5FC4">
              <w:rPr>
                <w:rFonts w:ascii="Verdana" w:eastAsia="Calibri" w:hAnsi="Verdana" w:cs="Arial"/>
                <w:bCs/>
                <w:color w:val="000000" w:themeColor="text1"/>
              </w:rPr>
              <w:t xml:space="preserve">En este contexto, tratándose de empresas de servicios públicos domiciliarios y, en particular, de aquellas de naturaleza oficial o con participación estatal, la aplicabilidad de una u otra restricción no se define por su régimen jurídico especial ni por la denominación de los procedimientos </w:t>
            </w:r>
            <w:r w:rsidRPr="002C5FC4">
              <w:rPr>
                <w:rFonts w:ascii="Verdana" w:eastAsia="Calibri" w:hAnsi="Verdana" w:cs="Arial"/>
                <w:bCs/>
                <w:color w:val="000000" w:themeColor="text1"/>
              </w:rPr>
              <w:lastRenderedPageBreak/>
              <w:t xml:space="preserve">contractuales que utilicen, sino por la verificación de los presupuestos normativos establecidos en cada disposición. Así, durante el período de garantías electorales, dichas empresas deberán abstenerse de adelantar </w:t>
            </w:r>
            <w:r w:rsidRPr="002C5FC4">
              <w:rPr>
                <w:rFonts w:ascii="Verdana" w:eastAsia="Calibri" w:hAnsi="Verdana" w:cs="Arial"/>
                <w:color w:val="000000" w:themeColor="text1"/>
              </w:rPr>
              <w:t>formas de selección directa que no comporten pluralidad de oferentes</w:t>
            </w:r>
            <w:r w:rsidRPr="002C5FC4">
              <w:rPr>
                <w:rFonts w:ascii="Verdana" w:eastAsia="Calibri" w:hAnsi="Verdana" w:cs="Arial"/>
                <w:bCs/>
                <w:color w:val="000000" w:themeColor="text1"/>
              </w:rPr>
              <w:t xml:space="preserve">, salvo que se configure alguna de las excepciones previstas en el artículo 33 de la Ley 996 de 2005; y, de igual manera, no podrán celebrar </w:t>
            </w:r>
            <w:r w:rsidRPr="002C5FC4">
              <w:rPr>
                <w:rFonts w:ascii="Verdana" w:eastAsia="Calibri" w:hAnsi="Verdana" w:cs="Arial"/>
                <w:color w:val="000000" w:themeColor="text1"/>
              </w:rPr>
              <w:t>convenios interadministrativos que impliquen la ejecución de recursos públicos</w:t>
            </w:r>
            <w:r w:rsidRPr="002C5FC4">
              <w:rPr>
                <w:rFonts w:ascii="Verdana" w:eastAsia="Calibri" w:hAnsi="Verdana" w:cs="Arial"/>
                <w:bCs/>
                <w:color w:val="000000" w:themeColor="text1"/>
              </w:rPr>
              <w:t xml:space="preserve"> cuando concurra alguno de los sujetos expresamente señalados en el parágrafo del artículo 38 ibidem.</w:t>
            </w:r>
          </w:p>
          <w:p w14:paraId="3B7290BC" w14:textId="77777777" w:rsidR="00861DDF" w:rsidRPr="00465BCB" w:rsidRDefault="00861DDF" w:rsidP="00093697">
            <w:pPr>
              <w:spacing w:before="120" w:line="276" w:lineRule="auto"/>
              <w:ind w:firstLine="708"/>
              <w:jc w:val="both"/>
              <w:rPr>
                <w:rFonts w:ascii="Verdana" w:eastAsia="Arial" w:hAnsi="Verdana" w:cs="Arial"/>
                <w:lang w:eastAsia="es-ES" w:bidi="es-ES"/>
              </w:rPr>
            </w:pPr>
            <w:r w:rsidRPr="002C5FC4">
              <w:rPr>
                <w:rFonts w:ascii="Verdana" w:eastAsia="Calibri" w:hAnsi="Verdana" w:cs="Arial"/>
                <w:bCs/>
                <w:color w:val="000000" w:themeColor="text1"/>
              </w:rPr>
              <w:t>Finalmente, debe advertirse que el análisis requerido para resolver situaciones concretas relacionadas con la gestión contractual de las entidades públicas corresponde a los interesados, con el apoyo de sus asesores, de conformidad con las competencias que les son propias. En consecuencia, la definición de la forma de adelantar la actividad contractual y la determinación de la procedencia de las restricciones previstas en la Ley de Garantías Electorales es responsabilidad de cada entidad, sin que sea atribución de Colombia Compra Eficiente validar o avalar actuaciones particulares.</w:t>
            </w:r>
          </w:p>
        </w:tc>
      </w:tr>
    </w:tbl>
    <w:p w14:paraId="41C14725" w14:textId="77777777" w:rsidR="00861DDF" w:rsidRPr="00A869FE" w:rsidRDefault="00861DDF" w:rsidP="00861DDF">
      <w:pPr>
        <w:tabs>
          <w:tab w:val="left" w:pos="142"/>
          <w:tab w:val="left" w:pos="284"/>
        </w:tabs>
        <w:spacing w:after="0" w:line="276" w:lineRule="auto"/>
        <w:jc w:val="both"/>
        <w:rPr>
          <w:rFonts w:ascii="Verdana" w:eastAsia="Century Gothic" w:hAnsi="Verdana" w:cs="Century Gothic"/>
          <w:b/>
          <w:bCs/>
        </w:rPr>
      </w:pPr>
    </w:p>
    <w:p w14:paraId="2ED32F3C" w14:textId="77777777" w:rsidR="00861DDF" w:rsidRPr="00A869FE" w:rsidRDefault="00861DDF" w:rsidP="00861DDF">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Razones de la respuesta:</w:t>
      </w:r>
    </w:p>
    <w:p w14:paraId="76C7CDA3" w14:textId="77777777" w:rsidR="00861DDF" w:rsidRPr="00A869FE" w:rsidRDefault="00861DDF" w:rsidP="00861DDF">
      <w:pPr>
        <w:spacing w:after="0" w:line="276" w:lineRule="auto"/>
        <w:jc w:val="both"/>
        <w:rPr>
          <w:rFonts w:ascii="Verdana" w:hAnsi="Verdana" w:cs="Arial"/>
          <w:color w:val="7030A0"/>
        </w:rPr>
      </w:pPr>
    </w:p>
    <w:p w14:paraId="6A28D2EF" w14:textId="77777777" w:rsidR="00861DDF" w:rsidRDefault="00861DDF" w:rsidP="00861DDF">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B310A3E" w14:textId="77777777" w:rsidR="00861DDF" w:rsidRPr="00415608" w:rsidRDefault="00861DDF" w:rsidP="00861DDF">
      <w:pPr>
        <w:spacing w:after="0" w:line="276" w:lineRule="auto"/>
        <w:jc w:val="both"/>
        <w:rPr>
          <w:rFonts w:ascii="Verdana" w:eastAsia="Calibri" w:hAnsi="Verdana" w:cs="Arial"/>
          <w:lang w:val="es-ES"/>
        </w:rPr>
      </w:pPr>
    </w:p>
    <w:p w14:paraId="6362CA2F" w14:textId="77777777" w:rsidR="00861DDF" w:rsidRPr="009E105D" w:rsidRDefault="00861DDF" w:rsidP="00861DDF">
      <w:pPr>
        <w:tabs>
          <w:tab w:val="left" w:pos="426"/>
        </w:tabs>
        <w:spacing w:after="120" w:line="276" w:lineRule="auto"/>
        <w:jc w:val="both"/>
        <w:rPr>
          <w:rFonts w:ascii="Verdana" w:eastAsia="Times New Roman" w:hAnsi="Verdana" w:cs="Arial"/>
          <w:lang w:eastAsia="es-CO"/>
        </w:rPr>
      </w:pPr>
      <w:r>
        <w:rPr>
          <w:rFonts w:ascii="Verdana" w:eastAsia="Calibri" w:hAnsi="Verdana" w:cs="Arial"/>
          <w:color w:val="000000" w:themeColor="text1"/>
        </w:rPr>
        <w:t xml:space="preserve">i. </w:t>
      </w:r>
      <w:r w:rsidRPr="009E105D">
        <w:rPr>
          <w:rFonts w:ascii="Verdana" w:eastAsia="Calibri" w:hAnsi="Verdana" w:cs="Arial"/>
        </w:rPr>
        <w:t>El ordenamiento jurídico colombiano contempla previsiones claras para evitar la obtención de beneficios personales en asuntos propios de la administración pública</w:t>
      </w:r>
      <w:r w:rsidRPr="009E105D">
        <w:rPr>
          <w:rFonts w:ascii="Verdana" w:eastAsia="Calibri" w:hAnsi="Verdana" w:cs="Arial"/>
          <w:i/>
        </w:rPr>
        <w:t xml:space="preserve">. </w:t>
      </w:r>
      <w:r w:rsidRPr="009E105D">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9E105D">
        <w:rPr>
          <w:rFonts w:ascii="Verdana" w:eastAsia="Calibri" w:hAnsi="Verdana" w:cs="Arial"/>
          <w:vertAlign w:val="superscript"/>
        </w:rPr>
        <w:footnoteReference w:id="1"/>
      </w:r>
      <w:r w:rsidRPr="009E105D">
        <w:rPr>
          <w:rFonts w:ascii="Verdana" w:eastAsia="Calibri" w:hAnsi="Verdana" w:cs="Arial"/>
        </w:rPr>
        <w:t xml:space="preserve">. </w:t>
      </w:r>
    </w:p>
    <w:p w14:paraId="5FF348DC" w14:textId="77777777" w:rsidR="00861DDF" w:rsidRPr="009E105D" w:rsidRDefault="00861DDF" w:rsidP="00861DDF">
      <w:pPr>
        <w:tabs>
          <w:tab w:val="left" w:pos="426"/>
        </w:tabs>
        <w:spacing w:after="0" w:line="276" w:lineRule="auto"/>
        <w:ind w:firstLine="709"/>
        <w:jc w:val="both"/>
        <w:rPr>
          <w:rFonts w:ascii="Verdana" w:eastAsia="Times New Roman" w:hAnsi="Verdana" w:cs="Arial"/>
          <w:lang w:val="es-MX" w:eastAsia="es-CO"/>
        </w:rPr>
      </w:pPr>
      <w:r w:rsidRPr="009E105D">
        <w:rPr>
          <w:rFonts w:ascii="Verdana" w:eastAsia="Times New Roman" w:hAnsi="Verdana" w:cs="Arial"/>
          <w:lang w:eastAsia="es-CO"/>
        </w:rPr>
        <w:t>En el mismo sentido</w:t>
      </w:r>
      <w:r w:rsidRPr="009E105D">
        <w:rPr>
          <w:rFonts w:ascii="Verdana" w:eastAsia="Times New Roman" w:hAnsi="Verdana" w:cs="Arial"/>
          <w:lang w:val="es-MX" w:eastAsia="es-CO"/>
        </w:rPr>
        <w:t xml:space="preserve">, </w:t>
      </w:r>
      <w:bookmarkStart w:id="2" w:name="_Hlk99576829"/>
      <w:r w:rsidRPr="009E105D">
        <w:rPr>
          <w:rFonts w:ascii="Verdana" w:eastAsia="Times New Roman" w:hAnsi="Verdana" w:cs="Arial"/>
          <w:lang w:val="es-MX" w:eastAsia="es-CO"/>
        </w:rPr>
        <w:t xml:space="preserve">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w:t>
      </w:r>
      <w:r w:rsidRPr="009E105D">
        <w:rPr>
          <w:rFonts w:ascii="Verdana" w:eastAsia="Times New Roman" w:hAnsi="Verdana" w:cs="Arial"/>
          <w:lang w:val="es-MX" w:eastAsia="es-CO"/>
        </w:rPr>
        <w:lastRenderedPageBreak/>
        <w:t>de arbitrariedad, de ventaja injustificada, de uso irregular de los recursos del Estado en las campañas o falta de garantías en la elección presidencial</w:t>
      </w:r>
      <w:r w:rsidRPr="009E105D">
        <w:rPr>
          <w:rFonts w:ascii="Verdana" w:eastAsia="Times New Roman" w:hAnsi="Verdana" w:cs="Arial"/>
          <w:vertAlign w:val="superscript"/>
          <w:lang w:val="es-MX" w:eastAsia="es-CO"/>
        </w:rPr>
        <w:footnoteReference w:id="2"/>
      </w:r>
      <w:r w:rsidRPr="009E105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9E105D">
        <w:rPr>
          <w:rFonts w:ascii="Verdana" w:eastAsia="Calibri" w:hAnsi="Verdana" w:cs="Arial"/>
          <w:lang w:val="es-ES_tradnl"/>
        </w:rPr>
        <w:t xml:space="preserve"> </w:t>
      </w:r>
      <w:bookmarkEnd w:id="2"/>
      <w:r w:rsidRPr="009E105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133F0D52" w14:textId="77777777" w:rsidR="00861DDF" w:rsidRPr="009E105D" w:rsidRDefault="00861DDF" w:rsidP="00861DDF">
      <w:pPr>
        <w:spacing w:after="0" w:line="276" w:lineRule="auto"/>
        <w:ind w:right="709"/>
        <w:contextualSpacing/>
        <w:jc w:val="both"/>
        <w:rPr>
          <w:rFonts w:ascii="Verdana" w:eastAsia="Times New Roman" w:hAnsi="Verdana" w:cs="Arial"/>
          <w:sz w:val="21"/>
          <w:szCs w:val="21"/>
          <w:lang w:val="es-ES" w:eastAsia="es-CO"/>
        </w:rPr>
      </w:pPr>
    </w:p>
    <w:p w14:paraId="74EEBDC1" w14:textId="77777777" w:rsidR="00861DDF" w:rsidRPr="00E066AC" w:rsidRDefault="00861DDF" w:rsidP="00861DDF">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ES" w:eastAsia="es-CO"/>
        </w:rPr>
        <w:t xml:space="preserve">“[…] </w:t>
      </w:r>
      <w:r w:rsidRPr="00E066AC">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5F29372" w14:textId="77777777" w:rsidR="00861DDF" w:rsidRDefault="00861DDF" w:rsidP="00861DDF">
      <w:pPr>
        <w:spacing w:after="12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 xml:space="preserve">[…] </w:t>
      </w:r>
    </w:p>
    <w:p w14:paraId="460F397B" w14:textId="77777777" w:rsidR="00861DDF" w:rsidRPr="00E066AC" w:rsidRDefault="00861DDF" w:rsidP="00861DDF">
      <w:pPr>
        <w:spacing w:after="120" w:line="240" w:lineRule="auto"/>
        <w:ind w:left="709" w:right="709"/>
        <w:contextualSpacing/>
        <w:jc w:val="both"/>
        <w:rPr>
          <w:rFonts w:ascii="Verdana" w:eastAsia="Times New Roman" w:hAnsi="Verdana" w:cs="Arial"/>
          <w:sz w:val="12"/>
          <w:szCs w:val="12"/>
          <w:lang w:val="es-MX" w:eastAsia="es-CO"/>
        </w:rPr>
      </w:pPr>
    </w:p>
    <w:p w14:paraId="511CFEF2" w14:textId="77777777" w:rsidR="00861DDF" w:rsidRPr="00E066AC" w:rsidRDefault="00861DDF" w:rsidP="00861DDF">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066AC">
        <w:rPr>
          <w:rFonts w:ascii="Verdana" w:eastAsia="Calibri" w:hAnsi="Verdana" w:cs="Arial"/>
          <w:sz w:val="20"/>
          <w:szCs w:val="20"/>
          <w:vertAlign w:val="superscript"/>
          <w:lang w:val="es-MX"/>
        </w:rPr>
        <w:footnoteReference w:id="3"/>
      </w:r>
      <w:r w:rsidRPr="00E066AC">
        <w:rPr>
          <w:rFonts w:ascii="Verdana" w:eastAsia="Times New Roman" w:hAnsi="Verdana" w:cs="Arial"/>
          <w:sz w:val="20"/>
          <w:szCs w:val="20"/>
          <w:lang w:val="es-MX" w:eastAsia="es-CO"/>
        </w:rPr>
        <w:t>.</w:t>
      </w:r>
    </w:p>
    <w:p w14:paraId="606D6CE5" w14:textId="77777777" w:rsidR="00861DDF" w:rsidRPr="009E105D" w:rsidRDefault="00861DDF" w:rsidP="00861DDF">
      <w:pPr>
        <w:spacing w:after="0" w:line="276" w:lineRule="auto"/>
        <w:ind w:left="709" w:right="709"/>
        <w:contextualSpacing/>
        <w:jc w:val="both"/>
        <w:rPr>
          <w:rFonts w:ascii="Verdana" w:eastAsia="Times New Roman" w:hAnsi="Verdana" w:cs="Arial"/>
          <w:sz w:val="21"/>
          <w:szCs w:val="21"/>
          <w:lang w:val="es-MX" w:eastAsia="es-CO"/>
        </w:rPr>
      </w:pPr>
    </w:p>
    <w:p w14:paraId="60F76501" w14:textId="77777777" w:rsidR="00861DDF" w:rsidRPr="009E105D" w:rsidRDefault="00861DDF" w:rsidP="00861DDF">
      <w:pPr>
        <w:spacing w:after="0" w:line="276" w:lineRule="auto"/>
        <w:ind w:firstLine="709"/>
        <w:jc w:val="both"/>
        <w:rPr>
          <w:rFonts w:ascii="Verdana" w:eastAsia="Times New Roman" w:hAnsi="Verdana" w:cs="Arial"/>
          <w:lang w:val="es-MX" w:eastAsia="es-CO"/>
        </w:rPr>
      </w:pPr>
      <w:bookmarkStart w:id="3" w:name="_Hlk78818186"/>
      <w:r w:rsidRPr="009E105D">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9E105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0DEAD313" w14:textId="77777777" w:rsidR="00861DDF" w:rsidRPr="009E105D" w:rsidRDefault="00861DDF" w:rsidP="00861DDF">
      <w:pPr>
        <w:spacing w:after="0" w:line="276" w:lineRule="auto"/>
        <w:ind w:firstLine="709"/>
        <w:contextualSpacing/>
        <w:jc w:val="both"/>
        <w:rPr>
          <w:rFonts w:ascii="Verdana" w:eastAsia="Times New Roman" w:hAnsi="Verdana" w:cs="Arial"/>
          <w:lang w:val="es-MX" w:eastAsia="es-CO"/>
        </w:rPr>
      </w:pPr>
    </w:p>
    <w:p w14:paraId="04B02F1C" w14:textId="77777777" w:rsidR="00861DDF" w:rsidRPr="00E066AC" w:rsidRDefault="00861DDF" w:rsidP="00861DDF">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066AC">
        <w:rPr>
          <w:rFonts w:ascii="Verdana" w:eastAsia="Times New Roman" w:hAnsi="Verdana" w:cs="Arial"/>
          <w:sz w:val="20"/>
          <w:szCs w:val="20"/>
          <w:lang w:val="es-MX" w:eastAsia="es-CO"/>
        </w:rPr>
        <w:t>legis</w:t>
      </w:r>
      <w:proofErr w:type="spellEnd"/>
      <w:r w:rsidRPr="00E066AC">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w:t>
      </w:r>
      <w:r w:rsidRPr="00E066AC">
        <w:rPr>
          <w:rFonts w:ascii="Verdana" w:eastAsia="Times New Roman" w:hAnsi="Verdana" w:cs="Arial"/>
          <w:sz w:val="20"/>
          <w:szCs w:val="20"/>
          <w:lang w:val="es-MX" w:eastAsia="es-CO"/>
        </w:rPr>
        <w:lastRenderedPageBreak/>
        <w:t>disponibles ni pueden ser derogadas, modificadas, ampliadas o adicionadas por acuerdo o convenio o acto unilateral.</w:t>
      </w:r>
    </w:p>
    <w:p w14:paraId="760C0947" w14:textId="77777777" w:rsidR="00861DDF" w:rsidRPr="00E066AC" w:rsidRDefault="00861DDF" w:rsidP="00861DDF">
      <w:pPr>
        <w:spacing w:after="0" w:line="240" w:lineRule="auto"/>
        <w:ind w:right="709"/>
        <w:contextualSpacing/>
        <w:jc w:val="both"/>
        <w:rPr>
          <w:rFonts w:ascii="Verdana" w:eastAsia="Times New Roman" w:hAnsi="Verdana" w:cs="Arial"/>
          <w:sz w:val="12"/>
          <w:szCs w:val="12"/>
          <w:lang w:val="es-MX" w:eastAsia="es-CO"/>
        </w:rPr>
      </w:pPr>
    </w:p>
    <w:p w14:paraId="46CCED44" w14:textId="77777777" w:rsidR="00861DDF" w:rsidRPr="00E066AC" w:rsidRDefault="00861DDF" w:rsidP="00861DDF">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La jurisprudencia de la Corte Constitucional</w:t>
      </w:r>
      <w:r w:rsidRPr="00E066AC">
        <w:rPr>
          <w:rFonts w:ascii="Verdana" w:eastAsia="Times New Roman" w:hAnsi="Verdana" w:cs="Arial"/>
          <w:sz w:val="20"/>
          <w:szCs w:val="20"/>
          <w:vertAlign w:val="superscript"/>
          <w:lang w:val="es-MX" w:eastAsia="es-CO"/>
        </w:rPr>
        <w:footnoteReference w:id="4"/>
      </w:r>
      <w:r w:rsidRPr="00E066AC">
        <w:rPr>
          <w:rFonts w:ascii="Verdana" w:eastAsia="Times New Roman" w:hAnsi="Verdana" w:cs="Arial"/>
          <w:sz w:val="20"/>
          <w:szCs w:val="20"/>
          <w:lang w:val="es-MX" w:eastAsia="es-CO"/>
        </w:rPr>
        <w:t> y del Consejo de Estado</w:t>
      </w:r>
      <w:r w:rsidRPr="00E066AC">
        <w:rPr>
          <w:rFonts w:ascii="Verdana" w:eastAsia="Times New Roman" w:hAnsi="Verdana" w:cs="Arial"/>
          <w:sz w:val="20"/>
          <w:szCs w:val="20"/>
          <w:vertAlign w:val="superscript"/>
          <w:lang w:val="es-MX" w:eastAsia="es-CO"/>
        </w:rPr>
        <w:footnoteReference w:id="5"/>
      </w:r>
      <w:r w:rsidRPr="00E066AC">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066AC">
        <w:rPr>
          <w:rFonts w:ascii="Verdana" w:eastAsia="Times New Roman" w:hAnsi="Verdana" w:cs="Arial"/>
          <w:sz w:val="20"/>
          <w:szCs w:val="20"/>
          <w:vertAlign w:val="superscript"/>
          <w:lang w:val="es-MX" w:eastAsia="es-CO"/>
        </w:rPr>
        <w:footnoteReference w:id="6"/>
      </w:r>
      <w:r w:rsidRPr="00E066AC">
        <w:rPr>
          <w:rFonts w:ascii="Verdana" w:eastAsia="Times New Roman" w:hAnsi="Verdana" w:cs="Arial"/>
          <w:sz w:val="20"/>
          <w:szCs w:val="20"/>
          <w:lang w:val="es-MX" w:eastAsia="es-CO"/>
        </w:rPr>
        <w:t>.</w:t>
      </w:r>
    </w:p>
    <w:p w14:paraId="3EB728F0" w14:textId="77777777" w:rsidR="00861DDF" w:rsidRPr="009E105D" w:rsidRDefault="00861DDF" w:rsidP="00861DDF">
      <w:pPr>
        <w:spacing w:after="0" w:line="276" w:lineRule="auto"/>
        <w:ind w:right="709"/>
        <w:contextualSpacing/>
        <w:jc w:val="both"/>
        <w:rPr>
          <w:rFonts w:ascii="Verdana" w:eastAsia="Times New Roman" w:hAnsi="Verdana" w:cs="Arial"/>
          <w:sz w:val="21"/>
          <w:szCs w:val="21"/>
          <w:lang w:val="es-MX" w:eastAsia="es-CO"/>
        </w:rPr>
      </w:pPr>
    </w:p>
    <w:p w14:paraId="13AA53DC" w14:textId="77777777" w:rsidR="00861DDF" w:rsidRPr="009E105D" w:rsidRDefault="00861DDF" w:rsidP="00861DDF">
      <w:pPr>
        <w:spacing w:after="120" w:line="276" w:lineRule="auto"/>
        <w:jc w:val="both"/>
        <w:rPr>
          <w:rFonts w:ascii="Verdana" w:eastAsia="Arial" w:hAnsi="Verdana" w:cs="Arial"/>
          <w:lang w:val="es-ES" w:eastAsia="es-ES" w:bidi="es-ES"/>
        </w:rPr>
      </w:pPr>
      <w:r w:rsidRPr="009E105D">
        <w:rPr>
          <w:rFonts w:ascii="Verdana" w:eastAsia="Times New Roman" w:hAnsi="Verdana" w:cs="Arial"/>
          <w:lang w:val="es-MX" w:eastAsia="es-CO"/>
        </w:rPr>
        <w:tab/>
        <w:t>De</w:t>
      </w:r>
      <w:r w:rsidRPr="009E105D">
        <w:rPr>
          <w:rFonts w:ascii="Verdana" w:eastAsia="Arial" w:hAnsi="Verdana" w:cs="Arial"/>
          <w:lang w:val="es-ES" w:eastAsia="es-ES" w:bidi="es-ES"/>
        </w:rPr>
        <w:t xml:space="preserve"> conformidad con lo anterior, </w:t>
      </w:r>
      <w:bookmarkStart w:id="4" w:name="_Hlk77236098"/>
      <w:bookmarkStart w:id="5" w:name="_Hlk100679383"/>
      <w:r w:rsidRPr="009E105D">
        <w:rPr>
          <w:rFonts w:ascii="Verdana" w:eastAsia="Arial" w:hAnsi="Verdana" w:cs="Arial"/>
          <w:lang w:val="es-ES" w:eastAsia="es-ES" w:bidi="es-ES"/>
        </w:rPr>
        <w:t>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085FDC24" w14:textId="77777777" w:rsidR="00861DDF" w:rsidRPr="009E105D" w:rsidRDefault="00861DDF" w:rsidP="00861DDF">
      <w:pPr>
        <w:spacing w:after="120" w:line="276" w:lineRule="auto"/>
        <w:ind w:firstLine="708"/>
        <w:jc w:val="both"/>
        <w:rPr>
          <w:rFonts w:ascii="Verdana" w:eastAsia="Calibri" w:hAnsi="Verdana" w:cs="Arial"/>
        </w:rPr>
      </w:pPr>
      <w:r w:rsidRPr="00C50FB4">
        <w:rPr>
          <w:rFonts w:ascii="Verdana" w:eastAsia="Calibri" w:hAnsi="Verdana" w:cs="Arial"/>
          <w:i/>
          <w:iCs/>
        </w:rPr>
        <w:t>Por un lado</w:t>
      </w:r>
      <w:r w:rsidRPr="009E105D">
        <w:rPr>
          <w:rFonts w:ascii="Verdana" w:eastAsia="Calibri" w:hAnsi="Verdana" w:cs="Arial"/>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9E105D">
        <w:rPr>
          <w:rFonts w:ascii="Verdana" w:eastAsia="Calibri" w:hAnsi="Verdana" w:cs="Arial"/>
          <w:vertAlign w:val="superscript"/>
        </w:rPr>
        <w:footnoteReference w:id="7"/>
      </w:r>
      <w:r w:rsidRPr="009E105D">
        <w:rPr>
          <w:rFonts w:ascii="Verdana" w:eastAsia="Calibri" w:hAnsi="Verdana" w:cs="Arial"/>
        </w:rPr>
        <w:t>.</w:t>
      </w:r>
    </w:p>
    <w:p w14:paraId="608D13EA" w14:textId="77777777" w:rsidR="00861DDF" w:rsidRPr="009E105D" w:rsidRDefault="00861DDF" w:rsidP="00861DDF">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50FB4">
        <w:rPr>
          <w:rFonts w:ascii="Verdana" w:eastAsia="Calibri" w:hAnsi="Verdana" w:cs="Arial"/>
          <w:i/>
          <w:iCs/>
        </w:rPr>
        <w:lastRenderedPageBreak/>
        <w:t>Por otro</w:t>
      </w:r>
      <w:r w:rsidRPr="009E105D">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9E105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E105D">
        <w:rPr>
          <w:rFonts w:ascii="Verdana" w:eastAsia="Calibri" w:hAnsi="Verdana" w:cs="Arial"/>
          <w:sz w:val="19"/>
          <w:szCs w:val="19"/>
        </w:rPr>
        <w:t>”</w:t>
      </w:r>
      <w:bookmarkEnd w:id="5"/>
      <w:r w:rsidRPr="009E105D">
        <w:rPr>
          <w:rFonts w:ascii="Verdana" w:eastAsia="Calibri" w:hAnsi="Verdana" w:cs="Arial"/>
          <w:sz w:val="19"/>
          <w:szCs w:val="19"/>
          <w:vertAlign w:val="superscript"/>
        </w:rPr>
        <w:footnoteReference w:id="8"/>
      </w:r>
      <w:r w:rsidRPr="009E105D">
        <w:rPr>
          <w:rFonts w:ascii="Verdana" w:eastAsia="Calibri" w:hAnsi="Verdana" w:cs="Arial"/>
          <w:lang w:val="es-MX"/>
        </w:rPr>
        <w:t>.</w:t>
      </w:r>
      <w:r w:rsidRPr="009E105D">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1F41D2C0" w14:textId="77777777" w:rsidR="00861DDF" w:rsidRPr="009E105D" w:rsidRDefault="00861DDF" w:rsidP="00861DDF">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3B3EC1F4" w14:textId="77777777" w:rsidR="00861DDF" w:rsidRPr="00E066AC" w:rsidRDefault="00861DDF" w:rsidP="00861DDF">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E066AC">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E066AC">
        <w:rPr>
          <w:rFonts w:ascii="Verdana" w:eastAsia="Arial" w:hAnsi="Verdana" w:cs="Arial"/>
          <w:sz w:val="20"/>
          <w:szCs w:val="20"/>
          <w:lang w:val="es-ES" w:eastAsia="es-ES" w:bidi="es-ES"/>
        </w:rPr>
        <w:t>se integran parcialmente</w:t>
      </w:r>
      <w:bookmarkEnd w:id="8"/>
      <w:r w:rsidRPr="00E066AC">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066AC">
        <w:rPr>
          <w:rFonts w:ascii="Verdana" w:eastAsia="Arial" w:hAnsi="Verdana" w:cs="Arial"/>
          <w:sz w:val="20"/>
          <w:szCs w:val="20"/>
          <w:lang w:val="es-ES" w:eastAsia="es-ES" w:bidi="es-ES"/>
        </w:rPr>
        <w:t>Presidente</w:t>
      </w:r>
      <w:proofErr w:type="gramEnd"/>
      <w:r w:rsidRPr="00E066AC">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E066AC">
        <w:rPr>
          <w:rFonts w:ascii="Verdana" w:eastAsia="Arial" w:hAnsi="Verdana" w:cs="Arial"/>
          <w:sz w:val="20"/>
          <w:szCs w:val="20"/>
          <w:vertAlign w:val="superscript"/>
          <w:lang w:val="es-ES" w:eastAsia="es-ES" w:bidi="es-ES"/>
        </w:rPr>
        <w:footnoteReference w:id="9"/>
      </w:r>
      <w:r w:rsidRPr="00E066AC">
        <w:rPr>
          <w:rFonts w:ascii="Verdana" w:eastAsia="Arial" w:hAnsi="Verdana" w:cs="Arial"/>
          <w:sz w:val="20"/>
          <w:szCs w:val="20"/>
          <w:lang w:val="es-ES" w:eastAsia="es-ES" w:bidi="es-ES"/>
        </w:rPr>
        <w:t>.</w:t>
      </w:r>
    </w:p>
    <w:p w14:paraId="71A37BF0" w14:textId="77777777" w:rsidR="00861DDF" w:rsidRPr="009E105D" w:rsidRDefault="00861DDF" w:rsidP="00861DDF">
      <w:pPr>
        <w:widowControl w:val="0"/>
        <w:autoSpaceDE w:val="0"/>
        <w:autoSpaceDN w:val="0"/>
        <w:spacing w:after="0" w:line="276" w:lineRule="auto"/>
        <w:contextualSpacing/>
        <w:rPr>
          <w:rFonts w:ascii="Verdana" w:eastAsia="Arial" w:hAnsi="Verdana" w:cs="Arial"/>
          <w:lang w:val="es-ES" w:eastAsia="es-ES" w:bidi="es-ES"/>
        </w:rPr>
      </w:pPr>
    </w:p>
    <w:p w14:paraId="27D69F46" w14:textId="77777777" w:rsidR="00861DDF" w:rsidRPr="009E105D" w:rsidRDefault="00861DDF" w:rsidP="00861DDF">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9E105D">
        <w:rPr>
          <w:rFonts w:ascii="Verdana" w:eastAsia="Arial" w:hAnsi="Verdana" w:cs="Arial"/>
          <w:lang w:val="es-ES" w:eastAsia="es-ES" w:bidi="es-ES"/>
        </w:rPr>
        <w:t xml:space="preserve">la Ley 996 de 2005 establece dos (2) tipos de restricciones en materia de contratación, las cuales coinciden parcialmente. </w:t>
      </w:r>
      <w:r w:rsidRPr="009E105D">
        <w:rPr>
          <w:rFonts w:ascii="Verdana" w:eastAsia="Arial" w:hAnsi="Verdana" w:cs="Arial"/>
          <w:i/>
          <w:lang w:val="es-ES" w:eastAsia="es-ES" w:bidi="es-ES"/>
        </w:rPr>
        <w:t>En primer lugar</w:t>
      </w:r>
      <w:r w:rsidRPr="009E105D">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w:t>
      </w:r>
      <w:r w:rsidRPr="009E105D">
        <w:rPr>
          <w:rFonts w:ascii="Verdana" w:eastAsia="Arial" w:hAnsi="Verdana" w:cs="Arial"/>
          <w:lang w:val="es-ES" w:eastAsia="es-ES" w:bidi="es-ES"/>
        </w:rPr>
        <w:lastRenderedPageBreak/>
        <w:t xml:space="preserve">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9E105D">
        <w:rPr>
          <w:rFonts w:ascii="Verdana" w:eastAsia="Arial" w:hAnsi="Verdana" w:cs="Arial"/>
          <w:i/>
          <w:lang w:val="es-ES" w:eastAsia="es-ES" w:bidi="es-ES"/>
        </w:rPr>
        <w:t>En segundo lugar</w:t>
      </w:r>
      <w:r w:rsidRPr="009E105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6FA90849" w14:textId="77777777" w:rsidR="00861DDF" w:rsidRPr="009E105D" w:rsidRDefault="00861DDF" w:rsidP="00861DDF">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9E105D">
        <w:rPr>
          <w:rFonts w:ascii="Verdana" w:eastAsia="Arial" w:hAnsi="Verdana" w:cs="Arial"/>
          <w:lang w:val="es-ES" w:eastAsia="es-ES" w:bidi="es-ES"/>
        </w:rPr>
        <w:t>Presidente</w:t>
      </w:r>
      <w:proofErr w:type="gramEnd"/>
      <w:r w:rsidRPr="009E105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9E105D">
        <w:rPr>
          <w:rFonts w:ascii="Verdana" w:eastAsia="Arial" w:hAnsi="Verdana" w:cs="Arial"/>
          <w:lang w:val="es-ES" w:eastAsia="es-ES" w:bidi="es-ES"/>
        </w:rPr>
        <w:t>Presidente</w:t>
      </w:r>
      <w:proofErr w:type="gramEnd"/>
      <w:r w:rsidRPr="009E105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42AFB9C7" w14:textId="77777777" w:rsidR="00861DDF" w:rsidRDefault="00861DDF" w:rsidP="00861DDF">
      <w:pPr>
        <w:spacing w:after="0" w:line="276" w:lineRule="auto"/>
        <w:ind w:firstLine="708"/>
        <w:jc w:val="both"/>
        <w:rPr>
          <w:rFonts w:ascii="Verdana" w:eastAsia="Arial" w:hAnsi="Verdana" w:cs="Arial"/>
          <w:lang w:val="es-ES" w:eastAsia="es-ES" w:bidi="es-ES"/>
        </w:rPr>
      </w:pPr>
      <w:r w:rsidRPr="009E105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9E105D">
        <w:rPr>
          <w:rFonts w:ascii="Verdana" w:eastAsia="Arial" w:hAnsi="Verdana" w:cs="Arial"/>
          <w:lang w:val="es-ES" w:eastAsia="es-ES" w:bidi="es-ES"/>
        </w:rPr>
        <w:t>Presidente</w:t>
      </w:r>
      <w:proofErr w:type="gramEnd"/>
      <w:r w:rsidRPr="009E105D">
        <w:rPr>
          <w:rFonts w:ascii="Verdana" w:eastAsia="Arial" w:hAnsi="Verdana" w:cs="Arial"/>
          <w:lang w:val="es-ES" w:eastAsia="es-ES" w:bidi="es-ES"/>
        </w:rPr>
        <w:t xml:space="preserve"> o el </w:t>
      </w:r>
      <w:proofErr w:type="gramStart"/>
      <w:r w:rsidRPr="009E105D">
        <w:rPr>
          <w:rFonts w:ascii="Verdana" w:eastAsia="Arial" w:hAnsi="Verdana" w:cs="Arial"/>
          <w:lang w:val="es-ES" w:eastAsia="es-ES" w:bidi="es-ES"/>
        </w:rPr>
        <w:t>Vicepresidente</w:t>
      </w:r>
      <w:proofErr w:type="gramEnd"/>
      <w:r w:rsidRPr="009E105D">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6A76D870" w14:textId="77777777" w:rsidR="00861DDF" w:rsidRDefault="00861DDF" w:rsidP="00861DDF">
      <w:pPr>
        <w:spacing w:after="0" w:line="276" w:lineRule="auto"/>
        <w:jc w:val="both"/>
        <w:rPr>
          <w:rFonts w:ascii="Verdana" w:eastAsia="Arial" w:hAnsi="Verdana" w:cs="Arial"/>
          <w:lang w:val="es-ES" w:eastAsia="es-ES" w:bidi="es-ES"/>
        </w:rPr>
      </w:pPr>
    </w:p>
    <w:p w14:paraId="6C5A3606" w14:textId="77777777" w:rsidR="00861DDF" w:rsidRPr="00F8199A" w:rsidRDefault="00861DDF" w:rsidP="00861DDF">
      <w:pPr>
        <w:spacing w:after="0" w:line="276" w:lineRule="auto"/>
        <w:jc w:val="both"/>
        <w:rPr>
          <w:rFonts w:ascii="Verdana" w:hAnsi="Verdana" w:cs="Arial"/>
          <w:bCs/>
          <w:lang w:val="es-MX" w:eastAsia="es-CO"/>
        </w:rPr>
      </w:pPr>
      <w:proofErr w:type="spellStart"/>
      <w:r w:rsidRPr="00F8199A">
        <w:rPr>
          <w:rFonts w:ascii="Verdana" w:eastAsia="Arial" w:hAnsi="Verdana" w:cs="Arial"/>
          <w:lang w:val="es-ES" w:eastAsia="es-ES" w:bidi="es-ES"/>
        </w:rPr>
        <w:t>ii</w:t>
      </w:r>
      <w:proofErr w:type="spellEnd"/>
      <w:r w:rsidRPr="00F8199A">
        <w:rPr>
          <w:rFonts w:ascii="Verdana" w:eastAsia="Arial" w:hAnsi="Verdana" w:cs="Arial"/>
          <w:lang w:val="es-ES" w:eastAsia="es-ES" w:bidi="es-ES"/>
        </w:rPr>
        <w:t xml:space="preserve">. </w:t>
      </w:r>
      <w:r w:rsidRPr="00F8199A">
        <w:rPr>
          <w:rFonts w:ascii="Verdana"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F8199A">
        <w:rPr>
          <w:rFonts w:ascii="Verdana" w:hAnsi="Verdana" w:cs="Arial"/>
          <w:bCs/>
          <w:lang w:val="es-MX" w:eastAsia="x-none"/>
        </w:rPr>
        <w:t>queda prohibida la contratación directa</w:t>
      </w:r>
      <w:r>
        <w:rPr>
          <w:rFonts w:ascii="Verdana" w:hAnsi="Verdana" w:cs="Arial"/>
          <w:sz w:val="20"/>
          <w:szCs w:val="20"/>
          <w:lang w:val="es-MX"/>
        </w:rPr>
        <w:t>”</w:t>
      </w:r>
      <w:r w:rsidRPr="00F8199A">
        <w:rPr>
          <w:rFonts w:ascii="Verdana" w:hAnsi="Verdana" w:cs="Arial"/>
          <w:bCs/>
          <w:lang w:val="es-MX" w:eastAsia="x-none"/>
        </w:rPr>
        <w:t xml:space="preserve">. </w:t>
      </w:r>
      <w:r w:rsidRPr="00F8199A">
        <w:rPr>
          <w:rFonts w:ascii="Verdana" w:hAnsi="Verdana" w:cs="Arial"/>
          <w:lang w:val="es-MX" w:eastAsia="es-CO"/>
        </w:rPr>
        <w:t xml:space="preserve"> A propósito de </w:t>
      </w:r>
      <w:r w:rsidRPr="00F8199A">
        <w:rPr>
          <w:rFonts w:ascii="Verdana" w:hAnsi="Verdana" w:cs="Arial"/>
          <w:lang w:eastAsia="es-CO"/>
        </w:rPr>
        <w:t>esta restricción de la Ley de Garantías Electorales, la Sala de Consulta y Servicio Civil del Consejo de Estado ha considerado que:</w:t>
      </w:r>
    </w:p>
    <w:p w14:paraId="5BD76F40" w14:textId="77777777" w:rsidR="00861DDF" w:rsidRPr="00F8199A" w:rsidRDefault="00861DDF" w:rsidP="00861DDF">
      <w:pPr>
        <w:spacing w:after="0" w:line="276" w:lineRule="auto"/>
        <w:ind w:left="708" w:right="709"/>
        <w:jc w:val="both"/>
        <w:rPr>
          <w:rFonts w:ascii="Verdana" w:hAnsi="Verdana" w:cs="Arial"/>
          <w:lang w:val="es-MX"/>
        </w:rPr>
      </w:pPr>
    </w:p>
    <w:p w14:paraId="72D3D9D1" w14:textId="77777777" w:rsidR="00861DDF" w:rsidRPr="00F8199A" w:rsidRDefault="00861DDF" w:rsidP="00861DDF">
      <w:pPr>
        <w:spacing w:after="120"/>
        <w:ind w:left="709" w:right="709"/>
        <w:jc w:val="both"/>
        <w:rPr>
          <w:rFonts w:ascii="Verdana" w:hAnsi="Verdana" w:cs="Arial"/>
          <w:sz w:val="20"/>
          <w:szCs w:val="20"/>
          <w:lang w:val="es-MX"/>
        </w:rPr>
      </w:pPr>
      <w:r>
        <w:rPr>
          <w:rFonts w:ascii="Verdana" w:hAnsi="Verdana" w:cs="Arial"/>
          <w:sz w:val="18"/>
          <w:szCs w:val="18"/>
          <w:lang w:val="es-MX"/>
        </w:rPr>
        <w:t>“</w:t>
      </w:r>
      <w:r w:rsidRPr="00F8199A">
        <w:rPr>
          <w:rFonts w:ascii="Verdana" w:hAnsi="Verdana" w:cs="Arial"/>
          <w:sz w:val="20"/>
          <w:szCs w:val="20"/>
          <w:lang w:val="es-MX"/>
        </w:rPr>
        <w:t xml:space="preserve">La contratación directa es un mecanismo de selección de carácter excepcional, en virtud del cual las entidades públicas pueden contratar </w:t>
      </w:r>
      <w:r w:rsidRPr="00F8199A">
        <w:rPr>
          <w:rFonts w:ascii="Verdana" w:hAnsi="Verdana" w:cs="Arial"/>
          <w:sz w:val="20"/>
          <w:szCs w:val="20"/>
          <w:lang w:val="es-MX"/>
        </w:rPr>
        <w:lastRenderedPageBreak/>
        <w:t>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8199A">
        <w:rPr>
          <w:rFonts w:ascii="Verdana" w:hAnsi="Verdana" w:cs="Arial"/>
          <w:sz w:val="20"/>
          <w:szCs w:val="20"/>
          <w:vertAlign w:val="superscript"/>
          <w:lang w:eastAsia="es-CO"/>
        </w:rPr>
        <w:footnoteReference w:id="10"/>
      </w:r>
      <w:r w:rsidRPr="00F8199A">
        <w:rPr>
          <w:rFonts w:ascii="Verdana" w:hAnsi="Verdana" w:cs="Arial"/>
          <w:sz w:val="20"/>
          <w:szCs w:val="20"/>
          <w:lang w:val="es-MX"/>
        </w:rPr>
        <w:t>.</w:t>
      </w:r>
    </w:p>
    <w:p w14:paraId="44581286" w14:textId="77777777" w:rsidR="00861DDF" w:rsidRPr="00F8199A" w:rsidRDefault="00861DDF" w:rsidP="00861DDF">
      <w:pPr>
        <w:spacing w:after="0"/>
        <w:ind w:left="708" w:right="709"/>
        <w:jc w:val="both"/>
        <w:rPr>
          <w:rFonts w:ascii="Verdana" w:hAnsi="Verdana" w:cs="Arial"/>
          <w:sz w:val="20"/>
          <w:szCs w:val="20"/>
          <w:lang w:val="es-MX"/>
        </w:rPr>
      </w:pPr>
      <w:r w:rsidRPr="00F8199A">
        <w:rPr>
          <w:rFonts w:ascii="Verdana" w:hAnsi="Verdana" w:cs="Arial"/>
          <w:sz w:val="20"/>
          <w:szCs w:val="20"/>
          <w:lang w:val="es-MX"/>
        </w:rPr>
        <w:t xml:space="preserve">Esta Sala ha entendido </w:t>
      </w:r>
      <w:proofErr w:type="gramStart"/>
      <w:r w:rsidRPr="00F8199A">
        <w:rPr>
          <w:rFonts w:ascii="Verdana" w:hAnsi="Verdana" w:cs="Arial"/>
          <w:sz w:val="20"/>
          <w:szCs w:val="20"/>
          <w:lang w:val="es-MX"/>
        </w:rPr>
        <w:t>que</w:t>
      </w:r>
      <w:proofErr w:type="gramEnd"/>
      <w:r w:rsidRPr="00F8199A">
        <w:rPr>
          <w:rFonts w:ascii="Verdana" w:hAnsi="Verdana" w:cs="Arial"/>
          <w:sz w:val="20"/>
          <w:szCs w:val="20"/>
          <w:lang w:val="es-MX"/>
        </w:rPr>
        <w:t xml:space="preserve"> para los efectos de la ley de garantías, y dada su finalidad, el enunciado </w:t>
      </w:r>
      <w:r>
        <w:rPr>
          <w:rFonts w:ascii="Verdana" w:hAnsi="Verdana" w:cs="Arial"/>
          <w:sz w:val="20"/>
          <w:szCs w:val="20"/>
          <w:lang w:val="es-MX"/>
        </w:rPr>
        <w:t>‘</w:t>
      </w:r>
      <w:r w:rsidRPr="00F8199A">
        <w:rPr>
          <w:rFonts w:ascii="Verdana" w:hAnsi="Verdana" w:cs="Arial"/>
          <w:sz w:val="20"/>
          <w:szCs w:val="20"/>
          <w:lang w:val="es-MX"/>
        </w:rPr>
        <w:t>contratación direct</w:t>
      </w:r>
      <w:r>
        <w:rPr>
          <w:rFonts w:ascii="Verdana" w:hAnsi="Verdana" w:cs="Arial"/>
          <w:sz w:val="20"/>
          <w:szCs w:val="20"/>
          <w:lang w:val="es-MX"/>
        </w:rPr>
        <w:t>a’</w:t>
      </w:r>
      <w:r w:rsidRPr="00F8199A">
        <w:rPr>
          <w:rFonts w:ascii="Verdana" w:hAnsi="Verdana" w:cs="Arial"/>
          <w:sz w:val="20"/>
          <w:szCs w:val="20"/>
          <w:lang w:val="es-MX"/>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8199A">
        <w:rPr>
          <w:rFonts w:ascii="Verdana" w:hAnsi="Verdana" w:cs="Arial"/>
          <w:sz w:val="20"/>
          <w:szCs w:val="20"/>
          <w:vertAlign w:val="superscript"/>
          <w:lang w:val="es-MX"/>
        </w:rPr>
        <w:footnoteReference w:id="11"/>
      </w:r>
      <w:r w:rsidRPr="00F8199A">
        <w:rPr>
          <w:rFonts w:ascii="Verdana" w:hAnsi="Verdana" w:cs="Arial"/>
          <w:sz w:val="20"/>
          <w:szCs w:val="20"/>
          <w:vertAlign w:val="superscript"/>
          <w:lang w:val="es-MX"/>
        </w:rPr>
        <w:t>.</w:t>
      </w:r>
      <w:r w:rsidRPr="00F8199A">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hAnsi="Verdana" w:cs="Arial"/>
          <w:sz w:val="20"/>
          <w:szCs w:val="20"/>
          <w:lang w:val="es-MX"/>
        </w:rPr>
        <w:t xml:space="preserve"> </w:t>
      </w:r>
      <w:r w:rsidRPr="00F8199A">
        <w:rPr>
          <w:rFonts w:ascii="Verdana" w:hAnsi="Verdana" w:cs="Arial"/>
          <w:sz w:val="20"/>
          <w:szCs w:val="20"/>
          <w:lang w:val="es-MX"/>
        </w:rPr>
        <w:t>[...]</w:t>
      </w:r>
      <w:r>
        <w:rPr>
          <w:rFonts w:ascii="Verdana" w:hAnsi="Verdana" w:cs="Arial"/>
          <w:sz w:val="20"/>
          <w:szCs w:val="20"/>
          <w:lang w:val="es-MX"/>
        </w:rPr>
        <w:t>”</w:t>
      </w:r>
      <w:r w:rsidRPr="00F8199A">
        <w:rPr>
          <w:rFonts w:ascii="Verdana" w:hAnsi="Verdana" w:cs="Arial"/>
          <w:sz w:val="20"/>
          <w:szCs w:val="20"/>
          <w:vertAlign w:val="superscript"/>
          <w:lang w:eastAsia="es-CO"/>
        </w:rPr>
        <w:footnoteReference w:id="12"/>
      </w:r>
      <w:r w:rsidRPr="00F8199A">
        <w:rPr>
          <w:rFonts w:ascii="Verdana" w:hAnsi="Verdana" w:cs="Arial"/>
          <w:sz w:val="20"/>
          <w:szCs w:val="20"/>
          <w:lang w:val="es-MX"/>
        </w:rPr>
        <w:t>.</w:t>
      </w:r>
    </w:p>
    <w:p w14:paraId="01CB723B" w14:textId="77777777" w:rsidR="00861DDF" w:rsidRPr="00F8199A" w:rsidRDefault="00861DDF" w:rsidP="00861DDF">
      <w:pPr>
        <w:shd w:val="clear" w:color="auto" w:fill="FFFFFF"/>
        <w:spacing w:after="0" w:line="276" w:lineRule="auto"/>
        <w:ind w:firstLine="709"/>
        <w:jc w:val="both"/>
        <w:rPr>
          <w:rFonts w:ascii="Verdana" w:hAnsi="Verdana" w:cs="Arial"/>
          <w:lang w:eastAsia="x-none"/>
        </w:rPr>
      </w:pPr>
    </w:p>
    <w:p w14:paraId="74E9E2D9" w14:textId="77777777" w:rsidR="00861DDF" w:rsidRPr="00F8199A" w:rsidRDefault="00861DDF" w:rsidP="00861DDF">
      <w:pPr>
        <w:spacing w:after="120" w:line="276" w:lineRule="auto"/>
        <w:ind w:firstLine="708"/>
        <w:jc w:val="both"/>
        <w:rPr>
          <w:rFonts w:ascii="Verdana" w:hAnsi="Verdana" w:cs="Arial"/>
          <w:bCs/>
          <w:lang w:eastAsia="x-none"/>
        </w:rPr>
      </w:pPr>
      <w:r w:rsidRPr="00F8199A">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F8199A">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F8199A">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F8199A">
        <w:rPr>
          <w:rFonts w:ascii="Verdana" w:hAnsi="Verdana" w:cs="Arial"/>
          <w:vertAlign w:val="superscript"/>
          <w:lang w:val="en-GB" w:eastAsia="x-none"/>
        </w:rPr>
        <w:footnoteReference w:id="13"/>
      </w:r>
      <w:r w:rsidRPr="00F8199A">
        <w:rPr>
          <w:rFonts w:ascii="Verdana" w:hAnsi="Verdana" w:cs="Arial"/>
          <w:lang w:eastAsia="x-none"/>
        </w:rPr>
        <w:t xml:space="preserve"> y sistematizó las causales de contratación directa</w:t>
      </w:r>
      <w:r w:rsidRPr="00F8199A">
        <w:rPr>
          <w:rFonts w:ascii="Verdana" w:hAnsi="Verdana" w:cs="Arial"/>
          <w:vertAlign w:val="superscript"/>
          <w:lang w:val="en-GB" w:eastAsia="x-none"/>
        </w:rPr>
        <w:footnoteReference w:id="14"/>
      </w:r>
      <w:r w:rsidRPr="00F8199A">
        <w:rPr>
          <w:rFonts w:ascii="Verdana" w:hAnsi="Verdana" w:cs="Arial"/>
          <w:lang w:eastAsia="x-none"/>
        </w:rPr>
        <w:t xml:space="preserve">. </w:t>
      </w:r>
    </w:p>
    <w:p w14:paraId="4BB09F7C" w14:textId="77777777" w:rsidR="00861DDF" w:rsidRPr="00F8199A" w:rsidRDefault="00861DDF" w:rsidP="00861DDF">
      <w:pPr>
        <w:spacing w:after="120" w:line="276" w:lineRule="auto"/>
        <w:ind w:firstLine="708"/>
        <w:jc w:val="both"/>
        <w:rPr>
          <w:rFonts w:ascii="Verdana" w:hAnsi="Verdana" w:cs="Arial"/>
          <w:lang w:val="es-MX" w:eastAsia="x-none"/>
        </w:rPr>
      </w:pPr>
      <w:r w:rsidRPr="00F8199A">
        <w:rPr>
          <w:rFonts w:ascii="Verdana" w:hAnsi="Verdana" w:cs="Arial"/>
          <w:lang w:eastAsia="x-none"/>
        </w:rPr>
        <w:t xml:space="preserve">De esta forma, con fundamento en la evolución de la normativa sobre la contratación pública, se ha depurado la noción de </w:t>
      </w:r>
      <w:r>
        <w:rPr>
          <w:rFonts w:ascii="Verdana" w:hAnsi="Verdana" w:cs="Arial"/>
          <w:sz w:val="19"/>
          <w:szCs w:val="19"/>
          <w:lang w:eastAsia="en-GB"/>
        </w:rPr>
        <w:t>“</w:t>
      </w:r>
      <w:r w:rsidRPr="00F8199A">
        <w:rPr>
          <w:rFonts w:ascii="Verdana" w:hAnsi="Verdana" w:cs="Arial"/>
          <w:lang w:eastAsia="x-none"/>
        </w:rPr>
        <w:t>contratación directa</w:t>
      </w:r>
      <w:r>
        <w:rPr>
          <w:rFonts w:ascii="Verdana" w:hAnsi="Verdana" w:cs="Arial"/>
          <w:lang w:eastAsia="en-GB"/>
        </w:rPr>
        <w:t>”</w:t>
      </w:r>
      <w:r w:rsidRPr="00F8199A">
        <w:rPr>
          <w:rFonts w:ascii="Verdana" w:hAnsi="Verdana" w:cs="Arial"/>
          <w:lang w:eastAsia="x-none"/>
        </w:rPr>
        <w:t xml:space="preserve">, precisando el Consejo de Estado –en el concepto citado– que, </w:t>
      </w:r>
      <w:r>
        <w:rPr>
          <w:rFonts w:ascii="Verdana" w:hAnsi="Verdana" w:cs="Arial"/>
          <w:lang w:eastAsia="x-none"/>
        </w:rPr>
        <w:t>“</w:t>
      </w:r>
      <w:r w:rsidRPr="00F8199A">
        <w:rPr>
          <w:rFonts w:ascii="Verdana"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8199A">
        <w:rPr>
          <w:rFonts w:ascii="Verdana" w:hAnsi="Verdana" w:cs="Arial"/>
          <w:vertAlign w:val="superscript"/>
          <w:lang w:val="en-GB" w:eastAsia="x-none"/>
        </w:rPr>
        <w:footnoteReference w:id="15"/>
      </w:r>
      <w:r w:rsidRPr="00F8199A">
        <w:rPr>
          <w:rFonts w:ascii="Verdana" w:hAnsi="Verdana" w:cs="Arial"/>
          <w:lang w:eastAsia="x-none"/>
        </w:rPr>
        <w:t xml:space="preserve">, han establecido sistemas de </w:t>
      </w:r>
      <w:r w:rsidRPr="00F8199A">
        <w:rPr>
          <w:rFonts w:ascii="Verdana" w:hAnsi="Verdana" w:cs="Arial"/>
          <w:lang w:eastAsia="x-none"/>
        </w:rPr>
        <w:lastRenderedPageBreak/>
        <w:t>contratación que implican convocatoria pública y participación de varios oferentes</w:t>
      </w:r>
      <w:r>
        <w:rPr>
          <w:rFonts w:ascii="Verdana" w:hAnsi="Verdana" w:cs="Arial"/>
          <w:lang w:eastAsia="en-GB"/>
        </w:rPr>
        <w:t>”</w:t>
      </w:r>
      <w:r w:rsidRPr="00F8199A">
        <w:rPr>
          <w:rFonts w:ascii="Verdana" w:hAnsi="Verdana" w:cs="Arial"/>
          <w:lang w:eastAsia="x-none"/>
        </w:rPr>
        <w:t xml:space="preserve">. </w:t>
      </w:r>
    </w:p>
    <w:p w14:paraId="51E3442B" w14:textId="77777777" w:rsidR="00861DDF" w:rsidRPr="00F8199A" w:rsidRDefault="00861DDF" w:rsidP="00861DDF">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E</w:t>
      </w:r>
      <w:r w:rsidRPr="00F8199A">
        <w:rPr>
          <w:rFonts w:ascii="Verdana"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hAnsi="Verdana" w:cs="Arial"/>
          <w:lang w:eastAsia="x-none"/>
        </w:rPr>
        <w:t>“</w:t>
      </w:r>
      <w:r w:rsidRPr="00F8199A">
        <w:rPr>
          <w:rFonts w:ascii="Verdana" w:hAnsi="Verdana" w:cs="Arial"/>
          <w:lang w:eastAsia="x-none"/>
        </w:rPr>
        <w:t>contratación directa</w:t>
      </w:r>
      <w:r>
        <w:rPr>
          <w:rFonts w:ascii="Verdana" w:hAnsi="Verdana" w:cs="Arial"/>
          <w:lang w:eastAsia="x-none"/>
        </w:rPr>
        <w:t>”</w:t>
      </w:r>
      <w:r w:rsidRPr="00F8199A">
        <w:rPr>
          <w:rFonts w:ascii="Verdana" w:hAnsi="Verdana" w:cs="Arial"/>
          <w:lang w:eastAsia="x-none"/>
        </w:rPr>
        <w:t>, es que la convocatoria para inscribirse en forma previa se haga de manera pública, y que se permita la participación de una pluralidad de oferentes</w:t>
      </w:r>
      <w:r w:rsidRPr="00F8199A">
        <w:rPr>
          <w:rFonts w:ascii="Verdana" w:hAnsi="Verdana" w:cs="Arial"/>
          <w:vertAlign w:val="superscript"/>
          <w:lang w:eastAsia="x-none"/>
        </w:rPr>
        <w:footnoteReference w:id="16"/>
      </w:r>
      <w:r w:rsidRPr="00F8199A">
        <w:rPr>
          <w:rFonts w:ascii="Verdana" w:hAnsi="Verdana" w:cs="Arial"/>
          <w:lang w:eastAsia="x-none"/>
        </w:rPr>
        <w:t xml:space="preserve">. </w:t>
      </w:r>
    </w:p>
    <w:p w14:paraId="16BB0396" w14:textId="77777777" w:rsidR="00861DDF" w:rsidRPr="00F8199A" w:rsidRDefault="00861DDF" w:rsidP="00861DDF">
      <w:pPr>
        <w:spacing w:after="120" w:line="276" w:lineRule="auto"/>
        <w:ind w:firstLine="708"/>
        <w:jc w:val="both"/>
        <w:rPr>
          <w:rFonts w:ascii="Verdana" w:hAnsi="Verdana" w:cs="Arial"/>
          <w:bCs/>
          <w:lang w:val="es-MX" w:eastAsia="es-CO"/>
        </w:rPr>
      </w:pPr>
      <w:r w:rsidRPr="00F8199A">
        <w:rPr>
          <w:rFonts w:ascii="Verdana"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hAnsi="Verdana" w:cs="Arial"/>
          <w:bCs/>
          <w:lang w:val="es-MX" w:eastAsia="es-CO"/>
        </w:rPr>
        <w:t>“</w:t>
      </w:r>
      <w:r w:rsidRPr="00F8199A">
        <w:rPr>
          <w:rFonts w:ascii="Verdana" w:hAnsi="Verdana" w:cs="Arial"/>
          <w:bCs/>
          <w:lang w:val="es-MX" w:eastAsia="es-CO"/>
        </w:rPr>
        <w:t>contratación directa</w:t>
      </w:r>
      <w:r>
        <w:rPr>
          <w:rFonts w:ascii="Verdana" w:hAnsi="Verdana" w:cs="Arial"/>
          <w:bCs/>
          <w:lang w:val="es-MX" w:eastAsia="es-CO"/>
        </w:rPr>
        <w:t>”</w:t>
      </w:r>
      <w:r w:rsidRPr="00F8199A">
        <w:rPr>
          <w:rFonts w:ascii="Verdana" w:hAnsi="Verdana" w:cs="Arial"/>
          <w:bCs/>
          <w:lang w:val="es-MX" w:eastAsia="es-CO"/>
        </w:rPr>
        <w:t>.</w:t>
      </w:r>
    </w:p>
    <w:p w14:paraId="1F853C6E" w14:textId="77777777" w:rsidR="00861DDF" w:rsidRPr="00F8199A" w:rsidRDefault="00861DDF" w:rsidP="00861DDF">
      <w:pPr>
        <w:spacing w:after="12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w:t>
      </w:r>
      <w:r>
        <w:rPr>
          <w:rFonts w:ascii="Verdana" w:hAnsi="Verdana" w:cs="Arial"/>
          <w:bCs/>
          <w:lang w:val="es-MX" w:eastAsia="x-none"/>
        </w:rPr>
        <w:t>“</w:t>
      </w:r>
      <w:r w:rsidRPr="00F8199A">
        <w:rPr>
          <w:rFonts w:ascii="Verdana" w:hAnsi="Verdana" w:cs="Arial"/>
          <w:bCs/>
          <w:lang w:val="es-MX" w:eastAsia="x-none"/>
        </w:rPr>
        <w:t>contratación directa</w:t>
      </w:r>
      <w:r>
        <w:rPr>
          <w:rFonts w:ascii="Verdana" w:hAnsi="Verdana" w:cs="Arial"/>
          <w:bCs/>
          <w:lang w:val="es-MX" w:eastAsia="x-none"/>
        </w:rPr>
        <w:t>”</w:t>
      </w:r>
      <w:r w:rsidRPr="00F8199A">
        <w:rPr>
          <w:rFonts w:ascii="Verdana"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8199A">
        <w:rPr>
          <w:rFonts w:ascii="Verdana" w:hAnsi="Verdana" w:cs="Arial"/>
          <w:vertAlign w:val="superscript"/>
          <w:lang w:eastAsia="x-none"/>
        </w:rPr>
        <w:footnoteReference w:id="17"/>
      </w:r>
      <w:r w:rsidRPr="00F8199A">
        <w:rPr>
          <w:rFonts w:ascii="Verdana" w:hAnsi="Verdana" w:cs="Arial"/>
          <w:bCs/>
          <w:lang w:val="es-MX" w:eastAsia="x-none"/>
        </w:rPr>
        <w:t>.</w:t>
      </w:r>
      <w:r w:rsidRPr="00F8199A">
        <w:rPr>
          <w:rFonts w:ascii="Verdana" w:hAnsi="Verdana" w:cs="Arial"/>
          <w:vertAlign w:val="superscript"/>
          <w:lang w:eastAsia="x-none"/>
        </w:rPr>
        <w:t xml:space="preserve"> </w:t>
      </w:r>
    </w:p>
    <w:p w14:paraId="556BFE82" w14:textId="77777777" w:rsidR="00861DDF" w:rsidRPr="00F8199A" w:rsidRDefault="00861DDF" w:rsidP="00861DDF">
      <w:pPr>
        <w:spacing w:after="120" w:line="276" w:lineRule="auto"/>
        <w:ind w:firstLine="708"/>
        <w:jc w:val="both"/>
        <w:rPr>
          <w:rFonts w:ascii="Verdana" w:hAnsi="Verdana" w:cs="Arial"/>
          <w:lang w:eastAsia="x-none"/>
        </w:rPr>
      </w:pPr>
      <w:r w:rsidRPr="00F8199A">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8199A">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2B0FA40F" w14:textId="77777777" w:rsidR="00861DDF" w:rsidRPr="00F8199A" w:rsidRDefault="00861DDF" w:rsidP="00861DDF">
      <w:pPr>
        <w:spacing w:after="120" w:line="276" w:lineRule="auto"/>
        <w:ind w:firstLine="708"/>
        <w:jc w:val="both"/>
        <w:rPr>
          <w:rFonts w:ascii="Verdana" w:hAnsi="Verdana" w:cs="Arial"/>
          <w:bCs/>
          <w:lang w:val="es-MX" w:eastAsia="x-none"/>
        </w:rPr>
      </w:pPr>
      <w:bookmarkStart w:id="12" w:name="_Hlk77237094"/>
      <w:r w:rsidRPr="00F8199A">
        <w:rPr>
          <w:rFonts w:ascii="Verdana" w:hAnsi="Verdana" w:cs="Arial"/>
          <w:bCs/>
          <w:lang w:val="es-MX" w:eastAsia="es-CO"/>
        </w:rPr>
        <w:lastRenderedPageBreak/>
        <w:t xml:space="preserve">Como en otras oportunidades lo ha manifestado esta Agencia, las prórrogas, modificaciones o adiciones de los contratos suscritos antes de la </w:t>
      </w:r>
      <w:proofErr w:type="gramStart"/>
      <w:r w:rsidRPr="00F8199A">
        <w:rPr>
          <w:rFonts w:ascii="Verdana" w:hAnsi="Verdana" w:cs="Arial"/>
          <w:bCs/>
          <w:lang w:val="es-MX" w:eastAsia="es-CO"/>
        </w:rPr>
        <w:t>entrada en vigencia</w:t>
      </w:r>
      <w:proofErr w:type="gramEnd"/>
      <w:r w:rsidRPr="00F8199A">
        <w:rPr>
          <w:rFonts w:ascii="Verdana" w:hAnsi="Verdana" w:cs="Arial"/>
          <w:bCs/>
          <w:lang w:val="es-MX" w:eastAsia="es-CO"/>
        </w:rPr>
        <w:t xml:space="preserve"> de las prohibiciones anotadas, así como la cesión de </w:t>
      </w:r>
      <w:proofErr w:type="gramStart"/>
      <w:r w:rsidRPr="00F8199A">
        <w:rPr>
          <w:rFonts w:ascii="Verdana" w:hAnsi="Verdana" w:cs="Arial"/>
          <w:bCs/>
          <w:lang w:val="es-MX" w:eastAsia="es-CO"/>
        </w:rPr>
        <w:t>los mismos</w:t>
      </w:r>
      <w:proofErr w:type="gramEnd"/>
      <w:r w:rsidRPr="00F8199A">
        <w:rPr>
          <w:rFonts w:ascii="Verdana"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12"/>
    </w:p>
    <w:p w14:paraId="12159D55" w14:textId="77777777" w:rsidR="00861DDF" w:rsidRPr="00F8199A" w:rsidRDefault="00861DDF" w:rsidP="00861DDF">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8199A">
        <w:rPr>
          <w:rFonts w:ascii="Verdana" w:hAnsi="Verdana" w:cs="Arial"/>
          <w:bCs/>
          <w:lang w:val="es-MX" w:eastAsia="x-none"/>
        </w:rPr>
        <w:t>ii</w:t>
      </w:r>
      <w:proofErr w:type="spellEnd"/>
      <w:r w:rsidRPr="00F8199A">
        <w:rPr>
          <w:rFonts w:ascii="Verdana" w:hAnsi="Verdana" w:cs="Arial"/>
          <w:bCs/>
          <w:lang w:val="es-MX" w:eastAsia="x-none"/>
        </w:rPr>
        <w:t xml:space="preserve">) los contratos de crédito público; </w:t>
      </w:r>
      <w:proofErr w:type="spellStart"/>
      <w:r w:rsidRPr="00F8199A">
        <w:rPr>
          <w:rFonts w:ascii="Verdana" w:hAnsi="Verdana" w:cs="Arial"/>
          <w:bCs/>
          <w:lang w:val="es-MX" w:eastAsia="x-none"/>
        </w:rPr>
        <w:t>iii</w:t>
      </w:r>
      <w:proofErr w:type="spellEnd"/>
      <w:r w:rsidRPr="00F8199A">
        <w:rPr>
          <w:rFonts w:ascii="Verdana" w:hAnsi="Verdana" w:cs="Arial"/>
          <w:bCs/>
          <w:lang w:val="es-MX" w:eastAsia="x-none"/>
        </w:rPr>
        <w:t xml:space="preserve">) los requeridos para cubrir las emergencias educativas, sanitarias y desastres; </w:t>
      </w:r>
      <w:proofErr w:type="spellStart"/>
      <w:r w:rsidRPr="00F8199A">
        <w:rPr>
          <w:rFonts w:ascii="Verdana" w:hAnsi="Verdana" w:cs="Arial"/>
          <w:bCs/>
          <w:lang w:val="es-MX" w:eastAsia="x-none"/>
        </w:rPr>
        <w:t>iv</w:t>
      </w:r>
      <w:proofErr w:type="spellEnd"/>
      <w:r w:rsidRPr="00F8199A">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8199A">
        <w:rPr>
          <w:rFonts w:ascii="Verdana" w:hAnsi="Verdana" w:cs="Arial"/>
          <w:bCs/>
          <w:lang w:val="es-MX" w:eastAsia="es-CO"/>
        </w:rPr>
        <w:t xml:space="preserve"> </w:t>
      </w:r>
      <w:r>
        <w:rPr>
          <w:rFonts w:ascii="Verdana" w:hAnsi="Verdana" w:cs="Arial"/>
          <w:bCs/>
          <w:lang w:val="es-MX" w:eastAsia="es-CO"/>
        </w:rPr>
        <w:t xml:space="preserve">Es </w:t>
      </w:r>
      <w:r w:rsidRPr="00F8199A">
        <w:rPr>
          <w:rFonts w:ascii="Verdana" w:hAnsi="Verdana" w:cs="Arial"/>
          <w:bCs/>
          <w:lang w:val="es-MX" w:eastAsia="es-CO"/>
        </w:rPr>
        <w:t>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2417D19" w14:textId="77777777" w:rsidR="00861DDF" w:rsidRDefault="00861DDF" w:rsidP="00861DDF">
      <w:pPr>
        <w:spacing w:after="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3" w:name="_Hlk74309042"/>
      <w:r w:rsidRPr="00F8199A">
        <w:rPr>
          <w:rFonts w:ascii="Verdana" w:hAnsi="Verdana" w:cs="Arial"/>
          <w:bCs/>
          <w:lang w:val="es-MX" w:eastAsia="x-none"/>
        </w:rPr>
        <w:t xml:space="preserve">que </w:t>
      </w:r>
      <w:r>
        <w:rPr>
          <w:rFonts w:ascii="Verdana" w:hAnsi="Verdana" w:cs="Arial"/>
          <w:bCs/>
          <w:lang w:val="es-MX" w:eastAsia="x-none"/>
        </w:rPr>
        <w:t>“</w:t>
      </w:r>
      <w:bookmarkEnd w:id="13"/>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4"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18"/>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4"/>
    </w:p>
    <w:p w14:paraId="05692345" w14:textId="77777777" w:rsidR="00861DDF" w:rsidRDefault="00861DDF" w:rsidP="00861DDF">
      <w:pPr>
        <w:spacing w:after="0" w:line="276" w:lineRule="auto"/>
        <w:ind w:firstLine="709"/>
        <w:jc w:val="both"/>
        <w:rPr>
          <w:rFonts w:ascii="Verdana" w:eastAsia="Calibri" w:hAnsi="Verdana" w:cs="Arial"/>
          <w:lang w:val="es-MX" w:eastAsia="es-ES"/>
        </w:rPr>
      </w:pPr>
    </w:p>
    <w:p w14:paraId="2D7AB2DC" w14:textId="77777777" w:rsidR="00861DDF" w:rsidRPr="00A45D99" w:rsidRDefault="00861DDF" w:rsidP="00861DDF">
      <w:pPr>
        <w:spacing w:after="0" w:line="276" w:lineRule="auto"/>
        <w:jc w:val="both"/>
        <w:rPr>
          <w:rFonts w:ascii="Verdana" w:hAnsi="Verdana" w:cs="Arial"/>
          <w:bCs/>
          <w:lang w:val="es-MX" w:eastAsia="x-none"/>
        </w:rPr>
      </w:pPr>
      <w:proofErr w:type="spellStart"/>
      <w:r w:rsidRPr="00A45D99">
        <w:rPr>
          <w:rFonts w:ascii="Verdana" w:eastAsia="Arial" w:hAnsi="Verdana" w:cs="Arial"/>
          <w:lang w:val="es-MX" w:eastAsia="es-ES" w:bidi="es-ES"/>
        </w:rPr>
        <w:t>iii</w:t>
      </w:r>
      <w:proofErr w:type="spellEnd"/>
      <w:r w:rsidRPr="00A45D99">
        <w:rPr>
          <w:rFonts w:ascii="Verdana" w:eastAsia="Arial" w:hAnsi="Verdana" w:cs="Arial"/>
          <w:lang w:val="es-MX" w:eastAsia="es-ES" w:bidi="es-ES"/>
        </w:rPr>
        <w:t xml:space="preserve">. </w:t>
      </w:r>
      <w:r w:rsidRPr="00A45D99">
        <w:rPr>
          <w:rFonts w:ascii="Verdana" w:hAnsi="Verdana" w:cs="Arial"/>
          <w:bCs/>
          <w:lang w:val="es-MX" w:eastAsia="x-none"/>
        </w:rPr>
        <w:t xml:space="preserve">El artículo 33 de la Ley 996 de 2005 señala expresamente a los destinatarios de la prohibición, en el sentido de que son </w:t>
      </w:r>
      <w:r>
        <w:rPr>
          <w:rFonts w:ascii="Verdana" w:hAnsi="Verdana" w:cs="Arial"/>
          <w:bCs/>
          <w:lang w:val="es-MX" w:eastAsia="x-none"/>
        </w:rPr>
        <w:t>“</w:t>
      </w:r>
      <w:r w:rsidRPr="00A45D99">
        <w:rPr>
          <w:rFonts w:ascii="Verdana" w:hAnsi="Verdana" w:cs="Arial"/>
          <w:bCs/>
          <w:lang w:val="es-MX" w:eastAsia="x-none"/>
        </w:rPr>
        <w:t>todos los entes del Estado</w:t>
      </w:r>
      <w:r>
        <w:rPr>
          <w:rFonts w:ascii="Verdana" w:hAnsi="Verdana" w:cs="Arial"/>
          <w:bCs/>
          <w:lang w:val="es-MX" w:eastAsia="x-none"/>
        </w:rPr>
        <w:t>”</w:t>
      </w:r>
      <w:r w:rsidRPr="00A45D99">
        <w:rPr>
          <w:rFonts w:ascii="Verdana" w:hAnsi="Verdana" w:cs="Arial"/>
          <w:bCs/>
          <w:lang w:val="es-MX" w:eastAsia="x-none"/>
        </w:rPr>
        <w:t xml:space="preserve">, expresión </w:t>
      </w:r>
      <w:r w:rsidRPr="00A45D99">
        <w:rPr>
          <w:rFonts w:ascii="Verdana" w:hAnsi="Verdana" w:cs="Arial"/>
          <w:bCs/>
          <w:lang w:val="es-MX" w:eastAsia="x-none"/>
        </w:rPr>
        <w:lastRenderedPageBreak/>
        <w:t>que contempla a los diferentes organismos o entidades autorizadas por la ley para suscribir contratos.</w:t>
      </w:r>
      <w:r w:rsidRPr="00A45D99">
        <w:rPr>
          <w:rFonts w:ascii="Verdana" w:hAnsi="Verdana" w:cs="Arial"/>
          <w:lang w:val="es-MX"/>
        </w:rPr>
        <w:t xml:space="preserve"> </w:t>
      </w:r>
      <w:r w:rsidRPr="00A45D99">
        <w:rPr>
          <w:rFonts w:ascii="Verdana" w:hAnsi="Verdana" w:cs="Arial"/>
          <w:bCs/>
          <w:lang w:val="es-MX" w:eastAsia="x-none"/>
        </w:rPr>
        <w:t xml:space="preserve">En efecto, tal como lo ha sostenido el Consejo de Estado, el vocablo </w:t>
      </w:r>
      <w:r>
        <w:rPr>
          <w:rFonts w:ascii="Verdana" w:hAnsi="Verdana" w:cs="Arial"/>
          <w:bCs/>
          <w:lang w:val="es-MX" w:eastAsia="x-none"/>
        </w:rPr>
        <w:t>“</w:t>
      </w:r>
      <w:r w:rsidRPr="00A45D99">
        <w:rPr>
          <w:rFonts w:ascii="Verdana" w:hAnsi="Verdana" w:cs="Arial"/>
          <w:bCs/>
          <w:lang w:val="es-MX" w:eastAsia="x-none"/>
        </w:rPr>
        <w:t>todos</w:t>
      </w:r>
      <w:r>
        <w:rPr>
          <w:rFonts w:ascii="Verdana" w:hAnsi="Verdana" w:cs="Arial"/>
          <w:bCs/>
          <w:lang w:val="es-MX" w:eastAsia="x-none"/>
        </w:rPr>
        <w:t>”</w:t>
      </w:r>
      <w:r w:rsidRPr="00A45D99">
        <w:rPr>
          <w:rFonts w:ascii="Verdana" w:hAnsi="Verdana" w:cs="Arial"/>
          <w:bCs/>
          <w:lang w:val="es-MX" w:eastAsia="x-none"/>
        </w:rPr>
        <w:t xml:space="preserve"> utilizado por el legislador comprende</w:t>
      </w:r>
      <w:r w:rsidRPr="00A45D99">
        <w:rPr>
          <w:rFonts w:ascii="Verdana" w:hAnsi="Verdana" w:cs="Arial"/>
          <w:lang w:val="es-MX"/>
        </w:rPr>
        <w:t xml:space="preserve"> </w:t>
      </w:r>
      <w:r w:rsidRPr="00A45D99">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572C5C84" w14:textId="77777777" w:rsidR="00861DDF" w:rsidRPr="00A45D99" w:rsidRDefault="00861DDF" w:rsidP="00861DDF">
      <w:pPr>
        <w:spacing w:after="0" w:line="276" w:lineRule="auto"/>
        <w:ind w:firstLine="708"/>
        <w:jc w:val="both"/>
        <w:rPr>
          <w:rFonts w:ascii="Verdana" w:hAnsi="Verdana" w:cs="Arial"/>
          <w:bCs/>
          <w:lang w:val="es-MX" w:eastAsia="x-none"/>
        </w:rPr>
      </w:pPr>
    </w:p>
    <w:p w14:paraId="5BE60F70" w14:textId="77777777" w:rsidR="00861DDF" w:rsidRPr="00A45D99" w:rsidRDefault="00861DDF" w:rsidP="00861DDF">
      <w:pPr>
        <w:spacing w:after="0" w:line="240" w:lineRule="auto"/>
        <w:ind w:left="708" w:right="709"/>
        <w:jc w:val="both"/>
        <w:rPr>
          <w:rFonts w:ascii="Verdana" w:hAnsi="Verdana" w:cs="Arial"/>
          <w:bCs/>
          <w:sz w:val="20"/>
          <w:szCs w:val="20"/>
          <w:lang w:val="es-MX" w:eastAsia="es-CO"/>
        </w:rPr>
      </w:pPr>
      <w:r w:rsidRPr="00A45D99">
        <w:rPr>
          <w:rFonts w:ascii="Verdana" w:hAnsi="Verdana" w:cs="Arial"/>
          <w:bCs/>
          <w:sz w:val="20"/>
          <w:szCs w:val="20"/>
          <w:lang w:val="es-MX" w:eastAsia="x-none"/>
        </w:rPr>
        <w:t xml:space="preserve">“El artículo 33 de la ley 996 de 2005, </w:t>
      </w:r>
      <w:bookmarkStart w:id="15" w:name="_Hlk75787147"/>
      <w:r w:rsidRPr="00A45D99">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A45D99">
        <w:rPr>
          <w:rFonts w:ascii="Verdana" w:hAnsi="Verdana" w:cs="Arial"/>
          <w:bCs/>
          <w:sz w:val="20"/>
          <w:szCs w:val="20"/>
          <w:vertAlign w:val="superscript"/>
          <w:lang w:val="es-MX" w:eastAsia="x-none"/>
        </w:rPr>
        <w:footnoteReference w:id="19"/>
      </w:r>
      <w:r w:rsidRPr="00A45D99">
        <w:rPr>
          <w:rFonts w:ascii="Verdana" w:hAnsi="Verdana" w:cs="Arial"/>
          <w:bCs/>
          <w:sz w:val="20"/>
          <w:szCs w:val="20"/>
          <w:lang w:val="es-MX" w:eastAsia="x-none"/>
        </w:rPr>
        <w:t>.</w:t>
      </w:r>
      <w:r w:rsidRPr="00A45D99">
        <w:rPr>
          <w:rFonts w:ascii="Verdana" w:hAnsi="Verdana" w:cs="Arial"/>
          <w:bCs/>
          <w:sz w:val="20"/>
          <w:szCs w:val="20"/>
          <w:lang w:val="es-MX" w:eastAsia="es-CO"/>
        </w:rPr>
        <w:t xml:space="preserve"> </w:t>
      </w:r>
    </w:p>
    <w:p w14:paraId="23EB3393" w14:textId="77777777" w:rsidR="00861DDF" w:rsidRPr="00A45D99" w:rsidRDefault="00861DDF" w:rsidP="00861DDF">
      <w:pPr>
        <w:spacing w:after="0" w:line="276" w:lineRule="auto"/>
        <w:ind w:firstLine="708"/>
        <w:jc w:val="both"/>
        <w:rPr>
          <w:rFonts w:ascii="Verdana" w:hAnsi="Verdana" w:cs="Arial"/>
          <w:bCs/>
          <w:lang w:val="es-MX" w:eastAsia="es-CO"/>
        </w:rPr>
      </w:pPr>
    </w:p>
    <w:p w14:paraId="112659DC" w14:textId="77777777" w:rsidR="00861DDF" w:rsidRPr="00A45D99" w:rsidRDefault="00861DDF" w:rsidP="00861DDF">
      <w:pPr>
        <w:spacing w:after="0" w:line="276" w:lineRule="auto"/>
        <w:ind w:firstLine="708"/>
        <w:jc w:val="both"/>
        <w:rPr>
          <w:rFonts w:ascii="Verdana" w:hAnsi="Verdana" w:cs="Arial"/>
          <w:lang w:val="es-MX"/>
        </w:rPr>
      </w:pPr>
      <w:r w:rsidRPr="00A45D99">
        <w:rPr>
          <w:rFonts w:ascii="Verdana" w:hAnsi="Verdana" w:cs="Arial"/>
          <w:bCs/>
          <w:lang w:val="es-MX" w:eastAsia="x-none"/>
        </w:rPr>
        <w:t xml:space="preserve">De igual forma, en Concepto con radicado 1738 de 6 de abril de 2006, esa misma Corporación manifestó que </w:t>
      </w:r>
      <w:r>
        <w:rPr>
          <w:rFonts w:ascii="Verdana" w:hAnsi="Verdana" w:cs="Arial"/>
          <w:bCs/>
          <w:lang w:val="es-MX" w:eastAsia="x-none"/>
        </w:rPr>
        <w:t>“</w:t>
      </w:r>
      <w:r w:rsidRPr="00A45D99">
        <w:rPr>
          <w:rFonts w:ascii="Verdana" w:hAnsi="Verdana" w:cs="Arial"/>
          <w:bCs/>
          <w:lang w:val="es-MX" w:eastAsia="x-none"/>
        </w:rPr>
        <w:t>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Pr>
          <w:rFonts w:ascii="Verdana" w:hAnsi="Verdana" w:cs="Arial"/>
          <w:bCs/>
          <w:lang w:val="es-MX" w:eastAsia="x-none"/>
        </w:rPr>
        <w:t>”</w:t>
      </w:r>
      <w:bookmarkStart w:id="16" w:name="_Hlk75758868"/>
      <w:bookmarkStart w:id="17" w:name="_Hlk75741220"/>
      <w:r w:rsidRPr="00A45D99">
        <w:rPr>
          <w:rFonts w:ascii="Verdana" w:hAnsi="Verdana" w:cs="Arial"/>
          <w:vertAlign w:val="superscript"/>
          <w:lang w:val="es-MX"/>
        </w:rPr>
        <w:footnoteReference w:id="20"/>
      </w:r>
      <w:bookmarkEnd w:id="16"/>
      <w:bookmarkEnd w:id="17"/>
      <w:r w:rsidRPr="00A45D99">
        <w:rPr>
          <w:rFonts w:ascii="Verdana" w:hAnsi="Verdana" w:cs="Arial"/>
          <w:bCs/>
          <w:lang w:val="es-MX" w:eastAsia="x-none"/>
        </w:rPr>
        <w:t>.</w:t>
      </w:r>
      <w:r w:rsidRPr="00A45D99">
        <w:rPr>
          <w:rFonts w:ascii="Verdana" w:hAnsi="Verdana" w:cs="Arial"/>
          <w:lang w:val="es-MX"/>
        </w:rPr>
        <w:t xml:space="preserve"> Sin embargo, debe precisarse el siguiente aspecto que distinguió la Sala de Consulta y Servicio Civil:</w:t>
      </w:r>
    </w:p>
    <w:p w14:paraId="0751FD08" w14:textId="77777777" w:rsidR="00861DDF" w:rsidRPr="00A45D99" w:rsidRDefault="00861DDF" w:rsidP="00861DDF">
      <w:pPr>
        <w:spacing w:after="0" w:line="276" w:lineRule="auto"/>
        <w:jc w:val="both"/>
        <w:rPr>
          <w:rFonts w:ascii="Verdana" w:hAnsi="Verdana" w:cs="Arial"/>
          <w:lang w:val="es-MX"/>
        </w:rPr>
      </w:pPr>
    </w:p>
    <w:p w14:paraId="6F64C08B" w14:textId="77777777" w:rsidR="00861DDF" w:rsidRPr="00A45D99" w:rsidRDefault="00861DDF" w:rsidP="00861DDF">
      <w:pPr>
        <w:spacing w:after="0" w:line="240" w:lineRule="auto"/>
        <w:ind w:left="708" w:right="709"/>
        <w:jc w:val="both"/>
        <w:rPr>
          <w:rFonts w:ascii="Verdana" w:hAnsi="Verdana" w:cs="Arial"/>
          <w:sz w:val="20"/>
          <w:szCs w:val="20"/>
          <w:lang w:val="es-MX"/>
        </w:rPr>
      </w:pPr>
      <w:bookmarkStart w:id="19" w:name="_Hlk75811446"/>
      <w:r w:rsidRPr="00A45D99">
        <w:rPr>
          <w:rFonts w:ascii="Verdana"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w:t>
      </w:r>
      <w:r w:rsidRPr="00A45D99">
        <w:rPr>
          <w:rFonts w:ascii="Verdana" w:hAnsi="Verdana" w:cs="Arial"/>
          <w:sz w:val="20"/>
          <w:szCs w:val="20"/>
          <w:lang w:val="es-MX"/>
        </w:rPr>
        <w:lastRenderedPageBreak/>
        <w:t>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9"/>
      <w:r w:rsidRPr="00A45D99">
        <w:rPr>
          <w:rFonts w:ascii="Verdana" w:hAnsi="Verdana" w:cs="Arial"/>
          <w:sz w:val="20"/>
          <w:szCs w:val="20"/>
          <w:lang w:val="es-MX"/>
        </w:rPr>
        <w:t>”</w:t>
      </w:r>
      <w:r w:rsidRPr="00A45D99">
        <w:rPr>
          <w:rFonts w:ascii="Verdana" w:hAnsi="Verdana" w:cs="Arial"/>
          <w:sz w:val="20"/>
          <w:szCs w:val="20"/>
          <w:vertAlign w:val="superscript"/>
          <w:lang w:val="es-MX"/>
        </w:rPr>
        <w:footnoteReference w:id="21"/>
      </w:r>
      <w:r w:rsidRPr="00A45D99">
        <w:rPr>
          <w:rFonts w:ascii="Verdana" w:hAnsi="Verdana" w:cs="Arial"/>
          <w:bCs/>
          <w:sz w:val="20"/>
          <w:szCs w:val="20"/>
          <w:lang w:val="es-MX" w:eastAsia="x-none"/>
        </w:rPr>
        <w:t>.</w:t>
      </w:r>
    </w:p>
    <w:p w14:paraId="073B8DE2" w14:textId="77777777" w:rsidR="00861DDF" w:rsidRPr="00A45D99" w:rsidRDefault="00861DDF" w:rsidP="00861DDF">
      <w:pPr>
        <w:spacing w:after="0" w:line="276" w:lineRule="auto"/>
        <w:jc w:val="both"/>
        <w:rPr>
          <w:rFonts w:ascii="Verdana" w:hAnsi="Verdana" w:cs="Arial"/>
          <w:lang w:val="es-MX"/>
        </w:rPr>
      </w:pPr>
    </w:p>
    <w:p w14:paraId="12BED479" w14:textId="77777777" w:rsidR="00861DDF" w:rsidRPr="00A45D99" w:rsidRDefault="00861DDF" w:rsidP="00861DDF">
      <w:pPr>
        <w:spacing w:after="120" w:line="276" w:lineRule="auto"/>
        <w:ind w:firstLine="709"/>
        <w:jc w:val="both"/>
        <w:rPr>
          <w:rFonts w:ascii="Verdana" w:hAnsi="Verdana" w:cs="Arial"/>
          <w:bCs/>
          <w:lang w:val="es-MX" w:eastAsia="x-none"/>
        </w:rPr>
      </w:pPr>
      <w:r w:rsidRPr="00A45D99">
        <w:rPr>
          <w:rFonts w:ascii="Verdana" w:hAnsi="Verdana" w:cs="Arial"/>
          <w:lang w:val="es-MX"/>
        </w:rPr>
        <w:t>Aplicando este razonamiento,</w:t>
      </w:r>
      <w:bookmarkStart w:id="20" w:name="_Hlk75811096"/>
      <w:r w:rsidRPr="00A45D99">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w:t>
      </w:r>
      <w:r>
        <w:rPr>
          <w:rFonts w:ascii="Verdana" w:hAnsi="Verdana" w:cs="Arial"/>
          <w:lang w:val="es-MX"/>
        </w:rPr>
        <w:t>“</w:t>
      </w:r>
      <w:r w:rsidRPr="00A45D99">
        <w:rPr>
          <w:rFonts w:ascii="Verdana" w:hAnsi="Verdana" w:cs="Arial"/>
          <w:lang w:val="es-MX"/>
        </w:rPr>
        <w:t>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20"/>
      <w:r>
        <w:rPr>
          <w:rFonts w:ascii="Verdana" w:hAnsi="Verdana" w:cs="Arial"/>
          <w:lang w:val="es-MX"/>
        </w:rPr>
        <w:t>”</w:t>
      </w:r>
      <w:r w:rsidRPr="00A45D99">
        <w:rPr>
          <w:rFonts w:ascii="Verdana" w:hAnsi="Verdana" w:cs="Arial"/>
          <w:vertAlign w:val="superscript"/>
          <w:lang w:val="es-MX"/>
        </w:rPr>
        <w:t xml:space="preserve"> </w:t>
      </w:r>
      <w:r w:rsidRPr="00A45D99">
        <w:rPr>
          <w:rFonts w:ascii="Verdana" w:hAnsi="Verdana" w:cs="Arial"/>
          <w:vertAlign w:val="superscript"/>
          <w:lang w:val="es-MX"/>
        </w:rPr>
        <w:footnoteReference w:id="22"/>
      </w:r>
      <w:r w:rsidRPr="00A45D99">
        <w:rPr>
          <w:rFonts w:ascii="Verdana" w:hAnsi="Verdana" w:cs="Arial"/>
          <w:lang w:val="es-MX"/>
        </w:rPr>
        <w:t>.</w:t>
      </w:r>
    </w:p>
    <w:bookmarkEnd w:id="15"/>
    <w:p w14:paraId="3DE9D05E" w14:textId="77777777" w:rsidR="00861DDF" w:rsidRDefault="00861DDF" w:rsidP="00861DDF">
      <w:pPr>
        <w:spacing w:after="0" w:line="276" w:lineRule="auto"/>
        <w:ind w:firstLine="708"/>
        <w:jc w:val="both"/>
        <w:rPr>
          <w:rFonts w:ascii="Verdana" w:hAnsi="Verdana" w:cs="Arial"/>
          <w:bCs/>
          <w:lang w:val="es-MX" w:eastAsia="x-none"/>
        </w:rPr>
      </w:pPr>
      <w:r w:rsidRPr="00A45D99">
        <w:rPr>
          <w:rFonts w:ascii="Verdana" w:hAnsi="Verdana" w:cs="Arial"/>
          <w:lang w:val="es-MX"/>
        </w:rPr>
        <w:t xml:space="preserve">Por lo tanto, la restricción prevista en la Ley 996 de 2005, </w:t>
      </w:r>
      <w:r w:rsidRPr="00A45D99">
        <w:rPr>
          <w:rFonts w:ascii="Verdana" w:hAnsi="Verdana" w:cs="Arial"/>
          <w:bCs/>
          <w:lang w:val="es-MX" w:eastAsia="x-none"/>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4DEB78A5" w14:textId="77777777" w:rsidR="00861DDF" w:rsidRDefault="00861DDF" w:rsidP="00861DDF">
      <w:pPr>
        <w:spacing w:after="0" w:line="276" w:lineRule="auto"/>
        <w:ind w:firstLine="709"/>
        <w:jc w:val="both"/>
        <w:rPr>
          <w:rFonts w:ascii="Verdana" w:eastAsia="Calibri" w:hAnsi="Verdana" w:cs="Arial"/>
          <w:lang w:val="es-MX" w:eastAsia="es-ES"/>
        </w:rPr>
      </w:pPr>
    </w:p>
    <w:p w14:paraId="5D802B41" w14:textId="77777777" w:rsidR="00861DDF" w:rsidRDefault="00861DDF" w:rsidP="00861DDF">
      <w:pPr>
        <w:spacing w:after="120" w:line="276" w:lineRule="auto"/>
        <w:ind w:firstLine="708"/>
        <w:jc w:val="both"/>
        <w:rPr>
          <w:rFonts w:ascii="Verdana" w:hAnsi="Verdana" w:cs="Arial"/>
          <w:bCs/>
          <w:color w:val="000000" w:themeColor="text1"/>
          <w:lang w:val="es-ES"/>
        </w:rPr>
      </w:pPr>
      <w:proofErr w:type="spellStart"/>
      <w:r>
        <w:rPr>
          <w:rFonts w:ascii="Verdana" w:hAnsi="Verdana" w:cs="Arial"/>
          <w:bCs/>
          <w:color w:val="000000" w:themeColor="text1"/>
          <w:lang w:val="es-ES"/>
        </w:rPr>
        <w:t>iv</w:t>
      </w:r>
      <w:proofErr w:type="spellEnd"/>
      <w:r>
        <w:rPr>
          <w:rFonts w:ascii="Verdana" w:hAnsi="Verdana" w:cs="Arial"/>
          <w:bCs/>
          <w:color w:val="000000" w:themeColor="text1"/>
          <w:lang w:val="es-ES"/>
        </w:rPr>
        <w:t>. Antes de precisar las limitaciones que aplican en la actividad contractual de las Empresas de Servicios Públicos Domiciliarios</w:t>
      </w:r>
      <w:r w:rsidRPr="00BF5C91">
        <w:rPr>
          <w:rFonts w:ascii="Verdana" w:hAnsi="Verdana" w:cs="Arial"/>
          <w:bCs/>
          <w:color w:val="000000" w:themeColor="text1"/>
          <w:lang w:val="es-ES"/>
        </w:rPr>
        <w:t xml:space="preserve"> </w:t>
      </w:r>
      <w:r>
        <w:rPr>
          <w:rFonts w:ascii="Verdana" w:hAnsi="Verdana" w:cs="Arial"/>
          <w:bCs/>
          <w:color w:val="000000" w:themeColor="text1"/>
          <w:lang w:val="es-ES"/>
        </w:rPr>
        <w:t>oficiales</w:t>
      </w:r>
      <w:r w:rsidRPr="00BC0B85">
        <w:rPr>
          <w:rFonts w:ascii="Verdana" w:hAnsi="Verdana" w:cs="Arial"/>
          <w:bCs/>
          <w:color w:val="000000" w:themeColor="text1"/>
          <w:lang w:val="es-ES"/>
        </w:rPr>
        <w:t xml:space="preserve"> </w:t>
      </w:r>
      <w:r>
        <w:rPr>
          <w:rFonts w:ascii="Verdana" w:hAnsi="Verdana" w:cs="Arial"/>
          <w:bCs/>
          <w:color w:val="000000" w:themeColor="text1"/>
          <w:lang w:val="es-ES"/>
        </w:rPr>
        <w:t xml:space="preserve">por virtud de la Ley de Garantías, sobre las que se consulta en la presente solicitud, es importante resaltar aspectos generales de su naturaleza jurídica y régimen contractual aplicable: </w:t>
      </w:r>
    </w:p>
    <w:p w14:paraId="19084A3C" w14:textId="77777777" w:rsidR="00861DDF" w:rsidRPr="00F10E52" w:rsidRDefault="00861DDF" w:rsidP="00861DDF">
      <w:pPr>
        <w:spacing w:after="120" w:line="276" w:lineRule="auto"/>
        <w:ind w:firstLine="708"/>
        <w:jc w:val="both"/>
        <w:rPr>
          <w:rFonts w:ascii="Verdana" w:eastAsia="Times New Roman" w:hAnsi="Verdana" w:cs="Arial"/>
          <w:color w:val="1A1A1A"/>
          <w:lang w:eastAsia="es-ES_tradnl"/>
        </w:rPr>
      </w:pPr>
      <w:r>
        <w:rPr>
          <w:rFonts w:ascii="Verdana" w:hAnsi="Verdana" w:cs="Arial"/>
          <w:bCs/>
          <w:color w:val="000000" w:themeColor="text1"/>
          <w:lang w:val="es-ES"/>
        </w:rPr>
        <w:t>E</w:t>
      </w:r>
      <w:r>
        <w:rPr>
          <w:rFonts w:ascii="Verdana" w:eastAsia="Calibri" w:hAnsi="Verdana" w:cs="Arial"/>
          <w:bCs/>
        </w:rPr>
        <w:t xml:space="preserve">s de precisar que el </w:t>
      </w:r>
      <w:r w:rsidRPr="00F10E52">
        <w:rPr>
          <w:rFonts w:ascii="Verdana" w:eastAsia="Times New Roman" w:hAnsi="Verdana" w:cs="Arial"/>
          <w:color w:val="1A1A1A"/>
          <w:lang w:eastAsia="es-ES_tradnl"/>
        </w:rPr>
        <w:t xml:space="preserve">artículo 365 de la Constitución Política establece que los servicios públicos domiciliarios </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xml:space="preserve">podrán ser prestados por el Estado, directa </w:t>
      </w:r>
      <w:r w:rsidRPr="00F10E52">
        <w:rPr>
          <w:rFonts w:ascii="Verdana" w:eastAsia="Times New Roman" w:hAnsi="Verdana" w:cs="Arial"/>
          <w:color w:val="1A1A1A"/>
          <w:lang w:eastAsia="es-ES_tradnl"/>
        </w:rPr>
        <w:lastRenderedPageBreak/>
        <w:t>o indirectamente, por comunidades organizadas o por particulares</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xml:space="preserve">, pero que </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[e]n todo caso, el Estado mantendrá la regulación, el control y la vigilancia de dichos servicios</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xml:space="preserve">. En desarrollo de esta habilitación superior, el Congreso de la República dispuso, en el artículo 15 de la Ley 142 de 1994, que pueden actuar como operadores de servicios públicos domiciliarios: i) </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xml:space="preserve">Las </w:t>
      </w:r>
      <w:r w:rsidRPr="00D22EAC">
        <w:rPr>
          <w:rFonts w:ascii="Verdana" w:eastAsia="Times New Roman" w:hAnsi="Verdana" w:cs="Arial"/>
          <w:i/>
          <w:iCs/>
          <w:color w:val="1A1A1A"/>
          <w:lang w:eastAsia="es-ES_tradnl"/>
        </w:rPr>
        <w:t>empresas de servicios públicos</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xml:space="preserve"> –</w:t>
      </w:r>
      <w:r w:rsidRPr="00D22EAC">
        <w:rPr>
          <w:rFonts w:ascii="Verdana" w:eastAsia="Times New Roman" w:hAnsi="Verdana" w:cs="Arial"/>
          <w:i/>
          <w:iCs/>
          <w:color w:val="1A1A1A"/>
          <w:lang w:eastAsia="es-ES_tradnl"/>
        </w:rPr>
        <w:t>oficiales</w:t>
      </w:r>
      <w:r w:rsidRPr="00F10E52">
        <w:rPr>
          <w:rFonts w:ascii="Verdana" w:eastAsia="Times New Roman" w:hAnsi="Verdana" w:cs="Arial"/>
          <w:color w:val="1A1A1A"/>
          <w:lang w:eastAsia="es-ES_tradnl"/>
        </w:rPr>
        <w:t>, mixtas y privadas–, </w:t>
      </w:r>
      <w:proofErr w:type="spellStart"/>
      <w:r w:rsidRPr="00F10E52">
        <w:rPr>
          <w:rFonts w:ascii="Verdana" w:eastAsia="Times New Roman" w:hAnsi="Verdana" w:cs="Arial"/>
          <w:color w:val="1A1A1A"/>
          <w:lang w:eastAsia="es-ES_tradnl"/>
        </w:rPr>
        <w:t>ii</w:t>
      </w:r>
      <w:proofErr w:type="spellEnd"/>
      <w:r w:rsidRPr="00F10E52">
        <w:rPr>
          <w:rFonts w:ascii="Verdana" w:eastAsia="Times New Roman" w:hAnsi="Verdana" w:cs="Arial"/>
          <w:color w:val="1A1A1A"/>
          <w:lang w:eastAsia="es-ES_tradnl"/>
        </w:rPr>
        <w:t xml:space="preserve">) </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Las personas naturales o jurídicas que produzcan para ellas mismas, o como consecuencia o complemento de su actividad principal, los bienes y servicios propios del objeto de las empresas de servicios públicos</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w:t>
      </w:r>
      <w:proofErr w:type="spellStart"/>
      <w:r w:rsidRPr="00F10E52">
        <w:rPr>
          <w:rFonts w:ascii="Verdana" w:eastAsia="Times New Roman" w:hAnsi="Verdana" w:cs="Arial"/>
          <w:color w:val="1A1A1A"/>
          <w:lang w:eastAsia="es-ES_tradnl"/>
        </w:rPr>
        <w:t>iii</w:t>
      </w:r>
      <w:proofErr w:type="spellEnd"/>
      <w:r w:rsidRPr="00F10E52">
        <w:rPr>
          <w:rFonts w:ascii="Verdana" w:eastAsia="Times New Roman" w:hAnsi="Verdana" w:cs="Arial"/>
          <w:color w:val="1A1A1A"/>
          <w:lang w:eastAsia="es-ES_tradnl"/>
        </w:rPr>
        <w:t xml:space="preserve">) </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Los municipios cuando asuman en forma directa, a través de su administración central, la prestación de los servicios públicos, conforme a lo dispuesto en esta Ley</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y </w:t>
      </w:r>
      <w:proofErr w:type="spellStart"/>
      <w:r w:rsidRPr="00F10E52">
        <w:rPr>
          <w:rFonts w:ascii="Verdana" w:eastAsia="Times New Roman" w:hAnsi="Verdana" w:cs="Arial"/>
          <w:color w:val="1A1A1A"/>
          <w:lang w:eastAsia="es-ES_tradnl"/>
        </w:rPr>
        <w:t>iv</w:t>
      </w:r>
      <w:proofErr w:type="spellEnd"/>
      <w:r w:rsidRPr="00F10E52">
        <w:rPr>
          <w:rFonts w:ascii="Verdana" w:eastAsia="Times New Roman" w:hAnsi="Verdana" w:cs="Arial"/>
          <w:color w:val="1A1A1A"/>
          <w:lang w:eastAsia="es-ES_tradnl"/>
        </w:rPr>
        <w:t xml:space="preserve">) </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Las organizaciones autorizadas conforme a esta Ley para prestar servicios públicos en municipios menores en zonas rurales y en áreas o zonas urbanas específicas</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w:t>
      </w:r>
    </w:p>
    <w:p w14:paraId="6E14AFAB" w14:textId="77777777" w:rsidR="00861DDF" w:rsidRPr="00F10E52" w:rsidRDefault="00861DDF" w:rsidP="00861DDF">
      <w:pPr>
        <w:spacing w:after="0" w:line="276" w:lineRule="auto"/>
        <w:ind w:firstLine="709"/>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t xml:space="preserve">Por su parte, el artículo 14 de la Ley 142 de 1994 contiene las definiciones para la correcta aplicación e interpretación del régimen de servicios públicos domiciliarios. Esta norma define las empresas de servicios públicos oficial, mixta y privada, en los siguientes términos: </w:t>
      </w:r>
    </w:p>
    <w:p w14:paraId="2AA42517" w14:textId="77777777" w:rsidR="00861DDF" w:rsidRPr="00F10E52" w:rsidRDefault="00861DDF" w:rsidP="00861DDF">
      <w:pPr>
        <w:spacing w:after="0" w:line="276" w:lineRule="auto"/>
        <w:ind w:firstLine="709"/>
        <w:jc w:val="both"/>
        <w:rPr>
          <w:rFonts w:ascii="Verdana" w:eastAsia="Times New Roman" w:hAnsi="Verdana" w:cs="Arial"/>
          <w:color w:val="1A1A1A"/>
          <w:lang w:eastAsia="es-ES_tradnl"/>
        </w:rPr>
      </w:pPr>
    </w:p>
    <w:p w14:paraId="762FA178" w14:textId="77777777" w:rsidR="00861DDF" w:rsidRDefault="00861DDF" w:rsidP="00861DDF">
      <w:pPr>
        <w:spacing w:after="0" w:line="240" w:lineRule="auto"/>
        <w:ind w:left="709" w:right="709"/>
        <w:jc w:val="both"/>
        <w:rPr>
          <w:rFonts w:ascii="Verdana" w:eastAsia="Times New Roman" w:hAnsi="Verdana" w:cs="Arial"/>
          <w:color w:val="1A1A1A"/>
          <w:sz w:val="20"/>
          <w:szCs w:val="20"/>
          <w:lang w:eastAsia="es-ES_tradnl"/>
        </w:rPr>
      </w:pPr>
      <w:r>
        <w:rPr>
          <w:rFonts w:ascii="Verdana" w:eastAsia="Times New Roman" w:hAnsi="Verdana" w:cs="Arial"/>
          <w:color w:val="1A1A1A"/>
          <w:sz w:val="20"/>
          <w:szCs w:val="20"/>
          <w:lang w:eastAsia="es-ES_tradnl"/>
        </w:rPr>
        <w:t>“</w:t>
      </w:r>
      <w:r w:rsidRPr="00D22EAC">
        <w:rPr>
          <w:rFonts w:ascii="Verdana" w:eastAsia="Times New Roman" w:hAnsi="Verdana" w:cs="Arial"/>
          <w:b/>
          <w:bCs/>
          <w:color w:val="1A1A1A"/>
          <w:sz w:val="20"/>
          <w:szCs w:val="20"/>
          <w:lang w:eastAsia="es-ES_tradnl"/>
        </w:rPr>
        <w:t>14.5. Empresa de servicios públicos oficial. Es aquella en cuyo capital la Nación, las entidades territoriales, o las entidades descentralizadas de aquella o estas tienen el 100% de los aportes</w:t>
      </w:r>
      <w:r w:rsidRPr="00596D81">
        <w:rPr>
          <w:rFonts w:ascii="Verdana" w:eastAsia="Times New Roman" w:hAnsi="Verdana" w:cs="Arial"/>
          <w:color w:val="1A1A1A"/>
          <w:sz w:val="20"/>
          <w:szCs w:val="20"/>
          <w:lang w:eastAsia="es-ES_tradnl"/>
        </w:rPr>
        <w:t>.</w:t>
      </w:r>
    </w:p>
    <w:p w14:paraId="1C5268B0" w14:textId="77777777" w:rsidR="00861DDF" w:rsidRPr="00596D81" w:rsidRDefault="00861DDF" w:rsidP="00861DDF">
      <w:pPr>
        <w:spacing w:after="0" w:line="240" w:lineRule="auto"/>
        <w:ind w:left="709" w:right="709"/>
        <w:jc w:val="both"/>
        <w:rPr>
          <w:rFonts w:ascii="Verdana" w:eastAsia="Times New Roman" w:hAnsi="Verdana" w:cs="Arial"/>
          <w:color w:val="1A1A1A"/>
          <w:sz w:val="20"/>
          <w:szCs w:val="20"/>
          <w:lang w:eastAsia="es-ES_tradnl"/>
        </w:rPr>
      </w:pPr>
    </w:p>
    <w:p w14:paraId="2086F797" w14:textId="77777777" w:rsidR="00861DDF" w:rsidRDefault="00861DDF" w:rsidP="00861DDF">
      <w:pPr>
        <w:spacing w:after="0" w:line="240" w:lineRule="auto"/>
        <w:ind w:left="709" w:right="709"/>
        <w:jc w:val="both"/>
        <w:rPr>
          <w:rFonts w:ascii="Verdana" w:eastAsia="Times New Roman" w:hAnsi="Verdana" w:cs="Arial"/>
          <w:color w:val="1A1A1A"/>
          <w:sz w:val="20"/>
          <w:szCs w:val="20"/>
          <w:lang w:eastAsia="es-ES_tradnl"/>
        </w:rPr>
      </w:pPr>
      <w:r w:rsidRPr="00596D81">
        <w:rPr>
          <w:rFonts w:ascii="Verdana" w:eastAsia="Times New Roman" w:hAnsi="Verdana" w:cs="Arial"/>
          <w:color w:val="1A1A1A"/>
          <w:sz w:val="20"/>
          <w:szCs w:val="20"/>
          <w:lang w:eastAsia="es-ES_tradnl"/>
        </w:rPr>
        <w:t>14.6. Empresa de servicios públicos mixta. Es aquella en cuyo capital la Nación, las entidades territoriales, o las entidades descentralizadas de aquella o éstas tienen aportes iguales o superiores al 50%.</w:t>
      </w:r>
    </w:p>
    <w:p w14:paraId="74D5128D" w14:textId="77777777" w:rsidR="00861DDF" w:rsidRPr="00596D81" w:rsidRDefault="00861DDF" w:rsidP="00861DDF">
      <w:pPr>
        <w:spacing w:after="0" w:line="240" w:lineRule="auto"/>
        <w:ind w:left="709" w:right="709"/>
        <w:jc w:val="both"/>
        <w:rPr>
          <w:rFonts w:ascii="Verdana" w:eastAsia="Times New Roman" w:hAnsi="Verdana" w:cs="Arial"/>
          <w:color w:val="1A1A1A"/>
          <w:sz w:val="20"/>
          <w:szCs w:val="20"/>
          <w:lang w:eastAsia="es-ES_tradnl"/>
        </w:rPr>
      </w:pPr>
      <w:r w:rsidRPr="00596D81">
        <w:rPr>
          <w:rFonts w:ascii="Verdana" w:eastAsia="Times New Roman" w:hAnsi="Verdana" w:cs="Arial"/>
          <w:color w:val="1A1A1A"/>
          <w:sz w:val="20"/>
          <w:szCs w:val="20"/>
          <w:lang w:eastAsia="es-ES_tradnl"/>
        </w:rPr>
        <w:t> </w:t>
      </w:r>
    </w:p>
    <w:p w14:paraId="2D359BFE" w14:textId="77777777" w:rsidR="00861DDF" w:rsidRPr="00596D81" w:rsidRDefault="00861DDF" w:rsidP="00861DDF">
      <w:pPr>
        <w:spacing w:after="0" w:line="240" w:lineRule="auto"/>
        <w:ind w:left="709" w:right="709"/>
        <w:jc w:val="both"/>
        <w:rPr>
          <w:rFonts w:ascii="Verdana" w:eastAsia="Times New Roman" w:hAnsi="Verdana" w:cs="Arial"/>
          <w:color w:val="1A1A1A"/>
          <w:sz w:val="20"/>
          <w:szCs w:val="20"/>
          <w:lang w:eastAsia="es-ES_tradnl"/>
        </w:rPr>
      </w:pPr>
      <w:r w:rsidRPr="00596D81">
        <w:rPr>
          <w:rFonts w:ascii="Verdana" w:eastAsia="Times New Roman" w:hAnsi="Verdana" w:cs="Arial"/>
          <w:color w:val="1A1A1A"/>
          <w:sz w:val="20"/>
          <w:szCs w:val="20"/>
          <w:lang w:eastAsia="es-ES_tradnl"/>
        </w:rPr>
        <w:t>14.7. Empresa de servicios públicos privada. Es aquella cuyo capital pertenece mayoritariamente a particulares, o a entidades surgidas de convenios internacionales que deseen someterse íntegramente para estos efectos a las reglas a las que se someten los particulares</w:t>
      </w:r>
      <w:r>
        <w:rPr>
          <w:rFonts w:ascii="Verdana" w:eastAsia="Times New Roman" w:hAnsi="Verdana" w:cs="Arial"/>
          <w:color w:val="1A1A1A"/>
          <w:sz w:val="20"/>
          <w:szCs w:val="20"/>
          <w:lang w:eastAsia="es-ES_tradnl"/>
        </w:rPr>
        <w:t>”</w:t>
      </w:r>
      <w:r w:rsidRPr="00596D81">
        <w:rPr>
          <w:rFonts w:ascii="Verdana" w:eastAsia="Times New Roman" w:hAnsi="Verdana" w:cs="Arial"/>
          <w:color w:val="1A1A1A"/>
          <w:sz w:val="20"/>
          <w:szCs w:val="20"/>
          <w:lang w:eastAsia="es-ES_tradnl"/>
        </w:rPr>
        <w:t>. </w:t>
      </w:r>
      <w:r w:rsidRPr="00DA61DD">
        <w:rPr>
          <w:rFonts w:ascii="Verdana" w:eastAsia="Times New Roman" w:hAnsi="Verdana" w:cs="Arial"/>
          <w:color w:val="1A1A1A"/>
          <w:lang w:eastAsia="es-ES_tradnl"/>
        </w:rPr>
        <w:t>[Énfasis por fuera de texto original]</w:t>
      </w:r>
    </w:p>
    <w:p w14:paraId="7CAE20FB" w14:textId="77777777" w:rsidR="00861DDF" w:rsidRPr="00596D81" w:rsidRDefault="00861DDF" w:rsidP="00861DDF">
      <w:pPr>
        <w:spacing w:after="0" w:line="240" w:lineRule="auto"/>
        <w:ind w:left="709" w:right="709"/>
        <w:jc w:val="both"/>
        <w:rPr>
          <w:rFonts w:ascii="Verdana" w:eastAsia="Times New Roman" w:hAnsi="Verdana" w:cs="Arial"/>
          <w:color w:val="1A1A1A"/>
          <w:sz w:val="20"/>
          <w:szCs w:val="20"/>
          <w:lang w:eastAsia="es-ES_tradnl"/>
        </w:rPr>
      </w:pPr>
    </w:p>
    <w:p w14:paraId="3F3448DA" w14:textId="77777777" w:rsidR="00861DDF" w:rsidRPr="00F10E52" w:rsidRDefault="00861DDF" w:rsidP="00861DDF">
      <w:pPr>
        <w:spacing w:after="120" w:line="276" w:lineRule="auto"/>
        <w:ind w:firstLine="708"/>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t xml:space="preserve">A su turno, el artículo 17 de la ley citada señala que </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las empresas de servicios públicos son sociedades por acciones cuyo objeto es la prestación de los servicios públicos de que trata esta ley</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xml:space="preserve">. </w:t>
      </w:r>
    </w:p>
    <w:p w14:paraId="53DB9CD9" w14:textId="77777777" w:rsidR="00861DDF" w:rsidRPr="00F10E52" w:rsidRDefault="00861DDF" w:rsidP="00861DDF">
      <w:pPr>
        <w:spacing w:before="120" w:after="120" w:line="276" w:lineRule="auto"/>
        <w:ind w:firstLine="708"/>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t xml:space="preserve">De otro lado, el artículo 38 de la Ley 489 de 1998 determina la integración de la Rama Ejecutiva del Poder Público en el orden nacional, y en su literal d) señala que las empresas sociales del Estado y las empresas oficiales de servicios públicos domiciliarios pertenecen a las entidades de la Rama Ejecutiva del sector descentralizado por servicios. El artículo 68 de esta ley, al listar las entidades </w:t>
      </w:r>
      <w:r w:rsidRPr="00F10E52">
        <w:rPr>
          <w:rFonts w:ascii="Verdana" w:eastAsia="Times New Roman" w:hAnsi="Verdana" w:cs="Arial"/>
          <w:color w:val="1A1A1A"/>
          <w:lang w:eastAsia="es-ES_tradnl"/>
        </w:rPr>
        <w:lastRenderedPageBreak/>
        <w:t>descentralizadas del orden nacional, se refirió únicamente a las empresas oficiales de servicios públicos, esto es, aquellas en las que la participación del Estado es del 100%</w:t>
      </w:r>
      <w:r w:rsidRPr="00F10E52">
        <w:rPr>
          <w:rFonts w:ascii="Verdana" w:eastAsia="Times New Roman" w:hAnsi="Verdana" w:cs="Arial"/>
          <w:color w:val="1A1A1A"/>
          <w:vertAlign w:val="superscript"/>
          <w:lang w:eastAsia="es-ES_tradnl"/>
        </w:rPr>
        <w:footnoteReference w:id="23"/>
      </w:r>
      <w:r w:rsidRPr="00F10E52">
        <w:rPr>
          <w:rFonts w:ascii="Verdana" w:eastAsia="Times New Roman" w:hAnsi="Verdana" w:cs="Arial"/>
          <w:color w:val="1A1A1A"/>
          <w:lang w:eastAsia="es-ES_tradnl"/>
        </w:rPr>
        <w:t xml:space="preserve">. </w:t>
      </w:r>
    </w:p>
    <w:p w14:paraId="2B1D1FE1" w14:textId="77777777" w:rsidR="00861DDF" w:rsidRPr="00F10E52" w:rsidRDefault="00861DDF" w:rsidP="00861DDF">
      <w:pPr>
        <w:spacing w:before="120" w:after="120" w:line="276" w:lineRule="auto"/>
        <w:ind w:firstLine="708"/>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t xml:space="preserve">Lo anterior llevó a pensar que el legislador excluyó de la Rama Ejecutiva a las empresas de servicios públicos mixtas –capital público superior al 50%– y las privadas –capital público inferior al 50%–. Sin embargo, la Corte Constitucional determinó que tanto las empresas de servicios públicos mixtas como las privadas hacían parte de la Rama Ejecutiva, toda vez que el literal g) del artículo 38 de la Ley 489 de 1998 aplica a </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g) Las demás entidades administrativas nacionales con personería jurídica que cree, organice o autorice la ley para que formen parte de la Rama Ejecutiva del Poder Público</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xml:space="preserve">. </w:t>
      </w:r>
    </w:p>
    <w:p w14:paraId="175CB58F" w14:textId="77777777" w:rsidR="00861DDF" w:rsidRPr="00F10E52" w:rsidRDefault="00861DDF" w:rsidP="00861DDF">
      <w:pPr>
        <w:spacing w:before="120" w:after="120" w:line="276" w:lineRule="auto"/>
        <w:ind w:firstLine="709"/>
        <w:jc w:val="both"/>
        <w:rPr>
          <w:rFonts w:ascii="Verdana" w:eastAsia="Times New Roman" w:hAnsi="Verdana" w:cs="Arial"/>
          <w:color w:val="1A1A1A"/>
          <w:lang w:eastAsia="es-CO"/>
        </w:rPr>
      </w:pPr>
      <w:r w:rsidRPr="00F10E52">
        <w:rPr>
          <w:rFonts w:ascii="Verdana" w:eastAsia="Times New Roman" w:hAnsi="Verdana" w:cs="Arial"/>
          <w:color w:val="1A1A1A"/>
          <w:lang w:eastAsia="es-ES_tradnl"/>
        </w:rPr>
        <w:t>La Corte Constitucional, además de señalar la pertenencia a la Rama Ejecutiva de las empresas de servicios públicos mixtas y privadas, también sostuvo que se trataba de entidades descentralizadas por servicios, en los términos del artículo 68 de la Ley 489 de 1998</w:t>
      </w:r>
      <w:r w:rsidRPr="00F10E52">
        <w:rPr>
          <w:rFonts w:ascii="Verdana" w:eastAsia="Times New Roman" w:hAnsi="Verdana" w:cs="Arial"/>
          <w:color w:val="1A1A1A"/>
          <w:vertAlign w:val="superscript"/>
          <w:lang w:eastAsia="es-ES_tradnl"/>
        </w:rPr>
        <w:footnoteReference w:id="24"/>
      </w:r>
      <w:r w:rsidRPr="00F10E52">
        <w:rPr>
          <w:rFonts w:ascii="Verdana" w:eastAsia="Times New Roman" w:hAnsi="Verdana" w:cs="Arial"/>
          <w:color w:val="1A1A1A"/>
          <w:lang w:eastAsia="es-ES_tradnl"/>
        </w:rPr>
        <w:t>. En esta providencia también aclaró que las empresas prestadoras de servicios públicos, de carácter mixto o privado, no son empresas de economía mixta. La anterior conclusión fue fundamentada sobre la idea del carácter o naturaleza especial que la Constitución otorgó a las empresas de servicios públicos</w:t>
      </w:r>
      <w:r w:rsidRPr="00F10E52">
        <w:rPr>
          <w:rFonts w:ascii="Verdana" w:eastAsia="Times New Roman" w:hAnsi="Verdana" w:cs="Arial"/>
          <w:color w:val="1A1A1A"/>
          <w:vertAlign w:val="superscript"/>
          <w:lang w:eastAsia="es-CO"/>
        </w:rPr>
        <w:footnoteReference w:id="25"/>
      </w:r>
      <w:r w:rsidRPr="00F10E52">
        <w:rPr>
          <w:rFonts w:ascii="Verdana" w:eastAsia="Times New Roman" w:hAnsi="Verdana" w:cs="Arial"/>
          <w:color w:val="1A1A1A"/>
          <w:lang w:eastAsia="es-CO"/>
        </w:rPr>
        <w:t>.</w:t>
      </w:r>
    </w:p>
    <w:p w14:paraId="5AADF8FA" w14:textId="77777777" w:rsidR="00861DDF" w:rsidRPr="00F10E52" w:rsidRDefault="00861DDF" w:rsidP="00861DDF">
      <w:pPr>
        <w:spacing w:before="120" w:after="120" w:line="276" w:lineRule="auto"/>
        <w:ind w:firstLine="708"/>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t xml:space="preserve">Así las cosas, las empresas de servicios públicos tienen una naturaleza jurídica especial que viene dada directamente por el artículo 356 de la Constitución Política, y el hecho de que su composición accionaria pueda estar compartida por recursos públicos y privados no las convierte en sociedades de economía mixta, pues las empresas en cuestión tienen su clasificación propia dependiendo de la composición de su capital accionario: empresas de servicios </w:t>
      </w:r>
      <w:r w:rsidRPr="00F10E52">
        <w:rPr>
          <w:rFonts w:ascii="Verdana" w:eastAsia="Times New Roman" w:hAnsi="Verdana" w:cs="Arial"/>
          <w:color w:val="1A1A1A"/>
          <w:lang w:eastAsia="es-ES_tradnl"/>
        </w:rPr>
        <w:lastRenderedPageBreak/>
        <w:t xml:space="preserve">públicos oficiales, mixtas y privadas. Ahora, sin importar su clasificación, todas hacen parte de la Rama Ejecutiva del sector descentralizado por servicios. </w:t>
      </w:r>
    </w:p>
    <w:p w14:paraId="5F357A57" w14:textId="77777777" w:rsidR="00861DDF" w:rsidRDefault="00861DDF" w:rsidP="00861DDF">
      <w:pPr>
        <w:spacing w:before="120" w:after="0" w:line="276" w:lineRule="auto"/>
        <w:ind w:firstLine="709"/>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t xml:space="preserve">En cuanto al régimen jurídico de contratación de las empresas de servicios públicos, el inciso primero del artículo 31 de la Ley 142 de 1994 señala que </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[l]os contratos que celebren las entidades estatales que prestan los servicios públicos a los que se refiere esta ley no estarán sujetos a las disposiciones del Estatuto General de Contratación de la Administración Pública, salvo en lo que la presente ley disponga otra cosa</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De esta manera, sin perjuicio de lo dispuesto en el artículo 13 de la Ley 1150 de 2007 sobre la aplicación de los principios de la función administrativa, la gestión fiscal, las inhabilidades e incompatibilidades, el régimen jurídico aplicable a los contratos que celebren las empresas de servicios públicos, incluso para las oficiales y las mixtas, es el contenido en el derecho civil y comercial, esto es, por regla general no están sometidas a la Ley 80 de 1993</w:t>
      </w:r>
      <w:r w:rsidRPr="00F10E52">
        <w:rPr>
          <w:rFonts w:ascii="Verdana" w:eastAsia="Times New Roman" w:hAnsi="Verdana" w:cs="Arial"/>
          <w:color w:val="1A1A1A"/>
          <w:vertAlign w:val="superscript"/>
          <w:lang w:eastAsia="es-ES_tradnl"/>
        </w:rPr>
        <w:footnoteReference w:id="26"/>
      </w:r>
      <w:r w:rsidRPr="00F10E52">
        <w:rPr>
          <w:rFonts w:ascii="Verdana" w:eastAsia="Times New Roman" w:hAnsi="Verdana" w:cs="Arial"/>
          <w:color w:val="1A1A1A"/>
          <w:lang w:eastAsia="es-ES_tradnl"/>
        </w:rPr>
        <w:t>.</w:t>
      </w:r>
    </w:p>
    <w:p w14:paraId="21A34E8C" w14:textId="77777777" w:rsidR="00861DDF" w:rsidRDefault="00861DDF" w:rsidP="00861DDF">
      <w:pPr>
        <w:spacing w:after="0" w:line="276" w:lineRule="auto"/>
        <w:ind w:firstLine="709"/>
        <w:jc w:val="both"/>
        <w:rPr>
          <w:rFonts w:ascii="Verdana" w:eastAsia="Times New Roman" w:hAnsi="Verdana" w:cs="Arial"/>
          <w:color w:val="1A1A1A"/>
          <w:lang w:eastAsia="es-ES_tradnl"/>
        </w:rPr>
      </w:pPr>
    </w:p>
    <w:p w14:paraId="11091CC4" w14:textId="77777777" w:rsidR="00861DDF" w:rsidRPr="001654C3" w:rsidRDefault="00861DDF" w:rsidP="00861DDF">
      <w:pPr>
        <w:spacing w:after="120" w:line="276" w:lineRule="auto"/>
        <w:jc w:val="both"/>
        <w:rPr>
          <w:rFonts w:ascii="Verdana" w:hAnsi="Verdana" w:cs="Arial"/>
          <w:color w:val="1A1A1A"/>
          <w:lang w:eastAsia="es-ES_tradnl"/>
        </w:rPr>
      </w:pPr>
      <w:r>
        <w:rPr>
          <w:rFonts w:ascii="Verdana" w:eastAsia="Times New Roman" w:hAnsi="Verdana" w:cs="Arial"/>
          <w:color w:val="1A1A1A"/>
          <w:lang w:eastAsia="es-ES_tradnl"/>
        </w:rPr>
        <w:t xml:space="preserve">v. </w:t>
      </w:r>
      <w:r w:rsidRPr="001654C3">
        <w:rPr>
          <w:rFonts w:ascii="Verdana" w:hAnsi="Verdana" w:cs="Arial"/>
          <w:color w:val="1A1A1A"/>
          <w:lang w:eastAsia="es-ES_tradnl"/>
        </w:rPr>
        <w:t>De conformidad con lo expuesto, la prohibición contenida en el artículo 33 de la Ley 996 de 2005, relativa a la contratación directa durante los cuatro (4) meses anteriores a la elección presidencial, resulta aplicable a las empresas de servicios públicos domiciliarios oficiales, en tanto estas hacen parte de los entes del Estado y, por ende, se encuentran comprendidas dentro del ámbito subjetivo de la restricción, con independencia del régimen jurídico especial que gobierne su actividad contractual.</w:t>
      </w:r>
    </w:p>
    <w:p w14:paraId="25A13EC1" w14:textId="77777777" w:rsidR="00861DDF" w:rsidRPr="001654C3" w:rsidRDefault="00861DDF" w:rsidP="00861DDF">
      <w:pPr>
        <w:spacing w:before="120" w:after="120" w:line="276" w:lineRule="auto"/>
        <w:ind w:firstLine="709"/>
        <w:jc w:val="both"/>
        <w:rPr>
          <w:rFonts w:ascii="Verdana" w:eastAsia="Times New Roman" w:hAnsi="Verdana" w:cs="Arial"/>
          <w:color w:val="1A1A1A"/>
          <w:lang w:eastAsia="es-ES_tradnl"/>
        </w:rPr>
      </w:pPr>
      <w:r w:rsidRPr="001654C3">
        <w:rPr>
          <w:rFonts w:ascii="Verdana" w:eastAsia="Times New Roman" w:hAnsi="Verdana" w:cs="Arial"/>
          <w:color w:val="1A1A1A"/>
          <w:lang w:eastAsia="es-ES_tradnl"/>
        </w:rPr>
        <w:t>En este contexto, debe reiterarse que, para efectos de la Ley de Garantías Electorales, la expresión “contratación directa” no se circunscribe a una modalidad específica del Estatuto General de Contratación de la Administración Pública, sino que comprende cualquier sistema de selección o procedimiento de contratación que prescinda de una convocatoria pública y no permita la participación de una pluralidad de oferentes, aun cuando dicho procedimiento se encuentre regulado por normas de derecho privado o por regímenes especiales de contratación. En consecuencia, la denominación que adopte cada entidad para sus mecanismos de selección no resulta determinante para efectos de la aplicación de la restricción, siendo relevante, en cambio, el análisis material del procedimiento utilizado.</w:t>
      </w:r>
    </w:p>
    <w:p w14:paraId="35F14AC1" w14:textId="77777777" w:rsidR="00861DDF" w:rsidRPr="001654C3" w:rsidRDefault="00861DDF" w:rsidP="00861DDF">
      <w:pPr>
        <w:spacing w:before="120" w:after="120" w:line="276" w:lineRule="auto"/>
        <w:ind w:firstLine="709"/>
        <w:jc w:val="both"/>
        <w:rPr>
          <w:rFonts w:ascii="Verdana" w:eastAsia="Times New Roman" w:hAnsi="Verdana" w:cs="Arial"/>
          <w:color w:val="1A1A1A"/>
          <w:lang w:eastAsia="es-ES_tradnl"/>
        </w:rPr>
      </w:pPr>
      <w:r w:rsidRPr="001654C3">
        <w:rPr>
          <w:rFonts w:ascii="Verdana" w:eastAsia="Times New Roman" w:hAnsi="Verdana" w:cs="Arial"/>
          <w:color w:val="1A1A1A"/>
          <w:lang w:eastAsia="es-ES_tradnl"/>
        </w:rPr>
        <w:lastRenderedPageBreak/>
        <w:t>Así, durante el período de restricción previsto en el artículo 33 de la Ley 996 de 2005, las empresas de servicios públicos domiciliarios oficiales podrán adelantar procesos de selección que involucren mecanismos abiertos, competitivos y con convocatoria pública que garanticen la participación de una pluralidad de oferentes, sin perjuicio de la aplicación de los principios que rigen la función administrativa y la gestión contractual. Por el contrario, se encuentra proscrita la celebración de contratos mediante procedimientos de selección directa, salvo que el objeto contractual se enmarque de manera estricta en alguna de las excepciones previstas de forma taxativa por el legislador.</w:t>
      </w:r>
    </w:p>
    <w:p w14:paraId="04CDA363" w14:textId="77777777" w:rsidR="00861DDF" w:rsidRPr="001654C3" w:rsidRDefault="00861DDF" w:rsidP="00861DDF">
      <w:pPr>
        <w:spacing w:before="120" w:after="120" w:line="276" w:lineRule="auto"/>
        <w:ind w:firstLine="709"/>
        <w:jc w:val="both"/>
        <w:rPr>
          <w:rFonts w:ascii="Verdana" w:eastAsia="Times New Roman" w:hAnsi="Verdana" w:cs="Arial"/>
          <w:color w:val="1A1A1A"/>
          <w:lang w:eastAsia="es-ES_tradnl"/>
        </w:rPr>
      </w:pPr>
      <w:r w:rsidRPr="001654C3">
        <w:rPr>
          <w:rFonts w:ascii="Verdana" w:eastAsia="Times New Roman" w:hAnsi="Verdana" w:cs="Arial"/>
          <w:color w:val="1A1A1A"/>
          <w:lang w:eastAsia="es-ES_tradnl"/>
        </w:rPr>
        <w:t>En relación con dichas excepciones, es necesario precisar que su aplicación debe evaluarse en cada caso atendiendo a la naturaleza del objeto contractual y a la finalidad que persigue, en concordancia con los fines de la Ley de Garantías Electorales. En particular, tratándose de contratos utilizados para la reconstrucción de infraestructura energética y de comunicaciones, su procedencia se circunscribe a los eventos expresamente previstos en la norma, esto es, cuando dicha infraestructura haya sido objeto de atentados, acciones terroristas, desastres naturales o situaciones de fuerza mayor, de manera que no se desnaturalice el carácter excepcional de la habilitación legal ni se afecte el principio de igualdad que la ley busca salvaguardar.</w:t>
      </w:r>
    </w:p>
    <w:p w14:paraId="6001B533" w14:textId="77777777" w:rsidR="00861DDF" w:rsidRDefault="00861DDF" w:rsidP="00861DDF">
      <w:pPr>
        <w:spacing w:before="120" w:after="0" w:line="276" w:lineRule="auto"/>
        <w:ind w:firstLine="709"/>
        <w:jc w:val="both"/>
        <w:rPr>
          <w:rFonts w:ascii="Verdana" w:eastAsia="Times New Roman" w:hAnsi="Verdana" w:cs="Arial"/>
          <w:color w:val="1A1A1A"/>
          <w:lang w:eastAsia="es-ES_tradnl"/>
        </w:rPr>
      </w:pPr>
      <w:r w:rsidRPr="001654C3">
        <w:rPr>
          <w:rFonts w:ascii="Verdana" w:eastAsia="Times New Roman" w:hAnsi="Verdana" w:cs="Arial"/>
          <w:color w:val="1A1A1A"/>
          <w:lang w:eastAsia="es-ES_tradnl"/>
        </w:rPr>
        <w:t>Finalmente, debe resaltarse que la restricción prevista en el artículo 33 de la Ley 996 de 2005 no puede interpretarse de forma tal que conduzca a la paralización de actividades esenciales inherentes a la prestación continua y eficiente de los servicios públicos domiciliarios. No obstante, ello no implica una exoneración general de la prohibición, sino la necesidad de armonizar su aplicación con los fines constitucionales del Estado, correspondiendo a cada entidad, en ejercicio de su autonomía y bajo su responsabilidad, verificar el cumplimiento de los presupuestos legales que permitan adelantar su actividad contractual dentro de los límites fijados por el ordenamiento jurídico.</w:t>
      </w:r>
    </w:p>
    <w:p w14:paraId="3C91541F" w14:textId="77777777" w:rsidR="00861DDF" w:rsidRDefault="00861DDF" w:rsidP="00861DDF">
      <w:pPr>
        <w:spacing w:after="0" w:line="276" w:lineRule="auto"/>
        <w:ind w:firstLine="709"/>
        <w:jc w:val="both"/>
        <w:rPr>
          <w:rFonts w:ascii="Verdana" w:eastAsia="Times New Roman" w:hAnsi="Verdana" w:cs="Arial"/>
          <w:color w:val="1A1A1A"/>
          <w:lang w:eastAsia="es-ES_tradnl"/>
        </w:rPr>
      </w:pPr>
    </w:p>
    <w:p w14:paraId="2E550700" w14:textId="77777777" w:rsidR="00861DDF" w:rsidRPr="00667CD6" w:rsidRDefault="00861DDF" w:rsidP="00861DDF">
      <w:pPr>
        <w:spacing w:after="120" w:line="276" w:lineRule="auto"/>
        <w:jc w:val="both"/>
        <w:rPr>
          <w:rFonts w:ascii="Verdana" w:hAnsi="Verdana" w:cs="Arial"/>
          <w:lang w:val="es-ES"/>
        </w:rPr>
      </w:pPr>
      <w:r>
        <w:rPr>
          <w:rFonts w:ascii="Verdana" w:eastAsia="Times New Roman" w:hAnsi="Verdana" w:cs="Arial"/>
          <w:color w:val="1A1A1A"/>
          <w:lang w:eastAsia="es-ES_tradnl"/>
        </w:rPr>
        <w:t xml:space="preserve">vi. </w:t>
      </w:r>
      <w:r w:rsidRPr="00667CD6">
        <w:rPr>
          <w:rFonts w:ascii="Verdana" w:hAnsi="Verdana" w:cs="Arial"/>
          <w:lang w:val="es-ES"/>
        </w:rPr>
        <w:t xml:space="preserve">Ahora bien, respecto del alcance del parágrafo </w:t>
      </w:r>
      <w:r w:rsidRPr="00667CD6">
        <w:rPr>
          <w:rFonts w:ascii="Verdana" w:hAnsi="Verdana" w:cs="Arial"/>
        </w:rPr>
        <w:t>del artículo 38 de la Ley 996 de 2005, esta prohibición dispone que “</w:t>
      </w:r>
      <w:r>
        <w:rPr>
          <w:rFonts w:ascii="Verdana" w:hAnsi="Verdana" w:cs="Arial"/>
        </w:rPr>
        <w:t>L</w:t>
      </w:r>
      <w:r w:rsidRPr="00667CD6">
        <w:rPr>
          <w:rFonts w:ascii="Verdana" w:hAnsi="Verdana" w:cs="Arial"/>
        </w:rPr>
        <w:t xml:space="preserve">os Gobernadores, </w:t>
      </w:r>
      <w:proofErr w:type="gramStart"/>
      <w:r w:rsidRPr="00667CD6">
        <w:rPr>
          <w:rFonts w:ascii="Verdana" w:hAnsi="Verdana" w:cs="Arial"/>
        </w:rPr>
        <w:t>Alcaldes</w:t>
      </w:r>
      <w:proofErr w:type="gramEnd"/>
      <w:r w:rsidRPr="00667CD6">
        <w:rPr>
          <w:rFonts w:ascii="Verdana" w:hAnsi="Verdana" w:cs="Arial"/>
        </w:rPr>
        <w:t xml:space="preserve"> Municipales y/o Distritales, </w:t>
      </w:r>
      <w:proofErr w:type="gramStart"/>
      <w:r w:rsidRPr="00667CD6">
        <w:rPr>
          <w:rFonts w:ascii="Verdana" w:hAnsi="Verdana" w:cs="Arial"/>
        </w:rPr>
        <w:t>Secretarios</w:t>
      </w:r>
      <w:proofErr w:type="gramEnd"/>
      <w:r w:rsidRPr="00667CD6">
        <w:rPr>
          <w:rFonts w:ascii="Verdana" w:hAnsi="Verdana" w:cs="Arial"/>
        </w:rPr>
        <w:t xml:space="preserve">, Gerentes y directores de Entidades Descentralizadas del orden Municipal, Departamental o Distrital, dentro de los cuatro (4) meses anteriores a las elecciones, no podrán celebrar </w:t>
      </w:r>
      <w:r w:rsidRPr="00DC2873">
        <w:rPr>
          <w:rFonts w:ascii="Verdana" w:hAnsi="Verdana" w:cs="Arial"/>
        </w:rPr>
        <w:t>convenios interadministrativos para la ejecución de recursos públicos</w:t>
      </w:r>
      <w:r w:rsidRPr="00667CD6">
        <w:rPr>
          <w:rFonts w:ascii="Verdana" w:hAnsi="Verdana" w:cs="Arial"/>
        </w:rPr>
        <w:t>”.</w:t>
      </w:r>
      <w:r w:rsidRPr="00667CD6">
        <w:rPr>
          <w:rFonts w:ascii="Verdana" w:eastAsia="Times New Roman" w:hAnsi="Verdana" w:cs="Arial"/>
          <w:lang w:val="es-MX" w:eastAsia="x-none"/>
        </w:rPr>
        <w:t xml:space="preserve"> </w:t>
      </w:r>
    </w:p>
    <w:p w14:paraId="0EFA4765" w14:textId="77777777" w:rsidR="00861DDF" w:rsidRPr="00667CD6" w:rsidRDefault="00861DDF" w:rsidP="00861DDF">
      <w:pPr>
        <w:spacing w:after="120" w:line="276" w:lineRule="auto"/>
        <w:ind w:firstLine="709"/>
        <w:jc w:val="both"/>
        <w:rPr>
          <w:rFonts w:ascii="Verdana" w:hAnsi="Verdana" w:cs="Arial"/>
          <w:lang w:eastAsia="es-ES"/>
        </w:rPr>
      </w:pPr>
      <w:r w:rsidRPr="2035D652">
        <w:rPr>
          <w:rFonts w:ascii="Verdana" w:eastAsia="Times New Roman" w:hAnsi="Verdana" w:cs="Arial"/>
          <w:lang w:val="es-ES" w:eastAsia="es-ES"/>
        </w:rPr>
        <w:t xml:space="preserve">Para tales efectos, debe precisarse que </w:t>
      </w:r>
      <w:r w:rsidRPr="00667CD6">
        <w:rPr>
          <w:rFonts w:ascii="Verdana" w:eastAsia="Times New Roman" w:hAnsi="Verdana" w:cs="Arial"/>
          <w:color w:val="000000" w:themeColor="text1"/>
          <w:lang w:val="es-ES" w:eastAsia="es-CO"/>
        </w:rPr>
        <w:t xml:space="preserve">los contratos o convenios interadministrativos están determinados por un criterio orgánico, pues es </w:t>
      </w:r>
      <w:r w:rsidRPr="00667CD6">
        <w:rPr>
          <w:rFonts w:ascii="Verdana" w:eastAsia="Times New Roman" w:hAnsi="Verdana" w:cs="Arial"/>
          <w:color w:val="000000" w:themeColor="text1"/>
          <w:lang w:val="es-ES" w:eastAsia="es-CO"/>
        </w:rPr>
        <w:lastRenderedPageBreak/>
        <w:t xml:space="preserve">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7"/>
      </w:r>
      <w:r w:rsidRPr="00667CD6">
        <w:rPr>
          <w:rFonts w:ascii="Verdana" w:hAnsi="Verdana" w:cs="Arial"/>
          <w:lang w:eastAsia="es-ES"/>
        </w:rPr>
        <w:t>.</w:t>
      </w:r>
    </w:p>
    <w:p w14:paraId="3291B09B" w14:textId="77777777" w:rsidR="00861DDF" w:rsidRPr="00667CD6" w:rsidRDefault="00861DDF" w:rsidP="00861DDF">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A30E5A8" w14:textId="77777777" w:rsidR="00861DDF" w:rsidRPr="00667CD6" w:rsidRDefault="00861DDF" w:rsidP="00861DDF">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28"/>
      </w:r>
      <w:r w:rsidRPr="2035D652">
        <w:rPr>
          <w:rFonts w:ascii="Verdana" w:hAnsi="Verdana" w:cs="Arial"/>
          <w:lang w:val="es-ES"/>
        </w:rPr>
        <w:t>. Nótese que, en este caso, lo que cambia es la modalidad de selección y no la naturaleza de contrato interadministrativo.</w:t>
      </w:r>
    </w:p>
    <w:p w14:paraId="60E70C1C" w14:textId="77777777" w:rsidR="00861DDF" w:rsidRPr="00667CD6" w:rsidRDefault="00861DDF" w:rsidP="00861DDF">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29"/>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1AC88336" w14:textId="77777777" w:rsidR="00861DDF" w:rsidRPr="00667CD6" w:rsidRDefault="00861DDF" w:rsidP="00861DDF">
      <w:pPr>
        <w:spacing w:before="120" w:after="0" w:line="276" w:lineRule="auto"/>
        <w:ind w:firstLine="708"/>
        <w:jc w:val="both"/>
        <w:rPr>
          <w:rFonts w:ascii="Verdana" w:hAnsi="Verdana"/>
          <w:sz w:val="24"/>
          <w:szCs w:val="24"/>
          <w:lang w:eastAsia="es-CO"/>
        </w:rPr>
      </w:pPr>
      <w:r w:rsidRPr="2035D652">
        <w:rPr>
          <w:rFonts w:ascii="Verdana" w:hAnsi="Verdana" w:cs="Arial"/>
          <w:lang w:val="es-ES"/>
        </w:rPr>
        <w:t xml:space="preserve">Sobre este aspecto, se resalta que la Corte Constitucional señaló en la Sentencia C–671 de 2015 que “Lo que hace interadministrativo a un contrato o convenio no es el procedimiento de selección aplicable, sino la calidad de los </w:t>
      </w:r>
      <w:r w:rsidRPr="2035D652">
        <w:rPr>
          <w:rFonts w:ascii="Verdana" w:hAnsi="Verdana" w:cs="Arial"/>
          <w:lang w:val="es-ES"/>
        </w:rPr>
        <w:lastRenderedPageBreak/>
        <w:t>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0"/>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195E7DD2" w14:textId="77777777" w:rsidR="00861DDF" w:rsidRPr="00667CD6" w:rsidRDefault="00861DDF" w:rsidP="00861DDF">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w:t>
      </w:r>
      <w:proofErr w:type="gramStart"/>
      <w:r w:rsidRPr="00667CD6">
        <w:rPr>
          <w:rFonts w:ascii="Verdana" w:eastAsia="Times New Roman" w:hAnsi="Verdana" w:cs="Arial"/>
          <w:lang w:val="es-MX" w:eastAsia="es-CO"/>
        </w:rPr>
        <w:t>Alcaldes</w:t>
      </w:r>
      <w:proofErr w:type="gramEnd"/>
      <w:r w:rsidRPr="00667CD6">
        <w:rPr>
          <w:rFonts w:ascii="Verdana" w:eastAsia="Times New Roman" w:hAnsi="Verdana" w:cs="Arial"/>
          <w:lang w:val="es-MX" w:eastAsia="es-CO"/>
        </w:rPr>
        <w:t xml:space="preserve">, Gobernadores, </w:t>
      </w:r>
      <w:proofErr w:type="gramStart"/>
      <w:r w:rsidRPr="00667CD6">
        <w:rPr>
          <w:rFonts w:ascii="Verdana" w:eastAsia="Times New Roman" w:hAnsi="Verdana" w:cs="Arial"/>
          <w:lang w:val="es-MX" w:eastAsia="es-CO"/>
        </w:rPr>
        <w:t>Secretarios</w:t>
      </w:r>
      <w:proofErr w:type="gramEnd"/>
      <w:r w:rsidRPr="00667CD6">
        <w:rPr>
          <w:rFonts w:ascii="Verdana" w:eastAsia="Times New Roman" w:hAnsi="Verdana" w:cs="Arial"/>
          <w:lang w:val="es-MX" w:eastAsia="es-CO"/>
        </w:rPr>
        <w:t xml:space="preserve">, Gerentes y </w:t>
      </w:r>
      <w:proofErr w:type="gramStart"/>
      <w:r w:rsidRPr="00667CD6">
        <w:rPr>
          <w:rFonts w:ascii="Verdana" w:eastAsia="Times New Roman" w:hAnsi="Verdana" w:cs="Arial"/>
          <w:lang w:val="es-MX" w:eastAsia="es-CO"/>
        </w:rPr>
        <w:t>Directores</w:t>
      </w:r>
      <w:proofErr w:type="gramEnd"/>
      <w:r w:rsidRPr="00667CD6">
        <w:rPr>
          <w:rFonts w:ascii="Verdana" w:eastAsia="Times New Roman" w:hAnsi="Verdana" w:cs="Arial"/>
          <w:lang w:val="es-MX" w:eastAsia="es-CO"/>
        </w:rPr>
        <w:t xml:space="preserve">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590D948A" w14:textId="77777777" w:rsidR="00861DDF" w:rsidRDefault="00861DDF" w:rsidP="00861DDF">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Respecto del alcance de esta prohibición la Circular Externa No. 006 de 2025 expedida por la ANCP</w:t>
      </w:r>
      <w:r>
        <w:rPr>
          <w:rFonts w:ascii="Verdana" w:eastAsia="Times New Roman" w:hAnsi="Verdana" w:cs="Arial"/>
          <w:lang w:val="es-MX" w:eastAsia="es-CO"/>
        </w:rPr>
        <w:t>-</w:t>
      </w:r>
      <w:r w:rsidRPr="00667CD6">
        <w:rPr>
          <w:rFonts w:ascii="Verdana" w:eastAsia="Times New Roman" w:hAnsi="Verdana" w:cs="Arial"/>
          <w:lang w:val="es-MX" w:eastAsia="es-CO"/>
        </w:rPr>
        <w:t xml:space="preserve">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5163A3">
        <w:rPr>
          <w:rFonts w:ascii="Verdana" w:eastAsia="Times New Roman" w:hAnsi="Verdana" w:cs="Arial"/>
          <w:lang w:eastAsia="es-CO"/>
        </w:rPr>
        <w:t>”</w:t>
      </w:r>
      <w:r>
        <w:rPr>
          <w:rFonts w:ascii="Verdana" w:eastAsia="Times New Roman" w:hAnsi="Verdana" w:cs="Arial"/>
          <w:lang w:eastAsia="es-CO"/>
        </w:rPr>
        <w:t xml:space="preserve">. Es decir, no aplica a </w:t>
      </w:r>
      <w:r w:rsidRPr="0004207F">
        <w:rPr>
          <w:rFonts w:ascii="Verdana" w:hAnsi="Verdana" w:cs="Arial"/>
          <w:bCs/>
          <w:lang w:val="es-MX" w:eastAsia="x-none"/>
        </w:rPr>
        <w:t>“[…] l</w:t>
      </w:r>
      <w:r w:rsidRPr="0004207F">
        <w:rPr>
          <w:rFonts w:ascii="Verdana" w:hAnsi="Verdana" w:cs="Arial"/>
          <w:bCs/>
          <w:lang w:eastAsia="x-none"/>
        </w:rPr>
        <w:t>os requeridos para cubrir las emergencias educativas, sanitarias y desastres […]</w:t>
      </w:r>
      <w:r>
        <w:rPr>
          <w:rFonts w:ascii="Verdana" w:hAnsi="Verdana" w:cs="Arial"/>
          <w:bCs/>
          <w:lang w:eastAsia="x-none"/>
        </w:rPr>
        <w:t>”</w:t>
      </w:r>
      <w:r>
        <w:rPr>
          <w:rFonts w:ascii="Verdana" w:hAnsi="Verdana" w:cs="Arial"/>
          <w:bCs/>
          <w:lang w:val="es-MX" w:eastAsia="x-none"/>
        </w:rPr>
        <w:t>.</w:t>
      </w:r>
      <w:r w:rsidRPr="00667CD6">
        <w:rPr>
          <w:rFonts w:ascii="Verdana" w:eastAsia="Times New Roman" w:hAnsi="Verdana" w:cs="Arial"/>
          <w:lang w:eastAsia="es-CO"/>
        </w:rPr>
        <w:t xml:space="preserve"> </w:t>
      </w:r>
      <w:r>
        <w:rPr>
          <w:rFonts w:ascii="Verdana" w:eastAsia="Times New Roman" w:hAnsi="Verdana" w:cs="Arial"/>
          <w:lang w:eastAsia="es-CO"/>
        </w:rPr>
        <w:t>Por lo demás, la norma tampoco contempla excepciones respecto a la contratación con esquemas asociativos territoriales, además de que la restricción rige al margen del contenido de los proyectos que se pretendan ejecutar. Como las excepciones son de reserva legal, tampoco son disponibles por las partes al suscribir el negocio jurídico, por lo que no existe justificación alguna para desconocer la prohibición.</w:t>
      </w:r>
    </w:p>
    <w:p w14:paraId="79085543" w14:textId="77777777" w:rsidR="00861DDF" w:rsidRPr="00667CD6" w:rsidRDefault="00861DDF" w:rsidP="00861DDF">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xml:space="preserve">, sin </w:t>
      </w:r>
      <w:r>
        <w:rPr>
          <w:rFonts w:ascii="Verdana" w:eastAsia="Times New Roman" w:hAnsi="Verdana" w:cs="Arial"/>
          <w:lang w:eastAsia="es-CO"/>
        </w:rPr>
        <w:lastRenderedPageBreak/>
        <w:t>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31"/>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4FBBD118" w14:textId="77777777" w:rsidR="00861DDF" w:rsidRPr="00667CD6" w:rsidRDefault="00861DDF" w:rsidP="00861DDF">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735152F8" w14:textId="77777777" w:rsidR="00861DDF" w:rsidRPr="00667CD6" w:rsidRDefault="00861DDF" w:rsidP="00861DDF">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xml:space="preserve">, vale la pena destacar </w:t>
      </w:r>
      <w:proofErr w:type="gramStart"/>
      <w:r w:rsidRPr="00667CD6">
        <w:rPr>
          <w:rFonts w:ascii="Verdana" w:eastAsia="Times New Roman" w:hAnsi="Verdana" w:cs="Arial"/>
          <w:lang w:eastAsia="es-CO"/>
        </w:rPr>
        <w:t>que</w:t>
      </w:r>
      <w:proofErr w:type="gramEnd"/>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32"/>
      </w:r>
      <w:r w:rsidRPr="00667CD6">
        <w:rPr>
          <w:rFonts w:ascii="Verdana" w:hAnsi="Verdana" w:cs="Arial"/>
        </w:rPr>
        <w:t xml:space="preserve">: </w:t>
      </w:r>
    </w:p>
    <w:p w14:paraId="11E8D85A" w14:textId="77777777" w:rsidR="00861DDF" w:rsidRPr="00667CD6" w:rsidRDefault="00861DDF" w:rsidP="00861DDF">
      <w:pPr>
        <w:spacing w:after="0" w:line="276" w:lineRule="auto"/>
        <w:ind w:firstLine="709"/>
        <w:jc w:val="both"/>
        <w:rPr>
          <w:rFonts w:ascii="Verdana" w:hAnsi="Verdana" w:cs="Arial"/>
        </w:rPr>
      </w:pPr>
    </w:p>
    <w:p w14:paraId="2CC0A9AC" w14:textId="77777777" w:rsidR="00861DDF" w:rsidRPr="00667CD6" w:rsidRDefault="00861DDF" w:rsidP="00861DDF">
      <w:pPr>
        <w:spacing w:after="120" w:line="240" w:lineRule="auto"/>
        <w:ind w:left="709" w:right="709"/>
        <w:jc w:val="both"/>
        <w:rPr>
          <w:rFonts w:ascii="Verdana" w:hAnsi="Verdana" w:cs="Arial"/>
          <w:sz w:val="20"/>
          <w:szCs w:val="20"/>
        </w:rPr>
      </w:pPr>
      <w:r>
        <w:rPr>
          <w:rFonts w:ascii="Verdana" w:hAnsi="Verdana" w:cs="Arial"/>
          <w:sz w:val="20"/>
          <w:szCs w:val="20"/>
          <w:lang w:val="es-MX"/>
        </w:rPr>
        <w:lastRenderedPageBreak/>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7639EF11" w14:textId="77777777" w:rsidR="00861DDF" w:rsidRPr="00667CD6" w:rsidRDefault="00861DDF" w:rsidP="00861DDF">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2795593C" w14:textId="77777777" w:rsidR="00861DDF" w:rsidRPr="00667CD6" w:rsidRDefault="00861DDF" w:rsidP="00861DDF">
      <w:pPr>
        <w:spacing w:after="0" w:line="276" w:lineRule="auto"/>
        <w:ind w:left="709" w:right="709"/>
        <w:jc w:val="both"/>
        <w:rPr>
          <w:rFonts w:ascii="Verdana" w:hAnsi="Verdana" w:cs="Arial"/>
        </w:rPr>
      </w:pPr>
    </w:p>
    <w:p w14:paraId="278D2897" w14:textId="77777777" w:rsidR="00861DDF" w:rsidRPr="00667CD6" w:rsidRDefault="00861DDF" w:rsidP="00861DDF">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6D5B01DE" w14:textId="77777777" w:rsidR="00861DDF" w:rsidRPr="00667CD6" w:rsidRDefault="00861DDF" w:rsidP="00861DDF">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33"/>
      </w:r>
      <w:r w:rsidRPr="00667CD6">
        <w:rPr>
          <w:rFonts w:ascii="Verdana" w:eastAsia="Arial" w:hAnsi="Verdana" w:cs="Arial"/>
          <w:lang w:eastAsia="es-ES" w:bidi="es-ES"/>
        </w:rPr>
        <w:t xml:space="preserve">. Para tales </w:t>
      </w:r>
      <w:r w:rsidRPr="00667CD6">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576399C2" w14:textId="77777777" w:rsidR="00861DDF" w:rsidRDefault="00861DDF" w:rsidP="00861DDF">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230E87E9" w14:textId="77777777" w:rsidR="00861DDF" w:rsidRDefault="00861DDF" w:rsidP="00861DDF">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4"/>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7F80C6B7" w14:textId="77777777" w:rsidR="00861DDF" w:rsidRDefault="00861DDF" w:rsidP="00861DDF">
      <w:pPr>
        <w:spacing w:after="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 xml:space="preserve">en la sentencia expedida </w:t>
      </w:r>
      <w:r w:rsidRPr="2035D652">
        <w:rPr>
          <w:rFonts w:ascii="Verdana" w:eastAsia="Times New Roman" w:hAnsi="Verdana" w:cs="Arial"/>
          <w:lang w:eastAsia="es-CO"/>
        </w:rPr>
        <w:lastRenderedPageBreak/>
        <w:t>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5"/>
      </w:r>
      <w:r>
        <w:rPr>
          <w:rFonts w:ascii="Verdana" w:eastAsia="Times New Roman" w:hAnsi="Verdana" w:cs="Arial"/>
          <w:lang w:eastAsia="es-CO"/>
        </w:rPr>
        <w:t>.</w:t>
      </w:r>
    </w:p>
    <w:p w14:paraId="0A5448DA" w14:textId="77777777" w:rsidR="00861DDF" w:rsidRPr="00916A06" w:rsidRDefault="00861DDF" w:rsidP="00861DDF">
      <w:pPr>
        <w:spacing w:before="120" w:after="120" w:line="276" w:lineRule="auto"/>
        <w:ind w:firstLine="709"/>
        <w:jc w:val="both"/>
        <w:rPr>
          <w:rFonts w:ascii="Verdana" w:eastAsia="Times New Roman" w:hAnsi="Verdana" w:cs="Arial"/>
          <w:color w:val="1A1A1A"/>
          <w:lang w:eastAsia="es-ES_tradnl"/>
        </w:rPr>
      </w:pPr>
      <w:r w:rsidRPr="00916A06">
        <w:rPr>
          <w:rFonts w:ascii="Verdana" w:eastAsia="Times New Roman" w:hAnsi="Verdana" w:cs="Arial"/>
          <w:color w:val="1A1A1A"/>
          <w:lang w:eastAsia="es-ES_tradnl"/>
        </w:rPr>
        <w:t>A partir de las consideraciones precedentes, resulta relevante precisar que la restricción prevista en el parágrafo del artículo 38 de la Ley 996 de 2005 se activa a partir de la concurrencia de los supuestos subjetivos definidos de manera expresa por el legislador, de modo que su aplicación no depende de la naturaleza jurídica, del régimen contractual ni de la forma de organización administrativa de todas las entidades que intervienen en el convenio interadministrativo. En efecto, basta con que una de las partes ostente la calidad de gobernador, alcalde, secretario, gerente o director de una entidad del orden municipal, departamental o distrital, para que la prohibición resulte aplicable, siempre que se cumplan los demás presupuestos normativos.</w:t>
      </w:r>
    </w:p>
    <w:p w14:paraId="5E7B9C19" w14:textId="77777777" w:rsidR="00861DDF" w:rsidRPr="00916A06" w:rsidRDefault="00861DDF" w:rsidP="00861DDF">
      <w:pPr>
        <w:spacing w:before="120" w:after="120" w:line="276" w:lineRule="auto"/>
        <w:ind w:firstLine="709"/>
        <w:jc w:val="both"/>
        <w:rPr>
          <w:rFonts w:ascii="Verdana" w:eastAsia="Times New Roman" w:hAnsi="Verdana" w:cs="Arial"/>
          <w:color w:val="1A1A1A"/>
          <w:lang w:eastAsia="es-ES_tradnl"/>
        </w:rPr>
      </w:pPr>
      <w:r w:rsidRPr="00916A06">
        <w:rPr>
          <w:rFonts w:ascii="Verdana" w:eastAsia="Times New Roman" w:hAnsi="Verdana" w:cs="Arial"/>
          <w:color w:val="1A1A1A"/>
          <w:lang w:eastAsia="es-ES_tradnl"/>
        </w:rPr>
        <w:t>En este sentido, el análisis sobre la procedencia de la restricción no debe centrarse en la denominación del instrumento jurídico ni en el régimen normativo que rige la actividad contractual de las entidades intervinientes, sino en la verificación objetiva de los elementos definidos por la ley, particularmente la tipología negocial y la calidad de los sujetos que concurren en su celebración. Esta precisión adquiere especial relevancia en aquellos eventos en los que una de las partes se rige por un régimen especial de contratación o desarrolla su actividad bajo reglas de derecho privado, circunstancias que, por sí solas, no resultan suficientes para excluir la aplicación de la prohibición.</w:t>
      </w:r>
    </w:p>
    <w:p w14:paraId="4720612B" w14:textId="77777777" w:rsidR="00861DDF" w:rsidRPr="00916A06" w:rsidRDefault="00861DDF" w:rsidP="00861DDF">
      <w:pPr>
        <w:spacing w:before="120" w:after="120" w:line="276" w:lineRule="auto"/>
        <w:ind w:firstLine="709"/>
        <w:jc w:val="both"/>
        <w:rPr>
          <w:rFonts w:ascii="Verdana" w:eastAsia="Times New Roman" w:hAnsi="Verdana" w:cs="Arial"/>
          <w:color w:val="1A1A1A"/>
          <w:lang w:eastAsia="es-ES_tradnl"/>
        </w:rPr>
      </w:pPr>
      <w:r w:rsidRPr="00916A06">
        <w:rPr>
          <w:rFonts w:ascii="Verdana" w:eastAsia="Times New Roman" w:hAnsi="Verdana" w:cs="Arial"/>
          <w:color w:val="1A1A1A"/>
          <w:lang w:eastAsia="es-ES_tradnl"/>
        </w:rPr>
        <w:t>De igual manera, atendiendo al carácter excepcional y restrictivo de las normas que limitan el ejercicio de la función administrativa durante los períodos preelectorales, la interpretación del parágrafo del artículo 38 no puede extenderse a figuras contractuales distintas de aquellas expresamente previstas por el legislador, ni aplicarse de manera analógica a negocios jurídicos que, aun cuando puedan involucrar a entidades públicas o la ejecución de recursos públicos, no correspondan a la noción de convenio interadministrativo en los términos definidos por el ordenamiento jurídico y la jurisprudencia.</w:t>
      </w:r>
    </w:p>
    <w:p w14:paraId="403C92A7" w14:textId="77777777" w:rsidR="00861DDF" w:rsidRDefault="00861DDF" w:rsidP="00861DDF">
      <w:pPr>
        <w:spacing w:before="120" w:after="0" w:line="276" w:lineRule="auto"/>
        <w:ind w:firstLine="709"/>
        <w:jc w:val="both"/>
        <w:rPr>
          <w:rFonts w:ascii="Verdana" w:eastAsia="Times New Roman" w:hAnsi="Verdana" w:cs="Arial"/>
          <w:color w:val="1A1A1A"/>
          <w:lang w:eastAsia="es-ES_tradnl"/>
        </w:rPr>
      </w:pPr>
      <w:r w:rsidRPr="00916A06">
        <w:rPr>
          <w:rFonts w:ascii="Verdana" w:eastAsia="Times New Roman" w:hAnsi="Verdana" w:cs="Arial"/>
          <w:color w:val="1A1A1A"/>
          <w:lang w:eastAsia="es-ES_tradnl"/>
        </w:rPr>
        <w:lastRenderedPageBreak/>
        <w:t>Finalmente, debe tenerse presente que la restricción contenida en el parágrafo del artículo 38 de la Ley 996 de 2005 no contempla excepciones relacionadas con el objeto contractual o con la finalidad perseguida mediante el convenio, razón por la cual su aplicación no puede condicionarse a consideraciones de oportunidad, conveniencia o necesidad administrativa. En consecuencia, la verificación de los supuestos de hecho y de derecho previstos en la norma constituye el único parámetro relevante para determinar la procedencia de la prohibición, en armonía con los principios que orientan la Ley de Garantías Electorales y con el alcance estrictamente normativo de las limitaciones allí establecidas.</w:t>
      </w:r>
    </w:p>
    <w:p w14:paraId="6ED2D6F3" w14:textId="77777777" w:rsidR="00861DDF" w:rsidRDefault="00861DDF" w:rsidP="00861DDF">
      <w:pPr>
        <w:spacing w:after="0" w:line="276" w:lineRule="auto"/>
        <w:ind w:firstLine="709"/>
        <w:jc w:val="both"/>
        <w:rPr>
          <w:rFonts w:ascii="Verdana" w:eastAsia="Times New Roman" w:hAnsi="Verdana" w:cs="Arial"/>
          <w:color w:val="1A1A1A"/>
          <w:lang w:eastAsia="es-ES_tradnl"/>
        </w:rPr>
      </w:pPr>
    </w:p>
    <w:p w14:paraId="298D10A7" w14:textId="77777777" w:rsidR="00861DDF" w:rsidRPr="003A380F" w:rsidRDefault="00861DDF" w:rsidP="00861DDF">
      <w:pPr>
        <w:spacing w:after="120" w:line="276" w:lineRule="auto"/>
        <w:jc w:val="both"/>
        <w:rPr>
          <w:rFonts w:ascii="Verdana" w:eastAsia="Calibri" w:hAnsi="Verdana" w:cs="Arial"/>
          <w:bCs/>
          <w:color w:val="000000" w:themeColor="text1"/>
        </w:rPr>
      </w:pPr>
      <w:proofErr w:type="spellStart"/>
      <w:r w:rsidRPr="003A380F">
        <w:rPr>
          <w:rFonts w:ascii="Verdana" w:eastAsia="Calibri" w:hAnsi="Verdana" w:cs="Arial"/>
          <w:bCs/>
          <w:color w:val="000000" w:themeColor="text1"/>
        </w:rPr>
        <w:t>vi</w:t>
      </w:r>
      <w:r>
        <w:rPr>
          <w:rFonts w:ascii="Verdana" w:eastAsia="Calibri" w:hAnsi="Verdana" w:cs="Arial"/>
          <w:bCs/>
          <w:color w:val="000000" w:themeColor="text1"/>
        </w:rPr>
        <w:t>i</w:t>
      </w:r>
      <w:proofErr w:type="spellEnd"/>
      <w:r w:rsidRPr="003A380F">
        <w:rPr>
          <w:rFonts w:ascii="Verdana" w:eastAsia="Calibri" w:hAnsi="Verdana" w:cs="Arial"/>
          <w:bCs/>
          <w:color w:val="000000" w:themeColor="text1"/>
        </w:rPr>
        <w:t>. 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3C4B18F" w14:textId="77777777" w:rsidR="00861DDF" w:rsidRDefault="00861DDF" w:rsidP="00861DDF">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4BDC7B16" w14:textId="77777777" w:rsidR="00861DDF" w:rsidRPr="00742E8D" w:rsidRDefault="00861DDF" w:rsidP="00861DDF">
      <w:pPr>
        <w:spacing w:after="0" w:line="276" w:lineRule="auto"/>
        <w:ind w:firstLine="708"/>
        <w:jc w:val="both"/>
        <w:rPr>
          <w:rFonts w:ascii="Verdana" w:hAnsi="Verdana" w:cs="Arial"/>
          <w:bCs/>
          <w:color w:val="000000" w:themeColor="text1"/>
        </w:rPr>
      </w:pPr>
    </w:p>
    <w:p w14:paraId="646AE769" w14:textId="77777777" w:rsidR="00861DDF" w:rsidRPr="00A869FE" w:rsidRDefault="00861DDF" w:rsidP="00861DDF">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Referencias normativas:</w:t>
      </w:r>
    </w:p>
    <w:p w14:paraId="743CA0FA" w14:textId="77777777" w:rsidR="00861DDF" w:rsidRPr="00A869FE" w:rsidRDefault="00861DDF" w:rsidP="00861DDF">
      <w:pPr>
        <w:widowControl w:val="0"/>
        <w:autoSpaceDE w:val="0"/>
        <w:autoSpaceDN w:val="0"/>
        <w:spacing w:after="0" w:line="276" w:lineRule="auto"/>
        <w:jc w:val="both"/>
        <w:rPr>
          <w:rFonts w:ascii="Verdana" w:hAnsi="Verdana" w:cs="Aria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61DDF" w:rsidRPr="0003173F" w14:paraId="6D9BC17D" w14:textId="77777777" w:rsidTr="00093697">
        <w:trPr>
          <w:trHeight w:val="491"/>
          <w:jc w:val="center"/>
        </w:trPr>
        <w:tc>
          <w:tcPr>
            <w:tcW w:w="8647" w:type="dxa"/>
          </w:tcPr>
          <w:p w14:paraId="54F87DFF"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Constitución Política, artículo 127 y 365.</w:t>
            </w:r>
          </w:p>
          <w:p w14:paraId="5C067E1F"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Ley 1150 de 2007 artículo 2, numeral 4, literal c.</w:t>
            </w:r>
          </w:p>
          <w:p w14:paraId="002146FA"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Ley 142 de 1994, artículo 14, 15, 17 y 31.</w:t>
            </w:r>
          </w:p>
          <w:p w14:paraId="17ACA4E3" w14:textId="77777777" w:rsidR="00861DDF" w:rsidRPr="00D54DC8" w:rsidRDefault="00861DDF" w:rsidP="00861DDF">
            <w:pPr>
              <w:pStyle w:val="Prrafodelista"/>
              <w:widowControl w:val="0"/>
              <w:numPr>
                <w:ilvl w:val="0"/>
                <w:numId w:val="3"/>
              </w:numPr>
              <w:autoSpaceDE w:val="0"/>
              <w:autoSpaceDN w:val="0"/>
              <w:spacing w:line="276" w:lineRule="auto"/>
              <w:jc w:val="both"/>
              <w:rPr>
                <w:rFonts w:ascii="Verdana" w:hAnsi="Verdana" w:cs="Arial"/>
                <w:sz w:val="20"/>
                <w:szCs w:val="20"/>
                <w:lang w:val="es-ES"/>
              </w:rPr>
            </w:pPr>
            <w:r w:rsidRPr="00D54DC8">
              <w:rPr>
                <w:rFonts w:ascii="Verdana" w:hAnsi="Verdana" w:cs="Arial"/>
                <w:sz w:val="20"/>
                <w:szCs w:val="20"/>
              </w:rPr>
              <w:t>Ley 80 de 1993, artículo 41.</w:t>
            </w:r>
          </w:p>
          <w:p w14:paraId="553E578E"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Ley 489 de 1998, artículo 38 y 68.</w:t>
            </w:r>
          </w:p>
          <w:p w14:paraId="53B1C88B"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lastRenderedPageBreak/>
              <w:t>Ley 996 de 2005, artículo 33 artículo 38 parágrafo</w:t>
            </w:r>
          </w:p>
          <w:p w14:paraId="6667665E"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Gaceta del Congreso de la República No. 71 del 2005.</w:t>
            </w:r>
          </w:p>
          <w:p w14:paraId="27CF173D"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Corte Constitucional, Sentencia C- 1153 de 2005, M.P. Marco Gerardo Monroy Cabra.</w:t>
            </w:r>
          </w:p>
          <w:p w14:paraId="4EBB5900"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045226AD"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5EA26DDF"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 xml:space="preserve">Consejo de Estado, Sala de Consulta y Servicio Civil de fecha 24 de julio de 2013, radicado 2166, </w:t>
            </w:r>
            <w:proofErr w:type="gramStart"/>
            <w:r w:rsidRPr="00D54DC8">
              <w:rPr>
                <w:rFonts w:ascii="Verdana" w:hAnsi="Verdana" w:cs="Arial"/>
                <w:sz w:val="20"/>
                <w:szCs w:val="20"/>
              </w:rPr>
              <w:t>Consejero</w:t>
            </w:r>
            <w:proofErr w:type="gramEnd"/>
            <w:r w:rsidRPr="00D54DC8">
              <w:rPr>
                <w:rFonts w:ascii="Verdana" w:hAnsi="Verdana" w:cs="Arial"/>
                <w:sz w:val="20"/>
                <w:szCs w:val="20"/>
              </w:rPr>
              <w:t xml:space="preserve"> Ponente: Álvaro Namén Vargas.</w:t>
            </w:r>
          </w:p>
          <w:p w14:paraId="185DF89A"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Consejo de Estado. Sala de Consulta y Servicio Civil. Concepto del 17 de febrero de 2015. C.P. William Zambrano Cetina. Radicación No. 11001-03-06-000-2015-00164-00(2269).</w:t>
            </w:r>
          </w:p>
          <w:p w14:paraId="6816F7B2"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Corte Constitucional, en la Sentencia C-1153 del 11 de noviembre de 2005 Magistrado Ponente Marco Gerardo Monroy Cabra</w:t>
            </w:r>
          </w:p>
          <w:p w14:paraId="54295A01"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Consejo de Estado. Sección Tercera. Sentencia de 3 de diciembre de 2007. Radicados: 24.715, 25.206, 25.409, 24.524, 27.834, 25.410, 26.105, 28.244, 31.447 -acumulados-”.</w:t>
            </w:r>
          </w:p>
          <w:p w14:paraId="516EB93F"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 xml:space="preserve">Consejo de Estado Sala de Consulta y Servicio Civil, Concepto 1712 de 2 de febrero de 2006. </w:t>
            </w:r>
          </w:p>
          <w:p w14:paraId="1FC57A68"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Consejo de Estado. Sala de Consulta y Servicio Civil. Concepto del 2 de septiembre de 2013. Radicación número: 11001-03-06-000-2013-00412-00 (2168). Consejero Ponente: Álvaro Namén Vargas.</w:t>
            </w:r>
          </w:p>
          <w:p w14:paraId="75F5BD6C"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Consejo de Estado. Sala de Consulta y Servicio Civil, Concepto de 8 de mayo de 2018. Radicación Número: 11001-03-06-000-2018-00095-00(2382). Consejero Ponente: Álvaro Namén Vargas</w:t>
            </w:r>
          </w:p>
          <w:p w14:paraId="6F70C9AC"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artículo 860 del Código de Comercio</w:t>
            </w:r>
          </w:p>
          <w:p w14:paraId="54F5CBFC"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 xml:space="preserve">Consejo de Estado. Sala de Consulta y Servicio Civil. Concepto del 08 de mayo de 2018. </w:t>
            </w:r>
            <w:proofErr w:type="spellStart"/>
            <w:r w:rsidRPr="00D54DC8">
              <w:rPr>
                <w:rFonts w:ascii="Verdana" w:hAnsi="Verdana" w:cs="Arial"/>
                <w:sz w:val="20"/>
                <w:szCs w:val="20"/>
              </w:rPr>
              <w:t>Exp</w:t>
            </w:r>
            <w:proofErr w:type="spellEnd"/>
            <w:r w:rsidRPr="00D54DC8">
              <w:rPr>
                <w:rFonts w:ascii="Verdana" w:hAnsi="Verdana" w:cs="Arial"/>
                <w:sz w:val="20"/>
                <w:szCs w:val="20"/>
              </w:rPr>
              <w:t>. 2.382. C.P. Álvaro Namén Vargas.</w:t>
            </w:r>
          </w:p>
          <w:p w14:paraId="749F702A"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Consejo de Estado. Sala de Consulta y Servicio Civil. Concepto de 20 de febrero de 2006. Radicación Número: 11001-03-06-000-2006-00026-00(1727). Consejero Ponente: Enrique José Arboleda Perdomo</w:t>
            </w:r>
          </w:p>
          <w:p w14:paraId="239EF17F"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Consejo de Estado. Sala de Consulta y Servicio Civil. Concepto de 6 de abril de 2006. Radicación Número: 11001-03-06-000-2006-00038-00(1738). Consejero Ponente: Enrique José Arboleda Perdomo</w:t>
            </w:r>
          </w:p>
          <w:p w14:paraId="23A360E4"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lang w:val="pt-BR"/>
              </w:rPr>
              <w:t xml:space="preserve">Corte Constitucional. Sentencia C-736 de 2007. </w:t>
            </w:r>
            <w:r w:rsidRPr="00D54DC8">
              <w:rPr>
                <w:rFonts w:ascii="Verdana" w:hAnsi="Verdana" w:cs="Arial"/>
                <w:sz w:val="20"/>
                <w:szCs w:val="20"/>
              </w:rPr>
              <w:t xml:space="preserve">C.P. Marco Gerardo Monroy </w:t>
            </w:r>
            <w:r w:rsidRPr="00D54DC8">
              <w:rPr>
                <w:rFonts w:ascii="Verdana" w:hAnsi="Verdana" w:cs="Arial"/>
                <w:sz w:val="20"/>
                <w:szCs w:val="20"/>
              </w:rPr>
              <w:lastRenderedPageBreak/>
              <w:t>Cabra</w:t>
            </w:r>
          </w:p>
          <w:p w14:paraId="4DC8D6CE"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Consejo de Estado -Sección Tercera-. Sentencia del 21 de febrero de 2025. Radicación Número: 68.280. CP: José Roberto Sáchica Méndez.</w:t>
            </w:r>
          </w:p>
          <w:p w14:paraId="2CE57DB8"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 xml:space="preserve">Consejo de Estado, Sección Tercera. Auto del 4 de octubre de 2024. </w:t>
            </w:r>
            <w:proofErr w:type="spellStart"/>
            <w:r w:rsidRPr="00D54DC8">
              <w:rPr>
                <w:rFonts w:ascii="Verdana" w:hAnsi="Verdana" w:cs="Arial"/>
                <w:sz w:val="20"/>
                <w:szCs w:val="20"/>
              </w:rPr>
              <w:t>Exp</w:t>
            </w:r>
            <w:proofErr w:type="spellEnd"/>
            <w:r w:rsidRPr="00D54DC8">
              <w:rPr>
                <w:rFonts w:ascii="Verdana" w:hAnsi="Verdana" w:cs="Arial"/>
                <w:sz w:val="20"/>
                <w:szCs w:val="20"/>
              </w:rPr>
              <w:t>. 70.313. C.P: Fredy Ibarra Martínez.</w:t>
            </w:r>
          </w:p>
          <w:p w14:paraId="7B14D05C"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Consejo de Estado. Sala de lo Contencioso Administrativo. Sección Tercera. Subsección B. 17 de octubre de 2025. Magistrado Ponente: Fredy Ibarra Martínez</w:t>
            </w:r>
          </w:p>
          <w:p w14:paraId="688A556D" w14:textId="77777777" w:rsidR="00861DDF" w:rsidRPr="00D54DC8" w:rsidRDefault="00861DDF" w:rsidP="00861DDF">
            <w:pPr>
              <w:widowControl w:val="0"/>
              <w:numPr>
                <w:ilvl w:val="0"/>
                <w:numId w:val="3"/>
              </w:numPr>
              <w:autoSpaceDE w:val="0"/>
              <w:autoSpaceDN w:val="0"/>
              <w:spacing w:line="276" w:lineRule="auto"/>
              <w:jc w:val="both"/>
              <w:rPr>
                <w:rFonts w:ascii="Verdana" w:hAnsi="Verdana" w:cs="Arial"/>
                <w:sz w:val="20"/>
                <w:szCs w:val="20"/>
              </w:rPr>
            </w:pPr>
            <w:r w:rsidRPr="00D54DC8">
              <w:rPr>
                <w:rFonts w:ascii="Verdana" w:hAnsi="Verdana" w:cs="Arial"/>
                <w:sz w:val="20"/>
                <w:szCs w:val="20"/>
              </w:rPr>
              <w:t>Circular Externa Única, numeral 16.2, versión 3 del 27 de diciembre de 2023</w:t>
            </w:r>
          </w:p>
          <w:p w14:paraId="1DFC281E" w14:textId="77777777" w:rsidR="00861DDF" w:rsidRPr="0003173F" w:rsidRDefault="00861DDF" w:rsidP="00861DDF">
            <w:pPr>
              <w:widowControl w:val="0"/>
              <w:numPr>
                <w:ilvl w:val="0"/>
                <w:numId w:val="3"/>
              </w:numPr>
              <w:autoSpaceDE w:val="0"/>
              <w:autoSpaceDN w:val="0"/>
              <w:spacing w:line="276" w:lineRule="auto"/>
              <w:jc w:val="both"/>
              <w:rPr>
                <w:rFonts w:ascii="Verdana" w:hAnsi="Verdana" w:cs="Arial"/>
              </w:rPr>
            </w:pPr>
            <w:r w:rsidRPr="00D54DC8">
              <w:rPr>
                <w:rFonts w:ascii="Verdana" w:hAnsi="Verdana" w:cs="Arial"/>
                <w:sz w:val="20"/>
                <w:szCs w:val="20"/>
              </w:rPr>
              <w:t>CLARO SOLAR, Luis. Explicaciones de derecho civil chileno y comparado. Volumen I. Tomo I. Santiago: Editorial Jurídica de Chile, 2013. p. 119. Énfasis dentro del texto.</w:t>
            </w:r>
          </w:p>
        </w:tc>
      </w:tr>
    </w:tbl>
    <w:p w14:paraId="0B5ADA44" w14:textId="77777777" w:rsidR="00861DDF" w:rsidRPr="0003173F" w:rsidRDefault="00861DDF" w:rsidP="00861DDF">
      <w:pPr>
        <w:widowControl w:val="0"/>
        <w:autoSpaceDE w:val="0"/>
        <w:autoSpaceDN w:val="0"/>
        <w:spacing w:after="0" w:line="276" w:lineRule="auto"/>
        <w:jc w:val="both"/>
        <w:rPr>
          <w:rFonts w:ascii="Verdana" w:hAnsi="Verdana" w:cs="Arial"/>
        </w:rPr>
      </w:pPr>
    </w:p>
    <w:p w14:paraId="37740DF0" w14:textId="77777777" w:rsidR="00861DDF" w:rsidRPr="00A869FE" w:rsidRDefault="00861DDF" w:rsidP="00861DDF">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Doctrina de la Agencia Nacional de Contratación Pública:</w:t>
      </w:r>
    </w:p>
    <w:p w14:paraId="7A47829B" w14:textId="77777777" w:rsidR="00861DDF" w:rsidRPr="00A869FE" w:rsidRDefault="00861DDF" w:rsidP="00861DDF">
      <w:pPr>
        <w:widowControl w:val="0"/>
        <w:autoSpaceDE w:val="0"/>
        <w:autoSpaceDN w:val="0"/>
        <w:spacing w:after="0" w:line="276" w:lineRule="auto"/>
        <w:jc w:val="both"/>
        <w:rPr>
          <w:rFonts w:ascii="Verdana" w:hAnsi="Verdana" w:cs="Arial"/>
        </w:rPr>
      </w:pPr>
    </w:p>
    <w:p w14:paraId="246A6D05" w14:textId="77777777" w:rsidR="00861DDF" w:rsidRPr="00B46DB7" w:rsidRDefault="00861DDF" w:rsidP="00861DDF">
      <w:pPr>
        <w:widowControl w:val="0"/>
        <w:autoSpaceDE w:val="0"/>
        <w:autoSpaceDN w:val="0"/>
        <w:spacing w:after="0" w:line="276" w:lineRule="auto"/>
        <w:jc w:val="both"/>
        <w:rPr>
          <w:rFonts w:ascii="Verdana" w:hAnsi="Verdana" w:cs="Arial"/>
          <w:bCs/>
          <w:shd w:val="clear" w:color="auto" w:fill="FFFFFF"/>
        </w:rPr>
      </w:pPr>
      <w:r w:rsidRPr="00BC7FC8">
        <w:rPr>
          <w:rFonts w:ascii="Verdana" w:hAnsi="Verdana" w:cs="Arial"/>
          <w:shd w:val="clear" w:color="auto" w:fill="FFFFFF"/>
        </w:rPr>
        <w:t xml:space="preserve">Esta Subdirección se ha pronunciado sobre la finalidad y propósito de la Ley de Garantías Electorales en los </w:t>
      </w:r>
      <w:r>
        <w:rPr>
          <w:rFonts w:ascii="Verdana" w:hAnsi="Verdana" w:cs="Arial"/>
          <w:shd w:val="clear" w:color="auto" w:fill="FFFFFF"/>
        </w:rPr>
        <w:t>C</w:t>
      </w:r>
      <w:r w:rsidRPr="00BC7FC8">
        <w:rPr>
          <w:rFonts w:ascii="Verdana" w:hAnsi="Verdana" w:cs="Arial"/>
          <w:shd w:val="clear" w:color="auto" w:fill="FFFFFF"/>
        </w:rPr>
        <w:t>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w:t>
      </w:r>
      <w:r>
        <w:rPr>
          <w:rFonts w:ascii="Verdana" w:hAnsi="Verdana" w:cs="Arial"/>
          <w:shd w:val="clear" w:color="auto" w:fill="FFFFFF"/>
        </w:rPr>
        <w:t>, C-1186 del 17 de septiembre de 2025 y C-1350 del 1˚ de octubre de 2025</w:t>
      </w:r>
      <w:r>
        <w:rPr>
          <w:rFonts w:ascii="Verdana" w:hAnsi="Verdana"/>
        </w:rPr>
        <w:t>.</w:t>
      </w:r>
      <w:r>
        <w:rPr>
          <w:rFonts w:ascii="Verdana" w:hAnsi="Verdana" w:cs="Arial"/>
          <w:bCs/>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sidRPr="00B46DB7">
        <w:rPr>
          <w:rFonts w:ascii="Verdana" w:hAnsi="Verdana" w:cs="Arial"/>
          <w:bCs/>
          <w:shd w:val="clear" w:color="auto" w:fill="FFFFFF"/>
        </w:rPr>
        <w:t> </w:t>
      </w:r>
    </w:p>
    <w:p w14:paraId="21E52445" w14:textId="77777777" w:rsidR="00861DDF" w:rsidRDefault="00861DDF" w:rsidP="00861DDF">
      <w:pPr>
        <w:widowControl w:val="0"/>
        <w:autoSpaceDE w:val="0"/>
        <w:autoSpaceDN w:val="0"/>
        <w:spacing w:after="0" w:line="276" w:lineRule="auto"/>
        <w:jc w:val="both"/>
        <w:rPr>
          <w:rFonts w:ascii="Verdana" w:hAnsi="Verdana" w:cs="Arial"/>
          <w:shd w:val="clear" w:color="auto" w:fill="FFFFFF"/>
        </w:rPr>
      </w:pPr>
    </w:p>
    <w:p w14:paraId="6EAD4188" w14:textId="77777777" w:rsidR="00861DDF" w:rsidRPr="00A869FE" w:rsidRDefault="00861DDF" w:rsidP="00861DDF">
      <w:pPr>
        <w:widowControl w:val="0"/>
        <w:autoSpaceDE w:val="0"/>
        <w:autoSpaceDN w:val="0"/>
        <w:spacing w:after="0" w:line="276" w:lineRule="auto"/>
        <w:jc w:val="both"/>
        <w:rPr>
          <w:rFonts w:ascii="Verdana" w:hAnsi="Verdana" w:cs="Arial"/>
          <w:color w:val="FF0000"/>
          <w:shd w:val="clear" w:color="auto" w:fill="FFFFFF"/>
        </w:rPr>
      </w:pPr>
      <w:hyperlink r:id="rId12" w:history="1">
        <w:r w:rsidRPr="00A869FE">
          <w:rPr>
            <w:rFonts w:ascii="Verdana" w:hAnsi="Verdana" w:cs="Arial"/>
            <w:color w:val="0000FF"/>
            <w:u w:val="single"/>
            <w:shd w:val="clear" w:color="auto" w:fill="FFFFFF"/>
          </w:rPr>
          <w:t>https://relatoria.colombiacompra.gov.co/busqueda/conceptos</w:t>
        </w:r>
      </w:hyperlink>
      <w:r w:rsidRPr="00A869FE">
        <w:rPr>
          <w:rFonts w:ascii="Verdana" w:hAnsi="Verdana" w:cs="Arial"/>
          <w:shd w:val="clear" w:color="auto" w:fill="FFFFFF"/>
        </w:rPr>
        <w:t xml:space="preserve">. </w:t>
      </w:r>
      <w:r w:rsidRPr="00A869FE">
        <w:rPr>
          <w:rFonts w:ascii="Verdana" w:hAnsi="Verdana" w:cs="Arial"/>
          <w:color w:val="FF0000"/>
          <w:shd w:val="clear" w:color="auto" w:fill="FFFFFF"/>
        </w:rPr>
        <w:t xml:space="preserve"> </w:t>
      </w:r>
    </w:p>
    <w:p w14:paraId="07B7EFC7" w14:textId="77777777" w:rsidR="00861DDF" w:rsidRPr="00A869FE" w:rsidRDefault="00861DDF" w:rsidP="00861DDF">
      <w:pPr>
        <w:widowControl w:val="0"/>
        <w:autoSpaceDE w:val="0"/>
        <w:autoSpaceDN w:val="0"/>
        <w:spacing w:after="0" w:line="276" w:lineRule="auto"/>
        <w:jc w:val="both"/>
        <w:rPr>
          <w:rFonts w:ascii="Verdana" w:hAnsi="Verdana" w:cs="Arial"/>
          <w:color w:val="FF0000"/>
          <w:shd w:val="clear" w:color="auto" w:fill="FFFFFF"/>
        </w:rPr>
      </w:pPr>
    </w:p>
    <w:p w14:paraId="36765207" w14:textId="77777777" w:rsidR="00861DDF" w:rsidRPr="00A869FE" w:rsidRDefault="00861DDF" w:rsidP="00861DDF">
      <w:pPr>
        <w:shd w:val="clear" w:color="auto" w:fill="FFFFFF"/>
        <w:spacing w:after="0" w:line="276" w:lineRule="auto"/>
        <w:jc w:val="both"/>
        <w:rPr>
          <w:rFonts w:ascii="Verdana" w:hAnsi="Verdana"/>
          <w:color w:val="467886"/>
          <w:u w:val="single"/>
        </w:rPr>
      </w:pPr>
      <w:r w:rsidRPr="00A869FE">
        <w:rPr>
          <w:rFonts w:ascii="Verdana" w:hAnsi="Verdana"/>
          <w:color w:val="000000"/>
        </w:rPr>
        <w:t>Te informamos que ya se encuentra disponible la </w:t>
      </w:r>
      <w:r w:rsidRPr="00A869FE">
        <w:rPr>
          <w:rFonts w:ascii="Verdana" w:hAnsi="Verdana"/>
          <w:b/>
          <w:bCs/>
          <w:color w:val="000000"/>
        </w:rPr>
        <w:t>Guía de lineamientos de transparencia y selección objetiva para el departamento de La Guajira – Objetivo sexto constitucional de la Sentencia T-302 del 2017. </w:t>
      </w:r>
      <w:r w:rsidRPr="00A869F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w:t>
      </w:r>
      <w:r w:rsidRPr="00A869FE">
        <w:rPr>
          <w:rFonts w:ascii="Verdana" w:hAnsi="Verdana"/>
          <w:color w:val="000000"/>
        </w:rPr>
        <w:lastRenderedPageBreak/>
        <w:t xml:space="preserve">por la situación de vulneración masiva y recurrente de los derechos fundamentales de los niños y de las niñas del Pueblo </w:t>
      </w:r>
      <w:proofErr w:type="spellStart"/>
      <w:r w:rsidRPr="00A869FE">
        <w:rPr>
          <w:rFonts w:ascii="Verdana" w:hAnsi="Verdana"/>
          <w:color w:val="000000"/>
        </w:rPr>
        <w:t>Wayúu</w:t>
      </w:r>
      <w:proofErr w:type="spellEnd"/>
      <w:r w:rsidRPr="00A869FE">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A869FE">
          <w:rPr>
            <w:rFonts w:ascii="Verdana" w:hAnsi="Verdana"/>
            <w:color w:val="0000FF"/>
            <w:u w:val="single"/>
          </w:rPr>
          <w:t>Guía de lineamientos de transparencia y selección objetiva para el departamento de La Guajira – Objetivo sexto constitucional de la Sentencia T-302 del 2017</w:t>
        </w:r>
      </w:hyperlink>
      <w:r w:rsidRPr="00A869FE">
        <w:rPr>
          <w:rFonts w:ascii="Verdana" w:hAnsi="Verdana"/>
          <w:color w:val="000000"/>
          <w:u w:val="single"/>
        </w:rPr>
        <w:t>.</w:t>
      </w:r>
    </w:p>
    <w:p w14:paraId="74359AE0" w14:textId="77777777" w:rsidR="00861DDF" w:rsidRPr="00A869FE" w:rsidRDefault="00861DDF" w:rsidP="00861DDF">
      <w:pPr>
        <w:widowControl w:val="0"/>
        <w:autoSpaceDE w:val="0"/>
        <w:autoSpaceDN w:val="0"/>
        <w:spacing w:after="0" w:line="276" w:lineRule="auto"/>
        <w:jc w:val="both"/>
        <w:rPr>
          <w:rFonts w:ascii="Verdana" w:hAnsi="Verdana" w:cs="Arial"/>
          <w:color w:val="000000" w:themeColor="text1"/>
          <w:shd w:val="clear" w:color="auto" w:fill="FFFFFF"/>
        </w:rPr>
      </w:pPr>
      <w:r w:rsidRPr="00A869FE">
        <w:rPr>
          <w:rFonts w:ascii="Verdana" w:hAnsi="Verdana" w:cs="Arial"/>
          <w:color w:val="000000" w:themeColor="text1"/>
          <w:shd w:val="clear" w:color="auto" w:fill="FFFFFF"/>
        </w:rPr>
        <w:t xml:space="preserve"> </w:t>
      </w:r>
    </w:p>
    <w:p w14:paraId="47837664" w14:textId="77777777" w:rsidR="00861DDF" w:rsidRPr="00A869FE" w:rsidRDefault="00861DDF" w:rsidP="00861DDF">
      <w:pPr>
        <w:spacing w:after="0" w:line="276" w:lineRule="auto"/>
        <w:jc w:val="both"/>
        <w:rPr>
          <w:rFonts w:ascii="Verdana" w:hAnsi="Verdana"/>
        </w:rPr>
      </w:pPr>
      <w:r w:rsidRPr="00A869F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961AD47" w14:textId="77777777" w:rsidR="00861DDF" w:rsidRPr="00A869FE" w:rsidRDefault="00861DDF" w:rsidP="00861DDF">
      <w:pPr>
        <w:spacing w:after="0" w:line="276" w:lineRule="auto"/>
        <w:jc w:val="both"/>
        <w:rPr>
          <w:rFonts w:ascii="Verdana" w:hAnsi="Verdana"/>
        </w:rPr>
      </w:pPr>
    </w:p>
    <w:p w14:paraId="53413331" w14:textId="77777777" w:rsidR="00861DDF" w:rsidRPr="00A869FE" w:rsidRDefault="00861DDF" w:rsidP="00861DDF">
      <w:pPr>
        <w:numPr>
          <w:ilvl w:val="0"/>
          <w:numId w:val="1"/>
        </w:numPr>
        <w:spacing w:after="0" w:line="276" w:lineRule="auto"/>
        <w:contextualSpacing/>
        <w:jc w:val="both"/>
        <w:rPr>
          <w:rFonts w:ascii="Verdana" w:eastAsia="Verdana" w:hAnsi="Verdana" w:cs="Verdana"/>
          <w:color w:val="4472C4" w:themeColor="accent1"/>
          <w:u w:val="single"/>
        </w:rPr>
      </w:pPr>
      <w:r w:rsidRPr="00A869FE">
        <w:rPr>
          <w:rFonts w:ascii="Verdana" w:eastAsia="Verdana" w:hAnsi="Verdana" w:cs="Verdana"/>
        </w:rPr>
        <w:t xml:space="preserve">Línea nacional gratuita o servicio a la ciudadanía (Mesa de servicio): </w:t>
      </w:r>
      <w:r w:rsidRPr="00A869FE">
        <w:rPr>
          <w:rFonts w:ascii="Verdana" w:hAnsi="Verdana"/>
          <w:color w:val="0000FF"/>
          <w:u w:val="single"/>
        </w:rPr>
        <w:t>01800 0520808</w:t>
      </w:r>
    </w:p>
    <w:p w14:paraId="0755B3B3" w14:textId="77777777" w:rsidR="00861DDF" w:rsidRPr="00A869FE" w:rsidRDefault="00861DDF" w:rsidP="00861DDF">
      <w:pPr>
        <w:numPr>
          <w:ilvl w:val="0"/>
          <w:numId w:val="1"/>
        </w:numPr>
        <w:spacing w:after="0" w:line="276" w:lineRule="auto"/>
        <w:contextualSpacing/>
        <w:rPr>
          <w:rFonts w:ascii="Verdana" w:eastAsia="Verdana" w:hAnsi="Verdana" w:cs="Verdana"/>
          <w:color w:val="4472C4" w:themeColor="accent1"/>
          <w:u w:val="single"/>
        </w:rPr>
      </w:pPr>
      <w:r w:rsidRPr="00A869FE">
        <w:rPr>
          <w:rFonts w:ascii="Verdana" w:eastAsia="Verdana" w:hAnsi="Verdana" w:cs="Verdana"/>
        </w:rPr>
        <w:t>Línea en Bogotá (Mesa de servicio</w:t>
      </w:r>
      <w:proofErr w:type="gramStart"/>
      <w:r w:rsidRPr="00A869FE">
        <w:rPr>
          <w:rFonts w:ascii="Verdana" w:eastAsia="Verdana" w:hAnsi="Verdana" w:cs="Verdana"/>
        </w:rPr>
        <w:t>):</w:t>
      </w:r>
      <w:r w:rsidRPr="00A869FE">
        <w:rPr>
          <w:rFonts w:ascii="Verdana" w:hAnsi="Verdana"/>
          <w:color w:val="0000FF"/>
          <w:u w:val="single"/>
        </w:rPr>
        <w:t>+</w:t>
      </w:r>
      <w:proofErr w:type="gramEnd"/>
      <w:r w:rsidRPr="00A869FE">
        <w:rPr>
          <w:rFonts w:ascii="Verdana" w:hAnsi="Verdana"/>
          <w:color w:val="0000FF"/>
          <w:u w:val="single"/>
        </w:rPr>
        <w:t>57 601 7456788</w:t>
      </w:r>
    </w:p>
    <w:p w14:paraId="7DDB85C8" w14:textId="77777777" w:rsidR="00861DDF" w:rsidRPr="00A869FE" w:rsidRDefault="00861DDF" w:rsidP="00861DDF">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Correo de radicación de correspondencia: </w:t>
      </w:r>
      <w:hyperlink r:id="rId14" w:history="1">
        <w:r w:rsidRPr="00A869FE">
          <w:rPr>
            <w:rFonts w:ascii="Verdana" w:eastAsia="Verdana" w:hAnsi="Verdana" w:cs="Verdana"/>
            <w:color w:val="0000FF"/>
            <w:u w:val="single"/>
          </w:rPr>
          <w:t>ventanilladeradicacion@colombiacompra.gov.co</w:t>
        </w:r>
      </w:hyperlink>
    </w:p>
    <w:p w14:paraId="69A84CDA" w14:textId="77777777" w:rsidR="00861DDF" w:rsidRPr="00A869FE" w:rsidRDefault="00861DDF" w:rsidP="00861DDF">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Formulario web para PQRSD: </w:t>
      </w:r>
      <w:hyperlink r:id="rId15" w:history="1">
        <w:r w:rsidRPr="00A869FE">
          <w:rPr>
            <w:rFonts w:ascii="Verdana" w:eastAsia="Verdana" w:hAnsi="Verdana" w:cs="Verdana"/>
            <w:color w:val="0000FF"/>
            <w:u w:val="single"/>
          </w:rPr>
          <w:t>https://www.colombiacompra.gov.co/pqrsd/informacion-importante-antes-de-formular-una-pqrsd</w:t>
        </w:r>
      </w:hyperlink>
    </w:p>
    <w:p w14:paraId="7899497E" w14:textId="77777777" w:rsidR="00861DDF" w:rsidRPr="00A869FE" w:rsidRDefault="00861DDF" w:rsidP="00861DDF">
      <w:pPr>
        <w:spacing w:after="0" w:line="276" w:lineRule="auto"/>
        <w:ind w:left="720"/>
        <w:jc w:val="both"/>
        <w:rPr>
          <w:rFonts w:ascii="Verdana" w:hAnsi="Verdana"/>
        </w:rPr>
      </w:pPr>
    </w:p>
    <w:p w14:paraId="2BA5621B" w14:textId="77777777" w:rsidR="00861DDF" w:rsidRPr="00A869FE" w:rsidRDefault="00861DDF" w:rsidP="00861DDF">
      <w:pPr>
        <w:spacing w:after="0" w:line="276" w:lineRule="auto"/>
        <w:rPr>
          <w:rFonts w:ascii="Verdana" w:hAnsi="Verdana"/>
        </w:rPr>
      </w:pPr>
      <w:r w:rsidRPr="00A869FE">
        <w:rPr>
          <w:rFonts w:ascii="Verdana" w:hAnsi="Verdana"/>
        </w:rPr>
        <w:t xml:space="preserve">Evalúa el servicio que ofrece la Agencia por el canal de atención de PQRSD en el siguiente </w:t>
      </w:r>
      <w:proofErr w:type="gramStart"/>
      <w:r w:rsidRPr="00A869FE">
        <w:rPr>
          <w:rFonts w:ascii="Verdana" w:hAnsi="Verdana"/>
        </w:rPr>
        <w:t>enlace :</w:t>
      </w:r>
      <w:proofErr w:type="gramEnd"/>
      <w:hyperlink r:id="rId16" w:tgtFrame="_blank" w:tooltip="https://forms.office.com/r/pphywvs2sz" w:history="1">
        <w:r w:rsidRPr="00A869FE">
          <w:rPr>
            <w:rFonts w:ascii="Verdana" w:hAnsi="Verdana"/>
            <w:color w:val="0000FF"/>
            <w:u w:val="single"/>
          </w:rPr>
          <w:t>https://forms.office.com/r/pPHyWVs2SZ</w:t>
        </w:r>
      </w:hyperlink>
      <w:r w:rsidRPr="00A869FE">
        <w:rPr>
          <w:rFonts w:ascii="Verdana" w:hAnsi="Verdana"/>
        </w:rPr>
        <w:t xml:space="preserve"> .¡Ayúdanos a mejorar porque el compromiso es de todos!</w:t>
      </w:r>
    </w:p>
    <w:p w14:paraId="02B17F0D" w14:textId="77777777" w:rsidR="00861DDF" w:rsidRPr="00A869FE" w:rsidRDefault="00861DDF" w:rsidP="00861DDF">
      <w:pPr>
        <w:spacing w:after="0" w:line="276" w:lineRule="auto"/>
        <w:rPr>
          <w:rFonts w:ascii="Verdana" w:hAnsi="Verdana"/>
        </w:rPr>
      </w:pPr>
    </w:p>
    <w:p w14:paraId="6E63D602" w14:textId="77777777" w:rsidR="00861DDF" w:rsidRPr="00A869FE" w:rsidRDefault="00861DDF" w:rsidP="00861DDF">
      <w:pPr>
        <w:spacing w:after="0" w:line="276" w:lineRule="auto"/>
        <w:jc w:val="both"/>
        <w:rPr>
          <w:rFonts w:ascii="Verdana" w:hAnsi="Verdana"/>
        </w:rPr>
      </w:pPr>
      <w:r w:rsidRPr="00A869FE">
        <w:rPr>
          <w:rFonts w:ascii="Verdana" w:hAnsi="Verdana"/>
        </w:rPr>
        <w:t xml:space="preserve">Por último, lo invitamos a seguirnos en las redes sociales en las cuales se difunde información institucional: </w:t>
      </w:r>
    </w:p>
    <w:p w14:paraId="07160517" w14:textId="77777777" w:rsidR="00861DDF" w:rsidRPr="00A869FE" w:rsidRDefault="00861DDF" w:rsidP="00861DDF">
      <w:pPr>
        <w:spacing w:after="0" w:line="276" w:lineRule="auto"/>
        <w:jc w:val="both"/>
        <w:rPr>
          <w:rFonts w:ascii="Verdana" w:hAnsi="Verdana"/>
        </w:rPr>
      </w:pPr>
    </w:p>
    <w:p w14:paraId="72CDFF38" w14:textId="77777777" w:rsidR="00861DDF" w:rsidRPr="00A869FE" w:rsidRDefault="00861DDF" w:rsidP="00861DDF">
      <w:pPr>
        <w:spacing w:after="0" w:line="276" w:lineRule="auto"/>
        <w:jc w:val="both"/>
        <w:rPr>
          <w:rFonts w:ascii="Verdana" w:hAnsi="Verdana"/>
        </w:rPr>
      </w:pPr>
      <w:r w:rsidRPr="00A869FE">
        <w:rPr>
          <w:rFonts w:ascii="Verdana" w:hAnsi="Verdana"/>
        </w:rPr>
        <w:t xml:space="preserve">Twitter: </w:t>
      </w:r>
      <w:r w:rsidRPr="00A869FE">
        <w:rPr>
          <w:rFonts w:ascii="Verdana" w:hAnsi="Verdana"/>
          <w:color w:val="0000FF"/>
          <w:u w:val="single"/>
        </w:rPr>
        <w:t>@colombiacompra</w:t>
      </w:r>
      <w:r w:rsidRPr="00A869FE">
        <w:rPr>
          <w:rFonts w:ascii="Verdana" w:hAnsi="Verdana"/>
        </w:rPr>
        <w:t xml:space="preserve"> </w:t>
      </w:r>
    </w:p>
    <w:p w14:paraId="63C50C90" w14:textId="77777777" w:rsidR="00861DDF" w:rsidRPr="00A869FE" w:rsidRDefault="00861DDF" w:rsidP="00861DDF">
      <w:pPr>
        <w:spacing w:after="0" w:line="276" w:lineRule="auto"/>
        <w:jc w:val="both"/>
        <w:rPr>
          <w:rFonts w:ascii="Verdana" w:hAnsi="Verdana"/>
        </w:rPr>
      </w:pPr>
      <w:r w:rsidRPr="00A869FE">
        <w:rPr>
          <w:rFonts w:ascii="Verdana" w:hAnsi="Verdana"/>
        </w:rPr>
        <w:t xml:space="preserve">Facebook: </w:t>
      </w:r>
      <w:proofErr w:type="spellStart"/>
      <w:r w:rsidRPr="00A869FE">
        <w:rPr>
          <w:rFonts w:ascii="Verdana" w:hAnsi="Verdana"/>
          <w:color w:val="0000FF"/>
          <w:u w:val="single"/>
        </w:rPr>
        <w:t>ColombiaCompraEficiente</w:t>
      </w:r>
      <w:proofErr w:type="spellEnd"/>
    </w:p>
    <w:p w14:paraId="197FEF05" w14:textId="77777777" w:rsidR="00861DDF" w:rsidRPr="00A869FE" w:rsidRDefault="00861DDF" w:rsidP="00861DDF">
      <w:pPr>
        <w:spacing w:after="0" w:line="276" w:lineRule="auto"/>
        <w:jc w:val="both"/>
        <w:rPr>
          <w:rFonts w:ascii="Verdana" w:hAnsi="Verdana"/>
        </w:rPr>
      </w:pPr>
      <w:r w:rsidRPr="00A869FE">
        <w:rPr>
          <w:rFonts w:ascii="Verdana" w:hAnsi="Verdana"/>
        </w:rPr>
        <w:t xml:space="preserve">LinkedIn: </w:t>
      </w:r>
      <w:r w:rsidRPr="00A869FE">
        <w:rPr>
          <w:rFonts w:ascii="Verdana" w:hAnsi="Verdana"/>
          <w:color w:val="0000FF"/>
          <w:u w:val="single"/>
        </w:rPr>
        <w:t>Agencia Nacional de Contratación Pública - Colombia Compra Eficiente</w:t>
      </w:r>
      <w:r w:rsidRPr="00A869FE">
        <w:rPr>
          <w:rFonts w:ascii="Verdana" w:hAnsi="Verdana"/>
        </w:rPr>
        <w:t xml:space="preserve"> Instagram: </w:t>
      </w:r>
      <w:r w:rsidRPr="00A869FE">
        <w:rPr>
          <w:rFonts w:ascii="Verdana" w:hAnsi="Verdana"/>
          <w:color w:val="0000FF"/>
          <w:u w:val="single"/>
        </w:rPr>
        <w:t>@colombiacompraeficiente_cce</w:t>
      </w:r>
    </w:p>
    <w:p w14:paraId="5C014C36" w14:textId="77777777" w:rsidR="00861DDF" w:rsidRPr="00A869FE" w:rsidRDefault="00861DDF" w:rsidP="00861DDF">
      <w:pPr>
        <w:widowControl w:val="0"/>
        <w:autoSpaceDE w:val="0"/>
        <w:autoSpaceDN w:val="0"/>
        <w:spacing w:after="0" w:line="276" w:lineRule="auto"/>
        <w:jc w:val="both"/>
        <w:rPr>
          <w:rFonts w:ascii="Verdana" w:hAnsi="Verdana" w:cs="Arial"/>
          <w:color w:val="FF0000"/>
          <w:shd w:val="clear" w:color="auto" w:fill="FFFFFF"/>
        </w:rPr>
      </w:pPr>
      <w:r w:rsidRPr="00A869FE">
        <w:rPr>
          <w:rFonts w:ascii="Verdana" w:hAnsi="Verdana" w:cs="Arial"/>
          <w:color w:val="FF0000"/>
          <w:shd w:val="clear" w:color="auto" w:fill="FFFFFF"/>
        </w:rPr>
        <w:t xml:space="preserve">        </w:t>
      </w:r>
    </w:p>
    <w:p w14:paraId="38D592B4" w14:textId="77777777" w:rsidR="00861DDF" w:rsidRPr="00A869FE" w:rsidRDefault="00861DDF" w:rsidP="00861DDF">
      <w:pPr>
        <w:widowControl w:val="0"/>
        <w:autoSpaceDE w:val="0"/>
        <w:autoSpaceDN w:val="0"/>
        <w:spacing w:after="0" w:line="276" w:lineRule="auto"/>
        <w:jc w:val="both"/>
        <w:rPr>
          <w:rFonts w:ascii="Verdana" w:hAnsi="Verdana" w:cs="Arial"/>
        </w:rPr>
      </w:pPr>
      <w:r w:rsidRPr="00A869FE">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7469CA1F" w14:textId="77777777" w:rsidR="00861DDF" w:rsidRPr="00A869FE" w:rsidRDefault="00861DDF" w:rsidP="00861DDF">
      <w:pPr>
        <w:widowControl w:val="0"/>
        <w:autoSpaceDE w:val="0"/>
        <w:autoSpaceDN w:val="0"/>
        <w:spacing w:after="0" w:line="276" w:lineRule="auto"/>
        <w:jc w:val="both"/>
        <w:rPr>
          <w:rFonts w:ascii="Verdana" w:hAnsi="Verdana" w:cs="Arial"/>
        </w:rPr>
      </w:pPr>
    </w:p>
    <w:p w14:paraId="197BF316" w14:textId="77777777" w:rsidR="00861DDF" w:rsidRPr="00A869FE" w:rsidRDefault="00861DDF" w:rsidP="00861DDF">
      <w:pPr>
        <w:spacing w:after="0" w:line="276" w:lineRule="auto"/>
        <w:rPr>
          <w:rFonts w:ascii="Verdana" w:eastAsia="Times New Roman" w:hAnsi="Verdana" w:cs="Arial"/>
          <w:lang w:eastAsia="es-ES_tradnl"/>
        </w:rPr>
      </w:pPr>
      <w:r w:rsidRPr="00A869FE">
        <w:rPr>
          <w:rFonts w:ascii="Verdana" w:eastAsia="Times New Roman" w:hAnsi="Verdana" w:cs="Arial"/>
          <w:lang w:eastAsia="es-CO"/>
        </w:rPr>
        <w:lastRenderedPageBreak/>
        <w:t>Atentamente,</w:t>
      </w:r>
      <w:r w:rsidRPr="00A869FE">
        <w:rPr>
          <w:rFonts w:ascii="Verdana" w:hAnsi="Verdana" w:cs="Arial"/>
          <w:lang w:eastAsia="es-CO"/>
        </w:rPr>
        <w:t xml:space="preserve"> </w:t>
      </w:r>
      <w:bookmarkEnd w:id="0"/>
    </w:p>
    <w:p w14:paraId="43295527" w14:textId="5A2FFD5A" w:rsidR="00861DDF" w:rsidRPr="00A869FE" w:rsidRDefault="00D22162" w:rsidP="00861DDF">
      <w:pPr>
        <w:spacing w:after="0" w:line="240" w:lineRule="auto"/>
        <w:jc w:val="center"/>
      </w:pPr>
      <w:r w:rsidRPr="004D5C25">
        <w:rPr>
          <w:rFonts w:ascii="Century Gothic" w:hAnsi="Century Gothic"/>
          <w:noProof/>
        </w:rPr>
        <w:drawing>
          <wp:inline distT="0" distB="0" distL="0" distR="0" wp14:anchorId="7E1757BC" wp14:editId="608DB2AB">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61DDF" w:rsidRPr="00A869FE" w14:paraId="6E8602FD" w14:textId="77777777" w:rsidTr="00093697">
        <w:trPr>
          <w:trHeight w:val="315"/>
        </w:trPr>
        <w:tc>
          <w:tcPr>
            <w:tcW w:w="893" w:type="dxa"/>
            <w:vAlign w:val="center"/>
            <w:hideMark/>
          </w:tcPr>
          <w:p w14:paraId="23B4A1EB" w14:textId="77777777" w:rsidR="00861DDF" w:rsidRPr="00A869FE" w:rsidRDefault="00861DDF" w:rsidP="00093697">
            <w:pPr>
              <w:contextualSpacing/>
              <w:rPr>
                <w:rFonts w:ascii="Verdana" w:hAnsi="Verdana" w:cs="Arial"/>
                <w:sz w:val="16"/>
                <w:szCs w:val="16"/>
                <w:lang w:eastAsia="es-ES"/>
              </w:rPr>
            </w:pPr>
            <w:r w:rsidRPr="00A869FE">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3B48BA9" w14:textId="77777777" w:rsidR="00861DDF" w:rsidRPr="00A869FE" w:rsidRDefault="00861DDF" w:rsidP="00093697">
            <w:pPr>
              <w:spacing w:line="256" w:lineRule="auto"/>
              <w:rPr>
                <w:rFonts w:ascii="Verdana" w:eastAsia="Calibri" w:hAnsi="Verdana" w:cs="Times New Roman"/>
                <w:sz w:val="16"/>
                <w:szCs w:val="16"/>
              </w:rPr>
            </w:pPr>
            <w:r w:rsidRPr="00A869FE">
              <w:rPr>
                <w:rFonts w:ascii="Verdana" w:eastAsia="Calibri" w:hAnsi="Verdana" w:cs="Times New Roman"/>
                <w:sz w:val="16"/>
                <w:szCs w:val="16"/>
              </w:rPr>
              <w:t>Sergio Enrique Caballero Lesmes</w:t>
            </w:r>
          </w:p>
          <w:p w14:paraId="205EC3B0" w14:textId="77777777" w:rsidR="00861DDF" w:rsidRPr="00A869FE" w:rsidRDefault="00861DDF" w:rsidP="00093697">
            <w:pPr>
              <w:contextualSpacing/>
              <w:rPr>
                <w:rFonts w:ascii="Verdana" w:eastAsia="Arial" w:hAnsi="Verdana" w:cs="Arial"/>
                <w:sz w:val="16"/>
                <w:szCs w:val="16"/>
              </w:rPr>
            </w:pPr>
            <w:r w:rsidRPr="00A869FE">
              <w:rPr>
                <w:rFonts w:ascii="Verdana" w:eastAsia="Calibri" w:hAnsi="Verdana" w:cs="Times New Roman"/>
                <w:sz w:val="16"/>
                <w:szCs w:val="16"/>
              </w:rPr>
              <w:t>Analista T2 -02 de la Subdirección de Gestión Contractual</w:t>
            </w:r>
          </w:p>
        </w:tc>
      </w:tr>
      <w:tr w:rsidR="00861DDF" w:rsidRPr="00A869FE" w14:paraId="0F262ADC" w14:textId="77777777" w:rsidTr="00093697">
        <w:trPr>
          <w:trHeight w:val="330"/>
        </w:trPr>
        <w:tc>
          <w:tcPr>
            <w:tcW w:w="893" w:type="dxa"/>
            <w:vAlign w:val="center"/>
            <w:hideMark/>
          </w:tcPr>
          <w:p w14:paraId="262D8BC3" w14:textId="77777777" w:rsidR="00861DDF" w:rsidRPr="00A869FE" w:rsidRDefault="00861DDF" w:rsidP="00093697">
            <w:pPr>
              <w:contextualSpacing/>
              <w:rPr>
                <w:rFonts w:ascii="Verdana" w:hAnsi="Verdana" w:cs="Arial"/>
                <w:sz w:val="16"/>
                <w:szCs w:val="16"/>
                <w:lang w:eastAsia="es-ES"/>
              </w:rPr>
            </w:pPr>
            <w:r w:rsidRPr="00A869F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C578863" w14:textId="77777777" w:rsidR="00861DDF" w:rsidRDefault="00861DDF" w:rsidP="00093697">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Diana Lucía Saavedra Castañeda</w:t>
            </w:r>
          </w:p>
          <w:p w14:paraId="051821EC" w14:textId="77777777" w:rsidR="00861DDF" w:rsidRDefault="00861DDF" w:rsidP="00093697">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 xml:space="preserve">Contratista </w:t>
            </w:r>
            <w:r w:rsidRPr="00A869FE">
              <w:rPr>
                <w:rFonts w:ascii="Verdana" w:eastAsia="Calibri" w:hAnsi="Verdana"/>
                <w:sz w:val="16"/>
                <w:szCs w:val="16"/>
              </w:rPr>
              <w:t>de la Subdirección de Gestión Contractual</w:t>
            </w:r>
          </w:p>
          <w:p w14:paraId="09DA1A0D" w14:textId="77777777" w:rsidR="00861DDF" w:rsidRPr="00A869FE" w:rsidRDefault="00861DDF" w:rsidP="00093697">
            <w:pPr>
              <w:pStyle w:val="paragraph"/>
              <w:spacing w:before="0" w:beforeAutospacing="0" w:after="0" w:afterAutospacing="0"/>
              <w:contextualSpacing/>
              <w:textAlignment w:val="baseline"/>
              <w:rPr>
                <w:rFonts w:ascii="Verdana" w:hAnsi="Verdana" w:cs="Segoe UI"/>
                <w:sz w:val="16"/>
                <w:szCs w:val="16"/>
              </w:rPr>
            </w:pPr>
          </w:p>
        </w:tc>
      </w:tr>
      <w:tr w:rsidR="00861DDF" w:rsidRPr="00A869FE" w14:paraId="2C7C1037" w14:textId="77777777" w:rsidTr="00093697">
        <w:trPr>
          <w:trHeight w:val="300"/>
        </w:trPr>
        <w:tc>
          <w:tcPr>
            <w:tcW w:w="893" w:type="dxa"/>
            <w:vAlign w:val="center"/>
          </w:tcPr>
          <w:p w14:paraId="4646EDFF" w14:textId="77777777" w:rsidR="00861DDF" w:rsidRPr="00A869FE" w:rsidRDefault="00861DDF" w:rsidP="00093697">
            <w:pPr>
              <w:contextualSpacing/>
              <w:rPr>
                <w:rFonts w:ascii="Verdana" w:hAnsi="Verdana" w:cs="Arial"/>
                <w:sz w:val="16"/>
                <w:szCs w:val="16"/>
                <w:lang w:eastAsia="es-ES"/>
              </w:rPr>
            </w:pPr>
            <w:r w:rsidRPr="00A869F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A2532B2" w14:textId="77777777" w:rsidR="00861DDF" w:rsidRPr="00A869FE" w:rsidRDefault="00861DDF"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Carolina Quintero Gacharná</w:t>
            </w:r>
          </w:p>
          <w:p w14:paraId="70168F15" w14:textId="77777777" w:rsidR="00861DDF" w:rsidRPr="00A869FE" w:rsidRDefault="00861DDF"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Subdirectora de Gestión Contractual ANCP – CCE</w:t>
            </w:r>
          </w:p>
        </w:tc>
      </w:tr>
    </w:tbl>
    <w:p w14:paraId="2E86E3ED" w14:textId="77777777" w:rsidR="00861DDF" w:rsidRPr="00CE53B2" w:rsidRDefault="00861DDF" w:rsidP="00861DDF"/>
    <w:p w14:paraId="07E2BBB1" w14:textId="77777777" w:rsidR="00861DDF" w:rsidRDefault="00861DDF" w:rsidP="00861DDF"/>
    <w:p w14:paraId="20471872" w14:textId="77777777" w:rsidR="00861DDF" w:rsidRPr="00E17845" w:rsidRDefault="00861DDF" w:rsidP="00861DDF"/>
    <w:p w14:paraId="1B2CC4E3" w14:textId="77777777" w:rsidR="00C24FFE" w:rsidRDefault="00C24FFE"/>
    <w:sectPr w:rsidR="00C24FFE" w:rsidSect="00861DD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526E1B" w14:textId="77777777" w:rsidR="00861DDF" w:rsidRDefault="00861DDF" w:rsidP="00861DDF">
      <w:pPr>
        <w:spacing w:after="0" w:line="240" w:lineRule="auto"/>
      </w:pPr>
      <w:r>
        <w:separator/>
      </w:r>
    </w:p>
  </w:endnote>
  <w:endnote w:type="continuationSeparator" w:id="0">
    <w:p w14:paraId="353FBAB6" w14:textId="77777777" w:rsidR="00861DDF" w:rsidRDefault="00861DDF" w:rsidP="00861D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CD74FD" w14:textId="77777777" w:rsidR="00861DDF" w:rsidRDefault="00861DDF">
    <w:pPr>
      <w:pStyle w:val="Piedepgina"/>
    </w:pPr>
  </w:p>
  <w:p w14:paraId="5C0DE906" w14:textId="77777777" w:rsidR="00861DDF" w:rsidRPr="00174B77" w:rsidRDefault="00861DDF"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1CB1603A" w14:textId="77777777" w:rsidR="00861DDF" w:rsidRDefault="00861DDF"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5BC54AC4" w14:textId="77777777" w:rsidR="00861DDF" w:rsidRPr="00E41027" w:rsidRDefault="00861DDF" w:rsidP="00D520D8">
    <w:pPr>
      <w:spacing w:after="0"/>
      <w:jc w:val="both"/>
      <w:rPr>
        <w:rFonts w:ascii="Verdana" w:hAnsi="Verdana"/>
        <w:sz w:val="18"/>
        <w:szCs w:val="18"/>
      </w:rPr>
    </w:pPr>
    <w:r w:rsidRPr="00E41027">
      <w:rPr>
        <w:rFonts w:ascii="Verdana" w:hAnsi="Verdana"/>
        <w:sz w:val="18"/>
        <w:szCs w:val="18"/>
      </w:rPr>
      <w:t>Mesa de servicio: (+57) 601 7456788</w:t>
    </w:r>
  </w:p>
  <w:p w14:paraId="3AD215CC" w14:textId="77777777" w:rsidR="00861DDF" w:rsidRPr="00200E2B" w:rsidRDefault="00861DDF" w:rsidP="356CEDFD">
    <w:pPr>
      <w:pBdr>
        <w:top w:val="nil"/>
        <w:left w:val="nil"/>
        <w:bottom w:val="nil"/>
        <w:right w:val="nil"/>
        <w:between w:val="nil"/>
      </w:pBdr>
      <w:tabs>
        <w:tab w:val="center" w:pos="4419"/>
        <w:tab w:val="right" w:pos="8838"/>
        <w:tab w:val="center" w:pos="5400"/>
      </w:tabs>
      <w:spacing w:after="0"/>
      <w:jc w:val="right"/>
      <w:rPr>
        <w:lang w:val="pt-BR"/>
      </w:rPr>
    </w:pPr>
    <w:r w:rsidRPr="00200E2B">
      <w:rPr>
        <w:rFonts w:ascii="Century Gothic" w:eastAsia="Geo" w:hAnsi="Century Gothic" w:cs="Geo"/>
        <w:b/>
        <w:bCs/>
        <w:color w:val="000000" w:themeColor="text1"/>
        <w:sz w:val="16"/>
        <w:szCs w:val="16"/>
        <w:lang w:val="pt-BR" w:eastAsia="es-CO"/>
      </w:rPr>
      <w:t xml:space="preserve">Código: </w:t>
    </w:r>
    <w:r w:rsidRPr="00200E2B">
      <w:rPr>
        <w:rFonts w:ascii="Century Gothic" w:eastAsia="Geo" w:hAnsi="Century Gothic" w:cs="Geo"/>
        <w:color w:val="000000" w:themeColor="text1"/>
        <w:sz w:val="16"/>
        <w:szCs w:val="16"/>
        <w:lang w:val="pt-BR" w:eastAsia="es-CO"/>
      </w:rPr>
      <w:t xml:space="preserve">CCE-REC-FM-17 </w:t>
    </w:r>
    <w:r w:rsidRPr="00200E2B">
      <w:rPr>
        <w:rFonts w:ascii="Century Gothic" w:eastAsia="Geo" w:hAnsi="Century Gothic" w:cs="Geo"/>
        <w:b/>
        <w:bCs/>
        <w:color w:val="000000" w:themeColor="text1"/>
        <w:sz w:val="16"/>
        <w:szCs w:val="16"/>
        <w:lang w:val="pt-BR" w:eastAsia="es-CO"/>
      </w:rPr>
      <w:t>V</w:t>
    </w:r>
    <w:r w:rsidRPr="00200E2B">
      <w:rPr>
        <w:rFonts w:ascii="Century Gothic" w:eastAsia="Arial Nova" w:hAnsi="Century Gothic" w:cs="Arial Nova"/>
        <w:b/>
        <w:bCs/>
        <w:color w:val="000000" w:themeColor="text1"/>
        <w:sz w:val="16"/>
        <w:szCs w:val="16"/>
        <w:lang w:val="pt-BR" w:eastAsia="es-CO"/>
      </w:rPr>
      <w:t xml:space="preserve">: </w:t>
    </w:r>
    <w:r w:rsidRPr="00200E2B">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548350" w14:textId="77777777" w:rsidR="00861DDF" w:rsidRDefault="00861DDF" w:rsidP="00861DDF">
      <w:pPr>
        <w:spacing w:after="0" w:line="240" w:lineRule="auto"/>
      </w:pPr>
      <w:r>
        <w:separator/>
      </w:r>
    </w:p>
  </w:footnote>
  <w:footnote w:type="continuationSeparator" w:id="0">
    <w:p w14:paraId="765A58FF" w14:textId="77777777" w:rsidR="00861DDF" w:rsidRDefault="00861DDF" w:rsidP="00861DDF">
      <w:pPr>
        <w:spacing w:after="0" w:line="240" w:lineRule="auto"/>
      </w:pPr>
      <w:r>
        <w:continuationSeparator/>
      </w:r>
    </w:p>
  </w:footnote>
  <w:footnote w:id="1">
    <w:p w14:paraId="30753349" w14:textId="77777777" w:rsidR="00861DDF" w:rsidRPr="001C59AF" w:rsidRDefault="00861DDF" w:rsidP="00861DDF">
      <w:pPr>
        <w:pStyle w:val="Textonotapie"/>
        <w:ind w:firstLine="709"/>
        <w:contextualSpacing/>
        <w:jc w:val="both"/>
        <w:rPr>
          <w:rFonts w:ascii="Verdana" w:hAnsi="Verdana" w:cs="Arial"/>
          <w:sz w:val="12"/>
          <w:szCs w:val="12"/>
        </w:rPr>
      </w:pPr>
      <w:r w:rsidRPr="001C59AF">
        <w:rPr>
          <w:rStyle w:val="Refdenotaalpie"/>
          <w:rFonts w:ascii="Verdana" w:hAnsi="Verdana" w:cs="Arial"/>
          <w:sz w:val="12"/>
          <w:szCs w:val="12"/>
        </w:rPr>
        <w:footnoteRef/>
      </w:r>
      <w:r w:rsidRPr="001C59AF">
        <w:rPr>
          <w:rFonts w:ascii="Verdana" w:hAnsi="Verdana" w:cs="Arial"/>
          <w:sz w:val="12"/>
          <w:szCs w:val="12"/>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B3D43B9" w14:textId="77777777" w:rsidR="00861DDF" w:rsidRPr="001C59AF" w:rsidRDefault="00861DDF" w:rsidP="00861DDF">
      <w:pPr>
        <w:pStyle w:val="Textonotapie"/>
        <w:ind w:firstLine="709"/>
        <w:contextualSpacing/>
        <w:jc w:val="both"/>
        <w:rPr>
          <w:rFonts w:ascii="Verdana" w:hAnsi="Verdana" w:cs="Arial"/>
          <w:sz w:val="12"/>
          <w:szCs w:val="12"/>
        </w:rPr>
      </w:pPr>
      <w:r w:rsidRPr="001C59AF">
        <w:rPr>
          <w:rFonts w:ascii="Verdana" w:hAnsi="Verdana" w:cs="Arial"/>
          <w:sz w:val="12"/>
          <w:szCs w:val="12"/>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185BDFA2" w14:textId="77777777" w:rsidR="00861DDF" w:rsidRPr="001C59AF" w:rsidRDefault="00861DDF" w:rsidP="00861DDF">
      <w:pPr>
        <w:pStyle w:val="Textonotapie"/>
        <w:ind w:firstLine="709"/>
        <w:contextualSpacing/>
        <w:jc w:val="both"/>
        <w:rPr>
          <w:rFonts w:ascii="Verdana" w:hAnsi="Verdana" w:cs="Arial"/>
          <w:sz w:val="12"/>
          <w:szCs w:val="12"/>
        </w:rPr>
      </w:pPr>
      <w:r w:rsidRPr="001C59AF">
        <w:rPr>
          <w:rStyle w:val="Refdenotaalpie"/>
          <w:rFonts w:ascii="Verdana" w:hAnsi="Verdana" w:cs="Arial"/>
          <w:sz w:val="12"/>
          <w:szCs w:val="12"/>
        </w:rPr>
        <w:footnoteRef/>
      </w:r>
      <w:r w:rsidRPr="001C59AF">
        <w:rPr>
          <w:rFonts w:ascii="Verdana" w:hAnsi="Verdana" w:cs="Arial"/>
          <w:sz w:val="12"/>
          <w:szCs w:val="12"/>
        </w:rPr>
        <w:t xml:space="preserve"> Gaceta del Congreso de la República No. 71 del 2005.</w:t>
      </w:r>
    </w:p>
  </w:footnote>
  <w:footnote w:id="3">
    <w:p w14:paraId="179F1203" w14:textId="77777777" w:rsidR="00861DDF" w:rsidRPr="001C59AF" w:rsidRDefault="00861DDF" w:rsidP="00861DDF">
      <w:pPr>
        <w:pStyle w:val="Textonotapie"/>
        <w:ind w:firstLine="709"/>
        <w:contextualSpacing/>
        <w:jc w:val="both"/>
        <w:rPr>
          <w:rFonts w:ascii="Verdana" w:hAnsi="Verdana" w:cs="Arial"/>
          <w:sz w:val="12"/>
          <w:szCs w:val="12"/>
          <w:lang w:val="pt-BR"/>
        </w:rPr>
      </w:pPr>
      <w:r w:rsidRPr="001C59AF">
        <w:rPr>
          <w:rStyle w:val="Refdenotaalpie"/>
          <w:rFonts w:ascii="Verdana" w:hAnsi="Verdana" w:cs="Arial"/>
          <w:sz w:val="12"/>
          <w:szCs w:val="12"/>
        </w:rPr>
        <w:footnoteRef/>
      </w:r>
      <w:r w:rsidRPr="001C59AF">
        <w:rPr>
          <w:rFonts w:ascii="Verdana" w:hAnsi="Verdana" w:cs="Arial"/>
          <w:sz w:val="12"/>
          <w:szCs w:val="12"/>
          <w:lang w:val="pt-BR"/>
        </w:rPr>
        <w:t xml:space="preserve"> Corte Constitucional, Sentencia C- 1153 de 2005, M.P. Marco Gerardo Monroy Cabra.</w:t>
      </w:r>
    </w:p>
  </w:footnote>
  <w:footnote w:id="4">
    <w:p w14:paraId="4C82AD7E" w14:textId="77777777" w:rsidR="00861DDF" w:rsidRPr="001C59AF" w:rsidRDefault="00861DDF" w:rsidP="00861DDF">
      <w:pPr>
        <w:pStyle w:val="Textonotapie"/>
        <w:ind w:firstLine="709"/>
        <w:contextualSpacing/>
        <w:jc w:val="both"/>
        <w:rPr>
          <w:rFonts w:ascii="Verdana" w:hAnsi="Verdana" w:cs="Arial"/>
          <w:sz w:val="12"/>
          <w:szCs w:val="12"/>
          <w:lang w:val="pt-BR"/>
        </w:rPr>
      </w:pPr>
      <w:r w:rsidRPr="001C59AF">
        <w:rPr>
          <w:rStyle w:val="Refdenotaalpie"/>
          <w:rFonts w:ascii="Verdana" w:hAnsi="Verdana" w:cs="Arial"/>
          <w:sz w:val="12"/>
          <w:szCs w:val="12"/>
        </w:rPr>
        <w:footnoteRef/>
      </w:r>
      <w:r w:rsidRPr="001C59AF">
        <w:rPr>
          <w:rFonts w:ascii="Verdana" w:hAnsi="Verdana" w:cs="Arial"/>
          <w:sz w:val="12"/>
          <w:szCs w:val="12"/>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4C46A1A6" w14:textId="77777777" w:rsidR="00861DDF" w:rsidRPr="001C59AF" w:rsidRDefault="00861DDF" w:rsidP="00861DDF">
      <w:pPr>
        <w:pStyle w:val="Textonotapie"/>
        <w:ind w:firstLine="709"/>
        <w:contextualSpacing/>
        <w:jc w:val="both"/>
        <w:rPr>
          <w:rFonts w:ascii="Verdana" w:hAnsi="Verdana" w:cs="Arial"/>
          <w:sz w:val="12"/>
          <w:szCs w:val="12"/>
          <w:lang w:val="es-CO"/>
        </w:rPr>
      </w:pPr>
      <w:r w:rsidRPr="001C59AF">
        <w:rPr>
          <w:rStyle w:val="Refdenotaalpie"/>
          <w:rFonts w:ascii="Verdana" w:hAnsi="Verdana" w:cs="Arial"/>
          <w:sz w:val="12"/>
          <w:szCs w:val="12"/>
        </w:rPr>
        <w:footnoteRef/>
      </w:r>
      <w:r w:rsidRPr="001C59AF">
        <w:rPr>
          <w:rFonts w:ascii="Verdana" w:hAnsi="Verdana" w:cs="Arial"/>
          <w:sz w:val="12"/>
          <w:szCs w:val="12"/>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4CB44634" w14:textId="77777777" w:rsidR="00861DDF" w:rsidRPr="001C59AF" w:rsidRDefault="00861DDF" w:rsidP="00861DDF">
      <w:pPr>
        <w:pStyle w:val="Textonotapie"/>
        <w:ind w:firstLine="709"/>
        <w:contextualSpacing/>
        <w:jc w:val="both"/>
        <w:rPr>
          <w:rFonts w:ascii="Verdana" w:hAnsi="Verdana" w:cs="Arial"/>
          <w:sz w:val="12"/>
          <w:szCs w:val="12"/>
        </w:rPr>
      </w:pPr>
      <w:r w:rsidRPr="001C59AF">
        <w:rPr>
          <w:rStyle w:val="Refdenotaalpie"/>
          <w:rFonts w:ascii="Verdana" w:hAnsi="Verdana" w:cs="Arial"/>
          <w:sz w:val="12"/>
          <w:szCs w:val="12"/>
        </w:rPr>
        <w:footnoteRef/>
      </w:r>
      <w:r w:rsidRPr="001C59AF">
        <w:rPr>
          <w:rFonts w:ascii="Verdana" w:hAnsi="Verdana" w:cs="Arial"/>
          <w:sz w:val="12"/>
          <w:szCs w:val="12"/>
        </w:rPr>
        <w:t xml:space="preserve"> Consejo de Estado, Sala de Consulta y Servicio Civil de fecha 24 de julio de 2013, radicado 2166, Consejero Ponente: Álvaro Namén Vargas.  </w:t>
      </w:r>
    </w:p>
  </w:footnote>
  <w:footnote w:id="7">
    <w:p w14:paraId="3AF61E1F" w14:textId="77777777" w:rsidR="00861DDF" w:rsidRPr="001C59AF" w:rsidRDefault="00861DDF" w:rsidP="00861DDF">
      <w:pPr>
        <w:spacing w:after="0" w:line="240" w:lineRule="auto"/>
        <w:ind w:firstLine="709"/>
        <w:contextualSpacing/>
        <w:jc w:val="both"/>
        <w:rPr>
          <w:rFonts w:ascii="Verdana" w:eastAsia="Times New Roman" w:hAnsi="Verdana" w:cs="Arial"/>
          <w:sz w:val="12"/>
          <w:szCs w:val="12"/>
        </w:rPr>
      </w:pPr>
      <w:r w:rsidRPr="001C59AF">
        <w:rPr>
          <w:rStyle w:val="Refdenotaalpie"/>
          <w:rFonts w:ascii="Verdana" w:hAnsi="Verdana" w:cs="Arial"/>
          <w:sz w:val="12"/>
          <w:szCs w:val="12"/>
        </w:rPr>
        <w:footnoteRef/>
      </w:r>
      <w:r w:rsidRPr="001C59AF">
        <w:rPr>
          <w:rFonts w:ascii="Verdana" w:hAnsi="Verdana" w:cs="Arial"/>
          <w:sz w:val="12"/>
          <w:szCs w:val="12"/>
        </w:rPr>
        <w:t xml:space="preserve"> </w:t>
      </w:r>
      <w:bookmarkStart w:id="6" w:name="33"/>
      <w:r w:rsidRPr="001C59AF">
        <w:rPr>
          <w:rFonts w:ascii="Verdana" w:eastAsia="Calibri" w:hAnsi="Verdana" w:cs="Arial"/>
          <w:color w:val="000000"/>
          <w:sz w:val="12"/>
          <w:szCs w:val="12"/>
        </w:rPr>
        <w:t>“</w:t>
      </w:r>
      <w:r w:rsidRPr="001C59AF">
        <w:rPr>
          <w:rFonts w:ascii="Verdana" w:eastAsia="Times New Roman" w:hAnsi="Verdana" w:cs="Arial"/>
          <w:sz w:val="12"/>
          <w:szCs w:val="12"/>
        </w:rPr>
        <w:t>Artículo 33. Restricciones a la contratación pública.</w:t>
      </w:r>
      <w:bookmarkEnd w:id="6"/>
      <w:r w:rsidRPr="001C59AF">
        <w:rPr>
          <w:rFonts w:ascii="Verdana" w:eastAsia="Times New Roman" w:hAnsi="Verdana" w:cs="Arial"/>
          <w:sz w:val="12"/>
          <w:szCs w:val="12"/>
        </w:rPr>
        <w:t> Durante los cuatro (4) meses anteriores a la elección presidencial y hasta la realización de la elección en la segunda vuelta, si fuere el caso, queda prohibida la contratación directa por parte de todos los entes del Estado.</w:t>
      </w:r>
    </w:p>
    <w:p w14:paraId="0EEE4DF4" w14:textId="77777777" w:rsidR="00861DDF" w:rsidRPr="001C59AF" w:rsidRDefault="00861DDF" w:rsidP="00861DDF">
      <w:pPr>
        <w:spacing w:after="0" w:line="240" w:lineRule="auto"/>
        <w:ind w:firstLine="709"/>
        <w:contextualSpacing/>
        <w:jc w:val="both"/>
        <w:rPr>
          <w:rFonts w:ascii="Verdana" w:eastAsia="Times New Roman" w:hAnsi="Verdana" w:cs="Arial"/>
          <w:sz w:val="12"/>
          <w:szCs w:val="12"/>
        </w:rPr>
      </w:pPr>
      <w:r w:rsidRPr="001C59AF">
        <w:rPr>
          <w:rFonts w:ascii="Verdana" w:eastAsia="Times New Roman" w:hAnsi="Verdana" w:cs="Arial"/>
          <w:sz w:val="12"/>
          <w:szCs w:val="12"/>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C59AF">
        <w:rPr>
          <w:rFonts w:ascii="Verdana" w:eastAsia="Calibri" w:hAnsi="Verdana" w:cs="Arial"/>
          <w:color w:val="000000"/>
          <w:sz w:val="12"/>
          <w:szCs w:val="12"/>
        </w:rPr>
        <w:t>”</w:t>
      </w:r>
      <w:r w:rsidRPr="001C59AF">
        <w:rPr>
          <w:rFonts w:ascii="Verdana" w:eastAsia="Times New Roman" w:hAnsi="Verdana" w:cs="Arial"/>
          <w:sz w:val="12"/>
          <w:szCs w:val="12"/>
        </w:rPr>
        <w:t>.</w:t>
      </w:r>
    </w:p>
  </w:footnote>
  <w:footnote w:id="8">
    <w:p w14:paraId="67313014" w14:textId="77777777" w:rsidR="00861DDF" w:rsidRPr="001C59AF" w:rsidRDefault="00861DDF" w:rsidP="00861DDF">
      <w:pPr>
        <w:pStyle w:val="NormalWeb"/>
        <w:spacing w:before="0" w:beforeAutospacing="0" w:after="0" w:afterAutospacing="0"/>
        <w:ind w:firstLine="709"/>
        <w:contextualSpacing/>
        <w:jc w:val="both"/>
        <w:rPr>
          <w:rFonts w:ascii="Verdana" w:hAnsi="Verdana" w:cs="Arial"/>
          <w:sz w:val="12"/>
          <w:szCs w:val="12"/>
          <w:lang w:val="es-MX"/>
        </w:rPr>
      </w:pPr>
      <w:r w:rsidRPr="001C59AF">
        <w:rPr>
          <w:rStyle w:val="Refdenotaalpie"/>
          <w:rFonts w:ascii="Verdana" w:eastAsiaTheme="majorEastAsia" w:hAnsi="Verdana" w:cs="Arial"/>
          <w:sz w:val="12"/>
          <w:szCs w:val="12"/>
        </w:rPr>
        <w:footnoteRef/>
      </w:r>
      <w:r w:rsidRPr="001C59AF">
        <w:rPr>
          <w:rFonts w:ascii="Verdana" w:hAnsi="Verdana" w:cs="Arial"/>
          <w:sz w:val="12"/>
          <w:szCs w:val="12"/>
        </w:rPr>
        <w:t xml:space="preserve"> </w:t>
      </w:r>
      <w:bookmarkStart w:id="7" w:name="38"/>
      <w:r w:rsidRPr="001C59AF">
        <w:rPr>
          <w:rFonts w:ascii="Verdana" w:eastAsia="Calibri" w:hAnsi="Verdana" w:cs="Arial"/>
          <w:color w:val="000000"/>
          <w:sz w:val="12"/>
          <w:szCs w:val="12"/>
        </w:rPr>
        <w:t>“</w:t>
      </w:r>
      <w:r w:rsidRPr="001C59AF">
        <w:rPr>
          <w:rFonts w:ascii="Verdana" w:hAnsi="Verdana" w:cs="Arial"/>
          <w:sz w:val="12"/>
          <w:szCs w:val="12"/>
          <w:lang w:val="es-MX"/>
        </w:rPr>
        <w:t>Artículo 38. Prohibiciones para los servidores públicos. A los empleados del Estado les está prohibido:</w:t>
      </w:r>
      <w:bookmarkEnd w:id="7"/>
    </w:p>
    <w:p w14:paraId="650E5012" w14:textId="77777777" w:rsidR="00861DDF" w:rsidRPr="001C59AF" w:rsidRDefault="00861DDF" w:rsidP="00861DDF">
      <w:pPr>
        <w:pStyle w:val="NormalWeb"/>
        <w:spacing w:before="0" w:beforeAutospacing="0" w:after="0" w:afterAutospacing="0"/>
        <w:ind w:firstLine="709"/>
        <w:contextualSpacing/>
        <w:jc w:val="both"/>
        <w:rPr>
          <w:rFonts w:ascii="Verdana" w:hAnsi="Verdana" w:cs="Arial"/>
          <w:sz w:val="12"/>
          <w:szCs w:val="12"/>
          <w:lang w:val="es-MX"/>
        </w:rPr>
      </w:pPr>
      <w:r w:rsidRPr="001C59AF">
        <w:rPr>
          <w:rFonts w:ascii="Verdana" w:hAnsi="Verdana" w:cs="Arial"/>
          <w:sz w:val="12"/>
          <w:szCs w:val="12"/>
          <w:lang w:val="es-MX"/>
        </w:rPr>
        <w:t>[…]</w:t>
      </w:r>
    </w:p>
    <w:p w14:paraId="7122B673" w14:textId="77777777" w:rsidR="00861DDF" w:rsidRPr="001C59AF" w:rsidRDefault="00861DDF" w:rsidP="00861DDF">
      <w:pPr>
        <w:pStyle w:val="NormalWeb"/>
        <w:spacing w:before="0" w:beforeAutospacing="0" w:after="0" w:afterAutospacing="0"/>
        <w:ind w:firstLine="709"/>
        <w:contextualSpacing/>
        <w:jc w:val="both"/>
        <w:rPr>
          <w:rFonts w:ascii="Verdana" w:hAnsi="Verdana" w:cs="Arial"/>
          <w:sz w:val="12"/>
          <w:szCs w:val="12"/>
          <w:lang w:val="es-MX"/>
        </w:rPr>
      </w:pPr>
      <w:r w:rsidRPr="001C59AF">
        <w:rPr>
          <w:rStyle w:val="baj"/>
          <w:rFonts w:ascii="Verdana" w:eastAsiaTheme="minorEastAsia" w:hAnsi="Verdana" w:cs="Arial"/>
          <w:sz w:val="12"/>
          <w:szCs w:val="12"/>
          <w:lang w:val="es-MX"/>
        </w:rPr>
        <w:t>Parágrafo.</w:t>
      </w:r>
      <w:r w:rsidRPr="001C59AF">
        <w:rPr>
          <w:rFonts w:ascii="Verdana" w:hAnsi="Verdana" w:cs="Arial"/>
          <w:sz w:val="12"/>
          <w:szCs w:val="12"/>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C59AF">
        <w:rPr>
          <w:rFonts w:ascii="Verdana" w:eastAsia="Calibri" w:hAnsi="Verdana" w:cs="Arial"/>
          <w:color w:val="000000"/>
          <w:sz w:val="12"/>
          <w:szCs w:val="12"/>
        </w:rPr>
        <w:t>”</w:t>
      </w:r>
      <w:r w:rsidRPr="001C59AF">
        <w:rPr>
          <w:rFonts w:ascii="Verdana" w:hAnsi="Verdana" w:cs="Arial"/>
          <w:sz w:val="12"/>
          <w:szCs w:val="12"/>
          <w:lang w:val="es-MX"/>
        </w:rPr>
        <w:t>.</w:t>
      </w:r>
    </w:p>
  </w:footnote>
  <w:footnote w:id="9">
    <w:p w14:paraId="5BBE59E7" w14:textId="77777777" w:rsidR="00861DDF" w:rsidRPr="001C59AF" w:rsidRDefault="00861DDF" w:rsidP="00861DDF">
      <w:pPr>
        <w:spacing w:after="0" w:line="240" w:lineRule="auto"/>
        <w:ind w:left="100" w:right="244" w:firstLine="709"/>
        <w:contextualSpacing/>
        <w:jc w:val="both"/>
        <w:rPr>
          <w:rFonts w:ascii="Verdana" w:hAnsi="Verdana" w:cs="Arial"/>
          <w:sz w:val="12"/>
          <w:szCs w:val="12"/>
          <w:lang w:val="es-ES"/>
        </w:rPr>
      </w:pPr>
      <w:r w:rsidRPr="001C59AF">
        <w:rPr>
          <w:rStyle w:val="Refdenotaalpie"/>
          <w:rFonts w:ascii="Verdana" w:hAnsi="Verdana" w:cs="Arial"/>
          <w:sz w:val="12"/>
          <w:szCs w:val="12"/>
        </w:rPr>
        <w:footnoteRef/>
      </w:r>
      <w:r w:rsidRPr="001C59AF">
        <w:rPr>
          <w:rFonts w:ascii="Verdana" w:hAnsi="Verdana" w:cs="Arial"/>
          <w:sz w:val="12"/>
          <w:szCs w:val="12"/>
        </w:rPr>
        <w:t xml:space="preserve"> Consejo de Estado. Sala de Consulta y Servicio Civil. Concepto del 17 de febrero de 2015. C.P. William Zambrano Cetina. Radicación No. 11001-03-06-000-2015-00164-00(2269).</w:t>
      </w:r>
    </w:p>
  </w:footnote>
  <w:footnote w:id="10">
    <w:p w14:paraId="308BE423" w14:textId="77777777" w:rsidR="00861DDF" w:rsidRPr="001C59AF" w:rsidRDefault="00861DDF" w:rsidP="00861DDF">
      <w:pPr>
        <w:pStyle w:val="Textonotapie"/>
        <w:ind w:right="51" w:firstLine="709"/>
        <w:jc w:val="both"/>
        <w:rPr>
          <w:rFonts w:ascii="Verdana" w:hAnsi="Verdana" w:cs="Arial"/>
          <w:sz w:val="12"/>
          <w:szCs w:val="12"/>
        </w:rPr>
      </w:pPr>
      <w:r w:rsidRPr="001C59AF">
        <w:rPr>
          <w:rStyle w:val="Refdenotaalpie"/>
          <w:rFonts w:ascii="Verdana" w:hAnsi="Verdana" w:cs="Arial"/>
          <w:sz w:val="12"/>
          <w:szCs w:val="12"/>
        </w:rPr>
        <w:footnoteRef/>
      </w:r>
      <w:r w:rsidRPr="001C59AF">
        <w:rPr>
          <w:rFonts w:ascii="Verdana" w:hAnsi="Verdana" w:cs="Arial"/>
          <w:sz w:val="12"/>
          <w:szCs w:val="12"/>
        </w:rPr>
        <w:t xml:space="preserve"> “</w:t>
      </w:r>
      <w:r w:rsidRPr="001C59AF">
        <w:rPr>
          <w:rFonts w:ascii="Verdana" w:hAnsi="Verdana" w:cs="Arial"/>
          <w:sz w:val="12"/>
          <w:szCs w:val="12"/>
          <w:lang w:val="es-ES"/>
        </w:rPr>
        <w:t xml:space="preserve">[25] </w:t>
      </w:r>
      <w:r w:rsidRPr="001C59AF">
        <w:rPr>
          <w:rFonts w:ascii="Verdana" w:hAnsi="Verdana" w:cs="Arial"/>
          <w:sz w:val="12"/>
          <w:szCs w:val="12"/>
        </w:rPr>
        <w:t>Cfr. Consejo de Estado. Sección Tercera. Sentencia de 3 de diciembre de 2007. Radicados: 24.715, 25.206, 25.409, 24.524, 27.834, 25.410, 26.105, 28.244, 31.447 -acumulados-”.</w:t>
      </w:r>
    </w:p>
  </w:footnote>
  <w:footnote w:id="11">
    <w:p w14:paraId="01BBD7CE" w14:textId="77777777" w:rsidR="00861DDF" w:rsidRPr="001C59AF" w:rsidRDefault="00861DDF" w:rsidP="00861DDF">
      <w:pPr>
        <w:pStyle w:val="Textonotapie"/>
        <w:ind w:right="51" w:firstLine="709"/>
        <w:jc w:val="both"/>
        <w:rPr>
          <w:rFonts w:ascii="Verdana" w:hAnsi="Verdana" w:cs="Arial"/>
          <w:sz w:val="12"/>
          <w:szCs w:val="12"/>
        </w:rPr>
      </w:pPr>
      <w:r w:rsidRPr="001C59AF">
        <w:rPr>
          <w:rStyle w:val="Refdenotaalpie"/>
          <w:rFonts w:ascii="Verdana" w:hAnsi="Verdana" w:cs="Arial"/>
          <w:sz w:val="12"/>
          <w:szCs w:val="12"/>
        </w:rPr>
        <w:footnoteRef/>
      </w:r>
      <w:r w:rsidRPr="001C59AF">
        <w:rPr>
          <w:rFonts w:ascii="Verdana" w:hAnsi="Verdana" w:cs="Arial"/>
          <w:sz w:val="12"/>
          <w:szCs w:val="12"/>
        </w:rPr>
        <w:t xml:space="preserve"> “</w:t>
      </w:r>
      <w:r w:rsidRPr="001C59AF">
        <w:rPr>
          <w:rFonts w:ascii="Verdana" w:hAnsi="Verdana" w:cs="Arial"/>
          <w:sz w:val="12"/>
          <w:szCs w:val="12"/>
          <w:lang w:val="es-ES"/>
        </w:rPr>
        <w:t xml:space="preserve">[26] </w:t>
      </w:r>
      <w:r w:rsidRPr="001C59AF">
        <w:rPr>
          <w:rFonts w:ascii="Verdana" w:hAnsi="Verdana" w:cs="Arial"/>
          <w:sz w:val="12"/>
          <w:szCs w:val="12"/>
        </w:rPr>
        <w:t>Al respecto ver el concepto 1712 de 2 de febrero de 2006. Consejo de Estado Sala de Consulta y Servicio Civil”.</w:t>
      </w:r>
    </w:p>
  </w:footnote>
  <w:footnote w:id="12">
    <w:p w14:paraId="1E529915" w14:textId="77777777" w:rsidR="00861DDF" w:rsidRPr="001C59AF" w:rsidRDefault="00861DDF" w:rsidP="00861DDF">
      <w:pPr>
        <w:pStyle w:val="Textonotapie"/>
        <w:ind w:firstLine="709"/>
        <w:jc w:val="both"/>
        <w:rPr>
          <w:rFonts w:ascii="Verdana" w:hAnsi="Verdana" w:cs="Arial"/>
          <w:sz w:val="12"/>
          <w:szCs w:val="12"/>
        </w:rPr>
      </w:pPr>
      <w:r w:rsidRPr="001C59AF">
        <w:rPr>
          <w:rStyle w:val="Refdenotaalpie"/>
          <w:rFonts w:ascii="Verdana" w:hAnsi="Verdana" w:cs="Arial"/>
          <w:sz w:val="12"/>
          <w:szCs w:val="12"/>
        </w:rPr>
        <w:footnoteRef/>
      </w:r>
      <w:r w:rsidRPr="001C59AF">
        <w:rPr>
          <w:rFonts w:ascii="Verdana" w:hAnsi="Verdana" w:cs="Arial"/>
          <w:sz w:val="12"/>
          <w:szCs w:val="12"/>
        </w:rPr>
        <w:t xml:space="preserve"> Consejo de Estado. Sala de Consulta y Servicio Civil. Concepto del 2 de septiembre de 2013. Radicación número: 11001-03-06-000-2013-00412-00 (2168). Consejero Ponente: Álvaro Namén Vargas.</w:t>
      </w:r>
    </w:p>
  </w:footnote>
  <w:footnote w:id="13">
    <w:p w14:paraId="61C78AA7" w14:textId="77777777" w:rsidR="00861DDF" w:rsidRPr="001C59AF" w:rsidRDefault="00861DDF" w:rsidP="00861DDF">
      <w:pPr>
        <w:pStyle w:val="Textonotapie"/>
        <w:ind w:firstLine="709"/>
        <w:jc w:val="both"/>
        <w:rPr>
          <w:rFonts w:ascii="Verdana" w:hAnsi="Verdana" w:cs="Arial"/>
          <w:sz w:val="12"/>
          <w:szCs w:val="12"/>
          <w:lang w:val="es-ES"/>
        </w:rPr>
      </w:pPr>
      <w:r w:rsidRPr="001C59AF">
        <w:rPr>
          <w:rStyle w:val="Refdenotaalpie"/>
          <w:rFonts w:ascii="Verdana" w:hAnsi="Verdana" w:cs="Arial"/>
          <w:sz w:val="12"/>
          <w:szCs w:val="12"/>
        </w:rPr>
        <w:footnoteRef/>
      </w:r>
      <w:r w:rsidRPr="001C59AF">
        <w:rPr>
          <w:rFonts w:ascii="Verdana" w:hAnsi="Verdana" w:cs="Arial"/>
          <w:sz w:val="12"/>
          <w:szCs w:val="12"/>
        </w:rPr>
        <w:t xml:space="preserve"> </w:t>
      </w:r>
      <w:r w:rsidRPr="001C59AF">
        <w:rPr>
          <w:rFonts w:ascii="Verdana" w:hAnsi="Verdana" w:cs="Arial"/>
          <w:sz w:val="12"/>
          <w:szCs w:val="12"/>
          <w:lang w:val="es-ES"/>
        </w:rPr>
        <w:t xml:space="preserve">Artículo 2. </w:t>
      </w:r>
    </w:p>
  </w:footnote>
  <w:footnote w:id="14">
    <w:p w14:paraId="3F1F1936" w14:textId="77777777" w:rsidR="00861DDF" w:rsidRPr="001C59AF" w:rsidRDefault="00861DDF" w:rsidP="00861DDF">
      <w:pPr>
        <w:pStyle w:val="Textonotapie"/>
        <w:ind w:firstLine="709"/>
        <w:jc w:val="both"/>
        <w:rPr>
          <w:rFonts w:ascii="Verdana" w:hAnsi="Verdana" w:cs="Arial"/>
          <w:sz w:val="12"/>
          <w:szCs w:val="12"/>
          <w:lang w:val="es-ES"/>
        </w:rPr>
      </w:pPr>
      <w:r w:rsidRPr="001C59AF">
        <w:rPr>
          <w:rStyle w:val="Refdenotaalpie"/>
          <w:rFonts w:ascii="Verdana" w:hAnsi="Verdana" w:cs="Arial"/>
          <w:sz w:val="12"/>
          <w:szCs w:val="12"/>
        </w:rPr>
        <w:footnoteRef/>
      </w:r>
      <w:r w:rsidRPr="001C59AF">
        <w:rPr>
          <w:rFonts w:ascii="Verdana" w:hAnsi="Verdana" w:cs="Arial"/>
          <w:sz w:val="12"/>
          <w:szCs w:val="12"/>
        </w:rPr>
        <w:t xml:space="preserve"> </w:t>
      </w:r>
      <w:r w:rsidRPr="001C59AF">
        <w:rPr>
          <w:rFonts w:ascii="Verdana" w:hAnsi="Verdana" w:cs="Arial"/>
          <w:i/>
          <w:sz w:val="12"/>
          <w:szCs w:val="12"/>
          <w:lang w:val="es-ES"/>
        </w:rPr>
        <w:t>Ibidem</w:t>
      </w:r>
      <w:r w:rsidRPr="001C59AF">
        <w:rPr>
          <w:rFonts w:ascii="Verdana" w:hAnsi="Verdana" w:cs="Arial"/>
          <w:sz w:val="12"/>
          <w:szCs w:val="12"/>
          <w:lang w:val="es-ES"/>
        </w:rPr>
        <w:t>.</w:t>
      </w:r>
    </w:p>
  </w:footnote>
  <w:footnote w:id="15">
    <w:p w14:paraId="2716FFB7" w14:textId="77777777" w:rsidR="00861DDF" w:rsidRPr="001C59AF" w:rsidRDefault="00861DDF" w:rsidP="00861DDF">
      <w:pPr>
        <w:pStyle w:val="Textonotapie"/>
        <w:ind w:firstLine="709"/>
        <w:jc w:val="both"/>
        <w:rPr>
          <w:rFonts w:ascii="Verdana" w:hAnsi="Verdana" w:cs="Arial"/>
          <w:sz w:val="12"/>
          <w:szCs w:val="12"/>
          <w:lang w:val="es-ES"/>
        </w:rPr>
      </w:pPr>
      <w:r w:rsidRPr="001C59AF">
        <w:rPr>
          <w:rStyle w:val="Refdenotaalpie"/>
          <w:rFonts w:ascii="Verdana" w:hAnsi="Verdana" w:cs="Arial"/>
          <w:sz w:val="12"/>
          <w:szCs w:val="12"/>
        </w:rPr>
        <w:footnoteRef/>
      </w:r>
      <w:r w:rsidRPr="001C59AF">
        <w:rPr>
          <w:rStyle w:val="Refdenotaalpie"/>
          <w:rFonts w:ascii="Verdana" w:hAnsi="Verdana" w:cs="Arial"/>
          <w:sz w:val="12"/>
          <w:szCs w:val="12"/>
        </w:rPr>
        <w:t xml:space="preserve"> </w:t>
      </w:r>
      <w:r w:rsidRPr="001C59AF">
        <w:rPr>
          <w:rFonts w:ascii="Verdana" w:hAnsi="Verdana" w:cs="Arial"/>
          <w:sz w:val="12"/>
          <w:szCs w:val="12"/>
          <w:lang w:val="es-ES"/>
        </w:rPr>
        <w:t xml:space="preserve">“[…] A este respecto, cabe recordar que el artículo 860 del Código de Comercio regula la licitación en el derecho privado”. </w:t>
      </w:r>
    </w:p>
  </w:footnote>
  <w:footnote w:id="16">
    <w:p w14:paraId="385CD3D1" w14:textId="77777777" w:rsidR="00861DDF" w:rsidRPr="001C59AF" w:rsidRDefault="00861DDF" w:rsidP="00861DDF">
      <w:pPr>
        <w:shd w:val="clear" w:color="auto" w:fill="FFFFFF"/>
        <w:spacing w:after="0"/>
        <w:ind w:firstLine="709"/>
        <w:jc w:val="both"/>
        <w:rPr>
          <w:rFonts w:ascii="Verdana" w:hAnsi="Verdana" w:cs="Arial"/>
          <w:sz w:val="12"/>
          <w:szCs w:val="12"/>
          <w:lang w:val="es-ES"/>
        </w:rPr>
      </w:pPr>
      <w:r w:rsidRPr="001C59AF">
        <w:rPr>
          <w:rStyle w:val="Refdenotaalpie"/>
          <w:rFonts w:ascii="Verdana" w:hAnsi="Verdana" w:cs="Arial"/>
          <w:sz w:val="12"/>
          <w:szCs w:val="12"/>
        </w:rPr>
        <w:footnoteRef/>
      </w:r>
      <w:r w:rsidRPr="001C59AF">
        <w:rPr>
          <w:rStyle w:val="Refdenotaalpie"/>
          <w:rFonts w:ascii="Verdana" w:hAnsi="Verdana" w:cs="Arial"/>
          <w:sz w:val="12"/>
          <w:szCs w:val="12"/>
        </w:rPr>
        <w:t xml:space="preserve"> </w:t>
      </w:r>
      <w:r w:rsidRPr="001C59AF">
        <w:rPr>
          <w:rFonts w:ascii="Verdana" w:hAnsi="Verdana" w:cs="Arial"/>
          <w:sz w:val="12"/>
          <w:szCs w:val="12"/>
          <w:lang w:val="es-ES"/>
        </w:rPr>
        <w:t>Consejo de Estado. Sala de Consulta y Servicio Civil, Concepto de 8 de mayo de 2018. Radicación Número: 11001-03-06-000-2018-00095-00(2382). Consejero Ponente: Álvaro Namén Vargas.</w:t>
      </w:r>
    </w:p>
  </w:footnote>
  <w:footnote w:id="17">
    <w:p w14:paraId="5C36C593" w14:textId="77777777" w:rsidR="00861DDF" w:rsidRPr="001C59AF" w:rsidRDefault="00861DDF" w:rsidP="00861DDF">
      <w:pPr>
        <w:pStyle w:val="Textonotapie"/>
        <w:ind w:firstLine="709"/>
        <w:jc w:val="both"/>
        <w:rPr>
          <w:rFonts w:ascii="Verdana" w:hAnsi="Verdana" w:cs="Arial"/>
          <w:sz w:val="12"/>
          <w:szCs w:val="12"/>
        </w:rPr>
      </w:pPr>
      <w:r w:rsidRPr="001C59AF">
        <w:rPr>
          <w:rStyle w:val="Refdenotaalpie"/>
          <w:rFonts w:ascii="Verdana" w:hAnsi="Verdana" w:cs="Arial"/>
          <w:sz w:val="12"/>
          <w:szCs w:val="12"/>
        </w:rPr>
        <w:footnoteRef/>
      </w:r>
      <w:r w:rsidRPr="001C59AF">
        <w:rPr>
          <w:rFonts w:ascii="Verdana" w:hAnsi="Verdana" w:cs="Arial"/>
          <w:sz w:val="12"/>
          <w:szCs w:val="12"/>
        </w:rPr>
        <w:t xml:space="preserve"> Consejo de Estado. Sala de Consulta y Servicio Civil. Concepto del 08 de mayo de 2018. Exp. 2.382. C.P. Álvaro Namén Vargas.</w:t>
      </w:r>
    </w:p>
  </w:footnote>
  <w:footnote w:id="18">
    <w:p w14:paraId="3C4691A3" w14:textId="77777777" w:rsidR="00861DDF" w:rsidRPr="001C59AF" w:rsidRDefault="00861DDF" w:rsidP="00861DDF">
      <w:pPr>
        <w:pStyle w:val="Textonotapie"/>
        <w:ind w:firstLine="709"/>
        <w:jc w:val="both"/>
        <w:rPr>
          <w:rFonts w:ascii="Verdana" w:hAnsi="Verdana" w:cs="Arial"/>
          <w:sz w:val="12"/>
          <w:szCs w:val="12"/>
        </w:rPr>
      </w:pPr>
      <w:r w:rsidRPr="001C59AF">
        <w:rPr>
          <w:rStyle w:val="Refdenotaalpie"/>
          <w:rFonts w:ascii="Verdana" w:hAnsi="Verdana" w:cs="Arial"/>
          <w:sz w:val="12"/>
          <w:szCs w:val="12"/>
        </w:rPr>
        <w:footnoteRef/>
      </w:r>
      <w:r w:rsidRPr="001C59AF">
        <w:rPr>
          <w:rFonts w:ascii="Verdana" w:hAnsi="Verdana" w:cs="Arial"/>
          <w:sz w:val="12"/>
          <w:szCs w:val="12"/>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9">
    <w:p w14:paraId="7A4DF001" w14:textId="77777777" w:rsidR="00861DDF" w:rsidRPr="001C59AF" w:rsidRDefault="00861DDF" w:rsidP="00861DDF">
      <w:pPr>
        <w:spacing w:after="0"/>
        <w:ind w:firstLine="709"/>
        <w:jc w:val="both"/>
        <w:rPr>
          <w:rFonts w:ascii="Verdana" w:hAnsi="Verdana" w:cs="Arial"/>
          <w:sz w:val="12"/>
          <w:szCs w:val="12"/>
        </w:rPr>
      </w:pPr>
      <w:r w:rsidRPr="001C59AF">
        <w:rPr>
          <w:rStyle w:val="Refdenotaalpie"/>
          <w:rFonts w:ascii="Verdana" w:hAnsi="Verdana" w:cs="Arial"/>
          <w:sz w:val="12"/>
          <w:szCs w:val="12"/>
        </w:rPr>
        <w:footnoteRef/>
      </w:r>
      <w:r w:rsidRPr="001C59AF">
        <w:rPr>
          <w:rFonts w:ascii="Verdana" w:hAnsi="Verdana" w:cs="Arial"/>
          <w:sz w:val="12"/>
          <w:szCs w:val="12"/>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0">
    <w:p w14:paraId="1AFD55BE" w14:textId="77777777" w:rsidR="00861DDF" w:rsidRPr="001C59AF" w:rsidRDefault="00861DDF" w:rsidP="00861DDF">
      <w:pPr>
        <w:pStyle w:val="Textonotapie"/>
        <w:ind w:right="51" w:firstLine="709"/>
        <w:jc w:val="both"/>
        <w:rPr>
          <w:rFonts w:ascii="Verdana" w:hAnsi="Verdana" w:cs="Arial"/>
          <w:sz w:val="12"/>
          <w:szCs w:val="12"/>
        </w:rPr>
      </w:pPr>
      <w:r w:rsidRPr="001C59AF">
        <w:rPr>
          <w:rStyle w:val="Refdenotaalpie"/>
          <w:rFonts w:ascii="Verdana" w:hAnsi="Verdana" w:cs="Arial"/>
          <w:sz w:val="12"/>
          <w:szCs w:val="12"/>
        </w:rPr>
        <w:footnoteRef/>
      </w:r>
      <w:r w:rsidRPr="001C59AF">
        <w:rPr>
          <w:rFonts w:ascii="Verdana" w:hAnsi="Verdana" w:cs="Arial"/>
          <w:sz w:val="12"/>
          <w:szCs w:val="12"/>
        </w:rPr>
        <w:t xml:space="preserve"> </w:t>
      </w:r>
      <w:bookmarkStart w:id="18" w:name="_Hlk75633115"/>
      <w:r w:rsidRPr="001C59AF">
        <w:rPr>
          <w:rFonts w:ascii="Verdana" w:hAnsi="Verdana" w:cs="Arial"/>
          <w:sz w:val="12"/>
          <w:szCs w:val="12"/>
        </w:rPr>
        <w:t xml:space="preserve">Consejo de Estado. Sala de Consulta y Servicio Civil. Concepto </w:t>
      </w:r>
      <w:bookmarkEnd w:id="18"/>
      <w:r w:rsidRPr="001C59AF">
        <w:rPr>
          <w:rFonts w:ascii="Verdana" w:hAnsi="Verdana" w:cs="Arial"/>
          <w:sz w:val="12"/>
          <w:szCs w:val="12"/>
        </w:rPr>
        <w:t>de 6 de abril de 2006. Radicación Número: 11001-03-06-000-2006-00038-00(1738). Consejero Ponente: Enrique José Arboleda Perdomo:</w:t>
      </w:r>
      <w:r w:rsidRPr="001C59AF">
        <w:rPr>
          <w:rFonts w:ascii="Verdana" w:eastAsia="Times New Roman" w:hAnsi="Verdana" w:cs="Arial"/>
          <w:bCs/>
          <w:sz w:val="12"/>
          <w:szCs w:val="12"/>
          <w:lang w:eastAsia="x-none"/>
        </w:rPr>
        <w:t xml:space="preserve"> “</w:t>
      </w:r>
      <w:r w:rsidRPr="001C59AF">
        <w:rPr>
          <w:rFonts w:ascii="Verdana" w:hAnsi="Verdana" w:cs="Arial"/>
          <w:sz w:val="12"/>
          <w:szCs w:val="12"/>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1C59AF">
        <w:rPr>
          <w:rFonts w:ascii="Verdana" w:eastAsia="Times New Roman" w:hAnsi="Verdana" w:cs="Arial"/>
          <w:bCs/>
          <w:sz w:val="12"/>
          <w:szCs w:val="12"/>
          <w:lang w:eastAsia="x-none"/>
        </w:rPr>
        <w:t>”.</w:t>
      </w:r>
    </w:p>
  </w:footnote>
  <w:footnote w:id="21">
    <w:p w14:paraId="03CF2BC6" w14:textId="77777777" w:rsidR="00861DDF" w:rsidRPr="001C59AF" w:rsidRDefault="00861DDF" w:rsidP="00861DDF">
      <w:pPr>
        <w:pStyle w:val="Textonotapie"/>
        <w:ind w:right="51" w:firstLine="709"/>
        <w:jc w:val="both"/>
        <w:rPr>
          <w:rFonts w:ascii="Verdana" w:hAnsi="Verdana" w:cs="Arial"/>
          <w:sz w:val="12"/>
          <w:szCs w:val="12"/>
        </w:rPr>
      </w:pPr>
      <w:r w:rsidRPr="001C59AF">
        <w:rPr>
          <w:rStyle w:val="Refdenotaalpie"/>
          <w:rFonts w:ascii="Verdana" w:hAnsi="Verdana" w:cs="Arial"/>
          <w:sz w:val="12"/>
          <w:szCs w:val="12"/>
        </w:rPr>
        <w:footnoteRef/>
      </w:r>
      <w:r w:rsidRPr="001C59AF">
        <w:rPr>
          <w:rFonts w:ascii="Verdana" w:hAnsi="Verdana" w:cs="Arial"/>
          <w:sz w:val="12"/>
          <w:szCs w:val="12"/>
        </w:rPr>
        <w:t xml:space="preserve"> Consejo de Estado. Sala de Consulta y Servicio Civil. Concepto de 6 de abril de 2006. Radicación Número: 11001-03-06-000-2006-00038-00(1738). Consejero Ponente: Enrique José Arboleda Perdomo.</w:t>
      </w:r>
    </w:p>
  </w:footnote>
  <w:footnote w:id="22">
    <w:p w14:paraId="3DCF04ED" w14:textId="77777777" w:rsidR="00861DDF" w:rsidRPr="001C59AF" w:rsidRDefault="00861DDF" w:rsidP="00861DDF">
      <w:pPr>
        <w:pStyle w:val="Textonotapie"/>
        <w:ind w:right="51" w:firstLine="709"/>
        <w:jc w:val="both"/>
        <w:rPr>
          <w:rFonts w:ascii="Verdana" w:hAnsi="Verdana" w:cs="Arial"/>
          <w:sz w:val="12"/>
          <w:szCs w:val="12"/>
        </w:rPr>
      </w:pPr>
      <w:r w:rsidRPr="001C59AF">
        <w:rPr>
          <w:rStyle w:val="Refdenotaalpie"/>
          <w:rFonts w:ascii="Verdana" w:hAnsi="Verdana" w:cs="Arial"/>
          <w:sz w:val="12"/>
          <w:szCs w:val="12"/>
        </w:rPr>
        <w:footnoteRef/>
      </w:r>
      <w:r w:rsidRPr="001C59AF">
        <w:rPr>
          <w:rFonts w:ascii="Verdana" w:hAnsi="Verdana" w:cs="Arial"/>
          <w:sz w:val="12"/>
          <w:szCs w:val="12"/>
        </w:rPr>
        <w:t xml:space="preserve"> Consejo de Estado. Sala de Consulta y Servicio Civil, </w:t>
      </w:r>
      <w:r w:rsidRPr="001C59AF">
        <w:rPr>
          <w:rFonts w:ascii="Verdana" w:hAnsi="Verdana" w:cs="Arial"/>
          <w:i/>
          <w:iCs/>
          <w:sz w:val="12"/>
          <w:szCs w:val="12"/>
        </w:rPr>
        <w:t>ibidem</w:t>
      </w:r>
      <w:r w:rsidRPr="001C59AF">
        <w:rPr>
          <w:rFonts w:ascii="Verdana" w:hAnsi="Verdana" w:cs="Arial"/>
          <w:sz w:val="12"/>
          <w:szCs w:val="12"/>
        </w:rPr>
        <w:t>.</w:t>
      </w:r>
    </w:p>
  </w:footnote>
  <w:footnote w:id="23">
    <w:p w14:paraId="49FCC234" w14:textId="77777777" w:rsidR="00861DDF" w:rsidRPr="001C59AF" w:rsidRDefault="00861DDF" w:rsidP="00861DDF">
      <w:pPr>
        <w:pStyle w:val="Textonotapie"/>
        <w:ind w:firstLine="708"/>
        <w:jc w:val="both"/>
        <w:rPr>
          <w:rFonts w:ascii="Verdana" w:hAnsi="Verdana" w:cs="Arial"/>
          <w:color w:val="000000"/>
          <w:sz w:val="12"/>
          <w:szCs w:val="12"/>
        </w:rPr>
      </w:pPr>
      <w:r w:rsidRPr="001C59AF">
        <w:rPr>
          <w:rStyle w:val="Refdenotaalpie"/>
          <w:rFonts w:ascii="Verdana" w:hAnsi="Verdana" w:cs="Arial"/>
          <w:color w:val="000000"/>
          <w:sz w:val="12"/>
          <w:szCs w:val="12"/>
        </w:rPr>
        <w:footnoteRef/>
      </w:r>
      <w:r w:rsidRPr="001C59AF">
        <w:rPr>
          <w:rFonts w:ascii="Verdana" w:hAnsi="Verdana" w:cs="Arial"/>
          <w:color w:val="000000"/>
          <w:sz w:val="12"/>
          <w:szCs w:val="12"/>
        </w:rPr>
        <w:t xml:space="preserve"> Ley 489 de 1998: “Artículo 68: Entidades descentralizadas.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w:t>
      </w:r>
      <w:r w:rsidRPr="001C59AF">
        <w:rPr>
          <w:rFonts w:ascii="Verdana" w:hAnsi="Verdana" w:cs="Arial"/>
          <w:bCs/>
          <w:i/>
          <w:iCs/>
          <w:color w:val="000000"/>
          <w:sz w:val="12"/>
          <w:szCs w:val="12"/>
        </w:rPr>
        <w:t>las empresas oficiales de servicios públicos</w:t>
      </w:r>
      <w:r w:rsidRPr="001C59AF">
        <w:rPr>
          <w:rFonts w:ascii="Verdana" w:hAnsi="Verdana" w:cs="Arial"/>
          <w:color w:val="000000"/>
          <w:sz w:val="12"/>
          <w:szCs w:val="12"/>
        </w:rPr>
        <w:t>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 (Énfasis fuera de texto).</w:t>
      </w:r>
    </w:p>
    <w:p w14:paraId="00B31106" w14:textId="77777777" w:rsidR="00861DDF" w:rsidRPr="001C59AF" w:rsidRDefault="00861DDF" w:rsidP="00861DDF">
      <w:pPr>
        <w:pStyle w:val="Textonotapie"/>
        <w:ind w:firstLine="708"/>
        <w:jc w:val="both"/>
        <w:rPr>
          <w:rFonts w:ascii="Verdana" w:hAnsi="Verdana" w:cs="Arial"/>
          <w:color w:val="000000"/>
          <w:sz w:val="12"/>
          <w:szCs w:val="12"/>
        </w:rPr>
      </w:pPr>
    </w:p>
  </w:footnote>
  <w:footnote w:id="24">
    <w:p w14:paraId="70A0B545" w14:textId="77777777" w:rsidR="00861DDF" w:rsidRPr="001C59AF" w:rsidRDefault="00861DDF" w:rsidP="00861DDF">
      <w:pPr>
        <w:pStyle w:val="Textonotapie"/>
        <w:ind w:firstLine="708"/>
        <w:jc w:val="both"/>
        <w:rPr>
          <w:rFonts w:ascii="Verdana" w:hAnsi="Verdana" w:cs="Arial"/>
          <w:color w:val="000000"/>
          <w:sz w:val="12"/>
          <w:szCs w:val="12"/>
        </w:rPr>
      </w:pPr>
      <w:r w:rsidRPr="001C59AF">
        <w:rPr>
          <w:rStyle w:val="Refdenotaalpie"/>
          <w:rFonts w:ascii="Verdana" w:hAnsi="Verdana" w:cs="Arial"/>
          <w:color w:val="000000"/>
          <w:sz w:val="12"/>
          <w:szCs w:val="12"/>
        </w:rPr>
        <w:footnoteRef/>
      </w:r>
      <w:r w:rsidRPr="001C59AF">
        <w:rPr>
          <w:rFonts w:ascii="Verdana" w:hAnsi="Verdana" w:cs="Arial"/>
          <w:color w:val="000000"/>
          <w:sz w:val="12"/>
          <w:szCs w:val="12"/>
          <w:lang w:val="pt-BR"/>
        </w:rPr>
        <w:t xml:space="preserve"> Corte Constitucional. Sentencia C-736 de 2007. </w:t>
      </w:r>
      <w:r w:rsidRPr="001C59AF">
        <w:rPr>
          <w:rFonts w:ascii="Verdana" w:hAnsi="Verdana" w:cs="Arial"/>
          <w:color w:val="000000"/>
          <w:sz w:val="12"/>
          <w:szCs w:val="12"/>
        </w:rPr>
        <w:t>C.P. Marco Gerardo Monroy Cabra: “Obsérvese que si bien el legislador sólo considera explícitamente como entidades descentralizadas a las empresas oficiales de servicios públicos, es decir a aquellas con un capital cien por ciento (100%) estatal, lo cual haría pensar que las mixtas y las privadas no ostentarían esta naturaleza jurídica, a continuación indica que también son entidades descentralizadas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Así las cosas, de manera implícita incluye a las empresas de servicios públicos mixtas o privadas como entidades descentralizadas, por lo cual la Corte no encuentra obstáculo para declarar su constitucionalidad”.</w:t>
      </w:r>
    </w:p>
    <w:p w14:paraId="60570AB5" w14:textId="77777777" w:rsidR="00861DDF" w:rsidRPr="001C59AF" w:rsidRDefault="00861DDF" w:rsidP="00861DDF">
      <w:pPr>
        <w:pStyle w:val="Textonotapie"/>
        <w:ind w:firstLine="708"/>
        <w:jc w:val="both"/>
        <w:rPr>
          <w:rFonts w:ascii="Verdana" w:hAnsi="Verdana" w:cs="Arial"/>
          <w:color w:val="000000"/>
          <w:sz w:val="12"/>
          <w:szCs w:val="12"/>
        </w:rPr>
      </w:pPr>
    </w:p>
  </w:footnote>
  <w:footnote w:id="25">
    <w:p w14:paraId="0642A3B0" w14:textId="77777777" w:rsidR="00861DDF" w:rsidRPr="001C59AF" w:rsidRDefault="00861DDF" w:rsidP="00861DDF">
      <w:pPr>
        <w:pStyle w:val="Textonotapie"/>
        <w:ind w:firstLine="708"/>
        <w:jc w:val="both"/>
        <w:rPr>
          <w:rFonts w:ascii="Verdana" w:hAnsi="Verdana" w:cs="Arial"/>
          <w:color w:val="000000"/>
          <w:sz w:val="12"/>
          <w:szCs w:val="12"/>
        </w:rPr>
      </w:pPr>
      <w:r w:rsidRPr="001C59AF">
        <w:rPr>
          <w:rStyle w:val="Refdenotaalpie"/>
          <w:rFonts w:ascii="Verdana" w:hAnsi="Verdana" w:cs="Arial"/>
          <w:color w:val="000000"/>
          <w:sz w:val="12"/>
          <w:szCs w:val="12"/>
        </w:rPr>
        <w:footnoteRef/>
      </w:r>
      <w:r w:rsidRPr="001C59AF">
        <w:rPr>
          <w:rFonts w:ascii="Verdana" w:hAnsi="Verdana" w:cs="Arial"/>
          <w:i/>
          <w:color w:val="000000"/>
          <w:sz w:val="12"/>
          <w:szCs w:val="12"/>
        </w:rPr>
        <w:t xml:space="preserve"> </w:t>
      </w:r>
      <w:r w:rsidRPr="001C59AF">
        <w:rPr>
          <w:rFonts w:ascii="Verdana" w:hAnsi="Verdana" w:cs="Arial"/>
          <w:i/>
          <w:iCs/>
          <w:color w:val="000000"/>
          <w:sz w:val="12"/>
          <w:szCs w:val="12"/>
        </w:rPr>
        <w:t>Ibídem.</w:t>
      </w:r>
      <w:r w:rsidRPr="001C59AF">
        <w:rPr>
          <w:rFonts w:ascii="Verdana" w:hAnsi="Verdana" w:cs="Arial"/>
          <w:color w:val="000000"/>
          <w:sz w:val="12"/>
          <w:szCs w:val="12"/>
        </w:rPr>
        <w:t>”No obstante, después de haber estudiado los conceptos de sociedad de economía mixta y de empresa de servicios públicos, la Corte estima que la naturaleza y el régimen jurídico especial de la prestación de los servicios públicos dispuesto por el constituyente en el artículo 365 de la Carta impiden considerar que las empresas de servicios públicos constituidas bajo la forma de sociedades por acciones, en las cuales concurran en cualquier proporción el capital público y el privado, sean “sociedades de economía mixta”. A juicio de la Corporación, y por lo dicho anteriormente, se trata de entidades de tipología especial expresamente definida por el legislador en desarrollo de las normas superiores antes mencionadas, que señalan las particularidades de esta actividad”.</w:t>
      </w:r>
    </w:p>
    <w:p w14:paraId="458E59EC" w14:textId="77777777" w:rsidR="00861DDF" w:rsidRPr="001C59AF" w:rsidRDefault="00861DDF" w:rsidP="00861DDF">
      <w:pPr>
        <w:pStyle w:val="Textonotapie"/>
        <w:ind w:firstLine="708"/>
        <w:jc w:val="both"/>
        <w:rPr>
          <w:rFonts w:ascii="Verdana" w:hAnsi="Verdana" w:cs="Arial"/>
          <w:color w:val="000000"/>
          <w:sz w:val="12"/>
          <w:szCs w:val="12"/>
        </w:rPr>
      </w:pPr>
    </w:p>
  </w:footnote>
  <w:footnote w:id="26">
    <w:p w14:paraId="011C9B6A" w14:textId="77777777" w:rsidR="00861DDF" w:rsidRPr="001C59AF" w:rsidRDefault="00861DDF" w:rsidP="00861DDF">
      <w:pPr>
        <w:pStyle w:val="Textonotapie"/>
        <w:ind w:firstLine="708"/>
        <w:jc w:val="both"/>
        <w:rPr>
          <w:rFonts w:ascii="Verdana" w:hAnsi="Verdana" w:cs="Arial"/>
          <w:sz w:val="12"/>
          <w:szCs w:val="12"/>
        </w:rPr>
      </w:pPr>
      <w:r w:rsidRPr="001C59AF">
        <w:rPr>
          <w:rStyle w:val="Refdenotaalpie"/>
          <w:rFonts w:ascii="Verdana" w:hAnsi="Verdana" w:cs="Arial"/>
          <w:sz w:val="12"/>
          <w:szCs w:val="12"/>
        </w:rPr>
        <w:footnoteRef/>
      </w:r>
      <w:r w:rsidRPr="001C59AF">
        <w:rPr>
          <w:rFonts w:ascii="Verdana" w:hAnsi="Verdana" w:cs="Arial"/>
          <w:sz w:val="12"/>
          <w:szCs w:val="12"/>
        </w:rPr>
        <w:t xml:space="preserve"> La Ley 1150 de 2007, en el artículo 13, dispone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4182DB78" w14:textId="77777777" w:rsidR="00861DDF" w:rsidRPr="001C59AF" w:rsidRDefault="00861DDF" w:rsidP="00861DDF">
      <w:pPr>
        <w:pStyle w:val="Textonotapie"/>
        <w:ind w:firstLine="708"/>
        <w:jc w:val="both"/>
        <w:rPr>
          <w:rFonts w:ascii="Arial" w:hAnsi="Arial" w:cs="Arial"/>
          <w:sz w:val="12"/>
          <w:szCs w:val="12"/>
          <w:lang w:val="es-ES"/>
        </w:rPr>
      </w:pPr>
    </w:p>
  </w:footnote>
  <w:footnote w:id="27">
    <w:p w14:paraId="542A59A5" w14:textId="77777777" w:rsidR="00861DDF" w:rsidRPr="001C59AF" w:rsidRDefault="00861DDF" w:rsidP="00861DDF">
      <w:pPr>
        <w:pStyle w:val="Textonotapie"/>
        <w:ind w:firstLine="709"/>
        <w:contextualSpacing/>
        <w:jc w:val="both"/>
        <w:rPr>
          <w:rFonts w:ascii="Verdana" w:hAnsi="Verdana" w:cs="Arial"/>
          <w:sz w:val="12"/>
          <w:szCs w:val="12"/>
        </w:rPr>
      </w:pPr>
      <w:r w:rsidRPr="001C59AF">
        <w:rPr>
          <w:rStyle w:val="Refdenotaalpie"/>
          <w:rFonts w:ascii="Verdana" w:hAnsi="Verdana"/>
          <w:sz w:val="12"/>
          <w:szCs w:val="12"/>
        </w:rPr>
        <w:footnoteRef/>
      </w:r>
      <w:r w:rsidRPr="001C59AF">
        <w:rPr>
          <w:rFonts w:ascii="Verdana" w:hAnsi="Verdana"/>
          <w:sz w:val="12"/>
          <w:szCs w:val="12"/>
        </w:rPr>
        <w:t xml:space="preserve"> </w:t>
      </w:r>
      <w:r w:rsidRPr="001C59AF">
        <w:rPr>
          <w:rFonts w:ascii="Verdana" w:hAnsi="Verdana" w:cs="Arial"/>
          <w:sz w:val="12"/>
          <w:szCs w:val="12"/>
        </w:rPr>
        <w:t>Consejo de Estado -Sección Tercera-. Sentencia del 21 de febrero de 2025. Radicación Número: 68.280. CP: José Roberto Sáchica Méndez.</w:t>
      </w:r>
    </w:p>
  </w:footnote>
  <w:footnote w:id="28">
    <w:p w14:paraId="77BDE614" w14:textId="77777777" w:rsidR="00861DDF" w:rsidRPr="001C59AF" w:rsidRDefault="00861DDF" w:rsidP="00861DDF">
      <w:pPr>
        <w:pStyle w:val="Textonotapie"/>
        <w:ind w:firstLine="709"/>
        <w:contextualSpacing/>
        <w:jc w:val="both"/>
        <w:rPr>
          <w:rFonts w:ascii="Verdana" w:hAnsi="Verdana" w:cs="Arial"/>
          <w:sz w:val="12"/>
          <w:szCs w:val="12"/>
        </w:rPr>
      </w:pPr>
      <w:r w:rsidRPr="001C59AF">
        <w:rPr>
          <w:rFonts w:ascii="Verdana" w:hAnsi="Verdana"/>
          <w:sz w:val="12"/>
          <w:szCs w:val="12"/>
          <w:vertAlign w:val="superscript"/>
        </w:rPr>
        <w:footnoteRef/>
      </w:r>
      <w:r w:rsidRPr="001C59AF">
        <w:rPr>
          <w:rFonts w:ascii="Verdana" w:hAnsi="Verdana"/>
          <w:sz w:val="12"/>
          <w:szCs w:val="12"/>
          <w:vertAlign w:val="superscript"/>
        </w:rPr>
        <w:t xml:space="preserve"> </w:t>
      </w:r>
      <w:r w:rsidRPr="001C59AF">
        <w:rPr>
          <w:rFonts w:ascii="Verdana" w:hAnsi="Verdana" w:cs="Arial"/>
          <w:sz w:val="12"/>
          <w:szCs w:val="12"/>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9">
    <w:p w14:paraId="4B3096FC" w14:textId="77777777" w:rsidR="00861DDF" w:rsidRPr="001C59AF" w:rsidRDefault="00861DDF" w:rsidP="00861DDF">
      <w:pPr>
        <w:pStyle w:val="Textonotapie"/>
        <w:ind w:firstLine="709"/>
        <w:contextualSpacing/>
        <w:jc w:val="both"/>
        <w:rPr>
          <w:rFonts w:ascii="Verdana" w:hAnsi="Verdana" w:cs="Arial"/>
          <w:sz w:val="12"/>
          <w:szCs w:val="12"/>
        </w:rPr>
      </w:pPr>
      <w:r w:rsidRPr="001C59AF">
        <w:rPr>
          <w:rFonts w:ascii="Verdana" w:hAnsi="Verdana"/>
          <w:sz w:val="12"/>
          <w:szCs w:val="12"/>
          <w:vertAlign w:val="superscript"/>
        </w:rPr>
        <w:footnoteRef/>
      </w:r>
      <w:r w:rsidRPr="001C59AF">
        <w:rPr>
          <w:rFonts w:ascii="Verdana" w:hAnsi="Verdana" w:cs="Arial"/>
          <w:sz w:val="12"/>
          <w:szCs w:val="12"/>
          <w:vertAlign w:val="superscript"/>
        </w:rPr>
        <w:t xml:space="preserve"> </w:t>
      </w:r>
      <w:r w:rsidRPr="001C59AF">
        <w:rPr>
          <w:rFonts w:ascii="Verdana" w:hAnsi="Verdana" w:cs="Arial"/>
          <w:sz w:val="12"/>
          <w:szCs w:val="12"/>
        </w:rPr>
        <w:t>Ley 80 de 1993: “Artículo 41. Del perfeccionamiento del contrato. Los contratos del Estado se perfeccionan cuando se logre acuerdo sobre el objeto y la contraprestación y éste se eleve a escrito.</w:t>
      </w:r>
    </w:p>
    <w:p w14:paraId="221D15FE" w14:textId="77777777" w:rsidR="00861DDF" w:rsidRPr="001C59AF" w:rsidRDefault="00861DDF" w:rsidP="00861DDF">
      <w:pPr>
        <w:pStyle w:val="Textonotapie"/>
        <w:ind w:firstLine="709"/>
        <w:contextualSpacing/>
        <w:jc w:val="both"/>
        <w:rPr>
          <w:rFonts w:ascii="Verdana" w:hAnsi="Verdana" w:cs="Arial"/>
          <w:sz w:val="12"/>
          <w:szCs w:val="12"/>
        </w:rPr>
      </w:pPr>
      <w:r w:rsidRPr="001C59AF">
        <w:rPr>
          <w:rFonts w:ascii="Verdana" w:hAnsi="Verdana" w:cs="Arial"/>
          <w:sz w:val="12"/>
          <w:szCs w:val="12"/>
        </w:rPr>
        <w:t>[…]”.</w:t>
      </w:r>
    </w:p>
  </w:footnote>
  <w:footnote w:id="30">
    <w:p w14:paraId="50E17FF3" w14:textId="77777777" w:rsidR="00861DDF" w:rsidRPr="001C59AF" w:rsidRDefault="00861DDF" w:rsidP="00861DDF">
      <w:pPr>
        <w:pStyle w:val="Textonotapie"/>
        <w:ind w:firstLine="709"/>
        <w:contextualSpacing/>
        <w:jc w:val="both"/>
        <w:rPr>
          <w:rFonts w:ascii="Verdana" w:hAnsi="Verdana" w:cs="Arial"/>
          <w:sz w:val="12"/>
          <w:szCs w:val="12"/>
        </w:rPr>
      </w:pPr>
      <w:r w:rsidRPr="001C59AF">
        <w:rPr>
          <w:rFonts w:ascii="Verdana" w:hAnsi="Verdana"/>
          <w:sz w:val="12"/>
          <w:szCs w:val="12"/>
          <w:vertAlign w:val="superscript"/>
        </w:rPr>
        <w:footnoteRef/>
      </w:r>
      <w:r w:rsidRPr="001C59AF">
        <w:rPr>
          <w:rFonts w:ascii="Verdana" w:hAnsi="Verdana" w:cs="Arial"/>
          <w:sz w:val="12"/>
          <w:szCs w:val="12"/>
          <w:vertAlign w:val="superscript"/>
        </w:rPr>
        <w:t xml:space="preserve"> </w:t>
      </w:r>
      <w:r w:rsidRPr="001C59AF">
        <w:rPr>
          <w:rFonts w:ascii="Verdana" w:hAnsi="Verdana" w:cs="Arial"/>
          <w:sz w:val="12"/>
          <w:szCs w:val="12"/>
        </w:rPr>
        <w:t>Código Civil: “Artículo 27. Cuando el sentido de la ley sea claro, no se desatenderá su tenor a pretexto de consultar su espíritu”.</w:t>
      </w:r>
    </w:p>
  </w:footnote>
  <w:footnote w:id="31">
    <w:p w14:paraId="75F65C79" w14:textId="77777777" w:rsidR="00861DDF" w:rsidRPr="001C59AF" w:rsidRDefault="00861DDF" w:rsidP="00861DDF">
      <w:pPr>
        <w:pStyle w:val="Textonotapie"/>
        <w:ind w:firstLine="708"/>
        <w:jc w:val="both"/>
        <w:rPr>
          <w:rFonts w:ascii="Verdana" w:hAnsi="Verdana"/>
          <w:sz w:val="12"/>
          <w:szCs w:val="12"/>
          <w:lang w:val="es-ES"/>
        </w:rPr>
      </w:pPr>
      <w:r w:rsidRPr="001C59AF">
        <w:rPr>
          <w:rStyle w:val="Refdenotaalpie"/>
          <w:rFonts w:ascii="Verdana" w:hAnsi="Verdana"/>
          <w:sz w:val="12"/>
          <w:szCs w:val="12"/>
        </w:rPr>
        <w:footnoteRef/>
      </w:r>
      <w:r w:rsidRPr="001C59AF">
        <w:rPr>
          <w:rFonts w:ascii="Verdana" w:hAnsi="Verdana"/>
          <w:sz w:val="12"/>
          <w:szCs w:val="12"/>
        </w:rPr>
        <w:t xml:space="preserve"> </w:t>
      </w:r>
      <w:r w:rsidRPr="001C59AF">
        <w:rPr>
          <w:rFonts w:ascii="Verdana" w:hAnsi="Verdana"/>
          <w:sz w:val="12"/>
          <w:szCs w:val="12"/>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1C59AF">
        <w:rPr>
          <w:rFonts w:ascii="Verdana" w:hAnsi="Verdana"/>
          <w:i/>
          <w:iCs/>
          <w:sz w:val="12"/>
          <w:szCs w:val="12"/>
          <w:lang w:val="es-ES"/>
        </w:rPr>
        <w:t>Ubi lex non distinguit nec nos distinguere debemus</w:t>
      </w:r>
      <w:r w:rsidRPr="001C59AF">
        <w:rPr>
          <w:rFonts w:ascii="Verdana" w:hAnsi="Verdana"/>
          <w:sz w:val="12"/>
          <w:szCs w:val="12"/>
          <w:lang w:val="es-ES"/>
        </w:rPr>
        <w:t>, ‘donde la ley no distingue no puede el hombre distinguir’. ‘La extensión que deba dársele a la ley se determinará por su genuino sentido y según las reglas de interpretación precedentes’, dice el artículo 23.</w:t>
      </w:r>
    </w:p>
    <w:p w14:paraId="07468DF0" w14:textId="77777777" w:rsidR="00861DDF" w:rsidRPr="001C59AF" w:rsidRDefault="00861DDF" w:rsidP="00861DDF">
      <w:pPr>
        <w:pStyle w:val="Textonotapie"/>
        <w:ind w:firstLine="708"/>
        <w:jc w:val="both"/>
        <w:rPr>
          <w:rFonts w:ascii="Verdana" w:hAnsi="Verdana"/>
          <w:sz w:val="12"/>
          <w:szCs w:val="12"/>
          <w:lang w:val="es-CO"/>
        </w:rPr>
      </w:pPr>
      <w:r w:rsidRPr="001C59AF">
        <w:rPr>
          <w:rFonts w:ascii="Verdana" w:hAnsi="Verdana"/>
          <w:sz w:val="12"/>
          <w:szCs w:val="12"/>
          <w:lang w:val="es-ES"/>
        </w:rPr>
        <w:t xml:space="preserve">En el derecho antiguo y en el derecho canónico se distinguían las leyes en favorables y odiosas, para ampliar o restringir su interpretación. </w:t>
      </w:r>
      <w:r w:rsidRPr="001C59AF">
        <w:rPr>
          <w:rFonts w:ascii="Verdana" w:hAnsi="Verdana"/>
          <w:i/>
          <w:iCs/>
          <w:sz w:val="12"/>
          <w:szCs w:val="12"/>
          <w:lang w:val="es-ES"/>
        </w:rPr>
        <w:t>Odia restringí et favores convenit ampliari</w:t>
      </w:r>
      <w:r w:rsidRPr="001C59AF">
        <w:rPr>
          <w:rFonts w:ascii="Verdana" w:hAnsi="Verdana"/>
          <w:sz w:val="12"/>
          <w:szCs w:val="12"/>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1C59AF">
        <w:rPr>
          <w:rFonts w:ascii="Verdana" w:hAnsi="Verdana"/>
          <w:sz w:val="12"/>
          <w:szCs w:val="12"/>
        </w:rPr>
        <w:t>CLARO SOLAR, Luis. Explicaciones de derecho civil chileno y comparado. Volumen I. Tomo I. Santiago: Editorial Jurídica de Chile, 2013. p. 119. Énfasis dentro del texto).</w:t>
      </w:r>
    </w:p>
  </w:footnote>
  <w:footnote w:id="32">
    <w:p w14:paraId="38BFECF5" w14:textId="77777777" w:rsidR="00861DDF" w:rsidRPr="001C59AF" w:rsidRDefault="00861DDF" w:rsidP="00861DDF">
      <w:pPr>
        <w:pStyle w:val="Textonotapie"/>
        <w:ind w:firstLine="709"/>
        <w:contextualSpacing/>
        <w:jc w:val="both"/>
        <w:rPr>
          <w:rFonts w:ascii="Verdana" w:hAnsi="Verdana"/>
          <w:sz w:val="12"/>
          <w:szCs w:val="12"/>
          <w:lang w:val="es-CO"/>
        </w:rPr>
      </w:pPr>
      <w:r w:rsidRPr="001C59AF">
        <w:rPr>
          <w:rStyle w:val="Refdenotaalpie"/>
          <w:rFonts w:ascii="Verdana" w:hAnsi="Verdana"/>
          <w:sz w:val="12"/>
          <w:szCs w:val="12"/>
        </w:rPr>
        <w:footnoteRef/>
      </w:r>
      <w:r w:rsidRPr="001C59AF">
        <w:rPr>
          <w:rFonts w:ascii="Verdana" w:hAnsi="Verdana"/>
          <w:sz w:val="12"/>
          <w:szCs w:val="12"/>
          <w:lang w:val="es-CO"/>
        </w:rPr>
        <w:t xml:space="preserve"> Consejo de Estado, Sección Tercera. Auto del 4 de octubre de 2024. Exp. 70.313. C.P: Fredy Ibarra Martínez.</w:t>
      </w:r>
    </w:p>
  </w:footnote>
  <w:footnote w:id="33">
    <w:p w14:paraId="35F23265" w14:textId="77777777" w:rsidR="00861DDF" w:rsidRPr="001C59AF" w:rsidRDefault="00861DDF" w:rsidP="00861DDF">
      <w:pPr>
        <w:pStyle w:val="Textonotapie"/>
        <w:ind w:firstLine="709"/>
        <w:contextualSpacing/>
        <w:jc w:val="both"/>
        <w:rPr>
          <w:rFonts w:ascii="Verdana" w:hAnsi="Verdana"/>
          <w:sz w:val="12"/>
          <w:szCs w:val="12"/>
          <w:lang w:val="es-CO"/>
        </w:rPr>
      </w:pPr>
      <w:r w:rsidRPr="001C59AF">
        <w:rPr>
          <w:rStyle w:val="Refdenotaalpie"/>
          <w:rFonts w:ascii="Verdana" w:hAnsi="Verdana"/>
          <w:sz w:val="12"/>
          <w:szCs w:val="12"/>
        </w:rPr>
        <w:footnoteRef/>
      </w:r>
      <w:r w:rsidRPr="001C59AF">
        <w:rPr>
          <w:rFonts w:ascii="Verdana" w:hAnsi="Verdana"/>
          <w:sz w:val="12"/>
          <w:szCs w:val="12"/>
        </w:rPr>
        <w:t xml:space="preserve"> La parte resolutiva del auto dispone lo siguiente; “</w:t>
      </w:r>
      <w:r w:rsidRPr="001C59AF">
        <w:rPr>
          <w:rFonts w:ascii="Verdana" w:hAnsi="Verdana"/>
          <w:b/>
          <w:sz w:val="12"/>
          <w:szCs w:val="12"/>
          <w:lang w:val="es-CO"/>
        </w:rPr>
        <w:t xml:space="preserve">PRIMERO: DECRETAR </w:t>
      </w:r>
      <w:r w:rsidRPr="001C59AF">
        <w:rPr>
          <w:rFonts w:ascii="Verdana" w:hAnsi="Verdana"/>
          <w:sz w:val="12"/>
          <w:szCs w:val="12"/>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1C59AF">
        <w:rPr>
          <w:rFonts w:ascii="Verdana" w:hAnsi="Verdana"/>
          <w:i/>
          <w:sz w:val="12"/>
          <w:szCs w:val="12"/>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1C59AF">
        <w:rPr>
          <w:rFonts w:ascii="Verdana" w:hAnsi="Verdana"/>
          <w:sz w:val="12"/>
          <w:szCs w:val="12"/>
          <w:lang w:val="es-CO"/>
        </w:rPr>
        <w:t xml:space="preserve">, por las razones expuestas en precedencia. </w:t>
      </w:r>
    </w:p>
    <w:p w14:paraId="278419CB" w14:textId="77777777" w:rsidR="00861DDF" w:rsidRPr="001C59AF" w:rsidRDefault="00861DDF" w:rsidP="00861DDF">
      <w:pPr>
        <w:pStyle w:val="Textonotapie"/>
        <w:ind w:firstLine="709"/>
        <w:contextualSpacing/>
        <w:jc w:val="both"/>
        <w:rPr>
          <w:rFonts w:ascii="Verdana" w:hAnsi="Verdana"/>
          <w:sz w:val="12"/>
          <w:szCs w:val="12"/>
          <w:lang w:val="es-CO"/>
        </w:rPr>
      </w:pPr>
      <w:r w:rsidRPr="001C59AF">
        <w:rPr>
          <w:rFonts w:ascii="Verdana" w:hAnsi="Verdana"/>
          <w:b/>
          <w:sz w:val="12"/>
          <w:szCs w:val="12"/>
          <w:lang w:val="es-CO"/>
        </w:rPr>
        <w:t xml:space="preserve">SEGUNDO: DECRETAR </w:t>
      </w:r>
      <w:r w:rsidRPr="001C59AF">
        <w:rPr>
          <w:rFonts w:ascii="Verdana" w:hAnsi="Verdana"/>
          <w:sz w:val="12"/>
          <w:szCs w:val="12"/>
          <w:lang w:val="es-CO"/>
        </w:rPr>
        <w:t>la suspensión provisional de la expresión “</w:t>
      </w:r>
      <w:r w:rsidRPr="001C59AF">
        <w:rPr>
          <w:rFonts w:ascii="Verdana" w:hAnsi="Verdana"/>
          <w:i/>
          <w:sz w:val="12"/>
          <w:szCs w:val="12"/>
          <w:lang w:val="es-CO"/>
        </w:rPr>
        <w:t>contratos</w:t>
      </w:r>
      <w:r w:rsidRPr="001C59AF">
        <w:rPr>
          <w:rFonts w:ascii="Verdana" w:hAnsi="Verdana"/>
          <w:sz w:val="12"/>
          <w:szCs w:val="12"/>
          <w:lang w:val="es-CO"/>
        </w:rPr>
        <w:t xml:space="preserve">” y del párrafo </w:t>
      </w:r>
      <w:r w:rsidRPr="001C59AF">
        <w:rPr>
          <w:rFonts w:ascii="Verdana" w:hAnsi="Verdana"/>
          <w:i/>
          <w:sz w:val="12"/>
          <w:szCs w:val="12"/>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1C59AF">
        <w:rPr>
          <w:rFonts w:ascii="Verdana" w:hAnsi="Verdana"/>
          <w:sz w:val="12"/>
          <w:szCs w:val="12"/>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34">
    <w:p w14:paraId="11DE5711" w14:textId="77777777" w:rsidR="00861DDF" w:rsidRPr="001C59AF" w:rsidRDefault="00861DDF" w:rsidP="00861DDF">
      <w:pPr>
        <w:spacing w:after="0" w:line="240" w:lineRule="auto"/>
        <w:ind w:firstLine="709"/>
        <w:contextualSpacing/>
        <w:jc w:val="both"/>
        <w:rPr>
          <w:rFonts w:ascii="Verdana" w:eastAsia="Times New Roman" w:hAnsi="Verdana" w:cs="Times New Roman"/>
          <w:sz w:val="12"/>
          <w:szCs w:val="12"/>
          <w:lang w:eastAsia="es-ES"/>
        </w:rPr>
      </w:pPr>
      <w:r w:rsidRPr="001C59AF">
        <w:rPr>
          <w:rStyle w:val="Refdenotaalpie"/>
          <w:rFonts w:ascii="Verdana" w:hAnsi="Verdana"/>
          <w:sz w:val="12"/>
          <w:szCs w:val="12"/>
        </w:rPr>
        <w:footnoteRef/>
      </w:r>
      <w:r w:rsidRPr="001C59AF">
        <w:rPr>
          <w:rFonts w:ascii="Verdana" w:hAnsi="Verdana"/>
          <w:sz w:val="12"/>
          <w:szCs w:val="12"/>
        </w:rPr>
        <w:t xml:space="preserve"> </w:t>
      </w:r>
      <w:r w:rsidRPr="001C59AF">
        <w:rPr>
          <w:rFonts w:ascii="Verdana" w:eastAsia="Times New Roman" w:hAnsi="Verdana" w:cs="Times New Roman"/>
          <w:sz w:val="12"/>
          <w:szCs w:val="12"/>
          <w:lang w:eastAsia="es-ES"/>
        </w:rPr>
        <w:t xml:space="preserve">Consejo de Estado. Sala de lo Contencioso Administrativo. Sección Tercera. Subsección B. 17 de octubre de 2025. Magistrado Ponente: Fredy Ibarra Martínez.  </w:t>
      </w:r>
      <w:r w:rsidRPr="001C59AF">
        <w:rPr>
          <w:rFonts w:ascii="Verdana" w:hAnsi="Verdana"/>
          <w:sz w:val="12"/>
          <w:szCs w:val="12"/>
        </w:rPr>
        <w:t xml:space="preserve">La parte de la providencia señala: </w:t>
      </w:r>
      <w:r w:rsidRPr="001C59AF">
        <w:rPr>
          <w:rFonts w:ascii="Verdana" w:eastAsia="Times New Roman" w:hAnsi="Verdana" w:cs="Times New Roman"/>
          <w:sz w:val="12"/>
          <w:szCs w:val="12"/>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5">
    <w:p w14:paraId="19BEE43F" w14:textId="77777777" w:rsidR="00861DDF" w:rsidRPr="001C59AF" w:rsidRDefault="00861DDF" w:rsidP="00861DDF">
      <w:pPr>
        <w:pStyle w:val="Textonotapie"/>
        <w:ind w:firstLine="709"/>
        <w:jc w:val="both"/>
        <w:rPr>
          <w:rFonts w:ascii="Verdana" w:hAnsi="Verdana"/>
          <w:sz w:val="12"/>
          <w:szCs w:val="12"/>
          <w:lang w:val="es-CO"/>
        </w:rPr>
      </w:pPr>
      <w:r w:rsidRPr="001C59AF">
        <w:rPr>
          <w:rStyle w:val="Refdenotaalpie"/>
          <w:rFonts w:ascii="Verdana" w:hAnsi="Verdana"/>
          <w:sz w:val="12"/>
          <w:szCs w:val="12"/>
        </w:rPr>
        <w:footnoteRef/>
      </w:r>
      <w:r w:rsidRPr="001C59AF">
        <w:rPr>
          <w:rFonts w:ascii="Verdana" w:hAnsi="Verdana"/>
          <w:sz w:val="12"/>
          <w:szCs w:val="12"/>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6F9C9" w14:textId="77777777" w:rsidR="00861DDF" w:rsidRDefault="00861DDF"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6681C42" wp14:editId="13111594">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1757D26" wp14:editId="634EDEFD">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CE976FF" w14:textId="77777777" w:rsidR="00861DDF" w:rsidRDefault="00861DDF">
    <w:pPr>
      <w:pStyle w:val="Encabezado"/>
    </w:pPr>
  </w:p>
  <w:p w14:paraId="238712D1" w14:textId="77777777" w:rsidR="00861DDF" w:rsidRPr="004A305D" w:rsidRDefault="00861DDF" w:rsidP="00B01B1A">
    <w:pPr>
      <w:spacing w:after="0" w:line="120" w:lineRule="auto"/>
      <w:rPr>
        <w:rFonts w:ascii="Century Gothic" w:eastAsia="Geo" w:hAnsi="Century Gothic" w:cs="Geo"/>
        <w:sz w:val="16"/>
        <w:szCs w:val="16"/>
        <w:lang w:eastAsia="es-CO"/>
      </w:rPr>
    </w:pPr>
  </w:p>
  <w:p w14:paraId="0FE9B146" w14:textId="77777777" w:rsidR="00861DDF" w:rsidRDefault="00861DDF" w:rsidP="00844AE9">
    <w:pPr>
      <w:spacing w:after="0" w:line="240" w:lineRule="auto"/>
      <w:rPr>
        <w:rFonts w:ascii="Verdana" w:hAnsi="Verdana"/>
        <w:sz w:val="24"/>
        <w:szCs w:val="24"/>
      </w:rPr>
    </w:pPr>
  </w:p>
  <w:p w14:paraId="134279A3" w14:textId="77777777" w:rsidR="00861DDF" w:rsidRPr="00C925AC" w:rsidRDefault="00861DDF"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518470888">
    <w:abstractNumId w:val="0"/>
  </w:num>
  <w:num w:numId="3" w16cid:durableId="20531435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DDF"/>
    <w:rsid w:val="00474DF4"/>
    <w:rsid w:val="00485D25"/>
    <w:rsid w:val="004F471F"/>
    <w:rsid w:val="00533F0F"/>
    <w:rsid w:val="00687099"/>
    <w:rsid w:val="00861DDF"/>
    <w:rsid w:val="00915BD7"/>
    <w:rsid w:val="00A40D17"/>
    <w:rsid w:val="00C24FFE"/>
    <w:rsid w:val="00D22162"/>
    <w:rsid w:val="00E52E42"/>
    <w:rsid w:val="00F02E3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082FA"/>
  <w15:chartTrackingRefBased/>
  <w15:docId w15:val="{03CC8FBD-5756-4A6B-AA6D-F6F20CC2E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1DDF"/>
    <w:rPr>
      <w:kern w:val="0"/>
      <w14:ligatures w14:val="none"/>
    </w:rPr>
  </w:style>
  <w:style w:type="paragraph" w:styleId="Ttulo1">
    <w:name w:val="heading 1"/>
    <w:basedOn w:val="Normal"/>
    <w:next w:val="Normal"/>
    <w:link w:val="Ttulo1Car"/>
    <w:uiPriority w:val="9"/>
    <w:qFormat/>
    <w:rsid w:val="00861DD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861DD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861DD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861DD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861DD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861DD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61DD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61DD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61DD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61DDF"/>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861DDF"/>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861DDF"/>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861DDF"/>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861DDF"/>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861DD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61DD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61DD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61DDF"/>
    <w:rPr>
      <w:rFonts w:eastAsiaTheme="majorEastAsia" w:cstheme="majorBidi"/>
      <w:color w:val="272727" w:themeColor="text1" w:themeTint="D8"/>
    </w:rPr>
  </w:style>
  <w:style w:type="paragraph" w:styleId="Ttulo">
    <w:name w:val="Title"/>
    <w:basedOn w:val="Normal"/>
    <w:next w:val="Normal"/>
    <w:link w:val="TtuloCar"/>
    <w:uiPriority w:val="10"/>
    <w:qFormat/>
    <w:rsid w:val="00861D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61DD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61DD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61DD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61DDF"/>
    <w:pPr>
      <w:spacing w:before="160"/>
      <w:jc w:val="center"/>
    </w:pPr>
    <w:rPr>
      <w:i/>
      <w:iCs/>
      <w:color w:val="404040" w:themeColor="text1" w:themeTint="BF"/>
    </w:rPr>
  </w:style>
  <w:style w:type="character" w:customStyle="1" w:styleId="CitaCar">
    <w:name w:val="Cita Car"/>
    <w:basedOn w:val="Fuentedeprrafopredeter"/>
    <w:link w:val="Cita"/>
    <w:uiPriority w:val="29"/>
    <w:rsid w:val="00861DDF"/>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861DDF"/>
    <w:pPr>
      <w:ind w:left="720"/>
      <w:contextualSpacing/>
    </w:pPr>
  </w:style>
  <w:style w:type="character" w:styleId="nfasisintenso">
    <w:name w:val="Intense Emphasis"/>
    <w:basedOn w:val="Fuentedeprrafopredeter"/>
    <w:uiPriority w:val="21"/>
    <w:qFormat/>
    <w:rsid w:val="00861DDF"/>
    <w:rPr>
      <w:i/>
      <w:iCs/>
      <w:color w:val="2F5496" w:themeColor="accent1" w:themeShade="BF"/>
    </w:rPr>
  </w:style>
  <w:style w:type="paragraph" w:styleId="Citadestacada">
    <w:name w:val="Intense Quote"/>
    <w:basedOn w:val="Normal"/>
    <w:next w:val="Normal"/>
    <w:link w:val="CitadestacadaCar"/>
    <w:uiPriority w:val="30"/>
    <w:qFormat/>
    <w:rsid w:val="00861DD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861DDF"/>
    <w:rPr>
      <w:i/>
      <w:iCs/>
      <w:color w:val="2F5496" w:themeColor="accent1" w:themeShade="BF"/>
    </w:rPr>
  </w:style>
  <w:style w:type="character" w:styleId="Referenciaintensa">
    <w:name w:val="Intense Reference"/>
    <w:basedOn w:val="Fuentedeprrafopredeter"/>
    <w:uiPriority w:val="32"/>
    <w:qFormat/>
    <w:rsid w:val="00861DDF"/>
    <w:rPr>
      <w:b/>
      <w:bCs/>
      <w:smallCaps/>
      <w:color w:val="2F5496" w:themeColor="accent1" w:themeShade="BF"/>
      <w:spacing w:val="5"/>
    </w:rPr>
  </w:style>
  <w:style w:type="paragraph" w:styleId="Encabezado">
    <w:name w:val="header"/>
    <w:basedOn w:val="Normal"/>
    <w:link w:val="EncabezadoCar"/>
    <w:uiPriority w:val="99"/>
    <w:unhideWhenUsed/>
    <w:rsid w:val="00861DD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61DDF"/>
    <w:rPr>
      <w:kern w:val="0"/>
      <w14:ligatures w14:val="none"/>
    </w:rPr>
  </w:style>
  <w:style w:type="paragraph" w:styleId="Piedepgina">
    <w:name w:val="footer"/>
    <w:basedOn w:val="Normal"/>
    <w:link w:val="PiedepginaCar"/>
    <w:uiPriority w:val="99"/>
    <w:unhideWhenUsed/>
    <w:rsid w:val="00861DD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61DDF"/>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861DDF"/>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861DDF"/>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861DDF"/>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861DDF"/>
    <w:rPr>
      <w:vertAlign w:val="superscript"/>
    </w:rPr>
  </w:style>
  <w:style w:type="table" w:styleId="Tablaconcuadrcula">
    <w:name w:val="Table Grid"/>
    <w:basedOn w:val="Tablanormal"/>
    <w:uiPriority w:val="59"/>
    <w:qFormat/>
    <w:rsid w:val="00861DD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61DDF"/>
    <w:rPr>
      <w:color w:val="0000FF"/>
      <w:u w:val="single"/>
    </w:rPr>
  </w:style>
  <w:style w:type="paragraph" w:customStyle="1" w:styleId="paragraph">
    <w:name w:val="paragraph"/>
    <w:basedOn w:val="Normal"/>
    <w:rsid w:val="00861DDF"/>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link w:val="NormalWebCar"/>
    <w:uiPriority w:val="99"/>
    <w:unhideWhenUsed/>
    <w:rsid w:val="00861DDF"/>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861DDF"/>
    <w:pPr>
      <w:spacing w:line="240" w:lineRule="exact"/>
    </w:pPr>
    <w:rPr>
      <w:kern w:val="2"/>
      <w:vertAlign w:val="superscript"/>
      <w14:ligatures w14:val="standardContextual"/>
    </w:rPr>
  </w:style>
  <w:style w:type="table" w:customStyle="1" w:styleId="Tablaconcuadrcula1">
    <w:name w:val="Tabla con cuadrícula1"/>
    <w:basedOn w:val="Tablanormal"/>
    <w:next w:val="Tablaconcuadrcula"/>
    <w:uiPriority w:val="39"/>
    <w:qFormat/>
    <w:rsid w:val="00861DDF"/>
    <w:pPr>
      <w:spacing w:after="0" w:line="240" w:lineRule="auto"/>
    </w:pPr>
    <w:rPr>
      <w:kern w:val="0"/>
      <w14:ligatures w14:val="none"/>
    </w:rPr>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61DDF"/>
  </w:style>
  <w:style w:type="character" w:customStyle="1" w:styleId="NormalWebCar">
    <w:name w:val="Normal (Web) Car"/>
    <w:link w:val="NormalWeb"/>
    <w:uiPriority w:val="99"/>
    <w:rsid w:val="00861DDF"/>
    <w:rPr>
      <w:rFonts w:ascii="Times New Roman" w:eastAsia="Times New Roman" w:hAnsi="Times New Roman" w:cs="Times New Roman"/>
      <w:kern w:val="0"/>
      <w:sz w:val="24"/>
      <w:szCs w:val="24"/>
      <w:lang w:eastAsia="es-CO"/>
      <w14:ligatures w14:val="none"/>
    </w:rPr>
  </w:style>
  <w:style w:type="character" w:customStyle="1" w:styleId="baj">
    <w:name w:val="b_aj"/>
    <w:basedOn w:val="Fuentedeprrafopredeter"/>
    <w:rsid w:val="00861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azhirrm82@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7994B22-F5F7-44A8-8400-F9BE4256C797}">
  <ds:schemaRefs>
    <ds:schemaRef ds:uri="http://schemas.microsoft.com/sharepoint/v3/contenttype/forms"/>
  </ds:schemaRefs>
</ds:datastoreItem>
</file>

<file path=customXml/itemProps2.xml><?xml version="1.0" encoding="utf-8"?>
<ds:datastoreItem xmlns:ds="http://schemas.openxmlformats.org/officeDocument/2006/customXml" ds:itemID="{D943669D-2C59-4FF0-964D-77CE8CFC5F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3D3BC8-2E7E-4405-98FC-BDA94640A349}">
  <ds:schemaRefs>
    <ds:schemaRef ds:uri="9d85dbaf-23eb-4e57-a637-93dcacc8b1a1"/>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a6cb9e4b-f1d1-4245-83ec-6cad768d538a"/>
    <ds:schemaRef ds:uri="http://schemas.microsoft.com/office/2006/metadata/properties"/>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32</Pages>
  <Words>11781</Words>
  <Characters>64446</Characters>
  <Application>Microsoft Office Word</Application>
  <DocSecurity>0</DocSecurity>
  <Lines>1193</Lines>
  <Paragraphs>210</Paragraphs>
  <ScaleCrop>false</ScaleCrop>
  <Company/>
  <LinksUpToDate>false</LinksUpToDate>
  <CharactersWithSpaces>76017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Andrés Rivera Cano</cp:lastModifiedBy>
  <cp:revision>2</cp:revision>
  <dcterms:created xsi:type="dcterms:W3CDTF">2026-01-08T21:14:00Z</dcterms:created>
  <dcterms:modified xsi:type="dcterms:W3CDTF">2026-01-08T21:14:00Z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