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7C7E20" w14:textId="7D46B5A9" w:rsidR="00D8013F" w:rsidRPr="00D8013F" w:rsidRDefault="00D8013F" w:rsidP="00D8013F">
      <w:pPr>
        <w:spacing w:after="0"/>
        <w:jc w:val="both"/>
        <w:rPr>
          <w:rFonts w:ascii="Verdana" w:hAnsi="Verdana"/>
        </w:rPr>
      </w:pPr>
      <w:bookmarkStart w:id="0" w:name="_Hlk186494164"/>
      <w:bookmarkStart w:id="1" w:name="_Hlk143780582"/>
      <w:r w:rsidRPr="00CD302B">
        <w:rPr>
          <w:rFonts w:ascii="Verdana" w:eastAsia="Arial" w:hAnsi="Verdana" w:cs="Arial"/>
          <w:b/>
          <w:bCs/>
          <w:kern w:val="2"/>
          <w:lang w:val="es-ES"/>
          <w14:ligatures w14:val="standardContextual"/>
        </w:rPr>
        <w:t xml:space="preserve">PROFESIONAL EN INGENIERÍA </w:t>
      </w:r>
      <w:r w:rsidRPr="00CD302B">
        <w:rPr>
          <w:rFonts w:ascii="Verdana" w:eastAsia="Arial" w:hAnsi="Verdana" w:cs="Arial"/>
          <w:b/>
          <w:kern w:val="2"/>
          <w:lang w:val="es-ES"/>
          <w14:ligatures w14:val="standardContextual"/>
        </w:rPr>
        <w:t>–</w:t>
      </w:r>
      <w:r w:rsidRPr="00CD302B">
        <w:rPr>
          <w:rFonts w:ascii="Verdana" w:eastAsia="Arial" w:hAnsi="Verdana" w:cs="Arial"/>
          <w:b/>
          <w:bCs/>
          <w:kern w:val="2"/>
          <w:lang w:val="es-ES"/>
          <w14:ligatures w14:val="standardContextual"/>
        </w:rPr>
        <w:t xml:space="preserve"> Ejercicio de la ingeniería – Aval – Procesos de contratación – Personas naturales – Personas jurídicas</w:t>
      </w:r>
    </w:p>
    <w:p w14:paraId="55FF5309" w14:textId="77777777" w:rsidR="00D8013F" w:rsidRPr="00CD302B" w:rsidRDefault="00D8013F" w:rsidP="00D8013F">
      <w:pPr>
        <w:widowControl w:val="0"/>
        <w:autoSpaceDE w:val="0"/>
        <w:autoSpaceDN w:val="0"/>
        <w:spacing w:before="5" w:after="0" w:line="276" w:lineRule="auto"/>
        <w:rPr>
          <w:rFonts w:ascii="Verdana" w:eastAsia="Arial" w:hAnsi="Verdana" w:cs="Arial"/>
          <w:kern w:val="2"/>
          <w:lang w:val="es-ES"/>
          <w14:ligatures w14:val="standardContextual"/>
        </w:rPr>
      </w:pPr>
    </w:p>
    <w:p w14:paraId="5C4F0D7A" w14:textId="2890E1AF" w:rsidR="00BF53B5" w:rsidRPr="00753779" w:rsidRDefault="00BF53B5" w:rsidP="00753779">
      <w:pPr>
        <w:widowControl w:val="0"/>
        <w:autoSpaceDE w:val="0"/>
        <w:autoSpaceDN w:val="0"/>
        <w:spacing w:after="0" w:line="240" w:lineRule="auto"/>
        <w:jc w:val="both"/>
        <w:rPr>
          <w:rFonts w:ascii="Verdana" w:eastAsia="Arial" w:hAnsi="Verdana" w:cs="Arial"/>
          <w:color w:val="000000"/>
          <w:sz w:val="20"/>
          <w:szCs w:val="20"/>
          <w:lang w:val="es-ES"/>
        </w:rPr>
      </w:pPr>
      <w:r w:rsidRPr="00753779">
        <w:rPr>
          <w:rFonts w:ascii="Verdana" w:eastAsia="Arial" w:hAnsi="Verdana" w:cs="Arial"/>
          <w:color w:val="000000"/>
          <w:sz w:val="20"/>
          <w:szCs w:val="20"/>
          <w:lang w:val="es-ES"/>
        </w:rPr>
        <w:t xml:space="preserve">[…] en concordancia con el Consejo Profesional Nacional de Ingeniería –COPNIA–, </w:t>
      </w:r>
      <w:r w:rsidRPr="00753779">
        <w:rPr>
          <w:rFonts w:ascii="Verdana" w:eastAsia="Arial" w:hAnsi="Verdana" w:cs="Arial"/>
          <w:i/>
          <w:iCs/>
          <w:color w:val="000000"/>
          <w:sz w:val="20"/>
          <w:szCs w:val="20"/>
          <w:lang w:val="es-ES"/>
        </w:rPr>
        <w:t>la persona natural que presente propuesta en un proceso de contratación desarrollado en virtud de los documentos tipo de obra de infraestructura de transporte deberá acreditar título profesional en ingeniería de la rama correspondiente a la ejecución del objeto a contratar</w:t>
      </w:r>
      <w:r w:rsidRPr="00753779">
        <w:rPr>
          <w:rFonts w:ascii="Verdana" w:eastAsia="Arial" w:hAnsi="Verdana" w:cs="Arial"/>
          <w:color w:val="000000"/>
          <w:sz w:val="20"/>
          <w:szCs w:val="20"/>
          <w:lang w:val="es-ES"/>
        </w:rPr>
        <w:t>, sin que sea posible que ante la ausencia de dicho título participe con el aval de un ingeniero. En efecto, de acuerdo con los apartes citados, dicho aval por parte de un ingeniero solo es posible realizarlo en favor de una persona jurídica, por lo que, tratándose de personas naturales, ellas directamente deberán ser ingenieros.</w:t>
      </w:r>
    </w:p>
    <w:p w14:paraId="00D4EFF5" w14:textId="77777777" w:rsidR="00D8013F" w:rsidRPr="00CD302B" w:rsidRDefault="00D8013F" w:rsidP="00D8013F">
      <w:pPr>
        <w:widowControl w:val="0"/>
        <w:autoSpaceDE w:val="0"/>
        <w:autoSpaceDN w:val="0"/>
        <w:spacing w:after="0" w:line="276" w:lineRule="auto"/>
        <w:jc w:val="both"/>
        <w:rPr>
          <w:rFonts w:ascii="Verdana" w:eastAsia="Arial" w:hAnsi="Verdana" w:cs="Arial"/>
          <w:b/>
          <w:bCs/>
          <w:kern w:val="2"/>
          <w:lang w:val="es-ES"/>
          <w14:ligatures w14:val="standardContextual"/>
        </w:rPr>
      </w:pPr>
    </w:p>
    <w:p w14:paraId="04062AD4" w14:textId="77777777" w:rsidR="00D8013F" w:rsidRPr="00CD302B" w:rsidRDefault="00D8013F" w:rsidP="00D8013F">
      <w:pPr>
        <w:spacing w:after="0" w:line="276" w:lineRule="auto"/>
        <w:jc w:val="both"/>
        <w:rPr>
          <w:rFonts w:ascii="Verdana" w:eastAsia="Calibri" w:hAnsi="Verdana" w:cs="Arial"/>
          <w:kern w:val="2"/>
          <w:highlight w:val="yellow"/>
          <w:lang w:val="es-MX"/>
          <w14:ligatures w14:val="standardContextual"/>
        </w:rPr>
      </w:pPr>
      <w:r w:rsidRPr="00CD302B">
        <w:rPr>
          <w:rFonts w:ascii="Verdana" w:eastAsia="Calibri" w:hAnsi="Verdana" w:cs="Arial"/>
          <w:b/>
          <w:bCs/>
          <w:kern w:val="2"/>
          <w:lang w:val="es-MX"/>
          <w14:ligatures w14:val="standardContextual"/>
        </w:rPr>
        <w:t xml:space="preserve">PROFESIONAL EN INGENIERÍA – Documentos tipo de obra pública de infraestructura de transporte – Carta de presentación de la propuesta </w:t>
      </w:r>
      <w:r>
        <w:rPr>
          <w:rFonts w:ascii="Verdana" w:eastAsia="Calibri" w:hAnsi="Verdana" w:cs="Arial"/>
          <w:b/>
          <w:bCs/>
          <w:kern w:val="2"/>
          <w:lang w:val="es-MX"/>
          <w14:ligatures w14:val="standardContextual"/>
        </w:rPr>
        <w:t xml:space="preserve">– </w:t>
      </w:r>
      <w:r w:rsidRPr="00CD302B">
        <w:rPr>
          <w:rFonts w:ascii="Verdana" w:eastAsia="Calibri" w:hAnsi="Verdana" w:cs="Arial"/>
          <w:b/>
          <w:bCs/>
          <w:kern w:val="2"/>
          <w:lang w:val="es-MX"/>
          <w14:ligatures w14:val="standardContextual"/>
        </w:rPr>
        <w:t>Aval de profesional en ingeniería</w:t>
      </w:r>
    </w:p>
    <w:p w14:paraId="7BA5A98E" w14:textId="77777777" w:rsidR="00D8013F" w:rsidRPr="00CD302B" w:rsidRDefault="00D8013F" w:rsidP="00D8013F">
      <w:pPr>
        <w:spacing w:after="0" w:line="276" w:lineRule="auto"/>
        <w:jc w:val="both"/>
        <w:rPr>
          <w:rFonts w:ascii="Verdana" w:eastAsia="Calibri" w:hAnsi="Verdana" w:cs="Arial"/>
          <w:kern w:val="2"/>
          <w:highlight w:val="yellow"/>
          <w:lang w:val="es-MX"/>
          <w14:ligatures w14:val="standardContextual"/>
        </w:rPr>
      </w:pPr>
    </w:p>
    <w:p w14:paraId="23CEBAAF" w14:textId="677B13A9" w:rsidR="00753779" w:rsidRDefault="00753779" w:rsidP="00C057CE">
      <w:pPr>
        <w:widowControl w:val="0"/>
        <w:autoSpaceDE w:val="0"/>
        <w:autoSpaceDN w:val="0"/>
        <w:spacing w:after="0" w:line="240" w:lineRule="auto"/>
        <w:ind w:right="51"/>
        <w:jc w:val="both"/>
        <w:rPr>
          <w:rFonts w:ascii="Verdana" w:eastAsia="Arial" w:hAnsi="Verdana" w:cs="Arial"/>
          <w:i/>
          <w:iCs/>
          <w:sz w:val="20"/>
          <w:szCs w:val="20"/>
          <w:lang w:val="es-ES"/>
        </w:rPr>
      </w:pPr>
      <w:r w:rsidRPr="00C057CE">
        <w:rPr>
          <w:rFonts w:ascii="Verdana" w:eastAsia="Times New Roman" w:hAnsi="Verdana" w:cs="Arial"/>
          <w:color w:val="000000"/>
          <w:sz w:val="20"/>
          <w:szCs w:val="20"/>
          <w:lang w:val="es-ES" w:eastAsia="es-ES_tradnl"/>
        </w:rPr>
        <w:t>[…] los procesos de selección realizados con base en los documentos tipo para obras públicas de infraestructura de transporte, al estar orientados a la elección de contratistas idóneos para la ejecución de actividades como construcción, mejoramiento, rehabilitación, entre otras, conforme con lo previsto en la Matriz 1 – Experiencia, implican necesariamente el ejercicio de la ingeniería. Por lo tanto, la participación del proponente está supeditada al cumplimiento de la inscripción en el Registro Profesional del COPNIA (Consejo Profesional Nacional de Ingeniería) o en el Consejo Profesional de Ingeniería de Transportes y Vías de Colombia</w:t>
      </w:r>
      <w:r w:rsidRPr="00C057CE">
        <w:rPr>
          <w:rFonts w:ascii="Verdana" w:eastAsia="Arial" w:hAnsi="Verdana" w:cs="Arial"/>
          <w:sz w:val="20"/>
          <w:szCs w:val="20"/>
          <w:lang w:val="es-ES"/>
        </w:rPr>
        <w:t>.</w:t>
      </w:r>
      <w:r w:rsidRPr="00C057CE">
        <w:rPr>
          <w:rFonts w:ascii="Verdana" w:eastAsia="Arial" w:hAnsi="Verdana" w:cs="Arial"/>
          <w:i/>
          <w:iCs/>
          <w:sz w:val="20"/>
          <w:szCs w:val="20"/>
          <w:lang w:val="es-ES"/>
        </w:rPr>
        <w:t xml:space="preserve"> </w:t>
      </w:r>
    </w:p>
    <w:p w14:paraId="038B9177" w14:textId="77777777" w:rsidR="00C057CE" w:rsidRPr="00C057CE" w:rsidRDefault="00C057CE" w:rsidP="00C057CE">
      <w:pPr>
        <w:widowControl w:val="0"/>
        <w:autoSpaceDE w:val="0"/>
        <w:autoSpaceDN w:val="0"/>
        <w:spacing w:after="0" w:line="240" w:lineRule="auto"/>
        <w:ind w:right="51"/>
        <w:jc w:val="both"/>
        <w:rPr>
          <w:rFonts w:ascii="Verdana" w:eastAsia="Times New Roman" w:hAnsi="Verdana" w:cs="Arial"/>
          <w:color w:val="000000"/>
          <w:sz w:val="20"/>
          <w:szCs w:val="20"/>
          <w:lang w:val="es-ES" w:eastAsia="es-ES_tradnl"/>
        </w:rPr>
      </w:pPr>
    </w:p>
    <w:p w14:paraId="073492B3" w14:textId="4CDC9F7E" w:rsidR="00D8013F" w:rsidRPr="00C057CE" w:rsidRDefault="00753779" w:rsidP="00C057CE">
      <w:pPr>
        <w:spacing w:after="0" w:line="240" w:lineRule="auto"/>
        <w:jc w:val="both"/>
        <w:rPr>
          <w:rFonts w:ascii="Verdana" w:eastAsia="Times New Roman" w:hAnsi="Verdana" w:cs="Arial"/>
          <w:color w:val="000000"/>
          <w:sz w:val="20"/>
          <w:szCs w:val="20"/>
          <w:lang w:val="es-ES" w:eastAsia="es-ES_tradnl"/>
        </w:rPr>
      </w:pPr>
      <w:r w:rsidRPr="00C057CE">
        <w:rPr>
          <w:rFonts w:ascii="Verdana" w:eastAsia="Times New Roman" w:hAnsi="Verdana" w:cs="Arial"/>
          <w:color w:val="000000"/>
          <w:sz w:val="20"/>
          <w:szCs w:val="20"/>
          <w:lang w:val="es-ES" w:eastAsia="es-ES_tradnl"/>
        </w:rPr>
        <w:t>Por tal motivo, los aspectos principales asociados a la elaboración y presentación de las ofertas en el marco de procesos de licitación de obra pública de infraestructura de transporte – versión 4, son regulados en el numeral 2.1 del Capítulo II del Documento Base o Pliego Tipo. En dicho numeral se hace referencia a la carta de presentación de la oferta y, de conformidad con lo establecido en la Ley 842 de 2003, se establecen algunas reglas tendientes a evitar el ejercicio ilegal de la ingeniería en el marco de los objetos contractuales ofertados.</w:t>
      </w:r>
    </w:p>
    <w:p w14:paraId="6D144A6A" w14:textId="77777777" w:rsidR="00753779" w:rsidRPr="00C057CE" w:rsidRDefault="00753779" w:rsidP="00753779">
      <w:pPr>
        <w:spacing w:after="0" w:line="240" w:lineRule="auto"/>
        <w:jc w:val="both"/>
        <w:rPr>
          <w:rFonts w:ascii="Verdana" w:eastAsia="Calibri" w:hAnsi="Verdana" w:cs="Arial"/>
          <w:lang w:val="es-ES" w:eastAsia="es-CO"/>
        </w:rPr>
      </w:pPr>
    </w:p>
    <w:p w14:paraId="06EC7FCC" w14:textId="77777777" w:rsidR="00D8013F" w:rsidRPr="00CD302B" w:rsidRDefault="00D8013F" w:rsidP="00D8013F">
      <w:pPr>
        <w:spacing w:after="0" w:line="276" w:lineRule="auto"/>
        <w:jc w:val="both"/>
        <w:rPr>
          <w:rFonts w:ascii="Verdana" w:eastAsia="Calibri" w:hAnsi="Verdana" w:cs="Arial"/>
        </w:rPr>
      </w:pPr>
      <w:r w:rsidRPr="00CD302B">
        <w:rPr>
          <w:rFonts w:ascii="Verdana" w:eastAsia="Arial" w:hAnsi="Verdana" w:cs="Arial"/>
          <w:b/>
          <w:bCs/>
          <w:kern w:val="2"/>
          <w:lang w:val="es-ES"/>
          <w14:ligatures w14:val="standardContextual"/>
        </w:rPr>
        <w:t xml:space="preserve">DOCUMENTOS TIPO </w:t>
      </w:r>
      <w:r w:rsidRPr="00CD302B">
        <w:rPr>
          <w:rFonts w:ascii="Verdana" w:eastAsia="Arial" w:hAnsi="Verdana" w:cs="Arial"/>
          <w:b/>
          <w:kern w:val="2"/>
          <w:lang w:val="es-ES"/>
          <w14:ligatures w14:val="standardContextual"/>
        </w:rPr>
        <w:t xml:space="preserve">– </w:t>
      </w:r>
      <w:r w:rsidRPr="00CD302B">
        <w:rPr>
          <w:rFonts w:ascii="Verdana" w:eastAsia="Arial" w:hAnsi="Verdana" w:cs="Arial"/>
          <w:b/>
          <w:bCs/>
          <w:kern w:val="2"/>
          <w:lang w:val="es-ES"/>
          <w14:ligatures w14:val="standardContextual"/>
        </w:rPr>
        <w:t xml:space="preserve">Profesional en ingeniería </w:t>
      </w:r>
      <w:r w:rsidRPr="00CD302B">
        <w:rPr>
          <w:rFonts w:ascii="Verdana" w:eastAsia="Arial" w:hAnsi="Verdana" w:cs="Arial"/>
          <w:b/>
          <w:kern w:val="2"/>
          <w:lang w:val="es-ES"/>
          <w14:ligatures w14:val="standardContextual"/>
        </w:rPr>
        <w:t>–</w:t>
      </w:r>
      <w:r>
        <w:rPr>
          <w:rFonts w:ascii="Verdana" w:eastAsia="Arial" w:hAnsi="Verdana" w:cs="Arial"/>
          <w:b/>
          <w:kern w:val="2"/>
          <w:lang w:val="es-ES"/>
          <w14:ligatures w14:val="standardContextual"/>
        </w:rPr>
        <w:t xml:space="preserve"> </w:t>
      </w:r>
      <w:r w:rsidRPr="00CD302B">
        <w:rPr>
          <w:rFonts w:ascii="Verdana" w:eastAsia="Arial" w:hAnsi="Verdana" w:cs="Arial"/>
          <w:b/>
          <w:bCs/>
          <w:kern w:val="2"/>
          <w:lang w:val="es-ES"/>
          <w14:ligatures w14:val="standardContextual"/>
        </w:rPr>
        <w:t xml:space="preserve">Carta de presentación de la oferta </w:t>
      </w:r>
      <w:r w:rsidRPr="00CD302B">
        <w:rPr>
          <w:rFonts w:ascii="Verdana" w:eastAsia="Arial" w:hAnsi="Verdana" w:cs="Arial"/>
          <w:b/>
          <w:kern w:val="2"/>
          <w:lang w:val="es-ES"/>
          <w14:ligatures w14:val="standardContextual"/>
        </w:rPr>
        <w:t>–</w:t>
      </w:r>
      <w:r>
        <w:rPr>
          <w:rFonts w:ascii="Verdana" w:eastAsia="Arial" w:hAnsi="Verdana" w:cs="Arial"/>
          <w:b/>
          <w:kern w:val="2"/>
          <w:lang w:val="es-ES"/>
          <w14:ligatures w14:val="standardContextual"/>
        </w:rPr>
        <w:t xml:space="preserve"> </w:t>
      </w:r>
      <w:r w:rsidRPr="00CD302B">
        <w:rPr>
          <w:rFonts w:ascii="Verdana" w:eastAsia="Arial" w:hAnsi="Verdana" w:cs="Arial"/>
          <w:b/>
          <w:bCs/>
          <w:kern w:val="2"/>
          <w:lang w:val="es-ES"/>
          <w14:ligatures w14:val="standardContextual"/>
        </w:rPr>
        <w:t xml:space="preserve">Personas naturales – Personas jurídicas </w:t>
      </w:r>
    </w:p>
    <w:p w14:paraId="39EF7360" w14:textId="77777777" w:rsidR="00D8013F" w:rsidRPr="00CD302B" w:rsidRDefault="00D8013F" w:rsidP="00D8013F">
      <w:pPr>
        <w:widowControl w:val="0"/>
        <w:autoSpaceDE w:val="0"/>
        <w:autoSpaceDN w:val="0"/>
        <w:spacing w:after="0" w:line="276" w:lineRule="auto"/>
        <w:jc w:val="both"/>
        <w:rPr>
          <w:rFonts w:ascii="Verdana" w:eastAsia="Arial" w:hAnsi="Verdana" w:cs="Arial"/>
          <w:color w:val="000000"/>
          <w:kern w:val="2"/>
          <w:lang w:val="es-MX"/>
          <w14:ligatures w14:val="standardContextual"/>
        </w:rPr>
      </w:pPr>
    </w:p>
    <w:p w14:paraId="47E97AD9" w14:textId="29CE93BF" w:rsidR="00753779" w:rsidRDefault="00753779" w:rsidP="00C057CE">
      <w:pPr>
        <w:widowControl w:val="0"/>
        <w:autoSpaceDE w:val="0"/>
        <w:autoSpaceDN w:val="0"/>
        <w:spacing w:after="0" w:line="240" w:lineRule="auto"/>
        <w:jc w:val="both"/>
        <w:rPr>
          <w:rFonts w:ascii="Verdana" w:eastAsia="Arial" w:hAnsi="Verdana" w:cs="Arial"/>
          <w:color w:val="000000"/>
          <w:kern w:val="2"/>
          <w:sz w:val="20"/>
          <w:szCs w:val="20"/>
          <w:lang w:val="es-MX"/>
          <w14:ligatures w14:val="standardContextual"/>
        </w:rPr>
      </w:pPr>
      <w:r w:rsidRPr="00C057CE">
        <w:rPr>
          <w:rFonts w:ascii="Verdana" w:eastAsia="Arial" w:hAnsi="Verdana" w:cs="Arial"/>
          <w:color w:val="000000"/>
          <w:kern w:val="2"/>
          <w:sz w:val="20"/>
          <w:szCs w:val="20"/>
          <w:lang w:val="es-MX"/>
          <w14:ligatures w14:val="standardContextual"/>
        </w:rPr>
        <w:t xml:space="preserve">[…] para que una persona natural pueda participar en un proceso de licitación de obra pública de infraestructura de transporte, ya sea como proponente individual o como integrante de una estructura plural, el Documento Base o Pliego Tipo exige acreditar, no solo el título en la respectiva rama de la ingeniería, sino también la vigencia de la matricula profesional que habilita para ejercer dicha profesión. Esta regulación parte del presupuesto de que, la ejecución del objeto contractual general que se estandariza mediante los referidos documentos tipo, es una actividad que constituye ejercicio de la </w:t>
      </w:r>
      <w:r w:rsidRPr="00C057CE">
        <w:rPr>
          <w:rFonts w:ascii="Verdana" w:eastAsia="Arial" w:hAnsi="Verdana" w:cs="Arial"/>
          <w:color w:val="000000"/>
          <w:kern w:val="2"/>
          <w:sz w:val="20"/>
          <w:szCs w:val="20"/>
          <w:lang w:val="es-MX"/>
          <w14:ligatures w14:val="standardContextual"/>
        </w:rPr>
        <w:lastRenderedPageBreak/>
        <w:t xml:space="preserve">ingeniería de conformidad con el literal a) del artículo 2 de la Ley 842 de 2003, por lo que la presentación de la oferta en estos procesos de selección se encuentra regida por lo establecido en el artículo 20 de dicha ley.  </w:t>
      </w:r>
    </w:p>
    <w:p w14:paraId="16EF4EE3" w14:textId="77777777" w:rsidR="00C057CE" w:rsidRPr="00C057CE" w:rsidRDefault="00C057CE" w:rsidP="00C057CE">
      <w:pPr>
        <w:widowControl w:val="0"/>
        <w:autoSpaceDE w:val="0"/>
        <w:autoSpaceDN w:val="0"/>
        <w:spacing w:after="0" w:line="240" w:lineRule="auto"/>
        <w:jc w:val="both"/>
        <w:rPr>
          <w:rFonts w:ascii="Verdana" w:eastAsia="Arial" w:hAnsi="Verdana" w:cs="Arial"/>
          <w:color w:val="000000"/>
          <w:kern w:val="2"/>
          <w:sz w:val="20"/>
          <w:szCs w:val="20"/>
          <w:lang w:val="es-MX"/>
          <w14:ligatures w14:val="standardContextual"/>
        </w:rPr>
      </w:pPr>
    </w:p>
    <w:p w14:paraId="631AAD73" w14:textId="77777777" w:rsidR="00753779" w:rsidRPr="00C057CE" w:rsidRDefault="00753779" w:rsidP="00C057CE">
      <w:pPr>
        <w:widowControl w:val="0"/>
        <w:autoSpaceDE w:val="0"/>
        <w:autoSpaceDN w:val="0"/>
        <w:spacing w:after="0" w:line="240" w:lineRule="auto"/>
        <w:jc w:val="both"/>
        <w:rPr>
          <w:rFonts w:ascii="Verdana" w:eastAsia="Times New Roman" w:hAnsi="Verdana" w:cs="Arial"/>
          <w:color w:val="000000"/>
          <w:sz w:val="20"/>
          <w:szCs w:val="20"/>
          <w:shd w:val="clear" w:color="auto" w:fill="FFFFFF"/>
          <w:lang w:eastAsia="es-CO"/>
        </w:rPr>
      </w:pPr>
      <w:r w:rsidRPr="00C057CE">
        <w:rPr>
          <w:rFonts w:ascii="Verdana" w:eastAsia="Arial" w:hAnsi="Verdana" w:cs="Arial"/>
          <w:color w:val="000000"/>
          <w:sz w:val="20"/>
          <w:szCs w:val="20"/>
          <w:lang w:val="es-MX"/>
        </w:rPr>
        <w:t>En el mismo sentido</w:t>
      </w:r>
      <w:r w:rsidRPr="00C057CE">
        <w:rPr>
          <w:rFonts w:ascii="Verdana" w:eastAsia="Calibri" w:hAnsi="Verdana" w:cs="Arial"/>
          <w:sz w:val="20"/>
          <w:szCs w:val="20"/>
          <w:lang w:val="es-MX"/>
        </w:rPr>
        <w:t xml:space="preserve">, respecto de las personas jurídicas que actúen como proponentes singulares o integrantes de proponentes plurales, el segundo párrafo transcrito establece una regulación análoga, también dirigida a garantizar el legal ejercicio de la ingeniería. Conforme a esta, cuando el representante legal o apoderado del proponente individual persona jurídica o el representante legal o apoderado de la estructura plural no posee título de una de las profesiones catalogadas como ejercicio de la ingeniería, se requiere que la oferta sea avalada por un ingeniero.  Así, si se verifica el </w:t>
      </w:r>
      <w:r w:rsidRPr="00C057CE">
        <w:rPr>
          <w:rFonts w:ascii="Verdana" w:eastAsia="Times New Roman" w:hAnsi="Verdana" w:cs="Arial"/>
          <w:bCs/>
          <w:color w:val="000000"/>
          <w:sz w:val="20"/>
          <w:szCs w:val="20"/>
          <w:lang w:eastAsia="es-CO"/>
        </w:rPr>
        <w:t xml:space="preserve">Formato 1 – Carta de presentación de la propuesta, se observa un espacio dispuesto para ser diligenciado cuando </w:t>
      </w:r>
      <w:r w:rsidRPr="00C057CE">
        <w:rPr>
          <w:rFonts w:ascii="Verdana" w:eastAsia="Calibri" w:hAnsi="Verdana" w:cs="Arial"/>
          <w:sz w:val="20"/>
          <w:szCs w:val="20"/>
        </w:rPr>
        <w:t xml:space="preserve">el proponente o su representante legal no sea un Ingeniero, en el que se señala: “De acuerdo con lo expresado en la Ley 842 de 2003 y debido a que el suscriptor de la presente propuesta no es ingeniero matriculado, yo […] ingeniero con matrícula profesional No. […] avalo la presente propuesta” </w:t>
      </w:r>
      <w:r w:rsidRPr="00C057CE">
        <w:rPr>
          <w:rFonts w:ascii="Verdana" w:eastAsia="Times New Roman" w:hAnsi="Verdana" w:cs="Arial"/>
          <w:sz w:val="20"/>
          <w:szCs w:val="20"/>
          <w:lang w:eastAsia="es-ES"/>
        </w:rPr>
        <w:t>(Nombre y firma de quien avala la propuesta)</w:t>
      </w:r>
      <w:r w:rsidRPr="00C057CE">
        <w:rPr>
          <w:rFonts w:ascii="Verdana" w:eastAsia="Times New Roman" w:hAnsi="Verdana" w:cs="Arial"/>
          <w:color w:val="000000"/>
          <w:sz w:val="20"/>
          <w:szCs w:val="20"/>
          <w:shd w:val="clear" w:color="auto" w:fill="FFFFFF"/>
          <w:lang w:eastAsia="es-CO"/>
        </w:rPr>
        <w:t>”.</w:t>
      </w:r>
    </w:p>
    <w:p w14:paraId="6816304B" w14:textId="77777777" w:rsidR="00D8013F" w:rsidRPr="00CD302B" w:rsidRDefault="00D8013F" w:rsidP="00D8013F">
      <w:pPr>
        <w:spacing w:after="0" w:line="240" w:lineRule="auto"/>
        <w:jc w:val="both"/>
        <w:rPr>
          <w:rFonts w:ascii="Verdana" w:eastAsia="Aptos" w:hAnsi="Verdana" w:cs="Arial"/>
          <w:kern w:val="2"/>
          <w:sz w:val="20"/>
          <w:szCs w:val="20"/>
          <w:lang w:val="es-ES"/>
          <w14:ligatures w14:val="standardContextual"/>
        </w:rPr>
      </w:pPr>
    </w:p>
    <w:p w14:paraId="36479266" w14:textId="77777777" w:rsidR="00D8013F" w:rsidRPr="00CD302B" w:rsidRDefault="00D8013F" w:rsidP="00D8013F">
      <w:pPr>
        <w:spacing w:after="0" w:line="276" w:lineRule="auto"/>
        <w:jc w:val="both"/>
        <w:rPr>
          <w:rFonts w:ascii="Verdana" w:eastAsia="Calibri" w:hAnsi="Verdana" w:cs="Arial"/>
        </w:rPr>
      </w:pPr>
      <w:r w:rsidRPr="00CD302B">
        <w:rPr>
          <w:rFonts w:ascii="Verdana" w:eastAsia="Arial" w:hAnsi="Verdana" w:cs="Arial"/>
          <w:b/>
          <w:bCs/>
          <w:kern w:val="2"/>
          <w:lang w:val="es-ES"/>
          <w14:ligatures w14:val="standardContextual"/>
        </w:rPr>
        <w:t xml:space="preserve">DOCUMENTOS TIPO </w:t>
      </w:r>
      <w:r w:rsidRPr="00CD302B">
        <w:rPr>
          <w:rFonts w:ascii="Verdana" w:eastAsia="Arial" w:hAnsi="Verdana" w:cs="Arial"/>
          <w:b/>
          <w:kern w:val="2"/>
          <w:lang w:val="es-ES"/>
          <w14:ligatures w14:val="standardContextual"/>
        </w:rPr>
        <w:t xml:space="preserve">– </w:t>
      </w:r>
      <w:r>
        <w:rPr>
          <w:rFonts w:ascii="Verdana" w:eastAsia="Arial" w:hAnsi="Verdana" w:cs="Arial"/>
          <w:b/>
          <w:bCs/>
          <w:kern w:val="2"/>
          <w:lang w:val="es-ES"/>
          <w14:ligatures w14:val="standardContextual"/>
        </w:rPr>
        <w:t xml:space="preserve">Ejercicio de la ingeniería – Profesiones afines – Arquitectura – Idoneidad </w:t>
      </w:r>
      <w:r w:rsidRPr="00CD302B">
        <w:rPr>
          <w:rFonts w:ascii="Verdana" w:eastAsia="Arial" w:hAnsi="Verdana" w:cs="Arial"/>
          <w:b/>
          <w:bCs/>
          <w:kern w:val="2"/>
          <w:lang w:val="es-ES"/>
          <w14:ligatures w14:val="standardContextual"/>
        </w:rPr>
        <w:t xml:space="preserve"> </w:t>
      </w:r>
    </w:p>
    <w:p w14:paraId="72C83522" w14:textId="77777777" w:rsidR="00D8013F" w:rsidRPr="00012FED" w:rsidRDefault="00D8013F" w:rsidP="00D8013F">
      <w:pPr>
        <w:widowControl w:val="0"/>
        <w:autoSpaceDE w:val="0"/>
        <w:autoSpaceDN w:val="0"/>
        <w:spacing w:after="0" w:line="240" w:lineRule="auto"/>
        <w:ind w:right="51"/>
        <w:jc w:val="both"/>
        <w:rPr>
          <w:rFonts w:ascii="Verdana" w:eastAsia="Times New Roman" w:hAnsi="Verdana" w:cs="Arial"/>
          <w:color w:val="000000"/>
          <w:lang w:val="es-ES" w:eastAsia="es-ES_tradnl"/>
        </w:rPr>
      </w:pPr>
    </w:p>
    <w:p w14:paraId="2701CDF2" w14:textId="77777777" w:rsidR="00753779" w:rsidRPr="00C057CE" w:rsidRDefault="00753779" w:rsidP="00C057CE">
      <w:pPr>
        <w:spacing w:after="0" w:line="240" w:lineRule="auto"/>
        <w:jc w:val="both"/>
        <w:rPr>
          <w:rFonts w:ascii="Verdana" w:eastAsia="Calibri" w:hAnsi="Verdana" w:cstheme="minorHAnsi"/>
          <w:sz w:val="20"/>
          <w:szCs w:val="20"/>
          <w:lang w:val="es-ES"/>
        </w:rPr>
      </w:pPr>
      <w:r w:rsidRPr="00C057CE">
        <w:rPr>
          <w:rFonts w:ascii="Verdana" w:eastAsia="Calibri" w:hAnsi="Verdana" w:cstheme="minorHAnsi"/>
          <w:sz w:val="20"/>
          <w:szCs w:val="20"/>
          <w:lang w:val="es-ES"/>
        </w:rPr>
        <w:t>Por su parte, hay que mencionar que si bien el articulo 4 de la Ley 842 de 2003 establece como profesiones afines la arquitectura, esto significa, como allí se menciona, que “</w:t>
      </w:r>
      <w:r w:rsidRPr="00C057CE">
        <w:rPr>
          <w:rFonts w:ascii="Verdana" w:eastAsia="Calibri" w:hAnsi="Verdana" w:cstheme="minorHAnsi"/>
          <w:i/>
          <w:iCs/>
          <w:sz w:val="20"/>
          <w:szCs w:val="20"/>
          <w:lang w:val="es-ES"/>
        </w:rPr>
        <w:t xml:space="preserve">su ejercicio se desarrolla en actividades relacionadas con la ingeniería en cualquiera de sus áreas, o cuyo </w:t>
      </w:r>
      <w:r w:rsidRPr="00C057CE">
        <w:rPr>
          <w:rFonts w:ascii="Verdana" w:eastAsia="Calibri" w:hAnsi="Verdana" w:cstheme="minorHAnsi"/>
          <w:i/>
          <w:iCs/>
          <w:sz w:val="20"/>
          <w:szCs w:val="20"/>
          <w:u w:val="single"/>
          <w:lang w:val="es-ES"/>
        </w:rPr>
        <w:t>campo ocupacional es conexo a la ingeniería</w:t>
      </w:r>
      <w:r w:rsidRPr="00C057CE">
        <w:rPr>
          <w:rFonts w:ascii="Verdana" w:eastAsia="Calibri" w:hAnsi="Verdana" w:cstheme="minorHAnsi"/>
          <w:i/>
          <w:iCs/>
          <w:sz w:val="20"/>
          <w:szCs w:val="20"/>
          <w:lang w:val="es-ES"/>
        </w:rPr>
        <w:t>” [subrayado fuera del texto original]</w:t>
      </w:r>
      <w:r w:rsidRPr="00C057CE">
        <w:rPr>
          <w:rFonts w:ascii="Verdana" w:eastAsia="Calibri" w:hAnsi="Verdana" w:cstheme="minorHAnsi"/>
          <w:sz w:val="20"/>
          <w:szCs w:val="20"/>
          <w:lang w:val="es-ES"/>
        </w:rPr>
        <w:t>. En este sentido, la naturaleza técnica de los proyectos de infraestructura de transporte está relacionada,</w:t>
      </w:r>
      <w:r w:rsidRPr="00C057CE">
        <w:rPr>
          <w:rFonts w:ascii="Verdana" w:hAnsi="Verdana" w:cstheme="minorHAnsi"/>
          <w:sz w:val="20"/>
          <w:szCs w:val="20"/>
        </w:rPr>
        <w:t xml:space="preserve"> entre otros, con los siguientes componentes técnicos: diseño geométrico y construcción de vías [urbanas, primarias, secundarias y terciarias], infraestructura marítima y fluvial, infraestructura férrea, infraestructura aeroportuaria, ingeniería de pavimentos, geotecnia y estabilidad de taludes, estructuras hidráulicas, hidrología e hidráulica, estructuras para puentes, infraestructura de túneles, proyectos en general de tránsito y transporte, análisis de riesgos y seguridad vial. En consecuencia, si bien en la infraestructura vial urbana pueden incorporarse actividades de urbanismo y espacio público u otras que estén asociadas a la infraestructura de transporte en donde posiblemente participen los arquitectos, esto no significa que la integralidad de los componentes de este tipo de infraestructura puedan abordarse de manera directa por los arquitectos y/o que ellos puedan otorgar el aval de las ofertas en procesos de contratación con pliegos tipo del sector transporte.</w:t>
      </w:r>
    </w:p>
    <w:p w14:paraId="05AB50A4" w14:textId="2C6482FC" w:rsidR="00D8013F" w:rsidRPr="00557D9F" w:rsidRDefault="00D8013F" w:rsidP="00D8013F">
      <w:pPr>
        <w:spacing w:after="120" w:line="240" w:lineRule="auto"/>
        <w:jc w:val="both"/>
        <w:rPr>
          <w:rFonts w:ascii="Verdana" w:eastAsia="Calibri" w:hAnsi="Verdana" w:cstheme="minorHAnsi"/>
          <w:sz w:val="20"/>
          <w:szCs w:val="20"/>
          <w:lang w:val="es-ES"/>
        </w:rPr>
      </w:pPr>
    </w:p>
    <w:p w14:paraId="18415DA6" w14:textId="77777777" w:rsidR="00D8013F" w:rsidRPr="00CD302B" w:rsidRDefault="00D8013F" w:rsidP="00D8013F">
      <w:pPr>
        <w:widowControl w:val="0"/>
        <w:autoSpaceDE w:val="0"/>
        <w:autoSpaceDN w:val="0"/>
        <w:spacing w:after="0" w:line="240" w:lineRule="auto"/>
        <w:ind w:right="51"/>
        <w:jc w:val="both"/>
        <w:rPr>
          <w:rFonts w:ascii="Verdana" w:eastAsia="Times New Roman" w:hAnsi="Verdana" w:cs="Arial"/>
          <w:color w:val="000000"/>
          <w:sz w:val="20"/>
          <w:szCs w:val="20"/>
          <w:lang w:val="es-ES" w:eastAsia="es-ES_tradnl"/>
        </w:rPr>
      </w:pPr>
    </w:p>
    <w:p w14:paraId="37BD0B9A" w14:textId="77777777" w:rsidR="00D8013F" w:rsidRDefault="00D8013F" w:rsidP="00D8013F">
      <w:pPr>
        <w:widowControl w:val="0"/>
        <w:autoSpaceDE w:val="0"/>
        <w:autoSpaceDN w:val="0"/>
        <w:spacing w:after="0" w:line="240" w:lineRule="auto"/>
        <w:ind w:right="51"/>
        <w:jc w:val="both"/>
        <w:rPr>
          <w:rFonts w:ascii="Verdana" w:eastAsia="Times New Roman" w:hAnsi="Verdana" w:cs="Arial"/>
          <w:color w:val="000000"/>
          <w:sz w:val="20"/>
          <w:szCs w:val="20"/>
          <w:lang w:val="es-ES" w:eastAsia="es-ES_tradnl"/>
        </w:rPr>
      </w:pPr>
    </w:p>
    <w:p w14:paraId="57FB2F6B" w14:textId="77777777" w:rsidR="00C057CE" w:rsidRPr="00CD302B" w:rsidRDefault="00C057CE" w:rsidP="00D8013F">
      <w:pPr>
        <w:widowControl w:val="0"/>
        <w:autoSpaceDE w:val="0"/>
        <w:autoSpaceDN w:val="0"/>
        <w:spacing w:after="0" w:line="240" w:lineRule="auto"/>
        <w:ind w:right="51"/>
        <w:jc w:val="both"/>
        <w:rPr>
          <w:rFonts w:ascii="Verdana" w:eastAsia="Times New Roman" w:hAnsi="Verdana" w:cs="Arial"/>
          <w:color w:val="000000"/>
          <w:sz w:val="20"/>
          <w:szCs w:val="20"/>
          <w:lang w:val="es-ES" w:eastAsia="es-ES_tradnl"/>
        </w:rPr>
      </w:pPr>
    </w:p>
    <w:p w14:paraId="6A72D4BB" w14:textId="77777777" w:rsidR="00D8013F" w:rsidRPr="00CD302B" w:rsidRDefault="00D8013F" w:rsidP="00D8013F">
      <w:pPr>
        <w:widowControl w:val="0"/>
        <w:autoSpaceDE w:val="0"/>
        <w:autoSpaceDN w:val="0"/>
        <w:spacing w:after="0" w:line="240" w:lineRule="auto"/>
        <w:ind w:right="51"/>
        <w:jc w:val="both"/>
        <w:rPr>
          <w:rFonts w:ascii="Verdana" w:eastAsia="Times New Roman" w:hAnsi="Verdana" w:cs="Arial"/>
          <w:color w:val="000000"/>
          <w:sz w:val="20"/>
          <w:szCs w:val="20"/>
          <w:lang w:val="es-ES" w:eastAsia="es-ES_tradnl"/>
        </w:rPr>
      </w:pPr>
    </w:p>
    <w:p w14:paraId="5257F634" w14:textId="77777777" w:rsidR="00D8013F" w:rsidRPr="00CD302B" w:rsidRDefault="00D8013F" w:rsidP="00D8013F">
      <w:pPr>
        <w:widowControl w:val="0"/>
        <w:autoSpaceDE w:val="0"/>
        <w:autoSpaceDN w:val="0"/>
        <w:spacing w:after="0" w:line="240" w:lineRule="auto"/>
        <w:ind w:right="51"/>
        <w:jc w:val="both"/>
        <w:rPr>
          <w:rFonts w:ascii="Verdana" w:eastAsia="Times New Roman" w:hAnsi="Verdana" w:cs="Arial"/>
          <w:color w:val="000000"/>
          <w:sz w:val="20"/>
          <w:szCs w:val="20"/>
          <w:lang w:val="es-ES" w:eastAsia="es-ES_tradnl"/>
        </w:rPr>
      </w:pPr>
    </w:p>
    <w:p w14:paraId="547C6006" w14:textId="77777777" w:rsidR="00D8013F" w:rsidRDefault="00D8013F" w:rsidP="00D8013F">
      <w:pPr>
        <w:spacing w:after="0" w:line="240" w:lineRule="auto"/>
        <w:rPr>
          <w:rFonts w:ascii="Verdana" w:eastAsia="Times New Roman" w:hAnsi="Verdana" w:cs="Arial"/>
          <w:color w:val="000000"/>
          <w:sz w:val="20"/>
          <w:szCs w:val="20"/>
          <w:lang w:val="es-ES" w:eastAsia="es-ES_tradnl"/>
        </w:rPr>
      </w:pPr>
    </w:p>
    <w:p w14:paraId="6D2CB8B0" w14:textId="0C066A2F" w:rsidR="00DE7DD8" w:rsidRDefault="00DE7DD8" w:rsidP="00D8013F">
      <w:pPr>
        <w:spacing w:after="0" w:line="240" w:lineRule="auto"/>
        <w:rPr>
          <w:rFonts w:ascii="Verdana" w:eastAsia="Geomanist Light" w:hAnsi="Verdana" w:cs="Arial"/>
          <w:kern w:val="2"/>
          <w14:ligatures w14:val="standardContextual"/>
        </w:rPr>
      </w:pPr>
      <w:r w:rsidRPr="00DE7DD8">
        <w:rPr>
          <w:rFonts w:ascii="Verdana" w:eastAsia="Calibri" w:hAnsi="Verdana" w:cs="Arial"/>
          <w:noProof/>
          <w:color w:val="000000"/>
        </w:rPr>
        <w:lastRenderedPageBreak/>
        <w:drawing>
          <wp:anchor distT="0" distB="0" distL="114300" distR="114300" simplePos="0" relativeHeight="251658240" behindDoc="1" locked="0" layoutInCell="1" allowOverlap="1" wp14:anchorId="6B2BE0C5" wp14:editId="65D0B560">
            <wp:simplePos x="0" y="0"/>
            <wp:positionH relativeFrom="column">
              <wp:posOffset>3143885</wp:posOffset>
            </wp:positionH>
            <wp:positionV relativeFrom="paragraph">
              <wp:posOffset>130175</wp:posOffset>
            </wp:positionV>
            <wp:extent cx="3102610" cy="913765"/>
            <wp:effectExtent l="0" t="0" r="2540" b="635"/>
            <wp:wrapTight wrapText="bothSides">
              <wp:wrapPolygon edited="0">
                <wp:start x="0" y="0"/>
                <wp:lineTo x="0" y="21165"/>
                <wp:lineTo x="21485" y="21165"/>
                <wp:lineTo x="21485" y="0"/>
                <wp:lineTo x="0" y="0"/>
              </wp:wrapPolygon>
            </wp:wrapTight>
            <wp:docPr id="1495999543" name="Imagen 1" descr="Interfaz de usuario gráfica, Texto, Chat o mensaje de 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5999543" name="Imagen 1" descr="Interfaz de usuario gráfica, Texto, Chat o mensaje de 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3102610" cy="913765"/>
                    </a:xfrm>
                    <a:prstGeom prst="rect">
                      <a:avLst/>
                    </a:prstGeom>
                  </pic:spPr>
                </pic:pic>
              </a:graphicData>
            </a:graphic>
            <wp14:sizeRelH relativeFrom="margin">
              <wp14:pctWidth>0</wp14:pctWidth>
            </wp14:sizeRelH>
            <wp14:sizeRelV relativeFrom="margin">
              <wp14:pctHeight>0</wp14:pctHeight>
            </wp14:sizeRelV>
          </wp:anchor>
        </w:drawing>
      </w:r>
      <w:r w:rsidRPr="00DE7DD8">
        <w:rPr>
          <w:rFonts w:ascii="Verdana" w:eastAsia="Geomanist Light" w:hAnsi="Verdana" w:cs="Arial"/>
          <w:kern w:val="2"/>
          <w14:ligatures w14:val="standardContextual"/>
        </w:rPr>
        <w:t xml:space="preserve">Bogotá D.C., 30 </w:t>
      </w:r>
      <w:proofErr w:type="gramStart"/>
      <w:r w:rsidRPr="00DE7DD8">
        <w:rPr>
          <w:rFonts w:ascii="Verdana" w:eastAsia="Geomanist Light" w:hAnsi="Verdana" w:cs="Arial"/>
          <w:kern w:val="2"/>
          <w14:ligatures w14:val="standardContextual"/>
        </w:rPr>
        <w:t>Diciembre</w:t>
      </w:r>
      <w:proofErr w:type="gramEnd"/>
      <w:r w:rsidRPr="00DE7DD8">
        <w:rPr>
          <w:rFonts w:ascii="Verdana" w:eastAsia="Geomanist Light" w:hAnsi="Verdana" w:cs="Arial"/>
          <w:kern w:val="2"/>
          <w14:ligatures w14:val="standardContextual"/>
        </w:rPr>
        <w:t xml:space="preserve"> 2025</w:t>
      </w:r>
    </w:p>
    <w:p w14:paraId="521925CD" w14:textId="0853A5A5" w:rsidR="00D8013F" w:rsidRDefault="00D8013F" w:rsidP="00D8013F">
      <w:pPr>
        <w:spacing w:after="0" w:line="240" w:lineRule="auto"/>
        <w:rPr>
          <w:rFonts w:ascii="Verdana" w:eastAsia="Geomanist Light" w:hAnsi="Verdana" w:cs="Arial"/>
          <w:kern w:val="2"/>
          <w:lang w:val="es-MX"/>
          <w14:ligatures w14:val="standardContextual"/>
        </w:rPr>
      </w:pPr>
    </w:p>
    <w:p w14:paraId="0347CC95" w14:textId="44C254AC" w:rsidR="00D8013F" w:rsidRPr="00CD302B" w:rsidRDefault="00D8013F" w:rsidP="00D8013F">
      <w:pPr>
        <w:spacing w:after="0" w:line="240" w:lineRule="auto"/>
        <w:jc w:val="both"/>
        <w:rPr>
          <w:rFonts w:ascii="Verdana" w:eastAsia="Calibri" w:hAnsi="Verdana" w:cs="Arial"/>
          <w:color w:val="000000"/>
        </w:rPr>
      </w:pPr>
    </w:p>
    <w:p w14:paraId="74802D31" w14:textId="77777777" w:rsidR="00D8013F" w:rsidRPr="00CD302B" w:rsidRDefault="00D8013F" w:rsidP="00D8013F">
      <w:pPr>
        <w:spacing w:after="0" w:line="240" w:lineRule="auto"/>
        <w:jc w:val="both"/>
        <w:rPr>
          <w:rFonts w:ascii="Verdana" w:eastAsia="Calibri" w:hAnsi="Verdana" w:cs="Arial"/>
          <w:lang w:eastAsia="es-ES"/>
        </w:rPr>
      </w:pPr>
      <w:r w:rsidRPr="00CD302B">
        <w:rPr>
          <w:rFonts w:ascii="Verdana" w:eastAsia="Calibri" w:hAnsi="Verdana" w:cs="Arial"/>
          <w:lang w:eastAsia="es-ES"/>
        </w:rPr>
        <w:t>Señor</w:t>
      </w:r>
    </w:p>
    <w:p w14:paraId="7452B26D" w14:textId="77777777" w:rsidR="00D8013F" w:rsidRPr="00103886" w:rsidRDefault="00D8013F" w:rsidP="00D8013F">
      <w:pPr>
        <w:spacing w:after="0" w:line="240" w:lineRule="auto"/>
        <w:rPr>
          <w:rFonts w:ascii="Verdana" w:eastAsia="Calibri" w:hAnsi="Verdana" w:cs="Arial"/>
          <w:b/>
          <w:bCs/>
          <w:lang w:eastAsia="es-ES"/>
        </w:rPr>
      </w:pPr>
      <w:r>
        <w:rPr>
          <w:rFonts w:ascii="Verdana" w:eastAsia="Calibri" w:hAnsi="Verdana" w:cs="Times New Roman"/>
          <w:b/>
          <w:bCs/>
        </w:rPr>
        <w:t>Vilner Johany Murillo Delgado</w:t>
      </w:r>
    </w:p>
    <w:p w14:paraId="2393F9A8" w14:textId="77777777" w:rsidR="00D8013F" w:rsidRPr="00CD302B" w:rsidRDefault="00D8013F" w:rsidP="00D8013F">
      <w:pPr>
        <w:spacing w:after="0" w:line="240" w:lineRule="auto"/>
        <w:rPr>
          <w:rFonts w:ascii="Verdana" w:eastAsia="Calibri" w:hAnsi="Verdana" w:cs="Times New Roman"/>
        </w:rPr>
      </w:pPr>
      <w:r>
        <w:rPr>
          <w:rFonts w:ascii="Verdana" w:eastAsia="Calibri" w:hAnsi="Verdana" w:cs="Times New Roman"/>
        </w:rPr>
        <w:t>Floridablanca, Santander</w:t>
      </w:r>
    </w:p>
    <w:p w14:paraId="7EDD77D2" w14:textId="77777777" w:rsidR="00D8013F" w:rsidRPr="00CD302B" w:rsidRDefault="00D8013F" w:rsidP="00D8013F">
      <w:pPr>
        <w:spacing w:after="0" w:line="240" w:lineRule="auto"/>
        <w:rPr>
          <w:rFonts w:ascii="Verdana" w:eastAsia="Calibri" w:hAnsi="Verdana" w:cs="Arial"/>
          <w:lang w:eastAsia="es-ES"/>
        </w:rPr>
      </w:pPr>
    </w:p>
    <w:p w14:paraId="114AB2AC" w14:textId="77777777" w:rsidR="00D8013F" w:rsidRPr="00CD302B" w:rsidRDefault="00D8013F" w:rsidP="00D8013F">
      <w:pPr>
        <w:spacing w:after="0" w:line="240" w:lineRule="auto"/>
        <w:rPr>
          <w:rFonts w:ascii="Verdana" w:eastAsia="Calibri" w:hAnsi="Verdana" w:cs="Arial"/>
          <w:b/>
          <w:bCs/>
          <w:color w:val="000000"/>
          <w:lang w:eastAsia="es-ES_tradnl"/>
        </w:rPr>
      </w:pPr>
    </w:p>
    <w:p w14:paraId="79B51BDD" w14:textId="77777777" w:rsidR="00D8013F" w:rsidRPr="00CD302B" w:rsidRDefault="00D8013F" w:rsidP="00D8013F">
      <w:pPr>
        <w:spacing w:after="0" w:line="276" w:lineRule="auto"/>
        <w:jc w:val="center"/>
        <w:rPr>
          <w:rFonts w:ascii="Verdana" w:eastAsia="Calibri" w:hAnsi="Verdana" w:cs="Arial"/>
          <w:b/>
          <w:bCs/>
          <w:lang w:eastAsia="es-ES"/>
        </w:rPr>
      </w:pPr>
      <w:r w:rsidRPr="00CD302B">
        <w:rPr>
          <w:rFonts w:ascii="Verdana" w:eastAsia="Calibri" w:hAnsi="Verdana" w:cs="Arial"/>
          <w:b/>
          <w:bCs/>
          <w:lang w:eastAsia="es-ES"/>
        </w:rPr>
        <w:t xml:space="preserve">Concepto C – </w:t>
      </w:r>
      <w:r>
        <w:rPr>
          <w:rFonts w:ascii="Verdana" w:eastAsia="Calibri" w:hAnsi="Verdana" w:cs="Arial"/>
          <w:b/>
          <w:bCs/>
          <w:lang w:eastAsia="es-ES"/>
        </w:rPr>
        <w:t>1756</w:t>
      </w:r>
      <w:r w:rsidRPr="00CD302B">
        <w:rPr>
          <w:rFonts w:ascii="Verdana" w:eastAsia="Calibri" w:hAnsi="Verdana" w:cs="Arial"/>
          <w:b/>
          <w:bCs/>
          <w:lang w:eastAsia="es-ES"/>
        </w:rPr>
        <w:t xml:space="preserve"> de 2025</w:t>
      </w:r>
    </w:p>
    <w:p w14:paraId="33FAF402" w14:textId="77777777" w:rsidR="00D8013F" w:rsidRDefault="00D8013F" w:rsidP="00D8013F">
      <w:pPr>
        <w:spacing w:after="0" w:line="276" w:lineRule="auto"/>
        <w:rPr>
          <w:rFonts w:ascii="Verdana" w:eastAsia="Calibri" w:hAnsi="Verdana" w:cs="Arial"/>
          <w:b/>
          <w:bCs/>
          <w:color w:val="000000"/>
          <w:lang w:eastAsia="es-ES_tradnl"/>
        </w:rPr>
      </w:pPr>
    </w:p>
    <w:p w14:paraId="3D6FBAFB" w14:textId="77777777" w:rsidR="00D8013F" w:rsidRPr="00CD302B" w:rsidRDefault="00D8013F" w:rsidP="00D8013F">
      <w:pPr>
        <w:spacing w:after="0" w:line="276" w:lineRule="auto"/>
        <w:rPr>
          <w:rFonts w:ascii="Verdana" w:eastAsia="Calibri" w:hAnsi="Verdana" w:cs="Arial"/>
          <w:b/>
          <w:bCs/>
          <w:color w:val="000000"/>
          <w:lang w:eastAsia="es-ES_tradnl"/>
        </w:rPr>
      </w:pP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D8013F" w:rsidRPr="00CD302B" w14:paraId="130A2068" w14:textId="77777777" w:rsidTr="00B9141B">
        <w:trPr>
          <w:trHeight w:val="884"/>
        </w:trPr>
        <w:tc>
          <w:tcPr>
            <w:tcW w:w="2689" w:type="dxa"/>
          </w:tcPr>
          <w:p w14:paraId="02650940" w14:textId="77777777" w:rsidR="00D8013F" w:rsidRPr="00CD302B" w:rsidRDefault="00D8013F" w:rsidP="00B9141B">
            <w:pPr>
              <w:spacing w:line="276" w:lineRule="auto"/>
              <w:jc w:val="both"/>
              <w:rPr>
                <w:rFonts w:ascii="Verdana" w:eastAsia="Calibri" w:hAnsi="Verdana" w:cs="Arial"/>
                <w:color w:val="000000"/>
                <w:lang w:eastAsia="es-ES_tradnl"/>
              </w:rPr>
            </w:pPr>
            <w:r w:rsidRPr="00CD302B">
              <w:rPr>
                <w:rFonts w:ascii="Verdana" w:eastAsia="Calibri" w:hAnsi="Verdana" w:cs="Arial"/>
                <w:b/>
                <w:color w:val="000000"/>
                <w:lang w:eastAsia="es-ES_tradnl"/>
              </w:rPr>
              <w:t>Temas:</w:t>
            </w:r>
            <w:r w:rsidRPr="00CD302B">
              <w:rPr>
                <w:rFonts w:ascii="Verdana" w:eastAsia="Calibri" w:hAnsi="Verdana" w:cs="Arial"/>
                <w:color w:val="000000"/>
                <w:lang w:eastAsia="es-ES_tradnl"/>
              </w:rPr>
              <w:t xml:space="preserve">                   </w:t>
            </w:r>
          </w:p>
        </w:tc>
        <w:tc>
          <w:tcPr>
            <w:tcW w:w="6100" w:type="dxa"/>
          </w:tcPr>
          <w:p w14:paraId="79209C76" w14:textId="3E77B054" w:rsidR="00D8013F" w:rsidRPr="007F1E91" w:rsidRDefault="00D8013F" w:rsidP="00B9141B">
            <w:pPr>
              <w:spacing w:line="276" w:lineRule="auto"/>
              <w:jc w:val="both"/>
              <w:rPr>
                <w:rFonts w:ascii="Verdana" w:eastAsia="Calibri" w:hAnsi="Verdana" w:cs="Arial"/>
              </w:rPr>
            </w:pPr>
            <w:r w:rsidRPr="007F1E91">
              <w:rPr>
                <w:rFonts w:ascii="Verdana" w:eastAsia="Arial" w:hAnsi="Verdana" w:cs="Arial"/>
                <w:lang w:val="es-ES"/>
              </w:rPr>
              <w:t>PROFESIONAL EN INGENIERÍA</w:t>
            </w:r>
            <w:r>
              <w:rPr>
                <w:rFonts w:ascii="Verdana" w:eastAsia="Arial" w:hAnsi="Verdana" w:cs="Arial"/>
                <w:lang w:val="es-ES"/>
              </w:rPr>
              <w:t xml:space="preserve"> – </w:t>
            </w:r>
            <w:r w:rsidRPr="007F1E91">
              <w:rPr>
                <w:rFonts w:ascii="Verdana" w:eastAsia="Arial" w:hAnsi="Verdana" w:cs="Arial"/>
                <w:lang w:val="es-ES"/>
              </w:rPr>
              <w:t xml:space="preserve">Ejercicio de la ingeniería – Aval – Procesos de contratación </w:t>
            </w:r>
            <w:r>
              <w:rPr>
                <w:rFonts w:ascii="Verdana" w:eastAsia="Arial" w:hAnsi="Verdana" w:cs="Arial"/>
                <w:lang w:val="es-ES"/>
              </w:rPr>
              <w:t xml:space="preserve">– </w:t>
            </w:r>
            <w:r w:rsidRPr="007F1E91">
              <w:rPr>
                <w:rFonts w:ascii="Verdana" w:eastAsia="Arial" w:hAnsi="Verdana" w:cs="Arial"/>
                <w:kern w:val="2"/>
                <w:lang w:val="es-ES"/>
              </w:rPr>
              <w:t xml:space="preserve">Personas jurídicas </w:t>
            </w:r>
            <w:r w:rsidRPr="007F1E91">
              <w:rPr>
                <w:rFonts w:ascii="Verdana" w:eastAsia="Arial" w:hAnsi="Verdana" w:cs="Arial"/>
                <w:lang w:val="es-ES"/>
              </w:rPr>
              <w:t xml:space="preserve">/ </w:t>
            </w:r>
            <w:r w:rsidRPr="007F1E91">
              <w:rPr>
                <w:rFonts w:ascii="Verdana" w:eastAsia="Calibri" w:hAnsi="Verdana" w:cs="Arial"/>
                <w:lang w:val="es-MX"/>
              </w:rPr>
              <w:t xml:space="preserve">PROFESIONAL EN INGENIERÍA – Documentos tipo de obra pública de infraestructura de transporte – Carta de presentación de la propuesta – Aval de profesional en ingeniería / </w:t>
            </w:r>
            <w:r w:rsidRPr="007F1E91">
              <w:rPr>
                <w:rFonts w:ascii="Verdana" w:eastAsia="Arial" w:hAnsi="Verdana" w:cs="Arial"/>
                <w:lang w:val="es-ES"/>
              </w:rPr>
              <w:t>DOCUMENTOS TIPO – Profesional en ingeniería –</w:t>
            </w:r>
            <w:r w:rsidR="00753779">
              <w:rPr>
                <w:rFonts w:ascii="Verdana" w:eastAsia="Arial" w:hAnsi="Verdana" w:cs="Arial"/>
                <w:lang w:val="es-ES"/>
              </w:rPr>
              <w:t xml:space="preserve"> </w:t>
            </w:r>
            <w:r w:rsidRPr="007F1E91">
              <w:rPr>
                <w:rFonts w:ascii="Verdana" w:eastAsia="Arial" w:hAnsi="Verdana" w:cs="Arial"/>
                <w:lang w:val="es-ES"/>
              </w:rPr>
              <w:t>Carta de presentación de la oferta –</w:t>
            </w:r>
            <w:r>
              <w:rPr>
                <w:rFonts w:ascii="Verdana" w:eastAsia="Arial" w:hAnsi="Verdana" w:cs="Arial"/>
                <w:lang w:val="es-ES"/>
              </w:rPr>
              <w:t xml:space="preserve"> </w:t>
            </w:r>
            <w:r w:rsidRPr="007F1E91">
              <w:rPr>
                <w:rFonts w:ascii="Verdana" w:eastAsia="Arial" w:hAnsi="Verdana" w:cs="Arial"/>
                <w:lang w:val="es-ES"/>
              </w:rPr>
              <w:t xml:space="preserve">Personas naturales – Personas jurídicas / </w:t>
            </w:r>
            <w:r w:rsidRPr="007F1E91">
              <w:rPr>
                <w:rFonts w:ascii="Verdana" w:eastAsia="Arial" w:hAnsi="Verdana" w:cs="Arial"/>
                <w:kern w:val="2"/>
                <w:lang w:val="es-ES"/>
                <w14:ligatures w14:val="standardContextual"/>
              </w:rPr>
              <w:t>DOCUMENTOS TIPO – Ejercicio de la ingeniería</w:t>
            </w:r>
            <w:r>
              <w:rPr>
                <w:rFonts w:ascii="Verdana" w:eastAsia="Arial" w:hAnsi="Verdana" w:cs="Arial"/>
                <w:kern w:val="2"/>
                <w:lang w:val="es-ES"/>
                <w14:ligatures w14:val="standardContextual"/>
              </w:rPr>
              <w:t xml:space="preserve"> – Profesiones afines</w:t>
            </w:r>
            <w:r w:rsidRPr="007F1E91">
              <w:rPr>
                <w:rFonts w:ascii="Verdana" w:eastAsia="Arial" w:hAnsi="Verdana" w:cs="Arial"/>
                <w:kern w:val="2"/>
                <w:lang w:val="es-ES"/>
                <w14:ligatures w14:val="standardContextual"/>
              </w:rPr>
              <w:t xml:space="preserve"> – Arquitectura</w:t>
            </w:r>
            <w:r>
              <w:rPr>
                <w:rFonts w:ascii="Verdana" w:eastAsia="Arial" w:hAnsi="Verdana" w:cs="Arial"/>
                <w:kern w:val="2"/>
                <w:lang w:val="es-ES"/>
                <w14:ligatures w14:val="standardContextual"/>
              </w:rPr>
              <w:t xml:space="preserve"> –</w:t>
            </w:r>
            <w:r w:rsidRPr="007F1E91">
              <w:rPr>
                <w:rFonts w:ascii="Verdana" w:eastAsia="Arial" w:hAnsi="Verdana" w:cs="Arial"/>
                <w:kern w:val="2"/>
                <w:lang w:val="es-ES"/>
                <w14:ligatures w14:val="standardContextual"/>
              </w:rPr>
              <w:t xml:space="preserve"> Idoneidad  </w:t>
            </w:r>
          </w:p>
          <w:p w14:paraId="731F4E42" w14:textId="77777777" w:rsidR="00D8013F" w:rsidRPr="00CD302B" w:rsidRDefault="00D8013F" w:rsidP="00B9141B">
            <w:pPr>
              <w:spacing w:line="276" w:lineRule="auto"/>
              <w:jc w:val="both"/>
              <w:rPr>
                <w:rFonts w:ascii="Verdana" w:eastAsia="Calibri" w:hAnsi="Verdana" w:cs="Arial"/>
                <w:lang w:eastAsia="es-ES"/>
              </w:rPr>
            </w:pPr>
          </w:p>
        </w:tc>
      </w:tr>
      <w:tr w:rsidR="00D8013F" w:rsidRPr="00CD302B" w14:paraId="4E78F2A3" w14:textId="77777777" w:rsidTr="00B9141B">
        <w:tc>
          <w:tcPr>
            <w:tcW w:w="2689" w:type="dxa"/>
          </w:tcPr>
          <w:p w14:paraId="0689F4F3" w14:textId="77777777" w:rsidR="00D8013F" w:rsidRPr="00CD302B" w:rsidRDefault="00D8013F" w:rsidP="00B9141B">
            <w:pPr>
              <w:spacing w:line="276" w:lineRule="auto"/>
              <w:jc w:val="both"/>
              <w:rPr>
                <w:rFonts w:ascii="Verdana" w:eastAsia="Calibri" w:hAnsi="Verdana" w:cs="Arial"/>
                <w:b/>
                <w:lang w:eastAsia="es-ES_tradnl"/>
              </w:rPr>
            </w:pPr>
            <w:r w:rsidRPr="00CD302B">
              <w:rPr>
                <w:rFonts w:ascii="Verdana" w:eastAsia="Calibri" w:hAnsi="Verdana" w:cs="Arial"/>
                <w:b/>
                <w:lang w:eastAsia="es-ES_tradnl"/>
              </w:rPr>
              <w:t>Radicación:</w:t>
            </w:r>
            <w:r w:rsidRPr="00CD302B">
              <w:rPr>
                <w:rFonts w:ascii="Verdana" w:eastAsia="Calibri" w:hAnsi="Verdana" w:cs="Arial"/>
                <w:lang w:eastAsia="es-ES_tradnl"/>
              </w:rPr>
              <w:t xml:space="preserve">               </w:t>
            </w:r>
          </w:p>
        </w:tc>
        <w:tc>
          <w:tcPr>
            <w:tcW w:w="6100" w:type="dxa"/>
          </w:tcPr>
          <w:p w14:paraId="7586C678" w14:textId="77777777" w:rsidR="00D8013F" w:rsidRPr="00CD302B" w:rsidRDefault="00D8013F" w:rsidP="00B9141B">
            <w:pPr>
              <w:spacing w:line="276" w:lineRule="auto"/>
              <w:jc w:val="both"/>
              <w:rPr>
                <w:rFonts w:ascii="Verdana" w:eastAsia="Calibri" w:hAnsi="Verdana" w:cs="Arial"/>
                <w:lang w:eastAsia="es-ES_tradnl"/>
              </w:rPr>
            </w:pPr>
            <w:r w:rsidRPr="00CD302B">
              <w:rPr>
                <w:rFonts w:ascii="Verdana" w:eastAsia="Calibri" w:hAnsi="Verdana" w:cs="Arial"/>
                <w:lang w:eastAsia="es-ES_tradnl"/>
              </w:rPr>
              <w:t>Respuesta a consulta con radicado No.</w:t>
            </w:r>
            <w:r>
              <w:rPr>
                <w:rFonts w:ascii="Verdana" w:eastAsia="Calibri" w:hAnsi="Verdana" w:cs="Arial"/>
                <w:lang w:eastAsia="es-ES_tradnl"/>
              </w:rPr>
              <w:t xml:space="preserve"> </w:t>
            </w:r>
            <w:r w:rsidRPr="00103886">
              <w:rPr>
                <w:rFonts w:ascii="Verdana" w:eastAsia="Calibri" w:hAnsi="Verdana" w:cs="Arial"/>
                <w:lang w:eastAsia="es-ES_tradnl"/>
              </w:rPr>
              <w:t>1_2025_11_25_013329</w:t>
            </w:r>
          </w:p>
        </w:tc>
      </w:tr>
    </w:tbl>
    <w:p w14:paraId="11013999" w14:textId="77777777" w:rsidR="00D8013F" w:rsidRDefault="00D8013F" w:rsidP="00D8013F">
      <w:pPr>
        <w:spacing w:after="0" w:line="276" w:lineRule="auto"/>
        <w:jc w:val="both"/>
        <w:rPr>
          <w:rFonts w:ascii="Verdana" w:eastAsia="Calibri" w:hAnsi="Verdana" w:cs="Arial"/>
          <w:color w:val="000000"/>
          <w:lang w:eastAsia="es-ES_tradnl"/>
        </w:rPr>
      </w:pPr>
    </w:p>
    <w:p w14:paraId="770B6903" w14:textId="77777777" w:rsidR="00D8013F" w:rsidRPr="00CD302B" w:rsidRDefault="00D8013F" w:rsidP="00D8013F">
      <w:pPr>
        <w:spacing w:after="0" w:line="276" w:lineRule="auto"/>
        <w:jc w:val="both"/>
        <w:rPr>
          <w:rFonts w:ascii="Verdana" w:eastAsia="Calibri" w:hAnsi="Verdana" w:cs="Arial"/>
          <w:color w:val="000000"/>
          <w:lang w:eastAsia="es-ES_tradnl"/>
        </w:rPr>
      </w:pPr>
    </w:p>
    <w:p w14:paraId="0BC88E68" w14:textId="77777777" w:rsidR="00D8013F" w:rsidRPr="00CD302B" w:rsidRDefault="00D8013F" w:rsidP="00D8013F">
      <w:pPr>
        <w:spacing w:after="0" w:line="276" w:lineRule="auto"/>
        <w:jc w:val="both"/>
        <w:rPr>
          <w:rFonts w:ascii="Verdana" w:eastAsia="Calibri" w:hAnsi="Verdana" w:cs="Arial"/>
          <w:lang w:eastAsia="es-ES"/>
        </w:rPr>
      </w:pPr>
      <w:r w:rsidRPr="00CD302B">
        <w:rPr>
          <w:rFonts w:ascii="Verdana" w:eastAsia="Calibri" w:hAnsi="Verdana" w:cs="Arial"/>
          <w:lang w:eastAsia="es-ES"/>
        </w:rPr>
        <w:t xml:space="preserve">Estimado señor </w:t>
      </w:r>
      <w:r>
        <w:rPr>
          <w:rFonts w:ascii="Verdana" w:eastAsia="Calibri" w:hAnsi="Verdana" w:cs="Arial"/>
          <w:lang w:eastAsia="es-ES"/>
        </w:rPr>
        <w:t>Murillo Delgado</w:t>
      </w:r>
      <w:r w:rsidRPr="00CD302B">
        <w:rPr>
          <w:rFonts w:ascii="Verdana" w:eastAsia="Calibri" w:hAnsi="Verdana" w:cs="Arial"/>
          <w:lang w:eastAsia="es-ES"/>
        </w:rPr>
        <w:t xml:space="preserve">: </w:t>
      </w:r>
    </w:p>
    <w:p w14:paraId="280BD811" w14:textId="77777777" w:rsidR="00D8013F" w:rsidRPr="00CD302B" w:rsidRDefault="00D8013F" w:rsidP="00D8013F">
      <w:pPr>
        <w:tabs>
          <w:tab w:val="left" w:pos="3768"/>
        </w:tabs>
        <w:spacing w:after="0" w:line="276" w:lineRule="auto"/>
        <w:jc w:val="both"/>
        <w:rPr>
          <w:rFonts w:ascii="Verdana" w:eastAsia="Calibri" w:hAnsi="Verdana" w:cs="Arial"/>
          <w:color w:val="000000"/>
          <w:lang w:eastAsia="es-ES"/>
        </w:rPr>
      </w:pPr>
      <w:r w:rsidRPr="00CD302B">
        <w:rPr>
          <w:rFonts w:ascii="Verdana" w:eastAsia="Calibri" w:hAnsi="Verdana" w:cs="Arial"/>
          <w:color w:val="000000"/>
          <w:lang w:eastAsia="es-ES"/>
        </w:rPr>
        <w:tab/>
      </w:r>
    </w:p>
    <w:p w14:paraId="696CC510" w14:textId="77777777" w:rsidR="00D8013F" w:rsidRPr="00CD302B" w:rsidRDefault="00D8013F" w:rsidP="00D8013F">
      <w:pPr>
        <w:spacing w:after="0" w:line="276" w:lineRule="auto"/>
        <w:jc w:val="both"/>
        <w:rPr>
          <w:rFonts w:ascii="Verdana" w:eastAsia="Calibri" w:hAnsi="Verdana" w:cs="Arial"/>
          <w:i/>
          <w:iCs/>
          <w:lang w:eastAsia="es-ES"/>
        </w:rPr>
      </w:pPr>
      <w:r w:rsidRPr="00CD302B">
        <w:rPr>
          <w:rFonts w:ascii="Verdana" w:eastAsia="Calibri" w:hAnsi="Verdana" w:cs="Arial"/>
          <w:color w:val="000000"/>
          <w:lang w:eastAsia="es-ES"/>
        </w:rPr>
        <w:t>En ejercicio de la competencia otorgada por los artículos 3, numeral 5º, y 11, numeral 8º, del Decreto Ley 4170 de 2011,</w:t>
      </w:r>
      <w:r w:rsidRPr="00CD302B">
        <w:rPr>
          <w:rFonts w:ascii="Verdana" w:eastAsia="Arial MT" w:hAnsi="Verdana" w:cs="Arial MT"/>
          <w:lang w:eastAsia="es-ES"/>
        </w:rPr>
        <w:t xml:space="preserve"> </w:t>
      </w:r>
      <w:r w:rsidRPr="00CD302B">
        <w:rPr>
          <w:rFonts w:ascii="Verdana" w:eastAsia="Calibri" w:hAnsi="Verdana" w:cs="Arial"/>
        </w:rPr>
        <w:t xml:space="preserve">así como lo establecido en el artículo 4 de la Resolución 1707 de 2018 expedida por esta Entidad, </w:t>
      </w:r>
      <w:r w:rsidRPr="00CD302B">
        <w:rPr>
          <w:rFonts w:ascii="Verdana" w:eastAsia="Calibri" w:hAnsi="Verdana" w:cs="Arial"/>
          <w:color w:val="000000"/>
          <w:lang w:eastAsia="es-ES"/>
        </w:rPr>
        <w:t>la Agencia Nacional de Contratación Pública – Colombia Compra Eficiente responde su solicitud de con</w:t>
      </w:r>
      <w:r>
        <w:rPr>
          <w:rFonts w:ascii="Verdana" w:eastAsia="Calibri" w:hAnsi="Verdana" w:cs="Arial"/>
          <w:color w:val="000000"/>
          <w:lang w:eastAsia="es-ES"/>
        </w:rPr>
        <w:t>sulta de fecha</w:t>
      </w:r>
      <w:r w:rsidRPr="00CD302B">
        <w:rPr>
          <w:rFonts w:ascii="Verdana" w:eastAsia="Calibri" w:hAnsi="Verdana" w:cs="Arial"/>
          <w:color w:val="000000"/>
          <w:lang w:eastAsia="es-ES"/>
        </w:rPr>
        <w:t xml:space="preserve"> </w:t>
      </w:r>
      <w:bookmarkStart w:id="2" w:name="_Hlk95313578"/>
      <w:r>
        <w:rPr>
          <w:rFonts w:ascii="Verdana" w:eastAsia="Calibri" w:hAnsi="Verdana" w:cs="Arial"/>
          <w:color w:val="000000"/>
          <w:lang w:eastAsia="es-ES"/>
        </w:rPr>
        <w:t>25 de noviembre de 2025, en la que manifiesta lo siguiente:</w:t>
      </w:r>
    </w:p>
    <w:p w14:paraId="0CD0DC32" w14:textId="77777777" w:rsidR="00D8013F" w:rsidRDefault="00D8013F" w:rsidP="00D8013F">
      <w:pPr>
        <w:autoSpaceDE w:val="0"/>
        <w:autoSpaceDN w:val="0"/>
        <w:adjustRightInd w:val="0"/>
        <w:spacing w:after="0" w:line="240" w:lineRule="auto"/>
        <w:rPr>
          <w:rFonts w:ascii="Verdana" w:eastAsia="Calibri" w:hAnsi="Verdana" w:cs="Arial"/>
          <w:i/>
          <w:iCs/>
          <w:lang w:eastAsia="es-ES"/>
        </w:rPr>
      </w:pPr>
    </w:p>
    <w:p w14:paraId="439C146C" w14:textId="77777777" w:rsidR="00D8013F" w:rsidRPr="00103886" w:rsidRDefault="00D8013F" w:rsidP="00D8013F">
      <w:pPr>
        <w:autoSpaceDE w:val="0"/>
        <w:autoSpaceDN w:val="0"/>
        <w:adjustRightInd w:val="0"/>
        <w:spacing w:after="0" w:line="240" w:lineRule="auto"/>
        <w:ind w:left="709" w:right="709"/>
        <w:jc w:val="both"/>
        <w:rPr>
          <w:rFonts w:ascii="Verdana" w:hAnsi="Verdana" w:cs="F/Ωò"/>
          <w:sz w:val="21"/>
          <w:szCs w:val="21"/>
          <w:lang w:val="es-MX"/>
        </w:rPr>
      </w:pPr>
      <w:r w:rsidRPr="00103886">
        <w:rPr>
          <w:rFonts w:ascii="Verdana" w:eastAsia="Arial" w:hAnsi="Verdana" w:cs="Arial"/>
          <w:iCs/>
          <w:color w:val="000000"/>
          <w:sz w:val="21"/>
          <w:szCs w:val="21"/>
        </w:rPr>
        <w:t>“</w:t>
      </w:r>
      <w:bookmarkEnd w:id="2"/>
      <w:r w:rsidRPr="00103886">
        <w:rPr>
          <w:rFonts w:ascii="Verdana" w:eastAsia="Arial" w:hAnsi="Verdana" w:cs="Arial"/>
          <w:iCs/>
          <w:color w:val="000000"/>
          <w:sz w:val="21"/>
          <w:szCs w:val="21"/>
        </w:rPr>
        <w:t>[U]</w:t>
      </w:r>
      <w:r w:rsidRPr="00103886">
        <w:rPr>
          <w:rFonts w:ascii="Verdana" w:hAnsi="Verdana" w:cs="F/Ωò"/>
          <w:sz w:val="21"/>
          <w:szCs w:val="21"/>
          <w:lang w:val="es-MX"/>
        </w:rPr>
        <w:t xml:space="preserve">na persona natural de profesión arquitect@ puede participar en un proceso de licitación vial y/o reposición de redes sanitarias y pluviales ya sea como persona natural o integrante de un consorcio o unión temporal. (cabe resaltar que la propuesta puede ir abonada o avalada </w:t>
      </w:r>
      <w:r w:rsidRPr="00103886">
        <w:rPr>
          <w:rFonts w:ascii="Verdana" w:hAnsi="Verdana" w:cs="F/Ωò"/>
          <w:sz w:val="21"/>
          <w:szCs w:val="21"/>
          <w:lang w:val="es-MX"/>
        </w:rPr>
        <w:lastRenderedPageBreak/>
        <w:t>por un ingeniero civil). en la licitacion se aprecia que en el presupuesto existen diseños y actividades complementarias de obra arquitectónica y urbanísticas como pavimentación adoquinada y suministro de urbanismo que en su lógica y desarrollo van más ligadas a la rama de la arquitectura, por su contexto urbano arquitectónico y estética del proyecto, la entidad publico los diseños arquitectónicos. Esta solicitud se practica con la finalidad de poder participar en estos procesos puntuales de vías que contienen desarrollo urbano arquitectónico y en rechazo objetiva a CCE por la exclusión de la rama de la arquitectura en un alto % de los diferentes procesos de la contratación pública. ya que ambas ramas son afines”.</w:t>
      </w:r>
    </w:p>
    <w:p w14:paraId="55C85E28" w14:textId="77777777" w:rsidR="00D8013F" w:rsidRPr="00103886" w:rsidRDefault="00D8013F" w:rsidP="00D8013F">
      <w:pPr>
        <w:spacing w:after="120" w:line="240" w:lineRule="auto"/>
        <w:ind w:left="709" w:right="709"/>
        <w:jc w:val="both"/>
        <w:rPr>
          <w:rFonts w:ascii="Verdana" w:eastAsia="Calibri" w:hAnsi="Verdana" w:cs="Times New Roman"/>
        </w:rPr>
      </w:pPr>
    </w:p>
    <w:p w14:paraId="02D10618" w14:textId="77777777" w:rsidR="00D8013F" w:rsidRPr="00CD302B" w:rsidRDefault="00D8013F" w:rsidP="00D8013F">
      <w:pPr>
        <w:spacing w:after="120" w:line="276" w:lineRule="auto"/>
        <w:ind w:firstLine="709"/>
        <w:jc w:val="both"/>
        <w:rPr>
          <w:rFonts w:ascii="Verdana" w:eastAsia="Calibri" w:hAnsi="Verdana" w:cs="Arial"/>
          <w:color w:val="000000"/>
          <w:lang w:eastAsia="es-ES"/>
        </w:rPr>
      </w:pPr>
      <w:r w:rsidRPr="00CD302B">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D302B">
        <w:rPr>
          <w:rFonts w:ascii="Verdana" w:eastAsia="Calibri" w:hAnsi="Verdana" w:cs="Arial"/>
          <w:color w:val="000000"/>
          <w:szCs w:val="24"/>
          <w:lang w:eastAsia="es-ES_tradnl"/>
        </w:rPr>
        <w:tab/>
      </w:r>
    </w:p>
    <w:p w14:paraId="27E366DD" w14:textId="77777777" w:rsidR="00D8013F" w:rsidRPr="00CD302B" w:rsidRDefault="00D8013F" w:rsidP="00D8013F">
      <w:pPr>
        <w:spacing w:after="0" w:line="276" w:lineRule="auto"/>
        <w:ind w:firstLine="709"/>
        <w:jc w:val="both"/>
        <w:rPr>
          <w:rFonts w:ascii="Verdana" w:eastAsia="Calibri" w:hAnsi="Verdana" w:cs="Arial"/>
          <w:color w:val="000000"/>
          <w:lang w:eastAsia="es-ES"/>
        </w:rPr>
      </w:pPr>
      <w:r w:rsidRPr="00CD302B">
        <w:rPr>
          <w:rFonts w:ascii="Verdana" w:eastAsia="Calibri" w:hAnsi="Verdana" w:cs="Arial"/>
          <w:color w:val="000000"/>
          <w:lang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las preguntas de la petición, pero haciendo unas consideraciones sobre las normas generales relacionadas con los</w:t>
      </w:r>
      <w:r w:rsidRPr="00CD302B">
        <w:rPr>
          <w:rFonts w:ascii="Verdana" w:eastAsia="Calibri" w:hAnsi="Verdana" w:cs="Arial"/>
          <w:color w:val="7030A0"/>
          <w:lang w:eastAsia="es-ES"/>
        </w:rPr>
        <w:t xml:space="preserve"> </w:t>
      </w:r>
      <w:r w:rsidRPr="00CD302B">
        <w:rPr>
          <w:rFonts w:ascii="Verdana" w:eastAsia="Calibri" w:hAnsi="Verdana" w:cs="Arial"/>
          <w:color w:val="000000"/>
          <w:lang w:eastAsia="es-ES"/>
        </w:rPr>
        <w:t>problemas</w:t>
      </w:r>
      <w:r w:rsidRPr="00CD302B">
        <w:rPr>
          <w:rFonts w:ascii="Verdana" w:eastAsia="Calibri" w:hAnsi="Verdana" w:cs="Arial"/>
          <w:color w:val="7030A0"/>
          <w:lang w:eastAsia="es-ES"/>
        </w:rPr>
        <w:t xml:space="preserve"> </w:t>
      </w:r>
      <w:r w:rsidRPr="00CD302B">
        <w:rPr>
          <w:rFonts w:ascii="Verdana" w:eastAsia="Calibri" w:hAnsi="Verdana" w:cs="Arial"/>
          <w:color w:val="000000"/>
          <w:lang w:eastAsia="es-ES"/>
        </w:rPr>
        <w:t>jurídicos</w:t>
      </w:r>
      <w:r w:rsidRPr="00CD302B">
        <w:rPr>
          <w:rFonts w:ascii="Verdana" w:eastAsia="Calibri" w:hAnsi="Verdana" w:cs="Arial"/>
          <w:color w:val="7030A0"/>
          <w:lang w:eastAsia="es-ES"/>
        </w:rPr>
        <w:t xml:space="preserve"> </w:t>
      </w:r>
      <w:r w:rsidRPr="00CD302B">
        <w:rPr>
          <w:rFonts w:ascii="Verdana" w:eastAsia="Calibri" w:hAnsi="Verdana" w:cs="Arial"/>
          <w:color w:val="000000"/>
          <w:lang w:eastAsia="es-ES"/>
        </w:rPr>
        <w:t xml:space="preserve">de su consulta. </w:t>
      </w:r>
    </w:p>
    <w:p w14:paraId="59EE0334" w14:textId="77777777" w:rsidR="00D8013F" w:rsidRPr="00CD302B" w:rsidRDefault="00D8013F" w:rsidP="00D8013F">
      <w:pPr>
        <w:spacing w:after="0" w:line="276" w:lineRule="auto"/>
        <w:ind w:firstLine="709"/>
        <w:jc w:val="both"/>
        <w:rPr>
          <w:rFonts w:ascii="Verdana" w:eastAsia="Calibri" w:hAnsi="Verdana" w:cs="Arial"/>
          <w:color w:val="000000"/>
          <w:lang w:eastAsia="es-ES"/>
        </w:rPr>
      </w:pPr>
    </w:p>
    <w:p w14:paraId="1AFDC759" w14:textId="77777777" w:rsidR="00D8013F" w:rsidRPr="00103886" w:rsidRDefault="00D8013F" w:rsidP="00D8013F">
      <w:pPr>
        <w:pStyle w:val="Prrafodelista"/>
        <w:numPr>
          <w:ilvl w:val="0"/>
          <w:numId w:val="18"/>
        </w:numPr>
        <w:tabs>
          <w:tab w:val="left" w:pos="142"/>
          <w:tab w:val="left" w:pos="284"/>
        </w:tabs>
        <w:spacing w:after="0" w:line="276" w:lineRule="auto"/>
        <w:ind w:left="357" w:hanging="357"/>
        <w:jc w:val="both"/>
        <w:rPr>
          <w:rFonts w:ascii="Verdana" w:eastAsia="Century Gothic" w:hAnsi="Verdana" w:cs="Century Gothic"/>
          <w:b/>
          <w:bCs/>
        </w:rPr>
      </w:pPr>
      <w:r w:rsidRPr="00103886">
        <w:rPr>
          <w:rFonts w:ascii="Verdana" w:eastAsia="Century Gothic" w:hAnsi="Verdana" w:cs="Century Gothic"/>
          <w:b/>
          <w:bCs/>
        </w:rPr>
        <w:t>Problema planteado:</w:t>
      </w:r>
    </w:p>
    <w:p w14:paraId="14D55290" w14:textId="77777777" w:rsidR="00D8013F" w:rsidRPr="00CD302B" w:rsidRDefault="00D8013F" w:rsidP="00D8013F">
      <w:pPr>
        <w:tabs>
          <w:tab w:val="left" w:pos="426"/>
        </w:tabs>
        <w:spacing w:after="0" w:line="276" w:lineRule="auto"/>
        <w:jc w:val="both"/>
        <w:rPr>
          <w:rFonts w:ascii="Verdana" w:eastAsia="Century Gothic" w:hAnsi="Verdana" w:cs="Century Gothic"/>
        </w:rPr>
      </w:pPr>
    </w:p>
    <w:p w14:paraId="56CD1EC0" w14:textId="77777777" w:rsidR="00D8013F" w:rsidRPr="00CD302B" w:rsidRDefault="00D8013F" w:rsidP="00D8013F">
      <w:pPr>
        <w:snapToGrid w:val="0"/>
        <w:spacing w:after="0" w:line="276" w:lineRule="auto"/>
        <w:jc w:val="both"/>
        <w:rPr>
          <w:rFonts w:ascii="Verdana" w:eastAsia="Century Gothic" w:hAnsi="Verdana" w:cs="Arial"/>
        </w:rPr>
      </w:pPr>
      <w:r w:rsidRPr="00CD302B">
        <w:rPr>
          <w:rFonts w:ascii="Verdana" w:eastAsia="Century Gothic" w:hAnsi="Verdana" w:cs="Century Gothic"/>
        </w:rPr>
        <w:t>De acuerdo con el contenido de su solicitud, esta Agencia resolverá el siguiente problema jurídico:</w:t>
      </w:r>
      <w:r>
        <w:rPr>
          <w:rFonts w:ascii="Verdana" w:eastAsia="Century Gothic" w:hAnsi="Verdana" w:cs="Century Gothic"/>
        </w:rPr>
        <w:t xml:space="preserve"> ¿cuál es el alcance del ejercicio de la ingeniería en los documentos tipo de obra pública de infraestructura de transporte?</w:t>
      </w:r>
    </w:p>
    <w:p w14:paraId="16218DAF" w14:textId="77777777" w:rsidR="00D8013F" w:rsidRPr="00CD302B" w:rsidRDefault="00D8013F" w:rsidP="00D8013F">
      <w:pPr>
        <w:spacing w:after="0" w:line="276" w:lineRule="auto"/>
        <w:jc w:val="both"/>
        <w:rPr>
          <w:rFonts w:ascii="Verdana" w:eastAsia="Calibri" w:hAnsi="Verdana" w:cs="Arial"/>
          <w:color w:val="7030A0"/>
        </w:rPr>
      </w:pPr>
    </w:p>
    <w:p w14:paraId="20453590" w14:textId="77777777" w:rsidR="00D8013F" w:rsidRPr="00CD302B" w:rsidRDefault="00D8013F" w:rsidP="00D8013F">
      <w:pPr>
        <w:numPr>
          <w:ilvl w:val="0"/>
          <w:numId w:val="17"/>
        </w:numPr>
        <w:tabs>
          <w:tab w:val="left" w:pos="142"/>
          <w:tab w:val="left" w:pos="284"/>
        </w:tabs>
        <w:spacing w:after="0" w:line="276" w:lineRule="auto"/>
        <w:contextualSpacing/>
        <w:jc w:val="both"/>
        <w:rPr>
          <w:rFonts w:ascii="Verdana" w:eastAsia="Century Gothic" w:hAnsi="Verdana" w:cs="Century Gothic"/>
          <w:b/>
          <w:bCs/>
        </w:rPr>
      </w:pPr>
      <w:r w:rsidRPr="00CD302B">
        <w:rPr>
          <w:rFonts w:ascii="Verdana" w:eastAsia="Century Gothic" w:hAnsi="Verdana" w:cs="Century Gothic"/>
          <w:b/>
          <w:bCs/>
        </w:rPr>
        <w:lastRenderedPageBreak/>
        <w:t>Respuesta:</w:t>
      </w:r>
    </w:p>
    <w:p w14:paraId="1A2497A0" w14:textId="77777777" w:rsidR="00D8013F" w:rsidRPr="00CD302B" w:rsidRDefault="00D8013F" w:rsidP="00D8013F">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8013F" w:rsidRPr="00CD302B" w14:paraId="12457AC1" w14:textId="77777777" w:rsidTr="00B9141B">
        <w:trPr>
          <w:jc w:val="center"/>
        </w:trPr>
        <w:tc>
          <w:tcPr>
            <w:tcW w:w="8828" w:type="dxa"/>
          </w:tcPr>
          <w:p w14:paraId="08D9A574" w14:textId="77777777" w:rsidR="00D8013F" w:rsidRPr="00CD302B" w:rsidRDefault="00D8013F" w:rsidP="00B9141B">
            <w:pPr>
              <w:widowControl w:val="0"/>
              <w:autoSpaceDE w:val="0"/>
              <w:autoSpaceDN w:val="0"/>
              <w:spacing w:after="120" w:line="276" w:lineRule="auto"/>
              <w:ind w:right="51"/>
              <w:jc w:val="both"/>
              <w:rPr>
                <w:rFonts w:ascii="Verdana" w:eastAsia="Arial" w:hAnsi="Verdana" w:cs="Arial"/>
                <w:kern w:val="2"/>
                <w:sz w:val="24"/>
                <w:szCs w:val="24"/>
                <w:lang w:val="es-ES"/>
                <w14:ligatures w14:val="standardContextual"/>
              </w:rPr>
            </w:pPr>
            <w:bookmarkStart w:id="3" w:name="_Hlk171694685"/>
            <w:r>
              <w:rPr>
                <w:rFonts w:ascii="Verdana" w:eastAsia="Arial" w:hAnsi="Verdana" w:cs="Arial"/>
                <w:color w:val="000000"/>
              </w:rPr>
              <w:t>T</w:t>
            </w:r>
            <w:r w:rsidRPr="00CD302B">
              <w:rPr>
                <w:rFonts w:ascii="Verdana" w:eastAsia="Arial" w:hAnsi="Verdana" w:cs="Arial"/>
                <w:color w:val="000000"/>
              </w:rPr>
              <w:t xml:space="preserve">ratándose de los documentos tipo de licitación de obra pública de </w:t>
            </w:r>
            <w:r>
              <w:rPr>
                <w:rFonts w:ascii="Verdana" w:eastAsia="Arial" w:hAnsi="Verdana" w:cs="Arial"/>
                <w:color w:val="000000"/>
              </w:rPr>
              <w:t xml:space="preserve">infraestructura de </w:t>
            </w:r>
            <w:r w:rsidRPr="00CD302B">
              <w:rPr>
                <w:rFonts w:ascii="Verdana" w:eastAsia="Arial" w:hAnsi="Verdana" w:cs="Arial"/>
                <w:color w:val="000000"/>
              </w:rPr>
              <w:t xml:space="preserve">transporte – Versión 4, </w:t>
            </w:r>
            <w:r w:rsidRPr="00CD302B">
              <w:rPr>
                <w:rFonts w:ascii="Verdana" w:eastAsia="Arial" w:hAnsi="Verdana" w:cs="Arial"/>
                <w:color w:val="000000"/>
                <w:lang w:val="es-MX"/>
              </w:rPr>
              <w:t xml:space="preserve">para que una persona natural (proponente individual o integrante de la estructura plural) que pretenda participar en el proceso, deberá </w:t>
            </w:r>
            <w:r w:rsidRPr="00CD302B">
              <w:rPr>
                <w:rFonts w:ascii="Verdana" w:eastAsia="Arial" w:hAnsi="Verdana" w:cs="Arial"/>
                <w:color w:val="000000"/>
              </w:rPr>
              <w:t>acreditar que posee título como ingeniero y adjuntar copia de la tarjeta profesional y copia del certificado de vigencia de matrícula profesional expedida por el COPNIA o Consejo Profesional de Ingeniería de Transportes y Vías de Colombia en la respectiva rama de la ingeniería, según corresponda.</w:t>
            </w:r>
          </w:p>
          <w:p w14:paraId="20ACFBD4" w14:textId="77777777" w:rsidR="00D8013F" w:rsidRPr="00CD302B" w:rsidRDefault="00D8013F" w:rsidP="00B9141B">
            <w:pPr>
              <w:widowControl w:val="0"/>
              <w:autoSpaceDE w:val="0"/>
              <w:autoSpaceDN w:val="0"/>
              <w:spacing w:after="120" w:line="276" w:lineRule="auto"/>
              <w:ind w:right="51" w:firstLine="708"/>
              <w:jc w:val="both"/>
              <w:rPr>
                <w:rFonts w:ascii="Verdana" w:eastAsia="Arial" w:hAnsi="Verdana" w:cs="Arial"/>
                <w:kern w:val="2"/>
                <w:sz w:val="24"/>
                <w:szCs w:val="24"/>
                <w14:ligatures w14:val="standardContextual"/>
              </w:rPr>
            </w:pPr>
            <w:r w:rsidRPr="00CD302B">
              <w:rPr>
                <w:rFonts w:ascii="Verdana" w:eastAsia="Arial" w:hAnsi="Verdana" w:cs="Arial"/>
                <w:color w:val="000000"/>
                <w:lang w:val="es-MX"/>
              </w:rPr>
              <w:t>Si se trata de una persona jurídica, cuyo represente legal no es un ingeniero, la presentación de su oferta deberá estar avalada por un ingeniero</w:t>
            </w:r>
            <w:r w:rsidRPr="00CD302B">
              <w:rPr>
                <w:rFonts w:ascii="Verdana" w:eastAsia="Arial" w:hAnsi="Verdana" w:cs="Arial"/>
                <w:kern w:val="2"/>
                <w14:ligatures w14:val="standardContextual"/>
              </w:rPr>
              <w:t>,</w:t>
            </w:r>
            <w:r w:rsidRPr="00CD302B">
              <w:rPr>
                <w:rFonts w:ascii="Verdana" w:eastAsia="Times New Roman" w:hAnsi="Verdana" w:cs="Arial"/>
                <w:color w:val="000000"/>
                <w:kern w:val="2"/>
                <w:lang w:val="es-ES" w:eastAsia="es-ES_tradnl"/>
                <w14:ligatures w14:val="standardContextual"/>
              </w:rPr>
              <w:t xml:space="preserve"> </w:t>
            </w:r>
            <w:r w:rsidRPr="00CD302B">
              <w:rPr>
                <w:rFonts w:ascii="Verdana" w:eastAsia="Arial" w:hAnsi="Verdana" w:cs="Arial"/>
                <w:kern w:val="2"/>
                <w:lang w:val="es-ES"/>
                <w14:ligatures w14:val="standardContextual"/>
              </w:rPr>
              <w:t xml:space="preserve">para lo cual deberá adjuntar copia de la tarjeta profesional y copia del certificado de vigencia de matrícula profesional expedida por el COPNIA o Consejo Profesional de Ingeniería de Transportes y Vías de Colombia </w:t>
            </w:r>
            <w:r w:rsidRPr="00CD302B">
              <w:rPr>
                <w:rFonts w:ascii="Verdana" w:eastAsia="Arial" w:hAnsi="Verdana" w:cs="Arial"/>
                <w:i/>
                <w:kern w:val="2"/>
                <w:lang w:val="es-ES"/>
                <w14:ligatures w14:val="standardContextual"/>
              </w:rPr>
              <w:t>en la respectiva rama de la ingeniería, según corresponda</w:t>
            </w:r>
            <w:r w:rsidRPr="00CD302B">
              <w:rPr>
                <w:rFonts w:ascii="Verdana" w:eastAsia="Arial" w:hAnsi="Verdana" w:cs="Arial"/>
                <w:kern w:val="2"/>
                <w:sz w:val="24"/>
                <w:szCs w:val="24"/>
                <w:lang w:val="es-ES"/>
                <w14:ligatures w14:val="standardContextual"/>
              </w:rPr>
              <w:t>.</w:t>
            </w:r>
            <w:r w:rsidRPr="00CD302B">
              <w:rPr>
                <w:rFonts w:ascii="Verdana" w:eastAsia="Arial" w:hAnsi="Verdana" w:cs="Arial"/>
                <w:kern w:val="2"/>
                <w:sz w:val="24"/>
                <w:szCs w:val="24"/>
                <w14:ligatures w14:val="standardContextual"/>
              </w:rPr>
              <w:t xml:space="preserve">  </w:t>
            </w:r>
            <w:r w:rsidRPr="00CD302B">
              <w:rPr>
                <w:rFonts w:ascii="Verdana" w:eastAsia="Arial" w:hAnsi="Verdana" w:cs="Arial"/>
                <w:kern w:val="2"/>
                <w:lang w:val="es-ES"/>
                <w14:ligatures w14:val="standardContextual"/>
              </w:rPr>
              <w:t>Esto se</w:t>
            </w:r>
            <w:r w:rsidRPr="00CD302B">
              <w:rPr>
                <w:rFonts w:ascii="Verdana" w:eastAsia="Arial" w:hAnsi="Verdana" w:cs="Arial"/>
                <w:color w:val="000000"/>
                <w:lang w:val="es-MX"/>
              </w:rPr>
              <w:t xml:space="preserve"> refleja en lo señalado en el numeral 2.1 del Documento Base y en el Formato 1 de los pliegos tipo de licitación de obra pública de infraestructura de transporte – versión 4, que no hacen más que desarrollar lo regulado en el artículo 20 de la Ley 842 de 2003.    </w:t>
            </w:r>
          </w:p>
          <w:p w14:paraId="2745BFB2" w14:textId="77777777" w:rsidR="00D8013F" w:rsidRPr="000E58B7" w:rsidRDefault="00D8013F" w:rsidP="00B9141B">
            <w:pPr>
              <w:numPr>
                <w:ilvl w:val="12"/>
                <w:numId w:val="0"/>
              </w:numPr>
              <w:spacing w:after="120" w:line="276" w:lineRule="auto"/>
              <w:ind w:firstLine="709"/>
              <w:jc w:val="both"/>
              <w:rPr>
                <w:rFonts w:ascii="Verdana" w:eastAsia="Arial" w:hAnsi="Verdana" w:cs="Arial"/>
                <w:i/>
                <w:iCs/>
                <w:color w:val="000000"/>
                <w:lang w:val="es-MX"/>
              </w:rPr>
            </w:pPr>
            <w:r w:rsidRPr="00CD302B">
              <w:rPr>
                <w:rFonts w:ascii="Verdana" w:eastAsia="Arial" w:hAnsi="Verdana" w:cs="Arial"/>
                <w:color w:val="000000"/>
                <w:lang w:val="es-MX"/>
              </w:rPr>
              <w:t>De no cumplirse con lo anterior, la persona natural o jurídica no podrá participar en el respectivo proceso de contratación, comoquiera que de acuerdo con lo explicado, no estaría legalmente habilitada para desarrollar el objeto del contrato. Esta interpretación</w:t>
            </w:r>
            <w:r>
              <w:rPr>
                <w:rFonts w:ascii="Verdana" w:eastAsia="Arial" w:hAnsi="Verdana" w:cs="Arial"/>
                <w:color w:val="000000"/>
                <w:lang w:val="es-MX"/>
              </w:rPr>
              <w:t xml:space="preserve"> </w:t>
            </w:r>
            <w:r w:rsidRPr="00CD302B">
              <w:rPr>
                <w:rFonts w:ascii="Verdana" w:eastAsia="Arial" w:hAnsi="Verdana" w:cs="Arial"/>
                <w:color w:val="000000"/>
                <w:lang w:val="es-MX"/>
              </w:rPr>
              <w:t>–respaldada por la Corte Constitucional y el COPNIA–</w:t>
            </w:r>
            <w:r>
              <w:rPr>
                <w:rFonts w:ascii="Verdana" w:eastAsia="Arial" w:hAnsi="Verdana" w:cs="Arial"/>
                <w:color w:val="000000"/>
                <w:lang w:val="es-MX"/>
              </w:rPr>
              <w:t>,</w:t>
            </w:r>
            <w:r w:rsidRPr="00CD302B">
              <w:rPr>
                <w:rFonts w:ascii="Verdana" w:eastAsia="Arial" w:hAnsi="Verdana" w:cs="Arial"/>
                <w:color w:val="000000"/>
                <w:lang w:val="es-MX"/>
              </w:rPr>
              <w:t xml:space="preserve"> parte de la base de que quienes no cuentan con un título en ingeniería no son considerados idóneos o aptos para ejecutar actividades que constituyen ejercicio de la ingeniería, por lo que no están </w:t>
            </w:r>
            <w:r w:rsidRPr="006A3C55">
              <w:rPr>
                <w:rFonts w:ascii="Verdana" w:eastAsia="Arial" w:hAnsi="Verdana" w:cs="Arial"/>
                <w:color w:val="000000"/>
                <w:lang w:val="es-MX"/>
              </w:rPr>
              <w:t xml:space="preserve">jurídicamente habilitados para ejercer dicha disciplina, que por el riesgo social que supone, se encuentra sometida a tales requerimientos. </w:t>
            </w:r>
          </w:p>
          <w:p w14:paraId="39D7D4AC" w14:textId="77777777" w:rsidR="00D8013F" w:rsidRPr="006A3C55" w:rsidRDefault="00D8013F" w:rsidP="00B9141B">
            <w:pPr>
              <w:spacing w:after="120" w:line="276" w:lineRule="auto"/>
              <w:ind w:firstLine="709"/>
              <w:jc w:val="both"/>
              <w:rPr>
                <w:rFonts w:ascii="Verdana" w:eastAsia="Calibri" w:hAnsi="Verdana" w:cstheme="minorHAnsi"/>
                <w:lang w:val="es-ES"/>
              </w:rPr>
            </w:pPr>
            <w:r w:rsidRPr="006A3C55">
              <w:rPr>
                <w:rFonts w:ascii="Verdana" w:eastAsia="Calibri" w:hAnsi="Verdana" w:cstheme="minorHAnsi"/>
                <w:lang w:val="es-ES"/>
              </w:rPr>
              <w:t xml:space="preserve">Por su parte, </w:t>
            </w:r>
            <w:r>
              <w:rPr>
                <w:rFonts w:ascii="Verdana" w:eastAsia="Calibri" w:hAnsi="Verdana" w:cstheme="minorHAnsi"/>
                <w:lang w:val="es-ES"/>
              </w:rPr>
              <w:t xml:space="preserve">hay que </w:t>
            </w:r>
            <w:r w:rsidRPr="006A3C55">
              <w:rPr>
                <w:rFonts w:ascii="Verdana" w:eastAsia="Calibri" w:hAnsi="Verdana" w:cstheme="minorHAnsi"/>
                <w:lang w:val="es-ES"/>
              </w:rPr>
              <w:t>mencionar que si bien el articulo 4 de la Ley 842 de 2003 establece como profesiones afines la arquitectura, esto significa, como allí se menciona, que “</w:t>
            </w:r>
            <w:r w:rsidRPr="006A3C55">
              <w:rPr>
                <w:rFonts w:ascii="Verdana" w:eastAsia="Calibri" w:hAnsi="Verdana" w:cstheme="minorHAnsi"/>
                <w:i/>
                <w:iCs/>
                <w:lang w:val="es-ES"/>
              </w:rPr>
              <w:t xml:space="preserve">su ejercicio se desarrolla en actividades relacionadas con la ingeniería en cualquiera de sus áreas, o cuyo </w:t>
            </w:r>
            <w:r w:rsidRPr="006A3C55">
              <w:rPr>
                <w:rFonts w:ascii="Verdana" w:eastAsia="Calibri" w:hAnsi="Verdana" w:cstheme="minorHAnsi"/>
                <w:i/>
                <w:iCs/>
                <w:u w:val="single"/>
                <w:lang w:val="es-ES"/>
              </w:rPr>
              <w:t>campo ocupacional es conexo a la ingeniería</w:t>
            </w:r>
            <w:r w:rsidRPr="006A3C55">
              <w:rPr>
                <w:rFonts w:ascii="Verdana" w:eastAsia="Calibri" w:hAnsi="Verdana" w:cstheme="minorHAnsi"/>
                <w:i/>
                <w:iCs/>
                <w:lang w:val="es-ES"/>
              </w:rPr>
              <w:t>” [subrayado fuera del texto original]</w:t>
            </w:r>
            <w:r w:rsidRPr="006A3C55">
              <w:rPr>
                <w:rFonts w:ascii="Verdana" w:eastAsia="Calibri" w:hAnsi="Verdana" w:cstheme="minorHAnsi"/>
                <w:lang w:val="es-ES"/>
              </w:rPr>
              <w:t xml:space="preserve">. En este sentido, la naturaleza técnica de los proyectos de infraestructura de </w:t>
            </w:r>
            <w:r w:rsidRPr="006A3C55">
              <w:rPr>
                <w:rFonts w:ascii="Verdana" w:eastAsia="Calibri" w:hAnsi="Verdana" w:cstheme="minorHAnsi"/>
                <w:lang w:val="es-ES"/>
              </w:rPr>
              <w:lastRenderedPageBreak/>
              <w:t>transporte está relacionada,</w:t>
            </w:r>
            <w:r w:rsidRPr="006A3C55">
              <w:rPr>
                <w:rFonts w:ascii="Verdana" w:hAnsi="Verdana" w:cstheme="minorHAnsi"/>
              </w:rPr>
              <w:t xml:space="preserve"> entre otros, con los siguientes componentes técnicos: diseño geométrico y construcción de vías [urbanas, primarias, secundarias y terciarias], infraestructura marítima y fluvial, infraestructura férrea, infraestructura aeroportuaria, ingeniería de pavimentos, geotecnia y estabilidad de taludes, estructuras hidráulicas, hidrología e hidráulica, estructuras para puentes, infraestructura de túneles, proyectos en general de tránsito y transporte, análisis de riesgos y seguridad vial. En consecuencia, si bien en la infraestructura vial urbana pueden incorporarse actividades de urbanismo y espacio público u otras que estén asociadas a la infraestructura de transporte en donde posiblemente participen los arquitectos, esto no significa que la integralidad de los componentes de este tipo de infraestructura puedan abordarse de manera directa por los arquitectos y/o que ellos puedan otorgar el aval de las ofertas en procesos de contratación con pliegos tipo del sector transporte.</w:t>
            </w:r>
          </w:p>
          <w:p w14:paraId="2806AF7D" w14:textId="77777777" w:rsidR="00D8013F" w:rsidRPr="006A3C55" w:rsidRDefault="00D8013F" w:rsidP="00B9141B">
            <w:pPr>
              <w:spacing w:after="120" w:line="276" w:lineRule="auto"/>
              <w:ind w:firstLine="709"/>
              <w:jc w:val="both"/>
              <w:rPr>
                <w:rFonts w:ascii="Verdana" w:hAnsi="Verdana" w:cstheme="minorHAnsi"/>
              </w:rPr>
            </w:pPr>
            <w:r w:rsidRPr="006A3C55">
              <w:rPr>
                <w:rFonts w:ascii="Verdana" w:hAnsi="Verdana" w:cstheme="minorHAnsi"/>
              </w:rPr>
              <w:t>Por lo anterior, en la ley se considera que solo un ingeniero con matrícula profesional vigente puede asumir la responsabilidad técnica integral de una oferta para este tipo de proyectos, lo cual se extiende también a profesionales con matrícula de Ingeniería de Vías y Transportes.</w:t>
            </w:r>
          </w:p>
          <w:p w14:paraId="2387228F" w14:textId="77777777" w:rsidR="00D8013F" w:rsidRPr="000D5AC2" w:rsidRDefault="00D8013F" w:rsidP="00B9141B">
            <w:pPr>
              <w:spacing w:after="120" w:line="276" w:lineRule="auto"/>
              <w:ind w:firstLine="709"/>
              <w:jc w:val="both"/>
              <w:rPr>
                <w:rFonts w:ascii="Verdana" w:hAnsi="Verdana" w:cstheme="minorHAnsi"/>
              </w:rPr>
            </w:pPr>
            <w:r w:rsidRPr="006A3C55">
              <w:rPr>
                <w:rFonts w:ascii="Verdana" w:hAnsi="Verdana" w:cstheme="minorHAnsi"/>
              </w:rPr>
              <w:t>Además, el aval de una oferta no es un trámite formal; implica que el profesional respalda técnicamente la propuesta, responde por la viabilidad y cumplimiento de la norma técnica, y asume eventuales responsabilidades en caso de fallas. Por esta razón, le corresponde a un ingeniero civil o de vías y transporte con matrícula profesional vigente, otorgar el aval de proyectos de infraestructura de transporte en las condiciones establecidas en el numeral 2.1 del documento base y la Ley 842 de 20023, pues son ellos quienes, de acuerdo con los programas académicos en virtud de los cuales se otorgan estos títulos profesionales, cuentan con las competencias correspondientes a este tipo de infraestructura.</w:t>
            </w:r>
          </w:p>
        </w:tc>
      </w:tr>
    </w:tbl>
    <w:p w14:paraId="0E82F770" w14:textId="77777777" w:rsidR="00D8013F" w:rsidRPr="00CD302B" w:rsidRDefault="00D8013F" w:rsidP="00D8013F">
      <w:pPr>
        <w:tabs>
          <w:tab w:val="left" w:pos="142"/>
          <w:tab w:val="left" w:pos="284"/>
        </w:tabs>
        <w:spacing w:after="0" w:line="276" w:lineRule="auto"/>
        <w:jc w:val="both"/>
        <w:rPr>
          <w:rFonts w:ascii="Verdana" w:eastAsia="Century Gothic" w:hAnsi="Verdana" w:cs="Century Gothic"/>
          <w:b/>
          <w:bCs/>
        </w:rPr>
      </w:pPr>
    </w:p>
    <w:bookmarkEnd w:id="3"/>
    <w:p w14:paraId="515B3570" w14:textId="77777777" w:rsidR="00D8013F" w:rsidRPr="00CD302B" w:rsidRDefault="00D8013F" w:rsidP="00D8013F">
      <w:pPr>
        <w:numPr>
          <w:ilvl w:val="0"/>
          <w:numId w:val="17"/>
        </w:numPr>
        <w:tabs>
          <w:tab w:val="left" w:pos="142"/>
          <w:tab w:val="left" w:pos="284"/>
        </w:tabs>
        <w:spacing w:after="0" w:line="276" w:lineRule="auto"/>
        <w:jc w:val="both"/>
        <w:rPr>
          <w:rFonts w:ascii="Verdana" w:eastAsia="Century Gothic" w:hAnsi="Verdana" w:cs="Century Gothic"/>
          <w:b/>
          <w:bCs/>
        </w:rPr>
      </w:pPr>
      <w:r w:rsidRPr="00CD302B">
        <w:rPr>
          <w:rFonts w:ascii="Verdana" w:eastAsia="Century Gothic" w:hAnsi="Verdana" w:cs="Century Gothic"/>
          <w:b/>
          <w:bCs/>
        </w:rPr>
        <w:t>Razones de las respuestas:</w:t>
      </w:r>
    </w:p>
    <w:p w14:paraId="331DFAE8" w14:textId="77777777" w:rsidR="00D8013F" w:rsidRPr="00CD302B" w:rsidRDefault="00D8013F" w:rsidP="00D8013F">
      <w:pPr>
        <w:spacing w:after="0" w:line="276" w:lineRule="auto"/>
        <w:jc w:val="both"/>
        <w:rPr>
          <w:rFonts w:ascii="Verdana" w:eastAsia="Calibri" w:hAnsi="Verdana" w:cs="Arial"/>
          <w:color w:val="7030A0"/>
        </w:rPr>
      </w:pPr>
    </w:p>
    <w:p w14:paraId="202F5B5E" w14:textId="77777777" w:rsidR="00D8013F" w:rsidRPr="00CD302B" w:rsidRDefault="00D8013F" w:rsidP="00D8013F">
      <w:pPr>
        <w:spacing w:after="0" w:line="276" w:lineRule="auto"/>
        <w:jc w:val="both"/>
        <w:rPr>
          <w:rFonts w:ascii="Verdana" w:eastAsia="Calibri" w:hAnsi="Verdana" w:cs="Arial"/>
        </w:rPr>
      </w:pPr>
      <w:r w:rsidRPr="00CD302B">
        <w:rPr>
          <w:rFonts w:ascii="Verdana" w:eastAsia="Calibri" w:hAnsi="Verdana" w:cs="Arial"/>
        </w:rPr>
        <w:t>Lo anterior se sustenta en las siguientes consideraciones:</w:t>
      </w:r>
    </w:p>
    <w:p w14:paraId="53D0EAC2" w14:textId="77777777" w:rsidR="00D8013F" w:rsidRPr="00CD302B" w:rsidRDefault="00D8013F" w:rsidP="00D8013F">
      <w:pPr>
        <w:spacing w:after="0" w:line="276" w:lineRule="auto"/>
        <w:jc w:val="both"/>
        <w:rPr>
          <w:rFonts w:ascii="Verdana" w:eastAsia="Calibri" w:hAnsi="Verdana" w:cs="Arial"/>
        </w:rPr>
      </w:pPr>
    </w:p>
    <w:p w14:paraId="10CAE481" w14:textId="77777777" w:rsidR="00D8013F" w:rsidRPr="00CD302B" w:rsidRDefault="00D8013F" w:rsidP="00D8013F">
      <w:pPr>
        <w:widowControl w:val="0"/>
        <w:autoSpaceDE w:val="0"/>
        <w:autoSpaceDN w:val="0"/>
        <w:spacing w:after="0" w:line="276" w:lineRule="auto"/>
        <w:ind w:right="49"/>
        <w:jc w:val="both"/>
        <w:rPr>
          <w:rFonts w:ascii="Verdana" w:eastAsia="Arial" w:hAnsi="Verdana" w:cs="Arial"/>
          <w:kern w:val="2"/>
          <w:lang w:val="es-ES" w:eastAsia="es-ES" w:bidi="es-ES"/>
          <w14:ligatures w14:val="standardContextual"/>
        </w:rPr>
      </w:pPr>
      <w:r w:rsidRPr="00CD302B">
        <w:rPr>
          <w:rFonts w:ascii="Verdana" w:eastAsia="Arial" w:hAnsi="Verdana" w:cs="Arial"/>
          <w:kern w:val="2"/>
          <w:lang w:val="es-ES" w:eastAsia="es-ES" w:bidi="es-ES"/>
          <w14:ligatures w14:val="standardContextual"/>
        </w:rPr>
        <w:t xml:space="preserve">La Corte Constitucional, en la sentencia C-697 de 2000, explicó que el artículo 26 de la Constitución Política autorizó al legislador para exigir determinados </w:t>
      </w:r>
      <w:r w:rsidRPr="00CD302B">
        <w:rPr>
          <w:rFonts w:ascii="Verdana" w:eastAsia="Arial" w:hAnsi="Verdana" w:cs="Arial"/>
          <w:kern w:val="2"/>
          <w:lang w:val="es-ES" w:eastAsia="es-ES" w:bidi="es-ES"/>
          <w14:ligatures w14:val="standardContextual"/>
        </w:rPr>
        <w:lastRenderedPageBreak/>
        <w:t>títulos de idoneidad a quienes desempeñen actividades que impliquen riesgo social, con el objetivo de demostrar la adecuada aptitud del aspirante y que esta exigencia constituye una excepción legítima al principio de libertad e igualdad en materia laboral:</w:t>
      </w:r>
    </w:p>
    <w:p w14:paraId="52ACDC0A" w14:textId="77777777" w:rsidR="00D8013F" w:rsidRPr="00CD302B" w:rsidRDefault="00D8013F" w:rsidP="00D8013F">
      <w:pPr>
        <w:widowControl w:val="0"/>
        <w:autoSpaceDE w:val="0"/>
        <w:autoSpaceDN w:val="0"/>
        <w:spacing w:after="0" w:line="276" w:lineRule="auto"/>
        <w:rPr>
          <w:rFonts w:ascii="Arial" w:eastAsia="Arial" w:hAnsi="Arial" w:cs="Arial"/>
          <w:kern w:val="2"/>
          <w:sz w:val="20"/>
          <w:szCs w:val="20"/>
          <w:lang w:val="es-ES" w:eastAsia="es-ES" w:bidi="es-ES"/>
          <w14:ligatures w14:val="standardContextual"/>
        </w:rPr>
      </w:pPr>
    </w:p>
    <w:p w14:paraId="4C8247CB" w14:textId="77777777" w:rsidR="00D8013F" w:rsidRPr="007E6480" w:rsidRDefault="00D8013F" w:rsidP="00D8013F">
      <w:pPr>
        <w:widowControl w:val="0"/>
        <w:autoSpaceDE w:val="0"/>
        <w:autoSpaceDN w:val="0"/>
        <w:spacing w:after="0" w:line="240" w:lineRule="auto"/>
        <w:ind w:left="709" w:right="709"/>
        <w:jc w:val="both"/>
        <w:rPr>
          <w:rFonts w:ascii="Verdana" w:eastAsia="Arial" w:hAnsi="Verdana" w:cs="Arial"/>
          <w:kern w:val="2"/>
          <w:sz w:val="21"/>
          <w:szCs w:val="21"/>
          <w:lang w:val="es-ES" w:eastAsia="es-ES" w:bidi="es-ES"/>
          <w14:ligatures w14:val="standardContextual"/>
        </w:rPr>
      </w:pPr>
      <w:r w:rsidRPr="007E6480">
        <w:rPr>
          <w:rFonts w:ascii="Verdana" w:eastAsia="Arial" w:hAnsi="Verdana" w:cs="Arial"/>
          <w:kern w:val="2"/>
          <w:sz w:val="21"/>
          <w:szCs w:val="21"/>
          <w:lang w:val="es-ES" w:eastAsia="es-ES" w:bidi="es-ES"/>
          <w14:ligatures w14:val="standardContextual"/>
        </w:rPr>
        <w:t>“El artículo 26 de la Carta autoriza al legislador para exigir determinados títulos de idoneidad a quienes quieran desempeñar actividades que impliquen riesgo social y también, para establecer mecanismos de inspección y vigilancia con el fin de evitar que resulten lesionados derechos de terceras personas. Impone al legislador la tarea de garantizarle a todas las personas la libertad plena de escoger, en condiciones de igualdad, la profesión u oficio que pueda servir para realizar su modelo de vida o para garantizarles un ingreso que les permita satisfacer sus necesidades.</w:t>
      </w:r>
    </w:p>
    <w:p w14:paraId="3D09209F" w14:textId="77777777" w:rsidR="00D8013F" w:rsidRPr="007E6480" w:rsidRDefault="00D8013F" w:rsidP="00D8013F">
      <w:pPr>
        <w:widowControl w:val="0"/>
        <w:autoSpaceDE w:val="0"/>
        <w:autoSpaceDN w:val="0"/>
        <w:spacing w:after="0" w:line="240" w:lineRule="auto"/>
        <w:ind w:left="709" w:right="709"/>
        <w:rPr>
          <w:rFonts w:ascii="Verdana" w:eastAsia="Arial" w:hAnsi="Verdana" w:cs="Arial"/>
          <w:kern w:val="2"/>
          <w:sz w:val="21"/>
          <w:szCs w:val="21"/>
          <w:lang w:val="es-ES" w:eastAsia="es-ES" w:bidi="es-ES"/>
          <w14:ligatures w14:val="standardContextual"/>
        </w:rPr>
      </w:pPr>
      <w:r w:rsidRPr="007E6480">
        <w:rPr>
          <w:rFonts w:ascii="Verdana" w:eastAsia="Arial" w:hAnsi="Verdana" w:cs="Arial"/>
          <w:kern w:val="2"/>
          <w:sz w:val="21"/>
          <w:szCs w:val="21"/>
          <w:lang w:val="es-ES" w:eastAsia="es-ES" w:bidi="es-ES"/>
          <w14:ligatures w14:val="standardContextual"/>
        </w:rPr>
        <w:t>[…]</w:t>
      </w:r>
    </w:p>
    <w:p w14:paraId="2235407E" w14:textId="77777777" w:rsidR="00D8013F" w:rsidRPr="007E6480" w:rsidRDefault="00D8013F" w:rsidP="00D8013F">
      <w:pPr>
        <w:widowControl w:val="0"/>
        <w:autoSpaceDE w:val="0"/>
        <w:autoSpaceDN w:val="0"/>
        <w:spacing w:after="0" w:line="240" w:lineRule="auto"/>
        <w:ind w:left="709" w:right="709"/>
        <w:jc w:val="both"/>
        <w:rPr>
          <w:rFonts w:ascii="Verdana" w:eastAsia="Arial" w:hAnsi="Verdana" w:cs="Arial"/>
          <w:kern w:val="2"/>
          <w:sz w:val="21"/>
          <w:szCs w:val="21"/>
          <w:lang w:val="es-ES" w:eastAsia="es-ES" w:bidi="es-ES"/>
          <w14:ligatures w14:val="standardContextual"/>
        </w:rPr>
      </w:pPr>
      <w:r w:rsidRPr="007E6480">
        <w:rPr>
          <w:rFonts w:ascii="Verdana" w:eastAsia="Arial" w:hAnsi="Verdana" w:cs="Arial"/>
          <w:kern w:val="2"/>
          <w:sz w:val="21"/>
          <w:szCs w:val="21"/>
          <w:lang w:val="es-ES" w:eastAsia="es-ES" w:bidi="es-ES"/>
          <w14:ligatures w14:val="standardContextual"/>
        </w:rPr>
        <w:t>La exigencia de títulos de idoneidad y tarjetas profesionales constituye una excepción al principio de libertad e igualdad en materia laboral y, por lo tanto, es necesario demostrar que la formación intelectual y técnica requerida es un medio idóneo y proporción”</w:t>
      </w:r>
      <w:r w:rsidRPr="007E6480">
        <w:rPr>
          <w:rFonts w:ascii="Verdana" w:eastAsia="Arial" w:hAnsi="Verdana" w:cs="Arial"/>
          <w:kern w:val="2"/>
          <w:sz w:val="21"/>
          <w:szCs w:val="21"/>
          <w:vertAlign w:val="superscript"/>
          <w:lang w:val="es-ES" w:eastAsia="es-ES" w:bidi="es-ES"/>
          <w14:ligatures w14:val="standardContextual"/>
        </w:rPr>
        <w:footnoteReference w:id="1"/>
      </w:r>
      <w:r w:rsidRPr="007E6480">
        <w:rPr>
          <w:rFonts w:ascii="Verdana" w:eastAsia="Arial" w:hAnsi="Verdana" w:cs="Arial"/>
          <w:kern w:val="2"/>
          <w:sz w:val="21"/>
          <w:szCs w:val="21"/>
          <w:lang w:val="es-ES" w:eastAsia="es-ES" w:bidi="es-ES"/>
          <w14:ligatures w14:val="standardContextual"/>
        </w:rPr>
        <w:t>.</w:t>
      </w:r>
    </w:p>
    <w:p w14:paraId="6FF7D53F" w14:textId="77777777" w:rsidR="00D8013F" w:rsidRPr="00CD302B" w:rsidRDefault="00D8013F" w:rsidP="00D8013F">
      <w:pPr>
        <w:widowControl w:val="0"/>
        <w:autoSpaceDE w:val="0"/>
        <w:autoSpaceDN w:val="0"/>
        <w:spacing w:after="0" w:line="276" w:lineRule="auto"/>
        <w:ind w:right="304"/>
        <w:jc w:val="both"/>
        <w:rPr>
          <w:rFonts w:ascii="Arial" w:eastAsia="Calibri" w:hAnsi="Arial" w:cs="Arial"/>
          <w:b/>
          <w:bCs/>
          <w:kern w:val="2"/>
          <w:lang w:val="es-MX"/>
          <w14:ligatures w14:val="standardContextual"/>
        </w:rPr>
      </w:pPr>
    </w:p>
    <w:p w14:paraId="11BCC9ED" w14:textId="77777777" w:rsidR="00D8013F" w:rsidRPr="00CD302B" w:rsidRDefault="00D8013F" w:rsidP="00D8013F">
      <w:pPr>
        <w:widowControl w:val="0"/>
        <w:autoSpaceDE w:val="0"/>
        <w:autoSpaceDN w:val="0"/>
        <w:spacing w:after="0" w:line="276" w:lineRule="auto"/>
        <w:ind w:firstLine="709"/>
        <w:jc w:val="both"/>
        <w:rPr>
          <w:rFonts w:ascii="Verdana" w:eastAsia="Aptos" w:hAnsi="Verdana" w:cs="Arial"/>
          <w:kern w:val="2"/>
          <w:lang w:val="es-MX"/>
          <w14:ligatures w14:val="standardContextual"/>
        </w:rPr>
      </w:pPr>
      <w:r w:rsidRPr="00CD302B">
        <w:rPr>
          <w:rFonts w:ascii="Verdana" w:eastAsia="Arial" w:hAnsi="Verdana" w:cs="Arial"/>
          <w:kern w:val="2"/>
          <w:lang w:val="es-MX"/>
          <w14:ligatures w14:val="standardContextual"/>
        </w:rPr>
        <w:t xml:space="preserve">Haciendo uso de la mencionada prerrogativa, el legislador reguló el </w:t>
      </w:r>
      <w:r w:rsidRPr="00CD302B">
        <w:rPr>
          <w:rFonts w:ascii="Verdana" w:eastAsia="Arial" w:hAnsi="Verdana" w:cs="Arial"/>
          <w:kern w:val="2"/>
          <w:lang w:val="es-ES"/>
          <w14:ligatures w14:val="standardContextual"/>
        </w:rPr>
        <w:t>ejercicio de la ingeniería y de sus profesiones afines y auxiliares en la Ley 842 de 2003, estableciendo en el artículo 2 las actividades que se entienden como ejercicio de la ingeniería y en el artículo 6 la exigencia de efectuar la matrícula o inscripción en el Registro Profesional</w:t>
      </w:r>
      <w:r w:rsidRPr="00CD302B">
        <w:rPr>
          <w:rFonts w:ascii="Verdana" w:eastAsia="Arial" w:hAnsi="Verdana" w:cs="Arial"/>
          <w:spacing w:val="8"/>
          <w:kern w:val="2"/>
          <w:lang w:val="es-ES"/>
          <w14:ligatures w14:val="standardContextual"/>
        </w:rPr>
        <w:t xml:space="preserve"> </w:t>
      </w:r>
      <w:r w:rsidRPr="00CD302B">
        <w:rPr>
          <w:rFonts w:ascii="Verdana" w:eastAsia="Arial" w:hAnsi="Verdana" w:cs="Arial"/>
          <w:kern w:val="2"/>
          <w:lang w:val="es-ES"/>
          <w14:ligatures w14:val="standardContextual"/>
        </w:rPr>
        <w:t>respectivo,</w:t>
      </w:r>
      <w:r w:rsidRPr="00CD302B">
        <w:rPr>
          <w:rFonts w:ascii="Verdana" w:eastAsia="Arial" w:hAnsi="Verdana" w:cs="Arial"/>
          <w:spacing w:val="8"/>
          <w:kern w:val="2"/>
          <w:lang w:val="es-ES"/>
          <w14:ligatures w14:val="standardContextual"/>
        </w:rPr>
        <w:t xml:space="preserve"> </w:t>
      </w:r>
      <w:r w:rsidRPr="00CD302B">
        <w:rPr>
          <w:rFonts w:ascii="Verdana" w:eastAsia="Arial" w:hAnsi="Verdana" w:cs="Arial"/>
          <w:kern w:val="2"/>
          <w:lang w:val="es-ES"/>
          <w14:ligatures w14:val="standardContextual"/>
        </w:rPr>
        <w:t>lo</w:t>
      </w:r>
      <w:r w:rsidRPr="00CD302B">
        <w:rPr>
          <w:rFonts w:ascii="Verdana" w:eastAsia="Arial" w:hAnsi="Verdana" w:cs="Arial"/>
          <w:spacing w:val="9"/>
          <w:kern w:val="2"/>
          <w:lang w:val="es-ES"/>
          <w14:ligatures w14:val="standardContextual"/>
        </w:rPr>
        <w:t xml:space="preserve"> </w:t>
      </w:r>
      <w:r w:rsidRPr="00CD302B">
        <w:rPr>
          <w:rFonts w:ascii="Verdana" w:eastAsia="Arial" w:hAnsi="Verdana" w:cs="Arial"/>
          <w:kern w:val="2"/>
          <w:lang w:val="es-ES"/>
          <w14:ligatures w14:val="standardContextual"/>
        </w:rPr>
        <w:t>cual</w:t>
      </w:r>
      <w:r w:rsidRPr="00CD302B">
        <w:rPr>
          <w:rFonts w:ascii="Verdana" w:eastAsia="Arial" w:hAnsi="Verdana" w:cs="Arial"/>
          <w:spacing w:val="8"/>
          <w:kern w:val="2"/>
          <w:lang w:val="es-ES"/>
          <w14:ligatures w14:val="standardContextual"/>
        </w:rPr>
        <w:t xml:space="preserve"> </w:t>
      </w:r>
      <w:r w:rsidRPr="00CD302B">
        <w:rPr>
          <w:rFonts w:ascii="Verdana" w:eastAsia="Arial" w:hAnsi="Verdana" w:cs="Arial"/>
          <w:kern w:val="2"/>
          <w:lang w:val="es-ES"/>
          <w14:ligatures w14:val="standardContextual"/>
        </w:rPr>
        <w:t>se</w:t>
      </w:r>
      <w:r w:rsidRPr="00CD302B">
        <w:rPr>
          <w:rFonts w:ascii="Verdana" w:eastAsia="Arial" w:hAnsi="Verdana" w:cs="Arial"/>
          <w:spacing w:val="8"/>
          <w:kern w:val="2"/>
          <w:lang w:val="es-ES"/>
          <w14:ligatures w14:val="standardContextual"/>
        </w:rPr>
        <w:t xml:space="preserve"> </w:t>
      </w:r>
      <w:r w:rsidRPr="00CD302B">
        <w:rPr>
          <w:rFonts w:ascii="Verdana" w:eastAsia="Arial" w:hAnsi="Verdana" w:cs="Arial"/>
          <w:kern w:val="2"/>
          <w:lang w:val="es-ES"/>
          <w14:ligatures w14:val="standardContextual"/>
        </w:rPr>
        <w:t>acredita</w:t>
      </w:r>
      <w:r w:rsidRPr="00CD302B">
        <w:rPr>
          <w:rFonts w:ascii="Verdana" w:eastAsia="Arial" w:hAnsi="Verdana" w:cs="Arial"/>
          <w:spacing w:val="6"/>
          <w:kern w:val="2"/>
          <w:lang w:val="es-ES"/>
          <w14:ligatures w14:val="standardContextual"/>
        </w:rPr>
        <w:t xml:space="preserve"> </w:t>
      </w:r>
      <w:r w:rsidRPr="00CD302B">
        <w:rPr>
          <w:rFonts w:ascii="Verdana" w:eastAsia="Arial" w:hAnsi="Verdana" w:cs="Arial"/>
          <w:kern w:val="2"/>
          <w:lang w:val="es-ES"/>
          <w14:ligatures w14:val="standardContextual"/>
        </w:rPr>
        <w:t>con</w:t>
      </w:r>
      <w:r w:rsidRPr="00CD302B">
        <w:rPr>
          <w:rFonts w:ascii="Verdana" w:eastAsia="Arial" w:hAnsi="Verdana" w:cs="Arial"/>
          <w:spacing w:val="7"/>
          <w:kern w:val="2"/>
          <w:lang w:val="es-ES"/>
          <w14:ligatures w14:val="standardContextual"/>
        </w:rPr>
        <w:t xml:space="preserve"> </w:t>
      </w:r>
      <w:r w:rsidRPr="00CD302B">
        <w:rPr>
          <w:rFonts w:ascii="Verdana" w:eastAsia="Arial" w:hAnsi="Verdana" w:cs="Arial"/>
          <w:kern w:val="2"/>
          <w:lang w:val="es-ES"/>
          <w14:ligatures w14:val="standardContextual"/>
        </w:rPr>
        <w:t>la</w:t>
      </w:r>
      <w:r w:rsidRPr="00CD302B">
        <w:rPr>
          <w:rFonts w:ascii="Verdana" w:eastAsia="Arial" w:hAnsi="Verdana" w:cs="Arial"/>
          <w:spacing w:val="8"/>
          <w:kern w:val="2"/>
          <w:lang w:val="es-ES"/>
          <w14:ligatures w14:val="standardContextual"/>
        </w:rPr>
        <w:t xml:space="preserve"> </w:t>
      </w:r>
      <w:r w:rsidRPr="00CD302B">
        <w:rPr>
          <w:rFonts w:ascii="Verdana" w:eastAsia="Arial" w:hAnsi="Verdana" w:cs="Arial"/>
          <w:kern w:val="2"/>
          <w:lang w:val="es-ES"/>
          <w14:ligatures w14:val="standardContextual"/>
        </w:rPr>
        <w:t>tarjeta</w:t>
      </w:r>
      <w:r w:rsidRPr="00CD302B">
        <w:rPr>
          <w:rFonts w:ascii="Verdana" w:eastAsia="Arial" w:hAnsi="Verdana" w:cs="Arial"/>
          <w:spacing w:val="9"/>
          <w:kern w:val="2"/>
          <w:lang w:val="es-ES"/>
          <w14:ligatures w14:val="standardContextual"/>
        </w:rPr>
        <w:t xml:space="preserve"> </w:t>
      </w:r>
      <w:r w:rsidRPr="00CD302B">
        <w:rPr>
          <w:rFonts w:ascii="Verdana" w:eastAsia="Arial" w:hAnsi="Verdana" w:cs="Arial"/>
          <w:kern w:val="2"/>
          <w:lang w:val="es-ES"/>
          <w14:ligatures w14:val="standardContextual"/>
        </w:rPr>
        <w:t>o</w:t>
      </w:r>
      <w:r w:rsidRPr="00CD302B">
        <w:rPr>
          <w:rFonts w:ascii="Verdana" w:eastAsia="Arial" w:hAnsi="Verdana" w:cs="Arial"/>
          <w:spacing w:val="7"/>
          <w:kern w:val="2"/>
          <w:lang w:val="es-ES"/>
          <w14:ligatures w14:val="standardContextual"/>
        </w:rPr>
        <w:t xml:space="preserve"> </w:t>
      </w:r>
      <w:r w:rsidRPr="00CD302B">
        <w:rPr>
          <w:rFonts w:ascii="Verdana" w:eastAsia="Arial" w:hAnsi="Verdana" w:cs="Arial"/>
          <w:kern w:val="2"/>
          <w:lang w:val="es-ES"/>
          <w14:ligatures w14:val="standardContextual"/>
        </w:rPr>
        <w:t>documento adoptado por este para tal fin.</w:t>
      </w:r>
      <w:r w:rsidRPr="00CD302B">
        <w:rPr>
          <w:rFonts w:ascii="Verdana" w:eastAsia="Aptos" w:hAnsi="Verdana" w:cs="Arial"/>
          <w:kern w:val="2"/>
          <w:lang w:val="es-MX"/>
          <w14:ligatures w14:val="standardContextual"/>
        </w:rPr>
        <w:t xml:space="preserve">  Conforme a esto, el artículo 2 de la Ley 842 de 2003 enlista una serie de actividades que constituyen ejercicio de la ingeniería:</w:t>
      </w:r>
    </w:p>
    <w:p w14:paraId="129B3C47" w14:textId="77777777" w:rsidR="00D8013F" w:rsidRPr="00CD302B" w:rsidRDefault="00D8013F" w:rsidP="00D8013F">
      <w:pPr>
        <w:widowControl w:val="0"/>
        <w:autoSpaceDE w:val="0"/>
        <w:autoSpaceDN w:val="0"/>
        <w:spacing w:after="0" w:line="276" w:lineRule="auto"/>
        <w:ind w:firstLine="708"/>
        <w:jc w:val="both"/>
        <w:rPr>
          <w:rFonts w:ascii="Arial" w:eastAsia="Aptos" w:hAnsi="Arial" w:cs="Arial"/>
          <w:kern w:val="2"/>
          <w:lang w:val="es-MX"/>
          <w14:ligatures w14:val="standardContextual"/>
        </w:rPr>
      </w:pPr>
    </w:p>
    <w:p w14:paraId="68642597" w14:textId="77777777" w:rsidR="00D8013F" w:rsidRDefault="00D8013F" w:rsidP="00D8013F">
      <w:pPr>
        <w:widowControl w:val="0"/>
        <w:autoSpaceDE w:val="0"/>
        <w:autoSpaceDN w:val="0"/>
        <w:spacing w:after="0" w:line="240" w:lineRule="auto"/>
        <w:ind w:left="709" w:right="709"/>
        <w:jc w:val="both"/>
        <w:rPr>
          <w:rFonts w:ascii="Verdana" w:eastAsia="Aptos" w:hAnsi="Verdana" w:cs="Arial"/>
          <w:kern w:val="2"/>
          <w:sz w:val="21"/>
          <w:szCs w:val="21"/>
          <w:lang w:val="es-MX"/>
          <w14:ligatures w14:val="standardContextual"/>
        </w:rPr>
      </w:pPr>
      <w:r w:rsidRPr="00835999">
        <w:rPr>
          <w:rFonts w:ascii="Verdana" w:eastAsia="Aptos" w:hAnsi="Verdana" w:cs="Arial"/>
          <w:kern w:val="2"/>
          <w:sz w:val="21"/>
          <w:szCs w:val="21"/>
          <w:lang w:val="es-MX"/>
          <w14:ligatures w14:val="standardContextual"/>
        </w:rPr>
        <w:t xml:space="preserve">“Artículo 2o. </w:t>
      </w:r>
      <w:r w:rsidRPr="00835999">
        <w:rPr>
          <w:rFonts w:ascii="Verdana" w:eastAsia="Aptos" w:hAnsi="Verdana" w:cs="Arial"/>
          <w:i/>
          <w:iCs/>
          <w:kern w:val="2"/>
          <w:sz w:val="21"/>
          <w:szCs w:val="21"/>
          <w:lang w:val="es-MX"/>
          <w14:ligatures w14:val="standardContextual"/>
        </w:rPr>
        <w:t>Ejercicio de la ingeniería</w:t>
      </w:r>
      <w:r w:rsidRPr="00835999">
        <w:rPr>
          <w:rFonts w:ascii="Verdana" w:eastAsia="Aptos" w:hAnsi="Verdana" w:cs="Arial"/>
          <w:kern w:val="2"/>
          <w:sz w:val="21"/>
          <w:szCs w:val="21"/>
          <w:lang w:val="es-MX"/>
          <w14:ligatures w14:val="standardContextual"/>
        </w:rPr>
        <w:t>. Para los efectos de la presente ley, se entiende como ejercicio de la ingeniería, el desempeño de actividades tales como:</w:t>
      </w:r>
    </w:p>
    <w:p w14:paraId="6502FBBA" w14:textId="77777777" w:rsidR="00D8013F" w:rsidRPr="00835999" w:rsidRDefault="00D8013F" w:rsidP="00D8013F">
      <w:pPr>
        <w:widowControl w:val="0"/>
        <w:autoSpaceDE w:val="0"/>
        <w:autoSpaceDN w:val="0"/>
        <w:spacing w:after="0" w:line="240" w:lineRule="auto"/>
        <w:ind w:left="709" w:right="709"/>
        <w:jc w:val="both"/>
        <w:rPr>
          <w:rFonts w:ascii="Verdana" w:eastAsia="Aptos" w:hAnsi="Verdana" w:cs="Arial"/>
          <w:kern w:val="2"/>
          <w:sz w:val="21"/>
          <w:szCs w:val="21"/>
          <w:lang w:val="es-MX"/>
          <w14:ligatures w14:val="standardContextual"/>
        </w:rPr>
      </w:pPr>
    </w:p>
    <w:p w14:paraId="3E8001A9" w14:textId="77777777" w:rsidR="00D8013F" w:rsidRDefault="00D8013F" w:rsidP="00D8013F">
      <w:pPr>
        <w:widowControl w:val="0"/>
        <w:autoSpaceDE w:val="0"/>
        <w:autoSpaceDN w:val="0"/>
        <w:spacing w:after="0" w:line="240" w:lineRule="auto"/>
        <w:ind w:left="709" w:right="709"/>
        <w:jc w:val="both"/>
        <w:rPr>
          <w:rFonts w:ascii="Verdana" w:eastAsia="Aptos" w:hAnsi="Verdana" w:cs="Arial"/>
          <w:kern w:val="2"/>
          <w:sz w:val="21"/>
          <w:szCs w:val="21"/>
          <w:lang w:val="es-MX"/>
          <w14:ligatures w14:val="standardContextual"/>
        </w:rPr>
      </w:pPr>
      <w:r w:rsidRPr="00835999">
        <w:rPr>
          <w:rFonts w:ascii="Verdana" w:eastAsia="Aptos" w:hAnsi="Verdana" w:cs="Arial"/>
          <w:kern w:val="2"/>
          <w:sz w:val="21"/>
          <w:szCs w:val="21"/>
          <w:lang w:val="es-MX"/>
          <w14:ligatures w14:val="standardContextual"/>
        </w:rPr>
        <w:t xml:space="preserve">a) Los estudios, la planeación, el diseño, el cálculo, la programación, la asesoría, la consultoría, la interventoría, la construcción, el mantenimiento y la administración de construcciones de edificios y viviendas de toda índole, de puentes, presas, muelles, canales, </w:t>
      </w:r>
      <w:r w:rsidRPr="00835999">
        <w:rPr>
          <w:rFonts w:ascii="Verdana" w:eastAsia="Aptos" w:hAnsi="Verdana" w:cs="Arial"/>
          <w:kern w:val="2"/>
          <w:sz w:val="21"/>
          <w:szCs w:val="21"/>
          <w:lang w:val="es-MX"/>
          <w14:ligatures w14:val="standardContextual"/>
        </w:rPr>
        <w:lastRenderedPageBreak/>
        <w:t xml:space="preserve">puertos, carreteras, vías urbanas y rurales, aeropuertos, ferrocarriles, teleféricos, acueductos, alcantarillados, riesgos (sic), drenajes y pavimentos; oleoductos, gasoductos, poliductos y en general líneas de conducción y transporte de hidrocarburos; líneas de transmisión eléctrica y en general todas aquellas obras de infraestructura para el servicio de la comunidad; </w:t>
      </w:r>
    </w:p>
    <w:p w14:paraId="4FCC8A3C" w14:textId="77777777" w:rsidR="00D8013F" w:rsidRPr="00835999" w:rsidRDefault="00D8013F" w:rsidP="00D8013F">
      <w:pPr>
        <w:widowControl w:val="0"/>
        <w:autoSpaceDE w:val="0"/>
        <w:autoSpaceDN w:val="0"/>
        <w:spacing w:after="0" w:line="240" w:lineRule="auto"/>
        <w:ind w:left="709" w:right="709"/>
        <w:jc w:val="both"/>
        <w:rPr>
          <w:rFonts w:ascii="Verdana" w:eastAsia="Aptos" w:hAnsi="Verdana" w:cs="Arial"/>
          <w:kern w:val="2"/>
          <w:sz w:val="21"/>
          <w:szCs w:val="21"/>
          <w:lang w:val="es-MX"/>
          <w14:ligatures w14:val="standardContextual"/>
        </w:rPr>
      </w:pPr>
    </w:p>
    <w:p w14:paraId="74DFF177" w14:textId="77777777" w:rsidR="00D8013F" w:rsidRDefault="00D8013F" w:rsidP="00D8013F">
      <w:pPr>
        <w:widowControl w:val="0"/>
        <w:autoSpaceDE w:val="0"/>
        <w:autoSpaceDN w:val="0"/>
        <w:spacing w:after="0" w:line="240" w:lineRule="auto"/>
        <w:ind w:left="709" w:right="709"/>
        <w:jc w:val="both"/>
        <w:rPr>
          <w:rFonts w:ascii="Verdana" w:eastAsia="Aptos" w:hAnsi="Verdana" w:cs="Arial"/>
          <w:kern w:val="2"/>
          <w:sz w:val="21"/>
          <w:szCs w:val="21"/>
          <w:lang w:val="es-MX"/>
          <w14:ligatures w14:val="standardContextual"/>
        </w:rPr>
      </w:pPr>
      <w:r w:rsidRPr="00835999">
        <w:rPr>
          <w:rFonts w:ascii="Verdana" w:eastAsia="Aptos" w:hAnsi="Verdana" w:cs="Arial"/>
          <w:kern w:val="2"/>
          <w:sz w:val="21"/>
          <w:szCs w:val="21"/>
          <w:lang w:val="es-MX"/>
          <w14:ligatures w14:val="standardContextual"/>
        </w:rPr>
        <w:t xml:space="preserve">b) Los estudios, proyectos, diseños y procesos industriales, textiles, electromecánicos, termoeléctricos, energéticos, mecánicos, eléctricos, electrónicos, de computación, de sistemas, teleinformáticos, agroindustriales, agronómicos, agrícolas, agrológicos, de alimentos, agrometeorológicos, ambientales, geofísicos, forestales, químicos, metalúrgicos, mineros, de petróleos, geológicos, geodésicos, geográficos, topográficos e hidrológicos; </w:t>
      </w:r>
    </w:p>
    <w:p w14:paraId="4E3F61FC" w14:textId="77777777" w:rsidR="00D8013F" w:rsidRPr="00835999" w:rsidRDefault="00D8013F" w:rsidP="00D8013F">
      <w:pPr>
        <w:widowControl w:val="0"/>
        <w:autoSpaceDE w:val="0"/>
        <w:autoSpaceDN w:val="0"/>
        <w:spacing w:after="0" w:line="240" w:lineRule="auto"/>
        <w:ind w:left="709" w:right="709"/>
        <w:jc w:val="both"/>
        <w:rPr>
          <w:rFonts w:ascii="Verdana" w:eastAsia="Aptos" w:hAnsi="Verdana" w:cs="Arial"/>
          <w:kern w:val="2"/>
          <w:sz w:val="21"/>
          <w:szCs w:val="21"/>
          <w:lang w:val="es-MX"/>
          <w14:ligatures w14:val="standardContextual"/>
        </w:rPr>
      </w:pPr>
    </w:p>
    <w:p w14:paraId="709ECED8" w14:textId="77777777" w:rsidR="00D8013F" w:rsidRDefault="00D8013F" w:rsidP="00D8013F">
      <w:pPr>
        <w:widowControl w:val="0"/>
        <w:autoSpaceDE w:val="0"/>
        <w:autoSpaceDN w:val="0"/>
        <w:spacing w:after="0" w:line="240" w:lineRule="auto"/>
        <w:ind w:left="709" w:right="709"/>
        <w:jc w:val="both"/>
        <w:rPr>
          <w:rFonts w:ascii="Verdana" w:eastAsia="Aptos" w:hAnsi="Verdana" w:cs="Arial"/>
          <w:kern w:val="2"/>
          <w:sz w:val="21"/>
          <w:szCs w:val="21"/>
          <w:lang w:val="es-MX"/>
          <w14:ligatures w14:val="standardContextual"/>
        </w:rPr>
      </w:pPr>
      <w:r w:rsidRPr="00835999">
        <w:rPr>
          <w:rFonts w:ascii="Verdana" w:eastAsia="Aptos" w:hAnsi="Verdana" w:cs="Arial"/>
          <w:kern w:val="2"/>
          <w:sz w:val="21"/>
          <w:szCs w:val="21"/>
          <w:lang w:val="es-MX"/>
          <w14:ligatures w14:val="standardContextual"/>
        </w:rPr>
        <w:t xml:space="preserve">c) La planeación del transporte aéreo, terrestre y náutico y en general, todo asunto relacionado con la ejecución o desarrollo de las tareas o actividades de las profesiones especificadas en los subgrupos 02 y 03 de la Clasificación Nacional de Ocupaciones o normas que la sustituyan o complementen, en cuanto a la ingeniería, sus profesiones afines y auxiliares se refiere. También se entiende por ejercicio de la profesión para los efectos de esta ley, el presentarse o anunciarse como ingeniero o acceder a un cargo de nivel profesional utilizando dicho título. </w:t>
      </w:r>
    </w:p>
    <w:p w14:paraId="17722D8E" w14:textId="77777777" w:rsidR="00D8013F" w:rsidRPr="00835999" w:rsidRDefault="00D8013F" w:rsidP="00D8013F">
      <w:pPr>
        <w:widowControl w:val="0"/>
        <w:autoSpaceDE w:val="0"/>
        <w:autoSpaceDN w:val="0"/>
        <w:spacing w:after="0" w:line="240" w:lineRule="auto"/>
        <w:ind w:left="709" w:right="709"/>
        <w:jc w:val="both"/>
        <w:rPr>
          <w:rFonts w:ascii="Verdana" w:eastAsia="Aptos" w:hAnsi="Verdana" w:cs="Arial"/>
          <w:kern w:val="2"/>
          <w:sz w:val="21"/>
          <w:szCs w:val="21"/>
          <w:lang w:val="es-MX"/>
          <w14:ligatures w14:val="standardContextual"/>
        </w:rPr>
      </w:pPr>
    </w:p>
    <w:p w14:paraId="124A6872" w14:textId="77777777" w:rsidR="00D8013F" w:rsidRPr="00835999" w:rsidRDefault="00D8013F" w:rsidP="00D8013F">
      <w:pPr>
        <w:widowControl w:val="0"/>
        <w:autoSpaceDE w:val="0"/>
        <w:autoSpaceDN w:val="0"/>
        <w:spacing w:after="0" w:line="240" w:lineRule="auto"/>
        <w:ind w:left="709" w:right="709"/>
        <w:jc w:val="both"/>
        <w:rPr>
          <w:rFonts w:ascii="Verdana" w:eastAsia="Aptos" w:hAnsi="Verdana" w:cs="Arial"/>
          <w:kern w:val="2"/>
          <w:sz w:val="21"/>
          <w:szCs w:val="21"/>
          <w:lang w:val="es-MX"/>
          <w14:ligatures w14:val="standardContextual"/>
        </w:rPr>
      </w:pPr>
      <w:r w:rsidRPr="00835999">
        <w:rPr>
          <w:rFonts w:ascii="Verdana" w:eastAsia="Aptos" w:hAnsi="Verdana" w:cs="Arial"/>
          <w:kern w:val="2"/>
          <w:sz w:val="21"/>
          <w:szCs w:val="21"/>
          <w:lang w:val="es-MX"/>
          <w14:ligatures w14:val="standardContextual"/>
        </w:rPr>
        <w:t>Parágrafo. La instrucción, formación, enseñanza, docencia o cátedra dirigida a los estudiantes que aspiren a uno de los títulos profesionales, afines o auxiliares de la Ingeniería, en las materias o asignaturas que impliquen el conocimiento de la profesión, como máxima actividad del ejercicio profesional, solo podrá ser impartida por profesionales de la ingeniería, sus profesiones afines o sus profesiones auxiliares, según el caso, debidamente matriculados”.</w:t>
      </w:r>
    </w:p>
    <w:p w14:paraId="4B95984F" w14:textId="77777777" w:rsidR="00D8013F" w:rsidRPr="00CD302B" w:rsidRDefault="00D8013F" w:rsidP="00D8013F">
      <w:pPr>
        <w:widowControl w:val="0"/>
        <w:autoSpaceDE w:val="0"/>
        <w:autoSpaceDN w:val="0"/>
        <w:spacing w:after="0" w:line="276" w:lineRule="auto"/>
        <w:ind w:left="709" w:right="709"/>
        <w:jc w:val="both"/>
        <w:rPr>
          <w:rFonts w:ascii="Verdana" w:eastAsia="Aptos" w:hAnsi="Verdana" w:cs="Arial"/>
          <w:kern w:val="2"/>
          <w:lang w:val="es-MX"/>
          <w14:ligatures w14:val="standardContextual"/>
        </w:rPr>
      </w:pPr>
    </w:p>
    <w:p w14:paraId="4500DFB2" w14:textId="77777777" w:rsidR="00D8013F" w:rsidRPr="00CD302B" w:rsidRDefault="00D8013F" w:rsidP="00D8013F">
      <w:pPr>
        <w:widowControl w:val="0"/>
        <w:autoSpaceDE w:val="0"/>
        <w:autoSpaceDN w:val="0"/>
        <w:spacing w:after="120" w:line="276" w:lineRule="auto"/>
        <w:ind w:right="51" w:firstLine="709"/>
        <w:jc w:val="both"/>
        <w:rPr>
          <w:rFonts w:ascii="Verdana" w:eastAsia="Calibri" w:hAnsi="Verdana" w:cs="Arial"/>
          <w:lang w:val="es-ES" w:eastAsia="es-CO"/>
        </w:rPr>
      </w:pPr>
      <w:r w:rsidRPr="00CD302B">
        <w:rPr>
          <w:rFonts w:ascii="Verdana" w:eastAsia="Calibri" w:hAnsi="Verdana" w:cs="Arial"/>
          <w:lang w:val="es-ES" w:eastAsia="es-CO"/>
        </w:rPr>
        <w:t>Como se evidencia, la norma transcrita refiere varias actividades relacionadas con diferentes tipos de proyectos e infraestructuras. Se destaca c</w:t>
      </w:r>
      <w:r>
        <w:rPr>
          <w:rFonts w:ascii="Verdana" w:eastAsia="Calibri" w:hAnsi="Verdana" w:cs="Arial"/>
          <w:lang w:val="es-ES" w:eastAsia="es-CO"/>
        </w:rPr>
        <w:t>ó</w:t>
      </w:r>
      <w:r w:rsidRPr="00CD302B">
        <w:rPr>
          <w:rFonts w:ascii="Verdana" w:eastAsia="Calibri" w:hAnsi="Verdana" w:cs="Arial"/>
          <w:lang w:val="es-ES" w:eastAsia="es-CO"/>
        </w:rPr>
        <w:t xml:space="preserve">mo en el literal a) se hace referencia a objetos contractuales como la consultoría y la interventoría, asociados a diversos tipos de infraestructura de transporte, de lo que se colige que la ejecución de estos, según lo establecido en la ley, constituye ejercicio de la ingeniería. </w:t>
      </w:r>
    </w:p>
    <w:p w14:paraId="4D929711" w14:textId="77777777" w:rsidR="00D8013F" w:rsidRPr="00CD302B" w:rsidRDefault="00D8013F" w:rsidP="00D8013F">
      <w:pPr>
        <w:widowControl w:val="0"/>
        <w:autoSpaceDE w:val="0"/>
        <w:autoSpaceDN w:val="0"/>
        <w:spacing w:after="0" w:line="276" w:lineRule="auto"/>
        <w:ind w:right="51" w:firstLine="709"/>
        <w:jc w:val="both"/>
        <w:rPr>
          <w:rFonts w:ascii="Verdana" w:eastAsia="Calibri" w:hAnsi="Verdana" w:cs="Arial"/>
          <w:lang w:val="es-ES" w:eastAsia="es-CO"/>
        </w:rPr>
      </w:pPr>
      <w:r w:rsidRPr="00CD302B">
        <w:rPr>
          <w:rFonts w:ascii="Verdana" w:eastAsia="Calibri" w:hAnsi="Verdana" w:cs="Arial"/>
          <w:lang w:val="es-ES" w:eastAsia="es-CO"/>
        </w:rPr>
        <w:t xml:space="preserve">En atención a lo anterior, cobra importancia el estudio de lo contemplado por la referida ley en el capítulo relativo al ejercicio ilegal de la ingeniera, sus </w:t>
      </w:r>
      <w:r w:rsidRPr="00CD302B">
        <w:rPr>
          <w:rFonts w:ascii="Verdana" w:eastAsia="Calibri" w:hAnsi="Verdana" w:cs="Arial"/>
          <w:lang w:val="es-ES" w:eastAsia="es-CO"/>
        </w:rPr>
        <w:lastRenderedPageBreak/>
        <w:t>profesiones afines y auxiliares.  El artículo 20 de la Ley 842 de 2003 dispone que las propuestas en las licitaciones y concursos abiertos cuyo objeto implique el desarrollo de las actividades catalogadas como ejercicio de la ingeniería, deberán estar avalados por un ingeniero inscrito y con tarjeta de matrícula profesional en la respectiva rama de la ingeniería. Al siguiente tenor reza:</w:t>
      </w:r>
    </w:p>
    <w:p w14:paraId="0BBA3421" w14:textId="77777777" w:rsidR="00D8013F" w:rsidRPr="00CD302B" w:rsidRDefault="00D8013F" w:rsidP="00D8013F">
      <w:pPr>
        <w:widowControl w:val="0"/>
        <w:autoSpaceDE w:val="0"/>
        <w:autoSpaceDN w:val="0"/>
        <w:spacing w:after="0" w:line="276" w:lineRule="auto"/>
        <w:ind w:firstLine="709"/>
        <w:jc w:val="both"/>
        <w:rPr>
          <w:rFonts w:ascii="Arial" w:eastAsia="Arial" w:hAnsi="Arial" w:cs="Arial"/>
          <w:kern w:val="2"/>
          <w:lang w:val="es-ES"/>
          <w14:ligatures w14:val="standardContextual"/>
        </w:rPr>
      </w:pPr>
    </w:p>
    <w:p w14:paraId="016E9E60" w14:textId="77777777" w:rsidR="00D8013F" w:rsidRDefault="00D8013F" w:rsidP="00D8013F">
      <w:pPr>
        <w:spacing w:after="0" w:line="240" w:lineRule="auto"/>
        <w:ind w:left="709" w:right="709"/>
        <w:jc w:val="both"/>
        <w:rPr>
          <w:rFonts w:ascii="Verdana" w:eastAsia="Aptos" w:hAnsi="Verdana" w:cs="Arial"/>
          <w:kern w:val="2"/>
          <w:sz w:val="21"/>
          <w:szCs w:val="21"/>
          <w:lang w:val="es-MX"/>
          <w14:ligatures w14:val="standardContextual"/>
        </w:rPr>
      </w:pPr>
      <w:r w:rsidRPr="00835999">
        <w:rPr>
          <w:rFonts w:ascii="Verdana" w:eastAsia="Aptos" w:hAnsi="Verdana" w:cs="Arial"/>
          <w:kern w:val="2"/>
          <w:sz w:val="21"/>
          <w:szCs w:val="21"/>
          <w:lang w:val="es-MX"/>
          <w14:ligatures w14:val="standardContextual"/>
        </w:rPr>
        <w:t xml:space="preserve">“Artículo 20. </w:t>
      </w:r>
      <w:r w:rsidRPr="00B93A14">
        <w:rPr>
          <w:rFonts w:ascii="Verdana" w:eastAsia="Aptos" w:hAnsi="Verdana" w:cs="Arial"/>
          <w:i/>
          <w:iCs/>
          <w:kern w:val="2"/>
          <w:sz w:val="21"/>
          <w:szCs w:val="21"/>
          <w:lang w:val="es-MX"/>
          <w14:ligatures w14:val="standardContextual"/>
        </w:rPr>
        <w:t>Propuestas y contratos.</w:t>
      </w:r>
      <w:r w:rsidRPr="00835999">
        <w:rPr>
          <w:rFonts w:ascii="Verdana" w:eastAsia="Aptos" w:hAnsi="Verdana" w:cs="Arial"/>
          <w:kern w:val="2"/>
          <w:sz w:val="21"/>
          <w:szCs w:val="21"/>
          <w:lang w:val="es-MX"/>
          <w14:ligatures w14:val="standardContextual"/>
        </w:rPr>
        <w:t xml:space="preserve"> Las propuestas que se formulen en las licitaciones y concursos abiertos por entidades públicas del orden nacional, seccional o local, para la adjudicación de contratos cuyo objeto implique el desarrollo de las actividades catalogadas como ejercicio de la ingeniería, deberán estar avalados, en todo caso, cuando menos, por un ingeniero inscrito y con tarjeta de matrícula profesional en la respectiva rama de la ingeniería.</w:t>
      </w:r>
    </w:p>
    <w:p w14:paraId="0BBE67D3" w14:textId="77777777" w:rsidR="00D8013F" w:rsidRPr="00835999" w:rsidRDefault="00D8013F" w:rsidP="00D8013F">
      <w:pPr>
        <w:spacing w:after="0" w:line="240" w:lineRule="auto"/>
        <w:ind w:left="709" w:right="709"/>
        <w:jc w:val="both"/>
        <w:rPr>
          <w:rFonts w:ascii="Verdana" w:eastAsia="Aptos" w:hAnsi="Verdana" w:cs="Arial"/>
          <w:kern w:val="2"/>
          <w:sz w:val="21"/>
          <w:szCs w:val="21"/>
          <w:lang w:val="es-MX"/>
          <w14:ligatures w14:val="standardContextual"/>
        </w:rPr>
      </w:pPr>
    </w:p>
    <w:p w14:paraId="22A1BDCE" w14:textId="77777777" w:rsidR="00D8013F" w:rsidRDefault="00D8013F" w:rsidP="00D8013F">
      <w:pPr>
        <w:spacing w:after="0" w:line="240" w:lineRule="auto"/>
        <w:ind w:left="709" w:right="709"/>
        <w:jc w:val="both"/>
        <w:rPr>
          <w:rFonts w:ascii="Verdana" w:eastAsia="Aptos" w:hAnsi="Verdana" w:cs="Arial"/>
          <w:kern w:val="2"/>
          <w:sz w:val="21"/>
          <w:szCs w:val="21"/>
          <w:lang w:val="es-MX"/>
          <w14:ligatures w14:val="standardContextual"/>
        </w:rPr>
      </w:pPr>
      <w:r w:rsidRPr="00835999">
        <w:rPr>
          <w:rFonts w:ascii="Verdana" w:eastAsia="Aptos" w:hAnsi="Verdana" w:cs="Arial"/>
          <w:kern w:val="2"/>
          <w:sz w:val="21"/>
          <w:szCs w:val="21"/>
          <w:lang w:val="es-MX"/>
          <w14:ligatures w14:val="standardContextual"/>
        </w:rPr>
        <w:t>En los contratos que se celebren como resultado de la licitación o del concurso, los contratistas tendrán la obligación de encomendar los estudios, la dirección técnica, la ejecución de los trabajos o la interventoría, a profesionales inscritos en el registro profesional de ingeniería, acreditados con la tarjeta de matrícula profesional o, excepcionalmente, con la constancia o certificado de su</w:t>
      </w:r>
      <w:r w:rsidRPr="00835999">
        <w:rPr>
          <w:rFonts w:ascii="Verdana" w:eastAsia="Aptos" w:hAnsi="Verdana" w:cs="Arial"/>
          <w:spacing w:val="-26"/>
          <w:kern w:val="2"/>
          <w:sz w:val="21"/>
          <w:szCs w:val="21"/>
          <w:lang w:val="es-MX"/>
          <w14:ligatures w14:val="standardContextual"/>
        </w:rPr>
        <w:t xml:space="preserve"> </w:t>
      </w:r>
      <w:r w:rsidRPr="00835999">
        <w:rPr>
          <w:rFonts w:ascii="Verdana" w:eastAsia="Aptos" w:hAnsi="Verdana" w:cs="Arial"/>
          <w:kern w:val="2"/>
          <w:sz w:val="21"/>
          <w:szCs w:val="21"/>
          <w:lang w:val="es-MX"/>
          <w14:ligatures w14:val="standardContextual"/>
        </w:rPr>
        <w:t>vigencia.</w:t>
      </w:r>
    </w:p>
    <w:p w14:paraId="31FB5700" w14:textId="77777777" w:rsidR="00D8013F" w:rsidRPr="00835999" w:rsidRDefault="00D8013F" w:rsidP="00D8013F">
      <w:pPr>
        <w:spacing w:after="0" w:line="240" w:lineRule="auto"/>
        <w:ind w:left="709" w:right="709"/>
        <w:jc w:val="both"/>
        <w:rPr>
          <w:rFonts w:ascii="Verdana" w:eastAsia="Aptos" w:hAnsi="Verdana" w:cs="Arial"/>
          <w:kern w:val="2"/>
          <w:sz w:val="21"/>
          <w:szCs w:val="21"/>
          <w:lang w:val="es-MX"/>
          <w14:ligatures w14:val="standardContextual"/>
        </w:rPr>
      </w:pPr>
    </w:p>
    <w:p w14:paraId="12455DF4" w14:textId="77777777" w:rsidR="00D8013F" w:rsidRPr="00835999" w:rsidRDefault="00D8013F" w:rsidP="00D8013F">
      <w:pPr>
        <w:spacing w:after="0" w:line="240" w:lineRule="auto"/>
        <w:ind w:left="709" w:right="709"/>
        <w:jc w:val="both"/>
        <w:rPr>
          <w:rFonts w:ascii="Verdana" w:eastAsia="Aptos" w:hAnsi="Verdana" w:cs="Arial"/>
          <w:kern w:val="2"/>
          <w:sz w:val="21"/>
          <w:szCs w:val="21"/>
          <w:lang w:val="es-MX"/>
          <w14:ligatures w14:val="standardContextual"/>
        </w:rPr>
      </w:pPr>
      <w:r w:rsidRPr="00835999">
        <w:rPr>
          <w:rFonts w:ascii="Verdana" w:eastAsia="Aptos" w:hAnsi="Verdana" w:cs="Arial"/>
          <w:kern w:val="2"/>
          <w:sz w:val="21"/>
          <w:szCs w:val="21"/>
          <w:lang w:val="es-MX"/>
          <w14:ligatures w14:val="standardContextual"/>
        </w:rPr>
        <w:t>Parágrafo. Lo dispuesto en este artículo se aplicará en todas sus partes, tanto a las propuestas que se presenten, como a los contratos de igual naturaleza y que, con el mismo objetivo, se celebren con las sociedades de economía mixta y con los establecimientos públicos y empresas industriales o comerciales del orden nacional, departamental, distrital o municipal y aquellas descentralizadas por servicios.”</w:t>
      </w:r>
    </w:p>
    <w:p w14:paraId="0A32054A" w14:textId="77777777" w:rsidR="00D8013F" w:rsidRPr="00CD302B" w:rsidRDefault="00D8013F" w:rsidP="00D8013F">
      <w:pPr>
        <w:spacing w:after="0" w:line="240" w:lineRule="auto"/>
        <w:ind w:left="709" w:right="709"/>
        <w:jc w:val="both"/>
        <w:rPr>
          <w:rFonts w:ascii="Arial" w:eastAsia="Aptos" w:hAnsi="Arial" w:cs="Arial"/>
          <w:kern w:val="2"/>
          <w:lang w:val="es-MX"/>
          <w14:ligatures w14:val="standardContextual"/>
        </w:rPr>
      </w:pPr>
    </w:p>
    <w:p w14:paraId="3C01A716" w14:textId="77777777" w:rsidR="00D8013F" w:rsidRPr="00CD302B" w:rsidRDefault="00D8013F" w:rsidP="00D8013F">
      <w:pPr>
        <w:widowControl w:val="0"/>
        <w:autoSpaceDE w:val="0"/>
        <w:autoSpaceDN w:val="0"/>
        <w:spacing w:after="120" w:line="276" w:lineRule="auto"/>
        <w:ind w:right="51" w:firstLine="709"/>
        <w:jc w:val="both"/>
        <w:rPr>
          <w:rFonts w:ascii="Verdana" w:eastAsia="Calibri" w:hAnsi="Verdana" w:cs="Arial"/>
          <w:lang w:val="es-ES" w:eastAsia="es-CO"/>
        </w:rPr>
      </w:pPr>
      <w:r w:rsidRPr="00CD302B">
        <w:rPr>
          <w:rFonts w:ascii="Verdana" w:eastAsia="Calibri" w:hAnsi="Verdana" w:cs="Arial"/>
          <w:lang w:val="es-ES" w:eastAsia="es-CO"/>
        </w:rPr>
        <w:t>De igual forma, el Consejo Profesional Nacional de Ingeniería –COPNIA–, de acuerdo con la competencia consagrada en el artículo 26 de la Ley 842 de 2003</w:t>
      </w:r>
      <w:r w:rsidRPr="00CD302B">
        <w:rPr>
          <w:rFonts w:ascii="Verdana" w:eastAsia="Calibri" w:hAnsi="Verdana" w:cs="Arial"/>
          <w:vertAlign w:val="superscript"/>
          <w:lang w:val="es-ES" w:eastAsia="es-CO"/>
        </w:rPr>
        <w:footnoteReference w:id="2"/>
      </w:r>
      <w:r w:rsidRPr="00CD302B">
        <w:rPr>
          <w:rFonts w:ascii="Verdana" w:eastAsia="Calibri" w:hAnsi="Verdana" w:cs="Arial"/>
          <w:lang w:val="es-ES" w:eastAsia="es-CO"/>
        </w:rPr>
        <w:t xml:space="preserve">, ha conceptuado sobre la participación en procesos de selección relacionados con el ejercicio de actividades de la ingeniería, destacando el riesgo social que podría representar el uso inadecuado de la profesión por personas </w:t>
      </w:r>
      <w:r w:rsidRPr="00CD302B">
        <w:rPr>
          <w:rFonts w:ascii="Verdana" w:eastAsia="Calibri" w:hAnsi="Verdana" w:cs="Arial"/>
          <w:lang w:val="es-ES" w:eastAsia="es-CO"/>
        </w:rPr>
        <w:lastRenderedPageBreak/>
        <w:t>que no cuenten con la idoneidad para su ejercicio.</w:t>
      </w:r>
    </w:p>
    <w:p w14:paraId="2673C5DB" w14:textId="77777777" w:rsidR="00D8013F" w:rsidRPr="00CD302B" w:rsidRDefault="00D8013F" w:rsidP="00D8013F">
      <w:pPr>
        <w:widowControl w:val="0"/>
        <w:autoSpaceDE w:val="0"/>
        <w:autoSpaceDN w:val="0"/>
        <w:spacing w:after="120" w:line="276" w:lineRule="auto"/>
        <w:ind w:right="51" w:firstLine="709"/>
        <w:jc w:val="both"/>
        <w:rPr>
          <w:rFonts w:ascii="Verdana" w:eastAsia="Calibri" w:hAnsi="Verdana" w:cs="Arial"/>
          <w:lang w:val="es-ES" w:eastAsia="es-CO"/>
        </w:rPr>
      </w:pPr>
      <w:r w:rsidRPr="00CD302B">
        <w:rPr>
          <w:rFonts w:ascii="Verdana" w:eastAsia="Calibri" w:hAnsi="Verdana" w:cs="Arial"/>
          <w:lang w:val="es-ES" w:eastAsia="es-CO"/>
        </w:rPr>
        <w:t>La disposición transcrita fue objeto de estudio por la Corte Constitucional en la sentencia C-191 de 2005. El demandante consideró que dicha norma desconocía la libertad de escoger y ejercer profesión u oficio al reservar a los ingenieros, en los términos de la disposición demandada, las labores de estudios, planeación, programación, asesoría, consultoría, interventoría, construcción, mantenimiento y administración de construcciones de edificios y viviendas de toda índole, y de obras de infraestructura para el servicio de la comunidad, separando a los arquitectos de la ejecución de tales labores.</w:t>
      </w:r>
    </w:p>
    <w:p w14:paraId="427A3009" w14:textId="77777777" w:rsidR="00D8013F" w:rsidRPr="00CD302B" w:rsidRDefault="00D8013F" w:rsidP="00D8013F">
      <w:pPr>
        <w:widowControl w:val="0"/>
        <w:autoSpaceDE w:val="0"/>
        <w:autoSpaceDN w:val="0"/>
        <w:spacing w:after="120" w:line="276" w:lineRule="auto"/>
        <w:ind w:right="51" w:firstLine="709"/>
        <w:jc w:val="both"/>
        <w:rPr>
          <w:rFonts w:ascii="Verdana" w:eastAsia="Calibri" w:hAnsi="Verdana" w:cs="Arial"/>
          <w:lang w:val="es-ES" w:eastAsia="es-CO"/>
        </w:rPr>
      </w:pPr>
      <w:r w:rsidRPr="00CD302B">
        <w:rPr>
          <w:rFonts w:ascii="Verdana" w:eastAsia="Calibri" w:hAnsi="Verdana" w:cs="Arial"/>
          <w:lang w:val="es-ES" w:eastAsia="es-CO"/>
        </w:rPr>
        <w:t>La Corte Constitucional en su análisis consideró que las actividades propias de los arquitectos son diferentes a las de los ingenieros y sus profesiones auxiliares y afines. En ese sentido, la obligatoriedad de presentar las propuestas con aval de un ingeniero en licitaciones y concursos abiertos en los contratos que impliquen el desarrollo de actividades catalogadas como ejercicio de la ingeniería es objetiva y proporcional, en la medida que el aval de un ingeniero únicamente se debe realizar tratándose de procesos de contratación que involucren actividades catalogadas como ejercicio de la ingeniería</w:t>
      </w:r>
      <w:r w:rsidRPr="00CD302B">
        <w:rPr>
          <w:rFonts w:ascii="Verdana" w:eastAsia="Calibri" w:hAnsi="Verdana" w:cs="Arial"/>
          <w:vertAlign w:val="superscript"/>
          <w:lang w:val="es-ES" w:eastAsia="es-CO"/>
        </w:rPr>
        <w:footnoteReference w:id="3"/>
      </w:r>
      <w:r w:rsidRPr="00CD302B">
        <w:rPr>
          <w:rFonts w:ascii="Verdana" w:eastAsia="Calibri" w:hAnsi="Verdana" w:cs="Arial"/>
          <w:vertAlign w:val="superscript"/>
          <w:lang w:val="es-ES" w:eastAsia="es-CO"/>
        </w:rPr>
        <w:t>.</w:t>
      </w:r>
    </w:p>
    <w:p w14:paraId="64919C10" w14:textId="77777777" w:rsidR="00D8013F" w:rsidRPr="00CD302B" w:rsidRDefault="00D8013F" w:rsidP="00D8013F">
      <w:pPr>
        <w:widowControl w:val="0"/>
        <w:autoSpaceDE w:val="0"/>
        <w:autoSpaceDN w:val="0"/>
        <w:spacing w:after="120" w:line="276" w:lineRule="auto"/>
        <w:ind w:right="51" w:firstLine="709"/>
        <w:jc w:val="both"/>
        <w:rPr>
          <w:rFonts w:ascii="Verdana" w:eastAsia="Calibri" w:hAnsi="Verdana" w:cs="Arial"/>
          <w:lang w:val="es-ES" w:eastAsia="es-CO"/>
        </w:rPr>
      </w:pPr>
      <w:r w:rsidRPr="00CD302B">
        <w:rPr>
          <w:rFonts w:ascii="Verdana" w:eastAsia="Calibri" w:hAnsi="Verdana" w:cs="Arial"/>
          <w:lang w:val="es-ES" w:eastAsia="es-CO"/>
        </w:rPr>
        <w:t>Aunado a lo anterior, el Tribunal Constitucional también señaló que la persona idónea y habilitada legalmente para ejercer la ingeniería, en actividades catalogadas como ejercicio de dicha profesión, es la matriculada o inscrita en el Registro Profesional de Ingenieros y que por ende cuenta con un título profesional</w:t>
      </w:r>
      <w:r w:rsidRPr="00CD302B">
        <w:rPr>
          <w:rFonts w:ascii="Verdana" w:eastAsia="Calibri" w:hAnsi="Verdana" w:cs="Arial"/>
          <w:vertAlign w:val="superscript"/>
          <w:lang w:val="es-ES" w:eastAsia="es-CO"/>
        </w:rPr>
        <w:footnoteReference w:id="4"/>
      </w:r>
      <w:r w:rsidRPr="00CD302B">
        <w:rPr>
          <w:rFonts w:ascii="Verdana" w:eastAsia="Calibri" w:hAnsi="Verdana" w:cs="Arial"/>
          <w:lang w:val="es-ES" w:eastAsia="es-CO"/>
        </w:rPr>
        <w:t xml:space="preserve"> y con la idoneidad que no se predica de otras profesiones –como es el caso de la arquitectura–. Esta idoneidad se requiere para la ejecución de ciertas actividades relacionadas particularmente con el ejercicio de la ingeniería, como son los proyectos de obra de infraestructura de transporte, pues su </w:t>
      </w:r>
      <w:r w:rsidRPr="00CD302B">
        <w:rPr>
          <w:rFonts w:ascii="Verdana" w:eastAsia="Calibri" w:hAnsi="Verdana" w:cs="Arial"/>
          <w:lang w:val="es-ES" w:eastAsia="es-CO"/>
        </w:rPr>
        <w:lastRenderedPageBreak/>
        <w:t>formación es distinta y no existe habilitación legal para el ejercicio de actividades de ingeniería ostentando una profesión diferente.</w:t>
      </w:r>
    </w:p>
    <w:p w14:paraId="411D0700" w14:textId="77777777" w:rsidR="00D8013F" w:rsidRPr="00CD302B" w:rsidRDefault="00D8013F" w:rsidP="00D8013F">
      <w:pPr>
        <w:widowControl w:val="0"/>
        <w:autoSpaceDE w:val="0"/>
        <w:autoSpaceDN w:val="0"/>
        <w:spacing w:after="120" w:line="276" w:lineRule="auto"/>
        <w:ind w:right="51" w:firstLine="709"/>
        <w:jc w:val="both"/>
        <w:rPr>
          <w:rFonts w:ascii="Verdana" w:eastAsia="Calibri" w:hAnsi="Verdana" w:cs="Arial"/>
          <w:lang w:val="es-ES" w:eastAsia="es-CO"/>
        </w:rPr>
      </w:pPr>
      <w:r w:rsidRPr="00CD302B">
        <w:rPr>
          <w:rFonts w:ascii="Verdana" w:eastAsia="Calibri" w:hAnsi="Verdana" w:cs="Arial"/>
          <w:lang w:val="es-ES" w:eastAsia="es-CO"/>
        </w:rPr>
        <w:t>Así, no todas las actividades relacionadas con construcción pueden ser desarrolladas por profesionales diferentes a ingenieros, pues el ejercicio de actividades de dicha categoría supone la existencia de idoneidad y conocimientos adquiridos por los profesionales de ingeniería en el estudio de su profesión.</w:t>
      </w:r>
    </w:p>
    <w:p w14:paraId="11A26824" w14:textId="77777777" w:rsidR="00D8013F" w:rsidRPr="00CD302B" w:rsidRDefault="00D8013F" w:rsidP="00D8013F">
      <w:pPr>
        <w:spacing w:after="0" w:line="276" w:lineRule="auto"/>
        <w:ind w:firstLine="709"/>
        <w:jc w:val="both"/>
        <w:rPr>
          <w:rFonts w:ascii="Verdana" w:eastAsia="Calibri" w:hAnsi="Verdana" w:cs="Arial"/>
          <w:lang w:val="es-MX"/>
        </w:rPr>
      </w:pPr>
      <w:r w:rsidRPr="00CD302B">
        <w:rPr>
          <w:rFonts w:ascii="Verdana" w:eastAsia="Calibri" w:hAnsi="Verdana" w:cs="Arial"/>
          <w:lang w:val="es-ES"/>
        </w:rPr>
        <w:t>De igual forma, el Consejo Profesional Nacional de Ingeniería –COPNIA–, de acuerdo con la competencia consagrada en el artículo 26 de la Ley 842 de 2003</w:t>
      </w:r>
      <w:r w:rsidRPr="00CD302B">
        <w:rPr>
          <w:rFonts w:ascii="Verdana" w:eastAsia="Calibri" w:hAnsi="Verdana" w:cs="Arial"/>
          <w:vertAlign w:val="superscript"/>
          <w:lang w:val="es-ES"/>
        </w:rPr>
        <w:footnoteReference w:id="5"/>
      </w:r>
      <w:r w:rsidRPr="00CD302B">
        <w:rPr>
          <w:rFonts w:ascii="Verdana" w:eastAsia="Calibri" w:hAnsi="Verdana" w:cs="Arial"/>
          <w:lang w:val="es-ES"/>
        </w:rPr>
        <w:t xml:space="preserve">, </w:t>
      </w:r>
      <w:r w:rsidRPr="00CD302B">
        <w:rPr>
          <w:rFonts w:ascii="Verdana" w:eastAsia="Calibri" w:hAnsi="Verdana" w:cs="Arial"/>
          <w:lang w:val="es-MX"/>
        </w:rPr>
        <w:t>al analizar lo ordenado en el artículo 20 de la Ley 842 de 2003, haciendo énfasis en la responsabilidad de los profesionales de la ingeniería en los procesos adelantados por las entidades estatales, mediante concepto No</w:t>
      </w:r>
      <w:r>
        <w:rPr>
          <w:rFonts w:ascii="Verdana" w:eastAsia="Calibri" w:hAnsi="Verdana" w:cs="Arial"/>
          <w:lang w:val="es-MX"/>
        </w:rPr>
        <w:t>.</w:t>
      </w:r>
      <w:r w:rsidRPr="00CD302B">
        <w:rPr>
          <w:rFonts w:ascii="Verdana" w:eastAsia="Calibri" w:hAnsi="Verdana" w:cs="Arial"/>
          <w:lang w:val="es-MX"/>
        </w:rPr>
        <w:t xml:space="preserve"> 64 de 2020, el</w:t>
      </w:r>
      <w:r>
        <w:rPr>
          <w:rFonts w:ascii="Verdana" w:eastAsia="Calibri" w:hAnsi="Verdana" w:cs="Arial"/>
          <w:lang w:val="es-MX"/>
        </w:rPr>
        <w:t xml:space="preserve"> </w:t>
      </w:r>
      <w:r w:rsidRPr="00CD302B">
        <w:rPr>
          <w:rFonts w:ascii="Verdana" w:eastAsia="Calibri" w:hAnsi="Verdana" w:cs="Arial"/>
          <w:lang w:val="es-MX"/>
        </w:rPr>
        <w:t>COPNIA señaló:</w:t>
      </w:r>
    </w:p>
    <w:p w14:paraId="1E81D817" w14:textId="77777777" w:rsidR="00D8013F" w:rsidRPr="00CD302B" w:rsidRDefault="00D8013F" w:rsidP="00D8013F">
      <w:pPr>
        <w:spacing w:after="0" w:line="276" w:lineRule="auto"/>
        <w:ind w:firstLine="709"/>
        <w:jc w:val="both"/>
        <w:rPr>
          <w:rFonts w:ascii="Verdana" w:eastAsia="Calibri" w:hAnsi="Verdana" w:cs="Arial"/>
          <w:lang w:val="es-MX"/>
        </w:rPr>
      </w:pPr>
    </w:p>
    <w:p w14:paraId="764BA7DE" w14:textId="77777777" w:rsidR="00D8013F" w:rsidRPr="00CD302B" w:rsidRDefault="00D8013F" w:rsidP="00D8013F">
      <w:pPr>
        <w:spacing w:after="0" w:line="240" w:lineRule="auto"/>
        <w:ind w:left="709" w:right="709"/>
        <w:jc w:val="both"/>
        <w:rPr>
          <w:rFonts w:ascii="Verdana" w:eastAsia="Calibri" w:hAnsi="Verdana" w:cs="Arial"/>
          <w:sz w:val="21"/>
          <w:szCs w:val="21"/>
          <w:lang w:val="es-MX"/>
        </w:rPr>
      </w:pPr>
      <w:r w:rsidRPr="00CD302B">
        <w:rPr>
          <w:rFonts w:ascii="Verdana" w:eastAsia="Calibri" w:hAnsi="Verdana" w:cs="Arial"/>
          <w:sz w:val="21"/>
          <w:szCs w:val="21"/>
          <w:lang w:val="es-MX"/>
        </w:rPr>
        <w:t>“Del tenor de la disposición trascrita, se desprende que todas las personas jurídicas cuyo objeto comprenda el desempeño de actividades catalogadas como ejercicio de la ingeniería, si presentan propuestas en procesos de licitación o concursos ante el Estado para desarrollar dichas tareas, como es el caso de las obras públicas, debe entonces contar con el aval de un ingeniero civil debidamente matriculado ante el Copnia, independientemente de la cuantía o modalidad de contratación, dado que la norma no hace distinción alguna en ese aspecto, esto en aras de que dicho profesional asuma la responsabilidad deontológica por el adecuado ejercicio de la ingeniería, sobre la propuesta que refrenda con su firma, y verifique, controle y direccione las actividades ingenieriles que refrenda en caso de ser adjudicado, y asuma como consecuencia la responsabilidad ético profesional por el inadecuado ejercicio de la profesión, deber que no puede ser soslayado, so pena de exponerse de igual modo a la sociedad al riesgo que implica la ejecución de estas actividades”.</w:t>
      </w:r>
    </w:p>
    <w:p w14:paraId="4F73F4B8" w14:textId="77777777" w:rsidR="00D8013F" w:rsidRPr="00CD302B" w:rsidRDefault="00D8013F" w:rsidP="00D8013F">
      <w:pPr>
        <w:widowControl w:val="0"/>
        <w:autoSpaceDE w:val="0"/>
        <w:autoSpaceDN w:val="0"/>
        <w:spacing w:after="0" w:line="276" w:lineRule="auto"/>
        <w:ind w:right="448"/>
        <w:jc w:val="both"/>
        <w:rPr>
          <w:rFonts w:ascii="Verdana" w:eastAsia="Arial" w:hAnsi="Verdana" w:cs="Arial"/>
          <w:color w:val="000000"/>
          <w:lang w:val="es-MX"/>
        </w:rPr>
      </w:pPr>
    </w:p>
    <w:p w14:paraId="2E802776" w14:textId="77777777" w:rsidR="00D8013F" w:rsidRPr="00CD302B" w:rsidRDefault="00D8013F" w:rsidP="00D8013F">
      <w:pPr>
        <w:widowControl w:val="0"/>
        <w:autoSpaceDE w:val="0"/>
        <w:autoSpaceDN w:val="0"/>
        <w:spacing w:after="120" w:line="276" w:lineRule="auto"/>
        <w:ind w:firstLine="709"/>
        <w:jc w:val="both"/>
        <w:rPr>
          <w:rFonts w:ascii="Verdana" w:eastAsia="Arial" w:hAnsi="Verdana" w:cs="Arial"/>
          <w:color w:val="000000"/>
          <w:lang w:val="es-ES"/>
        </w:rPr>
      </w:pPr>
      <w:r w:rsidRPr="00CD302B">
        <w:rPr>
          <w:rFonts w:ascii="Verdana" w:eastAsia="Arial" w:hAnsi="Verdana" w:cs="Arial"/>
          <w:color w:val="000000"/>
          <w:lang w:val="es-ES"/>
        </w:rPr>
        <w:t xml:space="preserve">De acuerdo con lo expuesto, en concordancia con el Consejo Profesional </w:t>
      </w:r>
      <w:r w:rsidRPr="00CD302B">
        <w:rPr>
          <w:rFonts w:ascii="Verdana" w:eastAsia="Arial" w:hAnsi="Verdana" w:cs="Arial"/>
          <w:color w:val="000000"/>
          <w:lang w:val="es-ES"/>
        </w:rPr>
        <w:lastRenderedPageBreak/>
        <w:t xml:space="preserve">Nacional de Ingeniería –COPNIA–, </w:t>
      </w:r>
      <w:r w:rsidRPr="00F72136">
        <w:rPr>
          <w:rFonts w:ascii="Verdana" w:eastAsia="Arial" w:hAnsi="Verdana" w:cs="Arial"/>
          <w:i/>
          <w:iCs/>
          <w:color w:val="000000"/>
          <w:lang w:val="es-ES"/>
        </w:rPr>
        <w:t>la persona natural que presente propuesta en un proceso de contratación desarrollado en virtud de los documentos tipo de obra de infraestructura de transporte deberá acreditar título profesional en ingeniería de la rama correspondiente a la ejecución del objeto a contratar</w:t>
      </w:r>
      <w:r w:rsidRPr="00CD302B">
        <w:rPr>
          <w:rFonts w:ascii="Verdana" w:eastAsia="Arial" w:hAnsi="Verdana" w:cs="Arial"/>
          <w:color w:val="000000"/>
          <w:lang w:val="es-ES"/>
        </w:rPr>
        <w:t>, sin que sea posible que ante la ausencia de dicho título participe con el aval de un ingeniero. En efecto, de acuerdo con los apartes citados, dicho aval por parte de un ingeniero solo es posible realizarlo en favor de una persona jurídica, por lo que, tratándose de personas naturales, ellas directamente deberán ser ingenieros.</w:t>
      </w:r>
    </w:p>
    <w:p w14:paraId="0576B3EF" w14:textId="77777777" w:rsidR="00D8013F" w:rsidRPr="00CD302B" w:rsidRDefault="00D8013F" w:rsidP="00D8013F">
      <w:pPr>
        <w:widowControl w:val="0"/>
        <w:autoSpaceDE w:val="0"/>
        <w:autoSpaceDN w:val="0"/>
        <w:spacing w:after="120" w:line="276" w:lineRule="auto"/>
        <w:ind w:right="51" w:firstLine="743"/>
        <w:jc w:val="both"/>
        <w:rPr>
          <w:rFonts w:ascii="Verdana" w:eastAsia="Times New Roman" w:hAnsi="Verdana" w:cs="Arial"/>
          <w:color w:val="000000"/>
          <w:lang w:val="es-ES" w:eastAsia="es-ES_tradnl"/>
        </w:rPr>
      </w:pPr>
      <w:r w:rsidRPr="00CD302B">
        <w:rPr>
          <w:rFonts w:ascii="Verdana" w:eastAsia="Times New Roman" w:hAnsi="Verdana" w:cs="Arial"/>
          <w:color w:val="000000"/>
          <w:lang w:val="es-ES" w:eastAsia="es-ES_tradnl"/>
        </w:rPr>
        <w:t xml:space="preserve">En este contexto, los procesos de selección realizados con base en los documentos tipo para obras públicas de infraestructura de transporte, al estar orientados a la elección de contratistas idóneos para la ejecución de actividades como construcción, mejoramiento, rehabilitación, entre otras, conforme con lo previsto en la Matriz 1 – Experiencia, implican necesariamente el ejercicio de la ingeniería. Por </w:t>
      </w:r>
      <w:r>
        <w:rPr>
          <w:rFonts w:ascii="Verdana" w:eastAsia="Times New Roman" w:hAnsi="Verdana" w:cs="Arial"/>
          <w:color w:val="000000"/>
          <w:lang w:val="es-ES" w:eastAsia="es-ES_tradnl"/>
        </w:rPr>
        <w:t xml:space="preserve">lo </w:t>
      </w:r>
      <w:r w:rsidRPr="00CD302B">
        <w:rPr>
          <w:rFonts w:ascii="Verdana" w:eastAsia="Times New Roman" w:hAnsi="Verdana" w:cs="Arial"/>
          <w:color w:val="000000"/>
          <w:lang w:val="es-ES" w:eastAsia="es-ES_tradnl"/>
        </w:rPr>
        <w:t>tanto, la participación del proponente está supeditada al cumplimiento de la inscripción en el Registro Profesional del COPNIA (Consejo Profesional Nacional de Ingeniería) o en el Consejo Profesional de Ingeniería de Transportes y Vías de Colombia</w:t>
      </w:r>
      <w:r w:rsidRPr="00CD302B">
        <w:rPr>
          <w:rFonts w:ascii="Verdana" w:eastAsia="Arial" w:hAnsi="Verdana" w:cs="Arial"/>
          <w:lang w:val="es-ES"/>
        </w:rPr>
        <w:t>.</w:t>
      </w:r>
      <w:r w:rsidRPr="00CD302B">
        <w:rPr>
          <w:rFonts w:ascii="Verdana" w:eastAsia="Arial" w:hAnsi="Verdana" w:cs="Arial"/>
          <w:i/>
          <w:iCs/>
          <w:lang w:val="es-ES"/>
        </w:rPr>
        <w:t xml:space="preserve"> </w:t>
      </w:r>
    </w:p>
    <w:p w14:paraId="35E1980A" w14:textId="77777777" w:rsidR="00D8013F" w:rsidRPr="00CD302B" w:rsidRDefault="00D8013F" w:rsidP="00D8013F">
      <w:pPr>
        <w:widowControl w:val="0"/>
        <w:autoSpaceDE w:val="0"/>
        <w:autoSpaceDN w:val="0"/>
        <w:spacing w:after="0" w:line="276" w:lineRule="auto"/>
        <w:ind w:firstLine="708"/>
        <w:jc w:val="both"/>
        <w:rPr>
          <w:rFonts w:ascii="Verdana" w:eastAsia="Times New Roman" w:hAnsi="Verdana" w:cs="Arial"/>
          <w:color w:val="000000"/>
          <w:lang w:val="es-ES" w:eastAsia="es-ES_tradnl"/>
        </w:rPr>
      </w:pPr>
      <w:r w:rsidRPr="00CD302B">
        <w:rPr>
          <w:rFonts w:ascii="Verdana" w:eastAsia="Times New Roman" w:hAnsi="Verdana" w:cs="Arial"/>
          <w:color w:val="000000"/>
          <w:lang w:val="es-ES" w:eastAsia="es-ES_tradnl"/>
        </w:rPr>
        <w:t xml:space="preserve">Por tal motivo, los aspectos principales asociados a la elaboración y presentación de las ofertas en el marco de procesos de licitación de obra pública de infraestructura de transporte – versión 4, son regulados en el numeral 2.1 del Capítulo II del Documento Base o Pliego Tipo. En dicho numeral se hace referencia a la carta de presentación de la oferta y, de conformidad con lo establecido en la Ley 842 de 2003, se establecen algunas reglas tendientes a evitar el ejercicio ilegal de la ingeniería en el marco de los objetos contractuales ofertados. Al respecto, según lo manifestado en el texto de su petición, se advierte que son relevantes los siguientes párrafos: </w:t>
      </w:r>
    </w:p>
    <w:p w14:paraId="2A9284A9" w14:textId="77777777" w:rsidR="00D8013F" w:rsidRPr="00CD302B" w:rsidRDefault="00D8013F" w:rsidP="00D8013F">
      <w:pPr>
        <w:tabs>
          <w:tab w:val="left" w:pos="426"/>
        </w:tabs>
        <w:spacing w:after="0" w:line="276" w:lineRule="auto"/>
        <w:ind w:left="709" w:right="709"/>
        <w:jc w:val="both"/>
        <w:rPr>
          <w:rFonts w:ascii="Arial" w:eastAsia="Times New Roman" w:hAnsi="Arial" w:cs="Arial"/>
          <w:color w:val="000000"/>
          <w:lang w:val="es-ES" w:eastAsia="es-ES_tradnl"/>
        </w:rPr>
      </w:pPr>
    </w:p>
    <w:p w14:paraId="51F816BE" w14:textId="77777777" w:rsidR="00D8013F" w:rsidRPr="0051727A" w:rsidRDefault="00D8013F" w:rsidP="00D8013F">
      <w:pPr>
        <w:tabs>
          <w:tab w:val="left" w:pos="426"/>
        </w:tabs>
        <w:spacing w:after="0" w:line="240" w:lineRule="auto"/>
        <w:ind w:left="709" w:right="709"/>
        <w:jc w:val="both"/>
        <w:rPr>
          <w:rFonts w:ascii="Verdana" w:eastAsia="Times New Roman" w:hAnsi="Verdana" w:cs="Arial"/>
          <w:color w:val="000000"/>
          <w:sz w:val="21"/>
          <w:szCs w:val="21"/>
          <w:lang w:val="es-ES" w:eastAsia="es-ES_tradnl"/>
        </w:rPr>
      </w:pPr>
      <w:r w:rsidRPr="0051727A">
        <w:rPr>
          <w:rFonts w:ascii="Verdana" w:eastAsia="Times New Roman" w:hAnsi="Verdana" w:cs="Arial"/>
          <w:color w:val="000000"/>
          <w:sz w:val="21"/>
          <w:szCs w:val="21"/>
          <w:lang w:val="es-ES" w:eastAsia="es-ES_tradnl"/>
        </w:rPr>
        <w:t>“[…]</w:t>
      </w:r>
    </w:p>
    <w:p w14:paraId="358D5E93" w14:textId="77777777" w:rsidR="00D8013F" w:rsidRDefault="00D8013F" w:rsidP="00D8013F">
      <w:pPr>
        <w:tabs>
          <w:tab w:val="left" w:pos="426"/>
        </w:tabs>
        <w:spacing w:after="0" w:line="240" w:lineRule="auto"/>
        <w:ind w:left="709" w:right="709"/>
        <w:jc w:val="both"/>
        <w:rPr>
          <w:rFonts w:ascii="Verdana" w:eastAsia="Times New Roman" w:hAnsi="Verdana" w:cs="Arial"/>
          <w:color w:val="000000"/>
          <w:sz w:val="21"/>
          <w:szCs w:val="21"/>
          <w:lang w:val="es-ES" w:eastAsia="es-ES_tradnl"/>
        </w:rPr>
      </w:pPr>
      <w:r w:rsidRPr="0051727A">
        <w:rPr>
          <w:rFonts w:ascii="Verdana" w:eastAsia="Times New Roman" w:hAnsi="Verdana" w:cs="Arial"/>
          <w:color w:val="000000"/>
          <w:sz w:val="21"/>
          <w:szCs w:val="21"/>
          <w:lang w:val="es-ES" w:eastAsia="es-ES_tradnl"/>
        </w:rPr>
        <w:t xml:space="preserve">En virtud de lo previsto en la Ley 842 de 2003 y con el fin de no permitir el ejercicio ilegal de la Ingeniería, </w:t>
      </w:r>
      <w:r w:rsidRPr="0051727A">
        <w:rPr>
          <w:rFonts w:ascii="Verdana" w:eastAsia="Times New Roman" w:hAnsi="Verdana" w:cs="Arial"/>
          <w:b/>
          <w:bCs/>
          <w:i/>
          <w:iCs/>
          <w:color w:val="000000"/>
          <w:sz w:val="21"/>
          <w:szCs w:val="21"/>
          <w:lang w:val="es-ES" w:eastAsia="es-ES_tradnl"/>
        </w:rPr>
        <w:t>la persona natural (Proponente individual o integrante de la estructura plural) que pretenda participar en el presente Proceso, deberá acreditar que posee título como Ingeniero</w:t>
      </w:r>
      <w:r w:rsidRPr="0051727A">
        <w:rPr>
          <w:rFonts w:ascii="Verdana" w:eastAsia="Times New Roman" w:hAnsi="Verdana" w:cs="Arial"/>
          <w:color w:val="000000"/>
          <w:sz w:val="21"/>
          <w:szCs w:val="21"/>
          <w:lang w:val="es-ES" w:eastAsia="es-ES_tradnl"/>
        </w:rPr>
        <w:t xml:space="preserve">, para lo cual deberá adjuntar copia de la tarjeta profesional y copia del certificado de vigencia de matrícula profesional expedida por el COPNIA o Consejo Profesional de Ingeniería de Transportes y Vías de Colombia </w:t>
      </w:r>
      <w:r w:rsidRPr="0051727A">
        <w:rPr>
          <w:rFonts w:ascii="Verdana" w:eastAsia="Times New Roman" w:hAnsi="Verdana" w:cs="Arial"/>
          <w:b/>
          <w:bCs/>
          <w:i/>
          <w:iCs/>
          <w:color w:val="000000"/>
          <w:sz w:val="21"/>
          <w:szCs w:val="21"/>
          <w:lang w:val="es-ES" w:eastAsia="es-ES_tradnl"/>
        </w:rPr>
        <w:t xml:space="preserve">en la respectiva rama de la </w:t>
      </w:r>
      <w:r w:rsidRPr="0051727A">
        <w:rPr>
          <w:rFonts w:ascii="Verdana" w:eastAsia="Times New Roman" w:hAnsi="Verdana" w:cs="Arial"/>
          <w:b/>
          <w:bCs/>
          <w:i/>
          <w:iCs/>
          <w:color w:val="000000"/>
          <w:sz w:val="21"/>
          <w:szCs w:val="21"/>
          <w:lang w:val="es-ES" w:eastAsia="es-ES_tradnl"/>
        </w:rPr>
        <w:lastRenderedPageBreak/>
        <w:t>ingeniería según corresponda</w:t>
      </w:r>
      <w:r w:rsidRPr="0051727A">
        <w:rPr>
          <w:rFonts w:ascii="Verdana" w:eastAsia="Times New Roman" w:hAnsi="Verdana" w:cs="Arial"/>
          <w:color w:val="000000"/>
          <w:sz w:val="21"/>
          <w:szCs w:val="21"/>
          <w:lang w:val="es-ES" w:eastAsia="es-ES_tradnl"/>
        </w:rPr>
        <w:t>, vigente a la fecha de cierre de este Proceso de selección.</w:t>
      </w:r>
    </w:p>
    <w:p w14:paraId="0B72084B" w14:textId="77777777" w:rsidR="00D8013F" w:rsidRPr="0051727A" w:rsidRDefault="00D8013F" w:rsidP="00D8013F">
      <w:pPr>
        <w:tabs>
          <w:tab w:val="left" w:pos="426"/>
        </w:tabs>
        <w:spacing w:after="0" w:line="240" w:lineRule="auto"/>
        <w:ind w:left="709" w:right="709"/>
        <w:jc w:val="both"/>
        <w:rPr>
          <w:rFonts w:ascii="Verdana" w:eastAsia="Times New Roman" w:hAnsi="Verdana" w:cs="Arial"/>
          <w:color w:val="000000"/>
          <w:sz w:val="21"/>
          <w:szCs w:val="21"/>
          <w:lang w:val="es-ES" w:eastAsia="es-ES_tradnl"/>
        </w:rPr>
      </w:pPr>
    </w:p>
    <w:p w14:paraId="30B4E563" w14:textId="77777777" w:rsidR="00D8013F" w:rsidRPr="0051727A" w:rsidRDefault="00D8013F" w:rsidP="00D8013F">
      <w:pPr>
        <w:tabs>
          <w:tab w:val="left" w:pos="426"/>
        </w:tabs>
        <w:spacing w:after="0" w:line="240" w:lineRule="auto"/>
        <w:ind w:left="708" w:right="709"/>
        <w:jc w:val="both"/>
        <w:rPr>
          <w:rFonts w:ascii="Verdana" w:eastAsia="Times New Roman" w:hAnsi="Verdana" w:cs="Arial"/>
          <w:color w:val="000000"/>
          <w:sz w:val="21"/>
          <w:szCs w:val="21"/>
          <w:lang w:val="es-ES" w:eastAsia="es-ES_tradnl"/>
        </w:rPr>
      </w:pPr>
      <w:r w:rsidRPr="0051727A">
        <w:rPr>
          <w:rFonts w:ascii="Verdana" w:eastAsia="Times New Roman" w:hAnsi="Verdana" w:cs="Arial"/>
          <w:color w:val="000000"/>
          <w:sz w:val="21"/>
          <w:szCs w:val="21"/>
          <w:lang w:val="es-ES" w:eastAsia="es-ES_tradnl"/>
        </w:rPr>
        <w:t xml:space="preserve">De acuerdo con en el artículo 20 de la Ley 842 de 2003, si el representante legal o apoderado del Proponente individual persona jurídica o el representante legal o apoderado de la estructura plural, no posee título de una de las profesiones catalogadas como ejercicio de la ingeniería, la oferta deberá ser avalada por un ingeniero, para lo cual deberá adjuntar copia de la tarjeta profesional y copia del certificado de vigencia de matrícula profesional expedida por el COPNIA o Consejo Profesional de Ingeniería de Transportes y Vías de Colombia </w:t>
      </w:r>
      <w:r w:rsidRPr="0051727A">
        <w:rPr>
          <w:rFonts w:ascii="Verdana" w:eastAsia="Times New Roman" w:hAnsi="Verdana" w:cs="Arial"/>
          <w:b/>
          <w:bCs/>
          <w:i/>
          <w:iCs/>
          <w:color w:val="000000"/>
          <w:sz w:val="21"/>
          <w:szCs w:val="21"/>
          <w:lang w:val="es-ES" w:eastAsia="es-ES_tradnl"/>
        </w:rPr>
        <w:t>en la respectiva rama de la ingeniería según correspond</w:t>
      </w:r>
      <w:r w:rsidRPr="0051727A">
        <w:rPr>
          <w:rFonts w:ascii="Verdana" w:eastAsia="Times New Roman" w:hAnsi="Verdana" w:cs="Arial"/>
          <w:color w:val="000000"/>
          <w:sz w:val="21"/>
          <w:szCs w:val="21"/>
          <w:lang w:val="es-ES" w:eastAsia="es-ES_tradnl"/>
        </w:rPr>
        <w:t>a, vigente a la fecha de cierre de este Proceso de selección.</w:t>
      </w:r>
    </w:p>
    <w:p w14:paraId="26D0CD06" w14:textId="77777777" w:rsidR="00D8013F" w:rsidRPr="0051727A" w:rsidRDefault="00D8013F" w:rsidP="00D8013F">
      <w:pPr>
        <w:tabs>
          <w:tab w:val="left" w:pos="426"/>
        </w:tabs>
        <w:spacing w:after="0" w:line="240" w:lineRule="auto"/>
        <w:ind w:left="708" w:right="709"/>
        <w:jc w:val="both"/>
        <w:rPr>
          <w:rFonts w:ascii="Verdana" w:eastAsia="Times New Roman" w:hAnsi="Verdana" w:cs="Arial"/>
          <w:color w:val="000000"/>
          <w:sz w:val="21"/>
          <w:szCs w:val="21"/>
          <w:lang w:val="es-ES" w:eastAsia="es-ES_tradnl"/>
        </w:rPr>
      </w:pPr>
      <w:r w:rsidRPr="0051727A">
        <w:rPr>
          <w:rFonts w:ascii="Verdana" w:eastAsia="Times New Roman" w:hAnsi="Verdana" w:cs="Arial"/>
          <w:color w:val="000000"/>
          <w:sz w:val="21"/>
          <w:szCs w:val="21"/>
          <w:lang w:val="es-ES" w:eastAsia="es-ES_tradnl"/>
        </w:rPr>
        <w:t>[…]”. [Énfasis fuera del texto original].</w:t>
      </w:r>
    </w:p>
    <w:p w14:paraId="335632A7" w14:textId="77777777" w:rsidR="00D8013F" w:rsidRPr="00332384" w:rsidRDefault="00D8013F" w:rsidP="00D8013F">
      <w:pPr>
        <w:tabs>
          <w:tab w:val="left" w:pos="426"/>
        </w:tabs>
        <w:spacing w:after="0" w:line="240" w:lineRule="auto"/>
        <w:ind w:left="708" w:right="709"/>
        <w:jc w:val="both"/>
        <w:rPr>
          <w:rFonts w:ascii="Verdana" w:eastAsia="Times New Roman" w:hAnsi="Verdana" w:cs="Arial"/>
          <w:color w:val="000000"/>
          <w:lang w:val="es-ES" w:eastAsia="es-ES_tradnl"/>
        </w:rPr>
      </w:pPr>
    </w:p>
    <w:p w14:paraId="0CE1F17C" w14:textId="77777777" w:rsidR="00D8013F" w:rsidRPr="00CD302B" w:rsidRDefault="00D8013F" w:rsidP="00D8013F">
      <w:pPr>
        <w:widowControl w:val="0"/>
        <w:autoSpaceDE w:val="0"/>
        <w:autoSpaceDN w:val="0"/>
        <w:spacing w:after="120" w:line="276" w:lineRule="auto"/>
        <w:ind w:firstLine="708"/>
        <w:jc w:val="both"/>
        <w:rPr>
          <w:rFonts w:ascii="Verdana" w:eastAsia="Arial" w:hAnsi="Verdana" w:cs="Arial"/>
          <w:color w:val="000000"/>
          <w:kern w:val="2"/>
          <w:lang w:val="es-MX"/>
          <w14:ligatures w14:val="standardContextual"/>
        </w:rPr>
      </w:pPr>
      <w:r w:rsidRPr="00CD302B">
        <w:rPr>
          <w:rFonts w:ascii="Verdana" w:eastAsia="Arial" w:hAnsi="Verdana" w:cs="Arial"/>
          <w:color w:val="000000"/>
          <w:kern w:val="2"/>
          <w:lang w:val="es-MX"/>
          <w14:ligatures w14:val="standardContextual"/>
        </w:rPr>
        <w:t xml:space="preserve">Conforme se desprende de lo transcrito, para que una persona natural pueda participar en un proceso de licitación de obra pública de infraestructura de transporte, ya sea como proponente individual o como integrante de una estructura plural, el Documento Base o Pliego Tipo exige acreditar, no solo el título en la respectiva rama de la ingeniería, sino también la vigencia de la matricula profesional que habilita para ejercer dicha profesión. Esta regulación parte del presupuesto de que, la ejecución del objeto contractual general que se estandariza mediante los referidos documentos tipo, es una actividad que constituye ejercicio de la ingeniería de conformidad con el literal a) del artículo 2 de la Ley 842 de 2003, por lo que la presentación de la oferta en estos procesos de selección se encuentra regida por lo establecido en el artículo 20 de dicha ley.  </w:t>
      </w:r>
    </w:p>
    <w:p w14:paraId="52F9DA18" w14:textId="77777777" w:rsidR="00D8013F" w:rsidRPr="00CD302B" w:rsidRDefault="00D8013F" w:rsidP="00D8013F">
      <w:pPr>
        <w:widowControl w:val="0"/>
        <w:autoSpaceDE w:val="0"/>
        <w:autoSpaceDN w:val="0"/>
        <w:spacing w:after="120" w:line="276" w:lineRule="auto"/>
        <w:ind w:firstLine="709"/>
        <w:jc w:val="both"/>
        <w:rPr>
          <w:rFonts w:ascii="Verdana" w:eastAsia="Times New Roman" w:hAnsi="Verdana" w:cs="Arial"/>
          <w:color w:val="000000"/>
          <w:shd w:val="clear" w:color="auto" w:fill="FFFFFF"/>
          <w:lang w:eastAsia="es-CO"/>
        </w:rPr>
      </w:pPr>
      <w:r w:rsidRPr="00CD302B">
        <w:rPr>
          <w:rFonts w:ascii="Verdana" w:eastAsia="Arial" w:hAnsi="Verdana" w:cs="Arial"/>
          <w:color w:val="000000"/>
          <w:lang w:val="es-MX"/>
        </w:rPr>
        <w:t>En el mismo sentido</w:t>
      </w:r>
      <w:r w:rsidRPr="00CD302B">
        <w:rPr>
          <w:rFonts w:ascii="Verdana" w:eastAsia="Calibri" w:hAnsi="Verdana" w:cs="Arial"/>
          <w:lang w:val="es-MX"/>
        </w:rPr>
        <w:t xml:space="preserve">, respecto de las personas jurídicas que actúen como proponentes singulares o integrantes de proponentes plurales, el segundo párrafo transcrito establece una regulación análoga, también dirigida a garantizar el legal ejercicio de la ingeniería. Conforme a esta, cuando el representante legal o apoderado del proponente individual persona jurídica o el representante legal o apoderado de la estructura plural no posee título de una de las profesiones catalogadas como ejercicio de la ingeniería, se requiere que la oferta sea avalada por un ingeniero. </w:t>
      </w:r>
      <w:bookmarkStart w:id="4" w:name="_Hlk79389847"/>
      <w:r w:rsidRPr="00CD302B">
        <w:rPr>
          <w:rFonts w:ascii="Verdana" w:eastAsia="Calibri" w:hAnsi="Verdana" w:cs="Arial"/>
          <w:lang w:val="es-MX"/>
        </w:rPr>
        <w:t xml:space="preserve"> Así, si se verifica el </w:t>
      </w:r>
      <w:r w:rsidRPr="00CD302B">
        <w:rPr>
          <w:rFonts w:ascii="Verdana" w:eastAsia="Times New Roman" w:hAnsi="Verdana" w:cs="Arial"/>
          <w:bCs/>
          <w:color w:val="000000"/>
          <w:lang w:eastAsia="es-CO"/>
        </w:rPr>
        <w:t xml:space="preserve">Formato 1 – Carta de presentación de la propuesta, se observa un espacio dispuesto para ser diligenciado cuando </w:t>
      </w:r>
      <w:r w:rsidRPr="00CD302B">
        <w:rPr>
          <w:rFonts w:ascii="Verdana" w:eastAsia="Calibri" w:hAnsi="Verdana" w:cs="Arial"/>
        </w:rPr>
        <w:t xml:space="preserve">el proponente o su representante legal no sea un Ingeniero, en el que se señala: “De acuerdo con lo expresado en la Ley 842 de 2003 y debido a que el suscriptor de la presente propuesta no es ingeniero matriculado, </w:t>
      </w:r>
      <w:r w:rsidRPr="00CD302B">
        <w:rPr>
          <w:rFonts w:ascii="Verdana" w:eastAsia="Calibri" w:hAnsi="Verdana" w:cs="Arial"/>
        </w:rPr>
        <w:lastRenderedPageBreak/>
        <w:t xml:space="preserve">yo </w:t>
      </w:r>
      <w:r>
        <w:rPr>
          <w:rFonts w:ascii="Verdana" w:eastAsia="Calibri" w:hAnsi="Verdana" w:cs="Arial"/>
        </w:rPr>
        <w:t>[…]</w:t>
      </w:r>
      <w:r w:rsidRPr="00CD302B">
        <w:rPr>
          <w:rFonts w:ascii="Verdana" w:eastAsia="Calibri" w:hAnsi="Verdana" w:cs="Arial"/>
        </w:rPr>
        <w:t xml:space="preserve"> ingeniero con matrícula profesional No. </w:t>
      </w:r>
      <w:r>
        <w:rPr>
          <w:rFonts w:ascii="Verdana" w:eastAsia="Calibri" w:hAnsi="Verdana" w:cs="Arial"/>
        </w:rPr>
        <w:t xml:space="preserve">[…] </w:t>
      </w:r>
      <w:r w:rsidRPr="00CD302B">
        <w:rPr>
          <w:rFonts w:ascii="Verdana" w:eastAsia="Calibri" w:hAnsi="Verdana" w:cs="Arial"/>
        </w:rPr>
        <w:t xml:space="preserve">avalo la presente propuesta” </w:t>
      </w:r>
      <w:r w:rsidRPr="00CD302B">
        <w:rPr>
          <w:rFonts w:ascii="Verdana" w:eastAsia="Times New Roman" w:hAnsi="Verdana" w:cs="Arial"/>
          <w:lang w:eastAsia="es-ES"/>
        </w:rPr>
        <w:t>(Nombre y firma de quien avala la propuesta)</w:t>
      </w:r>
      <w:r w:rsidRPr="00CD302B">
        <w:rPr>
          <w:rFonts w:ascii="Verdana" w:eastAsia="Times New Roman" w:hAnsi="Verdana" w:cs="Arial"/>
          <w:color w:val="000000"/>
          <w:shd w:val="clear" w:color="auto" w:fill="FFFFFF"/>
          <w:lang w:eastAsia="es-CO"/>
        </w:rPr>
        <w:t>”.</w:t>
      </w:r>
      <w:bookmarkEnd w:id="4"/>
    </w:p>
    <w:p w14:paraId="56309F76" w14:textId="77777777" w:rsidR="00D8013F" w:rsidRPr="00CD302B" w:rsidRDefault="00D8013F" w:rsidP="00D8013F">
      <w:pPr>
        <w:widowControl w:val="0"/>
        <w:autoSpaceDE w:val="0"/>
        <w:autoSpaceDN w:val="0"/>
        <w:spacing w:after="120" w:line="276" w:lineRule="auto"/>
        <w:ind w:right="51" w:firstLine="708"/>
        <w:jc w:val="both"/>
        <w:rPr>
          <w:rFonts w:ascii="Verdana" w:eastAsia="Arial" w:hAnsi="Verdana" w:cs="Arial"/>
          <w:kern w:val="2"/>
          <w:sz w:val="24"/>
          <w:szCs w:val="24"/>
          <w:lang w:val="es-ES"/>
          <w14:ligatures w14:val="standardContextual"/>
        </w:rPr>
      </w:pPr>
      <w:r w:rsidRPr="00CD302B">
        <w:rPr>
          <w:rFonts w:ascii="Verdana" w:eastAsia="Arial" w:hAnsi="Verdana" w:cs="Arial"/>
          <w:color w:val="000000"/>
        </w:rPr>
        <w:t>De lo anterior se concluye que, tratándose de los documentos tipo de licitación de obra pública de</w:t>
      </w:r>
      <w:r>
        <w:rPr>
          <w:rFonts w:ascii="Verdana" w:eastAsia="Arial" w:hAnsi="Verdana" w:cs="Arial"/>
          <w:color w:val="000000"/>
        </w:rPr>
        <w:t xml:space="preserve"> infraestructura de transporte </w:t>
      </w:r>
      <w:r w:rsidRPr="00CD302B">
        <w:rPr>
          <w:rFonts w:ascii="Verdana" w:eastAsia="Arial" w:hAnsi="Verdana" w:cs="Arial"/>
          <w:color w:val="000000"/>
        </w:rPr>
        <w:t xml:space="preserve">– Versión 4, </w:t>
      </w:r>
      <w:r w:rsidRPr="00CD302B">
        <w:rPr>
          <w:rFonts w:ascii="Verdana" w:eastAsia="Arial" w:hAnsi="Verdana" w:cs="Arial"/>
          <w:color w:val="000000"/>
          <w:lang w:val="es-MX"/>
        </w:rPr>
        <w:t xml:space="preserve">para que una persona natural (proponente individual o integrante de la estructura plural) que pretenda participar en el proceso, deberá </w:t>
      </w:r>
      <w:r w:rsidRPr="00CD302B">
        <w:rPr>
          <w:rFonts w:ascii="Verdana" w:eastAsia="Arial" w:hAnsi="Verdana" w:cs="Arial"/>
          <w:color w:val="000000"/>
        </w:rPr>
        <w:t>acreditar que posee título como ingeniero y adjuntar copia de la tarjeta profesional y copia del certificado de vigencia de matrícula profesional expedida por el COPNIA o Consejo Profesional de Ingeniería de Transportes y Vías de Colombia en la respectiva rama de la ingeniería, según corresponda.</w:t>
      </w:r>
    </w:p>
    <w:p w14:paraId="22625C6B" w14:textId="77777777" w:rsidR="00D8013F" w:rsidRPr="00CD302B" w:rsidRDefault="00D8013F" w:rsidP="00D8013F">
      <w:pPr>
        <w:widowControl w:val="0"/>
        <w:autoSpaceDE w:val="0"/>
        <w:autoSpaceDN w:val="0"/>
        <w:spacing w:after="120" w:line="276" w:lineRule="auto"/>
        <w:ind w:right="51" w:firstLine="708"/>
        <w:jc w:val="both"/>
        <w:rPr>
          <w:rFonts w:ascii="Verdana" w:eastAsia="Arial" w:hAnsi="Verdana" w:cs="Arial"/>
          <w:kern w:val="2"/>
          <w:sz w:val="24"/>
          <w:szCs w:val="24"/>
          <w14:ligatures w14:val="standardContextual"/>
        </w:rPr>
      </w:pPr>
      <w:r w:rsidRPr="00CD302B">
        <w:rPr>
          <w:rFonts w:ascii="Verdana" w:eastAsia="Arial" w:hAnsi="Verdana" w:cs="Arial"/>
          <w:color w:val="000000"/>
          <w:lang w:val="es-MX"/>
        </w:rPr>
        <w:t>Si se trata de una persona jurídica, cuyo represente legal no es un ingeniero, la presentación de su oferta deberá estar avalada por un ingeniero</w:t>
      </w:r>
      <w:r w:rsidRPr="00CD302B">
        <w:rPr>
          <w:rFonts w:ascii="Verdana" w:eastAsia="Arial" w:hAnsi="Verdana" w:cs="Arial"/>
          <w:kern w:val="2"/>
          <w14:ligatures w14:val="standardContextual"/>
        </w:rPr>
        <w:t>,</w:t>
      </w:r>
      <w:r w:rsidRPr="00CD302B">
        <w:rPr>
          <w:rFonts w:ascii="Verdana" w:eastAsia="Times New Roman" w:hAnsi="Verdana" w:cs="Arial"/>
          <w:color w:val="000000"/>
          <w:kern w:val="2"/>
          <w:lang w:val="es-ES" w:eastAsia="es-ES_tradnl"/>
          <w14:ligatures w14:val="standardContextual"/>
        </w:rPr>
        <w:t xml:space="preserve"> </w:t>
      </w:r>
      <w:r w:rsidRPr="00CD302B">
        <w:rPr>
          <w:rFonts w:ascii="Verdana" w:eastAsia="Arial" w:hAnsi="Verdana" w:cs="Arial"/>
          <w:kern w:val="2"/>
          <w:lang w:val="es-ES"/>
          <w14:ligatures w14:val="standardContextual"/>
        </w:rPr>
        <w:t xml:space="preserve">para lo cual deberá adjuntar copia de la tarjeta profesional y copia del certificado de vigencia de matrícula profesional expedida por el COPNIA o Consejo Profesional de Ingeniería de Transportes y Vías de Colombia </w:t>
      </w:r>
      <w:r w:rsidRPr="00CD302B">
        <w:rPr>
          <w:rFonts w:ascii="Verdana" w:eastAsia="Arial" w:hAnsi="Verdana" w:cs="Arial"/>
          <w:i/>
          <w:kern w:val="2"/>
          <w:lang w:val="es-ES"/>
          <w14:ligatures w14:val="standardContextual"/>
        </w:rPr>
        <w:t>en la respectiva rama de la ingeniería, según corresponda</w:t>
      </w:r>
      <w:r w:rsidRPr="00CD302B">
        <w:rPr>
          <w:rFonts w:ascii="Verdana" w:eastAsia="Arial" w:hAnsi="Verdana" w:cs="Arial"/>
          <w:kern w:val="2"/>
          <w:sz w:val="24"/>
          <w:szCs w:val="24"/>
          <w:lang w:val="es-ES"/>
          <w14:ligatures w14:val="standardContextual"/>
        </w:rPr>
        <w:t>.</w:t>
      </w:r>
      <w:r w:rsidRPr="00CD302B">
        <w:rPr>
          <w:rFonts w:ascii="Verdana" w:eastAsia="Arial" w:hAnsi="Verdana" w:cs="Arial"/>
          <w:kern w:val="2"/>
          <w:sz w:val="24"/>
          <w:szCs w:val="24"/>
          <w14:ligatures w14:val="standardContextual"/>
        </w:rPr>
        <w:t xml:space="preserve">  </w:t>
      </w:r>
      <w:r w:rsidRPr="00CD302B">
        <w:rPr>
          <w:rFonts w:ascii="Verdana" w:eastAsia="Arial" w:hAnsi="Verdana" w:cs="Arial"/>
          <w:kern w:val="2"/>
          <w:lang w:val="es-ES"/>
          <w14:ligatures w14:val="standardContextual"/>
        </w:rPr>
        <w:t>Esto se</w:t>
      </w:r>
      <w:r w:rsidRPr="00CD302B">
        <w:rPr>
          <w:rFonts w:ascii="Verdana" w:eastAsia="Arial" w:hAnsi="Verdana" w:cs="Arial"/>
          <w:color w:val="000000"/>
          <w:lang w:val="es-MX"/>
        </w:rPr>
        <w:t xml:space="preserve"> refleja en lo señalado en el numeral 2.1 del Documento Base y en el Formato 1 de los pliegos tipo de licitación de obra pública de infraestructura de transporte – versión 4, que no hacen más que desarrollar lo regulado en el artículo 20 de la Ley 842 de 2003.    </w:t>
      </w:r>
    </w:p>
    <w:p w14:paraId="32803396" w14:textId="77777777" w:rsidR="00D8013F" w:rsidRPr="006A3C55" w:rsidRDefault="00D8013F" w:rsidP="00D8013F">
      <w:pPr>
        <w:numPr>
          <w:ilvl w:val="12"/>
          <w:numId w:val="0"/>
        </w:numPr>
        <w:spacing w:after="120" w:line="276" w:lineRule="auto"/>
        <w:ind w:firstLine="709"/>
        <w:jc w:val="both"/>
        <w:rPr>
          <w:rFonts w:ascii="Verdana" w:eastAsia="Arial" w:hAnsi="Verdana" w:cs="Arial"/>
          <w:color w:val="000000"/>
          <w:lang w:val="es-MX"/>
        </w:rPr>
      </w:pPr>
      <w:r w:rsidRPr="00CD302B">
        <w:rPr>
          <w:rFonts w:ascii="Verdana" w:eastAsia="Arial" w:hAnsi="Verdana" w:cs="Arial"/>
          <w:color w:val="000000"/>
          <w:lang w:val="es-MX"/>
        </w:rPr>
        <w:t>De no cumplirse con lo anterior, la persona natural o jurídica no podrá participar en el respectivo proceso de contratación, comoquiera que de acuerdo con lo explicado, no estaría legalmente habilitada para desarrollar el objeto del contrato. Esta interpretación</w:t>
      </w:r>
      <w:r>
        <w:rPr>
          <w:rFonts w:ascii="Verdana" w:eastAsia="Arial" w:hAnsi="Verdana" w:cs="Arial"/>
          <w:color w:val="000000"/>
          <w:lang w:val="es-MX"/>
        </w:rPr>
        <w:t xml:space="preserve"> </w:t>
      </w:r>
      <w:r w:rsidRPr="00CD302B">
        <w:rPr>
          <w:rFonts w:ascii="Verdana" w:eastAsia="Arial" w:hAnsi="Verdana" w:cs="Arial"/>
          <w:color w:val="000000"/>
          <w:lang w:val="es-MX"/>
        </w:rPr>
        <w:t xml:space="preserve">–respaldada por la Corte Constitucional y el COPNIA–, como se explicó </w:t>
      </w:r>
      <w:r w:rsidRPr="0090712C">
        <w:rPr>
          <w:rFonts w:ascii="Verdana" w:eastAsia="Arial" w:hAnsi="Verdana" w:cs="Arial"/>
          <w:i/>
          <w:iCs/>
          <w:color w:val="000000"/>
          <w:lang w:val="es-MX"/>
        </w:rPr>
        <w:t>ut supra</w:t>
      </w:r>
      <w:r>
        <w:rPr>
          <w:rFonts w:ascii="Verdana" w:eastAsia="Arial" w:hAnsi="Verdana" w:cs="Arial"/>
          <w:color w:val="000000"/>
          <w:lang w:val="es-MX"/>
        </w:rPr>
        <w:t>,</w:t>
      </w:r>
      <w:r w:rsidRPr="00CD302B">
        <w:rPr>
          <w:rFonts w:ascii="Verdana" w:eastAsia="Arial" w:hAnsi="Verdana" w:cs="Arial"/>
          <w:color w:val="000000"/>
          <w:lang w:val="es-MX"/>
        </w:rPr>
        <w:t xml:space="preserve"> parte de la base de que quienes no cuentan con un título en ingeniería no son considerados idóneos o aptos para ejecutar actividades que constituyen ejercicio de la ingeniería, por lo que no están </w:t>
      </w:r>
      <w:r w:rsidRPr="006A3C55">
        <w:rPr>
          <w:rFonts w:ascii="Verdana" w:eastAsia="Arial" w:hAnsi="Verdana" w:cs="Arial"/>
          <w:color w:val="000000"/>
          <w:lang w:val="es-MX"/>
        </w:rPr>
        <w:t xml:space="preserve">jurídicamente habilitados para ejercer dicha disciplina, que por el riesgo social que supone, se encuentra sometida a tales requerimientos. </w:t>
      </w:r>
    </w:p>
    <w:p w14:paraId="7B47DC9A" w14:textId="77777777" w:rsidR="00D8013F" w:rsidRPr="006A3C55" w:rsidRDefault="00D8013F" w:rsidP="00D8013F">
      <w:pPr>
        <w:spacing w:after="120" w:line="276" w:lineRule="auto"/>
        <w:ind w:firstLine="709"/>
        <w:jc w:val="both"/>
        <w:rPr>
          <w:rFonts w:ascii="Verdana" w:eastAsia="Calibri" w:hAnsi="Verdana" w:cstheme="minorHAnsi"/>
          <w:lang w:val="es-ES"/>
        </w:rPr>
      </w:pPr>
      <w:r w:rsidRPr="006A3C55">
        <w:rPr>
          <w:rFonts w:ascii="Verdana" w:eastAsia="Calibri" w:hAnsi="Verdana" w:cstheme="minorHAnsi"/>
          <w:lang w:val="es-ES"/>
        </w:rPr>
        <w:t xml:space="preserve">Por su parte, </w:t>
      </w:r>
      <w:r>
        <w:rPr>
          <w:rFonts w:ascii="Verdana" w:eastAsia="Calibri" w:hAnsi="Verdana" w:cstheme="minorHAnsi"/>
          <w:lang w:val="es-ES"/>
        </w:rPr>
        <w:t xml:space="preserve">hay que </w:t>
      </w:r>
      <w:r w:rsidRPr="006A3C55">
        <w:rPr>
          <w:rFonts w:ascii="Verdana" w:eastAsia="Calibri" w:hAnsi="Verdana" w:cstheme="minorHAnsi"/>
          <w:lang w:val="es-ES"/>
        </w:rPr>
        <w:t>mencionar que si bien el articulo 4 de la Ley 842 de 2003 establece como profesiones afines la arquitectura, esto significa, como allí se menciona, que “</w:t>
      </w:r>
      <w:r w:rsidRPr="006A3C55">
        <w:rPr>
          <w:rFonts w:ascii="Verdana" w:eastAsia="Calibri" w:hAnsi="Verdana" w:cstheme="minorHAnsi"/>
          <w:i/>
          <w:iCs/>
          <w:lang w:val="es-ES"/>
        </w:rPr>
        <w:t xml:space="preserve">su ejercicio se desarrolla en actividades relacionadas con la ingeniería en cualquiera de sus áreas, o cuyo </w:t>
      </w:r>
      <w:r w:rsidRPr="006A3C55">
        <w:rPr>
          <w:rFonts w:ascii="Verdana" w:eastAsia="Calibri" w:hAnsi="Verdana" w:cstheme="minorHAnsi"/>
          <w:i/>
          <w:iCs/>
          <w:u w:val="single"/>
          <w:lang w:val="es-ES"/>
        </w:rPr>
        <w:t>campo ocupacional es conexo a la ingeniería</w:t>
      </w:r>
      <w:r w:rsidRPr="006A3C55">
        <w:rPr>
          <w:rFonts w:ascii="Verdana" w:eastAsia="Calibri" w:hAnsi="Verdana" w:cstheme="minorHAnsi"/>
          <w:i/>
          <w:iCs/>
          <w:lang w:val="es-ES"/>
        </w:rPr>
        <w:t>” [subrayado fuera del texto original]</w:t>
      </w:r>
      <w:r w:rsidRPr="006A3C55">
        <w:rPr>
          <w:rFonts w:ascii="Verdana" w:eastAsia="Calibri" w:hAnsi="Verdana" w:cstheme="minorHAnsi"/>
          <w:lang w:val="es-ES"/>
        </w:rPr>
        <w:t>. En este sentido, la naturaleza técnica de los proyectos de infraestructura de transporte está relacionada,</w:t>
      </w:r>
      <w:r w:rsidRPr="006A3C55">
        <w:rPr>
          <w:rFonts w:ascii="Verdana" w:hAnsi="Verdana" w:cstheme="minorHAnsi"/>
        </w:rPr>
        <w:t xml:space="preserve"> entre otros, con los siguientes componentes técnicos: diseño geométrico y </w:t>
      </w:r>
      <w:r w:rsidRPr="006A3C55">
        <w:rPr>
          <w:rFonts w:ascii="Verdana" w:hAnsi="Verdana" w:cstheme="minorHAnsi"/>
        </w:rPr>
        <w:lastRenderedPageBreak/>
        <w:t>construcción de vías [urbanas, primarias, secundarias y terciarias], infraestructura marítima y fluvial, infraestructura férrea, infraestructura aeroportuaria, ingeniería de pavimentos, geotecnia y estabilidad de taludes, estructuras hidráulicas, hidrología e hidráulica, estructuras para puentes, infraestructura de túneles, proyectos en general de tránsito y transporte, análisis de riesgos y seguridad vial. En consecuencia, si bien en la infraestructura vial urbana pueden incorporarse actividades de urbanismo y espacio público u otras que estén asociadas a la infraestructura de transporte en donde posiblemente participen los arquitectos, esto no significa que la integralidad de los componentes de este tipo de infraestructura puedan abordarse de manera directa por los arquitectos y/o que ellos puedan otorgar el aval de las ofertas en procesos de contratación con pliegos tipo del sector transporte.</w:t>
      </w:r>
    </w:p>
    <w:p w14:paraId="0EE6FB5B" w14:textId="77777777" w:rsidR="00D8013F" w:rsidRPr="006A3C55" w:rsidRDefault="00D8013F" w:rsidP="00D8013F">
      <w:pPr>
        <w:spacing w:after="120" w:line="276" w:lineRule="auto"/>
        <w:ind w:firstLine="709"/>
        <w:jc w:val="both"/>
        <w:rPr>
          <w:rFonts w:ascii="Verdana" w:hAnsi="Verdana" w:cstheme="minorHAnsi"/>
        </w:rPr>
      </w:pPr>
      <w:r w:rsidRPr="006A3C55">
        <w:rPr>
          <w:rFonts w:ascii="Verdana" w:hAnsi="Verdana" w:cstheme="minorHAnsi"/>
        </w:rPr>
        <w:t>Por lo anterior, en la ley se considera que solo un ingeniero con matrícula profesional vigente puede asumir la responsabilidad técnica integral de una oferta para este tipo de proyectos, lo cual se extiende también a profesionales con matrícula de Ingeniería de Vías y Transportes.</w:t>
      </w:r>
    </w:p>
    <w:p w14:paraId="4E458BD4" w14:textId="77777777" w:rsidR="00D8013F" w:rsidRPr="006A3C55" w:rsidRDefault="00D8013F" w:rsidP="00D8013F">
      <w:pPr>
        <w:spacing w:after="120" w:line="276" w:lineRule="auto"/>
        <w:ind w:firstLine="709"/>
        <w:jc w:val="both"/>
        <w:rPr>
          <w:rFonts w:ascii="Verdana" w:hAnsi="Verdana" w:cstheme="minorHAnsi"/>
        </w:rPr>
      </w:pPr>
      <w:r w:rsidRPr="006A3C55">
        <w:rPr>
          <w:rFonts w:ascii="Verdana" w:hAnsi="Verdana" w:cstheme="minorHAnsi"/>
        </w:rPr>
        <w:t>Además, el aval de una oferta no es un trámite formal; implica que el profesional respalda técnicamente la propuesta, responde por la viabilidad y cumplimiento de la norma técnica, y asume eventuales responsabilidades en caso de fallas. Por esta razón, le corresponde a un ingeniero civil o de vías y transporte con matrícula profesional vigente, otorgar el aval de proyectos de infraestructura de transporte en las condiciones establecidas en el numeral 2.1 del documento base y la Ley 842 de 20023, pues son ellos quienes, de acuerdo con los programas académicos en virtud de los cuales se otorgan estos títulos profesionales, cuentan con las competencias correspondientes a este tipo de infraestructura.</w:t>
      </w:r>
    </w:p>
    <w:p w14:paraId="5D121F94" w14:textId="77777777" w:rsidR="00D8013F" w:rsidRPr="00CD302B" w:rsidRDefault="00D8013F" w:rsidP="00D8013F">
      <w:pPr>
        <w:widowControl w:val="0"/>
        <w:autoSpaceDE w:val="0"/>
        <w:autoSpaceDN w:val="0"/>
        <w:spacing w:after="0" w:line="276" w:lineRule="auto"/>
        <w:ind w:firstLine="709"/>
        <w:jc w:val="both"/>
        <w:rPr>
          <w:rFonts w:ascii="Verdana" w:eastAsia="Calibri" w:hAnsi="Verdana" w:cs="Arial"/>
          <w:lang w:val="es-ES" w:eastAsia="es-CO"/>
        </w:rPr>
      </w:pPr>
      <w:r w:rsidRPr="006A3C55">
        <w:rPr>
          <w:rFonts w:ascii="Verdana" w:eastAsia="Calibri" w:hAnsi="Verdana" w:cs="Arial"/>
          <w:lang w:val="es-MX" w:eastAsia="es-CO"/>
        </w:rPr>
        <w:t>Por último, se precisa que lo indicado en estas consideraciones aplica en relación con los documentos tipo de obra pública de infraestructura de transporte, pues en los casos en que no apliquen estos documentos tipo será cada entidad estatal la encargada de estructurar su</w:t>
      </w:r>
      <w:r w:rsidRPr="00CD302B">
        <w:rPr>
          <w:rFonts w:ascii="Verdana" w:eastAsia="Calibri" w:hAnsi="Verdana" w:cs="Arial"/>
          <w:lang w:val="es-MX" w:eastAsia="es-CO"/>
        </w:rPr>
        <w:t xml:space="preserve"> pliego de condiciones. </w:t>
      </w:r>
    </w:p>
    <w:p w14:paraId="1B524942" w14:textId="77777777" w:rsidR="00D8013F" w:rsidRPr="00CD302B" w:rsidRDefault="00D8013F" w:rsidP="00D8013F">
      <w:pPr>
        <w:widowControl w:val="0"/>
        <w:autoSpaceDE w:val="0"/>
        <w:autoSpaceDN w:val="0"/>
        <w:spacing w:after="0" w:line="276" w:lineRule="auto"/>
        <w:ind w:right="51" w:firstLine="709"/>
        <w:jc w:val="both"/>
        <w:rPr>
          <w:rFonts w:ascii="Verdana" w:eastAsia="Calibri" w:hAnsi="Verdana" w:cs="Arial"/>
          <w:lang w:val="es-ES" w:eastAsia="es-CO"/>
        </w:rPr>
      </w:pPr>
    </w:p>
    <w:p w14:paraId="3ED1304F" w14:textId="77777777" w:rsidR="00D8013F" w:rsidRPr="00CD302B" w:rsidRDefault="00D8013F" w:rsidP="00D8013F">
      <w:pPr>
        <w:numPr>
          <w:ilvl w:val="0"/>
          <w:numId w:val="17"/>
        </w:numPr>
        <w:tabs>
          <w:tab w:val="left" w:pos="142"/>
          <w:tab w:val="left" w:pos="284"/>
        </w:tabs>
        <w:spacing w:after="0" w:line="276" w:lineRule="auto"/>
        <w:jc w:val="both"/>
        <w:rPr>
          <w:rFonts w:ascii="Verdana" w:eastAsia="Century Gothic" w:hAnsi="Verdana" w:cs="Century Gothic"/>
          <w:b/>
          <w:bCs/>
        </w:rPr>
      </w:pPr>
      <w:r w:rsidRPr="00CD302B">
        <w:rPr>
          <w:rFonts w:ascii="Verdana" w:eastAsia="Century Gothic" w:hAnsi="Verdana" w:cs="Century Gothic"/>
          <w:b/>
          <w:bCs/>
        </w:rPr>
        <w:t>Referencias normativas y jurisprudenciales:</w:t>
      </w:r>
    </w:p>
    <w:p w14:paraId="7A371D8A" w14:textId="77777777" w:rsidR="00D8013F" w:rsidRPr="00CD302B" w:rsidRDefault="00D8013F" w:rsidP="00D8013F">
      <w:pPr>
        <w:widowControl w:val="0"/>
        <w:autoSpaceDE w:val="0"/>
        <w:autoSpaceDN w:val="0"/>
        <w:spacing w:after="0" w:line="276" w:lineRule="auto"/>
        <w:jc w:val="both"/>
        <w:rPr>
          <w:rFonts w:ascii="Verdana" w:eastAsia="Calibri"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8013F" w:rsidRPr="00CD302B" w14:paraId="175AFE49" w14:textId="77777777" w:rsidTr="00B9141B">
        <w:trPr>
          <w:trHeight w:val="335"/>
          <w:jc w:val="center"/>
        </w:trPr>
        <w:tc>
          <w:tcPr>
            <w:tcW w:w="8647" w:type="dxa"/>
          </w:tcPr>
          <w:p w14:paraId="2F7524FB" w14:textId="77777777" w:rsidR="00D8013F" w:rsidRPr="0002194B" w:rsidRDefault="00D8013F" w:rsidP="00B9141B">
            <w:pPr>
              <w:widowControl w:val="0"/>
              <w:numPr>
                <w:ilvl w:val="0"/>
                <w:numId w:val="16"/>
              </w:numPr>
              <w:autoSpaceDE w:val="0"/>
              <w:autoSpaceDN w:val="0"/>
              <w:spacing w:after="120" w:line="276" w:lineRule="auto"/>
              <w:ind w:left="318" w:hanging="284"/>
              <w:jc w:val="both"/>
              <w:rPr>
                <w:rFonts w:ascii="Verdana" w:eastAsia="Calibri" w:hAnsi="Verdana" w:cs="Arial"/>
              </w:rPr>
            </w:pPr>
            <w:r w:rsidRPr="0002194B">
              <w:rPr>
                <w:rFonts w:ascii="Verdana" w:eastAsia="Calibri" w:hAnsi="Verdana" w:cs="Arial"/>
              </w:rPr>
              <w:t>Constitución Política, artículo 26.</w:t>
            </w:r>
          </w:p>
          <w:p w14:paraId="3C186FC0" w14:textId="77777777" w:rsidR="00D8013F" w:rsidRPr="0002194B" w:rsidRDefault="00D8013F" w:rsidP="00B9141B">
            <w:pPr>
              <w:widowControl w:val="0"/>
              <w:numPr>
                <w:ilvl w:val="0"/>
                <w:numId w:val="16"/>
              </w:numPr>
              <w:autoSpaceDE w:val="0"/>
              <w:autoSpaceDN w:val="0"/>
              <w:spacing w:after="120" w:line="276" w:lineRule="auto"/>
              <w:ind w:left="318" w:hanging="284"/>
              <w:jc w:val="both"/>
              <w:rPr>
                <w:rFonts w:ascii="Verdana" w:eastAsia="Calibri" w:hAnsi="Verdana" w:cs="Arial"/>
              </w:rPr>
            </w:pPr>
            <w:r w:rsidRPr="0002194B">
              <w:rPr>
                <w:rFonts w:ascii="Verdana" w:eastAsia="Calibri" w:hAnsi="Verdana" w:cs="Arial"/>
              </w:rPr>
              <w:lastRenderedPageBreak/>
              <w:t>Ley 842 de 2003, artículos 2, 5, 6, 18 y 20.</w:t>
            </w:r>
          </w:p>
          <w:p w14:paraId="1083E5EE" w14:textId="77777777" w:rsidR="00D8013F" w:rsidRPr="0002194B" w:rsidRDefault="00D8013F" w:rsidP="00B9141B">
            <w:pPr>
              <w:widowControl w:val="0"/>
              <w:numPr>
                <w:ilvl w:val="0"/>
                <w:numId w:val="16"/>
              </w:numPr>
              <w:autoSpaceDE w:val="0"/>
              <w:autoSpaceDN w:val="0"/>
              <w:spacing w:after="120" w:line="276" w:lineRule="auto"/>
              <w:ind w:left="318" w:hanging="284"/>
              <w:jc w:val="both"/>
              <w:rPr>
                <w:rFonts w:ascii="Verdana" w:eastAsia="Calibri" w:hAnsi="Verdana" w:cs="Arial"/>
              </w:rPr>
            </w:pPr>
            <w:r w:rsidRPr="0002194B">
              <w:rPr>
                <w:rFonts w:ascii="Verdana" w:eastAsia="Calibri" w:hAnsi="Verdana" w:cs="Arial"/>
              </w:rPr>
              <w:t>Corte Constitucional, Sentencia C-697 de 2000, M.P. Eduardo Cifuentes Muñoz.</w:t>
            </w:r>
          </w:p>
          <w:p w14:paraId="2F189262" w14:textId="77777777" w:rsidR="00D8013F" w:rsidRPr="0002194B" w:rsidRDefault="00D8013F" w:rsidP="00B9141B">
            <w:pPr>
              <w:widowControl w:val="0"/>
              <w:numPr>
                <w:ilvl w:val="0"/>
                <w:numId w:val="16"/>
              </w:numPr>
              <w:autoSpaceDE w:val="0"/>
              <w:autoSpaceDN w:val="0"/>
              <w:spacing w:after="120" w:line="276" w:lineRule="auto"/>
              <w:ind w:left="318" w:hanging="284"/>
              <w:jc w:val="both"/>
              <w:rPr>
                <w:rFonts w:ascii="Verdana" w:eastAsia="Calibri" w:hAnsi="Verdana" w:cs="Arial"/>
                <w:lang w:val="pt-BR"/>
              </w:rPr>
            </w:pPr>
            <w:r w:rsidRPr="0002194B">
              <w:rPr>
                <w:rFonts w:ascii="Verdana" w:eastAsia="Calibri" w:hAnsi="Verdana" w:cs="Arial"/>
                <w:lang w:val="pt-BR"/>
              </w:rPr>
              <w:t xml:space="preserve">Corte Constitucional, Sentencia C-191 de 2005, M.P. Manuel José Cepeda Espinosa. </w:t>
            </w:r>
          </w:p>
          <w:p w14:paraId="5CB498E9" w14:textId="77777777" w:rsidR="00D8013F" w:rsidRPr="00CD302B" w:rsidRDefault="00D8013F" w:rsidP="00B9141B">
            <w:pPr>
              <w:widowControl w:val="0"/>
              <w:numPr>
                <w:ilvl w:val="0"/>
                <w:numId w:val="16"/>
              </w:numPr>
              <w:autoSpaceDE w:val="0"/>
              <w:autoSpaceDN w:val="0"/>
              <w:spacing w:after="120" w:line="276" w:lineRule="auto"/>
              <w:ind w:left="318" w:hanging="284"/>
              <w:jc w:val="both"/>
              <w:rPr>
                <w:rFonts w:ascii="Verdana" w:eastAsia="Calibri" w:hAnsi="Verdana" w:cs="Arial"/>
                <w:sz w:val="24"/>
                <w:lang w:val="es-ES"/>
              </w:rPr>
            </w:pPr>
            <w:r w:rsidRPr="0002194B">
              <w:rPr>
                <w:rFonts w:ascii="Verdana" w:eastAsia="Aptos" w:hAnsi="Verdana" w:cs="Arial"/>
                <w:spacing w:val="2"/>
                <w:lang w:val="pt-BR" w:eastAsia="es-CO"/>
              </w:rPr>
              <w:t xml:space="preserve">Documentos tipo de obra pública de infraestrutura de transporte. </w:t>
            </w:r>
            <w:proofErr w:type="spellStart"/>
            <w:r w:rsidRPr="0002194B">
              <w:rPr>
                <w:rFonts w:ascii="Verdana" w:eastAsia="Aptos" w:hAnsi="Verdana" w:cs="Arial"/>
                <w:spacing w:val="2"/>
                <w:lang w:val="pt-BR" w:eastAsia="es-CO"/>
              </w:rPr>
              <w:t>Disponibles</w:t>
            </w:r>
            <w:proofErr w:type="spellEnd"/>
            <w:r w:rsidRPr="0002194B">
              <w:rPr>
                <w:rFonts w:ascii="Verdana" w:eastAsia="Aptos" w:hAnsi="Verdana" w:cs="Arial"/>
                <w:spacing w:val="2"/>
                <w:lang w:val="pt-BR" w:eastAsia="es-CO"/>
              </w:rPr>
              <w:t xml:space="preserve"> en: </w:t>
            </w:r>
            <w:hyperlink r:id="rId11" w:history="1">
              <w:r w:rsidRPr="0002194B">
                <w:rPr>
                  <w:rStyle w:val="Hipervnculo"/>
                  <w:rFonts w:ascii="Verdana" w:eastAsia="Aptos" w:hAnsi="Verdana" w:cs="Arial"/>
                  <w:spacing w:val="2"/>
                  <w:lang w:val="pt-BR" w:eastAsia="es-CO"/>
                </w:rPr>
                <w:t>https://www.colombiacompra.gov.co/normativa-y-relatoria/documentos-tipo</w:t>
              </w:r>
            </w:hyperlink>
            <w:r>
              <w:rPr>
                <w:rFonts w:ascii="Arial" w:eastAsia="Aptos" w:hAnsi="Arial" w:cs="Arial"/>
                <w:spacing w:val="2"/>
                <w:lang w:val="pt-BR" w:eastAsia="es-CO"/>
              </w:rPr>
              <w:t xml:space="preserve"> </w:t>
            </w:r>
          </w:p>
        </w:tc>
      </w:tr>
    </w:tbl>
    <w:p w14:paraId="18D9EF9E" w14:textId="77777777" w:rsidR="00D8013F" w:rsidRPr="00CD302B" w:rsidRDefault="00D8013F" w:rsidP="00D8013F">
      <w:pPr>
        <w:widowControl w:val="0"/>
        <w:autoSpaceDE w:val="0"/>
        <w:autoSpaceDN w:val="0"/>
        <w:spacing w:after="0" w:line="276" w:lineRule="auto"/>
        <w:jc w:val="both"/>
        <w:rPr>
          <w:rFonts w:ascii="Verdana" w:eastAsia="Calibri" w:hAnsi="Verdana" w:cs="Arial"/>
        </w:rPr>
      </w:pPr>
    </w:p>
    <w:p w14:paraId="7BCA439B" w14:textId="77777777" w:rsidR="00D8013F" w:rsidRPr="00CD302B" w:rsidRDefault="00D8013F" w:rsidP="00D8013F">
      <w:pPr>
        <w:numPr>
          <w:ilvl w:val="0"/>
          <w:numId w:val="17"/>
        </w:numPr>
        <w:tabs>
          <w:tab w:val="left" w:pos="142"/>
          <w:tab w:val="left" w:pos="284"/>
        </w:tabs>
        <w:spacing w:after="0" w:line="276" w:lineRule="auto"/>
        <w:jc w:val="both"/>
        <w:rPr>
          <w:rFonts w:ascii="Verdana" w:eastAsia="Century Gothic" w:hAnsi="Verdana" w:cs="Century Gothic"/>
          <w:b/>
          <w:bCs/>
        </w:rPr>
      </w:pPr>
      <w:r w:rsidRPr="00CD302B">
        <w:rPr>
          <w:rFonts w:ascii="Verdana" w:eastAsia="Century Gothic" w:hAnsi="Verdana" w:cs="Century Gothic"/>
          <w:b/>
          <w:bCs/>
        </w:rPr>
        <w:t>Doctrina de la Agencia Nacional de Contratación Pública:</w:t>
      </w:r>
    </w:p>
    <w:p w14:paraId="19908EE4" w14:textId="77777777" w:rsidR="00D8013F" w:rsidRPr="00CD302B" w:rsidRDefault="00D8013F" w:rsidP="00D8013F">
      <w:pPr>
        <w:widowControl w:val="0"/>
        <w:autoSpaceDE w:val="0"/>
        <w:autoSpaceDN w:val="0"/>
        <w:spacing w:after="0" w:line="276" w:lineRule="auto"/>
        <w:jc w:val="both"/>
        <w:rPr>
          <w:rFonts w:ascii="Verdana" w:eastAsia="Calibri" w:hAnsi="Verdana" w:cs="Arial"/>
        </w:rPr>
      </w:pPr>
    </w:p>
    <w:p w14:paraId="59C684C9" w14:textId="77777777" w:rsidR="00D8013F" w:rsidRPr="000E3953" w:rsidRDefault="00D8013F" w:rsidP="00D8013F">
      <w:pPr>
        <w:widowControl w:val="0"/>
        <w:autoSpaceDE w:val="0"/>
        <w:autoSpaceDN w:val="0"/>
        <w:snapToGrid w:val="0"/>
        <w:spacing w:after="0" w:line="276" w:lineRule="auto"/>
        <w:jc w:val="both"/>
        <w:rPr>
          <w:rFonts w:ascii="Verdana" w:eastAsia="Calibri" w:hAnsi="Verdana" w:cs="Arial"/>
          <w:kern w:val="2"/>
          <w:shd w:val="clear" w:color="auto" w:fill="FFFFFF"/>
          <w:lang w:val="es-ES_tradnl"/>
          <w14:ligatures w14:val="standardContextual"/>
        </w:rPr>
      </w:pPr>
      <w:r w:rsidRPr="00CD302B">
        <w:rPr>
          <w:rFonts w:ascii="Verdana" w:eastAsia="Calibri" w:hAnsi="Verdana" w:cs="Arial"/>
          <w:shd w:val="clear" w:color="auto" w:fill="FFFFFF"/>
          <w:lang w:val="es-ES"/>
        </w:rPr>
        <w:t>La Agencia Nacional de Contratación Pública – Colombia Compra Eficiente se ha pronunciado sobre el aval y la participación de profesionales de la ingeniería en los procesos de contratación regidos por los documentos tipo del sector de infraestructura de transporte, en los conceptos</w:t>
      </w:r>
      <w:r>
        <w:rPr>
          <w:rFonts w:ascii="Verdana" w:eastAsia="Calibri" w:hAnsi="Verdana" w:cs="Arial"/>
          <w:shd w:val="clear" w:color="auto" w:fill="FFFFFF"/>
          <w:lang w:val="es-ES"/>
        </w:rPr>
        <w:t xml:space="preserve"> </w:t>
      </w:r>
      <w:r w:rsidRPr="00CD302B">
        <w:rPr>
          <w:rFonts w:ascii="Verdana" w:eastAsia="Calibri" w:hAnsi="Verdana" w:cs="Arial"/>
          <w:shd w:val="clear" w:color="auto" w:fill="FFFFFF"/>
          <w:lang w:val="es-ES"/>
        </w:rPr>
        <w:t>2201913000006376 del 30 de agosto de 2019, 2201913000009554 del 24 de diciembre de 2019, C-054 del 19 de febrero de 2020, C-703 del 7 de diciembre de 2020, C-752 del 30 de noviembre de 2020, C-800 del 1 de febrero de 2021, C-105 del 26 de marzo de 2021, C-216 del 4 de mayo de 2021, C-298 del 22 de junio de 2021, C-360 del 2 de agosto de 2021, C-447 del 30 de agosto de 2021, C-659 del 30 de agosto de 2021, C-613 del 2 de noviembre de 2021, C-167 del 29 de marzo de 2022, C-893 del 27 de diciembre de 2022, C-254 del 18 de agosto de 2023, C</w:t>
      </w:r>
      <w:r>
        <w:rPr>
          <w:rFonts w:ascii="Verdana" w:eastAsia="Calibri" w:hAnsi="Verdana" w:cs="Arial"/>
          <w:shd w:val="clear" w:color="auto" w:fill="FFFFFF"/>
          <w:lang w:val="es-ES"/>
        </w:rPr>
        <w:t>-</w:t>
      </w:r>
      <w:r w:rsidRPr="00CD302B">
        <w:rPr>
          <w:rFonts w:ascii="Verdana" w:eastAsia="Calibri" w:hAnsi="Verdana" w:cs="Arial"/>
          <w:shd w:val="clear" w:color="auto" w:fill="FFFFFF"/>
          <w:lang w:val="es-ES"/>
        </w:rPr>
        <w:t>413 del 2024, C-430 del 14 de mayo de 2025</w:t>
      </w:r>
      <w:r>
        <w:rPr>
          <w:rFonts w:ascii="Verdana" w:eastAsia="Calibri" w:hAnsi="Verdana" w:cs="Arial"/>
          <w:shd w:val="clear" w:color="auto" w:fill="FFFFFF"/>
          <w:lang w:val="es-ES"/>
        </w:rPr>
        <w:t xml:space="preserve">, </w:t>
      </w:r>
      <w:r w:rsidRPr="00CD302B">
        <w:rPr>
          <w:rFonts w:ascii="Verdana" w:eastAsia="Calibri" w:hAnsi="Verdana" w:cs="Arial"/>
          <w:shd w:val="clear" w:color="auto" w:fill="FFFFFF"/>
          <w:lang w:val="es-ES"/>
        </w:rPr>
        <w:t>C-499 del 29 de mayo de 2025</w:t>
      </w:r>
      <w:r>
        <w:rPr>
          <w:rFonts w:ascii="Verdana" w:eastAsia="Calibri" w:hAnsi="Verdana" w:cs="Arial"/>
          <w:shd w:val="clear" w:color="auto" w:fill="FFFFFF"/>
          <w:lang w:val="es-ES"/>
        </w:rPr>
        <w:t xml:space="preserve"> y C-757 del 24 de julio de 2025</w:t>
      </w:r>
      <w:r w:rsidRPr="00CD302B">
        <w:rPr>
          <w:rFonts w:ascii="Verdana" w:eastAsia="Calibri" w:hAnsi="Verdana" w:cs="Arial"/>
          <w:shd w:val="clear" w:color="auto" w:fill="FFFFFF"/>
          <w:lang w:val="es-ES"/>
        </w:rPr>
        <w:t xml:space="preserve">. </w:t>
      </w:r>
      <w:r w:rsidRPr="000E3953">
        <w:rPr>
          <w:rFonts w:ascii="Verdana" w:eastAsia="Times New Roman" w:hAnsi="Verdana" w:cs="Arial"/>
          <w:kern w:val="2"/>
          <w:shd w:val="clear" w:color="auto" w:fill="FFFFFF"/>
          <w:lang w:val="es-ES"/>
          <w14:ligatures w14:val="standardContextual"/>
        </w:rPr>
        <w:t>Esos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Acceda a través del siguiente enlace: </w:t>
      </w:r>
      <w:hyperlink r:id="rId12" w:tgtFrame="_blank" w:tooltip="Dirección URL original: https://relatoria.colombiacompra.gov.co/. Haga clic o pulse si confía en este vínculo." w:history="1">
        <w:r w:rsidRPr="000E3953">
          <w:rPr>
            <w:rFonts w:ascii="Verdana" w:eastAsia="Times New Roman" w:hAnsi="Verdana" w:cs="Arial"/>
            <w:kern w:val="2"/>
            <w:shd w:val="clear" w:color="auto" w:fill="FFFFFF"/>
            <w:lang w:val="es-ES"/>
            <w14:ligatures w14:val="standardContextual"/>
          </w:rPr>
          <w:t>https://relatoria.colombiacompra.gov.co/</w:t>
        </w:r>
      </w:hyperlink>
      <w:r w:rsidRPr="000E3953">
        <w:rPr>
          <w:rFonts w:ascii="Verdana" w:eastAsia="Times New Roman" w:hAnsi="Verdana" w:cs="Arial"/>
          <w:kern w:val="2"/>
          <w:shd w:val="clear" w:color="auto" w:fill="FFFFFF"/>
          <w:lang w:val="es-ES"/>
          <w14:ligatures w14:val="standardContextual"/>
        </w:rPr>
        <w:t>.</w:t>
      </w:r>
    </w:p>
    <w:p w14:paraId="2FE1098F" w14:textId="77777777" w:rsidR="00D8013F" w:rsidRPr="000E3953" w:rsidRDefault="00D8013F" w:rsidP="00D8013F">
      <w:pPr>
        <w:spacing w:after="0" w:line="240" w:lineRule="auto"/>
        <w:jc w:val="both"/>
        <w:rPr>
          <w:rFonts w:ascii="Verdana" w:eastAsia="Calibri" w:hAnsi="Verdana" w:cs="Arial"/>
          <w:color w:val="000000"/>
          <w:kern w:val="2"/>
          <w:shd w:val="clear" w:color="auto" w:fill="FFFFFF"/>
          <w:lang w:val="es-ES_tradnl"/>
          <w14:ligatures w14:val="standardContextual"/>
        </w:rPr>
      </w:pPr>
    </w:p>
    <w:p w14:paraId="6738740F" w14:textId="77777777" w:rsidR="00D8013F" w:rsidRPr="000E3953" w:rsidRDefault="00D8013F" w:rsidP="00D8013F">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0E3953">
        <w:rPr>
          <w:rFonts w:ascii="Verdana" w:eastAsia="Calibri" w:hAnsi="Verdana" w:cs="Arial"/>
          <w:kern w:val="2"/>
          <w:shd w:val="clear" w:color="auto" w:fill="FFFFFF"/>
          <w:lang w:val="es-ES_tradnl"/>
          <w14:ligatures w14:val="standardContextual"/>
        </w:rPr>
        <w:t>La</w:t>
      </w:r>
      <w:r w:rsidRPr="000E3953">
        <w:rPr>
          <w:rFonts w:ascii="Verdana" w:eastAsia="Calibri" w:hAnsi="Verdana" w:cs="Arial"/>
          <w:b/>
          <w:bCs/>
          <w:kern w:val="2"/>
          <w:shd w:val="clear" w:color="auto" w:fill="FFFFFF"/>
          <w:lang w:val="es-ES_tradnl"/>
          <w14:ligatures w14:val="standardContextual"/>
        </w:rPr>
        <w:t xml:space="preserve"> Agencia Nacional de Contratación Pública - Colombia Compra Eficiente</w:t>
      </w:r>
      <w:r w:rsidRPr="000E3953">
        <w:rPr>
          <w:rFonts w:ascii="Verdana" w:eastAsia="Calibri" w:hAnsi="Verdana" w:cs="Arial"/>
          <w:kern w:val="2"/>
          <w:shd w:val="clear" w:color="auto" w:fill="FFFFFF"/>
          <w:lang w:val="es-ES_tradnl"/>
          <w14:ligatures w14:val="standardContextual"/>
        </w:rPr>
        <w:t> recomienda a todas las entidades públicas, independientemente de su naturaleza, que gestionan recursos públicos, la aplicación de los </w:t>
      </w:r>
      <w:r w:rsidRPr="000E3953">
        <w:rPr>
          <w:rFonts w:ascii="Verdana" w:eastAsia="Calibri" w:hAnsi="Verdana" w:cs="Arial"/>
          <w:b/>
          <w:bCs/>
          <w:kern w:val="2"/>
          <w:shd w:val="clear" w:color="auto" w:fill="FFFFFF"/>
          <w:lang w:val="es-ES_tradnl"/>
          <w14:ligatures w14:val="standardContextual"/>
        </w:rPr>
        <w:t>Documentos Tipo</w:t>
      </w:r>
      <w:r w:rsidRPr="000E3953">
        <w:rPr>
          <w:rFonts w:ascii="Verdana" w:eastAsia="Calibri" w:hAnsi="Verdana" w:cs="Arial"/>
          <w:kern w:val="2"/>
          <w:shd w:val="clear" w:color="auto" w:fill="FFFFFF"/>
          <w:lang w:val="es-ES_tradnl"/>
          <w14:ligatures w14:val="standardContextual"/>
        </w:rPr>
        <w:t xml:space="preserve">. Esta recomendación es válida tanto para su uso obligatorio, cuando así lo establezca la normatividad vigente, como para su implementación como una </w:t>
      </w:r>
      <w:r w:rsidRPr="000E3953">
        <w:rPr>
          <w:rFonts w:ascii="Verdana" w:eastAsia="Calibri" w:hAnsi="Verdana" w:cs="Arial"/>
          <w:kern w:val="2"/>
          <w:shd w:val="clear" w:color="auto" w:fill="FFFFFF"/>
          <w:lang w:val="es-ES_tradnl"/>
          <w14:ligatures w14:val="standardContextual"/>
        </w:rPr>
        <w:lastRenderedPageBreak/>
        <w:t>buena práctica. El objetivo es garantizar la </w:t>
      </w:r>
      <w:r w:rsidRPr="000E3953">
        <w:rPr>
          <w:rFonts w:ascii="Verdana" w:eastAsia="Calibri" w:hAnsi="Verdana" w:cs="Arial"/>
          <w:b/>
          <w:bCs/>
          <w:kern w:val="2"/>
          <w:shd w:val="clear" w:color="auto" w:fill="FFFFFF"/>
          <w:lang w:val="es-ES_tradnl"/>
          <w14:ligatures w14:val="standardContextual"/>
        </w:rPr>
        <w:t>transparencia</w:t>
      </w:r>
      <w:r w:rsidRPr="000E3953">
        <w:rPr>
          <w:rFonts w:ascii="Verdana" w:eastAsia="Calibri" w:hAnsi="Verdana" w:cs="Arial"/>
          <w:kern w:val="2"/>
          <w:shd w:val="clear" w:color="auto" w:fill="FFFFFF"/>
          <w:lang w:val="es-ES_tradnl"/>
          <w14:ligatures w14:val="standardContextual"/>
        </w:rPr>
        <w:t> y promover un proceso de </w:t>
      </w:r>
      <w:r w:rsidRPr="000E3953">
        <w:rPr>
          <w:rFonts w:ascii="Verdana" w:eastAsia="Calibri" w:hAnsi="Verdana" w:cs="Arial"/>
          <w:b/>
          <w:bCs/>
          <w:kern w:val="2"/>
          <w:shd w:val="clear" w:color="auto" w:fill="FFFFFF"/>
          <w:lang w:val="es-ES_tradnl"/>
          <w14:ligatures w14:val="standardContextual"/>
        </w:rPr>
        <w:t>selección objetiva</w:t>
      </w:r>
      <w:r w:rsidRPr="000E3953">
        <w:rPr>
          <w:rFonts w:ascii="Verdana" w:eastAsia="Calibri" w:hAnsi="Verdana" w:cs="Arial"/>
          <w:kern w:val="2"/>
          <w:shd w:val="clear" w:color="auto" w:fill="FFFFFF"/>
          <w:lang w:val="es-ES_tradnl"/>
          <w14:ligatures w14:val="standardContextual"/>
        </w:rPr>
        <w:t> en la contratación pública, contribuyendo así a mejorar la eficiencia, la competencia y la confianza en el manejo de los recursos del Estado.</w:t>
      </w:r>
    </w:p>
    <w:p w14:paraId="7BC95DBB" w14:textId="77777777" w:rsidR="00D8013F" w:rsidRPr="000E3953" w:rsidRDefault="00D8013F" w:rsidP="00D8013F">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771DB98E" w14:textId="77777777" w:rsidR="00D8013F" w:rsidRPr="000E3953" w:rsidRDefault="00D8013F" w:rsidP="00D8013F">
      <w:pPr>
        <w:widowControl w:val="0"/>
        <w:autoSpaceDE w:val="0"/>
        <w:autoSpaceDN w:val="0"/>
        <w:spacing w:after="0" w:line="276" w:lineRule="auto"/>
        <w:jc w:val="both"/>
        <w:rPr>
          <w:rFonts w:ascii="Verdana" w:eastAsia="Calibri" w:hAnsi="Verdana" w:cs="Arial"/>
          <w:kern w:val="2"/>
          <w:shd w:val="clear" w:color="auto" w:fill="FFFFFF"/>
          <w:lang w:val="es-ES"/>
          <w14:ligatures w14:val="standardContextual"/>
        </w:rPr>
      </w:pPr>
      <w:r w:rsidRPr="000E3953">
        <w:rPr>
          <w:rFonts w:ascii="Verdana" w:eastAsia="Calibri" w:hAnsi="Verdana" w:cs="Arial"/>
          <w:kern w:val="2"/>
          <w:shd w:val="clear" w:color="auto" w:fill="FFFFFF"/>
          <w:lang w:val="es-ES"/>
          <w14:ligatures w14:val="standardContextual"/>
        </w:rPr>
        <w:t>También, le contamos que ya se encuentra disponible la </w:t>
      </w:r>
      <w:r w:rsidRPr="000E3953">
        <w:rPr>
          <w:rFonts w:ascii="Verdana" w:eastAsia="Calibri" w:hAnsi="Verdana" w:cs="Arial"/>
          <w:b/>
          <w:kern w:val="2"/>
          <w:shd w:val="clear" w:color="auto" w:fill="FFFFFF"/>
          <w:lang w:val="es-ES"/>
          <w14:ligatures w14:val="standardContextual"/>
        </w:rPr>
        <w:t>Guía de lineamientos de transparencia y selección objetiva para el departamento de La Guajira – Objetivo sexto constitucional de la Sentencia T-302 del 2017. </w:t>
      </w:r>
      <w:r w:rsidRPr="000E3953">
        <w:rPr>
          <w:rFonts w:ascii="Verdana" w:eastAsia="Calibri" w:hAnsi="Verdana" w:cs="Arial"/>
          <w:kern w:val="2"/>
          <w:shd w:val="clear" w:color="auto" w:fill="FFFFFF"/>
          <w:lang w:val="es-ES"/>
          <w14:ligatures w14:val="standardContextual"/>
        </w:rPr>
        <w:t xml:space="preserve">Esta Guía se expide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E3953">
        <w:rPr>
          <w:rFonts w:ascii="Verdana" w:eastAsia="Calibri" w:hAnsi="Verdana" w:cs="Arial"/>
          <w:kern w:val="2"/>
          <w:shd w:val="clear" w:color="auto" w:fill="FFFFFF"/>
          <w:lang w:val="es-ES"/>
          <w14:ligatures w14:val="standardContextual"/>
        </w:rPr>
        <w:t>Wayúu</w:t>
      </w:r>
      <w:proofErr w:type="spellEnd"/>
      <w:r w:rsidRPr="000E3953">
        <w:rPr>
          <w:rFonts w:ascii="Verdana" w:eastAsia="Calibri" w:hAnsi="Verdana" w:cs="Arial"/>
          <w:kern w:val="2"/>
          <w:shd w:val="clear" w:color="auto" w:fill="FFFFFF"/>
          <w:lang w:val="es-ES"/>
          <w14:ligatures w14:val="standardContextual"/>
        </w:rPr>
        <w:t>. Puede consultar la guía en el siguiente enlace: </w:t>
      </w:r>
      <w:hyperlink r:id="rId13" w:tgtFrame="_blank" w:tooltip="Original URL: https://www.colombiacompra.gov.co/wp-content/uploads/2025/05/GUIA-DE-LINEAMIENTOS-DE-TRANSPARENCIA-Y-SELECCION-OBJETIVA-1.0.pdf. Click or tap if you trust this link." w:history="1">
        <w:r w:rsidRPr="000E3953">
          <w:rPr>
            <w:rFonts w:ascii="Verdana" w:eastAsia="Calibri" w:hAnsi="Verdana" w:cs="Arial"/>
            <w:color w:val="0000FF"/>
            <w:kern w:val="2"/>
            <w:u w:val="single"/>
            <w:shd w:val="clear" w:color="auto" w:fill="FFFFFF"/>
            <w:lang w:val="es-ES"/>
            <w14:ligatures w14:val="standardContextual"/>
          </w:rPr>
          <w:t>Guía de lineamientos de transparencia y selección objetiva para el departamento de La Guajira – Objetivo sexto constitucional de la Sentencia T-302 del 2017</w:t>
        </w:r>
      </w:hyperlink>
      <w:r w:rsidRPr="000E3953">
        <w:rPr>
          <w:rFonts w:ascii="Verdana" w:eastAsia="Calibri" w:hAnsi="Verdana" w:cs="Arial"/>
          <w:kern w:val="2"/>
          <w:u w:val="single"/>
          <w:shd w:val="clear" w:color="auto" w:fill="FFFFFF"/>
          <w:lang w:val="es-ES"/>
          <w14:ligatures w14:val="standardContextual"/>
        </w:rPr>
        <w:t>.</w:t>
      </w:r>
    </w:p>
    <w:p w14:paraId="4A6468B5" w14:textId="77777777" w:rsidR="00D8013F" w:rsidRPr="000E3953" w:rsidRDefault="00D8013F" w:rsidP="00D8013F">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0911C5CB" w14:textId="77777777" w:rsidR="00D8013F" w:rsidRPr="000E3953" w:rsidRDefault="00D8013F" w:rsidP="00D8013F">
      <w:pPr>
        <w:spacing w:after="0" w:line="276" w:lineRule="auto"/>
        <w:jc w:val="both"/>
        <w:rPr>
          <w:rFonts w:ascii="Verdana" w:eastAsia="Calibri" w:hAnsi="Verdana" w:cs="Times New Roman"/>
          <w:kern w:val="2"/>
          <w:lang w:val="es-ES_tradnl"/>
          <w14:ligatures w14:val="standardContextual"/>
        </w:rPr>
      </w:pPr>
      <w:r w:rsidRPr="000E3953">
        <w:rPr>
          <w:rFonts w:ascii="Verdana" w:eastAsia="Calibri" w:hAnsi="Verdana" w:cs="Times New Roman"/>
          <w:kern w:val="2"/>
          <w:lang w:val="es-ES_tradnl"/>
          <w14:ligatures w14:val="standardContextual"/>
        </w:rPr>
        <w:t xml:space="preserve">Por último, los invitamos a seguirnos en las redes sociales, en las cuales se difunde información institucional: </w:t>
      </w:r>
    </w:p>
    <w:p w14:paraId="09DDAEA7" w14:textId="77777777" w:rsidR="00D8013F" w:rsidRPr="000E3953" w:rsidRDefault="00D8013F" w:rsidP="00D8013F">
      <w:pPr>
        <w:spacing w:after="0" w:line="240" w:lineRule="auto"/>
        <w:jc w:val="both"/>
        <w:rPr>
          <w:rFonts w:ascii="Verdana" w:eastAsia="Calibri" w:hAnsi="Verdana" w:cs="Times New Roman"/>
          <w:kern w:val="2"/>
          <w:lang w:val="es-ES_tradnl"/>
          <w14:ligatures w14:val="standardContextual"/>
        </w:rPr>
      </w:pPr>
    </w:p>
    <w:p w14:paraId="1881EF19" w14:textId="77777777" w:rsidR="00D8013F" w:rsidRPr="000E3953" w:rsidRDefault="00D8013F" w:rsidP="00D8013F">
      <w:pPr>
        <w:spacing w:after="0" w:line="240" w:lineRule="auto"/>
        <w:jc w:val="both"/>
        <w:rPr>
          <w:rFonts w:ascii="Verdana" w:eastAsia="Calibri" w:hAnsi="Verdana" w:cs="Times New Roman"/>
          <w:kern w:val="2"/>
          <w:lang w:val="es-ES_tradnl"/>
          <w14:ligatures w14:val="standardContextual"/>
        </w:rPr>
      </w:pPr>
      <w:r w:rsidRPr="000E3953">
        <w:rPr>
          <w:rFonts w:ascii="Verdana" w:eastAsia="Calibri" w:hAnsi="Verdana" w:cs="Times New Roman"/>
          <w:kern w:val="2"/>
          <w:lang w:val="es-ES_tradnl"/>
          <w14:ligatures w14:val="standardContextual"/>
        </w:rPr>
        <w:t xml:space="preserve">X: </w:t>
      </w:r>
      <w:r w:rsidRPr="000E3953">
        <w:rPr>
          <w:rFonts w:ascii="Verdana" w:eastAsia="Calibri" w:hAnsi="Verdana" w:cs="Times New Roman"/>
          <w:kern w:val="2"/>
          <w:u w:val="single"/>
          <w:lang w:val="es-ES_tradnl"/>
          <w14:ligatures w14:val="standardContextual"/>
        </w:rPr>
        <w:t>@colombiacompra</w:t>
      </w:r>
      <w:r w:rsidRPr="000E3953">
        <w:rPr>
          <w:rFonts w:ascii="Verdana" w:eastAsia="Calibri" w:hAnsi="Verdana" w:cs="Times New Roman"/>
          <w:kern w:val="2"/>
          <w:lang w:val="es-ES_tradnl"/>
          <w14:ligatures w14:val="standardContextual"/>
        </w:rPr>
        <w:t xml:space="preserve"> </w:t>
      </w:r>
    </w:p>
    <w:p w14:paraId="4BBE4EEC" w14:textId="77777777" w:rsidR="00D8013F" w:rsidRPr="000E3953" w:rsidRDefault="00D8013F" w:rsidP="00D8013F">
      <w:pPr>
        <w:spacing w:after="0" w:line="240" w:lineRule="auto"/>
        <w:jc w:val="both"/>
        <w:rPr>
          <w:rFonts w:ascii="Verdana" w:eastAsia="Calibri" w:hAnsi="Verdana" w:cs="Times New Roman"/>
          <w:kern w:val="2"/>
          <w:lang w:val="es-ES"/>
          <w14:ligatures w14:val="standardContextual"/>
        </w:rPr>
      </w:pPr>
      <w:r w:rsidRPr="000E3953">
        <w:rPr>
          <w:rFonts w:ascii="Verdana" w:eastAsia="Calibri" w:hAnsi="Verdana" w:cs="Times New Roman"/>
          <w:kern w:val="2"/>
          <w:lang w:val="es-ES"/>
          <w14:ligatures w14:val="standardContextual"/>
        </w:rPr>
        <w:t xml:space="preserve">Facebook: </w:t>
      </w:r>
      <w:proofErr w:type="spellStart"/>
      <w:r w:rsidRPr="000E3953">
        <w:rPr>
          <w:rFonts w:ascii="Verdana" w:eastAsia="Calibri" w:hAnsi="Verdana" w:cs="Times New Roman"/>
          <w:kern w:val="2"/>
          <w:u w:val="single"/>
          <w:lang w:val="es-ES"/>
          <w14:ligatures w14:val="standardContextual"/>
        </w:rPr>
        <w:t>ColombiaCompraEficiente</w:t>
      </w:r>
      <w:proofErr w:type="spellEnd"/>
    </w:p>
    <w:p w14:paraId="5EE6A074" w14:textId="77777777" w:rsidR="00D8013F" w:rsidRPr="000E3953" w:rsidRDefault="00D8013F" w:rsidP="00D8013F">
      <w:pPr>
        <w:spacing w:after="0" w:line="240" w:lineRule="auto"/>
        <w:jc w:val="both"/>
        <w:rPr>
          <w:rFonts w:ascii="Verdana" w:eastAsia="Calibri" w:hAnsi="Verdana" w:cs="Times New Roman"/>
          <w:kern w:val="2"/>
          <w:lang w:val="es-ES_tradnl"/>
          <w14:ligatures w14:val="standardContextual"/>
        </w:rPr>
      </w:pPr>
      <w:r w:rsidRPr="000E3953">
        <w:rPr>
          <w:rFonts w:ascii="Verdana" w:eastAsia="Calibri" w:hAnsi="Verdana" w:cs="Times New Roman"/>
          <w:kern w:val="2"/>
          <w:lang w:val="es-ES_tradnl"/>
          <w14:ligatures w14:val="standardContextual"/>
        </w:rPr>
        <w:t xml:space="preserve">LinkedIn: </w:t>
      </w:r>
      <w:r w:rsidRPr="000E3953">
        <w:rPr>
          <w:rFonts w:ascii="Verdana" w:eastAsia="Calibri" w:hAnsi="Verdana" w:cs="Times New Roman"/>
          <w:kern w:val="2"/>
          <w:u w:val="single"/>
          <w:lang w:val="es-ES_tradnl"/>
          <w14:ligatures w14:val="standardContextual"/>
        </w:rPr>
        <w:t>Agencia Nacional de Contratación Pública - Colombia Compra Eficiente</w:t>
      </w:r>
      <w:r w:rsidRPr="000E3953">
        <w:rPr>
          <w:rFonts w:ascii="Verdana" w:eastAsia="Calibri" w:hAnsi="Verdana" w:cs="Times New Roman"/>
          <w:kern w:val="2"/>
          <w:lang w:val="es-ES_tradnl"/>
          <w14:ligatures w14:val="standardContextual"/>
        </w:rPr>
        <w:t xml:space="preserve"> Instagram: </w:t>
      </w:r>
      <w:r w:rsidRPr="000E3953">
        <w:rPr>
          <w:rFonts w:ascii="Verdana" w:eastAsia="Calibri" w:hAnsi="Verdana" w:cs="Times New Roman"/>
          <w:kern w:val="2"/>
          <w:u w:val="single"/>
          <w:lang w:val="es-ES_tradnl"/>
          <w14:ligatures w14:val="standardContextual"/>
        </w:rPr>
        <w:t>@colombiacompraeficiente_cce</w:t>
      </w:r>
    </w:p>
    <w:p w14:paraId="50A6717C" w14:textId="77777777" w:rsidR="00D8013F" w:rsidRPr="000E3953" w:rsidRDefault="00D8013F" w:rsidP="00D8013F">
      <w:pPr>
        <w:widowControl w:val="0"/>
        <w:autoSpaceDE w:val="0"/>
        <w:autoSpaceDN w:val="0"/>
        <w:spacing w:after="0" w:line="276" w:lineRule="auto"/>
        <w:jc w:val="both"/>
        <w:rPr>
          <w:rFonts w:ascii="Verdana" w:eastAsia="Calibri" w:hAnsi="Verdana" w:cs="Arial"/>
          <w:kern w:val="2"/>
          <w:lang w:val="es-ES_tradnl"/>
          <w14:ligatures w14:val="standardContextual"/>
        </w:rPr>
      </w:pPr>
    </w:p>
    <w:p w14:paraId="1C5C78BE" w14:textId="77777777" w:rsidR="00D8013F" w:rsidRPr="00103886" w:rsidRDefault="00D8013F" w:rsidP="00D8013F">
      <w:pPr>
        <w:widowControl w:val="0"/>
        <w:autoSpaceDE w:val="0"/>
        <w:autoSpaceDN w:val="0"/>
        <w:spacing w:after="0" w:line="276" w:lineRule="auto"/>
        <w:jc w:val="both"/>
        <w:rPr>
          <w:rFonts w:ascii="Verdana" w:eastAsia="Calibri" w:hAnsi="Verdana" w:cs="Arial"/>
          <w:kern w:val="2"/>
          <w:lang w:val="es-ES_tradnl"/>
          <w14:ligatures w14:val="standardContextual"/>
        </w:rPr>
      </w:pPr>
      <w:r w:rsidRPr="000E3953">
        <w:rPr>
          <w:rFonts w:ascii="Verdana" w:eastAsia="Calibri" w:hAnsi="Verdana" w:cs="Arial"/>
          <w:kern w:val="2"/>
          <w:lang w:val="es-ES_tradnl"/>
          <w14:ligatures w14:val="standardContextu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2290CA92" w14:textId="77777777" w:rsidR="00D8013F" w:rsidRPr="00CD302B" w:rsidRDefault="00D8013F" w:rsidP="00D8013F">
      <w:pPr>
        <w:widowControl w:val="0"/>
        <w:autoSpaceDE w:val="0"/>
        <w:autoSpaceDN w:val="0"/>
        <w:spacing w:after="0" w:line="276" w:lineRule="auto"/>
        <w:jc w:val="both"/>
        <w:rPr>
          <w:rFonts w:ascii="Verdana" w:eastAsia="Calibri" w:hAnsi="Verdana" w:cs="Arial"/>
        </w:rPr>
      </w:pPr>
    </w:p>
    <w:p w14:paraId="27B809B3" w14:textId="77777777" w:rsidR="00D8013F" w:rsidRPr="00CD302B" w:rsidRDefault="00D8013F" w:rsidP="00D8013F">
      <w:pPr>
        <w:spacing w:after="0" w:line="276" w:lineRule="auto"/>
        <w:rPr>
          <w:rFonts w:ascii="Verdana" w:eastAsia="Calibri" w:hAnsi="Verdana" w:cs="Arial"/>
          <w:lang w:eastAsia="es-CO"/>
        </w:rPr>
      </w:pPr>
      <w:r w:rsidRPr="00CD302B">
        <w:rPr>
          <w:rFonts w:ascii="Verdana" w:eastAsia="Times New Roman" w:hAnsi="Verdana" w:cs="Arial"/>
          <w:lang w:eastAsia="es-CO"/>
        </w:rPr>
        <w:t>Atentamente,</w:t>
      </w:r>
      <w:r w:rsidRPr="00CD302B">
        <w:rPr>
          <w:rFonts w:ascii="Verdana" w:eastAsia="Calibri" w:hAnsi="Verdana" w:cs="Arial"/>
          <w:lang w:eastAsia="es-CO"/>
        </w:rPr>
        <w:t xml:space="preserve"> </w:t>
      </w:r>
    </w:p>
    <w:p w14:paraId="5A58D684" w14:textId="77777777" w:rsidR="00D8013F" w:rsidRDefault="00D8013F" w:rsidP="00D8013F">
      <w:pPr>
        <w:spacing w:after="0" w:line="276" w:lineRule="auto"/>
        <w:jc w:val="center"/>
      </w:pPr>
    </w:p>
    <w:p w14:paraId="1D2A7287" w14:textId="77777777" w:rsidR="00D8013F" w:rsidRDefault="00D8013F" w:rsidP="00D8013F">
      <w:pPr>
        <w:spacing w:after="0" w:line="276" w:lineRule="auto"/>
        <w:rPr>
          <w:rFonts w:ascii="Verdana" w:eastAsia="Calibri" w:hAnsi="Verdana" w:cs="Arial"/>
          <w:b/>
          <w:bCs/>
          <w:lang w:eastAsia="es-CO"/>
        </w:rPr>
      </w:pPr>
    </w:p>
    <w:p w14:paraId="00786017" w14:textId="5AF0F4FA" w:rsidR="00D8013F" w:rsidRDefault="00BF6731" w:rsidP="00D8013F">
      <w:pPr>
        <w:spacing w:after="0" w:line="276" w:lineRule="auto"/>
        <w:jc w:val="center"/>
        <w:rPr>
          <w:rFonts w:ascii="Verdana" w:eastAsia="Calibri" w:hAnsi="Verdana" w:cs="Arial"/>
          <w:lang w:eastAsia="es-CO"/>
        </w:rPr>
      </w:pPr>
      <w:r>
        <w:rPr>
          <w:noProof/>
        </w:rPr>
        <w:lastRenderedPageBreak/>
        <w:drawing>
          <wp:inline distT="0" distB="0" distL="0" distR="0" wp14:anchorId="68F31061" wp14:editId="4FC85937">
            <wp:extent cx="3369010" cy="1250618"/>
            <wp:effectExtent l="0" t="0" r="3175" b="6985"/>
            <wp:docPr id="864465061" name="Imagen 864465061" descr="Texto, Cart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 Carta&#10;&#10;El contenido generado por IA puede ser incorrecto."/>
                    <pic:cNvPicPr/>
                  </pic:nvPicPr>
                  <pic:blipFill>
                    <a:blip r:embed="rId14"/>
                    <a:stretch>
                      <a:fillRect/>
                    </a:stretch>
                  </pic:blipFill>
                  <pic:spPr>
                    <a:xfrm>
                      <a:off x="0" y="0"/>
                      <a:ext cx="3380831" cy="1255006"/>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D8013F" w:rsidRPr="00CD302B" w14:paraId="761DA2BE" w14:textId="77777777" w:rsidTr="0FB2E197">
        <w:trPr>
          <w:trHeight w:val="315"/>
        </w:trPr>
        <w:tc>
          <w:tcPr>
            <w:tcW w:w="893" w:type="dxa"/>
            <w:vAlign w:val="center"/>
            <w:hideMark/>
          </w:tcPr>
          <w:p w14:paraId="250B0AEE" w14:textId="77777777" w:rsidR="00D8013F" w:rsidRPr="00CD302B" w:rsidRDefault="00D8013F" w:rsidP="00B9141B">
            <w:pPr>
              <w:rPr>
                <w:rFonts w:ascii="Verdana" w:eastAsia="Calibri" w:hAnsi="Verdana" w:cs="Arial"/>
                <w:sz w:val="16"/>
                <w:szCs w:val="16"/>
                <w:lang w:val="es-ES_tradnl" w:eastAsia="es-ES"/>
              </w:rPr>
            </w:pPr>
            <w:r w:rsidRPr="00CD302B">
              <w:rPr>
                <w:rFonts w:ascii="Verdana" w:eastAsia="Calibri" w:hAnsi="Verdana" w:cs="Arial"/>
                <w:sz w:val="16"/>
                <w:szCs w:val="16"/>
                <w:lang w:val="es-ES_tradnl" w:eastAsia="es-ES"/>
              </w:rPr>
              <w:t>Elaboró:</w:t>
            </w:r>
          </w:p>
        </w:tc>
        <w:tc>
          <w:tcPr>
            <w:tcW w:w="5628" w:type="dxa"/>
            <w:tcBorders>
              <w:top w:val="nil"/>
              <w:left w:val="nil"/>
              <w:bottom w:val="dotted" w:sz="4" w:space="0" w:color="7F7F7F" w:themeColor="text1" w:themeTint="80"/>
              <w:right w:val="nil"/>
            </w:tcBorders>
            <w:vAlign w:val="center"/>
            <w:hideMark/>
          </w:tcPr>
          <w:p w14:paraId="33AF0542" w14:textId="77777777" w:rsidR="00D8013F" w:rsidRPr="00CD302B" w:rsidRDefault="00D8013F" w:rsidP="00B9141B">
            <w:pPr>
              <w:rPr>
                <w:rFonts w:ascii="Verdana" w:eastAsia="Arial" w:hAnsi="Verdana" w:cs="Arial"/>
                <w:sz w:val="16"/>
                <w:szCs w:val="16"/>
                <w:lang w:val="es-ES"/>
              </w:rPr>
            </w:pPr>
            <w:r>
              <w:rPr>
                <w:rFonts w:ascii="Verdana" w:eastAsia="Arial" w:hAnsi="Verdana" w:cs="Arial"/>
                <w:sz w:val="16"/>
                <w:szCs w:val="16"/>
                <w:lang w:val="es-ES"/>
              </w:rPr>
              <w:t>Kevin Arlid Herrera Santa</w:t>
            </w:r>
          </w:p>
          <w:p w14:paraId="5C698E2D" w14:textId="77777777" w:rsidR="00D8013F" w:rsidRDefault="00D8013F" w:rsidP="00B9141B">
            <w:pPr>
              <w:rPr>
                <w:rFonts w:ascii="Verdana" w:eastAsia="Arial" w:hAnsi="Verdana" w:cs="Arial"/>
                <w:sz w:val="16"/>
                <w:szCs w:val="16"/>
                <w:lang w:val="es-ES_tradnl"/>
              </w:rPr>
            </w:pPr>
            <w:r w:rsidRPr="00CD302B">
              <w:rPr>
                <w:rFonts w:ascii="Verdana" w:eastAsia="Arial" w:hAnsi="Verdana" w:cs="Arial"/>
                <w:sz w:val="16"/>
                <w:szCs w:val="16"/>
                <w:lang w:val="es-ES_tradnl"/>
              </w:rPr>
              <w:t>Contratista de la Subdirección de Gestión Contractual</w:t>
            </w:r>
          </w:p>
          <w:p w14:paraId="58804AB2" w14:textId="77777777" w:rsidR="00D8013F" w:rsidRDefault="00D8013F" w:rsidP="00B9141B">
            <w:pPr>
              <w:rPr>
                <w:rFonts w:ascii="Verdana" w:eastAsia="Arial" w:hAnsi="Verdana" w:cs="Arial"/>
                <w:sz w:val="16"/>
                <w:szCs w:val="16"/>
                <w:lang w:val="es-ES"/>
              </w:rPr>
            </w:pPr>
            <w:r w:rsidRPr="0FB2E197">
              <w:rPr>
                <w:rFonts w:ascii="Verdana" w:eastAsia="Arial" w:hAnsi="Verdana" w:cs="Arial"/>
                <w:sz w:val="16"/>
                <w:szCs w:val="16"/>
                <w:lang w:val="es-ES"/>
              </w:rPr>
              <w:t xml:space="preserve">Lida Milena </w:t>
            </w:r>
            <w:proofErr w:type="spellStart"/>
            <w:r w:rsidRPr="0FB2E197">
              <w:rPr>
                <w:rFonts w:ascii="Verdana" w:eastAsia="Arial" w:hAnsi="Verdana" w:cs="Arial"/>
                <w:sz w:val="16"/>
                <w:szCs w:val="16"/>
                <w:lang w:val="es-ES"/>
              </w:rPr>
              <w:t>Guanumen</w:t>
            </w:r>
            <w:proofErr w:type="spellEnd"/>
            <w:r w:rsidRPr="0FB2E197">
              <w:rPr>
                <w:rFonts w:ascii="Verdana" w:eastAsia="Arial" w:hAnsi="Verdana" w:cs="Arial"/>
                <w:sz w:val="16"/>
                <w:szCs w:val="16"/>
                <w:lang w:val="es-ES"/>
              </w:rPr>
              <w:t xml:space="preserve"> Pacheco</w:t>
            </w:r>
          </w:p>
          <w:p w14:paraId="4CBE77DD" w14:textId="77777777" w:rsidR="00D8013F" w:rsidRPr="00CD302B" w:rsidRDefault="00D8013F" w:rsidP="00B9141B">
            <w:pPr>
              <w:rPr>
                <w:rFonts w:ascii="Verdana" w:eastAsia="Arial" w:hAnsi="Verdana" w:cs="Arial"/>
                <w:sz w:val="16"/>
                <w:szCs w:val="16"/>
                <w:lang w:val="es-ES_tradnl"/>
              </w:rPr>
            </w:pPr>
            <w:r w:rsidRPr="00CD302B">
              <w:rPr>
                <w:rFonts w:ascii="Verdana" w:eastAsia="Arial" w:hAnsi="Verdana" w:cs="Arial"/>
                <w:sz w:val="16"/>
                <w:szCs w:val="16"/>
                <w:lang w:val="es-ES_tradnl"/>
              </w:rPr>
              <w:t>Contratista de la Subdirección de Gestión Contractual</w:t>
            </w:r>
          </w:p>
          <w:p w14:paraId="42093406" w14:textId="77777777" w:rsidR="00D8013F" w:rsidRPr="00CD302B" w:rsidRDefault="00D8013F" w:rsidP="00B9141B">
            <w:pPr>
              <w:rPr>
                <w:rFonts w:ascii="Verdana" w:eastAsia="Arial" w:hAnsi="Verdana" w:cs="Arial"/>
                <w:sz w:val="16"/>
                <w:szCs w:val="16"/>
                <w:lang w:val="es-ES_tradnl"/>
              </w:rPr>
            </w:pPr>
          </w:p>
        </w:tc>
      </w:tr>
      <w:tr w:rsidR="00D8013F" w:rsidRPr="00CD302B" w14:paraId="743D5665" w14:textId="77777777" w:rsidTr="0FB2E197">
        <w:trPr>
          <w:trHeight w:val="330"/>
        </w:trPr>
        <w:tc>
          <w:tcPr>
            <w:tcW w:w="893" w:type="dxa"/>
            <w:vAlign w:val="center"/>
            <w:hideMark/>
          </w:tcPr>
          <w:p w14:paraId="69F947AF" w14:textId="77777777" w:rsidR="00D8013F" w:rsidRPr="00CD302B" w:rsidRDefault="00D8013F" w:rsidP="00B9141B">
            <w:pPr>
              <w:rPr>
                <w:rFonts w:ascii="Verdana" w:eastAsia="Calibri" w:hAnsi="Verdana" w:cs="Arial"/>
                <w:sz w:val="16"/>
                <w:szCs w:val="16"/>
                <w:lang w:val="es-ES_tradnl" w:eastAsia="es-ES"/>
              </w:rPr>
            </w:pPr>
            <w:r w:rsidRPr="00CD302B">
              <w:rPr>
                <w:rFonts w:ascii="Verdana" w:eastAsia="Calibri" w:hAnsi="Verdana" w:cs="Arial"/>
                <w:sz w:val="16"/>
                <w:szCs w:val="16"/>
                <w:lang w:val="es-ES_tradnl"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B3FFDBC" w14:textId="77777777" w:rsidR="00D8013F" w:rsidRPr="00CD302B" w:rsidRDefault="00D8013F" w:rsidP="00B9141B">
            <w:pPr>
              <w:textAlignment w:val="baseline"/>
              <w:rPr>
                <w:rFonts w:ascii="Verdana" w:eastAsia="Times New Roman" w:hAnsi="Verdana" w:cs="Segoe UI"/>
                <w:sz w:val="16"/>
                <w:szCs w:val="16"/>
                <w:lang w:val="es-ES_tradnl" w:eastAsia="es-ES_tradnl"/>
              </w:rPr>
            </w:pPr>
            <w:r w:rsidRPr="00CD302B">
              <w:rPr>
                <w:rFonts w:ascii="Verdana" w:eastAsia="Times New Roman" w:hAnsi="Verdana" w:cs="Segoe UI"/>
                <w:sz w:val="16"/>
                <w:szCs w:val="16"/>
                <w:lang w:val="es-ES_tradnl" w:eastAsia="es-ES_tradnl"/>
              </w:rPr>
              <w:t xml:space="preserve">Juan David Cárdenas Cabeza </w:t>
            </w:r>
          </w:p>
          <w:p w14:paraId="00F5E420" w14:textId="77777777" w:rsidR="00D8013F" w:rsidRPr="00CD302B" w:rsidRDefault="00D8013F" w:rsidP="00B9141B">
            <w:pPr>
              <w:textAlignment w:val="baseline"/>
              <w:rPr>
                <w:rFonts w:ascii="Verdana" w:eastAsia="Times New Roman" w:hAnsi="Verdana" w:cs="Segoe UI"/>
                <w:sz w:val="16"/>
                <w:szCs w:val="16"/>
                <w:lang w:val="es-ES_tradnl" w:eastAsia="es-ES_tradnl"/>
              </w:rPr>
            </w:pPr>
            <w:r w:rsidRPr="00CD302B">
              <w:rPr>
                <w:rFonts w:ascii="Verdana" w:eastAsia="Times New Roman" w:hAnsi="Verdana" w:cs="Arial"/>
                <w:sz w:val="16"/>
                <w:szCs w:val="16"/>
                <w:lang w:val="es-ES_tradnl" w:eastAsia="es-ES_tradnl"/>
              </w:rPr>
              <w:t>Contratista de la Subdirección de Gestión Contractual </w:t>
            </w:r>
          </w:p>
        </w:tc>
      </w:tr>
      <w:tr w:rsidR="00D8013F" w:rsidRPr="00CD302B" w14:paraId="0D183432" w14:textId="77777777" w:rsidTr="0FB2E197">
        <w:trPr>
          <w:trHeight w:val="300"/>
        </w:trPr>
        <w:tc>
          <w:tcPr>
            <w:tcW w:w="893" w:type="dxa"/>
            <w:vAlign w:val="center"/>
          </w:tcPr>
          <w:p w14:paraId="7028586D" w14:textId="77777777" w:rsidR="00D8013F" w:rsidRPr="00CD302B" w:rsidRDefault="00D8013F" w:rsidP="00B9141B">
            <w:pPr>
              <w:rPr>
                <w:rFonts w:ascii="Verdana" w:eastAsia="Calibri" w:hAnsi="Verdana" w:cs="Arial"/>
                <w:sz w:val="16"/>
                <w:szCs w:val="16"/>
                <w:lang w:val="es-ES_tradnl" w:eastAsia="es-ES"/>
              </w:rPr>
            </w:pPr>
            <w:r w:rsidRPr="00CD302B">
              <w:rPr>
                <w:rFonts w:ascii="Verdana" w:eastAsia="Calibri" w:hAnsi="Verdana" w:cs="Arial"/>
                <w:sz w:val="16"/>
                <w:szCs w:val="16"/>
                <w:lang w:val="es-ES_tradnl"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6D53D04" w14:textId="77777777" w:rsidR="00D8013F" w:rsidRPr="00564249" w:rsidRDefault="00D8013F" w:rsidP="00B9141B">
            <w:pPr>
              <w:textAlignment w:val="baseline"/>
              <w:rPr>
                <w:rFonts w:ascii="Verdana" w:eastAsia="Times New Roman" w:hAnsi="Verdana" w:cs="Segoe UI"/>
                <w:sz w:val="16"/>
                <w:szCs w:val="16"/>
                <w:lang w:val="es-ES" w:eastAsia="es-ES"/>
              </w:rPr>
            </w:pPr>
            <w:r w:rsidRPr="0FB2E197">
              <w:rPr>
                <w:rFonts w:ascii="Verdana" w:eastAsia="Times New Roman" w:hAnsi="Verdana" w:cs="Segoe UI"/>
                <w:sz w:val="16"/>
                <w:szCs w:val="16"/>
                <w:lang w:val="es-ES" w:eastAsia="es-ES"/>
              </w:rPr>
              <w:t>Carolina Quintero Gacharná</w:t>
            </w:r>
          </w:p>
          <w:p w14:paraId="4D92A030" w14:textId="77777777" w:rsidR="00D8013F" w:rsidRPr="00564249" w:rsidRDefault="00D8013F" w:rsidP="00B9141B">
            <w:pPr>
              <w:textAlignment w:val="baseline"/>
              <w:rPr>
                <w:rFonts w:ascii="Times New Roman" w:eastAsia="Times New Roman" w:hAnsi="Times New Roman" w:cs="Times New Roman"/>
                <w:sz w:val="24"/>
                <w:szCs w:val="24"/>
                <w:lang w:eastAsia="es-CO"/>
              </w:rPr>
            </w:pPr>
            <w:r w:rsidRPr="00564249">
              <w:rPr>
                <w:rFonts w:ascii="Verdana" w:eastAsia="Times New Roman" w:hAnsi="Verdana" w:cs="Segoe UI"/>
                <w:sz w:val="16"/>
                <w:szCs w:val="16"/>
                <w:lang w:val="es-ES_tradnl" w:eastAsia="es-ES_tradnl"/>
              </w:rPr>
              <w:t>Subdirectora de Gestión Contractual ANCP – CCE</w:t>
            </w:r>
          </w:p>
        </w:tc>
      </w:tr>
    </w:tbl>
    <w:p w14:paraId="74972512" w14:textId="77777777" w:rsidR="00D8013F" w:rsidRPr="00CD302B" w:rsidRDefault="00D8013F" w:rsidP="00D8013F">
      <w:pPr>
        <w:spacing w:line="278" w:lineRule="auto"/>
        <w:rPr>
          <w:rFonts w:ascii="Aptos" w:eastAsia="Aptos" w:hAnsi="Aptos" w:cs="Times New Roman"/>
          <w:kern w:val="2"/>
          <w:sz w:val="24"/>
          <w:szCs w:val="24"/>
          <w14:ligatures w14:val="standardContextual"/>
        </w:rPr>
      </w:pPr>
    </w:p>
    <w:p w14:paraId="65762B9B" w14:textId="77777777" w:rsidR="00D8013F" w:rsidRPr="00CD302B" w:rsidRDefault="00D8013F" w:rsidP="00D8013F">
      <w:pPr>
        <w:widowControl w:val="0"/>
        <w:autoSpaceDE w:val="0"/>
        <w:autoSpaceDN w:val="0"/>
        <w:spacing w:after="0" w:line="240" w:lineRule="auto"/>
        <w:jc w:val="both"/>
        <w:rPr>
          <w:rFonts w:ascii="Verdana" w:eastAsia="Calibri" w:hAnsi="Verdana" w:cs="Arial"/>
          <w:sz w:val="20"/>
          <w:szCs w:val="20"/>
        </w:rPr>
      </w:pPr>
    </w:p>
    <w:bookmarkEnd w:id="0"/>
    <w:p w14:paraId="0173D41F" w14:textId="77777777" w:rsidR="00D8013F" w:rsidRPr="009A3844" w:rsidRDefault="00D8013F" w:rsidP="00D8013F"/>
    <w:bookmarkEnd w:id="1"/>
    <w:p w14:paraId="12443EE0" w14:textId="77777777" w:rsidR="00C15139" w:rsidRPr="0024624F" w:rsidRDefault="00C15139" w:rsidP="00C15139">
      <w:pPr>
        <w:spacing w:after="0"/>
        <w:rPr>
          <w:rFonts w:ascii="Verdana" w:hAnsi="Verdana"/>
        </w:rPr>
      </w:pPr>
    </w:p>
    <w:sectPr w:rsidR="00C15139" w:rsidRPr="0024624F"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5C8A4C" w14:textId="77777777" w:rsidR="00E64BFB" w:rsidRDefault="00E64BFB" w:rsidP="004A1847">
      <w:pPr>
        <w:spacing w:after="0" w:line="240" w:lineRule="auto"/>
      </w:pPr>
      <w:r>
        <w:separator/>
      </w:r>
    </w:p>
  </w:endnote>
  <w:endnote w:type="continuationSeparator" w:id="0">
    <w:p w14:paraId="5DA1D1AF" w14:textId="77777777" w:rsidR="00E64BFB" w:rsidRDefault="00E64BFB"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F/Ωò">
    <w:altName w:val="Calibri"/>
    <w:panose1 w:val="00000000000000000000"/>
    <w:charset w:val="4D"/>
    <w:family w:val="auto"/>
    <w:notTrueType/>
    <w:pitch w:val="default"/>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1559DE" w14:textId="77777777" w:rsidR="00E64BFB" w:rsidRDefault="00E64BFB" w:rsidP="004A1847">
      <w:pPr>
        <w:spacing w:after="0" w:line="240" w:lineRule="auto"/>
      </w:pPr>
      <w:r>
        <w:separator/>
      </w:r>
    </w:p>
  </w:footnote>
  <w:footnote w:type="continuationSeparator" w:id="0">
    <w:p w14:paraId="7533FAEF" w14:textId="77777777" w:rsidR="00E64BFB" w:rsidRDefault="00E64BFB" w:rsidP="004A1847">
      <w:pPr>
        <w:spacing w:after="0" w:line="240" w:lineRule="auto"/>
      </w:pPr>
      <w:r>
        <w:continuationSeparator/>
      </w:r>
    </w:p>
  </w:footnote>
  <w:footnote w:id="1">
    <w:p w14:paraId="5CE15006" w14:textId="77777777" w:rsidR="00D8013F" w:rsidRPr="001961FA" w:rsidRDefault="00D8013F" w:rsidP="00D8013F">
      <w:pPr>
        <w:spacing w:after="0" w:line="240" w:lineRule="auto"/>
        <w:ind w:right="49" w:firstLine="709"/>
        <w:jc w:val="both"/>
        <w:rPr>
          <w:rFonts w:ascii="Verdana" w:hAnsi="Verdana" w:cs="Arial"/>
          <w:sz w:val="18"/>
          <w:szCs w:val="18"/>
        </w:rPr>
      </w:pPr>
      <w:r w:rsidRPr="001961FA">
        <w:rPr>
          <w:rStyle w:val="Refdenotaalpie"/>
          <w:rFonts w:ascii="Verdana" w:hAnsi="Verdana" w:cs="Arial"/>
          <w:sz w:val="18"/>
          <w:szCs w:val="18"/>
        </w:rPr>
        <w:footnoteRef/>
      </w:r>
      <w:r w:rsidRPr="001961FA">
        <w:rPr>
          <w:rFonts w:ascii="Verdana" w:hAnsi="Verdana" w:cs="Arial"/>
          <w:sz w:val="18"/>
          <w:szCs w:val="18"/>
        </w:rPr>
        <w:t xml:space="preserve"> Corte Constitucional. Sentencia C-697 del 14 de junio de 2000. M.P: Eduardo Cifuentes Muñoz.</w:t>
      </w:r>
    </w:p>
    <w:p w14:paraId="4AC7D14B" w14:textId="77777777" w:rsidR="00D8013F" w:rsidRPr="001961FA" w:rsidRDefault="00D8013F" w:rsidP="00D8013F">
      <w:pPr>
        <w:pStyle w:val="Textonotapie"/>
        <w:ind w:right="49"/>
        <w:jc w:val="both"/>
        <w:rPr>
          <w:rFonts w:ascii="Verdana" w:hAnsi="Verdana" w:cs="Arial"/>
          <w:sz w:val="18"/>
          <w:szCs w:val="18"/>
          <w:lang w:val="es-CO"/>
        </w:rPr>
      </w:pPr>
    </w:p>
  </w:footnote>
  <w:footnote w:id="2">
    <w:p w14:paraId="6EB4FF4A" w14:textId="77777777" w:rsidR="00D8013F" w:rsidRPr="001961FA" w:rsidRDefault="00D8013F" w:rsidP="00D8013F">
      <w:pPr>
        <w:pStyle w:val="Textonotapie"/>
        <w:ind w:right="49" w:firstLine="708"/>
        <w:jc w:val="both"/>
        <w:rPr>
          <w:rFonts w:ascii="Verdana" w:hAnsi="Verdana" w:cs="Arial"/>
          <w:sz w:val="18"/>
          <w:szCs w:val="18"/>
          <w:lang w:val="es-CO"/>
        </w:rPr>
      </w:pPr>
      <w:r w:rsidRPr="001961FA">
        <w:rPr>
          <w:rStyle w:val="Refdenotaalpie"/>
          <w:rFonts w:ascii="Verdana" w:hAnsi="Verdana"/>
          <w:sz w:val="18"/>
          <w:szCs w:val="18"/>
        </w:rPr>
        <w:footnoteRef/>
      </w:r>
      <w:r w:rsidRPr="001961FA">
        <w:rPr>
          <w:rFonts w:ascii="Verdana" w:hAnsi="Verdana"/>
          <w:sz w:val="18"/>
          <w:szCs w:val="18"/>
        </w:rPr>
        <w:t xml:space="preserve"> </w:t>
      </w:r>
      <w:r w:rsidRPr="001961FA">
        <w:rPr>
          <w:rFonts w:ascii="Verdana" w:hAnsi="Verdana" w:cs="Arial"/>
          <w:sz w:val="18"/>
          <w:szCs w:val="18"/>
          <w:lang w:val="es-CO"/>
        </w:rPr>
        <w:t>El Consejo Profesional Nacional de Ingeniería -COPNIA-, como entidad encargada de controlar, inspeccionar y vigilar el ejercicio de la ingeniería, de sus profesiones afines y de sus profesiones auxiliares, de acuerdo con lo dispuesto por el artículo 26 de la Ley 842 de 2003, tiene como función emitir conceptos y responder consultas sobre aspectos relacionados con el ejercicio de la ingeniería, sus profesiones afines y sus profesiones auxiliares, cuando así se le solicite para cualquier efecto legal o profesional.</w:t>
      </w:r>
    </w:p>
    <w:p w14:paraId="30B299F1" w14:textId="77777777" w:rsidR="00D8013F" w:rsidRPr="001961FA" w:rsidRDefault="00D8013F" w:rsidP="00D8013F">
      <w:pPr>
        <w:pStyle w:val="Textonotapie"/>
        <w:ind w:right="49" w:firstLine="708"/>
        <w:jc w:val="both"/>
        <w:rPr>
          <w:rFonts w:ascii="Verdana" w:hAnsi="Verdana"/>
          <w:sz w:val="18"/>
          <w:szCs w:val="18"/>
          <w:lang w:val="es-CO"/>
        </w:rPr>
      </w:pPr>
    </w:p>
  </w:footnote>
  <w:footnote w:id="3">
    <w:p w14:paraId="4EC8874B" w14:textId="77777777" w:rsidR="00D8013F" w:rsidRPr="001961FA" w:rsidRDefault="00D8013F" w:rsidP="00D8013F">
      <w:pPr>
        <w:pStyle w:val="Textonotapie"/>
        <w:ind w:right="49" w:firstLine="720"/>
        <w:jc w:val="both"/>
        <w:rPr>
          <w:rFonts w:ascii="Verdana" w:hAnsi="Verdana" w:cs="Arial"/>
          <w:color w:val="000000"/>
          <w:sz w:val="18"/>
          <w:szCs w:val="18"/>
        </w:rPr>
      </w:pPr>
      <w:r w:rsidRPr="001961FA">
        <w:rPr>
          <w:rStyle w:val="Refdenotaalpie"/>
          <w:rFonts w:ascii="Verdana" w:hAnsi="Verdana" w:cs="Arial"/>
          <w:color w:val="000000"/>
          <w:sz w:val="18"/>
          <w:szCs w:val="18"/>
        </w:rPr>
        <w:footnoteRef/>
      </w:r>
      <w:r w:rsidRPr="001961FA">
        <w:rPr>
          <w:rFonts w:ascii="Verdana" w:hAnsi="Verdana" w:cs="Arial"/>
          <w:color w:val="000000"/>
          <w:sz w:val="18"/>
          <w:szCs w:val="18"/>
        </w:rPr>
        <w:t xml:space="preserve"> Corte Constitucional. Sentencia C-191 de 2005: “Además, el parámetro empleado por el legislador en el inciso primero del artículo es objetivo, claro e inteligible, puesto que se refiere precisamente a ‘actividades catalogadas como ejercicio de la ingeniería’, actividades que como se mostró, se encuentran definidas por la ley [ver apartados 4.1.2.1. y siguientes]. El artículo tiene por objeto únicamente el ejercicio de la ingeniería; en tal sentido no comprende todo lo eventualmente relacionado con la</w:t>
      </w:r>
      <w:r w:rsidRPr="001961FA">
        <w:rPr>
          <w:rFonts w:ascii="Verdana" w:hAnsi="Verdana" w:cs="Arial"/>
          <w:color w:val="000000"/>
          <w:spacing w:val="-13"/>
          <w:sz w:val="18"/>
          <w:szCs w:val="18"/>
        </w:rPr>
        <w:t xml:space="preserve"> </w:t>
      </w:r>
      <w:r w:rsidRPr="001961FA">
        <w:rPr>
          <w:rFonts w:ascii="Verdana" w:hAnsi="Verdana" w:cs="Arial"/>
          <w:color w:val="000000"/>
          <w:sz w:val="18"/>
          <w:szCs w:val="18"/>
        </w:rPr>
        <w:t xml:space="preserve">ingeniería”. </w:t>
      </w:r>
    </w:p>
    <w:p w14:paraId="7DFB32CA" w14:textId="77777777" w:rsidR="00D8013F" w:rsidRPr="001961FA" w:rsidRDefault="00D8013F" w:rsidP="00D8013F">
      <w:pPr>
        <w:pStyle w:val="Textonotapie"/>
        <w:ind w:right="49" w:firstLine="720"/>
        <w:jc w:val="both"/>
        <w:rPr>
          <w:rFonts w:ascii="Verdana" w:hAnsi="Verdana" w:cs="Arial"/>
          <w:color w:val="000000"/>
          <w:sz w:val="18"/>
          <w:szCs w:val="18"/>
          <w:lang w:val="es-CO"/>
        </w:rPr>
      </w:pPr>
    </w:p>
  </w:footnote>
  <w:footnote w:id="4">
    <w:p w14:paraId="28D87AD3" w14:textId="77777777" w:rsidR="00D8013F" w:rsidRPr="001961FA" w:rsidRDefault="00D8013F" w:rsidP="00D8013F">
      <w:pPr>
        <w:spacing w:after="0" w:line="240" w:lineRule="auto"/>
        <w:ind w:right="49" w:firstLine="720"/>
        <w:jc w:val="both"/>
        <w:rPr>
          <w:rFonts w:ascii="Verdana" w:hAnsi="Verdana" w:cs="Arial"/>
          <w:color w:val="000000"/>
          <w:sz w:val="18"/>
          <w:szCs w:val="18"/>
        </w:rPr>
      </w:pPr>
      <w:r w:rsidRPr="001961FA">
        <w:rPr>
          <w:rStyle w:val="Refdenotaalpie"/>
          <w:rFonts w:ascii="Verdana" w:hAnsi="Verdana" w:cs="Arial"/>
          <w:color w:val="000000"/>
          <w:sz w:val="18"/>
          <w:szCs w:val="18"/>
        </w:rPr>
        <w:footnoteRef/>
      </w:r>
      <w:r w:rsidRPr="001961FA">
        <w:rPr>
          <w:rFonts w:ascii="Verdana" w:hAnsi="Verdana" w:cs="Arial"/>
          <w:color w:val="000000"/>
          <w:sz w:val="18"/>
          <w:szCs w:val="18"/>
        </w:rPr>
        <w:t xml:space="preserve"> Ley 842 de 2003. Artículo 6: “Para poder ejercer legalmente la Ingeniería, sus profesiones afines o sus profesiones auxiliares en el territorio nacional, en las ramas o especialidades regidas por la presente ley, se requiere estar matriculado o inscrito en el Registro Profesional respectivo, que seguirá llevando el </w:t>
      </w:r>
      <w:r w:rsidRPr="001961FA">
        <w:rPr>
          <w:rFonts w:ascii="Verdana" w:hAnsi="Verdana" w:cs="Arial"/>
          <w:color w:val="000000"/>
          <w:sz w:val="18"/>
          <w:szCs w:val="18"/>
        </w:rPr>
        <w:t>Copnia, lo cual se acreditará con la presentación de la tarjeta o documento adoptado por este para tal fin”.</w:t>
      </w:r>
    </w:p>
    <w:p w14:paraId="13ECCBD8" w14:textId="77777777" w:rsidR="00D8013F" w:rsidRPr="001961FA" w:rsidRDefault="00D8013F" w:rsidP="00D8013F">
      <w:pPr>
        <w:spacing w:after="0" w:line="240" w:lineRule="auto"/>
        <w:ind w:right="49" w:firstLine="720"/>
        <w:jc w:val="both"/>
        <w:rPr>
          <w:rFonts w:ascii="Verdana" w:hAnsi="Verdana" w:cs="Arial"/>
          <w:color w:val="000000"/>
          <w:sz w:val="18"/>
          <w:szCs w:val="18"/>
        </w:rPr>
      </w:pPr>
    </w:p>
  </w:footnote>
  <w:footnote w:id="5">
    <w:p w14:paraId="7E54D31D" w14:textId="77777777" w:rsidR="00D8013F" w:rsidRDefault="00D8013F" w:rsidP="00D8013F">
      <w:pPr>
        <w:pStyle w:val="Textonotapie"/>
        <w:ind w:firstLine="708"/>
        <w:jc w:val="both"/>
        <w:rPr>
          <w:rFonts w:ascii="Verdana" w:hAnsi="Verdana" w:cs="Arial"/>
          <w:sz w:val="18"/>
          <w:szCs w:val="18"/>
          <w:lang w:val="es-CO"/>
        </w:rPr>
      </w:pPr>
      <w:r w:rsidRPr="001961FA">
        <w:rPr>
          <w:rStyle w:val="Refdenotaalpie"/>
          <w:rFonts w:ascii="Verdana" w:hAnsi="Verdana"/>
          <w:sz w:val="18"/>
          <w:szCs w:val="18"/>
        </w:rPr>
        <w:footnoteRef/>
      </w:r>
      <w:r w:rsidRPr="001961FA">
        <w:rPr>
          <w:rFonts w:ascii="Verdana" w:hAnsi="Verdana"/>
          <w:sz w:val="18"/>
          <w:szCs w:val="18"/>
        </w:rPr>
        <w:t xml:space="preserve"> </w:t>
      </w:r>
      <w:r w:rsidRPr="001961FA">
        <w:rPr>
          <w:rFonts w:ascii="Verdana" w:hAnsi="Verdana" w:cs="Arial"/>
          <w:sz w:val="18"/>
          <w:szCs w:val="18"/>
          <w:lang w:val="es-CO"/>
        </w:rPr>
        <w:t>El Consejo Profesional Nacional de Ingeniería -COPNIA-, como entidad encargada de controlar, inspeccionar y vigilar el ejercicio de la ingeniería, de sus profesiones afines y de sus profesiones auxiliares, de acuerdo con lo dispuesto por el artículo 26 de la Ley 842 de 2003, tiene como función emitir conceptos y responder consultas sobre aspectos relacionados con el ejercicio de la ingeniería, sus profesiones afines y sus profesiones auxiliares, cuando así se le solicite para cualquier efecto legal o profesional.</w:t>
      </w:r>
    </w:p>
    <w:p w14:paraId="173401D7" w14:textId="77777777" w:rsidR="00D8013F" w:rsidRPr="001961FA" w:rsidRDefault="00D8013F" w:rsidP="00D8013F">
      <w:pPr>
        <w:pStyle w:val="Textonotapie"/>
        <w:ind w:firstLine="708"/>
        <w:jc w:val="both"/>
        <w:rPr>
          <w:rFonts w:ascii="Verdana" w:hAnsi="Verdana"/>
          <w:sz w:val="18"/>
          <w:szCs w:val="18"/>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5pt;height:12.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0714279"/>
    <w:multiLevelType w:val="hybridMultilevel"/>
    <w:tmpl w:val="CF3CB14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5F371B4A"/>
    <w:multiLevelType w:val="hybridMultilevel"/>
    <w:tmpl w:val="7D8AB1EA"/>
    <w:lvl w:ilvl="0" w:tplc="240A000F">
      <w:start w:val="2"/>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1"/>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0"/>
  </w:num>
  <w:num w:numId="13" w16cid:durableId="1512908409">
    <w:abstractNumId w:val="3"/>
  </w:num>
  <w:num w:numId="14" w16cid:durableId="895897244">
    <w:abstractNumId w:val="15"/>
  </w:num>
  <w:num w:numId="15" w16cid:durableId="390349800">
    <w:abstractNumId w:val="11"/>
  </w:num>
  <w:num w:numId="16" w16cid:durableId="679089576">
    <w:abstractNumId w:val="9"/>
  </w:num>
  <w:num w:numId="17" w16cid:durableId="583220058">
    <w:abstractNumId w:val="10"/>
  </w:num>
  <w:num w:numId="18" w16cid:durableId="67850260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2D02"/>
    <w:rsid w:val="00046945"/>
    <w:rsid w:val="00061B2A"/>
    <w:rsid w:val="00082362"/>
    <w:rsid w:val="00096F1D"/>
    <w:rsid w:val="000A683E"/>
    <w:rsid w:val="000B19B9"/>
    <w:rsid w:val="000D0334"/>
    <w:rsid w:val="000D5DA7"/>
    <w:rsid w:val="000F6486"/>
    <w:rsid w:val="00116940"/>
    <w:rsid w:val="00125105"/>
    <w:rsid w:val="00127233"/>
    <w:rsid w:val="00154D79"/>
    <w:rsid w:val="0015699B"/>
    <w:rsid w:val="001A33BF"/>
    <w:rsid w:val="001E4177"/>
    <w:rsid w:val="001F0B24"/>
    <w:rsid w:val="001F7DC6"/>
    <w:rsid w:val="0022400B"/>
    <w:rsid w:val="00225B72"/>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235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34823"/>
    <w:rsid w:val="005566E8"/>
    <w:rsid w:val="00574867"/>
    <w:rsid w:val="00591460"/>
    <w:rsid w:val="005A65E0"/>
    <w:rsid w:val="005C3777"/>
    <w:rsid w:val="005C5CDC"/>
    <w:rsid w:val="005D476C"/>
    <w:rsid w:val="0060687F"/>
    <w:rsid w:val="00607601"/>
    <w:rsid w:val="006174C0"/>
    <w:rsid w:val="006200BF"/>
    <w:rsid w:val="006219F8"/>
    <w:rsid w:val="006302F7"/>
    <w:rsid w:val="00646B9F"/>
    <w:rsid w:val="00652CD5"/>
    <w:rsid w:val="00665D70"/>
    <w:rsid w:val="006900D9"/>
    <w:rsid w:val="006B0861"/>
    <w:rsid w:val="00706C16"/>
    <w:rsid w:val="007340C3"/>
    <w:rsid w:val="007430C3"/>
    <w:rsid w:val="0075235A"/>
    <w:rsid w:val="00753779"/>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B3F0E"/>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44A47"/>
    <w:rsid w:val="00B5702E"/>
    <w:rsid w:val="00B605E9"/>
    <w:rsid w:val="00B72CD3"/>
    <w:rsid w:val="00B72FFF"/>
    <w:rsid w:val="00BC3D36"/>
    <w:rsid w:val="00BD54A6"/>
    <w:rsid w:val="00BD7F72"/>
    <w:rsid w:val="00BE5627"/>
    <w:rsid w:val="00BF53B5"/>
    <w:rsid w:val="00BF6731"/>
    <w:rsid w:val="00BF7425"/>
    <w:rsid w:val="00C04FB3"/>
    <w:rsid w:val="00C057CE"/>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8013F"/>
    <w:rsid w:val="00DA231B"/>
    <w:rsid w:val="00DC39FC"/>
    <w:rsid w:val="00DE7DD8"/>
    <w:rsid w:val="00DF5254"/>
    <w:rsid w:val="00E02524"/>
    <w:rsid w:val="00E16408"/>
    <w:rsid w:val="00E20894"/>
    <w:rsid w:val="00E245AB"/>
    <w:rsid w:val="00E2764C"/>
    <w:rsid w:val="00E27F2E"/>
    <w:rsid w:val="00E50AFE"/>
    <w:rsid w:val="00E537B9"/>
    <w:rsid w:val="00E64BFB"/>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D6219"/>
    <w:rsid w:val="00FF1449"/>
    <w:rsid w:val="00FF7963"/>
    <w:rsid w:val="071B8F93"/>
    <w:rsid w:val="09908A09"/>
    <w:rsid w:val="0FB2E197"/>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D8013F"/>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kevin.herrera%40colombiacompra.gov.co%7C7cfff6dece924643582c08dd97bfed90%7C7b09041e245149d08cb179d5e3d8c1be%7C0%7C0%7C638833572792593175%7CUnknown%7CTWFpbGZsb3d8eyJFbXB0eU1hcGkiOnRydWUsIlYiOiIwLjAuMDAwMCIsIlAiOiJXaW4zMiIsIkFOIjoiTWFpbCIsIldUIjoyfQ%3D%3D%7C0%7C%7C%7C&amp;sdata=FIIjS2kKZlQ08v4XgTQUjZlWVw3z44%2FtOaHriVSZTqg%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normativa-y-relatoria/documentos-tip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purl.org/dc/elements/1.1/"/>
    <ds:schemaRef ds:uri="http://schemas.microsoft.com/office/2006/metadata/properties"/>
    <ds:schemaRef ds:uri="http://purl.org/dc/terms/"/>
    <ds:schemaRef ds:uri="http://schemas.openxmlformats.org/package/2006/metadata/core-properties"/>
    <ds:schemaRef ds:uri="http://purl.org/dc/dcmitype/"/>
    <ds:schemaRef ds:uri="http://schemas.microsoft.com/office/infopath/2007/PartnerControls"/>
    <ds:schemaRef ds:uri="http://schemas.microsoft.com/office/2006/documentManagement/types"/>
    <ds:schemaRef ds:uri="a6cb9e4b-f1d1-4245-83ec-6cad768d538a"/>
    <ds:schemaRef ds:uri="9d85dbaf-23eb-4e57-a637-93dcacc8b1a1"/>
    <ds:schemaRef ds:uri="http://www.w3.org/XML/1998/namespace"/>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65D0847E-BC11-43EC-8D94-AD0DB0A8B17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20</TotalTime>
  <Pages>18</Pages>
  <Words>6142</Words>
  <Characters>33967</Characters>
  <Application>Microsoft Office Word</Application>
  <DocSecurity>0</DocSecurity>
  <Lines>666</Lines>
  <Paragraphs>122</Paragraphs>
  <ScaleCrop>false</ScaleCrop>
  <Company/>
  <LinksUpToDate>false</LinksUpToDate>
  <CharactersWithSpaces>39987</CharactersWithSpaces>
  <SharedDoc>false</SharedDoc>
  <HLinks>
    <vt:vector size="18" baseType="variant">
      <vt:variant>
        <vt:i4>7733301</vt:i4>
      </vt:variant>
      <vt:variant>
        <vt:i4>6</vt:i4>
      </vt:variant>
      <vt:variant>
        <vt:i4>0</vt:i4>
      </vt:variant>
      <vt:variant>
        <vt:i4>5</vt:i4>
      </vt:variant>
      <vt:variant>
        <vt:lpwstr>https://nam02.safelinks.protection.outlook.com/?url=https%3A%2F%2Fwww.colombiacompra.gov.co%2Fwp-content%2Fuploads%2F2025%2F05%2FGUIA-DE-LINEAMIENTOS-DE-TRANSPARENCIA-Y-SELECCION-OBJETIVA-1.0.pdf&amp;data=05%7C02%7Ckevin.herrera%40colombiacompra.gov.co%7C7cfff6dece924643582c08dd97bfed90%7C7b09041e245149d08cb179d5e3d8c1be%7C0%7C0%7C638833572792593175%7CUnknown%7CTWFpbGZsb3d8eyJFbXB0eU1hcGkiOnRydWUsIlYiOiIwLjAuMDAwMCIsIlAiOiJXaW4zMiIsIkFOIjoiTWFpbCIsIldUIjoyfQ%3D%3D%7C0%7C%7C%7C&amp;sdata=FIIjS2kKZlQ08v4XgTQUjZlWVw3z44%2FtOaHriVSZTqg%3D&amp;reserved=0</vt:lpwstr>
      </vt:variant>
      <vt:variant>
        <vt:lpwstr/>
      </vt:variant>
      <vt:variant>
        <vt:i4>2162739</vt:i4>
      </vt:variant>
      <vt:variant>
        <vt:i4>3</vt:i4>
      </vt:variant>
      <vt:variant>
        <vt:i4>0</vt:i4>
      </vt:variant>
      <vt:variant>
        <vt:i4>5</vt:i4>
      </vt:variant>
      <vt:variant>
        <vt:lpwstr>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vt:lpwstr>
      </vt:variant>
      <vt:variant>
        <vt:lpwstr/>
      </vt:variant>
      <vt:variant>
        <vt:i4>3735661</vt:i4>
      </vt:variant>
      <vt:variant>
        <vt:i4>0</vt:i4>
      </vt:variant>
      <vt:variant>
        <vt:i4>0</vt:i4>
      </vt:variant>
      <vt:variant>
        <vt:i4>5</vt:i4>
      </vt:variant>
      <vt:variant>
        <vt:lpwstr>https://www.colombiacompra.gov.co/normativa-y-relatoria/documentos-tipo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2026-01-08T21:44:00Z</dcterms:created>
  <dcterms:modified xsi:type="dcterms:W3CDTF">2026-01-08T21:44:00Z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