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5D5A33" w14:textId="77777777" w:rsidR="00434F52" w:rsidRPr="00434F52" w:rsidRDefault="00434F52" w:rsidP="00434F52">
      <w:pPr>
        <w:snapToGrid w:val="0"/>
        <w:spacing w:after="0" w:line="240" w:lineRule="auto"/>
        <w:contextualSpacing/>
        <w:jc w:val="both"/>
        <w:rPr>
          <w:rFonts w:ascii="Verdana" w:eastAsia="Calibri" w:hAnsi="Verdana" w:cs="Arial"/>
          <w:b/>
          <w:bCs/>
          <w:lang w:val="es-ES" w:eastAsia="es-ES"/>
        </w:rPr>
      </w:pPr>
      <w:r w:rsidRPr="00434F52">
        <w:rPr>
          <w:rFonts w:ascii="Verdana" w:eastAsia="Calibri" w:hAnsi="Verdana" w:cs="Arial"/>
          <w:b/>
          <w:bCs/>
          <w:lang w:val="es-ES" w:eastAsia="es-ES"/>
        </w:rPr>
        <w:t>LEY DE GARANTÍAS ELECTORALES – Finalidad</w:t>
      </w:r>
    </w:p>
    <w:p w14:paraId="1044BFF9" w14:textId="77777777" w:rsidR="00434F52" w:rsidRDefault="00434F52" w:rsidP="00434F52">
      <w:pPr>
        <w:snapToGrid w:val="0"/>
        <w:contextualSpacing/>
        <w:jc w:val="both"/>
        <w:rPr>
          <w:rFonts w:ascii="Verdana" w:eastAsia="Times New Roman" w:hAnsi="Verdana" w:cs="Arial"/>
          <w:sz w:val="20"/>
          <w:szCs w:val="20"/>
          <w:lang w:val="es-ES" w:eastAsia="es-CO"/>
        </w:rPr>
      </w:pPr>
    </w:p>
    <w:p w14:paraId="50AFF685" w14:textId="459F6DD1" w:rsidR="00434F52" w:rsidRPr="00434F52" w:rsidRDefault="00434F52" w:rsidP="00434F52">
      <w:pPr>
        <w:snapToGrid w:val="0"/>
        <w:spacing w:after="0" w:line="240" w:lineRule="auto"/>
        <w:contextualSpacing/>
        <w:jc w:val="both"/>
        <w:rPr>
          <w:rFonts w:ascii="Verdana" w:eastAsia="Calibri" w:hAnsi="Verdana" w:cs="Arial"/>
          <w:sz w:val="20"/>
          <w:szCs w:val="20"/>
          <w:lang w:val="es-ES" w:eastAsia="es-ES"/>
        </w:rPr>
      </w:pPr>
      <w:r w:rsidRPr="00434F52">
        <w:rPr>
          <w:rFonts w:ascii="Verdana" w:eastAsia="Times New Roman" w:hAnsi="Verdana" w:cs="Arial"/>
          <w:sz w:val="20"/>
          <w:szCs w:val="20"/>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w:t>
      </w:r>
    </w:p>
    <w:p w14:paraId="4B5CF3C8" w14:textId="77777777" w:rsidR="00434F52" w:rsidRDefault="00434F52" w:rsidP="00434F52">
      <w:pPr>
        <w:snapToGrid w:val="0"/>
        <w:contextualSpacing/>
        <w:jc w:val="both"/>
        <w:rPr>
          <w:rFonts w:ascii="Verdana" w:eastAsia="Calibri" w:hAnsi="Verdana" w:cs="Arial"/>
          <w:sz w:val="20"/>
          <w:szCs w:val="20"/>
          <w:lang w:val="es-ES" w:eastAsia="es-ES"/>
        </w:rPr>
      </w:pPr>
    </w:p>
    <w:p w14:paraId="6418F339" w14:textId="1665683F" w:rsidR="00434F52" w:rsidRPr="00434F52" w:rsidRDefault="00434F52" w:rsidP="00434F52">
      <w:pPr>
        <w:snapToGrid w:val="0"/>
        <w:spacing w:after="0" w:line="240" w:lineRule="auto"/>
        <w:contextualSpacing/>
        <w:jc w:val="both"/>
        <w:rPr>
          <w:rFonts w:ascii="Verdana" w:eastAsia="Calibri" w:hAnsi="Verdana" w:cs="Arial"/>
          <w:b/>
          <w:bCs/>
          <w:sz w:val="20"/>
          <w:szCs w:val="20"/>
          <w:lang w:val="es-ES" w:eastAsia="es-ES"/>
        </w:rPr>
      </w:pPr>
      <w:r w:rsidRPr="00434F52">
        <w:rPr>
          <w:rFonts w:ascii="Verdana" w:eastAsia="Calibri" w:hAnsi="Verdana" w:cs="Arial"/>
          <w:b/>
          <w:bCs/>
          <w:lang w:val="es-ES" w:eastAsia="es-ES"/>
        </w:rPr>
        <w:t>LEY DE GARANTÍAS ELECTORALES ‒ Restricciones ‒ Contratación ‒ Tipos de elección</w:t>
      </w:r>
    </w:p>
    <w:p w14:paraId="6BE8BE11" w14:textId="77777777" w:rsidR="00434F52" w:rsidRDefault="00434F52" w:rsidP="00434F52">
      <w:pPr>
        <w:snapToGrid w:val="0"/>
        <w:spacing w:after="0" w:line="240" w:lineRule="auto"/>
        <w:contextualSpacing/>
        <w:jc w:val="both"/>
        <w:rPr>
          <w:rFonts w:ascii="Verdana" w:eastAsia="Calibri" w:hAnsi="Verdana" w:cs="Arial"/>
          <w:sz w:val="20"/>
          <w:szCs w:val="20"/>
          <w:lang w:val="es-ES"/>
        </w:rPr>
      </w:pPr>
    </w:p>
    <w:p w14:paraId="1DDBE0B5" w14:textId="2EB3943E" w:rsidR="00434F52" w:rsidRPr="00434F52" w:rsidRDefault="00434F52" w:rsidP="00434F52">
      <w:pPr>
        <w:snapToGrid w:val="0"/>
        <w:spacing w:after="0" w:line="240" w:lineRule="auto"/>
        <w:contextualSpacing/>
        <w:jc w:val="both"/>
        <w:rPr>
          <w:rFonts w:ascii="Verdana" w:eastAsia="Calibri" w:hAnsi="Verdana" w:cs="Arial"/>
          <w:sz w:val="20"/>
          <w:szCs w:val="20"/>
          <w:lang w:val="es-ES"/>
        </w:rPr>
      </w:pPr>
      <w:r w:rsidRPr="00434F52">
        <w:rPr>
          <w:rFonts w:ascii="Verdana" w:eastAsia="Calibri" w:hAnsi="Verdana" w:cs="Arial"/>
          <w:sz w:val="20"/>
          <w:szCs w:val="20"/>
          <w:lang w:val="es-ES"/>
        </w:rPr>
        <w:t xml:space="preserve">Por un lado, el </w:t>
      </w:r>
      <w:r w:rsidRPr="00434F52">
        <w:rPr>
          <w:rFonts w:ascii="Verdana" w:eastAsia="Calibri" w:hAnsi="Verdana" w:cs="Arial"/>
          <w:i/>
          <w:iCs/>
          <w:sz w:val="20"/>
          <w:szCs w:val="20"/>
          <w:lang w:val="es-ES"/>
        </w:rPr>
        <w:t xml:space="preserve">artículo 33 </w:t>
      </w:r>
      <w:r w:rsidRPr="00434F52">
        <w:rPr>
          <w:rFonts w:ascii="Verdana" w:eastAsia="Calibri" w:hAnsi="Verdana" w:cs="Arial"/>
          <w:sz w:val="20"/>
          <w:szCs w:val="20"/>
          <w:lang w:val="es-ES"/>
        </w:rPr>
        <w:t xml:space="preserve">de la Ley 996 de 2005 prohíbe “[…] la contratación directa por parte de </w:t>
      </w:r>
      <w:r w:rsidRPr="00434F52">
        <w:rPr>
          <w:rFonts w:ascii="Verdana" w:eastAsia="Calibri" w:hAnsi="Verdana" w:cs="Arial"/>
          <w:i/>
          <w:iCs/>
          <w:sz w:val="20"/>
          <w:szCs w:val="20"/>
          <w:lang w:val="es-ES"/>
        </w:rPr>
        <w:t>todos los entes del Estado</w:t>
      </w:r>
      <w:r w:rsidRPr="00434F52">
        <w:rPr>
          <w:rFonts w:ascii="Verdana" w:eastAsia="Calibri" w:hAnsi="Verdana" w:cs="Arial"/>
          <w:sz w:val="20"/>
          <w:szCs w:val="20"/>
          <w:lang w:val="es-ES"/>
        </w:rPr>
        <w:t xml:space="preserve">” durante los cuatro (4) meses anteriores a las </w:t>
      </w:r>
      <w:r w:rsidRPr="00434F52">
        <w:rPr>
          <w:rFonts w:ascii="Verdana" w:eastAsia="Calibri" w:hAnsi="Verdana" w:cs="Arial"/>
          <w:i/>
          <w:iCs/>
          <w:sz w:val="20"/>
          <w:szCs w:val="20"/>
          <w:lang w:val="es-ES"/>
        </w:rPr>
        <w:t>elecciones presidenciales</w:t>
      </w:r>
      <w:r w:rsidRPr="00434F52">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C9DFB3C" w14:textId="77777777" w:rsidR="00434F52" w:rsidRDefault="00434F52" w:rsidP="00434F52">
      <w:pPr>
        <w:widowControl w:val="0"/>
        <w:autoSpaceDE w:val="0"/>
        <w:autoSpaceDN w:val="0"/>
        <w:snapToGrid w:val="0"/>
        <w:spacing w:after="0" w:line="240" w:lineRule="auto"/>
        <w:ind w:right="113"/>
        <w:contextualSpacing/>
        <w:jc w:val="both"/>
        <w:rPr>
          <w:rFonts w:ascii="Verdana" w:eastAsia="Calibri" w:hAnsi="Verdana" w:cs="Arial"/>
          <w:sz w:val="20"/>
          <w:szCs w:val="20"/>
          <w:lang w:val="es-ES"/>
        </w:rPr>
      </w:pPr>
    </w:p>
    <w:p w14:paraId="1791D904" w14:textId="161B41AF" w:rsidR="00434F52" w:rsidRPr="00434F52" w:rsidRDefault="00434F52" w:rsidP="00434F52">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434F52">
        <w:rPr>
          <w:rFonts w:ascii="Verdana" w:eastAsia="Calibri" w:hAnsi="Verdana" w:cs="Arial"/>
          <w:sz w:val="20"/>
          <w:szCs w:val="20"/>
          <w:lang w:val="es-ES"/>
        </w:rPr>
        <w:t xml:space="preserve">Por otro lado, </w:t>
      </w:r>
      <w:r w:rsidRPr="00434F52">
        <w:rPr>
          <w:rFonts w:ascii="Verdana" w:eastAsia="Calibri" w:hAnsi="Verdana" w:cs="Arial"/>
          <w:i/>
          <w:iCs/>
          <w:sz w:val="20"/>
          <w:szCs w:val="20"/>
          <w:lang w:val="es-ES"/>
        </w:rPr>
        <w:t xml:space="preserve">el parágrafo del artículo 38 </w:t>
      </w:r>
      <w:r w:rsidRPr="00434F52">
        <w:rPr>
          <w:rFonts w:ascii="Verdana" w:eastAsia="Calibri" w:hAnsi="Verdana" w:cs="Arial"/>
          <w:sz w:val="20"/>
          <w:szCs w:val="20"/>
          <w:lang w:val="es-ES"/>
        </w:rPr>
        <w:t xml:space="preserve">de la Ley 996 de 2005 prevé una restricción aplicable respecto de </w:t>
      </w:r>
      <w:r w:rsidRPr="00434F52">
        <w:rPr>
          <w:rFonts w:ascii="Verdana" w:eastAsia="Calibri" w:hAnsi="Verdana" w:cs="Arial"/>
          <w:i/>
          <w:iCs/>
          <w:sz w:val="20"/>
          <w:szCs w:val="20"/>
          <w:lang w:val="es-ES"/>
        </w:rPr>
        <w:t>cualquier tipo de contienda electoral</w:t>
      </w:r>
      <w:r w:rsidRPr="00434F52">
        <w:rPr>
          <w:rFonts w:ascii="Verdana" w:eastAsia="Calibri" w:hAnsi="Verdana" w:cs="Arial"/>
          <w:sz w:val="20"/>
          <w:szCs w:val="20"/>
          <w:lang w:val="es-ES"/>
        </w:rPr>
        <w:t>, que prohíbe de manera expresa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4F52">
        <w:rPr>
          <w:rFonts w:ascii="Verdana" w:eastAsia="Arial" w:hAnsi="Verdana" w:cs="Arial"/>
          <w:sz w:val="20"/>
          <w:szCs w:val="20"/>
          <w:lang w:val="es-ES" w:eastAsia="es-ES" w:bidi="es-ES"/>
        </w:rPr>
        <w:t xml:space="preserve"> </w:t>
      </w:r>
    </w:p>
    <w:p w14:paraId="60861042" w14:textId="77777777" w:rsidR="00434F52" w:rsidRPr="00434F52" w:rsidRDefault="00434F52" w:rsidP="00434F52">
      <w:pPr>
        <w:snapToGrid w:val="0"/>
        <w:contextualSpacing/>
        <w:jc w:val="both"/>
        <w:rPr>
          <w:rFonts w:ascii="Verdana" w:eastAsia="Calibri" w:hAnsi="Verdana" w:cs="Arial"/>
          <w:b/>
          <w:bCs/>
          <w:lang w:val="es-ES" w:eastAsia="es-ES"/>
        </w:rPr>
      </w:pPr>
    </w:p>
    <w:p w14:paraId="0572D569" w14:textId="555CB484" w:rsidR="00434F52" w:rsidRPr="00434F52" w:rsidRDefault="00434F52" w:rsidP="00434F52">
      <w:pPr>
        <w:snapToGrid w:val="0"/>
        <w:spacing w:after="0" w:line="240" w:lineRule="auto"/>
        <w:contextualSpacing/>
        <w:jc w:val="both"/>
        <w:rPr>
          <w:rFonts w:ascii="Verdana" w:eastAsia="Calibri" w:hAnsi="Verdana" w:cs="Arial"/>
          <w:b/>
          <w:bCs/>
          <w:lang w:val="es-ES" w:eastAsia="es-ES"/>
        </w:rPr>
      </w:pPr>
      <w:r w:rsidRPr="00434F52">
        <w:rPr>
          <w:rFonts w:ascii="Verdana" w:eastAsia="Calibri" w:hAnsi="Verdana" w:cs="Arial"/>
          <w:b/>
          <w:bCs/>
          <w:lang w:val="es-ES" w:eastAsia="es-ES"/>
        </w:rPr>
        <w:t>LEY DE GARANTÍAS ELECTORALES ‒ Artículo 33 ‒ Ámbito material</w:t>
      </w:r>
    </w:p>
    <w:p w14:paraId="08E23652" w14:textId="77777777" w:rsidR="00434F52" w:rsidRDefault="00434F52" w:rsidP="00434F52">
      <w:pPr>
        <w:snapToGrid w:val="0"/>
        <w:spacing w:after="0" w:line="240" w:lineRule="auto"/>
        <w:contextualSpacing/>
        <w:jc w:val="both"/>
        <w:rPr>
          <w:rFonts w:ascii="Verdana" w:eastAsia="Times New Roman" w:hAnsi="Verdana" w:cs="Arial"/>
          <w:sz w:val="20"/>
          <w:szCs w:val="20"/>
          <w:lang w:val="es-ES" w:eastAsia="x-none"/>
        </w:rPr>
      </w:pPr>
    </w:p>
    <w:p w14:paraId="54D01C9F" w14:textId="63D2CB36" w:rsidR="00434F52" w:rsidRPr="00434F52" w:rsidRDefault="00434F52" w:rsidP="00434F52">
      <w:pPr>
        <w:snapToGrid w:val="0"/>
        <w:spacing w:after="0" w:line="240" w:lineRule="auto"/>
        <w:contextualSpacing/>
        <w:jc w:val="both"/>
        <w:rPr>
          <w:rFonts w:ascii="Verdana" w:eastAsia="Times New Roman" w:hAnsi="Verdana" w:cs="Arial"/>
          <w:bCs/>
          <w:sz w:val="20"/>
          <w:szCs w:val="20"/>
          <w:lang w:val="es-ES" w:eastAsia="x-none"/>
        </w:rPr>
      </w:pPr>
      <w:r w:rsidRPr="00434F52">
        <w:rPr>
          <w:rFonts w:ascii="Verdana" w:eastAsia="Times New Roman" w:hAnsi="Verdana" w:cs="Arial"/>
          <w:sz w:val="20"/>
          <w:szCs w:val="20"/>
          <w:lang w:val="es-ES" w:eastAsia="x-none"/>
        </w:rPr>
        <w:t xml:space="preserve">De acuerdo con este concepto, la prohibición del artículo 33 de la Ley de Garantías Electorales se refiere a </w:t>
      </w:r>
      <w:r w:rsidRPr="00434F52">
        <w:rPr>
          <w:rFonts w:ascii="Verdana" w:eastAsia="Times New Roman" w:hAnsi="Verdana" w:cs="Arial"/>
          <w:sz w:val="20"/>
          <w:szCs w:val="20"/>
          <w:lang w:val="es-ES" w:eastAsia="en-GB"/>
        </w:rPr>
        <w:t>“</w:t>
      </w:r>
      <w:r w:rsidRPr="00434F52">
        <w:rPr>
          <w:rFonts w:ascii="Verdana" w:eastAsia="Times New Roman" w:hAnsi="Verdana" w:cs="Arial"/>
          <w:i/>
          <w:iCs/>
          <w:sz w:val="20"/>
          <w:szCs w:val="20"/>
          <w:lang w:val="es-ES" w:eastAsia="x-none"/>
        </w:rPr>
        <w:t>cualquier</w:t>
      </w:r>
      <w:r w:rsidRPr="00434F52">
        <w:rPr>
          <w:rFonts w:ascii="Verdana" w:eastAsia="Times New Roman" w:hAnsi="Verdana" w:cs="Arial"/>
          <w:sz w:val="20"/>
          <w:szCs w:val="20"/>
          <w:lang w:val="es-ES" w:eastAsia="x-none"/>
        </w:rPr>
        <w:t xml:space="preserve"> sistema que no implique convocatoria pública y posibilidad de pluralidad de oferentes</w:t>
      </w:r>
      <w:r w:rsidRPr="00434F52">
        <w:rPr>
          <w:rFonts w:ascii="Verdana" w:eastAsia="Times New Roman" w:hAnsi="Verdana" w:cs="Arial"/>
          <w:sz w:val="20"/>
          <w:szCs w:val="20"/>
          <w:lang w:val="es-ES" w:eastAsia="en-GB"/>
        </w:rPr>
        <w:t>”</w:t>
      </w:r>
      <w:r w:rsidRPr="00434F52">
        <w:rPr>
          <w:rFonts w:ascii="Verdana" w:eastAsia="Times New Roman" w:hAnsi="Verdana" w:cs="Arial"/>
          <w:sz w:val="20"/>
          <w:szCs w:val="20"/>
          <w:lang w:val="es-ES" w:eastAsia="x-none"/>
        </w:rPr>
        <w:t xml:space="preserve">, por lo que excluye las demás modalidades de contratación previstas en la Ley 1150 de 2007, es decir, la licitación pública, la selección abreviada, el concurso de méritos </w:t>
      </w:r>
      <w:r w:rsidRPr="00434F52">
        <w:rPr>
          <w:rFonts w:ascii="Verdana" w:eastAsia="Times New Roman" w:hAnsi="Verdana" w:cs="Arial"/>
          <w:sz w:val="20"/>
          <w:szCs w:val="20"/>
          <w:lang w:val="es-ES"/>
        </w:rPr>
        <w:t>y la mínima cuantía</w:t>
      </w:r>
      <w:r w:rsidRPr="00434F52" w:rsidDel="00A85D9F">
        <w:rPr>
          <w:rFonts w:ascii="Verdana" w:eastAsia="Times New Roman" w:hAnsi="Verdana" w:cs="Arial"/>
          <w:sz w:val="20"/>
          <w:szCs w:val="20"/>
          <w:lang w:val="es-ES" w:eastAsia="x-none"/>
        </w:rPr>
        <w:t xml:space="preserve"> </w:t>
      </w:r>
      <w:r w:rsidRPr="00434F52">
        <w:rPr>
          <w:rFonts w:ascii="Verdana" w:eastAsia="Times New Roman" w:hAnsi="Verdana" w:cs="Arial"/>
          <w:sz w:val="20"/>
          <w:szCs w:val="20"/>
          <w:lang w:val="es-ES"/>
        </w:rPr>
        <w:t xml:space="preserve">u otros previstos en normas especiales. </w:t>
      </w:r>
      <w:r w:rsidRPr="00434F52">
        <w:rPr>
          <w:rFonts w:ascii="Verdana" w:eastAsia="Times New Roman" w:hAnsi="Verdana" w:cs="Arial"/>
          <w:sz w:val="20"/>
          <w:szCs w:val="20"/>
          <w:lang w:val="es-ES" w:eastAsia="x-none"/>
        </w:rPr>
        <w:t xml:space="preserve">Esta posición es congruente con la expedición de la Ley 1150 de 2007 que, entre otras reformas, introdujo la selección abreviada, rediseñó el concurso de méritos y sistematizó las causales de contratación directa, </w:t>
      </w:r>
      <w:r w:rsidRPr="00434F52">
        <w:rPr>
          <w:rFonts w:ascii="Verdana" w:eastAsia="Calibri" w:hAnsi="Verdana" w:cs="Arial"/>
          <w:sz w:val="20"/>
          <w:szCs w:val="20"/>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34EBCACE" w14:textId="77777777" w:rsidR="00434F52" w:rsidRPr="00434F52" w:rsidRDefault="00434F52" w:rsidP="00434F52">
      <w:pPr>
        <w:snapToGrid w:val="0"/>
        <w:spacing w:after="0" w:line="240" w:lineRule="auto"/>
        <w:contextualSpacing/>
        <w:jc w:val="both"/>
        <w:rPr>
          <w:rFonts w:ascii="Verdana" w:eastAsia="Calibri" w:hAnsi="Verdana" w:cs="Arial"/>
          <w:sz w:val="20"/>
          <w:szCs w:val="20"/>
          <w:lang w:val="es-ES" w:eastAsia="es-ES"/>
        </w:rPr>
      </w:pPr>
    </w:p>
    <w:p w14:paraId="4151D2E1" w14:textId="2D8F2DAF" w:rsidR="00434F52" w:rsidRPr="00434F52" w:rsidRDefault="00434F52" w:rsidP="00434F52">
      <w:pPr>
        <w:snapToGrid w:val="0"/>
        <w:contextualSpacing/>
        <w:jc w:val="both"/>
        <w:rPr>
          <w:rFonts w:ascii="Verdana" w:eastAsia="Calibri" w:hAnsi="Verdana" w:cs="Arial"/>
          <w:b/>
          <w:bCs/>
          <w:lang w:val="es-ES" w:eastAsia="es-ES"/>
        </w:rPr>
      </w:pPr>
      <w:r w:rsidRPr="00434F52">
        <w:rPr>
          <w:rFonts w:ascii="Verdana" w:eastAsia="Calibri" w:hAnsi="Verdana" w:cs="Arial"/>
          <w:b/>
          <w:bCs/>
          <w:lang w:val="es-ES" w:eastAsia="es-ES"/>
        </w:rPr>
        <w:lastRenderedPageBreak/>
        <w:t>LEY DE GARANTÍAS ELECTORALES ‒ Artículo 38 ‒ Contratos interadministrativos ‒ No aplica</w:t>
      </w:r>
    </w:p>
    <w:p w14:paraId="50318249" w14:textId="77777777" w:rsidR="00434F52" w:rsidRPr="00434F52" w:rsidRDefault="00434F52" w:rsidP="00434F52">
      <w:pPr>
        <w:snapToGrid w:val="0"/>
        <w:spacing w:after="0" w:line="240" w:lineRule="auto"/>
        <w:contextualSpacing/>
        <w:jc w:val="both"/>
        <w:rPr>
          <w:rFonts w:ascii="Verdana" w:eastAsia="Calibri" w:hAnsi="Verdana" w:cs="Arial"/>
          <w:sz w:val="20"/>
          <w:szCs w:val="20"/>
          <w:lang w:val="es-ES" w:eastAsia="es-ES"/>
        </w:rPr>
      </w:pPr>
    </w:p>
    <w:p w14:paraId="73152FC7" w14:textId="5CA5393E" w:rsidR="00434F52" w:rsidRPr="00434F52" w:rsidRDefault="00434F52" w:rsidP="00434F52">
      <w:pPr>
        <w:snapToGrid w:val="0"/>
        <w:spacing w:after="0" w:line="240" w:lineRule="auto"/>
        <w:contextualSpacing/>
        <w:jc w:val="both"/>
        <w:rPr>
          <w:rFonts w:ascii="Verdana" w:eastAsia="Times New Roman" w:hAnsi="Verdana" w:cs="Times New Roman"/>
          <w:sz w:val="20"/>
          <w:szCs w:val="20"/>
          <w:lang w:eastAsia="es-ES"/>
        </w:rPr>
      </w:pPr>
      <w:r>
        <w:rPr>
          <w:rFonts w:ascii="Verdana" w:eastAsia="Arial" w:hAnsi="Verdana" w:cs="Arial"/>
          <w:sz w:val="20"/>
          <w:szCs w:val="20"/>
          <w:lang w:eastAsia="es-ES" w:bidi="es-ES"/>
        </w:rPr>
        <w:t xml:space="preserve">[…] </w:t>
      </w:r>
      <w:r w:rsidRPr="00434F52">
        <w:rPr>
          <w:rFonts w:ascii="Verdana" w:eastAsia="Arial" w:hAnsi="Verdana" w:cs="Arial"/>
          <w:sz w:val="20"/>
          <w:szCs w:val="20"/>
          <w:lang w:eastAsia="es-ES" w:bidi="es-ES"/>
        </w:rPr>
        <w:t xml:space="preserve">la Sala de lo Contencioso Administrativo del Consejo de Estado emitió sentencia el 17 de octubre de 2025 dentro del expediente </w:t>
      </w:r>
      <w:r w:rsidRPr="00434F52">
        <w:rPr>
          <w:rFonts w:ascii="Verdana" w:eastAsia="Times New Roman" w:hAnsi="Verdana" w:cs="Times New Roman"/>
          <w:sz w:val="20"/>
          <w:szCs w:val="20"/>
          <w:lang w:eastAsia="es-ES"/>
        </w:rPr>
        <w:t xml:space="preserve">11001-03-26-000-2023-00139-00, mediante la cual declaró la nulidad parcial del numeral 16.2 de la Circular Externa Única de 2022 expedida por la Agencia Nacional de Contratación Pública - Colombia Compra Eficiente que indicaba que la restricción del parágrafo 38 de la Ley de Garantías Electorales “es aplicable tanto a los convenios como a los contratos interadministrativos […]”. </w:t>
      </w:r>
    </w:p>
    <w:p w14:paraId="0AB7CC8E" w14:textId="77777777" w:rsidR="00434F52" w:rsidRDefault="00434F52" w:rsidP="00434F52">
      <w:pPr>
        <w:snapToGrid w:val="0"/>
        <w:contextualSpacing/>
        <w:jc w:val="both"/>
        <w:rPr>
          <w:rFonts w:ascii="Verdana" w:eastAsia="Times New Roman" w:hAnsi="Verdana" w:cs="Times New Roman"/>
          <w:sz w:val="20"/>
          <w:szCs w:val="20"/>
          <w:lang w:eastAsia="es-ES"/>
        </w:rPr>
      </w:pPr>
    </w:p>
    <w:p w14:paraId="0ED6EB31" w14:textId="5F098172" w:rsidR="00434F52" w:rsidRPr="00434F52" w:rsidRDefault="00434F52" w:rsidP="00434F52">
      <w:pPr>
        <w:snapToGrid w:val="0"/>
        <w:spacing w:after="0" w:line="240" w:lineRule="auto"/>
        <w:contextualSpacing/>
        <w:jc w:val="both"/>
        <w:rPr>
          <w:rFonts w:ascii="Verdana" w:eastAsia="Times New Roman" w:hAnsi="Verdana" w:cs="Times New Roman"/>
          <w:sz w:val="20"/>
          <w:szCs w:val="20"/>
          <w:lang w:eastAsia="es-ES"/>
        </w:rPr>
      </w:pPr>
      <w:r w:rsidRPr="00434F52">
        <w:rPr>
          <w:rFonts w:ascii="Verdana" w:eastAsia="Times New Roman" w:hAnsi="Verdana" w:cs="Times New Roman"/>
          <w:sz w:val="20"/>
          <w:szCs w:val="20"/>
          <w:lang w:eastAsia="es-ES"/>
        </w:rPr>
        <w:t xml:space="preserve">En la anterior decisión, el Consejo de Estado consideró que la Agencia excedió su competencia material al incluir los contratos interadministrativos en una restricción que la Ley de Garantías Electorales solo previó para los convenios interadministrativos,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54889079" w14:textId="77777777" w:rsidR="00434F52" w:rsidRDefault="00434F52" w:rsidP="00434F52">
      <w:pPr>
        <w:snapToGrid w:val="0"/>
        <w:contextualSpacing/>
        <w:jc w:val="both"/>
        <w:rPr>
          <w:rFonts w:ascii="Verdana" w:eastAsia="Times New Roman" w:hAnsi="Verdana" w:cs="Arial"/>
          <w:sz w:val="20"/>
          <w:szCs w:val="20"/>
          <w:lang w:eastAsia="es-CO"/>
        </w:rPr>
      </w:pPr>
    </w:p>
    <w:p w14:paraId="074B6959" w14:textId="4DC0D81A" w:rsidR="00434F52" w:rsidRDefault="00434F52" w:rsidP="00434F52">
      <w:pPr>
        <w:snapToGrid w:val="0"/>
        <w:contextualSpacing/>
        <w:jc w:val="both"/>
        <w:rPr>
          <w:rFonts w:ascii="Verdana" w:eastAsia="Times New Roman" w:hAnsi="Verdana" w:cs="Arial"/>
          <w:color w:val="000000" w:themeColor="text1"/>
          <w:sz w:val="20"/>
          <w:szCs w:val="20"/>
          <w:lang w:val="es-ES" w:eastAsia="es-ES"/>
        </w:rPr>
      </w:pPr>
      <w:r w:rsidRPr="00434F52">
        <w:rPr>
          <w:rFonts w:ascii="Verdana" w:eastAsia="Times New Roman" w:hAnsi="Verdana" w:cs="Arial"/>
          <w:sz w:val="20"/>
          <w:szCs w:val="20"/>
          <w:lang w:eastAsia="es-CO"/>
        </w:rPr>
        <w:t xml:space="preserve">En consecuencia, a la luz de lo expuesto por el Consejo de Estado en la sentencia expedida el 17 de octubre de 2025 por la Sección Tercera de la Sala de lo Contencioso Administrativo, la prohibición del parágrafo del artículo 38 de la Ley de Garantías Electorales no es aplicable a los </w:t>
      </w:r>
      <w:r w:rsidRPr="00434F52">
        <w:rPr>
          <w:rFonts w:ascii="Verdana" w:eastAsia="Times New Roman" w:hAnsi="Verdana" w:cs="Arial"/>
          <w:i/>
          <w:iCs/>
          <w:sz w:val="20"/>
          <w:szCs w:val="20"/>
          <w:lang w:eastAsia="es-CO"/>
        </w:rPr>
        <w:t>contratos interadministrativos</w:t>
      </w:r>
      <w:r w:rsidRPr="00434F52">
        <w:rPr>
          <w:rFonts w:ascii="Verdana" w:eastAsia="Times New Roman" w:hAnsi="Verdana" w:cs="Arial"/>
          <w:sz w:val="20"/>
          <w:szCs w:val="20"/>
          <w:lang w:eastAsia="es-CO"/>
        </w:rPr>
        <w:t xml:space="preserve">, esta prohibición solo aplica a los </w:t>
      </w:r>
      <w:r w:rsidRPr="00434F52">
        <w:rPr>
          <w:rFonts w:ascii="Verdana" w:eastAsia="Times New Roman" w:hAnsi="Verdana" w:cs="Arial"/>
          <w:i/>
          <w:iCs/>
          <w:sz w:val="20"/>
          <w:szCs w:val="20"/>
          <w:lang w:eastAsia="es-CO"/>
        </w:rPr>
        <w:t>convenios interadministrativos</w:t>
      </w:r>
      <w:r w:rsidRPr="00434F52">
        <w:rPr>
          <w:rFonts w:ascii="Verdana" w:eastAsia="Times New Roman" w:hAnsi="Verdana" w:cs="Arial"/>
          <w:sz w:val="20"/>
          <w:szCs w:val="20"/>
          <w:lang w:eastAsia="es-CO"/>
        </w:rPr>
        <w:t xml:space="preserve"> que impliquen la ejecución de recursos públicos. En cualquier caso, esta Agencia </w:t>
      </w:r>
      <w:r w:rsidRPr="00434F52">
        <w:rPr>
          <w:rFonts w:ascii="Verdana" w:eastAsia="Times New Roman" w:hAnsi="Verdana" w:cs="Arial"/>
          <w:i/>
          <w:iCs/>
          <w:sz w:val="20"/>
          <w:szCs w:val="20"/>
          <w:lang w:eastAsia="es-CO"/>
        </w:rPr>
        <w:t>recomienda</w:t>
      </w:r>
      <w:r w:rsidRPr="00434F52">
        <w:rPr>
          <w:rFonts w:ascii="Verdana" w:eastAsia="Times New Roman" w:hAnsi="Verdana" w:cs="Arial"/>
          <w:sz w:val="20"/>
          <w:szCs w:val="20"/>
          <w:lang w:eastAsia="es-CO"/>
        </w:rPr>
        <w:t xml:space="preserve"> a las entidades señaladas en la norma abstenerse de celebrar tanto convenios como contratos interadministrativos durante el periodo pre-electoral con el fin de salvaguardar los principios de la contratación estatal y el adecuado uso de los recursos públicos. D</w:t>
      </w:r>
      <w:r w:rsidRPr="00434F52">
        <w:rPr>
          <w:rFonts w:ascii="Verdana" w:eastAsia="Times New Roman" w:hAnsi="Verdana" w:cs="Arial"/>
          <w:color w:val="000000" w:themeColor="text1"/>
          <w:sz w:val="20"/>
          <w:szCs w:val="20"/>
          <w:lang w:val="es-ES" w:eastAsia="es-ES"/>
        </w:rPr>
        <w:t>entro de este marco, la entidad contratante definirá en cada caso concreto lo relacionado con el tema objeto de consulta.</w:t>
      </w:r>
    </w:p>
    <w:p w14:paraId="06762D2A" w14:textId="77777777" w:rsidR="00434F52" w:rsidRDefault="00434F52" w:rsidP="00434F52">
      <w:pPr>
        <w:snapToGrid w:val="0"/>
        <w:contextualSpacing/>
        <w:jc w:val="both"/>
        <w:rPr>
          <w:rFonts w:ascii="Verdana" w:eastAsia="Times New Roman" w:hAnsi="Verdana" w:cs="Arial"/>
          <w:color w:val="000000" w:themeColor="text1"/>
          <w:sz w:val="20"/>
          <w:szCs w:val="20"/>
          <w:lang w:val="es-ES" w:eastAsia="es-ES"/>
        </w:rPr>
      </w:pPr>
    </w:p>
    <w:p w14:paraId="27F396E7" w14:textId="77777777" w:rsidR="00434F52" w:rsidRDefault="00434F52" w:rsidP="00434F52">
      <w:pPr>
        <w:snapToGrid w:val="0"/>
        <w:contextualSpacing/>
        <w:jc w:val="both"/>
        <w:rPr>
          <w:rFonts w:ascii="Verdana" w:eastAsia="Times New Roman" w:hAnsi="Verdana" w:cs="Arial"/>
          <w:color w:val="000000" w:themeColor="text1"/>
          <w:sz w:val="20"/>
          <w:szCs w:val="20"/>
          <w:lang w:val="es-ES" w:eastAsia="es-ES"/>
        </w:rPr>
      </w:pPr>
    </w:p>
    <w:p w14:paraId="76BCF506" w14:textId="77777777" w:rsidR="00434F52" w:rsidRDefault="00434F52" w:rsidP="00434F52">
      <w:pPr>
        <w:snapToGrid w:val="0"/>
        <w:contextualSpacing/>
        <w:jc w:val="both"/>
        <w:rPr>
          <w:rFonts w:ascii="Verdana" w:eastAsia="Times New Roman" w:hAnsi="Verdana" w:cs="Arial"/>
          <w:color w:val="000000" w:themeColor="text1"/>
          <w:sz w:val="20"/>
          <w:szCs w:val="20"/>
          <w:lang w:val="es-ES" w:eastAsia="es-ES"/>
        </w:rPr>
      </w:pPr>
    </w:p>
    <w:p w14:paraId="69C5A0B8" w14:textId="77777777" w:rsidR="00434F52" w:rsidRDefault="00434F52" w:rsidP="00434F52">
      <w:pPr>
        <w:snapToGrid w:val="0"/>
        <w:contextualSpacing/>
        <w:jc w:val="both"/>
        <w:rPr>
          <w:rFonts w:ascii="Verdana" w:eastAsia="Times New Roman" w:hAnsi="Verdana" w:cs="Arial"/>
          <w:color w:val="000000" w:themeColor="text1"/>
          <w:sz w:val="20"/>
          <w:szCs w:val="20"/>
          <w:lang w:val="es-ES" w:eastAsia="es-ES"/>
        </w:rPr>
      </w:pPr>
    </w:p>
    <w:p w14:paraId="4FFA3B46" w14:textId="77777777" w:rsidR="00434F52" w:rsidRPr="00434F52" w:rsidRDefault="00434F52" w:rsidP="00434F52">
      <w:pPr>
        <w:snapToGrid w:val="0"/>
        <w:spacing w:after="0" w:line="240" w:lineRule="auto"/>
        <w:contextualSpacing/>
        <w:jc w:val="both"/>
        <w:rPr>
          <w:rFonts w:ascii="Verdana" w:eastAsia="Calibri" w:hAnsi="Verdana" w:cs="Arial"/>
          <w:sz w:val="20"/>
          <w:szCs w:val="20"/>
          <w:lang w:val="es-ES" w:eastAsia="es-ES"/>
        </w:rPr>
      </w:pPr>
    </w:p>
    <w:p w14:paraId="4D7FF7CA" w14:textId="77777777" w:rsidR="00434F52" w:rsidRDefault="00434F52" w:rsidP="001B091E">
      <w:pPr>
        <w:spacing w:after="0"/>
        <w:rPr>
          <w:rFonts w:ascii="Verdana" w:hAnsi="Verdana"/>
          <w:lang w:val="es-ES"/>
        </w:rPr>
      </w:pPr>
    </w:p>
    <w:p w14:paraId="00829C08" w14:textId="77777777" w:rsidR="00434F52" w:rsidRDefault="00434F52" w:rsidP="001B091E">
      <w:pPr>
        <w:spacing w:after="0"/>
        <w:rPr>
          <w:rFonts w:ascii="Verdana" w:hAnsi="Verdana"/>
          <w:lang w:val="es-ES"/>
        </w:rPr>
      </w:pPr>
    </w:p>
    <w:p w14:paraId="372709B9" w14:textId="77777777" w:rsidR="00434F52" w:rsidRDefault="00434F52" w:rsidP="001B091E">
      <w:pPr>
        <w:spacing w:after="0"/>
        <w:rPr>
          <w:rFonts w:ascii="Verdana" w:hAnsi="Verdana"/>
          <w:lang w:val="es-ES"/>
        </w:rPr>
      </w:pPr>
    </w:p>
    <w:p w14:paraId="54E7A622" w14:textId="77777777" w:rsidR="00434F52" w:rsidRDefault="00434F52" w:rsidP="001B091E">
      <w:pPr>
        <w:spacing w:after="0"/>
        <w:rPr>
          <w:rFonts w:ascii="Verdana" w:hAnsi="Verdana"/>
          <w:lang w:val="es-ES"/>
        </w:rPr>
      </w:pPr>
    </w:p>
    <w:p w14:paraId="00763DA4" w14:textId="6FACD802" w:rsidR="001B091E" w:rsidRPr="00FC6F34" w:rsidRDefault="001B091E" w:rsidP="001B091E">
      <w:pPr>
        <w:spacing w:after="0"/>
        <w:rPr>
          <w:rFonts w:ascii="Verdana" w:hAnsi="Verdana"/>
          <w:lang w:val="es-ES"/>
        </w:rPr>
      </w:pPr>
      <w:r w:rsidRPr="0017378C">
        <w:rPr>
          <w:rFonts w:ascii="Verdana" w:hAnsi="Verdana"/>
          <w:lang w:val="es-ES"/>
        </w:rPr>
        <w:lastRenderedPageBreak/>
        <w:t xml:space="preserve">Bogotá D.C., </w:t>
      </w:r>
      <w:r w:rsidR="00434F52">
        <w:rPr>
          <w:rFonts w:ascii="Verdana" w:hAnsi="Verdana"/>
          <w:lang w:val="es-ES"/>
        </w:rPr>
        <w:t>23 de Diciembre de 2025</w:t>
      </w:r>
      <w:r w:rsidRPr="00FC6F34">
        <w:rPr>
          <w:rFonts w:ascii="Verdana" w:hAnsi="Verdana"/>
          <w:lang w:val="es-ES"/>
        </w:rPr>
        <w:tab/>
      </w:r>
    </w:p>
    <w:p w14:paraId="5327614B" w14:textId="54DB3C6A" w:rsidR="001B091E" w:rsidRPr="00FC6F34" w:rsidRDefault="00434F52" w:rsidP="001B091E">
      <w:pPr>
        <w:spacing w:after="0"/>
        <w:rPr>
          <w:rFonts w:ascii="Verdana" w:hAnsi="Verdana"/>
          <w:lang w:val="es-ES"/>
        </w:rPr>
      </w:pPr>
      <w:r>
        <w:rPr>
          <w:rFonts w:ascii="Verdana" w:eastAsia="Calibri" w:hAnsi="Verdana" w:cs="Arial"/>
          <w:noProof/>
          <w:color w:val="000000" w:themeColor="text1"/>
          <w:lang w:eastAsia="es-ES"/>
        </w:rPr>
        <w:drawing>
          <wp:anchor distT="0" distB="0" distL="114300" distR="114300" simplePos="0" relativeHeight="251660288" behindDoc="0" locked="0" layoutInCell="1" allowOverlap="1" wp14:anchorId="3B577989" wp14:editId="55DD4549">
            <wp:simplePos x="0" y="0"/>
            <wp:positionH relativeFrom="column">
              <wp:posOffset>3019405</wp:posOffset>
            </wp:positionH>
            <wp:positionV relativeFrom="page">
              <wp:posOffset>1776730</wp:posOffset>
            </wp:positionV>
            <wp:extent cx="1741805" cy="537210"/>
            <wp:effectExtent l="0" t="0" r="0" b="0"/>
            <wp:wrapSquare wrapText="bothSides"/>
            <wp:docPr id="10693304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330449" name="Picture 1069330449"/>
                    <pic:cNvPicPr/>
                  </pic:nvPicPr>
                  <pic:blipFill>
                    <a:blip r:embed="rId10">
                      <a:extLst>
                        <a:ext uri="{28A0092B-C50C-407E-A947-70E740481C1C}">
                          <a14:useLocalDpi xmlns:a14="http://schemas.microsoft.com/office/drawing/2010/main" val="0"/>
                        </a:ext>
                      </a:extLst>
                    </a:blip>
                    <a:stretch>
                      <a:fillRect/>
                    </a:stretch>
                  </pic:blipFill>
                  <pic:spPr>
                    <a:xfrm>
                      <a:off x="0" y="0"/>
                      <a:ext cx="1741805" cy="537210"/>
                    </a:xfrm>
                    <a:prstGeom prst="rect">
                      <a:avLst/>
                    </a:prstGeom>
                  </pic:spPr>
                </pic:pic>
              </a:graphicData>
            </a:graphic>
            <wp14:sizeRelH relativeFrom="page">
              <wp14:pctWidth>0</wp14:pctWidth>
            </wp14:sizeRelH>
            <wp14:sizeRelV relativeFrom="page">
              <wp14:pctHeight>0</wp14:pctHeight>
            </wp14:sizeRelV>
          </wp:anchor>
        </w:drawing>
      </w:r>
      <w:r>
        <w:rPr>
          <w:rFonts w:ascii="Verdana" w:eastAsia="Calibri" w:hAnsi="Verdana" w:cs="Arial"/>
          <w:noProof/>
          <w:lang w:val="es-ES" w:eastAsia="es-ES"/>
        </w:rPr>
        <w:drawing>
          <wp:anchor distT="0" distB="0" distL="114300" distR="114300" simplePos="0" relativeHeight="251662336" behindDoc="0" locked="0" layoutInCell="1" allowOverlap="1" wp14:anchorId="682A62FC" wp14:editId="3D3340E9">
            <wp:simplePos x="0" y="0"/>
            <wp:positionH relativeFrom="column">
              <wp:posOffset>4806397</wp:posOffset>
            </wp:positionH>
            <wp:positionV relativeFrom="page">
              <wp:posOffset>1775460</wp:posOffset>
            </wp:positionV>
            <wp:extent cx="1782445" cy="537210"/>
            <wp:effectExtent l="0" t="0" r="0" b="0"/>
            <wp:wrapSquare wrapText="bothSides"/>
            <wp:docPr id="1568677382" name="Picture 3" descr="A close 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677382" name="Picture 3" descr="A close up of a car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782445" cy="537210"/>
                    </a:xfrm>
                    <a:prstGeom prst="rect">
                      <a:avLst/>
                    </a:prstGeom>
                  </pic:spPr>
                </pic:pic>
              </a:graphicData>
            </a:graphic>
            <wp14:sizeRelH relativeFrom="page">
              <wp14:pctWidth>0</wp14:pctWidth>
            </wp14:sizeRelH>
            <wp14:sizeRelV relativeFrom="page">
              <wp14:pctHeight>0</wp14:pctHeight>
            </wp14:sizeRelV>
          </wp:anchor>
        </w:drawing>
      </w:r>
    </w:p>
    <w:p w14:paraId="28CC543D" w14:textId="593B937B" w:rsidR="001B091E" w:rsidRDefault="001B091E" w:rsidP="001B091E">
      <w:pPr>
        <w:spacing w:after="0" w:line="240" w:lineRule="auto"/>
        <w:rPr>
          <w:rFonts w:ascii="Verdana" w:eastAsia="Calibri" w:hAnsi="Verdana" w:cs="Arial"/>
          <w:color w:val="000000" w:themeColor="text1"/>
          <w:lang w:val="es-ES" w:eastAsia="es-ES"/>
        </w:rPr>
      </w:pPr>
      <w:bookmarkStart w:id="0" w:name="_Hlk143780582"/>
      <w:r w:rsidRPr="00FC6F34">
        <w:rPr>
          <w:rFonts w:ascii="Verdana" w:eastAsia="Calibri" w:hAnsi="Verdana" w:cs="Arial"/>
          <w:color w:val="000000" w:themeColor="text1"/>
          <w:lang w:val="es-ES" w:eastAsia="es-ES"/>
        </w:rPr>
        <w:t>Señor</w:t>
      </w:r>
    </w:p>
    <w:p w14:paraId="41C86CDF" w14:textId="1383A152" w:rsidR="001B091E" w:rsidRDefault="001B091E" w:rsidP="001B091E">
      <w:pPr>
        <w:spacing w:after="0" w:line="240" w:lineRule="auto"/>
        <w:rPr>
          <w:rFonts w:ascii="Verdana" w:hAnsi="Verdana"/>
          <w:b/>
        </w:rPr>
      </w:pPr>
      <w:r>
        <w:rPr>
          <w:rFonts w:ascii="Verdana" w:hAnsi="Verdana"/>
          <w:b/>
        </w:rPr>
        <w:t>Mauricio García Zamora</w:t>
      </w:r>
    </w:p>
    <w:p w14:paraId="41057024" w14:textId="3D9925E2" w:rsidR="001B091E" w:rsidRPr="0063700D" w:rsidRDefault="00434F52" w:rsidP="001B091E">
      <w:pPr>
        <w:spacing w:after="0" w:line="240" w:lineRule="auto"/>
        <w:rPr>
          <w:rFonts w:ascii="Verdana" w:hAnsi="Verdana"/>
        </w:rPr>
      </w:pPr>
      <w:r>
        <w:rPr>
          <w:rFonts w:ascii="Verdana" w:eastAsia="Calibri" w:hAnsi="Verdana" w:cs="Arial"/>
          <w:b/>
          <w:bCs/>
          <w:noProof/>
          <w:color w:val="000000" w:themeColor="text1"/>
          <w:lang w:val="es-ES" w:eastAsia="es-ES"/>
        </w:rPr>
        <w:drawing>
          <wp:anchor distT="0" distB="0" distL="114300" distR="114300" simplePos="0" relativeHeight="251661312" behindDoc="0" locked="0" layoutInCell="1" allowOverlap="1" wp14:anchorId="4D5FE6D0" wp14:editId="24B7E0AE">
            <wp:simplePos x="0" y="0"/>
            <wp:positionH relativeFrom="column">
              <wp:posOffset>3012624</wp:posOffset>
            </wp:positionH>
            <wp:positionV relativeFrom="page">
              <wp:posOffset>2313940</wp:posOffset>
            </wp:positionV>
            <wp:extent cx="1791335" cy="549275"/>
            <wp:effectExtent l="0" t="0" r="0" b="0"/>
            <wp:wrapSquare wrapText="bothSides"/>
            <wp:docPr id="1774252826" name="Picture 2" descr="A close-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252826" name="Picture 2" descr="A close-up of a card&#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791335" cy="549275"/>
                    </a:xfrm>
                    <a:prstGeom prst="rect">
                      <a:avLst/>
                    </a:prstGeom>
                  </pic:spPr>
                </pic:pic>
              </a:graphicData>
            </a:graphic>
            <wp14:sizeRelH relativeFrom="page">
              <wp14:pctWidth>0</wp14:pctWidth>
            </wp14:sizeRelH>
            <wp14:sizeRelV relativeFrom="page">
              <wp14:pctHeight>0</wp14:pctHeight>
            </wp14:sizeRelV>
          </wp:anchor>
        </w:drawing>
      </w:r>
      <w:r w:rsidR="001B091E" w:rsidRPr="0063700D">
        <w:rPr>
          <w:rFonts w:ascii="Verdana" w:hAnsi="Verdana"/>
        </w:rPr>
        <w:t xml:space="preserve">mauricio.garcia@culturantioquia.gov.co </w:t>
      </w:r>
    </w:p>
    <w:p w14:paraId="08ABF9B6" w14:textId="3FF88F2A" w:rsidR="001B091E" w:rsidRPr="00BC4697" w:rsidRDefault="001B091E" w:rsidP="001B091E">
      <w:pPr>
        <w:spacing w:after="0" w:line="240" w:lineRule="auto"/>
        <w:rPr>
          <w:rFonts w:ascii="Verdana" w:eastAsia="Calibri" w:hAnsi="Verdana" w:cs="Arial"/>
          <w:color w:val="000000" w:themeColor="text1"/>
          <w:lang w:eastAsia="es-ES"/>
        </w:rPr>
      </w:pPr>
      <w:r w:rsidRPr="00FC6F34">
        <w:rPr>
          <w:rFonts w:ascii="Verdana" w:hAnsi="Verdana"/>
          <w:lang w:val="es-ES"/>
        </w:rPr>
        <w:t>Bogotá D.C.</w:t>
      </w:r>
    </w:p>
    <w:p w14:paraId="48976C6B" w14:textId="159BA587" w:rsidR="001B091E" w:rsidRPr="00FC6F34" w:rsidRDefault="001B091E" w:rsidP="001B091E">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1B091E" w:rsidRPr="00FC6F34" w14:paraId="567F6396" w14:textId="77777777" w:rsidTr="00CF224D">
        <w:trPr>
          <w:trHeight w:val="300"/>
        </w:trPr>
        <w:tc>
          <w:tcPr>
            <w:tcW w:w="2410" w:type="dxa"/>
          </w:tcPr>
          <w:p w14:paraId="742732A3" w14:textId="77777777" w:rsidR="001B091E" w:rsidRPr="00FC6F34" w:rsidRDefault="001B091E" w:rsidP="00CF224D">
            <w:pPr>
              <w:ind w:left="-142"/>
              <w:jc w:val="both"/>
              <w:rPr>
                <w:rFonts w:ascii="Verdana" w:eastAsia="Calibri" w:hAnsi="Verdana" w:cs="Arial"/>
                <w:b/>
                <w:bCs/>
                <w:color w:val="000000" w:themeColor="text1"/>
                <w:lang w:val="es-ES" w:eastAsia="es-ES_tradnl"/>
              </w:rPr>
            </w:pPr>
          </w:p>
        </w:tc>
        <w:tc>
          <w:tcPr>
            <w:tcW w:w="6100" w:type="dxa"/>
          </w:tcPr>
          <w:p w14:paraId="1ECE9B64" w14:textId="26F322EF" w:rsidR="001B091E" w:rsidRDefault="001B091E" w:rsidP="00CF224D">
            <w:pPr>
              <w:ind w:left="3"/>
              <w:jc w:val="both"/>
              <w:rPr>
                <w:rFonts w:ascii="Verdana" w:eastAsia="Calibri" w:hAnsi="Verdana" w:cs="Arial"/>
                <w:b/>
                <w:bCs/>
                <w:color w:val="000000" w:themeColor="text1"/>
                <w:lang w:val="es-ES" w:eastAsia="es-ES"/>
              </w:rPr>
            </w:pPr>
          </w:p>
          <w:p w14:paraId="772C0EB0" w14:textId="5D81AF28" w:rsidR="001B091E" w:rsidRPr="00FC6F34" w:rsidRDefault="001B091E" w:rsidP="00CF224D">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6422B7">
              <w:rPr>
                <w:rFonts w:ascii="Verdana" w:eastAsia="Calibri" w:hAnsi="Verdana" w:cs="Arial"/>
                <w:b/>
                <w:bCs/>
                <w:color w:val="000000" w:themeColor="text1"/>
                <w:lang w:val="es-ES" w:eastAsia="es-ES"/>
              </w:rPr>
              <w:t>1761</w:t>
            </w:r>
            <w:r w:rsidRPr="00FC6F34">
              <w:rPr>
                <w:rFonts w:ascii="Verdana" w:eastAsia="Calibri" w:hAnsi="Verdana" w:cs="Arial"/>
                <w:b/>
                <w:bCs/>
                <w:color w:val="000000" w:themeColor="text1"/>
                <w:lang w:val="es-ES" w:eastAsia="es-ES"/>
              </w:rPr>
              <w:t xml:space="preserve"> de 2025</w:t>
            </w:r>
          </w:p>
          <w:p w14:paraId="703C5B17" w14:textId="77777777" w:rsidR="001B091E" w:rsidRPr="00FC6F34" w:rsidRDefault="001B091E" w:rsidP="00CF224D">
            <w:pPr>
              <w:ind w:left="3"/>
              <w:jc w:val="both"/>
              <w:rPr>
                <w:rFonts w:ascii="Verdana" w:eastAsia="Calibri" w:hAnsi="Verdana" w:cs="Arial"/>
                <w:b/>
                <w:bCs/>
                <w:color w:val="000000" w:themeColor="text1"/>
                <w:lang w:val="es-ES" w:eastAsia="es-ES"/>
              </w:rPr>
            </w:pPr>
          </w:p>
        </w:tc>
      </w:tr>
      <w:tr w:rsidR="001B091E" w:rsidRPr="00FC6F34" w14:paraId="14EF29CB" w14:textId="77777777" w:rsidTr="00CF224D">
        <w:trPr>
          <w:trHeight w:val="300"/>
        </w:trPr>
        <w:tc>
          <w:tcPr>
            <w:tcW w:w="2410" w:type="dxa"/>
          </w:tcPr>
          <w:p w14:paraId="701C506C" w14:textId="77777777" w:rsidR="001B091E" w:rsidRPr="00FC6F34" w:rsidRDefault="001B091E" w:rsidP="00CF224D">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094644C3" w14:textId="61E1297E" w:rsidR="001B091E" w:rsidRDefault="001B091E" w:rsidP="00CF224D">
            <w:pPr>
              <w:spacing w:line="276" w:lineRule="auto"/>
              <w:jc w:val="both"/>
              <w:rPr>
                <w:rFonts w:ascii="Verdana" w:eastAsia="Calibri" w:hAnsi="Verdana" w:cs="Arial"/>
                <w:lang w:val="es-ES" w:eastAsia="es-ES"/>
              </w:rPr>
            </w:pP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w:t>
            </w:r>
            <w:r w:rsidRPr="00FC6F34">
              <w:rPr>
                <w:rFonts w:ascii="Verdana" w:eastAsia="Calibri" w:hAnsi="Verdana" w:cs="Arial"/>
                <w:lang w:val="es-ES" w:eastAsia="es-ES"/>
              </w:rPr>
              <w:t>LEY DE GARANTÍAS ELECTORALES ‒ Artículo 3</w:t>
            </w:r>
            <w:r>
              <w:rPr>
                <w:rFonts w:ascii="Verdana" w:eastAsia="Calibri" w:hAnsi="Verdana" w:cs="Arial"/>
                <w:lang w:val="es-ES" w:eastAsia="es-ES"/>
              </w:rPr>
              <w:t>8</w:t>
            </w:r>
            <w:r w:rsidRPr="00FC6F34">
              <w:rPr>
                <w:rFonts w:ascii="Verdana" w:eastAsia="Calibri" w:hAnsi="Verdana" w:cs="Arial"/>
                <w:lang w:val="es-ES" w:eastAsia="es-ES"/>
              </w:rPr>
              <w:t xml:space="preserve"> ‒</w:t>
            </w:r>
            <w:r>
              <w:rPr>
                <w:rFonts w:ascii="Verdana" w:eastAsia="Calibri" w:hAnsi="Verdana" w:cs="Arial"/>
                <w:lang w:val="es-ES" w:eastAsia="es-ES"/>
              </w:rPr>
              <w:t xml:space="preserve"> Contratos interadministrativos </w:t>
            </w:r>
            <w:r w:rsidRPr="00FC6F34">
              <w:rPr>
                <w:rFonts w:ascii="Verdana" w:eastAsia="Calibri" w:hAnsi="Verdana" w:cs="Arial"/>
                <w:lang w:val="es-ES" w:eastAsia="es-ES"/>
              </w:rPr>
              <w:t>‒</w:t>
            </w:r>
            <w:r>
              <w:rPr>
                <w:rFonts w:ascii="Verdana" w:eastAsia="Calibri" w:hAnsi="Verdana" w:cs="Arial"/>
                <w:lang w:val="es-ES" w:eastAsia="es-ES"/>
              </w:rPr>
              <w:t xml:space="preserve"> No aplica</w:t>
            </w:r>
          </w:p>
          <w:p w14:paraId="67C89453" w14:textId="77777777" w:rsidR="001B091E" w:rsidRPr="00FC6F34" w:rsidRDefault="001B091E" w:rsidP="00CF224D">
            <w:pPr>
              <w:spacing w:line="276" w:lineRule="auto"/>
              <w:jc w:val="both"/>
              <w:rPr>
                <w:rFonts w:ascii="Verdana" w:eastAsia="Calibri" w:hAnsi="Verdana" w:cs="Arial"/>
                <w:color w:val="000000" w:themeColor="text1"/>
                <w:lang w:val="es-ES" w:eastAsia="es-ES"/>
              </w:rPr>
            </w:pPr>
          </w:p>
        </w:tc>
      </w:tr>
      <w:tr w:rsidR="001B091E" w:rsidRPr="00FC6F34" w14:paraId="39B92CCA" w14:textId="77777777" w:rsidTr="00CF224D">
        <w:tc>
          <w:tcPr>
            <w:tcW w:w="2410" w:type="dxa"/>
          </w:tcPr>
          <w:p w14:paraId="36230AF7" w14:textId="77777777" w:rsidR="001B091E" w:rsidRPr="00FC6F34" w:rsidRDefault="001B091E" w:rsidP="00CF224D">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796884BD" w14:textId="77777777" w:rsidR="001B091E" w:rsidRPr="00FC6F34" w:rsidRDefault="001B091E" w:rsidP="00CF224D">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No.</w:t>
            </w:r>
            <w:r>
              <w:t xml:space="preserve"> </w:t>
            </w:r>
            <w:r w:rsidRPr="0063700D">
              <w:rPr>
                <w:rFonts w:ascii="Verdana" w:eastAsia="Calibri" w:hAnsi="Verdana" w:cs="Arial"/>
                <w:color w:val="000000" w:themeColor="text1"/>
                <w:lang w:val="es-ES" w:eastAsia="es-ES"/>
              </w:rPr>
              <w:t>1_2025_11_27_013402</w:t>
            </w:r>
            <w:r>
              <w:rPr>
                <w:rFonts w:ascii="Verdana" w:eastAsia="Calibri" w:hAnsi="Verdana" w:cs="Arial"/>
                <w:color w:val="000000" w:themeColor="text1"/>
                <w:lang w:val="es-ES" w:eastAsia="es-ES"/>
              </w:rPr>
              <w:t xml:space="preserve">, </w:t>
            </w:r>
            <w:r w:rsidRPr="0063700D">
              <w:rPr>
                <w:rFonts w:ascii="Verdana" w:eastAsia="Calibri" w:hAnsi="Verdana" w:cs="Arial"/>
                <w:color w:val="000000" w:themeColor="text1"/>
                <w:lang w:val="es-ES" w:eastAsia="es-ES"/>
              </w:rPr>
              <w:t>1_2025_11_26_013365</w:t>
            </w:r>
            <w:r w:rsidRPr="00FC6F34">
              <w:rPr>
                <w:rFonts w:ascii="Verdana" w:eastAsia="Calibri" w:hAnsi="Verdana" w:cs="Arial"/>
                <w:color w:val="000000" w:themeColor="text1"/>
                <w:lang w:val="es-ES" w:eastAsia="es-ES"/>
              </w:rPr>
              <w:t xml:space="preserve"> </w:t>
            </w:r>
            <w:r w:rsidRPr="001F35F7">
              <w:rPr>
                <w:rFonts w:ascii="Verdana" w:eastAsia="Calibri" w:hAnsi="Verdana" w:cs="Arial"/>
                <w:color w:val="000000" w:themeColor="text1"/>
                <w:lang w:val="es-ES" w:eastAsia="es-ES"/>
              </w:rPr>
              <w:t>y</w:t>
            </w:r>
            <w:r>
              <w:rPr>
                <w:rFonts w:ascii="Verdana" w:eastAsia="Calibri" w:hAnsi="Verdana" w:cs="Arial"/>
                <w:color w:val="000000" w:themeColor="text1"/>
                <w:lang w:val="es-ES" w:eastAsia="es-ES"/>
              </w:rPr>
              <w:t xml:space="preserve"> </w:t>
            </w:r>
            <w:r w:rsidRPr="0063700D">
              <w:rPr>
                <w:rFonts w:ascii="Verdana" w:eastAsia="Calibri" w:hAnsi="Verdana" w:cs="Arial"/>
                <w:color w:val="000000" w:themeColor="text1"/>
                <w:lang w:val="es-ES" w:eastAsia="es-ES"/>
              </w:rPr>
              <w:t>1_2025_11_26_013371</w:t>
            </w:r>
            <w:r w:rsidRPr="001F35F7">
              <w:rPr>
                <w:rFonts w:ascii="Verdana" w:eastAsia="Calibri" w:hAnsi="Verdana" w:cs="Arial"/>
                <w:color w:val="000000" w:themeColor="text1"/>
                <w:lang w:val="es-ES" w:eastAsia="es-ES"/>
              </w:rPr>
              <w:t xml:space="preserve"> (acumuladas)</w:t>
            </w:r>
          </w:p>
        </w:tc>
      </w:tr>
    </w:tbl>
    <w:p w14:paraId="0FF80B0A" w14:textId="77777777" w:rsidR="001B091E" w:rsidRPr="00FC6F34" w:rsidRDefault="001B091E" w:rsidP="001B091E">
      <w:pPr>
        <w:spacing w:after="0" w:line="276" w:lineRule="auto"/>
        <w:jc w:val="both"/>
        <w:rPr>
          <w:rFonts w:ascii="Verdana" w:eastAsia="Calibri" w:hAnsi="Verdana" w:cs="Arial"/>
          <w:color w:val="000000" w:themeColor="text1"/>
          <w:lang w:val="es-ES" w:eastAsia="es-ES"/>
        </w:rPr>
      </w:pPr>
    </w:p>
    <w:p w14:paraId="39CC4750" w14:textId="77777777" w:rsidR="001B091E" w:rsidRPr="00FC6F34" w:rsidRDefault="001B091E" w:rsidP="001B091E">
      <w:pPr>
        <w:spacing w:after="0" w:line="276" w:lineRule="auto"/>
        <w:jc w:val="both"/>
        <w:rPr>
          <w:rFonts w:ascii="Verdana" w:eastAsia="Calibri" w:hAnsi="Verdana" w:cs="Arial"/>
          <w:color w:val="000000" w:themeColor="text1"/>
          <w:lang w:val="es-ES" w:eastAsia="es-ES"/>
        </w:rPr>
      </w:pPr>
    </w:p>
    <w:p w14:paraId="6CD8A93E" w14:textId="77777777" w:rsidR="001B091E" w:rsidRPr="00FC6F34" w:rsidRDefault="001B091E" w:rsidP="001B091E">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García</w:t>
      </w:r>
      <w:r w:rsidRPr="00FC6F34">
        <w:rPr>
          <w:rFonts w:ascii="Verdana" w:eastAsia="Calibri" w:hAnsi="Verdana" w:cs="Arial"/>
          <w:color w:val="000000" w:themeColor="text1"/>
          <w:lang w:val="es-ES" w:eastAsia="es-ES"/>
        </w:rPr>
        <w:t xml:space="preserve">: </w:t>
      </w:r>
    </w:p>
    <w:p w14:paraId="4EE19FEA" w14:textId="77777777" w:rsidR="001B091E" w:rsidRPr="00FC6F34" w:rsidRDefault="001B091E" w:rsidP="001B091E">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40C0BF88" w14:textId="77777777" w:rsidR="001B091E" w:rsidRPr="00FC6F34" w:rsidRDefault="001B091E" w:rsidP="001B091E">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remitida por la Contraloría General de la República y la Procuraduría General de la Nación el</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26 y 27</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noviembre</w:t>
      </w:r>
      <w:r w:rsidRPr="00FC6F34">
        <w:rPr>
          <w:rFonts w:ascii="Verdana" w:eastAsia="Calibri" w:hAnsi="Verdana" w:cs="Arial"/>
          <w:color w:val="000000" w:themeColor="text1"/>
          <w:lang w:val="es-ES" w:eastAsia="es-ES"/>
        </w:rPr>
        <w:t xml:space="preserve"> de 2025, en la cual manifiesta lo siguiente: </w:t>
      </w:r>
    </w:p>
    <w:p w14:paraId="3D8090FC" w14:textId="77777777" w:rsidR="001B091E" w:rsidRPr="00BF306B" w:rsidRDefault="001B091E" w:rsidP="001B091E">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0846DF74" w14:textId="77777777" w:rsidR="001B091E" w:rsidRPr="0063700D" w:rsidRDefault="001B091E" w:rsidP="001B091E">
      <w:pPr>
        <w:spacing w:after="0"/>
        <w:ind w:left="709" w:right="709"/>
        <w:jc w:val="both"/>
        <w:rPr>
          <w:rFonts w:ascii="Verdana" w:eastAsia="Century Gothic" w:hAnsi="Verdana" w:cs="Century Gothic"/>
          <w:iCs/>
          <w:color w:val="000000" w:themeColor="text1"/>
          <w:sz w:val="20"/>
          <w:szCs w:val="20"/>
          <w:lang w:val="es-ES"/>
        </w:rPr>
      </w:pPr>
      <w:r w:rsidRPr="00EA6FA4">
        <w:rPr>
          <w:rFonts w:ascii="Verdana" w:eastAsia="Century Gothic" w:hAnsi="Verdana" w:cs="Century Gothic"/>
          <w:iCs/>
          <w:color w:val="000000" w:themeColor="text1"/>
          <w:sz w:val="20"/>
          <w:szCs w:val="20"/>
          <w:lang w:val="es-ES"/>
        </w:rPr>
        <w:t>“</w:t>
      </w:r>
      <w:r>
        <w:rPr>
          <w:rFonts w:ascii="Verdana" w:eastAsia="Century Gothic" w:hAnsi="Verdana" w:cs="Century Gothic"/>
          <w:iCs/>
          <w:color w:val="000000" w:themeColor="text1"/>
          <w:sz w:val="20"/>
          <w:szCs w:val="20"/>
          <w:lang w:val="es-ES"/>
        </w:rPr>
        <w:t>T</w:t>
      </w:r>
      <w:r w:rsidRPr="0063700D">
        <w:rPr>
          <w:rFonts w:ascii="Verdana" w:eastAsia="Century Gothic" w:hAnsi="Verdana" w:cs="Century Gothic"/>
          <w:iCs/>
          <w:color w:val="000000" w:themeColor="text1"/>
          <w:sz w:val="20"/>
          <w:szCs w:val="20"/>
          <w:lang w:val="es-ES"/>
        </w:rPr>
        <w:t>eniendo en cuenta que la Sección Tercera del Consejo de Estado declaró la</w:t>
      </w:r>
      <w:r>
        <w:rPr>
          <w:rFonts w:ascii="Verdana" w:eastAsia="Century Gothic" w:hAnsi="Verdana" w:cs="Century Gothic"/>
          <w:iCs/>
          <w:color w:val="000000" w:themeColor="text1"/>
          <w:sz w:val="20"/>
          <w:szCs w:val="20"/>
          <w:lang w:val="es-ES"/>
        </w:rPr>
        <w:t xml:space="preserve"> </w:t>
      </w:r>
      <w:r w:rsidRPr="0063700D">
        <w:rPr>
          <w:rFonts w:ascii="Verdana" w:eastAsia="Century Gothic" w:hAnsi="Verdana" w:cs="Century Gothic"/>
          <w:iCs/>
          <w:color w:val="000000" w:themeColor="text1"/>
          <w:sz w:val="20"/>
          <w:szCs w:val="20"/>
          <w:lang w:val="es-ES"/>
        </w:rPr>
        <w:t xml:space="preserve">nulidad parcial de la circular 16.2 de Colombia Compra Eficiente, en la cual incluía la firma de contratos interadministrativos dentro de la prohibición durante la vigencia de la ley de garantías, deseo conocer la posición de la PROCURADURÍA al respecto, y se me responda la siguiente </w:t>
      </w:r>
      <w:r w:rsidRPr="0063700D">
        <w:rPr>
          <w:rFonts w:ascii="Verdana" w:eastAsia="Century Gothic" w:hAnsi="Verdana" w:cs="Century Gothic"/>
          <w:iCs/>
          <w:color w:val="000000" w:themeColor="text1"/>
          <w:sz w:val="20"/>
          <w:szCs w:val="20"/>
          <w:lang w:val="es-ES"/>
        </w:rPr>
        <w:lastRenderedPageBreak/>
        <w:t>pregunta ¿es posible la celebración de Contratos Interadministrativos por parte de entidades públicas hasta el 30 de enero de 2026?</w:t>
      </w:r>
      <w:r>
        <w:rPr>
          <w:rFonts w:ascii="Verdana" w:eastAsia="Century Gothic" w:hAnsi="Verdana" w:cs="Century Gothic"/>
          <w:iCs/>
          <w:color w:val="000000" w:themeColor="text1"/>
          <w:sz w:val="20"/>
          <w:szCs w:val="20"/>
          <w:lang w:val="es-ES"/>
        </w:rPr>
        <w:t>”</w:t>
      </w:r>
    </w:p>
    <w:p w14:paraId="1F7B16F1" w14:textId="77777777" w:rsidR="001B091E" w:rsidRPr="00FC6F34" w:rsidRDefault="001B091E" w:rsidP="001B091E">
      <w:pPr>
        <w:spacing w:after="0" w:line="276" w:lineRule="auto"/>
        <w:ind w:right="709"/>
        <w:jc w:val="both"/>
        <w:rPr>
          <w:rFonts w:ascii="Verdana" w:eastAsia="Calibri" w:hAnsi="Verdana" w:cs="Arial"/>
          <w:lang w:val="es-ES"/>
        </w:rPr>
      </w:pPr>
    </w:p>
    <w:p w14:paraId="502BF0D2" w14:textId="77777777" w:rsidR="001B091E" w:rsidRPr="00FC6F34" w:rsidRDefault="001B091E" w:rsidP="001B091E">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40C276E4" w14:textId="77777777" w:rsidR="001B091E" w:rsidRPr="00FC6F34" w:rsidRDefault="001B091E" w:rsidP="001B091E">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F57D10E" w14:textId="77777777" w:rsidR="001B091E" w:rsidRPr="00FC6F34" w:rsidRDefault="001B091E" w:rsidP="001B091E">
      <w:pPr>
        <w:spacing w:after="0" w:line="276" w:lineRule="auto"/>
        <w:ind w:firstLine="709"/>
        <w:jc w:val="both"/>
        <w:rPr>
          <w:rFonts w:ascii="Verdana" w:eastAsia="Calibri" w:hAnsi="Verdana" w:cs="Arial"/>
          <w:color w:val="000000" w:themeColor="text1"/>
          <w:lang w:val="es-ES" w:eastAsia="es-ES"/>
        </w:rPr>
      </w:pPr>
    </w:p>
    <w:p w14:paraId="66FC0A2F" w14:textId="77777777" w:rsidR="001B091E" w:rsidRPr="00FC6F34" w:rsidRDefault="001B091E" w:rsidP="001B091E">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6E1F8FE7" w14:textId="77777777" w:rsidR="001B091E" w:rsidRPr="00FC6F34" w:rsidRDefault="001B091E" w:rsidP="001B091E">
      <w:pPr>
        <w:tabs>
          <w:tab w:val="left" w:pos="426"/>
        </w:tabs>
        <w:spacing w:after="0" w:line="276" w:lineRule="auto"/>
        <w:jc w:val="both"/>
        <w:rPr>
          <w:rFonts w:ascii="Verdana" w:eastAsia="Century Gothic" w:hAnsi="Verdana" w:cs="Century Gothic"/>
          <w:color w:val="000000" w:themeColor="text1"/>
          <w:lang w:val="es-ES"/>
        </w:rPr>
      </w:pPr>
    </w:p>
    <w:p w14:paraId="4BE08129" w14:textId="77777777" w:rsidR="001B091E" w:rsidRPr="00FC6F34" w:rsidRDefault="001B091E" w:rsidP="001B091E">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Pr>
          <w:rFonts w:ascii="Verdana" w:eastAsia="Century Gothic" w:hAnsi="Verdana" w:cs="Century Gothic"/>
          <w:color w:val="000000" w:themeColor="text1"/>
          <w:lang w:val="es-ES"/>
        </w:rPr>
        <w:t>¿cuál es el alcance de las restricciones de la Ley de Garantías Electorales con respecto a la celebración de contratos interadministrativos?</w:t>
      </w:r>
    </w:p>
    <w:p w14:paraId="7EC7DFA0" w14:textId="77777777" w:rsidR="001B091E" w:rsidRPr="00FC6F34" w:rsidRDefault="001B091E" w:rsidP="001B091E">
      <w:pPr>
        <w:spacing w:after="0" w:line="276" w:lineRule="auto"/>
        <w:jc w:val="both"/>
        <w:rPr>
          <w:rFonts w:ascii="Verdana" w:eastAsia="Calibri" w:hAnsi="Verdana" w:cs="Arial"/>
          <w:color w:val="000000" w:themeColor="text1"/>
          <w:lang w:val="es-ES"/>
        </w:rPr>
      </w:pPr>
    </w:p>
    <w:p w14:paraId="54DB063E" w14:textId="77777777" w:rsidR="001B091E" w:rsidRPr="00FC6F34" w:rsidRDefault="001B091E" w:rsidP="001B091E">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718B61F2" w14:textId="77777777" w:rsidR="001B091E" w:rsidRPr="00FC6F34" w:rsidRDefault="001B091E" w:rsidP="001B091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091E" w:rsidRPr="00FC6F34" w14:paraId="1AA076DB" w14:textId="77777777" w:rsidTr="00CF224D">
        <w:tc>
          <w:tcPr>
            <w:tcW w:w="8828" w:type="dxa"/>
          </w:tcPr>
          <w:p w14:paraId="0B397090" w14:textId="77777777" w:rsidR="001B091E" w:rsidRDefault="001B091E" w:rsidP="00CF224D">
            <w:pPr>
              <w:spacing w:after="120" w:line="276" w:lineRule="auto"/>
              <w:jc w:val="both"/>
              <w:rPr>
                <w:rFonts w:ascii="Verdana" w:eastAsia="Calibri" w:hAnsi="Verdana" w:cs="Arial"/>
                <w:color w:val="000000" w:themeColor="text1"/>
                <w:lang w:val="es-ES"/>
              </w:rPr>
            </w:pPr>
            <w:r>
              <w:rPr>
                <w:rFonts w:ascii="Verdana" w:eastAsia="Calibri" w:hAnsi="Verdana"/>
                <w:color w:val="000000" w:themeColor="text1"/>
                <w:lang w:val="es-ES"/>
              </w:rPr>
              <w:t>Respecto al contenido de su consulta esta Agencia manifiesta que</w:t>
            </w:r>
            <w:r w:rsidRPr="008306EF">
              <w:rPr>
                <w:rFonts w:ascii="Verdana" w:eastAsia="Calibri" w:hAnsi="Verdana" w:cs="Arial"/>
                <w:color w:val="000000" w:themeColor="text1"/>
                <w:lang w:val="es-ES"/>
              </w:rPr>
              <w:t>, la Ley 996 de 2005 establece dos (2) tipos de restricciones en materia de contratación, las cuales coinciden parcialmente</w:t>
            </w:r>
            <w:r>
              <w:rPr>
                <w:rFonts w:ascii="Verdana" w:eastAsia="Calibri" w:hAnsi="Verdana" w:cs="Arial"/>
                <w:color w:val="000000" w:themeColor="text1"/>
                <w:lang w:val="es-ES"/>
              </w:rPr>
              <w:t>:</w:t>
            </w:r>
          </w:p>
          <w:p w14:paraId="52EC6955" w14:textId="1DD1622A" w:rsidR="001B091E" w:rsidRDefault="001B091E" w:rsidP="001B091E">
            <w:pPr>
              <w:spacing w:after="120" w:line="276" w:lineRule="auto"/>
              <w:ind w:firstLine="709"/>
              <w:jc w:val="both"/>
              <w:rPr>
                <w:rFonts w:ascii="Verdana" w:eastAsia="Calibri" w:hAnsi="Verdana" w:cs="Arial"/>
                <w:color w:val="000000" w:themeColor="text1"/>
                <w:lang w:val="es-ES"/>
              </w:rPr>
            </w:pPr>
            <w:r w:rsidRPr="008306EF">
              <w:rPr>
                <w:rFonts w:ascii="Verdana" w:eastAsia="Calibri" w:hAnsi="Verdana" w:cs="Arial"/>
                <w:color w:val="000000" w:themeColor="text1"/>
                <w:lang w:val="es-ES"/>
              </w:rPr>
              <w:t xml:space="preserve">En primer lugar, </w:t>
            </w:r>
            <w:r>
              <w:rPr>
                <w:rFonts w:ascii="Verdana" w:eastAsia="Calibri" w:hAnsi="Verdana" w:cs="Arial"/>
                <w:color w:val="000000" w:themeColor="text1"/>
                <w:lang w:val="es-ES"/>
              </w:rPr>
              <w:t>se encuentra</w:t>
            </w:r>
            <w:r w:rsidRPr="008306EF">
              <w:rPr>
                <w:rFonts w:ascii="Verdana" w:eastAsia="Calibri" w:hAnsi="Verdana" w:cs="Arial"/>
                <w:color w:val="000000" w:themeColor="text1"/>
                <w:lang w:val="es-ES"/>
              </w:rPr>
              <w:t xml:space="preserve"> la</w:t>
            </w:r>
            <w:r>
              <w:rPr>
                <w:rFonts w:ascii="Verdana" w:eastAsia="Calibri" w:hAnsi="Verdana" w:cs="Arial"/>
                <w:color w:val="000000" w:themeColor="text1"/>
                <w:lang w:val="es-ES"/>
              </w:rPr>
              <w:t xml:space="preserve"> consagrada en</w:t>
            </w:r>
            <w:r w:rsidRPr="008306EF">
              <w:rPr>
                <w:rFonts w:ascii="Verdana" w:eastAsia="Calibri" w:hAnsi="Verdana" w:cs="Arial"/>
                <w:color w:val="000000" w:themeColor="text1"/>
                <w:lang w:val="es-ES"/>
              </w:rPr>
              <w:t xml:space="preserve"> el artículo 33</w:t>
            </w:r>
            <w:r>
              <w:rPr>
                <w:rFonts w:ascii="Verdana" w:eastAsia="Calibri" w:hAnsi="Verdana" w:cs="Arial"/>
                <w:color w:val="000000" w:themeColor="text1"/>
                <w:lang w:val="es-ES"/>
              </w:rPr>
              <w:t>,</w:t>
            </w:r>
            <w:r w:rsidRPr="008306EF">
              <w:rPr>
                <w:rFonts w:ascii="Verdana" w:eastAsia="Calibri" w:hAnsi="Verdana" w:cs="Arial"/>
                <w:color w:val="000000" w:themeColor="text1"/>
                <w:lang w:val="es-ES"/>
              </w:rPr>
              <w:t xml:space="preserve"> que opera solo respecto de las elecciones presidenciales, en virtud de la cual queda proscrita la contratación directa dentro de los cuatro (4) meses anteriores a la celebración de los comicios, salvo las  excepciones</w:t>
            </w:r>
            <w:r>
              <w:rPr>
                <w:rFonts w:ascii="Verdana" w:eastAsia="Calibri" w:hAnsi="Verdana" w:cs="Arial"/>
                <w:color w:val="000000" w:themeColor="text1"/>
                <w:lang w:val="es-ES"/>
              </w:rPr>
              <w:t xml:space="preserve"> contempladas en la misma </w:t>
            </w:r>
            <w:r>
              <w:rPr>
                <w:rFonts w:ascii="Verdana" w:eastAsia="Calibri" w:hAnsi="Verdana" w:cs="Arial"/>
                <w:color w:val="000000" w:themeColor="text1"/>
                <w:lang w:val="es-ES"/>
              </w:rPr>
              <w:lastRenderedPageBreak/>
              <w:t>norma</w:t>
            </w:r>
            <w:r w:rsidRPr="008306EF">
              <w:rPr>
                <w:rFonts w:ascii="Verdana" w:eastAsia="Calibri" w:hAnsi="Verdana" w:cs="Arial"/>
                <w:color w:val="000000" w:themeColor="text1"/>
                <w:lang w:val="es-ES"/>
              </w:rPr>
              <w:t xml:space="preserve">. Sin embargo, si ningún candidato obtiene la mitad más uno de los votos que, de manera secreta y directa, depositen los ciudadanos, se celebrará una nueva votación que tendrá lugar tres </w:t>
            </w:r>
            <w:r>
              <w:rPr>
                <w:rFonts w:ascii="Verdana" w:eastAsia="Calibri" w:hAnsi="Verdana" w:cs="Arial"/>
                <w:color w:val="000000" w:themeColor="text1"/>
                <w:lang w:val="es-ES"/>
              </w:rPr>
              <w:t>(3)</w:t>
            </w:r>
            <w:r w:rsidRPr="008306EF">
              <w:rPr>
                <w:rFonts w:ascii="Verdana" w:eastAsia="Calibri" w:hAnsi="Verdana" w:cs="Arial"/>
                <w:color w:val="000000" w:themeColor="text1"/>
                <w:lang w:val="es-ES"/>
              </w:rPr>
              <w:t xml:space="preserve">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Calibri" w:hAnsi="Verdana" w:cs="Arial"/>
                <w:color w:val="000000" w:themeColor="text1"/>
                <w:lang w:val="es-ES"/>
              </w:rPr>
              <w:t xml:space="preserve"> </w:t>
            </w:r>
            <w:r w:rsidRPr="008306EF">
              <w:rPr>
                <w:rFonts w:ascii="Verdana" w:eastAsia="Calibri" w:hAnsi="Verdana" w:cs="Arial"/>
                <w:color w:val="000000" w:themeColor="text1"/>
                <w:lang w:val="es-ES"/>
              </w:rPr>
              <w:t>En segundo lugar, también se encuentra la prohibición del parágrafo del artículo 38, l</w:t>
            </w:r>
            <w:r>
              <w:rPr>
                <w:rFonts w:ascii="Verdana" w:eastAsia="Calibri" w:hAnsi="Verdana" w:cs="Arial"/>
                <w:color w:val="000000" w:themeColor="text1"/>
                <w:lang w:val="es-ES"/>
              </w:rPr>
              <w:t>a</w:t>
            </w:r>
            <w:r w:rsidRPr="008306EF">
              <w:rPr>
                <w:rFonts w:ascii="Verdana" w:eastAsia="Calibri" w:hAnsi="Verdana" w:cs="Arial"/>
                <w:color w:val="000000" w:themeColor="text1"/>
                <w:lang w:val="es-ES"/>
              </w:rPr>
              <w:t xml:space="preserve"> cual debe aplicarse respecto de cualquier tipo de contienda electoral, y que </w:t>
            </w:r>
            <w:r>
              <w:rPr>
                <w:rFonts w:ascii="Verdana" w:eastAsia="Times New Roman" w:hAnsi="Verdana" w:cs="Arial"/>
                <w:lang w:val="es-MX" w:eastAsia="es-CO"/>
              </w:rPr>
              <w:t xml:space="preserve">prohíbe a los Alcaldes, Gobernadores, Secretarios, Gerentes y Directores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w:t>
            </w:r>
            <w:r w:rsidRPr="00A51A1D">
              <w:rPr>
                <w:rFonts w:ascii="Verdana" w:eastAsia="Times New Roman" w:hAnsi="Verdana" w:cs="Arial"/>
                <w:i/>
                <w:iCs/>
                <w:lang w:val="es-MX" w:eastAsia="es-CO"/>
              </w:rPr>
              <w:t>para la ejecución de recursos públicos</w:t>
            </w:r>
            <w:r>
              <w:rPr>
                <w:rFonts w:ascii="Verdana" w:eastAsia="Times New Roman" w:hAnsi="Verdana" w:cs="Arial"/>
                <w:lang w:val="es-MX" w:eastAsia="es-CO"/>
              </w:rPr>
              <w:t xml:space="preserve">. </w:t>
            </w:r>
            <w:r>
              <w:rPr>
                <w:rFonts w:ascii="Verdana" w:eastAsia="Calibri" w:hAnsi="Verdana" w:cs="Arial"/>
                <w:color w:val="000000" w:themeColor="text1"/>
                <w:lang w:val="es-ES"/>
              </w:rPr>
              <w:t xml:space="preserve">         </w:t>
            </w:r>
          </w:p>
          <w:p w14:paraId="5291C828" w14:textId="6F9F01FF" w:rsidR="001B091E" w:rsidRDefault="001B091E" w:rsidP="00CF224D">
            <w:pPr>
              <w:spacing w:after="120" w:line="276" w:lineRule="auto"/>
              <w:ind w:firstLine="709"/>
              <w:jc w:val="both"/>
              <w:rPr>
                <w:rFonts w:ascii="Verdana" w:eastAsia="Calibri" w:hAnsi="Verdana" w:cs="Arial"/>
                <w:color w:val="000000" w:themeColor="text1"/>
                <w:lang w:val="es-ES"/>
              </w:rPr>
            </w:pPr>
            <w:r w:rsidRPr="008306EF">
              <w:rPr>
                <w:rFonts w:ascii="Verdana" w:eastAsia="Calibri" w:hAnsi="Verdana" w:cs="Arial"/>
                <w:color w:val="000000" w:themeColor="text1"/>
                <w:lang w:val="es-ES"/>
              </w:rPr>
              <w:t xml:space="preserve">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w:t>
            </w:r>
            <w:r w:rsidR="007D3462">
              <w:rPr>
                <w:rFonts w:ascii="Verdana" w:eastAsia="Calibri" w:hAnsi="Verdana" w:cs="Arial"/>
                <w:color w:val="000000" w:themeColor="text1"/>
                <w:lang w:val="es-ES"/>
              </w:rPr>
              <w:t xml:space="preserve">entidades </w:t>
            </w:r>
            <w:r w:rsidRPr="008306EF">
              <w:rPr>
                <w:rFonts w:ascii="Verdana" w:eastAsia="Calibri" w:hAnsi="Verdana" w:cs="Arial"/>
                <w:color w:val="000000" w:themeColor="text1"/>
                <w:lang w:val="es-ES"/>
              </w:rPr>
              <w:t>allí mencionadas sólo deben aplicar las restricciones contenidas en el parágrafo del artículo 38</w:t>
            </w:r>
            <w:r>
              <w:rPr>
                <w:rFonts w:ascii="Verdana" w:eastAsia="Calibri" w:hAnsi="Verdana" w:cs="Arial"/>
                <w:color w:val="000000" w:themeColor="text1"/>
                <w:lang w:val="es-ES"/>
              </w:rPr>
              <w:t>.</w:t>
            </w:r>
          </w:p>
          <w:p w14:paraId="3DB87E0C" w14:textId="3006B977" w:rsidR="001B091E" w:rsidRDefault="001B091E" w:rsidP="00CF224D">
            <w:pPr>
              <w:spacing w:after="120" w:line="276" w:lineRule="auto"/>
              <w:ind w:firstLine="709"/>
              <w:jc w:val="both"/>
              <w:rPr>
                <w:rFonts w:ascii="Verdana" w:eastAsia="Century Gothic" w:hAnsi="Verdana" w:cs="Century Gothic"/>
              </w:rPr>
            </w:pPr>
            <w:r>
              <w:rPr>
                <w:rFonts w:ascii="Verdana" w:eastAsia="Calibri" w:hAnsi="Verdana" w:cs="Arial"/>
                <w:color w:val="000000" w:themeColor="text1"/>
                <w:lang w:val="es-ES"/>
              </w:rPr>
              <w:t xml:space="preserve">Teniendo en cuenta la explicación precedente, los </w:t>
            </w:r>
            <w:r>
              <w:rPr>
                <w:rFonts w:ascii="Verdana" w:eastAsia="Century Gothic" w:hAnsi="Verdana" w:cs="Century Gothic"/>
              </w:rPr>
              <w:t xml:space="preserve">contratos interadministrativos que celebren de manera directa las entidades del estado están prohibidos durante los cuatro (4) meses previos a las elecciones de presidente, pues se restringe toda contratación que cualquier ente </w:t>
            </w:r>
            <w:r w:rsidR="00A771E8">
              <w:rPr>
                <w:rFonts w:ascii="Verdana" w:eastAsia="Century Gothic" w:hAnsi="Verdana" w:cs="Century Gothic"/>
              </w:rPr>
              <w:t xml:space="preserve">público </w:t>
            </w:r>
            <w:r>
              <w:rPr>
                <w:rFonts w:ascii="Verdana" w:eastAsia="Century Gothic" w:hAnsi="Verdana" w:cs="Century Gothic"/>
              </w:rPr>
              <w:t xml:space="preserve">celebre a través una modalidad de contratación que no implique pluralidad de oferentes. </w:t>
            </w:r>
          </w:p>
          <w:p w14:paraId="69C87231" w14:textId="77777777" w:rsidR="001B091E" w:rsidRDefault="001B091E" w:rsidP="00CF224D">
            <w:pPr>
              <w:spacing w:after="120" w:line="276" w:lineRule="auto"/>
              <w:ind w:firstLine="708"/>
              <w:jc w:val="both"/>
              <w:rPr>
                <w:rFonts w:ascii="Verdana" w:eastAsia="Century Gothic" w:hAnsi="Verdana" w:cs="Century Gothic"/>
              </w:rPr>
            </w:pPr>
            <w:r>
              <w:rPr>
                <w:rFonts w:ascii="Verdana" w:eastAsia="Century Gothic" w:hAnsi="Verdana" w:cs="Century Gothic"/>
              </w:rPr>
              <w:t xml:space="preserve">Por otra parte, el parágrafo del artículo 38 </w:t>
            </w:r>
            <w:r>
              <w:rPr>
                <w:rFonts w:ascii="Verdana" w:eastAsia="Times New Roman" w:hAnsi="Verdana" w:cs="Arial"/>
                <w:lang w:val="es-MX" w:eastAsia="es-CO"/>
              </w:rPr>
              <w:t xml:space="preserve">prohíbe de forma específica a los alcaldes, gobernadores, secretarios, gerentes y directores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w:t>
            </w:r>
            <w:r w:rsidRPr="00A51A1D">
              <w:rPr>
                <w:rFonts w:ascii="Verdana" w:eastAsia="Times New Roman" w:hAnsi="Verdana" w:cs="Arial"/>
                <w:i/>
                <w:iCs/>
                <w:lang w:val="es-MX" w:eastAsia="es-CO"/>
              </w:rPr>
              <w:t>para la ejecución de recursos públicos</w:t>
            </w:r>
            <w:r>
              <w:rPr>
                <w:rFonts w:ascii="Verdana" w:eastAsia="Times New Roman" w:hAnsi="Verdana" w:cs="Arial"/>
                <w:lang w:val="es-MX" w:eastAsia="es-CO"/>
              </w:rPr>
              <w:t xml:space="preserve">. En este sentido, si una o ambas partes de la relación contractual es una entidad de aquellas descritas,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r>
              <w:rPr>
                <w:rFonts w:ascii="Verdana" w:eastAsia="Century Gothic" w:hAnsi="Verdana" w:cs="Century Gothic"/>
              </w:rPr>
              <w:t xml:space="preserve"> </w:t>
            </w:r>
          </w:p>
          <w:p w14:paraId="49D1A7DA" w14:textId="77777777" w:rsidR="001B091E" w:rsidRDefault="001B091E" w:rsidP="00CF224D">
            <w:pPr>
              <w:spacing w:after="120" w:line="276" w:lineRule="auto"/>
              <w:ind w:firstLine="709"/>
              <w:jc w:val="both"/>
              <w:rPr>
                <w:rFonts w:ascii="Verdana" w:eastAsia="Times New Roman" w:hAnsi="Verdana" w:cs="Times New Roman"/>
                <w:lang w:eastAsia="es-ES"/>
              </w:rPr>
            </w:pPr>
            <w:r>
              <w:rPr>
                <w:rFonts w:ascii="Verdana" w:eastAsia="Arial" w:hAnsi="Verdana" w:cs="Arial"/>
                <w:lang w:eastAsia="es-ES" w:bidi="es-ES"/>
              </w:rPr>
              <w:lastRenderedPageBreak/>
              <w:t>En línea con lo anterior,</w:t>
            </w:r>
            <w:r w:rsidRPr="31E4E861">
              <w:rPr>
                <w:rFonts w:ascii="Verdana" w:eastAsia="Arial" w:hAnsi="Verdana" w:cs="Arial"/>
                <w:lang w:eastAsia="es-ES" w:bidi="es-ES"/>
              </w:rPr>
              <w:t xml:space="preserve"> la Sala de lo Contencioso Administrativo del Consejo de Estado</w:t>
            </w:r>
            <w:r>
              <w:rPr>
                <w:rFonts w:ascii="Verdana" w:eastAsia="Arial" w:hAnsi="Verdana" w:cs="Arial"/>
                <w:lang w:eastAsia="es-ES" w:bidi="es-ES"/>
              </w:rPr>
              <w:t xml:space="preserve"> emitió sentencia </w:t>
            </w:r>
            <w:r w:rsidRPr="31E4E861">
              <w:rPr>
                <w:rFonts w:ascii="Verdana" w:eastAsia="Arial" w:hAnsi="Verdana" w:cs="Arial"/>
                <w:lang w:eastAsia="es-ES" w:bidi="es-ES"/>
              </w:rPr>
              <w:t>el 17 de octubre de 2025</w:t>
            </w:r>
            <w:r>
              <w:rPr>
                <w:rFonts w:ascii="Verdana" w:eastAsia="Arial" w:hAnsi="Verdana" w:cs="Arial"/>
                <w:lang w:eastAsia="es-ES" w:bidi="es-ES"/>
              </w:rPr>
              <w:t xml:space="preserve"> </w:t>
            </w:r>
            <w:r w:rsidRPr="31E4E861">
              <w:rPr>
                <w:rFonts w:ascii="Verdana" w:eastAsia="Arial" w:hAnsi="Verdana" w:cs="Arial"/>
                <w:lang w:eastAsia="es-ES" w:bidi="es-ES"/>
              </w:rPr>
              <w:t xml:space="preserve">dentro del expediente </w:t>
            </w:r>
            <w:r w:rsidRPr="31E4E861">
              <w:rPr>
                <w:rFonts w:ascii="Verdana" w:eastAsia="Times New Roman" w:hAnsi="Verdana" w:cs="Times New Roman"/>
                <w:lang w:eastAsia="es-ES"/>
              </w:rPr>
              <w:t xml:space="preserve">11001-03-26-000-2023-00139-00, </w:t>
            </w:r>
            <w:r>
              <w:rPr>
                <w:rFonts w:ascii="Verdana" w:eastAsia="Times New Roman" w:hAnsi="Verdana" w:cs="Times New Roman"/>
                <w:lang w:eastAsia="es-ES"/>
              </w:rPr>
              <w:t xml:space="preserve">mediante la cual </w:t>
            </w:r>
            <w:r w:rsidRPr="31E4E861">
              <w:rPr>
                <w:rFonts w:ascii="Verdana" w:eastAsia="Times New Roman" w:hAnsi="Verdana" w:cs="Times New Roman"/>
                <w:lang w:eastAsia="es-ES"/>
              </w:rPr>
              <w:t>declaró la nulidad parcial del numeral 16.2 de la Circular Externa Única de 2022 expedida por la Agencia Nacional de Contratación Pública - Colombia Compra Eficiente que indicaba</w:t>
            </w:r>
            <w:r>
              <w:rPr>
                <w:rFonts w:ascii="Verdana" w:eastAsia="Times New Roman" w:hAnsi="Verdana" w:cs="Times New Roman"/>
                <w:lang w:eastAsia="es-ES"/>
              </w:rPr>
              <w:t xml:space="preserve"> que la restricción del parágrafo 38 de la Ley de Garantías Electorales </w:t>
            </w:r>
            <w:r w:rsidRPr="31E4E861">
              <w:rPr>
                <w:rFonts w:ascii="Verdana" w:eastAsia="Times New Roman" w:hAnsi="Verdana" w:cs="Times New Roman"/>
                <w:lang w:eastAsia="es-ES"/>
              </w:rPr>
              <w:t>“es aplicable tanto a los convenios como a los contratos interadministrativos</w:t>
            </w:r>
            <w:r>
              <w:rPr>
                <w:rFonts w:ascii="Verdana" w:eastAsia="Times New Roman" w:hAnsi="Verdana" w:cs="Times New Roman"/>
                <w:lang w:eastAsia="es-ES"/>
              </w:rPr>
              <w:t xml:space="preserve"> [</w:t>
            </w:r>
            <w:r w:rsidRPr="31E4E861">
              <w:rPr>
                <w:rFonts w:ascii="Verdana" w:eastAsia="Times New Roman" w:hAnsi="Verdana" w:cs="Times New Roman"/>
                <w:lang w:eastAsia="es-ES"/>
              </w:rPr>
              <w:t>…</w:t>
            </w:r>
            <w:r>
              <w:rPr>
                <w:rFonts w:ascii="Verdana" w:eastAsia="Times New Roman" w:hAnsi="Verdana" w:cs="Times New Roman"/>
                <w:lang w:eastAsia="es-ES"/>
              </w:rPr>
              <w:t>]</w:t>
            </w:r>
            <w:r w:rsidRPr="31E4E861">
              <w:rPr>
                <w:rFonts w:ascii="Verdana" w:eastAsia="Times New Roman" w:hAnsi="Verdana" w:cs="Times New Roman"/>
                <w:lang w:eastAsia="es-ES"/>
              </w:rPr>
              <w:t xml:space="preserve">”. </w:t>
            </w:r>
          </w:p>
          <w:p w14:paraId="0B213F2C" w14:textId="6FE8B9D9" w:rsidR="001B091E" w:rsidRPr="00670659" w:rsidRDefault="001B091E" w:rsidP="00CF224D">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En l</w:t>
            </w:r>
            <w:r w:rsidRPr="2035D652">
              <w:rPr>
                <w:rFonts w:ascii="Verdana" w:eastAsia="Times New Roman" w:hAnsi="Verdana" w:cs="Times New Roman"/>
                <w:lang w:eastAsia="es-ES"/>
              </w:rPr>
              <w:t>a anterior decisión</w:t>
            </w:r>
            <w:r>
              <w:rPr>
                <w:rFonts w:ascii="Verdana" w:eastAsia="Times New Roman" w:hAnsi="Verdana" w:cs="Times New Roman"/>
                <w:lang w:eastAsia="es-ES"/>
              </w:rPr>
              <w:t xml:space="preserve">, el Consejo de Estado consideró </w:t>
            </w:r>
            <w:r w:rsidRPr="2035D652">
              <w:rPr>
                <w:rFonts w:ascii="Verdana" w:eastAsia="Times New Roman" w:hAnsi="Verdana" w:cs="Times New Roman"/>
                <w:lang w:eastAsia="es-ES"/>
              </w:rPr>
              <w:t xml:space="preserve">que la Agencia excedió su competencia material al incluir </w:t>
            </w:r>
            <w:r>
              <w:rPr>
                <w:rFonts w:ascii="Verdana" w:eastAsia="Times New Roman" w:hAnsi="Verdana" w:cs="Times New Roman"/>
                <w:lang w:eastAsia="es-ES"/>
              </w:rPr>
              <w:t xml:space="preserve">los </w:t>
            </w:r>
            <w:r w:rsidRPr="2035D652">
              <w:rPr>
                <w:rFonts w:ascii="Verdana" w:eastAsia="Times New Roman" w:hAnsi="Verdana" w:cs="Times New Roman"/>
                <w:lang w:eastAsia="es-ES"/>
              </w:rPr>
              <w:t xml:space="preserve">contratos </w:t>
            </w:r>
            <w:r>
              <w:rPr>
                <w:rFonts w:ascii="Verdana" w:eastAsia="Times New Roman" w:hAnsi="Verdana" w:cs="Times New Roman"/>
                <w:lang w:eastAsia="es-ES"/>
              </w:rPr>
              <w:t xml:space="preserve">interadministrativos </w:t>
            </w:r>
            <w:r w:rsidRPr="2035D652">
              <w:rPr>
                <w:rFonts w:ascii="Verdana" w:eastAsia="Times New Roman" w:hAnsi="Verdana" w:cs="Times New Roman"/>
                <w:lang w:eastAsia="es-ES"/>
              </w:rPr>
              <w:t xml:space="preserve">en una restricción que la Ley de Garantías Electorales solo previó para </w:t>
            </w:r>
            <w:r>
              <w:rPr>
                <w:rFonts w:ascii="Verdana" w:eastAsia="Times New Roman" w:hAnsi="Verdana" w:cs="Times New Roman"/>
                <w:lang w:eastAsia="es-ES"/>
              </w:rPr>
              <w:t xml:space="preserve">los </w:t>
            </w:r>
            <w:r w:rsidRPr="2035D652">
              <w:rPr>
                <w:rFonts w:ascii="Verdana" w:eastAsia="Times New Roman" w:hAnsi="Verdana" w:cs="Times New Roman"/>
                <w:lang w:eastAsia="es-ES"/>
              </w:rPr>
              <w:t>convenios</w:t>
            </w:r>
            <w:r>
              <w:rPr>
                <w:rFonts w:ascii="Verdana" w:eastAsia="Times New Roman" w:hAnsi="Verdana" w:cs="Times New Roman"/>
                <w:lang w:eastAsia="es-ES"/>
              </w:rPr>
              <w:t xml:space="preserve"> interadministrativos</w:t>
            </w:r>
            <w:r w:rsidRPr="2035D652">
              <w:rPr>
                <w:rFonts w:ascii="Verdana" w:eastAsia="Times New Roman" w:hAnsi="Verdana" w:cs="Times New Roman"/>
                <w:lang w:eastAsia="es-ES"/>
              </w:rPr>
              <w:t xml:space="preserve">,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158140D2" w14:textId="77777777" w:rsidR="001B091E" w:rsidRPr="00544B73" w:rsidRDefault="001B091E" w:rsidP="00CF224D">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En consecuencia</w:t>
            </w:r>
            <w:r w:rsidRPr="00667CD6">
              <w:rPr>
                <w:rFonts w:ascii="Verdana" w:eastAsia="Times New Roman" w:hAnsi="Verdana" w:cs="Arial"/>
                <w:lang w:eastAsia="es-CO"/>
              </w:rPr>
              <w:t>,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el 17 de octubre de 2025</w:t>
            </w:r>
            <w:r>
              <w:rPr>
                <w:rFonts w:ascii="Verdana" w:eastAsia="Times New Roman" w:hAnsi="Verdana" w:cs="Arial"/>
                <w:lang w:eastAsia="es-CO"/>
              </w:rPr>
              <w:t xml:space="preserve"> </w:t>
            </w:r>
            <w:r w:rsidRPr="2035D652">
              <w:rPr>
                <w:rFonts w:ascii="Verdana" w:eastAsia="Times New Roman" w:hAnsi="Verdana" w:cs="Arial"/>
                <w:lang w:eastAsia="es-CO"/>
              </w:rPr>
              <w:t>por la Sección Tercera de la Sala de lo Contencioso Administrativo</w:t>
            </w:r>
            <w:r w:rsidRPr="00667CD6">
              <w:rPr>
                <w:rFonts w:ascii="Verdana" w:eastAsia="Times New Roman" w:hAnsi="Verdana" w:cs="Arial"/>
                <w:lang w:eastAsia="es-CO"/>
              </w:rPr>
              <w:t>, la prohibición del parágrafo del artículo 38 de la Ley de Garantías Electorales</w:t>
            </w:r>
            <w:r>
              <w:rPr>
                <w:rFonts w:ascii="Verdana" w:eastAsia="Times New Roman" w:hAnsi="Verdana" w:cs="Arial"/>
                <w:lang w:eastAsia="es-CO"/>
              </w:rPr>
              <w:t xml:space="preserve"> </w:t>
            </w:r>
            <w:r w:rsidRPr="00667CD6">
              <w:rPr>
                <w:rFonts w:ascii="Verdana" w:eastAsia="Times New Roman" w:hAnsi="Verdana" w:cs="Arial"/>
                <w:lang w:eastAsia="es-CO"/>
              </w:rPr>
              <w:t>no</w:t>
            </w:r>
            <w:r>
              <w:rPr>
                <w:rFonts w:ascii="Verdana" w:eastAsia="Times New Roman" w:hAnsi="Verdana" w:cs="Arial"/>
                <w:lang w:eastAsia="es-CO"/>
              </w:rPr>
              <w:t xml:space="preserve"> es</w:t>
            </w:r>
            <w:r w:rsidRPr="00667CD6">
              <w:rPr>
                <w:rFonts w:ascii="Verdana" w:eastAsia="Times New Roman" w:hAnsi="Verdana" w:cs="Arial"/>
                <w:lang w:eastAsia="es-CO"/>
              </w:rPr>
              <w:t xml:space="preserve"> aplicable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xml:space="preserve">, esta prohibición solo aplica a los </w:t>
            </w:r>
            <w:r w:rsidRPr="00544B73">
              <w:rPr>
                <w:rFonts w:ascii="Verdana" w:eastAsia="Times New Roman" w:hAnsi="Verdana" w:cs="Arial"/>
                <w:i/>
                <w:iCs/>
                <w:lang w:eastAsia="es-CO"/>
              </w:rPr>
              <w:t>convenios interadministrativos</w:t>
            </w:r>
            <w:r>
              <w:rPr>
                <w:rFonts w:ascii="Verdana" w:eastAsia="Times New Roman" w:hAnsi="Verdana" w:cs="Arial"/>
                <w:lang w:eastAsia="es-CO"/>
              </w:rPr>
              <w:t xml:space="preserve"> que impliquen la ejecución de recursos públicos</w:t>
            </w:r>
            <w:r>
              <w:rPr>
                <w:rStyle w:val="FootnoteReference"/>
                <w:rFonts w:ascii="Verdana" w:eastAsia="Times New Roman" w:hAnsi="Verdana" w:cs="Arial"/>
                <w:lang w:eastAsia="es-CO"/>
              </w:rPr>
              <w:footnoteReference w:id="2"/>
            </w:r>
            <w:r>
              <w:rPr>
                <w:rFonts w:ascii="Verdana" w:eastAsia="Times New Roman" w:hAnsi="Verdana" w:cs="Arial"/>
                <w:lang w:eastAsia="es-CO"/>
              </w:rPr>
              <w:t xml:space="preserve">. En cualquier caso, esta Agencia </w:t>
            </w:r>
            <w:r w:rsidRPr="007412E6">
              <w:rPr>
                <w:rFonts w:ascii="Verdana" w:eastAsia="Times New Roman" w:hAnsi="Verdana" w:cs="Arial"/>
                <w:i/>
                <w:iCs/>
                <w:lang w:eastAsia="es-CO"/>
              </w:rPr>
              <w:t>recomienda</w:t>
            </w:r>
            <w:r>
              <w:rPr>
                <w:rFonts w:ascii="Verdana" w:eastAsia="Times New Roman" w:hAnsi="Verdana" w:cs="Arial"/>
                <w:lang w:eastAsia="es-CO"/>
              </w:rPr>
              <w:t xml:space="preserve"> a las entidades señaladas en la norma abstenerse de celebrar tanto convenios como contratos interadministrativos durante el periodo pre-electoral con el fin de salvaguardar los principios de la contratación estatal y el adecuado uso de los recursos </w:t>
            </w:r>
            <w:r>
              <w:rPr>
                <w:rFonts w:ascii="Verdana" w:eastAsia="Times New Roman" w:hAnsi="Verdana" w:cs="Arial"/>
                <w:lang w:eastAsia="es-CO"/>
              </w:rPr>
              <w:lastRenderedPageBreak/>
              <w:t>públicos. D</w:t>
            </w:r>
            <w:r w:rsidRPr="00FC6F34">
              <w:rPr>
                <w:rFonts w:ascii="Verdana" w:eastAsia="Times New Roman" w:hAnsi="Verdana" w:cs="Arial"/>
                <w:color w:val="000000" w:themeColor="text1"/>
                <w:lang w:val="es-ES" w:eastAsia="es-ES"/>
              </w:rPr>
              <w:t xml:space="preserve">entro de este marco, la entidad contratante definirá en cada caso concreto lo relacionado con el tema objeto de consulta. </w:t>
            </w:r>
          </w:p>
        </w:tc>
      </w:tr>
    </w:tbl>
    <w:p w14:paraId="18FC7CBD" w14:textId="77777777" w:rsidR="001B091E" w:rsidRPr="00FC6F34" w:rsidRDefault="001B091E" w:rsidP="001B091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94A1596" w14:textId="77777777" w:rsidR="001B091E" w:rsidRPr="00FC6F34" w:rsidRDefault="001B091E" w:rsidP="001B091E">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1A2AD471" w14:textId="77777777" w:rsidR="001B091E" w:rsidRPr="00FC6F34" w:rsidRDefault="001B091E" w:rsidP="001B091E">
      <w:pPr>
        <w:spacing w:after="0" w:line="276" w:lineRule="auto"/>
        <w:jc w:val="both"/>
        <w:rPr>
          <w:rFonts w:ascii="Verdana" w:eastAsia="Calibri" w:hAnsi="Verdana" w:cs="Arial"/>
          <w:color w:val="000000" w:themeColor="text1"/>
          <w:lang w:val="es-ES"/>
        </w:rPr>
      </w:pPr>
    </w:p>
    <w:p w14:paraId="7824A852" w14:textId="77777777" w:rsidR="001B091E" w:rsidRPr="00242DC8" w:rsidRDefault="001B091E" w:rsidP="001B091E">
      <w:pPr>
        <w:spacing w:after="0" w:line="276" w:lineRule="auto"/>
        <w:jc w:val="both"/>
        <w:rPr>
          <w:rFonts w:ascii="Verdana" w:eastAsia="Calibri" w:hAnsi="Verdana" w:cs="Arial"/>
          <w:color w:val="000000" w:themeColor="text1"/>
          <w:szCs w:val="24"/>
          <w:lang w:val="es-ES_tradnl" w:eastAsia="es-ES_tradnl"/>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Pr>
          <w:rFonts w:ascii="Verdana" w:eastAsia="Calibri" w:hAnsi="Verdana" w:cs="Arial"/>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Pr>
          <w:rFonts w:ascii="Verdana" w:eastAsia="Times New Roman" w:hAnsi="Verdana" w:cs="Arial"/>
          <w:lang w:val="es-ES" w:eastAsia="es-CO"/>
        </w:rPr>
        <w:t>L</w:t>
      </w:r>
      <w:r w:rsidRPr="00FC6F34">
        <w:rPr>
          <w:rFonts w:ascii="Verdana" w:eastAsia="Times New Roman" w:hAnsi="Verdana" w:cs="Arial"/>
          <w:lang w:val="es-ES" w:eastAsia="es-CO"/>
        </w:rPr>
        <w:t xml:space="preserve">a Ley 996 de 2005, conocida como “Ley de Garantías Electorales”, </w:t>
      </w:r>
      <w:r>
        <w:rPr>
          <w:rFonts w:ascii="Verdana" w:eastAsia="Times New Roman" w:hAnsi="Verdana" w:cs="Arial"/>
          <w:lang w:val="es-ES" w:eastAsia="es-CO"/>
        </w:rPr>
        <w:t>hace parte de</w:t>
      </w:r>
      <w:r w:rsidRPr="00FC6F34">
        <w:rPr>
          <w:rFonts w:ascii="Verdana" w:eastAsia="Times New Roman" w:hAnsi="Verdana" w:cs="Arial"/>
          <w:lang w:val="es-ES" w:eastAsia="es-CO"/>
        </w:rPr>
        <w:t>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315A579D" w14:textId="77777777" w:rsidR="001B091E" w:rsidRPr="00FC6F34" w:rsidRDefault="001B091E" w:rsidP="001B091E">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1DFE565" w14:textId="77777777" w:rsidR="001B091E" w:rsidRPr="00FC6F34" w:rsidRDefault="001B091E" w:rsidP="001B091E">
      <w:pPr>
        <w:spacing w:after="0" w:line="276" w:lineRule="auto"/>
        <w:ind w:right="709"/>
        <w:jc w:val="both"/>
        <w:rPr>
          <w:rFonts w:ascii="Verdana" w:eastAsia="Times New Roman" w:hAnsi="Verdana" w:cs="Arial"/>
          <w:lang w:val="es-ES" w:eastAsia="es-CO"/>
        </w:rPr>
      </w:pPr>
    </w:p>
    <w:p w14:paraId="357038D8" w14:textId="77777777" w:rsidR="001B091E" w:rsidRPr="00FC6F34" w:rsidRDefault="001B091E" w:rsidP="001B091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D4198B4" w14:textId="77777777" w:rsidR="001B091E" w:rsidRPr="00FC6F34" w:rsidRDefault="001B091E" w:rsidP="001B091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488BE9E3" w14:textId="77777777" w:rsidR="001B091E" w:rsidRPr="00FC6F34" w:rsidRDefault="001B091E" w:rsidP="001B091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3A9881A8" w14:textId="77777777" w:rsidR="001B091E" w:rsidRPr="00FC6F34" w:rsidRDefault="001B091E" w:rsidP="001B091E">
      <w:pPr>
        <w:spacing w:after="0" w:line="276" w:lineRule="auto"/>
        <w:ind w:firstLine="709"/>
        <w:jc w:val="both"/>
        <w:rPr>
          <w:rFonts w:ascii="Verdana" w:eastAsia="Times New Roman" w:hAnsi="Verdana" w:cs="Arial"/>
          <w:lang w:val="es-ES" w:eastAsia="es-CO"/>
        </w:rPr>
      </w:pPr>
    </w:p>
    <w:p w14:paraId="07B2DBDB" w14:textId="77777777" w:rsidR="001B091E" w:rsidRPr="00FC6F34" w:rsidRDefault="001B091E" w:rsidP="001B091E">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lastRenderedPageBreak/>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3A92185" w14:textId="77777777" w:rsidR="001B091E" w:rsidRPr="00FC6F34" w:rsidRDefault="001B091E" w:rsidP="001B091E">
      <w:pPr>
        <w:spacing w:after="0" w:line="276" w:lineRule="auto"/>
        <w:ind w:firstLine="709"/>
        <w:jc w:val="both"/>
        <w:rPr>
          <w:rFonts w:ascii="Verdana" w:eastAsia="Times New Roman" w:hAnsi="Verdana" w:cs="Arial"/>
          <w:lang w:val="es-ES" w:eastAsia="es-CO"/>
        </w:rPr>
      </w:pPr>
    </w:p>
    <w:p w14:paraId="3A77D7AA" w14:textId="77777777" w:rsidR="001B091E" w:rsidRPr="00FC6F34" w:rsidRDefault="001B091E" w:rsidP="001B091E">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2996169" w14:textId="77777777" w:rsidR="001B091E" w:rsidRPr="00FC6F34" w:rsidRDefault="001B091E" w:rsidP="001B091E">
      <w:pPr>
        <w:spacing w:after="0" w:line="240" w:lineRule="auto"/>
        <w:ind w:right="709"/>
        <w:jc w:val="both"/>
        <w:rPr>
          <w:rFonts w:ascii="Verdana" w:eastAsia="Times New Roman" w:hAnsi="Verdana" w:cs="Arial"/>
          <w:lang w:val="es-ES" w:eastAsia="es-CO"/>
        </w:rPr>
      </w:pPr>
    </w:p>
    <w:p w14:paraId="713ACC03" w14:textId="77777777" w:rsidR="001B091E" w:rsidRPr="00FC6F34" w:rsidRDefault="001B091E" w:rsidP="001B091E">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77B18B3E" w14:textId="77777777" w:rsidR="001B091E" w:rsidRPr="00FC6F34" w:rsidRDefault="001B091E" w:rsidP="001B091E">
      <w:pPr>
        <w:spacing w:after="0" w:line="276" w:lineRule="auto"/>
        <w:jc w:val="both"/>
        <w:rPr>
          <w:rFonts w:ascii="Verdana" w:eastAsia="Calibri" w:hAnsi="Verdana" w:cs="Arial"/>
          <w:bCs/>
          <w:lang w:val="es-ES"/>
        </w:rPr>
      </w:pPr>
    </w:p>
    <w:p w14:paraId="7137C8F9" w14:textId="77777777" w:rsidR="001B091E" w:rsidRPr="00FC6F34" w:rsidRDefault="001B091E" w:rsidP="001B091E">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w:t>
      </w:r>
      <w:r w:rsidRPr="00FC6F34">
        <w:rPr>
          <w:rFonts w:ascii="Verdana" w:eastAsia="Arial" w:hAnsi="Verdana" w:cs="Arial"/>
          <w:lang w:val="es-ES" w:eastAsia="es-ES" w:bidi="es-ES"/>
        </w:rPr>
        <w:lastRenderedPageBreak/>
        <w:t xml:space="preserve">aumentó las garantías en materia de contratación, de forma que no exista siquiera sospecha de que, por ese medio, en los periodos previos a la contienda electoral, se alteren las condiciones de igualdad entre los candidatos. </w:t>
      </w:r>
    </w:p>
    <w:p w14:paraId="0425F79D" w14:textId="77777777" w:rsidR="001B091E" w:rsidRPr="00FC6F34" w:rsidRDefault="001B091E" w:rsidP="001B091E">
      <w:pPr>
        <w:spacing w:after="0" w:line="276" w:lineRule="auto"/>
        <w:ind w:firstLine="709"/>
        <w:jc w:val="both"/>
        <w:rPr>
          <w:rFonts w:ascii="Verdana" w:eastAsia="Arial" w:hAnsi="Verdana" w:cs="Arial"/>
          <w:lang w:val="es-ES" w:eastAsia="es-ES" w:bidi="es-ES"/>
        </w:rPr>
      </w:pPr>
    </w:p>
    <w:p w14:paraId="3F98FEF4" w14:textId="77777777" w:rsidR="001B091E" w:rsidRPr="00FC6F34" w:rsidRDefault="001B091E" w:rsidP="001B091E">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sidRPr="00FC6F34">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6B79A3F7" w14:textId="77777777" w:rsidR="001B091E" w:rsidRPr="00FC6F34" w:rsidRDefault="001B091E" w:rsidP="001B091E">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349425F4" w14:textId="77777777" w:rsidR="001B091E" w:rsidRPr="00FC6F34" w:rsidRDefault="001B091E" w:rsidP="001B091E">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de la Ley 996 de 2005 prevé una restricción</w:t>
      </w:r>
      <w:r>
        <w:rPr>
          <w:rFonts w:ascii="Verdana" w:eastAsia="Calibri" w:hAnsi="Verdana" w:cs="Arial"/>
          <w:lang w:val="es-ES"/>
        </w:rPr>
        <w:t xml:space="preserve"> </w:t>
      </w:r>
      <w:r w:rsidRPr="00FC6F34">
        <w:rPr>
          <w:rFonts w:ascii="Verdana" w:eastAsia="Calibri" w:hAnsi="Verdana" w:cs="Arial"/>
          <w:lang w:val="es-ES"/>
        </w:rPr>
        <w:t xml:space="preserve">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w:t>
      </w:r>
      <w:r>
        <w:rPr>
          <w:rFonts w:ascii="Verdana" w:eastAsia="Calibri" w:hAnsi="Verdana" w:cs="Arial"/>
          <w:lang w:val="es-ES"/>
        </w:rPr>
        <w:t xml:space="preserve">de manera expresa </w:t>
      </w:r>
      <w:r w:rsidRPr="00FC6F34">
        <w:rPr>
          <w:rFonts w:ascii="Verdana" w:eastAsia="Calibri" w:hAnsi="Verdana" w:cs="Arial"/>
          <w:lang w:val="es-ES"/>
        </w:rPr>
        <w:t>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3280D8C9" w14:textId="77777777" w:rsidR="001B091E" w:rsidRPr="00FC6F34" w:rsidRDefault="001B091E" w:rsidP="001B091E">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señala:</w:t>
      </w:r>
    </w:p>
    <w:p w14:paraId="14095404" w14:textId="77777777" w:rsidR="001B091E" w:rsidRPr="00FC6F34" w:rsidRDefault="001B091E" w:rsidP="001B091E">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4E8CB62" w14:textId="77777777" w:rsidR="001B091E" w:rsidRPr="00FC6F34" w:rsidRDefault="001B091E" w:rsidP="001B091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31CF55B4" w14:textId="77777777" w:rsidR="001B091E" w:rsidRPr="00FC6F34" w:rsidRDefault="001B091E" w:rsidP="001B091E">
      <w:pPr>
        <w:widowControl w:val="0"/>
        <w:autoSpaceDE w:val="0"/>
        <w:autoSpaceDN w:val="0"/>
        <w:spacing w:after="0" w:line="276" w:lineRule="auto"/>
        <w:contextualSpacing/>
        <w:rPr>
          <w:rFonts w:ascii="Verdana" w:eastAsia="Arial" w:hAnsi="Verdana" w:cs="Arial"/>
          <w:lang w:val="es-ES" w:eastAsia="es-ES" w:bidi="es-ES"/>
        </w:rPr>
      </w:pPr>
    </w:p>
    <w:p w14:paraId="7A17B1D4" w14:textId="77777777" w:rsidR="001B091E" w:rsidRPr="00FC6F34" w:rsidRDefault="001B091E" w:rsidP="001B091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w:t>
      </w:r>
      <w:r>
        <w:rPr>
          <w:rFonts w:ascii="Verdana" w:eastAsia="Arial" w:hAnsi="Verdana" w:cs="Arial"/>
          <w:lang w:val="es-ES" w:eastAsia="es-ES" w:bidi="es-ES"/>
        </w:rPr>
        <w:t xml:space="preserve">por parte de cualquier ente público </w:t>
      </w:r>
      <w:r w:rsidRPr="00FC6F34">
        <w:rPr>
          <w:rFonts w:ascii="Verdana" w:eastAsia="Arial" w:hAnsi="Verdana" w:cs="Arial"/>
          <w:lang w:val="es-ES" w:eastAsia="es-ES" w:bidi="es-ES"/>
        </w:rPr>
        <w:t xml:space="preserve">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interadministrativos que impliquen la ejecución de recursos </w:t>
      </w:r>
      <w:r w:rsidRPr="00FC6F34">
        <w:rPr>
          <w:rFonts w:ascii="Verdana" w:eastAsia="Arial" w:hAnsi="Verdana" w:cs="Arial"/>
          <w:lang w:val="es-ES" w:eastAsia="es-ES" w:bidi="es-ES"/>
        </w:rPr>
        <w:lastRenderedPageBreak/>
        <w:t xml:space="preserve">públicos </w:t>
      </w:r>
      <w:r>
        <w:rPr>
          <w:rFonts w:ascii="Verdana" w:eastAsia="Arial" w:hAnsi="Verdana" w:cs="Arial"/>
          <w:lang w:val="es-ES" w:eastAsia="es-ES" w:bidi="es-ES"/>
        </w:rPr>
        <w:t xml:space="preserve">por parte de los sujetos allí establecidos </w:t>
      </w:r>
      <w:r w:rsidRPr="00FC6F34">
        <w:rPr>
          <w:rFonts w:ascii="Verdana" w:eastAsia="Arial" w:hAnsi="Verdana" w:cs="Arial"/>
          <w:lang w:val="es-ES" w:eastAsia="es-ES" w:bidi="es-ES"/>
        </w:rPr>
        <w:t>dentro de los cuatro (4) meses anteriores a la respectiva jornada de votaciones.</w:t>
      </w:r>
    </w:p>
    <w:p w14:paraId="7A0E113E" w14:textId="77777777" w:rsidR="001B091E" w:rsidRPr="00FC6F34" w:rsidRDefault="001B091E" w:rsidP="001B091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w:t>
      </w:r>
      <w:r>
        <w:rPr>
          <w:rFonts w:ascii="Verdana" w:eastAsia="Arial" w:hAnsi="Verdana" w:cs="Arial"/>
          <w:lang w:val="es-ES" w:eastAsia="es-ES" w:bidi="es-ES"/>
        </w:rPr>
        <w:t xml:space="preserve">los sujetos allí mencionados </w:t>
      </w:r>
      <w:r w:rsidRPr="00FC6F34">
        <w:rPr>
          <w:rFonts w:ascii="Verdana" w:eastAsia="Arial" w:hAnsi="Verdana" w:cs="Arial"/>
          <w:lang w:val="es-ES" w:eastAsia="es-ES" w:bidi="es-ES"/>
        </w:rPr>
        <w:t>sólo deben aplicar las restricciones contenidas en el parágrafo del artículo 38.</w:t>
      </w:r>
    </w:p>
    <w:p w14:paraId="08B861DA" w14:textId="77777777" w:rsidR="001B091E" w:rsidRPr="00FC6F34" w:rsidRDefault="001B091E" w:rsidP="001B091E">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248E9215" w14:textId="77777777" w:rsidR="001B091E" w:rsidRPr="00FC6F34" w:rsidRDefault="001B091E" w:rsidP="001B091E">
      <w:pPr>
        <w:spacing w:after="0" w:line="276" w:lineRule="auto"/>
        <w:ind w:firstLine="709"/>
        <w:jc w:val="both"/>
        <w:rPr>
          <w:rFonts w:ascii="Verdana" w:eastAsia="Arial" w:hAnsi="Verdana" w:cs="Arial"/>
          <w:lang w:val="es-ES" w:eastAsia="es-ES" w:bidi="es-ES"/>
        </w:rPr>
      </w:pPr>
    </w:p>
    <w:p w14:paraId="0C86F7B7" w14:textId="77777777" w:rsidR="001B091E" w:rsidRPr="00FC6F34" w:rsidRDefault="001B091E" w:rsidP="001B091E">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w:t>
      </w:r>
      <w:r>
        <w:rPr>
          <w:rFonts w:ascii="Verdana" w:eastAsia="Calibri" w:hAnsi="Verdana" w:cs="Arial"/>
          <w:lang w:val="es-ES"/>
        </w:rPr>
        <w:t>ii</w:t>
      </w:r>
      <w:proofErr w:type="spellEnd"/>
      <w:r w:rsidRPr="00FC6F34">
        <w:rPr>
          <w:rFonts w:ascii="Verdana" w:eastAsia="Calibri" w:hAnsi="Verdana" w:cs="Arial"/>
          <w:lang w:val="es-ES"/>
        </w:rPr>
        <w:t xml:space="preserve">) </w:t>
      </w:r>
      <w:r w:rsidRPr="00FC6F34">
        <w:rPr>
          <w:rFonts w:ascii="Verdana" w:eastAsia="Times New Roman" w:hAnsi="Verdana" w:cs="Arial"/>
          <w:lang w:val="es-ES"/>
        </w:rPr>
        <w:t xml:space="preserve">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w:t>
      </w:r>
      <w:r w:rsidRPr="00FC6F34">
        <w:rPr>
          <w:rFonts w:ascii="Verdana" w:eastAsia="Calibri" w:hAnsi="Verdana" w:cs="Arial"/>
          <w:lang w:val="es-ES" w:eastAsia="es-ES" w:bidi="es-ES"/>
        </w:rPr>
        <w:t xml:space="preserve">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artículo 33 de la Ley 996 de 2005</w:t>
      </w:r>
      <w:r>
        <w:rPr>
          <w:rFonts w:ascii="Verdana" w:eastAsia="Times New Roman" w:hAnsi="Verdana" w:cs="Arial"/>
          <w:lang w:val="es-ES"/>
        </w:rPr>
        <w:t xml:space="preserve"> </w:t>
      </w:r>
      <w:r w:rsidRPr="00FC6F34">
        <w:rPr>
          <w:rFonts w:ascii="Verdana" w:eastAsia="Times New Roman" w:hAnsi="Verdana" w:cs="Arial"/>
          <w:lang w:val="es-ES"/>
        </w:rPr>
        <w:t xml:space="preserve">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Pr>
          <w:rFonts w:ascii="Verdana" w:eastAsia="Times New Roman" w:hAnsi="Verdana" w:cs="Arial"/>
          <w:lang w:val="es-ES"/>
        </w:rPr>
        <w:t xml:space="preserve">. </w:t>
      </w:r>
      <w:r>
        <w:rPr>
          <w:rFonts w:ascii="Verdana" w:eastAsia="Calibri" w:hAnsi="Verdana" w:cs="Arial"/>
          <w:lang w:val="es-ES"/>
        </w:rPr>
        <w:t>Sobre</w:t>
      </w:r>
      <w:r w:rsidRPr="00FC6F34">
        <w:rPr>
          <w:rFonts w:ascii="Verdana" w:eastAsia="Times New Roman" w:hAnsi="Verdana" w:cs="Arial"/>
          <w:lang w:val="es-ES" w:eastAsia="es-CO"/>
        </w:rPr>
        <w:t xml:space="preserve"> esta restricción, la Sala de Consulta y Servicio Civil del Consejo de Estado ha considerado que:</w:t>
      </w:r>
    </w:p>
    <w:p w14:paraId="30D9D0EB" w14:textId="77777777" w:rsidR="001B091E" w:rsidRPr="00FC6F34" w:rsidRDefault="001B091E" w:rsidP="001B091E">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w:t>
      </w:r>
      <w:r w:rsidRPr="00FC6F34">
        <w:rPr>
          <w:rFonts w:ascii="Verdana" w:eastAsia="Calibri" w:hAnsi="Verdana" w:cs="Arial"/>
          <w:sz w:val="20"/>
          <w:szCs w:val="20"/>
          <w:lang w:val="es-ES"/>
        </w:rPr>
        <w:lastRenderedPageBreak/>
        <w:t>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2F308C02" w14:textId="77777777" w:rsidR="001B091E" w:rsidRPr="00FC6F34" w:rsidRDefault="001B091E" w:rsidP="001B091E">
      <w:pPr>
        <w:shd w:val="clear" w:color="auto" w:fill="FFFFFF" w:themeFill="background1"/>
        <w:spacing w:after="0" w:line="276" w:lineRule="auto"/>
        <w:ind w:firstLine="709"/>
        <w:jc w:val="both"/>
        <w:rPr>
          <w:rFonts w:ascii="Verdana" w:eastAsia="Times New Roman" w:hAnsi="Verdana" w:cs="Arial"/>
          <w:lang w:val="es-ES" w:eastAsia="x-none"/>
        </w:rPr>
      </w:pPr>
    </w:p>
    <w:p w14:paraId="7477EAE3" w14:textId="77777777" w:rsidR="001B091E" w:rsidRPr="00FC6F34" w:rsidRDefault="001B091E" w:rsidP="001B091E">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56189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377AEF37" w14:textId="77777777" w:rsidR="001B091E" w:rsidRPr="00FC6F34" w:rsidRDefault="001B091E" w:rsidP="001B091E">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0237E86D" w14:textId="77777777" w:rsidR="001B091E" w:rsidRPr="00FC6F34" w:rsidRDefault="001B091E" w:rsidP="001B091E">
      <w:pPr>
        <w:spacing w:after="0" w:line="276" w:lineRule="auto"/>
        <w:ind w:firstLine="708"/>
        <w:jc w:val="both"/>
        <w:rPr>
          <w:rFonts w:ascii="Verdana" w:eastAsia="Times New Roman" w:hAnsi="Verdana" w:cs="Arial"/>
          <w:lang w:val="es-ES"/>
        </w:rPr>
      </w:pPr>
      <w:r w:rsidRPr="003A34B7">
        <w:rPr>
          <w:rFonts w:ascii="Verdana" w:eastAsia="Times New Roman" w:hAnsi="Verdana" w:cs="Arial"/>
          <w:lang w:val="es-ES"/>
        </w:rPr>
        <w:lastRenderedPageBreak/>
        <w:t xml:space="preserve">De lo anterior se desprende que la restricción aplica, sin perjuicio de las excepciones establecidas en la misma ley, para celebrar </w:t>
      </w:r>
      <w:r w:rsidRPr="003A34B7">
        <w:rPr>
          <w:rFonts w:ascii="Verdana" w:eastAsia="Times New Roman" w:hAnsi="Verdana" w:cs="Arial"/>
          <w:i/>
          <w:iCs/>
          <w:lang w:val="es-ES"/>
        </w:rPr>
        <w:t>cualquier contrato o convenio de forma directa</w:t>
      </w:r>
      <w:r w:rsidRPr="003A34B7">
        <w:rPr>
          <w:rFonts w:ascii="Verdana" w:eastAsia="Times New Roman" w:hAnsi="Verdana" w:cs="Arial"/>
          <w:lang w:val="es-ES"/>
        </w:rPr>
        <w:t>, esto es, sin que exista un proceso abierto y competitivo. En</w:t>
      </w:r>
      <w:r>
        <w:rPr>
          <w:rFonts w:ascii="Verdana" w:eastAsia="Times New Roman" w:hAnsi="Verdana" w:cs="Arial"/>
          <w:lang w:val="es-ES"/>
        </w:rPr>
        <w:t xml:space="preserve"> contraste, n</w:t>
      </w:r>
      <w:r w:rsidRPr="00FC6F34">
        <w:rPr>
          <w:rFonts w:ascii="Verdana" w:eastAsia="Times New Roman" w:hAnsi="Verdana" w:cs="Arial"/>
          <w:lang w:val="es-ES"/>
        </w:rPr>
        <w:t>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5DC501A" w14:textId="77777777" w:rsidR="001B091E" w:rsidRPr="00FC6F34" w:rsidRDefault="001B091E" w:rsidP="001B091E">
      <w:pPr>
        <w:spacing w:after="0" w:line="276" w:lineRule="auto"/>
        <w:ind w:firstLine="708"/>
        <w:jc w:val="both"/>
        <w:rPr>
          <w:rFonts w:ascii="Verdana" w:eastAsia="Times New Roman" w:hAnsi="Verdana" w:cs="Arial"/>
          <w:lang w:val="es-ES"/>
        </w:rPr>
      </w:pPr>
    </w:p>
    <w:p w14:paraId="5FF9B942" w14:textId="77777777" w:rsidR="001B091E" w:rsidRPr="00FC6F34" w:rsidRDefault="001B091E" w:rsidP="001B091E">
      <w:pPr>
        <w:spacing w:after="0" w:line="276" w:lineRule="auto"/>
        <w:jc w:val="both"/>
        <w:rPr>
          <w:rFonts w:ascii="Verdana" w:eastAsia="Times New Roman" w:hAnsi="Verdana" w:cs="Arial"/>
          <w:lang w:val="es-ES"/>
        </w:rPr>
      </w:pPr>
      <w:proofErr w:type="spellStart"/>
      <w:r>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0A44F238" w14:textId="77777777" w:rsidR="001B091E" w:rsidRPr="00FC6F34" w:rsidRDefault="001B091E" w:rsidP="001B091E">
      <w:pPr>
        <w:spacing w:after="0" w:line="276" w:lineRule="auto"/>
        <w:ind w:firstLine="708"/>
        <w:jc w:val="both"/>
        <w:rPr>
          <w:rFonts w:ascii="Verdana" w:eastAsia="Times New Roman" w:hAnsi="Verdana" w:cs="Arial"/>
          <w:lang w:val="es-ES"/>
        </w:rPr>
      </w:pPr>
    </w:p>
    <w:p w14:paraId="120D0EA3" w14:textId="77777777" w:rsidR="001B091E" w:rsidRPr="00FC6F34" w:rsidRDefault="001B091E" w:rsidP="001B091E">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FootnoteReferenc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19F730D9" w14:textId="77777777" w:rsidR="001B091E" w:rsidRPr="00FC6F34" w:rsidRDefault="001B091E" w:rsidP="001B091E">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Pr>
          <w:rFonts w:ascii="Verdana" w:hAnsi="Verdana" w:cs="Arial"/>
          <w:bCs/>
          <w:lang w:val="es-ES" w:eastAsia="x-none"/>
        </w:rPr>
        <w:t>T</w:t>
      </w:r>
      <w:r w:rsidRPr="00FC6F34">
        <w:rPr>
          <w:rFonts w:ascii="Verdana" w:hAnsi="Verdana" w:cs="Arial"/>
          <w:bCs/>
          <w:lang w:val="es-ES" w:eastAsia="x-none"/>
        </w:rPr>
        <w:t>al como lo ha sostenido el Consejo de Estado, el vocablo “todos” utilizado por</w:t>
      </w:r>
      <w:r>
        <w:rPr>
          <w:rFonts w:ascii="Verdana" w:hAnsi="Verdana" w:cs="Arial"/>
          <w:bCs/>
          <w:lang w:val="es-ES" w:eastAsia="x-none"/>
        </w:rPr>
        <w:t xml:space="preserve"> </w:t>
      </w:r>
      <w:r w:rsidRPr="00FC6F34">
        <w:rPr>
          <w:rFonts w:ascii="Verdana" w:hAnsi="Verdana" w:cs="Arial"/>
          <w:bCs/>
          <w:lang w:val="es-ES" w:eastAsia="x-none"/>
        </w:rPr>
        <w:t>el legislador comprende</w:t>
      </w:r>
      <w:r w:rsidRPr="00FC6F34">
        <w:rPr>
          <w:rFonts w:ascii="Verdana" w:hAnsi="Verdana"/>
          <w:lang w:val="es-ES"/>
        </w:rPr>
        <w:t xml:space="preserve"> </w:t>
      </w:r>
      <w:r w:rsidRPr="00FC6F34">
        <w:rPr>
          <w:rFonts w:ascii="Verdana" w:hAnsi="Verdana" w:cs="Arial"/>
          <w:bCs/>
          <w:lang w:val="es-ES" w:eastAsia="x-none"/>
        </w:rPr>
        <w:t xml:space="preserve">a la </w:t>
      </w:r>
      <w:r w:rsidRPr="00561896">
        <w:rPr>
          <w:rFonts w:ascii="Verdana" w:hAnsi="Verdana" w:cs="Arial"/>
          <w:bCs/>
          <w:i/>
          <w:iCs/>
          <w:lang w:val="es-ES" w:eastAsia="x-none"/>
        </w:rPr>
        <w:t>totalidad</w:t>
      </w:r>
      <w:r w:rsidRPr="00FC6F34">
        <w:rPr>
          <w:rFonts w:ascii="Verdana" w:hAnsi="Verdana" w:cs="Arial"/>
          <w:bCs/>
          <w:lang w:val="es-ES" w:eastAsia="x-none"/>
        </w:rPr>
        <w:t xml:space="preserve">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FootnoteReferenc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3B19C010" w14:textId="77777777" w:rsidR="001B091E" w:rsidRPr="00FC6F34" w:rsidRDefault="001B091E" w:rsidP="001B091E">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lastRenderedPageBreak/>
        <w:t>Por lo tanto, la restricción del artículo 33 prevista en la Ley 996 de 2005</w:t>
      </w:r>
      <w:r>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 xml:space="preserve">cobija a cualquier ente público </w:t>
      </w:r>
      <w:r>
        <w:rPr>
          <w:rFonts w:ascii="Verdana" w:eastAsia="Arial" w:hAnsi="Verdana" w:cs="Arial"/>
          <w:color w:val="000000" w:themeColor="text1"/>
          <w:lang w:val="es-ES"/>
        </w:rPr>
        <w:t xml:space="preserve">que pretenda celebrar contratos de manera directa, independientemente de la naturaleza de la contraparte con quien los suscriba. Lo anterior incluye a aquellos entes públicos de </w:t>
      </w:r>
      <w:r w:rsidRPr="00FC6F34">
        <w:rPr>
          <w:rFonts w:ascii="Verdana" w:eastAsia="Arial" w:hAnsi="Verdana" w:cs="Arial"/>
          <w:color w:val="000000" w:themeColor="text1"/>
          <w:lang w:val="es-ES"/>
        </w:rPr>
        <w:t>régimen especial</w:t>
      </w:r>
      <w:r>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65E9E75F" w14:textId="77777777" w:rsidR="001B091E" w:rsidRPr="00FC6F34" w:rsidRDefault="001B091E" w:rsidP="001B091E">
      <w:pPr>
        <w:spacing w:before="120" w:line="276" w:lineRule="auto"/>
        <w:ind w:firstLine="709"/>
        <w:jc w:val="both"/>
        <w:rPr>
          <w:rFonts w:ascii="Verdana" w:hAnsi="Verdana" w:cs="Arial"/>
          <w:bCs/>
          <w:color w:val="000000" w:themeColor="text1"/>
          <w:lang w:val="es-ES"/>
        </w:rPr>
      </w:pPr>
      <w:r>
        <w:rPr>
          <w:rFonts w:ascii="Verdana" w:eastAsia="Arial" w:hAnsi="Verdana" w:cs="Arial"/>
          <w:bCs/>
          <w:color w:val="000000" w:themeColor="text1"/>
          <w:lang w:val="es-ES"/>
        </w:rPr>
        <w:t xml:space="preserve">Por lo anterior, </w:t>
      </w:r>
      <w:r w:rsidRPr="00FC6F34">
        <w:rPr>
          <w:rFonts w:ascii="Verdana" w:eastAsia="Arial" w:hAnsi="Verdana" w:cs="Arial"/>
          <w:bCs/>
          <w:color w:val="000000" w:themeColor="text1"/>
          <w:lang w:val="es-ES"/>
        </w:rPr>
        <w:t xml:space="preserve">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595E253D" w14:textId="77777777" w:rsidR="001B091E" w:rsidRPr="00FC6F34" w:rsidRDefault="001B091E" w:rsidP="001B091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1</w:t>
      </w:r>
      <w:r w:rsidRPr="00FC6F34">
        <w:rPr>
          <w:rFonts w:ascii="Verdana" w:hAnsi="Verdana" w:cs="Arial"/>
          <w:bCs/>
          <w:color w:val="000000" w:themeColor="text1"/>
          <w:lang w:val="es-ES"/>
        </w:rPr>
        <w:t>) La contratación referente a la defensa y seguridad del Estado;</w:t>
      </w:r>
    </w:p>
    <w:p w14:paraId="0BC78D6C" w14:textId="77777777" w:rsidR="001B091E" w:rsidRPr="00FC6F34" w:rsidRDefault="001B091E" w:rsidP="001B091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0189302B" w14:textId="77777777" w:rsidR="001B091E" w:rsidRPr="00FC6F34" w:rsidRDefault="001B091E" w:rsidP="001B091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0709A37D" w14:textId="77777777" w:rsidR="001B091E" w:rsidRPr="00FC6F34" w:rsidRDefault="001B091E" w:rsidP="001B091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17D198ED" w14:textId="77777777" w:rsidR="001B091E" w:rsidRPr="00FC6F34" w:rsidRDefault="001B091E" w:rsidP="001B091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5EE48903" w14:textId="77777777" w:rsidR="001B091E" w:rsidRPr="00FC6F34" w:rsidRDefault="001B091E" w:rsidP="001B091E">
      <w:pPr>
        <w:spacing w:before="240" w:line="276" w:lineRule="auto"/>
        <w:ind w:firstLine="708"/>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lastRenderedPageBreak/>
        <w:footnoteReference w:id="18"/>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069102C" w14:textId="77777777" w:rsidR="001B091E" w:rsidRPr="00153204" w:rsidRDefault="001B091E" w:rsidP="001B091E">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r w:rsidRPr="00153204">
        <w:rPr>
          <w:rFonts w:ascii="Verdana" w:hAnsi="Verdana" w:cs="Arial"/>
          <w:color w:val="000000" w:themeColor="text1"/>
          <w:lang w:val="es-ES"/>
        </w:rPr>
        <w:t xml:space="preserve">“[…] </w:t>
      </w:r>
      <w:r w:rsidRPr="00153204">
        <w:rPr>
          <w:rFonts w:ascii="Verdana" w:hAnsi="Verdana" w:cs="Arial"/>
          <w:i/>
          <w:color w:val="000000" w:themeColor="text1"/>
          <w:lang w:val="es-ES"/>
        </w:rPr>
        <w:t xml:space="preserve">Las excepciones aplicables a la restricción de contratación pública </w:t>
      </w:r>
      <w:r w:rsidRPr="00153204">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153204">
        <w:rPr>
          <w:rFonts w:ascii="Verdana" w:hAnsi="Verdana" w:cs="Arial"/>
          <w:color w:val="000000" w:themeColor="text1"/>
          <w:shd w:val="clear" w:color="auto" w:fill="FFFFFF"/>
          <w:vertAlign w:val="superscript"/>
          <w:lang w:val="es-ES"/>
        </w:rPr>
        <w:footnoteReference w:id="19"/>
      </w:r>
      <w:r w:rsidRPr="00153204">
        <w:rPr>
          <w:rFonts w:ascii="Verdana" w:hAnsi="Verdana" w:cs="Arial"/>
          <w:color w:val="000000" w:themeColor="text1"/>
          <w:shd w:val="clear" w:color="auto" w:fill="FFFFFF"/>
          <w:lang w:val="es-ES"/>
        </w:rPr>
        <w:t>.</w:t>
      </w:r>
    </w:p>
    <w:p w14:paraId="599E1C22" w14:textId="77777777" w:rsidR="001B091E" w:rsidRPr="00FC6F34" w:rsidRDefault="001B091E" w:rsidP="001B091E">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Lo anterior implica que las excepciones al artículo 33 en comento deben interpretarse y aplicarse de manera </w:t>
      </w:r>
      <w:r w:rsidRPr="002D4C10">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21AA2E61" w14:textId="77777777" w:rsidR="001B091E" w:rsidRDefault="001B091E" w:rsidP="001B091E">
      <w:pPr>
        <w:spacing w:before="240" w:line="276" w:lineRule="auto"/>
        <w:jc w:val="both"/>
        <w:rPr>
          <w:rFonts w:ascii="Verdana" w:hAnsi="Verdana" w:cs="Arial"/>
          <w:lang w:val="es-ES"/>
        </w:rPr>
      </w:pPr>
      <w:r>
        <w:rPr>
          <w:rFonts w:ascii="Verdana" w:eastAsia="Arial" w:hAnsi="Verdana" w:cs="Arial"/>
          <w:bCs/>
          <w:color w:val="000000" w:themeColor="text1"/>
          <w:lang w:val="es-ES"/>
        </w:rPr>
        <w:t xml:space="preserve">v) Por otro lado,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 xml:space="preserve">de la Ley 996 de 2005 dispone que “los Gobernadores, Alcaldes Municipales y/o Distritales, Secretarios, Gerentes y directores de Entidades Descentralizadas del orden Municipal, Departamental o Distrital, dentro de los cuatro (4) meses anteriores a las elecciones, no podrán celebrar </w:t>
      </w:r>
      <w:r w:rsidRPr="002D4C10">
        <w:rPr>
          <w:rFonts w:ascii="Verdana" w:eastAsia="Calibri" w:hAnsi="Verdana" w:cs="Arial"/>
          <w:bCs/>
          <w:i/>
          <w:iCs/>
          <w:lang w:val="es-ES"/>
        </w:rPr>
        <w:t>convenios interadministrativos</w:t>
      </w:r>
      <w:r w:rsidRPr="00FC6F34">
        <w:rPr>
          <w:rFonts w:ascii="Verdana" w:eastAsia="Calibri" w:hAnsi="Verdana" w:cs="Arial"/>
          <w:bCs/>
          <w:lang w:val="es-ES"/>
        </w:rPr>
        <w:t xml:space="preserve"> para la ejecución de recursos públicos”.</w:t>
      </w:r>
      <w:r w:rsidRPr="00FC6F34">
        <w:rPr>
          <w:rFonts w:ascii="Verdana" w:hAnsi="Verdana" w:cs="Arial"/>
          <w:bCs/>
          <w:iCs/>
          <w:lang w:val="es-ES" w:eastAsia="x-none"/>
        </w:rPr>
        <w:t xml:space="preserve"> Los convenios interadministrativos que se restringen en el parágrafo del artículo 38 de la Ley 996 de 2005, son únicamente aquellos en que se dispone la ejecución de recursos públicos, para </w:t>
      </w:r>
      <w:r w:rsidRPr="00FC6F34">
        <w:rPr>
          <w:rFonts w:ascii="Verdana" w:hAnsi="Verdana" w:cs="Arial"/>
          <w:bCs/>
          <w:iCs/>
          <w:lang w:val="es-ES" w:eastAsia="x-none"/>
        </w:rPr>
        <w:lastRenderedPageBreak/>
        <w:t>evitar que mediante la suscripción de estos se comprometa el erario con fines políticos o partidistas</w:t>
      </w:r>
      <w:r w:rsidRPr="00FC6F34">
        <w:rPr>
          <w:rStyle w:val="FootnoteReference"/>
          <w:rFonts w:ascii="Verdana" w:hAnsi="Verdana" w:cs="Arial"/>
          <w:bCs/>
          <w:iCs/>
          <w:lang w:val="es-ES" w:eastAsia="x-none"/>
        </w:rPr>
        <w:footnoteReference w:id="20"/>
      </w:r>
      <w:r w:rsidRPr="00FC6F34">
        <w:rPr>
          <w:rFonts w:ascii="Verdana" w:hAnsi="Verdana" w:cs="Arial"/>
          <w:bCs/>
          <w:iCs/>
          <w:lang w:val="es-ES" w:eastAsia="x-none"/>
        </w:rPr>
        <w:t>.</w:t>
      </w:r>
      <w:r w:rsidRPr="00FC6F34">
        <w:rPr>
          <w:rFonts w:ascii="Verdana" w:hAnsi="Verdana" w:cs="Arial"/>
          <w:lang w:val="es-ES"/>
        </w:rPr>
        <w:t xml:space="preserve"> </w:t>
      </w:r>
      <w:bookmarkStart w:id="3" w:name="_Hlk78820161"/>
    </w:p>
    <w:p w14:paraId="18C201ED" w14:textId="77777777" w:rsidR="001B091E" w:rsidRDefault="001B091E" w:rsidP="001B091E">
      <w:pPr>
        <w:spacing w:before="120" w:after="120" w:line="276" w:lineRule="auto"/>
        <w:ind w:firstLine="708"/>
        <w:jc w:val="both"/>
        <w:rPr>
          <w:rFonts w:ascii="Verdana" w:hAnsi="Verdana" w:cs="Arial"/>
          <w:lang w:val="es-ES"/>
        </w:rPr>
      </w:pPr>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interadministrativos</w:t>
      </w:r>
      <w:r w:rsidRPr="00FC6F34">
        <w:rPr>
          <w:rFonts w:ascii="Verdana" w:hAnsi="Verdana" w:cs="Arial"/>
          <w:lang w:val="es-ES"/>
        </w:rPr>
        <w:t xml:space="preserve">, el Decreto 1082 de 2015 califica a los convenios o contratos interadministrativos como aquella contratación </w:t>
      </w:r>
      <w:r w:rsidRPr="003A34B7">
        <w:rPr>
          <w:rFonts w:ascii="Verdana" w:hAnsi="Verdana" w:cs="Arial"/>
          <w:i/>
          <w:iCs/>
          <w:lang w:val="es-ES"/>
        </w:rPr>
        <w:t>entre entidades estatales</w:t>
      </w:r>
      <w:r w:rsidRPr="00FC6F34">
        <w:rPr>
          <w:rStyle w:val="FootnoteReference"/>
          <w:rFonts w:ascii="Verdana" w:hAnsi="Verdana" w:cs="Arial"/>
          <w:lang w:val="es-ES"/>
        </w:rPr>
        <w:footnoteReference w:id="21"/>
      </w:r>
      <w:r w:rsidRPr="00FC6F34">
        <w:rPr>
          <w:rFonts w:ascii="Verdana" w:hAnsi="Verdana" w:cs="Arial"/>
          <w:lang w:val="es-ES"/>
        </w:rPr>
        <w:t xml:space="preserve">. De acuerdo con lo anterior, el convenio interadministrativo es el acuerdo donde concurre la voluntad de </w:t>
      </w:r>
      <w:r w:rsidRPr="003A34B7">
        <w:rPr>
          <w:rFonts w:ascii="Verdana" w:hAnsi="Verdana" w:cs="Arial"/>
          <w:i/>
          <w:iCs/>
          <w:lang w:val="es-ES"/>
        </w:rPr>
        <w:t>dos o más personas jurídicas de derecho público</w:t>
      </w:r>
      <w:r w:rsidRPr="00FC6F34">
        <w:rPr>
          <w:rFonts w:ascii="Verdana" w:hAnsi="Verdana" w:cs="Arial"/>
          <w:lang w:val="es-ES"/>
        </w:rPr>
        <w:t xml:space="preserve"> con la finalidad de cumplir, en el marco de sus objetivos misionales y sus competencias, con los fines del Estado. Es decir, los convenios interadministrativos están determinados por un criterio orgánico, pues es necesario que los extremos de la relación contractual sean </w:t>
      </w:r>
      <w:r>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Pr>
          <w:rFonts w:ascii="Verdana" w:hAnsi="Verdana" w:cs="Arial"/>
          <w:lang w:val="es-ES"/>
        </w:rPr>
        <w:t>E</w:t>
      </w:r>
      <w:r w:rsidRPr="00FC6F34">
        <w:rPr>
          <w:rFonts w:ascii="Verdana" w:hAnsi="Verdana" w:cs="Arial"/>
          <w:lang w:val="es-ES"/>
        </w:rPr>
        <w:t>statales.</w:t>
      </w:r>
      <w:bookmarkStart w:id="4" w:name="_Hlk78820654"/>
      <w:bookmarkEnd w:id="3"/>
    </w:p>
    <w:p w14:paraId="65D0ADE6" w14:textId="77777777" w:rsidR="001B091E" w:rsidRDefault="001B091E" w:rsidP="001B091E">
      <w:pPr>
        <w:spacing w:before="120" w:after="120" w:line="276" w:lineRule="auto"/>
        <w:ind w:firstLine="708"/>
        <w:jc w:val="both"/>
        <w:rPr>
          <w:rFonts w:ascii="Verdana" w:hAnsi="Verdana" w:cs="Arial"/>
          <w:lang w:val="es-ES"/>
        </w:rPr>
      </w:pPr>
      <w:r w:rsidRPr="00FC6F34">
        <w:rPr>
          <w:rFonts w:ascii="Verdana" w:hAnsi="Verdana" w:cs="Arial"/>
          <w:lang w:val="es-ES"/>
        </w:rPr>
        <w:t xml:space="preserve">Si bien los convenios interadministrativos están previstos en la Ley 80 de 1993, en la Ley 1150 de 2007 y en el Decreto en el 1082 de 2015, no quiere decir que solo puedan celebrarse entre </w:t>
      </w:r>
      <w:r>
        <w:rPr>
          <w:rFonts w:ascii="Verdana" w:hAnsi="Verdana" w:cs="Arial"/>
          <w:lang w:val="es-ES"/>
        </w:rPr>
        <w:t>E</w:t>
      </w:r>
      <w:r w:rsidRPr="00FC6F34">
        <w:rPr>
          <w:rFonts w:ascii="Verdana" w:hAnsi="Verdana" w:cs="Arial"/>
          <w:lang w:val="es-ES"/>
        </w:rPr>
        <w:t xml:space="preserve">ntidades </w:t>
      </w:r>
      <w:r>
        <w:rPr>
          <w:rFonts w:ascii="Verdana" w:hAnsi="Verdana" w:cs="Arial"/>
          <w:lang w:val="es-ES"/>
        </w:rPr>
        <w:t>E</w:t>
      </w:r>
      <w:r w:rsidRPr="00FC6F34">
        <w:rPr>
          <w:rFonts w:ascii="Verdana" w:hAnsi="Verdana" w:cs="Arial"/>
          <w:lang w:val="es-ES"/>
        </w:rPr>
        <w:t xml:space="preserve">statales que apliquen el régimen de contratación allí previsto, pues una </w:t>
      </w:r>
      <w:r>
        <w:rPr>
          <w:rFonts w:ascii="Verdana" w:hAnsi="Verdana" w:cs="Arial"/>
          <w:lang w:val="es-ES"/>
        </w:rPr>
        <w:t>E</w:t>
      </w:r>
      <w:r w:rsidRPr="00FC6F34">
        <w:rPr>
          <w:rFonts w:ascii="Verdana" w:hAnsi="Verdana" w:cs="Arial"/>
          <w:lang w:val="es-ES"/>
        </w:rPr>
        <w:t xml:space="preserve">ntidad </w:t>
      </w:r>
      <w:r>
        <w:rPr>
          <w:rFonts w:ascii="Verdana" w:hAnsi="Verdana" w:cs="Arial"/>
          <w:lang w:val="es-ES"/>
        </w:rPr>
        <w:t>E</w:t>
      </w:r>
      <w:r w:rsidRPr="00FC6F34">
        <w:rPr>
          <w:rFonts w:ascii="Verdana" w:hAnsi="Verdana" w:cs="Arial"/>
          <w:lang w:val="es-ES"/>
        </w:rPr>
        <w:t xml:space="preserve">statal sometida a la Ley 80 de 1993 </w:t>
      </w:r>
      <w:r>
        <w:rPr>
          <w:rFonts w:ascii="Verdana" w:hAnsi="Verdana" w:cs="Arial"/>
          <w:lang w:val="es-ES"/>
        </w:rPr>
        <w:t xml:space="preserve">puede </w:t>
      </w:r>
      <w:r w:rsidRPr="00FC6F34">
        <w:rPr>
          <w:rFonts w:ascii="Verdana" w:hAnsi="Verdana" w:cs="Arial"/>
          <w:lang w:val="es-ES"/>
        </w:rPr>
        <w:t>celebrar esta clase de convenios con una de régimen especial y no por ello dejará de ser un convenio interadministrativo.</w:t>
      </w:r>
      <w:bookmarkEnd w:id="4"/>
      <w:r>
        <w:rPr>
          <w:rFonts w:ascii="Verdana" w:hAnsi="Verdana" w:cs="Arial"/>
          <w:lang w:val="es-ES"/>
        </w:rPr>
        <w:t xml:space="preserve"> </w:t>
      </w:r>
      <w:r w:rsidRPr="00FC6F34">
        <w:rPr>
          <w:rFonts w:ascii="Verdana" w:hAnsi="Verdana" w:cs="Arial"/>
          <w:lang w:val="es-ES"/>
        </w:rPr>
        <w:t xml:space="preserve">Teniendo en cuenta lo anterior, se reitera que los convenios interadministrativos </w:t>
      </w:r>
      <w:r>
        <w:rPr>
          <w:rFonts w:ascii="Verdana" w:hAnsi="Verdana" w:cs="Arial"/>
          <w:lang w:val="es-ES"/>
        </w:rPr>
        <w:t xml:space="preserve">están definidos por </w:t>
      </w:r>
      <w:r w:rsidRPr="00FC6F34">
        <w:rPr>
          <w:rFonts w:ascii="Verdana" w:hAnsi="Verdana" w:cs="Arial"/>
          <w:lang w:val="es-ES"/>
        </w:rPr>
        <w:t xml:space="preserve">la naturaleza de las partes, de manera que </w:t>
      </w:r>
      <w:r>
        <w:rPr>
          <w:rFonts w:ascii="Verdana" w:hAnsi="Verdana" w:cs="Arial"/>
          <w:lang w:val="es-ES"/>
        </w:rPr>
        <w:t xml:space="preserve">se identifican </w:t>
      </w:r>
      <w:r w:rsidRPr="00FC6F34">
        <w:rPr>
          <w:rFonts w:ascii="Verdana" w:hAnsi="Verdana" w:cs="Arial"/>
          <w:lang w:val="es-ES"/>
        </w:rPr>
        <w:t>por un criterio orgánico</w:t>
      </w:r>
      <w:r>
        <w:rPr>
          <w:rFonts w:ascii="Verdana" w:hAnsi="Verdana" w:cs="Arial"/>
          <w:lang w:val="es-ES"/>
        </w:rPr>
        <w:t xml:space="preserve"> y </w:t>
      </w:r>
      <w:r w:rsidRPr="00FC6F34">
        <w:rPr>
          <w:rFonts w:ascii="Verdana" w:hAnsi="Verdana" w:cs="Arial"/>
          <w:lang w:val="es-ES"/>
        </w:rPr>
        <w:t>serán aquellos celebrados entre entidades estatales.</w:t>
      </w:r>
    </w:p>
    <w:p w14:paraId="11AC315D" w14:textId="77777777" w:rsidR="001B091E" w:rsidRPr="00667CD6" w:rsidRDefault="001B091E" w:rsidP="001B091E">
      <w:pPr>
        <w:spacing w:before="120" w:after="0" w:line="276" w:lineRule="auto"/>
        <w:ind w:firstLine="708"/>
        <w:jc w:val="both"/>
        <w:rPr>
          <w:rFonts w:ascii="Verdana" w:hAnsi="Verdana" w:cs="Arial"/>
          <w:lang w:val="es-ES_tradnl"/>
        </w:rPr>
      </w:pPr>
      <w:r w:rsidRPr="2035D652">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w:t>
      </w:r>
      <w:r w:rsidRPr="2035D652">
        <w:rPr>
          <w:rFonts w:ascii="Verdana" w:hAnsi="Verdana" w:cs="Arial"/>
          <w:lang w:val="es-ES"/>
        </w:rPr>
        <w:lastRenderedPageBreak/>
        <w:t>oferentes</w:t>
      </w:r>
      <w:r w:rsidRPr="2035D652">
        <w:rPr>
          <w:rFonts w:ascii="Verdana" w:hAnsi="Verdana" w:cs="Arial"/>
          <w:vertAlign w:val="superscript"/>
          <w:lang w:val="es-ES"/>
        </w:rPr>
        <w:footnoteReference w:id="22"/>
      </w:r>
      <w:r w:rsidRPr="2035D652">
        <w:rPr>
          <w:rFonts w:ascii="Verdana" w:hAnsi="Verdana" w:cs="Arial"/>
          <w:lang w:val="es-ES"/>
        </w:rPr>
        <w:t>. Nótese que, en este caso, lo que cambia es la modalidad de selección y no la naturaleza de contrato interadministrativo.</w:t>
      </w:r>
    </w:p>
    <w:p w14:paraId="15EE8A57" w14:textId="77777777" w:rsidR="001B091E" w:rsidRPr="00667CD6" w:rsidRDefault="001B091E" w:rsidP="001B091E">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3"/>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7B3DDF01" w14:textId="77777777" w:rsidR="001B091E" w:rsidRPr="00305DCC" w:rsidRDefault="001B091E" w:rsidP="001B091E">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24"/>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r w:rsidRPr="00FC6F34">
        <w:rPr>
          <w:rFonts w:ascii="Verdana" w:hAnsi="Verdana" w:cs="Arial"/>
          <w:lang w:val="es-ES"/>
        </w:rPr>
        <w:t xml:space="preserve"> </w:t>
      </w:r>
    </w:p>
    <w:p w14:paraId="0FA11A6F" w14:textId="77777777" w:rsidR="001B091E" w:rsidRDefault="001B091E" w:rsidP="001B091E">
      <w:pPr>
        <w:spacing w:before="120" w:after="0" w:line="276" w:lineRule="auto"/>
        <w:ind w:firstLine="708"/>
        <w:jc w:val="both"/>
        <w:rPr>
          <w:rFonts w:ascii="Verdana" w:eastAsia="Times New Roman" w:hAnsi="Verdana" w:cs="Arial"/>
          <w:lang w:val="es-MX" w:eastAsia="es-CO"/>
        </w:rPr>
      </w:pPr>
      <w:r>
        <w:rPr>
          <w:rFonts w:ascii="Verdana" w:eastAsia="Calibri" w:hAnsi="Verdana" w:cs="Arial"/>
          <w:bCs/>
          <w:lang w:val="es-ES"/>
        </w:rPr>
        <w:t xml:space="preserve">En consecuencia, </w:t>
      </w:r>
      <w:r w:rsidRPr="00FC6F34">
        <w:rPr>
          <w:rFonts w:ascii="Verdana" w:hAnsi="Verdana" w:cs="Arial"/>
          <w:bCs/>
          <w:lang w:val="es-ES" w:eastAsia="es-CO"/>
        </w:rPr>
        <w:t xml:space="preserve">el parágrafo del artículo 38 de la Ley 996 de 2005 prohíbe </w:t>
      </w:r>
      <w:r>
        <w:rPr>
          <w:rFonts w:ascii="Verdana" w:hAnsi="Verdana" w:cs="Arial"/>
          <w:bCs/>
          <w:lang w:val="es-ES" w:eastAsia="es-CO"/>
        </w:rPr>
        <w:t xml:space="preserve">específicamente </w:t>
      </w:r>
      <w:r w:rsidRPr="00FC6F34">
        <w:rPr>
          <w:rFonts w:ascii="Verdana" w:hAnsi="Verdana" w:cs="Arial"/>
          <w:bCs/>
          <w:lang w:val="es-ES" w:eastAsia="es-CO"/>
        </w:rPr>
        <w:t xml:space="preserve">a los </w:t>
      </w:r>
      <w:r w:rsidRPr="00EF61FB">
        <w:rPr>
          <w:rFonts w:ascii="Verdana" w:hAnsi="Verdana" w:cs="Arial"/>
          <w:bCs/>
          <w:i/>
          <w:iCs/>
          <w:lang w:val="es-ES" w:eastAsia="es-CO"/>
        </w:rPr>
        <w:t>alcaldes, gobernadores, secretarios, gerentes y directores de las entidades del orden municipal, departamental o distrital</w:t>
      </w:r>
      <w:r w:rsidRPr="00FC6F34">
        <w:rPr>
          <w:rFonts w:ascii="Verdana" w:hAnsi="Verdana" w:cs="Arial"/>
          <w:bCs/>
          <w:lang w:val="es-ES" w:eastAsia="es-CO"/>
        </w:rPr>
        <w:t xml:space="preserve"> celebrar convenios interadministrativos para la ejecución de recursos públicos. En este sentido, </w:t>
      </w:r>
      <w:r w:rsidRPr="00667CD6">
        <w:rPr>
          <w:rFonts w:ascii="Verdana" w:eastAsia="Times New Roman" w:hAnsi="Verdana" w:cs="Arial"/>
          <w:lang w:val="es-MX" w:eastAsia="es-CO"/>
        </w:rPr>
        <w:t xml:space="preserve">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w:t>
      </w:r>
      <w:r w:rsidRPr="00667CD6">
        <w:rPr>
          <w:rFonts w:ascii="Verdana" w:eastAsia="Times New Roman" w:hAnsi="Verdana" w:cs="Arial"/>
          <w:lang w:val="es-MX" w:eastAsia="es-CO"/>
        </w:rPr>
        <w:lastRenderedPageBreak/>
        <w:t xml:space="preserve">disposición hace referencia a dicha tipología contractual sin que el legislador hubiere contemplado un efecto extensivo a otra tipología. </w:t>
      </w:r>
    </w:p>
    <w:p w14:paraId="327FCB8C" w14:textId="77777777" w:rsidR="001B091E" w:rsidRPr="00667CD6" w:rsidRDefault="001B091E" w:rsidP="001B091E">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6BB08EAD" w14:textId="77777777" w:rsidR="001B091E" w:rsidRDefault="001B091E" w:rsidP="001B091E">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6F5E745D" w14:textId="77777777" w:rsidR="001B091E" w:rsidRPr="00667CD6" w:rsidRDefault="001B091E" w:rsidP="001B091E">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Finalmente</w:t>
      </w:r>
      <w:r w:rsidRPr="00667CD6">
        <w:rPr>
          <w:rFonts w:ascii="Verdana" w:eastAsia="Times New Roman" w:hAnsi="Verdana" w:cs="Arial"/>
          <w:lang w:eastAsia="es-CO"/>
        </w:rPr>
        <w:t xml:space="preserve">,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concretamente, respecto de los siguientes apartes normativos</w:t>
      </w:r>
      <w:r w:rsidRPr="00667CD6">
        <w:rPr>
          <w:rFonts w:ascii="Verdana" w:hAnsi="Verdana" w:cs="Arial"/>
          <w:vertAlign w:val="superscript"/>
        </w:rPr>
        <w:footnoteReference w:id="25"/>
      </w:r>
      <w:r w:rsidRPr="00667CD6">
        <w:rPr>
          <w:rFonts w:ascii="Verdana" w:hAnsi="Verdana" w:cs="Arial"/>
        </w:rPr>
        <w:t xml:space="preserve">: </w:t>
      </w:r>
    </w:p>
    <w:p w14:paraId="15A2F4D2" w14:textId="77777777" w:rsidR="001B091E" w:rsidRPr="00667CD6" w:rsidRDefault="001B091E" w:rsidP="001B091E">
      <w:pPr>
        <w:spacing w:after="0" w:line="276" w:lineRule="auto"/>
        <w:ind w:firstLine="709"/>
        <w:jc w:val="both"/>
        <w:rPr>
          <w:rFonts w:ascii="Verdana" w:hAnsi="Verdana" w:cs="Arial"/>
        </w:rPr>
      </w:pPr>
    </w:p>
    <w:p w14:paraId="2796D875" w14:textId="77777777" w:rsidR="001B091E" w:rsidRPr="00667CD6" w:rsidRDefault="001B091E" w:rsidP="001B091E">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0FAD4DF" w14:textId="77777777" w:rsidR="001B091E" w:rsidRPr="00667CD6" w:rsidRDefault="001B091E" w:rsidP="001B091E">
      <w:pPr>
        <w:spacing w:after="0" w:line="240" w:lineRule="auto"/>
        <w:ind w:left="709" w:right="709"/>
        <w:jc w:val="both"/>
        <w:rPr>
          <w:rFonts w:ascii="Verdana" w:hAnsi="Verdana" w:cs="Arial"/>
          <w:sz w:val="20"/>
          <w:szCs w:val="20"/>
        </w:rPr>
      </w:pPr>
    </w:p>
    <w:p w14:paraId="11C55D16" w14:textId="77777777" w:rsidR="001B091E" w:rsidRPr="00667CD6" w:rsidRDefault="001B091E" w:rsidP="001B091E">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lastRenderedPageBreak/>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B90C1F3" w14:textId="77777777" w:rsidR="001B091E" w:rsidRPr="00667CD6" w:rsidRDefault="001B091E" w:rsidP="001B091E">
      <w:pPr>
        <w:spacing w:after="0" w:line="276" w:lineRule="auto"/>
        <w:ind w:left="709" w:right="709"/>
        <w:jc w:val="both"/>
        <w:rPr>
          <w:rFonts w:ascii="Verdana" w:hAnsi="Verdana" w:cs="Arial"/>
        </w:rPr>
      </w:pPr>
    </w:p>
    <w:p w14:paraId="5B6D6084" w14:textId="77777777" w:rsidR="001B091E" w:rsidRPr="00667CD6" w:rsidRDefault="001B091E" w:rsidP="001B091E">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E1C8E9C" w14:textId="77777777" w:rsidR="001B091E" w:rsidRPr="00667CD6" w:rsidRDefault="001B091E" w:rsidP="001B091E">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w:t>
      </w:r>
      <w:r w:rsidRPr="007C18B8">
        <w:rPr>
          <w:rFonts w:ascii="Verdana" w:eastAsia="Arial" w:hAnsi="Verdana" w:cs="Arial"/>
          <w:i/>
          <w:iCs/>
          <w:lang w:eastAsia="es-ES" w:bidi="es-ES"/>
        </w:rPr>
        <w:t>contratos interadministrativos</w:t>
      </w:r>
      <w:r w:rsidRPr="00667CD6">
        <w:rPr>
          <w:rFonts w:ascii="Verdana" w:eastAsia="Arial" w:hAnsi="Verdana" w:cs="Arial"/>
          <w:vertAlign w:val="superscript"/>
          <w:lang w:eastAsia="es-ES" w:bidi="es-ES"/>
        </w:rPr>
        <w:footnoteReference w:id="26"/>
      </w:r>
      <w:r w:rsidRPr="00667CD6">
        <w:rPr>
          <w:rFonts w:ascii="Verdana" w:eastAsia="Arial" w:hAnsi="Verdana" w:cs="Arial"/>
          <w:lang w:eastAsia="es-ES" w:bidi="es-ES"/>
        </w:rPr>
        <w:t xml:space="preserve">. Para tales </w:t>
      </w:r>
      <w:r w:rsidRPr="00667CD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w:t>
      </w:r>
      <w:r>
        <w:rPr>
          <w:rFonts w:ascii="Verdana" w:eastAsia="Arial" w:hAnsi="Verdana" w:cs="Arial"/>
          <w:lang w:eastAsia="es-ES" w:bidi="es-ES"/>
        </w:rPr>
        <w:t xml:space="preserve">de modo </w:t>
      </w:r>
      <w:r w:rsidRPr="00667CD6">
        <w:rPr>
          <w:rFonts w:ascii="Verdana" w:eastAsia="Arial" w:hAnsi="Verdana" w:cs="Arial"/>
          <w:lang w:eastAsia="es-ES" w:bidi="es-ES"/>
        </w:rPr>
        <w:t xml:space="preserve">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w:t>
      </w:r>
      <w:r>
        <w:rPr>
          <w:rFonts w:ascii="Verdana" w:eastAsia="Arial" w:hAnsi="Verdana" w:cs="Arial"/>
          <w:lang w:eastAsia="es-ES" w:bidi="es-ES"/>
        </w:rPr>
        <w:t>. Con base en lo anterior,</w:t>
      </w:r>
      <w:r w:rsidRPr="00667CD6">
        <w:rPr>
          <w:rFonts w:ascii="Verdana" w:eastAsia="Arial" w:hAnsi="Verdana" w:cs="Arial"/>
          <w:lang w:eastAsia="es-ES" w:bidi="es-ES"/>
        </w:rPr>
        <w:t xml:space="preserve"> reiteró los argumentos sobre la diferencia entre contratos y convenios interadministrativos. </w:t>
      </w:r>
    </w:p>
    <w:p w14:paraId="7897A44D" w14:textId="77777777" w:rsidR="001B091E" w:rsidRDefault="001B091E" w:rsidP="001B091E">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w:t>
      </w:r>
      <w:r>
        <w:rPr>
          <w:rFonts w:ascii="Verdana" w:eastAsia="Times New Roman" w:hAnsi="Verdana" w:cs="Times New Roman"/>
          <w:lang w:eastAsia="es-ES"/>
        </w:rPr>
        <w:t xml:space="preserve">el Consejo de Estado </w:t>
      </w:r>
      <w:r w:rsidRPr="31E4E861">
        <w:rPr>
          <w:rFonts w:ascii="Verdana" w:eastAsia="Times New Roman" w:hAnsi="Verdana" w:cs="Times New Roman"/>
          <w:lang w:eastAsia="es-ES"/>
        </w:rPr>
        <w:t>declaró la nulidad parcial del numeral 16.2 de la Circular Externa Única de 2022 expedida por la Agencia Nacional de Contratación Pública - Colombia Compra Eficiente que indicaba: “Esta restricción es aplicable tanto a los convenios como a los contratos interadministrativos</w:t>
      </w:r>
      <w:r>
        <w:rPr>
          <w:rFonts w:ascii="Verdana" w:eastAsia="Times New Roman" w:hAnsi="Verdana" w:cs="Times New Roman"/>
          <w:lang w:eastAsia="es-ES"/>
        </w:rPr>
        <w:t xml:space="preserve"> [</w:t>
      </w:r>
      <w:r w:rsidRPr="31E4E861">
        <w:rPr>
          <w:rFonts w:ascii="Verdana" w:eastAsia="Times New Roman" w:hAnsi="Verdana" w:cs="Times New Roman"/>
          <w:lang w:eastAsia="es-ES"/>
        </w:rPr>
        <w:t>…</w:t>
      </w:r>
      <w:r>
        <w:rPr>
          <w:rFonts w:ascii="Verdana" w:eastAsia="Times New Roman" w:hAnsi="Verdana" w:cs="Times New Roman"/>
          <w:lang w:eastAsia="es-ES"/>
        </w:rPr>
        <w:t>]</w:t>
      </w:r>
      <w:r w:rsidRPr="31E4E861">
        <w:rPr>
          <w:rFonts w:ascii="Verdana" w:eastAsia="Times New Roman" w:hAnsi="Verdana" w:cs="Times New Roman"/>
          <w:lang w:eastAsia="es-ES"/>
        </w:rPr>
        <w:t xml:space="preserve">”. </w:t>
      </w:r>
    </w:p>
    <w:p w14:paraId="6C870F90" w14:textId="77777777" w:rsidR="001B091E" w:rsidRPr="00670659" w:rsidRDefault="001B091E" w:rsidP="001B091E">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En l</w:t>
      </w:r>
      <w:r w:rsidRPr="2035D652">
        <w:rPr>
          <w:rFonts w:ascii="Verdana" w:eastAsia="Times New Roman" w:hAnsi="Verdana" w:cs="Times New Roman"/>
          <w:lang w:eastAsia="es-ES"/>
        </w:rPr>
        <w:t xml:space="preserve">a anterior decisión </w:t>
      </w:r>
      <w:r>
        <w:rPr>
          <w:rFonts w:ascii="Verdana" w:eastAsia="Times New Roman" w:hAnsi="Verdana" w:cs="Times New Roman"/>
          <w:lang w:eastAsia="es-ES"/>
        </w:rPr>
        <w:t xml:space="preserve">consideró </w:t>
      </w:r>
      <w:r w:rsidRPr="2035D652">
        <w:rPr>
          <w:rFonts w:ascii="Verdana" w:eastAsia="Times New Roman" w:hAnsi="Verdana" w:cs="Times New Roman"/>
          <w:lang w:eastAsia="es-ES"/>
        </w:rPr>
        <w:t xml:space="preserve">que la Agencia excedió su competencia material al incluir </w:t>
      </w:r>
      <w:r>
        <w:rPr>
          <w:rFonts w:ascii="Verdana" w:eastAsia="Times New Roman" w:hAnsi="Verdana" w:cs="Times New Roman"/>
          <w:lang w:eastAsia="es-ES"/>
        </w:rPr>
        <w:t xml:space="preserve">los </w:t>
      </w:r>
      <w:r w:rsidRPr="2035D652">
        <w:rPr>
          <w:rFonts w:ascii="Verdana" w:eastAsia="Times New Roman" w:hAnsi="Verdana" w:cs="Times New Roman"/>
          <w:lang w:eastAsia="es-ES"/>
        </w:rPr>
        <w:t xml:space="preserve">contratos en una restricción que la Ley de Garantías Electorales solo previó para </w:t>
      </w:r>
      <w:r>
        <w:rPr>
          <w:rFonts w:ascii="Verdana" w:eastAsia="Times New Roman" w:hAnsi="Verdana" w:cs="Times New Roman"/>
          <w:lang w:eastAsia="es-ES"/>
        </w:rPr>
        <w:t xml:space="preserve">los </w:t>
      </w:r>
      <w:r w:rsidRPr="2035D652">
        <w:rPr>
          <w:rFonts w:ascii="Verdana" w:eastAsia="Times New Roman" w:hAnsi="Verdana" w:cs="Times New Roman"/>
          <w:lang w:eastAsia="es-ES"/>
        </w:rPr>
        <w:t>convenios, cuando no es posible aplicar por analogía o extensión una norma que establece prohibiciones</w:t>
      </w:r>
      <w:r w:rsidRPr="2035D652">
        <w:rPr>
          <w:rStyle w:val="FootnoteReference"/>
          <w:rFonts w:ascii="Verdana" w:eastAsia="Times New Roman" w:hAnsi="Verdana" w:cs="Times New Roman"/>
          <w:lang w:eastAsia="es-ES"/>
        </w:rPr>
        <w:footnoteReference w:id="27"/>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A juicio de la Sala, aunque el propósito de la Circular Externa era legítimo —evitar el uso indebido de recursos en época electoral—, el numeral 16.2. desconoció el alcance literal del artículo 38 de la </w:t>
      </w:r>
      <w:r w:rsidRPr="2035D652">
        <w:rPr>
          <w:rFonts w:ascii="Verdana" w:eastAsia="Times New Roman" w:hAnsi="Verdana" w:cs="Times New Roman"/>
          <w:lang w:eastAsia="es-ES"/>
        </w:rPr>
        <w:lastRenderedPageBreak/>
        <w:t xml:space="preserve">Ley 996 de 2005 y los límites de la potestad reglamentaria, lo que configuró un vicio de contenido. </w:t>
      </w:r>
    </w:p>
    <w:p w14:paraId="146CEF3E" w14:textId="77777777" w:rsidR="001B091E" w:rsidRPr="007C18B8" w:rsidRDefault="001B091E" w:rsidP="001B091E">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FootnoteReference"/>
          <w:rFonts w:ascii="Verdana" w:eastAsia="Times New Roman" w:hAnsi="Verdana" w:cs="Arial"/>
          <w:lang w:eastAsia="es-CO"/>
        </w:rPr>
        <w:footnoteReference w:id="28"/>
      </w:r>
      <w:r>
        <w:rPr>
          <w:rFonts w:ascii="Verdana" w:eastAsia="Times New Roman" w:hAnsi="Verdana" w:cs="Arial"/>
          <w:lang w:eastAsia="es-CO"/>
        </w:rPr>
        <w:t>.</w:t>
      </w:r>
    </w:p>
    <w:p w14:paraId="3222CE9A" w14:textId="77777777" w:rsidR="001B091E" w:rsidRPr="00667CD6" w:rsidRDefault="001B091E" w:rsidP="001B091E">
      <w:pPr>
        <w:spacing w:after="120" w:line="276" w:lineRule="auto"/>
        <w:ind w:firstLine="708"/>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C5CC2CF" w14:textId="77777777" w:rsidR="001B091E" w:rsidRPr="00667CD6" w:rsidRDefault="001B091E" w:rsidP="001B091E">
      <w:pPr>
        <w:spacing w:after="0" w:line="276" w:lineRule="auto"/>
        <w:ind w:firstLine="708"/>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DAA6960" w14:textId="77777777" w:rsidR="001B091E" w:rsidRPr="00FC6F34" w:rsidRDefault="001B091E" w:rsidP="001B091E">
      <w:pPr>
        <w:spacing w:after="0" w:line="276" w:lineRule="auto"/>
        <w:ind w:firstLine="708"/>
        <w:jc w:val="both"/>
        <w:rPr>
          <w:rFonts w:ascii="Verdana" w:eastAsia="Calibri" w:hAnsi="Verdana" w:cs="Arial"/>
          <w:lang w:val="es-ES"/>
        </w:rPr>
      </w:pPr>
    </w:p>
    <w:bookmarkEnd w:id="1"/>
    <w:bookmarkEnd w:id="2"/>
    <w:p w14:paraId="5CBFE3C2" w14:textId="1CB65193" w:rsidR="001B091E" w:rsidRPr="00434F52" w:rsidRDefault="001B091E" w:rsidP="00434F52">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B091E" w:rsidRPr="00FC6F34" w14:paraId="0F8F82AC" w14:textId="77777777" w:rsidTr="00CF224D">
        <w:trPr>
          <w:trHeight w:val="870"/>
        </w:trPr>
        <w:tc>
          <w:tcPr>
            <w:tcW w:w="8647" w:type="dxa"/>
          </w:tcPr>
          <w:p w14:paraId="48917EE4" w14:textId="77777777" w:rsidR="001B091E" w:rsidRPr="00667CD6" w:rsidRDefault="001B091E" w:rsidP="00434F52">
            <w:pPr>
              <w:widowControl w:val="0"/>
              <w:numPr>
                <w:ilvl w:val="0"/>
                <w:numId w:val="16"/>
              </w:numPr>
              <w:autoSpaceDE w:val="0"/>
              <w:autoSpaceDN w:val="0"/>
              <w:spacing w:before="120" w:after="120"/>
              <w:jc w:val="both"/>
              <w:rPr>
                <w:rFonts w:ascii="Verdana" w:eastAsia="Arial MT" w:hAnsi="Verdana" w:cs="Arial"/>
                <w:lang w:val="es-ES" w:eastAsia="es-ES" w:bidi="es-ES"/>
              </w:rPr>
            </w:pPr>
            <w:r w:rsidRPr="00667CD6">
              <w:rPr>
                <w:rFonts w:ascii="Verdana" w:eastAsia="Arial MT" w:hAnsi="Verdana" w:cs="Arial"/>
                <w:lang w:val="es-ES" w:eastAsia="es-ES" w:bidi="es-ES"/>
              </w:rPr>
              <w:lastRenderedPageBreak/>
              <w:t>Constitución Política, artículo 127.</w:t>
            </w:r>
          </w:p>
          <w:p w14:paraId="10BDBC82" w14:textId="77777777" w:rsidR="001B091E" w:rsidRPr="00667CD6" w:rsidRDefault="001B091E" w:rsidP="00434F52">
            <w:pPr>
              <w:widowControl w:val="0"/>
              <w:numPr>
                <w:ilvl w:val="0"/>
                <w:numId w:val="16"/>
              </w:numPr>
              <w:autoSpaceDE w:val="0"/>
              <w:autoSpaceDN w:val="0"/>
              <w:spacing w:after="120"/>
              <w:jc w:val="both"/>
              <w:rPr>
                <w:rFonts w:ascii="Verdana" w:eastAsia="Arial MT" w:hAnsi="Verdana" w:cs="Arial"/>
                <w:lang w:val="es-ES" w:eastAsia="es-ES" w:bidi="es-ES"/>
              </w:rPr>
            </w:pPr>
            <w:r w:rsidRPr="00667CD6">
              <w:rPr>
                <w:rFonts w:ascii="Verdana" w:eastAsia="Arial MT" w:hAnsi="Verdana" w:cs="Arial"/>
                <w:bCs/>
                <w:lang w:val="es-ES" w:eastAsia="es-ES" w:bidi="es-ES"/>
              </w:rPr>
              <w:t>Ley 996 de 2005, artículos 33 y 38.</w:t>
            </w:r>
          </w:p>
          <w:p w14:paraId="59F58C3C" w14:textId="77777777" w:rsidR="001B091E" w:rsidRPr="00667CD6" w:rsidRDefault="001B091E" w:rsidP="00434F52">
            <w:pPr>
              <w:widowControl w:val="0"/>
              <w:numPr>
                <w:ilvl w:val="0"/>
                <w:numId w:val="16"/>
              </w:numPr>
              <w:autoSpaceDE w:val="0"/>
              <w:autoSpaceDN w:val="0"/>
              <w:spacing w:after="120"/>
              <w:jc w:val="both"/>
              <w:rPr>
                <w:rFonts w:ascii="Verdana" w:eastAsia="Arial MT" w:hAnsi="Verdana" w:cs="Arial"/>
                <w:lang w:val="es-ES" w:eastAsia="es-ES" w:bidi="es-ES"/>
              </w:rPr>
            </w:pPr>
            <w:r w:rsidRPr="00667CD6">
              <w:rPr>
                <w:rFonts w:ascii="Verdana" w:hAnsi="Verdana" w:cs="Arial"/>
                <w:bCs/>
                <w:color w:val="000000" w:themeColor="text1"/>
                <w:lang w:val="es-ES"/>
              </w:rPr>
              <w:t>Decreto 1068 de 2015, artículo 2.2.1.1.1.</w:t>
            </w:r>
          </w:p>
          <w:p w14:paraId="3C11BECD" w14:textId="77777777" w:rsidR="001B091E" w:rsidRPr="00C71E4F" w:rsidRDefault="001B091E" w:rsidP="00434F52">
            <w:pPr>
              <w:widowControl w:val="0"/>
              <w:numPr>
                <w:ilvl w:val="0"/>
                <w:numId w:val="16"/>
              </w:numPr>
              <w:autoSpaceDE w:val="0"/>
              <w:autoSpaceDN w:val="0"/>
              <w:spacing w:after="120"/>
              <w:jc w:val="both"/>
              <w:rPr>
                <w:rFonts w:ascii="Verdana" w:hAnsi="Verdana" w:cs="Arial"/>
                <w:lang w:val="es-ES"/>
              </w:rPr>
            </w:pPr>
            <w:r w:rsidRPr="00C71E4F">
              <w:rPr>
                <w:rFonts w:ascii="Verdana" w:hAnsi="Verdana" w:cs="Arial"/>
                <w:lang w:val="pt-BR"/>
              </w:rPr>
              <w:t>Corte Constitucional. Sentencia C-671 de 2015. M.P. Alberto Rojas Ríos.</w:t>
            </w:r>
          </w:p>
          <w:p w14:paraId="0FD1929F" w14:textId="77777777" w:rsidR="001B091E" w:rsidRPr="00667CD6" w:rsidRDefault="001B091E" w:rsidP="00434F52">
            <w:pPr>
              <w:widowControl w:val="0"/>
              <w:numPr>
                <w:ilvl w:val="0"/>
                <w:numId w:val="16"/>
              </w:numPr>
              <w:autoSpaceDE w:val="0"/>
              <w:autoSpaceDN w:val="0"/>
              <w:spacing w:after="120"/>
              <w:jc w:val="both"/>
              <w:rPr>
                <w:rFonts w:ascii="Verdana" w:hAnsi="Verdana" w:cs="Arial"/>
                <w:lang w:val="es-ES"/>
              </w:rPr>
            </w:pPr>
            <w:r w:rsidRPr="00667CD6">
              <w:rPr>
                <w:rFonts w:ascii="Verdana" w:hAnsi="Verdana" w:cs="Arial"/>
                <w:lang w:val="es-ES"/>
              </w:rPr>
              <w:t xml:space="preserve">Consejo de Estado, Sección Primera. Sentencia de 3 de marzo de 2005, </w:t>
            </w:r>
            <w:proofErr w:type="spellStart"/>
            <w:r w:rsidRPr="00667CD6">
              <w:rPr>
                <w:rFonts w:ascii="Verdana" w:hAnsi="Verdana" w:cs="Arial"/>
                <w:lang w:val="es-ES"/>
              </w:rPr>
              <w:t>Exp</w:t>
            </w:r>
            <w:proofErr w:type="spellEnd"/>
            <w:r w:rsidRPr="00667CD6">
              <w:rPr>
                <w:rFonts w:ascii="Verdana" w:hAnsi="Verdana" w:cs="Arial"/>
                <w:lang w:val="es-ES"/>
              </w:rPr>
              <w:t xml:space="preserve">. 2004-00823-01(PI). </w:t>
            </w:r>
          </w:p>
          <w:p w14:paraId="75F2908F" w14:textId="77777777" w:rsidR="001B091E" w:rsidRPr="00C71E4F" w:rsidRDefault="001B091E" w:rsidP="00434F52">
            <w:pPr>
              <w:numPr>
                <w:ilvl w:val="0"/>
                <w:numId w:val="16"/>
              </w:numPr>
              <w:spacing w:before="120" w:after="120"/>
              <w:jc w:val="both"/>
              <w:rPr>
                <w:rFonts w:ascii="Verdana" w:hAnsi="Verdana" w:cs="Arial"/>
                <w:lang w:val="es-ES"/>
              </w:rPr>
            </w:pPr>
            <w:r w:rsidRPr="00C71E4F">
              <w:rPr>
                <w:rFonts w:ascii="Verdana" w:hAnsi="Verdana" w:cs="Arial"/>
              </w:rPr>
              <w:t>Consejo de Estado. Sala de Consulta y Servicio Civil. Concepto del 15 de noviembre de 2007. Expediente número 1863. Consejero Ponente: Luis Fernando Álvarez Jaramillo</w:t>
            </w:r>
          </w:p>
          <w:p w14:paraId="75A0C3FE" w14:textId="77777777" w:rsidR="001B091E" w:rsidRPr="00667CD6" w:rsidRDefault="001B091E" w:rsidP="00434F52">
            <w:pPr>
              <w:widowControl w:val="0"/>
              <w:numPr>
                <w:ilvl w:val="0"/>
                <w:numId w:val="16"/>
              </w:numPr>
              <w:autoSpaceDE w:val="0"/>
              <w:autoSpaceDN w:val="0"/>
              <w:spacing w:after="120"/>
              <w:jc w:val="both"/>
              <w:rPr>
                <w:rFonts w:ascii="Verdana" w:hAnsi="Verdana" w:cs="Arial"/>
                <w:lang w:val="es-ES"/>
              </w:rPr>
            </w:pPr>
            <w:r w:rsidRPr="00667CD6">
              <w:rPr>
                <w:rFonts w:ascii="Verdana" w:hAnsi="Verdana" w:cs="Arial"/>
                <w:lang w:val="es-ES"/>
              </w:rPr>
              <w:t xml:space="preserve">Consejo de Estado, Sala de Consulta y Servicio Civil, Concepto de fecha 24 de julio de 2013, Rad. 2166, C. P. Álvaro Namén Vargas. </w:t>
            </w:r>
          </w:p>
          <w:p w14:paraId="338BE5D4" w14:textId="77777777" w:rsidR="001B091E" w:rsidRPr="00C71E4F" w:rsidRDefault="001B091E" w:rsidP="00434F52">
            <w:pPr>
              <w:numPr>
                <w:ilvl w:val="0"/>
                <w:numId w:val="16"/>
              </w:numPr>
              <w:spacing w:before="120" w:after="120"/>
              <w:jc w:val="both"/>
              <w:rPr>
                <w:rFonts w:ascii="Verdana" w:hAnsi="Verdana" w:cs="Arial"/>
                <w:lang w:val="es-ES"/>
              </w:rPr>
            </w:pPr>
            <w:r w:rsidRPr="00C71E4F">
              <w:rPr>
                <w:rFonts w:ascii="Verdana" w:hAnsi="Verdana" w:cs="Arial"/>
              </w:rPr>
              <w:t xml:space="preserve">Consejo de Estado. Sala de Consulta y Servicio Civil. Concepto del 2 de septiembre de 2013 Radicado No: 2168. CP: </w:t>
            </w:r>
            <w:proofErr w:type="spellStart"/>
            <w:r w:rsidRPr="00C71E4F">
              <w:rPr>
                <w:rFonts w:ascii="Verdana" w:hAnsi="Verdana" w:cs="Arial"/>
              </w:rPr>
              <w:t>Alvaro</w:t>
            </w:r>
            <w:proofErr w:type="spellEnd"/>
            <w:r w:rsidRPr="00C71E4F">
              <w:rPr>
                <w:rFonts w:ascii="Verdana" w:hAnsi="Verdana" w:cs="Arial"/>
              </w:rPr>
              <w:t xml:space="preserve"> Namén Vargas.</w:t>
            </w:r>
          </w:p>
          <w:p w14:paraId="18FCC7EA" w14:textId="77777777" w:rsidR="001B091E" w:rsidRPr="00667CD6" w:rsidRDefault="001B091E" w:rsidP="00434F52">
            <w:pPr>
              <w:numPr>
                <w:ilvl w:val="0"/>
                <w:numId w:val="16"/>
              </w:numPr>
              <w:spacing w:before="120" w:after="120"/>
              <w:jc w:val="both"/>
              <w:rPr>
                <w:rFonts w:ascii="Verdana" w:hAnsi="Verdana" w:cs="Arial"/>
                <w:lang w:val="es-ES"/>
              </w:rPr>
            </w:pPr>
            <w:r w:rsidRPr="00667CD6">
              <w:rPr>
                <w:rFonts w:ascii="Verdana" w:hAnsi="Verdana" w:cs="Arial"/>
                <w:lang w:val="es-ES"/>
              </w:rPr>
              <w:t>Consejo de Estado. Sala de Consulta y Servicio Civil. Concepto del 17 de febrero de 2015. C.P. William Zambrano Cetina. Radicación No. 11001-03-06-000-2015-00164-00(2269).</w:t>
            </w:r>
          </w:p>
          <w:p w14:paraId="348E23F1" w14:textId="77777777" w:rsidR="001B091E" w:rsidRPr="00667CD6" w:rsidRDefault="001B091E" w:rsidP="00434F52">
            <w:pPr>
              <w:numPr>
                <w:ilvl w:val="0"/>
                <w:numId w:val="16"/>
              </w:numPr>
              <w:spacing w:before="120" w:after="120"/>
              <w:jc w:val="both"/>
              <w:rPr>
                <w:rFonts w:ascii="Verdana" w:hAnsi="Verdana" w:cs="Arial"/>
                <w:lang w:val="es-ES"/>
              </w:rPr>
            </w:pPr>
            <w:r w:rsidRPr="00667CD6">
              <w:rPr>
                <w:rFonts w:ascii="Verdana" w:hAnsi="Verdana" w:cs="Arial"/>
                <w:lang w:val="es-ES"/>
              </w:rPr>
              <w:t>Consejo de Estado, Sala de Consulta y Servicio Civil, Concepto de fecha 8 de mayo de 2018, No. 2382. C. P. Álvaro Namén Vargas.</w:t>
            </w:r>
          </w:p>
          <w:p w14:paraId="4C05966A" w14:textId="77777777" w:rsidR="001B091E" w:rsidRPr="008D30C0" w:rsidRDefault="001B091E" w:rsidP="00434F52">
            <w:pPr>
              <w:widowControl w:val="0"/>
              <w:numPr>
                <w:ilvl w:val="0"/>
                <w:numId w:val="16"/>
              </w:numPr>
              <w:autoSpaceDE w:val="0"/>
              <w:autoSpaceDN w:val="0"/>
              <w:spacing w:after="120"/>
              <w:jc w:val="both"/>
              <w:rPr>
                <w:rFonts w:ascii="Verdana" w:hAnsi="Verdana" w:cs="Arial"/>
                <w:lang w:val="es-ES"/>
              </w:rPr>
            </w:pPr>
            <w:proofErr w:type="spellStart"/>
            <w:r w:rsidRPr="00667CD6">
              <w:rPr>
                <w:rFonts w:ascii="Verdana" w:hAnsi="Verdana" w:cs="Arial"/>
                <w:lang w:val="pt-BR"/>
              </w:rPr>
              <w:t>Consejo</w:t>
            </w:r>
            <w:proofErr w:type="spellEnd"/>
            <w:r w:rsidRPr="00667CD6">
              <w:rPr>
                <w:rFonts w:ascii="Verdana" w:hAnsi="Verdana" w:cs="Arial"/>
                <w:lang w:val="pt-BR"/>
              </w:rPr>
              <w:t xml:space="preserve"> de Estado, </w:t>
            </w:r>
            <w:proofErr w:type="spellStart"/>
            <w:r w:rsidRPr="00667CD6">
              <w:rPr>
                <w:rFonts w:ascii="Verdana" w:hAnsi="Verdana" w:cs="Arial"/>
                <w:lang w:val="pt-BR"/>
              </w:rPr>
              <w:t>Sección</w:t>
            </w:r>
            <w:proofErr w:type="spellEnd"/>
            <w:r w:rsidRPr="00667CD6">
              <w:rPr>
                <w:rFonts w:ascii="Verdana" w:hAnsi="Verdana" w:cs="Arial"/>
                <w:lang w:val="pt-BR"/>
              </w:rPr>
              <w:t xml:space="preserve"> Tercera. Auto </w:t>
            </w:r>
            <w:proofErr w:type="spellStart"/>
            <w:r w:rsidRPr="00667CD6">
              <w:rPr>
                <w:rFonts w:ascii="Verdana" w:hAnsi="Verdana" w:cs="Arial"/>
                <w:lang w:val="pt-BR"/>
              </w:rPr>
              <w:t>del</w:t>
            </w:r>
            <w:proofErr w:type="spellEnd"/>
            <w:r w:rsidRPr="00667CD6">
              <w:rPr>
                <w:rFonts w:ascii="Verdana" w:hAnsi="Verdana" w:cs="Arial"/>
                <w:lang w:val="pt-BR"/>
              </w:rPr>
              <w:t xml:space="preserve"> 4 de </w:t>
            </w:r>
            <w:proofErr w:type="spellStart"/>
            <w:r w:rsidRPr="00667CD6">
              <w:rPr>
                <w:rFonts w:ascii="Verdana" w:hAnsi="Verdana" w:cs="Arial"/>
                <w:lang w:val="pt-BR"/>
              </w:rPr>
              <w:t>octubre</w:t>
            </w:r>
            <w:proofErr w:type="spellEnd"/>
            <w:r w:rsidRPr="00667CD6">
              <w:rPr>
                <w:rFonts w:ascii="Verdana" w:hAnsi="Verdana" w:cs="Arial"/>
                <w:lang w:val="pt-BR"/>
              </w:rPr>
              <w:t xml:space="preserve"> de 2024. Exp. 70.313. C.P: Fredy Ibarra Martínez.</w:t>
            </w:r>
          </w:p>
          <w:p w14:paraId="0D682D63" w14:textId="77777777" w:rsidR="001B091E" w:rsidRDefault="001B091E" w:rsidP="00434F52">
            <w:pPr>
              <w:widowControl w:val="0"/>
              <w:numPr>
                <w:ilvl w:val="0"/>
                <w:numId w:val="16"/>
              </w:numPr>
              <w:autoSpaceDE w:val="0"/>
              <w:autoSpaceDN w:val="0"/>
              <w:spacing w:after="120"/>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70A1F060" w14:textId="77777777" w:rsidR="001B091E" w:rsidRPr="000A779C" w:rsidRDefault="001B091E" w:rsidP="00434F52">
            <w:pPr>
              <w:pStyle w:val="ListParagraph"/>
              <w:numPr>
                <w:ilvl w:val="0"/>
                <w:numId w:val="16"/>
              </w:numPr>
              <w:spacing w:before="120" w:after="120"/>
              <w:contextualSpacing w:val="0"/>
              <w:jc w:val="both"/>
              <w:rPr>
                <w:rFonts w:ascii="Verdana" w:hAnsi="Verdana" w:cs="Arial"/>
              </w:rPr>
            </w:pPr>
            <w:r w:rsidRPr="00F7748B">
              <w:rPr>
                <w:rFonts w:ascii="Verdana" w:hAnsi="Verdana" w:cs="Arial"/>
              </w:rPr>
              <w:t xml:space="preserve">Circular Externa No. 006 de 2025 </w:t>
            </w:r>
            <w:hyperlink r:id="rId13" w:history="1">
              <w:r w:rsidRPr="00F7748B">
                <w:rPr>
                  <w:rFonts w:ascii="Verdana" w:hAnsi="Verdana" w:cs="Arial"/>
                  <w:color w:val="0000FF"/>
                  <w:u w:val="single"/>
                </w:rPr>
                <w:t>https://www.colombiacompra.gov.co/archivos/circular/circular-externa-006-de-2025</w:t>
              </w:r>
            </w:hyperlink>
          </w:p>
        </w:tc>
      </w:tr>
    </w:tbl>
    <w:p w14:paraId="0F94B443" w14:textId="77777777" w:rsidR="001B091E" w:rsidRPr="00FC6F34" w:rsidRDefault="001B091E" w:rsidP="001B091E">
      <w:pPr>
        <w:widowControl w:val="0"/>
        <w:autoSpaceDE w:val="0"/>
        <w:autoSpaceDN w:val="0"/>
        <w:spacing w:after="0" w:line="276" w:lineRule="auto"/>
        <w:jc w:val="both"/>
        <w:rPr>
          <w:rFonts w:ascii="Verdana" w:hAnsi="Verdana" w:cs="Arial"/>
          <w:color w:val="000000" w:themeColor="text1"/>
          <w:lang w:val="es-ES"/>
        </w:rPr>
      </w:pPr>
    </w:p>
    <w:p w14:paraId="56D43585" w14:textId="77777777" w:rsidR="001B091E" w:rsidRPr="00FC6F34" w:rsidRDefault="001B091E" w:rsidP="001B091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26161E96" w14:textId="77777777" w:rsidR="001B091E" w:rsidRPr="00FC6F34" w:rsidRDefault="001B091E" w:rsidP="001B091E">
      <w:pPr>
        <w:widowControl w:val="0"/>
        <w:autoSpaceDE w:val="0"/>
        <w:autoSpaceDN w:val="0"/>
        <w:spacing w:after="0" w:line="276" w:lineRule="auto"/>
        <w:jc w:val="both"/>
        <w:rPr>
          <w:rFonts w:ascii="Verdana" w:hAnsi="Verdana" w:cs="Arial"/>
          <w:color w:val="000000" w:themeColor="text1"/>
          <w:lang w:val="es-ES"/>
        </w:rPr>
      </w:pPr>
    </w:p>
    <w:p w14:paraId="39A03037" w14:textId="77777777" w:rsidR="001B091E" w:rsidRDefault="001B091E" w:rsidP="001B091E">
      <w:pPr>
        <w:spacing w:after="120"/>
        <w:jc w:val="both"/>
        <w:rPr>
          <w:rFonts w:ascii="Verdana" w:hAnsi="Verdana" w:cs="Arial"/>
          <w:color w:val="000000" w:themeColor="text1"/>
          <w:shd w:val="clear" w:color="auto" w:fill="FFFFFF"/>
          <w:lang w:val="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w:t>
      </w:r>
      <w:r w:rsidRPr="00FC6F34">
        <w:rPr>
          <w:rFonts w:ascii="Verdana" w:hAnsi="Verdana" w:cs="Arial"/>
          <w:shd w:val="clear" w:color="auto" w:fill="FFFFFF"/>
          <w:lang w:val="es-ES"/>
        </w:rPr>
        <w:lastRenderedPageBreak/>
        <w:t>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w:t>
      </w:r>
      <w:r>
        <w:rPr>
          <w:rFonts w:ascii="Verdana" w:hAnsi="Verdana" w:cs="Arial"/>
          <w:shd w:val="clear" w:color="auto" w:fill="FFFFFF"/>
          <w:lang w:val="es-ES"/>
        </w:rPr>
        <w:t xml:space="preserve">, </w:t>
      </w:r>
      <w:r w:rsidRPr="00FC6F34">
        <w:rPr>
          <w:rFonts w:ascii="Verdana" w:hAnsi="Verdana" w:cs="Arial"/>
          <w:shd w:val="clear" w:color="auto" w:fill="FFFFFF"/>
          <w:lang w:val="es-ES"/>
        </w:rPr>
        <w:t>C-273-A de 2025</w:t>
      </w:r>
      <w:r>
        <w:rPr>
          <w:rFonts w:ascii="Verdana" w:hAnsi="Verdana" w:cs="Arial"/>
          <w:shd w:val="clear" w:color="auto" w:fill="FFFFFF"/>
          <w:lang w:val="es-ES"/>
        </w:rPr>
        <w:t xml:space="preserve">, y </w:t>
      </w:r>
      <w:r w:rsidRPr="007A2FD2">
        <w:rPr>
          <w:rFonts w:ascii="Verdana" w:eastAsia="Calibri" w:hAnsi="Verdana" w:cs="Arial"/>
          <w:lang w:val="es-ES" w:eastAsia="es-ES"/>
        </w:rPr>
        <w:t>C-1587 del 09 de diciembre de 2025,</w:t>
      </w:r>
      <w:r>
        <w:rPr>
          <w:rFonts w:ascii="Verdana" w:eastAsia="Calibri" w:hAnsi="Verdana" w:cs="Arial"/>
          <w:b/>
          <w:bCs/>
          <w:lang w:val="es-ES" w:eastAsia="es-ES"/>
        </w:rPr>
        <w:t xml:space="preserve"> </w:t>
      </w:r>
      <w:r>
        <w:rPr>
          <w:rFonts w:ascii="Verdana" w:hAnsi="Verdana" w:cs="Arial"/>
          <w:shd w:val="clear" w:color="auto" w:fill="FFFFFF"/>
          <w:lang w:val="es-ES"/>
        </w:rPr>
        <w:t xml:space="preserve">entre otros.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4"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51669202" w14:textId="77777777" w:rsidR="001B091E" w:rsidRPr="008306EF" w:rsidRDefault="001B091E" w:rsidP="001B091E">
      <w:pPr>
        <w:spacing w:after="0" w:line="276" w:lineRule="auto"/>
        <w:jc w:val="both"/>
        <w:rPr>
          <w:rFonts w:ascii="Verdana" w:hAnsi="Verdana"/>
        </w:rPr>
      </w:pPr>
      <w:r w:rsidRPr="008306EF">
        <w:rPr>
          <w:rFonts w:ascii="Verdana" w:hAnsi="Verdana"/>
        </w:rPr>
        <w:t xml:space="preserve">Por último, lo invitamos a seguirnos en las redes sociales en las cuales se difunde información institucional: </w:t>
      </w:r>
    </w:p>
    <w:p w14:paraId="66FC435F" w14:textId="77777777" w:rsidR="001B091E" w:rsidRPr="008306EF" w:rsidRDefault="001B091E" w:rsidP="001B091E">
      <w:pPr>
        <w:spacing w:after="0" w:line="276" w:lineRule="auto"/>
        <w:jc w:val="both"/>
        <w:rPr>
          <w:rFonts w:ascii="Verdana" w:hAnsi="Verdana"/>
        </w:rPr>
      </w:pPr>
    </w:p>
    <w:p w14:paraId="76B17BE2" w14:textId="77777777" w:rsidR="001B091E" w:rsidRPr="008306EF" w:rsidRDefault="001B091E" w:rsidP="001B091E">
      <w:pPr>
        <w:spacing w:after="0" w:line="276" w:lineRule="auto"/>
        <w:jc w:val="both"/>
        <w:rPr>
          <w:rFonts w:ascii="Verdana" w:hAnsi="Verdana"/>
        </w:rPr>
      </w:pPr>
      <w:r w:rsidRPr="008306EF">
        <w:rPr>
          <w:rFonts w:ascii="Verdana" w:hAnsi="Verdana"/>
        </w:rPr>
        <w:t xml:space="preserve">Twitter: </w:t>
      </w:r>
      <w:r w:rsidRPr="00A90B49">
        <w:rPr>
          <w:rStyle w:val="Hyperlink"/>
          <w:rFonts w:ascii="Verdana" w:hAnsi="Verdana"/>
          <w:color w:val="1F45F6"/>
        </w:rPr>
        <w:t>@colombiacompra</w:t>
      </w:r>
      <w:r w:rsidRPr="00A90B49">
        <w:rPr>
          <w:rFonts w:ascii="Verdana" w:hAnsi="Verdana"/>
          <w:color w:val="1F45F6"/>
        </w:rPr>
        <w:t xml:space="preserve"> </w:t>
      </w:r>
    </w:p>
    <w:p w14:paraId="11EA8E48" w14:textId="77777777" w:rsidR="001B091E" w:rsidRPr="008306EF" w:rsidRDefault="001B091E" w:rsidP="001B091E">
      <w:pPr>
        <w:spacing w:after="0" w:line="276" w:lineRule="auto"/>
        <w:jc w:val="both"/>
        <w:rPr>
          <w:rFonts w:ascii="Verdana" w:hAnsi="Verdana"/>
        </w:rPr>
      </w:pPr>
      <w:r w:rsidRPr="008306EF">
        <w:rPr>
          <w:rFonts w:ascii="Verdana" w:hAnsi="Verdana"/>
        </w:rPr>
        <w:t xml:space="preserve">Facebook: </w:t>
      </w:r>
      <w:proofErr w:type="spellStart"/>
      <w:r w:rsidRPr="00A90B49">
        <w:rPr>
          <w:rStyle w:val="Hyperlink"/>
          <w:rFonts w:ascii="Verdana" w:hAnsi="Verdana"/>
          <w:color w:val="1F45F6"/>
        </w:rPr>
        <w:t>ColombiaCompraEficiente</w:t>
      </w:r>
      <w:proofErr w:type="spellEnd"/>
    </w:p>
    <w:p w14:paraId="6E611953" w14:textId="77777777" w:rsidR="001B091E" w:rsidRPr="00A90B49" w:rsidRDefault="001B091E" w:rsidP="001B091E">
      <w:pPr>
        <w:spacing w:after="0" w:line="276" w:lineRule="auto"/>
        <w:jc w:val="both"/>
        <w:rPr>
          <w:rFonts w:ascii="Verdana" w:hAnsi="Verdana" w:cs="Arial"/>
          <w:color w:val="0000FF"/>
          <w:shd w:val="clear" w:color="auto" w:fill="FFFFFF"/>
          <w:lang w:val="es-ES"/>
        </w:rPr>
      </w:pPr>
      <w:r w:rsidRPr="0031307F">
        <w:rPr>
          <w:rFonts w:ascii="Verdana" w:hAnsi="Verdana"/>
        </w:rPr>
        <w:t xml:space="preserve">LinkedIn: </w:t>
      </w:r>
      <w:r w:rsidRPr="00A90B49">
        <w:rPr>
          <w:rStyle w:val="Hyperlink"/>
          <w:rFonts w:ascii="Verdana" w:hAnsi="Verdana"/>
          <w:color w:val="1F45F6"/>
        </w:rPr>
        <w:t>Agencia Nacional de Contratación Pública - Colombia Compra Eficiente</w:t>
      </w:r>
      <w:r w:rsidRPr="008306EF">
        <w:rPr>
          <w:rFonts w:ascii="Verdana" w:hAnsi="Verdana"/>
          <w:color w:val="4472C4" w:themeColor="accent1"/>
        </w:rPr>
        <w:t xml:space="preserve"> </w:t>
      </w:r>
      <w:r w:rsidRPr="008306EF">
        <w:rPr>
          <w:rFonts w:ascii="Verdana" w:hAnsi="Verdana"/>
        </w:rPr>
        <w:t xml:space="preserve">Instagram: </w:t>
      </w:r>
      <w:r w:rsidRPr="00A90B49">
        <w:rPr>
          <w:rFonts w:ascii="Verdana" w:hAnsi="Verdana" w:cs="Arial"/>
          <w:color w:val="0000FF"/>
          <w:shd w:val="clear" w:color="auto" w:fill="FFFFFF"/>
          <w:lang w:val="es-ES"/>
        </w:rPr>
        <w:t>@colombiacompraeficiente_cce</w:t>
      </w:r>
    </w:p>
    <w:p w14:paraId="1E1575B2" w14:textId="77777777" w:rsidR="001B091E" w:rsidRPr="00982071" w:rsidRDefault="001B091E" w:rsidP="001B091E">
      <w:pPr>
        <w:spacing w:after="0"/>
        <w:jc w:val="both"/>
        <w:rPr>
          <w:rFonts w:ascii="Arial" w:eastAsia="Calibri" w:hAnsi="Arial" w:cs="Arial"/>
          <w:b/>
          <w:bCs/>
          <w:color w:val="000000" w:themeColor="text1"/>
          <w:lang w:val="es-ES_tradnl"/>
        </w:rPr>
      </w:pPr>
    </w:p>
    <w:p w14:paraId="385100E9" w14:textId="0F1828BE" w:rsidR="001B091E" w:rsidRPr="00FC6F34" w:rsidRDefault="001B091E" w:rsidP="001B091E">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69CBCEB" w14:textId="224CE9D9" w:rsidR="001B091E" w:rsidRPr="00FC6F34" w:rsidRDefault="00434F52" w:rsidP="001B091E">
      <w:pPr>
        <w:widowControl w:val="0"/>
        <w:autoSpaceDE w:val="0"/>
        <w:autoSpaceDN w:val="0"/>
        <w:spacing w:after="0" w:line="276" w:lineRule="auto"/>
        <w:jc w:val="both"/>
        <w:rPr>
          <w:rFonts w:ascii="Verdana" w:hAnsi="Verdana" w:cs="Arial"/>
          <w:lang w:val="es-ES"/>
        </w:rPr>
      </w:pPr>
      <w:r w:rsidRPr="002C3AD6">
        <w:rPr>
          <w:rFonts w:ascii="Century Gothic" w:hAnsi="Century Gothic"/>
          <w:noProof/>
        </w:rPr>
        <w:drawing>
          <wp:anchor distT="0" distB="0" distL="114300" distR="114300" simplePos="0" relativeHeight="251659264" behindDoc="0" locked="0" layoutInCell="1" allowOverlap="1" wp14:anchorId="002DC9B5" wp14:editId="518359CF">
            <wp:simplePos x="0" y="0"/>
            <wp:positionH relativeFrom="column">
              <wp:posOffset>1452245</wp:posOffset>
            </wp:positionH>
            <wp:positionV relativeFrom="page">
              <wp:posOffset>6337894</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p w14:paraId="160847C9" w14:textId="705FB26D" w:rsidR="001B091E" w:rsidRPr="00FC6F34" w:rsidRDefault="001B091E" w:rsidP="001B091E">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56B69746" w14:textId="4D797017" w:rsidR="001B091E" w:rsidRPr="00FC6F34" w:rsidRDefault="001B091E" w:rsidP="001B091E">
      <w:pPr>
        <w:spacing w:after="0" w:line="276" w:lineRule="auto"/>
        <w:rPr>
          <w:rFonts w:ascii="Verdana" w:hAnsi="Verdana" w:cs="Arial"/>
          <w:color w:val="000000" w:themeColor="text1"/>
          <w:lang w:val="es-ES" w:eastAsia="es-CO"/>
        </w:rPr>
      </w:pPr>
    </w:p>
    <w:p w14:paraId="35D64D8B" w14:textId="27178950" w:rsidR="001B091E" w:rsidRPr="00FC6F34" w:rsidRDefault="001B091E" w:rsidP="001B091E">
      <w:pPr>
        <w:spacing w:line="276" w:lineRule="auto"/>
        <w:jc w:val="center"/>
        <w:rPr>
          <w:rFonts w:ascii="Verdana" w:hAnsi="Verdana" w:cs="Arial"/>
          <w:color w:val="000000" w:themeColor="text1"/>
          <w:lang w:val="es-ES" w:eastAsia="es-CO"/>
        </w:rPr>
      </w:pPr>
    </w:p>
    <w:tbl>
      <w:tblPr>
        <w:tblStyle w:val="TableGrid"/>
        <w:tblW w:w="6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
        <w:gridCol w:w="5345"/>
      </w:tblGrid>
      <w:tr w:rsidR="001B091E" w:rsidRPr="00FC6F34" w14:paraId="12423638" w14:textId="77777777" w:rsidTr="00434F52">
        <w:trPr>
          <w:trHeight w:val="285"/>
        </w:trPr>
        <w:tc>
          <w:tcPr>
            <w:tcW w:w="848" w:type="dxa"/>
            <w:vAlign w:val="center"/>
            <w:hideMark/>
          </w:tcPr>
          <w:p w14:paraId="7969A3A9" w14:textId="77777777" w:rsidR="001B091E" w:rsidRPr="00434F52" w:rsidRDefault="001B091E" w:rsidP="00CF224D">
            <w:pPr>
              <w:contextualSpacing/>
              <w:rPr>
                <w:rFonts w:ascii="Verdana" w:hAnsi="Verdana" w:cs="Arial"/>
                <w:sz w:val="15"/>
                <w:szCs w:val="15"/>
                <w:lang w:val="es-ES" w:eastAsia="es-ES"/>
              </w:rPr>
            </w:pPr>
            <w:r w:rsidRPr="00434F52">
              <w:rPr>
                <w:rFonts w:ascii="Verdana" w:hAnsi="Verdana" w:cs="Arial"/>
                <w:sz w:val="15"/>
                <w:szCs w:val="15"/>
                <w:lang w:val="es-ES" w:eastAsia="es-ES"/>
              </w:rPr>
              <w:t>Elaboró:</w:t>
            </w:r>
          </w:p>
        </w:tc>
        <w:tc>
          <w:tcPr>
            <w:tcW w:w="5347" w:type="dxa"/>
            <w:tcBorders>
              <w:top w:val="nil"/>
              <w:left w:val="nil"/>
              <w:bottom w:val="dotted" w:sz="4" w:space="0" w:color="7F7F7F" w:themeColor="text1" w:themeTint="80"/>
              <w:right w:val="nil"/>
            </w:tcBorders>
            <w:vAlign w:val="center"/>
            <w:hideMark/>
          </w:tcPr>
          <w:p w14:paraId="64B88640" w14:textId="1F20A7C5" w:rsidR="001B091E" w:rsidRPr="00434F52" w:rsidRDefault="001B091E" w:rsidP="00CF224D">
            <w:pPr>
              <w:contextualSpacing/>
              <w:rPr>
                <w:rFonts w:ascii="Verdana" w:eastAsia="Arial" w:hAnsi="Verdana" w:cs="Arial"/>
                <w:color w:val="000000" w:themeColor="text1"/>
                <w:sz w:val="15"/>
                <w:szCs w:val="15"/>
                <w:lang w:val="es-ES"/>
              </w:rPr>
            </w:pPr>
            <w:r w:rsidRPr="00434F52">
              <w:rPr>
                <w:rFonts w:ascii="Verdana" w:eastAsia="Arial" w:hAnsi="Verdana" w:cs="Arial"/>
                <w:color w:val="000000" w:themeColor="text1"/>
                <w:sz w:val="15"/>
                <w:szCs w:val="15"/>
                <w:lang w:val="es-ES"/>
              </w:rPr>
              <w:t>Anamaría Bonilla Prieto</w:t>
            </w:r>
          </w:p>
          <w:p w14:paraId="160328D5" w14:textId="77777777" w:rsidR="001B091E" w:rsidRPr="00434F52" w:rsidRDefault="001B091E" w:rsidP="00CF224D">
            <w:pPr>
              <w:contextualSpacing/>
              <w:rPr>
                <w:rFonts w:ascii="Verdana" w:eastAsia="Arial" w:hAnsi="Verdana" w:cs="Arial"/>
                <w:sz w:val="15"/>
                <w:szCs w:val="15"/>
                <w:lang w:val="es-ES"/>
              </w:rPr>
            </w:pPr>
            <w:r w:rsidRPr="00434F52">
              <w:rPr>
                <w:rStyle w:val="normaltextrun"/>
                <w:rFonts w:ascii="Verdana" w:eastAsia="Arial" w:hAnsi="Verdana" w:cs="Arial"/>
                <w:color w:val="000000" w:themeColor="text1"/>
                <w:sz w:val="15"/>
                <w:szCs w:val="15"/>
                <w:lang w:val="es-ES"/>
              </w:rPr>
              <w:t xml:space="preserve">Contratista de la Subdirección </w:t>
            </w:r>
            <w:r w:rsidRPr="00434F52">
              <w:rPr>
                <w:rStyle w:val="normaltextrun"/>
                <w:rFonts w:ascii="Verdana" w:eastAsia="Arial" w:hAnsi="Verdana" w:cs="Arial"/>
                <w:sz w:val="15"/>
                <w:szCs w:val="15"/>
                <w:lang w:val="es-ES"/>
              </w:rPr>
              <w:t>de Gestión Contractual</w:t>
            </w:r>
          </w:p>
        </w:tc>
      </w:tr>
      <w:tr w:rsidR="001B091E" w:rsidRPr="00FC6F34" w14:paraId="45A49B23" w14:textId="77777777" w:rsidTr="00434F52">
        <w:trPr>
          <w:trHeight w:val="298"/>
        </w:trPr>
        <w:tc>
          <w:tcPr>
            <w:tcW w:w="848" w:type="dxa"/>
            <w:vAlign w:val="center"/>
            <w:hideMark/>
          </w:tcPr>
          <w:p w14:paraId="1126B6B9" w14:textId="77777777" w:rsidR="001B091E" w:rsidRPr="00434F52" w:rsidRDefault="001B091E" w:rsidP="00CF224D">
            <w:pPr>
              <w:contextualSpacing/>
              <w:rPr>
                <w:rFonts w:ascii="Verdana" w:hAnsi="Verdana" w:cs="Arial"/>
                <w:sz w:val="15"/>
                <w:szCs w:val="15"/>
                <w:lang w:val="es-ES" w:eastAsia="es-ES"/>
              </w:rPr>
            </w:pPr>
            <w:r w:rsidRPr="00434F52">
              <w:rPr>
                <w:rFonts w:ascii="Verdana" w:hAnsi="Verdana" w:cs="Arial"/>
                <w:sz w:val="15"/>
                <w:szCs w:val="15"/>
                <w:lang w:val="es-ES" w:eastAsia="es-ES"/>
              </w:rPr>
              <w:t>Revisó:</w:t>
            </w:r>
          </w:p>
        </w:tc>
        <w:tc>
          <w:tcPr>
            <w:tcW w:w="5347" w:type="dxa"/>
            <w:tcBorders>
              <w:top w:val="dotted" w:sz="4" w:space="0" w:color="7F7F7F" w:themeColor="text1" w:themeTint="80"/>
              <w:left w:val="nil"/>
              <w:bottom w:val="dotted" w:sz="4" w:space="0" w:color="7F7F7F" w:themeColor="text1" w:themeTint="80"/>
              <w:right w:val="nil"/>
            </w:tcBorders>
            <w:vAlign w:val="center"/>
            <w:hideMark/>
          </w:tcPr>
          <w:p w14:paraId="153C8969" w14:textId="77777777" w:rsidR="001B091E" w:rsidRPr="00434F52" w:rsidRDefault="001B091E" w:rsidP="00CF224D">
            <w:pPr>
              <w:spacing w:line="276" w:lineRule="auto"/>
              <w:contextualSpacing/>
              <w:textAlignment w:val="baseline"/>
              <w:rPr>
                <w:rFonts w:ascii="Verdana" w:eastAsia="Times New Roman" w:hAnsi="Verdana" w:cs="Arial"/>
                <w:sz w:val="15"/>
                <w:szCs w:val="15"/>
                <w:lang w:val="es-ES" w:eastAsia="es-ES_tradnl"/>
              </w:rPr>
            </w:pPr>
            <w:r w:rsidRPr="00434F52">
              <w:rPr>
                <w:rFonts w:ascii="Verdana" w:eastAsia="Times New Roman" w:hAnsi="Verdana" w:cs="Arial"/>
                <w:sz w:val="15"/>
                <w:szCs w:val="15"/>
                <w:lang w:val="es-ES" w:eastAsia="es-ES_tradnl"/>
              </w:rPr>
              <w:t>Alejandro Sarmiento Cantillo</w:t>
            </w:r>
          </w:p>
          <w:p w14:paraId="4E704F72" w14:textId="77777777" w:rsidR="001B091E" w:rsidRPr="00434F52" w:rsidRDefault="001B091E" w:rsidP="00CF224D">
            <w:pPr>
              <w:pStyle w:val="paragraph"/>
              <w:spacing w:before="0" w:beforeAutospacing="0" w:after="0" w:afterAutospacing="0"/>
              <w:contextualSpacing/>
              <w:textAlignment w:val="baseline"/>
              <w:rPr>
                <w:rFonts w:ascii="Verdana" w:hAnsi="Verdana" w:cs="Segoe UI"/>
                <w:sz w:val="15"/>
                <w:szCs w:val="15"/>
                <w:lang w:val="es-ES"/>
              </w:rPr>
            </w:pPr>
            <w:r w:rsidRPr="00434F52">
              <w:rPr>
                <w:rFonts w:ascii="Verdana" w:hAnsi="Verdana" w:cs="Arial"/>
                <w:sz w:val="15"/>
                <w:szCs w:val="15"/>
                <w:lang w:val="es-ES"/>
              </w:rPr>
              <w:t xml:space="preserve">Gestor T1 – 15 </w:t>
            </w:r>
            <w:r w:rsidRPr="00434F52">
              <w:rPr>
                <w:rStyle w:val="normaltextrun"/>
                <w:rFonts w:ascii="Verdana" w:hAnsi="Verdana" w:cs="Arial"/>
                <w:sz w:val="15"/>
                <w:szCs w:val="15"/>
                <w:lang w:val="es-ES"/>
              </w:rPr>
              <w:t>de la Subdirección de Gestión Contractual</w:t>
            </w:r>
            <w:r w:rsidRPr="00434F52">
              <w:rPr>
                <w:rStyle w:val="eop"/>
                <w:rFonts w:ascii="Verdana" w:hAnsi="Verdana" w:cs="Arial"/>
                <w:sz w:val="15"/>
                <w:szCs w:val="15"/>
                <w:lang w:val="es-ES"/>
              </w:rPr>
              <w:t> </w:t>
            </w:r>
          </w:p>
        </w:tc>
      </w:tr>
      <w:tr w:rsidR="001B091E" w:rsidRPr="00FC6F34" w14:paraId="43F500C9" w14:textId="77777777" w:rsidTr="00434F52">
        <w:trPr>
          <w:trHeight w:val="271"/>
        </w:trPr>
        <w:tc>
          <w:tcPr>
            <w:tcW w:w="848" w:type="dxa"/>
            <w:vAlign w:val="center"/>
          </w:tcPr>
          <w:p w14:paraId="56E05592" w14:textId="77777777" w:rsidR="001B091E" w:rsidRPr="00434F52" w:rsidRDefault="001B091E" w:rsidP="00CF224D">
            <w:pPr>
              <w:contextualSpacing/>
              <w:rPr>
                <w:rFonts w:ascii="Verdana" w:hAnsi="Verdana" w:cs="Arial"/>
                <w:sz w:val="15"/>
                <w:szCs w:val="15"/>
                <w:lang w:val="es-ES" w:eastAsia="es-ES"/>
              </w:rPr>
            </w:pPr>
            <w:r w:rsidRPr="00434F52">
              <w:rPr>
                <w:rFonts w:ascii="Verdana" w:hAnsi="Verdana" w:cs="Arial"/>
                <w:sz w:val="15"/>
                <w:szCs w:val="15"/>
                <w:lang w:val="es-ES" w:eastAsia="es-ES"/>
              </w:rPr>
              <w:t>Aprobó:</w:t>
            </w:r>
          </w:p>
        </w:tc>
        <w:tc>
          <w:tcPr>
            <w:tcW w:w="5347" w:type="dxa"/>
            <w:tcBorders>
              <w:top w:val="dotted" w:sz="4" w:space="0" w:color="7F7F7F" w:themeColor="text1" w:themeTint="80"/>
              <w:left w:val="nil"/>
              <w:bottom w:val="dotted" w:sz="4" w:space="0" w:color="7F7F7F" w:themeColor="text1" w:themeTint="80"/>
              <w:right w:val="nil"/>
            </w:tcBorders>
            <w:vAlign w:val="center"/>
          </w:tcPr>
          <w:p w14:paraId="773FA34B" w14:textId="77777777" w:rsidR="001B091E" w:rsidRPr="00434F52" w:rsidRDefault="001B091E" w:rsidP="00CF224D">
            <w:pPr>
              <w:contextualSpacing/>
              <w:rPr>
                <w:rFonts w:ascii="Verdana" w:eastAsia="Calibri" w:hAnsi="Verdana" w:cs="Arial"/>
                <w:sz w:val="15"/>
                <w:szCs w:val="15"/>
                <w:lang w:val="es-ES" w:eastAsia="es-ES"/>
              </w:rPr>
            </w:pPr>
            <w:r w:rsidRPr="00434F52">
              <w:rPr>
                <w:rFonts w:ascii="Verdana" w:eastAsia="Calibri" w:hAnsi="Verdana" w:cs="Arial"/>
                <w:sz w:val="15"/>
                <w:szCs w:val="15"/>
                <w:lang w:val="es-ES" w:eastAsia="es-ES"/>
              </w:rPr>
              <w:t>Carolina Quintero Gacharná</w:t>
            </w:r>
          </w:p>
          <w:p w14:paraId="5F686B9B" w14:textId="77777777" w:rsidR="001B091E" w:rsidRPr="00434F52" w:rsidRDefault="001B091E" w:rsidP="00CF224D">
            <w:pPr>
              <w:contextualSpacing/>
              <w:rPr>
                <w:rFonts w:ascii="Verdana" w:eastAsia="Calibri" w:hAnsi="Verdana" w:cs="Arial"/>
                <w:sz w:val="15"/>
                <w:szCs w:val="15"/>
                <w:lang w:val="es-ES" w:eastAsia="es-ES"/>
              </w:rPr>
            </w:pPr>
            <w:r w:rsidRPr="00434F52">
              <w:rPr>
                <w:rFonts w:ascii="Verdana" w:eastAsia="Calibri" w:hAnsi="Verdana" w:cs="Arial"/>
                <w:sz w:val="15"/>
                <w:szCs w:val="15"/>
                <w:lang w:val="es-ES" w:eastAsia="es-ES"/>
              </w:rPr>
              <w:t>Subdirectora de Gestión Contractual ANCP – CCE</w:t>
            </w:r>
          </w:p>
        </w:tc>
      </w:tr>
      <w:bookmarkEnd w:id="0"/>
    </w:tbl>
    <w:p w14:paraId="0F293BF4" w14:textId="3DC456D6" w:rsidR="00127233" w:rsidRPr="00F25952" w:rsidRDefault="00127233" w:rsidP="00F25952"/>
    <w:sectPr w:rsidR="00127233" w:rsidRPr="00F25952"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5AEBA5" w14:textId="77777777" w:rsidR="00314EBF" w:rsidRDefault="00314EBF" w:rsidP="004A1847">
      <w:pPr>
        <w:spacing w:after="0" w:line="240" w:lineRule="auto"/>
      </w:pPr>
      <w:r>
        <w:separator/>
      </w:r>
    </w:p>
  </w:endnote>
  <w:endnote w:type="continuationSeparator" w:id="0">
    <w:p w14:paraId="5082AE02" w14:textId="77777777" w:rsidR="00314EBF" w:rsidRDefault="00314EBF" w:rsidP="004A1847">
      <w:pPr>
        <w:spacing w:after="0" w:line="240" w:lineRule="auto"/>
      </w:pPr>
      <w:r>
        <w:continuationSeparator/>
      </w:r>
    </w:p>
  </w:endnote>
  <w:endnote w:type="continuationNotice" w:id="1">
    <w:p w14:paraId="65087F12" w14:textId="77777777" w:rsidR="00314EBF" w:rsidRDefault="00314E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87675E" w14:textId="77777777" w:rsidR="00314EBF" w:rsidRDefault="00314EBF" w:rsidP="004A1847">
      <w:pPr>
        <w:spacing w:after="0" w:line="240" w:lineRule="auto"/>
      </w:pPr>
      <w:r>
        <w:separator/>
      </w:r>
    </w:p>
  </w:footnote>
  <w:footnote w:type="continuationSeparator" w:id="0">
    <w:p w14:paraId="5CAD6C9A" w14:textId="77777777" w:rsidR="00314EBF" w:rsidRDefault="00314EBF" w:rsidP="004A1847">
      <w:pPr>
        <w:spacing w:after="0" w:line="240" w:lineRule="auto"/>
      </w:pPr>
      <w:r>
        <w:continuationSeparator/>
      </w:r>
    </w:p>
  </w:footnote>
  <w:footnote w:type="continuationNotice" w:id="1">
    <w:p w14:paraId="30B899B6" w14:textId="77777777" w:rsidR="00314EBF" w:rsidRDefault="00314EBF">
      <w:pPr>
        <w:spacing w:after="0" w:line="240" w:lineRule="auto"/>
      </w:pPr>
    </w:p>
  </w:footnote>
  <w:footnote w:id="2">
    <w:p w14:paraId="0C388829" w14:textId="77777777" w:rsidR="001B091E" w:rsidRPr="000C3E29" w:rsidRDefault="001B091E" w:rsidP="000C3E29">
      <w:pPr>
        <w:pStyle w:val="FootnoteText"/>
        <w:snapToGrid w:val="0"/>
        <w:ind w:firstLine="709"/>
        <w:contextualSpacing/>
        <w:jc w:val="both"/>
        <w:rPr>
          <w:rFonts w:ascii="Verdana" w:hAnsi="Verdana"/>
          <w:sz w:val="15"/>
          <w:szCs w:val="15"/>
          <w:lang w:val="es-CO"/>
        </w:rPr>
      </w:pPr>
      <w:r w:rsidRPr="000C3E29">
        <w:rPr>
          <w:rStyle w:val="FootnoteReference"/>
          <w:rFonts w:ascii="Verdana" w:hAnsi="Verdana"/>
          <w:sz w:val="15"/>
          <w:szCs w:val="15"/>
        </w:rPr>
        <w:footnoteRef/>
      </w:r>
      <w:r w:rsidRPr="000C3E29">
        <w:rPr>
          <w:rFonts w:ascii="Verdana" w:hAnsi="Verdana"/>
          <w:sz w:val="15"/>
          <w:szCs w:val="15"/>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
    <w:p w14:paraId="6FCC4311" w14:textId="77777777" w:rsidR="001B091E" w:rsidRPr="000C3E29" w:rsidRDefault="001B091E" w:rsidP="000C3E29">
      <w:pPr>
        <w:pStyle w:val="FootnoteText"/>
        <w:snapToGrid w:val="0"/>
        <w:ind w:firstLine="709"/>
        <w:contextualSpacing/>
        <w:jc w:val="both"/>
        <w:rPr>
          <w:rFonts w:ascii="Verdana" w:hAnsi="Verdana" w:cs="Arial"/>
          <w:sz w:val="15"/>
          <w:szCs w:val="15"/>
        </w:rPr>
      </w:pPr>
      <w:r w:rsidRPr="000C3E29">
        <w:rPr>
          <w:rStyle w:val="FootnoteReference"/>
          <w:rFonts w:ascii="Verdana" w:hAnsi="Verdana" w:cs="Arial"/>
          <w:sz w:val="15"/>
          <w:szCs w:val="15"/>
        </w:rPr>
        <w:footnoteRef/>
      </w:r>
      <w:r w:rsidRPr="000C3E29">
        <w:rPr>
          <w:rFonts w:ascii="Verdana" w:hAnsi="Verdana" w:cs="Arial"/>
          <w:sz w:val="15"/>
          <w:szCs w:val="15"/>
        </w:rPr>
        <w:t xml:space="preserve"> </w:t>
      </w:r>
      <w:r w:rsidRPr="000C3E29">
        <w:rPr>
          <w:rFonts w:ascii="Verdana" w:hAnsi="Verdana" w:cs="Arial"/>
          <w:sz w:val="15"/>
          <w:szCs w:val="15"/>
        </w:rPr>
        <w:t>Gaceta del Congreso de la República No. 71 del 2005.</w:t>
      </w:r>
    </w:p>
  </w:footnote>
  <w:footnote w:id="4">
    <w:p w14:paraId="0A35C988" w14:textId="77777777" w:rsidR="001B091E" w:rsidRPr="000C3E29" w:rsidRDefault="001B091E" w:rsidP="000C3E29">
      <w:pPr>
        <w:pStyle w:val="FootnoteText"/>
        <w:snapToGrid w:val="0"/>
        <w:ind w:firstLine="709"/>
        <w:contextualSpacing/>
        <w:jc w:val="both"/>
        <w:rPr>
          <w:rFonts w:ascii="Verdana" w:hAnsi="Verdana" w:cs="Arial"/>
          <w:sz w:val="15"/>
          <w:szCs w:val="15"/>
          <w:lang w:val="pt-BR"/>
        </w:rPr>
      </w:pPr>
      <w:r w:rsidRPr="000C3E29">
        <w:rPr>
          <w:rStyle w:val="FootnoteReference"/>
          <w:rFonts w:ascii="Verdana" w:hAnsi="Verdana" w:cs="Arial"/>
          <w:sz w:val="15"/>
          <w:szCs w:val="15"/>
        </w:rPr>
        <w:footnoteRef/>
      </w:r>
      <w:r w:rsidRPr="000C3E29">
        <w:rPr>
          <w:rFonts w:ascii="Verdana" w:hAnsi="Verdana" w:cs="Arial"/>
          <w:sz w:val="15"/>
          <w:szCs w:val="15"/>
          <w:lang w:val="pt-BR"/>
        </w:rPr>
        <w:t xml:space="preserve"> Corte Constitucional, Sentencia C- 1153 de 2005, M.P. Marco Gerardo Monroy Cabra.</w:t>
      </w:r>
    </w:p>
  </w:footnote>
  <w:footnote w:id="5">
    <w:p w14:paraId="4C811EAD" w14:textId="77777777" w:rsidR="001B091E" w:rsidRPr="000C3E29" w:rsidRDefault="001B091E" w:rsidP="000C3E29">
      <w:pPr>
        <w:pStyle w:val="FootnoteText"/>
        <w:snapToGrid w:val="0"/>
        <w:ind w:firstLine="709"/>
        <w:contextualSpacing/>
        <w:jc w:val="both"/>
        <w:rPr>
          <w:rFonts w:ascii="Verdana" w:hAnsi="Verdana" w:cs="Arial"/>
          <w:sz w:val="15"/>
          <w:szCs w:val="15"/>
          <w:lang w:val="pt-BR"/>
        </w:rPr>
      </w:pPr>
      <w:r w:rsidRPr="000C3E29">
        <w:rPr>
          <w:rStyle w:val="FootnoteReference"/>
          <w:rFonts w:ascii="Verdana" w:hAnsi="Verdana" w:cs="Arial"/>
          <w:sz w:val="15"/>
          <w:szCs w:val="15"/>
        </w:rPr>
        <w:footnoteRef/>
      </w:r>
      <w:r w:rsidRPr="000C3E29">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1082BC80" w14:textId="77777777" w:rsidR="001B091E" w:rsidRPr="000C3E29" w:rsidRDefault="001B091E" w:rsidP="000C3E29">
      <w:pPr>
        <w:pStyle w:val="FootnoteText"/>
        <w:snapToGrid w:val="0"/>
        <w:ind w:firstLine="709"/>
        <w:contextualSpacing/>
        <w:jc w:val="both"/>
        <w:rPr>
          <w:rFonts w:ascii="Verdana" w:hAnsi="Verdana" w:cs="Arial"/>
          <w:sz w:val="15"/>
          <w:szCs w:val="15"/>
          <w:lang w:val="es-CO"/>
        </w:rPr>
      </w:pPr>
      <w:r w:rsidRPr="000C3E29">
        <w:rPr>
          <w:rStyle w:val="FootnoteReference"/>
          <w:rFonts w:ascii="Verdana" w:hAnsi="Verdana" w:cs="Arial"/>
          <w:sz w:val="15"/>
          <w:szCs w:val="15"/>
        </w:rPr>
        <w:footnoteRef/>
      </w:r>
      <w:r w:rsidRPr="000C3E29">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02863253" w14:textId="77777777" w:rsidR="001B091E" w:rsidRPr="000C3E29" w:rsidRDefault="001B091E" w:rsidP="000C3E29">
      <w:pPr>
        <w:pStyle w:val="FootnoteText"/>
        <w:snapToGrid w:val="0"/>
        <w:ind w:firstLine="709"/>
        <w:contextualSpacing/>
        <w:jc w:val="both"/>
        <w:rPr>
          <w:rFonts w:ascii="Verdana" w:hAnsi="Verdana" w:cs="Arial"/>
          <w:sz w:val="15"/>
          <w:szCs w:val="15"/>
        </w:rPr>
      </w:pPr>
      <w:r w:rsidRPr="000C3E29">
        <w:rPr>
          <w:rStyle w:val="FootnoteReference"/>
          <w:rFonts w:ascii="Verdana" w:hAnsi="Verdana" w:cs="Arial"/>
          <w:sz w:val="15"/>
          <w:szCs w:val="15"/>
        </w:rPr>
        <w:footnoteRef/>
      </w:r>
      <w:r w:rsidRPr="000C3E29">
        <w:rPr>
          <w:rFonts w:ascii="Verdana" w:hAnsi="Verdana" w:cs="Arial"/>
          <w:sz w:val="15"/>
          <w:szCs w:val="15"/>
        </w:rPr>
        <w:t xml:space="preserve"> Consejo de Estado, Sala de Consulta y Servicio Civil de fecha 24 de julio de 2013, Rad. 2166, C. P. Álvaro Namén Vargas.  </w:t>
      </w:r>
    </w:p>
  </w:footnote>
  <w:footnote w:id="8">
    <w:p w14:paraId="714559FD" w14:textId="77777777" w:rsidR="001B091E" w:rsidRPr="000C3E29" w:rsidRDefault="001B091E" w:rsidP="000C3E29">
      <w:pPr>
        <w:snapToGrid w:val="0"/>
        <w:spacing w:after="0" w:line="240" w:lineRule="auto"/>
        <w:ind w:firstLine="709"/>
        <w:contextualSpacing/>
        <w:jc w:val="both"/>
        <w:rPr>
          <w:rFonts w:ascii="Verdana" w:eastAsia="Times New Roman" w:hAnsi="Verdana" w:cs="Arial"/>
          <w:sz w:val="15"/>
          <w:szCs w:val="15"/>
        </w:rPr>
      </w:pPr>
      <w:r w:rsidRPr="000C3E29">
        <w:rPr>
          <w:rStyle w:val="FootnoteReference"/>
          <w:rFonts w:ascii="Verdana" w:hAnsi="Verdana" w:cs="Arial"/>
          <w:sz w:val="15"/>
          <w:szCs w:val="15"/>
        </w:rPr>
        <w:footnoteRef/>
      </w:r>
      <w:r w:rsidRPr="000C3E29">
        <w:rPr>
          <w:rFonts w:ascii="Verdana" w:hAnsi="Verdana" w:cs="Arial"/>
          <w:sz w:val="15"/>
          <w:szCs w:val="15"/>
        </w:rPr>
        <w:t xml:space="preserve"> </w:t>
      </w:r>
      <w:r w:rsidRPr="000C3E29">
        <w:rPr>
          <w:rFonts w:ascii="Verdana" w:eastAsia="Calibri" w:hAnsi="Verdana" w:cs="Arial"/>
          <w:color w:val="000000"/>
          <w:sz w:val="15"/>
          <w:szCs w:val="15"/>
        </w:rPr>
        <w:t>“</w:t>
      </w:r>
      <w:r w:rsidRPr="000C3E29">
        <w:rPr>
          <w:rFonts w:ascii="Verdana" w:eastAsia="Times New Roman" w:hAnsi="Verdana" w:cs="Arial"/>
          <w:sz w:val="15"/>
          <w:szCs w:val="15"/>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0C9A35D4" w14:textId="77777777" w:rsidR="001B091E" w:rsidRPr="000C3E29" w:rsidRDefault="001B091E" w:rsidP="000C3E29">
      <w:pPr>
        <w:snapToGrid w:val="0"/>
        <w:spacing w:after="0" w:line="240" w:lineRule="auto"/>
        <w:ind w:firstLine="709"/>
        <w:contextualSpacing/>
        <w:jc w:val="both"/>
        <w:rPr>
          <w:rFonts w:ascii="Verdana" w:eastAsia="Times New Roman" w:hAnsi="Verdana" w:cs="Arial"/>
          <w:sz w:val="15"/>
          <w:szCs w:val="15"/>
        </w:rPr>
      </w:pPr>
      <w:r w:rsidRPr="000C3E29">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0C3E29">
        <w:rPr>
          <w:rFonts w:ascii="Verdana" w:eastAsia="Calibri" w:hAnsi="Verdana" w:cs="Arial"/>
          <w:color w:val="000000"/>
          <w:sz w:val="15"/>
          <w:szCs w:val="15"/>
        </w:rPr>
        <w:t>”</w:t>
      </w:r>
      <w:r w:rsidRPr="000C3E29">
        <w:rPr>
          <w:rFonts w:ascii="Verdana" w:eastAsia="Times New Roman" w:hAnsi="Verdana" w:cs="Arial"/>
          <w:sz w:val="15"/>
          <w:szCs w:val="15"/>
        </w:rPr>
        <w:t>.</w:t>
      </w:r>
    </w:p>
  </w:footnote>
  <w:footnote w:id="9">
    <w:p w14:paraId="130FB440" w14:textId="77777777" w:rsidR="001B091E" w:rsidRPr="000C3E29" w:rsidRDefault="001B091E" w:rsidP="000C3E29">
      <w:pPr>
        <w:pStyle w:val="NormalWeb"/>
        <w:snapToGrid w:val="0"/>
        <w:spacing w:before="0" w:beforeAutospacing="0" w:after="0" w:afterAutospacing="0"/>
        <w:ind w:firstLine="709"/>
        <w:contextualSpacing/>
        <w:jc w:val="both"/>
        <w:rPr>
          <w:rFonts w:ascii="Verdana" w:hAnsi="Verdana" w:cs="Arial"/>
          <w:sz w:val="15"/>
          <w:szCs w:val="15"/>
          <w:lang w:val="es-MX"/>
        </w:rPr>
      </w:pPr>
      <w:r w:rsidRPr="000C3E29">
        <w:rPr>
          <w:rStyle w:val="FootnoteReference"/>
          <w:rFonts w:ascii="Verdana" w:hAnsi="Verdana" w:cs="Arial"/>
          <w:sz w:val="15"/>
          <w:szCs w:val="15"/>
        </w:rPr>
        <w:footnoteRef/>
      </w:r>
      <w:r w:rsidRPr="000C3E29">
        <w:rPr>
          <w:rFonts w:ascii="Verdana" w:hAnsi="Verdana" w:cs="Arial"/>
          <w:sz w:val="15"/>
          <w:szCs w:val="15"/>
        </w:rPr>
        <w:t xml:space="preserve"> </w:t>
      </w:r>
      <w:r w:rsidRPr="000C3E29">
        <w:rPr>
          <w:rFonts w:ascii="Verdana" w:eastAsia="Calibri" w:hAnsi="Verdana" w:cs="Arial"/>
          <w:color w:val="000000"/>
          <w:sz w:val="15"/>
          <w:szCs w:val="15"/>
        </w:rPr>
        <w:t>“</w:t>
      </w:r>
      <w:r w:rsidRPr="000C3E29">
        <w:rPr>
          <w:rFonts w:ascii="Verdana" w:hAnsi="Verdana" w:cs="Arial"/>
          <w:sz w:val="15"/>
          <w:szCs w:val="15"/>
          <w:lang w:val="es-MX"/>
        </w:rPr>
        <w:t>Artículo 38. Prohibiciones para los servidores públicos. A los empleados del Estado les está prohibido: […]</w:t>
      </w:r>
    </w:p>
    <w:p w14:paraId="5C82B17F" w14:textId="77777777" w:rsidR="001B091E" w:rsidRPr="000C3E29" w:rsidRDefault="001B091E" w:rsidP="000C3E29">
      <w:pPr>
        <w:pStyle w:val="NormalWeb"/>
        <w:snapToGrid w:val="0"/>
        <w:spacing w:before="0" w:beforeAutospacing="0" w:after="0" w:afterAutospacing="0"/>
        <w:ind w:firstLine="709"/>
        <w:contextualSpacing/>
        <w:jc w:val="both"/>
        <w:rPr>
          <w:rFonts w:ascii="Verdana" w:hAnsi="Verdana" w:cs="Arial"/>
          <w:sz w:val="15"/>
          <w:szCs w:val="15"/>
          <w:lang w:val="es-MX"/>
        </w:rPr>
      </w:pPr>
      <w:r w:rsidRPr="000C3E29">
        <w:rPr>
          <w:rStyle w:val="baj"/>
          <w:rFonts w:ascii="Verdana" w:hAnsi="Verdana" w:cs="Arial"/>
          <w:sz w:val="15"/>
          <w:szCs w:val="15"/>
          <w:lang w:val="es-MX"/>
        </w:rPr>
        <w:t>Parágrafo.</w:t>
      </w:r>
      <w:r w:rsidRPr="000C3E29">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C3E29">
        <w:rPr>
          <w:rFonts w:ascii="Verdana" w:eastAsia="Calibri" w:hAnsi="Verdana" w:cs="Arial"/>
          <w:color w:val="000000"/>
          <w:sz w:val="15"/>
          <w:szCs w:val="15"/>
        </w:rPr>
        <w:t>”</w:t>
      </w:r>
      <w:r w:rsidRPr="000C3E29">
        <w:rPr>
          <w:rFonts w:ascii="Verdana" w:hAnsi="Verdana" w:cs="Arial"/>
          <w:sz w:val="15"/>
          <w:szCs w:val="15"/>
          <w:lang w:val="es-MX"/>
        </w:rPr>
        <w:t>.</w:t>
      </w:r>
    </w:p>
  </w:footnote>
  <w:footnote w:id="10">
    <w:p w14:paraId="1CE04276" w14:textId="77777777" w:rsidR="001B091E" w:rsidRPr="000C3E29" w:rsidRDefault="001B091E" w:rsidP="000C3E29">
      <w:pPr>
        <w:snapToGrid w:val="0"/>
        <w:spacing w:after="0" w:line="240" w:lineRule="auto"/>
        <w:ind w:left="100" w:right="244" w:firstLine="709"/>
        <w:contextualSpacing/>
        <w:jc w:val="both"/>
        <w:rPr>
          <w:rFonts w:ascii="Verdana" w:hAnsi="Verdana" w:cs="Arial"/>
          <w:sz w:val="15"/>
          <w:szCs w:val="15"/>
          <w:lang w:val="es-ES"/>
        </w:rPr>
      </w:pPr>
      <w:r w:rsidRPr="000C3E29">
        <w:rPr>
          <w:rStyle w:val="FootnoteReference"/>
          <w:rFonts w:ascii="Verdana" w:hAnsi="Verdana" w:cs="Arial"/>
          <w:sz w:val="15"/>
          <w:szCs w:val="15"/>
        </w:rPr>
        <w:footnoteRef/>
      </w:r>
      <w:r w:rsidRPr="000C3E29">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1">
    <w:p w14:paraId="62625CDE" w14:textId="77777777" w:rsidR="001B091E" w:rsidRPr="000C3E29" w:rsidRDefault="001B091E" w:rsidP="000C3E29">
      <w:pPr>
        <w:pStyle w:val="FootnoteText"/>
        <w:snapToGrid w:val="0"/>
        <w:ind w:right="51" w:firstLine="709"/>
        <w:contextualSpacing/>
        <w:jc w:val="both"/>
        <w:rPr>
          <w:rFonts w:ascii="Verdana" w:hAnsi="Verdana" w:cs="Arial"/>
          <w:sz w:val="15"/>
          <w:szCs w:val="15"/>
        </w:rPr>
      </w:pPr>
      <w:r w:rsidRPr="000C3E29">
        <w:rPr>
          <w:rStyle w:val="FootnoteReference"/>
          <w:rFonts w:ascii="Verdana" w:hAnsi="Verdana" w:cs="Arial"/>
          <w:sz w:val="15"/>
          <w:szCs w:val="15"/>
        </w:rPr>
        <w:footnoteRef/>
      </w:r>
      <w:r w:rsidRPr="000C3E29">
        <w:rPr>
          <w:rFonts w:ascii="Verdana" w:hAnsi="Verdana" w:cs="Arial"/>
          <w:sz w:val="15"/>
          <w:szCs w:val="15"/>
        </w:rPr>
        <w:t xml:space="preserve"> “</w:t>
      </w:r>
      <w:r w:rsidRPr="000C3E29">
        <w:rPr>
          <w:rFonts w:ascii="Verdana" w:hAnsi="Verdana" w:cs="Arial"/>
          <w:sz w:val="15"/>
          <w:szCs w:val="15"/>
          <w:lang w:val="es-ES"/>
        </w:rPr>
        <w:t xml:space="preserve">[26] </w:t>
      </w:r>
      <w:r w:rsidRPr="000C3E29">
        <w:rPr>
          <w:rFonts w:ascii="Verdana" w:hAnsi="Verdana" w:cs="Arial"/>
          <w:sz w:val="15"/>
          <w:szCs w:val="15"/>
        </w:rPr>
        <w:t>Al respecto ver el concepto 1712 de 2 de febrero de 2006. Consejo de Estado Sala de Consulta y Servicio Civil”.</w:t>
      </w:r>
    </w:p>
  </w:footnote>
  <w:footnote w:id="12">
    <w:p w14:paraId="72918CBC" w14:textId="77777777" w:rsidR="001B091E" w:rsidRPr="000C3E29" w:rsidRDefault="001B091E" w:rsidP="000C3E29">
      <w:pPr>
        <w:pStyle w:val="FootnoteText"/>
        <w:snapToGrid w:val="0"/>
        <w:ind w:firstLine="709"/>
        <w:contextualSpacing/>
        <w:jc w:val="both"/>
        <w:rPr>
          <w:rFonts w:ascii="Verdana" w:hAnsi="Verdana" w:cs="Arial"/>
          <w:sz w:val="15"/>
          <w:szCs w:val="15"/>
        </w:rPr>
      </w:pPr>
      <w:r w:rsidRPr="000C3E29">
        <w:rPr>
          <w:rStyle w:val="FootnoteReference"/>
          <w:rFonts w:ascii="Verdana" w:hAnsi="Verdana" w:cs="Arial"/>
          <w:sz w:val="15"/>
          <w:szCs w:val="15"/>
        </w:rPr>
        <w:footnoteRef/>
      </w:r>
      <w:r w:rsidRPr="000C3E29">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3">
    <w:p w14:paraId="54D0EB34" w14:textId="77777777" w:rsidR="001B091E" w:rsidRPr="000C3E29" w:rsidRDefault="001B091E" w:rsidP="000C3E29">
      <w:pPr>
        <w:pStyle w:val="FootnoteText"/>
        <w:snapToGrid w:val="0"/>
        <w:ind w:firstLine="709"/>
        <w:contextualSpacing/>
        <w:jc w:val="both"/>
        <w:rPr>
          <w:rFonts w:ascii="Verdana" w:hAnsi="Verdana" w:cs="Arial"/>
          <w:sz w:val="15"/>
          <w:szCs w:val="15"/>
          <w:lang w:val="es-ES"/>
        </w:rPr>
      </w:pPr>
      <w:r w:rsidRPr="000C3E29">
        <w:rPr>
          <w:rStyle w:val="FootnoteReference"/>
          <w:rFonts w:ascii="Verdana" w:hAnsi="Verdana" w:cs="Arial"/>
          <w:sz w:val="15"/>
          <w:szCs w:val="15"/>
        </w:rPr>
        <w:footnoteRef/>
      </w:r>
      <w:r w:rsidRPr="000C3E29">
        <w:rPr>
          <w:rFonts w:ascii="Verdana" w:hAnsi="Verdana" w:cs="Arial"/>
          <w:sz w:val="15"/>
          <w:szCs w:val="15"/>
        </w:rPr>
        <w:t xml:space="preserve"> </w:t>
      </w:r>
      <w:r w:rsidRPr="000C3E29">
        <w:rPr>
          <w:rFonts w:ascii="Verdana" w:hAnsi="Verdana" w:cs="Arial"/>
          <w:sz w:val="15"/>
          <w:szCs w:val="15"/>
          <w:lang w:val="es-ES"/>
        </w:rPr>
        <w:t xml:space="preserve">Artículo 2. </w:t>
      </w:r>
    </w:p>
  </w:footnote>
  <w:footnote w:id="14">
    <w:p w14:paraId="6DDBFABC" w14:textId="77777777" w:rsidR="001B091E" w:rsidRPr="000C3E29" w:rsidRDefault="001B091E" w:rsidP="000C3E29">
      <w:pPr>
        <w:pStyle w:val="FootnoteText"/>
        <w:snapToGrid w:val="0"/>
        <w:ind w:firstLine="709"/>
        <w:contextualSpacing/>
        <w:jc w:val="both"/>
        <w:rPr>
          <w:rFonts w:ascii="Verdana" w:hAnsi="Verdana" w:cs="Arial"/>
          <w:sz w:val="15"/>
          <w:szCs w:val="15"/>
          <w:lang w:val="es-ES"/>
        </w:rPr>
      </w:pPr>
      <w:r w:rsidRPr="000C3E29">
        <w:rPr>
          <w:rStyle w:val="FootnoteReference"/>
          <w:rFonts w:ascii="Verdana" w:hAnsi="Verdana" w:cs="Arial"/>
          <w:sz w:val="15"/>
          <w:szCs w:val="15"/>
        </w:rPr>
        <w:footnoteRef/>
      </w:r>
      <w:r w:rsidRPr="000C3E29">
        <w:rPr>
          <w:rFonts w:ascii="Verdana" w:hAnsi="Verdana" w:cs="Arial"/>
          <w:sz w:val="15"/>
          <w:szCs w:val="15"/>
        </w:rPr>
        <w:t xml:space="preserve"> </w:t>
      </w:r>
      <w:r w:rsidRPr="000C3E29">
        <w:rPr>
          <w:rFonts w:ascii="Verdana" w:hAnsi="Verdana" w:cs="Arial"/>
          <w:i/>
          <w:sz w:val="15"/>
          <w:szCs w:val="15"/>
          <w:lang w:val="es-ES"/>
        </w:rPr>
        <w:t>Ídem</w:t>
      </w:r>
      <w:r w:rsidRPr="000C3E29">
        <w:rPr>
          <w:rFonts w:ascii="Verdana" w:hAnsi="Verdana" w:cs="Arial"/>
          <w:sz w:val="15"/>
          <w:szCs w:val="15"/>
          <w:lang w:val="es-ES"/>
        </w:rPr>
        <w:t>.</w:t>
      </w:r>
    </w:p>
  </w:footnote>
  <w:footnote w:id="15">
    <w:p w14:paraId="2B2EFE20" w14:textId="77777777" w:rsidR="001B091E" w:rsidRPr="000C3E29" w:rsidRDefault="001B091E" w:rsidP="000C3E29">
      <w:pPr>
        <w:pStyle w:val="FootnoteText"/>
        <w:snapToGrid w:val="0"/>
        <w:ind w:firstLine="709"/>
        <w:contextualSpacing/>
        <w:jc w:val="both"/>
        <w:rPr>
          <w:rFonts w:ascii="Verdana" w:hAnsi="Verdana" w:cs="Arial"/>
          <w:sz w:val="15"/>
          <w:szCs w:val="15"/>
        </w:rPr>
      </w:pPr>
      <w:r w:rsidRPr="000C3E29">
        <w:rPr>
          <w:rStyle w:val="FootnoteReference"/>
          <w:rFonts w:ascii="Verdana" w:hAnsi="Verdana" w:cs="Arial"/>
          <w:sz w:val="15"/>
          <w:szCs w:val="15"/>
        </w:rPr>
        <w:footnoteRef/>
      </w:r>
      <w:r w:rsidRPr="000C3E29">
        <w:rPr>
          <w:rFonts w:ascii="Verdana" w:hAnsi="Verdana" w:cs="Arial"/>
          <w:sz w:val="15"/>
          <w:szCs w:val="15"/>
        </w:rPr>
        <w:t xml:space="preserve"> Consejo de Estado. Sala de Consulta y Servicio Civil. Concepto del 08 de mayo de 2018. Exp. 2.382. C.P. Álvaro Namén Vargas.</w:t>
      </w:r>
    </w:p>
  </w:footnote>
  <w:footnote w:id="16">
    <w:p w14:paraId="44D7E6F8" w14:textId="77777777" w:rsidR="001B091E" w:rsidRPr="000C3E29" w:rsidRDefault="001B091E" w:rsidP="000C3E29">
      <w:pPr>
        <w:pStyle w:val="FootnoteText"/>
        <w:snapToGrid w:val="0"/>
        <w:ind w:firstLine="708"/>
        <w:contextualSpacing/>
        <w:jc w:val="both"/>
        <w:rPr>
          <w:rFonts w:ascii="Verdana" w:hAnsi="Verdana"/>
          <w:sz w:val="15"/>
          <w:szCs w:val="15"/>
          <w:lang w:val="es-ES"/>
        </w:rPr>
      </w:pPr>
      <w:r w:rsidRPr="000C3E29">
        <w:rPr>
          <w:rStyle w:val="FootnoteReference"/>
          <w:rFonts w:ascii="Verdana" w:hAnsi="Verdana"/>
          <w:sz w:val="15"/>
          <w:szCs w:val="15"/>
        </w:rPr>
        <w:footnoteRef/>
      </w:r>
      <w:r w:rsidRPr="000C3E29">
        <w:rPr>
          <w:rFonts w:ascii="Verdana" w:hAnsi="Verdana"/>
          <w:sz w:val="15"/>
          <w:szCs w:val="15"/>
        </w:rPr>
        <w:t xml:space="preserve"> </w:t>
      </w:r>
      <w:r w:rsidRPr="000C3E29">
        <w:rPr>
          <w:rFonts w:ascii="Verdana" w:eastAsia="Calibri" w:hAnsi="Verdana" w:cs="Arial"/>
          <w:sz w:val="15"/>
          <w:szCs w:val="15"/>
          <w:lang w:val="es-ES"/>
        </w:rPr>
        <w:t xml:space="preserve">Consejo de Estado, Sala de Consulta y Servicio Civil, Concepto de fecha 8 de mayo de 2018, No. </w:t>
      </w:r>
      <w:r w:rsidRPr="000C3E29">
        <w:rPr>
          <w:rFonts w:ascii="Verdana" w:hAnsi="Verdana"/>
          <w:sz w:val="15"/>
          <w:szCs w:val="15"/>
          <w:lang w:val="es-CO"/>
        </w:rPr>
        <w:t>2382.</w:t>
      </w:r>
      <w:r w:rsidRPr="000C3E29">
        <w:rPr>
          <w:rFonts w:ascii="Verdana" w:hAnsi="Verdana"/>
          <w:sz w:val="15"/>
          <w:szCs w:val="15"/>
        </w:rPr>
        <w:t xml:space="preserve"> </w:t>
      </w:r>
      <w:r w:rsidRPr="000C3E29">
        <w:rPr>
          <w:rFonts w:ascii="Verdana" w:hAnsi="Verdana"/>
          <w:sz w:val="15"/>
          <w:szCs w:val="15"/>
          <w:lang w:val="es-CO"/>
        </w:rPr>
        <w:t>C. P. Álvaro Namén Vargas.</w:t>
      </w:r>
    </w:p>
  </w:footnote>
  <w:footnote w:id="17">
    <w:p w14:paraId="29C48DAA" w14:textId="77777777" w:rsidR="001B091E" w:rsidRPr="000C3E29" w:rsidRDefault="001B091E" w:rsidP="000C3E29">
      <w:pPr>
        <w:snapToGrid w:val="0"/>
        <w:spacing w:after="0" w:line="240" w:lineRule="auto"/>
        <w:ind w:firstLine="709"/>
        <w:contextualSpacing/>
        <w:jc w:val="both"/>
        <w:rPr>
          <w:rFonts w:ascii="Verdana" w:hAnsi="Verdana" w:cs="Arial"/>
          <w:color w:val="000000" w:themeColor="text1"/>
          <w:sz w:val="15"/>
          <w:szCs w:val="15"/>
        </w:rPr>
      </w:pPr>
      <w:r w:rsidRPr="000C3E29">
        <w:rPr>
          <w:rStyle w:val="FootnoteReference"/>
          <w:rFonts w:ascii="Verdana" w:hAnsi="Verdana" w:cs="Arial"/>
          <w:color w:val="000000" w:themeColor="text1"/>
          <w:sz w:val="15"/>
          <w:szCs w:val="15"/>
        </w:rPr>
        <w:footnoteRef/>
      </w:r>
      <w:r w:rsidRPr="000C3E29">
        <w:rPr>
          <w:rFonts w:ascii="Verdana" w:hAnsi="Verdana" w:cs="Arial"/>
          <w:color w:val="000000" w:themeColor="text1"/>
          <w:sz w:val="15"/>
          <w:szCs w:val="15"/>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747B76DD" w14:textId="77777777" w:rsidR="001B091E" w:rsidRPr="000C3E29" w:rsidRDefault="001B091E" w:rsidP="000C3E29">
      <w:pPr>
        <w:pStyle w:val="FootnoteText"/>
        <w:snapToGrid w:val="0"/>
        <w:ind w:firstLine="708"/>
        <w:contextualSpacing/>
        <w:jc w:val="both"/>
        <w:rPr>
          <w:rFonts w:ascii="Verdana" w:hAnsi="Verdana" w:cs="Arial"/>
          <w:color w:val="000000" w:themeColor="text1"/>
          <w:sz w:val="15"/>
          <w:szCs w:val="15"/>
        </w:rPr>
      </w:pPr>
      <w:r w:rsidRPr="000C3E29">
        <w:rPr>
          <w:rStyle w:val="FootnoteReference"/>
          <w:rFonts w:ascii="Verdana" w:hAnsi="Verdana" w:cs="Arial"/>
          <w:color w:val="000000" w:themeColor="text1"/>
          <w:sz w:val="15"/>
          <w:szCs w:val="15"/>
        </w:rPr>
        <w:footnoteRef/>
      </w:r>
      <w:r w:rsidRPr="000C3E29">
        <w:rPr>
          <w:rFonts w:ascii="Verdana" w:hAnsi="Verdana" w:cs="Arial"/>
          <w:color w:val="000000" w:themeColor="text1"/>
          <w:sz w:val="15"/>
          <w:szCs w:val="15"/>
        </w:rPr>
        <w:t xml:space="preserve"> CORTE CONSTITUCIONAL. Sentencia C-1153 de 2005 M.P. Marco Gerardo Monroy Cabra. </w:t>
      </w:r>
    </w:p>
  </w:footnote>
  <w:footnote w:id="19">
    <w:p w14:paraId="3F8C00C2" w14:textId="77777777" w:rsidR="001B091E" w:rsidRPr="000C3E29" w:rsidRDefault="001B091E" w:rsidP="000C3E29">
      <w:pPr>
        <w:pStyle w:val="FootnoteText"/>
        <w:snapToGrid w:val="0"/>
        <w:ind w:firstLine="708"/>
        <w:contextualSpacing/>
        <w:jc w:val="both"/>
        <w:rPr>
          <w:rFonts w:ascii="Verdana" w:hAnsi="Verdana" w:cs="Arial"/>
          <w:color w:val="000000" w:themeColor="text1"/>
          <w:sz w:val="15"/>
          <w:szCs w:val="15"/>
        </w:rPr>
      </w:pPr>
      <w:r w:rsidRPr="000C3E29">
        <w:rPr>
          <w:rStyle w:val="FootnoteReference"/>
          <w:rFonts w:ascii="Verdana" w:hAnsi="Verdana" w:cs="Arial"/>
          <w:color w:val="000000" w:themeColor="text1"/>
          <w:sz w:val="15"/>
          <w:szCs w:val="15"/>
        </w:rPr>
        <w:footnoteRef/>
      </w:r>
      <w:r w:rsidRPr="000C3E29">
        <w:rPr>
          <w:rFonts w:ascii="Verdana" w:hAnsi="Verdana" w:cs="Arial"/>
          <w:color w:val="000000" w:themeColor="text1"/>
          <w:sz w:val="15"/>
          <w:szCs w:val="15"/>
        </w:rPr>
        <w:t xml:space="preserve"> Consejo de Estado. Sala de Consulta y Servicio Civil. Concepto del 02 de septiembre de 2013. Rad. 11001-03-06-000-2013-00412-00 (2168). C.P. Álvaro Namén Vargas.</w:t>
      </w:r>
    </w:p>
  </w:footnote>
  <w:footnote w:id="20">
    <w:p w14:paraId="7905F1B5" w14:textId="77777777" w:rsidR="001B091E" w:rsidRPr="000C3E29" w:rsidRDefault="001B091E" w:rsidP="000C3E29">
      <w:pPr>
        <w:pStyle w:val="FootnoteText"/>
        <w:snapToGrid w:val="0"/>
        <w:ind w:firstLine="709"/>
        <w:contextualSpacing/>
        <w:jc w:val="both"/>
        <w:rPr>
          <w:rFonts w:ascii="Verdana" w:hAnsi="Verdana" w:cs="Arial"/>
          <w:color w:val="000000" w:themeColor="text1"/>
          <w:sz w:val="15"/>
          <w:szCs w:val="15"/>
        </w:rPr>
      </w:pPr>
      <w:r w:rsidRPr="000C3E29">
        <w:rPr>
          <w:rStyle w:val="FootnoteReference"/>
          <w:rFonts w:ascii="Verdana" w:hAnsi="Verdana" w:cs="Arial"/>
          <w:color w:val="000000" w:themeColor="text1"/>
          <w:sz w:val="15"/>
          <w:szCs w:val="15"/>
        </w:rPr>
        <w:footnoteRef/>
      </w:r>
      <w:r w:rsidRPr="000C3E29">
        <w:rPr>
          <w:rFonts w:ascii="Verdana" w:hAnsi="Verdana" w:cs="Arial"/>
          <w:color w:val="000000" w:themeColor="text1"/>
          <w:sz w:val="15"/>
          <w:szCs w:val="15"/>
        </w:rPr>
        <w:t xml:space="preserve"> Consejo de Estado. Sala de Consulta y Servicio Civil. Concepto de 20 de febrero de2006. Radicación 11001-03-06-000-2006-00023-00(1724). Consejero Ponente: Flavio Augusto Rodríguez Arce.</w:t>
      </w:r>
    </w:p>
  </w:footnote>
  <w:footnote w:id="21">
    <w:p w14:paraId="7416A7C9" w14:textId="77777777" w:rsidR="001B091E" w:rsidRPr="000C3E29" w:rsidRDefault="001B091E" w:rsidP="000C3E29">
      <w:pPr>
        <w:snapToGrid w:val="0"/>
        <w:spacing w:after="0" w:line="240" w:lineRule="auto"/>
        <w:ind w:firstLine="709"/>
        <w:contextualSpacing/>
        <w:jc w:val="both"/>
        <w:rPr>
          <w:rFonts w:ascii="Verdana" w:hAnsi="Verdana" w:cs="Arial"/>
          <w:color w:val="000000" w:themeColor="text1"/>
          <w:sz w:val="15"/>
          <w:szCs w:val="15"/>
        </w:rPr>
      </w:pPr>
      <w:r w:rsidRPr="000C3E29">
        <w:rPr>
          <w:rStyle w:val="FootnoteReference"/>
          <w:rFonts w:ascii="Verdana" w:hAnsi="Verdana" w:cs="Arial"/>
          <w:color w:val="000000" w:themeColor="text1"/>
          <w:sz w:val="15"/>
          <w:szCs w:val="15"/>
        </w:rPr>
        <w:footnoteRef/>
      </w:r>
      <w:r w:rsidRPr="000C3E29">
        <w:rPr>
          <w:rFonts w:ascii="Verdana" w:hAnsi="Verdana" w:cs="Arial"/>
          <w:color w:val="000000" w:themeColor="text1"/>
          <w:sz w:val="15"/>
          <w:szCs w:val="15"/>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242FADC0" w14:textId="77777777" w:rsidR="001B091E" w:rsidRPr="000C3E29" w:rsidRDefault="001B091E" w:rsidP="000C3E29">
      <w:pPr>
        <w:snapToGrid w:val="0"/>
        <w:spacing w:after="0" w:line="240" w:lineRule="auto"/>
        <w:ind w:firstLine="709"/>
        <w:contextualSpacing/>
        <w:jc w:val="both"/>
        <w:rPr>
          <w:rFonts w:ascii="Verdana" w:hAnsi="Verdana" w:cs="Arial"/>
          <w:color w:val="000000" w:themeColor="text1"/>
          <w:sz w:val="15"/>
          <w:szCs w:val="15"/>
        </w:rPr>
      </w:pPr>
      <w:r w:rsidRPr="000C3E29">
        <w:rPr>
          <w:rFonts w:ascii="Verdana" w:hAnsi="Verdana" w:cs="Arial"/>
          <w:color w:val="000000" w:themeColor="text1"/>
          <w:sz w:val="15"/>
          <w:szCs w:val="15"/>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0C3E29">
        <w:rPr>
          <w:rFonts w:ascii="Verdana" w:hAnsi="Verdana" w:cs="Arial"/>
          <w:color w:val="000000" w:themeColor="text1"/>
          <w:spacing w:val="-1"/>
          <w:sz w:val="15"/>
          <w:szCs w:val="15"/>
        </w:rPr>
        <w:t xml:space="preserve"> </w:t>
      </w:r>
      <w:r w:rsidRPr="000C3E29">
        <w:rPr>
          <w:rFonts w:ascii="Verdana" w:hAnsi="Verdana" w:cs="Arial"/>
          <w:color w:val="000000" w:themeColor="text1"/>
          <w:sz w:val="15"/>
          <w:szCs w:val="15"/>
        </w:rPr>
        <w:t>Estatales».</w:t>
      </w:r>
    </w:p>
  </w:footnote>
  <w:footnote w:id="22">
    <w:p w14:paraId="54296F99" w14:textId="77777777" w:rsidR="001B091E" w:rsidRPr="000C3E29" w:rsidRDefault="001B091E" w:rsidP="000C3E29">
      <w:pPr>
        <w:pStyle w:val="FootnoteText"/>
        <w:snapToGrid w:val="0"/>
        <w:ind w:firstLine="709"/>
        <w:contextualSpacing/>
        <w:jc w:val="both"/>
        <w:rPr>
          <w:rFonts w:ascii="Verdana" w:hAnsi="Verdana" w:cs="Arial"/>
          <w:sz w:val="15"/>
          <w:szCs w:val="15"/>
        </w:rPr>
      </w:pPr>
      <w:r w:rsidRPr="000C3E29">
        <w:rPr>
          <w:rFonts w:ascii="Verdana" w:hAnsi="Verdana"/>
          <w:sz w:val="15"/>
          <w:szCs w:val="15"/>
          <w:vertAlign w:val="superscript"/>
        </w:rPr>
        <w:footnoteRef/>
      </w:r>
      <w:r w:rsidRPr="000C3E29">
        <w:rPr>
          <w:rFonts w:ascii="Verdana" w:hAnsi="Verdana"/>
          <w:sz w:val="15"/>
          <w:szCs w:val="15"/>
          <w:vertAlign w:val="superscript"/>
        </w:rPr>
        <w:t xml:space="preserve"> </w:t>
      </w:r>
      <w:r w:rsidRPr="000C3E29">
        <w:rPr>
          <w:rFonts w:ascii="Verdana" w:hAnsi="Verdana" w:cs="Arial"/>
          <w:sz w:val="15"/>
          <w:szCs w:val="15"/>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54AB1A0C" w14:textId="77777777" w:rsidR="001B091E" w:rsidRPr="000C3E29" w:rsidRDefault="001B091E" w:rsidP="000C3E29">
      <w:pPr>
        <w:pStyle w:val="FootnoteText"/>
        <w:snapToGrid w:val="0"/>
        <w:ind w:firstLine="709"/>
        <w:contextualSpacing/>
        <w:jc w:val="both"/>
        <w:rPr>
          <w:rFonts w:ascii="Verdana" w:hAnsi="Verdana" w:cs="Arial"/>
          <w:sz w:val="15"/>
          <w:szCs w:val="15"/>
        </w:rPr>
      </w:pPr>
    </w:p>
  </w:footnote>
  <w:footnote w:id="23">
    <w:p w14:paraId="4313138E" w14:textId="77777777" w:rsidR="001B091E" w:rsidRPr="000C3E29" w:rsidRDefault="001B091E" w:rsidP="000C3E29">
      <w:pPr>
        <w:pStyle w:val="FootnoteText"/>
        <w:snapToGrid w:val="0"/>
        <w:ind w:firstLine="709"/>
        <w:contextualSpacing/>
        <w:jc w:val="both"/>
        <w:rPr>
          <w:rFonts w:ascii="Verdana" w:hAnsi="Verdana" w:cs="Arial"/>
          <w:sz w:val="15"/>
          <w:szCs w:val="15"/>
        </w:rPr>
      </w:pPr>
      <w:r w:rsidRPr="000C3E29">
        <w:rPr>
          <w:rFonts w:ascii="Verdana" w:hAnsi="Verdana"/>
          <w:sz w:val="15"/>
          <w:szCs w:val="15"/>
          <w:vertAlign w:val="superscript"/>
        </w:rPr>
        <w:footnoteRef/>
      </w:r>
      <w:r w:rsidRPr="000C3E29">
        <w:rPr>
          <w:rFonts w:ascii="Verdana" w:hAnsi="Verdana" w:cs="Arial"/>
          <w:sz w:val="15"/>
          <w:szCs w:val="15"/>
          <w:vertAlign w:val="superscript"/>
        </w:rPr>
        <w:t xml:space="preserve"> </w:t>
      </w:r>
      <w:r w:rsidRPr="000C3E29">
        <w:rPr>
          <w:rFonts w:ascii="Verdana" w:hAnsi="Verdana" w:cs="Arial"/>
          <w:sz w:val="15"/>
          <w:szCs w:val="15"/>
        </w:rPr>
        <w:t>Ley 80 de 1993: “Artículo 41. Del perfeccionamiento del contrato. Los contratos del Estado se perfeccionan cuando se logre acuerdo sobre el objeto y la contraprestación y éste se eleve a escrito.</w:t>
      </w:r>
    </w:p>
    <w:p w14:paraId="4DE1F638" w14:textId="77777777" w:rsidR="001B091E" w:rsidRPr="000C3E29" w:rsidRDefault="001B091E" w:rsidP="000C3E29">
      <w:pPr>
        <w:pStyle w:val="FootnoteText"/>
        <w:snapToGrid w:val="0"/>
        <w:ind w:firstLine="709"/>
        <w:contextualSpacing/>
        <w:jc w:val="both"/>
        <w:rPr>
          <w:rFonts w:ascii="Verdana" w:hAnsi="Verdana" w:cs="Arial"/>
          <w:sz w:val="15"/>
          <w:szCs w:val="15"/>
        </w:rPr>
      </w:pPr>
      <w:r w:rsidRPr="000C3E29">
        <w:rPr>
          <w:rFonts w:ascii="Verdana" w:hAnsi="Verdana" w:cs="Arial"/>
          <w:sz w:val="15"/>
          <w:szCs w:val="15"/>
        </w:rPr>
        <w:t>[…]”.</w:t>
      </w:r>
    </w:p>
  </w:footnote>
  <w:footnote w:id="24">
    <w:p w14:paraId="70AF8EB1" w14:textId="77777777" w:rsidR="001B091E" w:rsidRPr="000C3E29" w:rsidRDefault="001B091E" w:rsidP="000C3E29">
      <w:pPr>
        <w:pStyle w:val="FootnoteText"/>
        <w:snapToGrid w:val="0"/>
        <w:ind w:firstLine="709"/>
        <w:contextualSpacing/>
        <w:jc w:val="both"/>
        <w:rPr>
          <w:rFonts w:ascii="Verdana" w:hAnsi="Verdana" w:cs="Arial"/>
          <w:sz w:val="15"/>
          <w:szCs w:val="15"/>
        </w:rPr>
      </w:pPr>
      <w:r w:rsidRPr="000C3E29">
        <w:rPr>
          <w:rFonts w:ascii="Verdana" w:hAnsi="Verdana"/>
          <w:sz w:val="15"/>
          <w:szCs w:val="15"/>
          <w:vertAlign w:val="superscript"/>
        </w:rPr>
        <w:footnoteRef/>
      </w:r>
      <w:r w:rsidRPr="000C3E29">
        <w:rPr>
          <w:rFonts w:ascii="Verdana" w:hAnsi="Verdana" w:cs="Arial"/>
          <w:sz w:val="15"/>
          <w:szCs w:val="15"/>
          <w:vertAlign w:val="superscript"/>
        </w:rPr>
        <w:t xml:space="preserve"> </w:t>
      </w:r>
      <w:r w:rsidRPr="000C3E29">
        <w:rPr>
          <w:rFonts w:ascii="Verdana" w:hAnsi="Verdana" w:cs="Arial"/>
          <w:sz w:val="15"/>
          <w:szCs w:val="15"/>
        </w:rPr>
        <w:t>Código Civil: “Artículo 27. Cuando el sentido de la ley sea claro, no se desatenderá su tenor a pretexto de consultar su espíritu”.</w:t>
      </w:r>
    </w:p>
  </w:footnote>
  <w:footnote w:id="25">
    <w:p w14:paraId="1A022007" w14:textId="77777777" w:rsidR="001B091E" w:rsidRPr="000C3E29" w:rsidRDefault="001B091E" w:rsidP="000C3E29">
      <w:pPr>
        <w:pStyle w:val="FootnoteText"/>
        <w:snapToGrid w:val="0"/>
        <w:ind w:firstLine="709"/>
        <w:contextualSpacing/>
        <w:jc w:val="both"/>
        <w:rPr>
          <w:rFonts w:ascii="Verdana" w:hAnsi="Verdana"/>
          <w:sz w:val="15"/>
          <w:szCs w:val="15"/>
          <w:lang w:val="es-CO"/>
        </w:rPr>
      </w:pPr>
      <w:r w:rsidRPr="000C3E29">
        <w:rPr>
          <w:rStyle w:val="FootnoteReference"/>
          <w:rFonts w:ascii="Verdana" w:hAnsi="Verdana"/>
          <w:sz w:val="15"/>
          <w:szCs w:val="15"/>
        </w:rPr>
        <w:footnoteRef/>
      </w:r>
      <w:r w:rsidRPr="000C3E29">
        <w:rPr>
          <w:rFonts w:ascii="Verdana" w:hAnsi="Verdana"/>
          <w:sz w:val="15"/>
          <w:szCs w:val="15"/>
          <w:lang w:val="es-CO"/>
        </w:rPr>
        <w:t xml:space="preserve"> Consejo de Estado, Sección Tercera. Auto del 4 de octubre de 2024. Exp. 70.313. C.P: Fredy Ibarra Martínez.</w:t>
      </w:r>
    </w:p>
  </w:footnote>
  <w:footnote w:id="26">
    <w:p w14:paraId="5E936C9B" w14:textId="77777777" w:rsidR="001B091E" w:rsidRPr="000C3E29" w:rsidRDefault="001B091E" w:rsidP="000C3E29">
      <w:pPr>
        <w:pStyle w:val="FootnoteText"/>
        <w:snapToGrid w:val="0"/>
        <w:ind w:firstLine="709"/>
        <w:contextualSpacing/>
        <w:jc w:val="both"/>
        <w:rPr>
          <w:rFonts w:ascii="Verdana" w:hAnsi="Verdana"/>
          <w:sz w:val="15"/>
          <w:szCs w:val="15"/>
          <w:lang w:val="es-CO"/>
        </w:rPr>
      </w:pPr>
      <w:r w:rsidRPr="000C3E29">
        <w:rPr>
          <w:rStyle w:val="FootnoteReference"/>
          <w:rFonts w:ascii="Verdana" w:hAnsi="Verdana"/>
          <w:sz w:val="15"/>
          <w:szCs w:val="15"/>
        </w:rPr>
        <w:footnoteRef/>
      </w:r>
      <w:r w:rsidRPr="000C3E29">
        <w:rPr>
          <w:rFonts w:ascii="Verdana" w:hAnsi="Verdana"/>
          <w:sz w:val="15"/>
          <w:szCs w:val="15"/>
        </w:rPr>
        <w:t xml:space="preserve"> La parte resolutiva del auto dispone lo siguiente; “</w:t>
      </w:r>
      <w:r w:rsidRPr="000C3E29">
        <w:rPr>
          <w:rFonts w:ascii="Verdana" w:hAnsi="Verdana"/>
          <w:bCs/>
          <w:sz w:val="15"/>
          <w:szCs w:val="15"/>
          <w:lang w:val="es-CO"/>
        </w:rPr>
        <w:t>PRIMERO: DECRETAR</w:t>
      </w:r>
      <w:r w:rsidRPr="000C3E29">
        <w:rPr>
          <w:rFonts w:ascii="Verdana" w:hAnsi="Verdana"/>
          <w:b/>
          <w:sz w:val="15"/>
          <w:szCs w:val="15"/>
          <w:lang w:val="es-CO"/>
        </w:rPr>
        <w:t xml:space="preserve"> </w:t>
      </w:r>
      <w:r w:rsidRPr="000C3E29">
        <w:rPr>
          <w:rFonts w:ascii="Verdana" w:hAnsi="Verdana"/>
          <w:sz w:val="15"/>
          <w:szCs w:val="15"/>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0C3E29">
        <w:rPr>
          <w:rFonts w:ascii="Verdana" w:hAnsi="Verdana"/>
          <w:i/>
          <w:sz w:val="15"/>
          <w:szCs w:val="15"/>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0C3E29">
        <w:rPr>
          <w:rFonts w:ascii="Verdana" w:hAnsi="Verdana"/>
          <w:sz w:val="15"/>
          <w:szCs w:val="15"/>
          <w:lang w:val="es-CO"/>
        </w:rPr>
        <w:t xml:space="preserve">, por las razones expuestas en precedencia. </w:t>
      </w:r>
    </w:p>
    <w:p w14:paraId="58BA5BC3" w14:textId="77777777" w:rsidR="001B091E" w:rsidRPr="000C3E29" w:rsidRDefault="001B091E" w:rsidP="000C3E29">
      <w:pPr>
        <w:pStyle w:val="FootnoteText"/>
        <w:snapToGrid w:val="0"/>
        <w:ind w:firstLine="709"/>
        <w:contextualSpacing/>
        <w:jc w:val="both"/>
        <w:rPr>
          <w:rFonts w:ascii="Verdana" w:hAnsi="Verdana"/>
          <w:sz w:val="15"/>
          <w:szCs w:val="15"/>
          <w:lang w:val="es-CO"/>
        </w:rPr>
      </w:pPr>
      <w:r w:rsidRPr="000C3E29">
        <w:rPr>
          <w:rFonts w:ascii="Verdana" w:hAnsi="Verdana"/>
          <w:bCs/>
          <w:sz w:val="15"/>
          <w:szCs w:val="15"/>
          <w:lang w:val="es-CO"/>
        </w:rPr>
        <w:t>SEGUNDO: DECRETAR</w:t>
      </w:r>
      <w:r w:rsidRPr="000C3E29">
        <w:rPr>
          <w:rFonts w:ascii="Verdana" w:hAnsi="Verdana"/>
          <w:b/>
          <w:sz w:val="15"/>
          <w:szCs w:val="15"/>
          <w:lang w:val="es-CO"/>
        </w:rPr>
        <w:t xml:space="preserve"> </w:t>
      </w:r>
      <w:r w:rsidRPr="000C3E29">
        <w:rPr>
          <w:rFonts w:ascii="Verdana" w:hAnsi="Verdana"/>
          <w:sz w:val="15"/>
          <w:szCs w:val="15"/>
          <w:lang w:val="es-CO"/>
        </w:rPr>
        <w:t>la suspensión provisional de la expresión “</w:t>
      </w:r>
      <w:r w:rsidRPr="000C3E29">
        <w:rPr>
          <w:rFonts w:ascii="Verdana" w:hAnsi="Verdana"/>
          <w:i/>
          <w:sz w:val="15"/>
          <w:szCs w:val="15"/>
          <w:lang w:val="es-CO"/>
        </w:rPr>
        <w:t>contratos</w:t>
      </w:r>
      <w:r w:rsidRPr="000C3E29">
        <w:rPr>
          <w:rFonts w:ascii="Verdana" w:hAnsi="Verdana"/>
          <w:sz w:val="15"/>
          <w:szCs w:val="15"/>
          <w:lang w:val="es-CO"/>
        </w:rPr>
        <w:t xml:space="preserve">” y del párrafo </w:t>
      </w:r>
      <w:r w:rsidRPr="000C3E29">
        <w:rPr>
          <w:rFonts w:ascii="Verdana" w:hAnsi="Verdana"/>
          <w:i/>
          <w:sz w:val="15"/>
          <w:szCs w:val="15"/>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0C3E29">
        <w:rPr>
          <w:rFonts w:ascii="Verdana" w:hAnsi="Verdana"/>
          <w:sz w:val="15"/>
          <w:szCs w:val="15"/>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7">
    <w:p w14:paraId="005F1F6F" w14:textId="77777777" w:rsidR="001B091E" w:rsidRPr="000C3E29" w:rsidRDefault="001B091E" w:rsidP="000C3E29">
      <w:pPr>
        <w:snapToGrid w:val="0"/>
        <w:spacing w:after="0" w:line="240" w:lineRule="auto"/>
        <w:ind w:firstLine="709"/>
        <w:contextualSpacing/>
        <w:jc w:val="both"/>
        <w:rPr>
          <w:rFonts w:ascii="Verdana" w:eastAsia="Times New Roman" w:hAnsi="Verdana" w:cs="Times New Roman"/>
          <w:sz w:val="15"/>
          <w:szCs w:val="15"/>
          <w:lang w:eastAsia="es-ES"/>
        </w:rPr>
      </w:pPr>
      <w:r w:rsidRPr="000C3E29">
        <w:rPr>
          <w:rStyle w:val="FootnoteReference"/>
          <w:rFonts w:ascii="Verdana" w:hAnsi="Verdana"/>
          <w:sz w:val="15"/>
          <w:szCs w:val="15"/>
        </w:rPr>
        <w:footnoteRef/>
      </w:r>
      <w:r w:rsidRPr="000C3E29">
        <w:rPr>
          <w:rFonts w:ascii="Verdana" w:hAnsi="Verdana"/>
          <w:sz w:val="15"/>
          <w:szCs w:val="15"/>
        </w:rPr>
        <w:t xml:space="preserve"> </w:t>
      </w:r>
      <w:r w:rsidRPr="000C3E29">
        <w:rPr>
          <w:rFonts w:ascii="Verdana" w:eastAsia="Times New Roman" w:hAnsi="Verdana" w:cs="Times New Roman"/>
          <w:sz w:val="15"/>
          <w:szCs w:val="15"/>
          <w:lang w:eastAsia="es-ES"/>
        </w:rPr>
        <w:t xml:space="preserve">Consejo de Estado. Sala de lo Contencioso Administrativo. Sección Tercera. Subsección B. 17 de octubre de 2025. Magistrado Ponente: Fredy Ibarra Martínez.  </w:t>
      </w:r>
      <w:r w:rsidRPr="000C3E29">
        <w:rPr>
          <w:rFonts w:ascii="Verdana" w:hAnsi="Verdana"/>
          <w:sz w:val="15"/>
          <w:szCs w:val="15"/>
        </w:rPr>
        <w:t xml:space="preserve">La parte de la providencia señala: </w:t>
      </w:r>
      <w:r w:rsidRPr="000C3E29">
        <w:rPr>
          <w:rFonts w:ascii="Verdana" w:eastAsia="Times New Roman" w:hAnsi="Verdana" w:cs="Times New Roman"/>
          <w:sz w:val="15"/>
          <w:szCs w:val="15"/>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8">
    <w:p w14:paraId="5C45A5C3" w14:textId="77777777" w:rsidR="001B091E" w:rsidRPr="000C3E29" w:rsidRDefault="001B091E" w:rsidP="000C3E29">
      <w:pPr>
        <w:pStyle w:val="FootnoteText"/>
        <w:snapToGrid w:val="0"/>
        <w:ind w:firstLine="709"/>
        <w:contextualSpacing/>
        <w:jc w:val="both"/>
        <w:rPr>
          <w:rFonts w:ascii="Verdana" w:hAnsi="Verdana"/>
          <w:sz w:val="15"/>
          <w:szCs w:val="15"/>
          <w:lang w:val="es-CO"/>
        </w:rPr>
      </w:pPr>
      <w:r w:rsidRPr="000C3E29">
        <w:rPr>
          <w:rStyle w:val="FootnoteReference"/>
          <w:rFonts w:ascii="Verdana" w:hAnsi="Verdana"/>
          <w:sz w:val="15"/>
          <w:szCs w:val="15"/>
        </w:rPr>
        <w:footnoteRef/>
      </w:r>
      <w:r w:rsidRPr="000C3E29">
        <w:rPr>
          <w:rFonts w:ascii="Verdana" w:hAnsi="Verdana"/>
          <w:sz w:val="15"/>
          <w:szCs w:val="15"/>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70" type="#_x0000_t75" style="width:12.2pt;height:12.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8F4"/>
    <w:rsid w:val="00016F78"/>
    <w:rsid w:val="00046945"/>
    <w:rsid w:val="00061B2A"/>
    <w:rsid w:val="00071A2F"/>
    <w:rsid w:val="00082362"/>
    <w:rsid w:val="000A683E"/>
    <w:rsid w:val="000B19B9"/>
    <w:rsid w:val="000C3E29"/>
    <w:rsid w:val="000D0334"/>
    <w:rsid w:val="000D5DA7"/>
    <w:rsid w:val="000F6486"/>
    <w:rsid w:val="00116940"/>
    <w:rsid w:val="00125105"/>
    <w:rsid w:val="00127233"/>
    <w:rsid w:val="0015699B"/>
    <w:rsid w:val="001A33BF"/>
    <w:rsid w:val="001B091E"/>
    <w:rsid w:val="001E4177"/>
    <w:rsid w:val="001F0B24"/>
    <w:rsid w:val="001F7DC6"/>
    <w:rsid w:val="002073F0"/>
    <w:rsid w:val="0022400B"/>
    <w:rsid w:val="002421BB"/>
    <w:rsid w:val="0025796E"/>
    <w:rsid w:val="002707A2"/>
    <w:rsid w:val="002951A0"/>
    <w:rsid w:val="002962BC"/>
    <w:rsid w:val="002A093D"/>
    <w:rsid w:val="002A0DD0"/>
    <w:rsid w:val="002A49AC"/>
    <w:rsid w:val="002A64FD"/>
    <w:rsid w:val="002C7A84"/>
    <w:rsid w:val="002E2BF8"/>
    <w:rsid w:val="002E4FD9"/>
    <w:rsid w:val="002F08E9"/>
    <w:rsid w:val="0030657A"/>
    <w:rsid w:val="00314EBF"/>
    <w:rsid w:val="00322A85"/>
    <w:rsid w:val="00324168"/>
    <w:rsid w:val="00330834"/>
    <w:rsid w:val="003448F4"/>
    <w:rsid w:val="0034782B"/>
    <w:rsid w:val="00374F5E"/>
    <w:rsid w:val="00377E3E"/>
    <w:rsid w:val="003A779E"/>
    <w:rsid w:val="003B2DE9"/>
    <w:rsid w:val="003C564F"/>
    <w:rsid w:val="003D0F4D"/>
    <w:rsid w:val="003D3888"/>
    <w:rsid w:val="003D45AB"/>
    <w:rsid w:val="003D5B0D"/>
    <w:rsid w:val="003E0499"/>
    <w:rsid w:val="003E4F80"/>
    <w:rsid w:val="003E6439"/>
    <w:rsid w:val="003F3941"/>
    <w:rsid w:val="00406575"/>
    <w:rsid w:val="00414C74"/>
    <w:rsid w:val="0042722E"/>
    <w:rsid w:val="00434F52"/>
    <w:rsid w:val="0044528D"/>
    <w:rsid w:val="00466E39"/>
    <w:rsid w:val="004765FE"/>
    <w:rsid w:val="00495F21"/>
    <w:rsid w:val="004A1847"/>
    <w:rsid w:val="004A305D"/>
    <w:rsid w:val="004F21C4"/>
    <w:rsid w:val="004F685F"/>
    <w:rsid w:val="00517E5D"/>
    <w:rsid w:val="00551358"/>
    <w:rsid w:val="005566E8"/>
    <w:rsid w:val="00574867"/>
    <w:rsid w:val="00591460"/>
    <w:rsid w:val="005A65E0"/>
    <w:rsid w:val="005B4C08"/>
    <w:rsid w:val="005C3777"/>
    <w:rsid w:val="005C5CDC"/>
    <w:rsid w:val="005D476C"/>
    <w:rsid w:val="006200BF"/>
    <w:rsid w:val="006219F8"/>
    <w:rsid w:val="006302F7"/>
    <w:rsid w:val="006422B7"/>
    <w:rsid w:val="00646B9F"/>
    <w:rsid w:val="006544F7"/>
    <w:rsid w:val="00665D70"/>
    <w:rsid w:val="0067764E"/>
    <w:rsid w:val="006900D9"/>
    <w:rsid w:val="006B3DDD"/>
    <w:rsid w:val="00706C16"/>
    <w:rsid w:val="007340C3"/>
    <w:rsid w:val="0075235A"/>
    <w:rsid w:val="00754FB3"/>
    <w:rsid w:val="00756841"/>
    <w:rsid w:val="007649AB"/>
    <w:rsid w:val="00771D0C"/>
    <w:rsid w:val="00781A99"/>
    <w:rsid w:val="007833AC"/>
    <w:rsid w:val="007B268C"/>
    <w:rsid w:val="007B7171"/>
    <w:rsid w:val="007C0C0F"/>
    <w:rsid w:val="007C3DC2"/>
    <w:rsid w:val="007D3462"/>
    <w:rsid w:val="007E5497"/>
    <w:rsid w:val="00806F5F"/>
    <w:rsid w:val="00810596"/>
    <w:rsid w:val="00820278"/>
    <w:rsid w:val="008258C9"/>
    <w:rsid w:val="00844AE9"/>
    <w:rsid w:val="00867F95"/>
    <w:rsid w:val="008843B6"/>
    <w:rsid w:val="00891928"/>
    <w:rsid w:val="008A446D"/>
    <w:rsid w:val="008B25F1"/>
    <w:rsid w:val="008D180B"/>
    <w:rsid w:val="008F0EA7"/>
    <w:rsid w:val="008F6F1C"/>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71E8"/>
    <w:rsid w:val="00AB0ADB"/>
    <w:rsid w:val="00B00C0E"/>
    <w:rsid w:val="00B01B1A"/>
    <w:rsid w:val="00B0381D"/>
    <w:rsid w:val="00B07277"/>
    <w:rsid w:val="00B44A47"/>
    <w:rsid w:val="00B619D7"/>
    <w:rsid w:val="00B72CD3"/>
    <w:rsid w:val="00B72FFF"/>
    <w:rsid w:val="00BC3D36"/>
    <w:rsid w:val="00BC40D0"/>
    <w:rsid w:val="00BD54A6"/>
    <w:rsid w:val="00BD7F72"/>
    <w:rsid w:val="00BF7425"/>
    <w:rsid w:val="00C04FB3"/>
    <w:rsid w:val="00C11D8B"/>
    <w:rsid w:val="00C15139"/>
    <w:rsid w:val="00C330EB"/>
    <w:rsid w:val="00C50D69"/>
    <w:rsid w:val="00C5365C"/>
    <w:rsid w:val="00C7236B"/>
    <w:rsid w:val="00C754BE"/>
    <w:rsid w:val="00C76B1C"/>
    <w:rsid w:val="00C86962"/>
    <w:rsid w:val="00C925AC"/>
    <w:rsid w:val="00CB6357"/>
    <w:rsid w:val="00CC1B26"/>
    <w:rsid w:val="00CE2E16"/>
    <w:rsid w:val="00D26AD7"/>
    <w:rsid w:val="00D361FD"/>
    <w:rsid w:val="00D423A2"/>
    <w:rsid w:val="00D44E26"/>
    <w:rsid w:val="00D520D8"/>
    <w:rsid w:val="00D63AC2"/>
    <w:rsid w:val="00D7383B"/>
    <w:rsid w:val="00D7640E"/>
    <w:rsid w:val="00D7788A"/>
    <w:rsid w:val="00DA231B"/>
    <w:rsid w:val="00DC39FC"/>
    <w:rsid w:val="00DC3CA1"/>
    <w:rsid w:val="00DF5254"/>
    <w:rsid w:val="00E02524"/>
    <w:rsid w:val="00E163A2"/>
    <w:rsid w:val="00E16408"/>
    <w:rsid w:val="00E20894"/>
    <w:rsid w:val="00E245AB"/>
    <w:rsid w:val="00E2764C"/>
    <w:rsid w:val="00E27F2E"/>
    <w:rsid w:val="00E50AFE"/>
    <w:rsid w:val="00E75C92"/>
    <w:rsid w:val="00E771DC"/>
    <w:rsid w:val="00E8772A"/>
    <w:rsid w:val="00E90F6B"/>
    <w:rsid w:val="00E92C27"/>
    <w:rsid w:val="00E9687F"/>
    <w:rsid w:val="00EA0E3D"/>
    <w:rsid w:val="00EC38A7"/>
    <w:rsid w:val="00EE1AA8"/>
    <w:rsid w:val="00F23FEA"/>
    <w:rsid w:val="00F25952"/>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F25952"/>
    <w:pPr>
      <w:spacing w:line="240" w:lineRule="exact"/>
    </w:pPr>
    <w:rPr>
      <w:vertAlign w:val="superscript"/>
    </w:rPr>
  </w:style>
  <w:style w:type="character" w:customStyle="1" w:styleId="baj">
    <w:name w:val="b_aj"/>
    <w:basedOn w:val="DefaultParagraphFont"/>
    <w:rsid w:val="00F25952"/>
  </w:style>
  <w:style w:type="character" w:customStyle="1" w:styleId="NormalWebChar">
    <w:name w:val="Normal (Web) Char"/>
    <w:link w:val="NormalWeb"/>
    <w:uiPriority w:val="99"/>
    <w:locked/>
    <w:rsid w:val="00F25952"/>
    <w:rPr>
      <w:rFonts w:ascii="Times New Roman" w:eastAsia="Times New Roman" w:hAnsi="Times New Roman" w:cs="Times New Roman"/>
      <w:sz w:val="24"/>
      <w:szCs w:val="24"/>
      <w:lang w:eastAsia="es-CO"/>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1B091E"/>
    <w:rPr>
      <w:rFonts w:ascii="Geomanist Light" w:hAnsi="Geomanist Light"/>
      <w:lang w:val="es-ES"/>
    </w:rPr>
  </w:style>
  <w:style w:type="character" w:styleId="CommentReference">
    <w:name w:val="annotation reference"/>
    <w:basedOn w:val="DefaultParagraphFont"/>
    <w:uiPriority w:val="99"/>
    <w:semiHidden/>
    <w:unhideWhenUsed/>
    <w:rsid w:val="00517E5D"/>
    <w:rPr>
      <w:sz w:val="16"/>
      <w:szCs w:val="16"/>
    </w:rPr>
  </w:style>
  <w:style w:type="paragraph" w:styleId="CommentText">
    <w:name w:val="annotation text"/>
    <w:basedOn w:val="Normal"/>
    <w:link w:val="CommentTextChar"/>
    <w:uiPriority w:val="99"/>
    <w:unhideWhenUsed/>
    <w:rsid w:val="00517E5D"/>
    <w:pPr>
      <w:spacing w:line="240" w:lineRule="auto"/>
    </w:pPr>
    <w:rPr>
      <w:sz w:val="20"/>
      <w:szCs w:val="20"/>
    </w:rPr>
  </w:style>
  <w:style w:type="character" w:customStyle="1" w:styleId="CommentTextChar">
    <w:name w:val="Comment Text Char"/>
    <w:basedOn w:val="DefaultParagraphFont"/>
    <w:link w:val="CommentText"/>
    <w:uiPriority w:val="99"/>
    <w:rsid w:val="00517E5D"/>
    <w:rPr>
      <w:sz w:val="20"/>
      <w:szCs w:val="20"/>
    </w:rPr>
  </w:style>
  <w:style w:type="paragraph" w:styleId="CommentSubject">
    <w:name w:val="annotation subject"/>
    <w:basedOn w:val="CommentText"/>
    <w:next w:val="CommentText"/>
    <w:link w:val="CommentSubjectChar"/>
    <w:uiPriority w:val="99"/>
    <w:semiHidden/>
    <w:unhideWhenUsed/>
    <w:rsid w:val="00517E5D"/>
    <w:rPr>
      <w:b/>
      <w:bCs/>
    </w:rPr>
  </w:style>
  <w:style w:type="character" w:customStyle="1" w:styleId="CommentSubjectChar">
    <w:name w:val="Comment Subject Char"/>
    <w:basedOn w:val="CommentTextChar"/>
    <w:link w:val="CommentSubject"/>
    <w:uiPriority w:val="99"/>
    <w:semiHidden/>
    <w:rsid w:val="00517E5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circular/circular-externa-006-de-202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20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65BF8FE-4E95-4148-9828-8915C94ABC5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15</TotalTime>
  <Pages>23</Pages>
  <Words>7332</Words>
  <Characters>41793</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49027</CharactersWithSpaces>
  <SharedDoc>false</SharedDoc>
  <HLinks>
    <vt:vector size="12" baseType="variant">
      <vt:variant>
        <vt:i4>7209021</vt:i4>
      </vt:variant>
      <vt:variant>
        <vt:i4>3</vt:i4>
      </vt:variant>
      <vt:variant>
        <vt:i4>0</vt:i4>
      </vt:variant>
      <vt:variant>
        <vt:i4>5</vt:i4>
      </vt:variant>
      <vt:variant>
        <vt:lpwstr>https://relatoria.colombiacompra.gov.co/busqueda/concept os</vt:lpwstr>
      </vt:variant>
      <vt:variant>
        <vt:lpwstr/>
      </vt:variant>
      <vt:variant>
        <vt:i4>65542</vt:i4>
      </vt:variant>
      <vt:variant>
        <vt:i4>0</vt:i4>
      </vt:variant>
      <vt:variant>
        <vt:i4>0</vt:i4>
      </vt:variant>
      <vt:variant>
        <vt:i4>5</vt:i4>
      </vt:variant>
      <vt:variant>
        <vt:lpwstr>https://www.colombiacompra.gov.co/archivos/circular/circular-externa-006-de-2025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3</cp:revision>
  <cp:lastPrinted>2023-01-10T21:18:00Z</cp:lastPrinted>
  <dcterms:created xsi:type="dcterms:W3CDTF">2025-12-31T17:39:00Z</dcterms:created>
  <dcterms:modified xsi:type="dcterms:W3CDTF">2025-12-31T17:58:00Z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