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555C2" w14:textId="77777777" w:rsidR="00B37198" w:rsidRDefault="00B37198" w:rsidP="00B37198">
      <w:pPr>
        <w:spacing w:after="0" w:line="240" w:lineRule="auto"/>
        <w:contextualSpacing/>
        <w:jc w:val="both"/>
        <w:rPr>
          <w:rFonts w:ascii="Verdana" w:eastAsia="Calibri" w:hAnsi="Verdana" w:cs="Arial"/>
          <w:b/>
          <w:bCs/>
          <w:color w:val="000000"/>
          <w:kern w:val="2"/>
          <w14:ligatures w14:val="standardContextual"/>
        </w:rPr>
      </w:pPr>
      <w:bookmarkStart w:id="0" w:name="_Hlk215673488"/>
      <w:r w:rsidRPr="00B73549">
        <w:rPr>
          <w:rFonts w:ascii="Verdana" w:eastAsia="Calibri" w:hAnsi="Verdana" w:cs="Arial"/>
          <w:b/>
          <w:bCs/>
          <w:color w:val="000000"/>
          <w:kern w:val="2"/>
          <w14:ligatures w14:val="standardContextual"/>
        </w:rPr>
        <w:t>CONTRATACIÓN ESTATAL – Contrato de prestación de servicios</w:t>
      </w:r>
    </w:p>
    <w:p w14:paraId="4167C6A6" w14:textId="77777777" w:rsidR="00B37198" w:rsidRDefault="00B37198" w:rsidP="00B37198">
      <w:pPr>
        <w:spacing w:after="0" w:line="240" w:lineRule="auto"/>
        <w:contextualSpacing/>
        <w:jc w:val="both"/>
        <w:rPr>
          <w:rFonts w:ascii="Verdana" w:eastAsia="Calibri" w:hAnsi="Verdana" w:cs="Arial"/>
          <w:b/>
          <w:bCs/>
          <w:color w:val="000000"/>
          <w:kern w:val="2"/>
          <w14:ligatures w14:val="standardContextual"/>
        </w:rPr>
      </w:pPr>
    </w:p>
    <w:p w14:paraId="453C999C" w14:textId="77777777" w:rsidR="00B37198" w:rsidRDefault="00B37198" w:rsidP="00B37198">
      <w:pPr>
        <w:spacing w:after="0" w:line="240" w:lineRule="auto"/>
        <w:contextualSpacing/>
        <w:jc w:val="both"/>
        <w:rPr>
          <w:rFonts w:ascii="Verdana" w:eastAsia="Calibri" w:hAnsi="Verdana" w:cs="Arial"/>
          <w:color w:val="000000"/>
          <w:kern w:val="2"/>
          <w:sz w:val="20"/>
          <w:szCs w:val="20"/>
          <w:lang w:val="es-ES"/>
          <w14:ligatures w14:val="standardContextual"/>
        </w:rPr>
      </w:pPr>
      <w:r w:rsidRPr="61DC73BB">
        <w:rPr>
          <w:rFonts w:ascii="Verdana" w:eastAsia="Calibri" w:hAnsi="Verdana" w:cs="Arial"/>
          <w:color w:val="000000"/>
          <w:kern w:val="2"/>
          <w:sz w:val="20"/>
          <w:szCs w:val="20"/>
          <w:lang w:val="es-ES"/>
          <w14:ligatures w14:val="standardContextual"/>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61DC73BB">
        <w:rPr>
          <w:rFonts w:ascii="Verdana" w:eastAsia="Calibri" w:hAnsi="Verdana" w:cs="Arial"/>
          <w:color w:val="000000"/>
          <w:kern w:val="2"/>
          <w:sz w:val="20"/>
          <w:szCs w:val="20"/>
          <w:lang w:val="es-ES"/>
          <w14:ligatures w14:val="standardContextual"/>
        </w:rPr>
        <w:t>ii</w:t>
      </w:r>
      <w:proofErr w:type="spellEnd"/>
      <w:r w:rsidRPr="61DC73BB">
        <w:rPr>
          <w:rFonts w:ascii="Verdana" w:eastAsia="Calibri" w:hAnsi="Verdana" w:cs="Arial"/>
          <w:color w:val="000000"/>
          <w:kern w:val="2"/>
          <w:sz w:val="20"/>
          <w:szCs w:val="20"/>
          <w:lang w:val="es-ES"/>
          <w14:ligatures w14:val="standardContextual"/>
        </w:rPr>
        <w:t xml:space="preserve">) de vínculos personales relativos al parentesco o al estado civil o </w:t>
      </w:r>
      <w:proofErr w:type="spellStart"/>
      <w:r w:rsidRPr="61DC73BB">
        <w:rPr>
          <w:rFonts w:ascii="Verdana" w:eastAsia="Calibri" w:hAnsi="Verdana" w:cs="Arial"/>
          <w:color w:val="000000"/>
          <w:kern w:val="2"/>
          <w:sz w:val="20"/>
          <w:szCs w:val="20"/>
          <w:lang w:val="es-ES"/>
          <w14:ligatures w14:val="standardContextual"/>
        </w:rPr>
        <w:t>iii</w:t>
      </w:r>
      <w:proofErr w:type="spellEnd"/>
      <w:r w:rsidRPr="61DC73BB">
        <w:rPr>
          <w:rFonts w:ascii="Verdana" w:eastAsia="Calibri" w:hAnsi="Verdana" w:cs="Arial"/>
          <w:color w:val="000000"/>
          <w:kern w:val="2"/>
          <w:sz w:val="20"/>
          <w:szCs w:val="20"/>
          <w:lang w:val="es-ES"/>
          <w14:ligatures w14:val="standardContextual"/>
        </w:rPr>
        <w:t xml:space="preserve">) de una actividad u oficio que se desempeñó en el pasado. De otro lado,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w:t>
      </w:r>
    </w:p>
    <w:p w14:paraId="40DDBE34" w14:textId="77777777" w:rsidR="00B37198" w:rsidRPr="00B73549" w:rsidRDefault="00B37198" w:rsidP="00B37198">
      <w:pPr>
        <w:spacing w:after="0" w:line="240" w:lineRule="auto"/>
        <w:contextualSpacing/>
        <w:jc w:val="both"/>
        <w:rPr>
          <w:rFonts w:ascii="Verdana" w:eastAsia="Calibri" w:hAnsi="Verdana" w:cs="Arial"/>
          <w:color w:val="000000"/>
          <w:kern w:val="2"/>
          <w:sz w:val="20"/>
          <w:szCs w:val="20"/>
          <w:lang w:val="es-ES_tradnl"/>
          <w14:ligatures w14:val="standardContextual"/>
        </w:rPr>
      </w:pPr>
    </w:p>
    <w:p w14:paraId="15D6A424" w14:textId="77777777" w:rsidR="00B37198" w:rsidRDefault="00B37198" w:rsidP="00B37198">
      <w:pPr>
        <w:spacing w:after="0" w:line="240" w:lineRule="auto"/>
        <w:contextualSpacing/>
        <w:jc w:val="both"/>
        <w:rPr>
          <w:rFonts w:ascii="Verdana" w:eastAsia="Calibri" w:hAnsi="Verdana" w:cs="Arial"/>
          <w:color w:val="000000"/>
          <w:kern w:val="2"/>
          <w:sz w:val="20"/>
          <w:szCs w:val="20"/>
          <w:lang w:val="es-ES"/>
          <w14:ligatures w14:val="standardContextual"/>
        </w:rPr>
      </w:pPr>
      <w:r w:rsidRPr="61DC73BB">
        <w:rPr>
          <w:rFonts w:ascii="Verdana" w:eastAsia="Calibri" w:hAnsi="Verdana" w:cs="Arial"/>
          <w:color w:val="000000"/>
          <w:kern w:val="2"/>
          <w:sz w:val="20"/>
          <w:szCs w:val="20"/>
          <w:lang w:val="es-ES"/>
          <w14:ligatures w14:val="standardContextual"/>
        </w:rPr>
        <w:t xml:space="preserve">El régimen de inhabilidades e incompatibilidades en la contratación pública responde a la tendencia de asegurar que la provisión de los bienes y servicios por parte de las entidades estatales se efectúe cumpliendo con los principios de la función administrativa y de la gestión fiscal, especialmente con probidad y transparencia. Es por eso </w:t>
      </w:r>
      <w:proofErr w:type="gramStart"/>
      <w:r w:rsidRPr="61DC73BB">
        <w:rPr>
          <w:rFonts w:ascii="Verdana" w:eastAsia="Calibri" w:hAnsi="Verdana" w:cs="Arial"/>
          <w:color w:val="000000"/>
          <w:kern w:val="2"/>
          <w:sz w:val="20"/>
          <w:szCs w:val="20"/>
          <w:lang w:val="es-ES"/>
          <w14:ligatures w14:val="standardContextual"/>
        </w:rPr>
        <w:t>que</w:t>
      </w:r>
      <w:proofErr w:type="gramEnd"/>
      <w:r w:rsidRPr="61DC73BB">
        <w:rPr>
          <w:rFonts w:ascii="Verdana" w:eastAsia="Calibri" w:hAnsi="Verdana" w:cs="Arial"/>
          <w:color w:val="000000"/>
          <w:kern w:val="2"/>
          <w:sz w:val="20"/>
          <w:szCs w:val="20"/>
          <w:lang w:val="es-ES"/>
          <w14:ligatures w14:val="standardContextual"/>
        </w:rPr>
        <w:t>, como lo ha destacado la doctrina, las inhabilidades e incompatibilidades son herramientas en la lucha contra la corrupción, adoptando paulatinamente un carácter sancionatorio o “</w:t>
      </w:r>
      <w:proofErr w:type="spellStart"/>
      <w:r w:rsidRPr="61DC73BB">
        <w:rPr>
          <w:rFonts w:ascii="Verdana" w:eastAsia="Calibri" w:hAnsi="Verdana" w:cs="Arial"/>
          <w:color w:val="000000"/>
          <w:kern w:val="2"/>
          <w:sz w:val="20"/>
          <w:szCs w:val="20"/>
          <w:lang w:val="es-ES"/>
          <w14:ligatures w14:val="standardContextual"/>
        </w:rPr>
        <w:t>neopunitivo</w:t>
      </w:r>
      <w:proofErr w:type="spellEnd"/>
      <w:r w:rsidRPr="61DC73BB">
        <w:rPr>
          <w:rFonts w:ascii="Verdana" w:eastAsia="Calibri" w:hAnsi="Verdana" w:cs="Arial"/>
          <w:color w:val="000000"/>
          <w:kern w:val="2"/>
          <w:sz w:val="20"/>
          <w:szCs w:val="20"/>
          <w:lang w:val="es-ES"/>
          <w14:ligatures w14:val="standardContextual"/>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6663A4FC" w14:textId="77777777" w:rsidR="00B37198" w:rsidRDefault="00B37198" w:rsidP="00B37198">
      <w:pPr>
        <w:spacing w:after="0" w:line="240" w:lineRule="auto"/>
        <w:contextualSpacing/>
        <w:jc w:val="both"/>
        <w:rPr>
          <w:rFonts w:ascii="Verdana" w:eastAsia="Calibri" w:hAnsi="Verdana" w:cs="Arial"/>
          <w:color w:val="000000"/>
          <w:kern w:val="2"/>
          <w:sz w:val="20"/>
          <w:szCs w:val="20"/>
          <w:lang w:val="es-ES_tradnl"/>
          <w14:ligatures w14:val="standardContextual"/>
        </w:rPr>
      </w:pPr>
    </w:p>
    <w:p w14:paraId="17BD4253" w14:textId="77777777" w:rsidR="00B37198" w:rsidRDefault="00B37198" w:rsidP="00B37198">
      <w:pPr>
        <w:spacing w:after="0" w:line="240" w:lineRule="auto"/>
        <w:contextualSpacing/>
        <w:jc w:val="both"/>
        <w:rPr>
          <w:rFonts w:ascii="Verdana" w:eastAsia="Calibri" w:hAnsi="Verdana" w:cs="Arial"/>
          <w:color w:val="000000"/>
          <w:kern w:val="2"/>
          <w:sz w:val="20"/>
          <w:szCs w:val="20"/>
          <w:lang w:val="es-ES_tradnl"/>
          <w14:ligatures w14:val="standardContextual"/>
        </w:rPr>
      </w:pPr>
      <w:r>
        <w:rPr>
          <w:rFonts w:ascii="Verdana" w:eastAsia="Calibri" w:hAnsi="Verdana" w:cs="Arial"/>
          <w:color w:val="000000"/>
          <w:kern w:val="2"/>
          <w:sz w:val="20"/>
          <w:szCs w:val="20"/>
          <w:lang w:val="es-ES_tradnl"/>
          <w14:ligatures w14:val="standardContextual"/>
        </w:rPr>
        <w:t>[…]</w:t>
      </w:r>
    </w:p>
    <w:p w14:paraId="52A61769" w14:textId="77777777" w:rsidR="00B37198" w:rsidRDefault="00B37198" w:rsidP="00B37198">
      <w:pPr>
        <w:spacing w:after="0" w:line="240" w:lineRule="auto"/>
        <w:contextualSpacing/>
        <w:jc w:val="both"/>
        <w:rPr>
          <w:rFonts w:ascii="Verdana" w:eastAsia="Calibri" w:hAnsi="Verdana" w:cs="Arial"/>
          <w:color w:val="000000"/>
          <w:kern w:val="2"/>
          <w:sz w:val="20"/>
          <w:szCs w:val="20"/>
          <w:lang w:val="es-ES_tradnl"/>
          <w14:ligatures w14:val="standardContextual"/>
        </w:rPr>
      </w:pPr>
    </w:p>
    <w:p w14:paraId="48DCE5E5" w14:textId="77777777" w:rsidR="00B37198" w:rsidRPr="00B73549" w:rsidRDefault="00B37198" w:rsidP="00B37198">
      <w:pPr>
        <w:spacing w:after="0" w:line="240" w:lineRule="auto"/>
        <w:contextualSpacing/>
        <w:jc w:val="both"/>
        <w:rPr>
          <w:rFonts w:ascii="Verdana" w:eastAsia="Calibri" w:hAnsi="Verdana" w:cs="Arial"/>
          <w:color w:val="000000"/>
          <w:kern w:val="2"/>
          <w:sz w:val="20"/>
          <w:szCs w:val="20"/>
          <w14:ligatures w14:val="standardContextual"/>
        </w:rPr>
      </w:pPr>
      <w:r w:rsidRPr="00B73549">
        <w:rPr>
          <w:rFonts w:ascii="Verdana" w:eastAsia="Calibri" w:hAnsi="Verdana" w:cs="Arial"/>
          <w:color w:val="000000"/>
          <w:kern w:val="2"/>
          <w:sz w:val="20"/>
          <w:szCs w:val="20"/>
          <w14:ligatures w14:val="standardContextual"/>
        </w:rPr>
        <w:t>En este contexto, al analizar el régimen de inhabilidades e incompatibilidades previsto para la contratación estatal, no se identifica una inhabilidad, incompatibilidad o prohibición legal que impida que una persona natural pensionada por invalidez celebre un contrato de prestación de servicios con una entidad estatal. En efecto, revisadas las causales previstas en la Constitución Política, en el artículo 8 de la Ley 80 de 1993 y en las normas que regulan las limitaciones a la capacidad contractual, no se advierte un supuesto normativo que encuadre el hecho descrito en la solicitud, esto es, la celebración de un contrato de prestación de servicios por parte de un pensionado por invalidez.</w:t>
      </w:r>
    </w:p>
    <w:p w14:paraId="5D6C585C" w14:textId="77777777" w:rsidR="00B37198" w:rsidRDefault="00B37198" w:rsidP="00B37198">
      <w:pPr>
        <w:spacing w:after="0" w:line="240" w:lineRule="auto"/>
        <w:contextualSpacing/>
        <w:jc w:val="both"/>
        <w:rPr>
          <w:rFonts w:ascii="Verdana" w:eastAsia="Calibri" w:hAnsi="Verdana" w:cs="Arial"/>
          <w:color w:val="000000"/>
          <w:kern w:val="2"/>
          <w:sz w:val="20"/>
          <w:szCs w:val="20"/>
          <w:lang w:val="es-ES_tradnl"/>
          <w14:ligatures w14:val="standardContextual"/>
        </w:rPr>
      </w:pPr>
    </w:p>
    <w:p w14:paraId="208696EB" w14:textId="77777777" w:rsidR="00B37198" w:rsidRDefault="00B37198" w:rsidP="00B37198">
      <w:pPr>
        <w:spacing w:after="0" w:line="240" w:lineRule="auto"/>
        <w:contextualSpacing/>
        <w:jc w:val="both"/>
        <w:rPr>
          <w:rFonts w:ascii="Verdana" w:eastAsia="Calibri" w:hAnsi="Verdana" w:cs="Arial"/>
          <w:b/>
          <w:bCs/>
          <w:color w:val="000000"/>
          <w:kern w:val="2"/>
          <w14:ligatures w14:val="standardContextual"/>
        </w:rPr>
      </w:pPr>
      <w:r w:rsidRPr="00B73549">
        <w:rPr>
          <w:rFonts w:ascii="Verdana" w:eastAsia="Calibri" w:hAnsi="Verdana" w:cs="Arial"/>
          <w:b/>
          <w:bCs/>
          <w:color w:val="000000"/>
          <w:kern w:val="2"/>
          <w14:ligatures w14:val="standardContextual"/>
        </w:rPr>
        <w:t>PENSIONADO POR INVALIDEZ – Capacidad para contratar con el Estado</w:t>
      </w:r>
      <w:r>
        <w:rPr>
          <w:rFonts w:ascii="Verdana" w:eastAsia="Calibri" w:hAnsi="Verdana" w:cs="Arial"/>
          <w:b/>
          <w:bCs/>
          <w:color w:val="000000"/>
          <w:kern w:val="2"/>
          <w14:ligatures w14:val="standardContextual"/>
        </w:rPr>
        <w:t xml:space="preserve"> </w:t>
      </w:r>
      <w:r w:rsidRPr="002A44DD">
        <w:rPr>
          <w:rFonts w:ascii="Verdana" w:eastAsia="Calibri" w:hAnsi="Verdana" w:cs="Arial"/>
          <w:b/>
          <w:bCs/>
          <w:color w:val="000000"/>
          <w:kern w:val="2"/>
          <w14:ligatures w14:val="standardContextual"/>
        </w:rPr>
        <w:t>– Inexistencia de doble asignación del tesoro público</w:t>
      </w:r>
    </w:p>
    <w:p w14:paraId="66587283" w14:textId="77777777" w:rsidR="00B37198" w:rsidRPr="00B962C8" w:rsidRDefault="00B37198" w:rsidP="00B37198">
      <w:pPr>
        <w:spacing w:after="0" w:line="240" w:lineRule="auto"/>
        <w:contextualSpacing/>
        <w:jc w:val="both"/>
        <w:rPr>
          <w:rFonts w:ascii="Verdana" w:eastAsia="Calibri" w:hAnsi="Verdana" w:cs="Arial"/>
          <w:b/>
          <w:bCs/>
          <w:color w:val="000000"/>
          <w:kern w:val="2"/>
          <w14:ligatures w14:val="standardContextual"/>
        </w:rPr>
      </w:pPr>
    </w:p>
    <w:p w14:paraId="6A2DEDD2" w14:textId="77777777" w:rsidR="00B37198" w:rsidRDefault="00B37198" w:rsidP="00B37198">
      <w:pPr>
        <w:spacing w:after="0" w:line="240" w:lineRule="auto"/>
        <w:contextualSpacing/>
        <w:jc w:val="both"/>
        <w:rPr>
          <w:rFonts w:ascii="Verdana" w:eastAsia="Calibri" w:hAnsi="Verdana" w:cs="Arial"/>
          <w:color w:val="000000"/>
          <w:kern w:val="2"/>
          <w:sz w:val="20"/>
          <w:szCs w:val="20"/>
          <w:lang w:val="es-ES_tradnl"/>
          <w14:ligatures w14:val="standardContextual"/>
        </w:rPr>
      </w:pPr>
      <w:r w:rsidRPr="00B73549">
        <w:rPr>
          <w:rFonts w:ascii="Verdana" w:eastAsia="Calibri" w:hAnsi="Verdana" w:cs="Arial"/>
          <w:color w:val="000000"/>
          <w:kern w:val="2"/>
          <w:sz w:val="20"/>
          <w:szCs w:val="20"/>
          <w:lang w:val="es-ES_tradnl"/>
          <w14:ligatures w14:val="standardContextual"/>
        </w:rPr>
        <w:t>Esta conclusión resulta consistente con los criterios expuestos por el Departamento Administrativo de la Función Pública, entidad que ha señalado que la condición de pensionado por invalidez no constituye, por sí misma, un impedimento para acceder al empleo público o para celebrar contratos con entidades estatales, siempre que no se configure una prohibición legal expresa ni se incurra en una doble asignación del tesoro público, en los términos del artículo 128 de la Constitución Política.</w:t>
      </w:r>
    </w:p>
    <w:p w14:paraId="7F097025" w14:textId="77777777" w:rsidR="00B37198" w:rsidRPr="00B73549" w:rsidRDefault="00B37198" w:rsidP="00B37198">
      <w:pPr>
        <w:spacing w:after="0" w:line="240" w:lineRule="auto"/>
        <w:contextualSpacing/>
        <w:jc w:val="both"/>
        <w:rPr>
          <w:rFonts w:ascii="Verdana" w:eastAsia="Calibri" w:hAnsi="Verdana" w:cs="Arial"/>
          <w:color w:val="000000"/>
          <w:kern w:val="2"/>
          <w:sz w:val="20"/>
          <w:szCs w:val="20"/>
          <w:lang w:val="es-ES_tradnl"/>
          <w14:ligatures w14:val="standardContextual"/>
        </w:rPr>
      </w:pPr>
    </w:p>
    <w:p w14:paraId="282039FF" w14:textId="77777777" w:rsidR="00B37198" w:rsidRDefault="00B37198" w:rsidP="00B37198">
      <w:pPr>
        <w:spacing w:after="0" w:line="240" w:lineRule="auto"/>
        <w:contextualSpacing/>
        <w:jc w:val="both"/>
        <w:rPr>
          <w:rFonts w:ascii="Verdana" w:eastAsia="Calibri" w:hAnsi="Verdana" w:cs="Arial"/>
          <w:color w:val="000000"/>
          <w:kern w:val="2"/>
          <w:sz w:val="20"/>
          <w:szCs w:val="20"/>
          <w:lang w:val="es-ES_tradnl"/>
          <w14:ligatures w14:val="standardContextual"/>
        </w:rPr>
      </w:pPr>
      <w:r w:rsidRPr="00B318FD">
        <w:rPr>
          <w:rFonts w:ascii="Verdana" w:eastAsia="Calibri" w:hAnsi="Verdana" w:cs="Arial"/>
          <w:color w:val="000000"/>
          <w:kern w:val="2"/>
          <w:sz w:val="20"/>
          <w:szCs w:val="20"/>
          <w:lang w:val="es-ES_tradnl"/>
          <w14:ligatures w14:val="standardContextual"/>
        </w:rPr>
        <w:t xml:space="preserve">Puede señalarse que la continuidad en el pago de la mesada pensional a favor de una persona pensionada por invalidez que desarrolla una actividad laboral o contractual no </w:t>
      </w:r>
      <w:r w:rsidRPr="00B318FD">
        <w:rPr>
          <w:rFonts w:ascii="Verdana" w:eastAsia="Calibri" w:hAnsi="Verdana" w:cs="Arial"/>
          <w:color w:val="000000"/>
          <w:kern w:val="2"/>
          <w:sz w:val="20"/>
          <w:szCs w:val="20"/>
          <w:lang w:val="es-ES_tradnl"/>
          <w14:ligatures w14:val="standardContextual"/>
        </w:rPr>
        <w:lastRenderedPageBreak/>
        <w:t>depende de una habilitación legal expresa, sino que se explica por la distinta naturaleza jurídica de la pensión frente a los ingresos derivados del trabajo o de la prestación de servicios. Mientras la pensión responde a un derecho adquirido en el marco del Sistema de Seguridad Social, el ingreso contractual constituye la contraprestación por la actividad efectivamente desarrollada. En tal sentido, no existe razón constitucional o legal para suspender la mesada pensional por el solo hecho de la vinculación, salvo que se configure una situación expresamente prohibida, como la doble asignación del tesoro público en los términos del artículo 128 de la Constitución Política.</w:t>
      </w:r>
    </w:p>
    <w:p w14:paraId="775DBD88" w14:textId="77777777" w:rsidR="00B37198" w:rsidRDefault="00B37198" w:rsidP="00B37198">
      <w:pPr>
        <w:spacing w:after="0" w:line="240" w:lineRule="auto"/>
        <w:contextualSpacing/>
        <w:jc w:val="both"/>
        <w:rPr>
          <w:rFonts w:ascii="Verdana" w:eastAsia="Calibri" w:hAnsi="Verdana" w:cs="Arial"/>
          <w:color w:val="000000"/>
          <w:kern w:val="2"/>
          <w:sz w:val="20"/>
          <w:szCs w:val="20"/>
          <w:lang w:val="es-ES_tradnl"/>
          <w14:ligatures w14:val="standardContextual"/>
        </w:rPr>
      </w:pPr>
    </w:p>
    <w:p w14:paraId="623CF8B3" w14:textId="77777777" w:rsidR="00B37198" w:rsidRPr="00074B3E" w:rsidRDefault="00B37198" w:rsidP="00B37198">
      <w:pPr>
        <w:spacing w:after="0" w:line="240" w:lineRule="auto"/>
        <w:contextualSpacing/>
        <w:jc w:val="both"/>
        <w:rPr>
          <w:rFonts w:ascii="Verdana" w:eastAsia="Calibri" w:hAnsi="Verdana" w:cs="Arial"/>
          <w:color w:val="000000"/>
          <w:kern w:val="2"/>
          <w:sz w:val="20"/>
          <w:szCs w:val="20"/>
          <w:lang w:val="es-ES"/>
          <w14:ligatures w14:val="standardContextual"/>
        </w:rPr>
      </w:pPr>
      <w:r w:rsidRPr="61DC73BB">
        <w:rPr>
          <w:rFonts w:ascii="Verdana" w:eastAsia="Calibri" w:hAnsi="Verdana" w:cs="Arial"/>
          <w:color w:val="000000"/>
          <w:kern w:val="2"/>
          <w:sz w:val="20"/>
          <w:szCs w:val="20"/>
          <w:lang w:val="es-ES"/>
          <w14:ligatures w14:val="standardContextual"/>
        </w:rPr>
        <w:t xml:space="preserve">No </w:t>
      </w:r>
      <w:proofErr w:type="gramStart"/>
      <w:r w:rsidRPr="61DC73BB">
        <w:rPr>
          <w:rFonts w:ascii="Verdana" w:eastAsia="Calibri" w:hAnsi="Verdana" w:cs="Arial"/>
          <w:color w:val="000000"/>
          <w:kern w:val="2"/>
          <w:sz w:val="20"/>
          <w:szCs w:val="20"/>
          <w:lang w:val="es-ES"/>
          <w14:ligatures w14:val="standardContextual"/>
        </w:rPr>
        <w:t>obstante</w:t>
      </w:r>
      <w:proofErr w:type="gramEnd"/>
      <w:r w:rsidRPr="61DC73BB">
        <w:rPr>
          <w:rFonts w:ascii="Verdana" w:eastAsia="Calibri" w:hAnsi="Verdana" w:cs="Arial"/>
          <w:color w:val="000000"/>
          <w:kern w:val="2"/>
          <w:sz w:val="20"/>
          <w:szCs w:val="20"/>
          <w:lang w:val="es-ES"/>
          <w14:ligatures w14:val="standardContextual"/>
        </w:rPr>
        <w:t xml:space="preserve"> lo anterior, el hecho de que no se configure una causal de inhabilidad o incompatibilidad no significa que, en todos los casos, pueda celebrarse válidamente un contrato de prestación de servicios. Para ello, deben cumplirse los requisitos propios de esta modalidad contractual, teniendo en cuenta su carácter excepcional, en la medida en que solo es procedente cuando las actividades no puedan realizarse con personal de planta o requieran conocimientos especializados, circunstancia que debe justificarse de manera suficiente en los estudios previos. Adicionalmente, el contrato debe ser de naturaleza temporal y no puede utilizarse para la conformación de nóminas paralelas ni para encubrir relaciones laborales.</w:t>
      </w:r>
    </w:p>
    <w:p w14:paraId="581DD340" w14:textId="77777777" w:rsidR="00B37198" w:rsidRPr="00B962C8" w:rsidRDefault="00B37198" w:rsidP="00B37198">
      <w:pPr>
        <w:spacing w:after="0" w:line="240" w:lineRule="auto"/>
        <w:contextualSpacing/>
        <w:jc w:val="both"/>
        <w:rPr>
          <w:rFonts w:ascii="Verdana" w:eastAsia="Calibri" w:hAnsi="Verdana" w:cs="Arial"/>
          <w:b/>
          <w:bCs/>
          <w:color w:val="000000"/>
          <w:kern w:val="2"/>
          <w14:ligatures w14:val="standardContextual"/>
        </w:rPr>
      </w:pPr>
    </w:p>
    <w:p w14:paraId="0B3E317E" w14:textId="77777777" w:rsidR="00B37198" w:rsidRDefault="00B37198" w:rsidP="00B37198">
      <w:pPr>
        <w:spacing w:after="0" w:line="240" w:lineRule="auto"/>
        <w:contextualSpacing/>
        <w:jc w:val="both"/>
        <w:rPr>
          <w:rFonts w:ascii="Verdana" w:eastAsia="Calibri" w:hAnsi="Verdana" w:cs="Arial"/>
          <w:b/>
          <w:bCs/>
          <w:color w:val="000000"/>
          <w:kern w:val="2"/>
          <w14:ligatures w14:val="standardContextual"/>
        </w:rPr>
      </w:pPr>
      <w:r w:rsidRPr="006B2C88">
        <w:rPr>
          <w:rFonts w:ascii="Verdana" w:eastAsia="Calibri" w:hAnsi="Verdana" w:cs="Arial"/>
          <w:b/>
          <w:bCs/>
          <w:color w:val="000000"/>
          <w:kern w:val="2"/>
          <w14:ligatures w14:val="standardContextual"/>
        </w:rPr>
        <w:t>CONTRATO DE PRESTACIÓN DE SERVICIOS – Prevención del contrato realidad</w:t>
      </w:r>
    </w:p>
    <w:p w14:paraId="6BFD702F" w14:textId="77777777" w:rsidR="00B37198" w:rsidRPr="00B962C8" w:rsidRDefault="00B37198" w:rsidP="00B37198">
      <w:pPr>
        <w:spacing w:after="0" w:line="240" w:lineRule="auto"/>
        <w:contextualSpacing/>
        <w:jc w:val="both"/>
        <w:rPr>
          <w:rFonts w:ascii="Verdana" w:eastAsia="Calibri" w:hAnsi="Verdana" w:cs="Arial"/>
          <w:b/>
          <w:bCs/>
          <w:color w:val="000000"/>
          <w:kern w:val="2"/>
          <w14:ligatures w14:val="standardContextual"/>
        </w:rPr>
      </w:pPr>
    </w:p>
    <w:p w14:paraId="74C5AADD" w14:textId="77777777" w:rsidR="00B37198" w:rsidRDefault="00B37198" w:rsidP="00B37198">
      <w:pPr>
        <w:spacing w:after="0" w:line="240" w:lineRule="auto"/>
        <w:contextualSpacing/>
        <w:jc w:val="both"/>
        <w:rPr>
          <w:rFonts w:ascii="Verdana" w:eastAsia="Calibri" w:hAnsi="Verdana" w:cs="Arial"/>
          <w:color w:val="000000"/>
          <w:kern w:val="2"/>
          <w:sz w:val="20"/>
          <w:szCs w:val="20"/>
          <w:lang w:val="es-ES"/>
          <w14:ligatures w14:val="standardContextual"/>
        </w:rPr>
      </w:pPr>
      <w:r w:rsidRPr="61DC73BB">
        <w:rPr>
          <w:rFonts w:ascii="Verdana" w:eastAsia="Calibri" w:hAnsi="Verdana" w:cs="Arial"/>
          <w:color w:val="000000"/>
          <w:kern w:val="2"/>
          <w:sz w:val="20"/>
          <w:szCs w:val="20"/>
          <w:lang w:val="es-ES"/>
          <w14:ligatures w14:val="standardContextual"/>
        </w:rPr>
        <w:t>Así mismo, la entidad contratante debe realizar un análisis cuidadoso de las condiciones de ejecución del contrato, valorando la complejidad y el alcance de las actividades encomendadas, con el fin de determinar si el contratista cuenta con la capacidad jurídica, técnica y operativa para ejecutarlas adecuadamente. En el caso de personas pensionadas por invalidez, este análisis debe incluir la verificación de que las actividades objeto del contrato sean compatibles con el grado de pérdida de capacidad laboral reconocido, sin que ello implique, por sí mismo, una valoración o decisión de carácter pensional, la cual corresponde a las autoridades competentes del sistema de seguridad social.</w:t>
      </w:r>
    </w:p>
    <w:p w14:paraId="5E38E0C9" w14:textId="77777777" w:rsidR="00B37198" w:rsidRPr="00B73549" w:rsidRDefault="00B37198" w:rsidP="00B37198">
      <w:pPr>
        <w:spacing w:after="0" w:line="240" w:lineRule="auto"/>
        <w:contextualSpacing/>
        <w:jc w:val="both"/>
        <w:rPr>
          <w:rFonts w:ascii="Verdana" w:eastAsia="Calibri" w:hAnsi="Verdana" w:cs="Arial"/>
          <w:color w:val="000000"/>
          <w:kern w:val="2"/>
          <w:sz w:val="20"/>
          <w:szCs w:val="20"/>
          <w:lang w:val="es-ES_tradnl"/>
          <w14:ligatures w14:val="standardContextual"/>
        </w:rPr>
      </w:pPr>
    </w:p>
    <w:p w14:paraId="47146CA4" w14:textId="77777777" w:rsidR="00B37198" w:rsidRPr="00B73549" w:rsidRDefault="00B37198" w:rsidP="00B37198">
      <w:pPr>
        <w:spacing w:after="0" w:line="240" w:lineRule="auto"/>
        <w:contextualSpacing/>
        <w:jc w:val="both"/>
        <w:rPr>
          <w:rFonts w:ascii="Verdana" w:eastAsia="Calibri" w:hAnsi="Verdana" w:cs="Arial"/>
          <w:color w:val="000000"/>
          <w:kern w:val="2"/>
          <w:sz w:val="20"/>
          <w:szCs w:val="20"/>
          <w14:ligatures w14:val="standardContextual"/>
        </w:rPr>
      </w:pPr>
      <w:r w:rsidRPr="00B73549">
        <w:rPr>
          <w:rFonts w:ascii="Verdana" w:eastAsia="Calibri" w:hAnsi="Verdana" w:cs="Arial"/>
          <w:color w:val="000000"/>
          <w:kern w:val="2"/>
          <w:sz w:val="20"/>
          <w:szCs w:val="20"/>
          <w:lang w:val="es-ES_tradnl"/>
          <w14:ligatures w14:val="standardContextual"/>
        </w:rPr>
        <w:t>Adicionalmente, las entidades estatales deben identificar la eventual configuración de situaciones que puedan revestir la connotación de conflicto de interés, derivadas de la concurrencia de intereses contrapuestos que comprometan la transparencia, independencia o rectitud de las actuaciones del contratista. En este punto, resulta aplicable el principio de moralidad administrativa consagrado en el artículo 209 de la Constitución Política, así como los deberes de lealtad y buena fe que rigen la actuación de los particulares que celebran y ejecutan contratos con el Estado, conforme a los artículos 3 y 5 de la Ley 80 de 1993.</w:t>
      </w:r>
    </w:p>
    <w:p w14:paraId="75989F73" w14:textId="77777777" w:rsidR="00B37198" w:rsidRPr="00B962C8" w:rsidRDefault="00B37198" w:rsidP="00B37198">
      <w:pPr>
        <w:spacing w:after="0" w:line="240" w:lineRule="auto"/>
        <w:contextualSpacing/>
        <w:jc w:val="both"/>
        <w:rPr>
          <w:rFonts w:ascii="Verdana" w:eastAsia="Calibri" w:hAnsi="Verdana" w:cs="Arial"/>
          <w:b/>
          <w:bCs/>
          <w:color w:val="000000"/>
          <w:kern w:val="2"/>
          <w14:ligatures w14:val="standardContextual"/>
        </w:rPr>
      </w:pPr>
    </w:p>
    <w:p w14:paraId="7B29F0BD" w14:textId="77777777" w:rsidR="00B37198" w:rsidRDefault="00B37198" w:rsidP="00B37198">
      <w:pPr>
        <w:spacing w:after="0" w:line="240" w:lineRule="auto"/>
        <w:contextualSpacing/>
        <w:rPr>
          <w:rFonts w:ascii="Verdana" w:eastAsia="Calibri" w:hAnsi="Verdana" w:cs="Arial"/>
          <w:b/>
          <w:bCs/>
          <w:color w:val="000000"/>
          <w:kern w:val="2"/>
          <w14:ligatures w14:val="standardContextual"/>
        </w:rPr>
      </w:pPr>
      <w:r w:rsidRPr="00B73549">
        <w:rPr>
          <w:rFonts w:ascii="Verdana" w:eastAsia="Calibri" w:hAnsi="Verdana" w:cs="Arial"/>
          <w:b/>
          <w:bCs/>
          <w:color w:val="000000"/>
          <w:kern w:val="2"/>
          <w14:ligatures w14:val="standardContextual"/>
        </w:rPr>
        <w:t>SEGURIDAD SOCIAL – Obligaciones de los contratistas del Estado</w:t>
      </w:r>
    </w:p>
    <w:p w14:paraId="13058D81" w14:textId="77777777" w:rsidR="00B37198" w:rsidRDefault="00B37198" w:rsidP="00B37198">
      <w:pPr>
        <w:spacing w:after="0" w:line="240" w:lineRule="auto"/>
        <w:contextualSpacing/>
        <w:rPr>
          <w:rFonts w:ascii="Verdana" w:eastAsia="Geomanist Light" w:hAnsi="Verdana" w:cs="Arial"/>
          <w:color w:val="000000" w:themeColor="text1"/>
          <w:lang w:val="es-MX"/>
        </w:rPr>
      </w:pPr>
    </w:p>
    <w:p w14:paraId="571257AB" w14:textId="77777777" w:rsidR="00B37198" w:rsidRDefault="00B37198" w:rsidP="00B37198">
      <w:pPr>
        <w:widowControl w:val="0"/>
        <w:autoSpaceDE w:val="0"/>
        <w:autoSpaceDN w:val="0"/>
        <w:spacing w:after="0" w:line="240" w:lineRule="auto"/>
        <w:contextualSpacing/>
        <w:jc w:val="both"/>
        <w:rPr>
          <w:rFonts w:ascii="Verdana" w:eastAsia="Arial MT" w:hAnsi="Verdana" w:cs="Arial"/>
          <w:sz w:val="20"/>
          <w:szCs w:val="20"/>
          <w:lang w:eastAsia="es-ES" w:bidi="es-ES"/>
        </w:rPr>
      </w:pPr>
      <w:r w:rsidRPr="00CA10EF">
        <w:rPr>
          <w:rFonts w:ascii="Verdana" w:eastAsia="Arial MT" w:hAnsi="Verdana" w:cs="Arial"/>
          <w:sz w:val="20"/>
          <w:szCs w:val="20"/>
          <w:lang w:eastAsia="es-ES" w:bidi="es-ES"/>
        </w:rPr>
        <w:t xml:space="preserve">Ahora bien, tratándose de personas naturales pensionadas que celebran contratos de prestación de servicios con entidades estatales, es necesario distinguir entre las obligaciones frente al Sistema General de Pensiones y las correspondientes al Sistema General de Seguridad Social en Salud. En relación con el Sistema General de Pensiones, el artículo 4 de la Ley 797 de 2003 establece expresamente que la obligación de cotizar </w:t>
      </w:r>
      <w:r w:rsidRPr="00CA10EF">
        <w:rPr>
          <w:rFonts w:ascii="Verdana" w:eastAsia="Arial MT" w:hAnsi="Verdana" w:cs="Arial"/>
          <w:sz w:val="20"/>
          <w:szCs w:val="20"/>
          <w:lang w:eastAsia="es-ES" w:bidi="es-ES"/>
        </w:rPr>
        <w:lastRenderedPageBreak/>
        <w:t>cesa cuando el afiliado accede a la pensión por invalidez o de manera anticipada. En consecuencia, una persona pensionada por invalidez que celebre un contrato de prestación de servicios no se encuentra obligada a efectuar aportes al Sistema General de Pensiones durante la ejecución del contrato, por expresa disposición legal.</w:t>
      </w:r>
    </w:p>
    <w:p w14:paraId="75BA11BC" w14:textId="77777777" w:rsidR="00B37198" w:rsidRPr="00CA10EF" w:rsidRDefault="00B37198" w:rsidP="00B37198">
      <w:pPr>
        <w:widowControl w:val="0"/>
        <w:autoSpaceDE w:val="0"/>
        <w:autoSpaceDN w:val="0"/>
        <w:spacing w:after="0" w:line="240" w:lineRule="auto"/>
        <w:contextualSpacing/>
        <w:jc w:val="both"/>
        <w:rPr>
          <w:rFonts w:ascii="Verdana" w:eastAsia="Arial MT" w:hAnsi="Verdana" w:cs="Arial"/>
          <w:sz w:val="20"/>
          <w:szCs w:val="20"/>
          <w:lang w:eastAsia="es-ES" w:bidi="es-ES"/>
        </w:rPr>
      </w:pPr>
    </w:p>
    <w:p w14:paraId="7E475899" w14:textId="77777777" w:rsidR="00B37198" w:rsidRDefault="00B37198" w:rsidP="00B37198">
      <w:pPr>
        <w:widowControl w:val="0"/>
        <w:autoSpaceDE w:val="0"/>
        <w:autoSpaceDN w:val="0"/>
        <w:spacing w:after="0" w:line="240" w:lineRule="auto"/>
        <w:contextualSpacing/>
        <w:jc w:val="both"/>
        <w:rPr>
          <w:rFonts w:ascii="Verdana" w:eastAsia="Arial MT" w:hAnsi="Verdana" w:cs="Arial"/>
          <w:sz w:val="20"/>
          <w:szCs w:val="20"/>
          <w:lang w:eastAsia="es-ES" w:bidi="es-ES"/>
        </w:rPr>
      </w:pPr>
      <w:r w:rsidRPr="00CA10EF">
        <w:rPr>
          <w:rFonts w:ascii="Verdana" w:eastAsia="Arial MT" w:hAnsi="Verdana" w:cs="Arial"/>
          <w:sz w:val="20"/>
          <w:szCs w:val="20"/>
          <w:lang w:eastAsia="es-ES" w:bidi="es-ES"/>
        </w:rPr>
        <w:t>Distinto es el caso del Sistema General de Seguridad Social en Salud. De conformidad con el artículo 2.1.4.1 del Decreto 780 de 2016 y el artículo 16 del Decreto 1406 de 1999, los contratistas de prestación de servicios son considerados trabajadores independientes y, como tales, deben afiliarse y cotizar al régimen contributivo del sistema de salud, siempre que perciban ingresos iguales o superiores a un salario mínimo mensual legal vigente. La normativa vigente no prevé una exclusión para las personas pensionadas respecto de esta obligación, razón por la cual estas deben efectuar los aportes al sistema de salud en calidad de cotizantes.</w:t>
      </w:r>
    </w:p>
    <w:p w14:paraId="121ED6CD" w14:textId="77777777" w:rsidR="00B37198" w:rsidRPr="00CA10EF" w:rsidRDefault="00B37198" w:rsidP="00B37198">
      <w:pPr>
        <w:widowControl w:val="0"/>
        <w:autoSpaceDE w:val="0"/>
        <w:autoSpaceDN w:val="0"/>
        <w:spacing w:after="0" w:line="240" w:lineRule="auto"/>
        <w:contextualSpacing/>
        <w:jc w:val="both"/>
        <w:rPr>
          <w:rFonts w:ascii="Verdana" w:eastAsia="Arial MT" w:hAnsi="Verdana" w:cs="Arial"/>
          <w:sz w:val="20"/>
          <w:szCs w:val="20"/>
          <w:lang w:eastAsia="es-ES" w:bidi="es-ES"/>
        </w:rPr>
      </w:pPr>
    </w:p>
    <w:p w14:paraId="44233BA2" w14:textId="77777777" w:rsidR="00B37198" w:rsidRDefault="00B37198" w:rsidP="00B37198">
      <w:pPr>
        <w:widowControl w:val="0"/>
        <w:autoSpaceDE w:val="0"/>
        <w:autoSpaceDN w:val="0"/>
        <w:spacing w:after="0" w:line="240" w:lineRule="auto"/>
        <w:contextualSpacing/>
        <w:jc w:val="both"/>
        <w:rPr>
          <w:rFonts w:ascii="Verdana" w:eastAsia="Arial MT" w:hAnsi="Verdana" w:cs="Arial"/>
          <w:sz w:val="20"/>
          <w:szCs w:val="20"/>
          <w:lang w:eastAsia="es-ES" w:bidi="es-ES"/>
        </w:rPr>
      </w:pPr>
      <w:r w:rsidRPr="00CA10EF">
        <w:rPr>
          <w:rFonts w:ascii="Verdana" w:eastAsia="Arial MT" w:hAnsi="Verdana" w:cs="Arial"/>
          <w:sz w:val="20"/>
          <w:szCs w:val="20"/>
          <w:lang w:eastAsia="es-ES" w:bidi="es-ES"/>
        </w:rPr>
        <w:t>En cuanto a la forma y oportunidad del pago de los aportes al Sistema de Seguridad Social Integral, la Ley 1955 de 2019 dispuso que los trabajadores independientes que celebren contratos de prestación de servicios personales deben cotizar mes vencido, sobre una base mínima equivalente al cuarenta por ciento (40 %) del valor mensualizado del contrato, sin incluir el IVA, y que el pago de dichos aportes debe realizarse directamente por el contratista a través de la Planilla Integrada de Liquidación de Aportes (PILA). En consecuencia, para efectos del pago de honorarios, las entidades estatales deben verificar que el contratista acredite el cumplimiento de sus obligaciones frente al sistema de salud correspondientes al período inmediatamente anterior al pago que se pretende efectuar.</w:t>
      </w:r>
    </w:p>
    <w:p w14:paraId="16B3826E" w14:textId="77777777" w:rsidR="00B37198" w:rsidRPr="00D62505" w:rsidRDefault="00B37198" w:rsidP="00B37198">
      <w:pPr>
        <w:widowControl w:val="0"/>
        <w:autoSpaceDE w:val="0"/>
        <w:autoSpaceDN w:val="0"/>
        <w:spacing w:after="0" w:line="240" w:lineRule="auto"/>
        <w:contextualSpacing/>
        <w:jc w:val="both"/>
        <w:rPr>
          <w:rFonts w:ascii="Verdana" w:hAnsi="Verdana" w:cs="Arial"/>
          <w:color w:val="000000" w:themeColor="text1"/>
          <w:sz w:val="20"/>
          <w:szCs w:val="20"/>
          <w:lang w:val="es-ES_tradnl"/>
        </w:rPr>
      </w:pPr>
    </w:p>
    <w:p w14:paraId="7F9F81DC" w14:textId="77777777" w:rsidR="00B37198" w:rsidRPr="00D62505" w:rsidRDefault="00B37198" w:rsidP="00B37198">
      <w:pPr>
        <w:spacing w:after="0" w:line="240" w:lineRule="auto"/>
        <w:rPr>
          <w:rFonts w:ascii="Verdana" w:eastAsia="Geomanist Light" w:hAnsi="Verdana" w:cs="Arial"/>
          <w:color w:val="000000" w:themeColor="text1"/>
          <w:sz w:val="20"/>
          <w:szCs w:val="20"/>
          <w:lang w:val="es-MX"/>
        </w:rPr>
      </w:pPr>
    </w:p>
    <w:p w14:paraId="2545D533" w14:textId="77777777" w:rsidR="00B37198" w:rsidRDefault="00B37198" w:rsidP="00B37198">
      <w:pPr>
        <w:spacing w:after="0" w:line="240" w:lineRule="auto"/>
        <w:rPr>
          <w:rFonts w:ascii="Verdana" w:eastAsia="Geomanist Light" w:hAnsi="Verdana" w:cs="Arial"/>
          <w:color w:val="000000" w:themeColor="text1"/>
          <w:lang w:val="es-MX"/>
        </w:rPr>
      </w:pPr>
    </w:p>
    <w:p w14:paraId="0310DE2C" w14:textId="77777777" w:rsidR="00B37198" w:rsidRDefault="00B37198" w:rsidP="00B37198">
      <w:pPr>
        <w:spacing w:after="0" w:line="240" w:lineRule="auto"/>
        <w:rPr>
          <w:rFonts w:ascii="Verdana" w:eastAsia="Geomanist Light" w:hAnsi="Verdana" w:cs="Arial"/>
          <w:color w:val="000000" w:themeColor="text1"/>
          <w:lang w:val="es-MX"/>
        </w:rPr>
      </w:pPr>
    </w:p>
    <w:p w14:paraId="3927ECE4" w14:textId="77777777" w:rsidR="00B37198" w:rsidRDefault="00B37198" w:rsidP="00B37198">
      <w:pPr>
        <w:spacing w:after="0" w:line="240" w:lineRule="auto"/>
        <w:rPr>
          <w:rFonts w:ascii="Verdana" w:eastAsia="Geomanist Light" w:hAnsi="Verdana" w:cs="Arial"/>
          <w:color w:val="000000" w:themeColor="text1"/>
          <w:lang w:val="es-MX"/>
        </w:rPr>
      </w:pPr>
    </w:p>
    <w:p w14:paraId="4BB7B56E" w14:textId="77777777" w:rsidR="00B37198" w:rsidRDefault="00B37198" w:rsidP="00B37198">
      <w:pPr>
        <w:spacing w:after="0" w:line="240" w:lineRule="auto"/>
        <w:rPr>
          <w:rFonts w:ascii="Verdana" w:eastAsia="Geomanist Light" w:hAnsi="Verdana" w:cs="Arial"/>
          <w:color w:val="000000" w:themeColor="text1"/>
          <w:lang w:val="es-MX"/>
        </w:rPr>
      </w:pPr>
    </w:p>
    <w:p w14:paraId="61B81C31" w14:textId="77777777" w:rsidR="00B37198" w:rsidRDefault="00B37198" w:rsidP="00B37198">
      <w:pPr>
        <w:spacing w:after="0" w:line="240" w:lineRule="auto"/>
        <w:rPr>
          <w:rFonts w:ascii="Verdana" w:eastAsia="Geomanist Light" w:hAnsi="Verdana" w:cs="Arial"/>
          <w:color w:val="000000" w:themeColor="text1"/>
          <w:lang w:val="es-MX"/>
        </w:rPr>
      </w:pPr>
    </w:p>
    <w:p w14:paraId="6F1E7ED5" w14:textId="77777777" w:rsidR="00B37198" w:rsidRDefault="00B37198" w:rsidP="00B37198">
      <w:pPr>
        <w:spacing w:after="0" w:line="240" w:lineRule="auto"/>
        <w:rPr>
          <w:rFonts w:ascii="Verdana" w:eastAsia="Geomanist Light" w:hAnsi="Verdana" w:cs="Arial"/>
          <w:color w:val="000000" w:themeColor="text1"/>
          <w:lang w:val="es-MX"/>
        </w:rPr>
      </w:pPr>
    </w:p>
    <w:p w14:paraId="7FF494F4" w14:textId="77777777" w:rsidR="00B37198" w:rsidRDefault="00B37198" w:rsidP="00B37198">
      <w:pPr>
        <w:spacing w:after="0" w:line="240" w:lineRule="auto"/>
        <w:rPr>
          <w:rFonts w:ascii="Verdana" w:eastAsia="Geomanist Light" w:hAnsi="Verdana" w:cs="Arial"/>
          <w:color w:val="000000" w:themeColor="text1"/>
          <w:lang w:val="es-MX"/>
        </w:rPr>
      </w:pPr>
    </w:p>
    <w:p w14:paraId="65036447" w14:textId="77777777" w:rsidR="00B37198" w:rsidRDefault="00B37198" w:rsidP="00B37198">
      <w:pPr>
        <w:spacing w:after="0" w:line="240" w:lineRule="auto"/>
        <w:rPr>
          <w:rFonts w:ascii="Verdana" w:eastAsia="Geomanist Light" w:hAnsi="Verdana" w:cs="Arial"/>
          <w:color w:val="000000" w:themeColor="text1"/>
          <w:lang w:val="es-MX"/>
        </w:rPr>
      </w:pPr>
    </w:p>
    <w:p w14:paraId="4E2AD993" w14:textId="77777777" w:rsidR="00B37198" w:rsidRDefault="00B37198" w:rsidP="00B37198">
      <w:pPr>
        <w:spacing w:after="0" w:line="240" w:lineRule="auto"/>
        <w:rPr>
          <w:rFonts w:ascii="Verdana" w:eastAsia="Geomanist Light" w:hAnsi="Verdana" w:cs="Arial"/>
          <w:color w:val="000000" w:themeColor="text1"/>
          <w:lang w:val="es-MX"/>
        </w:rPr>
      </w:pPr>
    </w:p>
    <w:p w14:paraId="5CE9B7D0" w14:textId="77777777" w:rsidR="00B37198" w:rsidRDefault="00B37198" w:rsidP="00B37198">
      <w:pPr>
        <w:spacing w:after="0" w:line="240" w:lineRule="auto"/>
        <w:rPr>
          <w:rFonts w:ascii="Verdana" w:eastAsia="Geomanist Light" w:hAnsi="Verdana" w:cs="Arial"/>
          <w:color w:val="000000" w:themeColor="text1"/>
          <w:lang w:val="es-MX"/>
        </w:rPr>
      </w:pPr>
    </w:p>
    <w:p w14:paraId="0D3D977C" w14:textId="77777777" w:rsidR="00B37198" w:rsidRDefault="00B37198" w:rsidP="00B37198">
      <w:pPr>
        <w:spacing w:after="0" w:line="240" w:lineRule="auto"/>
        <w:contextualSpacing/>
        <w:jc w:val="both"/>
        <w:rPr>
          <w:rFonts w:ascii="Verdana" w:hAnsi="Verdana"/>
          <w:lang w:val="es-MX"/>
        </w:rPr>
      </w:pPr>
    </w:p>
    <w:p w14:paraId="0EE91943" w14:textId="77777777" w:rsidR="00B37198" w:rsidRDefault="00B37198" w:rsidP="00B37198">
      <w:pPr>
        <w:spacing w:after="0" w:line="240" w:lineRule="auto"/>
        <w:contextualSpacing/>
        <w:jc w:val="both"/>
        <w:rPr>
          <w:rFonts w:ascii="Verdana" w:hAnsi="Verdana"/>
          <w:lang w:val="es-MX"/>
        </w:rPr>
      </w:pPr>
    </w:p>
    <w:p w14:paraId="1F7ACF12" w14:textId="77777777" w:rsidR="00B37198" w:rsidRDefault="00B37198" w:rsidP="00B37198">
      <w:pPr>
        <w:spacing w:after="0" w:line="240" w:lineRule="auto"/>
        <w:contextualSpacing/>
        <w:jc w:val="both"/>
        <w:rPr>
          <w:rFonts w:ascii="Verdana" w:hAnsi="Verdana"/>
          <w:lang w:val="es-MX"/>
        </w:rPr>
      </w:pPr>
    </w:p>
    <w:p w14:paraId="4566B410" w14:textId="77777777" w:rsidR="00B37198" w:rsidRDefault="00B37198" w:rsidP="00B37198">
      <w:pPr>
        <w:spacing w:after="0" w:line="240" w:lineRule="auto"/>
        <w:contextualSpacing/>
        <w:jc w:val="both"/>
        <w:rPr>
          <w:rFonts w:ascii="Verdana" w:hAnsi="Verdana"/>
          <w:lang w:val="es-MX"/>
        </w:rPr>
      </w:pPr>
    </w:p>
    <w:p w14:paraId="1016B171" w14:textId="77777777" w:rsidR="00B37198" w:rsidRDefault="00B37198" w:rsidP="00B37198">
      <w:pPr>
        <w:spacing w:after="0" w:line="240" w:lineRule="auto"/>
        <w:contextualSpacing/>
        <w:jc w:val="both"/>
        <w:rPr>
          <w:rFonts w:ascii="Verdana" w:hAnsi="Verdana"/>
          <w:lang w:val="es-MX"/>
        </w:rPr>
      </w:pPr>
    </w:p>
    <w:p w14:paraId="51A1F78B" w14:textId="77777777" w:rsidR="00B37198" w:rsidRDefault="00B37198" w:rsidP="00B37198">
      <w:pPr>
        <w:spacing w:after="0" w:line="240" w:lineRule="auto"/>
        <w:contextualSpacing/>
        <w:jc w:val="both"/>
        <w:rPr>
          <w:rFonts w:ascii="Verdana" w:hAnsi="Verdana"/>
          <w:lang w:val="es-MX"/>
        </w:rPr>
      </w:pPr>
    </w:p>
    <w:p w14:paraId="4DA271E0" w14:textId="77777777" w:rsidR="00B37198" w:rsidRDefault="00B37198" w:rsidP="00B37198">
      <w:pPr>
        <w:spacing w:after="0" w:line="240" w:lineRule="auto"/>
        <w:contextualSpacing/>
        <w:jc w:val="both"/>
        <w:rPr>
          <w:rFonts w:ascii="Verdana" w:hAnsi="Verdana"/>
          <w:lang w:val="es-MX"/>
        </w:rPr>
      </w:pPr>
    </w:p>
    <w:p w14:paraId="6BF78B2B" w14:textId="77777777" w:rsidR="00B37198" w:rsidRDefault="00B37198" w:rsidP="00B37198">
      <w:pPr>
        <w:spacing w:after="0" w:line="240" w:lineRule="auto"/>
        <w:contextualSpacing/>
        <w:jc w:val="both"/>
        <w:rPr>
          <w:rFonts w:ascii="Verdana" w:hAnsi="Verdana"/>
          <w:lang w:val="es-MX"/>
        </w:rPr>
      </w:pPr>
    </w:p>
    <w:p w14:paraId="12A2E6F0" w14:textId="77777777" w:rsidR="00B37198" w:rsidRDefault="00B37198" w:rsidP="00B37198">
      <w:pPr>
        <w:spacing w:after="0" w:line="240" w:lineRule="auto"/>
        <w:contextualSpacing/>
        <w:jc w:val="both"/>
        <w:rPr>
          <w:rFonts w:ascii="Verdana" w:hAnsi="Verdana"/>
          <w:lang w:val="es-MX"/>
        </w:rPr>
      </w:pPr>
    </w:p>
    <w:p w14:paraId="0E823179" w14:textId="77777777" w:rsidR="00B37198" w:rsidRDefault="00B37198" w:rsidP="00B37198">
      <w:pPr>
        <w:spacing w:after="0" w:line="240" w:lineRule="auto"/>
        <w:contextualSpacing/>
        <w:jc w:val="both"/>
        <w:rPr>
          <w:rFonts w:ascii="Verdana" w:hAnsi="Verdana"/>
          <w:lang w:val="es-MX"/>
        </w:rPr>
      </w:pPr>
    </w:p>
    <w:p w14:paraId="33B0AFD9" w14:textId="52CDA7F3" w:rsidR="00B37198" w:rsidRPr="00A3135D" w:rsidRDefault="00B37198" w:rsidP="00B37198">
      <w:pPr>
        <w:spacing w:after="0" w:line="240" w:lineRule="auto"/>
        <w:contextualSpacing/>
        <w:jc w:val="both"/>
        <w:rPr>
          <w:rFonts w:ascii="Verdana" w:eastAsia="Times New Roman" w:hAnsi="Verdana" w:cs="Arial"/>
          <w:lang w:eastAsia="es-ES"/>
        </w:rPr>
      </w:pPr>
      <w:r w:rsidRPr="00A3135D">
        <w:rPr>
          <w:rFonts w:ascii="Verdana" w:hAnsi="Verdana"/>
        </w:rPr>
        <w:lastRenderedPageBreak/>
        <w:t xml:space="preserve">Bogotá D.C., </w:t>
      </w:r>
      <w:r w:rsidR="00A3135D" w:rsidRPr="00A3135D">
        <w:rPr>
          <w:rFonts w:ascii="Verdana" w:hAnsi="Verdana"/>
        </w:rPr>
        <w:t>5 de ener</w:t>
      </w:r>
      <w:r w:rsidR="00A3135D">
        <w:rPr>
          <w:rFonts w:ascii="Verdana" w:hAnsi="Verdana"/>
        </w:rPr>
        <w:t>o de 2026</w:t>
      </w:r>
    </w:p>
    <w:p w14:paraId="1C56D6D9" w14:textId="77777777" w:rsidR="00B37198" w:rsidRPr="00A3135D" w:rsidRDefault="00B37198" w:rsidP="00B37198">
      <w:pPr>
        <w:spacing w:after="0" w:line="240" w:lineRule="auto"/>
        <w:jc w:val="right"/>
        <w:rPr>
          <w:rFonts w:ascii="Verdana" w:hAnsi="Verdana" w:cs="Arial"/>
          <w:color w:val="000000"/>
        </w:rPr>
      </w:pPr>
    </w:p>
    <w:p w14:paraId="4A7D1374" w14:textId="35E1BBD8" w:rsidR="00B37198" w:rsidRDefault="00B37198" w:rsidP="00A3135D">
      <w:pPr>
        <w:spacing w:after="0" w:line="240" w:lineRule="auto"/>
        <w:jc w:val="right"/>
        <w:rPr>
          <w:rFonts w:ascii="Verdana" w:hAnsi="Verdana" w:cs="Arial"/>
          <w:lang w:eastAsia="es-ES"/>
        </w:rPr>
      </w:pPr>
    </w:p>
    <w:p w14:paraId="0A46018B" w14:textId="2FF023DD" w:rsidR="00A3135D" w:rsidRDefault="00B84259" w:rsidP="00B37198">
      <w:pPr>
        <w:spacing w:after="0" w:line="240" w:lineRule="auto"/>
        <w:jc w:val="both"/>
        <w:rPr>
          <w:rFonts w:ascii="Verdana" w:hAnsi="Verdana" w:cs="Arial"/>
          <w:lang w:eastAsia="es-ES"/>
        </w:rPr>
      </w:pPr>
      <w:r w:rsidRPr="00A3135D">
        <w:rPr>
          <w:rFonts w:ascii="Verdana" w:hAnsi="Verdana" w:cs="Arial"/>
          <w:noProof/>
          <w:lang w:eastAsia="es-ES"/>
        </w:rPr>
        <w:drawing>
          <wp:anchor distT="0" distB="0" distL="114300" distR="114300" simplePos="0" relativeHeight="251658240" behindDoc="0" locked="0" layoutInCell="1" allowOverlap="1" wp14:anchorId="0E64C0B5" wp14:editId="4329D7D0">
            <wp:simplePos x="0" y="0"/>
            <wp:positionH relativeFrom="margin">
              <wp:align>right</wp:align>
            </wp:positionH>
            <wp:positionV relativeFrom="paragraph">
              <wp:posOffset>5742</wp:posOffset>
            </wp:positionV>
            <wp:extent cx="2686050" cy="753745"/>
            <wp:effectExtent l="0" t="0" r="0" b="8255"/>
            <wp:wrapSquare wrapText="bothSides"/>
            <wp:docPr id="11197413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74133" name="Imagen 1" descr="Texto&#10;&#10;El contenido generado por IA puede ser incorrecto."/>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86050" cy="753745"/>
                    </a:xfrm>
                    <a:prstGeom prst="rect">
                      <a:avLst/>
                    </a:prstGeom>
                  </pic:spPr>
                </pic:pic>
              </a:graphicData>
            </a:graphic>
            <wp14:sizeRelH relativeFrom="margin">
              <wp14:pctWidth>0</wp14:pctWidth>
            </wp14:sizeRelH>
            <wp14:sizeRelV relativeFrom="margin">
              <wp14:pctHeight>0</wp14:pctHeight>
            </wp14:sizeRelV>
          </wp:anchor>
        </w:drawing>
      </w:r>
    </w:p>
    <w:p w14:paraId="3B603410" w14:textId="78485732" w:rsidR="00B37198" w:rsidRPr="00A869FE" w:rsidRDefault="00B37198" w:rsidP="00B37198">
      <w:pPr>
        <w:spacing w:after="0" w:line="240" w:lineRule="auto"/>
        <w:jc w:val="both"/>
        <w:rPr>
          <w:rFonts w:ascii="Verdana" w:hAnsi="Verdana" w:cs="Arial"/>
          <w:lang w:eastAsia="es-ES"/>
        </w:rPr>
      </w:pPr>
      <w:r>
        <w:rPr>
          <w:rFonts w:ascii="Verdana" w:hAnsi="Verdana" w:cs="Arial"/>
          <w:lang w:eastAsia="es-ES"/>
        </w:rPr>
        <w:t xml:space="preserve">Señor </w:t>
      </w:r>
    </w:p>
    <w:p w14:paraId="74BA2B5E" w14:textId="77777777" w:rsidR="00B37198" w:rsidRPr="00B37198" w:rsidRDefault="00B37198" w:rsidP="00B37198">
      <w:pPr>
        <w:spacing w:after="0" w:line="240" w:lineRule="auto"/>
        <w:jc w:val="both"/>
        <w:rPr>
          <w:rFonts w:ascii="Verdana" w:hAnsi="Verdana" w:cs="Arial"/>
          <w:b/>
          <w:bCs/>
          <w:lang w:eastAsia="es-ES"/>
        </w:rPr>
      </w:pPr>
      <w:r w:rsidRPr="00071F29">
        <w:rPr>
          <w:rFonts w:ascii="Verdana" w:hAnsi="Verdana" w:cs="Arial"/>
          <w:b/>
          <w:bCs/>
          <w:lang w:eastAsia="es-ES"/>
        </w:rPr>
        <w:t>German Arrieta Gutiérrez</w:t>
      </w:r>
    </w:p>
    <w:p w14:paraId="251EA205" w14:textId="77777777" w:rsidR="00B37198" w:rsidRPr="00B37198" w:rsidRDefault="00B37198" w:rsidP="00B37198">
      <w:pPr>
        <w:spacing w:after="0" w:line="240" w:lineRule="auto"/>
        <w:jc w:val="both"/>
        <w:rPr>
          <w:rFonts w:ascii="Verdana" w:hAnsi="Verdana" w:cs="Arial"/>
          <w:lang w:eastAsia="es-ES"/>
        </w:rPr>
      </w:pPr>
      <w:hyperlink r:id="rId11" w:history="1">
        <w:r w:rsidRPr="00B37198">
          <w:rPr>
            <w:rStyle w:val="Hipervnculo"/>
            <w:rFonts w:ascii="Verdana" w:hAnsi="Verdana" w:cs="Arial"/>
            <w:lang w:eastAsia="es-ES"/>
          </w:rPr>
          <w:t>ge.ar.gu@hotmail.com</w:t>
        </w:r>
      </w:hyperlink>
      <w:r w:rsidRPr="00B37198">
        <w:rPr>
          <w:rFonts w:ascii="Verdana" w:hAnsi="Verdana" w:cs="Arial"/>
          <w:lang w:eastAsia="es-ES"/>
        </w:rPr>
        <w:t xml:space="preserve"> </w:t>
      </w:r>
    </w:p>
    <w:p w14:paraId="233A70CF" w14:textId="77777777" w:rsidR="00B37198" w:rsidRPr="00D76B1A" w:rsidRDefault="00B37198" w:rsidP="00B37198">
      <w:pPr>
        <w:spacing w:after="0" w:line="240" w:lineRule="auto"/>
        <w:jc w:val="both"/>
        <w:rPr>
          <w:rFonts w:ascii="Verdana" w:hAnsi="Verdana" w:cs="Arial"/>
          <w:lang w:val="en-US" w:eastAsia="es-ES"/>
        </w:rPr>
      </w:pPr>
      <w:r w:rsidRPr="00D76B1A">
        <w:rPr>
          <w:rFonts w:ascii="Verdana" w:hAnsi="Verdana" w:cs="Arial"/>
          <w:lang w:val="en-US" w:eastAsia="es-ES"/>
        </w:rPr>
        <w:t>B</w:t>
      </w:r>
      <w:r>
        <w:rPr>
          <w:rFonts w:ascii="Verdana" w:hAnsi="Verdana" w:cs="Arial"/>
          <w:lang w:val="en-US" w:eastAsia="es-ES"/>
        </w:rPr>
        <w:t>ogotá, D.C.</w:t>
      </w:r>
    </w:p>
    <w:p w14:paraId="14068A9F" w14:textId="77777777" w:rsidR="00B37198" w:rsidRPr="00D76B1A" w:rsidRDefault="00B37198" w:rsidP="00B37198">
      <w:pPr>
        <w:spacing w:after="0" w:line="240" w:lineRule="auto"/>
        <w:rPr>
          <w:rFonts w:ascii="Verdana" w:hAnsi="Verdana" w:cs="Arial"/>
          <w:b/>
          <w:bCs/>
          <w:color w:val="000000"/>
          <w:lang w:val="en-US" w:eastAsia="es-ES_tradnl"/>
        </w:rPr>
      </w:pPr>
    </w:p>
    <w:p w14:paraId="5A00ABEF" w14:textId="77777777" w:rsidR="00B37198" w:rsidRPr="00D76B1A" w:rsidRDefault="00B37198" w:rsidP="00B37198">
      <w:pPr>
        <w:spacing w:after="0" w:line="240" w:lineRule="auto"/>
        <w:rPr>
          <w:rFonts w:ascii="Verdana" w:hAnsi="Verdana" w:cs="Arial"/>
          <w:b/>
          <w:bCs/>
          <w:color w:val="000000"/>
          <w:lang w:val="en-US"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B37198" w:rsidRPr="00A869FE" w14:paraId="6C6A7917" w14:textId="77777777" w:rsidTr="00093697">
        <w:trPr>
          <w:trHeight w:val="633"/>
        </w:trPr>
        <w:tc>
          <w:tcPr>
            <w:tcW w:w="2689" w:type="dxa"/>
          </w:tcPr>
          <w:p w14:paraId="66D0D62D" w14:textId="77777777" w:rsidR="00B37198" w:rsidRPr="00D76B1A" w:rsidRDefault="00B37198" w:rsidP="00093697">
            <w:pPr>
              <w:jc w:val="both"/>
              <w:rPr>
                <w:rFonts w:ascii="Verdana" w:hAnsi="Verdana" w:cs="Arial"/>
                <w:b/>
                <w:bCs/>
                <w:color w:val="7030A0"/>
                <w:lang w:val="en-US" w:eastAsia="es-ES_tradnl"/>
              </w:rPr>
            </w:pPr>
          </w:p>
        </w:tc>
        <w:tc>
          <w:tcPr>
            <w:tcW w:w="6100" w:type="dxa"/>
          </w:tcPr>
          <w:p w14:paraId="74B55AD4" w14:textId="77777777" w:rsidR="00B37198" w:rsidRPr="00A869FE" w:rsidRDefault="00B37198" w:rsidP="00093697">
            <w:pPr>
              <w:jc w:val="both"/>
              <w:rPr>
                <w:rFonts w:ascii="Verdana" w:hAnsi="Verdana" w:cs="Arial"/>
                <w:b/>
                <w:bCs/>
                <w:color w:val="7030A0"/>
                <w:lang w:eastAsia="es-ES"/>
              </w:rPr>
            </w:pPr>
            <w:r w:rsidRPr="00A869FE">
              <w:rPr>
                <w:rFonts w:ascii="Verdana" w:hAnsi="Verdana" w:cs="Arial"/>
                <w:b/>
                <w:bCs/>
                <w:lang w:eastAsia="es-ES"/>
              </w:rPr>
              <w:t>Concepto C – 1</w:t>
            </w:r>
            <w:r>
              <w:rPr>
                <w:rFonts w:ascii="Verdana" w:hAnsi="Verdana" w:cs="Arial"/>
                <w:b/>
                <w:bCs/>
                <w:lang w:eastAsia="es-ES"/>
              </w:rPr>
              <w:t>769</w:t>
            </w:r>
            <w:r w:rsidRPr="00A869FE">
              <w:rPr>
                <w:rFonts w:ascii="Verdana" w:hAnsi="Verdana" w:cs="Arial"/>
                <w:b/>
                <w:bCs/>
                <w:lang w:eastAsia="es-ES"/>
              </w:rPr>
              <w:t xml:space="preserve"> de 2025</w:t>
            </w:r>
          </w:p>
        </w:tc>
      </w:tr>
      <w:tr w:rsidR="00B37198" w:rsidRPr="00A869FE" w14:paraId="570404A2" w14:textId="77777777" w:rsidTr="00093697">
        <w:trPr>
          <w:trHeight w:val="884"/>
        </w:trPr>
        <w:tc>
          <w:tcPr>
            <w:tcW w:w="2689" w:type="dxa"/>
          </w:tcPr>
          <w:p w14:paraId="4BB44DC8" w14:textId="77777777" w:rsidR="00B37198" w:rsidRPr="00A869FE" w:rsidRDefault="00B37198" w:rsidP="00093697">
            <w:pPr>
              <w:jc w:val="both"/>
              <w:rPr>
                <w:rFonts w:ascii="Verdana" w:hAnsi="Verdana" w:cs="Arial"/>
                <w:color w:val="000000"/>
                <w:lang w:eastAsia="es-ES_tradnl"/>
              </w:rPr>
            </w:pPr>
            <w:r w:rsidRPr="00A869FE">
              <w:rPr>
                <w:rFonts w:ascii="Verdana" w:hAnsi="Verdana" w:cs="Arial"/>
                <w:b/>
                <w:color w:val="000000"/>
                <w:lang w:eastAsia="es-ES_tradnl"/>
              </w:rPr>
              <w:t>Temas:</w:t>
            </w:r>
            <w:r w:rsidRPr="00A869FE">
              <w:rPr>
                <w:rFonts w:ascii="Verdana" w:hAnsi="Verdana" w:cs="Arial"/>
                <w:color w:val="000000"/>
                <w:lang w:eastAsia="es-ES_tradnl"/>
              </w:rPr>
              <w:t xml:space="preserve">                   </w:t>
            </w:r>
          </w:p>
        </w:tc>
        <w:tc>
          <w:tcPr>
            <w:tcW w:w="6100" w:type="dxa"/>
          </w:tcPr>
          <w:p w14:paraId="5F18D72F" w14:textId="77777777" w:rsidR="00B37198" w:rsidRPr="00CA10EF" w:rsidRDefault="00B37198" w:rsidP="00093697">
            <w:pPr>
              <w:jc w:val="both"/>
            </w:pPr>
            <w:r w:rsidRPr="00CA10EF">
              <w:rPr>
                <w:rFonts w:ascii="Verdana" w:eastAsia="Calibri" w:hAnsi="Verdana" w:cs="Arial"/>
                <w:lang w:val="es-ES" w:eastAsia="es-ES"/>
              </w:rPr>
              <w:t>CONTRATACIÓN ESTATAL – Contrato de prestación de servicios</w:t>
            </w:r>
            <w:r>
              <w:rPr>
                <w:rFonts w:ascii="Verdana" w:eastAsia="Calibri" w:hAnsi="Verdana" w:cs="Arial"/>
                <w:lang w:val="es-ES" w:eastAsia="es-ES"/>
              </w:rPr>
              <w:t xml:space="preserve"> / </w:t>
            </w:r>
            <w:r w:rsidRPr="00CA10EF">
              <w:rPr>
                <w:rFonts w:ascii="Verdana" w:eastAsia="Calibri" w:hAnsi="Verdana" w:cs="Arial"/>
                <w:lang w:val="es-ES" w:eastAsia="es-ES"/>
              </w:rPr>
              <w:t>PENSIONADO POR INVALIDEZ – Capacidad para contratar con el Estado</w:t>
            </w:r>
            <w:r>
              <w:rPr>
                <w:rFonts w:ascii="Verdana" w:eastAsia="Calibri" w:hAnsi="Verdana" w:cs="Arial"/>
                <w:lang w:val="es-ES" w:eastAsia="es-ES"/>
              </w:rPr>
              <w:t xml:space="preserve"> </w:t>
            </w:r>
            <w:r w:rsidRPr="00CA10EF">
              <w:rPr>
                <w:rFonts w:ascii="Verdana" w:eastAsia="Calibri" w:hAnsi="Verdana" w:cs="Arial"/>
                <w:lang w:val="es-ES" w:eastAsia="es-ES"/>
              </w:rPr>
              <w:t>–</w:t>
            </w:r>
            <w:r>
              <w:rPr>
                <w:rFonts w:ascii="Verdana" w:eastAsia="Calibri" w:hAnsi="Verdana" w:cs="Arial"/>
                <w:lang w:val="es-ES" w:eastAsia="es-ES"/>
              </w:rPr>
              <w:t xml:space="preserve"> Inexistencia de doble asignación del tesoro público / </w:t>
            </w:r>
            <w:r w:rsidRPr="00CA10EF">
              <w:rPr>
                <w:rFonts w:ascii="Verdana" w:eastAsia="Calibri" w:hAnsi="Verdana" w:cs="Arial"/>
                <w:lang w:val="es-ES" w:eastAsia="es-ES"/>
              </w:rPr>
              <w:t>CONTRATO DE PRESTACIÓN DE SERVICIOS – Prevención del contrato realidad</w:t>
            </w:r>
            <w:r>
              <w:rPr>
                <w:rFonts w:ascii="Verdana" w:eastAsia="Calibri" w:hAnsi="Verdana" w:cs="Arial"/>
                <w:lang w:val="es-ES" w:eastAsia="es-ES"/>
              </w:rPr>
              <w:t xml:space="preserve"> </w:t>
            </w:r>
            <w:r w:rsidRPr="00CA10EF">
              <w:rPr>
                <w:rFonts w:ascii="Verdana" w:eastAsia="Calibri" w:hAnsi="Verdana" w:cs="Arial"/>
                <w:lang w:val="es-ES" w:eastAsia="es-ES"/>
              </w:rPr>
              <w:t xml:space="preserve">– </w:t>
            </w:r>
            <w:r w:rsidRPr="00F32617">
              <w:rPr>
                <w:rFonts w:ascii="Verdana" w:eastAsia="Calibri" w:hAnsi="Verdana" w:cs="Arial"/>
                <w:lang w:val="es-ES" w:eastAsia="es-ES"/>
              </w:rPr>
              <w:t>Deber de verificación durante la ejecución contractual</w:t>
            </w:r>
            <w:r>
              <w:rPr>
                <w:rFonts w:ascii="Verdana" w:eastAsia="Calibri" w:hAnsi="Verdana" w:cs="Arial"/>
                <w:lang w:val="es-ES" w:eastAsia="es-ES"/>
              </w:rPr>
              <w:t xml:space="preserve"> / </w:t>
            </w:r>
            <w:r w:rsidRPr="00CA10EF">
              <w:rPr>
                <w:rFonts w:ascii="Verdana" w:eastAsia="Calibri" w:hAnsi="Verdana" w:cs="Arial"/>
                <w:lang w:val="es-ES" w:eastAsia="es-ES"/>
              </w:rPr>
              <w:t>SEGURIDAD SOCIAL – Obligaciones de los contratistas del Estado</w:t>
            </w:r>
          </w:p>
        </w:tc>
      </w:tr>
      <w:tr w:rsidR="00B37198" w:rsidRPr="00A869FE" w14:paraId="4A6462FC" w14:textId="77777777" w:rsidTr="00093697">
        <w:tc>
          <w:tcPr>
            <w:tcW w:w="2689" w:type="dxa"/>
          </w:tcPr>
          <w:p w14:paraId="50329D88" w14:textId="77777777" w:rsidR="00B37198" w:rsidRPr="00A869FE" w:rsidRDefault="00B37198" w:rsidP="00093697">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40D24CB6" w14:textId="77777777" w:rsidR="00B37198" w:rsidRPr="0087731B" w:rsidRDefault="00B37198" w:rsidP="00093697">
            <w:pPr>
              <w:spacing w:line="276" w:lineRule="auto"/>
              <w:jc w:val="both"/>
              <w:rPr>
                <w:rFonts w:ascii="Verdana" w:hAnsi="Verdana" w:cs="Arial"/>
                <w:lang w:eastAsia="es-ES_tradnl"/>
              </w:rPr>
            </w:pPr>
            <w:r w:rsidRPr="00A869FE">
              <w:rPr>
                <w:rFonts w:ascii="Verdana" w:hAnsi="Verdana" w:cs="Arial"/>
                <w:lang w:eastAsia="es-ES_tradnl"/>
              </w:rPr>
              <w:t xml:space="preserve">Respuesta a la consulta con radicado No. </w:t>
            </w:r>
            <w:r w:rsidRPr="003C69C3">
              <w:rPr>
                <w:rFonts w:ascii="Verdana" w:hAnsi="Verdana" w:cs="Arial"/>
                <w:lang w:eastAsia="es-ES_tradnl"/>
              </w:rPr>
              <w:t>1_2025_11_26_013399</w:t>
            </w:r>
          </w:p>
          <w:p w14:paraId="5ED5C7F1" w14:textId="77777777" w:rsidR="00B37198" w:rsidRPr="00A869FE" w:rsidRDefault="00B37198" w:rsidP="00093697">
            <w:pPr>
              <w:spacing w:line="276" w:lineRule="auto"/>
              <w:jc w:val="both"/>
              <w:rPr>
                <w:rFonts w:ascii="Verdana" w:hAnsi="Verdana" w:cs="Arial"/>
                <w:lang w:eastAsia="es-ES_tradnl"/>
              </w:rPr>
            </w:pPr>
          </w:p>
        </w:tc>
      </w:tr>
    </w:tbl>
    <w:p w14:paraId="08362FBF" w14:textId="77777777" w:rsidR="00B37198" w:rsidRPr="00A869FE" w:rsidRDefault="00B37198" w:rsidP="00B37198">
      <w:pPr>
        <w:spacing w:after="0" w:line="240" w:lineRule="auto"/>
        <w:jc w:val="both"/>
        <w:rPr>
          <w:rFonts w:ascii="Verdana" w:hAnsi="Verdana" w:cs="Arial"/>
          <w:color w:val="000000"/>
          <w:lang w:eastAsia="es-ES_tradnl"/>
        </w:rPr>
      </w:pPr>
    </w:p>
    <w:p w14:paraId="21D26FD5" w14:textId="77777777" w:rsidR="00B37198" w:rsidRPr="00A869FE" w:rsidRDefault="00B37198" w:rsidP="00B37198">
      <w:pPr>
        <w:spacing w:after="0" w:line="276" w:lineRule="auto"/>
        <w:jc w:val="both"/>
        <w:rPr>
          <w:rFonts w:ascii="Verdana" w:hAnsi="Verdana" w:cs="Arial"/>
          <w:lang w:eastAsia="es-ES"/>
        </w:rPr>
      </w:pPr>
      <w:r w:rsidRPr="00A869FE">
        <w:rPr>
          <w:rFonts w:ascii="Verdana" w:hAnsi="Verdana" w:cs="Arial"/>
          <w:lang w:eastAsia="es-ES"/>
        </w:rPr>
        <w:t>Estimad</w:t>
      </w:r>
      <w:r>
        <w:rPr>
          <w:rFonts w:ascii="Verdana" w:hAnsi="Verdana" w:cs="Arial"/>
          <w:lang w:eastAsia="es-ES"/>
        </w:rPr>
        <w:t xml:space="preserve">o señor </w:t>
      </w:r>
      <w:r w:rsidRPr="003C69C3">
        <w:rPr>
          <w:rFonts w:ascii="Verdana" w:hAnsi="Verdana" w:cs="Arial"/>
          <w:lang w:eastAsia="es-ES"/>
        </w:rPr>
        <w:t>Arrieta Gutiérrez</w:t>
      </w:r>
      <w:r w:rsidRPr="00A869FE">
        <w:rPr>
          <w:rFonts w:ascii="Verdana" w:hAnsi="Verdana" w:cs="Arial"/>
          <w:lang w:eastAsia="es-ES"/>
        </w:rPr>
        <w:t>:</w:t>
      </w:r>
    </w:p>
    <w:p w14:paraId="2118EFC2" w14:textId="77777777" w:rsidR="00B37198" w:rsidRPr="00A869FE" w:rsidRDefault="00B37198" w:rsidP="00B37198">
      <w:pPr>
        <w:tabs>
          <w:tab w:val="left" w:pos="3768"/>
        </w:tabs>
        <w:spacing w:after="0" w:line="276" w:lineRule="auto"/>
        <w:jc w:val="both"/>
        <w:rPr>
          <w:rFonts w:ascii="Verdana" w:hAnsi="Verdana" w:cs="Arial"/>
          <w:color w:val="000000" w:themeColor="text1"/>
          <w:lang w:eastAsia="es-ES"/>
        </w:rPr>
      </w:pPr>
      <w:r w:rsidRPr="00A869FE">
        <w:rPr>
          <w:rFonts w:ascii="Verdana" w:hAnsi="Verdana" w:cs="Arial"/>
          <w:color w:val="000000" w:themeColor="text1"/>
          <w:lang w:eastAsia="es-ES"/>
        </w:rPr>
        <w:tab/>
      </w:r>
    </w:p>
    <w:p w14:paraId="54B2B3DA" w14:textId="77777777" w:rsidR="00B37198" w:rsidRPr="002034D9" w:rsidRDefault="00B37198" w:rsidP="00B37198">
      <w:pPr>
        <w:spacing w:after="0" w:line="276" w:lineRule="auto"/>
        <w:jc w:val="both"/>
        <w:rPr>
          <w:rFonts w:ascii="Verdana" w:hAnsi="Verdana" w:cs="Arial"/>
          <w:lang w:eastAsia="es-ES"/>
        </w:rPr>
      </w:pPr>
      <w:r w:rsidRPr="00A869FE">
        <w:rPr>
          <w:rFonts w:ascii="Verdana" w:hAnsi="Verdana" w:cs="Arial"/>
          <w:color w:val="000000" w:themeColor="text1"/>
          <w:lang w:eastAsia="es-ES"/>
        </w:rPr>
        <w:t>En ejercicio de la competencia otorgada por los artículos 3, numeral 5º, y 11, numeral 8º, del Decreto Ley 4170 de 2011,</w:t>
      </w:r>
      <w:r w:rsidRPr="00A869FE">
        <w:rPr>
          <w:rFonts w:ascii="Verdana" w:eastAsia="Arial MT" w:hAnsi="Verdana" w:cs="Arial MT"/>
          <w:lang w:eastAsia="es-ES"/>
        </w:rPr>
        <w:t xml:space="preserve"> </w:t>
      </w:r>
      <w:r w:rsidRPr="00A869FE">
        <w:rPr>
          <w:rFonts w:ascii="Verdana" w:hAnsi="Verdana" w:cs="Arial"/>
        </w:rPr>
        <w:t xml:space="preserve">así como lo establecido en la Resolución 469 de 2025 expedida por esta Entidad, </w:t>
      </w:r>
      <w:r w:rsidRPr="00A869FE">
        <w:rPr>
          <w:rFonts w:ascii="Verdana" w:hAnsi="Verdana" w:cs="Arial"/>
          <w:color w:val="000000" w:themeColor="text1"/>
          <w:lang w:eastAsia="es-ES"/>
        </w:rPr>
        <w:t xml:space="preserve">la Agencia Nacional de Contratación Pública – Colombia Compra Eficiente </w:t>
      </w:r>
      <w:r w:rsidRPr="00593A5F">
        <w:rPr>
          <w:rFonts w:ascii="Verdana" w:eastAsia="Calibri" w:hAnsi="Verdana" w:cs="Arial"/>
          <w:color w:val="000000" w:themeColor="text1"/>
          <w:lang w:val="es-ES" w:eastAsia="es-ES"/>
        </w:rPr>
        <w:t>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21 de noviembre de 2025 al </w:t>
      </w:r>
      <w:r>
        <w:rPr>
          <w:rFonts w:ascii="Verdana" w:hAnsi="Verdana" w:cs="Arial"/>
          <w:color w:val="000000" w:themeColor="text1"/>
          <w:lang w:eastAsia="es-ES"/>
        </w:rPr>
        <w:t>Departamento Administrativo de la Función Pública – DAFP</w:t>
      </w:r>
      <w:r w:rsidRPr="008E6AD9">
        <w:rPr>
          <w:rFonts w:ascii="Verdana" w:eastAsia="Calibri" w:hAnsi="Verdana" w:cs="Arial"/>
          <w:lang w:val="es-ES" w:eastAsia="es-ES"/>
        </w:rPr>
        <w:t>,</w:t>
      </w:r>
      <w:r>
        <w:rPr>
          <w:rFonts w:ascii="Verdana" w:eastAsia="Calibri" w:hAnsi="Verdana" w:cs="Arial"/>
          <w:lang w:val="es-ES" w:eastAsia="es-ES"/>
        </w:rPr>
        <w:t xml:space="preserve"> la cual –conforme al artículo 21 de la Ley 1437 de 2011– fue remitida por competencia a esta entidad mediante correo electrónico del 26 de noviembre de 2025, donde pregunta lo siguiente</w:t>
      </w:r>
      <w:r w:rsidRPr="008E6AD9">
        <w:rPr>
          <w:rFonts w:ascii="Verdana" w:eastAsia="Calibri" w:hAnsi="Verdana" w:cs="Arial"/>
          <w:lang w:val="es-ES" w:eastAsia="es-ES"/>
        </w:rPr>
        <w:t>:</w:t>
      </w:r>
    </w:p>
    <w:p w14:paraId="66AA8BE2" w14:textId="77777777" w:rsidR="00B37198" w:rsidRPr="00A869FE" w:rsidRDefault="00B37198" w:rsidP="00B37198">
      <w:pPr>
        <w:tabs>
          <w:tab w:val="left" w:pos="142"/>
          <w:tab w:val="left" w:pos="284"/>
        </w:tabs>
        <w:spacing w:after="0" w:line="276" w:lineRule="auto"/>
        <w:contextualSpacing/>
        <w:jc w:val="both"/>
        <w:rPr>
          <w:rFonts w:ascii="Verdana" w:eastAsia="Century Gothic" w:hAnsi="Verdana" w:cs="Century Gothic"/>
          <w:b/>
          <w:bCs/>
        </w:rPr>
      </w:pPr>
    </w:p>
    <w:p w14:paraId="37C54733" w14:textId="77777777" w:rsidR="00B37198" w:rsidRPr="00A869FE" w:rsidRDefault="00B37198" w:rsidP="00B37198">
      <w:pPr>
        <w:spacing w:after="0" w:line="240" w:lineRule="auto"/>
        <w:ind w:left="709" w:right="709"/>
        <w:jc w:val="both"/>
        <w:rPr>
          <w:rFonts w:ascii="Verdana" w:hAnsi="Verdana"/>
          <w:sz w:val="20"/>
          <w:szCs w:val="20"/>
        </w:rPr>
      </w:pPr>
      <w:bookmarkStart w:id="1" w:name="_Hlk95313578"/>
      <w:r w:rsidRPr="00A869FE">
        <w:rPr>
          <w:rFonts w:ascii="Verdana" w:eastAsia="Century Gothic" w:hAnsi="Verdana" w:cs="Century Gothic"/>
          <w:sz w:val="20"/>
          <w:szCs w:val="20"/>
        </w:rPr>
        <w:t>“</w:t>
      </w:r>
      <w:bookmarkEnd w:id="1"/>
      <w:r>
        <w:rPr>
          <w:rFonts w:ascii="Verdana" w:eastAsia="Century Gothic" w:hAnsi="Verdana" w:cs="Century Gothic"/>
          <w:sz w:val="20"/>
          <w:szCs w:val="20"/>
        </w:rPr>
        <w:t xml:space="preserve">[…] </w:t>
      </w:r>
      <w:r w:rsidRPr="00472F49">
        <w:rPr>
          <w:rFonts w:ascii="Verdana" w:eastAsia="Century Gothic" w:hAnsi="Verdana" w:cs="Century Gothic"/>
          <w:sz w:val="20"/>
          <w:szCs w:val="20"/>
        </w:rPr>
        <w:t>Puede un pensionado por invalidez,</w:t>
      </w:r>
      <w:r>
        <w:rPr>
          <w:rFonts w:ascii="Verdana" w:eastAsia="Century Gothic" w:hAnsi="Verdana" w:cs="Century Gothic"/>
          <w:sz w:val="20"/>
          <w:szCs w:val="20"/>
        </w:rPr>
        <w:t xml:space="preserve"> </w:t>
      </w:r>
      <w:r w:rsidRPr="00472F49">
        <w:rPr>
          <w:rFonts w:ascii="Verdana" w:eastAsia="Century Gothic" w:hAnsi="Verdana" w:cs="Century Gothic"/>
          <w:sz w:val="20"/>
          <w:szCs w:val="20"/>
        </w:rPr>
        <w:t>contratar con una entidad pública, mediante la modalidad de orden de prestación de servicio,</w:t>
      </w:r>
      <w:r>
        <w:rPr>
          <w:rFonts w:ascii="Verdana" w:eastAsia="Century Gothic" w:hAnsi="Verdana" w:cs="Century Gothic"/>
          <w:sz w:val="20"/>
          <w:szCs w:val="20"/>
        </w:rPr>
        <w:t xml:space="preserve"> </w:t>
      </w:r>
      <w:r w:rsidRPr="00472F49">
        <w:rPr>
          <w:rFonts w:ascii="Verdana" w:eastAsia="Century Gothic" w:hAnsi="Verdana" w:cs="Century Gothic"/>
          <w:sz w:val="20"/>
          <w:szCs w:val="20"/>
        </w:rPr>
        <w:t>sin perder el derecho a recibir en su totalidad su mesada pensional</w:t>
      </w:r>
      <w:r w:rsidRPr="00EE64CB">
        <w:rPr>
          <w:rFonts w:ascii="Verdana" w:eastAsia="Century Gothic" w:hAnsi="Verdana" w:cs="Century Gothic"/>
          <w:sz w:val="20"/>
          <w:szCs w:val="20"/>
        </w:rPr>
        <w:t>.</w:t>
      </w:r>
      <w:r w:rsidRPr="00A869FE">
        <w:rPr>
          <w:rFonts w:ascii="Verdana" w:hAnsi="Verdana"/>
          <w:sz w:val="20"/>
          <w:szCs w:val="20"/>
        </w:rPr>
        <w:t>”</w:t>
      </w:r>
    </w:p>
    <w:p w14:paraId="26495129" w14:textId="77777777" w:rsidR="00B37198" w:rsidRPr="00A869FE" w:rsidRDefault="00B37198" w:rsidP="00B37198">
      <w:pPr>
        <w:tabs>
          <w:tab w:val="left" w:pos="142"/>
          <w:tab w:val="left" w:pos="284"/>
        </w:tabs>
        <w:spacing w:after="0" w:line="276" w:lineRule="auto"/>
        <w:contextualSpacing/>
        <w:jc w:val="both"/>
        <w:rPr>
          <w:rFonts w:ascii="Verdana" w:eastAsia="Century Gothic" w:hAnsi="Verdana" w:cs="Century Gothic"/>
          <w:b/>
          <w:bCs/>
        </w:rPr>
      </w:pPr>
    </w:p>
    <w:p w14:paraId="65BB5F5E" w14:textId="77777777" w:rsidR="00B37198" w:rsidRPr="00A869FE" w:rsidRDefault="00B37198" w:rsidP="00B37198">
      <w:pPr>
        <w:spacing w:after="120" w:line="276" w:lineRule="auto"/>
        <w:ind w:firstLine="709"/>
        <w:jc w:val="both"/>
        <w:rPr>
          <w:rFonts w:ascii="Verdana" w:hAnsi="Verdana" w:cs="Arial"/>
          <w:color w:val="000000"/>
          <w:lang w:eastAsia="es-ES"/>
        </w:rPr>
      </w:pPr>
      <w:r w:rsidRPr="00A869FE">
        <w:rPr>
          <w:rFonts w:ascii="Verdana" w:hAnsi="Verdana" w:cs="Arial"/>
          <w:color w:val="000000" w:themeColor="text1"/>
          <w:lang w:eastAsia="es-ES"/>
        </w:rPr>
        <w:t xml:space="preserve">De manera preliminar, resulta necesario acotar que esta entidad sólo tiene competencia para responder consultas sobre la aplicación de normas de carácter </w:t>
      </w:r>
      <w:r w:rsidRPr="00A869FE">
        <w:rPr>
          <w:rFonts w:ascii="Verdana" w:hAnsi="Verdana" w:cs="Arial"/>
          <w:color w:val="000000" w:themeColor="text1"/>
          <w:lang w:eastAsia="es-ES"/>
        </w:rPr>
        <w:lastRenderedPageBreak/>
        <w:t xml:space="preserve">general en materia de compras y contratación pública. En ese sentido, resolver casos particulares desborda las atribuciones asignadas por el legislador extraordinario, que no concibió a </w:t>
      </w:r>
      <w:r>
        <w:rPr>
          <w:rFonts w:ascii="Verdana" w:hAnsi="Verdana" w:cs="Arial"/>
          <w:color w:val="000000" w:themeColor="text1"/>
          <w:lang w:eastAsia="es-ES"/>
        </w:rPr>
        <w:t xml:space="preserve">la Agencia Nacional de Contratación Pública – </w:t>
      </w:r>
      <w:r w:rsidRPr="00A869FE">
        <w:rPr>
          <w:rFonts w:ascii="Verdana" w:hAnsi="Verdana" w:cs="Arial"/>
          <w:color w:val="000000" w:themeColor="text1"/>
          <w:lang w:eastAsia="es-ES"/>
        </w:rPr>
        <w:t xml:space="preserve">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869FE">
        <w:tab/>
      </w:r>
    </w:p>
    <w:p w14:paraId="6046924E" w14:textId="77777777" w:rsidR="00B37198" w:rsidRPr="00A869FE" w:rsidRDefault="00B37198" w:rsidP="00B37198">
      <w:pPr>
        <w:spacing w:after="0" w:line="276" w:lineRule="auto"/>
        <w:ind w:firstLine="709"/>
        <w:jc w:val="both"/>
        <w:rPr>
          <w:rFonts w:ascii="Verdana" w:hAnsi="Verdana" w:cs="Arial"/>
          <w:color w:val="000000"/>
          <w:lang w:eastAsia="es-ES"/>
        </w:rPr>
      </w:pPr>
      <w:r w:rsidRPr="00A869FE">
        <w:rPr>
          <w:rFonts w:ascii="Verdana"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A869FE">
        <w:rPr>
          <w:rFonts w:ascii="Verdana" w:hAnsi="Verdana" w:cs="Arial"/>
          <w:color w:val="7030A0"/>
          <w:lang w:eastAsia="es-ES"/>
        </w:rPr>
        <w:t xml:space="preserve"> </w:t>
      </w:r>
      <w:r w:rsidRPr="00A869FE">
        <w:rPr>
          <w:rFonts w:ascii="Verdana" w:hAnsi="Verdana" w:cs="Arial"/>
          <w:color w:val="000000"/>
          <w:lang w:eastAsia="es-ES"/>
        </w:rPr>
        <w:t>problema</w:t>
      </w:r>
      <w:r w:rsidRPr="00A869FE">
        <w:rPr>
          <w:rFonts w:ascii="Verdana" w:hAnsi="Verdana" w:cs="Arial"/>
          <w:color w:val="7030A0"/>
          <w:lang w:eastAsia="es-ES"/>
        </w:rPr>
        <w:t xml:space="preserve"> </w:t>
      </w:r>
      <w:r w:rsidRPr="00A869FE">
        <w:rPr>
          <w:rFonts w:ascii="Verdana" w:hAnsi="Verdana" w:cs="Arial"/>
          <w:color w:val="000000"/>
          <w:lang w:eastAsia="es-ES"/>
        </w:rPr>
        <w:t>jurídico</w:t>
      </w:r>
      <w:r w:rsidRPr="00A869FE">
        <w:rPr>
          <w:rFonts w:ascii="Verdana" w:hAnsi="Verdana" w:cs="Arial"/>
          <w:color w:val="7030A0"/>
          <w:lang w:eastAsia="es-ES"/>
        </w:rPr>
        <w:t xml:space="preserve"> </w:t>
      </w:r>
      <w:r w:rsidRPr="00A869FE">
        <w:rPr>
          <w:rFonts w:ascii="Verdana" w:hAnsi="Verdana" w:cs="Arial"/>
          <w:color w:val="000000"/>
          <w:lang w:eastAsia="es-ES"/>
        </w:rPr>
        <w:t>de su consulta.</w:t>
      </w:r>
    </w:p>
    <w:p w14:paraId="0E67AF87" w14:textId="77777777" w:rsidR="00B37198" w:rsidRPr="00A869FE" w:rsidRDefault="00B37198" w:rsidP="00B37198">
      <w:pPr>
        <w:spacing w:after="0" w:line="276" w:lineRule="auto"/>
        <w:ind w:firstLine="708"/>
        <w:jc w:val="both"/>
        <w:rPr>
          <w:rFonts w:ascii="Verdana" w:hAnsi="Verdana" w:cs="Arial"/>
          <w:lang w:eastAsia="es-ES"/>
        </w:rPr>
      </w:pPr>
    </w:p>
    <w:p w14:paraId="3AC584D1" w14:textId="77777777" w:rsidR="00B37198" w:rsidRPr="00A869FE" w:rsidRDefault="00B37198" w:rsidP="00B37198">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Problema planteado:</w:t>
      </w:r>
    </w:p>
    <w:p w14:paraId="4685174C" w14:textId="77777777" w:rsidR="00B37198" w:rsidRPr="00A869FE" w:rsidRDefault="00B37198" w:rsidP="00B37198">
      <w:pPr>
        <w:tabs>
          <w:tab w:val="left" w:pos="426"/>
        </w:tabs>
        <w:spacing w:after="0" w:line="276" w:lineRule="auto"/>
        <w:jc w:val="both"/>
        <w:rPr>
          <w:rFonts w:ascii="Verdana" w:eastAsia="Century Gothic" w:hAnsi="Verdana" w:cs="Century Gothic"/>
        </w:rPr>
      </w:pPr>
    </w:p>
    <w:p w14:paraId="7ADBA27C" w14:textId="77777777" w:rsidR="00B37198" w:rsidRDefault="00B37198" w:rsidP="00B37198">
      <w:pPr>
        <w:spacing w:after="0" w:line="276" w:lineRule="auto"/>
        <w:jc w:val="both"/>
        <w:rPr>
          <w:rFonts w:ascii="Verdana" w:eastAsia="Century Gothic" w:hAnsi="Verdana" w:cs="Century Gothic"/>
        </w:rPr>
      </w:pPr>
      <w:r w:rsidRPr="00A869FE">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A869FE">
        <w:rPr>
          <w:rFonts w:ascii="Verdana" w:eastAsia="Century Gothic" w:hAnsi="Verdana" w:cs="Century Gothic"/>
        </w:rPr>
        <w:t xml:space="preserve"> siguiente problema jurídico: </w:t>
      </w:r>
      <w:r w:rsidRPr="00B24956">
        <w:rPr>
          <w:rFonts w:ascii="Verdana" w:eastAsia="Century Gothic" w:hAnsi="Verdana" w:cs="Century Gothic"/>
        </w:rPr>
        <w:t>¿Existe alguna inhabilidad, incompatibilidad o prohibición legal en el régimen de contratación estatal que impida que una persona natural que ostenta la condición de pensionado por invalidez celebre un contrato de prestación de servicios con una entidad estatal, sin que ello implique la pérdida o afectación del derecho al reconocimiento y pago de su mesada pensional?</w:t>
      </w:r>
    </w:p>
    <w:p w14:paraId="56F5741E" w14:textId="77777777" w:rsidR="00B37198" w:rsidRPr="00A869FE" w:rsidRDefault="00B37198" w:rsidP="00B37198">
      <w:pPr>
        <w:spacing w:after="0" w:line="276" w:lineRule="auto"/>
        <w:jc w:val="both"/>
        <w:rPr>
          <w:rFonts w:ascii="Verdana" w:hAnsi="Verdana" w:cs="Arial"/>
          <w:color w:val="7030A0"/>
        </w:rPr>
      </w:pPr>
    </w:p>
    <w:p w14:paraId="21749385" w14:textId="77777777" w:rsidR="00B37198" w:rsidRPr="00A869FE" w:rsidRDefault="00B37198" w:rsidP="00B37198">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Respuesta:</w:t>
      </w:r>
    </w:p>
    <w:p w14:paraId="104C0905" w14:textId="77777777" w:rsidR="00B37198" w:rsidRPr="00A869FE" w:rsidRDefault="00B37198" w:rsidP="00B37198">
      <w:pPr>
        <w:tabs>
          <w:tab w:val="left" w:pos="142"/>
          <w:tab w:val="left" w:pos="284"/>
        </w:tabs>
        <w:spacing w:after="0" w:line="276" w:lineRule="auto"/>
        <w:jc w:val="both"/>
        <w:rPr>
          <w:rFonts w:ascii="Verdana" w:eastAsia="Century Gothic" w:hAnsi="Verdana" w:cs="Century Gothic"/>
          <w:b/>
          <w:bCs/>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37198" w:rsidRPr="00A869FE" w14:paraId="30DE016D" w14:textId="77777777" w:rsidTr="00093697">
        <w:trPr>
          <w:jc w:val="center"/>
        </w:trPr>
        <w:tc>
          <w:tcPr>
            <w:tcW w:w="8828" w:type="dxa"/>
          </w:tcPr>
          <w:p w14:paraId="5002C508" w14:textId="77777777" w:rsidR="00B37198" w:rsidRDefault="00B37198" w:rsidP="00093697">
            <w:pPr>
              <w:spacing w:line="276" w:lineRule="auto"/>
              <w:jc w:val="both"/>
              <w:rPr>
                <w:rFonts w:ascii="Verdana" w:eastAsia="Calibri" w:hAnsi="Verdana" w:cs="Arial"/>
                <w:bCs/>
                <w:color w:val="000000" w:themeColor="text1"/>
              </w:rPr>
            </w:pPr>
            <w:r w:rsidRPr="00715313">
              <w:rPr>
                <w:rFonts w:ascii="Verdana" w:eastAsia="Calibri" w:hAnsi="Verdana" w:cs="Arial"/>
                <w:bCs/>
                <w:color w:val="000000" w:themeColor="text1"/>
              </w:rPr>
              <w:t xml:space="preserve">Del análisis del régimen de inhabilidades e incompatibilidades aplicable a la contratación estatal se concluye que </w:t>
            </w:r>
            <w:r w:rsidRPr="00715313">
              <w:rPr>
                <w:rFonts w:ascii="Verdana" w:eastAsia="Calibri" w:hAnsi="Verdana" w:cs="Arial"/>
                <w:color w:val="000000" w:themeColor="text1"/>
              </w:rPr>
              <w:t>no existe una inhabilidad, incompatibilidad o prohibición legal que impida que una persona natural pensionada por invalidez celebre un contrato de prestación de servicios con una entidad estatal</w:t>
            </w:r>
            <w:r w:rsidRPr="00715313">
              <w:rPr>
                <w:rFonts w:ascii="Verdana" w:eastAsia="Calibri" w:hAnsi="Verdana" w:cs="Arial"/>
                <w:bCs/>
                <w:color w:val="000000" w:themeColor="text1"/>
              </w:rPr>
              <w:t>, ni que dicha circunstancia, por sí sola, genere la pérdida o afectación del derecho al reconocimiento y pago de la mesada pensional.</w:t>
            </w:r>
          </w:p>
          <w:p w14:paraId="154D90EF" w14:textId="77777777" w:rsidR="00B37198" w:rsidRPr="00715313" w:rsidRDefault="00B37198" w:rsidP="00093697">
            <w:pPr>
              <w:spacing w:before="12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En otras palabras, l</w:t>
            </w:r>
            <w:r w:rsidRPr="00421095">
              <w:rPr>
                <w:rFonts w:ascii="Verdana" w:eastAsia="Calibri" w:hAnsi="Verdana" w:cs="Arial"/>
                <w:bCs/>
                <w:color w:val="000000" w:themeColor="text1"/>
              </w:rPr>
              <w:t xml:space="preserve">a celebración de un contrato de prestación de servicios por parte de una persona pensionada por invalidez no implica, por sí sola, la pérdida ni suspensión del derecho al pago de la mesada pensional, en </w:t>
            </w:r>
            <w:r w:rsidRPr="00421095">
              <w:rPr>
                <w:rFonts w:ascii="Verdana" w:eastAsia="Calibri" w:hAnsi="Verdana" w:cs="Arial"/>
                <w:bCs/>
                <w:color w:val="000000" w:themeColor="text1"/>
              </w:rPr>
              <w:lastRenderedPageBreak/>
              <w:t>la medida en que esta tiene una naturaleza distinta a los ingresos derivados de la actividad contractual y siempre que no se configure una prohibición legal expresa, como la doble asignación del tesoro público.</w:t>
            </w:r>
            <w:r>
              <w:rPr>
                <w:rFonts w:ascii="Verdana" w:eastAsia="Calibri" w:hAnsi="Verdana" w:cs="Arial"/>
                <w:bCs/>
                <w:color w:val="000000" w:themeColor="text1"/>
              </w:rPr>
              <w:t xml:space="preserve"> </w:t>
            </w:r>
          </w:p>
          <w:p w14:paraId="5BBDF02C" w14:textId="77777777" w:rsidR="00B37198" w:rsidRPr="00715313" w:rsidRDefault="00B37198" w:rsidP="00093697">
            <w:pPr>
              <w:spacing w:before="120" w:line="276" w:lineRule="auto"/>
              <w:ind w:firstLine="708"/>
              <w:jc w:val="both"/>
              <w:rPr>
                <w:rFonts w:ascii="Verdana" w:eastAsia="Calibri" w:hAnsi="Verdana" w:cs="Arial"/>
                <w:bCs/>
                <w:color w:val="000000" w:themeColor="text1"/>
              </w:rPr>
            </w:pPr>
            <w:r w:rsidRPr="00715313">
              <w:rPr>
                <w:rFonts w:ascii="Verdana" w:eastAsia="Calibri" w:hAnsi="Verdana" w:cs="Arial"/>
                <w:bCs/>
                <w:color w:val="000000" w:themeColor="text1"/>
              </w:rPr>
              <w:t xml:space="preserve">En efecto, revisadas las causales previstas en la Constitución Política, en el artículo 8 de la Ley 80 de 1993 y en las normas que regulan las limitaciones a la capacidad contractual, no se identifica un supuesto normativo que restrinja la posibilidad de que un pensionado por invalidez actúe como contratista del Estado mediante la modalidad de prestación de servicios. Esta conclusión es consistente con la interpretación restrictiva que debe regir la aplicación de las inhabilidades e incompatibilidades, conforme al principio de legalidad y al criterio hermenéutico </w:t>
            </w:r>
            <w:r w:rsidRPr="00715313">
              <w:rPr>
                <w:rFonts w:ascii="Verdana" w:eastAsia="Calibri" w:hAnsi="Verdana" w:cs="Arial"/>
                <w:bCs/>
                <w:i/>
                <w:iCs/>
                <w:color w:val="000000" w:themeColor="text1"/>
              </w:rPr>
              <w:t xml:space="preserve">pro </w:t>
            </w:r>
            <w:proofErr w:type="spellStart"/>
            <w:r w:rsidRPr="00715313">
              <w:rPr>
                <w:rFonts w:ascii="Verdana" w:eastAsia="Calibri" w:hAnsi="Verdana" w:cs="Arial"/>
                <w:bCs/>
                <w:i/>
                <w:iCs/>
                <w:color w:val="000000" w:themeColor="text1"/>
              </w:rPr>
              <w:t>libertate</w:t>
            </w:r>
            <w:proofErr w:type="spellEnd"/>
            <w:r w:rsidRPr="00715313">
              <w:rPr>
                <w:rFonts w:ascii="Verdana" w:eastAsia="Calibri" w:hAnsi="Verdana" w:cs="Arial"/>
                <w:bCs/>
                <w:color w:val="000000" w:themeColor="text1"/>
              </w:rPr>
              <w:t xml:space="preserve"> reiteradamente acogido por la Corte Constitucional y el Consejo de Estado.</w:t>
            </w:r>
          </w:p>
          <w:p w14:paraId="20B3AF8A" w14:textId="77777777" w:rsidR="00B37198" w:rsidRPr="00715313" w:rsidRDefault="00B37198" w:rsidP="00093697">
            <w:pPr>
              <w:spacing w:before="120" w:line="276" w:lineRule="auto"/>
              <w:ind w:firstLine="708"/>
              <w:jc w:val="both"/>
              <w:rPr>
                <w:rFonts w:ascii="Verdana" w:eastAsia="Calibri" w:hAnsi="Verdana" w:cs="Arial"/>
                <w:bCs/>
                <w:color w:val="000000" w:themeColor="text1"/>
              </w:rPr>
            </w:pPr>
            <w:r w:rsidRPr="00715313">
              <w:rPr>
                <w:rFonts w:ascii="Verdana" w:eastAsia="Calibri" w:hAnsi="Verdana" w:cs="Arial"/>
                <w:bCs/>
                <w:color w:val="000000" w:themeColor="text1"/>
              </w:rPr>
              <w:t>Asimismo, dicha conclusión armoniza con los criterios expuestos por el Departamento Administrativo de la Función Pública, según los cuales la condición de pensionado por invalidez no constituye, en sí misma, un impedimento para acceder al empleo público o para contratar con entidades estatales, siempre que no exista una prohibición legal expresa ni se configure una doble asignación del tesoro público, en los términos del artículo 128 de la Constitución Política.</w:t>
            </w:r>
          </w:p>
          <w:p w14:paraId="2861F5A9" w14:textId="77777777" w:rsidR="00B37198" w:rsidRPr="00715313" w:rsidRDefault="00B37198" w:rsidP="00093697">
            <w:pPr>
              <w:spacing w:before="120" w:line="276" w:lineRule="auto"/>
              <w:ind w:firstLine="708"/>
              <w:jc w:val="both"/>
              <w:rPr>
                <w:rFonts w:ascii="Verdana" w:eastAsia="Calibri" w:hAnsi="Verdana" w:cs="Arial"/>
                <w:bCs/>
                <w:color w:val="000000" w:themeColor="text1"/>
              </w:rPr>
            </w:pPr>
            <w:r w:rsidRPr="00715313">
              <w:rPr>
                <w:rFonts w:ascii="Verdana" w:eastAsia="Calibri" w:hAnsi="Verdana" w:cs="Arial"/>
                <w:bCs/>
                <w:color w:val="000000" w:themeColor="text1"/>
              </w:rPr>
              <w:t>No obstante, la inexistencia de una causal de inhabilidad o incompatibilidad no implica que la celebración del contrato de prestación de servicios sea procedente en todos los casos. Corresponde a la entidad contratante verificar el cumplimiento de los requisitos propios de esta modalidad contractual, atendiendo su carácter excepcional, esto es, que las actividades no puedan ser desarrolladas con personal de planta o requieran conocimientos especializados, que el contrato sea de naturaleza temporal y que no se utilice para encubrir una relación laboral o para la conformación de nóminas paralelas.</w:t>
            </w:r>
          </w:p>
          <w:p w14:paraId="511A1488" w14:textId="77777777" w:rsidR="00B37198" w:rsidRPr="00715313" w:rsidRDefault="00B37198" w:rsidP="00093697">
            <w:pPr>
              <w:spacing w:before="120" w:line="276" w:lineRule="auto"/>
              <w:ind w:firstLine="708"/>
              <w:jc w:val="both"/>
              <w:rPr>
                <w:rFonts w:ascii="Verdana" w:eastAsia="Calibri" w:hAnsi="Verdana" w:cs="Arial"/>
                <w:bCs/>
                <w:color w:val="000000" w:themeColor="text1"/>
              </w:rPr>
            </w:pPr>
            <w:r w:rsidRPr="00715313">
              <w:rPr>
                <w:rFonts w:ascii="Verdana" w:eastAsia="Calibri" w:hAnsi="Verdana" w:cs="Arial"/>
                <w:bCs/>
                <w:color w:val="000000" w:themeColor="text1"/>
              </w:rPr>
              <w:t xml:space="preserve">Adicionalmente, la entidad debe evaluar, en cada caso concreto, que las actividades objeto del contrato sean </w:t>
            </w:r>
            <w:r w:rsidRPr="00715313">
              <w:rPr>
                <w:rFonts w:ascii="Verdana" w:eastAsia="Calibri" w:hAnsi="Verdana" w:cs="Arial"/>
                <w:color w:val="000000" w:themeColor="text1"/>
              </w:rPr>
              <w:t>compatibles con el grado de pérdida de capacidad laboral reconocido al pensionado,</w:t>
            </w:r>
            <w:r w:rsidRPr="00715313">
              <w:rPr>
                <w:rFonts w:ascii="Verdana" w:eastAsia="Calibri" w:hAnsi="Verdana" w:cs="Arial"/>
                <w:bCs/>
                <w:color w:val="000000" w:themeColor="text1"/>
              </w:rPr>
              <w:t xml:space="preserve"> sin que ello implique una valoración de carácter pensional, la cual corresponde exclusivamente a las autoridades del sistema de seguridad social. De igual forma, debe verificar que no se configuren situaciones de conflicto de interés que comprometan los principios de transparencia, moralidad e imparcialidad que rigen la contratación pública, aplicando únicamente las causales que se encuentren </w:t>
            </w:r>
            <w:r w:rsidRPr="00715313">
              <w:rPr>
                <w:rFonts w:ascii="Verdana" w:eastAsia="Calibri" w:hAnsi="Verdana" w:cs="Arial"/>
                <w:bCs/>
                <w:color w:val="000000" w:themeColor="text1"/>
              </w:rPr>
              <w:lastRenderedPageBreak/>
              <w:t>expresa y objetivamente tipificadas en la Constitución, la ley, los pliegos de condiciones o el contrato.</w:t>
            </w:r>
          </w:p>
          <w:p w14:paraId="709291D3" w14:textId="77777777" w:rsidR="00B37198" w:rsidRPr="00715313" w:rsidRDefault="00B37198" w:rsidP="00093697">
            <w:pPr>
              <w:spacing w:before="120" w:line="276" w:lineRule="auto"/>
              <w:ind w:firstLine="708"/>
              <w:jc w:val="both"/>
              <w:rPr>
                <w:rFonts w:ascii="Verdana" w:eastAsia="Calibri" w:hAnsi="Verdana" w:cs="Arial"/>
                <w:bCs/>
                <w:color w:val="000000" w:themeColor="text1"/>
              </w:rPr>
            </w:pPr>
            <w:r w:rsidRPr="00715313">
              <w:rPr>
                <w:rFonts w:ascii="Verdana" w:eastAsia="Calibri" w:hAnsi="Verdana" w:cs="Arial"/>
                <w:bCs/>
                <w:color w:val="000000" w:themeColor="text1"/>
              </w:rPr>
              <w:t>Por otro lado, en materia de seguridad social, debe distinguirse entre las obligaciones frente al Sistema General de Pensiones y aquellas correspondientes al Sistema General de Seguridad Social en Salud. En relación con el primero, la obligación de cotizar cesa cuando el afiliado accede a la pensión por invalidez, conforme a lo dispuesto en el artículo 4 de la Ley 797 de 2003; en consecuencia, una persona pensionada por invalidez que celebre un contrato de prestación de servicios no está obligada a realizar aportes al Sistema General de Pensiones durante la ejecución del contrato.</w:t>
            </w:r>
          </w:p>
          <w:p w14:paraId="41F1457C" w14:textId="77777777" w:rsidR="00B37198" w:rsidRPr="00715313" w:rsidRDefault="00B37198" w:rsidP="00093697">
            <w:pPr>
              <w:spacing w:before="120" w:line="276" w:lineRule="auto"/>
              <w:ind w:firstLine="708"/>
              <w:jc w:val="both"/>
              <w:rPr>
                <w:rFonts w:ascii="Verdana" w:eastAsia="Calibri" w:hAnsi="Verdana" w:cs="Arial"/>
                <w:bCs/>
                <w:color w:val="000000" w:themeColor="text1"/>
              </w:rPr>
            </w:pPr>
            <w:r w:rsidRPr="00715313">
              <w:rPr>
                <w:rFonts w:ascii="Verdana" w:eastAsia="Calibri" w:hAnsi="Verdana" w:cs="Arial"/>
                <w:bCs/>
                <w:color w:val="000000" w:themeColor="text1"/>
              </w:rPr>
              <w:t>Distinto ocurre respecto del Sistema General de Seguridad Social en Salud, pues los contratistas de prestación de servicios son considerados trabajadores independientes y, como tales, deben afiliarse y cotizar al régimen contributivo en calidad de cotizantes, siempre que perciban ingresos iguales o superiores a un salario mínimo mensual legal vigente. La normativa vigente no prevé una exclusión para las personas pensionadas frente a esta obligación, razón por la cual estas deben acreditar el pago de los aportes al sistema de salud durante la ejecución del contrato, conforme a las reglas de cotización mes vencido y sobre la base mínima legalmente establecida.</w:t>
            </w:r>
          </w:p>
          <w:p w14:paraId="60038D5F" w14:textId="77777777" w:rsidR="00B37198" w:rsidRPr="00715313" w:rsidRDefault="00B37198" w:rsidP="00093697">
            <w:pPr>
              <w:spacing w:before="120" w:line="276" w:lineRule="auto"/>
              <w:ind w:firstLine="708"/>
              <w:jc w:val="both"/>
              <w:rPr>
                <w:rFonts w:ascii="Verdana" w:eastAsia="Calibri" w:hAnsi="Verdana" w:cs="Arial"/>
                <w:bCs/>
                <w:color w:val="000000" w:themeColor="text1"/>
              </w:rPr>
            </w:pPr>
            <w:r w:rsidRPr="00715313">
              <w:rPr>
                <w:rFonts w:ascii="Verdana" w:eastAsia="Calibri" w:hAnsi="Verdana" w:cs="Arial"/>
                <w:bCs/>
                <w:color w:val="000000" w:themeColor="text1"/>
              </w:rPr>
              <w:t>Finalmente, corresponde a las entidades estatales verificar el cumplimiento de las obligaciones del contratista frente al Sistema de Seguridad Social Integral al momento de efectuar los pagos y, cuando aplique, en la etapa de liquidación del contrato, de conformidad con los artículos 50 de la Ley 789 de 2002 y 23 de la Ley 1150 de 2007, sin exigir aportes correspondientes a períodos que aún no se encuentren causados.</w:t>
            </w:r>
          </w:p>
          <w:p w14:paraId="035361DD" w14:textId="77777777" w:rsidR="00B37198" w:rsidRPr="00465BCB" w:rsidRDefault="00B37198" w:rsidP="00093697">
            <w:pPr>
              <w:spacing w:before="120" w:line="276" w:lineRule="auto"/>
              <w:ind w:firstLine="708"/>
              <w:jc w:val="both"/>
              <w:rPr>
                <w:rFonts w:ascii="Verdana" w:eastAsia="Arial" w:hAnsi="Verdana" w:cs="Arial"/>
                <w:lang w:eastAsia="es-ES" w:bidi="es-ES"/>
              </w:rPr>
            </w:pPr>
            <w:r w:rsidRPr="00715313">
              <w:rPr>
                <w:rFonts w:ascii="Verdana" w:eastAsia="Calibri" w:hAnsi="Verdana" w:cs="Arial"/>
                <w:bCs/>
                <w:color w:val="000000" w:themeColor="text1"/>
              </w:rPr>
              <w:t>En este marco, la Agencia emite las anteriores consideraciones de carácter general, sin que le corresponda definir criterios universales ni sustituir el análisis que cada entidad debe realizar en el contexto específico de su gestión contractual, de acuerdo con el principio de juridicidad y el alcance de su competencia consultiva.</w:t>
            </w:r>
          </w:p>
        </w:tc>
      </w:tr>
    </w:tbl>
    <w:p w14:paraId="4FE97789" w14:textId="77777777" w:rsidR="00B37198" w:rsidRPr="00A869FE" w:rsidRDefault="00B37198" w:rsidP="00B37198">
      <w:pPr>
        <w:tabs>
          <w:tab w:val="left" w:pos="142"/>
          <w:tab w:val="left" w:pos="284"/>
        </w:tabs>
        <w:spacing w:after="0" w:line="276" w:lineRule="auto"/>
        <w:jc w:val="both"/>
        <w:rPr>
          <w:rFonts w:ascii="Verdana" w:eastAsia="Century Gothic" w:hAnsi="Verdana" w:cs="Century Gothic"/>
          <w:b/>
          <w:bCs/>
        </w:rPr>
      </w:pPr>
    </w:p>
    <w:p w14:paraId="4A9B9172" w14:textId="77777777" w:rsidR="00B37198" w:rsidRPr="00A869FE" w:rsidRDefault="00B37198" w:rsidP="00B37198">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Razones de la respuesta:</w:t>
      </w:r>
    </w:p>
    <w:p w14:paraId="4D27919D" w14:textId="77777777" w:rsidR="00B37198" w:rsidRPr="00A869FE" w:rsidRDefault="00B37198" w:rsidP="00B37198">
      <w:pPr>
        <w:spacing w:after="0" w:line="276" w:lineRule="auto"/>
        <w:jc w:val="both"/>
        <w:rPr>
          <w:rFonts w:ascii="Verdana" w:hAnsi="Verdana" w:cs="Arial"/>
          <w:color w:val="7030A0"/>
        </w:rPr>
      </w:pPr>
    </w:p>
    <w:p w14:paraId="020A0DA7" w14:textId="77777777" w:rsidR="00B37198" w:rsidRDefault="00B37198" w:rsidP="00B37198">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6BA7C6F" w14:textId="77777777" w:rsidR="00B37198" w:rsidRPr="00415608" w:rsidRDefault="00B37198" w:rsidP="00B37198">
      <w:pPr>
        <w:spacing w:after="0" w:line="276" w:lineRule="auto"/>
        <w:jc w:val="both"/>
        <w:rPr>
          <w:rFonts w:ascii="Verdana" w:eastAsia="Calibri" w:hAnsi="Verdana" w:cs="Arial"/>
          <w:lang w:val="es-ES"/>
        </w:rPr>
      </w:pPr>
    </w:p>
    <w:p w14:paraId="4B449414" w14:textId="77777777" w:rsidR="00B37198" w:rsidRPr="006530B9" w:rsidRDefault="00B37198" w:rsidP="00B37198">
      <w:pPr>
        <w:spacing w:after="120" w:line="276" w:lineRule="auto"/>
        <w:jc w:val="both"/>
        <w:rPr>
          <w:rFonts w:ascii="Verdana" w:eastAsia="Calibri" w:hAnsi="Verdana" w:cs="Arial"/>
          <w:color w:val="000000" w:themeColor="text1"/>
        </w:rPr>
      </w:pPr>
      <w:r w:rsidRPr="00135CB1">
        <w:rPr>
          <w:rFonts w:ascii="Verdana" w:eastAsia="Calibri" w:hAnsi="Verdana" w:cs="Arial"/>
          <w:color w:val="000000" w:themeColor="text1"/>
          <w:lang w:val="es-ES_tradnl"/>
        </w:rPr>
        <w:lastRenderedPageBreak/>
        <w:t xml:space="preserve">En la contratación estatal, la </w:t>
      </w:r>
      <w:r w:rsidRPr="00135CB1">
        <w:rPr>
          <w:rFonts w:ascii="Verdana" w:eastAsia="Calibri" w:hAnsi="Verdana" w:cs="Arial"/>
          <w:i/>
          <w:iCs/>
          <w:color w:val="000000" w:themeColor="text1"/>
          <w:lang w:val="es-ES_tradnl"/>
        </w:rPr>
        <w:t>capacidad</w:t>
      </w:r>
      <w:r w:rsidRPr="00135CB1">
        <w:rPr>
          <w:rFonts w:ascii="Verdana" w:eastAsia="Calibri" w:hAnsi="Verdana" w:cs="Arial"/>
          <w:color w:val="000000" w:themeColor="text1"/>
          <w:lang w:val="es-ES_tradnl"/>
        </w:rPr>
        <w:t xml:space="preserve"> también es un requisito de validez de los contratos, tanto en el régimen de las entidades sujetas al Estatuto General de Contratación de la Administración Pública</w:t>
      </w:r>
      <w:r w:rsidRPr="00135CB1">
        <w:rPr>
          <w:rFonts w:ascii="Verdana" w:eastAsia="Calibri" w:hAnsi="Verdana" w:cs="Arial"/>
          <w:color w:val="000000" w:themeColor="text1"/>
          <w:vertAlign w:val="superscript"/>
          <w:lang w:val="es-ES_tradnl"/>
        </w:rPr>
        <w:footnoteReference w:id="1"/>
      </w:r>
      <w:r w:rsidRPr="00135CB1">
        <w:rPr>
          <w:rFonts w:ascii="Verdana" w:eastAsia="Calibri" w:hAnsi="Verdana" w:cs="Arial"/>
          <w:color w:val="000000" w:themeColor="text1"/>
          <w:lang w:val="es-ES_tradnl"/>
        </w:rPr>
        <w:t xml:space="preserve"> como en el de las entidades exceptuadas de aquel</w:t>
      </w:r>
      <w:r w:rsidRPr="00135CB1">
        <w:rPr>
          <w:rFonts w:ascii="Verdana" w:eastAsia="Calibri" w:hAnsi="Verdana" w:cs="Arial"/>
          <w:color w:val="000000" w:themeColor="text1"/>
          <w:vertAlign w:val="superscript"/>
          <w:lang w:val="es-ES_tradnl"/>
        </w:rPr>
        <w:footnoteReference w:id="2"/>
      </w:r>
      <w:r w:rsidRPr="00135CB1">
        <w:rPr>
          <w:rFonts w:ascii="Verdana" w:eastAsia="Calibri" w:hAnsi="Verdana" w:cs="Arial"/>
          <w:color w:val="000000" w:themeColor="text1"/>
          <w:lang w:val="es-ES_tradnl"/>
        </w:rPr>
        <w:t xml:space="preserve">. </w:t>
      </w:r>
      <w:r w:rsidRPr="00937D3B">
        <w:rPr>
          <w:rFonts w:ascii="Verdana" w:eastAsia="Calibri" w:hAnsi="Verdana" w:cs="Arial"/>
          <w:color w:val="000000" w:themeColor="text1"/>
        </w:rPr>
        <w:t xml:space="preserve">Si bien la regulación de la capacidad </w:t>
      </w:r>
      <w:r>
        <w:rPr>
          <w:rFonts w:ascii="Verdana" w:eastAsia="Calibri" w:hAnsi="Verdana" w:cs="Arial"/>
          <w:color w:val="000000" w:themeColor="text1"/>
        </w:rPr>
        <w:t xml:space="preserve">en el contrato de prestación de servicios </w:t>
      </w:r>
      <w:r w:rsidRPr="00937D3B">
        <w:rPr>
          <w:rFonts w:ascii="Verdana" w:eastAsia="Calibri" w:hAnsi="Verdana" w:cs="Arial"/>
          <w:color w:val="000000" w:themeColor="text1"/>
        </w:rPr>
        <w:t xml:space="preserve">se integra por varias disposiciones y exigencias especiales, se destaca el régimen de inhabilidades e incompatibilidades como un conjunto de normas que imponen restricciones para </w:t>
      </w:r>
      <w:r>
        <w:rPr>
          <w:rFonts w:ascii="Verdana" w:eastAsia="Calibri" w:hAnsi="Verdana" w:cs="Arial"/>
          <w:color w:val="000000" w:themeColor="text1"/>
        </w:rPr>
        <w:t>l</w:t>
      </w:r>
      <w:r w:rsidRPr="00937D3B">
        <w:rPr>
          <w:rFonts w:ascii="Verdana" w:eastAsia="Calibri" w:hAnsi="Verdana" w:cs="Arial"/>
          <w:color w:val="000000" w:themeColor="text1"/>
        </w:rPr>
        <w:t>os sujetos que, eventualmente, pretendan participar en los procedimientos de selección o celebrar contratos con las entidades estatales</w:t>
      </w:r>
      <w:r w:rsidRPr="00135CB1">
        <w:rPr>
          <w:rFonts w:ascii="Verdana" w:eastAsia="Calibri" w:hAnsi="Verdana" w:cs="Arial"/>
          <w:color w:val="000000" w:themeColor="text1"/>
          <w:vertAlign w:val="superscript"/>
          <w:lang w:val="es-ES_tradnl"/>
        </w:rPr>
        <w:footnoteReference w:id="3"/>
      </w:r>
      <w:r w:rsidRPr="00135CB1">
        <w:rPr>
          <w:rFonts w:ascii="Verdana" w:eastAsia="Calibri" w:hAnsi="Verdana" w:cs="Arial"/>
          <w:color w:val="000000" w:themeColor="text1"/>
          <w:lang w:val="es-ES_tradnl"/>
        </w:rPr>
        <w:t>.</w:t>
      </w:r>
    </w:p>
    <w:p w14:paraId="20F1A75F" w14:textId="77777777" w:rsidR="00B37198" w:rsidRPr="00135CB1" w:rsidRDefault="00B37198" w:rsidP="00B37198">
      <w:pPr>
        <w:spacing w:after="120" w:line="276" w:lineRule="auto"/>
        <w:ind w:firstLine="709"/>
        <w:jc w:val="both"/>
        <w:rPr>
          <w:rFonts w:ascii="Verdana" w:eastAsia="Calibri" w:hAnsi="Verdana" w:cs="Arial"/>
          <w:color w:val="000000" w:themeColor="text1"/>
          <w:lang w:val="es-ES"/>
        </w:rPr>
      </w:pPr>
      <w:r w:rsidRPr="00135CB1">
        <w:rPr>
          <w:rFonts w:ascii="Verdana" w:eastAsia="Calibri" w:hAnsi="Verdana" w:cs="Arial"/>
          <w:color w:val="000000" w:themeColor="text1"/>
          <w:lang w:val="es-ES"/>
        </w:rPr>
        <w:t>Las inhabilidades son prohibiciones para concurrir a los procedimientos de selección y para contratar con el Estado, que se derivan i) de la existencia de comportamientos reprochables o de sanciones anteriormente impuestas</w:t>
      </w:r>
      <w:r w:rsidRPr="00135CB1">
        <w:rPr>
          <w:rFonts w:ascii="Verdana" w:eastAsia="Calibri" w:hAnsi="Verdana" w:cs="Arial"/>
          <w:color w:val="000000" w:themeColor="text1"/>
          <w:vertAlign w:val="superscript"/>
          <w:lang w:val="es-ES"/>
        </w:rPr>
        <w:footnoteReference w:id="4"/>
      </w:r>
      <w:r w:rsidRPr="00135CB1">
        <w:rPr>
          <w:rFonts w:ascii="Verdana" w:eastAsia="Calibri" w:hAnsi="Verdana" w:cs="Arial"/>
          <w:color w:val="000000" w:themeColor="text1"/>
          <w:lang w:val="es-ES"/>
        </w:rPr>
        <w:t xml:space="preserve">, </w:t>
      </w:r>
      <w:proofErr w:type="spellStart"/>
      <w:r w:rsidRPr="00135CB1">
        <w:rPr>
          <w:rFonts w:ascii="Verdana" w:eastAsia="Calibri" w:hAnsi="Verdana" w:cs="Arial"/>
          <w:color w:val="000000" w:themeColor="text1"/>
          <w:lang w:val="es-ES"/>
        </w:rPr>
        <w:t>ii</w:t>
      </w:r>
      <w:proofErr w:type="spellEnd"/>
      <w:r w:rsidRPr="00135CB1">
        <w:rPr>
          <w:rFonts w:ascii="Verdana" w:eastAsia="Calibri" w:hAnsi="Verdana" w:cs="Arial"/>
          <w:color w:val="000000" w:themeColor="text1"/>
          <w:lang w:val="es-ES"/>
        </w:rPr>
        <w:t>) de vínculos personales relativos al parentesco o al estado civil</w:t>
      </w:r>
      <w:r w:rsidRPr="00135CB1">
        <w:rPr>
          <w:rFonts w:ascii="Verdana" w:eastAsia="Calibri" w:hAnsi="Verdana" w:cs="Arial"/>
          <w:color w:val="000000" w:themeColor="text1"/>
          <w:vertAlign w:val="superscript"/>
          <w:lang w:val="es-ES"/>
        </w:rPr>
        <w:footnoteReference w:id="5"/>
      </w:r>
      <w:r w:rsidRPr="00135CB1">
        <w:rPr>
          <w:rFonts w:ascii="Verdana" w:eastAsia="Calibri" w:hAnsi="Verdana" w:cs="Arial"/>
          <w:color w:val="000000" w:themeColor="text1"/>
          <w:lang w:val="es-ES"/>
        </w:rPr>
        <w:t xml:space="preserve"> o </w:t>
      </w:r>
      <w:proofErr w:type="spellStart"/>
      <w:r w:rsidRPr="00135CB1">
        <w:rPr>
          <w:rFonts w:ascii="Verdana" w:eastAsia="Calibri" w:hAnsi="Verdana" w:cs="Arial"/>
          <w:color w:val="000000" w:themeColor="text1"/>
          <w:lang w:val="es-ES"/>
        </w:rPr>
        <w:t>iii</w:t>
      </w:r>
      <w:proofErr w:type="spellEnd"/>
      <w:r w:rsidRPr="00135CB1">
        <w:rPr>
          <w:rFonts w:ascii="Verdana" w:eastAsia="Calibri" w:hAnsi="Verdana" w:cs="Arial"/>
          <w:color w:val="000000" w:themeColor="text1"/>
          <w:lang w:val="es-ES"/>
        </w:rPr>
        <w:t>) de una actividad u oficio que se desempeñó en el pasado</w:t>
      </w:r>
      <w:r w:rsidRPr="00135CB1">
        <w:rPr>
          <w:rFonts w:ascii="Verdana" w:eastAsia="Calibri" w:hAnsi="Verdana" w:cs="Arial"/>
          <w:color w:val="000000" w:themeColor="text1"/>
          <w:vertAlign w:val="superscript"/>
          <w:lang w:val="es-ES"/>
        </w:rPr>
        <w:footnoteReference w:id="6"/>
      </w:r>
      <w:r w:rsidRPr="00135CB1">
        <w:rPr>
          <w:rFonts w:ascii="Verdana" w:eastAsia="Calibri" w:hAnsi="Verdana" w:cs="Arial"/>
          <w:color w:val="000000" w:themeColor="text1"/>
          <w:lang w:val="es-ES"/>
        </w:rPr>
        <w:t xml:space="preserve">. De otro lado, las </w:t>
      </w:r>
      <w:r w:rsidRPr="00135CB1">
        <w:rPr>
          <w:rFonts w:ascii="Verdana" w:eastAsia="Calibri" w:hAnsi="Verdana" w:cs="Arial"/>
          <w:color w:val="000000" w:themeColor="text1"/>
          <w:lang w:val="es-ES"/>
        </w:rPr>
        <w:lastRenderedPageBreak/>
        <w:t>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135CB1">
        <w:rPr>
          <w:rFonts w:ascii="Verdana" w:eastAsia="Calibri" w:hAnsi="Verdana" w:cs="Arial"/>
          <w:color w:val="000000" w:themeColor="text1"/>
          <w:vertAlign w:val="superscript"/>
          <w:lang w:val="es-ES"/>
        </w:rPr>
        <w:footnoteReference w:id="7"/>
      </w:r>
      <w:r w:rsidRPr="00135CB1">
        <w:rPr>
          <w:rFonts w:ascii="Verdana" w:eastAsia="Calibri" w:hAnsi="Verdana" w:cs="Arial"/>
          <w:color w:val="000000" w:themeColor="text1"/>
          <w:lang w:val="es-ES"/>
        </w:rPr>
        <w:t xml:space="preserve">. </w:t>
      </w:r>
    </w:p>
    <w:p w14:paraId="71AEB4C3" w14:textId="77777777" w:rsidR="00B37198" w:rsidRPr="00135CB1" w:rsidRDefault="00B37198" w:rsidP="00B37198">
      <w:pPr>
        <w:spacing w:after="120" w:line="276" w:lineRule="auto"/>
        <w:ind w:firstLine="709"/>
        <w:jc w:val="both"/>
        <w:rPr>
          <w:rFonts w:ascii="Verdana" w:eastAsia="Calibri" w:hAnsi="Verdana" w:cs="Arial"/>
          <w:color w:val="000000" w:themeColor="text1"/>
          <w:lang w:val="es-ES"/>
        </w:rPr>
      </w:pPr>
      <w:r w:rsidRPr="00135CB1">
        <w:rPr>
          <w:rFonts w:ascii="Verdana" w:eastAsia="Calibri" w:hAnsi="Verdana" w:cs="Arial"/>
          <w:color w:val="000000" w:themeColor="text1"/>
          <w:lang w:val="es-ES"/>
        </w:rPr>
        <w:t xml:space="preserve">El régimen de inhabilidades e incompatibilidades en la contratación pública responde a la tendencia de asegurar que la provisión de los bienes y servicios por parte de las entidades estatales se efectúe cumpliendo con los principios de la función administrativa y de la gestión fiscal, especialmente con probidad y transparencia. Es por eso </w:t>
      </w:r>
      <w:proofErr w:type="gramStart"/>
      <w:r w:rsidRPr="00135CB1">
        <w:rPr>
          <w:rFonts w:ascii="Verdana" w:eastAsia="Calibri" w:hAnsi="Verdana" w:cs="Arial"/>
          <w:color w:val="000000" w:themeColor="text1"/>
          <w:lang w:val="es-ES"/>
        </w:rPr>
        <w:t>que</w:t>
      </w:r>
      <w:proofErr w:type="gramEnd"/>
      <w:r w:rsidRPr="00135CB1">
        <w:rPr>
          <w:rFonts w:ascii="Verdana" w:eastAsia="Calibri" w:hAnsi="Verdana" w:cs="Arial"/>
          <w:color w:val="000000" w:themeColor="text1"/>
          <w:lang w:val="es-ES"/>
        </w:rPr>
        <w:t xml:space="preserve">, como lo ha destacado la doctrina, las inhabilidades e incompatibilidades son herramientas en la lucha contra la corrupción, adoptando paulatinamente un carácter sancionatorio o </w:t>
      </w:r>
      <w:r>
        <w:rPr>
          <w:rFonts w:ascii="Verdana" w:eastAsia="Calibri" w:hAnsi="Verdana" w:cs="Arial"/>
          <w:color w:val="000000" w:themeColor="text1"/>
          <w:lang w:val="es-ES"/>
        </w:rPr>
        <w:t>“</w:t>
      </w:r>
      <w:proofErr w:type="spellStart"/>
      <w:r w:rsidRPr="00135CB1">
        <w:rPr>
          <w:rFonts w:ascii="Verdana" w:eastAsia="Calibri" w:hAnsi="Verdana" w:cs="Arial"/>
          <w:color w:val="000000" w:themeColor="text1"/>
          <w:lang w:val="es-ES"/>
        </w:rPr>
        <w:t>neopunitivo</w:t>
      </w:r>
      <w:proofErr w:type="spellEnd"/>
      <w:r>
        <w:rPr>
          <w:rFonts w:ascii="Verdana" w:eastAsia="Calibri" w:hAnsi="Verdana" w:cs="Arial"/>
          <w:color w:val="000000" w:themeColor="text1"/>
          <w:lang w:val="es-ES"/>
        </w:rPr>
        <w:t>”</w:t>
      </w:r>
      <w:r w:rsidRPr="00135CB1">
        <w:rPr>
          <w:rFonts w:ascii="Verdana" w:eastAsia="Calibri" w:hAnsi="Verdana" w:cs="Arial"/>
          <w:color w:val="000000" w:themeColor="text1"/>
          <w:vertAlign w:val="superscript"/>
          <w:lang w:val="es-ES"/>
        </w:rPr>
        <w:footnoteReference w:id="8"/>
      </w:r>
      <w:r w:rsidRPr="00135CB1">
        <w:rPr>
          <w:rFonts w:ascii="Verdana" w:eastAsia="Calibri" w:hAnsi="Verdana" w:cs="Arial"/>
          <w:color w:val="000000" w:themeColor="text1"/>
          <w:lang w:val="es-ES"/>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56598118" w14:textId="77777777" w:rsidR="00B37198" w:rsidRPr="00135CB1" w:rsidRDefault="00B37198" w:rsidP="00B37198">
      <w:pPr>
        <w:spacing w:after="12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 xml:space="preserve">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135CB1">
        <w:rPr>
          <w:rFonts w:ascii="Verdana" w:eastAsia="Calibri" w:hAnsi="Verdana" w:cs="Arial"/>
          <w:i/>
          <w:iCs/>
          <w:color w:val="000000" w:themeColor="text1"/>
          <w:lang w:val="es-ES_tradnl"/>
        </w:rPr>
        <w:t>restrictiva</w:t>
      </w:r>
      <w:r w:rsidRPr="00135CB1">
        <w:rPr>
          <w:rFonts w:ascii="Verdana" w:eastAsia="Calibri" w:hAnsi="Verdana" w:cs="Arial"/>
          <w:color w:val="000000" w:themeColor="text1"/>
          <w:vertAlign w:val="superscript"/>
          <w:lang w:val="es-ES_tradnl"/>
        </w:rPr>
        <w:footnoteReference w:id="9"/>
      </w:r>
      <w:r w:rsidRPr="00135CB1">
        <w:rPr>
          <w:rFonts w:ascii="Verdana" w:eastAsia="Calibri" w:hAnsi="Verdana" w:cs="Arial"/>
          <w:color w:val="000000" w:themeColor="text1"/>
          <w:lang w:val="es-ES_tradnl"/>
        </w:rPr>
        <w:t xml:space="preserve">. En efecto,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w:t>
      </w:r>
      <w:r w:rsidRPr="00135CB1">
        <w:rPr>
          <w:rFonts w:ascii="Verdana" w:eastAsia="Calibri" w:hAnsi="Verdana" w:cs="Arial"/>
          <w:color w:val="000000" w:themeColor="text1"/>
          <w:lang w:val="es-ES_tradnl"/>
        </w:rPr>
        <w:lastRenderedPageBreak/>
        <w:t xml:space="preserve">interior de la jurisprudencia, tanto de la Corte Constitucional como de la Sección Tercera del Consejo de Estado. </w:t>
      </w:r>
    </w:p>
    <w:p w14:paraId="42BA510E" w14:textId="77777777" w:rsidR="00B37198" w:rsidRDefault="00B37198" w:rsidP="00B37198">
      <w:pPr>
        <w:spacing w:after="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 xml:space="preserve">En efecto, el máximo tribunal constitucional ha indicado que, al tratar de precisar el sentido de este tipo de normas, </w:t>
      </w:r>
      <w:r>
        <w:rPr>
          <w:rFonts w:ascii="Verdana" w:eastAsia="Calibri" w:hAnsi="Verdana" w:cs="Arial"/>
          <w:color w:val="000000" w:themeColor="text1"/>
          <w:lang w:val="es-ES_tradnl"/>
        </w:rPr>
        <w:t>“</w:t>
      </w:r>
      <w:r w:rsidRPr="00135CB1">
        <w:rPr>
          <w:rFonts w:ascii="Verdana" w:eastAsia="Calibri" w:hAnsi="Verdana" w:cs="Arial"/>
          <w:color w:val="000000" w:themeColor="text1"/>
          <w:lang w:val="es-ES_tradnl"/>
        </w:rPr>
        <w:t xml:space="preserve">[…] el intérprete de las disposiciones legislativas en la materia ha de ceñirse en la mayor medida posible al tenor literal y gramatical de los enunciados normativos, sin que pueda acudir </w:t>
      </w:r>
      <w:r w:rsidRPr="006B79A9">
        <w:rPr>
          <w:rFonts w:ascii="Verdana" w:eastAsia="Calibri" w:hAnsi="Verdana" w:cs="Arial"/>
          <w:i/>
          <w:iCs/>
          <w:color w:val="000000" w:themeColor="text1"/>
          <w:lang w:val="es-ES_tradnl"/>
        </w:rPr>
        <w:t>prima facie</w:t>
      </w:r>
      <w:r w:rsidRPr="00135CB1">
        <w:rPr>
          <w:rFonts w:ascii="Verdana" w:eastAsia="Calibri" w:hAnsi="Verdana" w:cs="Arial"/>
          <w:color w:val="000000" w:themeColor="text1"/>
          <w:lang w:val="es-ES_tradnl"/>
        </w:rPr>
        <w:t xml:space="preserve"> a criterios interpretativos tales como la analogía</w:t>
      </w:r>
      <w:r>
        <w:rPr>
          <w:rFonts w:ascii="Verdana" w:eastAsia="Calibri" w:hAnsi="Verdana" w:cs="Arial"/>
          <w:color w:val="000000" w:themeColor="text1"/>
          <w:lang w:val="es-ES_tradnl"/>
        </w:rPr>
        <w:t xml:space="preserve"> o</w:t>
      </w:r>
      <w:r w:rsidRPr="00135CB1">
        <w:rPr>
          <w:rFonts w:ascii="Verdana" w:eastAsia="Calibri" w:hAnsi="Verdana" w:cs="Arial"/>
          <w:color w:val="000000" w:themeColor="text1"/>
          <w:lang w:val="es-ES_tradnl"/>
        </w:rPr>
        <w:t xml:space="preserve"> la interpretación extensiva para ampliar el alcance de las causales legalmente fijadas</w:t>
      </w:r>
      <w:r>
        <w:rPr>
          <w:rFonts w:ascii="Verdana" w:eastAsia="Calibri" w:hAnsi="Verdana" w:cs="Arial"/>
          <w:color w:val="000000" w:themeColor="text1"/>
          <w:lang w:val="es-ES_tradnl"/>
        </w:rPr>
        <w:t>”</w:t>
      </w:r>
      <w:r w:rsidRPr="00135CB1">
        <w:rPr>
          <w:rFonts w:ascii="Verdana" w:eastAsia="Calibri" w:hAnsi="Verdana" w:cs="Arial"/>
          <w:color w:val="000000" w:themeColor="text1"/>
          <w:vertAlign w:val="superscript"/>
          <w:lang w:val="es-ES_tradnl"/>
        </w:rPr>
        <w:footnoteReference w:id="10"/>
      </w:r>
      <w:r w:rsidRPr="00135CB1">
        <w:rPr>
          <w:rFonts w:ascii="Verdana" w:eastAsia="Calibri" w:hAnsi="Verdana" w:cs="Arial"/>
          <w:color w:val="000000" w:themeColor="text1"/>
          <w:lang w:val="es-ES_tradnl"/>
        </w:rPr>
        <w:t xml:space="preserve">. Por su parte, el Consejo de Estado ha acogido también este criterio, considerando –como expresa la Sala de Consulta y Servicio Civil–, que </w:t>
      </w:r>
      <w:r>
        <w:rPr>
          <w:rFonts w:ascii="Verdana" w:eastAsia="Calibri" w:hAnsi="Verdana" w:cs="Arial"/>
          <w:color w:val="000000" w:themeColor="text1"/>
          <w:lang w:val="es-ES_tradnl"/>
        </w:rPr>
        <w:t>“</w:t>
      </w:r>
      <w:r w:rsidRPr="00135CB1">
        <w:rPr>
          <w:rFonts w:ascii="Verdana" w:eastAsia="Calibri" w:hAnsi="Verdana" w:cs="Arial"/>
          <w:color w:val="000000" w:themeColor="text1"/>
          <w:lang w:val="es-ES_tradnl"/>
        </w:rPr>
        <w:t>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Pr>
          <w:rFonts w:ascii="Verdana" w:eastAsia="Calibri" w:hAnsi="Verdana" w:cs="Arial"/>
          <w:color w:val="000000" w:themeColor="text1"/>
          <w:lang w:val="es-ES_tradnl"/>
        </w:rPr>
        <w:t>”</w:t>
      </w:r>
      <w:r w:rsidRPr="00135CB1">
        <w:rPr>
          <w:rFonts w:ascii="Verdana" w:eastAsia="Calibri" w:hAnsi="Verdana" w:cs="Arial"/>
          <w:color w:val="000000" w:themeColor="text1"/>
          <w:vertAlign w:val="superscript"/>
          <w:lang w:val="es-ES_tradnl"/>
        </w:rPr>
        <w:footnoteReference w:id="11"/>
      </w:r>
      <w:r w:rsidRPr="00135CB1">
        <w:rPr>
          <w:rFonts w:ascii="Verdana" w:eastAsia="Calibri" w:hAnsi="Verdana" w:cs="Arial"/>
          <w:color w:val="000000" w:themeColor="text1"/>
          <w:lang w:val="es-ES_tradnl"/>
        </w:rPr>
        <w:t>. En tal sentido, la Sección Tercera ha señalado que:</w:t>
      </w:r>
    </w:p>
    <w:p w14:paraId="00C4700A" w14:textId="77777777" w:rsidR="00B37198" w:rsidRPr="00135CB1" w:rsidRDefault="00B37198" w:rsidP="00B37198">
      <w:pPr>
        <w:spacing w:after="0" w:line="276" w:lineRule="auto"/>
        <w:ind w:firstLine="709"/>
        <w:rPr>
          <w:rFonts w:ascii="Verdana" w:eastAsia="Calibri" w:hAnsi="Verdana" w:cs="Arial"/>
          <w:color w:val="000000" w:themeColor="text1"/>
          <w:lang w:val="es-ES_tradnl"/>
        </w:rPr>
      </w:pPr>
    </w:p>
    <w:p w14:paraId="0B0ADCF8" w14:textId="77777777" w:rsidR="00B37198" w:rsidRDefault="00B37198" w:rsidP="00B37198">
      <w:pPr>
        <w:spacing w:after="0"/>
        <w:ind w:left="709" w:right="709"/>
        <w:jc w:val="both"/>
        <w:rPr>
          <w:rFonts w:ascii="Verdana" w:hAnsi="Verdana" w:cs="Arial"/>
          <w:color w:val="000000" w:themeColor="text1"/>
          <w:sz w:val="21"/>
          <w:szCs w:val="21"/>
          <w:lang w:val="es-ES_tradnl"/>
        </w:rPr>
      </w:pPr>
      <w:r w:rsidRPr="00135CB1">
        <w:rPr>
          <w:rFonts w:ascii="Verdana" w:hAnsi="Verdana" w:cs="Arial"/>
          <w:color w:val="000000" w:themeColor="text1"/>
          <w:sz w:val="21"/>
          <w:szCs w:val="21"/>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135CB1">
        <w:rPr>
          <w:rFonts w:ascii="Verdana" w:hAnsi="Verdana" w:cs="Arial"/>
          <w:color w:val="000000" w:themeColor="text1"/>
          <w:sz w:val="21"/>
          <w:szCs w:val="21"/>
          <w:vertAlign w:val="superscript"/>
          <w:lang w:val="es-ES_tradnl"/>
        </w:rPr>
        <w:footnoteReference w:id="12"/>
      </w:r>
      <w:r w:rsidRPr="00135CB1">
        <w:rPr>
          <w:rFonts w:ascii="Verdana" w:hAnsi="Verdana" w:cs="Arial"/>
          <w:color w:val="000000" w:themeColor="text1"/>
          <w:sz w:val="21"/>
          <w:szCs w:val="21"/>
          <w:lang w:val="es-ES_tradnl"/>
        </w:rPr>
        <w:t>.</w:t>
      </w:r>
    </w:p>
    <w:p w14:paraId="3ACBC573" w14:textId="77777777" w:rsidR="00B37198" w:rsidRPr="00135CB1" w:rsidRDefault="00B37198" w:rsidP="00B37198">
      <w:pPr>
        <w:spacing w:after="0"/>
        <w:ind w:left="709" w:right="709"/>
        <w:jc w:val="both"/>
        <w:rPr>
          <w:rFonts w:ascii="Verdana" w:hAnsi="Verdana" w:cs="Arial"/>
          <w:bCs/>
          <w:color w:val="000000" w:themeColor="text1"/>
          <w:sz w:val="21"/>
          <w:szCs w:val="21"/>
          <w:lang w:val="es-ES_tradnl"/>
        </w:rPr>
      </w:pPr>
    </w:p>
    <w:p w14:paraId="3662AA54" w14:textId="77777777" w:rsidR="00B37198" w:rsidRPr="00135CB1" w:rsidRDefault="00B37198" w:rsidP="00B37198">
      <w:pPr>
        <w:spacing w:after="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También ha dicho que:</w:t>
      </w:r>
    </w:p>
    <w:p w14:paraId="022D16B6" w14:textId="77777777" w:rsidR="00B37198" w:rsidRPr="00135CB1" w:rsidRDefault="00B37198" w:rsidP="00B37198">
      <w:pPr>
        <w:spacing w:after="0"/>
        <w:ind w:firstLine="709"/>
        <w:jc w:val="both"/>
        <w:rPr>
          <w:rFonts w:ascii="Verdana" w:eastAsia="Calibri" w:hAnsi="Verdana" w:cs="Arial"/>
          <w:color w:val="000000" w:themeColor="text1"/>
          <w:sz w:val="21"/>
          <w:szCs w:val="21"/>
          <w:lang w:val="es-ES_tradnl"/>
        </w:rPr>
      </w:pPr>
    </w:p>
    <w:p w14:paraId="16CCEE74" w14:textId="77777777" w:rsidR="00B37198" w:rsidRPr="00135CB1" w:rsidRDefault="00B37198" w:rsidP="00B37198">
      <w:pPr>
        <w:spacing w:after="0"/>
        <w:ind w:left="709" w:right="709"/>
        <w:jc w:val="both"/>
        <w:rPr>
          <w:rFonts w:ascii="Verdana" w:hAnsi="Verdana" w:cs="Arial"/>
          <w:color w:val="000000" w:themeColor="text1"/>
          <w:sz w:val="21"/>
          <w:szCs w:val="21"/>
          <w:lang w:val="es-ES"/>
        </w:rPr>
      </w:pPr>
      <w:r w:rsidRPr="00135CB1">
        <w:rPr>
          <w:rFonts w:ascii="Verdana" w:hAnsi="Verdana" w:cs="Arial"/>
          <w:color w:val="000000" w:themeColor="text1"/>
          <w:sz w:val="21"/>
          <w:szCs w:val="21"/>
          <w:lang w:val="es-ES"/>
        </w:rPr>
        <w:t xml:space="preserve">[…] la aplicación de estos preceptos exige una interpretación restrictiva, dado que según el principio hermenéutico </w:t>
      </w:r>
      <w:r w:rsidRPr="00135CB1">
        <w:rPr>
          <w:rFonts w:ascii="Verdana" w:hAnsi="Verdana" w:cs="Arial"/>
          <w:i/>
          <w:iCs/>
          <w:color w:val="000000" w:themeColor="text1"/>
          <w:sz w:val="21"/>
          <w:szCs w:val="21"/>
          <w:lang w:val="es-ES"/>
        </w:rPr>
        <w:t xml:space="preserve">pro </w:t>
      </w:r>
      <w:proofErr w:type="spellStart"/>
      <w:r w:rsidRPr="00135CB1">
        <w:rPr>
          <w:rFonts w:ascii="Verdana" w:hAnsi="Verdana" w:cs="Arial"/>
          <w:i/>
          <w:iCs/>
          <w:color w:val="000000" w:themeColor="text1"/>
          <w:sz w:val="21"/>
          <w:szCs w:val="21"/>
          <w:lang w:val="es-ES"/>
        </w:rPr>
        <w:t>libertate</w:t>
      </w:r>
      <w:proofErr w:type="spellEnd"/>
      <w:r w:rsidRPr="00135CB1">
        <w:rPr>
          <w:rFonts w:ascii="Verdana" w:hAnsi="Verdana" w:cs="Arial"/>
          <w:color w:val="000000" w:themeColor="text1"/>
          <w:sz w:val="21"/>
          <w:szCs w:val="21"/>
          <w:lang w:val="es-ES"/>
        </w:rPr>
        <w:t xml:space="preserve">,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w:t>
      </w:r>
      <w:r w:rsidRPr="00135CB1">
        <w:rPr>
          <w:rFonts w:ascii="Verdana" w:hAnsi="Verdana" w:cs="Arial"/>
          <w:color w:val="000000" w:themeColor="text1"/>
          <w:sz w:val="21"/>
          <w:szCs w:val="21"/>
          <w:lang w:val="es-ES"/>
        </w:rPr>
        <w:lastRenderedPageBreak/>
        <w:t>de hacerlo se vulnerarían los derechos fundamentales al debido proceso (art. 29 CN) y a la igualdad (art. 13 Ibid.); […]</w:t>
      </w:r>
      <w:r w:rsidRPr="00135CB1">
        <w:rPr>
          <w:rFonts w:ascii="Verdana" w:hAnsi="Verdana" w:cs="Arial"/>
          <w:color w:val="000000" w:themeColor="text1"/>
          <w:sz w:val="21"/>
          <w:szCs w:val="21"/>
          <w:vertAlign w:val="superscript"/>
          <w:lang w:val="es-ES"/>
        </w:rPr>
        <w:footnoteReference w:id="13"/>
      </w:r>
      <w:r w:rsidRPr="00135CB1">
        <w:rPr>
          <w:rFonts w:ascii="Verdana" w:hAnsi="Verdana" w:cs="Arial"/>
          <w:color w:val="000000" w:themeColor="text1"/>
          <w:sz w:val="21"/>
          <w:szCs w:val="21"/>
          <w:lang w:val="es-ES"/>
        </w:rPr>
        <w:t>.</w:t>
      </w:r>
    </w:p>
    <w:p w14:paraId="4EE4A3AC" w14:textId="77777777" w:rsidR="00B37198" w:rsidRPr="00135CB1" w:rsidRDefault="00B37198" w:rsidP="00B37198">
      <w:pPr>
        <w:spacing w:after="0" w:line="276" w:lineRule="auto"/>
        <w:ind w:left="709" w:right="709"/>
        <w:jc w:val="both"/>
        <w:rPr>
          <w:rFonts w:ascii="Verdana" w:hAnsi="Verdana" w:cs="Arial"/>
          <w:color w:val="000000" w:themeColor="text1"/>
          <w:sz w:val="21"/>
          <w:szCs w:val="21"/>
          <w:lang w:val="es-ES_tradnl"/>
        </w:rPr>
      </w:pPr>
    </w:p>
    <w:p w14:paraId="3467CB90" w14:textId="77777777" w:rsidR="00B37198" w:rsidRDefault="00B37198" w:rsidP="00B37198">
      <w:pPr>
        <w:spacing w:after="120" w:line="276" w:lineRule="auto"/>
        <w:ind w:firstLine="709"/>
        <w:jc w:val="both"/>
        <w:rPr>
          <w:rFonts w:ascii="Verdana" w:eastAsia="Calibri" w:hAnsi="Verdana" w:cs="Arial"/>
          <w:color w:val="000000" w:themeColor="text1"/>
          <w:lang w:val="es-ES"/>
        </w:rPr>
      </w:pPr>
      <w:r w:rsidRPr="6EF52751">
        <w:rPr>
          <w:rFonts w:ascii="Verdana" w:eastAsia="Calibri" w:hAnsi="Verdana" w:cs="Arial"/>
          <w:color w:val="000000" w:themeColor="text1"/>
          <w:lang w:val="es-ES"/>
        </w:rPr>
        <w:t xml:space="preserve">Como se aprecia, el principio </w:t>
      </w:r>
      <w:r w:rsidRPr="6EF52751">
        <w:rPr>
          <w:rFonts w:ascii="Verdana" w:eastAsia="Calibri" w:hAnsi="Verdana" w:cs="Arial"/>
          <w:i/>
          <w:iCs/>
          <w:color w:val="000000" w:themeColor="text1"/>
          <w:lang w:val="es-ES"/>
        </w:rPr>
        <w:t xml:space="preserve">pro </w:t>
      </w:r>
      <w:proofErr w:type="spellStart"/>
      <w:r w:rsidRPr="6EF52751">
        <w:rPr>
          <w:rFonts w:ascii="Verdana" w:eastAsia="Calibri" w:hAnsi="Verdana" w:cs="Arial"/>
          <w:i/>
          <w:iCs/>
          <w:color w:val="000000" w:themeColor="text1"/>
          <w:lang w:val="es-ES"/>
        </w:rPr>
        <w:t>libertate</w:t>
      </w:r>
      <w:proofErr w:type="spellEnd"/>
      <w:r w:rsidRPr="6EF52751">
        <w:rPr>
          <w:rFonts w:ascii="Verdana" w:eastAsia="Calibri" w:hAnsi="Verdana" w:cs="Arial"/>
          <w:color w:val="000000" w:themeColor="text1"/>
          <w:lang w:val="es-ES"/>
        </w:rPr>
        <w:t xml:space="preserve"> es el que debe dirigir la interpretación de las disposiciones normativas que consagran restricciones de derechos, como sucede con las causales de inhabilidad e incompatibilidad en la contratación estatal. El carácter reconocidamente taxativo y restrictivo de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w:t>
      </w:r>
    </w:p>
    <w:p w14:paraId="0CF91122" w14:textId="77777777" w:rsidR="00B37198" w:rsidRPr="00751148" w:rsidRDefault="00B37198" w:rsidP="00B37198">
      <w:pPr>
        <w:spacing w:after="120" w:line="276" w:lineRule="auto"/>
        <w:ind w:firstLine="709"/>
        <w:jc w:val="both"/>
        <w:rPr>
          <w:rFonts w:ascii="Verdana" w:eastAsia="Calibri" w:hAnsi="Verdana" w:cs="Arial"/>
          <w:color w:val="000000" w:themeColor="text1"/>
        </w:rPr>
      </w:pPr>
      <w:r w:rsidRPr="00751148">
        <w:rPr>
          <w:rFonts w:ascii="Verdana" w:eastAsia="Calibri" w:hAnsi="Verdana" w:cs="Arial"/>
          <w:color w:val="000000" w:themeColor="text1"/>
        </w:rPr>
        <w:t>En este contexto, al analizar el régimen de inhabilidades e incompatibilidades previsto para la contratación estatal, no se identifica una inhabilidad, incompatibilidad o prohibición legal que impida que una persona natural pensionada por invalidez celebre un contrato de prestación de servicios con una entidad estatal. En efecto, revisadas las causales previstas en la Constitución Política, en el artículo 8 de la Ley 80 de 1993 y en las normas que regulan las limitaciones a la capacidad contractual, no se advierte un supuesto normativo que encuadre el hecho descrito en la solicitud, esto es, la celebración de un contrato de prestación de servicios por parte de un pensionado por invalidez.</w:t>
      </w:r>
    </w:p>
    <w:p w14:paraId="4A12F335" w14:textId="77777777" w:rsidR="00B37198" w:rsidRDefault="00B37198" w:rsidP="00B37198">
      <w:pPr>
        <w:spacing w:after="120" w:line="276" w:lineRule="auto"/>
        <w:ind w:firstLine="709"/>
        <w:jc w:val="both"/>
        <w:rPr>
          <w:rFonts w:ascii="Verdana" w:eastAsia="Calibri" w:hAnsi="Verdana" w:cs="Arial"/>
          <w:color w:val="000000" w:themeColor="text1"/>
        </w:rPr>
      </w:pPr>
      <w:r w:rsidRPr="00751148">
        <w:rPr>
          <w:rFonts w:ascii="Verdana" w:eastAsia="Calibri" w:hAnsi="Verdana" w:cs="Arial"/>
          <w:color w:val="000000" w:themeColor="text1"/>
        </w:rPr>
        <w:t>Esta conclusión resulta consistente con los criterios expuestos por el Departamento Administrativo de la Función Pública, entidad que ha señalado que la condición de pensionado por invalidez no constituye, por sí misma, un impedimento para acceder al empleo público o para celebrar contratos con entidades estatales, siempre que no se configure una prohibición legal expresa ni se incurra en una doble asignación del tesoro público, en los términos del artículo 128 de la Constitución Política</w:t>
      </w:r>
      <w:r>
        <w:rPr>
          <w:rStyle w:val="Refdenotaalpie"/>
          <w:rFonts w:ascii="Verdana" w:eastAsia="Calibri" w:hAnsi="Verdana" w:cs="Arial"/>
          <w:color w:val="000000" w:themeColor="text1"/>
        </w:rPr>
        <w:footnoteReference w:id="14"/>
      </w:r>
      <w:r>
        <w:rPr>
          <w:rStyle w:val="Refdenotaalpie"/>
          <w:rFonts w:ascii="Verdana" w:eastAsia="Calibri" w:hAnsi="Verdana" w:cs="Arial"/>
          <w:color w:val="000000" w:themeColor="text1"/>
        </w:rPr>
        <w:footnoteReference w:id="15"/>
      </w:r>
      <w:r w:rsidRPr="00751148">
        <w:rPr>
          <w:rFonts w:ascii="Verdana" w:eastAsia="Calibri" w:hAnsi="Verdana" w:cs="Arial"/>
          <w:color w:val="000000" w:themeColor="text1"/>
        </w:rPr>
        <w:t>.</w:t>
      </w:r>
    </w:p>
    <w:p w14:paraId="54091863" w14:textId="77777777" w:rsidR="00B37198" w:rsidRPr="00751148" w:rsidRDefault="00B37198" w:rsidP="00B37198">
      <w:pPr>
        <w:spacing w:after="120" w:line="276" w:lineRule="auto"/>
        <w:ind w:firstLine="709"/>
        <w:jc w:val="both"/>
        <w:rPr>
          <w:rFonts w:ascii="Verdana" w:eastAsia="Calibri" w:hAnsi="Verdana" w:cs="Arial"/>
          <w:color w:val="000000" w:themeColor="text1"/>
        </w:rPr>
      </w:pPr>
      <w:r w:rsidRPr="00494A27">
        <w:rPr>
          <w:rFonts w:ascii="Verdana" w:eastAsia="Calibri" w:hAnsi="Verdana" w:cs="Arial"/>
          <w:color w:val="000000" w:themeColor="text1"/>
        </w:rPr>
        <w:t xml:space="preserve">Puede señalarse que la continuidad en el pago de la mesada pensional a favor de una persona pensionada por invalidez que desarrolla una actividad laboral o contractual no depende de una habilitación legal expresa, sino que se explica por la distinta naturaleza jurídica de la pensión frente a los ingresos </w:t>
      </w:r>
      <w:r w:rsidRPr="00494A27">
        <w:rPr>
          <w:rFonts w:ascii="Verdana" w:eastAsia="Calibri" w:hAnsi="Verdana" w:cs="Arial"/>
          <w:color w:val="000000" w:themeColor="text1"/>
        </w:rPr>
        <w:lastRenderedPageBreak/>
        <w:t>derivados del trabajo o de la prestación de servicios. Mientras la pensión responde a un derecho adquirido en el marco del Sistema de Seguridad Social, el ingreso contractual constituye la contraprestación por la actividad efectivamente desarrollada. En tal sentido, no existe razón constitucional o legal para suspender la mesada pensional por el solo hecho de la vinculación, salvo que se configure una situación expresamente prohibida, como la doble asignación del tesoro público en los términos del artículo 128 de la Constitución Política.</w:t>
      </w:r>
    </w:p>
    <w:p w14:paraId="7BF96986" w14:textId="77777777" w:rsidR="00B37198" w:rsidRPr="00751148" w:rsidRDefault="00B37198" w:rsidP="00B37198">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Ahora bien, </w:t>
      </w:r>
      <w:r w:rsidRPr="00751148">
        <w:rPr>
          <w:rFonts w:ascii="Verdana" w:eastAsia="Calibri" w:hAnsi="Verdana" w:cs="Arial"/>
          <w:color w:val="000000" w:themeColor="text1"/>
        </w:rPr>
        <w:t>el hecho de que no se configure una causal de inhabilidad o incompatibilidad no significa que, en todos los casos, pueda celebrarse válidamente un contrato de prestación de servicios. Para ello, deben cumplirse los requisitos propios de esta modalidad contractual, teniendo en cuenta su carácter excepcional, en la medida en que solo es procedente cuando las actividades no puedan realizarse con personal de planta o requieran conocimientos especializados, circunstancia que debe justificarse de manera suficiente en los estudios previos. Adicionalmente, el contrato debe ser de naturaleza temporal y no puede utilizarse para la conformación de nóminas paralelas ni para encubrir relaciones laborales.</w:t>
      </w:r>
    </w:p>
    <w:p w14:paraId="2A523889" w14:textId="77777777" w:rsidR="00B37198" w:rsidRPr="00751148" w:rsidRDefault="00B37198" w:rsidP="00B37198">
      <w:pPr>
        <w:spacing w:after="120" w:line="276" w:lineRule="auto"/>
        <w:ind w:firstLine="709"/>
        <w:jc w:val="both"/>
        <w:rPr>
          <w:rFonts w:ascii="Verdana" w:eastAsia="Calibri" w:hAnsi="Verdana" w:cs="Arial"/>
          <w:color w:val="000000" w:themeColor="text1"/>
        </w:rPr>
      </w:pPr>
      <w:r w:rsidRPr="00751148">
        <w:rPr>
          <w:rFonts w:ascii="Verdana" w:eastAsia="Calibri" w:hAnsi="Verdana" w:cs="Arial"/>
          <w:color w:val="000000" w:themeColor="text1"/>
        </w:rPr>
        <w:t>Así mismo, la entidad contratante debe realizar un análisis cuidadoso de las condiciones de ejecución del contrato, valorando la complejidad y el alcance de las actividades encomendadas, con el fin de determinar si el contratista cuenta con la capacidad jurídica, técnica y operativa para ejecutarlas adecuadamente. En el caso de personas pensionadas por invalidez, este análisis debe incluir la verificación de que las actividades objeto del contrato sean compatibles con el grado de pérdida de capacidad laboral reconocido, sin que ello implique, por sí mismo, una valoración o decisión de carácter pensional, la cual corresponde a las autoridades competentes del sistema de seguridad social.</w:t>
      </w:r>
    </w:p>
    <w:p w14:paraId="2F4FA72D" w14:textId="77777777" w:rsidR="00B37198" w:rsidRPr="00751148" w:rsidRDefault="00B37198" w:rsidP="00B37198">
      <w:pPr>
        <w:spacing w:after="120" w:line="276" w:lineRule="auto"/>
        <w:ind w:firstLine="709"/>
        <w:jc w:val="both"/>
        <w:rPr>
          <w:rFonts w:ascii="Verdana" w:eastAsia="Calibri" w:hAnsi="Verdana" w:cs="Arial"/>
          <w:color w:val="000000" w:themeColor="text1"/>
        </w:rPr>
      </w:pPr>
      <w:r w:rsidRPr="00751148">
        <w:rPr>
          <w:rFonts w:ascii="Verdana" w:eastAsia="Calibri" w:hAnsi="Verdana" w:cs="Arial"/>
          <w:color w:val="000000" w:themeColor="text1"/>
        </w:rPr>
        <w:t>Adicionalmente, las entidades estatales deben identificar la eventual configuración de situaciones que puedan revestir la connotación de conflicto de interés, derivadas de la concurrencia de intereses contrapuestos que comprometan la transparencia, independencia o rectitud de las actuaciones del contratista. En este punto, resulta aplicable el principio de moralidad administrativa consagrado en el artículo 209 de la Constitución Política, así como los deberes de lealtad y buena fe que rigen la actuación de los particulares que celebran y ejecutan contratos con el Estado, conforme a los artículos 3 y 5 de la Ley 80 de 1993.</w:t>
      </w:r>
    </w:p>
    <w:p w14:paraId="1DCD4729" w14:textId="77777777" w:rsidR="00B37198" w:rsidRPr="00751148" w:rsidRDefault="00B37198" w:rsidP="00B37198">
      <w:pPr>
        <w:spacing w:after="120" w:line="276" w:lineRule="auto"/>
        <w:ind w:firstLine="709"/>
        <w:jc w:val="both"/>
        <w:rPr>
          <w:rFonts w:ascii="Verdana" w:eastAsia="Calibri" w:hAnsi="Verdana" w:cs="Arial"/>
          <w:color w:val="000000" w:themeColor="text1"/>
        </w:rPr>
      </w:pPr>
      <w:r w:rsidRPr="00751148">
        <w:rPr>
          <w:rFonts w:ascii="Verdana" w:eastAsia="Calibri" w:hAnsi="Verdana" w:cs="Arial"/>
          <w:color w:val="000000" w:themeColor="text1"/>
        </w:rPr>
        <w:lastRenderedPageBreak/>
        <w:t>La institución del conflicto de intereses, aunque no se encuentra definida de manera general en el Estatuto General de Contratación de la Administración Pública, puede ser regulada por las entidades estatales a través de los pliegos de condiciones o de las minutas contractuales, siempre que las causales correspondientes se encuentren debidamente tipificadas y respondan a criterios de objetividad. En este sentido, la Sala de Consulta y Servicio Civil del Consejo de Estado ha admitido la inclusión de causales de conflicto de interés, bajo la condición de que estas sean claras, precisas, objetivas y restrictivas, de modo que permitan a los interesados conocer, desde el inicio del proceso contractual, las situaciones que podrían impedir su participación.</w:t>
      </w:r>
    </w:p>
    <w:p w14:paraId="672FB341" w14:textId="77777777" w:rsidR="00B37198" w:rsidRPr="00751148" w:rsidRDefault="00B37198" w:rsidP="00B37198">
      <w:pPr>
        <w:spacing w:after="120" w:line="276" w:lineRule="auto"/>
        <w:ind w:firstLine="709"/>
        <w:jc w:val="both"/>
        <w:rPr>
          <w:rFonts w:ascii="Verdana" w:eastAsia="Calibri" w:hAnsi="Verdana" w:cs="Arial"/>
          <w:color w:val="000000" w:themeColor="text1"/>
        </w:rPr>
      </w:pPr>
      <w:r w:rsidRPr="00751148">
        <w:rPr>
          <w:rFonts w:ascii="Verdana" w:eastAsia="Calibri" w:hAnsi="Verdana" w:cs="Arial"/>
          <w:color w:val="000000" w:themeColor="text1"/>
        </w:rPr>
        <w:t>De conformidad con lo anterior, únicamente pueden aplicarse las causales de conflicto de interés que se encuentren expresamente tipificadas en la Constitución, en la ley, en los pliegos de condiciones o en el contrato. En ausencia de tales previsiones, debe partirse del principio general de capacidad contractual del proponente o contratista, sin perjuicio del deber que le asiste a la entidad estatal de verificar, en cada caso concreto, la existencia de situaciones que puedan comprometer los principios de transparencia, moralidad e imparcialidad que rigen la contratación pública.</w:t>
      </w:r>
    </w:p>
    <w:p w14:paraId="2BFCA9C5" w14:textId="77777777" w:rsidR="00B37198" w:rsidRDefault="00B37198" w:rsidP="00B37198">
      <w:pPr>
        <w:spacing w:after="120" w:line="276" w:lineRule="auto"/>
        <w:ind w:firstLine="709"/>
        <w:jc w:val="both"/>
        <w:rPr>
          <w:rFonts w:ascii="Verdana" w:eastAsia="Calibri" w:hAnsi="Verdana" w:cs="Arial"/>
          <w:color w:val="000000" w:themeColor="text1"/>
        </w:rPr>
      </w:pPr>
      <w:r w:rsidRPr="00751148">
        <w:rPr>
          <w:rFonts w:ascii="Verdana" w:eastAsia="Calibri" w:hAnsi="Verdana" w:cs="Arial"/>
          <w:color w:val="000000" w:themeColor="text1"/>
        </w:rPr>
        <w:t>En conclusión, no existe una causal de inhabilidad o incompatibilidad que prohíba que una persona natural pensionada por invalidez celebre un contrato de prestación de servicios con una entidad estatal, ni se restringe su capacidad jurídica por el solo hecho de ostentar dicha condición. Sin embargo, corresponde a la entidad contratante verificar, en el marco concreto del contrato, el cumplimiento de los requisitos legales y jurisprudenciales propios de esta modalidad contractual, así como la inexistencia de conflictos de interés y la compatibilidad funcional de las actividades contratadas, sin que estas verificaciones sustituyan las competencias propias de las autoridades del sistema de seguridad social.</w:t>
      </w:r>
    </w:p>
    <w:p w14:paraId="1709A649" w14:textId="77777777" w:rsidR="00B37198" w:rsidRPr="003D07F3" w:rsidRDefault="00B37198" w:rsidP="00B37198">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Por otro lado, vale la pena advertir que, e</w:t>
      </w:r>
      <w:r w:rsidRPr="003D07F3">
        <w:rPr>
          <w:rFonts w:ascii="Verdana" w:eastAsia="Calibri" w:hAnsi="Verdana" w:cs="Arial"/>
          <w:color w:val="000000" w:themeColor="text1"/>
        </w:rPr>
        <w:t xml:space="preserve">n materia de contratación estatal, el pago de los aportes al Sistema de Seguridad Social Integral constituye una obligación legal a cargo de los contratistas del Estado y un deber de verificación para las entidades estatales, conforme a lo dispuesto en los artículos 50 de la Ley 789 de 2002 y 23 de la Ley 1150 de 2007. Para las personas naturales, dicha verificación no constituye un requisito para la presentación de la oferta ni para el perfeccionamiento del contrato, sino que debe realizarse durante la ejecución </w:t>
      </w:r>
      <w:proofErr w:type="gramStart"/>
      <w:r w:rsidRPr="003D07F3">
        <w:rPr>
          <w:rFonts w:ascii="Verdana" w:eastAsia="Calibri" w:hAnsi="Verdana" w:cs="Arial"/>
          <w:color w:val="000000" w:themeColor="text1"/>
        </w:rPr>
        <w:t>del mismo</w:t>
      </w:r>
      <w:proofErr w:type="gramEnd"/>
      <w:r w:rsidRPr="003D07F3">
        <w:rPr>
          <w:rFonts w:ascii="Verdana" w:eastAsia="Calibri" w:hAnsi="Verdana" w:cs="Arial"/>
          <w:color w:val="000000" w:themeColor="text1"/>
        </w:rPr>
        <w:t>, al momento de efectuar los pagos y, cuando aplique, en la etapa de liquidación.</w:t>
      </w:r>
    </w:p>
    <w:p w14:paraId="683D0F71" w14:textId="77777777" w:rsidR="00B37198" w:rsidRPr="003D07F3" w:rsidRDefault="00B37198" w:rsidP="00B37198">
      <w:pPr>
        <w:spacing w:after="120" w:line="276" w:lineRule="auto"/>
        <w:ind w:firstLine="709"/>
        <w:jc w:val="both"/>
        <w:rPr>
          <w:rFonts w:ascii="Verdana" w:eastAsia="Calibri" w:hAnsi="Verdana" w:cs="Arial"/>
          <w:color w:val="000000" w:themeColor="text1"/>
        </w:rPr>
      </w:pPr>
      <w:r w:rsidRPr="003D07F3">
        <w:rPr>
          <w:rFonts w:ascii="Verdana" w:eastAsia="Calibri" w:hAnsi="Verdana" w:cs="Arial"/>
          <w:color w:val="000000" w:themeColor="text1"/>
        </w:rPr>
        <w:lastRenderedPageBreak/>
        <w:t>Ahora bien, tratándose de personas naturales pensionadas que celebran contratos de prestación de servicios con entidades estatales, es necesario distinguir entre las obligaciones frente al Sistema General de Pensiones y las correspondientes al Sistema General de Seguridad Social en Salud. En relación con el Sistema General de Pensiones, el artículo 4 de la Ley 797 de 2003 establece expresamente que la obligación de cotizar cesa cuando el afiliado accede a la pensión por invalidez o de manera anticipada. En consecuencia, una persona pensionada por invalidez que celebre un contrato de prestación de servicios no se encuentra obligada a efectuar aportes al Sistema General de Pensiones durante la ejecución del contrato, por expresa disposición legal.</w:t>
      </w:r>
    </w:p>
    <w:p w14:paraId="0986427D" w14:textId="77777777" w:rsidR="00B37198" w:rsidRPr="003D07F3" w:rsidRDefault="00B37198" w:rsidP="00B37198">
      <w:pPr>
        <w:spacing w:after="120" w:line="276" w:lineRule="auto"/>
        <w:ind w:firstLine="709"/>
        <w:jc w:val="both"/>
        <w:rPr>
          <w:rFonts w:ascii="Verdana" w:eastAsia="Calibri" w:hAnsi="Verdana" w:cs="Arial"/>
          <w:color w:val="000000" w:themeColor="text1"/>
        </w:rPr>
      </w:pPr>
      <w:r w:rsidRPr="003D07F3">
        <w:rPr>
          <w:rFonts w:ascii="Verdana" w:eastAsia="Calibri" w:hAnsi="Verdana" w:cs="Arial"/>
          <w:color w:val="000000" w:themeColor="text1"/>
        </w:rPr>
        <w:t>Distinto es el caso del Sistema General de Seguridad Social en Salud. De conformidad con el artículo 2.1.4.1 del Decreto 780 de 2016 y el artículo 16 del Decreto 1406 de 1999, los contratistas de prestación de servicios son considerados trabajadores independientes y, como tales, deben afiliarse y cotizar al régimen contributivo del sistema de salud, siempre que perciban ingresos iguales o superiores a un salario mínimo mensual legal vigente. La normativa vigente no prevé una exclusión para las personas pensionadas respecto de esta obligación, razón por la cual estas deben efectuar los aportes al sistema de salud en calidad de cotizantes.</w:t>
      </w:r>
    </w:p>
    <w:p w14:paraId="7EB1601E" w14:textId="77777777" w:rsidR="00B37198" w:rsidRPr="003D07F3" w:rsidRDefault="00B37198" w:rsidP="00B37198">
      <w:pPr>
        <w:spacing w:after="120" w:line="276" w:lineRule="auto"/>
        <w:ind w:firstLine="709"/>
        <w:jc w:val="both"/>
        <w:rPr>
          <w:rFonts w:ascii="Verdana" w:eastAsia="Calibri" w:hAnsi="Verdana" w:cs="Arial"/>
          <w:color w:val="000000" w:themeColor="text1"/>
        </w:rPr>
      </w:pPr>
      <w:r w:rsidRPr="003D07F3">
        <w:rPr>
          <w:rFonts w:ascii="Verdana" w:eastAsia="Calibri" w:hAnsi="Verdana" w:cs="Arial"/>
          <w:color w:val="000000" w:themeColor="text1"/>
        </w:rPr>
        <w:t>En cuanto a la forma y oportunidad del pago de los aportes al Sistema de Seguridad Social Integral, la Ley 1955 de 2019 dispuso que los trabajadores independientes que celebren contratos de prestación de servicios personales deben cotizar mes vencido, sobre una base mínima equivalente al cuarenta por ciento (40 %) del valor mensualizado del contrato, sin incluir el IVA, y que el pago de dichos aportes debe realizarse directamente por el contratista a través de la Planilla Integrada de Liquidación de Aportes (PILA). En consecuencia, para efectos del pago de honorarios, las entidades estatales deben verificar que el contratista acredite el cumplimiento de sus obligaciones frente al sistema de salud correspondientes al período inmediatamente anterior al pago que se pretende efectuar.</w:t>
      </w:r>
    </w:p>
    <w:p w14:paraId="75C14D44" w14:textId="77777777" w:rsidR="00B37198" w:rsidRPr="003A380F" w:rsidRDefault="00B37198" w:rsidP="00B37198">
      <w:pPr>
        <w:spacing w:after="120" w:line="276" w:lineRule="auto"/>
        <w:ind w:firstLine="709"/>
        <w:jc w:val="both"/>
        <w:rPr>
          <w:rFonts w:ascii="Verdana" w:eastAsia="Calibri" w:hAnsi="Verdana" w:cs="Arial"/>
          <w:bCs/>
          <w:color w:val="000000" w:themeColor="text1"/>
        </w:rPr>
      </w:pPr>
      <w:r w:rsidRPr="003D07F3">
        <w:rPr>
          <w:rFonts w:ascii="Verdana" w:eastAsia="Calibri" w:hAnsi="Verdana" w:cs="Arial"/>
          <w:color w:val="000000" w:themeColor="text1"/>
        </w:rPr>
        <w:t xml:space="preserve">Finalmente, de conformidad con el artículo 50 de la Ley 789 de 2002, las entidades estatales tienen el deber de verificar y dejar constancia del cumplimiento de las obligaciones del contratista frente al Sistema de Seguridad Social Integral durante toda la vigencia del contrato, lo cual comprende no solo el plazo de ejecución, sino también aquellas etapas posteriores en las que subsistan obligaciones contractuales. En este marco, la verificación debe realizarse atendiendo las reglas propias de la cotización mes vencido y sin exigir </w:t>
      </w:r>
      <w:r w:rsidRPr="003D07F3">
        <w:rPr>
          <w:rFonts w:ascii="Verdana" w:eastAsia="Calibri" w:hAnsi="Verdana" w:cs="Arial"/>
          <w:color w:val="000000" w:themeColor="text1"/>
        </w:rPr>
        <w:lastRenderedPageBreak/>
        <w:t>al contratista aportes correspondientes a períodos que aún no se encuentren causados, pues ello excedería el alcance del deber legal de control asignado a la entidad contratante.</w:t>
      </w:r>
    </w:p>
    <w:p w14:paraId="13BE18FA" w14:textId="77777777" w:rsidR="00B37198" w:rsidRDefault="00B37198" w:rsidP="00B37198">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7ED0D841" w14:textId="77777777" w:rsidR="00B37198" w:rsidRPr="00742E8D" w:rsidRDefault="00B37198" w:rsidP="00B37198">
      <w:pPr>
        <w:spacing w:after="0" w:line="276" w:lineRule="auto"/>
        <w:ind w:firstLine="708"/>
        <w:jc w:val="both"/>
        <w:rPr>
          <w:rFonts w:ascii="Verdana" w:hAnsi="Verdana" w:cs="Arial"/>
          <w:bCs/>
          <w:color w:val="000000" w:themeColor="text1"/>
        </w:rPr>
      </w:pPr>
    </w:p>
    <w:p w14:paraId="2D05209D" w14:textId="77777777" w:rsidR="00B37198" w:rsidRPr="00A869FE" w:rsidRDefault="00B37198" w:rsidP="00B37198">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Referencias normativas:</w:t>
      </w:r>
    </w:p>
    <w:p w14:paraId="38C0E933" w14:textId="77777777" w:rsidR="00B37198" w:rsidRPr="00A869FE" w:rsidRDefault="00B37198" w:rsidP="00B37198">
      <w:pPr>
        <w:widowControl w:val="0"/>
        <w:autoSpaceDE w:val="0"/>
        <w:autoSpaceDN w:val="0"/>
        <w:spacing w:after="0" w:line="276" w:lineRule="auto"/>
        <w:jc w:val="both"/>
        <w:rPr>
          <w:rFonts w:ascii="Verdana" w:hAnsi="Verdana" w:cs="Aria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37198" w:rsidRPr="0003173F" w14:paraId="51C8FC3A" w14:textId="77777777" w:rsidTr="00093697">
        <w:trPr>
          <w:trHeight w:val="491"/>
          <w:jc w:val="center"/>
        </w:trPr>
        <w:tc>
          <w:tcPr>
            <w:tcW w:w="8647" w:type="dxa"/>
          </w:tcPr>
          <w:p w14:paraId="5BBF0BEA" w14:textId="77777777" w:rsidR="00B37198" w:rsidRPr="00DC7C22" w:rsidRDefault="00B37198" w:rsidP="00B37198">
            <w:pPr>
              <w:numPr>
                <w:ilvl w:val="0"/>
                <w:numId w:val="3"/>
              </w:numPr>
              <w:spacing w:line="256" w:lineRule="auto"/>
              <w:contextualSpacing/>
              <w:jc w:val="both"/>
              <w:rPr>
                <w:rFonts w:ascii="Verdana" w:hAnsi="Verdana" w:cs="Arial"/>
                <w:lang w:val="es-ES_tradnl"/>
              </w:rPr>
            </w:pPr>
            <w:r w:rsidRPr="00DC7C22">
              <w:rPr>
                <w:rFonts w:ascii="Verdana" w:hAnsi="Verdana" w:cs="Arial"/>
                <w:lang w:val="es-ES_tradnl"/>
              </w:rPr>
              <w:t xml:space="preserve">Ley 80 de 1993, artículos </w:t>
            </w:r>
            <w:r>
              <w:rPr>
                <w:rFonts w:ascii="Verdana" w:hAnsi="Verdana" w:cs="Arial"/>
                <w:lang w:val="es-ES_tradnl"/>
              </w:rPr>
              <w:t xml:space="preserve">3, </w:t>
            </w:r>
            <w:r w:rsidRPr="00DC7C22">
              <w:rPr>
                <w:rFonts w:ascii="Verdana" w:hAnsi="Verdana" w:cs="Arial"/>
                <w:lang w:val="es-ES_tradnl"/>
              </w:rPr>
              <w:t>6</w:t>
            </w:r>
            <w:r>
              <w:rPr>
                <w:rFonts w:ascii="Verdana" w:hAnsi="Verdana" w:cs="Arial"/>
                <w:lang w:val="es-ES_tradnl"/>
              </w:rPr>
              <w:t xml:space="preserve"> y </w:t>
            </w:r>
            <w:r w:rsidRPr="00DC7C22">
              <w:rPr>
                <w:rFonts w:ascii="Verdana" w:hAnsi="Verdana" w:cs="Arial"/>
                <w:lang w:val="es-ES_tradnl"/>
              </w:rPr>
              <w:t>8</w:t>
            </w:r>
          </w:p>
          <w:p w14:paraId="4B38E74D" w14:textId="77777777" w:rsidR="00B37198" w:rsidRPr="00DC7C22" w:rsidRDefault="00B37198" w:rsidP="00B37198">
            <w:pPr>
              <w:numPr>
                <w:ilvl w:val="0"/>
                <w:numId w:val="3"/>
              </w:numPr>
              <w:spacing w:line="256" w:lineRule="auto"/>
              <w:contextualSpacing/>
              <w:jc w:val="both"/>
              <w:rPr>
                <w:rFonts w:ascii="Verdana" w:hAnsi="Verdana" w:cs="Arial"/>
                <w:lang w:val="es-ES_tradnl"/>
              </w:rPr>
            </w:pPr>
            <w:r w:rsidRPr="00DC7C22">
              <w:rPr>
                <w:rFonts w:ascii="Verdana" w:hAnsi="Verdana" w:cs="Arial"/>
                <w:lang w:val="es-ES_tradnl"/>
              </w:rPr>
              <w:t>Código Civil, artículo 150</w:t>
            </w:r>
            <w:r>
              <w:rPr>
                <w:rFonts w:ascii="Verdana" w:hAnsi="Verdana" w:cs="Arial"/>
                <w:lang w:val="es-ES_tradnl"/>
              </w:rPr>
              <w:t>2</w:t>
            </w:r>
          </w:p>
          <w:p w14:paraId="610E3FE6" w14:textId="77777777" w:rsidR="00B37198" w:rsidRPr="00DC7C22" w:rsidRDefault="00B37198" w:rsidP="00B37198">
            <w:pPr>
              <w:numPr>
                <w:ilvl w:val="0"/>
                <w:numId w:val="3"/>
              </w:numPr>
              <w:spacing w:line="256" w:lineRule="auto"/>
              <w:contextualSpacing/>
              <w:jc w:val="both"/>
              <w:rPr>
                <w:rFonts w:ascii="Verdana" w:hAnsi="Verdana" w:cs="Arial"/>
                <w:lang w:val="es-ES_tradnl"/>
              </w:rPr>
            </w:pPr>
            <w:r w:rsidRPr="00DC7C22">
              <w:rPr>
                <w:rFonts w:ascii="Verdana" w:hAnsi="Verdana" w:cs="Arial"/>
                <w:lang w:val="es-ES_tradnl"/>
              </w:rPr>
              <w:t>Corte Constitucional. Sentencia T-1039 de 2006 Magistrado Ponente: Humberto Sierra Porto</w:t>
            </w:r>
          </w:p>
          <w:p w14:paraId="7AB64CF8" w14:textId="77777777" w:rsidR="00B37198" w:rsidRPr="00DC7C22" w:rsidRDefault="00B37198" w:rsidP="00B37198">
            <w:pPr>
              <w:numPr>
                <w:ilvl w:val="0"/>
                <w:numId w:val="3"/>
              </w:numPr>
              <w:spacing w:line="256" w:lineRule="auto"/>
              <w:contextualSpacing/>
              <w:jc w:val="both"/>
              <w:rPr>
                <w:rFonts w:ascii="Verdana" w:hAnsi="Verdana" w:cs="Arial"/>
                <w:lang w:val="es-ES"/>
              </w:rPr>
            </w:pPr>
            <w:r w:rsidRPr="6EF52751">
              <w:rPr>
                <w:rFonts w:ascii="Verdana" w:hAnsi="Verdana" w:cs="Arial"/>
                <w:lang w:val="es-ES"/>
              </w:rPr>
              <w:t>Consejo de Estado. Sala de Consulta y Servicio Civil. Concepto del 30 de abril de 2015. Expediente: 2251. Consejero Ponente: Álvaro Namén Vargas</w:t>
            </w:r>
          </w:p>
          <w:p w14:paraId="3EB3ADF2" w14:textId="77777777" w:rsidR="00B37198" w:rsidRPr="00DC7C22" w:rsidRDefault="00B37198" w:rsidP="00B37198">
            <w:pPr>
              <w:numPr>
                <w:ilvl w:val="0"/>
                <w:numId w:val="3"/>
              </w:numPr>
              <w:spacing w:line="256" w:lineRule="auto"/>
              <w:contextualSpacing/>
              <w:jc w:val="both"/>
              <w:rPr>
                <w:rFonts w:ascii="Verdana" w:hAnsi="Verdana" w:cs="Arial"/>
                <w:lang w:val="es-ES"/>
              </w:rPr>
            </w:pPr>
            <w:r w:rsidRPr="6EF52751">
              <w:rPr>
                <w:rFonts w:ascii="Verdana" w:hAnsi="Verdana" w:cs="Arial"/>
                <w:lang w:val="es-ES"/>
              </w:rPr>
              <w:t xml:space="preserve">Consejo de Estado. Sección Tercera. Subsección A. Sentencia del 24 de junio de 2015. </w:t>
            </w:r>
            <w:proofErr w:type="spellStart"/>
            <w:r w:rsidRPr="6EF52751">
              <w:rPr>
                <w:rFonts w:ascii="Verdana" w:hAnsi="Verdana" w:cs="Arial"/>
                <w:lang w:val="es-ES"/>
              </w:rPr>
              <w:t>Exp</w:t>
            </w:r>
            <w:proofErr w:type="spellEnd"/>
            <w:r w:rsidRPr="6EF52751">
              <w:rPr>
                <w:rFonts w:ascii="Verdana" w:hAnsi="Verdana" w:cs="Arial"/>
                <w:lang w:val="es-ES"/>
              </w:rPr>
              <w:t>. 40.635. Consejero Ponente: Hernán Andrade Rincón (E).</w:t>
            </w:r>
          </w:p>
          <w:p w14:paraId="0E24ED77" w14:textId="77777777" w:rsidR="00B37198" w:rsidRPr="006E11B8" w:rsidRDefault="00B37198" w:rsidP="00B37198">
            <w:pPr>
              <w:widowControl w:val="0"/>
              <w:numPr>
                <w:ilvl w:val="0"/>
                <w:numId w:val="3"/>
              </w:numPr>
              <w:autoSpaceDE w:val="0"/>
              <w:autoSpaceDN w:val="0"/>
              <w:spacing w:line="276" w:lineRule="auto"/>
              <w:jc w:val="both"/>
              <w:rPr>
                <w:rFonts w:ascii="Verdana" w:hAnsi="Verdana" w:cs="Arial"/>
              </w:rPr>
            </w:pPr>
            <w:r w:rsidRPr="6EF52751">
              <w:rPr>
                <w:rFonts w:ascii="Verdana" w:hAnsi="Verdana" w:cs="Arial"/>
                <w:lang w:val="es-ES"/>
              </w:rPr>
              <w:t xml:space="preserve">Consejo de Estado. Sección Tercera. Subsección C. Sentencia del 22 de mayo de 2013. </w:t>
            </w:r>
            <w:proofErr w:type="spellStart"/>
            <w:r w:rsidRPr="6EF52751">
              <w:rPr>
                <w:rFonts w:ascii="Verdana" w:hAnsi="Verdana" w:cs="Arial"/>
                <w:lang w:val="es-ES"/>
              </w:rPr>
              <w:t>Exp</w:t>
            </w:r>
            <w:proofErr w:type="spellEnd"/>
            <w:r w:rsidRPr="6EF52751">
              <w:rPr>
                <w:rFonts w:ascii="Verdana" w:hAnsi="Verdana" w:cs="Arial"/>
                <w:lang w:val="es-ES"/>
              </w:rPr>
              <w:t>. 24.057. Consejera Ponente: Olga Melida Valle De La Hoz.</w:t>
            </w:r>
          </w:p>
          <w:p w14:paraId="39B6ABD2" w14:textId="77777777" w:rsidR="00B37198" w:rsidRPr="00B37198" w:rsidRDefault="00B37198" w:rsidP="00B37198">
            <w:pPr>
              <w:widowControl w:val="0"/>
              <w:numPr>
                <w:ilvl w:val="0"/>
                <w:numId w:val="3"/>
              </w:numPr>
              <w:autoSpaceDE w:val="0"/>
              <w:autoSpaceDN w:val="0"/>
              <w:spacing w:line="276" w:lineRule="auto"/>
              <w:jc w:val="both"/>
              <w:rPr>
                <w:rFonts w:ascii="Verdana" w:hAnsi="Verdana" w:cs="Arial"/>
                <w:lang w:val="pt-BR"/>
              </w:rPr>
            </w:pPr>
            <w:r w:rsidRPr="006E11B8">
              <w:rPr>
                <w:rFonts w:ascii="Verdana" w:hAnsi="Verdana" w:cs="Arial"/>
              </w:rPr>
              <w:t xml:space="preserve">Departamento Administrativo de la Función Pública. </w:t>
            </w:r>
            <w:r w:rsidRPr="006E11B8">
              <w:rPr>
                <w:rFonts w:ascii="Verdana" w:hAnsi="Verdana" w:cs="Arial"/>
                <w:lang w:val="pt-BR"/>
              </w:rPr>
              <w:t xml:space="preserve">Concepto 154851 de 2023. REF: INHABILIDADES E INCOMPATIBILIDADES. Pensionado. Pensionado por invalidez para ser </w:t>
            </w:r>
            <w:proofErr w:type="spellStart"/>
            <w:r w:rsidRPr="006E11B8">
              <w:rPr>
                <w:rFonts w:ascii="Verdana" w:hAnsi="Verdana" w:cs="Arial"/>
                <w:lang w:val="pt-BR"/>
              </w:rPr>
              <w:t>empleado</w:t>
            </w:r>
            <w:proofErr w:type="spellEnd"/>
            <w:r w:rsidRPr="006E11B8">
              <w:rPr>
                <w:rFonts w:ascii="Verdana" w:hAnsi="Verdana" w:cs="Arial"/>
                <w:lang w:val="pt-BR"/>
              </w:rPr>
              <w:t xml:space="preserve"> público o contratista. RAD.: 20232060168272 </w:t>
            </w:r>
            <w:proofErr w:type="spellStart"/>
            <w:r w:rsidRPr="006E11B8">
              <w:rPr>
                <w:rFonts w:ascii="Verdana" w:hAnsi="Verdana" w:cs="Arial"/>
                <w:lang w:val="pt-BR"/>
              </w:rPr>
              <w:t>del</w:t>
            </w:r>
            <w:proofErr w:type="spellEnd"/>
            <w:r w:rsidRPr="006E11B8">
              <w:rPr>
                <w:rFonts w:ascii="Verdana" w:hAnsi="Verdana" w:cs="Arial"/>
                <w:lang w:val="pt-BR"/>
              </w:rPr>
              <w:t xml:space="preserve"> 16 de </w:t>
            </w:r>
            <w:proofErr w:type="spellStart"/>
            <w:r w:rsidRPr="006E11B8">
              <w:rPr>
                <w:rFonts w:ascii="Verdana" w:hAnsi="Verdana" w:cs="Arial"/>
                <w:lang w:val="pt-BR"/>
              </w:rPr>
              <w:t>marzo</w:t>
            </w:r>
            <w:proofErr w:type="spellEnd"/>
            <w:r w:rsidRPr="006E11B8">
              <w:rPr>
                <w:rFonts w:ascii="Verdana" w:hAnsi="Verdana" w:cs="Arial"/>
                <w:lang w:val="pt-BR"/>
              </w:rPr>
              <w:t xml:space="preserve"> de 2023. </w:t>
            </w:r>
            <w:r w:rsidRPr="00B37198">
              <w:rPr>
                <w:rFonts w:ascii="Verdana" w:hAnsi="Verdana" w:cs="Arial"/>
                <w:lang w:val="pt-BR"/>
              </w:rPr>
              <w:t xml:space="preserve">Consultar en: </w:t>
            </w:r>
            <w:hyperlink r:id="rId12" w:history="1">
              <w:r w:rsidRPr="00B37198">
                <w:rPr>
                  <w:rStyle w:val="Hipervnculo"/>
                  <w:rFonts w:ascii="Verdana" w:hAnsi="Verdana" w:cs="Arial"/>
                  <w:lang w:val="pt-BR"/>
                </w:rPr>
                <w:t>https://www.funcionpublica.gov.co/eva/gestornormativo/norma.php?i=215264</w:t>
              </w:r>
            </w:hyperlink>
            <w:r w:rsidRPr="00B37198">
              <w:rPr>
                <w:rFonts w:ascii="Verdana" w:hAnsi="Verdana" w:cs="Arial"/>
                <w:lang w:val="pt-BR"/>
              </w:rPr>
              <w:t xml:space="preserve">  </w:t>
            </w:r>
          </w:p>
          <w:p w14:paraId="2FEA7CF8" w14:textId="77777777" w:rsidR="00B37198" w:rsidRPr="0003173F" w:rsidRDefault="00B37198" w:rsidP="00B37198">
            <w:pPr>
              <w:widowControl w:val="0"/>
              <w:numPr>
                <w:ilvl w:val="0"/>
                <w:numId w:val="3"/>
              </w:numPr>
              <w:autoSpaceDE w:val="0"/>
              <w:autoSpaceDN w:val="0"/>
              <w:spacing w:line="276" w:lineRule="auto"/>
              <w:jc w:val="both"/>
              <w:rPr>
                <w:rFonts w:ascii="Verdana" w:hAnsi="Verdana" w:cs="Arial"/>
              </w:rPr>
            </w:pPr>
            <w:r w:rsidRPr="006E11B8">
              <w:rPr>
                <w:rFonts w:ascii="Verdana" w:hAnsi="Verdana" w:cs="Arial"/>
              </w:rPr>
              <w:t xml:space="preserve">Departamento Administrativo de la Función Pública. </w:t>
            </w:r>
            <w:r w:rsidRPr="006E11B8">
              <w:rPr>
                <w:rFonts w:ascii="Verdana" w:hAnsi="Verdana" w:cs="Arial"/>
                <w:lang w:val="pt-BR"/>
              </w:rPr>
              <w:t xml:space="preserve">Concepto 190381 de 2024. REF: INHABILIDADES E INCOMPATIBILIDADES. </w:t>
            </w:r>
            <w:r w:rsidRPr="006E11B8">
              <w:rPr>
                <w:rFonts w:ascii="Verdana" w:hAnsi="Verdana" w:cs="Arial"/>
              </w:rPr>
              <w:t xml:space="preserve">Pensionado. Posibilidad de que pensionado por invalidez ingrese al servicio público. RAD. 20242060246392 del 15 de marzo de 2024. Consultar: </w:t>
            </w:r>
            <w:hyperlink r:id="rId13" w:history="1">
              <w:r w:rsidRPr="00F64BEA">
                <w:rPr>
                  <w:rStyle w:val="Hipervnculo"/>
                  <w:rFonts w:ascii="Verdana" w:hAnsi="Verdana" w:cs="Arial"/>
                </w:rPr>
                <w:t>https://www.funcionpublica.gov.co/eva/gestornormativo/norma.php?i=262396</w:t>
              </w:r>
            </w:hyperlink>
            <w:r>
              <w:rPr>
                <w:rFonts w:ascii="Verdana" w:hAnsi="Verdana" w:cs="Arial"/>
              </w:rPr>
              <w:t xml:space="preserve"> </w:t>
            </w:r>
          </w:p>
        </w:tc>
      </w:tr>
    </w:tbl>
    <w:p w14:paraId="26811783" w14:textId="77777777" w:rsidR="00B37198" w:rsidRPr="0003173F" w:rsidRDefault="00B37198" w:rsidP="00B37198">
      <w:pPr>
        <w:widowControl w:val="0"/>
        <w:autoSpaceDE w:val="0"/>
        <w:autoSpaceDN w:val="0"/>
        <w:spacing w:after="0" w:line="276" w:lineRule="auto"/>
        <w:jc w:val="both"/>
        <w:rPr>
          <w:rFonts w:ascii="Verdana" w:hAnsi="Verdana" w:cs="Arial"/>
        </w:rPr>
      </w:pPr>
    </w:p>
    <w:p w14:paraId="416FB948" w14:textId="77777777" w:rsidR="00B37198" w:rsidRPr="00A869FE" w:rsidRDefault="00B37198" w:rsidP="00B37198">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Doctrina de la Agencia Nacional de Contratación Pública:</w:t>
      </w:r>
    </w:p>
    <w:p w14:paraId="7623DDF0" w14:textId="77777777" w:rsidR="00B37198" w:rsidRPr="00A869FE" w:rsidRDefault="00B37198" w:rsidP="00B37198">
      <w:pPr>
        <w:widowControl w:val="0"/>
        <w:autoSpaceDE w:val="0"/>
        <w:autoSpaceDN w:val="0"/>
        <w:spacing w:after="0" w:line="276" w:lineRule="auto"/>
        <w:jc w:val="both"/>
        <w:rPr>
          <w:rFonts w:ascii="Verdana" w:hAnsi="Verdana" w:cs="Arial"/>
        </w:rPr>
      </w:pPr>
    </w:p>
    <w:p w14:paraId="590637C6" w14:textId="77777777" w:rsidR="00B37198" w:rsidRPr="00B46DB7" w:rsidRDefault="00B37198" w:rsidP="00B37198">
      <w:pPr>
        <w:widowControl w:val="0"/>
        <w:autoSpaceDE w:val="0"/>
        <w:autoSpaceDN w:val="0"/>
        <w:spacing w:after="0" w:line="276" w:lineRule="auto"/>
        <w:jc w:val="both"/>
        <w:rPr>
          <w:rFonts w:ascii="Verdana" w:hAnsi="Verdana" w:cs="Arial"/>
          <w:bCs/>
          <w:shd w:val="clear" w:color="auto" w:fill="FFFFFF"/>
        </w:rPr>
      </w:pPr>
      <w:r w:rsidRPr="0053731C">
        <w:rPr>
          <w:rFonts w:ascii="Verdana" w:eastAsia="Calibri" w:hAnsi="Verdana" w:cs="Arial"/>
          <w:lang w:val="es-ES_tradnl" w:eastAsia="es-ES_tradnl"/>
        </w:rPr>
        <w:t xml:space="preserve">Sobre el régimen de inhabilidades e incompatibilidades se pronunció esta Subdirección en los conceptos </w:t>
      </w:r>
      <w:r w:rsidRPr="0053731C">
        <w:rPr>
          <w:rFonts w:ascii="Verdana" w:eastAsia="Calibri" w:hAnsi="Verdana" w:cs="Arial"/>
          <w:lang w:val="es-MX"/>
        </w:rPr>
        <w:t>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y C-039 del 23 de abril de 2024</w:t>
      </w:r>
      <w:r w:rsidRPr="0053731C">
        <w:rPr>
          <w:rFonts w:ascii="Verdana" w:hAnsi="Verdana" w:cs="Arial"/>
        </w:rPr>
        <w:t xml:space="preserve">. También se ha pronunciado sobre </w:t>
      </w:r>
      <w:r>
        <w:rPr>
          <w:rFonts w:ascii="Verdana" w:hAnsi="Verdana" w:cs="Arial"/>
        </w:rPr>
        <w:t>el conflicto de interés</w:t>
      </w:r>
      <w:r w:rsidRPr="0053731C">
        <w:rPr>
          <w:rFonts w:ascii="Verdana" w:hAnsi="Verdana" w:cs="Arial"/>
        </w:rPr>
        <w:t xml:space="preserve"> en los conceptos </w:t>
      </w:r>
      <w:r w:rsidRPr="007440AE">
        <w:rPr>
          <w:rFonts w:ascii="Verdana" w:hAnsi="Verdana" w:cs="Arial"/>
        </w:rPr>
        <w:t>C-229 del 16 de abril de 2020, C-815 del 18 de febrero de 2021</w:t>
      </w:r>
      <w:r>
        <w:rPr>
          <w:rFonts w:ascii="Verdana" w:hAnsi="Verdana" w:cs="Arial"/>
        </w:rPr>
        <w:t>,</w:t>
      </w:r>
      <w:r w:rsidRPr="007440AE">
        <w:rPr>
          <w:rFonts w:ascii="Verdana" w:hAnsi="Verdana" w:cs="Arial"/>
        </w:rPr>
        <w:t xml:space="preserve"> C-449 del 31 de agosto de 2021</w:t>
      </w:r>
      <w:r>
        <w:rPr>
          <w:rFonts w:ascii="Verdana" w:hAnsi="Verdana" w:cs="Arial"/>
        </w:rPr>
        <w:t>,</w:t>
      </w:r>
      <w:r w:rsidRPr="0053731C">
        <w:rPr>
          <w:rFonts w:ascii="Verdana" w:hAnsi="Verdana" w:cs="Arial"/>
        </w:rPr>
        <w:t xml:space="preserve"> C-</w:t>
      </w:r>
      <w:r>
        <w:rPr>
          <w:rFonts w:ascii="Verdana" w:hAnsi="Verdana" w:cs="Arial"/>
        </w:rPr>
        <w:t>288</w:t>
      </w:r>
      <w:r w:rsidRPr="0053731C">
        <w:rPr>
          <w:rFonts w:ascii="Verdana" w:hAnsi="Verdana" w:cs="Arial"/>
        </w:rPr>
        <w:t xml:space="preserve"> del </w:t>
      </w:r>
      <w:r>
        <w:rPr>
          <w:rFonts w:ascii="Verdana" w:hAnsi="Verdana" w:cs="Arial"/>
        </w:rPr>
        <w:t>14</w:t>
      </w:r>
      <w:r w:rsidRPr="0053731C">
        <w:rPr>
          <w:rFonts w:ascii="Verdana" w:hAnsi="Verdana" w:cs="Arial"/>
        </w:rPr>
        <w:t xml:space="preserve"> de</w:t>
      </w:r>
      <w:r>
        <w:rPr>
          <w:rFonts w:ascii="Verdana" w:hAnsi="Verdana" w:cs="Arial"/>
        </w:rPr>
        <w:t xml:space="preserve"> julio </w:t>
      </w:r>
      <w:r w:rsidRPr="0053731C">
        <w:rPr>
          <w:rFonts w:ascii="Verdana" w:hAnsi="Verdana" w:cs="Arial"/>
        </w:rPr>
        <w:t>de 202</w:t>
      </w:r>
      <w:r>
        <w:rPr>
          <w:rFonts w:ascii="Verdana" w:hAnsi="Verdana" w:cs="Arial"/>
        </w:rPr>
        <w:t>3, C-651 del 22 de octubre de 2024, C-680 del 15 de noviembre de 2024, C-693 del 19 de noviembre de 2024 y C-839 del 13 de diciembre de 2024</w:t>
      </w:r>
      <w:r w:rsidRPr="00C45C5D">
        <w:rPr>
          <w:rFonts w:ascii="Verdana" w:hAnsi="Verdana" w:cs="Arial"/>
          <w:shd w:val="clear" w:color="auto" w:fill="FFFFFF"/>
          <w:lang w:val="es-ES"/>
        </w:rPr>
        <w:t>.</w:t>
      </w:r>
      <w:r>
        <w:rPr>
          <w:rFonts w:ascii="Verdana" w:hAnsi="Verdana" w:cs="Arial"/>
          <w:bCs/>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sidRPr="00B46DB7">
        <w:rPr>
          <w:rFonts w:ascii="Verdana" w:hAnsi="Verdana" w:cs="Arial"/>
          <w:bCs/>
          <w:shd w:val="clear" w:color="auto" w:fill="FFFFFF"/>
        </w:rPr>
        <w:t> </w:t>
      </w:r>
    </w:p>
    <w:p w14:paraId="5E967CDF" w14:textId="77777777" w:rsidR="00B37198" w:rsidRDefault="00B37198" w:rsidP="00B37198">
      <w:pPr>
        <w:widowControl w:val="0"/>
        <w:autoSpaceDE w:val="0"/>
        <w:autoSpaceDN w:val="0"/>
        <w:spacing w:after="0" w:line="276" w:lineRule="auto"/>
        <w:jc w:val="both"/>
        <w:rPr>
          <w:rFonts w:ascii="Verdana" w:hAnsi="Verdana" w:cs="Arial"/>
          <w:shd w:val="clear" w:color="auto" w:fill="FFFFFF"/>
        </w:rPr>
      </w:pPr>
    </w:p>
    <w:p w14:paraId="4E415DF6" w14:textId="77777777" w:rsidR="00B37198" w:rsidRPr="00A869FE" w:rsidRDefault="00B37198" w:rsidP="00B37198">
      <w:pPr>
        <w:widowControl w:val="0"/>
        <w:autoSpaceDE w:val="0"/>
        <w:autoSpaceDN w:val="0"/>
        <w:spacing w:after="0" w:line="276" w:lineRule="auto"/>
        <w:jc w:val="both"/>
        <w:rPr>
          <w:rFonts w:ascii="Verdana" w:hAnsi="Verdana" w:cs="Arial"/>
          <w:color w:val="FF0000"/>
          <w:shd w:val="clear" w:color="auto" w:fill="FFFFFF"/>
        </w:rPr>
      </w:pPr>
      <w:hyperlink r:id="rId14" w:history="1">
        <w:r w:rsidRPr="00A869FE">
          <w:rPr>
            <w:rFonts w:ascii="Verdana" w:hAnsi="Verdana" w:cs="Arial"/>
            <w:color w:val="0000FF"/>
            <w:u w:val="single"/>
            <w:shd w:val="clear" w:color="auto" w:fill="FFFFFF"/>
          </w:rPr>
          <w:t>https://relatoria.colombiacompra.gov.co/busqueda/conceptos</w:t>
        </w:r>
      </w:hyperlink>
      <w:r w:rsidRPr="00A869FE">
        <w:rPr>
          <w:rFonts w:ascii="Verdana" w:hAnsi="Verdana" w:cs="Arial"/>
          <w:shd w:val="clear" w:color="auto" w:fill="FFFFFF"/>
        </w:rPr>
        <w:t xml:space="preserve">. </w:t>
      </w:r>
      <w:r w:rsidRPr="00A869FE">
        <w:rPr>
          <w:rFonts w:ascii="Verdana" w:hAnsi="Verdana" w:cs="Arial"/>
          <w:color w:val="FF0000"/>
          <w:shd w:val="clear" w:color="auto" w:fill="FFFFFF"/>
        </w:rPr>
        <w:t xml:space="preserve"> </w:t>
      </w:r>
    </w:p>
    <w:p w14:paraId="3CBE963C" w14:textId="77777777" w:rsidR="00B37198" w:rsidRPr="00A869FE" w:rsidRDefault="00B37198" w:rsidP="00B37198">
      <w:pPr>
        <w:widowControl w:val="0"/>
        <w:autoSpaceDE w:val="0"/>
        <w:autoSpaceDN w:val="0"/>
        <w:spacing w:after="0" w:line="276" w:lineRule="auto"/>
        <w:jc w:val="both"/>
        <w:rPr>
          <w:rFonts w:ascii="Verdana" w:hAnsi="Verdana" w:cs="Arial"/>
          <w:color w:val="FF0000"/>
          <w:shd w:val="clear" w:color="auto" w:fill="FFFFFF"/>
        </w:rPr>
      </w:pPr>
    </w:p>
    <w:p w14:paraId="76965CE7" w14:textId="77777777" w:rsidR="00B37198" w:rsidRPr="00A869FE" w:rsidRDefault="00B37198" w:rsidP="00B37198">
      <w:pPr>
        <w:shd w:val="clear" w:color="auto" w:fill="FFFFFF"/>
        <w:spacing w:after="0" w:line="276" w:lineRule="auto"/>
        <w:jc w:val="both"/>
        <w:rPr>
          <w:rFonts w:ascii="Verdana" w:hAnsi="Verdana"/>
          <w:color w:val="467886"/>
          <w:u w:val="single"/>
        </w:rPr>
      </w:pPr>
      <w:r w:rsidRPr="00A869FE">
        <w:rPr>
          <w:rFonts w:ascii="Verdana" w:hAnsi="Verdana"/>
          <w:color w:val="000000"/>
        </w:rPr>
        <w:t>Te informamos que ya se encuentra disponible la </w:t>
      </w:r>
      <w:r w:rsidRPr="00A869FE">
        <w:rPr>
          <w:rFonts w:ascii="Verdana" w:hAnsi="Verdana"/>
          <w:b/>
          <w:bCs/>
          <w:color w:val="000000"/>
        </w:rPr>
        <w:t>Guía de lineamientos de transparencia y selección objetiva para el departamento de La Guajira – Objetivo sexto constitucional de la Sentencia T-302 del 2017. </w:t>
      </w:r>
      <w:r w:rsidRPr="00A869FE">
        <w:rPr>
          <w:rFonts w:ascii="Verdana" w:hAnsi="Verdana"/>
          <w:color w:val="000000"/>
        </w:rPr>
        <w:t xml:space="preserve">Esta Guía se expedide en el marco del cumplimiento de la orden proferida por la Honorable Corte Constitucional en la Sentencia T-302 del 2017. Con su implementación se </w:t>
      </w:r>
      <w:r w:rsidRPr="00A869FE">
        <w:rPr>
          <w:rFonts w:ascii="Verdana" w:hAnsi="Verdana"/>
          <w:color w:val="000000"/>
        </w:rPr>
        <w:lastRenderedPageBreak/>
        <w:t xml:space="preserve">busca contribuir a la superación del Estado de Cosas Inconstitucional declarado por la situación de vulneración masiva y recurrente de los derechos fundamentales de los niños y de las niñas del Pueblo </w:t>
      </w:r>
      <w:proofErr w:type="spellStart"/>
      <w:r w:rsidRPr="00A869FE">
        <w:rPr>
          <w:rFonts w:ascii="Verdana" w:hAnsi="Verdana"/>
          <w:color w:val="000000"/>
        </w:rPr>
        <w:t>Wayúu</w:t>
      </w:r>
      <w:proofErr w:type="spellEnd"/>
      <w:r w:rsidRPr="00A869FE">
        <w:rPr>
          <w:rFonts w:ascii="Verdana" w:hAnsi="Verdana"/>
          <w:color w:val="000000"/>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A869FE">
          <w:rPr>
            <w:rFonts w:ascii="Verdana" w:hAnsi="Verdana"/>
            <w:color w:val="0000FF"/>
            <w:u w:val="single"/>
          </w:rPr>
          <w:t>Guía de lineamientos de transparencia y selección objetiva para el departamento de La Guajira – Objetivo sexto constitucional de la Sentencia T-302 del 2017</w:t>
        </w:r>
      </w:hyperlink>
      <w:r w:rsidRPr="00A869FE">
        <w:rPr>
          <w:rFonts w:ascii="Verdana" w:hAnsi="Verdana"/>
          <w:color w:val="000000"/>
          <w:u w:val="single"/>
        </w:rPr>
        <w:t>.</w:t>
      </w:r>
    </w:p>
    <w:p w14:paraId="0176F359" w14:textId="77777777" w:rsidR="00B37198" w:rsidRPr="00A869FE" w:rsidRDefault="00B37198" w:rsidP="00B37198">
      <w:pPr>
        <w:widowControl w:val="0"/>
        <w:autoSpaceDE w:val="0"/>
        <w:autoSpaceDN w:val="0"/>
        <w:spacing w:after="0" w:line="276" w:lineRule="auto"/>
        <w:jc w:val="both"/>
        <w:rPr>
          <w:rFonts w:ascii="Verdana" w:hAnsi="Verdana" w:cs="Arial"/>
          <w:color w:val="000000" w:themeColor="text1"/>
          <w:shd w:val="clear" w:color="auto" w:fill="FFFFFF"/>
        </w:rPr>
      </w:pPr>
      <w:r w:rsidRPr="00A869FE">
        <w:rPr>
          <w:rFonts w:ascii="Verdana" w:hAnsi="Verdana" w:cs="Arial"/>
          <w:color w:val="000000" w:themeColor="text1"/>
          <w:shd w:val="clear" w:color="auto" w:fill="FFFFFF"/>
        </w:rPr>
        <w:t xml:space="preserve"> </w:t>
      </w:r>
    </w:p>
    <w:p w14:paraId="4B624053" w14:textId="77777777" w:rsidR="00B37198" w:rsidRPr="00A869FE" w:rsidRDefault="00B37198" w:rsidP="00B37198">
      <w:pPr>
        <w:spacing w:after="0" w:line="276" w:lineRule="auto"/>
        <w:jc w:val="both"/>
        <w:rPr>
          <w:rFonts w:ascii="Verdana" w:hAnsi="Verdana"/>
        </w:rPr>
      </w:pPr>
      <w:r w:rsidRPr="00A869F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34A8354" w14:textId="77777777" w:rsidR="00B37198" w:rsidRPr="00A869FE" w:rsidRDefault="00B37198" w:rsidP="00B37198">
      <w:pPr>
        <w:spacing w:after="0" w:line="276" w:lineRule="auto"/>
        <w:jc w:val="both"/>
        <w:rPr>
          <w:rFonts w:ascii="Verdana" w:hAnsi="Verdana"/>
        </w:rPr>
      </w:pPr>
    </w:p>
    <w:p w14:paraId="2C9CDDEC" w14:textId="77777777" w:rsidR="00B37198" w:rsidRPr="00A869FE" w:rsidRDefault="00B37198" w:rsidP="00B37198">
      <w:pPr>
        <w:numPr>
          <w:ilvl w:val="0"/>
          <w:numId w:val="1"/>
        </w:numPr>
        <w:spacing w:after="0" w:line="276" w:lineRule="auto"/>
        <w:contextualSpacing/>
        <w:jc w:val="both"/>
        <w:rPr>
          <w:rFonts w:ascii="Verdana" w:eastAsia="Verdana" w:hAnsi="Verdana" w:cs="Verdana"/>
          <w:color w:val="4472C4" w:themeColor="accent1"/>
          <w:u w:val="single"/>
        </w:rPr>
      </w:pPr>
      <w:r w:rsidRPr="00A869FE">
        <w:rPr>
          <w:rFonts w:ascii="Verdana" w:eastAsia="Verdana" w:hAnsi="Verdana" w:cs="Verdana"/>
        </w:rPr>
        <w:t xml:space="preserve">Línea nacional gratuita o servicio a la ciudadanía (Mesa de servicio): </w:t>
      </w:r>
      <w:r w:rsidRPr="00A869FE">
        <w:rPr>
          <w:rFonts w:ascii="Verdana" w:hAnsi="Verdana"/>
          <w:color w:val="0000FF"/>
          <w:u w:val="single"/>
        </w:rPr>
        <w:t>01800 0520808</w:t>
      </w:r>
    </w:p>
    <w:p w14:paraId="18FA6740" w14:textId="77777777" w:rsidR="00B37198" w:rsidRPr="00A869FE" w:rsidRDefault="00B37198" w:rsidP="00B37198">
      <w:pPr>
        <w:numPr>
          <w:ilvl w:val="0"/>
          <w:numId w:val="1"/>
        </w:numPr>
        <w:spacing w:after="0" w:line="276" w:lineRule="auto"/>
        <w:contextualSpacing/>
        <w:rPr>
          <w:rFonts w:ascii="Verdana" w:eastAsia="Verdana" w:hAnsi="Verdana" w:cs="Verdana"/>
          <w:color w:val="4472C4" w:themeColor="accent1"/>
          <w:u w:val="single"/>
        </w:rPr>
      </w:pPr>
      <w:r w:rsidRPr="00A869FE">
        <w:rPr>
          <w:rFonts w:ascii="Verdana" w:eastAsia="Verdana" w:hAnsi="Verdana" w:cs="Verdana"/>
        </w:rPr>
        <w:t>Línea en Bogotá (Mesa de servicio</w:t>
      </w:r>
      <w:proofErr w:type="gramStart"/>
      <w:r w:rsidRPr="00A869FE">
        <w:rPr>
          <w:rFonts w:ascii="Verdana" w:eastAsia="Verdana" w:hAnsi="Verdana" w:cs="Verdana"/>
        </w:rPr>
        <w:t>):</w:t>
      </w:r>
      <w:r w:rsidRPr="00A869FE">
        <w:rPr>
          <w:rFonts w:ascii="Verdana" w:hAnsi="Verdana"/>
          <w:color w:val="0000FF"/>
          <w:u w:val="single"/>
        </w:rPr>
        <w:t>+</w:t>
      </w:r>
      <w:proofErr w:type="gramEnd"/>
      <w:r w:rsidRPr="00A869FE">
        <w:rPr>
          <w:rFonts w:ascii="Verdana" w:hAnsi="Verdana"/>
          <w:color w:val="0000FF"/>
          <w:u w:val="single"/>
        </w:rPr>
        <w:t>57 601 7456788</w:t>
      </w:r>
    </w:p>
    <w:p w14:paraId="5957C4C9" w14:textId="77777777" w:rsidR="00B37198" w:rsidRPr="00A869FE" w:rsidRDefault="00B37198" w:rsidP="00B37198">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Correo de radicación de correspondencia: </w:t>
      </w:r>
      <w:hyperlink r:id="rId16" w:history="1">
        <w:r w:rsidRPr="00A869FE">
          <w:rPr>
            <w:rFonts w:ascii="Verdana" w:eastAsia="Verdana" w:hAnsi="Verdana" w:cs="Verdana"/>
            <w:color w:val="0000FF"/>
            <w:u w:val="single"/>
          </w:rPr>
          <w:t>ventanilladeradicacion@colombiacompra.gov.co</w:t>
        </w:r>
      </w:hyperlink>
    </w:p>
    <w:p w14:paraId="17253840" w14:textId="77777777" w:rsidR="00B37198" w:rsidRPr="00A869FE" w:rsidRDefault="00B37198" w:rsidP="00B37198">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Formulario web para PQRSD: </w:t>
      </w:r>
      <w:hyperlink r:id="rId17" w:history="1">
        <w:r w:rsidRPr="00A869FE">
          <w:rPr>
            <w:rFonts w:ascii="Verdana" w:eastAsia="Verdana" w:hAnsi="Verdana" w:cs="Verdana"/>
            <w:color w:val="0000FF"/>
            <w:u w:val="single"/>
          </w:rPr>
          <w:t>https://www.colombiacompra.gov.co/pqrsd/informacion-importante-antes-de-formular-una-pqrsd</w:t>
        </w:r>
      </w:hyperlink>
    </w:p>
    <w:p w14:paraId="09EBB1F1" w14:textId="77777777" w:rsidR="00B37198" w:rsidRPr="00A869FE" w:rsidRDefault="00B37198" w:rsidP="00B37198">
      <w:pPr>
        <w:spacing w:after="0" w:line="276" w:lineRule="auto"/>
        <w:ind w:left="720"/>
        <w:jc w:val="both"/>
        <w:rPr>
          <w:rFonts w:ascii="Verdana" w:hAnsi="Verdana"/>
        </w:rPr>
      </w:pPr>
    </w:p>
    <w:p w14:paraId="321610FD" w14:textId="77777777" w:rsidR="00B37198" w:rsidRPr="00A869FE" w:rsidRDefault="00B37198" w:rsidP="00B37198">
      <w:pPr>
        <w:spacing w:after="0" w:line="276" w:lineRule="auto"/>
        <w:rPr>
          <w:rFonts w:ascii="Verdana" w:hAnsi="Verdana"/>
        </w:rPr>
      </w:pPr>
      <w:r w:rsidRPr="00A869FE">
        <w:rPr>
          <w:rFonts w:ascii="Verdana" w:hAnsi="Verdana"/>
        </w:rPr>
        <w:t xml:space="preserve">Evalúa el servicio que ofrece la Agencia por el canal de atención de PQRSD en el siguiente </w:t>
      </w:r>
      <w:proofErr w:type="gramStart"/>
      <w:r w:rsidRPr="00A869FE">
        <w:rPr>
          <w:rFonts w:ascii="Verdana" w:hAnsi="Verdana"/>
        </w:rPr>
        <w:t>enlace :</w:t>
      </w:r>
      <w:proofErr w:type="gramEnd"/>
      <w:hyperlink r:id="rId18" w:tgtFrame="_blank" w:tooltip="https://forms.office.com/r/pphywvs2sz" w:history="1">
        <w:r w:rsidRPr="00A869FE">
          <w:rPr>
            <w:rFonts w:ascii="Verdana" w:hAnsi="Verdana"/>
            <w:color w:val="0000FF"/>
            <w:u w:val="single"/>
          </w:rPr>
          <w:t>https://forms.office.com/r/pPHyWVs2SZ</w:t>
        </w:r>
      </w:hyperlink>
      <w:r w:rsidRPr="00A869FE">
        <w:rPr>
          <w:rFonts w:ascii="Verdana" w:hAnsi="Verdana"/>
        </w:rPr>
        <w:t xml:space="preserve"> .¡Ayúdanos a mejorar porque el compromiso es de todos!</w:t>
      </w:r>
    </w:p>
    <w:p w14:paraId="13969AB8" w14:textId="77777777" w:rsidR="00B37198" w:rsidRPr="00A869FE" w:rsidRDefault="00B37198" w:rsidP="00B37198">
      <w:pPr>
        <w:spacing w:after="0" w:line="276" w:lineRule="auto"/>
        <w:rPr>
          <w:rFonts w:ascii="Verdana" w:hAnsi="Verdana"/>
        </w:rPr>
      </w:pPr>
    </w:p>
    <w:p w14:paraId="13BA5266" w14:textId="77777777" w:rsidR="00B37198" w:rsidRPr="00A869FE" w:rsidRDefault="00B37198" w:rsidP="00B37198">
      <w:pPr>
        <w:spacing w:after="0" w:line="276" w:lineRule="auto"/>
        <w:jc w:val="both"/>
        <w:rPr>
          <w:rFonts w:ascii="Verdana" w:hAnsi="Verdana"/>
        </w:rPr>
      </w:pPr>
      <w:r w:rsidRPr="00A869FE">
        <w:rPr>
          <w:rFonts w:ascii="Verdana" w:hAnsi="Verdana"/>
        </w:rPr>
        <w:t xml:space="preserve">Por último, lo invitamos a seguirnos en las redes sociales en las cuales se difunde información institucional: </w:t>
      </w:r>
    </w:p>
    <w:p w14:paraId="6DF7C674" w14:textId="77777777" w:rsidR="00B37198" w:rsidRPr="00A869FE" w:rsidRDefault="00B37198" w:rsidP="00B37198">
      <w:pPr>
        <w:spacing w:after="0" w:line="276" w:lineRule="auto"/>
        <w:jc w:val="both"/>
        <w:rPr>
          <w:rFonts w:ascii="Verdana" w:hAnsi="Verdana"/>
        </w:rPr>
      </w:pPr>
    </w:p>
    <w:p w14:paraId="55854135" w14:textId="77777777" w:rsidR="00B37198" w:rsidRPr="00A869FE" w:rsidRDefault="00B37198" w:rsidP="00B37198">
      <w:pPr>
        <w:spacing w:after="0" w:line="276" w:lineRule="auto"/>
        <w:jc w:val="both"/>
        <w:rPr>
          <w:rFonts w:ascii="Verdana" w:hAnsi="Verdana"/>
        </w:rPr>
      </w:pPr>
      <w:r w:rsidRPr="00A869FE">
        <w:rPr>
          <w:rFonts w:ascii="Verdana" w:hAnsi="Verdana"/>
        </w:rPr>
        <w:t xml:space="preserve">Twitter: </w:t>
      </w:r>
      <w:r w:rsidRPr="00A869FE">
        <w:rPr>
          <w:rFonts w:ascii="Verdana" w:hAnsi="Verdana"/>
          <w:color w:val="0000FF"/>
          <w:u w:val="single"/>
        </w:rPr>
        <w:t>@colombiacompra</w:t>
      </w:r>
      <w:r w:rsidRPr="00A869FE">
        <w:rPr>
          <w:rFonts w:ascii="Verdana" w:hAnsi="Verdana"/>
        </w:rPr>
        <w:t xml:space="preserve"> </w:t>
      </w:r>
    </w:p>
    <w:p w14:paraId="74236BD6" w14:textId="77777777" w:rsidR="00B37198" w:rsidRPr="00A869FE" w:rsidRDefault="00B37198" w:rsidP="00B37198">
      <w:pPr>
        <w:spacing w:after="0" w:line="276" w:lineRule="auto"/>
        <w:jc w:val="both"/>
        <w:rPr>
          <w:rFonts w:ascii="Verdana" w:hAnsi="Verdana"/>
        </w:rPr>
      </w:pPr>
      <w:r w:rsidRPr="00A869FE">
        <w:rPr>
          <w:rFonts w:ascii="Verdana" w:hAnsi="Verdana"/>
        </w:rPr>
        <w:t xml:space="preserve">Facebook: </w:t>
      </w:r>
      <w:proofErr w:type="spellStart"/>
      <w:r w:rsidRPr="00A869FE">
        <w:rPr>
          <w:rFonts w:ascii="Verdana" w:hAnsi="Verdana"/>
          <w:color w:val="0000FF"/>
          <w:u w:val="single"/>
        </w:rPr>
        <w:t>ColombiaCompraEficiente</w:t>
      </w:r>
      <w:proofErr w:type="spellEnd"/>
    </w:p>
    <w:p w14:paraId="0DECEBED" w14:textId="77777777" w:rsidR="00B37198" w:rsidRPr="00A869FE" w:rsidRDefault="00B37198" w:rsidP="00B37198">
      <w:pPr>
        <w:spacing w:after="0" w:line="276" w:lineRule="auto"/>
        <w:jc w:val="both"/>
        <w:rPr>
          <w:rFonts w:ascii="Verdana" w:hAnsi="Verdana"/>
        </w:rPr>
      </w:pPr>
      <w:r w:rsidRPr="00A869FE">
        <w:rPr>
          <w:rFonts w:ascii="Verdana" w:hAnsi="Verdana"/>
        </w:rPr>
        <w:t xml:space="preserve">LinkedIn: </w:t>
      </w:r>
      <w:r w:rsidRPr="00A869FE">
        <w:rPr>
          <w:rFonts w:ascii="Verdana" w:hAnsi="Verdana"/>
          <w:color w:val="0000FF"/>
          <w:u w:val="single"/>
        </w:rPr>
        <w:t>Agencia Nacional de Contratación Pública - Colombia Compra Eficiente</w:t>
      </w:r>
      <w:r w:rsidRPr="00A869FE">
        <w:rPr>
          <w:rFonts w:ascii="Verdana" w:hAnsi="Verdana"/>
        </w:rPr>
        <w:t xml:space="preserve"> Instagram: </w:t>
      </w:r>
      <w:r w:rsidRPr="00A869FE">
        <w:rPr>
          <w:rFonts w:ascii="Verdana" w:hAnsi="Verdana"/>
          <w:color w:val="0000FF"/>
          <w:u w:val="single"/>
        </w:rPr>
        <w:t>@colombiacompraeficiente_cce</w:t>
      </w:r>
    </w:p>
    <w:p w14:paraId="5523AE40" w14:textId="77777777" w:rsidR="00B37198" w:rsidRPr="00A869FE" w:rsidRDefault="00B37198" w:rsidP="00B37198">
      <w:pPr>
        <w:widowControl w:val="0"/>
        <w:autoSpaceDE w:val="0"/>
        <w:autoSpaceDN w:val="0"/>
        <w:spacing w:after="0" w:line="276" w:lineRule="auto"/>
        <w:jc w:val="both"/>
        <w:rPr>
          <w:rFonts w:ascii="Verdana" w:hAnsi="Verdana" w:cs="Arial"/>
          <w:color w:val="FF0000"/>
          <w:shd w:val="clear" w:color="auto" w:fill="FFFFFF"/>
        </w:rPr>
      </w:pPr>
      <w:r w:rsidRPr="00A869FE">
        <w:rPr>
          <w:rFonts w:ascii="Verdana" w:hAnsi="Verdana" w:cs="Arial"/>
          <w:color w:val="FF0000"/>
          <w:shd w:val="clear" w:color="auto" w:fill="FFFFFF"/>
        </w:rPr>
        <w:t xml:space="preserve">        </w:t>
      </w:r>
    </w:p>
    <w:p w14:paraId="54E0AE35" w14:textId="77777777" w:rsidR="00B37198" w:rsidRPr="00A869FE" w:rsidRDefault="00B37198" w:rsidP="00B37198">
      <w:pPr>
        <w:widowControl w:val="0"/>
        <w:autoSpaceDE w:val="0"/>
        <w:autoSpaceDN w:val="0"/>
        <w:spacing w:after="0" w:line="276" w:lineRule="auto"/>
        <w:jc w:val="both"/>
        <w:rPr>
          <w:rFonts w:ascii="Verdana" w:hAnsi="Verdana" w:cs="Arial"/>
        </w:rPr>
      </w:pPr>
      <w:r w:rsidRPr="00A869FE">
        <w:rPr>
          <w:rFonts w:ascii="Verdana" w:hAnsi="Verdana" w:cs="Aria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4A8802BE" w14:textId="77777777" w:rsidR="00B37198" w:rsidRPr="00A869FE" w:rsidRDefault="00B37198" w:rsidP="00B37198">
      <w:pPr>
        <w:widowControl w:val="0"/>
        <w:autoSpaceDE w:val="0"/>
        <w:autoSpaceDN w:val="0"/>
        <w:spacing w:after="0" w:line="276" w:lineRule="auto"/>
        <w:jc w:val="both"/>
        <w:rPr>
          <w:rFonts w:ascii="Verdana" w:hAnsi="Verdana" w:cs="Arial"/>
        </w:rPr>
      </w:pPr>
    </w:p>
    <w:p w14:paraId="5EDE048B" w14:textId="77777777" w:rsidR="00B37198" w:rsidRPr="00A869FE" w:rsidRDefault="00B37198" w:rsidP="00B37198">
      <w:pPr>
        <w:spacing w:after="0" w:line="276" w:lineRule="auto"/>
        <w:rPr>
          <w:rFonts w:ascii="Verdana" w:eastAsia="Times New Roman" w:hAnsi="Verdana" w:cs="Arial"/>
          <w:lang w:eastAsia="es-ES_tradnl"/>
        </w:rPr>
      </w:pPr>
      <w:r w:rsidRPr="00A869FE">
        <w:rPr>
          <w:rFonts w:ascii="Verdana" w:eastAsia="Times New Roman" w:hAnsi="Verdana" w:cs="Arial"/>
          <w:lang w:eastAsia="es-CO"/>
        </w:rPr>
        <w:t>Atentamente,</w:t>
      </w:r>
      <w:r w:rsidRPr="00A869FE">
        <w:rPr>
          <w:rFonts w:ascii="Verdana" w:hAnsi="Verdana" w:cs="Arial"/>
          <w:lang w:eastAsia="es-CO"/>
        </w:rPr>
        <w:t xml:space="preserve"> </w:t>
      </w:r>
      <w:bookmarkEnd w:id="0"/>
    </w:p>
    <w:p w14:paraId="06613A51" w14:textId="21D9522D" w:rsidR="00B37198" w:rsidRPr="00A869FE" w:rsidRDefault="00DA1BF8" w:rsidP="00B37198">
      <w:pPr>
        <w:spacing w:after="0" w:line="240" w:lineRule="auto"/>
        <w:jc w:val="center"/>
      </w:pPr>
      <w:r w:rsidRPr="004D5C25">
        <w:rPr>
          <w:rFonts w:ascii="Century Gothic" w:hAnsi="Century Gothic"/>
          <w:noProof/>
        </w:rPr>
        <w:drawing>
          <wp:inline distT="0" distB="0" distL="0" distR="0" wp14:anchorId="29324471" wp14:editId="08787075">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9"/>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37198" w:rsidRPr="00A869FE" w14:paraId="393F26FD" w14:textId="77777777" w:rsidTr="00093697">
        <w:trPr>
          <w:trHeight w:val="315"/>
        </w:trPr>
        <w:tc>
          <w:tcPr>
            <w:tcW w:w="893" w:type="dxa"/>
            <w:vAlign w:val="center"/>
            <w:hideMark/>
          </w:tcPr>
          <w:p w14:paraId="5B06E587" w14:textId="77777777" w:rsidR="00B37198" w:rsidRPr="00A869FE" w:rsidRDefault="00B37198" w:rsidP="00093697">
            <w:pPr>
              <w:contextualSpacing/>
              <w:rPr>
                <w:rFonts w:ascii="Verdana" w:hAnsi="Verdana" w:cs="Arial"/>
                <w:sz w:val="16"/>
                <w:szCs w:val="16"/>
                <w:lang w:eastAsia="es-ES"/>
              </w:rPr>
            </w:pPr>
            <w:r w:rsidRPr="00A869FE">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2A05D69" w14:textId="77777777" w:rsidR="00B37198" w:rsidRPr="00A869FE" w:rsidRDefault="00B37198" w:rsidP="00093697">
            <w:pPr>
              <w:spacing w:line="256" w:lineRule="auto"/>
              <w:rPr>
                <w:rFonts w:ascii="Verdana" w:eastAsia="Calibri" w:hAnsi="Verdana" w:cs="Times New Roman"/>
                <w:sz w:val="16"/>
                <w:szCs w:val="16"/>
              </w:rPr>
            </w:pPr>
            <w:r w:rsidRPr="00A869FE">
              <w:rPr>
                <w:rFonts w:ascii="Verdana" w:eastAsia="Calibri" w:hAnsi="Verdana" w:cs="Times New Roman"/>
                <w:sz w:val="16"/>
                <w:szCs w:val="16"/>
              </w:rPr>
              <w:t>Sergio Enrique Caballero Lesmes</w:t>
            </w:r>
          </w:p>
          <w:p w14:paraId="4D2C582A" w14:textId="77777777" w:rsidR="00B37198" w:rsidRPr="00A869FE" w:rsidRDefault="00B37198" w:rsidP="00093697">
            <w:pPr>
              <w:contextualSpacing/>
              <w:rPr>
                <w:rFonts w:ascii="Verdana" w:eastAsia="Arial" w:hAnsi="Verdana" w:cs="Arial"/>
                <w:sz w:val="16"/>
                <w:szCs w:val="16"/>
              </w:rPr>
            </w:pPr>
            <w:r w:rsidRPr="00A869FE">
              <w:rPr>
                <w:rFonts w:ascii="Verdana" w:eastAsia="Calibri" w:hAnsi="Verdana" w:cs="Times New Roman"/>
                <w:sz w:val="16"/>
                <w:szCs w:val="16"/>
              </w:rPr>
              <w:t>Analista T2 -02 de la Subdirección de Gestión Contractual</w:t>
            </w:r>
          </w:p>
        </w:tc>
      </w:tr>
      <w:tr w:rsidR="00B37198" w:rsidRPr="00A869FE" w14:paraId="2AE0C0CD" w14:textId="77777777" w:rsidTr="00093697">
        <w:trPr>
          <w:trHeight w:val="330"/>
        </w:trPr>
        <w:tc>
          <w:tcPr>
            <w:tcW w:w="893" w:type="dxa"/>
            <w:vAlign w:val="center"/>
            <w:hideMark/>
          </w:tcPr>
          <w:p w14:paraId="46C788AF" w14:textId="77777777" w:rsidR="00B37198" w:rsidRPr="00A869FE" w:rsidRDefault="00B37198" w:rsidP="00093697">
            <w:pPr>
              <w:contextualSpacing/>
              <w:rPr>
                <w:rFonts w:ascii="Verdana" w:hAnsi="Verdana" w:cs="Arial"/>
                <w:sz w:val="16"/>
                <w:szCs w:val="16"/>
                <w:lang w:eastAsia="es-ES"/>
              </w:rPr>
            </w:pPr>
            <w:r w:rsidRPr="00A869F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FD37411" w14:textId="77777777" w:rsidR="00B37198" w:rsidRDefault="00B37198" w:rsidP="00093697">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Diana Lucía Saavedra Castañeda</w:t>
            </w:r>
          </w:p>
          <w:p w14:paraId="1E18AFDB" w14:textId="77777777" w:rsidR="00B37198" w:rsidRDefault="00B37198" w:rsidP="00093697">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 xml:space="preserve">Contratista </w:t>
            </w:r>
            <w:r w:rsidRPr="00A869FE">
              <w:rPr>
                <w:rFonts w:ascii="Verdana" w:eastAsia="Calibri" w:hAnsi="Verdana"/>
                <w:sz w:val="16"/>
                <w:szCs w:val="16"/>
              </w:rPr>
              <w:t>de la Subdirección de Gestión Contractual</w:t>
            </w:r>
          </w:p>
          <w:p w14:paraId="341F2BD1" w14:textId="77777777" w:rsidR="00B37198" w:rsidRPr="00A869FE" w:rsidRDefault="00B37198" w:rsidP="00093697">
            <w:pPr>
              <w:pStyle w:val="paragraph"/>
              <w:spacing w:before="0" w:beforeAutospacing="0" w:after="0" w:afterAutospacing="0"/>
              <w:contextualSpacing/>
              <w:textAlignment w:val="baseline"/>
              <w:rPr>
                <w:rFonts w:ascii="Verdana" w:hAnsi="Verdana" w:cs="Segoe UI"/>
                <w:sz w:val="16"/>
                <w:szCs w:val="16"/>
              </w:rPr>
            </w:pPr>
          </w:p>
        </w:tc>
      </w:tr>
      <w:tr w:rsidR="00B37198" w:rsidRPr="00A869FE" w14:paraId="3C5ED0A3" w14:textId="77777777" w:rsidTr="00093697">
        <w:trPr>
          <w:trHeight w:val="300"/>
        </w:trPr>
        <w:tc>
          <w:tcPr>
            <w:tcW w:w="893" w:type="dxa"/>
            <w:vAlign w:val="center"/>
          </w:tcPr>
          <w:p w14:paraId="0B514414" w14:textId="77777777" w:rsidR="00B37198" w:rsidRPr="00A869FE" w:rsidRDefault="00B37198" w:rsidP="00093697">
            <w:pPr>
              <w:contextualSpacing/>
              <w:rPr>
                <w:rFonts w:ascii="Verdana" w:hAnsi="Verdana" w:cs="Arial"/>
                <w:sz w:val="16"/>
                <w:szCs w:val="16"/>
                <w:lang w:eastAsia="es-ES"/>
              </w:rPr>
            </w:pPr>
            <w:r w:rsidRPr="00A869F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7AD714E" w14:textId="77777777" w:rsidR="00B37198" w:rsidRPr="00A869FE" w:rsidRDefault="00B37198" w:rsidP="00093697">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Carolina Quintero Gacharná</w:t>
            </w:r>
          </w:p>
          <w:p w14:paraId="63E0A675" w14:textId="77777777" w:rsidR="00B37198" w:rsidRPr="00A869FE" w:rsidRDefault="00B37198" w:rsidP="00093697">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Subdirectora de Gestión Contractual ANCP – CCE</w:t>
            </w:r>
          </w:p>
        </w:tc>
      </w:tr>
    </w:tbl>
    <w:p w14:paraId="1C76D9E7" w14:textId="77777777" w:rsidR="00B37198" w:rsidRPr="00CE53B2" w:rsidRDefault="00B37198" w:rsidP="00B37198"/>
    <w:p w14:paraId="169240D9" w14:textId="77777777" w:rsidR="00B37198" w:rsidRDefault="00B37198" w:rsidP="00B37198"/>
    <w:p w14:paraId="03CE74B7" w14:textId="77777777" w:rsidR="00B37198" w:rsidRPr="00E17845" w:rsidRDefault="00B37198" w:rsidP="00B37198"/>
    <w:p w14:paraId="22604695" w14:textId="77777777" w:rsidR="00B37198" w:rsidRPr="00071F29" w:rsidRDefault="00B37198" w:rsidP="00B37198"/>
    <w:p w14:paraId="16CE3BA6" w14:textId="77777777" w:rsidR="00C24FFE" w:rsidRDefault="00C24FFE"/>
    <w:sectPr w:rsidR="00C24FFE" w:rsidSect="00B37198">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938995" w14:textId="77777777" w:rsidR="00B37198" w:rsidRDefault="00B37198" w:rsidP="00B37198">
      <w:pPr>
        <w:spacing w:after="0" w:line="240" w:lineRule="auto"/>
      </w:pPr>
      <w:r>
        <w:separator/>
      </w:r>
    </w:p>
  </w:endnote>
  <w:endnote w:type="continuationSeparator" w:id="0">
    <w:p w14:paraId="497770D6" w14:textId="77777777" w:rsidR="00B37198" w:rsidRDefault="00B37198" w:rsidP="00B371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FABF68" w14:textId="77777777" w:rsidR="00B37198" w:rsidRDefault="00B37198">
    <w:pPr>
      <w:pStyle w:val="Piedepgina"/>
    </w:pPr>
  </w:p>
  <w:p w14:paraId="078DB33B" w14:textId="77777777" w:rsidR="00B37198" w:rsidRPr="00174B77" w:rsidRDefault="00B3719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221859F" w14:textId="77777777" w:rsidR="00B37198" w:rsidRDefault="00B3719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3B0FFE87" w14:textId="77777777" w:rsidR="00B37198" w:rsidRPr="00E41027" w:rsidRDefault="00B37198" w:rsidP="00D520D8">
    <w:pPr>
      <w:spacing w:after="0"/>
      <w:jc w:val="both"/>
      <w:rPr>
        <w:rFonts w:ascii="Verdana" w:hAnsi="Verdana"/>
        <w:sz w:val="18"/>
        <w:szCs w:val="18"/>
      </w:rPr>
    </w:pPr>
    <w:r w:rsidRPr="00E41027">
      <w:rPr>
        <w:rFonts w:ascii="Verdana" w:hAnsi="Verdana"/>
        <w:sz w:val="18"/>
        <w:szCs w:val="18"/>
      </w:rPr>
      <w:t>Mesa de servicio: (+57) 601 7456788</w:t>
    </w:r>
  </w:p>
  <w:p w14:paraId="6FA44BBE" w14:textId="77777777" w:rsidR="00B37198" w:rsidRPr="00180E84" w:rsidRDefault="00B37198" w:rsidP="356CEDFD">
    <w:pPr>
      <w:pBdr>
        <w:top w:val="nil"/>
        <w:left w:val="nil"/>
        <w:bottom w:val="nil"/>
        <w:right w:val="nil"/>
        <w:between w:val="nil"/>
      </w:pBdr>
      <w:tabs>
        <w:tab w:val="center" w:pos="4419"/>
        <w:tab w:val="right" w:pos="8838"/>
        <w:tab w:val="center" w:pos="5400"/>
      </w:tabs>
      <w:spacing w:after="0"/>
      <w:jc w:val="right"/>
      <w:rPr>
        <w:lang w:val="pt-BR"/>
      </w:rPr>
    </w:pPr>
    <w:r w:rsidRPr="00180E84">
      <w:rPr>
        <w:rFonts w:ascii="Century Gothic" w:eastAsia="Geo" w:hAnsi="Century Gothic" w:cs="Geo"/>
        <w:b/>
        <w:bCs/>
        <w:color w:val="000000" w:themeColor="text1"/>
        <w:sz w:val="16"/>
        <w:szCs w:val="16"/>
        <w:lang w:val="pt-BR" w:eastAsia="es-CO"/>
      </w:rPr>
      <w:t xml:space="preserve">Código: </w:t>
    </w:r>
    <w:r w:rsidRPr="00180E84">
      <w:rPr>
        <w:rFonts w:ascii="Century Gothic" w:eastAsia="Geo" w:hAnsi="Century Gothic" w:cs="Geo"/>
        <w:color w:val="000000" w:themeColor="text1"/>
        <w:sz w:val="16"/>
        <w:szCs w:val="16"/>
        <w:lang w:val="pt-BR" w:eastAsia="es-CO"/>
      </w:rPr>
      <w:t xml:space="preserve">CCE-REC-FM-17 </w:t>
    </w:r>
    <w:r w:rsidRPr="00180E84">
      <w:rPr>
        <w:rFonts w:ascii="Century Gothic" w:eastAsia="Geo" w:hAnsi="Century Gothic" w:cs="Geo"/>
        <w:b/>
        <w:bCs/>
        <w:color w:val="000000" w:themeColor="text1"/>
        <w:sz w:val="16"/>
        <w:szCs w:val="16"/>
        <w:lang w:val="pt-BR" w:eastAsia="es-CO"/>
      </w:rPr>
      <w:t>V</w:t>
    </w:r>
    <w:r w:rsidRPr="00180E84">
      <w:rPr>
        <w:rFonts w:ascii="Century Gothic" w:eastAsia="Arial Nova" w:hAnsi="Century Gothic" w:cs="Arial Nova"/>
        <w:b/>
        <w:bCs/>
        <w:color w:val="000000" w:themeColor="text1"/>
        <w:sz w:val="16"/>
        <w:szCs w:val="16"/>
        <w:lang w:val="pt-BR" w:eastAsia="es-CO"/>
      </w:rPr>
      <w:t xml:space="preserve">: </w:t>
    </w:r>
    <w:r w:rsidRPr="00180E84">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120872" w14:textId="77777777" w:rsidR="00B37198" w:rsidRDefault="00B37198" w:rsidP="00B37198">
      <w:pPr>
        <w:spacing w:after="0" w:line="240" w:lineRule="auto"/>
      </w:pPr>
      <w:r>
        <w:separator/>
      </w:r>
    </w:p>
  </w:footnote>
  <w:footnote w:type="continuationSeparator" w:id="0">
    <w:p w14:paraId="1F48066D" w14:textId="77777777" w:rsidR="00B37198" w:rsidRDefault="00B37198" w:rsidP="00B37198">
      <w:pPr>
        <w:spacing w:after="0" w:line="240" w:lineRule="auto"/>
      </w:pPr>
      <w:r>
        <w:continuationSeparator/>
      </w:r>
    </w:p>
  </w:footnote>
  <w:footnote w:id="1">
    <w:p w14:paraId="2983EE7C" w14:textId="77777777" w:rsidR="00B37198" w:rsidRPr="005C09FF" w:rsidRDefault="00B37198" w:rsidP="00B37198">
      <w:pPr>
        <w:pStyle w:val="Textonotapie"/>
        <w:ind w:firstLine="709"/>
        <w:jc w:val="both"/>
        <w:rPr>
          <w:rFonts w:ascii="Verdana" w:hAnsi="Verdana" w:cs="Arial"/>
          <w:color w:val="000000" w:themeColor="text1"/>
          <w:sz w:val="12"/>
          <w:szCs w:val="12"/>
        </w:rPr>
      </w:pPr>
      <w:r w:rsidRPr="005C09FF">
        <w:rPr>
          <w:rStyle w:val="Refdenotaalpie"/>
          <w:rFonts w:ascii="Verdana" w:hAnsi="Verdana" w:cs="Arial"/>
          <w:color w:val="000000" w:themeColor="text1"/>
          <w:sz w:val="12"/>
          <w:szCs w:val="12"/>
        </w:rPr>
        <w:footnoteRef/>
      </w:r>
      <w:r w:rsidRPr="005C09FF">
        <w:rPr>
          <w:rFonts w:ascii="Verdana" w:hAnsi="Verdana" w:cs="Arial"/>
          <w:color w:val="000000" w:themeColor="text1"/>
          <w:sz w:val="12"/>
          <w:szCs w:val="12"/>
        </w:rPr>
        <w:t xml:space="preserve"> El artículo 6 de la Ley 80 de 1993 expresa: “Pueden celebrar contratos con las entidades estatales las personas consideradas legalmente capaces en las disposiciones vigentes. También podrán celebrar contratos con las entidades estatales, los consorcios y uniones temporales.</w:t>
      </w:r>
    </w:p>
    <w:p w14:paraId="4560CEB5" w14:textId="77777777" w:rsidR="00B37198" w:rsidRPr="005C09FF" w:rsidRDefault="00B37198" w:rsidP="00B37198">
      <w:pPr>
        <w:pStyle w:val="Textonotapie"/>
        <w:ind w:firstLine="709"/>
        <w:jc w:val="both"/>
        <w:rPr>
          <w:rFonts w:ascii="Verdana" w:hAnsi="Verdana" w:cs="Arial"/>
          <w:color w:val="000000" w:themeColor="text1"/>
          <w:sz w:val="12"/>
          <w:szCs w:val="12"/>
        </w:rPr>
      </w:pPr>
      <w:r w:rsidRPr="005C09FF">
        <w:rPr>
          <w:rFonts w:ascii="Verdana" w:hAnsi="Verdana" w:cs="Arial"/>
          <w:color w:val="000000" w:themeColor="text1"/>
          <w:sz w:val="12"/>
          <w:szCs w:val="12"/>
        </w:rPr>
        <w:t>Las personas jurídicas nacionales y extranjeras deberán acreditar que su duración no será inferior a la del plazo del contrato y un año más”.</w:t>
      </w:r>
    </w:p>
  </w:footnote>
  <w:footnote w:id="2">
    <w:p w14:paraId="2DE6D06B" w14:textId="77777777" w:rsidR="00B37198" w:rsidRPr="005C09FF" w:rsidRDefault="00B37198" w:rsidP="00B37198">
      <w:pPr>
        <w:pStyle w:val="Textonotapie"/>
        <w:ind w:firstLine="709"/>
        <w:jc w:val="both"/>
        <w:rPr>
          <w:rFonts w:ascii="Verdana" w:hAnsi="Verdana" w:cs="Arial"/>
          <w:color w:val="000000" w:themeColor="text1"/>
          <w:sz w:val="12"/>
          <w:szCs w:val="12"/>
        </w:rPr>
      </w:pPr>
      <w:r w:rsidRPr="005C09FF">
        <w:rPr>
          <w:rStyle w:val="Refdenotaalpie"/>
          <w:rFonts w:ascii="Verdana" w:hAnsi="Verdana" w:cs="Arial"/>
          <w:color w:val="000000" w:themeColor="text1"/>
          <w:sz w:val="12"/>
          <w:szCs w:val="12"/>
        </w:rPr>
        <w:footnoteRef/>
      </w:r>
      <w:r w:rsidRPr="005C09FF">
        <w:rPr>
          <w:rFonts w:ascii="Verdana" w:hAnsi="Verdana" w:cs="Arial"/>
          <w:color w:val="000000" w:themeColor="text1"/>
          <w:sz w:val="12"/>
          <w:szCs w:val="12"/>
        </w:rPr>
        <w:t xml:space="preserve"> El artículo 1502 del Código Civil prevé la capacidad legal como requisito para obligarse contractualmente, en los siguientes términos: “Para que una persona se obligue a otra por un acto o declaración de voluntad, es necesario:</w:t>
      </w:r>
    </w:p>
    <w:p w14:paraId="0AD66A79" w14:textId="77777777" w:rsidR="00B37198" w:rsidRPr="005C09FF" w:rsidRDefault="00B37198" w:rsidP="00B37198">
      <w:pPr>
        <w:pStyle w:val="Textonotapie"/>
        <w:ind w:firstLine="709"/>
        <w:jc w:val="both"/>
        <w:rPr>
          <w:rFonts w:ascii="Verdana" w:hAnsi="Verdana" w:cs="Arial"/>
          <w:color w:val="000000" w:themeColor="text1"/>
          <w:sz w:val="12"/>
          <w:szCs w:val="12"/>
        </w:rPr>
      </w:pPr>
      <w:r w:rsidRPr="005C09FF">
        <w:rPr>
          <w:rFonts w:ascii="Verdana" w:hAnsi="Verdana" w:cs="Arial"/>
          <w:color w:val="000000" w:themeColor="text1"/>
          <w:sz w:val="12"/>
          <w:szCs w:val="12"/>
        </w:rPr>
        <w:t>1o.) que sea legalmente capaz.</w:t>
      </w:r>
    </w:p>
    <w:p w14:paraId="5EBF5003" w14:textId="77777777" w:rsidR="00B37198" w:rsidRPr="005C09FF" w:rsidRDefault="00B37198" w:rsidP="00B37198">
      <w:pPr>
        <w:pStyle w:val="Textonotapie"/>
        <w:ind w:firstLine="709"/>
        <w:jc w:val="both"/>
        <w:rPr>
          <w:rFonts w:ascii="Verdana" w:hAnsi="Verdana" w:cs="Arial"/>
          <w:color w:val="000000" w:themeColor="text1"/>
          <w:sz w:val="12"/>
          <w:szCs w:val="12"/>
        </w:rPr>
      </w:pPr>
      <w:r w:rsidRPr="005C09FF">
        <w:rPr>
          <w:rFonts w:ascii="Verdana" w:hAnsi="Verdana" w:cs="Arial"/>
          <w:color w:val="000000" w:themeColor="text1"/>
          <w:sz w:val="12"/>
          <w:szCs w:val="12"/>
        </w:rPr>
        <w:t>[…]</w:t>
      </w:r>
    </w:p>
    <w:p w14:paraId="6C6D7BCC" w14:textId="77777777" w:rsidR="00B37198" w:rsidRPr="005C09FF" w:rsidRDefault="00B37198" w:rsidP="00B37198">
      <w:pPr>
        <w:pStyle w:val="Textonotapie"/>
        <w:ind w:firstLine="709"/>
        <w:jc w:val="both"/>
        <w:rPr>
          <w:rFonts w:ascii="Verdana" w:hAnsi="Verdana" w:cs="Arial"/>
          <w:color w:val="000000" w:themeColor="text1"/>
          <w:sz w:val="12"/>
          <w:szCs w:val="12"/>
          <w:lang w:val="es-CO"/>
        </w:rPr>
      </w:pPr>
      <w:r w:rsidRPr="005C09FF">
        <w:rPr>
          <w:rFonts w:ascii="Verdana" w:hAnsi="Verdana" w:cs="Arial"/>
          <w:color w:val="000000" w:themeColor="text1"/>
          <w:sz w:val="12"/>
          <w:szCs w:val="12"/>
        </w:rPr>
        <w:t>La capacidad legal de una persona consiste en poderse obligar por sí misma, sin el ministerio o la autorización de otra”.</w:t>
      </w:r>
    </w:p>
  </w:footnote>
  <w:footnote w:id="3">
    <w:p w14:paraId="3F3332DA" w14:textId="77777777" w:rsidR="00B37198" w:rsidRPr="005C09FF" w:rsidRDefault="00B37198" w:rsidP="00B37198">
      <w:pPr>
        <w:pStyle w:val="Textonotapie"/>
        <w:jc w:val="both"/>
        <w:rPr>
          <w:rFonts w:ascii="Verdana" w:hAnsi="Verdana" w:cs="Arial"/>
          <w:color w:val="000000" w:themeColor="text1"/>
          <w:sz w:val="12"/>
          <w:szCs w:val="12"/>
          <w:lang w:val="es-ES"/>
        </w:rPr>
      </w:pPr>
    </w:p>
  </w:footnote>
  <w:footnote w:id="4">
    <w:p w14:paraId="2A32A4D9" w14:textId="77777777" w:rsidR="00B37198" w:rsidRPr="005C09FF" w:rsidRDefault="00B37198" w:rsidP="00B37198">
      <w:pPr>
        <w:spacing w:after="0" w:line="240" w:lineRule="auto"/>
        <w:ind w:firstLine="709"/>
        <w:jc w:val="both"/>
        <w:rPr>
          <w:rFonts w:ascii="Verdana" w:hAnsi="Verdana" w:cs="Arial"/>
          <w:color w:val="000000" w:themeColor="text1"/>
          <w:sz w:val="12"/>
          <w:szCs w:val="12"/>
          <w:lang w:val="es-ES"/>
        </w:rPr>
      </w:pPr>
      <w:r w:rsidRPr="005C09FF">
        <w:rPr>
          <w:rStyle w:val="Refdenotaalpie"/>
          <w:rFonts w:ascii="Verdana" w:hAnsi="Verdana" w:cs="Arial"/>
          <w:color w:val="000000" w:themeColor="text1"/>
          <w:sz w:val="12"/>
          <w:szCs w:val="12"/>
        </w:rPr>
        <w:footnoteRef/>
      </w:r>
      <w:r w:rsidRPr="005C09FF">
        <w:rPr>
          <w:rFonts w:ascii="Verdana" w:hAnsi="Verdana" w:cs="Arial"/>
          <w:color w:val="000000" w:themeColor="text1"/>
          <w:sz w:val="12"/>
          <w:szCs w:val="12"/>
        </w:rPr>
        <w:t xml:space="preserve"> </w:t>
      </w:r>
      <w:r w:rsidRPr="005C09FF">
        <w:rPr>
          <w:rFonts w:ascii="Verdana" w:hAnsi="Verdana" w:cs="Arial"/>
          <w:color w:val="000000" w:themeColor="text1"/>
          <w:sz w:val="12"/>
          <w:szCs w:val="12"/>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footnote>
  <w:footnote w:id="5">
    <w:p w14:paraId="73EACF87" w14:textId="77777777" w:rsidR="00B37198" w:rsidRPr="005C09FF" w:rsidRDefault="00B37198" w:rsidP="00B37198">
      <w:pPr>
        <w:pStyle w:val="Textonotapie"/>
        <w:ind w:firstLine="709"/>
        <w:jc w:val="both"/>
        <w:rPr>
          <w:rFonts w:ascii="Verdana" w:hAnsi="Verdana" w:cs="Arial"/>
          <w:color w:val="000000" w:themeColor="text1"/>
          <w:sz w:val="12"/>
          <w:szCs w:val="12"/>
          <w:lang w:val="es-CO"/>
        </w:rPr>
      </w:pPr>
      <w:r w:rsidRPr="005C09FF">
        <w:rPr>
          <w:rStyle w:val="Refdenotaalpie"/>
          <w:rFonts w:ascii="Verdana" w:hAnsi="Verdana" w:cs="Arial"/>
          <w:color w:val="000000" w:themeColor="text1"/>
          <w:sz w:val="12"/>
          <w:szCs w:val="12"/>
        </w:rPr>
        <w:footnoteRef/>
      </w:r>
      <w:r w:rsidRPr="005C09FF">
        <w:rPr>
          <w:rFonts w:ascii="Verdana" w:hAnsi="Verdana" w:cs="Arial"/>
          <w:color w:val="000000" w:themeColor="text1"/>
          <w:sz w:val="12"/>
          <w:szCs w:val="12"/>
        </w:rPr>
        <w:t xml:space="preserve"> </w:t>
      </w:r>
      <w:r w:rsidRPr="005C09FF">
        <w:rPr>
          <w:rFonts w:ascii="Verdana" w:hAnsi="Verdana" w:cs="Arial"/>
          <w:color w:val="000000" w:themeColor="text1"/>
          <w:sz w:val="12"/>
          <w:szCs w:val="12"/>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footnote>
  <w:footnote w:id="6">
    <w:p w14:paraId="12285ED0" w14:textId="77777777" w:rsidR="00B37198" w:rsidRPr="005C09FF" w:rsidRDefault="00B37198" w:rsidP="00B37198">
      <w:pPr>
        <w:pStyle w:val="Textonotapie"/>
        <w:ind w:firstLine="709"/>
        <w:jc w:val="both"/>
        <w:rPr>
          <w:rFonts w:ascii="Verdana" w:hAnsi="Verdana" w:cs="Arial"/>
          <w:color w:val="000000" w:themeColor="text1"/>
          <w:sz w:val="12"/>
          <w:szCs w:val="12"/>
          <w:lang w:val="es-CO"/>
        </w:rPr>
      </w:pPr>
      <w:r w:rsidRPr="005C09FF">
        <w:rPr>
          <w:rStyle w:val="Refdenotaalpie"/>
          <w:rFonts w:ascii="Verdana" w:hAnsi="Verdana" w:cs="Arial"/>
          <w:color w:val="000000" w:themeColor="text1"/>
          <w:sz w:val="12"/>
          <w:szCs w:val="12"/>
        </w:rPr>
        <w:footnoteRef/>
      </w:r>
      <w:r w:rsidRPr="005C09FF">
        <w:rPr>
          <w:rFonts w:ascii="Verdana" w:hAnsi="Verdana" w:cs="Arial"/>
          <w:color w:val="000000" w:themeColor="text1"/>
          <w:sz w:val="12"/>
          <w:szCs w:val="12"/>
        </w:rPr>
        <w:t xml:space="preserve"> </w:t>
      </w:r>
      <w:r w:rsidRPr="005C09FF">
        <w:rPr>
          <w:rFonts w:ascii="Verdana" w:hAnsi="Verdana" w:cs="Arial"/>
          <w:color w:val="000000" w:themeColor="text1"/>
          <w:sz w:val="12"/>
          <w:szCs w:val="12"/>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footnote>
  <w:footnote w:id="7">
    <w:p w14:paraId="31CA1347" w14:textId="77777777" w:rsidR="00B37198" w:rsidRPr="005C09FF" w:rsidRDefault="00B37198" w:rsidP="00B37198">
      <w:pPr>
        <w:spacing w:after="0" w:line="240" w:lineRule="auto"/>
        <w:ind w:firstLine="709"/>
        <w:jc w:val="both"/>
        <w:rPr>
          <w:rFonts w:ascii="Verdana" w:hAnsi="Verdana" w:cs="Arial"/>
          <w:color w:val="000000" w:themeColor="text1"/>
          <w:sz w:val="12"/>
          <w:szCs w:val="12"/>
          <w:lang w:val="es-ES"/>
        </w:rPr>
      </w:pPr>
      <w:r w:rsidRPr="005C09FF">
        <w:rPr>
          <w:rStyle w:val="Refdenotaalpie"/>
          <w:rFonts w:ascii="Verdana" w:hAnsi="Verdana" w:cs="Arial"/>
          <w:color w:val="000000" w:themeColor="text1"/>
          <w:sz w:val="12"/>
          <w:szCs w:val="12"/>
        </w:rPr>
        <w:footnoteRef/>
      </w:r>
      <w:r w:rsidRPr="005C09FF">
        <w:rPr>
          <w:rFonts w:ascii="Verdana" w:hAnsi="Verdana" w:cs="Arial"/>
          <w:color w:val="000000" w:themeColor="text1"/>
          <w:sz w:val="12"/>
          <w:szCs w:val="12"/>
        </w:rPr>
        <w:t xml:space="preserve"> </w:t>
      </w:r>
      <w:r w:rsidRPr="005C09FF">
        <w:rPr>
          <w:rFonts w:ascii="Verdana" w:hAnsi="Verdana" w:cs="Arial"/>
          <w:color w:val="000000" w:themeColor="text1"/>
          <w:sz w:val="12"/>
          <w:szCs w:val="12"/>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footnote>
  <w:footnote w:id="8">
    <w:p w14:paraId="305249BC" w14:textId="77777777" w:rsidR="00B37198" w:rsidRPr="005C09FF" w:rsidRDefault="00B37198" w:rsidP="00B37198">
      <w:pPr>
        <w:pStyle w:val="Textonotapie"/>
        <w:ind w:firstLine="709"/>
        <w:jc w:val="both"/>
        <w:rPr>
          <w:rFonts w:ascii="Verdana" w:hAnsi="Verdana" w:cs="Arial"/>
          <w:color w:val="000000" w:themeColor="text1"/>
          <w:sz w:val="12"/>
          <w:szCs w:val="12"/>
          <w:lang w:val="es-ES"/>
        </w:rPr>
      </w:pPr>
      <w:r w:rsidRPr="005C09FF">
        <w:rPr>
          <w:rStyle w:val="Refdenotaalpie"/>
          <w:rFonts w:ascii="Verdana" w:hAnsi="Verdana" w:cs="Arial"/>
          <w:color w:val="000000" w:themeColor="text1"/>
          <w:sz w:val="12"/>
          <w:szCs w:val="12"/>
        </w:rPr>
        <w:footnoteRef/>
      </w:r>
      <w:r w:rsidRPr="005C09FF">
        <w:rPr>
          <w:rFonts w:ascii="Verdana" w:hAnsi="Verdana" w:cs="Arial"/>
          <w:color w:val="000000" w:themeColor="text1"/>
          <w:sz w:val="12"/>
          <w:szCs w:val="12"/>
        </w:rPr>
        <w:t xml:space="preserve"> </w:t>
      </w:r>
      <w:r w:rsidRPr="005C09FF">
        <w:rPr>
          <w:rFonts w:ascii="Verdana" w:hAnsi="Verdana" w:cs="Arial"/>
          <w:color w:val="000000" w:themeColor="text1"/>
          <w:sz w:val="12"/>
          <w:szCs w:val="12"/>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footnote>
  <w:footnote w:id="9">
    <w:p w14:paraId="5FE37AF3" w14:textId="77777777" w:rsidR="00B37198" w:rsidRPr="005C09FF" w:rsidRDefault="00B37198" w:rsidP="00B37198">
      <w:pPr>
        <w:pStyle w:val="Textonotapie"/>
        <w:ind w:firstLine="709"/>
        <w:jc w:val="both"/>
        <w:rPr>
          <w:rFonts w:ascii="Verdana" w:hAnsi="Verdana" w:cs="Arial"/>
          <w:color w:val="000000" w:themeColor="text1"/>
          <w:sz w:val="12"/>
          <w:szCs w:val="12"/>
          <w:lang w:val="es-ES"/>
        </w:rPr>
      </w:pPr>
      <w:r w:rsidRPr="005C09FF">
        <w:rPr>
          <w:rStyle w:val="Refdenotaalpie"/>
          <w:rFonts w:ascii="Verdana" w:hAnsi="Verdana" w:cs="Arial"/>
          <w:color w:val="000000" w:themeColor="text1"/>
          <w:sz w:val="12"/>
          <w:szCs w:val="12"/>
        </w:rPr>
        <w:footnoteRef/>
      </w:r>
      <w:r w:rsidRPr="005C09FF">
        <w:rPr>
          <w:rFonts w:ascii="Verdana" w:hAnsi="Verdana" w:cs="Arial"/>
          <w:color w:val="000000" w:themeColor="text1"/>
          <w:sz w:val="12"/>
          <w:szCs w:val="12"/>
        </w:rPr>
        <w:t xml:space="preserve"> </w:t>
      </w:r>
      <w:r w:rsidRPr="005C09FF">
        <w:rPr>
          <w:rFonts w:ascii="Verdana" w:hAnsi="Verdana" w:cs="Arial"/>
          <w:color w:val="000000" w:themeColor="text1"/>
          <w:sz w:val="12"/>
          <w:szCs w:val="12"/>
          <w:lang w:val="es-ES"/>
        </w:rPr>
        <w:t>Ibíd., p. 69.</w:t>
      </w:r>
    </w:p>
  </w:footnote>
  <w:footnote w:id="10">
    <w:p w14:paraId="34F0AB52" w14:textId="77777777" w:rsidR="00B37198" w:rsidRPr="005C09FF" w:rsidRDefault="00B37198" w:rsidP="00B37198">
      <w:pPr>
        <w:pStyle w:val="Textonotapie"/>
        <w:ind w:firstLine="709"/>
        <w:jc w:val="both"/>
        <w:rPr>
          <w:rFonts w:ascii="Verdana" w:hAnsi="Verdana" w:cs="Arial"/>
          <w:color w:val="000000" w:themeColor="text1"/>
          <w:sz w:val="12"/>
          <w:szCs w:val="12"/>
          <w:lang w:val="es-ES"/>
        </w:rPr>
      </w:pPr>
      <w:r w:rsidRPr="005C09FF">
        <w:rPr>
          <w:rStyle w:val="Refdenotaalpie"/>
          <w:rFonts w:ascii="Verdana" w:hAnsi="Verdana" w:cs="Arial"/>
          <w:color w:val="000000" w:themeColor="text1"/>
          <w:sz w:val="12"/>
          <w:szCs w:val="12"/>
        </w:rPr>
        <w:footnoteRef/>
      </w:r>
      <w:r w:rsidRPr="005C09FF">
        <w:rPr>
          <w:rFonts w:ascii="Verdana" w:hAnsi="Verdana" w:cs="Arial"/>
          <w:color w:val="000000" w:themeColor="text1"/>
          <w:sz w:val="12"/>
          <w:szCs w:val="12"/>
        </w:rPr>
        <w:t xml:space="preserve"> </w:t>
      </w:r>
      <w:r w:rsidRPr="005C09FF">
        <w:rPr>
          <w:rFonts w:ascii="Verdana" w:hAnsi="Verdana" w:cs="Arial"/>
          <w:color w:val="000000" w:themeColor="text1"/>
          <w:sz w:val="12"/>
          <w:szCs w:val="12"/>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footnote>
  <w:footnote w:id="11">
    <w:p w14:paraId="0FE949F9" w14:textId="77777777" w:rsidR="00B37198" w:rsidRPr="005C09FF" w:rsidRDefault="00B37198" w:rsidP="00B37198">
      <w:pPr>
        <w:pStyle w:val="Textonotapie"/>
        <w:ind w:firstLine="709"/>
        <w:jc w:val="both"/>
        <w:rPr>
          <w:rFonts w:ascii="Verdana" w:hAnsi="Verdana" w:cs="Arial"/>
          <w:color w:val="000000" w:themeColor="text1"/>
          <w:sz w:val="12"/>
          <w:szCs w:val="12"/>
          <w:lang w:val="es-ES"/>
        </w:rPr>
      </w:pPr>
      <w:r w:rsidRPr="005C09FF">
        <w:rPr>
          <w:rStyle w:val="Refdenotaalpie"/>
          <w:rFonts w:ascii="Verdana" w:hAnsi="Verdana" w:cs="Arial"/>
          <w:color w:val="000000" w:themeColor="text1"/>
          <w:sz w:val="12"/>
          <w:szCs w:val="12"/>
        </w:rPr>
        <w:footnoteRef/>
      </w:r>
      <w:r w:rsidRPr="005C09FF">
        <w:rPr>
          <w:rFonts w:ascii="Verdana" w:hAnsi="Verdana" w:cs="Arial"/>
          <w:color w:val="000000" w:themeColor="text1"/>
          <w:sz w:val="12"/>
          <w:szCs w:val="12"/>
        </w:rPr>
        <w:t xml:space="preserve"> </w:t>
      </w:r>
      <w:r w:rsidRPr="005C09FF">
        <w:rPr>
          <w:rFonts w:ascii="Verdana" w:hAnsi="Verdana" w:cs="Arial"/>
          <w:color w:val="000000" w:themeColor="text1"/>
          <w:sz w:val="12"/>
          <w:szCs w:val="12"/>
          <w:lang w:val="es-ES"/>
        </w:rPr>
        <w:t>Consejo de Estado. Sala de Consulta y Servicio Civil. Concepto del 30 de abril de 2015. Expediente: 2251. Consejero Ponente: Álvaro Namén Vargas.</w:t>
      </w:r>
    </w:p>
  </w:footnote>
  <w:footnote w:id="12">
    <w:p w14:paraId="03C79F7D" w14:textId="77777777" w:rsidR="00B37198" w:rsidRPr="005C09FF" w:rsidRDefault="00B37198" w:rsidP="00B37198">
      <w:pPr>
        <w:pStyle w:val="Textonotapie"/>
        <w:ind w:firstLine="709"/>
        <w:jc w:val="both"/>
        <w:rPr>
          <w:rFonts w:ascii="Verdana" w:hAnsi="Verdana" w:cs="Arial"/>
          <w:color w:val="000000" w:themeColor="text1"/>
          <w:sz w:val="12"/>
          <w:szCs w:val="12"/>
          <w:lang w:val="es-ES"/>
        </w:rPr>
      </w:pPr>
      <w:r w:rsidRPr="005C09FF">
        <w:rPr>
          <w:rStyle w:val="Refdenotaalpie"/>
          <w:rFonts w:ascii="Verdana" w:hAnsi="Verdana" w:cs="Arial"/>
          <w:color w:val="000000" w:themeColor="text1"/>
          <w:sz w:val="12"/>
          <w:szCs w:val="12"/>
        </w:rPr>
        <w:footnoteRef/>
      </w:r>
      <w:r w:rsidRPr="005C09FF">
        <w:rPr>
          <w:rFonts w:ascii="Verdana" w:hAnsi="Verdana" w:cs="Arial"/>
          <w:color w:val="000000" w:themeColor="text1"/>
          <w:sz w:val="12"/>
          <w:szCs w:val="12"/>
        </w:rPr>
        <w:t xml:space="preserve"> Consejo de Estado. Sección Tercera. Subsección A. Sentencia del 24 de junio de 2015. Exp. 40.635. Consejero Ponente: Hernán Andrade Rincón (E).</w:t>
      </w:r>
    </w:p>
  </w:footnote>
  <w:footnote w:id="13">
    <w:p w14:paraId="1C3E4392" w14:textId="77777777" w:rsidR="00B37198" w:rsidRPr="005C09FF" w:rsidRDefault="00B37198" w:rsidP="00B37198">
      <w:pPr>
        <w:pStyle w:val="Textonotapie"/>
        <w:ind w:firstLine="709"/>
        <w:jc w:val="both"/>
        <w:rPr>
          <w:rFonts w:ascii="Verdana" w:hAnsi="Verdana" w:cs="Arial"/>
          <w:color w:val="000000" w:themeColor="text1"/>
          <w:sz w:val="12"/>
          <w:szCs w:val="12"/>
          <w:lang w:val="es-ES"/>
        </w:rPr>
      </w:pPr>
      <w:r w:rsidRPr="005C09FF">
        <w:rPr>
          <w:rStyle w:val="Refdenotaalpie"/>
          <w:rFonts w:ascii="Verdana" w:hAnsi="Verdana" w:cs="Arial"/>
          <w:color w:val="000000" w:themeColor="text1"/>
          <w:sz w:val="12"/>
          <w:szCs w:val="12"/>
        </w:rPr>
        <w:footnoteRef/>
      </w:r>
      <w:r w:rsidRPr="005C09FF">
        <w:rPr>
          <w:rFonts w:ascii="Verdana" w:hAnsi="Verdana" w:cs="Arial"/>
          <w:color w:val="000000" w:themeColor="text1"/>
          <w:sz w:val="12"/>
          <w:szCs w:val="12"/>
        </w:rPr>
        <w:t xml:space="preserve"> Consejo de Estado. Sección Tercera. Subsección C. Sentencia del 22 de mayo de 2013. Exp. 24.057. Consejera Ponente: Olga Melida Valle De De La Hoz.</w:t>
      </w:r>
    </w:p>
  </w:footnote>
  <w:footnote w:id="14">
    <w:p w14:paraId="1BB3049E" w14:textId="77777777" w:rsidR="00B37198" w:rsidRPr="00B37198" w:rsidRDefault="00B37198" w:rsidP="00B37198">
      <w:pPr>
        <w:pStyle w:val="Textonotapie"/>
        <w:ind w:firstLine="708"/>
        <w:jc w:val="both"/>
        <w:rPr>
          <w:rFonts w:ascii="Verdana" w:hAnsi="Verdana" w:cs="Arial"/>
          <w:color w:val="000000" w:themeColor="text1"/>
          <w:sz w:val="12"/>
          <w:szCs w:val="12"/>
          <w:lang w:val="pt-BR"/>
        </w:rPr>
      </w:pPr>
      <w:r w:rsidRPr="005C09FF">
        <w:rPr>
          <w:rStyle w:val="Refdenotaalpie"/>
          <w:rFonts w:ascii="Verdana" w:hAnsi="Verdana"/>
          <w:sz w:val="12"/>
          <w:szCs w:val="12"/>
        </w:rPr>
        <w:footnoteRef/>
      </w:r>
      <w:r w:rsidRPr="005C09FF">
        <w:rPr>
          <w:rFonts w:ascii="Verdana" w:hAnsi="Verdana"/>
          <w:sz w:val="12"/>
          <w:szCs w:val="12"/>
        </w:rPr>
        <w:t xml:space="preserve"> </w:t>
      </w:r>
      <w:r w:rsidRPr="005C09FF">
        <w:rPr>
          <w:rFonts w:ascii="Verdana" w:hAnsi="Verdana" w:cs="Arial"/>
          <w:color w:val="000000" w:themeColor="text1"/>
          <w:sz w:val="12"/>
          <w:szCs w:val="12"/>
        </w:rPr>
        <w:t xml:space="preserve">Departamento Administrativo de la Función Pública. </w:t>
      </w:r>
      <w:r w:rsidRPr="00B37198">
        <w:rPr>
          <w:rFonts w:ascii="Verdana" w:hAnsi="Verdana" w:cs="Arial"/>
          <w:color w:val="000000" w:themeColor="text1"/>
          <w:sz w:val="12"/>
          <w:szCs w:val="12"/>
          <w:lang w:val="pt-BR"/>
        </w:rPr>
        <w:t xml:space="preserve">Concepto 154851 de 2023. </w:t>
      </w:r>
      <w:r w:rsidRPr="005C09FF">
        <w:rPr>
          <w:rFonts w:ascii="Verdana" w:hAnsi="Verdana" w:cs="Arial"/>
          <w:color w:val="000000" w:themeColor="text1"/>
          <w:sz w:val="12"/>
          <w:szCs w:val="12"/>
          <w:lang w:val="pt-BR"/>
        </w:rPr>
        <w:t xml:space="preserve">REF: INHABILIDADES E INCOMPATIBILIDADES. Pensionado. Pensionado por invalidez para ser empleado público o contratista. </w:t>
      </w:r>
      <w:r w:rsidRPr="00B37198">
        <w:rPr>
          <w:rFonts w:ascii="Verdana" w:hAnsi="Verdana" w:cs="Arial"/>
          <w:color w:val="000000" w:themeColor="text1"/>
          <w:sz w:val="12"/>
          <w:szCs w:val="12"/>
          <w:lang w:val="pt-BR"/>
        </w:rPr>
        <w:t xml:space="preserve">RAD.: 20232060168272 del 16 de marzo de 2023. Consultar en: </w:t>
      </w:r>
      <w:hyperlink r:id="rId1" w:history="1">
        <w:r w:rsidRPr="00B37198">
          <w:rPr>
            <w:rStyle w:val="Hipervnculo"/>
            <w:rFonts w:ascii="Verdana" w:hAnsi="Verdana" w:cs="Arial"/>
            <w:sz w:val="12"/>
            <w:szCs w:val="12"/>
            <w:lang w:val="pt-BR"/>
          </w:rPr>
          <w:t>https://www.funcionpublica.gov.co/eva/gestornormativo/norma.php?i=215264</w:t>
        </w:r>
      </w:hyperlink>
      <w:r w:rsidRPr="00B37198">
        <w:rPr>
          <w:rFonts w:ascii="Verdana" w:hAnsi="Verdana" w:cs="Arial"/>
          <w:color w:val="000000" w:themeColor="text1"/>
          <w:sz w:val="12"/>
          <w:szCs w:val="12"/>
          <w:lang w:val="pt-BR"/>
        </w:rPr>
        <w:t xml:space="preserve"> </w:t>
      </w:r>
    </w:p>
  </w:footnote>
  <w:footnote w:id="15">
    <w:p w14:paraId="3DC4ED4D" w14:textId="77777777" w:rsidR="00B37198" w:rsidRPr="005C09FF" w:rsidRDefault="00B37198" w:rsidP="00B37198">
      <w:pPr>
        <w:pStyle w:val="Textonotapie"/>
        <w:ind w:firstLine="708"/>
        <w:jc w:val="both"/>
        <w:rPr>
          <w:rFonts w:ascii="Verdana" w:hAnsi="Verdana"/>
          <w:sz w:val="12"/>
          <w:szCs w:val="12"/>
          <w:lang w:val="es-CO"/>
        </w:rPr>
      </w:pPr>
      <w:r w:rsidRPr="005C09FF">
        <w:rPr>
          <w:rStyle w:val="Refdenotaalpie"/>
          <w:rFonts w:ascii="Verdana" w:hAnsi="Verdana"/>
          <w:sz w:val="12"/>
          <w:szCs w:val="12"/>
        </w:rPr>
        <w:footnoteRef/>
      </w:r>
      <w:r w:rsidRPr="005C09FF">
        <w:rPr>
          <w:rFonts w:ascii="Verdana" w:hAnsi="Verdana"/>
          <w:sz w:val="12"/>
          <w:szCs w:val="12"/>
        </w:rPr>
        <w:t xml:space="preserve"> </w:t>
      </w:r>
      <w:r w:rsidRPr="005C09FF">
        <w:rPr>
          <w:rFonts w:ascii="Verdana" w:hAnsi="Verdana" w:cs="Arial"/>
          <w:color w:val="000000" w:themeColor="text1"/>
          <w:sz w:val="12"/>
          <w:szCs w:val="12"/>
        </w:rPr>
        <w:t xml:space="preserve">Departamento Administrativo de la Función Pública. </w:t>
      </w:r>
      <w:r w:rsidRPr="00B37198">
        <w:rPr>
          <w:rFonts w:ascii="Verdana" w:hAnsi="Verdana" w:cs="Arial"/>
          <w:color w:val="000000" w:themeColor="text1"/>
          <w:sz w:val="12"/>
          <w:szCs w:val="12"/>
          <w:lang w:val="pt-BR"/>
        </w:rPr>
        <w:t xml:space="preserve">Concepto 190381 de 2024. REF: INHABILIDADES E INCOMPATIBILIDADES. </w:t>
      </w:r>
      <w:r w:rsidRPr="005C09FF">
        <w:rPr>
          <w:rFonts w:ascii="Verdana" w:hAnsi="Verdana" w:cs="Arial"/>
          <w:color w:val="000000" w:themeColor="text1"/>
          <w:sz w:val="12"/>
          <w:szCs w:val="12"/>
        </w:rPr>
        <w:t xml:space="preserve">Pensionado. Posibilidad de que pensionado por invalidez ingrese al servicio público. RAD. 20242060246392 del 15 de marzo de 2024. Consultar: </w:t>
      </w:r>
      <w:hyperlink r:id="rId2" w:history="1">
        <w:r w:rsidRPr="005C09FF">
          <w:rPr>
            <w:rStyle w:val="Hipervnculo"/>
            <w:rFonts w:ascii="Verdana" w:hAnsi="Verdana" w:cs="Arial"/>
            <w:sz w:val="12"/>
            <w:szCs w:val="12"/>
          </w:rPr>
          <w:t>https://www.funcionpublica.gov.co/eva/gestornormativo/norma.php?i=262396</w:t>
        </w:r>
      </w:hyperlink>
      <w:r w:rsidRPr="005C09FF">
        <w:rPr>
          <w:rFonts w:ascii="Verdana" w:hAnsi="Verdana" w:cs="Arial"/>
          <w:color w:val="000000" w:themeColor="text1"/>
          <w:sz w:val="12"/>
          <w:szCs w:val="12"/>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07CE3" w14:textId="77777777" w:rsidR="00B37198" w:rsidRDefault="00B3719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7D03629A" wp14:editId="05EA97AC">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13C9605A" wp14:editId="2F821F62">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753E91B" w14:textId="77777777" w:rsidR="00B37198" w:rsidRDefault="00B37198">
    <w:pPr>
      <w:pStyle w:val="Encabezado"/>
    </w:pPr>
  </w:p>
  <w:p w14:paraId="79228613" w14:textId="77777777" w:rsidR="00B37198" w:rsidRPr="004A305D" w:rsidRDefault="00B37198" w:rsidP="00B01B1A">
    <w:pPr>
      <w:spacing w:after="0" w:line="120" w:lineRule="auto"/>
      <w:rPr>
        <w:rFonts w:ascii="Century Gothic" w:eastAsia="Geo" w:hAnsi="Century Gothic" w:cs="Geo"/>
        <w:sz w:val="16"/>
        <w:szCs w:val="16"/>
        <w:lang w:eastAsia="es-CO"/>
      </w:rPr>
    </w:pPr>
  </w:p>
  <w:p w14:paraId="3C7E7BDE" w14:textId="77777777" w:rsidR="00B37198" w:rsidRDefault="00B37198" w:rsidP="00844AE9">
    <w:pPr>
      <w:spacing w:after="0" w:line="240" w:lineRule="auto"/>
      <w:rPr>
        <w:rFonts w:ascii="Verdana" w:hAnsi="Verdana"/>
        <w:sz w:val="24"/>
        <w:szCs w:val="24"/>
      </w:rPr>
    </w:pPr>
  </w:p>
  <w:p w14:paraId="5B62BBF4" w14:textId="77777777" w:rsidR="00B37198" w:rsidRPr="00C925AC" w:rsidRDefault="00B37198"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518470888">
    <w:abstractNumId w:val="0"/>
  </w:num>
  <w:num w:numId="3" w16cid:durableId="20531435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198"/>
    <w:rsid w:val="00154018"/>
    <w:rsid w:val="00252AC7"/>
    <w:rsid w:val="00474DF4"/>
    <w:rsid w:val="00485D25"/>
    <w:rsid w:val="004F471F"/>
    <w:rsid w:val="00915BD7"/>
    <w:rsid w:val="00A3135D"/>
    <w:rsid w:val="00B1309D"/>
    <w:rsid w:val="00B13AEA"/>
    <w:rsid w:val="00B37198"/>
    <w:rsid w:val="00B61E4A"/>
    <w:rsid w:val="00B84259"/>
    <w:rsid w:val="00C24FFE"/>
    <w:rsid w:val="00DA1BF8"/>
    <w:rsid w:val="00FA0E0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4D5DA"/>
  <w15:chartTrackingRefBased/>
  <w15:docId w15:val="{34818EF6-7B18-428C-9E3F-4F6533BC6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198"/>
    <w:rPr>
      <w:kern w:val="0"/>
      <w14:ligatures w14:val="none"/>
    </w:rPr>
  </w:style>
  <w:style w:type="paragraph" w:styleId="Ttulo1">
    <w:name w:val="heading 1"/>
    <w:basedOn w:val="Normal"/>
    <w:next w:val="Normal"/>
    <w:link w:val="Ttulo1Car"/>
    <w:uiPriority w:val="9"/>
    <w:qFormat/>
    <w:rsid w:val="00B3719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3719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3719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3719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3719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3719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3719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3719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3719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3719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B3719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B3719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B3719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B3719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B3719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3719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3719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37198"/>
    <w:rPr>
      <w:rFonts w:eastAsiaTheme="majorEastAsia" w:cstheme="majorBidi"/>
      <w:color w:val="272727" w:themeColor="text1" w:themeTint="D8"/>
    </w:rPr>
  </w:style>
  <w:style w:type="paragraph" w:styleId="Ttulo">
    <w:name w:val="Title"/>
    <w:basedOn w:val="Normal"/>
    <w:next w:val="Normal"/>
    <w:link w:val="TtuloCar"/>
    <w:uiPriority w:val="10"/>
    <w:qFormat/>
    <w:rsid w:val="00B371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3719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3719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3719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37198"/>
    <w:pPr>
      <w:spacing w:before="160"/>
      <w:jc w:val="center"/>
    </w:pPr>
    <w:rPr>
      <w:i/>
      <w:iCs/>
      <w:color w:val="404040" w:themeColor="text1" w:themeTint="BF"/>
    </w:rPr>
  </w:style>
  <w:style w:type="character" w:customStyle="1" w:styleId="CitaCar">
    <w:name w:val="Cita Car"/>
    <w:basedOn w:val="Fuentedeprrafopredeter"/>
    <w:link w:val="Cita"/>
    <w:uiPriority w:val="29"/>
    <w:rsid w:val="00B37198"/>
    <w:rPr>
      <w:i/>
      <w:iCs/>
      <w:color w:val="404040" w:themeColor="text1" w:themeTint="BF"/>
    </w:rPr>
  </w:style>
  <w:style w:type="paragraph" w:styleId="Prrafodelista">
    <w:name w:val="List Paragraph"/>
    <w:basedOn w:val="Normal"/>
    <w:uiPriority w:val="34"/>
    <w:qFormat/>
    <w:rsid w:val="00B37198"/>
    <w:pPr>
      <w:ind w:left="720"/>
      <w:contextualSpacing/>
    </w:pPr>
  </w:style>
  <w:style w:type="character" w:styleId="nfasisintenso">
    <w:name w:val="Intense Emphasis"/>
    <w:basedOn w:val="Fuentedeprrafopredeter"/>
    <w:uiPriority w:val="21"/>
    <w:qFormat/>
    <w:rsid w:val="00B37198"/>
    <w:rPr>
      <w:i/>
      <w:iCs/>
      <w:color w:val="2F5496" w:themeColor="accent1" w:themeShade="BF"/>
    </w:rPr>
  </w:style>
  <w:style w:type="paragraph" w:styleId="Citadestacada">
    <w:name w:val="Intense Quote"/>
    <w:basedOn w:val="Normal"/>
    <w:next w:val="Normal"/>
    <w:link w:val="CitadestacadaCar"/>
    <w:uiPriority w:val="30"/>
    <w:qFormat/>
    <w:rsid w:val="00B3719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37198"/>
    <w:rPr>
      <w:i/>
      <w:iCs/>
      <w:color w:val="2F5496" w:themeColor="accent1" w:themeShade="BF"/>
    </w:rPr>
  </w:style>
  <w:style w:type="character" w:styleId="Referenciaintensa">
    <w:name w:val="Intense Reference"/>
    <w:basedOn w:val="Fuentedeprrafopredeter"/>
    <w:uiPriority w:val="32"/>
    <w:qFormat/>
    <w:rsid w:val="00B37198"/>
    <w:rPr>
      <w:b/>
      <w:bCs/>
      <w:smallCaps/>
      <w:color w:val="2F5496" w:themeColor="accent1" w:themeShade="BF"/>
      <w:spacing w:val="5"/>
    </w:rPr>
  </w:style>
  <w:style w:type="paragraph" w:styleId="Encabezado">
    <w:name w:val="header"/>
    <w:basedOn w:val="Normal"/>
    <w:link w:val="EncabezadoCar"/>
    <w:uiPriority w:val="99"/>
    <w:unhideWhenUsed/>
    <w:rsid w:val="00B3719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7198"/>
    <w:rPr>
      <w:kern w:val="0"/>
      <w14:ligatures w14:val="none"/>
    </w:rPr>
  </w:style>
  <w:style w:type="paragraph" w:styleId="Piedepgina">
    <w:name w:val="footer"/>
    <w:basedOn w:val="Normal"/>
    <w:link w:val="PiedepginaCar"/>
    <w:uiPriority w:val="99"/>
    <w:unhideWhenUsed/>
    <w:rsid w:val="00B3719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7198"/>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B3719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B37198"/>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B37198"/>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7198"/>
    <w:rPr>
      <w:vertAlign w:val="superscript"/>
    </w:rPr>
  </w:style>
  <w:style w:type="table" w:styleId="Tablaconcuadrcula">
    <w:name w:val="Table Grid"/>
    <w:basedOn w:val="Tablanormal"/>
    <w:uiPriority w:val="59"/>
    <w:qFormat/>
    <w:rsid w:val="00B3719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B37198"/>
    <w:rPr>
      <w:color w:val="0000FF"/>
      <w:u w:val="single"/>
    </w:rPr>
  </w:style>
  <w:style w:type="paragraph" w:customStyle="1" w:styleId="paragraph">
    <w:name w:val="paragraph"/>
    <w:basedOn w:val="Normal"/>
    <w:rsid w:val="00B37198"/>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B37198"/>
    <w:pPr>
      <w:spacing w:line="240" w:lineRule="exact"/>
    </w:pPr>
    <w:rPr>
      <w:kern w:val="2"/>
      <w:vertAlign w:val="superscript"/>
      <w14:ligatures w14:val="standardContextual"/>
    </w:rPr>
  </w:style>
  <w:style w:type="table" w:customStyle="1" w:styleId="Tablaconcuadrcula1">
    <w:name w:val="Tabla con cuadrícula1"/>
    <w:basedOn w:val="Tablanormal"/>
    <w:next w:val="Tablaconcuadrcula"/>
    <w:uiPriority w:val="39"/>
    <w:qFormat/>
    <w:rsid w:val="00B37198"/>
    <w:pPr>
      <w:spacing w:after="0" w:line="240" w:lineRule="auto"/>
    </w:pPr>
    <w:rPr>
      <w:kern w:val="0"/>
      <w14:ligatures w14:val="none"/>
    </w:r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uncionpublica.gov.co/eva/gestornormativo/norma.php?i=262396"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funcionpublica.gov.co/eva/gestornormativo/norma.php?i=215264"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e.ar.gu@hot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funcionpublica.gov.co/eva/gestornormativo/norma.php?i=262396" TargetMode="External"/><Relationship Id="rId1" Type="http://schemas.openxmlformats.org/officeDocument/2006/relationships/hyperlink" Target="https://www.funcionpublica.gov.co/eva/gestornormativo/norma.php?i=21526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1CC57B8-AEE7-4807-8C53-BE18602E82EB}">
  <ds:schemaRefs>
    <ds:schemaRef ds:uri="http://schemas.openxmlformats.org/package/2006/metadata/core-properties"/>
    <ds:schemaRef ds:uri="http://schemas.microsoft.com/office/2006/documentManagement/types"/>
    <ds:schemaRef ds:uri="http://purl.org/dc/terms/"/>
    <ds:schemaRef ds:uri="http://purl.org/dc/dcmitype/"/>
    <ds:schemaRef ds:uri="http://schemas.microsoft.com/office/infopath/2007/PartnerControls"/>
    <ds:schemaRef ds:uri="http://purl.org/dc/elements/1.1/"/>
    <ds:schemaRef ds:uri="http://schemas.microsoft.com/office/2006/metadata/properties"/>
    <ds:schemaRef ds:uri="a6cb9e4b-f1d1-4245-83ec-6cad768d538a"/>
    <ds:schemaRef ds:uri="9d85dbaf-23eb-4e57-a637-93dcacc8b1a1"/>
    <ds:schemaRef ds:uri="http://www.w3.org/XML/1998/namespace"/>
  </ds:schemaRefs>
</ds:datastoreItem>
</file>

<file path=customXml/itemProps2.xml><?xml version="1.0" encoding="utf-8"?>
<ds:datastoreItem xmlns:ds="http://schemas.openxmlformats.org/officeDocument/2006/customXml" ds:itemID="{A6FEF5C7-E270-49D5-A673-F770E8ED7B6F}">
  <ds:schemaRefs>
    <ds:schemaRef ds:uri="http://schemas.microsoft.com/sharepoint/v3/contenttype/forms"/>
  </ds:schemaRefs>
</ds:datastoreItem>
</file>

<file path=customXml/itemProps3.xml><?xml version="1.0" encoding="utf-8"?>
<ds:datastoreItem xmlns:ds="http://schemas.openxmlformats.org/officeDocument/2006/customXml" ds:itemID="{696293E0-EA66-4D31-8555-338AAD0334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18</Pages>
  <Words>6182</Words>
  <Characters>34189</Characters>
  <Application>Microsoft Office Word</Application>
  <DocSecurity>0</DocSecurity>
  <Lines>670</Lines>
  <Paragraphs>127</Paragraphs>
  <ScaleCrop>false</ScaleCrop>
  <Company/>
  <LinksUpToDate>false</LinksUpToDate>
  <CharactersWithSpaces>40244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Andrés Rivera Cano</cp:lastModifiedBy>
  <cp:revision>2</cp:revision>
  <dcterms:created xsi:type="dcterms:W3CDTF">2026-01-08T21:55:00Z</dcterms:created>
  <dcterms:modified xsi:type="dcterms:W3CDTF">2026-01-08T21:55:00Z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