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BBB748F" w14:textId="77777777" w:rsidR="00FB1B14" w:rsidRPr="00FB1B14" w:rsidRDefault="00FB1B14" w:rsidP="00FB1B14">
      <w:pPr>
        <w:snapToGrid w:val="0"/>
        <w:contextualSpacing/>
        <w:jc w:val="both"/>
        <w:rPr>
          <w:rFonts w:ascii="Verdana" w:eastAsia="Calibri" w:hAnsi="Verdana" w:cs="Arial"/>
          <w:b/>
          <w:bCs/>
          <w:lang w:val="es-ES" w:eastAsia="es-ES"/>
        </w:rPr>
      </w:pPr>
      <w:r w:rsidRPr="00FB1B14">
        <w:rPr>
          <w:rFonts w:ascii="Verdana" w:eastAsia="Calibri" w:hAnsi="Verdana" w:cs="Arial"/>
          <w:b/>
          <w:bCs/>
          <w:lang w:val="es-ES" w:eastAsia="es-ES"/>
        </w:rPr>
        <w:t>ACTIVIDADES DE CIENCIA, TECNOLOGÍA E INNOVACIÓN – Marco jurídico – Tipologías contractuales</w:t>
      </w:r>
    </w:p>
    <w:p w14:paraId="367D1825" w14:textId="77777777" w:rsidR="00FB1B14" w:rsidRPr="00FB1B14" w:rsidRDefault="00FB1B14" w:rsidP="00FB1B14">
      <w:pPr>
        <w:snapToGrid w:val="0"/>
        <w:spacing w:after="0" w:line="240" w:lineRule="auto"/>
        <w:contextualSpacing/>
        <w:jc w:val="both"/>
        <w:rPr>
          <w:rFonts w:ascii="Verdana" w:eastAsia="Calibri" w:hAnsi="Verdana" w:cs="Arial"/>
          <w:sz w:val="20"/>
          <w:szCs w:val="20"/>
          <w:lang w:val="es-ES" w:eastAsia="es-ES"/>
        </w:rPr>
      </w:pPr>
    </w:p>
    <w:p w14:paraId="0963EE4B" w14:textId="77777777" w:rsidR="00FB1B14" w:rsidRPr="00FB1B14" w:rsidRDefault="00FB1B14" w:rsidP="00FB1B14">
      <w:pPr>
        <w:snapToGrid w:val="0"/>
        <w:spacing w:after="0" w:line="240" w:lineRule="auto"/>
        <w:contextualSpacing/>
        <w:jc w:val="both"/>
        <w:rPr>
          <w:rFonts w:ascii="Verdana" w:eastAsia="Times New Roman" w:hAnsi="Verdana" w:cs="Arial"/>
          <w:sz w:val="20"/>
          <w:szCs w:val="20"/>
          <w:lang w:eastAsia="es-ES_tradnl"/>
        </w:rPr>
      </w:pPr>
      <w:r w:rsidRPr="00FB1B14">
        <w:rPr>
          <w:rFonts w:ascii="Verdana" w:hAnsi="Verdana" w:cs="Arial"/>
          <w:sz w:val="20"/>
          <w:szCs w:val="20"/>
          <w:lang w:val="en-CO" w:eastAsia="es-ES_tradnl"/>
        </w:rPr>
        <w:t xml:space="preserve">En este sentido, las contratación que adelante el Instituto debe sujetarse a los procedimientos, modalidades de selección y tipologías contractuales antes descritas para la contratación de actividades científicas y tecnológicas. </w:t>
      </w:r>
      <w:r w:rsidRPr="00FB1B14">
        <w:rPr>
          <w:rFonts w:ascii="Verdana" w:hAnsi="Verdana" w:cs="Arial"/>
          <w:sz w:val="20"/>
          <w:szCs w:val="20"/>
          <w:lang w:eastAsia="es-ES_tradnl"/>
        </w:rPr>
        <w:t xml:space="preserve">Dado que el marco jurídico establecido en los </w:t>
      </w:r>
      <w:r w:rsidRPr="00FB1B14">
        <w:rPr>
          <w:rFonts w:ascii="Verdana" w:eastAsia="Times New Roman" w:hAnsi="Verdana" w:cs="Arial"/>
          <w:sz w:val="20"/>
          <w:szCs w:val="20"/>
          <w:lang w:eastAsia="es-ES_tradnl"/>
        </w:rPr>
        <w:t xml:space="preserve">Decretos Ley 393 y 591 de 1991 señala que la implementación de estas tipologías jurídicas es </w:t>
      </w:r>
      <w:r w:rsidRPr="00FB1B14">
        <w:rPr>
          <w:rFonts w:ascii="Verdana" w:eastAsia="Times New Roman" w:hAnsi="Verdana" w:cs="Arial"/>
          <w:i/>
          <w:iCs/>
          <w:sz w:val="20"/>
          <w:szCs w:val="20"/>
          <w:u w:val="single"/>
          <w:lang w:eastAsia="es-ES_tradnl"/>
        </w:rPr>
        <w:t>facultativa</w:t>
      </w:r>
      <w:r w:rsidRPr="00FB1B14">
        <w:rPr>
          <w:rFonts w:ascii="Verdana" w:eastAsia="Times New Roman" w:hAnsi="Verdana" w:cs="Arial"/>
          <w:sz w:val="20"/>
          <w:szCs w:val="20"/>
          <w:lang w:eastAsia="es-ES_tradnl"/>
        </w:rPr>
        <w:t xml:space="preserve"> por parte de las entidades allí señaladas, el Instituto podrá convenir libremente otro tipo de tipologías contractuales a las  reguladas en dicha normativa, en ejercicio de la autonomía de la voluntad, pues de esta manera lo previo expresamente el régimen jurídico para la contratación de actividades para el fomento científico y tecnológico al cual remite el artículo 10 del </w:t>
      </w:r>
      <w:r w:rsidRPr="00FB1B14">
        <w:rPr>
          <w:rFonts w:ascii="Verdana" w:hAnsi="Verdana" w:cs="Arial"/>
          <w:sz w:val="20"/>
          <w:szCs w:val="20"/>
          <w:lang w:eastAsia="es-ES_tradnl"/>
        </w:rPr>
        <w:t>Decreto-Ley 4109 de 2011</w:t>
      </w:r>
      <w:r w:rsidRPr="00FB1B14">
        <w:rPr>
          <w:rFonts w:ascii="Verdana" w:eastAsia="Times New Roman" w:hAnsi="Verdana" w:cs="Arial"/>
          <w:sz w:val="20"/>
          <w:szCs w:val="20"/>
          <w:lang w:eastAsia="es-ES_tradnl"/>
        </w:rPr>
        <w:t xml:space="preserve">. </w:t>
      </w:r>
    </w:p>
    <w:p w14:paraId="16506E43" w14:textId="77777777" w:rsidR="00FB1B14" w:rsidRDefault="00FB1B14" w:rsidP="00FB1B14">
      <w:pPr>
        <w:shd w:val="clear" w:color="auto" w:fill="FFFFFF"/>
        <w:snapToGrid w:val="0"/>
        <w:contextualSpacing/>
        <w:jc w:val="both"/>
        <w:rPr>
          <w:rFonts w:ascii="Verdana" w:hAnsi="Verdana" w:cs="Arial"/>
          <w:sz w:val="20"/>
          <w:szCs w:val="20"/>
          <w:lang w:eastAsia="es-ES_tradnl"/>
        </w:rPr>
      </w:pPr>
    </w:p>
    <w:p w14:paraId="59B95809" w14:textId="4EAE7878" w:rsidR="00FB1B14" w:rsidRPr="00FB1B14" w:rsidRDefault="00FB1B14" w:rsidP="00FB1B14">
      <w:pPr>
        <w:shd w:val="clear" w:color="auto" w:fill="FFFFFF"/>
        <w:snapToGrid w:val="0"/>
        <w:spacing w:after="0" w:line="240" w:lineRule="auto"/>
        <w:contextualSpacing/>
        <w:jc w:val="both"/>
        <w:rPr>
          <w:rFonts w:ascii="Verdana" w:hAnsi="Verdana" w:cs="Arial"/>
          <w:sz w:val="20"/>
          <w:szCs w:val="20"/>
          <w:lang w:eastAsia="es-ES_tradnl"/>
        </w:rPr>
      </w:pPr>
      <w:r w:rsidRPr="00FB1B14">
        <w:rPr>
          <w:rFonts w:ascii="Verdana" w:hAnsi="Verdana" w:cs="Arial"/>
          <w:sz w:val="20"/>
          <w:szCs w:val="20"/>
          <w:lang w:eastAsia="es-ES_tradnl"/>
        </w:rPr>
        <w:t xml:space="preserve">Lo anterior no implica que las Entidades Estatales que contraten el desarrollo de actividades científicas y tecnológicas mediante tipologías distintas a las señaladas en el Decreto Ley 591 y el Decreto Ley 393 de 1991 puedan contratar directamente objetos que no constituyan realmente el desarrollo de dichas actividades. En línea con lo anterior, las entidades no pueden contratar directamente mediante las tipologías establecidas en el régimen de fomento de ciencia y tecnología, o acudir a la facultad de adoptar otro tipo de tipologías para la contratación directa de este tipo de actividades, con el fin de evadir adelantar un proceso competitivo. Sobre este punto se resalta que la contratación directa es de carácter </w:t>
      </w:r>
      <w:r w:rsidRPr="00FB1B14">
        <w:rPr>
          <w:rFonts w:ascii="Verdana" w:hAnsi="Verdana" w:cs="Arial"/>
          <w:i/>
          <w:iCs/>
          <w:sz w:val="20"/>
          <w:szCs w:val="20"/>
          <w:u w:val="single"/>
          <w:lang w:eastAsia="es-ES_tradnl"/>
        </w:rPr>
        <w:t>excepcional</w:t>
      </w:r>
      <w:r w:rsidRPr="00FB1B14">
        <w:rPr>
          <w:rFonts w:ascii="Verdana" w:hAnsi="Verdana" w:cs="Arial"/>
          <w:i/>
          <w:iCs/>
          <w:sz w:val="20"/>
          <w:szCs w:val="20"/>
          <w:lang w:eastAsia="es-ES_tradnl"/>
        </w:rPr>
        <w:t xml:space="preserve"> </w:t>
      </w:r>
      <w:r w:rsidRPr="00FB1B14">
        <w:rPr>
          <w:rFonts w:ascii="Verdana" w:hAnsi="Verdana" w:cs="Arial"/>
          <w:sz w:val="20"/>
          <w:szCs w:val="20"/>
          <w:lang w:eastAsia="es-ES_tradnl"/>
        </w:rPr>
        <w:t>y procede exclusivamente cuando se trate de las actividades comprendidas en el alcance del régimen de contratación en comento. En esta medida, es necesario que las entidades justifiquen la forma en que el procedimiento se adelanta materialmente para el fomento de actividades científicas y tecnológicas, independientemente de la tipología contractual que la entidad adopte para ello.</w:t>
      </w:r>
    </w:p>
    <w:p w14:paraId="29E997B1" w14:textId="21E97C87" w:rsidR="00FB1B14" w:rsidRPr="00FB1B14" w:rsidRDefault="00FB1B14" w:rsidP="00FB1B14">
      <w:pPr>
        <w:snapToGrid w:val="0"/>
        <w:spacing w:after="0" w:line="240" w:lineRule="auto"/>
        <w:contextualSpacing/>
        <w:jc w:val="both"/>
        <w:rPr>
          <w:rFonts w:ascii="Verdana" w:eastAsia="Calibri" w:hAnsi="Verdana" w:cs="Arial"/>
          <w:sz w:val="20"/>
          <w:szCs w:val="20"/>
          <w:lang w:val="es-ES" w:eastAsia="es-ES"/>
        </w:rPr>
      </w:pPr>
      <w:r w:rsidRPr="00FB1B14">
        <w:rPr>
          <w:rFonts w:ascii="Verdana" w:hAnsi="Verdana" w:cs="Arial"/>
          <w:sz w:val="20"/>
          <w:szCs w:val="20"/>
          <w:lang w:eastAsia="es-ES_tradnl"/>
        </w:rPr>
        <w:t> </w:t>
      </w:r>
      <w:r w:rsidRPr="00FB1B14">
        <w:rPr>
          <w:rFonts w:ascii="Verdana" w:hAnsi="Verdana" w:cs="Arial"/>
          <w:sz w:val="20"/>
          <w:szCs w:val="20"/>
          <w:lang w:eastAsia="es-ES_tradnl"/>
        </w:rPr>
        <w:tab/>
      </w:r>
    </w:p>
    <w:p w14:paraId="17071F03" w14:textId="77777777" w:rsidR="00FB1B14" w:rsidRDefault="00FB1B14" w:rsidP="00981E00">
      <w:pPr>
        <w:spacing w:line="276" w:lineRule="auto"/>
        <w:rPr>
          <w:rFonts w:ascii="Verdana" w:eastAsia="Geomanist Light" w:hAnsi="Verdana" w:cs="Arial"/>
          <w:color w:val="000000" w:themeColor="text1"/>
          <w:lang w:val="es-MX"/>
        </w:rPr>
      </w:pPr>
    </w:p>
    <w:p w14:paraId="4EA02D61" w14:textId="77777777" w:rsidR="00FB1B14" w:rsidRDefault="00FB1B14" w:rsidP="00981E00">
      <w:pPr>
        <w:spacing w:line="276" w:lineRule="auto"/>
        <w:rPr>
          <w:rFonts w:ascii="Verdana" w:eastAsia="Geomanist Light" w:hAnsi="Verdana" w:cs="Arial"/>
          <w:color w:val="000000" w:themeColor="text1"/>
          <w:lang w:val="es-MX"/>
        </w:rPr>
      </w:pPr>
    </w:p>
    <w:p w14:paraId="159FB235" w14:textId="77777777" w:rsidR="00FB1B14" w:rsidRDefault="00FB1B14" w:rsidP="00981E00">
      <w:pPr>
        <w:spacing w:line="276" w:lineRule="auto"/>
        <w:rPr>
          <w:rFonts w:ascii="Verdana" w:eastAsia="Geomanist Light" w:hAnsi="Verdana" w:cs="Arial"/>
          <w:color w:val="000000" w:themeColor="text1"/>
          <w:lang w:val="es-MX"/>
        </w:rPr>
      </w:pPr>
    </w:p>
    <w:p w14:paraId="313A68B1" w14:textId="77777777" w:rsidR="00FB1B14" w:rsidRDefault="00FB1B14" w:rsidP="00981E00">
      <w:pPr>
        <w:spacing w:line="276" w:lineRule="auto"/>
        <w:rPr>
          <w:rFonts w:ascii="Verdana" w:eastAsia="Geomanist Light" w:hAnsi="Verdana" w:cs="Arial"/>
          <w:color w:val="000000" w:themeColor="text1"/>
          <w:lang w:val="es-MX"/>
        </w:rPr>
      </w:pPr>
    </w:p>
    <w:p w14:paraId="2DB9C4F6" w14:textId="77777777" w:rsidR="00FB1B14" w:rsidRDefault="00FB1B14" w:rsidP="00981E00">
      <w:pPr>
        <w:spacing w:line="276" w:lineRule="auto"/>
        <w:rPr>
          <w:rFonts w:ascii="Verdana" w:eastAsia="Geomanist Light" w:hAnsi="Verdana" w:cs="Arial"/>
          <w:color w:val="000000" w:themeColor="text1"/>
          <w:lang w:val="es-MX"/>
        </w:rPr>
      </w:pPr>
    </w:p>
    <w:p w14:paraId="20F21A93" w14:textId="77777777" w:rsidR="00FB1B14" w:rsidRDefault="00FB1B14" w:rsidP="00981E00">
      <w:pPr>
        <w:spacing w:line="276" w:lineRule="auto"/>
        <w:rPr>
          <w:rFonts w:ascii="Verdana" w:eastAsia="Geomanist Light" w:hAnsi="Verdana" w:cs="Arial"/>
          <w:color w:val="000000" w:themeColor="text1"/>
          <w:lang w:val="es-MX"/>
        </w:rPr>
      </w:pPr>
    </w:p>
    <w:p w14:paraId="1FEA02D3" w14:textId="77777777" w:rsidR="00FB1B14" w:rsidRDefault="00FB1B14" w:rsidP="00981E00">
      <w:pPr>
        <w:spacing w:line="276" w:lineRule="auto"/>
        <w:rPr>
          <w:rFonts w:ascii="Verdana" w:eastAsia="Geomanist Light" w:hAnsi="Verdana" w:cs="Arial"/>
          <w:color w:val="000000" w:themeColor="text1"/>
          <w:lang w:val="es-MX"/>
        </w:rPr>
      </w:pPr>
    </w:p>
    <w:p w14:paraId="09C4B320" w14:textId="02F22E61" w:rsidR="00981E00" w:rsidRPr="00B72566" w:rsidRDefault="00D72E86" w:rsidP="00981E00">
      <w:pPr>
        <w:spacing w:line="276" w:lineRule="auto"/>
        <w:rPr>
          <w:rFonts w:ascii="Verdana" w:eastAsia="Geomanist Light" w:hAnsi="Verdana" w:cs="Arial"/>
          <w:color w:val="201F1E"/>
          <w:lang w:val="es-MX"/>
        </w:rPr>
      </w:pPr>
      <w:r>
        <w:rPr>
          <w:rFonts w:ascii="Verdana" w:eastAsia="Calibri" w:hAnsi="Verdana" w:cs="Arial"/>
          <w:noProof/>
          <w:lang w:val="en-CO" w:eastAsia="es-ES_tradnl"/>
        </w:rPr>
        <w:lastRenderedPageBreak/>
        <w:drawing>
          <wp:anchor distT="0" distB="0" distL="114300" distR="114300" simplePos="0" relativeHeight="251659264" behindDoc="0" locked="0" layoutInCell="1" allowOverlap="1" wp14:anchorId="2801078F" wp14:editId="0159AA00">
            <wp:simplePos x="0" y="0"/>
            <wp:positionH relativeFrom="column">
              <wp:posOffset>3247062</wp:posOffset>
            </wp:positionH>
            <wp:positionV relativeFrom="paragraph">
              <wp:posOffset>9094</wp:posOffset>
            </wp:positionV>
            <wp:extent cx="2735580" cy="825500"/>
            <wp:effectExtent l="0" t="0" r="0" b="0"/>
            <wp:wrapSquare wrapText="bothSides"/>
            <wp:docPr id="1380754813" name="Picture 2" descr="A close-up of a white c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0754813" name="Picture 2" descr="A close-up of a white card&#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2735580" cy="825500"/>
                    </a:xfrm>
                    <a:prstGeom prst="rect">
                      <a:avLst/>
                    </a:prstGeom>
                  </pic:spPr>
                </pic:pic>
              </a:graphicData>
            </a:graphic>
            <wp14:sizeRelH relativeFrom="page">
              <wp14:pctWidth>0</wp14:pctWidth>
            </wp14:sizeRelH>
            <wp14:sizeRelV relativeFrom="page">
              <wp14:pctHeight>0</wp14:pctHeight>
            </wp14:sizeRelV>
          </wp:anchor>
        </w:drawing>
      </w:r>
      <w:r w:rsidR="00981E00" w:rsidRPr="00B72566">
        <w:rPr>
          <w:rFonts w:ascii="Verdana" w:eastAsia="Geomanist Light" w:hAnsi="Verdana" w:cs="Arial"/>
          <w:color w:val="000000" w:themeColor="text1"/>
          <w:lang w:val="es-MX"/>
        </w:rPr>
        <w:t>Bogotá D.C., </w:t>
      </w:r>
      <w:r>
        <w:rPr>
          <w:rFonts w:ascii="Verdana" w:eastAsia="Geomanist Light" w:hAnsi="Verdana" w:cs="Arial"/>
          <w:color w:val="201F1E"/>
          <w:lang w:val="es-MX"/>
        </w:rPr>
        <w:t>26 de Diciembre de 2025</w:t>
      </w:r>
    </w:p>
    <w:p w14:paraId="5A18928A" w14:textId="239D4CDE" w:rsidR="00981E00" w:rsidRDefault="00981E00" w:rsidP="00981E00">
      <w:pPr>
        <w:spacing w:after="0" w:line="276" w:lineRule="auto"/>
        <w:contextualSpacing/>
        <w:rPr>
          <w:rFonts w:ascii="Verdana" w:eastAsia="Calibri" w:hAnsi="Verdana" w:cs="Arial"/>
          <w:lang w:val="en-CO" w:eastAsia="es-ES_tradnl"/>
        </w:rPr>
      </w:pPr>
    </w:p>
    <w:p w14:paraId="7BBA8FA5" w14:textId="1A40AB62" w:rsidR="00981E00" w:rsidRDefault="00981E00" w:rsidP="00981E00">
      <w:pPr>
        <w:spacing w:after="0" w:line="276" w:lineRule="auto"/>
        <w:contextualSpacing/>
        <w:rPr>
          <w:rFonts w:ascii="Verdana" w:eastAsia="Calibri" w:hAnsi="Verdana" w:cs="Arial"/>
          <w:lang w:val="en-CO" w:eastAsia="es-ES_tradnl"/>
        </w:rPr>
      </w:pPr>
      <w:r>
        <w:rPr>
          <w:rFonts w:ascii="Verdana" w:eastAsia="Calibri" w:hAnsi="Verdana" w:cs="Arial"/>
          <w:lang w:val="en-CO" w:eastAsia="es-ES_tradnl"/>
        </w:rPr>
        <w:t>Señor</w:t>
      </w:r>
    </w:p>
    <w:p w14:paraId="3F25B323" w14:textId="28D50B6B" w:rsidR="00981E00" w:rsidRDefault="00981E00" w:rsidP="00981E00">
      <w:pPr>
        <w:spacing w:after="0" w:line="276" w:lineRule="auto"/>
        <w:contextualSpacing/>
        <w:rPr>
          <w:rFonts w:ascii="Verdana" w:eastAsia="Calibri" w:hAnsi="Verdana" w:cs="Arial"/>
          <w:b/>
          <w:bCs/>
          <w:lang w:val="en-CO" w:eastAsia="es-ES_tradnl"/>
        </w:rPr>
      </w:pPr>
      <w:r w:rsidRPr="00607F33">
        <w:rPr>
          <w:rFonts w:ascii="Verdana" w:eastAsia="Calibri" w:hAnsi="Verdana" w:cs="Arial"/>
          <w:b/>
          <w:bCs/>
          <w:lang w:val="en-CO" w:eastAsia="es-ES_tradnl"/>
        </w:rPr>
        <w:t xml:space="preserve">Nelson Darío Gómez Cardona </w:t>
      </w:r>
    </w:p>
    <w:p w14:paraId="24562BD8" w14:textId="2B7D6688" w:rsidR="00981E00" w:rsidRPr="007C2043" w:rsidRDefault="00981E00" w:rsidP="00981E00">
      <w:pPr>
        <w:spacing w:after="0" w:line="276" w:lineRule="auto"/>
        <w:contextualSpacing/>
        <w:rPr>
          <w:rFonts w:ascii="Verdana" w:eastAsia="Calibri" w:hAnsi="Verdana" w:cs="Arial"/>
          <w:lang w:val="en-CO" w:eastAsia="es-ES_tradnl"/>
        </w:rPr>
      </w:pPr>
      <w:r w:rsidRPr="007C2043">
        <w:rPr>
          <w:rFonts w:ascii="Verdana" w:eastAsia="Calibri" w:hAnsi="Verdana" w:cs="Arial"/>
          <w:lang w:val="en-CO" w:eastAsia="es-ES_tradnl"/>
        </w:rPr>
        <w:t>Jefe de Oficina de Centro de Investigación y Extensión Parque i</w:t>
      </w:r>
    </w:p>
    <w:p w14:paraId="18DCC70D" w14:textId="15C089FA" w:rsidR="00981E00" w:rsidRPr="00607F33" w:rsidRDefault="00981E00" w:rsidP="00981E00">
      <w:pPr>
        <w:spacing w:after="0" w:line="276" w:lineRule="auto"/>
        <w:contextualSpacing/>
        <w:rPr>
          <w:rFonts w:ascii="Verdana" w:eastAsia="Calibri" w:hAnsi="Verdana" w:cs="Arial"/>
          <w:lang w:val="en-CO" w:eastAsia="es-ES_tradnl"/>
        </w:rPr>
      </w:pPr>
      <w:r>
        <w:rPr>
          <w:rFonts w:ascii="Verdana" w:eastAsia="Calibri" w:hAnsi="Verdana" w:cs="Arial"/>
          <w:lang w:val="en-CO" w:eastAsia="es-ES_tradnl"/>
        </w:rPr>
        <w:t>Institución Universitaria ITM</w:t>
      </w:r>
    </w:p>
    <w:p w14:paraId="68CCFF6F" w14:textId="77777777" w:rsidR="00981E00" w:rsidRDefault="00981E00" w:rsidP="00981E00">
      <w:pPr>
        <w:spacing w:after="0" w:line="276" w:lineRule="auto"/>
        <w:contextualSpacing/>
        <w:rPr>
          <w:rFonts w:ascii="Verdana" w:eastAsia="Calibri" w:hAnsi="Verdana" w:cs="Arial"/>
          <w:lang w:val="en-CO" w:eastAsia="es-ES_tradnl"/>
        </w:rPr>
      </w:pPr>
      <w:hyperlink r:id="rId11" w:history="1">
        <w:r w:rsidRPr="007C2043">
          <w:rPr>
            <w:rStyle w:val="Hyperlink"/>
            <w:rFonts w:ascii="Verdana" w:eastAsia="Calibri" w:hAnsi="Verdana" w:cs="Arial"/>
            <w:lang w:eastAsia="es-ES_tradnl"/>
          </w:rPr>
          <w:t>nelsongomez@itm.edu.co</w:t>
        </w:r>
      </w:hyperlink>
    </w:p>
    <w:p w14:paraId="1B702AA1" w14:textId="77777777" w:rsidR="00981E00" w:rsidRDefault="00981E00" w:rsidP="00981E00">
      <w:pPr>
        <w:spacing w:after="0" w:line="276" w:lineRule="auto"/>
        <w:contextualSpacing/>
        <w:rPr>
          <w:rFonts w:ascii="Verdana" w:eastAsia="Calibri" w:hAnsi="Verdana" w:cs="Arial"/>
          <w:lang w:val="en-CO" w:eastAsia="es-ES_tradnl"/>
        </w:rPr>
      </w:pPr>
      <w:r>
        <w:rPr>
          <w:rFonts w:ascii="Verdana" w:eastAsia="Calibri" w:hAnsi="Verdana" w:cs="Arial"/>
          <w:lang w:val="en-CO" w:eastAsia="es-ES_tradnl"/>
        </w:rPr>
        <w:t>Medellín, Antioquia</w:t>
      </w:r>
    </w:p>
    <w:p w14:paraId="39202C25" w14:textId="77777777" w:rsidR="00981E00" w:rsidRPr="00B26706" w:rsidRDefault="00981E00" w:rsidP="00981E00">
      <w:pPr>
        <w:spacing w:after="0" w:line="276" w:lineRule="auto"/>
        <w:contextualSpacing/>
        <w:rPr>
          <w:rFonts w:ascii="Verdana" w:eastAsia="Calibri" w:hAnsi="Verdana" w:cs="Arial"/>
          <w:lang w:val="en-CO" w:eastAsia="es-ES_tradnl"/>
        </w:rPr>
      </w:pPr>
    </w:p>
    <w:tbl>
      <w:tblPr>
        <w:tblStyle w:val="TableGrid"/>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981E00" w:rsidRPr="00B26706" w14:paraId="2B510AFB" w14:textId="77777777" w:rsidTr="00B24F77">
        <w:trPr>
          <w:trHeight w:val="480"/>
        </w:trPr>
        <w:tc>
          <w:tcPr>
            <w:tcW w:w="2689" w:type="dxa"/>
          </w:tcPr>
          <w:p w14:paraId="224A5020" w14:textId="77777777" w:rsidR="00981E00" w:rsidRPr="00B26706" w:rsidRDefault="00981E00" w:rsidP="00B24F77">
            <w:pPr>
              <w:spacing w:line="276" w:lineRule="auto"/>
              <w:jc w:val="both"/>
              <w:rPr>
                <w:rFonts w:ascii="Verdana" w:eastAsia="Calibri" w:hAnsi="Verdana" w:cs="Arial"/>
                <w:b/>
                <w:bCs/>
                <w:color w:val="7030A0"/>
                <w:lang w:val="es-ES_tradnl" w:eastAsia="es-ES_tradnl"/>
              </w:rPr>
            </w:pPr>
          </w:p>
        </w:tc>
        <w:tc>
          <w:tcPr>
            <w:tcW w:w="6100" w:type="dxa"/>
          </w:tcPr>
          <w:p w14:paraId="17F09672" w14:textId="77777777" w:rsidR="00981E00" w:rsidRPr="00B26706" w:rsidRDefault="00981E00" w:rsidP="00B24F77">
            <w:pPr>
              <w:spacing w:line="276" w:lineRule="auto"/>
              <w:jc w:val="both"/>
              <w:rPr>
                <w:rFonts w:ascii="Verdana" w:eastAsia="Calibri" w:hAnsi="Verdana" w:cs="Arial"/>
                <w:b/>
                <w:bCs/>
                <w:lang w:val="es-ES" w:eastAsia="es-ES"/>
              </w:rPr>
            </w:pPr>
          </w:p>
          <w:p w14:paraId="03C85D72" w14:textId="6E07451F" w:rsidR="00981E00" w:rsidRPr="00B26706" w:rsidRDefault="00981E00" w:rsidP="00B24F77">
            <w:pPr>
              <w:spacing w:line="276" w:lineRule="auto"/>
              <w:jc w:val="both"/>
              <w:rPr>
                <w:rFonts w:ascii="Verdana" w:eastAsia="Calibri" w:hAnsi="Verdana" w:cs="Arial"/>
                <w:b/>
                <w:bCs/>
                <w:lang w:val="es-ES" w:eastAsia="es-ES"/>
              </w:rPr>
            </w:pPr>
            <w:r w:rsidRPr="00B26706">
              <w:rPr>
                <w:rFonts w:ascii="Verdana" w:eastAsia="Calibri" w:hAnsi="Verdana" w:cs="Arial"/>
                <w:b/>
                <w:bCs/>
                <w:lang w:val="es-ES" w:eastAsia="es-ES"/>
              </w:rPr>
              <w:t>Concepto C-</w:t>
            </w:r>
            <w:r w:rsidR="009468CB">
              <w:rPr>
                <w:rFonts w:ascii="Verdana" w:eastAsia="Calibri" w:hAnsi="Verdana" w:cs="Arial"/>
                <w:b/>
                <w:bCs/>
                <w:lang w:val="es-ES" w:eastAsia="es-ES"/>
              </w:rPr>
              <w:t>1774</w:t>
            </w:r>
            <w:r w:rsidRPr="00B26706">
              <w:rPr>
                <w:rFonts w:ascii="Verdana" w:eastAsia="Calibri" w:hAnsi="Verdana" w:cs="Arial"/>
                <w:b/>
                <w:bCs/>
                <w:color w:val="7030A0"/>
                <w:lang w:val="es-ES" w:eastAsia="es-ES"/>
              </w:rPr>
              <w:t xml:space="preserve"> </w:t>
            </w:r>
            <w:r w:rsidRPr="00B26706">
              <w:rPr>
                <w:rFonts w:ascii="Verdana" w:eastAsia="Calibri" w:hAnsi="Verdana" w:cs="Arial"/>
                <w:b/>
                <w:bCs/>
                <w:lang w:val="es-ES" w:eastAsia="es-ES"/>
              </w:rPr>
              <w:t>de 2025</w:t>
            </w:r>
          </w:p>
          <w:p w14:paraId="38B5A393" w14:textId="77777777" w:rsidR="00981E00" w:rsidRPr="00B26706" w:rsidRDefault="00981E00" w:rsidP="00B24F77">
            <w:pPr>
              <w:spacing w:line="276" w:lineRule="auto"/>
              <w:jc w:val="both"/>
              <w:rPr>
                <w:rFonts w:ascii="Verdana" w:eastAsia="Calibri" w:hAnsi="Verdana" w:cs="Arial"/>
                <w:b/>
                <w:bCs/>
                <w:color w:val="7030A0"/>
                <w:lang w:val="es-ES" w:eastAsia="es-ES"/>
              </w:rPr>
            </w:pPr>
          </w:p>
        </w:tc>
      </w:tr>
      <w:tr w:rsidR="00981E00" w:rsidRPr="00B26706" w14:paraId="7FD52300" w14:textId="77777777" w:rsidTr="00B24F77">
        <w:trPr>
          <w:trHeight w:val="884"/>
        </w:trPr>
        <w:tc>
          <w:tcPr>
            <w:tcW w:w="2689" w:type="dxa"/>
          </w:tcPr>
          <w:p w14:paraId="5F1F0B16" w14:textId="77777777" w:rsidR="00981E00" w:rsidRPr="00B26706" w:rsidRDefault="00981E00" w:rsidP="00B24F77">
            <w:pPr>
              <w:spacing w:line="276" w:lineRule="auto"/>
              <w:jc w:val="both"/>
              <w:rPr>
                <w:rFonts w:ascii="Verdana" w:eastAsia="Calibri" w:hAnsi="Verdana" w:cs="Arial"/>
                <w:color w:val="000000"/>
                <w:lang w:val="es-ES_tradnl" w:eastAsia="es-ES_tradnl"/>
              </w:rPr>
            </w:pPr>
            <w:r w:rsidRPr="00B26706">
              <w:rPr>
                <w:rFonts w:ascii="Verdana" w:eastAsia="Calibri" w:hAnsi="Verdana" w:cs="Arial"/>
                <w:b/>
                <w:color w:val="000000"/>
                <w:lang w:val="es-ES_tradnl" w:eastAsia="es-ES_tradnl"/>
              </w:rPr>
              <w:t>Temas:</w:t>
            </w:r>
            <w:r w:rsidRPr="00B26706">
              <w:rPr>
                <w:rFonts w:ascii="Verdana" w:eastAsia="Calibri" w:hAnsi="Verdana" w:cs="Arial"/>
                <w:color w:val="000000"/>
                <w:lang w:val="es-ES_tradnl" w:eastAsia="es-ES_tradnl"/>
              </w:rPr>
              <w:t xml:space="preserve">                   </w:t>
            </w:r>
          </w:p>
        </w:tc>
        <w:tc>
          <w:tcPr>
            <w:tcW w:w="6100" w:type="dxa"/>
          </w:tcPr>
          <w:p w14:paraId="44F924E8" w14:textId="77777777" w:rsidR="00981E00" w:rsidRDefault="00981E00" w:rsidP="00B24F77">
            <w:pPr>
              <w:spacing w:line="276" w:lineRule="auto"/>
              <w:jc w:val="both"/>
              <w:rPr>
                <w:rFonts w:ascii="Verdana" w:eastAsia="Calibri" w:hAnsi="Verdana" w:cs="Arial"/>
                <w:lang w:val="es-ES" w:eastAsia="es-ES"/>
              </w:rPr>
            </w:pPr>
            <w:r w:rsidRPr="00B26706">
              <w:rPr>
                <w:rFonts w:ascii="Verdana" w:eastAsia="Calibri" w:hAnsi="Verdana" w:cs="Arial"/>
                <w:lang w:val="es-ES" w:eastAsia="es-ES"/>
              </w:rPr>
              <w:t>ACTIVIDADES DE CIENCIA, TECNOLOGÍA E INNOVACIÓN – Marco jurídico – Tipo</w:t>
            </w:r>
            <w:r>
              <w:rPr>
                <w:rFonts w:ascii="Verdana" w:eastAsia="Calibri" w:hAnsi="Verdana" w:cs="Arial"/>
                <w:lang w:val="es-ES" w:eastAsia="es-ES"/>
              </w:rPr>
              <w:t>logías contractuales</w:t>
            </w:r>
          </w:p>
          <w:p w14:paraId="2509B0EC" w14:textId="77777777" w:rsidR="00981E00" w:rsidRPr="00B26706" w:rsidRDefault="00981E00" w:rsidP="00B24F77">
            <w:pPr>
              <w:spacing w:line="276" w:lineRule="auto"/>
              <w:jc w:val="both"/>
              <w:rPr>
                <w:rFonts w:ascii="Verdana" w:eastAsia="Calibri" w:hAnsi="Verdana" w:cs="Arial"/>
                <w:lang w:val="es-ES" w:eastAsia="es-ES"/>
              </w:rPr>
            </w:pPr>
          </w:p>
        </w:tc>
      </w:tr>
      <w:tr w:rsidR="00981E00" w:rsidRPr="00B26706" w14:paraId="153E9CFA" w14:textId="77777777" w:rsidTr="00B24F77">
        <w:tc>
          <w:tcPr>
            <w:tcW w:w="2689" w:type="dxa"/>
          </w:tcPr>
          <w:p w14:paraId="2EACABF7" w14:textId="77777777" w:rsidR="00981E00" w:rsidRPr="00B26706" w:rsidRDefault="00981E00" w:rsidP="00B24F77">
            <w:pPr>
              <w:spacing w:line="276" w:lineRule="auto"/>
              <w:jc w:val="both"/>
              <w:rPr>
                <w:rFonts w:ascii="Verdana" w:eastAsia="Calibri" w:hAnsi="Verdana" w:cs="Arial"/>
                <w:b/>
                <w:color w:val="000000" w:themeColor="text1"/>
                <w:lang w:val="es-ES_tradnl" w:eastAsia="es-ES_tradnl"/>
              </w:rPr>
            </w:pPr>
            <w:r w:rsidRPr="00B26706">
              <w:rPr>
                <w:rFonts w:ascii="Verdana" w:eastAsia="Calibri" w:hAnsi="Verdana" w:cs="Arial"/>
                <w:b/>
                <w:color w:val="000000" w:themeColor="text1"/>
                <w:lang w:val="es-ES_tradnl" w:eastAsia="es-ES_tradnl"/>
              </w:rPr>
              <w:t>Radicación:</w:t>
            </w:r>
            <w:r w:rsidRPr="00B26706">
              <w:rPr>
                <w:rFonts w:ascii="Verdana" w:eastAsia="Calibri" w:hAnsi="Verdana" w:cs="Arial"/>
                <w:color w:val="000000" w:themeColor="text1"/>
                <w:lang w:val="es-ES_tradnl" w:eastAsia="es-ES_tradnl"/>
              </w:rPr>
              <w:t xml:space="preserve">               </w:t>
            </w:r>
          </w:p>
        </w:tc>
        <w:tc>
          <w:tcPr>
            <w:tcW w:w="6100" w:type="dxa"/>
          </w:tcPr>
          <w:p w14:paraId="314DEB0A" w14:textId="77777777" w:rsidR="00981E00" w:rsidRPr="00B26706" w:rsidRDefault="00981E00" w:rsidP="00B24F77">
            <w:pPr>
              <w:spacing w:line="276" w:lineRule="auto"/>
              <w:jc w:val="both"/>
              <w:rPr>
                <w:rFonts w:ascii="Verdana" w:eastAsia="Calibri" w:hAnsi="Verdana" w:cs="Arial"/>
                <w:color w:val="000000" w:themeColor="text1"/>
                <w:lang w:val="es-ES_tradnl" w:eastAsia="es-ES_tradnl"/>
              </w:rPr>
            </w:pPr>
            <w:r w:rsidRPr="00B72566">
              <w:rPr>
                <w:rFonts w:ascii="Verdana" w:eastAsia="Calibri" w:hAnsi="Verdana" w:cs="Arial"/>
                <w:color w:val="000000" w:themeColor="text1"/>
                <w:lang w:val="es-ES_tradnl" w:eastAsia="es-ES_tradnl"/>
              </w:rPr>
              <w:t>Respuesta a consulta</w:t>
            </w:r>
            <w:r>
              <w:rPr>
                <w:rFonts w:ascii="Verdana" w:eastAsia="Calibri" w:hAnsi="Verdana" w:cs="Arial"/>
                <w:color w:val="000000" w:themeColor="text1"/>
                <w:lang w:val="es-ES_tradnl" w:eastAsia="es-ES_tradnl"/>
              </w:rPr>
              <w:t>s</w:t>
            </w:r>
            <w:r w:rsidRPr="00B72566">
              <w:rPr>
                <w:rFonts w:ascii="Verdana" w:eastAsia="Calibri" w:hAnsi="Verdana" w:cs="Arial"/>
                <w:color w:val="000000" w:themeColor="text1"/>
                <w:lang w:val="es-ES_tradnl" w:eastAsia="es-ES_tradnl"/>
              </w:rPr>
              <w:t xml:space="preserve"> con radicado</w:t>
            </w:r>
            <w:r>
              <w:rPr>
                <w:rFonts w:ascii="Verdana" w:eastAsia="Calibri" w:hAnsi="Verdana" w:cs="Arial"/>
                <w:color w:val="000000" w:themeColor="text1"/>
                <w:lang w:val="es-ES_tradnl" w:eastAsia="es-ES_tradnl"/>
              </w:rPr>
              <w:t>s</w:t>
            </w:r>
            <w:r w:rsidRPr="00B72566">
              <w:rPr>
                <w:rFonts w:ascii="Verdana" w:eastAsia="Calibri" w:hAnsi="Verdana" w:cs="Arial"/>
                <w:color w:val="000000" w:themeColor="text1"/>
                <w:lang w:val="es-ES_tradnl" w:eastAsia="es-ES_tradnl"/>
              </w:rPr>
              <w:t xml:space="preserve"> No. </w:t>
            </w:r>
            <w:r w:rsidRPr="001B698E">
              <w:rPr>
                <w:rFonts w:ascii="Verdana" w:eastAsia="Calibri" w:hAnsi="Verdana" w:cs="Arial"/>
                <w:color w:val="000000" w:themeColor="text1"/>
                <w:lang w:eastAsia="es-ES_tradnl"/>
              </w:rPr>
              <w:t>1_2025_12_02_013556 y 1_2025_12_02_013557 (acumulados)</w:t>
            </w:r>
          </w:p>
        </w:tc>
      </w:tr>
    </w:tbl>
    <w:p w14:paraId="1E18DB18" w14:textId="77777777" w:rsidR="00981E00" w:rsidRPr="00B26706" w:rsidRDefault="00981E00" w:rsidP="00981E00">
      <w:pPr>
        <w:spacing w:line="276" w:lineRule="auto"/>
        <w:jc w:val="both"/>
        <w:rPr>
          <w:rFonts w:ascii="Verdana" w:eastAsia="Calibri" w:hAnsi="Verdana" w:cs="Arial"/>
          <w:color w:val="000000"/>
          <w:lang w:val="es-ES_tradnl" w:eastAsia="es-ES_tradnl"/>
        </w:rPr>
      </w:pPr>
    </w:p>
    <w:p w14:paraId="3A99EB01" w14:textId="77777777" w:rsidR="00981E00" w:rsidRPr="00B72566" w:rsidRDefault="00981E00" w:rsidP="00981E00">
      <w:pPr>
        <w:spacing w:line="276" w:lineRule="auto"/>
        <w:jc w:val="both"/>
        <w:rPr>
          <w:rFonts w:ascii="Verdana" w:eastAsia="Calibri" w:hAnsi="Verdana" w:cs="Arial"/>
          <w:color w:val="000000" w:themeColor="text1"/>
          <w:lang w:val="es-ES" w:eastAsia="es-ES"/>
        </w:rPr>
      </w:pPr>
      <w:r w:rsidRPr="00B72566">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o</w:t>
      </w:r>
      <w:r w:rsidRPr="00B72566">
        <w:rPr>
          <w:rFonts w:ascii="Verdana" w:eastAsia="Calibri" w:hAnsi="Verdana" w:cs="Arial"/>
          <w:color w:val="000000" w:themeColor="text1"/>
          <w:lang w:val="es-ES" w:eastAsia="es-ES"/>
        </w:rPr>
        <w:t xml:space="preserve"> </w:t>
      </w:r>
      <w:r>
        <w:rPr>
          <w:rFonts w:ascii="Verdana" w:eastAsia="Calibri" w:hAnsi="Verdana" w:cs="Arial"/>
          <w:color w:val="000000"/>
          <w:lang w:val="es-ES_tradnl" w:eastAsia="es-ES_tradnl"/>
        </w:rPr>
        <w:t>Señor</w:t>
      </w:r>
      <w:r w:rsidRPr="00B72566">
        <w:rPr>
          <w:rFonts w:ascii="Verdana" w:eastAsia="Calibri" w:hAnsi="Verdana" w:cs="Arial"/>
          <w:color w:val="000000"/>
          <w:lang w:val="es-ES_tradnl" w:eastAsia="es-ES_tradnl"/>
        </w:rPr>
        <w:t xml:space="preserve"> </w:t>
      </w:r>
      <w:r>
        <w:rPr>
          <w:rFonts w:ascii="Verdana" w:eastAsia="Calibri" w:hAnsi="Verdana" w:cs="Arial"/>
          <w:color w:val="000000"/>
          <w:lang w:val="es-ES_tradnl" w:eastAsia="es-ES_tradnl"/>
        </w:rPr>
        <w:t>Gómez</w:t>
      </w:r>
      <w:r w:rsidRPr="00B72566">
        <w:rPr>
          <w:rFonts w:ascii="Verdana" w:eastAsia="Calibri" w:hAnsi="Verdana" w:cs="Arial"/>
          <w:color w:val="000000"/>
          <w:lang w:val="es-ES_tradnl" w:eastAsia="es-ES_tradnl"/>
        </w:rPr>
        <w:t>:</w:t>
      </w:r>
      <w:r w:rsidRPr="00B72566">
        <w:rPr>
          <w:rFonts w:ascii="Verdana" w:eastAsia="Calibri" w:hAnsi="Verdana" w:cs="Arial"/>
          <w:color w:val="000000" w:themeColor="text1"/>
          <w:lang w:val="es-ES" w:eastAsia="es-ES"/>
        </w:rPr>
        <w:t xml:space="preserve"> </w:t>
      </w:r>
    </w:p>
    <w:p w14:paraId="3DD9638C" w14:textId="77777777" w:rsidR="00981E00" w:rsidRPr="008F1FB6" w:rsidRDefault="00981E00" w:rsidP="00981E00">
      <w:pPr>
        <w:spacing w:line="276" w:lineRule="auto"/>
        <w:jc w:val="both"/>
        <w:rPr>
          <w:rFonts w:ascii="Verdana" w:eastAsia="Calibri" w:hAnsi="Verdana" w:cs="Arial"/>
          <w:color w:val="000000" w:themeColor="text1"/>
          <w:lang w:val="es-ES" w:eastAsia="es-ES"/>
        </w:rPr>
      </w:pPr>
      <w:r w:rsidRPr="00B72566">
        <w:rPr>
          <w:rFonts w:ascii="Verdana" w:eastAsia="Calibri" w:hAnsi="Verdana" w:cs="Arial"/>
          <w:color w:val="000000" w:themeColor="text1"/>
          <w:lang w:val="es-ES" w:eastAsia="es-ES"/>
        </w:rPr>
        <w:t>En ejercicio de la competencia otorgada por los artículos 3, numeral 5º, y 11, numeral 8º, del Decreto Ley 4170 de 2011,</w:t>
      </w:r>
      <w:r w:rsidRPr="00B72566">
        <w:rPr>
          <w:rFonts w:ascii="Verdana" w:eastAsia="Arial MT" w:hAnsi="Verdana" w:cs="Arial MT"/>
          <w:lang w:val="es-ES" w:eastAsia="es-ES"/>
        </w:rPr>
        <w:t xml:space="preserve"> </w:t>
      </w:r>
      <w:r w:rsidRPr="00B72566">
        <w:rPr>
          <w:rFonts w:ascii="Verdana" w:hAnsi="Verdana" w:cs="Arial"/>
        </w:rPr>
        <w:t xml:space="preserve">así como lo establecido en el artículo 4 de la Resolución 1707 de 2018 expedida por esta Entidad, </w:t>
      </w:r>
      <w:r w:rsidRPr="00B72566">
        <w:rPr>
          <w:rFonts w:ascii="Verdana" w:eastAsia="Calibri" w:hAnsi="Verdana" w:cs="Arial"/>
          <w:color w:val="000000" w:themeColor="text1"/>
          <w:lang w:val="es-ES" w:eastAsia="es-ES"/>
        </w:rPr>
        <w:t xml:space="preserve">la Agencia Nacional de Contratación Pública – Colombia Compra Eficiente– responde su solicitud de consulta </w:t>
      </w:r>
      <w:r>
        <w:rPr>
          <w:rFonts w:ascii="Verdana" w:eastAsia="Calibri" w:hAnsi="Verdana" w:cs="Arial"/>
          <w:color w:val="000000" w:themeColor="text1"/>
          <w:lang w:val="es-ES" w:eastAsia="es-ES"/>
        </w:rPr>
        <w:t xml:space="preserve">remitida a esta entidad </w:t>
      </w:r>
      <w:r w:rsidRPr="00B72566">
        <w:rPr>
          <w:rFonts w:ascii="Verdana" w:eastAsia="Calibri" w:hAnsi="Verdana" w:cs="Arial"/>
          <w:color w:val="000000" w:themeColor="text1"/>
          <w:lang w:val="es-ES" w:eastAsia="es-ES"/>
        </w:rPr>
        <w:t xml:space="preserve">el </w:t>
      </w:r>
      <w:r>
        <w:rPr>
          <w:rFonts w:ascii="Verdana" w:eastAsia="Calibri" w:hAnsi="Verdana" w:cs="Arial"/>
          <w:color w:val="000000" w:themeColor="text1"/>
          <w:lang w:val="es-ES" w:eastAsia="es-ES"/>
        </w:rPr>
        <w:t xml:space="preserve">2 de diciembre </w:t>
      </w:r>
      <w:r w:rsidRPr="00B72566">
        <w:rPr>
          <w:rFonts w:ascii="Verdana" w:eastAsia="Calibri" w:hAnsi="Verdana" w:cs="Arial"/>
          <w:color w:val="000000" w:themeColor="text1"/>
          <w:lang w:val="es-ES" w:eastAsia="es-ES"/>
        </w:rPr>
        <w:t xml:space="preserve">2025, en la cual manifiesta lo siguiente: </w:t>
      </w:r>
    </w:p>
    <w:p w14:paraId="57CCD80F" w14:textId="77777777" w:rsidR="00981E00" w:rsidRPr="005B263B" w:rsidRDefault="00981E00" w:rsidP="00981E00">
      <w:pPr>
        <w:ind w:left="709" w:right="709"/>
        <w:jc w:val="both"/>
        <w:rPr>
          <w:rFonts w:ascii="Verdana" w:eastAsia="Century Gothic" w:hAnsi="Verdana" w:cs="Century Gothic"/>
          <w:i/>
          <w:iCs/>
          <w:color w:val="000000" w:themeColor="text1"/>
          <w:sz w:val="20"/>
          <w:szCs w:val="20"/>
          <w:lang w:val="en-CO"/>
        </w:rPr>
      </w:pPr>
      <w:bookmarkStart w:id="0" w:name="_Hlk95313578"/>
      <w:r w:rsidRPr="0095188E">
        <w:rPr>
          <w:rFonts w:ascii="Verdana" w:eastAsia="Century Gothic" w:hAnsi="Verdana" w:cs="Century Gothic"/>
          <w:i/>
          <w:iCs/>
          <w:color w:val="000000" w:themeColor="text1"/>
          <w:sz w:val="20"/>
          <w:szCs w:val="20"/>
          <w:lang w:val="es-ES"/>
        </w:rPr>
        <w:t>“</w:t>
      </w:r>
      <w:bookmarkEnd w:id="0"/>
      <w:r w:rsidRPr="005B263B">
        <w:rPr>
          <w:rFonts w:ascii="Verdana" w:eastAsia="Century Gothic" w:hAnsi="Verdana" w:cs="Century Gothic"/>
          <w:i/>
          <w:iCs/>
          <w:color w:val="000000" w:themeColor="text1"/>
          <w:sz w:val="20"/>
          <w:szCs w:val="20"/>
          <w:lang w:val="en-CO"/>
        </w:rPr>
        <w:t xml:space="preserve">La INSTITUCIÓN UNIVERSITARIA ITM, en su calidad de entidad pública de educación superior regida por el Estatuto General de Contratación de la Administración Pública (Ley 80 de 1993 y sus normas reglamentarias), tiene a su cargo la administración y ejecución de proyectos de investigación financiados con recursos provenientes de diversas fuentes, entre estos, el Distrito Especial de Ciencia y Tecnología de Medellín y El Ministerio de Ciencia, Tecnología e Innovación –MinCiencias. </w:t>
      </w:r>
    </w:p>
    <w:p w14:paraId="6889AE5C" w14:textId="77777777" w:rsidR="00981E00" w:rsidRPr="005B263B" w:rsidRDefault="00981E00" w:rsidP="00981E00">
      <w:pPr>
        <w:ind w:left="709" w:right="709"/>
        <w:jc w:val="both"/>
        <w:rPr>
          <w:rFonts w:ascii="Verdana" w:eastAsia="Century Gothic" w:hAnsi="Verdana" w:cs="Century Gothic"/>
          <w:i/>
          <w:iCs/>
          <w:color w:val="000000" w:themeColor="text1"/>
          <w:sz w:val="20"/>
          <w:szCs w:val="20"/>
          <w:lang w:val="en-CO"/>
        </w:rPr>
      </w:pPr>
      <w:r w:rsidRPr="005B263B">
        <w:rPr>
          <w:rFonts w:ascii="Verdana" w:eastAsia="Century Gothic" w:hAnsi="Verdana" w:cs="Century Gothic"/>
          <w:i/>
          <w:iCs/>
          <w:color w:val="000000" w:themeColor="text1"/>
          <w:sz w:val="20"/>
          <w:szCs w:val="20"/>
          <w:lang w:val="en-CO"/>
        </w:rPr>
        <w:lastRenderedPageBreak/>
        <w:t xml:space="preserve">En ese contexto, y con el propósito de garantizar la adecuada y oportuna ejecución de los proyectos de investigación, tanto en el cumplimiento de los objetivos como en la generación de los productos que de estos se derivan, nos permitimos solicitar se sirva confirmar si, en el marco de la normatividad vigente y atendiendo a la naturaleza jurídica de la INSTITUCIÓN UNIVERSITARIA ITM, resulta procedente que esta entidad realice adquisiciones de insumos, equipos, materiales y elementos de laboratorio entre otros necesarios para el desarrollo de actividades investigativas, bajo la </w:t>
      </w:r>
      <w:r w:rsidRPr="005B263B">
        <w:rPr>
          <w:rFonts w:ascii="Verdana" w:eastAsia="Century Gothic" w:hAnsi="Verdana" w:cs="Century Gothic"/>
          <w:b/>
          <w:bCs/>
          <w:i/>
          <w:iCs/>
          <w:color w:val="000000" w:themeColor="text1"/>
          <w:sz w:val="20"/>
          <w:szCs w:val="20"/>
          <w:lang w:val="en-CO"/>
        </w:rPr>
        <w:t xml:space="preserve">tipología contractual </w:t>
      </w:r>
      <w:r w:rsidRPr="005B263B">
        <w:rPr>
          <w:rFonts w:ascii="Verdana" w:eastAsia="Century Gothic" w:hAnsi="Verdana" w:cs="Century Gothic"/>
          <w:i/>
          <w:iCs/>
          <w:color w:val="000000" w:themeColor="text1"/>
          <w:sz w:val="20"/>
          <w:szCs w:val="20"/>
          <w:lang w:val="en-CO"/>
        </w:rPr>
        <w:t xml:space="preserve">de suministro y compraventa, empleando la modalidad de contratación directa en el marco de ciencia, tecnología e innovación. </w:t>
      </w:r>
    </w:p>
    <w:p w14:paraId="04F2E361" w14:textId="77777777" w:rsidR="00981E00" w:rsidRPr="005B263B" w:rsidRDefault="00981E00" w:rsidP="00981E00">
      <w:pPr>
        <w:ind w:left="709" w:right="709"/>
        <w:jc w:val="both"/>
        <w:rPr>
          <w:rFonts w:ascii="Verdana" w:eastAsia="Century Gothic" w:hAnsi="Verdana" w:cs="Century Gothic"/>
          <w:i/>
          <w:iCs/>
          <w:color w:val="000000" w:themeColor="text1"/>
          <w:sz w:val="20"/>
          <w:szCs w:val="20"/>
          <w:lang w:val="en-CO"/>
        </w:rPr>
      </w:pPr>
      <w:r w:rsidRPr="005B263B">
        <w:rPr>
          <w:rFonts w:ascii="Verdana" w:eastAsia="Century Gothic" w:hAnsi="Verdana" w:cs="Century Gothic"/>
          <w:i/>
          <w:iCs/>
          <w:color w:val="000000" w:themeColor="text1"/>
          <w:sz w:val="20"/>
          <w:szCs w:val="20"/>
          <w:lang w:val="en-CO"/>
        </w:rPr>
        <w:t>La justificación jurídica para la aplicación de esta modalidad de selección se fundamenta en el literal e) del numeral 4 del artículo 2 de la Ley 1150 de 2007</w:t>
      </w:r>
      <w:r>
        <w:rPr>
          <w:rFonts w:ascii="Verdana" w:eastAsia="Century Gothic" w:hAnsi="Verdana" w:cs="Century Gothic"/>
          <w:i/>
          <w:iCs/>
          <w:color w:val="000000" w:themeColor="text1"/>
          <w:sz w:val="20"/>
          <w:szCs w:val="20"/>
          <w:lang w:val="en-CO"/>
        </w:rPr>
        <w:t xml:space="preserve"> […]”</w:t>
      </w:r>
    </w:p>
    <w:p w14:paraId="7509BF8D" w14:textId="77777777" w:rsidR="00981E00" w:rsidRPr="00B26706" w:rsidRDefault="00981E00" w:rsidP="00981E00">
      <w:pPr>
        <w:spacing w:before="120" w:after="120" w:line="276" w:lineRule="auto"/>
        <w:ind w:firstLine="709"/>
        <w:jc w:val="both"/>
        <w:rPr>
          <w:rFonts w:ascii="Verdana" w:eastAsia="Calibri" w:hAnsi="Verdana" w:cs="Arial"/>
          <w:color w:val="000000"/>
          <w:lang w:val="es-ES_tradnl" w:eastAsia="es-ES_tradnl"/>
        </w:rPr>
      </w:pPr>
      <w:r w:rsidRPr="00B26706">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B26706">
        <w:rPr>
          <w:rFonts w:ascii="Verdana" w:eastAsia="Calibri" w:hAnsi="Verdana" w:cs="Arial"/>
          <w:color w:val="000000"/>
          <w:lang w:val="es-ES_tradnl" w:eastAsia="es-ES_tradnl"/>
        </w:rPr>
        <w:tab/>
      </w:r>
    </w:p>
    <w:p w14:paraId="120670B9" w14:textId="77777777" w:rsidR="00981E00" w:rsidRPr="00B26706" w:rsidRDefault="00981E00" w:rsidP="00981E00">
      <w:pPr>
        <w:spacing w:line="276" w:lineRule="auto"/>
        <w:ind w:firstLine="709"/>
        <w:jc w:val="both"/>
        <w:rPr>
          <w:rFonts w:ascii="Verdana" w:eastAsia="Calibri" w:hAnsi="Verdana" w:cs="Arial"/>
          <w:color w:val="000000"/>
          <w:lang w:val="es-ES" w:eastAsia="es-ES"/>
        </w:rPr>
      </w:pPr>
      <w:r w:rsidRPr="00B26706">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w:t>
      </w:r>
      <w:r w:rsidRPr="00B26706">
        <w:rPr>
          <w:rFonts w:ascii="Verdana" w:eastAsia="Calibri" w:hAnsi="Verdana" w:cs="Arial"/>
          <w:color w:val="7030A0"/>
          <w:lang w:val="es-ES" w:eastAsia="es-ES"/>
        </w:rPr>
        <w:t xml:space="preserve"> </w:t>
      </w:r>
      <w:r w:rsidRPr="00B26706">
        <w:rPr>
          <w:rFonts w:ascii="Verdana" w:eastAsia="Calibri" w:hAnsi="Verdana" w:cs="Arial"/>
          <w:color w:val="000000"/>
          <w:lang w:val="es-ES" w:eastAsia="es-ES"/>
        </w:rPr>
        <w:t>jurídico</w:t>
      </w:r>
      <w:r w:rsidRPr="00B26706">
        <w:rPr>
          <w:rFonts w:ascii="Verdana" w:eastAsia="Calibri" w:hAnsi="Verdana" w:cs="Arial"/>
          <w:color w:val="7030A0"/>
          <w:lang w:val="es-ES" w:eastAsia="es-ES"/>
        </w:rPr>
        <w:t xml:space="preserve"> </w:t>
      </w:r>
      <w:r w:rsidRPr="00B26706">
        <w:rPr>
          <w:rFonts w:ascii="Verdana" w:eastAsia="Calibri" w:hAnsi="Verdana" w:cs="Arial"/>
          <w:color w:val="000000"/>
          <w:lang w:val="es-ES" w:eastAsia="es-ES"/>
        </w:rPr>
        <w:t xml:space="preserve">de su consulta. </w:t>
      </w:r>
    </w:p>
    <w:p w14:paraId="1C1F1D49" w14:textId="77777777" w:rsidR="00981E00" w:rsidRPr="00B26706" w:rsidRDefault="00981E00" w:rsidP="00981E00">
      <w:pPr>
        <w:pStyle w:val="ListParagraph"/>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B26706">
        <w:rPr>
          <w:rFonts w:ascii="Verdana" w:eastAsia="Century Gothic" w:hAnsi="Verdana" w:cs="Century Gothic"/>
          <w:b/>
          <w:bCs/>
        </w:rPr>
        <w:t>Problema planteado:</w:t>
      </w:r>
    </w:p>
    <w:p w14:paraId="70B33635" w14:textId="77777777" w:rsidR="00981E00" w:rsidRPr="00B26706" w:rsidRDefault="00981E00" w:rsidP="00981E00">
      <w:pPr>
        <w:spacing w:after="0" w:line="276" w:lineRule="auto"/>
        <w:jc w:val="both"/>
        <w:rPr>
          <w:rFonts w:ascii="Verdana" w:eastAsia="Century Gothic" w:hAnsi="Verdana" w:cs="Century Gothic"/>
          <w:lang w:val="es-ES"/>
        </w:rPr>
      </w:pPr>
    </w:p>
    <w:p w14:paraId="26339467" w14:textId="57B9BBFB" w:rsidR="00981E00" w:rsidRPr="00B26706" w:rsidRDefault="00981E00" w:rsidP="00981E00">
      <w:pPr>
        <w:spacing w:line="276" w:lineRule="auto"/>
        <w:jc w:val="both"/>
        <w:rPr>
          <w:rFonts w:ascii="Verdana" w:eastAsia="Century Gothic" w:hAnsi="Verdana" w:cs="Century Gothic"/>
          <w:color w:val="7030A0"/>
        </w:rPr>
      </w:pPr>
      <w:r w:rsidRPr="00B26706">
        <w:rPr>
          <w:rFonts w:ascii="Verdana" w:eastAsia="Century Gothic" w:hAnsi="Verdana" w:cs="Century Gothic"/>
        </w:rPr>
        <w:t>De acuerdo con el contenido de su solicitud, esta Agencia resolverá el siguiente problema jurídico:</w:t>
      </w:r>
      <w:r>
        <w:rPr>
          <w:rFonts w:ascii="Verdana" w:eastAsia="Century Gothic" w:hAnsi="Verdana" w:cs="Century Gothic"/>
        </w:rPr>
        <w:t xml:space="preserve"> </w:t>
      </w:r>
      <w:r w:rsidRPr="00B26706">
        <w:rPr>
          <w:rFonts w:ascii="Verdana" w:eastAsia="Century Gothic" w:hAnsi="Verdana" w:cs="Century Gothic"/>
        </w:rPr>
        <w:t>¿</w:t>
      </w:r>
      <w:r>
        <w:rPr>
          <w:rFonts w:ascii="Verdana" w:eastAsia="Century Gothic" w:hAnsi="Verdana" w:cs="Century Gothic"/>
        </w:rPr>
        <w:t xml:space="preserve">cuál es el alcance de la modalidad de contratación directa y </w:t>
      </w:r>
      <w:r>
        <w:rPr>
          <w:rFonts w:ascii="Verdana" w:eastAsia="Century Gothic" w:hAnsi="Verdana" w:cs="Century Gothic"/>
        </w:rPr>
        <w:lastRenderedPageBreak/>
        <w:t xml:space="preserve">de las tipologías contractuales que pueden </w:t>
      </w:r>
      <w:r w:rsidR="008437D9">
        <w:rPr>
          <w:rFonts w:ascii="Verdana" w:eastAsia="Century Gothic" w:hAnsi="Verdana" w:cs="Century Gothic"/>
        </w:rPr>
        <w:t>utilizar</w:t>
      </w:r>
      <w:r>
        <w:rPr>
          <w:rFonts w:ascii="Verdana" w:eastAsia="Century Gothic" w:hAnsi="Verdana" w:cs="Century Gothic"/>
        </w:rPr>
        <w:t xml:space="preserve"> las entidades estatales sometidas al EGCAP que contraten actividades científicas y tecnológicas</w:t>
      </w:r>
      <w:r w:rsidRPr="00B26706">
        <w:rPr>
          <w:rFonts w:ascii="Verdana" w:eastAsia="Century Gothic" w:hAnsi="Verdana" w:cs="Century Gothic"/>
        </w:rPr>
        <w:t>?</w:t>
      </w:r>
    </w:p>
    <w:p w14:paraId="23D104B8" w14:textId="77777777" w:rsidR="00981E00" w:rsidRPr="00B26706" w:rsidRDefault="00981E00" w:rsidP="00981E00">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B26706">
        <w:rPr>
          <w:rFonts w:ascii="Verdana" w:eastAsia="Century Gothic" w:hAnsi="Verdana" w:cs="Century Gothic"/>
          <w:b/>
          <w:bCs/>
        </w:rPr>
        <w:t>Respuesta:</w:t>
      </w:r>
    </w:p>
    <w:p w14:paraId="24AEBD65" w14:textId="77777777" w:rsidR="00981E00" w:rsidRPr="00B26706" w:rsidRDefault="00981E00" w:rsidP="00981E00">
      <w:pPr>
        <w:pStyle w:val="ListParagraph"/>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eGrid"/>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81E00" w:rsidRPr="00B26706" w14:paraId="320F6215" w14:textId="77777777" w:rsidTr="00B24F77">
        <w:tc>
          <w:tcPr>
            <w:tcW w:w="8828" w:type="dxa"/>
          </w:tcPr>
          <w:p w14:paraId="5EA48828" w14:textId="77777777" w:rsidR="00981E00" w:rsidRDefault="00981E00" w:rsidP="00B24F77">
            <w:pPr>
              <w:shd w:val="clear" w:color="auto" w:fill="FFFFFF"/>
              <w:spacing w:line="276" w:lineRule="auto"/>
              <w:jc w:val="both"/>
              <w:rPr>
                <w:rFonts w:ascii="Verdana" w:hAnsi="Verdana" w:cs="Arial"/>
                <w:lang w:eastAsia="es-ES_tradnl"/>
              </w:rPr>
            </w:pPr>
            <w:r w:rsidRPr="00B26706">
              <w:rPr>
                <w:rFonts w:ascii="Verdana" w:hAnsi="Verdana" w:cs="Arial"/>
                <w:lang w:eastAsia="es-ES_tradnl"/>
              </w:rPr>
              <w:t> </w:t>
            </w:r>
            <w:r>
              <w:rPr>
                <w:rFonts w:ascii="Verdana" w:hAnsi="Verdana" w:cs="Arial"/>
                <w:lang w:eastAsia="es-ES_tradnl"/>
              </w:rPr>
              <w:t xml:space="preserve">La </w:t>
            </w:r>
            <w:r w:rsidRPr="005A34ED">
              <w:rPr>
                <w:rFonts w:ascii="Verdana" w:hAnsi="Verdana" w:cs="Arial"/>
                <w:lang w:eastAsia="es-ES_tradnl"/>
              </w:rPr>
              <w:t>Institución Universitaria I</w:t>
            </w:r>
            <w:r>
              <w:rPr>
                <w:rFonts w:ascii="Verdana" w:hAnsi="Verdana" w:cs="Arial"/>
                <w:lang w:eastAsia="es-ES_tradnl"/>
              </w:rPr>
              <w:t xml:space="preserve">TM </w:t>
            </w:r>
            <w:r w:rsidRPr="005A34ED">
              <w:rPr>
                <w:rFonts w:ascii="Verdana" w:hAnsi="Verdana" w:cs="Arial"/>
                <w:lang w:eastAsia="es-ES_tradnl"/>
              </w:rPr>
              <w:t xml:space="preserve">es </w:t>
            </w:r>
            <w:r>
              <w:rPr>
                <w:rFonts w:ascii="Verdana" w:hAnsi="Verdana" w:cs="Arial"/>
                <w:lang w:eastAsia="es-ES_tradnl"/>
              </w:rPr>
              <w:t>u</w:t>
            </w:r>
            <w:r w:rsidRPr="006B0105">
              <w:rPr>
                <w:rFonts w:ascii="Verdana" w:hAnsi="Verdana" w:cs="Arial"/>
                <w:lang w:eastAsia="es-ES_tradnl"/>
              </w:rPr>
              <w:t>na Institución de Educación Superior adscrita al Distrito Especial de Ciencia, Tecnología e Innovación de Medellín</w:t>
            </w:r>
            <w:r>
              <w:rPr>
                <w:rFonts w:ascii="Verdana" w:hAnsi="Verdana" w:cs="Arial"/>
                <w:lang w:eastAsia="es-ES_tradnl"/>
              </w:rPr>
              <w:t xml:space="preserve">, cuya naturaleza jurídica es de </w:t>
            </w:r>
            <w:r w:rsidRPr="005A34ED">
              <w:rPr>
                <w:rFonts w:ascii="Verdana" w:hAnsi="Verdana" w:cs="Arial"/>
                <w:lang w:eastAsia="es-ES_tradnl"/>
              </w:rPr>
              <w:t>Establecimiento Público del orden distrital</w:t>
            </w:r>
            <w:r w:rsidRPr="001304AE">
              <w:rPr>
                <w:rFonts w:ascii="Verdana" w:hAnsi="Verdana" w:cs="Arial"/>
                <w:lang w:eastAsia="es-ES_tradnl"/>
              </w:rPr>
              <w:t>, con patrimonio propio, autonomía administrativa y personería jurídica</w:t>
            </w:r>
            <w:r>
              <w:rPr>
                <w:rFonts w:ascii="Verdana" w:hAnsi="Verdana" w:cs="Arial"/>
                <w:lang w:eastAsia="es-ES_tradnl"/>
              </w:rPr>
              <w:t xml:space="preserve">. El Instituto fue </w:t>
            </w:r>
            <w:r w:rsidRPr="001304AE">
              <w:rPr>
                <w:rFonts w:ascii="Verdana" w:hAnsi="Verdana" w:cs="Arial"/>
                <w:lang w:eastAsia="es-ES_tradnl"/>
              </w:rPr>
              <w:t xml:space="preserve">creado por </w:t>
            </w:r>
            <w:r>
              <w:rPr>
                <w:rFonts w:ascii="Verdana" w:hAnsi="Verdana" w:cs="Arial"/>
                <w:lang w:eastAsia="es-ES_tradnl"/>
              </w:rPr>
              <w:t xml:space="preserve">el </w:t>
            </w:r>
            <w:r w:rsidRPr="001304AE">
              <w:rPr>
                <w:rFonts w:ascii="Verdana" w:hAnsi="Verdana" w:cs="Arial"/>
                <w:lang w:eastAsia="es-ES_tradnl"/>
              </w:rPr>
              <w:t xml:space="preserve">Decreto 180 de 1992, </w:t>
            </w:r>
            <w:r>
              <w:rPr>
                <w:rFonts w:ascii="Verdana" w:hAnsi="Verdana" w:cs="Arial"/>
                <w:lang w:eastAsia="es-ES_tradnl"/>
              </w:rPr>
              <w:t xml:space="preserve">con </w:t>
            </w:r>
            <w:r w:rsidRPr="001304AE">
              <w:rPr>
                <w:rFonts w:ascii="Verdana" w:hAnsi="Verdana" w:cs="Arial"/>
                <w:lang w:eastAsia="es-ES_tradnl"/>
              </w:rPr>
              <w:t>previa autorización del Concejo de Medellín</w:t>
            </w:r>
            <w:r>
              <w:rPr>
                <w:rFonts w:ascii="Verdana" w:hAnsi="Verdana" w:cs="Arial"/>
                <w:lang w:eastAsia="es-ES_tradnl"/>
              </w:rPr>
              <w:t xml:space="preserve"> </w:t>
            </w:r>
            <w:r w:rsidRPr="001304AE">
              <w:rPr>
                <w:rFonts w:ascii="Verdana" w:hAnsi="Verdana" w:cs="Arial"/>
                <w:lang w:eastAsia="es-ES_tradnl"/>
              </w:rPr>
              <w:t xml:space="preserve">mediante </w:t>
            </w:r>
            <w:r>
              <w:rPr>
                <w:rFonts w:ascii="Verdana" w:hAnsi="Verdana" w:cs="Arial"/>
                <w:lang w:eastAsia="es-ES_tradnl"/>
              </w:rPr>
              <w:t xml:space="preserve">el </w:t>
            </w:r>
            <w:r w:rsidRPr="001304AE">
              <w:rPr>
                <w:rFonts w:ascii="Verdana" w:hAnsi="Verdana" w:cs="Arial"/>
                <w:lang w:eastAsia="es-ES_tradnl"/>
              </w:rPr>
              <w:t xml:space="preserve">Acuerdo número 42 de 1991, y </w:t>
            </w:r>
            <w:r>
              <w:rPr>
                <w:rFonts w:ascii="Verdana" w:hAnsi="Verdana" w:cs="Arial"/>
                <w:lang w:eastAsia="es-ES_tradnl"/>
              </w:rPr>
              <w:t xml:space="preserve">con posterior reconocimiento </w:t>
            </w:r>
            <w:r w:rsidRPr="001304AE">
              <w:rPr>
                <w:rFonts w:ascii="Verdana" w:hAnsi="Verdana" w:cs="Arial"/>
                <w:lang w:eastAsia="es-ES_tradnl"/>
              </w:rPr>
              <w:t>mediante Resolución número 6190 de 2005 expedida por el Ministerio de Educación Nacional.</w:t>
            </w:r>
          </w:p>
          <w:p w14:paraId="690856C6" w14:textId="77777777" w:rsidR="00981E00" w:rsidRDefault="00981E00" w:rsidP="00B24F77">
            <w:pPr>
              <w:spacing w:before="120" w:line="276" w:lineRule="auto"/>
              <w:jc w:val="both"/>
              <w:rPr>
                <w:rFonts w:ascii="Verdana" w:eastAsia="Times New Roman" w:hAnsi="Verdana" w:cs="Arial"/>
                <w:lang w:eastAsia="es-ES_tradnl"/>
              </w:rPr>
            </w:pPr>
            <w:r>
              <w:rPr>
                <w:rFonts w:ascii="Verdana" w:hAnsi="Verdana" w:cs="Arial"/>
                <w:lang w:eastAsia="es-ES_tradnl"/>
              </w:rPr>
              <w:tab/>
              <w:t xml:space="preserve">De acuerdo con lo anterior, el artículo 51 del </w:t>
            </w:r>
            <w:r w:rsidRPr="00B04D8C">
              <w:rPr>
                <w:rFonts w:ascii="Verdana" w:hAnsi="Verdana" w:cs="Arial"/>
                <w:lang w:val="en-CO" w:eastAsia="es-ES_tradnl"/>
              </w:rPr>
              <w:t>Acuerdo No. 011</w:t>
            </w:r>
            <w:r w:rsidRPr="00B04D8C">
              <w:rPr>
                <w:rFonts w:ascii="Verdana" w:hAnsi="Verdana" w:cs="Arial"/>
                <w:lang w:val="en-CO" w:eastAsia="es-ES_tradnl"/>
              </w:rPr>
              <w:br/>
              <w:t>del 11 de abril de 2025, “</w:t>
            </w:r>
            <w:r w:rsidRPr="00B04D8C">
              <w:rPr>
                <w:rFonts w:ascii="Verdana" w:hAnsi="Verdana" w:cs="Arial"/>
                <w:lang w:eastAsia="es-ES_tradnl"/>
              </w:rPr>
              <w:t>por medio del cual se adopta el estatuto general de la Institución Universitaria ITM”</w:t>
            </w:r>
            <w:r>
              <w:rPr>
                <w:rFonts w:ascii="Verdana" w:hAnsi="Verdana" w:cs="Arial"/>
                <w:lang w:eastAsia="es-ES_tradnl"/>
              </w:rPr>
              <w:t xml:space="preserve">, señala que </w:t>
            </w:r>
            <w:r>
              <w:rPr>
                <w:rFonts w:ascii="Verdana" w:hAnsi="Verdana" w:cs="Arial"/>
                <w:b/>
                <w:bCs/>
                <w:lang w:val="en-CO" w:eastAsia="es-ES_tradnl"/>
              </w:rPr>
              <w:t>“</w:t>
            </w:r>
            <w:r w:rsidRPr="00B04D8C">
              <w:rPr>
                <w:rFonts w:ascii="Verdana" w:hAnsi="Verdana" w:cs="Arial"/>
                <w:lang w:val="en-CO" w:eastAsia="es-ES_tradnl"/>
              </w:rPr>
              <w:t>el régimen de contratación será el establecido en el Estatuto General de Contratación de la Administración Pública y demás normas que lo reglamenten, modifiquen o sustituyan, sin perjuicio de otras normas que le sean aplicables</w:t>
            </w:r>
            <w:r>
              <w:rPr>
                <w:rFonts w:ascii="Verdana" w:hAnsi="Verdana" w:cs="Arial"/>
                <w:lang w:val="en-CO" w:eastAsia="es-ES_tradnl"/>
              </w:rPr>
              <w:t>”</w:t>
            </w:r>
            <w:r w:rsidRPr="00B04D8C">
              <w:rPr>
                <w:rFonts w:ascii="Verdana" w:hAnsi="Verdana" w:cs="Arial"/>
                <w:lang w:val="en-CO" w:eastAsia="es-ES_tradnl"/>
              </w:rPr>
              <w:t>.</w:t>
            </w:r>
            <w:r>
              <w:rPr>
                <w:rFonts w:ascii="Verdana" w:hAnsi="Verdana" w:cs="Arial"/>
                <w:lang w:val="en-CO" w:eastAsia="es-ES_tradnl"/>
              </w:rPr>
              <w:t xml:space="preserve"> En este sentido, las contratación que adelante el Instituto debe sujetarse a los procedimientos, modalidades de selección y tipologías contractuales antes descritas para la contratación de actividades científicas y tecnológicas. </w:t>
            </w:r>
            <w:r>
              <w:rPr>
                <w:rFonts w:ascii="Verdana" w:hAnsi="Verdana" w:cs="Arial"/>
                <w:lang w:eastAsia="es-ES_tradnl"/>
              </w:rPr>
              <w:t xml:space="preserve">Dado que el marco jurídico establecido en los </w:t>
            </w:r>
            <w:r w:rsidRPr="007048DE">
              <w:rPr>
                <w:rFonts w:ascii="Verdana" w:eastAsia="Times New Roman" w:hAnsi="Verdana" w:cs="Arial"/>
                <w:lang w:eastAsia="es-ES_tradnl"/>
              </w:rPr>
              <w:t>Decretos Ley 393 y 591 de 1991</w:t>
            </w:r>
            <w:r>
              <w:rPr>
                <w:rFonts w:ascii="Verdana" w:eastAsia="Times New Roman" w:hAnsi="Verdana" w:cs="Arial"/>
                <w:lang w:eastAsia="es-ES_tradnl"/>
              </w:rPr>
              <w:t xml:space="preserve"> señala que la implementación de estas tipologías jurídicas es </w:t>
            </w:r>
            <w:r w:rsidRPr="008D41CD">
              <w:rPr>
                <w:rFonts w:ascii="Verdana" w:eastAsia="Times New Roman" w:hAnsi="Verdana" w:cs="Arial"/>
                <w:i/>
                <w:iCs/>
                <w:u w:val="single"/>
                <w:lang w:eastAsia="es-ES_tradnl"/>
              </w:rPr>
              <w:t>facultativa</w:t>
            </w:r>
            <w:r>
              <w:rPr>
                <w:rFonts w:ascii="Verdana" w:eastAsia="Times New Roman" w:hAnsi="Verdana" w:cs="Arial"/>
                <w:lang w:eastAsia="es-ES_tradnl"/>
              </w:rPr>
              <w:t xml:space="preserve"> por parte de las entidades allí señaladas, el Instituto podrá convenir libremente otro tipo de tipologías contractuales a las  reguladas en dicha normativa, en ejercicio de la autonomía de la voluntad, pues de esta manera lo previo expresamente el régimen jurídico para la contratación de actividades para el fomento científico y tecnológico al cual remite el artículo 10 del </w:t>
            </w:r>
            <w:r w:rsidRPr="00B54E85">
              <w:rPr>
                <w:rFonts w:ascii="Verdana" w:hAnsi="Verdana" w:cs="Arial"/>
                <w:lang w:eastAsia="es-ES_tradnl"/>
              </w:rPr>
              <w:t>Decreto-Ley 4109 de 2011</w:t>
            </w:r>
            <w:r>
              <w:rPr>
                <w:rFonts w:ascii="Verdana" w:eastAsia="Times New Roman" w:hAnsi="Verdana" w:cs="Arial"/>
                <w:lang w:eastAsia="es-ES_tradnl"/>
              </w:rPr>
              <w:t xml:space="preserve">. </w:t>
            </w:r>
          </w:p>
          <w:p w14:paraId="7FF5C783" w14:textId="77777777" w:rsidR="00981E00" w:rsidRPr="00B26706" w:rsidRDefault="00981E00" w:rsidP="00B24F77">
            <w:pPr>
              <w:shd w:val="clear" w:color="auto" w:fill="FFFFFF"/>
              <w:spacing w:before="120" w:line="276" w:lineRule="auto"/>
              <w:ind w:firstLine="708"/>
              <w:jc w:val="both"/>
              <w:rPr>
                <w:rFonts w:ascii="Verdana" w:hAnsi="Verdana" w:cs="Arial"/>
                <w:lang w:eastAsia="es-ES_tradnl"/>
              </w:rPr>
            </w:pPr>
            <w:r>
              <w:rPr>
                <w:rFonts w:ascii="Verdana" w:hAnsi="Verdana" w:cs="Arial"/>
                <w:lang w:eastAsia="es-ES_tradnl"/>
              </w:rPr>
              <w:t>L</w:t>
            </w:r>
            <w:r w:rsidRPr="00B26706">
              <w:rPr>
                <w:rFonts w:ascii="Verdana" w:hAnsi="Verdana" w:cs="Arial"/>
                <w:lang w:eastAsia="es-ES_tradnl"/>
              </w:rPr>
              <w:t>o anterior no implica que las Entidades Estatales que contraten el desarrollo de actividades científicas y tecnológicas mediante tipologías distintas a las señaladas en el Decreto Ley 591 y el Decreto Ley 393 de 1991 puedan contratar</w:t>
            </w:r>
            <w:r>
              <w:rPr>
                <w:rFonts w:ascii="Verdana" w:hAnsi="Verdana" w:cs="Arial"/>
                <w:lang w:eastAsia="es-ES_tradnl"/>
              </w:rPr>
              <w:t xml:space="preserve"> directamente</w:t>
            </w:r>
            <w:r w:rsidRPr="00B26706">
              <w:rPr>
                <w:rFonts w:ascii="Verdana" w:hAnsi="Verdana" w:cs="Arial"/>
                <w:lang w:eastAsia="es-ES_tradnl"/>
              </w:rPr>
              <w:t xml:space="preserve"> objetos que no constituyan realmente el desarrollo de dichas actividades. </w:t>
            </w:r>
            <w:r>
              <w:rPr>
                <w:rFonts w:ascii="Verdana" w:hAnsi="Verdana" w:cs="Arial"/>
                <w:lang w:eastAsia="es-ES_tradnl"/>
              </w:rPr>
              <w:t xml:space="preserve">En línea con lo anterior, las entidades no pueden contratar directamente mediante las tipologías establecidas en el régimen de fomento de ciencia y tecnología, o acudir a la facultad de adoptar </w:t>
            </w:r>
            <w:r>
              <w:rPr>
                <w:rFonts w:ascii="Verdana" w:hAnsi="Verdana" w:cs="Arial"/>
                <w:lang w:eastAsia="es-ES_tradnl"/>
              </w:rPr>
              <w:lastRenderedPageBreak/>
              <w:t xml:space="preserve">otro tipo de tipologías para la contratación directa de este tipo de actividades, con el fin de </w:t>
            </w:r>
            <w:r w:rsidRPr="00B26706">
              <w:rPr>
                <w:rFonts w:ascii="Verdana" w:hAnsi="Verdana" w:cs="Arial"/>
                <w:lang w:eastAsia="es-ES_tradnl"/>
              </w:rPr>
              <w:t xml:space="preserve">evadir adelantar un proceso competitivo. Sobre este punto se resalta que la contratación directa es de carácter </w:t>
            </w:r>
            <w:r w:rsidRPr="00B26706">
              <w:rPr>
                <w:rFonts w:ascii="Verdana" w:hAnsi="Verdana" w:cs="Arial"/>
                <w:i/>
                <w:iCs/>
                <w:u w:val="single"/>
                <w:lang w:eastAsia="es-ES_tradnl"/>
              </w:rPr>
              <w:t>excepcional</w:t>
            </w:r>
            <w:r w:rsidRPr="00B26706">
              <w:rPr>
                <w:rFonts w:ascii="Verdana" w:hAnsi="Verdana" w:cs="Arial"/>
                <w:i/>
                <w:iCs/>
                <w:lang w:eastAsia="es-ES_tradnl"/>
              </w:rPr>
              <w:t xml:space="preserve"> </w:t>
            </w:r>
            <w:r w:rsidRPr="00B26706">
              <w:rPr>
                <w:rFonts w:ascii="Verdana" w:hAnsi="Verdana" w:cs="Arial"/>
                <w:lang w:eastAsia="es-ES_tradnl"/>
              </w:rPr>
              <w:t>y procede exclusivamente</w:t>
            </w:r>
            <w:r>
              <w:rPr>
                <w:rFonts w:ascii="Verdana" w:hAnsi="Verdana" w:cs="Arial"/>
                <w:lang w:eastAsia="es-ES_tradnl"/>
              </w:rPr>
              <w:t xml:space="preserve"> cuando se trate de las actividades comprendidas en el alcance del régimen de contratación en comento</w:t>
            </w:r>
            <w:r w:rsidRPr="00B26706">
              <w:rPr>
                <w:rFonts w:ascii="Verdana" w:hAnsi="Verdana" w:cs="Arial"/>
                <w:lang w:eastAsia="es-ES_tradnl"/>
              </w:rPr>
              <w:t>.</w:t>
            </w:r>
            <w:r>
              <w:rPr>
                <w:rFonts w:ascii="Verdana" w:hAnsi="Verdana" w:cs="Arial"/>
                <w:lang w:eastAsia="es-ES_tradnl"/>
              </w:rPr>
              <w:t xml:space="preserve"> </w:t>
            </w:r>
            <w:r w:rsidRPr="00B26706">
              <w:rPr>
                <w:rFonts w:ascii="Verdana" w:hAnsi="Verdana" w:cs="Arial"/>
                <w:lang w:eastAsia="es-ES_tradnl"/>
              </w:rPr>
              <w:t xml:space="preserve">En esta medida, es necesario que las entidades justifiquen </w:t>
            </w:r>
            <w:r>
              <w:rPr>
                <w:rFonts w:ascii="Verdana" w:hAnsi="Verdana" w:cs="Arial"/>
                <w:lang w:eastAsia="es-ES_tradnl"/>
              </w:rPr>
              <w:t xml:space="preserve">la forma en que el procedimiento se adelanta materialmente para el fomento de </w:t>
            </w:r>
            <w:r w:rsidRPr="00B26706">
              <w:rPr>
                <w:rFonts w:ascii="Verdana" w:hAnsi="Verdana" w:cs="Arial"/>
                <w:lang w:eastAsia="es-ES_tradnl"/>
              </w:rPr>
              <w:t>actividades científicas y tecnológicas, independientemente de la tipología contractual que la entidad adopte para ello.</w:t>
            </w:r>
          </w:p>
          <w:p w14:paraId="12F3E7C6" w14:textId="77777777" w:rsidR="00981E00" w:rsidRPr="000C65F3" w:rsidRDefault="00981E00" w:rsidP="00B24F77">
            <w:pPr>
              <w:shd w:val="clear" w:color="auto" w:fill="FFFFFF"/>
              <w:spacing w:before="120" w:line="276" w:lineRule="auto"/>
              <w:jc w:val="both"/>
              <w:rPr>
                <w:rFonts w:ascii="Verdana" w:hAnsi="Verdana" w:cs="Arial"/>
                <w:lang w:eastAsia="es-ES_tradnl"/>
              </w:rPr>
            </w:pPr>
            <w:r w:rsidRPr="00B26706">
              <w:rPr>
                <w:rFonts w:ascii="Verdana" w:hAnsi="Verdana" w:cs="Arial"/>
                <w:lang w:eastAsia="es-ES_tradnl"/>
              </w:rPr>
              <w:t> </w:t>
            </w:r>
            <w:r w:rsidRPr="00B26706">
              <w:rPr>
                <w:rFonts w:ascii="Verdana" w:hAnsi="Verdana" w:cs="Arial"/>
                <w:lang w:eastAsia="es-ES_tradnl"/>
              </w:rPr>
              <w:tab/>
              <w:t>De conformidad con lo anterior, las entidades, como responsables de estructurar sus procedimientos de selección, deben definir si el objeto a contratar se encuadra en aquellas actividades consideradas científicas y tecnológicas y, en ejercicio de una debida diligencia, consultar al Ministerio sobre su calificación. Se resalta que el régimen de las actividades de ciencia, tecnología e innovación se define a partir de las normas citadas, pero corresponde al Ministerio, como autoridad competente, catalogar las actividades cuando las entidades presenten dudas respecto de un objeto contractual que pretendan satisfacer. Adicionalmente, corresponde a las entidades adelantar una debida planeación para determinar y justificar la modalidad de contratación</w:t>
            </w:r>
            <w:r>
              <w:rPr>
                <w:rFonts w:ascii="Verdana" w:hAnsi="Verdana" w:cs="Arial"/>
                <w:lang w:eastAsia="es-ES_tradnl"/>
              </w:rPr>
              <w:t xml:space="preserve"> directa</w:t>
            </w:r>
            <w:r w:rsidRPr="00B26706">
              <w:rPr>
                <w:rFonts w:ascii="Verdana" w:hAnsi="Verdana" w:cs="Arial"/>
                <w:lang w:eastAsia="es-ES_tradnl"/>
              </w:rPr>
              <w:t xml:space="preserve"> y la tipología contractual que adopten para la satisfacción de su necesidad.</w:t>
            </w:r>
            <w:r>
              <w:rPr>
                <w:rFonts w:ascii="Verdana" w:hAnsi="Verdana" w:cs="Arial"/>
                <w:lang w:eastAsia="es-ES_tradnl"/>
              </w:rPr>
              <w:t xml:space="preserve">  </w:t>
            </w:r>
          </w:p>
        </w:tc>
      </w:tr>
    </w:tbl>
    <w:p w14:paraId="1332A097" w14:textId="77777777" w:rsidR="00981E00" w:rsidRPr="00B26706" w:rsidRDefault="00981E00" w:rsidP="00981E00">
      <w:pPr>
        <w:tabs>
          <w:tab w:val="left" w:pos="142"/>
          <w:tab w:val="left" w:pos="284"/>
        </w:tabs>
        <w:spacing w:line="276" w:lineRule="auto"/>
        <w:jc w:val="both"/>
        <w:rPr>
          <w:rFonts w:ascii="Verdana" w:eastAsia="Century Gothic" w:hAnsi="Verdana" w:cs="Century Gothic"/>
          <w:b/>
          <w:bCs/>
          <w:lang w:val="es-ES"/>
        </w:rPr>
      </w:pPr>
    </w:p>
    <w:p w14:paraId="184775FB" w14:textId="77777777" w:rsidR="00981E00" w:rsidRPr="00B26706" w:rsidRDefault="00981E00" w:rsidP="00981E00">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B26706">
        <w:rPr>
          <w:rFonts w:ascii="Verdana" w:eastAsia="Century Gothic" w:hAnsi="Verdana" w:cs="Century Gothic"/>
          <w:b/>
          <w:bCs/>
        </w:rPr>
        <w:t>Razones de la respuesta:</w:t>
      </w:r>
    </w:p>
    <w:p w14:paraId="0885EFB6" w14:textId="77777777" w:rsidR="00981E00" w:rsidRPr="00B26706" w:rsidRDefault="00981E00" w:rsidP="00981E00">
      <w:pPr>
        <w:pStyle w:val="ListParagraph"/>
        <w:tabs>
          <w:tab w:val="left" w:pos="142"/>
          <w:tab w:val="left" w:pos="284"/>
        </w:tabs>
        <w:spacing w:after="0" w:line="276" w:lineRule="auto"/>
        <w:ind w:left="0"/>
        <w:contextualSpacing w:val="0"/>
        <w:jc w:val="both"/>
        <w:rPr>
          <w:rFonts w:ascii="Verdana" w:eastAsia="Century Gothic" w:hAnsi="Verdana" w:cs="Century Gothic"/>
          <w:b/>
          <w:bCs/>
        </w:rPr>
      </w:pPr>
    </w:p>
    <w:p w14:paraId="1549BE36" w14:textId="77777777" w:rsidR="00981E00" w:rsidRPr="00B26706" w:rsidRDefault="00981E00" w:rsidP="00981E00">
      <w:pPr>
        <w:spacing w:line="276" w:lineRule="auto"/>
        <w:jc w:val="both"/>
        <w:rPr>
          <w:rFonts w:ascii="Verdana" w:eastAsia="Calibri" w:hAnsi="Verdana" w:cs="Arial"/>
          <w:lang w:val="es-ES"/>
        </w:rPr>
      </w:pPr>
      <w:r w:rsidRPr="00B26706">
        <w:rPr>
          <w:rFonts w:ascii="Verdana" w:eastAsia="Calibri" w:hAnsi="Verdana" w:cs="Arial"/>
          <w:lang w:val="es-ES"/>
        </w:rPr>
        <w:t xml:space="preserve">Lo anterior se sustenta en las siguientes consideraciones: </w:t>
      </w:r>
    </w:p>
    <w:p w14:paraId="4912CDB9" w14:textId="77777777" w:rsidR="00981E00" w:rsidRPr="00B26706" w:rsidRDefault="00981E00" w:rsidP="00981E00">
      <w:pPr>
        <w:spacing w:line="276" w:lineRule="auto"/>
        <w:contextualSpacing/>
        <w:jc w:val="both"/>
        <w:rPr>
          <w:rFonts w:ascii="Verdana" w:eastAsia="Calibri" w:hAnsi="Verdana" w:cs="Arial"/>
          <w:shd w:val="clear" w:color="auto" w:fill="FFFFFF"/>
        </w:rPr>
      </w:pPr>
      <w:r w:rsidRPr="00B26706">
        <w:rPr>
          <w:rFonts w:ascii="Verdana" w:eastAsia="Calibri" w:hAnsi="Verdana" w:cs="Arial"/>
          <w:shd w:val="clear" w:color="auto" w:fill="FFFFFF"/>
        </w:rPr>
        <w:t>i) De manera inicial es conveniente realizar algunas precisiones conceptuales sobre las actividades de ciencia, tecnología e innovación. Lo primero es destacar que antes de la Constitución Política de 1991 ya existía un marco legislativo que regulaba la especial naturaleza de las materias relacionadas con la ciencia y tecnología. En particular, la Ley 29 de 1990 “por la cual se dictan disposiciones para el fomento de la investigación científica y el desarrollo tecnológico y se otorgan facultades extraordinarias”, estableció en el artículo 1° que:</w:t>
      </w:r>
    </w:p>
    <w:p w14:paraId="716AFD35" w14:textId="77777777" w:rsidR="00981E00" w:rsidRPr="00B26706" w:rsidRDefault="00981E00" w:rsidP="00981E00">
      <w:pPr>
        <w:ind w:left="709" w:right="709"/>
        <w:contextualSpacing/>
        <w:jc w:val="both"/>
        <w:rPr>
          <w:rFonts w:ascii="Verdana" w:eastAsia="Calibri" w:hAnsi="Verdana" w:cs="Arial"/>
          <w:sz w:val="21"/>
          <w:szCs w:val="21"/>
          <w:shd w:val="clear" w:color="auto" w:fill="FFFFFF"/>
        </w:rPr>
      </w:pPr>
    </w:p>
    <w:p w14:paraId="3080D3A4" w14:textId="77777777" w:rsidR="00981E00" w:rsidRPr="00B26706" w:rsidRDefault="00981E00" w:rsidP="00981E00">
      <w:pPr>
        <w:ind w:left="709" w:right="709"/>
        <w:contextualSpacing/>
        <w:jc w:val="both"/>
        <w:rPr>
          <w:rFonts w:ascii="Verdana" w:eastAsia="Calibri" w:hAnsi="Verdana" w:cs="Arial"/>
          <w:sz w:val="21"/>
          <w:szCs w:val="21"/>
          <w:shd w:val="clear" w:color="auto" w:fill="FFFFFF"/>
        </w:rPr>
      </w:pPr>
      <w:r w:rsidRPr="00B26706">
        <w:rPr>
          <w:rFonts w:ascii="Verdana" w:eastAsia="Calibri" w:hAnsi="Verdana" w:cs="Arial"/>
          <w:sz w:val="21"/>
          <w:szCs w:val="21"/>
          <w:shd w:val="clear" w:color="auto" w:fill="FFFFFF"/>
        </w:rPr>
        <w:t xml:space="preserve">“corresponde al Estado promover y orientar el adelanto científico y tecnológico y, por lo mismo, está obligado a incorporar la ciencia y </w:t>
      </w:r>
      <w:r w:rsidRPr="00B26706">
        <w:rPr>
          <w:rFonts w:ascii="Verdana" w:eastAsia="Calibri" w:hAnsi="Verdana" w:cs="Arial"/>
          <w:sz w:val="21"/>
          <w:szCs w:val="21"/>
          <w:shd w:val="clear" w:color="auto" w:fill="FFFFFF"/>
        </w:rPr>
        <w:lastRenderedPageBreak/>
        <w:t>tecnología a los planes y programas de desarrollo económico y social del país y a formular planes de ciencia y tecnología tanto para el mediano como para el largo plazo. Así mismo, deberá establecer los mecanismos de relación entre sus actividades de desarrollo científico y tecnológico y las que, en los mismos campos, adelanten la universidad, la comunidad científica y el sector privado colombianos”.</w:t>
      </w:r>
    </w:p>
    <w:p w14:paraId="5943F7F1" w14:textId="77777777" w:rsidR="00981E00" w:rsidRPr="00B26706" w:rsidRDefault="00981E00" w:rsidP="00981E00">
      <w:pPr>
        <w:ind w:left="709" w:right="709"/>
        <w:contextualSpacing/>
        <w:jc w:val="both"/>
        <w:rPr>
          <w:rFonts w:ascii="Verdana" w:eastAsia="Calibri" w:hAnsi="Verdana" w:cs="Arial"/>
          <w:sz w:val="21"/>
          <w:szCs w:val="21"/>
          <w:shd w:val="clear" w:color="auto" w:fill="FFFFFF"/>
        </w:rPr>
      </w:pPr>
    </w:p>
    <w:p w14:paraId="1F8BCFB0" w14:textId="77777777" w:rsidR="00981E00" w:rsidRPr="00B26706" w:rsidRDefault="00981E00" w:rsidP="00981E00">
      <w:pPr>
        <w:spacing w:after="120" w:line="276" w:lineRule="auto"/>
        <w:ind w:firstLine="709"/>
        <w:jc w:val="both"/>
        <w:rPr>
          <w:rFonts w:ascii="Verdana" w:eastAsia="Aptos" w:hAnsi="Verdana" w:cs="Arial"/>
          <w:lang w:val="es-ES" w:eastAsia="es-MX"/>
        </w:rPr>
      </w:pPr>
      <w:r w:rsidRPr="00B26706">
        <w:rPr>
          <w:rFonts w:ascii="Verdana" w:eastAsia="Aptos" w:hAnsi="Verdana" w:cs="Arial"/>
          <w:lang w:val="es-ES" w:eastAsia="es-MX"/>
        </w:rPr>
        <w:t>De tal manera, la ley otorgó facultades extraordinarias que le permitirían al Gobierno Nacional dictar normas que debían ser acatadas por las entidades de orden nacional y aquellas entidades descentralizadas, con el fin de que pudieran asociarse con particulares para desarrollar actividades científicas y tecnológicas, avanzar en proyectos de investigación y creación de nuevas tecnologías. En un segundo plano, las normas a expedir debían regular las modalidades específicas de los contratos mediante los cuales fuera posible el fomento de actividades científicas y tecnológicas.</w:t>
      </w:r>
    </w:p>
    <w:p w14:paraId="51AB656F" w14:textId="77777777" w:rsidR="00981E00" w:rsidRPr="00B26706" w:rsidRDefault="00981E00" w:rsidP="00981E00">
      <w:pPr>
        <w:spacing w:before="120" w:after="120" w:line="276" w:lineRule="auto"/>
        <w:ind w:firstLine="709"/>
        <w:jc w:val="both"/>
        <w:rPr>
          <w:rFonts w:ascii="Verdana" w:eastAsia="Aptos" w:hAnsi="Verdana" w:cs="Arial"/>
          <w:lang w:val="es-ES" w:eastAsia="es-MX"/>
        </w:rPr>
      </w:pPr>
      <w:r w:rsidRPr="00B26706">
        <w:rPr>
          <w:rFonts w:ascii="Verdana" w:eastAsia="Aptos" w:hAnsi="Verdana" w:cs="Arial"/>
          <w:lang w:val="es-ES" w:eastAsia="es-MX"/>
        </w:rPr>
        <w:t xml:space="preserve">En ese sentido, en ejercicio de las facultades extraordinarias otorgadas en la Ley 29 de 1990, el Gobierno Nacional expidió el Decreto 393 de 1991 “Por el cual se dictan normas sobre asociación para actividades científicas y tecnológicas, proyectos de investigación y creación de tecnologías”, y el Decreto 591 del mismo año “por el cual se regulan las modalidades específicas de contratos de fomento de actividades científicas y tecnológicas”. Ambas normas se encuentran parcialmente vigentes a la fecha y regulan de manera sustancial  </w:t>
      </w:r>
      <w:r w:rsidRPr="00B26706">
        <w:rPr>
          <w:rFonts w:ascii="Verdana" w:eastAsia="Aptos" w:hAnsi="Verdana" w:cs="Arial"/>
          <w:i/>
          <w:iCs/>
          <w:lang w:val="es-ES" w:eastAsia="es-MX"/>
        </w:rPr>
        <w:t>tipologías contractuales</w:t>
      </w:r>
      <w:r w:rsidRPr="00B26706">
        <w:rPr>
          <w:rFonts w:ascii="Verdana" w:eastAsia="Aptos" w:hAnsi="Verdana" w:cs="Arial"/>
          <w:lang w:val="es-ES" w:eastAsia="es-MX"/>
        </w:rPr>
        <w:t xml:space="preserve"> que pueden implementar las entidades para desarrollar dichas actividades.</w:t>
      </w:r>
    </w:p>
    <w:p w14:paraId="375F2CA4" w14:textId="77777777" w:rsidR="00981E00" w:rsidRPr="00B26706" w:rsidRDefault="00981E00" w:rsidP="00981E00">
      <w:pPr>
        <w:spacing w:after="120" w:line="276" w:lineRule="auto"/>
        <w:ind w:firstLine="708"/>
        <w:jc w:val="both"/>
        <w:rPr>
          <w:rFonts w:ascii="Verdana" w:hAnsi="Verdana" w:cs="Arial"/>
          <w:lang w:eastAsia="es-ES_tradnl"/>
        </w:rPr>
      </w:pPr>
      <w:r w:rsidRPr="00B26706">
        <w:rPr>
          <w:rFonts w:ascii="Verdana" w:hAnsi="Verdana" w:cs="Arial"/>
          <w:lang w:eastAsia="es-ES_tradnl"/>
        </w:rPr>
        <w:t xml:space="preserve">En concreto, las actividades de ciencia, tecnología e innovación están previstas en cuatro (4) cuerpos normativos: </w:t>
      </w:r>
    </w:p>
    <w:p w14:paraId="594056D5" w14:textId="77777777" w:rsidR="00981E00" w:rsidRPr="00B26706" w:rsidRDefault="00981E00" w:rsidP="00981E00">
      <w:pPr>
        <w:pStyle w:val="ListParagraph"/>
        <w:numPr>
          <w:ilvl w:val="0"/>
          <w:numId w:val="18"/>
        </w:numPr>
        <w:spacing w:after="120" w:line="276" w:lineRule="auto"/>
        <w:jc w:val="both"/>
        <w:rPr>
          <w:rFonts w:ascii="Verdana" w:eastAsia="Times New Roman" w:hAnsi="Verdana" w:cs="Arial"/>
          <w:lang w:eastAsia="es-ES_tradnl"/>
        </w:rPr>
      </w:pPr>
      <w:r w:rsidRPr="00B26706">
        <w:rPr>
          <w:rFonts w:ascii="Verdana" w:eastAsia="Times New Roman" w:hAnsi="Verdana" w:cs="Arial"/>
          <w:lang w:eastAsia="es-ES_tradnl"/>
        </w:rPr>
        <w:t xml:space="preserve">El </w:t>
      </w:r>
      <w:r w:rsidRPr="00B26706">
        <w:rPr>
          <w:rFonts w:ascii="Verdana" w:eastAsia="Times New Roman" w:hAnsi="Verdana" w:cs="Arial"/>
          <w:i/>
          <w:iCs/>
          <w:lang w:eastAsia="es-ES_tradnl"/>
        </w:rPr>
        <w:t>Decreto Ley 393 de 1991</w:t>
      </w:r>
      <w:r w:rsidRPr="00B26706">
        <w:rPr>
          <w:rFonts w:ascii="Verdana" w:eastAsia="Times New Roman" w:hAnsi="Verdana" w:cs="Arial"/>
          <w:lang w:eastAsia="es-ES_tradnl"/>
        </w:rPr>
        <w:t xml:space="preserve">, que se refiere a dos (2) formas de asociación para que las entidades ejecuten actividades científicas y tecnológicas, proyectos de investigación y creación de tecnologías: 1) la creación de personas jurídicas civiles, comerciales y sin ánimo de lucro y 2) la celebración de convenios especiales de cooperación; </w:t>
      </w:r>
    </w:p>
    <w:p w14:paraId="14501F9E" w14:textId="77777777" w:rsidR="00981E00" w:rsidRPr="00B26706" w:rsidRDefault="00981E00" w:rsidP="00981E00">
      <w:pPr>
        <w:pStyle w:val="ListParagraph"/>
        <w:numPr>
          <w:ilvl w:val="0"/>
          <w:numId w:val="18"/>
        </w:numPr>
        <w:spacing w:after="120" w:line="276" w:lineRule="auto"/>
        <w:jc w:val="both"/>
        <w:rPr>
          <w:rFonts w:ascii="Verdana" w:eastAsia="Times New Roman" w:hAnsi="Verdana" w:cs="Arial"/>
          <w:lang w:eastAsia="es-ES_tradnl"/>
        </w:rPr>
      </w:pPr>
      <w:r w:rsidRPr="00B26706">
        <w:rPr>
          <w:rFonts w:ascii="Verdana" w:eastAsia="Times New Roman" w:hAnsi="Verdana" w:cs="Arial"/>
          <w:lang w:eastAsia="es-ES_tradnl"/>
        </w:rPr>
        <w:t xml:space="preserve">El </w:t>
      </w:r>
      <w:r w:rsidRPr="00B26706">
        <w:rPr>
          <w:rFonts w:ascii="Verdana" w:eastAsia="Times New Roman" w:hAnsi="Verdana" w:cs="Arial"/>
          <w:i/>
          <w:iCs/>
          <w:lang w:eastAsia="es-ES_tradnl"/>
        </w:rPr>
        <w:t>Decreto Ley 591 de 1991</w:t>
      </w:r>
      <w:r w:rsidRPr="00B26706">
        <w:rPr>
          <w:rFonts w:ascii="Verdana" w:eastAsia="Times New Roman" w:hAnsi="Verdana" w:cs="Arial"/>
          <w:lang w:eastAsia="es-ES_tradnl"/>
        </w:rPr>
        <w:t xml:space="preserve"> que enlista actividades científicas y tecnológicas y, a pesar de que su propósito principal era regular las modalidades específicas de contratos de fomento de esas actividades, con la derogatoria del artículo 7 que señalaba diez (10) tipos de contratos, actualmente se encuentran vigentes tres (3): 1) contratos </w:t>
      </w:r>
      <w:r w:rsidRPr="00B26706">
        <w:rPr>
          <w:rFonts w:ascii="Verdana" w:eastAsia="Times New Roman" w:hAnsi="Verdana" w:cs="Arial"/>
          <w:lang w:eastAsia="es-ES_tradnl"/>
        </w:rPr>
        <w:lastRenderedPageBreak/>
        <w:t xml:space="preserve">de financiamiento, 2) contratos de administración de proyectos y 3) convenios especiales de cooperación; </w:t>
      </w:r>
    </w:p>
    <w:p w14:paraId="60D9BC00" w14:textId="77777777" w:rsidR="00981E00" w:rsidRPr="00B26706" w:rsidRDefault="00981E00" w:rsidP="00981E00">
      <w:pPr>
        <w:pStyle w:val="ListParagraph"/>
        <w:numPr>
          <w:ilvl w:val="0"/>
          <w:numId w:val="18"/>
        </w:numPr>
        <w:spacing w:after="120" w:line="276" w:lineRule="auto"/>
        <w:jc w:val="both"/>
        <w:rPr>
          <w:rFonts w:ascii="Verdana" w:eastAsia="Times New Roman" w:hAnsi="Verdana" w:cs="Arial"/>
          <w:lang w:eastAsia="es-ES_tradnl"/>
        </w:rPr>
      </w:pPr>
      <w:r w:rsidRPr="00B26706">
        <w:rPr>
          <w:rFonts w:ascii="Verdana" w:eastAsia="Times New Roman" w:hAnsi="Verdana" w:cs="Arial"/>
          <w:lang w:eastAsia="es-ES_tradnl"/>
        </w:rPr>
        <w:t xml:space="preserve">La </w:t>
      </w:r>
      <w:r w:rsidRPr="00B26706">
        <w:rPr>
          <w:rFonts w:ascii="Verdana" w:eastAsia="Times New Roman" w:hAnsi="Verdana" w:cs="Arial"/>
          <w:i/>
          <w:iCs/>
          <w:lang w:eastAsia="es-ES_tradnl"/>
        </w:rPr>
        <w:t>Ley 1286 de 2009</w:t>
      </w:r>
      <w:r w:rsidRPr="00B26706">
        <w:rPr>
          <w:rFonts w:ascii="Verdana" w:hAnsi="Verdana"/>
          <w:vertAlign w:val="superscript"/>
          <w:lang w:eastAsia="es-ES_tradnl"/>
        </w:rPr>
        <w:footnoteReference w:id="2"/>
      </w:r>
    </w:p>
    <w:p w14:paraId="1C0E3068" w14:textId="77777777" w:rsidR="00981E00" w:rsidRPr="00B26706" w:rsidRDefault="00981E00" w:rsidP="00981E00">
      <w:pPr>
        <w:pStyle w:val="ListParagraph"/>
        <w:numPr>
          <w:ilvl w:val="0"/>
          <w:numId w:val="18"/>
        </w:numPr>
        <w:spacing w:after="120" w:line="276" w:lineRule="auto"/>
        <w:jc w:val="both"/>
        <w:rPr>
          <w:rFonts w:ascii="Verdana" w:eastAsia="Times New Roman" w:hAnsi="Verdana" w:cs="Arial"/>
          <w:lang w:eastAsia="es-ES_tradnl"/>
        </w:rPr>
      </w:pPr>
      <w:r w:rsidRPr="00B26706">
        <w:rPr>
          <w:rFonts w:ascii="Verdana" w:eastAsia="Times New Roman" w:hAnsi="Verdana" w:cs="Arial"/>
          <w:lang w:eastAsia="es-ES_tradnl"/>
        </w:rPr>
        <w:t xml:space="preserve">El </w:t>
      </w:r>
      <w:r w:rsidRPr="00B26706">
        <w:rPr>
          <w:rFonts w:ascii="Verdana" w:eastAsia="Times New Roman" w:hAnsi="Verdana" w:cs="Arial"/>
          <w:i/>
          <w:iCs/>
          <w:lang w:eastAsia="es-ES_tradnl"/>
        </w:rPr>
        <w:t>Documento CONPES 3582 de 2009</w:t>
      </w:r>
      <w:r w:rsidRPr="00B26706">
        <w:rPr>
          <w:rFonts w:ascii="Verdana" w:eastAsia="Times New Roman" w:hAnsi="Verdana" w:cs="Arial"/>
          <w:lang w:eastAsia="es-ES_tradnl"/>
        </w:rPr>
        <w:t xml:space="preserve"> que identifica cuáles son estas actividades con respecto a los actores del Sistema Nacional de Ciencia, Tecnología e Innovación.</w:t>
      </w:r>
    </w:p>
    <w:p w14:paraId="6763C88A" w14:textId="77777777" w:rsidR="00981E00" w:rsidRPr="00B26706" w:rsidRDefault="00981E00" w:rsidP="00981E00">
      <w:pPr>
        <w:shd w:val="clear" w:color="auto" w:fill="FFFFFF"/>
        <w:spacing w:after="120" w:line="276" w:lineRule="auto"/>
        <w:ind w:firstLine="709"/>
        <w:jc w:val="both"/>
        <w:rPr>
          <w:rFonts w:ascii="Verdana" w:hAnsi="Verdana" w:cs="Arial"/>
          <w:lang w:eastAsia="es-ES_tradnl"/>
        </w:rPr>
      </w:pPr>
      <w:r>
        <w:rPr>
          <w:rFonts w:ascii="Verdana" w:hAnsi="Verdana" w:cs="Arial"/>
          <w:lang w:eastAsia="es-ES_tradnl"/>
        </w:rPr>
        <w:t>De esta forma</w:t>
      </w:r>
      <w:r w:rsidRPr="00B26706">
        <w:rPr>
          <w:rFonts w:ascii="Verdana" w:hAnsi="Verdana" w:cs="Arial"/>
          <w:lang w:eastAsia="es-ES_tradnl"/>
        </w:rPr>
        <w:t xml:space="preserve">, las normas referidas establecen </w:t>
      </w:r>
      <w:r w:rsidRPr="00B26706">
        <w:rPr>
          <w:rFonts w:ascii="Verdana" w:hAnsi="Verdana" w:cs="Arial"/>
          <w:i/>
          <w:iCs/>
          <w:lang w:eastAsia="es-ES_tradnl"/>
        </w:rPr>
        <w:t>tipologías contractuales</w:t>
      </w:r>
      <w:r w:rsidRPr="00B26706">
        <w:rPr>
          <w:rFonts w:ascii="Verdana" w:hAnsi="Verdana" w:cs="Arial"/>
          <w:lang w:eastAsia="es-ES_tradnl"/>
        </w:rPr>
        <w:t xml:space="preserve"> por las que pueden optar las entidades allí señaladas para contratar directamente el desarrollo de actividades de ciencia y tecnología. De cualquier modo, su aplicación se encuentra limitada a los sujetos y materias allí reguladas. </w:t>
      </w:r>
    </w:p>
    <w:p w14:paraId="7A115043" w14:textId="77777777" w:rsidR="00981E00" w:rsidRPr="00B26706" w:rsidRDefault="00981E00" w:rsidP="00981E00">
      <w:pPr>
        <w:shd w:val="clear" w:color="auto" w:fill="FFFFFF"/>
        <w:spacing w:before="120" w:after="120" w:line="276" w:lineRule="auto"/>
        <w:ind w:firstLine="709"/>
        <w:jc w:val="both"/>
        <w:rPr>
          <w:rFonts w:ascii="Verdana" w:hAnsi="Verdana" w:cs="Arial"/>
          <w:lang w:eastAsia="es-ES_tradnl"/>
        </w:rPr>
      </w:pPr>
      <w:r w:rsidRPr="00B26706">
        <w:rPr>
          <w:rFonts w:ascii="Verdana" w:hAnsi="Verdana" w:cs="Arial"/>
          <w:lang w:eastAsia="es-ES_tradnl"/>
        </w:rPr>
        <w:t>Al respecto, el artículo primero del Decreto Ley 393 de 1991 señala expresamente que la Nación y sus entidades descentralizadas “podrán</w:t>
      </w:r>
      <w:r w:rsidRPr="00B26706">
        <w:rPr>
          <w:rFonts w:ascii="Verdana" w:hAnsi="Verdana" w:cs="Arial"/>
          <w:i/>
          <w:iCs/>
          <w:lang w:eastAsia="es-ES_tradnl"/>
        </w:rPr>
        <w:t xml:space="preserve"> </w:t>
      </w:r>
      <w:r w:rsidRPr="00B26706">
        <w:rPr>
          <w:rFonts w:ascii="Verdana" w:hAnsi="Verdana" w:cs="Arial"/>
          <w:lang w:eastAsia="es-ES_tradnl"/>
        </w:rPr>
        <w:t>asociarse con los particulares” bajo creación de personas jurídicas o la celebración de convenios especiales de cooperación para adelantar actividades científicas y tecnológicas, sobre éstos últimos el artículo sexto reitera que dichas entidades “</w:t>
      </w:r>
      <w:r w:rsidRPr="00B26706">
        <w:rPr>
          <w:rFonts w:ascii="Verdana" w:hAnsi="Verdana" w:cs="Arial"/>
          <w:i/>
          <w:iCs/>
          <w:lang w:eastAsia="es-ES_tradnl"/>
        </w:rPr>
        <w:t xml:space="preserve">podrán </w:t>
      </w:r>
      <w:r w:rsidRPr="00B26706">
        <w:rPr>
          <w:rFonts w:ascii="Verdana" w:hAnsi="Verdana" w:cs="Arial"/>
          <w:lang w:eastAsia="es-ES_tradnl"/>
        </w:rPr>
        <w:t>celebrar con los particulares convenios especiales de cooperación, que no darán lugar al nacimiento de una nueva persona jurídica”</w:t>
      </w:r>
      <w:r w:rsidRPr="00B26706">
        <w:rPr>
          <w:rStyle w:val="FootnoteReference"/>
          <w:rFonts w:ascii="Verdana" w:hAnsi="Verdana" w:cs="Arial"/>
          <w:lang w:eastAsia="es-ES_tradnl"/>
        </w:rPr>
        <w:footnoteReference w:id="3"/>
      </w:r>
      <w:r w:rsidRPr="00B26706">
        <w:rPr>
          <w:rFonts w:ascii="Verdana" w:hAnsi="Verdana" w:cs="Arial"/>
          <w:lang w:eastAsia="es-ES_tradnl"/>
        </w:rPr>
        <w:t>. De manera similar, los artículo 8, 9 y 17 del Decreto Ley 591 de 1991 señalan que la Nación y sus entidades descentralizadas “</w:t>
      </w:r>
      <w:r w:rsidRPr="00B26706">
        <w:rPr>
          <w:rFonts w:ascii="Verdana" w:hAnsi="Verdana" w:cs="Arial"/>
          <w:i/>
          <w:iCs/>
          <w:lang w:eastAsia="es-ES_tradnl"/>
        </w:rPr>
        <w:t>podrán</w:t>
      </w:r>
      <w:r w:rsidRPr="00B26706">
        <w:rPr>
          <w:rFonts w:ascii="Verdana" w:hAnsi="Verdana" w:cs="Arial"/>
          <w:lang w:eastAsia="es-ES_tradnl"/>
        </w:rPr>
        <w:t xml:space="preserve">”: </w:t>
      </w:r>
      <w:r>
        <w:rPr>
          <w:rFonts w:ascii="Verdana" w:hAnsi="Verdana" w:cs="Arial"/>
          <w:lang w:eastAsia="es-ES_tradnl"/>
        </w:rPr>
        <w:t>1</w:t>
      </w:r>
      <w:r w:rsidRPr="00B26706">
        <w:rPr>
          <w:rFonts w:ascii="Verdana" w:hAnsi="Verdana" w:cs="Arial"/>
          <w:lang w:eastAsia="es-ES_tradnl"/>
        </w:rPr>
        <w:t xml:space="preserve">) celebrar contratos de financiamiento destinados a actividades científicas y tecnológicas, que tengan por objeto proveer de recursos al particular contratista o a otra entidad pública; </w:t>
      </w:r>
      <w:r>
        <w:rPr>
          <w:rFonts w:ascii="Verdana" w:hAnsi="Verdana" w:cs="Arial"/>
          <w:lang w:eastAsia="es-ES_tradnl"/>
        </w:rPr>
        <w:t>2</w:t>
      </w:r>
      <w:r w:rsidRPr="00B26706">
        <w:rPr>
          <w:rFonts w:ascii="Verdana" w:hAnsi="Verdana" w:cs="Arial"/>
          <w:lang w:eastAsia="es-ES_tradnl"/>
        </w:rPr>
        <w:t xml:space="preserve">) celebrar con personas públicas o privadas contratos de administración de proyectos; y </w:t>
      </w:r>
      <w:r>
        <w:rPr>
          <w:rFonts w:ascii="Verdana" w:hAnsi="Verdana" w:cs="Arial"/>
          <w:lang w:eastAsia="es-ES_tradnl"/>
        </w:rPr>
        <w:t>3</w:t>
      </w:r>
      <w:r w:rsidRPr="00B26706">
        <w:rPr>
          <w:rFonts w:ascii="Verdana" w:hAnsi="Verdana" w:cs="Arial"/>
          <w:lang w:eastAsia="es-ES_tradnl"/>
        </w:rPr>
        <w:t>)</w:t>
      </w:r>
      <w:r w:rsidRPr="00B26706">
        <w:rPr>
          <w:rFonts w:ascii="Arial" w:hAnsi="Arial" w:cs="Arial"/>
          <w:color w:val="000000"/>
          <w:sz w:val="21"/>
          <w:szCs w:val="21"/>
        </w:rPr>
        <w:t xml:space="preserve"> </w:t>
      </w:r>
      <w:r w:rsidRPr="00B26706">
        <w:rPr>
          <w:rFonts w:ascii="Verdana" w:hAnsi="Verdana" w:cs="Arial"/>
          <w:lang w:eastAsia="es-ES_tradnl"/>
        </w:rPr>
        <w:t xml:space="preserve">celebrar con los particulares y con otras entidades públicas de cualquier orden convenios especiales de cooperación. En efecto, la normas referidas otorgan la potestad para que la Nación y sus entidades </w:t>
      </w:r>
      <w:r w:rsidRPr="00B26706">
        <w:rPr>
          <w:rFonts w:ascii="Verdana" w:hAnsi="Verdana" w:cs="Arial"/>
          <w:lang w:eastAsia="es-ES_tradnl"/>
        </w:rPr>
        <w:lastRenderedPageBreak/>
        <w:t>descentralizadas adopten las tipologías contractuales allí descritas cuando pretendan contratar el desarrollo de actividades científicas y tecnológicas.</w:t>
      </w:r>
    </w:p>
    <w:p w14:paraId="05411D65" w14:textId="77777777" w:rsidR="00981E00" w:rsidRPr="00EF65A5" w:rsidRDefault="00981E00" w:rsidP="00981E00">
      <w:pPr>
        <w:spacing w:after="120" w:line="276" w:lineRule="auto"/>
        <w:ind w:firstLine="708"/>
        <w:jc w:val="both"/>
        <w:rPr>
          <w:rFonts w:ascii="Verdana" w:eastAsia="Times New Roman" w:hAnsi="Verdana" w:cs="Arial"/>
          <w:lang w:eastAsia="es-ES_tradnl"/>
        </w:rPr>
      </w:pPr>
      <w:r w:rsidRPr="0069136E">
        <w:rPr>
          <w:rFonts w:ascii="Verdana" w:hAnsi="Verdana" w:cs="Arial"/>
          <w:lang w:eastAsia="es-ES_tradnl"/>
        </w:rPr>
        <w:t>Posteriormente, la Ley 80 de 1993 derogó diversas disposiciones del Decreto Ley 591 de 1991 que establecían otras modalidades específicas de contratos para el fomento de actividades científicas y tecnológicas, manteniendo únicamente las tres tipologías contractuales referidas, es decir</w:t>
      </w:r>
      <w:r>
        <w:rPr>
          <w:rFonts w:ascii="Verdana" w:hAnsi="Verdana" w:cs="Arial"/>
          <w:lang w:eastAsia="es-ES_tradnl"/>
        </w:rPr>
        <w:t xml:space="preserve"> los</w:t>
      </w:r>
      <w:r w:rsidRPr="0069136E">
        <w:rPr>
          <w:rFonts w:ascii="Verdana" w:hAnsi="Verdana" w:cs="Arial"/>
          <w:lang w:eastAsia="es-ES_tradnl"/>
        </w:rPr>
        <w:t xml:space="preserve">: </w:t>
      </w:r>
      <w:r w:rsidRPr="0069136E">
        <w:rPr>
          <w:rFonts w:ascii="Verdana" w:eastAsia="Times New Roman" w:hAnsi="Verdana" w:cs="Arial"/>
          <w:lang w:eastAsia="es-ES_tradnl"/>
        </w:rPr>
        <w:t>1) contratos de financiamiento, 2) contratos de administración de proyectos y 3) convenios especiales de cooperación</w:t>
      </w:r>
      <w:r>
        <w:rPr>
          <w:rFonts w:ascii="Verdana" w:eastAsia="Times New Roman" w:hAnsi="Verdana" w:cs="Arial"/>
          <w:lang w:eastAsia="es-ES_tradnl"/>
        </w:rPr>
        <w:t>.</w:t>
      </w:r>
    </w:p>
    <w:p w14:paraId="2E115354" w14:textId="77777777" w:rsidR="00981E00" w:rsidRPr="00B47B4C" w:rsidRDefault="00981E00" w:rsidP="00981E00">
      <w:pPr>
        <w:spacing w:after="120" w:line="276" w:lineRule="auto"/>
        <w:ind w:firstLine="708"/>
        <w:jc w:val="both"/>
        <w:rPr>
          <w:rFonts w:ascii="Verdana" w:eastAsia="Calibri" w:hAnsi="Verdana" w:cs="Arial"/>
          <w:lang w:eastAsia="es-ES_tradnl"/>
        </w:rPr>
      </w:pPr>
      <w:r w:rsidRPr="00B26706">
        <w:rPr>
          <w:rFonts w:ascii="Verdana" w:hAnsi="Verdana" w:cs="Arial"/>
          <w:lang w:eastAsia="es-ES_tradnl"/>
        </w:rPr>
        <w:t xml:space="preserve"> Finalmente, la Ley 1150 de 2007 incluyó una causal de contratación directa en el literal e) del numeral 4 del artículo 2 que es procedente cuando se trate de “contratos para el desarrollo de actividades científicas y tecnológicas”. Ésta causal es aplicable a las Entidades Estatales cuya actividad contractual se encuentra sometida al Estatuto General de Contratación de la Administración Pública (EGCAP), es decir, aquellas establecidas en el artículo segundo de la Ley 80 de 1993.</w:t>
      </w:r>
      <w:r w:rsidRPr="00B26706">
        <w:rPr>
          <w:rFonts w:ascii="Verdana" w:eastAsia="Calibri" w:hAnsi="Verdana" w:cs="Arial"/>
          <w:lang w:eastAsia="es-ES_tradnl"/>
        </w:rPr>
        <w:t xml:space="preserve"> En consecuencia, la causal de contratación directa a la cual se refiere la </w:t>
      </w:r>
      <w:r w:rsidRPr="00B26706">
        <w:rPr>
          <w:rFonts w:ascii="Verdana" w:hAnsi="Verdana" w:cs="Arial"/>
          <w:lang w:eastAsia="es-ES_tradnl"/>
        </w:rPr>
        <w:t xml:space="preserve">Ley 1150 de 2007 autoriza a todas las Entidades Estatales regidas por el EGCAP para contratar directamente </w:t>
      </w:r>
      <w:r w:rsidRPr="00B47B4C">
        <w:rPr>
          <w:rFonts w:ascii="Verdana" w:hAnsi="Verdana" w:cs="Arial"/>
          <w:i/>
          <w:iCs/>
          <w:lang w:eastAsia="es-ES_tradnl"/>
        </w:rPr>
        <w:t>el desarrollo de actividades científicas y tecnológicas</w:t>
      </w:r>
      <w:r w:rsidRPr="00B26706">
        <w:rPr>
          <w:rFonts w:ascii="Verdana" w:hAnsi="Verdana" w:cs="Arial"/>
          <w:lang w:eastAsia="es-ES_tradnl"/>
        </w:rPr>
        <w:t xml:space="preserve">. Para lo anterior, el estatuto señaló la modalidad de selección de contratación directa, pero no especificó la tipología contractual que deben emplear las entidades cuando adelanten estos procesos de contratación en virtud de la causal del literal e) del artículo 2.4. </w:t>
      </w:r>
    </w:p>
    <w:p w14:paraId="69B69AB9" w14:textId="77777777" w:rsidR="00981E00" w:rsidRPr="00B26706" w:rsidRDefault="00981E00" w:rsidP="00981E00">
      <w:pPr>
        <w:spacing w:after="120" w:line="276" w:lineRule="auto"/>
        <w:ind w:firstLine="708"/>
        <w:jc w:val="both"/>
        <w:rPr>
          <w:rFonts w:ascii="Verdana" w:hAnsi="Verdana" w:cs="Arial"/>
          <w:lang w:eastAsia="es-ES_tradnl"/>
        </w:rPr>
      </w:pPr>
      <w:r w:rsidRPr="00B26706">
        <w:rPr>
          <w:rFonts w:ascii="Verdana" w:hAnsi="Verdana" w:cs="Arial"/>
          <w:lang w:eastAsia="es-ES_tradnl"/>
        </w:rPr>
        <w:t xml:space="preserve">Se deriva de lo expuesto que: i) la </w:t>
      </w:r>
      <w:r>
        <w:rPr>
          <w:rFonts w:ascii="Verdana" w:hAnsi="Verdana" w:cs="Arial"/>
          <w:lang w:eastAsia="es-ES_tradnl"/>
        </w:rPr>
        <w:t>L</w:t>
      </w:r>
      <w:r w:rsidRPr="00B26706">
        <w:rPr>
          <w:rFonts w:ascii="Verdana" w:hAnsi="Verdana" w:cs="Arial"/>
          <w:lang w:eastAsia="es-ES_tradnl"/>
        </w:rPr>
        <w:t xml:space="preserve">ey 1150 de 2007 autorizó a las Entidades Estatales sometidas al EGCAP para contratar directamente el desarrollo de actividades científicas y tecnológicas, sin determinar una tipología específica; y </w:t>
      </w:r>
      <w:proofErr w:type="spellStart"/>
      <w:r w:rsidRPr="00B26706">
        <w:rPr>
          <w:rFonts w:ascii="Verdana" w:hAnsi="Verdana" w:cs="Arial"/>
          <w:lang w:eastAsia="es-ES_tradnl"/>
        </w:rPr>
        <w:t>ii</w:t>
      </w:r>
      <w:proofErr w:type="spellEnd"/>
      <w:r w:rsidRPr="00B26706">
        <w:rPr>
          <w:rFonts w:ascii="Verdana" w:hAnsi="Verdana" w:cs="Arial"/>
          <w:lang w:eastAsia="es-ES_tradnl"/>
        </w:rPr>
        <w:t xml:space="preserve">) los Decretos Ley 393 y 591 de 1991 señalaron que la Nación y sus entidades descentralizadas tienen la facultad de optar por las tipologías contractuales allí señaladas cuando requieran contratar </w:t>
      </w:r>
      <w:r>
        <w:rPr>
          <w:rFonts w:ascii="Verdana" w:hAnsi="Verdana" w:cs="Arial"/>
          <w:lang w:eastAsia="es-ES_tradnl"/>
        </w:rPr>
        <w:t xml:space="preserve">dichas </w:t>
      </w:r>
      <w:r w:rsidRPr="00B26706">
        <w:rPr>
          <w:rFonts w:ascii="Verdana" w:hAnsi="Verdana" w:cs="Arial"/>
          <w:lang w:eastAsia="es-ES_tradnl"/>
        </w:rPr>
        <w:t>actividades. En este sentido, el marco jurídico es claro en que la nación y sus entidades descentralizadas se encuentran autorizadas para contratar directamente el desarrollo de actividades científicas y tecnológicas en virtud de la causal establecida en la Ley 1150 de 2007, y que tienen la posibilidad de adoptar las tipologías contractuales señaladas en los Decretos Ley 393 y 591 de 1991 con este fin.</w:t>
      </w:r>
    </w:p>
    <w:p w14:paraId="1D5AA9EA" w14:textId="77777777" w:rsidR="00981E00" w:rsidRPr="00B26706" w:rsidRDefault="00981E00" w:rsidP="00981E00">
      <w:pPr>
        <w:spacing w:after="120" w:line="276" w:lineRule="auto"/>
        <w:ind w:firstLine="708"/>
        <w:jc w:val="both"/>
        <w:rPr>
          <w:rFonts w:ascii="Verdana" w:hAnsi="Verdana" w:cs="Arial"/>
          <w:lang w:eastAsia="es-ES_tradnl"/>
        </w:rPr>
      </w:pPr>
      <w:r w:rsidRPr="00B26706">
        <w:rPr>
          <w:rFonts w:ascii="Verdana" w:hAnsi="Verdana" w:cs="Arial"/>
          <w:lang w:eastAsia="es-ES_tradnl"/>
        </w:rPr>
        <w:t xml:space="preserve">Aunque los Decretos Ley 393 y 591 de 1991 señalan algunas tipologías contractuales mediante las cuales es posible materializar la contratación directa </w:t>
      </w:r>
      <w:r w:rsidRPr="00B26706">
        <w:rPr>
          <w:rFonts w:ascii="Verdana" w:hAnsi="Verdana" w:cs="Arial"/>
          <w:lang w:eastAsia="es-ES_tradnl"/>
        </w:rPr>
        <w:lastRenderedPageBreak/>
        <w:t xml:space="preserve">de dichas actividades, señalan expresamente que es una </w:t>
      </w:r>
      <w:r w:rsidRPr="00B47B4C">
        <w:rPr>
          <w:rFonts w:ascii="Verdana" w:hAnsi="Verdana" w:cs="Arial"/>
          <w:i/>
          <w:iCs/>
          <w:u w:val="single"/>
          <w:lang w:eastAsia="es-ES_tradnl"/>
        </w:rPr>
        <w:t>facultad</w:t>
      </w:r>
      <w:r w:rsidRPr="00B26706">
        <w:rPr>
          <w:rFonts w:ascii="Verdana" w:hAnsi="Verdana" w:cs="Arial"/>
          <w:lang w:eastAsia="es-ES_tradnl"/>
        </w:rPr>
        <w:t xml:space="preserve"> al utilizar la expresión “podrán”. Adicionalmente, estas normas reservan expresamente la autorización de desarrollarlas mediante los tipos contractuales allí establecidos a la Nación y sus entidades descentralizadas. Así las cosas, todas las Entidades Estatales regidas por el Estatuto se encuentran facultadas para contratar directamente las actividades de ciencia y tecnología en virtud de la causal establecida en la Ley 1150 de 2007, pero solo las entidades del orden nacional y sus descentralizadas podrán realizar esta contratación mediante la creación de personas jurídicas, la celebración de convenios especiales de cooperación, contratos de financiamiento y contratos de administración de proyectos, pues así lo dispuso expresamente el Decreto Ley 393 y el 591 de 1991. De esta manera, las Entidades Estatales que no sean del orden nacional o sus descentralizadas tienen la facultad de adoptar otras tipologías contractuales permitidas por el EGCAP cuando contraten directamente el desarrollo de actividades de ciencia y tecnología. </w:t>
      </w:r>
    </w:p>
    <w:p w14:paraId="3A352F67" w14:textId="77777777" w:rsidR="00981E00" w:rsidRPr="00B26706" w:rsidRDefault="00981E00" w:rsidP="00981E00">
      <w:pPr>
        <w:shd w:val="clear" w:color="auto" w:fill="FFFFFF"/>
        <w:spacing w:before="120" w:after="120" w:line="276" w:lineRule="auto"/>
        <w:ind w:firstLine="709"/>
        <w:jc w:val="both"/>
        <w:rPr>
          <w:rFonts w:ascii="Verdana" w:hAnsi="Verdana" w:cs="Arial"/>
          <w:lang w:eastAsia="es-ES_tradnl"/>
        </w:rPr>
      </w:pPr>
      <w:r w:rsidRPr="00B26706">
        <w:rPr>
          <w:rFonts w:ascii="Verdana" w:hAnsi="Verdana" w:cs="Arial"/>
          <w:lang w:eastAsia="es-ES_tradnl"/>
        </w:rPr>
        <w:t xml:space="preserve">Lo anterior es concordante con el artículo 33 de la Ley 1286 de 2009, el cual dispuso que las actividades, contratos y convenios que tengan por objeto la realización de actividades definidas como de ciencia, tecnología e innovación que celebren las entidades estatales, continuarán rigiéndose por las normas especiales que les sean aplicables. En efecto, esta norma reafirmó que los contratos o convenios que la nación y sus entidades descentralizadas celebren en virtud de la potestad establecida en los Decretos Ley 591 y 393 de 1991 se regirán por esta normativa, mientras que las demás entidades estatales regidas por el EGCAP podrán contratar directamente el desarrollo de tales actividades en virtud de lo dispuesto en la Ley 1150 de 2007 implementando otras tipologías contractuales que resulten adecuadas para la satisfacción de la necesidad identificada. </w:t>
      </w:r>
    </w:p>
    <w:p w14:paraId="25686181" w14:textId="77777777" w:rsidR="00981E00" w:rsidRDefault="00981E00" w:rsidP="00981E00">
      <w:pPr>
        <w:shd w:val="clear" w:color="auto" w:fill="FFFFFF"/>
        <w:spacing w:after="120" w:line="276" w:lineRule="auto"/>
        <w:ind w:firstLine="708"/>
        <w:jc w:val="both"/>
        <w:rPr>
          <w:rFonts w:ascii="Verdana" w:hAnsi="Verdana" w:cs="Arial"/>
          <w:lang w:eastAsia="es-ES_tradnl"/>
        </w:rPr>
      </w:pPr>
      <w:r w:rsidRPr="00B26706">
        <w:rPr>
          <w:rFonts w:ascii="Verdana" w:hAnsi="Verdana" w:cs="Arial"/>
          <w:lang w:eastAsia="es-ES_tradnl"/>
        </w:rPr>
        <w:t xml:space="preserve">Sobre lo anterior, la Sala de Consulta y Servicio Civil del Consejo de Estado se refirió a las tipologías contractuales que pueden implementar las entidades para la contratación de actividades científicas y tecnológicas. Al respecto aclaró que el legislador tuvo la clara voluntad de mantener vigentes las modalidades de asociación previstas en el Decreto 393 de 1991. Con base en lo anterior, concluyó que los negocios individualizados y regulados por el ordenamiento jurídico colombiano, para el fomento de las actividades de ciencia, tecnología e innovación, son: </w:t>
      </w:r>
      <w:r>
        <w:rPr>
          <w:rFonts w:ascii="Verdana" w:hAnsi="Verdana" w:cs="Arial"/>
          <w:lang w:eastAsia="es-ES_tradnl"/>
        </w:rPr>
        <w:t xml:space="preserve">1) </w:t>
      </w:r>
      <w:r w:rsidRPr="00B26706">
        <w:rPr>
          <w:rFonts w:ascii="Verdana" w:hAnsi="Verdana" w:cs="Arial"/>
          <w:lang w:eastAsia="es-ES_tradnl"/>
        </w:rPr>
        <w:t xml:space="preserve">las asociaciones dirigidas a crear sociedades </w:t>
      </w:r>
      <w:r w:rsidRPr="00B26706">
        <w:rPr>
          <w:rFonts w:ascii="Verdana" w:hAnsi="Verdana" w:cs="Arial"/>
          <w:lang w:eastAsia="es-ES_tradnl"/>
        </w:rPr>
        <w:lastRenderedPageBreak/>
        <w:t xml:space="preserve">civiles y comerciales, y personas jurídicas sin ánimo de lucro como fundaciones y corporaciones; </w:t>
      </w:r>
      <w:r>
        <w:rPr>
          <w:rFonts w:ascii="Verdana" w:hAnsi="Verdana" w:cs="Arial"/>
          <w:lang w:eastAsia="es-ES_tradnl"/>
        </w:rPr>
        <w:t xml:space="preserve">2) </w:t>
      </w:r>
      <w:r w:rsidRPr="00B26706">
        <w:rPr>
          <w:rFonts w:ascii="Verdana" w:hAnsi="Verdana" w:cs="Arial"/>
          <w:lang w:eastAsia="es-ES_tradnl"/>
        </w:rPr>
        <w:t>los convenios especiales de cooperación;</w:t>
      </w:r>
      <w:r>
        <w:rPr>
          <w:rFonts w:ascii="Verdana" w:hAnsi="Verdana" w:cs="Arial"/>
          <w:lang w:eastAsia="es-ES_tradnl"/>
        </w:rPr>
        <w:t xml:space="preserve"> 3</w:t>
      </w:r>
      <w:r w:rsidRPr="00B26706">
        <w:rPr>
          <w:rFonts w:ascii="Verdana" w:hAnsi="Verdana" w:cs="Arial"/>
          <w:lang w:eastAsia="es-ES_tradnl"/>
        </w:rPr>
        <w:t xml:space="preserve">) los contratos de financiamiento y </w:t>
      </w:r>
      <w:r>
        <w:rPr>
          <w:rFonts w:ascii="Verdana" w:hAnsi="Verdana" w:cs="Arial"/>
          <w:lang w:eastAsia="es-ES_tradnl"/>
        </w:rPr>
        <w:t>4</w:t>
      </w:r>
      <w:r w:rsidRPr="00B26706">
        <w:rPr>
          <w:rFonts w:ascii="Verdana" w:hAnsi="Verdana" w:cs="Arial"/>
          <w:lang w:eastAsia="es-ES_tradnl"/>
        </w:rPr>
        <w:t xml:space="preserve">) los contratos de administración de proyectos. Si embargo señaló expresamente que “Este cuadro normativo no excluye la posibilidad de que las entidades de fomento de las actividades científicas y tecnológicas </w:t>
      </w:r>
      <w:r w:rsidRPr="00B47B4C">
        <w:rPr>
          <w:rFonts w:ascii="Verdana" w:hAnsi="Verdana" w:cs="Arial"/>
          <w:i/>
          <w:iCs/>
          <w:u w:val="single"/>
          <w:lang w:eastAsia="es-ES_tradnl"/>
        </w:rPr>
        <w:t>puedan convenir libremente negocios distintos</w:t>
      </w:r>
      <w:r w:rsidRPr="00B26706">
        <w:rPr>
          <w:rFonts w:ascii="Verdana" w:hAnsi="Verdana" w:cs="Arial"/>
          <w:lang w:eastAsia="es-ES_tradnl"/>
        </w:rPr>
        <w:t xml:space="preserve"> a los expresamente previstos en la ley o el reglamento, en desarrollo del principio de la autonomía de la voluntad […]”</w:t>
      </w:r>
      <w:r w:rsidRPr="00B26706">
        <w:rPr>
          <w:rStyle w:val="FootnoteReference"/>
          <w:rFonts w:ascii="Verdana" w:hAnsi="Verdana" w:cs="Arial"/>
          <w:lang w:eastAsia="es-ES_tradnl"/>
        </w:rPr>
        <w:footnoteReference w:id="4"/>
      </w:r>
      <w:r>
        <w:rPr>
          <w:rFonts w:ascii="Verdana" w:hAnsi="Verdana" w:cs="Arial"/>
          <w:lang w:eastAsia="es-ES_tradnl"/>
        </w:rPr>
        <w:t xml:space="preserve"> (Énfasis propio)</w:t>
      </w:r>
      <w:r w:rsidRPr="00B26706">
        <w:rPr>
          <w:rFonts w:ascii="Verdana" w:hAnsi="Verdana" w:cs="Arial"/>
          <w:lang w:eastAsia="es-ES_tradnl"/>
        </w:rPr>
        <w:t>.</w:t>
      </w:r>
    </w:p>
    <w:p w14:paraId="30715899" w14:textId="77777777" w:rsidR="00981E00" w:rsidRDefault="00981E00" w:rsidP="00981E00">
      <w:pPr>
        <w:shd w:val="clear" w:color="auto" w:fill="FFFFFF"/>
        <w:spacing w:after="0" w:line="276" w:lineRule="auto"/>
        <w:ind w:firstLine="708"/>
        <w:jc w:val="both"/>
        <w:rPr>
          <w:rFonts w:ascii="Verdana" w:hAnsi="Verdana" w:cs="Arial"/>
          <w:lang w:eastAsia="es-ES_tradnl"/>
        </w:rPr>
      </w:pPr>
    </w:p>
    <w:p w14:paraId="0760AB0B" w14:textId="77777777" w:rsidR="00981E00" w:rsidRDefault="00981E00" w:rsidP="00981E00">
      <w:pPr>
        <w:shd w:val="clear" w:color="auto" w:fill="FFFFFF"/>
        <w:spacing w:after="0" w:line="276" w:lineRule="auto"/>
        <w:jc w:val="both"/>
        <w:rPr>
          <w:rFonts w:ascii="Verdana" w:hAnsi="Verdana" w:cs="Arial"/>
          <w:lang w:eastAsia="es-ES_tradnl"/>
        </w:rPr>
      </w:pPr>
      <w:proofErr w:type="spellStart"/>
      <w:r>
        <w:rPr>
          <w:rFonts w:ascii="Verdana" w:hAnsi="Verdana" w:cs="Arial"/>
          <w:lang w:eastAsia="es-ES_tradnl"/>
        </w:rPr>
        <w:t>ii</w:t>
      </w:r>
      <w:proofErr w:type="spellEnd"/>
      <w:r>
        <w:rPr>
          <w:rFonts w:ascii="Verdana" w:hAnsi="Verdana" w:cs="Arial"/>
          <w:lang w:eastAsia="es-ES_tradnl"/>
        </w:rPr>
        <w:t xml:space="preserve">) Con respecto a su consulta, la </w:t>
      </w:r>
      <w:r w:rsidRPr="005A34ED">
        <w:rPr>
          <w:rFonts w:ascii="Verdana" w:hAnsi="Verdana" w:cs="Arial"/>
          <w:lang w:eastAsia="es-ES_tradnl"/>
        </w:rPr>
        <w:t>Institución Universitaria I</w:t>
      </w:r>
      <w:r>
        <w:rPr>
          <w:rFonts w:ascii="Verdana" w:hAnsi="Verdana" w:cs="Arial"/>
          <w:lang w:eastAsia="es-ES_tradnl"/>
        </w:rPr>
        <w:t xml:space="preserve">TM </w:t>
      </w:r>
      <w:r w:rsidRPr="005A34ED">
        <w:rPr>
          <w:rFonts w:ascii="Verdana" w:hAnsi="Verdana" w:cs="Arial"/>
          <w:lang w:eastAsia="es-ES_tradnl"/>
        </w:rPr>
        <w:t xml:space="preserve">es </w:t>
      </w:r>
      <w:r>
        <w:rPr>
          <w:rFonts w:ascii="Verdana" w:hAnsi="Verdana" w:cs="Arial"/>
          <w:lang w:eastAsia="es-ES_tradnl"/>
        </w:rPr>
        <w:t>u</w:t>
      </w:r>
      <w:r w:rsidRPr="006B0105">
        <w:rPr>
          <w:rFonts w:ascii="Verdana" w:hAnsi="Verdana" w:cs="Arial"/>
          <w:lang w:eastAsia="es-ES_tradnl"/>
        </w:rPr>
        <w:t>na Institución de Educación Superior adscrita al Distrito Especial de Ciencia, Tecnología e Innovación de Medellín</w:t>
      </w:r>
      <w:r>
        <w:rPr>
          <w:rFonts w:ascii="Verdana" w:hAnsi="Verdana" w:cs="Arial"/>
          <w:lang w:eastAsia="es-ES_tradnl"/>
        </w:rPr>
        <w:t xml:space="preserve">, cuya naturaleza jurídica es de </w:t>
      </w:r>
      <w:r w:rsidRPr="005A34ED">
        <w:rPr>
          <w:rFonts w:ascii="Verdana" w:hAnsi="Verdana" w:cs="Arial"/>
          <w:lang w:eastAsia="es-ES_tradnl"/>
        </w:rPr>
        <w:t>Establecimiento Público del orden distrital</w:t>
      </w:r>
      <w:r w:rsidRPr="001304AE">
        <w:rPr>
          <w:rFonts w:ascii="Verdana" w:hAnsi="Verdana" w:cs="Arial"/>
          <w:lang w:eastAsia="es-ES_tradnl"/>
        </w:rPr>
        <w:t>, con patrimonio propio, autonomía administrativa y personería jurídica</w:t>
      </w:r>
      <w:r>
        <w:rPr>
          <w:rFonts w:ascii="Verdana" w:hAnsi="Verdana" w:cs="Arial"/>
          <w:lang w:eastAsia="es-ES_tradnl"/>
        </w:rPr>
        <w:t xml:space="preserve">. El Instituto fue </w:t>
      </w:r>
      <w:r w:rsidRPr="001304AE">
        <w:rPr>
          <w:rFonts w:ascii="Verdana" w:hAnsi="Verdana" w:cs="Arial"/>
          <w:lang w:eastAsia="es-ES_tradnl"/>
        </w:rPr>
        <w:t xml:space="preserve">creado por </w:t>
      </w:r>
      <w:r>
        <w:rPr>
          <w:rFonts w:ascii="Verdana" w:hAnsi="Verdana" w:cs="Arial"/>
          <w:lang w:eastAsia="es-ES_tradnl"/>
        </w:rPr>
        <w:t xml:space="preserve">el </w:t>
      </w:r>
      <w:r w:rsidRPr="001304AE">
        <w:rPr>
          <w:rFonts w:ascii="Verdana" w:hAnsi="Verdana" w:cs="Arial"/>
          <w:lang w:eastAsia="es-ES_tradnl"/>
        </w:rPr>
        <w:t xml:space="preserve">Decreto 180 de 1992, </w:t>
      </w:r>
      <w:r>
        <w:rPr>
          <w:rFonts w:ascii="Verdana" w:hAnsi="Verdana" w:cs="Arial"/>
          <w:lang w:eastAsia="es-ES_tradnl"/>
        </w:rPr>
        <w:t xml:space="preserve">con </w:t>
      </w:r>
      <w:r w:rsidRPr="001304AE">
        <w:rPr>
          <w:rFonts w:ascii="Verdana" w:hAnsi="Verdana" w:cs="Arial"/>
          <w:lang w:eastAsia="es-ES_tradnl"/>
        </w:rPr>
        <w:t>previa autorización del Concejo de Medellín</w:t>
      </w:r>
      <w:r>
        <w:rPr>
          <w:rFonts w:ascii="Verdana" w:hAnsi="Verdana" w:cs="Arial"/>
          <w:lang w:eastAsia="es-ES_tradnl"/>
        </w:rPr>
        <w:t xml:space="preserve"> </w:t>
      </w:r>
      <w:r w:rsidRPr="001304AE">
        <w:rPr>
          <w:rFonts w:ascii="Verdana" w:hAnsi="Verdana" w:cs="Arial"/>
          <w:lang w:eastAsia="es-ES_tradnl"/>
        </w:rPr>
        <w:t xml:space="preserve">mediante </w:t>
      </w:r>
      <w:r>
        <w:rPr>
          <w:rFonts w:ascii="Verdana" w:hAnsi="Verdana" w:cs="Arial"/>
          <w:lang w:eastAsia="es-ES_tradnl"/>
        </w:rPr>
        <w:t xml:space="preserve">el </w:t>
      </w:r>
      <w:r w:rsidRPr="001304AE">
        <w:rPr>
          <w:rFonts w:ascii="Verdana" w:hAnsi="Verdana" w:cs="Arial"/>
          <w:lang w:eastAsia="es-ES_tradnl"/>
        </w:rPr>
        <w:t xml:space="preserve">Acuerdo número 42 de 1991, y </w:t>
      </w:r>
      <w:r>
        <w:rPr>
          <w:rFonts w:ascii="Verdana" w:hAnsi="Verdana" w:cs="Arial"/>
          <w:lang w:eastAsia="es-ES_tradnl"/>
        </w:rPr>
        <w:t xml:space="preserve">con posterior reconocimiento </w:t>
      </w:r>
      <w:r w:rsidRPr="001304AE">
        <w:rPr>
          <w:rFonts w:ascii="Verdana" w:hAnsi="Verdana" w:cs="Arial"/>
          <w:lang w:eastAsia="es-ES_tradnl"/>
        </w:rPr>
        <w:t>mediante Resolución número 6190 de 2005 expedida por el Ministerio de Educación Nacional.</w:t>
      </w:r>
    </w:p>
    <w:p w14:paraId="228E8716" w14:textId="77777777" w:rsidR="00981E00" w:rsidRDefault="00981E00" w:rsidP="00981E00">
      <w:pPr>
        <w:spacing w:before="120" w:line="276" w:lineRule="auto"/>
        <w:jc w:val="both"/>
        <w:rPr>
          <w:rFonts w:ascii="Verdana" w:eastAsia="Times New Roman" w:hAnsi="Verdana" w:cs="Arial"/>
          <w:lang w:eastAsia="es-ES_tradnl"/>
        </w:rPr>
      </w:pPr>
      <w:r>
        <w:rPr>
          <w:rFonts w:ascii="Verdana" w:hAnsi="Verdana" w:cs="Arial"/>
          <w:lang w:eastAsia="es-ES_tradnl"/>
        </w:rPr>
        <w:tab/>
        <w:t xml:space="preserve">De acuerdo con lo anterior, el artículo 51 del </w:t>
      </w:r>
      <w:r w:rsidRPr="00B04D8C">
        <w:rPr>
          <w:rFonts w:ascii="Verdana" w:hAnsi="Verdana" w:cs="Arial"/>
          <w:lang w:val="en-CO" w:eastAsia="es-ES_tradnl"/>
        </w:rPr>
        <w:t>Acuerdo No. 011</w:t>
      </w:r>
      <w:r w:rsidRPr="00B04D8C">
        <w:rPr>
          <w:rFonts w:ascii="Verdana" w:hAnsi="Verdana" w:cs="Arial"/>
          <w:lang w:val="en-CO" w:eastAsia="es-ES_tradnl"/>
        </w:rPr>
        <w:br/>
        <w:t>del 11 de abril de 2025, “</w:t>
      </w:r>
      <w:r w:rsidRPr="00B04D8C">
        <w:rPr>
          <w:rFonts w:ascii="Verdana" w:hAnsi="Verdana" w:cs="Arial"/>
          <w:lang w:eastAsia="es-ES_tradnl"/>
        </w:rPr>
        <w:t>por medio del cual se adopta el estatuto general de la Institución Universitaria ITM”</w:t>
      </w:r>
      <w:r>
        <w:rPr>
          <w:rFonts w:ascii="Verdana" w:hAnsi="Verdana" w:cs="Arial"/>
          <w:lang w:eastAsia="es-ES_tradnl"/>
        </w:rPr>
        <w:t xml:space="preserve">, señala que </w:t>
      </w:r>
      <w:r>
        <w:rPr>
          <w:rFonts w:ascii="Verdana" w:hAnsi="Verdana" w:cs="Arial"/>
          <w:b/>
          <w:bCs/>
          <w:lang w:val="en-CO" w:eastAsia="es-ES_tradnl"/>
        </w:rPr>
        <w:t>“</w:t>
      </w:r>
      <w:r w:rsidRPr="00B04D8C">
        <w:rPr>
          <w:rFonts w:ascii="Verdana" w:hAnsi="Verdana" w:cs="Arial"/>
          <w:lang w:val="en-CO" w:eastAsia="es-ES_tradnl"/>
        </w:rPr>
        <w:t>el régimen de contratación será el establecido en el Estatuto General de Contratación de la Administración Pública y demás normas que lo reglamenten, modifiquen o sustituyan, sin perjuicio de otras normas que le sean aplicables</w:t>
      </w:r>
      <w:r>
        <w:rPr>
          <w:rFonts w:ascii="Verdana" w:hAnsi="Verdana" w:cs="Arial"/>
          <w:lang w:val="en-CO" w:eastAsia="es-ES_tradnl"/>
        </w:rPr>
        <w:t>”</w:t>
      </w:r>
      <w:r w:rsidRPr="00B04D8C">
        <w:rPr>
          <w:rFonts w:ascii="Verdana" w:hAnsi="Verdana" w:cs="Arial"/>
          <w:lang w:val="en-CO" w:eastAsia="es-ES_tradnl"/>
        </w:rPr>
        <w:t>.</w:t>
      </w:r>
      <w:r>
        <w:rPr>
          <w:rFonts w:ascii="Verdana" w:hAnsi="Verdana" w:cs="Arial"/>
          <w:lang w:val="en-CO" w:eastAsia="es-ES_tradnl"/>
        </w:rPr>
        <w:t xml:space="preserve"> En este sentido, las contratación que adelante el Instituto debe sujetarse a los procedimientos, modalidades de selección y tipologías contractuales antes descritas para la contratación de actividades científicas y tecnológicas. </w:t>
      </w:r>
      <w:r>
        <w:rPr>
          <w:rFonts w:ascii="Verdana" w:hAnsi="Verdana" w:cs="Arial"/>
          <w:lang w:eastAsia="es-ES_tradnl"/>
        </w:rPr>
        <w:t xml:space="preserve">Dado que el marco jurídico establecido en los </w:t>
      </w:r>
      <w:r w:rsidRPr="007048DE">
        <w:rPr>
          <w:rFonts w:ascii="Verdana" w:eastAsia="Times New Roman" w:hAnsi="Verdana" w:cs="Arial"/>
          <w:lang w:eastAsia="es-ES_tradnl"/>
        </w:rPr>
        <w:t>Decretos Ley 393 y 591 de 1991</w:t>
      </w:r>
      <w:r>
        <w:rPr>
          <w:rFonts w:ascii="Verdana" w:eastAsia="Times New Roman" w:hAnsi="Verdana" w:cs="Arial"/>
          <w:lang w:eastAsia="es-ES_tradnl"/>
        </w:rPr>
        <w:t xml:space="preserve"> señala que la implementación de estas tipologías jurídicas es </w:t>
      </w:r>
      <w:r w:rsidRPr="008D41CD">
        <w:rPr>
          <w:rFonts w:ascii="Verdana" w:eastAsia="Times New Roman" w:hAnsi="Verdana" w:cs="Arial"/>
          <w:i/>
          <w:iCs/>
          <w:u w:val="single"/>
          <w:lang w:eastAsia="es-ES_tradnl"/>
        </w:rPr>
        <w:t>facultativa</w:t>
      </w:r>
      <w:r>
        <w:rPr>
          <w:rFonts w:ascii="Verdana" w:eastAsia="Times New Roman" w:hAnsi="Verdana" w:cs="Arial"/>
          <w:lang w:eastAsia="es-ES_tradnl"/>
        </w:rPr>
        <w:t xml:space="preserve"> por parte de las entidades allí señaladas, el Instituto podrá convenir libremente otro tipo de tipologías contractuales a las  reguladas en dicha normativa, en ejercicio de la autonomía de la voluntad, pues de esta manera lo previo expresamente el régimen jurídico para la contratación de actividades para el fomento científico y tecnológico al cual remite el artículo 10 del </w:t>
      </w:r>
      <w:r w:rsidRPr="00B54E85">
        <w:rPr>
          <w:rFonts w:ascii="Verdana" w:hAnsi="Verdana" w:cs="Arial"/>
          <w:lang w:eastAsia="es-ES_tradnl"/>
        </w:rPr>
        <w:t>Decreto-Ley 4109 de 2011</w:t>
      </w:r>
      <w:r>
        <w:rPr>
          <w:rFonts w:ascii="Verdana" w:eastAsia="Times New Roman" w:hAnsi="Verdana" w:cs="Arial"/>
          <w:lang w:eastAsia="es-ES_tradnl"/>
        </w:rPr>
        <w:t xml:space="preserve">. </w:t>
      </w:r>
    </w:p>
    <w:p w14:paraId="50E11269" w14:textId="77777777" w:rsidR="00981E00" w:rsidRPr="00B26706" w:rsidRDefault="00981E00" w:rsidP="00981E00">
      <w:pPr>
        <w:shd w:val="clear" w:color="auto" w:fill="FFFFFF"/>
        <w:spacing w:before="120" w:after="0" w:line="276" w:lineRule="auto"/>
        <w:ind w:firstLine="708"/>
        <w:jc w:val="both"/>
        <w:rPr>
          <w:rFonts w:ascii="Verdana" w:hAnsi="Verdana" w:cs="Arial"/>
          <w:lang w:eastAsia="es-ES_tradnl"/>
        </w:rPr>
      </w:pPr>
      <w:r>
        <w:rPr>
          <w:rFonts w:ascii="Verdana" w:hAnsi="Verdana" w:cs="Arial"/>
          <w:lang w:eastAsia="es-ES_tradnl"/>
        </w:rPr>
        <w:lastRenderedPageBreak/>
        <w:t>L</w:t>
      </w:r>
      <w:r w:rsidRPr="00B26706">
        <w:rPr>
          <w:rFonts w:ascii="Verdana" w:hAnsi="Verdana" w:cs="Arial"/>
          <w:lang w:eastAsia="es-ES_tradnl"/>
        </w:rPr>
        <w:t>o anterior no implica que las Entidades Estatales que contraten el desarrollo de actividades científicas y tecnológicas mediante tipologías distintas a las señaladas en el Decreto Ley 591 y el Decreto Ley 393 de 1991 puedan contratar</w:t>
      </w:r>
      <w:r>
        <w:rPr>
          <w:rFonts w:ascii="Verdana" w:hAnsi="Verdana" w:cs="Arial"/>
          <w:lang w:eastAsia="es-ES_tradnl"/>
        </w:rPr>
        <w:t xml:space="preserve"> directamente</w:t>
      </w:r>
      <w:r w:rsidRPr="00B26706">
        <w:rPr>
          <w:rFonts w:ascii="Verdana" w:hAnsi="Verdana" w:cs="Arial"/>
          <w:lang w:eastAsia="es-ES_tradnl"/>
        </w:rPr>
        <w:t xml:space="preserve"> objetos que no constituyan realmente el desarrollo de dichas actividades. </w:t>
      </w:r>
      <w:r>
        <w:rPr>
          <w:rFonts w:ascii="Verdana" w:hAnsi="Verdana" w:cs="Arial"/>
          <w:lang w:eastAsia="es-ES_tradnl"/>
        </w:rPr>
        <w:t xml:space="preserve">En línea con lo anterior, las entidades no pueden contratar directamente mediante las tipologías establecidas en el régimen de fomento de ciencia y tecnología, o acudir a la facultad de adoptar otro tipo de tipologías para la contratación directa de este tipo de actividades, con el fin de </w:t>
      </w:r>
      <w:r w:rsidRPr="00B26706">
        <w:rPr>
          <w:rFonts w:ascii="Verdana" w:hAnsi="Verdana" w:cs="Arial"/>
          <w:lang w:eastAsia="es-ES_tradnl"/>
        </w:rPr>
        <w:t xml:space="preserve">evadir adelantar un proceso competitivo. Sobre este punto se resalta que la contratación directa es de carácter </w:t>
      </w:r>
      <w:r w:rsidRPr="00B26706">
        <w:rPr>
          <w:rFonts w:ascii="Verdana" w:hAnsi="Verdana" w:cs="Arial"/>
          <w:i/>
          <w:iCs/>
          <w:u w:val="single"/>
          <w:lang w:eastAsia="es-ES_tradnl"/>
        </w:rPr>
        <w:t>excepcional</w:t>
      </w:r>
      <w:r w:rsidRPr="00B26706">
        <w:rPr>
          <w:rFonts w:ascii="Verdana" w:hAnsi="Verdana" w:cs="Arial"/>
          <w:i/>
          <w:iCs/>
          <w:lang w:eastAsia="es-ES_tradnl"/>
        </w:rPr>
        <w:t xml:space="preserve"> </w:t>
      </w:r>
      <w:r w:rsidRPr="00B26706">
        <w:rPr>
          <w:rFonts w:ascii="Verdana" w:hAnsi="Verdana" w:cs="Arial"/>
          <w:lang w:eastAsia="es-ES_tradnl"/>
        </w:rPr>
        <w:t>y procede exclusivamente</w:t>
      </w:r>
      <w:r>
        <w:rPr>
          <w:rFonts w:ascii="Verdana" w:hAnsi="Verdana" w:cs="Arial"/>
          <w:lang w:eastAsia="es-ES_tradnl"/>
        </w:rPr>
        <w:t xml:space="preserve"> cuando se trate de las actividades comprendidas en el alcance del régimen de contratación en comento</w:t>
      </w:r>
      <w:r w:rsidRPr="00B26706">
        <w:rPr>
          <w:rFonts w:ascii="Verdana" w:hAnsi="Verdana" w:cs="Arial"/>
          <w:lang w:eastAsia="es-ES_tradnl"/>
        </w:rPr>
        <w:t>.</w:t>
      </w:r>
      <w:r>
        <w:rPr>
          <w:rFonts w:ascii="Verdana" w:hAnsi="Verdana" w:cs="Arial"/>
          <w:lang w:eastAsia="es-ES_tradnl"/>
        </w:rPr>
        <w:t xml:space="preserve"> </w:t>
      </w:r>
      <w:r w:rsidRPr="00B26706">
        <w:rPr>
          <w:rFonts w:ascii="Verdana" w:hAnsi="Verdana" w:cs="Arial"/>
          <w:lang w:eastAsia="es-ES_tradnl"/>
        </w:rPr>
        <w:t xml:space="preserve">En esta medida, es necesario que las entidades justifiquen </w:t>
      </w:r>
      <w:r>
        <w:rPr>
          <w:rFonts w:ascii="Verdana" w:hAnsi="Verdana" w:cs="Arial"/>
          <w:lang w:eastAsia="es-ES_tradnl"/>
        </w:rPr>
        <w:t xml:space="preserve">la forma en que el procedimiento se adelanta materialmente para el fomento de </w:t>
      </w:r>
      <w:r w:rsidRPr="00B26706">
        <w:rPr>
          <w:rFonts w:ascii="Verdana" w:hAnsi="Verdana" w:cs="Arial"/>
          <w:lang w:eastAsia="es-ES_tradnl"/>
        </w:rPr>
        <w:t>actividades científicas y tecnológicas, independientemente de la tipología contractual que la entidad adopte para ello.</w:t>
      </w:r>
    </w:p>
    <w:p w14:paraId="658C218E" w14:textId="77777777" w:rsidR="00981E00" w:rsidRDefault="00981E00" w:rsidP="00981E00">
      <w:pPr>
        <w:shd w:val="clear" w:color="auto" w:fill="FFFFFF"/>
        <w:spacing w:before="120" w:after="0" w:line="276" w:lineRule="auto"/>
        <w:jc w:val="both"/>
        <w:rPr>
          <w:rFonts w:ascii="Verdana" w:hAnsi="Verdana" w:cs="Arial"/>
          <w:lang w:eastAsia="es-ES_tradnl"/>
        </w:rPr>
      </w:pPr>
      <w:r w:rsidRPr="00B26706">
        <w:rPr>
          <w:rFonts w:ascii="Verdana" w:hAnsi="Verdana" w:cs="Arial"/>
          <w:lang w:eastAsia="es-ES_tradnl"/>
        </w:rPr>
        <w:t> </w:t>
      </w:r>
      <w:r w:rsidRPr="00B26706">
        <w:rPr>
          <w:rFonts w:ascii="Verdana" w:hAnsi="Verdana" w:cs="Arial"/>
          <w:lang w:eastAsia="es-ES_tradnl"/>
        </w:rPr>
        <w:tab/>
        <w:t>De conformidad con lo anterior, las entidades, como responsables de estructurar sus procedimientos de selección, deben definir si el objeto a contratar se encuadra en aquellas actividades consideradas científicas y tecnológicas y, en ejercicio de una debida diligencia, consultar al Ministerio sobre su calificación. Se resalta que el régimen de las actividades de ciencia, tecnología e innovación se define a partir de las normas citadas, pero corresponde al Ministerio, como autoridad competente, catalogar las actividades cuando las entidades presenten dudas respecto de un objeto contractual que pretendan satisfacer. Adicionalmente, corresponde a las entidades adelantar una debida planeación para determinar y justificar la modalidad de contratación</w:t>
      </w:r>
      <w:r>
        <w:rPr>
          <w:rFonts w:ascii="Verdana" w:hAnsi="Verdana" w:cs="Arial"/>
          <w:lang w:eastAsia="es-ES_tradnl"/>
        </w:rPr>
        <w:t xml:space="preserve"> directa</w:t>
      </w:r>
      <w:r w:rsidRPr="00B26706">
        <w:rPr>
          <w:rFonts w:ascii="Verdana" w:hAnsi="Verdana" w:cs="Arial"/>
          <w:lang w:eastAsia="es-ES_tradnl"/>
        </w:rPr>
        <w:t xml:space="preserve"> y la tipología contractual que adopten para la satisfacción de su necesidad.</w:t>
      </w:r>
      <w:r>
        <w:rPr>
          <w:rFonts w:ascii="Verdana" w:hAnsi="Verdana" w:cs="Arial"/>
          <w:lang w:eastAsia="es-ES_tradnl"/>
        </w:rPr>
        <w:t xml:space="preserve"> </w:t>
      </w:r>
    </w:p>
    <w:p w14:paraId="4BF03581" w14:textId="77777777" w:rsidR="00981E00" w:rsidRDefault="00981E00" w:rsidP="00981E00">
      <w:pPr>
        <w:shd w:val="clear" w:color="auto" w:fill="FFFFFF"/>
        <w:spacing w:before="120" w:after="0" w:line="276" w:lineRule="auto"/>
        <w:ind w:firstLine="708"/>
        <w:jc w:val="both"/>
        <w:rPr>
          <w:rFonts w:ascii="Verdana" w:eastAsia="Aptos" w:hAnsi="Verdana"/>
          <w:color w:val="000000"/>
          <w:shd w:val="clear" w:color="auto" w:fill="FFFFFF"/>
        </w:rPr>
      </w:pPr>
      <w:r>
        <w:rPr>
          <w:rFonts w:ascii="Verdana" w:eastAsia="Aptos" w:hAnsi="Verdana"/>
          <w:color w:val="000000"/>
          <w:shd w:val="clear" w:color="auto" w:fill="FFFFFF"/>
        </w:rPr>
        <w:t>D</w:t>
      </w:r>
      <w:r w:rsidRPr="00B26706">
        <w:rPr>
          <w:rFonts w:ascii="Verdana" w:eastAsia="Aptos" w:hAnsi="Verdana"/>
          <w:color w:val="000000"/>
          <w:shd w:val="clear" w:color="auto" w:fill="FFFFFF"/>
        </w:rPr>
        <w:t>ebe destacarse que la Agencia Nacional de Contratación Pública – 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w:t>
      </w:r>
    </w:p>
    <w:p w14:paraId="59416570" w14:textId="77777777" w:rsidR="00981E00" w:rsidRPr="00146258" w:rsidRDefault="00981E00" w:rsidP="00981E00">
      <w:pPr>
        <w:shd w:val="clear" w:color="auto" w:fill="FFFFFF"/>
        <w:spacing w:after="0" w:line="276" w:lineRule="auto"/>
        <w:jc w:val="both"/>
        <w:rPr>
          <w:rFonts w:ascii="Verdana" w:hAnsi="Verdana" w:cs="Arial"/>
          <w:lang w:eastAsia="es-ES_tradnl"/>
        </w:rPr>
      </w:pPr>
      <w:r w:rsidRPr="00B26706">
        <w:rPr>
          <w:rFonts w:ascii="Verdana" w:eastAsia="Aptos" w:hAnsi="Verdana"/>
          <w:color w:val="000000"/>
          <w:shd w:val="clear" w:color="auto" w:fill="FFFFFF"/>
        </w:rPr>
        <w:t> </w:t>
      </w:r>
    </w:p>
    <w:p w14:paraId="3CDD4FC8" w14:textId="77777777" w:rsidR="00981E00" w:rsidRPr="00B26706" w:rsidRDefault="00981E00" w:rsidP="00981E00">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B26706">
        <w:rPr>
          <w:rFonts w:ascii="Verdana" w:eastAsia="Century Gothic" w:hAnsi="Verdana" w:cs="Century Gothic"/>
          <w:b/>
          <w:bCs/>
        </w:rPr>
        <w:t>Referencias normativas, jurisprudenciales y otras fuentes:</w:t>
      </w:r>
    </w:p>
    <w:p w14:paraId="114A7A2F" w14:textId="77777777" w:rsidR="00981E00" w:rsidRPr="00B26706" w:rsidRDefault="00981E00" w:rsidP="00981E00">
      <w:pPr>
        <w:widowControl w:val="0"/>
        <w:autoSpaceDE w:val="0"/>
        <w:autoSpaceDN w:val="0"/>
        <w:spacing w:after="120" w:line="276" w:lineRule="auto"/>
        <w:jc w:val="both"/>
        <w:rPr>
          <w:rFonts w:ascii="Verdana" w:hAnsi="Verdana" w:cs="Arial"/>
        </w:rPr>
      </w:pPr>
    </w:p>
    <w:tbl>
      <w:tblPr>
        <w:tblStyle w:val="TableGrid"/>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81E00" w:rsidRPr="00B26706" w14:paraId="7B4C1D78" w14:textId="77777777" w:rsidTr="00B24F77">
        <w:trPr>
          <w:trHeight w:val="870"/>
        </w:trPr>
        <w:tc>
          <w:tcPr>
            <w:tcW w:w="8647" w:type="dxa"/>
          </w:tcPr>
          <w:p w14:paraId="713E1E56" w14:textId="77777777" w:rsidR="00981E00" w:rsidRPr="00B26706" w:rsidRDefault="00981E00" w:rsidP="00B24F77">
            <w:pPr>
              <w:widowControl w:val="0"/>
              <w:numPr>
                <w:ilvl w:val="0"/>
                <w:numId w:val="17"/>
              </w:numPr>
              <w:autoSpaceDE w:val="0"/>
              <w:autoSpaceDN w:val="0"/>
              <w:snapToGrid w:val="0"/>
              <w:spacing w:before="120" w:after="120" w:line="276" w:lineRule="auto"/>
              <w:ind w:left="714" w:hanging="357"/>
              <w:jc w:val="both"/>
              <w:rPr>
                <w:rFonts w:ascii="Verdana" w:eastAsia="Calibri" w:hAnsi="Verdana" w:cs="Arial"/>
                <w:lang w:val="es-ES"/>
              </w:rPr>
            </w:pPr>
            <w:r w:rsidRPr="00B26706">
              <w:rPr>
                <w:rFonts w:ascii="Verdana" w:eastAsia="Calibri" w:hAnsi="Verdana" w:cs="Arial"/>
                <w:lang w:val="es-ES"/>
              </w:rPr>
              <w:lastRenderedPageBreak/>
              <w:t>Constitución Política de 1991. Artículo 355.</w:t>
            </w:r>
          </w:p>
          <w:p w14:paraId="771EAB18" w14:textId="77777777" w:rsidR="00981E00" w:rsidRPr="00B26706" w:rsidRDefault="00981E00" w:rsidP="00B24F77">
            <w:pPr>
              <w:numPr>
                <w:ilvl w:val="0"/>
                <w:numId w:val="17"/>
              </w:numPr>
              <w:snapToGrid w:val="0"/>
              <w:spacing w:before="120" w:after="120" w:line="276" w:lineRule="auto"/>
              <w:ind w:left="714" w:hanging="357"/>
              <w:rPr>
                <w:rFonts w:ascii="Verdana" w:eastAsia="Calibri" w:hAnsi="Verdana" w:cs="Arial"/>
                <w:lang w:val="es-ES"/>
              </w:rPr>
            </w:pPr>
            <w:r w:rsidRPr="00B26706">
              <w:rPr>
                <w:rFonts w:ascii="Verdana" w:eastAsia="Calibri" w:hAnsi="Verdana" w:cs="Arial"/>
                <w:lang w:val="es-ES"/>
              </w:rPr>
              <w:t>Ley 80 de 1993. Artículo 2.</w:t>
            </w:r>
          </w:p>
          <w:p w14:paraId="6E96C09C" w14:textId="77777777" w:rsidR="00981E00" w:rsidRPr="00B26706" w:rsidRDefault="00981E00" w:rsidP="00B24F77">
            <w:pPr>
              <w:numPr>
                <w:ilvl w:val="0"/>
                <w:numId w:val="17"/>
              </w:numPr>
              <w:snapToGrid w:val="0"/>
              <w:spacing w:before="120" w:after="120" w:line="276" w:lineRule="auto"/>
              <w:ind w:left="714" w:hanging="357"/>
              <w:rPr>
                <w:rFonts w:ascii="Verdana" w:eastAsia="Calibri" w:hAnsi="Verdana" w:cs="Arial"/>
                <w:lang w:val="es-ES"/>
              </w:rPr>
            </w:pPr>
            <w:r w:rsidRPr="00B26706">
              <w:rPr>
                <w:rFonts w:ascii="Verdana" w:eastAsia="Calibri" w:hAnsi="Verdana" w:cs="Arial"/>
                <w:lang w:val="es-ES"/>
              </w:rPr>
              <w:t xml:space="preserve">Decreto-Ley 393 de 1991. </w:t>
            </w:r>
          </w:p>
          <w:p w14:paraId="28681B7B" w14:textId="77777777" w:rsidR="00981E00" w:rsidRPr="00B26706" w:rsidRDefault="00981E00" w:rsidP="00B24F77">
            <w:pPr>
              <w:numPr>
                <w:ilvl w:val="0"/>
                <w:numId w:val="17"/>
              </w:numPr>
              <w:snapToGrid w:val="0"/>
              <w:spacing w:before="120" w:after="120" w:line="276" w:lineRule="auto"/>
              <w:ind w:left="714" w:hanging="357"/>
              <w:rPr>
                <w:rFonts w:ascii="Verdana" w:eastAsia="Calibri" w:hAnsi="Verdana" w:cs="Arial"/>
                <w:lang w:val="es-ES"/>
              </w:rPr>
            </w:pPr>
            <w:r w:rsidRPr="00B26706">
              <w:rPr>
                <w:rFonts w:ascii="Verdana" w:eastAsia="Calibri" w:hAnsi="Verdana" w:cs="Arial"/>
                <w:lang w:val="es-ES"/>
              </w:rPr>
              <w:t>Decreto-Ley 591 de 1991.</w:t>
            </w:r>
          </w:p>
          <w:p w14:paraId="3CF30C6F" w14:textId="77777777" w:rsidR="00981E00" w:rsidRPr="00B26706" w:rsidRDefault="00981E00" w:rsidP="00B24F77">
            <w:pPr>
              <w:numPr>
                <w:ilvl w:val="0"/>
                <w:numId w:val="17"/>
              </w:numPr>
              <w:snapToGrid w:val="0"/>
              <w:spacing w:before="120" w:after="120" w:line="276" w:lineRule="auto"/>
              <w:ind w:left="714" w:hanging="357"/>
              <w:rPr>
                <w:rFonts w:ascii="Verdana" w:eastAsia="Calibri" w:hAnsi="Verdana" w:cs="Arial"/>
                <w:lang w:val="es-ES"/>
              </w:rPr>
            </w:pPr>
            <w:r w:rsidRPr="00B26706">
              <w:rPr>
                <w:rFonts w:ascii="Verdana" w:eastAsia="Calibri" w:hAnsi="Verdana" w:cs="Arial"/>
                <w:bCs/>
                <w:color w:val="000000" w:themeColor="text1"/>
                <w:lang w:eastAsia="es-ES_tradnl" w:bidi="es-ES"/>
              </w:rPr>
              <w:t>Ley 489 de 1998. Artículo 95.</w:t>
            </w:r>
            <w:r w:rsidRPr="00B26706">
              <w:rPr>
                <w:rFonts w:ascii="Verdana" w:eastAsia="Calibri" w:hAnsi="Verdana" w:cs="Arial"/>
                <w:lang w:val="es-ES"/>
              </w:rPr>
              <w:t xml:space="preserve"> </w:t>
            </w:r>
          </w:p>
          <w:p w14:paraId="5330D47E" w14:textId="77777777" w:rsidR="00981E00" w:rsidRPr="00B26706" w:rsidRDefault="00981E00" w:rsidP="00B24F77">
            <w:pPr>
              <w:numPr>
                <w:ilvl w:val="0"/>
                <w:numId w:val="17"/>
              </w:numPr>
              <w:snapToGrid w:val="0"/>
              <w:spacing w:before="120" w:after="120" w:line="276" w:lineRule="auto"/>
              <w:ind w:left="714" w:hanging="357"/>
              <w:rPr>
                <w:rFonts w:ascii="Verdana" w:eastAsia="Calibri" w:hAnsi="Verdana" w:cs="Arial"/>
                <w:lang w:val="es-ES"/>
              </w:rPr>
            </w:pPr>
            <w:r w:rsidRPr="00B26706">
              <w:rPr>
                <w:rFonts w:ascii="Verdana" w:hAnsi="Verdana" w:cs="Arial"/>
                <w:lang w:val="es-ES_tradnl" w:eastAsia="es-ES_tradnl"/>
              </w:rPr>
              <w:t>Ley 153 de 1887.</w:t>
            </w:r>
            <w:r w:rsidRPr="00B26706">
              <w:rPr>
                <w:rFonts w:ascii="Verdana" w:hAnsi="Verdana" w:cs="Arial"/>
                <w:lang w:val="es-ES" w:eastAsia="es-ES_tradnl"/>
              </w:rPr>
              <w:t xml:space="preserve"> Artículo 8.</w:t>
            </w:r>
          </w:p>
          <w:p w14:paraId="1354BB45" w14:textId="77777777" w:rsidR="00981E00" w:rsidRPr="00B26706" w:rsidRDefault="00981E00" w:rsidP="00B24F77">
            <w:pPr>
              <w:numPr>
                <w:ilvl w:val="0"/>
                <w:numId w:val="17"/>
              </w:numPr>
              <w:snapToGrid w:val="0"/>
              <w:spacing w:before="120" w:after="120" w:line="276" w:lineRule="auto"/>
              <w:ind w:left="714" w:hanging="357"/>
              <w:rPr>
                <w:rFonts w:ascii="Verdana" w:eastAsia="Calibri" w:hAnsi="Verdana" w:cs="Arial"/>
                <w:lang w:val="es-ES"/>
              </w:rPr>
            </w:pPr>
            <w:r w:rsidRPr="00B26706">
              <w:rPr>
                <w:rFonts w:ascii="Verdana" w:eastAsia="Times New Roman" w:hAnsi="Verdana" w:cs="Arial"/>
                <w:lang w:eastAsia="es-ES_tradnl"/>
              </w:rPr>
              <w:t>Ley 1286 de 2009</w:t>
            </w:r>
            <w:r w:rsidRPr="00B26706">
              <w:rPr>
                <w:rFonts w:ascii="Verdana" w:hAnsi="Verdana" w:cs="Arial"/>
                <w:lang w:eastAsia="es-ES_tradnl"/>
              </w:rPr>
              <w:t>. Artículo 33.</w:t>
            </w:r>
          </w:p>
          <w:p w14:paraId="34A10335" w14:textId="77777777" w:rsidR="00981E00" w:rsidRPr="00B26706" w:rsidRDefault="00981E00" w:rsidP="00B24F77">
            <w:pPr>
              <w:widowControl w:val="0"/>
              <w:numPr>
                <w:ilvl w:val="0"/>
                <w:numId w:val="17"/>
              </w:numPr>
              <w:autoSpaceDE w:val="0"/>
              <w:autoSpaceDN w:val="0"/>
              <w:snapToGrid w:val="0"/>
              <w:spacing w:before="120" w:after="120" w:line="276" w:lineRule="auto"/>
              <w:ind w:left="714" w:hanging="357"/>
              <w:jc w:val="both"/>
              <w:rPr>
                <w:rFonts w:ascii="Verdana" w:eastAsia="Calibri" w:hAnsi="Verdana" w:cs="Arial"/>
                <w:lang w:val="es-ES"/>
              </w:rPr>
            </w:pPr>
            <w:r w:rsidRPr="00B26706">
              <w:rPr>
                <w:rFonts w:ascii="Verdana" w:eastAsia="Calibri" w:hAnsi="Verdana" w:cs="Arial"/>
                <w:lang w:val="es-ES"/>
              </w:rPr>
              <w:t>Ley 1150 de 2007. Artículo 2, numeral 4, literal c) y e).</w:t>
            </w:r>
          </w:p>
          <w:p w14:paraId="2004EA7D" w14:textId="77777777" w:rsidR="00981E00" w:rsidRPr="00B26706" w:rsidRDefault="00981E00" w:rsidP="00B24F77">
            <w:pPr>
              <w:widowControl w:val="0"/>
              <w:numPr>
                <w:ilvl w:val="0"/>
                <w:numId w:val="17"/>
              </w:numPr>
              <w:autoSpaceDE w:val="0"/>
              <w:autoSpaceDN w:val="0"/>
              <w:snapToGrid w:val="0"/>
              <w:spacing w:before="120" w:after="120" w:line="276" w:lineRule="auto"/>
              <w:ind w:left="714" w:hanging="357"/>
              <w:jc w:val="both"/>
              <w:rPr>
                <w:rFonts w:ascii="Verdana" w:eastAsia="Calibri" w:hAnsi="Verdana" w:cs="Arial"/>
                <w:lang w:val="es-ES"/>
              </w:rPr>
            </w:pPr>
            <w:r w:rsidRPr="00B26706">
              <w:rPr>
                <w:rFonts w:ascii="Verdana" w:eastAsia="Calibri" w:hAnsi="Verdana" w:cs="Arial"/>
                <w:lang w:val="es-ES"/>
              </w:rPr>
              <w:t>Decreto 092 de 2017.</w:t>
            </w:r>
          </w:p>
          <w:p w14:paraId="77A475E7" w14:textId="77777777" w:rsidR="00981E00" w:rsidRPr="00B26706" w:rsidRDefault="00981E00" w:rsidP="00B24F77">
            <w:pPr>
              <w:widowControl w:val="0"/>
              <w:numPr>
                <w:ilvl w:val="0"/>
                <w:numId w:val="17"/>
              </w:numPr>
              <w:autoSpaceDE w:val="0"/>
              <w:autoSpaceDN w:val="0"/>
              <w:snapToGrid w:val="0"/>
              <w:spacing w:before="120" w:after="120" w:line="276" w:lineRule="auto"/>
              <w:ind w:left="714" w:hanging="357"/>
              <w:jc w:val="both"/>
              <w:rPr>
                <w:rFonts w:ascii="Verdana" w:eastAsia="Calibri" w:hAnsi="Verdana" w:cs="Arial"/>
                <w:lang w:val="es-ES"/>
              </w:rPr>
            </w:pPr>
            <w:r w:rsidRPr="00B26706">
              <w:rPr>
                <w:rFonts w:ascii="Verdana" w:eastAsia="Calibri" w:hAnsi="Verdana" w:cs="Arial"/>
                <w:lang w:eastAsia="es-MX"/>
              </w:rPr>
              <w:t>Jurisprudencia del Consejo de Estado. Disponible en:</w:t>
            </w:r>
            <w:r w:rsidRPr="00B26706">
              <w:rPr>
                <w:rFonts w:ascii="Verdana" w:hAnsi="Verdana" w:cs="Arial"/>
                <w:color w:val="7030A0"/>
              </w:rPr>
              <w:t xml:space="preserve"> </w:t>
            </w:r>
            <w:hyperlink r:id="rId12" w:history="1">
              <w:r w:rsidRPr="00B26706">
                <w:rPr>
                  <w:rStyle w:val="Hyperlink"/>
                  <w:rFonts w:ascii="Verdana" w:hAnsi="Verdana" w:cs="Arial"/>
                </w:rPr>
                <w:t>https://relatoria.colombiacompra.gov.co/providencias-consejo-de-estado/</w:t>
              </w:r>
            </w:hyperlink>
          </w:p>
        </w:tc>
      </w:tr>
    </w:tbl>
    <w:p w14:paraId="32137CDB" w14:textId="77777777" w:rsidR="00981E00" w:rsidRPr="00B26706" w:rsidRDefault="00981E00" w:rsidP="00981E00">
      <w:pPr>
        <w:widowControl w:val="0"/>
        <w:autoSpaceDE w:val="0"/>
        <w:autoSpaceDN w:val="0"/>
        <w:spacing w:line="276" w:lineRule="auto"/>
        <w:jc w:val="both"/>
        <w:rPr>
          <w:rFonts w:ascii="Verdana" w:hAnsi="Verdana" w:cs="Arial"/>
        </w:rPr>
      </w:pPr>
    </w:p>
    <w:p w14:paraId="30A9A591" w14:textId="77777777" w:rsidR="00981E00" w:rsidRPr="00B26706" w:rsidRDefault="00981E00" w:rsidP="00981E00">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B26706">
        <w:rPr>
          <w:rFonts w:ascii="Verdana" w:eastAsia="Century Gothic" w:hAnsi="Verdana" w:cs="Century Gothic"/>
          <w:b/>
          <w:bCs/>
        </w:rPr>
        <w:t>Doctrina de la Agencia Nacional de Contratación Pública:</w:t>
      </w:r>
    </w:p>
    <w:p w14:paraId="77417481" w14:textId="77777777" w:rsidR="00981E00" w:rsidRPr="00B26706" w:rsidRDefault="00981E00" w:rsidP="00981E00">
      <w:pPr>
        <w:spacing w:before="120" w:line="276" w:lineRule="auto"/>
        <w:contextualSpacing/>
        <w:jc w:val="both"/>
        <w:rPr>
          <w:rFonts w:ascii="Verdana" w:eastAsia="Aptos" w:hAnsi="Verdana" w:cs="Arial"/>
          <w:shd w:val="clear" w:color="auto" w:fill="FFFFFF"/>
          <w:lang w:val="en-CO"/>
        </w:rPr>
      </w:pPr>
      <w:r w:rsidRPr="00B26706">
        <w:rPr>
          <w:rStyle w:val="normaltextrun"/>
          <w:rFonts w:ascii="Verdana" w:hAnsi="Verdana" w:cs="Arial"/>
          <w:color w:val="000000" w:themeColor="text1"/>
          <w:shd w:val="clear" w:color="auto" w:fill="FFFFFF"/>
          <w:lang w:val="es-ES"/>
        </w:rPr>
        <w:t xml:space="preserve">La Agencia Nacional de Contratación Pública – Colombia Compra Eficiente se refirió a </w:t>
      </w:r>
      <w:r w:rsidRPr="00B26706">
        <w:rPr>
          <w:rFonts w:ascii="Verdana" w:eastAsia="Aptos" w:hAnsi="Verdana" w:cs="Arial"/>
          <w:shd w:val="clear" w:color="auto" w:fill="FFFFFF"/>
          <w:lang w:val="es-ES"/>
        </w:rPr>
        <w:t xml:space="preserve">sobre las actividades relacionadas con ciencia, tecnología e innovación y los contratos y convenios para contratarlas en los conceptos C-066 del 3 de marzo de 2020, C-084 del 11 de marzo de 2020, C-236 del 6 de abril de 2020, C-036 del 1 de marzo de 2021, C-656 del 30 de noviembre de 2021, C-164 del 22 de marzo de 2022, C-131 del 28 de marzo de 2022, C-207 del 19 de abril de 2022, C-049 del 9 de mayo de 2024, C-097 del 28 de junio de 2024, C-467 del 28 de octubre de 2014, C-266 del 4 de abril de 2025, </w:t>
      </w:r>
      <w:r w:rsidRPr="00C811B9">
        <w:rPr>
          <w:rFonts w:ascii="Verdana" w:eastAsia="Aptos" w:hAnsi="Verdana" w:cs="Arial"/>
          <w:shd w:val="clear" w:color="auto" w:fill="FFFFFF"/>
          <w:lang w:val="es-ES"/>
        </w:rPr>
        <w:t xml:space="preserve">C-739 de 17 de julio de 2025 y C-1322 del 20 de octubre de 2025, </w:t>
      </w:r>
      <w:r w:rsidRPr="00B26706">
        <w:rPr>
          <w:rFonts w:ascii="Verdana" w:eastAsia="Aptos" w:hAnsi="Verdana" w:cs="Arial"/>
          <w:shd w:val="clear" w:color="auto" w:fill="FFFFFF"/>
          <w:lang w:val="es-ES"/>
        </w:rPr>
        <w:t xml:space="preserve">entre otros. </w:t>
      </w:r>
      <w:r w:rsidRPr="00B26706">
        <w:rPr>
          <w:rFonts w:ascii="Verdana" w:hAnsi="Verdana" w:cs="Arial"/>
          <w:color w:val="000000" w:themeColor="text1"/>
          <w:shd w:val="clear" w:color="auto" w:fill="FFFFFF"/>
          <w:lang w:val="es-ES"/>
        </w:rPr>
        <w:t xml:space="preserve">Estos </w:t>
      </w:r>
      <w:r w:rsidRPr="00B26706">
        <w:rPr>
          <w:rStyle w:val="normaltextrun"/>
          <w:rFonts w:ascii="Verdana" w:hAnsi="Verdana" w:cs="Arial"/>
          <w:color w:val="000000" w:themeColor="text1"/>
          <w:shd w:val="clear" w:color="auto" w:fill="FFFFFF"/>
          <w:lang w:val="es-ES"/>
        </w:rPr>
        <w:t xml:space="preserve">se encuentran disponibles para consulta en el Sistema de relatoría de la Agencia, al cual puede accederse a través del siguiente enlace: </w:t>
      </w:r>
      <w:hyperlink r:id="rId13" w:history="1">
        <w:r w:rsidRPr="00B26706">
          <w:rPr>
            <w:rStyle w:val="Hyperlink"/>
            <w:rFonts w:ascii="Verdana" w:hAnsi="Verdana" w:cs="Arial"/>
            <w:shd w:val="clear" w:color="auto" w:fill="FFFFFF"/>
            <w:lang w:val="es-ES"/>
          </w:rPr>
          <w:t>https://relatoria.colombiacompra.gov.co/busqueda/conceptos</w:t>
        </w:r>
      </w:hyperlink>
      <w:r w:rsidRPr="00B26706">
        <w:rPr>
          <w:rStyle w:val="Hyperlink"/>
          <w:rFonts w:ascii="Verdana" w:hAnsi="Verdana"/>
          <w:lang w:val="es-ES"/>
        </w:rPr>
        <w:t>.</w:t>
      </w:r>
      <w:r w:rsidRPr="00B26706">
        <w:rPr>
          <w:rStyle w:val="normaltextrun"/>
          <w:rFonts w:ascii="Verdana" w:hAnsi="Verdana" w:cs="Arial"/>
          <w:color w:val="000000" w:themeColor="text1"/>
          <w:shd w:val="clear" w:color="auto" w:fill="FFFFFF"/>
          <w:lang w:val="es-ES"/>
        </w:rPr>
        <w:t xml:space="preserve">  </w:t>
      </w:r>
    </w:p>
    <w:p w14:paraId="251F67FC" w14:textId="77777777" w:rsidR="00981E00" w:rsidRPr="00B26706" w:rsidRDefault="00981E00" w:rsidP="00981E00">
      <w:pPr>
        <w:spacing w:line="276" w:lineRule="auto"/>
        <w:contextualSpacing/>
        <w:jc w:val="both"/>
        <w:rPr>
          <w:rFonts w:ascii="Verdana" w:hAnsi="Verdana"/>
          <w:lang w:val="es-ES"/>
        </w:rPr>
      </w:pPr>
    </w:p>
    <w:p w14:paraId="40E4F069" w14:textId="77777777" w:rsidR="00981E00" w:rsidRPr="00B26706" w:rsidRDefault="00981E00" w:rsidP="00981E00">
      <w:pPr>
        <w:spacing w:line="276" w:lineRule="auto"/>
        <w:contextualSpacing/>
        <w:jc w:val="both"/>
        <w:rPr>
          <w:rFonts w:ascii="Verdana" w:hAnsi="Verdana"/>
          <w:lang w:val="es-ES"/>
        </w:rPr>
      </w:pPr>
      <w:r w:rsidRPr="00B26706">
        <w:rPr>
          <w:rFonts w:ascii="Verdana" w:hAnsi="Verdana"/>
          <w:lang w:val="es-ES"/>
        </w:rPr>
        <w:t xml:space="preserve">Por último, lo invitamos a seguirnos en las redes sociales en las cuales se difunde información institucional: </w:t>
      </w:r>
    </w:p>
    <w:p w14:paraId="29E7B906" w14:textId="77777777" w:rsidR="00981E00" w:rsidRPr="00B26706" w:rsidRDefault="00981E00" w:rsidP="00981E00">
      <w:pPr>
        <w:spacing w:line="276" w:lineRule="auto"/>
        <w:contextualSpacing/>
        <w:jc w:val="both"/>
        <w:rPr>
          <w:rFonts w:ascii="Verdana" w:hAnsi="Verdana"/>
          <w:lang w:val="es-ES"/>
        </w:rPr>
      </w:pPr>
    </w:p>
    <w:p w14:paraId="39B1DC98" w14:textId="77777777" w:rsidR="00981E00" w:rsidRPr="00B26706" w:rsidRDefault="00981E00" w:rsidP="00981E00">
      <w:pPr>
        <w:spacing w:line="276" w:lineRule="auto"/>
        <w:contextualSpacing/>
        <w:jc w:val="both"/>
        <w:rPr>
          <w:rFonts w:ascii="Verdana" w:hAnsi="Verdana"/>
          <w:lang w:val="es-ES"/>
        </w:rPr>
      </w:pPr>
      <w:r w:rsidRPr="00B26706">
        <w:rPr>
          <w:rFonts w:ascii="Verdana" w:hAnsi="Verdana"/>
          <w:lang w:val="es-ES"/>
        </w:rPr>
        <w:t xml:space="preserve">Twitter: </w:t>
      </w:r>
      <w:r w:rsidRPr="00B26706">
        <w:rPr>
          <w:rStyle w:val="Hyperlink"/>
          <w:rFonts w:ascii="Verdana" w:hAnsi="Verdana" w:cs="Arial"/>
          <w:shd w:val="clear" w:color="auto" w:fill="FFFFFF"/>
          <w:lang w:val="es-ES"/>
        </w:rPr>
        <w:t>@colombiacompra</w:t>
      </w:r>
      <w:r w:rsidRPr="00B26706">
        <w:rPr>
          <w:rFonts w:ascii="Verdana" w:hAnsi="Verdana"/>
          <w:color w:val="4472C4" w:themeColor="accent1"/>
          <w:lang w:val="es-ES"/>
        </w:rPr>
        <w:t xml:space="preserve"> </w:t>
      </w:r>
    </w:p>
    <w:p w14:paraId="77687CA5" w14:textId="77777777" w:rsidR="00981E00" w:rsidRPr="00B26706" w:rsidRDefault="00981E00" w:rsidP="00981E00">
      <w:pPr>
        <w:spacing w:line="276" w:lineRule="auto"/>
        <w:contextualSpacing/>
        <w:jc w:val="both"/>
        <w:rPr>
          <w:rFonts w:ascii="Verdana" w:hAnsi="Verdana"/>
          <w:lang w:val="es-ES"/>
        </w:rPr>
      </w:pPr>
      <w:r w:rsidRPr="00B26706">
        <w:rPr>
          <w:rFonts w:ascii="Verdana" w:hAnsi="Verdana"/>
          <w:lang w:val="es-ES"/>
        </w:rPr>
        <w:lastRenderedPageBreak/>
        <w:t xml:space="preserve">Facebook: </w:t>
      </w:r>
      <w:proofErr w:type="spellStart"/>
      <w:r w:rsidRPr="00B26706">
        <w:rPr>
          <w:rStyle w:val="Hyperlink"/>
          <w:rFonts w:ascii="Verdana" w:hAnsi="Verdana" w:cs="Arial"/>
          <w:shd w:val="clear" w:color="auto" w:fill="FFFFFF"/>
          <w:lang w:val="es-ES"/>
        </w:rPr>
        <w:t>ColombiaCompraEficiente</w:t>
      </w:r>
      <w:proofErr w:type="spellEnd"/>
    </w:p>
    <w:p w14:paraId="7E82C671" w14:textId="77777777" w:rsidR="00981E00" w:rsidRPr="00B26706" w:rsidRDefault="00981E00" w:rsidP="00981E00">
      <w:pPr>
        <w:spacing w:line="276" w:lineRule="auto"/>
        <w:contextualSpacing/>
        <w:jc w:val="both"/>
        <w:rPr>
          <w:rFonts w:ascii="Verdana" w:hAnsi="Verdana"/>
          <w:lang w:val="es-ES"/>
        </w:rPr>
      </w:pPr>
      <w:r w:rsidRPr="00B26706">
        <w:rPr>
          <w:rFonts w:ascii="Verdana" w:hAnsi="Verdana"/>
          <w:lang w:val="es-ES"/>
        </w:rPr>
        <w:t xml:space="preserve">LinkedIn: </w:t>
      </w:r>
      <w:r w:rsidRPr="00B26706">
        <w:rPr>
          <w:rStyle w:val="Hyperlink"/>
          <w:rFonts w:ascii="Verdana" w:hAnsi="Verdana" w:cs="Arial"/>
          <w:shd w:val="clear" w:color="auto" w:fill="FFFFFF"/>
          <w:lang w:val="es-ES"/>
        </w:rPr>
        <w:t xml:space="preserve">Agencia Nacional de Contratación Pública - Colombia Compra Eficiente </w:t>
      </w:r>
      <w:r w:rsidRPr="00B26706">
        <w:rPr>
          <w:rFonts w:ascii="Verdana" w:hAnsi="Verdana"/>
          <w:lang w:val="es-ES"/>
        </w:rPr>
        <w:t xml:space="preserve">Instagram: </w:t>
      </w:r>
      <w:r w:rsidRPr="00B26706">
        <w:rPr>
          <w:rStyle w:val="Hyperlink"/>
          <w:rFonts w:ascii="Verdana" w:hAnsi="Verdana" w:cs="Arial"/>
          <w:shd w:val="clear" w:color="auto" w:fill="FFFFFF"/>
          <w:lang w:val="es-ES"/>
        </w:rPr>
        <w:t>@colombiacompraeficiente_cce</w:t>
      </w:r>
    </w:p>
    <w:p w14:paraId="7A03CAAB" w14:textId="77777777" w:rsidR="00981E00" w:rsidRPr="00B26706" w:rsidRDefault="00981E00" w:rsidP="00981E00">
      <w:pPr>
        <w:widowControl w:val="0"/>
        <w:autoSpaceDE w:val="0"/>
        <w:autoSpaceDN w:val="0"/>
        <w:spacing w:line="276" w:lineRule="auto"/>
        <w:contextualSpacing/>
        <w:jc w:val="both"/>
        <w:rPr>
          <w:rFonts w:ascii="Verdana" w:hAnsi="Verdana" w:cs="Arial"/>
          <w:color w:val="000000" w:themeColor="text1"/>
          <w:lang w:val="es-ES"/>
        </w:rPr>
      </w:pPr>
    </w:p>
    <w:p w14:paraId="7E82F86E" w14:textId="77777777" w:rsidR="00981E00" w:rsidRDefault="00981E00" w:rsidP="00981E00">
      <w:pPr>
        <w:widowControl w:val="0"/>
        <w:autoSpaceDE w:val="0"/>
        <w:autoSpaceDN w:val="0"/>
        <w:spacing w:line="276" w:lineRule="auto"/>
        <w:contextualSpacing/>
        <w:jc w:val="both"/>
        <w:rPr>
          <w:rFonts w:ascii="Verdana" w:hAnsi="Verdana" w:cs="Arial"/>
          <w:color w:val="000000" w:themeColor="text1"/>
          <w:lang w:val="es-ES"/>
        </w:rPr>
      </w:pPr>
      <w:r w:rsidRPr="00B26706">
        <w:rPr>
          <w:rFonts w:ascii="Verdana" w:hAnsi="Verdana" w:cs="Arial"/>
          <w:color w:val="000000" w:themeColor="text1"/>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01818CF9" w14:textId="77777777" w:rsidR="00981E00" w:rsidRDefault="00981E00" w:rsidP="00981E00">
      <w:pPr>
        <w:widowControl w:val="0"/>
        <w:autoSpaceDE w:val="0"/>
        <w:autoSpaceDN w:val="0"/>
        <w:spacing w:line="276" w:lineRule="auto"/>
        <w:contextualSpacing/>
        <w:jc w:val="both"/>
        <w:rPr>
          <w:rFonts w:ascii="Verdana" w:hAnsi="Verdana" w:cs="Arial"/>
          <w:color w:val="000000" w:themeColor="text1"/>
          <w:lang w:val="es-ES"/>
        </w:rPr>
      </w:pPr>
    </w:p>
    <w:p w14:paraId="6209ED6B" w14:textId="2DE61EAD" w:rsidR="00981E00" w:rsidRDefault="00FB1B14" w:rsidP="00981E00">
      <w:pPr>
        <w:spacing w:before="120" w:line="276" w:lineRule="auto"/>
        <w:rPr>
          <w:rFonts w:ascii="Verdana" w:hAnsi="Verdana" w:cs="Arial"/>
          <w:color w:val="000000" w:themeColor="text1"/>
          <w:lang w:val="es-ES" w:eastAsia="es-CO"/>
        </w:rPr>
      </w:pPr>
      <w:r w:rsidRPr="002C3AD6">
        <w:rPr>
          <w:rFonts w:ascii="Century Gothic" w:hAnsi="Century Gothic"/>
          <w:noProof/>
        </w:rPr>
        <w:drawing>
          <wp:anchor distT="0" distB="0" distL="114300" distR="114300" simplePos="0" relativeHeight="251661312" behindDoc="0" locked="0" layoutInCell="1" allowOverlap="1" wp14:anchorId="7033A9D6" wp14:editId="42847F37">
            <wp:simplePos x="0" y="0"/>
            <wp:positionH relativeFrom="column">
              <wp:posOffset>1364226</wp:posOffset>
            </wp:positionH>
            <wp:positionV relativeFrom="page">
              <wp:posOffset>3487338</wp:posOffset>
            </wp:positionV>
            <wp:extent cx="3295650" cy="1223010"/>
            <wp:effectExtent l="0" t="0" r="6350" b="0"/>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extLst>
                        <a:ext uri="{28A0092B-C50C-407E-A947-70E740481C1C}">
                          <a14:useLocalDpi xmlns:a14="http://schemas.microsoft.com/office/drawing/2010/main" val="0"/>
                        </a:ext>
                      </a:extLst>
                    </a:blip>
                    <a:stretch>
                      <a:fillRect/>
                    </a:stretch>
                  </pic:blipFill>
                  <pic:spPr>
                    <a:xfrm>
                      <a:off x="0" y="0"/>
                      <a:ext cx="3295650" cy="1223010"/>
                    </a:xfrm>
                    <a:prstGeom prst="rect">
                      <a:avLst/>
                    </a:prstGeom>
                  </pic:spPr>
                </pic:pic>
              </a:graphicData>
            </a:graphic>
            <wp14:sizeRelH relativeFrom="page">
              <wp14:pctWidth>0</wp14:pctWidth>
            </wp14:sizeRelH>
            <wp14:sizeRelV relativeFrom="page">
              <wp14:pctHeight>0</wp14:pctHeight>
            </wp14:sizeRelV>
          </wp:anchor>
        </w:drawing>
      </w:r>
      <w:r w:rsidR="00981E00" w:rsidRPr="00B26706">
        <w:rPr>
          <w:rFonts w:ascii="Verdana" w:hAnsi="Verdana" w:cs="Arial"/>
          <w:color w:val="000000" w:themeColor="text1"/>
          <w:lang w:val="es-ES" w:eastAsia="es-CO"/>
        </w:rPr>
        <w:t xml:space="preserve">Atentamente, </w:t>
      </w:r>
    </w:p>
    <w:p w14:paraId="31E60E38" w14:textId="77777777" w:rsidR="00981E00" w:rsidRPr="00BE53A2" w:rsidRDefault="00981E00" w:rsidP="00981E00">
      <w:pPr>
        <w:spacing w:before="240" w:line="276" w:lineRule="auto"/>
        <w:jc w:val="center"/>
        <w:rPr>
          <w:rFonts w:ascii="Verdana" w:hAnsi="Verdana" w:cs="Arial"/>
          <w:color w:val="000000" w:themeColor="text1"/>
          <w:lang w:val="es-ES" w:eastAsia="es-CO"/>
        </w:rPr>
      </w:pPr>
    </w:p>
    <w:tbl>
      <w:tblPr>
        <w:tblStyle w:val="TableGrid"/>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981E00" w:rsidRPr="00335BE0" w14:paraId="24E8C373" w14:textId="77777777" w:rsidTr="00B24F77">
        <w:trPr>
          <w:trHeight w:val="315"/>
        </w:trPr>
        <w:tc>
          <w:tcPr>
            <w:tcW w:w="893" w:type="dxa"/>
            <w:vAlign w:val="center"/>
            <w:hideMark/>
          </w:tcPr>
          <w:p w14:paraId="61BC524F" w14:textId="77777777" w:rsidR="00981E00" w:rsidRPr="00335BE0" w:rsidRDefault="00981E00" w:rsidP="00B24F77">
            <w:pPr>
              <w:contextualSpacing/>
              <w:rPr>
                <w:rFonts w:ascii="Verdana" w:hAnsi="Verdana" w:cs="Arial"/>
                <w:sz w:val="15"/>
                <w:szCs w:val="15"/>
                <w:lang w:val="es-ES" w:eastAsia="es-ES"/>
              </w:rPr>
            </w:pPr>
            <w:r w:rsidRPr="00335BE0">
              <w:rPr>
                <w:rFonts w:ascii="Verdana" w:hAnsi="Verdana" w:cs="Arial"/>
                <w:sz w:val="15"/>
                <w:szCs w:val="15"/>
                <w:lang w:val="es-ES" w:eastAsia="es-ES"/>
              </w:rPr>
              <w:t>Elaboró:</w:t>
            </w:r>
          </w:p>
        </w:tc>
        <w:tc>
          <w:tcPr>
            <w:tcW w:w="5628" w:type="dxa"/>
            <w:tcBorders>
              <w:top w:val="nil"/>
              <w:left w:val="nil"/>
              <w:bottom w:val="dotted" w:sz="4" w:space="0" w:color="7F7F7F" w:themeColor="text1" w:themeTint="80"/>
              <w:right w:val="nil"/>
            </w:tcBorders>
            <w:vAlign w:val="center"/>
            <w:hideMark/>
          </w:tcPr>
          <w:p w14:paraId="10AE83FB" w14:textId="77777777" w:rsidR="00981E00" w:rsidRPr="00335BE0" w:rsidRDefault="00981E00" w:rsidP="00B24F77">
            <w:pPr>
              <w:contextualSpacing/>
              <w:rPr>
                <w:rFonts w:ascii="Verdana" w:eastAsia="Arial" w:hAnsi="Verdana" w:cs="Arial"/>
                <w:color w:val="000000" w:themeColor="text1"/>
                <w:sz w:val="15"/>
                <w:szCs w:val="15"/>
              </w:rPr>
            </w:pPr>
            <w:r w:rsidRPr="00335BE0">
              <w:rPr>
                <w:rFonts w:ascii="Verdana" w:eastAsia="Arial" w:hAnsi="Verdana" w:cs="Arial"/>
                <w:color w:val="000000" w:themeColor="text1"/>
                <w:sz w:val="15"/>
                <w:szCs w:val="15"/>
              </w:rPr>
              <w:t>Anamaría Bonilla Prieto</w:t>
            </w:r>
          </w:p>
          <w:p w14:paraId="120A0183" w14:textId="77777777" w:rsidR="00981E00" w:rsidRPr="00335BE0" w:rsidRDefault="00981E00" w:rsidP="00B24F77">
            <w:pPr>
              <w:contextualSpacing/>
              <w:rPr>
                <w:rFonts w:ascii="Verdana" w:eastAsia="Arial" w:hAnsi="Verdana" w:cs="Arial"/>
                <w:sz w:val="15"/>
                <w:szCs w:val="15"/>
              </w:rPr>
            </w:pPr>
            <w:r w:rsidRPr="00335BE0">
              <w:rPr>
                <w:rStyle w:val="normaltextrun"/>
                <w:rFonts w:ascii="Verdana" w:eastAsia="Arial" w:hAnsi="Verdana" w:cs="Arial"/>
                <w:color w:val="000000" w:themeColor="text1"/>
                <w:sz w:val="15"/>
                <w:szCs w:val="15"/>
              </w:rPr>
              <w:t xml:space="preserve">Contratista de la Subdirección </w:t>
            </w:r>
            <w:r w:rsidRPr="00335BE0">
              <w:rPr>
                <w:rStyle w:val="normaltextrun"/>
                <w:rFonts w:ascii="Verdana" w:eastAsia="Arial" w:hAnsi="Verdana" w:cs="Arial"/>
                <w:sz w:val="15"/>
                <w:szCs w:val="15"/>
              </w:rPr>
              <w:t>de Gestión Contractual</w:t>
            </w:r>
          </w:p>
        </w:tc>
      </w:tr>
      <w:tr w:rsidR="00981E00" w:rsidRPr="00335BE0" w14:paraId="4655B32F" w14:textId="77777777" w:rsidTr="00B24F77">
        <w:trPr>
          <w:trHeight w:val="330"/>
        </w:trPr>
        <w:tc>
          <w:tcPr>
            <w:tcW w:w="893" w:type="dxa"/>
            <w:vAlign w:val="center"/>
            <w:hideMark/>
          </w:tcPr>
          <w:p w14:paraId="109EE9D9" w14:textId="77777777" w:rsidR="00981E00" w:rsidRPr="00335BE0" w:rsidRDefault="00981E00" w:rsidP="00B24F77">
            <w:pPr>
              <w:contextualSpacing/>
              <w:rPr>
                <w:rFonts w:ascii="Verdana" w:hAnsi="Verdana" w:cs="Arial"/>
                <w:sz w:val="15"/>
                <w:szCs w:val="15"/>
                <w:lang w:val="es-ES" w:eastAsia="es-ES"/>
              </w:rPr>
            </w:pPr>
            <w:r w:rsidRPr="00335BE0">
              <w:rPr>
                <w:rFonts w:ascii="Verdana" w:hAnsi="Verdana" w:cs="Arial"/>
                <w:sz w:val="15"/>
                <w:szCs w:val="15"/>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B7DDFDB" w14:textId="77777777" w:rsidR="00981E00" w:rsidRPr="00335BE0" w:rsidRDefault="00981E00" w:rsidP="00B24F77">
            <w:pPr>
              <w:contextualSpacing/>
              <w:textAlignment w:val="baseline"/>
              <w:rPr>
                <w:rFonts w:ascii="Verdana" w:eastAsia="Times New Roman" w:hAnsi="Verdana" w:cs="Arial"/>
                <w:sz w:val="15"/>
                <w:szCs w:val="15"/>
                <w:lang w:val="es-ES" w:eastAsia="es-ES_tradnl"/>
              </w:rPr>
            </w:pPr>
            <w:r w:rsidRPr="00335BE0">
              <w:rPr>
                <w:rFonts w:ascii="Verdana" w:eastAsia="Times New Roman" w:hAnsi="Verdana" w:cs="Arial"/>
                <w:sz w:val="15"/>
                <w:szCs w:val="15"/>
                <w:lang w:val="es-ES" w:eastAsia="es-ES_tradnl"/>
              </w:rPr>
              <w:t>Alejandro Sarmiento Cantillo</w:t>
            </w:r>
          </w:p>
          <w:p w14:paraId="6701ACF9" w14:textId="77777777" w:rsidR="00981E00" w:rsidRPr="00335BE0" w:rsidRDefault="00981E00" w:rsidP="00B24F77">
            <w:pPr>
              <w:pStyle w:val="paragraph"/>
              <w:spacing w:before="0" w:beforeAutospacing="0" w:after="0" w:afterAutospacing="0"/>
              <w:contextualSpacing/>
              <w:textAlignment w:val="baseline"/>
              <w:rPr>
                <w:rFonts w:ascii="Verdana" w:hAnsi="Verdana" w:cs="Segoe UI"/>
                <w:sz w:val="15"/>
                <w:szCs w:val="15"/>
              </w:rPr>
            </w:pPr>
            <w:r w:rsidRPr="00335BE0">
              <w:rPr>
                <w:rFonts w:ascii="Verdana" w:hAnsi="Verdana" w:cs="Arial"/>
                <w:sz w:val="15"/>
                <w:szCs w:val="15"/>
                <w:lang w:val="es-ES"/>
              </w:rPr>
              <w:t xml:space="preserve">Gestor T1 – 15 </w:t>
            </w:r>
            <w:r w:rsidRPr="00335BE0">
              <w:rPr>
                <w:rStyle w:val="normaltextrun"/>
                <w:rFonts w:ascii="Verdana" w:hAnsi="Verdana" w:cs="Arial"/>
                <w:sz w:val="15"/>
                <w:szCs w:val="15"/>
                <w:lang w:val="es-ES"/>
              </w:rPr>
              <w:t>de la Subdirección de Gestión Contractual</w:t>
            </w:r>
            <w:r w:rsidRPr="00335BE0">
              <w:rPr>
                <w:rStyle w:val="eop"/>
                <w:rFonts w:ascii="Verdana" w:hAnsi="Verdana" w:cs="Arial"/>
                <w:sz w:val="15"/>
                <w:szCs w:val="15"/>
                <w:lang w:val="es-ES"/>
              </w:rPr>
              <w:t> </w:t>
            </w:r>
          </w:p>
        </w:tc>
      </w:tr>
      <w:tr w:rsidR="00981E00" w:rsidRPr="00335BE0" w14:paraId="05BA5A37" w14:textId="77777777" w:rsidTr="00B24F77">
        <w:trPr>
          <w:trHeight w:val="300"/>
        </w:trPr>
        <w:tc>
          <w:tcPr>
            <w:tcW w:w="893" w:type="dxa"/>
            <w:vAlign w:val="center"/>
          </w:tcPr>
          <w:p w14:paraId="60C7ED09" w14:textId="77777777" w:rsidR="00981E00" w:rsidRPr="00335BE0" w:rsidRDefault="00981E00" w:rsidP="00B24F77">
            <w:pPr>
              <w:contextualSpacing/>
              <w:rPr>
                <w:rFonts w:ascii="Verdana" w:hAnsi="Verdana" w:cs="Arial"/>
                <w:sz w:val="15"/>
                <w:szCs w:val="15"/>
                <w:lang w:val="es-ES" w:eastAsia="es-ES"/>
              </w:rPr>
            </w:pPr>
            <w:r w:rsidRPr="00335BE0">
              <w:rPr>
                <w:rFonts w:ascii="Verdana" w:hAnsi="Verdana" w:cs="Arial"/>
                <w:sz w:val="15"/>
                <w:szCs w:val="15"/>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0DD5FBD" w14:textId="77777777" w:rsidR="00981E00" w:rsidRPr="00335BE0" w:rsidRDefault="00981E00" w:rsidP="00B24F77">
            <w:pPr>
              <w:contextualSpacing/>
              <w:rPr>
                <w:rFonts w:ascii="Verdana" w:eastAsia="Calibri" w:hAnsi="Verdana" w:cs="Arial"/>
                <w:sz w:val="15"/>
                <w:szCs w:val="15"/>
                <w:lang w:val="pt-BR" w:eastAsia="es-ES"/>
              </w:rPr>
            </w:pPr>
            <w:r w:rsidRPr="00335BE0">
              <w:rPr>
                <w:rFonts w:ascii="Verdana" w:eastAsia="Calibri" w:hAnsi="Verdana" w:cs="Arial"/>
                <w:sz w:val="15"/>
                <w:szCs w:val="15"/>
                <w:lang w:val="pt-BR" w:eastAsia="es-ES"/>
              </w:rPr>
              <w:t>Carolina Quintero Gacharná</w:t>
            </w:r>
          </w:p>
          <w:p w14:paraId="77AEBDF5" w14:textId="77777777" w:rsidR="00981E00" w:rsidRPr="00335BE0" w:rsidRDefault="00981E00" w:rsidP="00B24F77">
            <w:pPr>
              <w:contextualSpacing/>
              <w:rPr>
                <w:rFonts w:ascii="Verdana" w:eastAsia="Calibri" w:hAnsi="Verdana" w:cs="Arial"/>
                <w:sz w:val="15"/>
                <w:szCs w:val="15"/>
                <w:lang w:val="pt-BR" w:eastAsia="es-ES"/>
              </w:rPr>
            </w:pPr>
            <w:r w:rsidRPr="00335BE0">
              <w:rPr>
                <w:rFonts w:ascii="Verdana" w:eastAsia="Calibri" w:hAnsi="Verdana" w:cs="Arial"/>
                <w:sz w:val="15"/>
                <w:szCs w:val="15"/>
                <w:lang w:eastAsia="es-ES"/>
              </w:rPr>
              <w:t>Subdirectora</w:t>
            </w:r>
            <w:r w:rsidRPr="00335BE0">
              <w:rPr>
                <w:rFonts w:ascii="Verdana" w:eastAsia="Calibri" w:hAnsi="Verdana" w:cs="Arial"/>
                <w:sz w:val="15"/>
                <w:szCs w:val="15"/>
                <w:lang w:val="pt-BR" w:eastAsia="es-ES"/>
              </w:rPr>
              <w:t xml:space="preserve"> de Gestión Contractual ANCP – CCE</w:t>
            </w:r>
          </w:p>
        </w:tc>
      </w:tr>
    </w:tbl>
    <w:p w14:paraId="5923AD58" w14:textId="77777777" w:rsidR="00981E00" w:rsidRPr="004F6FE2" w:rsidRDefault="00981E00" w:rsidP="00981E00"/>
    <w:p w14:paraId="48BE001B" w14:textId="77777777" w:rsidR="00981E00" w:rsidRPr="00A4627D" w:rsidRDefault="00981E00" w:rsidP="00981E00"/>
    <w:p w14:paraId="0F293BF4" w14:textId="223030E1" w:rsidR="00127233" w:rsidRPr="006B4D17" w:rsidRDefault="00127233" w:rsidP="006B4D17"/>
    <w:sectPr w:rsidR="00127233" w:rsidRPr="006B4D17"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601999" w14:textId="77777777" w:rsidR="00AA5294" w:rsidRDefault="00AA5294" w:rsidP="004A1847">
      <w:pPr>
        <w:spacing w:after="0" w:line="240" w:lineRule="auto"/>
      </w:pPr>
      <w:r>
        <w:separator/>
      </w:r>
    </w:p>
  </w:endnote>
  <w:endnote w:type="continuationSeparator" w:id="0">
    <w:p w14:paraId="7F8341E9" w14:textId="77777777" w:rsidR="00AA5294" w:rsidRDefault="00AA5294" w:rsidP="004A1847">
      <w:pPr>
        <w:spacing w:after="0" w:line="240" w:lineRule="auto"/>
      </w:pPr>
      <w:r>
        <w:continuationSeparator/>
      </w:r>
    </w:p>
  </w:endnote>
  <w:endnote w:type="continuationNotice" w:id="1">
    <w:p w14:paraId="1B8D6AE5" w14:textId="77777777" w:rsidR="00AA5294" w:rsidRDefault="00AA529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panose1 w:val="020B0004020202020204"/>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Arial"/>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6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Footer"/>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E4DA21E" w14:textId="77777777" w:rsidR="00AA5294" w:rsidRDefault="00AA5294" w:rsidP="004A1847">
      <w:pPr>
        <w:spacing w:after="0" w:line="240" w:lineRule="auto"/>
      </w:pPr>
      <w:r>
        <w:separator/>
      </w:r>
    </w:p>
  </w:footnote>
  <w:footnote w:type="continuationSeparator" w:id="0">
    <w:p w14:paraId="1EAF5BD7" w14:textId="77777777" w:rsidR="00AA5294" w:rsidRDefault="00AA5294" w:rsidP="004A1847">
      <w:pPr>
        <w:spacing w:after="0" w:line="240" w:lineRule="auto"/>
      </w:pPr>
      <w:r>
        <w:continuationSeparator/>
      </w:r>
    </w:p>
  </w:footnote>
  <w:footnote w:type="continuationNotice" w:id="1">
    <w:p w14:paraId="1BCEAE4A" w14:textId="77777777" w:rsidR="00AA5294" w:rsidRDefault="00AA5294">
      <w:pPr>
        <w:spacing w:after="0" w:line="240" w:lineRule="auto"/>
      </w:pPr>
    </w:p>
  </w:footnote>
  <w:footnote w:id="2">
    <w:p w14:paraId="493FE0ED" w14:textId="77777777" w:rsidR="00981E00" w:rsidRPr="00481C72" w:rsidRDefault="00981E00" w:rsidP="00981E00">
      <w:pPr>
        <w:pStyle w:val="FootnoteText"/>
        <w:ind w:firstLine="708"/>
        <w:contextualSpacing/>
        <w:jc w:val="both"/>
        <w:rPr>
          <w:rFonts w:ascii="Verdana" w:hAnsi="Verdana"/>
          <w:sz w:val="16"/>
          <w:szCs w:val="16"/>
        </w:rPr>
      </w:pPr>
      <w:r w:rsidRPr="00481C72">
        <w:rPr>
          <w:rStyle w:val="FootnoteReference"/>
          <w:rFonts w:ascii="Verdana" w:hAnsi="Verdana" w:cs="Arial"/>
          <w:sz w:val="16"/>
          <w:szCs w:val="16"/>
        </w:rPr>
        <w:footnoteRef/>
      </w:r>
      <w:r w:rsidRPr="00481C72">
        <w:rPr>
          <w:rFonts w:ascii="Verdana" w:hAnsi="Verdana" w:cs="Arial"/>
          <w:sz w:val="16"/>
          <w:szCs w:val="16"/>
        </w:rPr>
        <w:t xml:space="preserve"> </w:t>
      </w:r>
      <w:r w:rsidRPr="00481C72">
        <w:rPr>
          <w:rFonts w:ascii="Verdana" w:hAnsi="Verdana"/>
          <w:sz w:val="16"/>
          <w:szCs w:val="16"/>
        </w:rPr>
        <w:t>Por la cual se modifica la Ley 29 de 1990, se transforma a Colciencias en Departamento Administrativo, se fortalece el Sistema Nacional de Ciencia, Tecnología e Innovación&lt;</w:t>
      </w:r>
      <w:hyperlink r:id="rId1" w:anchor="1" w:history="1">
        <w:r w:rsidRPr="00481C72">
          <w:rPr>
            <w:rFonts w:ascii="Verdana" w:hAnsi="Verdana"/>
            <w:sz w:val="16"/>
            <w:szCs w:val="16"/>
          </w:rPr>
          <w:t>1</w:t>
        </w:r>
      </w:hyperlink>
      <w:r w:rsidRPr="00481C72">
        <w:rPr>
          <w:rFonts w:ascii="Verdana" w:hAnsi="Verdana"/>
          <w:sz w:val="16"/>
          <w:szCs w:val="16"/>
        </w:rPr>
        <w:t>&gt; en Colombia y se dictan otras disposiciones.</w:t>
      </w:r>
    </w:p>
  </w:footnote>
  <w:footnote w:id="3">
    <w:p w14:paraId="32A4B3F9" w14:textId="77777777" w:rsidR="00981E00" w:rsidRPr="00481C72" w:rsidRDefault="00981E00" w:rsidP="00981E00">
      <w:pPr>
        <w:pStyle w:val="FootnoteText"/>
        <w:ind w:firstLine="708"/>
        <w:contextualSpacing/>
        <w:jc w:val="both"/>
        <w:rPr>
          <w:rFonts w:ascii="Verdana" w:hAnsi="Verdana"/>
          <w:sz w:val="16"/>
          <w:szCs w:val="16"/>
        </w:rPr>
      </w:pPr>
      <w:r w:rsidRPr="00481C72">
        <w:rPr>
          <w:rStyle w:val="FootnoteReference"/>
          <w:rFonts w:ascii="Verdana" w:hAnsi="Verdana"/>
          <w:sz w:val="16"/>
          <w:szCs w:val="16"/>
        </w:rPr>
        <w:footnoteRef/>
      </w:r>
      <w:r w:rsidRPr="00481C72">
        <w:rPr>
          <w:rFonts w:ascii="Verdana" w:hAnsi="Verdana"/>
          <w:sz w:val="16"/>
          <w:szCs w:val="16"/>
        </w:rPr>
        <w:t xml:space="preserve"> Decreto Ley 393 de 1991. “Artículo 1°. Modalidades de asociación. Para adelantar actividades científicas y tecnológicas proyectos de investigación y creación de tecnologías, la Nación y sus entidades descentralizadas podrán asociarse con los particulares bajo dos modalidades. </w:t>
      </w:r>
    </w:p>
    <w:p w14:paraId="7399230F" w14:textId="77777777" w:rsidR="00981E00" w:rsidRPr="00481C72" w:rsidRDefault="00981E00" w:rsidP="00981E00">
      <w:pPr>
        <w:pStyle w:val="FootnoteText"/>
        <w:ind w:firstLine="708"/>
        <w:contextualSpacing/>
        <w:jc w:val="both"/>
        <w:rPr>
          <w:rFonts w:ascii="Verdana" w:hAnsi="Verdana"/>
          <w:sz w:val="16"/>
          <w:szCs w:val="16"/>
        </w:rPr>
      </w:pPr>
      <w:r w:rsidRPr="00481C72">
        <w:rPr>
          <w:rFonts w:ascii="Verdana" w:hAnsi="Verdana"/>
          <w:sz w:val="16"/>
          <w:szCs w:val="16"/>
        </w:rPr>
        <w:t>1. Mediante la creación y organización de sociedades civiles y comerciales y personas jurídicas sin ánimo de lucro como corporaciones y fundaciones. </w:t>
      </w:r>
    </w:p>
    <w:p w14:paraId="54E2DADA" w14:textId="77777777" w:rsidR="00981E00" w:rsidRPr="00481C72" w:rsidRDefault="00981E00" w:rsidP="00981E00">
      <w:pPr>
        <w:pStyle w:val="FootnoteText"/>
        <w:ind w:firstLine="708"/>
        <w:contextualSpacing/>
        <w:jc w:val="both"/>
        <w:rPr>
          <w:rFonts w:ascii="Verdana" w:hAnsi="Verdana"/>
          <w:sz w:val="16"/>
          <w:szCs w:val="16"/>
        </w:rPr>
      </w:pPr>
      <w:r w:rsidRPr="00481C72">
        <w:rPr>
          <w:rFonts w:ascii="Verdana" w:hAnsi="Verdana"/>
          <w:sz w:val="16"/>
          <w:szCs w:val="16"/>
        </w:rPr>
        <w:t>2. Mediante la celebración de convenios especiales de cooperación”. </w:t>
      </w:r>
    </w:p>
    <w:p w14:paraId="1DF2C652" w14:textId="77777777" w:rsidR="00981E00" w:rsidRPr="00481C72" w:rsidRDefault="00981E00" w:rsidP="00981E00">
      <w:pPr>
        <w:pStyle w:val="FootnoteText"/>
        <w:ind w:firstLine="708"/>
        <w:contextualSpacing/>
        <w:jc w:val="both"/>
        <w:rPr>
          <w:rFonts w:ascii="Verdana" w:hAnsi="Verdana"/>
          <w:sz w:val="16"/>
          <w:szCs w:val="16"/>
          <w:lang w:val="en-CO"/>
        </w:rPr>
      </w:pPr>
      <w:r w:rsidRPr="00481C72">
        <w:rPr>
          <w:rFonts w:ascii="Verdana" w:hAnsi="Verdana"/>
          <w:sz w:val="16"/>
          <w:szCs w:val="16"/>
          <w:lang w:val="en-CO"/>
        </w:rPr>
        <w:t>“Artículo 6°. Convenio especial de cooperación. Para adelantar actividades científicas y tecnológicas, proyectos de investigación y creación de tecnologías, la Nación y sus entidades descentralizadas podrán celebrar con los particulares convenios especiales de cooperación, que no darán lugar al nacimiento de una nueva persona jurídica. En virtud de estos convenios las personas que los celebren aportan recursos de distinto tipo para facilitar fomentar, desarrollar y alcanzar en común algunos de los propósitos contemplados en el artículo segundo”. </w:t>
      </w:r>
    </w:p>
  </w:footnote>
  <w:footnote w:id="4">
    <w:p w14:paraId="05AF0B90" w14:textId="77777777" w:rsidR="00981E00" w:rsidRPr="00481C72" w:rsidRDefault="00981E00" w:rsidP="00981E00">
      <w:pPr>
        <w:pStyle w:val="FootnoteText"/>
        <w:ind w:firstLine="708"/>
        <w:contextualSpacing/>
        <w:jc w:val="both"/>
        <w:rPr>
          <w:rFonts w:ascii="Verdana" w:hAnsi="Verdana"/>
          <w:sz w:val="16"/>
          <w:szCs w:val="16"/>
          <w:lang w:val="es-ES"/>
        </w:rPr>
      </w:pPr>
      <w:r w:rsidRPr="00481C72">
        <w:rPr>
          <w:rStyle w:val="FootnoteReference"/>
          <w:rFonts w:ascii="Verdana" w:hAnsi="Verdana"/>
          <w:sz w:val="16"/>
          <w:szCs w:val="16"/>
        </w:rPr>
        <w:footnoteRef/>
      </w:r>
      <w:r w:rsidRPr="00481C72">
        <w:rPr>
          <w:rFonts w:ascii="Verdana" w:hAnsi="Verdana"/>
          <w:sz w:val="16"/>
          <w:szCs w:val="16"/>
        </w:rPr>
        <w:t xml:space="preserve"> </w:t>
      </w:r>
      <w:r w:rsidRPr="00481C72">
        <w:rPr>
          <w:rFonts w:ascii="Verdana" w:hAnsi="Verdana"/>
          <w:sz w:val="16"/>
          <w:szCs w:val="16"/>
          <w:lang w:val="es-CO"/>
        </w:rPr>
        <w:t>Consejo de Estado. Sala de Consulta y Servicio Civil. Concepto del ocho (08) de marzo de dos mil diecisiete (2017). Radicación número: 11001-03-06-000-2016-00102-00(2298). C.P. Edgar González López.</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rsidP="00844AE9">
    <w:pPr>
      <w:pStyle w:val="Header"/>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Heade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394" type="#_x0000_t75" style="width:12.2pt;height:12.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41546F3E"/>
    <w:multiLevelType w:val="hybridMultilevel"/>
    <w:tmpl w:val="0E1E106C"/>
    <w:lvl w:ilvl="0" w:tplc="04090017">
      <w:start w:val="1"/>
      <w:numFmt w:val="lowerLetter"/>
      <w:lvlText w:val="%1)"/>
      <w:lvlJc w:val="left"/>
      <w:pPr>
        <w:ind w:left="1070" w:hanging="360"/>
      </w:pPr>
    </w:lvl>
    <w:lvl w:ilvl="1" w:tplc="04090019" w:tentative="1">
      <w:start w:val="1"/>
      <w:numFmt w:val="lowerLetter"/>
      <w:lvlText w:val="%2."/>
      <w:lvlJc w:val="left"/>
      <w:pPr>
        <w:ind w:left="1790" w:hanging="360"/>
      </w:pPr>
    </w:lvl>
    <w:lvl w:ilvl="2" w:tplc="0409001B" w:tentative="1">
      <w:start w:val="1"/>
      <w:numFmt w:val="lowerRoman"/>
      <w:lvlText w:val="%3."/>
      <w:lvlJc w:val="right"/>
      <w:pPr>
        <w:ind w:left="2510" w:hanging="180"/>
      </w:pPr>
    </w:lvl>
    <w:lvl w:ilvl="3" w:tplc="0409000F" w:tentative="1">
      <w:start w:val="1"/>
      <w:numFmt w:val="decimal"/>
      <w:lvlText w:val="%4."/>
      <w:lvlJc w:val="left"/>
      <w:pPr>
        <w:ind w:left="3230" w:hanging="360"/>
      </w:pPr>
    </w:lvl>
    <w:lvl w:ilvl="4" w:tplc="04090019" w:tentative="1">
      <w:start w:val="1"/>
      <w:numFmt w:val="lowerLetter"/>
      <w:lvlText w:val="%5."/>
      <w:lvlJc w:val="left"/>
      <w:pPr>
        <w:ind w:left="3950" w:hanging="360"/>
      </w:pPr>
    </w:lvl>
    <w:lvl w:ilvl="5" w:tplc="0409001B" w:tentative="1">
      <w:start w:val="1"/>
      <w:numFmt w:val="lowerRoman"/>
      <w:lvlText w:val="%6."/>
      <w:lvlJc w:val="right"/>
      <w:pPr>
        <w:ind w:left="4670" w:hanging="180"/>
      </w:pPr>
    </w:lvl>
    <w:lvl w:ilvl="6" w:tplc="0409000F" w:tentative="1">
      <w:start w:val="1"/>
      <w:numFmt w:val="decimal"/>
      <w:lvlText w:val="%7."/>
      <w:lvlJc w:val="left"/>
      <w:pPr>
        <w:ind w:left="5390" w:hanging="360"/>
      </w:pPr>
    </w:lvl>
    <w:lvl w:ilvl="7" w:tplc="04090019" w:tentative="1">
      <w:start w:val="1"/>
      <w:numFmt w:val="lowerLetter"/>
      <w:lvlText w:val="%8."/>
      <w:lvlJc w:val="left"/>
      <w:pPr>
        <w:ind w:left="6110" w:hanging="360"/>
      </w:pPr>
    </w:lvl>
    <w:lvl w:ilvl="8" w:tplc="0409001B" w:tentative="1">
      <w:start w:val="1"/>
      <w:numFmt w:val="lowerRoman"/>
      <w:lvlText w:val="%9."/>
      <w:lvlJc w:val="right"/>
      <w:pPr>
        <w:ind w:left="6830" w:hanging="180"/>
      </w:p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341274352">
    <w:abstractNumId w:val="0"/>
  </w:num>
  <w:num w:numId="17" w16cid:durableId="679089576">
    <w:abstractNumId w:val="9"/>
  </w:num>
  <w:num w:numId="18" w16cid:durableId="132396957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2"/>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A33BF"/>
    <w:rsid w:val="001D1599"/>
    <w:rsid w:val="001E4177"/>
    <w:rsid w:val="001F0B24"/>
    <w:rsid w:val="001F7DC6"/>
    <w:rsid w:val="0022400B"/>
    <w:rsid w:val="002421BB"/>
    <w:rsid w:val="0025796E"/>
    <w:rsid w:val="00260FA4"/>
    <w:rsid w:val="002707A2"/>
    <w:rsid w:val="00281BC3"/>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C564F"/>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52AA"/>
    <w:rsid w:val="005566E8"/>
    <w:rsid w:val="00563421"/>
    <w:rsid w:val="00574867"/>
    <w:rsid w:val="00591460"/>
    <w:rsid w:val="005A65E0"/>
    <w:rsid w:val="005C3777"/>
    <w:rsid w:val="005C5CDC"/>
    <w:rsid w:val="005D476C"/>
    <w:rsid w:val="006200BF"/>
    <w:rsid w:val="006219F8"/>
    <w:rsid w:val="006302F7"/>
    <w:rsid w:val="00646B9F"/>
    <w:rsid w:val="00665D70"/>
    <w:rsid w:val="006900D9"/>
    <w:rsid w:val="006B4D17"/>
    <w:rsid w:val="00706C16"/>
    <w:rsid w:val="007340C3"/>
    <w:rsid w:val="0075235A"/>
    <w:rsid w:val="00756841"/>
    <w:rsid w:val="007649AB"/>
    <w:rsid w:val="00771D0C"/>
    <w:rsid w:val="007833AC"/>
    <w:rsid w:val="007B268C"/>
    <w:rsid w:val="007B7171"/>
    <w:rsid w:val="007C0C0F"/>
    <w:rsid w:val="007C3DC2"/>
    <w:rsid w:val="007E4701"/>
    <w:rsid w:val="007E5497"/>
    <w:rsid w:val="00806F5F"/>
    <w:rsid w:val="00820278"/>
    <w:rsid w:val="008258C9"/>
    <w:rsid w:val="008437D9"/>
    <w:rsid w:val="00844AE9"/>
    <w:rsid w:val="00867F95"/>
    <w:rsid w:val="008843B6"/>
    <w:rsid w:val="00891928"/>
    <w:rsid w:val="008A446D"/>
    <w:rsid w:val="008B25F1"/>
    <w:rsid w:val="008D180B"/>
    <w:rsid w:val="008F0EA7"/>
    <w:rsid w:val="00923EEF"/>
    <w:rsid w:val="009419F9"/>
    <w:rsid w:val="009468CB"/>
    <w:rsid w:val="0095685E"/>
    <w:rsid w:val="00961B09"/>
    <w:rsid w:val="00965334"/>
    <w:rsid w:val="0097093E"/>
    <w:rsid w:val="00981E00"/>
    <w:rsid w:val="009A0DFA"/>
    <w:rsid w:val="009A1C6F"/>
    <w:rsid w:val="009A67B1"/>
    <w:rsid w:val="009B2D26"/>
    <w:rsid w:val="009C71FA"/>
    <w:rsid w:val="009C72E7"/>
    <w:rsid w:val="009C7F7E"/>
    <w:rsid w:val="009D303A"/>
    <w:rsid w:val="009D3058"/>
    <w:rsid w:val="009F3A13"/>
    <w:rsid w:val="00A122D3"/>
    <w:rsid w:val="00A14468"/>
    <w:rsid w:val="00A17F13"/>
    <w:rsid w:val="00A20739"/>
    <w:rsid w:val="00A23AF9"/>
    <w:rsid w:val="00A33C78"/>
    <w:rsid w:val="00AA5294"/>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459C4"/>
    <w:rsid w:val="00D520D8"/>
    <w:rsid w:val="00D63AC2"/>
    <w:rsid w:val="00D72E86"/>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36E6"/>
    <w:rsid w:val="00E8772A"/>
    <w:rsid w:val="00E90F6B"/>
    <w:rsid w:val="00E92C27"/>
    <w:rsid w:val="00EA0E3D"/>
    <w:rsid w:val="00EC38A7"/>
    <w:rsid w:val="00EE1AA8"/>
    <w:rsid w:val="00F23FEA"/>
    <w:rsid w:val="00F31EDC"/>
    <w:rsid w:val="00F462B3"/>
    <w:rsid w:val="00F5664F"/>
    <w:rsid w:val="00F666C4"/>
    <w:rsid w:val="00F76AFC"/>
    <w:rsid w:val="00FA47C0"/>
    <w:rsid w:val="00FB1B14"/>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A1847"/>
    <w:pPr>
      <w:tabs>
        <w:tab w:val="center" w:pos="4419"/>
        <w:tab w:val="right" w:pos="8838"/>
      </w:tabs>
      <w:spacing w:after="0" w:line="240" w:lineRule="auto"/>
    </w:pPr>
  </w:style>
  <w:style w:type="character" w:customStyle="1" w:styleId="HeaderChar">
    <w:name w:val="Header Char"/>
    <w:basedOn w:val="DefaultParagraphFont"/>
    <w:link w:val="Header"/>
    <w:uiPriority w:val="99"/>
    <w:rsid w:val="004A1847"/>
  </w:style>
  <w:style w:type="paragraph" w:styleId="Footer">
    <w:name w:val="footer"/>
    <w:basedOn w:val="Normal"/>
    <w:link w:val="FooterChar"/>
    <w:uiPriority w:val="99"/>
    <w:unhideWhenUsed/>
    <w:rsid w:val="004A1847"/>
    <w:pPr>
      <w:tabs>
        <w:tab w:val="center" w:pos="4419"/>
        <w:tab w:val="right" w:pos="8838"/>
      </w:tabs>
      <w:spacing w:after="0" w:line="240" w:lineRule="auto"/>
    </w:pPr>
  </w:style>
  <w:style w:type="character" w:customStyle="1" w:styleId="FooterChar">
    <w:name w:val="Footer Char"/>
    <w:basedOn w:val="DefaultParagraphFont"/>
    <w:link w:val="Footer"/>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FootnoteTextChar">
    <w:name w:val="Footnote Text Char"/>
    <w:aliases w:val="Ref. de nota al pie1 Char,Texto de nota al pie Char,referencia nota al pie Char,Appel note de bas de page Char,Footnotes refss Char,Footnote number Char,BVI fnr Char,Footnote Text Char Char Char Char Char Char,Footnote reference Char"/>
    <w:basedOn w:val="DefaultParagraphFont"/>
    <w:link w:val="FootnoteText"/>
    <w:uiPriority w:val="99"/>
    <w:qFormat/>
    <w:locked/>
    <w:rsid w:val="006219F8"/>
    <w:rPr>
      <w:sz w:val="20"/>
      <w:szCs w:val="20"/>
      <w:lang w:val="es-MX"/>
    </w:rPr>
  </w:style>
  <w:style w:type="paragraph" w:styleId="FootnoteText">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FootnoteTextChar"/>
    <w:uiPriority w:val="99"/>
    <w:unhideWhenUsed/>
    <w:qFormat/>
    <w:rsid w:val="006219F8"/>
    <w:pPr>
      <w:spacing w:after="0" w:line="240" w:lineRule="auto"/>
    </w:pPr>
    <w:rPr>
      <w:sz w:val="20"/>
      <w:szCs w:val="20"/>
      <w:lang w:val="es-MX"/>
    </w:rPr>
  </w:style>
  <w:style w:type="character" w:customStyle="1" w:styleId="TextonotapieCar1">
    <w:name w:val="Texto nota pie Car1"/>
    <w:basedOn w:val="DefaultParagraphFont"/>
    <w:uiPriority w:val="99"/>
    <w:semiHidden/>
    <w:rsid w:val="006219F8"/>
    <w:rPr>
      <w:sz w:val="20"/>
      <w:szCs w:val="20"/>
    </w:rPr>
  </w:style>
  <w:style w:type="character" w:styleId="FootnoteReference">
    <w:name w:val="footnote reference"/>
    <w:aliases w:val="Ref. de nota al pie 2,Ref,de nota al pie,FC,Appel note de bas de p,f,4_G,16 Point,Superscript 6 Point,Texto nota al pie,Pie de Página,Texto de nota al pi,Nota de pie,Texto de nota al p,Footnote Reference Char3,Texto nota pie Car2,F,R"/>
    <w:basedOn w:val="DefaultParagraphFont"/>
    <w:link w:val="Appelnotedebasde"/>
    <w:uiPriority w:val="99"/>
    <w:unhideWhenUsed/>
    <w:qFormat/>
    <w:rsid w:val="006219F8"/>
    <w:rPr>
      <w:vertAlign w:val="superscript"/>
    </w:rPr>
  </w:style>
  <w:style w:type="character" w:customStyle="1" w:styleId="normaltextrun">
    <w:name w:val="normaltextrun"/>
    <w:basedOn w:val="DefaultParagraphFont"/>
    <w:rsid w:val="006219F8"/>
  </w:style>
  <w:style w:type="table" w:styleId="TableGrid">
    <w:name w:val="Table Grid"/>
    <w:basedOn w:val="Table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Fotografía,Párrafo de lista1,Bullet List,FooterText,numbered,Paragraphe de liste1,lp1,Scitum normal,HOJA,Bolita,Párrafo de lista4,BOLADEF,Párrafo de lista3,Párrafo de lista21,BOLA,Nivel 1 OS,Colorful List Accent 1,Foot"/>
    <w:basedOn w:val="Normal"/>
    <w:link w:val="ListParagraphChar"/>
    <w:uiPriority w:val="34"/>
    <w:qFormat/>
    <w:rsid w:val="005566E8"/>
    <w:pPr>
      <w:ind w:left="720"/>
      <w:contextualSpacing/>
    </w:pPr>
    <w:rPr>
      <w:rFonts w:ascii="Geomanist Light" w:hAnsi="Geomanist Light"/>
      <w:lang w:val="es-ES"/>
    </w:rPr>
  </w:style>
  <w:style w:type="paragraph" w:styleId="Title">
    <w:name w:val="Title"/>
    <w:basedOn w:val="Normal"/>
    <w:next w:val="Normal"/>
    <w:link w:val="TitleCh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itleChar">
    <w:name w:val="Title Char"/>
    <w:basedOn w:val="DefaultParagraphFont"/>
    <w:link w:val="Title"/>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DefaultParagraphFont"/>
    <w:rsid w:val="00DA231B"/>
  </w:style>
  <w:style w:type="character" w:styleId="Hyperlink">
    <w:name w:val="Hyperlink"/>
    <w:basedOn w:val="DefaultParagraphFont"/>
    <w:uiPriority w:val="99"/>
    <w:unhideWhenUsed/>
    <w:rsid w:val="00125105"/>
    <w:rPr>
      <w:color w:val="0000FF"/>
      <w:u w:val="single"/>
    </w:rPr>
  </w:style>
  <w:style w:type="character" w:styleId="FollowedHyperlink">
    <w:name w:val="FollowedHyperlink"/>
    <w:basedOn w:val="DefaultParagraphFont"/>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DefaultParagraphFont"/>
    <w:rsid w:val="00322A85"/>
  </w:style>
  <w:style w:type="character" w:customStyle="1" w:styleId="eop">
    <w:name w:val="eop"/>
    <w:basedOn w:val="DefaultParagraphFont"/>
    <w:rsid w:val="00322A85"/>
  </w:style>
  <w:style w:type="character" w:styleId="UnresolvedMention">
    <w:name w:val="Unresolved Mention"/>
    <w:basedOn w:val="DefaultParagraphFont"/>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on">
    <w:name w:val="Revision"/>
    <w:hidden/>
    <w:uiPriority w:val="99"/>
    <w:semiHidden/>
    <w:rsid w:val="009F3A13"/>
    <w:pPr>
      <w:spacing w:after="0" w:line="240" w:lineRule="auto"/>
    </w:pPr>
  </w:style>
  <w:style w:type="paragraph" w:customStyle="1" w:styleId="Appelnotedebasde">
    <w:name w:val="Appel note de bas de..."/>
    <w:basedOn w:val="Normal"/>
    <w:link w:val="FootnoteReference"/>
    <w:uiPriority w:val="99"/>
    <w:rsid w:val="00981E00"/>
    <w:pPr>
      <w:spacing w:line="240" w:lineRule="exact"/>
    </w:pPr>
    <w:rPr>
      <w:vertAlign w:val="superscript"/>
    </w:rPr>
  </w:style>
  <w:style w:type="character" w:customStyle="1" w:styleId="ListParagraphChar">
    <w:name w:val="List Paragraph Char"/>
    <w:aliases w:val="Fotografía Char,Párrafo de lista1 Char,Bullet List Char,FooterText Char,numbered Char,Paragraphe de liste1 Char,lp1 Char,Scitum normal Char,HOJA Char,Bolita Char,Párrafo de lista4 Char,BOLADEF Char,Párrafo de lista3 Char,BOLA Char"/>
    <w:link w:val="ListParagraph"/>
    <w:uiPriority w:val="34"/>
    <w:qFormat/>
    <w:locked/>
    <w:rsid w:val="00981E00"/>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providencias-consejo-de-estado/"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nelsongomez@itm.edu.c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www.secretariasenado.gov.co/senado/basedoc/ley_1286_2009.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01781fedfafda0f78eb836b344c0283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c95995aec6ec9bb8a2772c6ac378fe6"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E58A801-9BF9-4AF4-BA48-D8DC542DDBCB}"/>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d8f5e815-0076-445a-b727-5225634d30bd"/>
    <ds:schemaRef ds:uri="8ae15d26-076e-464e-81a7-6f76a0fb3917"/>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3</TotalTime>
  <Pages>13</Pages>
  <Words>4030</Words>
  <Characters>22973</Characters>
  <Application>Microsoft Office Word</Application>
  <DocSecurity>0</DocSecurity>
  <Lines>191</Lines>
  <Paragraphs>53</Paragraphs>
  <ScaleCrop>false</ScaleCrop>
  <Company/>
  <LinksUpToDate>false</LinksUpToDate>
  <CharactersWithSpaces>26950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Agencia Nacional de Contratación Pública - CCE</cp:lastModifiedBy>
  <cp:revision>3</cp:revision>
  <cp:lastPrinted>2023-01-10T21:18:00Z</cp:lastPrinted>
  <dcterms:created xsi:type="dcterms:W3CDTF">2025-12-31T18:02:00Z</dcterms:created>
  <dcterms:modified xsi:type="dcterms:W3CDTF">2025-12-31T18:04:00Z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