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6EFEE" w14:textId="77777777" w:rsidR="00086D23" w:rsidRPr="00086D23" w:rsidRDefault="00086D23" w:rsidP="00DA16BA">
      <w:pPr>
        <w:spacing w:after="0" w:line="240" w:lineRule="auto"/>
        <w:rPr>
          <w:rFonts w:ascii="Verdana" w:eastAsia="Calibri" w:hAnsi="Verdana" w:cs="Arial"/>
          <w:b/>
          <w:bCs/>
          <w:lang w:val="es-ES" w:eastAsia="es-ES"/>
        </w:rPr>
      </w:pPr>
      <w:bookmarkStart w:id="0" w:name="_Hlk143780582"/>
      <w:r w:rsidRPr="00086D23">
        <w:rPr>
          <w:rFonts w:ascii="Verdana" w:hAnsi="Verdana" w:cs="Arial"/>
          <w:b/>
          <w:bCs/>
          <w:lang w:val="es-ES_tradnl"/>
        </w:rPr>
        <w:t>ANTICIPO – Regulación normativa</w:t>
      </w:r>
      <w:r w:rsidRPr="00086D23">
        <w:rPr>
          <w:rFonts w:ascii="Verdana" w:eastAsia="Calibri" w:hAnsi="Verdana" w:cs="Arial"/>
          <w:b/>
          <w:bCs/>
          <w:lang w:val="es-ES" w:eastAsia="es-ES"/>
        </w:rPr>
        <w:t xml:space="preserve"> </w:t>
      </w:r>
    </w:p>
    <w:p w14:paraId="0BCE200F" w14:textId="5D235CBC" w:rsidR="00086D23" w:rsidRPr="00086D23" w:rsidRDefault="00086D23" w:rsidP="00086D23">
      <w:pPr>
        <w:spacing w:after="0" w:line="240" w:lineRule="auto"/>
        <w:rPr>
          <w:rFonts w:ascii="Verdana" w:eastAsia="Calibri" w:hAnsi="Verdana" w:cs="Arial"/>
          <w:b/>
          <w:bCs/>
          <w:sz w:val="20"/>
          <w:szCs w:val="20"/>
          <w:lang w:val="es-ES" w:eastAsia="es-ES"/>
        </w:rPr>
      </w:pPr>
    </w:p>
    <w:p w14:paraId="48A04914" w14:textId="0128C5A6" w:rsidR="00086D23" w:rsidRDefault="00086D23" w:rsidP="00086D23">
      <w:pPr>
        <w:widowControl w:val="0"/>
        <w:tabs>
          <w:tab w:val="left" w:pos="709"/>
        </w:tabs>
        <w:autoSpaceDE w:val="0"/>
        <w:autoSpaceDN w:val="0"/>
        <w:spacing w:after="0" w:line="240" w:lineRule="auto"/>
        <w:jc w:val="both"/>
        <w:rPr>
          <w:rFonts w:ascii="Verdana" w:hAnsi="Verdana" w:cs="Arial"/>
          <w:color w:val="000000" w:themeColor="text1"/>
          <w:sz w:val="20"/>
          <w:szCs w:val="20"/>
        </w:rPr>
      </w:pPr>
      <w:r w:rsidRPr="00086D23">
        <w:rPr>
          <w:rFonts w:ascii="Verdana" w:hAnsi="Verdana" w:cs="Arial"/>
          <w:color w:val="000000"/>
          <w:sz w:val="20"/>
          <w:szCs w:val="20"/>
          <w:lang w:eastAsia="en-GB"/>
        </w:rPr>
        <w:t>En materia de contratación pública, la institución jurídica del anticipo está prevista en dos (2) preceptos normativos: el</w:t>
      </w:r>
      <w:r w:rsidRPr="00086D23">
        <w:rPr>
          <w:rFonts w:ascii="Verdana" w:hAnsi="Verdana" w:cs="Arial"/>
          <w:color w:val="000000" w:themeColor="text1"/>
          <w:sz w:val="20"/>
          <w:szCs w:val="20"/>
        </w:rPr>
        <w:t xml:space="preserve"> inciso primero del parágrafo del artículo 40 de la Ley 80 de 1993 y en el artículo 91 de la Ley 1474 de 2011. En cuanto al Estatuto General de Contratación de la Administración Pública – en adelante EGCAP, se dispone la posibilidad de pactar anticipos en los contratos, pero sujeto a determinadas limitaciones. En efecto, la norma prescribe que “En los contratos que celebren las entidades estatales </w:t>
      </w:r>
      <w:r w:rsidRPr="00086D23">
        <w:rPr>
          <w:rFonts w:ascii="Verdana" w:hAnsi="Verdana" w:cs="Arial"/>
          <w:i/>
          <w:color w:val="000000" w:themeColor="text1"/>
          <w:sz w:val="20"/>
          <w:szCs w:val="20"/>
        </w:rPr>
        <w:t>se podrá pactar el pago anticipado y la entrega de anticipos</w:t>
      </w:r>
      <w:r w:rsidRPr="00086D23">
        <w:rPr>
          <w:rFonts w:ascii="Verdana" w:hAnsi="Verdana" w:cs="Arial"/>
          <w:color w:val="000000" w:themeColor="text1"/>
          <w:sz w:val="20"/>
          <w:szCs w:val="20"/>
        </w:rPr>
        <w:t>, pero su monto no podrá exceder del cincuenta por ciento (50%) del valor del respectivo contrato” (Énfasis fuera de texto)</w:t>
      </w:r>
    </w:p>
    <w:p w14:paraId="14332203" w14:textId="77777777" w:rsidR="00086D23" w:rsidRPr="00086D23" w:rsidRDefault="00086D23" w:rsidP="00086D23">
      <w:pPr>
        <w:widowControl w:val="0"/>
        <w:tabs>
          <w:tab w:val="left" w:pos="709"/>
        </w:tabs>
        <w:autoSpaceDE w:val="0"/>
        <w:autoSpaceDN w:val="0"/>
        <w:spacing w:after="0" w:line="240" w:lineRule="auto"/>
        <w:jc w:val="both"/>
        <w:rPr>
          <w:rFonts w:ascii="Verdana" w:hAnsi="Verdana" w:cs="Arial"/>
          <w:color w:val="000000" w:themeColor="text1"/>
          <w:sz w:val="20"/>
          <w:szCs w:val="20"/>
        </w:rPr>
      </w:pPr>
    </w:p>
    <w:p w14:paraId="482066A5" w14:textId="23924626" w:rsidR="00086D23" w:rsidRPr="00086D23" w:rsidRDefault="00086D23" w:rsidP="00086D23">
      <w:pPr>
        <w:widowControl w:val="0"/>
        <w:tabs>
          <w:tab w:val="left" w:pos="709"/>
        </w:tabs>
        <w:autoSpaceDE w:val="0"/>
        <w:autoSpaceDN w:val="0"/>
        <w:spacing w:after="0" w:line="240" w:lineRule="auto"/>
        <w:jc w:val="both"/>
        <w:rPr>
          <w:rFonts w:ascii="Verdana" w:hAnsi="Verdana"/>
          <w:sz w:val="20"/>
          <w:szCs w:val="20"/>
        </w:rPr>
      </w:pPr>
      <w:r w:rsidRPr="00086D23">
        <w:rPr>
          <w:rFonts w:ascii="Verdana" w:hAnsi="Verdana" w:cs="Arial"/>
          <w:color w:val="000000" w:themeColor="text1"/>
          <w:sz w:val="20"/>
          <w:szCs w:val="20"/>
        </w:rPr>
        <w:t>Por su parte, 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p>
    <w:p w14:paraId="30A97E20" w14:textId="77777777" w:rsidR="00086D23" w:rsidRPr="00086D23" w:rsidRDefault="00086D23" w:rsidP="00DA16BA">
      <w:pPr>
        <w:spacing w:after="0" w:line="240" w:lineRule="auto"/>
        <w:rPr>
          <w:rFonts w:ascii="Verdana" w:eastAsia="Calibri" w:hAnsi="Verdana" w:cs="Arial"/>
          <w:b/>
          <w:bCs/>
          <w:lang w:eastAsia="es-ES"/>
        </w:rPr>
      </w:pPr>
    </w:p>
    <w:p w14:paraId="768EE2CB" w14:textId="1756F449" w:rsidR="00086D23" w:rsidRPr="00086D23" w:rsidRDefault="00086D23" w:rsidP="00086D23">
      <w:pPr>
        <w:spacing w:after="0" w:line="240" w:lineRule="auto"/>
        <w:rPr>
          <w:rFonts w:ascii="Verdana" w:eastAsia="Calibri" w:hAnsi="Verdana" w:cs="Arial"/>
          <w:b/>
          <w:bCs/>
          <w:lang w:val="es-ES" w:eastAsia="es-ES"/>
        </w:rPr>
      </w:pPr>
      <w:r w:rsidRPr="00086D23">
        <w:rPr>
          <w:rFonts w:ascii="Verdana" w:hAnsi="Verdana" w:cs="Arial"/>
          <w:b/>
          <w:bCs/>
        </w:rPr>
        <w:t>ANTICIPO – Definición jurisprudencial</w:t>
      </w:r>
    </w:p>
    <w:p w14:paraId="330BE225" w14:textId="1AA7732C" w:rsidR="00086D23" w:rsidRPr="002C66A0" w:rsidRDefault="00086D23" w:rsidP="002C66A0">
      <w:pPr>
        <w:spacing w:after="0" w:line="240" w:lineRule="auto"/>
        <w:jc w:val="both"/>
        <w:rPr>
          <w:rFonts w:ascii="Verdana" w:hAnsi="Verdana"/>
          <w:b/>
          <w:sz w:val="20"/>
          <w:szCs w:val="20"/>
        </w:rPr>
      </w:pPr>
    </w:p>
    <w:p w14:paraId="74B415F2" w14:textId="10F6B976" w:rsidR="002C66A0" w:rsidRPr="002C66A0" w:rsidRDefault="002C66A0" w:rsidP="002C66A0">
      <w:pPr>
        <w:widowControl w:val="0"/>
        <w:tabs>
          <w:tab w:val="left" w:pos="709"/>
        </w:tabs>
        <w:autoSpaceDE w:val="0"/>
        <w:autoSpaceDN w:val="0"/>
        <w:spacing w:after="0" w:line="240" w:lineRule="auto"/>
        <w:jc w:val="both"/>
        <w:rPr>
          <w:rFonts w:ascii="Verdana" w:hAnsi="Verdana"/>
          <w:sz w:val="20"/>
          <w:szCs w:val="20"/>
        </w:rPr>
      </w:pPr>
      <w:r w:rsidRPr="002C66A0">
        <w:rPr>
          <w:rFonts w:ascii="Verdana" w:hAnsi="Verdana" w:cs="Arial"/>
          <w:sz w:val="20"/>
          <w:szCs w:val="20"/>
        </w:rPr>
        <w:t xml:space="preserve">Aunque las normas citadas no definen el anticipo, el Consejo de Estado ha precisado su naturaleza jurídica fijando parámetros para su aplicación. En uno de sus pronunciamientos, el Consejo de Estado se refirió al anticipo como </w:t>
      </w:r>
      <w:r w:rsidRPr="002C66A0">
        <w:rPr>
          <w:rFonts w:ascii="Verdana" w:hAnsi="Verdana" w:cs="Arial"/>
          <w:color w:val="000000" w:themeColor="text1"/>
          <w:sz w:val="20"/>
          <w:szCs w:val="20"/>
        </w:rPr>
        <w:t>“</w:t>
      </w:r>
      <w:r w:rsidRPr="002C66A0">
        <w:rPr>
          <w:rFonts w:ascii="Verdana" w:hAnsi="Verdana" w:cs="Arial"/>
          <w:sz w:val="20"/>
          <w:szCs w:val="20"/>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2C66A0">
        <w:rPr>
          <w:rFonts w:ascii="Verdana" w:hAnsi="Verdana" w:cs="Arial"/>
          <w:color w:val="000000" w:themeColor="text1"/>
          <w:sz w:val="20"/>
          <w:szCs w:val="20"/>
        </w:rPr>
        <w:t>”.</w:t>
      </w:r>
    </w:p>
    <w:p w14:paraId="56BE5755" w14:textId="77777777" w:rsidR="002C66A0" w:rsidRDefault="002C66A0" w:rsidP="002C66A0">
      <w:pPr>
        <w:spacing w:after="0" w:line="240" w:lineRule="auto"/>
        <w:jc w:val="both"/>
        <w:rPr>
          <w:rFonts w:ascii="Verdana" w:hAnsi="Verdana" w:cs="Arial"/>
          <w:sz w:val="20"/>
          <w:szCs w:val="20"/>
        </w:rPr>
      </w:pPr>
    </w:p>
    <w:p w14:paraId="5F2E8652" w14:textId="4348B115" w:rsidR="002C66A0" w:rsidRDefault="002C66A0" w:rsidP="002C66A0">
      <w:pPr>
        <w:spacing w:after="0" w:line="240" w:lineRule="auto"/>
        <w:jc w:val="both"/>
        <w:rPr>
          <w:sz w:val="20"/>
          <w:szCs w:val="20"/>
          <w:vertAlign w:val="superscript"/>
        </w:rPr>
      </w:pPr>
      <w:r w:rsidRPr="002C66A0">
        <w:rPr>
          <w:rFonts w:ascii="Verdana" w:hAnsi="Verdana" w:cs="Arial"/>
          <w:sz w:val="20"/>
          <w:szCs w:val="20"/>
        </w:rPr>
        <w:t xml:space="preserve">Sobre la calidad de recurso público del anticipo, la jurisprudencia ha reiterado que </w:t>
      </w:r>
      <w:r w:rsidRPr="002C66A0">
        <w:rPr>
          <w:rFonts w:ascii="Verdana" w:hAnsi="Verdana" w:cs="Arial"/>
          <w:color w:val="000000" w:themeColor="text1"/>
          <w:sz w:val="20"/>
          <w:szCs w:val="20"/>
        </w:rPr>
        <w:t>“</w:t>
      </w:r>
      <w:r w:rsidRPr="002C66A0">
        <w:rPr>
          <w:rFonts w:ascii="Verdana" w:hAnsi="Verdana" w:cs="Arial"/>
          <w:sz w:val="20"/>
          <w:szCs w:val="20"/>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2C66A0">
        <w:rPr>
          <w:rFonts w:ascii="Verdana" w:hAnsi="Verdana" w:cs="Arial"/>
          <w:color w:val="000000" w:themeColor="text1"/>
          <w:sz w:val="20"/>
          <w:szCs w:val="20"/>
        </w:rPr>
        <w:t>”</w:t>
      </w:r>
      <w:r w:rsidRPr="002C66A0">
        <w:rPr>
          <w:rFonts w:ascii="Verdana" w:hAnsi="Verdana" w:cs="Arial"/>
          <w:sz w:val="20"/>
          <w:szCs w:val="20"/>
        </w:rPr>
        <w:t>. Igualmente, explica que el anticipo, al facilitar al contratista la financiación de los bienes y servicios que se le han encargado, es un factor determinante para impulsar la ejecución del contrato. Este también es el entendimiento de la doctrina</w:t>
      </w:r>
      <w:r w:rsidRPr="002C66A0">
        <w:rPr>
          <w:rFonts w:ascii="Verdana" w:hAnsi="Verdana" w:cs="Arial"/>
          <w:color w:val="000000" w:themeColor="text1"/>
          <w:sz w:val="20"/>
          <w:szCs w:val="20"/>
        </w:rPr>
        <w:t>,</w:t>
      </w:r>
      <w:r w:rsidRPr="002C66A0">
        <w:rPr>
          <w:rFonts w:ascii="Verdana" w:hAnsi="Verdana" w:cs="Arial"/>
          <w:sz w:val="20"/>
          <w:szCs w:val="20"/>
        </w:rPr>
        <w:t xml:space="preserve"> que ha considerado el anticipo como un dinero entregado al contratista que debe cancelarse mediante descuentos parciales, siendo una práctica común que permite impulsar la ejecución del contrato</w:t>
      </w:r>
      <w:r>
        <w:rPr>
          <w:sz w:val="20"/>
          <w:szCs w:val="20"/>
          <w:vertAlign w:val="superscript"/>
        </w:rPr>
        <w:t>.</w:t>
      </w:r>
    </w:p>
    <w:p w14:paraId="24FA280B" w14:textId="131D1EAD" w:rsidR="002C66A0" w:rsidRPr="002C66A0" w:rsidRDefault="002C66A0" w:rsidP="002C66A0">
      <w:pPr>
        <w:spacing w:after="0" w:line="240" w:lineRule="auto"/>
        <w:jc w:val="both"/>
        <w:rPr>
          <w:rFonts w:ascii="Verdana" w:hAnsi="Verdana"/>
          <w:b/>
          <w:sz w:val="20"/>
          <w:szCs w:val="20"/>
        </w:rPr>
      </w:pPr>
      <w:r w:rsidRPr="002C66A0">
        <w:rPr>
          <w:sz w:val="20"/>
          <w:szCs w:val="20"/>
          <w:vertAlign w:val="superscript"/>
        </w:rPr>
        <w:t xml:space="preserve"> </w:t>
      </w:r>
    </w:p>
    <w:p w14:paraId="6D9A6BB7" w14:textId="738AAA48" w:rsidR="00086D23" w:rsidRPr="00086D23" w:rsidRDefault="00086D23" w:rsidP="002C66A0">
      <w:pPr>
        <w:spacing w:after="0" w:line="240" w:lineRule="auto"/>
        <w:jc w:val="both"/>
        <w:rPr>
          <w:rFonts w:ascii="Verdana" w:eastAsia="Calibri" w:hAnsi="Verdana" w:cs="Arial"/>
          <w:b/>
          <w:bCs/>
        </w:rPr>
      </w:pPr>
      <w:r w:rsidRPr="00086D23">
        <w:rPr>
          <w:rFonts w:ascii="Verdana" w:eastAsia="Calibri" w:hAnsi="Verdana" w:cs="Arial"/>
          <w:b/>
          <w:bCs/>
        </w:rPr>
        <w:t>PAGO ANTICIPADO Y/O ANTICIPO – Límites – Aplicación – Tipo contractual</w:t>
      </w:r>
    </w:p>
    <w:p w14:paraId="29B36F10" w14:textId="3723BF8E" w:rsidR="00086D23" w:rsidRDefault="00086D23" w:rsidP="00086D23">
      <w:pPr>
        <w:spacing w:after="0" w:line="240" w:lineRule="auto"/>
        <w:rPr>
          <w:rFonts w:ascii="Verdana" w:eastAsia="Calibri" w:hAnsi="Verdana" w:cs="Arial"/>
          <w:b/>
          <w:bCs/>
        </w:rPr>
      </w:pPr>
    </w:p>
    <w:p w14:paraId="5F889A3A" w14:textId="77777777" w:rsidR="002C66A0" w:rsidRPr="002C66A0" w:rsidRDefault="002C66A0" w:rsidP="002C66A0">
      <w:pPr>
        <w:tabs>
          <w:tab w:val="left" w:pos="0"/>
        </w:tabs>
        <w:spacing w:after="0" w:line="240" w:lineRule="auto"/>
        <w:jc w:val="both"/>
        <w:rPr>
          <w:rFonts w:ascii="Verdana" w:hAnsi="Verdana" w:cs="Arial"/>
          <w:sz w:val="20"/>
          <w:szCs w:val="20"/>
        </w:rPr>
      </w:pPr>
      <w:r w:rsidRPr="002C66A0">
        <w:rPr>
          <w:rFonts w:ascii="Verdana" w:hAnsi="Verdana" w:cs="Arial"/>
          <w:sz w:val="20"/>
          <w:szCs w:val="20"/>
        </w:rPr>
        <w:lastRenderedPageBreak/>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cincuenta por ciento (50%) del valor del contrato–, el plazo de amortización, las condiciones necesarias para su exigibilidad, así como todas las obligaciones para su correcta inversión.</w:t>
      </w:r>
    </w:p>
    <w:p w14:paraId="40014499" w14:textId="77777777" w:rsidR="002C66A0" w:rsidRDefault="002C66A0" w:rsidP="002C66A0">
      <w:pPr>
        <w:tabs>
          <w:tab w:val="left" w:pos="0"/>
        </w:tabs>
        <w:spacing w:after="0" w:line="240" w:lineRule="auto"/>
        <w:jc w:val="both"/>
        <w:rPr>
          <w:rFonts w:ascii="Verdana" w:hAnsi="Verdana" w:cs="Arial"/>
          <w:sz w:val="20"/>
          <w:szCs w:val="20"/>
        </w:rPr>
      </w:pPr>
    </w:p>
    <w:p w14:paraId="1E0BB56A" w14:textId="6E189461" w:rsidR="002C66A0" w:rsidRDefault="002C66A0" w:rsidP="002C66A0">
      <w:pPr>
        <w:tabs>
          <w:tab w:val="left" w:pos="0"/>
        </w:tabs>
        <w:spacing w:after="0" w:line="240" w:lineRule="auto"/>
        <w:jc w:val="both"/>
        <w:rPr>
          <w:rFonts w:ascii="Verdana" w:hAnsi="Verdana" w:cs="Arial"/>
          <w:color w:val="000000" w:themeColor="text1"/>
          <w:sz w:val="20"/>
          <w:szCs w:val="20"/>
        </w:rPr>
      </w:pPr>
      <w:r w:rsidRPr="002C66A0">
        <w:rPr>
          <w:rFonts w:ascii="Verdana" w:hAnsi="Verdana" w:cs="Arial"/>
          <w:sz w:val="20"/>
          <w:szCs w:val="20"/>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2C66A0">
        <w:rPr>
          <w:rFonts w:ascii="Verdana" w:hAnsi="Verdana" w:cs="Arial"/>
          <w:color w:val="000000" w:themeColor="text1"/>
          <w:sz w:val="20"/>
          <w:szCs w:val="20"/>
        </w:rPr>
        <w:t xml:space="preserve">De hecho, el EGCAP dispone como única limitación el valor máximo que puede desembolsar la entidad para pactar el anticipo. </w:t>
      </w:r>
    </w:p>
    <w:p w14:paraId="3F4D3CBE" w14:textId="0B596268" w:rsidR="002C66A0" w:rsidRPr="002C66A0" w:rsidRDefault="002C66A0" w:rsidP="002C66A0">
      <w:pPr>
        <w:spacing w:after="0" w:line="240" w:lineRule="auto"/>
        <w:jc w:val="both"/>
        <w:rPr>
          <w:rFonts w:ascii="Verdana" w:eastAsia="Calibri" w:hAnsi="Verdana" w:cs="Arial"/>
          <w:b/>
          <w:bCs/>
          <w:sz w:val="20"/>
          <w:szCs w:val="20"/>
        </w:rPr>
      </w:pPr>
    </w:p>
    <w:p w14:paraId="36B7F819" w14:textId="77777777" w:rsidR="002C66A0" w:rsidRPr="001631FE" w:rsidRDefault="002C66A0" w:rsidP="002C66A0">
      <w:pPr>
        <w:spacing w:after="0" w:line="240" w:lineRule="auto"/>
        <w:jc w:val="both"/>
        <w:rPr>
          <w:rFonts w:ascii="Verdana" w:eastAsia="Calibri" w:hAnsi="Verdana" w:cs="Arial"/>
          <w:color w:val="000000"/>
          <w:sz w:val="20"/>
          <w:szCs w:val="20"/>
          <w:lang w:eastAsia="es-ES_tradnl"/>
        </w:rPr>
      </w:pPr>
      <w:r w:rsidRPr="001631FE">
        <w:rPr>
          <w:rFonts w:ascii="Verdana" w:eastAsia="Calibri" w:hAnsi="Verdana" w:cs="Arial"/>
          <w:color w:val="000000"/>
          <w:sz w:val="20"/>
          <w:szCs w:val="20"/>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1631FE">
        <w:rPr>
          <w:rFonts w:ascii="Verdana" w:eastAsia="Calibri" w:hAnsi="Verdana" w:cs="Arial"/>
          <w:color w:val="000000"/>
          <w:sz w:val="20"/>
          <w:szCs w:val="20"/>
          <w:lang w:eastAsia="es-ES_tradnl"/>
        </w:rPr>
        <w:t>ii</w:t>
      </w:r>
      <w:proofErr w:type="spellEnd"/>
      <w:r w:rsidRPr="001631FE">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4AB59CD7" w14:textId="77777777" w:rsidR="002C66A0" w:rsidRDefault="002C66A0" w:rsidP="002C66A0">
      <w:pPr>
        <w:spacing w:after="0" w:line="240" w:lineRule="auto"/>
        <w:rPr>
          <w:rFonts w:ascii="Verdana" w:hAnsi="Verdana"/>
        </w:rPr>
      </w:pPr>
    </w:p>
    <w:p w14:paraId="3BE649FE" w14:textId="6CDCEDBD" w:rsidR="00674BA2" w:rsidRDefault="00674BA2" w:rsidP="002C66A0">
      <w:pPr>
        <w:spacing w:after="0" w:line="240" w:lineRule="auto"/>
        <w:jc w:val="both"/>
        <w:rPr>
          <w:rFonts w:ascii="Verdana" w:hAnsi="Verdana" w:cs="Arial"/>
          <w:b/>
          <w:lang w:eastAsia="es-ES" w:bidi="es-ES"/>
        </w:rPr>
      </w:pPr>
      <w:r w:rsidRPr="00674BA2">
        <w:rPr>
          <w:rFonts w:ascii="Verdana" w:hAnsi="Verdana" w:cs="Arial"/>
          <w:b/>
          <w:lang w:eastAsia="es-ES" w:bidi="es-ES"/>
        </w:rPr>
        <w:t>ADICIÓN – Concepto – Distintos supuestos – Prohibición – Adición en más del 50%</w:t>
      </w:r>
    </w:p>
    <w:p w14:paraId="1330E284" w14:textId="77777777" w:rsidR="00104ACE" w:rsidRDefault="00104ACE" w:rsidP="002C66A0">
      <w:pPr>
        <w:spacing w:after="0" w:line="240" w:lineRule="auto"/>
        <w:jc w:val="both"/>
        <w:rPr>
          <w:rFonts w:ascii="Verdana" w:hAnsi="Verdana" w:cs="Arial"/>
          <w:b/>
          <w:lang w:eastAsia="es-ES" w:bidi="es-ES"/>
        </w:rPr>
      </w:pPr>
    </w:p>
    <w:p w14:paraId="0DDD74D8" w14:textId="1E9853E3" w:rsidR="00104ACE" w:rsidRPr="00104ACE" w:rsidRDefault="00104ACE" w:rsidP="002C66A0">
      <w:pPr>
        <w:spacing w:after="0" w:line="240" w:lineRule="auto"/>
        <w:jc w:val="both"/>
        <w:rPr>
          <w:rFonts w:ascii="Verdana" w:hAnsi="Verdana" w:cs="Arial"/>
          <w:bCs/>
          <w:sz w:val="20"/>
          <w:szCs w:val="20"/>
          <w:lang w:eastAsia="es-ES" w:bidi="es-ES"/>
        </w:rPr>
      </w:pPr>
      <w:r w:rsidRPr="00104ACE">
        <w:rPr>
          <w:rFonts w:ascii="Verdana" w:hAnsi="Verdana" w:cs="Arial"/>
          <w:bCs/>
          <w:sz w:val="20"/>
          <w:szCs w:val="20"/>
          <w:lang w:eastAsia="es-ES" w:bidi="es-ES"/>
        </w:rPr>
        <w:t xml:space="preserve">Al respecto, es oportuno explicar que la palabra </w:t>
      </w:r>
      <w:r w:rsidRPr="00104ACE">
        <w:rPr>
          <w:rFonts w:ascii="Verdana" w:hAnsi="Verdana" w:cs="Arial"/>
          <w:bCs/>
          <w:i/>
          <w:iCs/>
          <w:sz w:val="20"/>
          <w:szCs w:val="20"/>
          <w:lang w:eastAsia="es-ES" w:bidi="es-ES"/>
        </w:rPr>
        <w:t xml:space="preserve">adición </w:t>
      </w:r>
      <w:r w:rsidRPr="00104ACE">
        <w:rPr>
          <w:rFonts w:ascii="Verdana" w:hAnsi="Verdana" w:cs="Arial"/>
          <w:bCs/>
          <w:sz w:val="20"/>
          <w:szCs w:val="2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027B52A8" w14:textId="77777777" w:rsidR="00674BA2" w:rsidRDefault="00674BA2" w:rsidP="002C66A0">
      <w:pPr>
        <w:spacing w:after="0" w:line="240" w:lineRule="auto"/>
        <w:jc w:val="both"/>
        <w:rPr>
          <w:rFonts w:ascii="Verdana" w:hAnsi="Verdana" w:cs="Arial"/>
          <w:b/>
          <w:bCs/>
          <w:lang w:eastAsia="es-ES" w:bidi="es-ES"/>
        </w:rPr>
      </w:pPr>
    </w:p>
    <w:p w14:paraId="344EC211" w14:textId="08F1B62B" w:rsidR="002C66A0" w:rsidRPr="00ED7AD8" w:rsidRDefault="002C66A0" w:rsidP="002C66A0">
      <w:pPr>
        <w:spacing w:after="0" w:line="240" w:lineRule="auto"/>
        <w:jc w:val="both"/>
        <w:rPr>
          <w:rFonts w:ascii="Verdana" w:hAnsi="Verdana" w:cs="Arial"/>
          <w:b/>
          <w:bCs/>
          <w:lang w:eastAsia="es-ES" w:bidi="es-ES"/>
        </w:rPr>
      </w:pPr>
      <w:r w:rsidRPr="00ED7AD8">
        <w:rPr>
          <w:rFonts w:ascii="Verdana" w:hAnsi="Verdana" w:cs="Arial"/>
          <w:b/>
          <w:bCs/>
          <w:lang w:eastAsia="es-ES" w:bidi="es-ES"/>
        </w:rPr>
        <w:t>ADICIÓN – Prohibición – Monto – Cálculo – Parágrafo artículo 40 – Ley 80 de 1993</w:t>
      </w:r>
    </w:p>
    <w:p w14:paraId="4C77D779" w14:textId="77777777" w:rsidR="002C66A0" w:rsidRDefault="002C66A0" w:rsidP="002C66A0">
      <w:pPr>
        <w:spacing w:after="0" w:line="240" w:lineRule="auto"/>
        <w:jc w:val="both"/>
        <w:rPr>
          <w:rFonts w:ascii="Verdana" w:hAnsi="Verdana" w:cs="Arial"/>
          <w:b/>
          <w:bCs/>
          <w:lang w:eastAsia="es-ES" w:bidi="es-ES"/>
        </w:rPr>
      </w:pPr>
    </w:p>
    <w:p w14:paraId="2C9219DF" w14:textId="77777777" w:rsidR="002C66A0" w:rsidRPr="00E45B7D" w:rsidRDefault="002C66A0" w:rsidP="002C66A0">
      <w:pPr>
        <w:spacing w:after="0" w:line="240" w:lineRule="auto"/>
        <w:jc w:val="both"/>
        <w:rPr>
          <w:rFonts w:ascii="Verdana" w:eastAsia="Calibri" w:hAnsi="Verdana" w:cs="Arial"/>
          <w:color w:val="000000"/>
          <w:sz w:val="20"/>
          <w:szCs w:val="20"/>
          <w:lang w:eastAsia="es-ES_tradnl"/>
        </w:rPr>
      </w:pPr>
      <w:r w:rsidRPr="00E45B7D">
        <w:rPr>
          <w:rFonts w:ascii="Verdana" w:eastAsia="Calibri" w:hAnsi="Verdana" w:cs="Arial"/>
          <w:color w:val="000000"/>
          <w:sz w:val="20"/>
          <w:szCs w:val="20"/>
          <w:lang w:eastAsia="es-ES_tradnl"/>
        </w:rPr>
        <w:t>Lo importante es que, frente a cualquier incremento del valor inicial del contrato</w:t>
      </w:r>
      <w:r w:rsidRPr="00E45B7D">
        <w:rPr>
          <w:rFonts w:ascii="Verdana" w:eastAsia="Calibri" w:hAnsi="Verdana" w:cs="Arial"/>
          <w:i/>
          <w:iCs/>
          <w:color w:val="000000"/>
          <w:sz w:val="20"/>
          <w:szCs w:val="20"/>
          <w:lang w:eastAsia="es-ES_tradnl"/>
        </w:rPr>
        <w:t xml:space="preserve"> </w:t>
      </w:r>
      <w:r w:rsidRPr="00E45B7D">
        <w:rPr>
          <w:rFonts w:ascii="Verdana" w:eastAsia="Calibri" w:hAnsi="Verdana" w:cs="Arial"/>
          <w:color w:val="000000"/>
          <w:sz w:val="20"/>
          <w:szCs w:val="20"/>
          <w:lang w:eastAsia="es-ES_tradnl"/>
        </w:rPr>
        <w:t xml:space="preserve">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w:t>
      </w:r>
      <w:r w:rsidRPr="00E45B7D">
        <w:rPr>
          <w:rFonts w:ascii="Verdana" w:eastAsia="Calibri" w:hAnsi="Verdana" w:cs="Arial"/>
          <w:color w:val="000000"/>
          <w:sz w:val="20"/>
          <w:szCs w:val="20"/>
          <w:lang w:eastAsia="es-ES_tradnl"/>
        </w:rPr>
        <w:lastRenderedPageBreak/>
        <w:t>éste en salarios mínimos legales mensuales”. De manera que, aunque es posible celebrar todos los tipos de acuerdos indicados, siempre debe observarse esta última disposición que aplica a los contratos estatales, cuyos destinatarios son entidades sujetas al Estatuto General de Contratación de la Administración Pública.</w:t>
      </w:r>
    </w:p>
    <w:p w14:paraId="7BF73C7A" w14:textId="77777777" w:rsidR="002C66A0" w:rsidRDefault="002C66A0" w:rsidP="002C66A0">
      <w:pPr>
        <w:spacing w:after="0" w:line="240" w:lineRule="auto"/>
        <w:jc w:val="both"/>
        <w:rPr>
          <w:rFonts w:ascii="Verdana" w:eastAsia="Calibri" w:hAnsi="Verdana" w:cs="Arial"/>
          <w:color w:val="000000"/>
          <w:sz w:val="20"/>
          <w:szCs w:val="20"/>
          <w:lang w:eastAsia="es-ES_tradnl"/>
        </w:rPr>
      </w:pPr>
    </w:p>
    <w:p w14:paraId="56D80490" w14:textId="77777777" w:rsidR="002C66A0" w:rsidRPr="00E45B7D" w:rsidRDefault="002C66A0" w:rsidP="002C66A0">
      <w:pPr>
        <w:spacing w:after="0" w:line="240" w:lineRule="auto"/>
        <w:jc w:val="both"/>
        <w:rPr>
          <w:rFonts w:ascii="Verdana" w:eastAsia="Calibri" w:hAnsi="Verdana" w:cs="Arial"/>
          <w:color w:val="000000"/>
          <w:sz w:val="20"/>
          <w:szCs w:val="20"/>
          <w:lang w:eastAsia="es-ES_tradnl"/>
        </w:rPr>
      </w:pPr>
      <w:r w:rsidRPr="00E45B7D">
        <w:rPr>
          <w:rFonts w:ascii="Verdana" w:eastAsia="Calibri" w:hAnsi="Verdana" w:cs="Arial"/>
          <w:color w:val="000000"/>
          <w:sz w:val="20"/>
          <w:szCs w:val="20"/>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3BEDE0D4" w14:textId="77777777" w:rsidR="002C66A0" w:rsidRPr="00086D23" w:rsidRDefault="002C66A0" w:rsidP="00086D23">
      <w:pPr>
        <w:spacing w:after="0" w:line="240" w:lineRule="auto"/>
        <w:rPr>
          <w:rFonts w:ascii="Verdana" w:hAnsi="Verdana"/>
          <w:b/>
        </w:rPr>
      </w:pPr>
    </w:p>
    <w:p w14:paraId="69B27DA0" w14:textId="6D72F43E" w:rsidR="00086D23" w:rsidRDefault="00086D23" w:rsidP="00827F85">
      <w:pPr>
        <w:spacing w:after="0"/>
        <w:jc w:val="both"/>
        <w:rPr>
          <w:rFonts w:ascii="Verdana" w:hAnsi="Verdana" w:cs="Arial"/>
          <w:b/>
          <w:bCs/>
          <w:lang w:eastAsia="es-ES" w:bidi="es-ES"/>
        </w:rPr>
      </w:pPr>
      <w:r w:rsidRPr="00086D23">
        <w:rPr>
          <w:rFonts w:ascii="Verdana" w:hAnsi="Verdana" w:cs="Arial"/>
          <w:b/>
          <w:bCs/>
          <w:lang w:eastAsia="es-ES" w:bidi="es-ES"/>
        </w:rPr>
        <w:t>MODIFICACION DE LOS CONTRATOS ESTATALES – Procedencia – condiciones – Límites</w:t>
      </w:r>
    </w:p>
    <w:p w14:paraId="78D65711" w14:textId="77777777" w:rsidR="00827F85" w:rsidRPr="00086D23" w:rsidRDefault="00827F85" w:rsidP="00827F85">
      <w:pPr>
        <w:spacing w:after="0"/>
        <w:jc w:val="both"/>
        <w:rPr>
          <w:rFonts w:ascii="Verdana" w:hAnsi="Verdana" w:cs="Arial"/>
          <w:b/>
          <w:bCs/>
          <w:lang w:eastAsia="es-ES" w:bidi="es-ES"/>
        </w:rPr>
      </w:pPr>
    </w:p>
    <w:p w14:paraId="0D3A1228" w14:textId="7F3C5FBA" w:rsidR="00827F85" w:rsidRDefault="00827F85" w:rsidP="00827F85">
      <w:pPr>
        <w:widowControl w:val="0"/>
        <w:autoSpaceDE w:val="0"/>
        <w:autoSpaceDN w:val="0"/>
        <w:spacing w:after="0" w:line="240" w:lineRule="auto"/>
        <w:jc w:val="both"/>
        <w:rPr>
          <w:rFonts w:ascii="Verdana" w:hAnsi="Verdana"/>
          <w:sz w:val="20"/>
          <w:szCs w:val="20"/>
        </w:rPr>
      </w:pPr>
      <w:r>
        <w:rPr>
          <w:rFonts w:ascii="Verdana" w:hAnsi="Verdana"/>
          <w:sz w:val="20"/>
          <w:szCs w:val="20"/>
        </w:rPr>
        <w:t xml:space="preserve">[…] </w:t>
      </w:r>
      <w:r w:rsidR="002C66A0" w:rsidRPr="002C66A0">
        <w:rPr>
          <w:rFonts w:ascii="Verdana" w:hAnsi="Verdana"/>
          <w:sz w:val="20"/>
          <w:szCs w:val="20"/>
        </w:rPr>
        <w:t xml:space="preserve">fuera de los límites cuantitativos establecidos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w:t>
      </w:r>
    </w:p>
    <w:p w14:paraId="50C45137" w14:textId="77777777" w:rsidR="00827F85" w:rsidRDefault="00827F85" w:rsidP="00827F85">
      <w:pPr>
        <w:widowControl w:val="0"/>
        <w:autoSpaceDE w:val="0"/>
        <w:autoSpaceDN w:val="0"/>
        <w:spacing w:after="0" w:line="240" w:lineRule="auto"/>
        <w:jc w:val="both"/>
        <w:rPr>
          <w:rFonts w:ascii="Verdana" w:hAnsi="Verdana"/>
          <w:sz w:val="20"/>
          <w:szCs w:val="20"/>
        </w:rPr>
      </w:pPr>
    </w:p>
    <w:p w14:paraId="3019D5A6" w14:textId="017DC391" w:rsidR="002C66A0" w:rsidRPr="00827F85" w:rsidRDefault="002C66A0" w:rsidP="00827F85">
      <w:pPr>
        <w:widowControl w:val="0"/>
        <w:autoSpaceDE w:val="0"/>
        <w:autoSpaceDN w:val="0"/>
        <w:spacing w:after="0" w:line="240" w:lineRule="auto"/>
        <w:jc w:val="both"/>
        <w:rPr>
          <w:rFonts w:ascii="Verdana" w:hAnsi="Verdana"/>
          <w:sz w:val="20"/>
          <w:szCs w:val="20"/>
        </w:rPr>
      </w:pPr>
      <w:r w:rsidRPr="002C66A0">
        <w:rPr>
          <w:rFonts w:ascii="Verdana" w:hAnsi="Verdana"/>
          <w:sz w:val="20"/>
          <w:szCs w:val="20"/>
        </w:rPr>
        <w:t xml:space="preserve">Dentro de los límites de </w:t>
      </w:r>
      <w:r w:rsidRPr="002C66A0">
        <w:rPr>
          <w:rFonts w:ascii="Verdana" w:hAnsi="Verdana"/>
          <w:i/>
          <w:sz w:val="20"/>
          <w:szCs w:val="20"/>
        </w:rPr>
        <w:t xml:space="preserve">orden temporal </w:t>
      </w:r>
      <w:r w:rsidRPr="002C66A0">
        <w:rPr>
          <w:rFonts w:ascii="Verdana" w:hAnsi="Verdana"/>
          <w:sz w:val="20"/>
          <w:szCs w:val="20"/>
        </w:rPr>
        <w:t xml:space="preserve">están comprendidos: </w:t>
      </w:r>
      <w:r w:rsidRPr="002C66A0">
        <w:rPr>
          <w:rFonts w:ascii="Verdana" w:eastAsia="Arial" w:hAnsi="Verdana" w:cs="Arial"/>
          <w:sz w:val="20"/>
          <w:szCs w:val="20"/>
          <w:lang w:val="es-MX" w:eastAsia="es-ES" w:bidi="es-ES"/>
        </w:rPr>
        <w:t xml:space="preserve">i) la vigencia del contrato, pues no podría modificarse un contrato cuyo plazo ha culminado y; </w:t>
      </w:r>
      <w:proofErr w:type="spellStart"/>
      <w:r w:rsidRPr="002C66A0">
        <w:rPr>
          <w:rFonts w:ascii="Verdana" w:eastAsia="Arial" w:hAnsi="Verdana" w:cs="Arial"/>
          <w:sz w:val="20"/>
          <w:szCs w:val="20"/>
          <w:lang w:val="es-MX" w:eastAsia="es-ES" w:bidi="es-ES"/>
        </w:rPr>
        <w:t>ii</w:t>
      </w:r>
      <w:proofErr w:type="spellEnd"/>
      <w:r w:rsidRPr="002C66A0">
        <w:rPr>
          <w:rFonts w:ascii="Verdana" w:eastAsia="Arial" w:hAnsi="Verdana" w:cs="Arial"/>
          <w:sz w:val="20"/>
          <w:szCs w:val="20"/>
          <w:lang w:val="es-MX" w:eastAsia="es-ES" w:bidi="es-ES"/>
        </w:rPr>
        <w:t>) la prohibición de consagrar prórrogas automáticas, sucesivas o indefinidas, en tanto resultan contrarias al derecho esencial de la libertad de competencia.</w:t>
      </w:r>
      <w:r w:rsidRPr="002C66A0">
        <w:rPr>
          <w:rFonts w:ascii="Verdana" w:eastAsia="Calibri" w:hAnsi="Verdana" w:cs="Arial"/>
          <w:sz w:val="20"/>
          <w:szCs w:val="20"/>
        </w:rPr>
        <w:t xml:space="preserve"> En torno a los límites de </w:t>
      </w:r>
      <w:r w:rsidRPr="002C66A0">
        <w:rPr>
          <w:rFonts w:ascii="Verdana" w:eastAsia="Calibri" w:hAnsi="Verdana" w:cs="Arial"/>
          <w:i/>
          <w:sz w:val="20"/>
          <w:szCs w:val="20"/>
        </w:rPr>
        <w:t>orden formal</w:t>
      </w:r>
      <w:r w:rsidRPr="002C66A0">
        <w:rPr>
          <w:rFonts w:ascii="Verdana" w:eastAsia="Calibri" w:hAnsi="Verdana" w:cs="Arial"/>
          <w:sz w:val="20"/>
          <w:szCs w:val="20"/>
        </w:rPr>
        <w:t xml:space="preserve">, debe señalarse que, por un lado, es necesario que, la </w:t>
      </w:r>
      <w:r w:rsidRPr="002C66A0">
        <w:rPr>
          <w:rFonts w:ascii="Verdana" w:eastAsia="Arial" w:hAnsi="Verdana" w:cs="Arial"/>
          <w:sz w:val="20"/>
          <w:szCs w:val="20"/>
          <w:lang w:val="es-MX" w:eastAsia="es-ES" w:bidi="es-ES"/>
        </w:rPr>
        <w:t xml:space="preserve">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 Por otro lado, </w:t>
      </w:r>
      <w:r w:rsidRPr="002C66A0">
        <w:rPr>
          <w:rFonts w:ascii="Verdana" w:eastAsia="Calibri" w:hAnsi="Verdana" w:cs="Arial"/>
          <w:sz w:val="20"/>
          <w:szCs w:val="20"/>
        </w:rPr>
        <w:t xml:space="preserve">la entidad debe motivar y justificar la modificación. </w:t>
      </w:r>
    </w:p>
    <w:p w14:paraId="1553057A" w14:textId="77777777" w:rsidR="00827F85" w:rsidRDefault="00827F85" w:rsidP="00827F85">
      <w:pPr>
        <w:widowControl w:val="0"/>
        <w:autoSpaceDE w:val="0"/>
        <w:autoSpaceDN w:val="0"/>
        <w:spacing w:after="0" w:line="240" w:lineRule="auto"/>
        <w:jc w:val="both"/>
        <w:rPr>
          <w:rFonts w:ascii="Verdana" w:eastAsia="Calibri" w:hAnsi="Verdana" w:cs="Arial"/>
          <w:sz w:val="20"/>
          <w:szCs w:val="20"/>
        </w:rPr>
      </w:pPr>
    </w:p>
    <w:p w14:paraId="6A26039D" w14:textId="4FE95C39" w:rsidR="002C66A0" w:rsidRDefault="002C66A0" w:rsidP="00827F85">
      <w:pPr>
        <w:widowControl w:val="0"/>
        <w:autoSpaceDE w:val="0"/>
        <w:autoSpaceDN w:val="0"/>
        <w:spacing w:after="0" w:line="240" w:lineRule="auto"/>
        <w:jc w:val="both"/>
        <w:rPr>
          <w:rFonts w:ascii="Verdana" w:eastAsia="Arial" w:hAnsi="Verdana" w:cs="Arial"/>
          <w:i/>
          <w:sz w:val="20"/>
          <w:szCs w:val="20"/>
          <w:lang w:val="es-MX" w:eastAsia="es-ES" w:bidi="es-ES"/>
        </w:rPr>
      </w:pPr>
      <w:r w:rsidRPr="002C66A0">
        <w:rPr>
          <w:rFonts w:ascii="Verdana" w:eastAsia="Calibri" w:hAnsi="Verdana" w:cs="Arial"/>
          <w:sz w:val="20"/>
          <w:szCs w:val="20"/>
        </w:rPr>
        <w:t xml:space="preserve">Los </w:t>
      </w:r>
      <w:r w:rsidRPr="002C66A0">
        <w:rPr>
          <w:rFonts w:ascii="Verdana" w:eastAsia="Calibri" w:hAnsi="Verdana" w:cs="Arial"/>
          <w:i/>
          <w:sz w:val="20"/>
          <w:szCs w:val="20"/>
        </w:rPr>
        <w:t>límites materiales</w:t>
      </w:r>
      <w:r w:rsidRPr="002C66A0">
        <w:rPr>
          <w:rFonts w:ascii="Verdana" w:eastAsia="Calibri" w:hAnsi="Verdana" w:cs="Arial"/>
          <w:sz w:val="20"/>
          <w:szCs w:val="20"/>
        </w:rPr>
        <w:t xml:space="preserve"> </w:t>
      </w:r>
      <w:r w:rsidRPr="002C66A0">
        <w:rPr>
          <w:rFonts w:ascii="Verdana" w:eastAsia="Arial" w:hAnsi="Verdana" w:cs="Arial"/>
          <w:sz w:val="20"/>
          <w:szCs w:val="20"/>
          <w:lang w:val="es-MX" w:eastAsia="es-ES" w:bidi="es-ES"/>
        </w:rPr>
        <w:t xml:space="preserve">corresponden a la prohibición de modificar las condiciones sustanciales del contrato, que se presentará en los casos en que se incluyan elementos que, </w:t>
      </w:r>
      <w:r w:rsidRPr="002C66A0">
        <w:rPr>
          <w:rFonts w:ascii="Verdana" w:eastAsia="Arial" w:hAnsi="Verdana" w:cs="Arial"/>
          <w:i/>
          <w:sz w:val="20"/>
          <w:szCs w:val="20"/>
          <w:lang w:val="es-MX" w:eastAsia="es-ES" w:bidi="es-ES"/>
        </w:rPr>
        <w:t xml:space="preserve">“habiendo figurado en el procedimiento inicial, hubiera permitido la participación de otros interesados aparte de los inicialmente admitidos, o seleccionar una oferta distinta </w:t>
      </w:r>
      <w:r>
        <w:rPr>
          <w:rFonts w:ascii="Verdana" w:eastAsia="Arial" w:hAnsi="Verdana" w:cs="Arial"/>
          <w:i/>
          <w:sz w:val="20"/>
          <w:szCs w:val="20"/>
          <w:lang w:val="es-MX" w:eastAsia="es-ES" w:bidi="es-ES"/>
        </w:rPr>
        <w:t>de la inicialmente seleccionada”</w:t>
      </w:r>
      <w:r w:rsidRPr="002C66A0">
        <w:rPr>
          <w:rFonts w:ascii="Verdana" w:eastAsia="Arial" w:hAnsi="Verdana" w:cs="Arial"/>
          <w:i/>
          <w:sz w:val="20"/>
          <w:szCs w:val="20"/>
          <w:lang w:val="es-MX" w:eastAsia="es-ES" w:bidi="es-ES"/>
        </w:rPr>
        <w:t>.</w:t>
      </w:r>
    </w:p>
    <w:p w14:paraId="4683D258" w14:textId="77777777" w:rsidR="00827F85" w:rsidRPr="002C66A0" w:rsidRDefault="00827F85" w:rsidP="00827F85">
      <w:pPr>
        <w:widowControl w:val="0"/>
        <w:autoSpaceDE w:val="0"/>
        <w:autoSpaceDN w:val="0"/>
        <w:spacing w:after="0" w:line="240" w:lineRule="auto"/>
        <w:jc w:val="both"/>
        <w:rPr>
          <w:rFonts w:ascii="Verdana" w:eastAsia="Arial" w:hAnsi="Verdana" w:cs="Arial"/>
          <w:i/>
          <w:sz w:val="20"/>
          <w:szCs w:val="20"/>
          <w:lang w:val="es-MX" w:eastAsia="es-ES" w:bidi="es-ES"/>
        </w:rPr>
      </w:pPr>
    </w:p>
    <w:p w14:paraId="5D70D69C" w14:textId="58EBB4DB" w:rsidR="00086D23" w:rsidRDefault="002C66A0" w:rsidP="00827F85">
      <w:pPr>
        <w:spacing w:after="0" w:line="240" w:lineRule="auto"/>
        <w:jc w:val="both"/>
        <w:rPr>
          <w:rFonts w:ascii="Verdana" w:eastAsia="Calibri" w:hAnsi="Verdana" w:cs="Arial"/>
          <w:sz w:val="20"/>
          <w:szCs w:val="20"/>
        </w:rPr>
      </w:pPr>
      <w:r w:rsidRPr="002C66A0">
        <w:rPr>
          <w:rFonts w:ascii="Verdana" w:eastAsia="Arial" w:hAnsi="Verdana" w:cs="Arial"/>
          <w:sz w:val="20"/>
          <w:szCs w:val="20"/>
          <w:lang w:val="es-MX" w:eastAsia="es-ES" w:bidi="es-ES"/>
        </w:rPr>
        <w:lastRenderedPageBreak/>
        <w:t xml:space="preserve">Finalmente, se encuentran los </w:t>
      </w:r>
      <w:r w:rsidRPr="002C66A0">
        <w:rPr>
          <w:rFonts w:ascii="Verdana" w:eastAsia="Arial" w:hAnsi="Verdana" w:cs="Arial"/>
          <w:i/>
          <w:sz w:val="20"/>
          <w:szCs w:val="20"/>
          <w:lang w:val="es-MX" w:eastAsia="es-ES" w:bidi="es-ES"/>
        </w:rPr>
        <w:t>límites axiológicos</w:t>
      </w:r>
      <w:r w:rsidRPr="002C66A0">
        <w:rPr>
          <w:rFonts w:ascii="Verdana" w:eastAsia="Arial" w:hAnsi="Verdana" w:cs="Arial"/>
          <w:sz w:val="20"/>
          <w:szCs w:val="20"/>
          <w:lang w:val="es-MX" w:eastAsia="es-ES" w:bidi="es-ES"/>
        </w:rPr>
        <w:t xml:space="preserve">, los cuales se fundan en la necesidad de preservar los principios de igualdad, transparencia, libertad de concurrencia, selección objetiva y planeación. </w:t>
      </w:r>
      <w:r w:rsidRPr="002C66A0">
        <w:rPr>
          <w:rFonts w:ascii="Verdana" w:eastAsia="Calibri" w:hAnsi="Verdana" w:cs="Arial"/>
          <w:sz w:val="20"/>
          <w:szCs w:val="20"/>
          <w:lang w:eastAsia="es-ES_tradnl"/>
        </w:rPr>
        <w:t>Lo anterior, con la finalidad de realizar la escogencia diligente de la mejor oferta, para beneficiar los intereses y fines públicos inmersos en la contratación de las Entidades Estatales. A modo de ejemplo, l</w:t>
      </w:r>
      <w:r w:rsidRPr="002C66A0">
        <w:rPr>
          <w:rFonts w:ascii="Verdana" w:eastAsia="Calibri" w:hAnsi="Verdana" w:cs="Arial"/>
          <w:sz w:val="20"/>
          <w:szCs w:val="20"/>
        </w:rPr>
        <w:t>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w:t>
      </w:r>
    </w:p>
    <w:p w14:paraId="65862AD2" w14:textId="20205EC3" w:rsidR="00827F85" w:rsidRDefault="00827F85" w:rsidP="002C66A0">
      <w:pPr>
        <w:spacing w:after="0" w:line="240" w:lineRule="auto"/>
        <w:jc w:val="both"/>
        <w:rPr>
          <w:rFonts w:ascii="Verdana" w:hAnsi="Verdana"/>
          <w:sz w:val="20"/>
          <w:szCs w:val="20"/>
        </w:rPr>
      </w:pPr>
    </w:p>
    <w:p w14:paraId="37E27BF1" w14:textId="77777777" w:rsidR="002C480E" w:rsidRDefault="002C480E" w:rsidP="002C480E">
      <w:pPr>
        <w:spacing w:after="0" w:line="240" w:lineRule="auto"/>
        <w:rPr>
          <w:rFonts w:ascii="Verdana" w:eastAsia="Geomanist Light" w:hAnsi="Verdana" w:cs="Arial"/>
          <w:color w:val="000000" w:themeColor="text1"/>
          <w:lang w:val="es-MX"/>
        </w:rPr>
      </w:pPr>
    </w:p>
    <w:p w14:paraId="6B04AF9F" w14:textId="77777777" w:rsidR="00B4422D" w:rsidRDefault="00B4422D" w:rsidP="002C480E">
      <w:pPr>
        <w:spacing w:after="0" w:line="240" w:lineRule="auto"/>
        <w:rPr>
          <w:rFonts w:ascii="Verdana" w:eastAsia="Geomanist Light" w:hAnsi="Verdana" w:cs="Arial"/>
          <w:color w:val="000000" w:themeColor="text1"/>
          <w:lang w:val="es-MX"/>
        </w:rPr>
      </w:pPr>
    </w:p>
    <w:p w14:paraId="77EAEFC2" w14:textId="77777777" w:rsidR="00B4422D" w:rsidRDefault="00B4422D" w:rsidP="002C480E">
      <w:pPr>
        <w:spacing w:after="0" w:line="240" w:lineRule="auto"/>
        <w:rPr>
          <w:rFonts w:ascii="Verdana" w:eastAsia="Geomanist Light" w:hAnsi="Verdana" w:cs="Arial"/>
          <w:color w:val="000000" w:themeColor="text1"/>
          <w:lang w:val="es-MX"/>
        </w:rPr>
      </w:pPr>
    </w:p>
    <w:p w14:paraId="220FC107" w14:textId="77777777" w:rsidR="00B4422D" w:rsidRDefault="00B4422D" w:rsidP="002C480E">
      <w:pPr>
        <w:spacing w:after="0" w:line="240" w:lineRule="auto"/>
        <w:rPr>
          <w:rFonts w:ascii="Verdana" w:eastAsia="Geomanist Light" w:hAnsi="Verdana" w:cs="Arial"/>
          <w:color w:val="000000" w:themeColor="text1"/>
          <w:lang w:val="es-MX"/>
        </w:rPr>
      </w:pPr>
    </w:p>
    <w:p w14:paraId="5B2DDA8B" w14:textId="77777777" w:rsidR="00B4422D" w:rsidRDefault="00B4422D" w:rsidP="002C480E">
      <w:pPr>
        <w:spacing w:after="0" w:line="240" w:lineRule="auto"/>
        <w:rPr>
          <w:rFonts w:ascii="Verdana" w:eastAsia="Geomanist Light" w:hAnsi="Verdana" w:cs="Arial"/>
          <w:color w:val="000000" w:themeColor="text1"/>
          <w:lang w:val="es-MX"/>
        </w:rPr>
      </w:pPr>
    </w:p>
    <w:p w14:paraId="0FB9D6C9" w14:textId="77777777" w:rsidR="00B4422D" w:rsidRDefault="00B4422D" w:rsidP="002C480E">
      <w:pPr>
        <w:spacing w:after="0" w:line="240" w:lineRule="auto"/>
        <w:rPr>
          <w:rFonts w:ascii="Verdana" w:eastAsia="Geomanist Light" w:hAnsi="Verdana" w:cs="Arial"/>
          <w:color w:val="000000" w:themeColor="text1"/>
          <w:lang w:val="es-MX"/>
        </w:rPr>
      </w:pPr>
    </w:p>
    <w:p w14:paraId="0A84CC87" w14:textId="77777777" w:rsidR="00B4422D" w:rsidRDefault="00B4422D" w:rsidP="002C480E">
      <w:pPr>
        <w:spacing w:after="0" w:line="240" w:lineRule="auto"/>
        <w:rPr>
          <w:rFonts w:ascii="Verdana" w:eastAsia="Geomanist Light" w:hAnsi="Verdana" w:cs="Arial"/>
          <w:color w:val="000000" w:themeColor="text1"/>
          <w:lang w:val="es-MX"/>
        </w:rPr>
      </w:pPr>
    </w:p>
    <w:p w14:paraId="5BB2B1D2" w14:textId="77777777" w:rsidR="00B4422D" w:rsidRDefault="00B4422D" w:rsidP="002C480E">
      <w:pPr>
        <w:spacing w:after="0" w:line="240" w:lineRule="auto"/>
        <w:rPr>
          <w:rFonts w:ascii="Verdana" w:eastAsia="Geomanist Light" w:hAnsi="Verdana" w:cs="Arial"/>
          <w:color w:val="000000" w:themeColor="text1"/>
          <w:lang w:val="es-MX"/>
        </w:rPr>
      </w:pPr>
    </w:p>
    <w:p w14:paraId="0C8A818C" w14:textId="77777777" w:rsidR="00B4422D" w:rsidRDefault="00B4422D" w:rsidP="002C480E">
      <w:pPr>
        <w:spacing w:after="0" w:line="240" w:lineRule="auto"/>
        <w:rPr>
          <w:rFonts w:ascii="Verdana" w:eastAsia="Geomanist Light" w:hAnsi="Verdana" w:cs="Arial"/>
          <w:color w:val="000000" w:themeColor="text1"/>
          <w:lang w:val="es-MX"/>
        </w:rPr>
      </w:pPr>
    </w:p>
    <w:p w14:paraId="5011E94F" w14:textId="77777777" w:rsidR="00B4422D" w:rsidRDefault="00B4422D" w:rsidP="002C480E">
      <w:pPr>
        <w:spacing w:after="0" w:line="240" w:lineRule="auto"/>
        <w:rPr>
          <w:rFonts w:ascii="Verdana" w:eastAsia="Geomanist Light" w:hAnsi="Verdana" w:cs="Arial"/>
          <w:color w:val="000000" w:themeColor="text1"/>
          <w:lang w:val="es-MX"/>
        </w:rPr>
      </w:pPr>
    </w:p>
    <w:p w14:paraId="0C56D4E9" w14:textId="77777777" w:rsidR="00B4422D" w:rsidRDefault="00B4422D" w:rsidP="002C480E">
      <w:pPr>
        <w:spacing w:after="0" w:line="240" w:lineRule="auto"/>
        <w:rPr>
          <w:rFonts w:ascii="Verdana" w:eastAsia="Geomanist Light" w:hAnsi="Verdana" w:cs="Arial"/>
          <w:color w:val="000000" w:themeColor="text1"/>
          <w:lang w:val="es-MX"/>
        </w:rPr>
      </w:pPr>
    </w:p>
    <w:p w14:paraId="041D89F4" w14:textId="77777777" w:rsidR="00B4422D" w:rsidRDefault="00B4422D" w:rsidP="002C480E">
      <w:pPr>
        <w:spacing w:after="0" w:line="240" w:lineRule="auto"/>
        <w:rPr>
          <w:rFonts w:ascii="Verdana" w:eastAsia="Geomanist Light" w:hAnsi="Verdana" w:cs="Arial"/>
          <w:color w:val="000000" w:themeColor="text1"/>
          <w:lang w:val="es-MX"/>
        </w:rPr>
      </w:pPr>
    </w:p>
    <w:p w14:paraId="0D788929" w14:textId="77777777" w:rsidR="00B4422D" w:rsidRDefault="00B4422D" w:rsidP="002C480E">
      <w:pPr>
        <w:spacing w:after="0" w:line="240" w:lineRule="auto"/>
        <w:rPr>
          <w:rFonts w:ascii="Verdana" w:eastAsia="Geomanist Light" w:hAnsi="Verdana" w:cs="Arial"/>
          <w:color w:val="000000" w:themeColor="text1"/>
          <w:lang w:val="es-MX"/>
        </w:rPr>
      </w:pPr>
    </w:p>
    <w:p w14:paraId="02F4AC66" w14:textId="77777777" w:rsidR="00B4422D" w:rsidRDefault="00B4422D" w:rsidP="002C480E">
      <w:pPr>
        <w:spacing w:after="0" w:line="240" w:lineRule="auto"/>
        <w:rPr>
          <w:rFonts w:ascii="Verdana" w:eastAsia="Geomanist Light" w:hAnsi="Verdana" w:cs="Arial"/>
          <w:color w:val="000000" w:themeColor="text1"/>
          <w:lang w:val="es-MX"/>
        </w:rPr>
      </w:pPr>
    </w:p>
    <w:p w14:paraId="62862534" w14:textId="77777777" w:rsidR="00B4422D" w:rsidRDefault="00B4422D" w:rsidP="002C480E">
      <w:pPr>
        <w:spacing w:after="0" w:line="240" w:lineRule="auto"/>
        <w:rPr>
          <w:rFonts w:ascii="Verdana" w:eastAsia="Geomanist Light" w:hAnsi="Verdana" w:cs="Arial"/>
          <w:color w:val="000000" w:themeColor="text1"/>
          <w:lang w:val="es-MX"/>
        </w:rPr>
      </w:pPr>
    </w:p>
    <w:p w14:paraId="034DE578" w14:textId="77777777" w:rsidR="00B4422D" w:rsidRDefault="00B4422D" w:rsidP="002C480E">
      <w:pPr>
        <w:spacing w:after="0" w:line="240" w:lineRule="auto"/>
        <w:rPr>
          <w:rFonts w:ascii="Verdana" w:eastAsia="Geomanist Light" w:hAnsi="Verdana" w:cs="Arial"/>
          <w:color w:val="000000" w:themeColor="text1"/>
          <w:lang w:val="es-MX"/>
        </w:rPr>
      </w:pPr>
    </w:p>
    <w:p w14:paraId="78ED1E43" w14:textId="77777777" w:rsidR="00B4422D" w:rsidRDefault="00B4422D" w:rsidP="002C480E">
      <w:pPr>
        <w:spacing w:after="0" w:line="240" w:lineRule="auto"/>
        <w:rPr>
          <w:rFonts w:ascii="Verdana" w:eastAsia="Geomanist Light" w:hAnsi="Verdana" w:cs="Arial"/>
          <w:color w:val="000000" w:themeColor="text1"/>
          <w:lang w:val="es-MX"/>
        </w:rPr>
      </w:pPr>
    </w:p>
    <w:p w14:paraId="3F468DBA" w14:textId="77777777" w:rsidR="00B4422D" w:rsidRDefault="00B4422D" w:rsidP="002C480E">
      <w:pPr>
        <w:spacing w:after="0" w:line="240" w:lineRule="auto"/>
        <w:rPr>
          <w:rFonts w:ascii="Verdana" w:eastAsia="Geomanist Light" w:hAnsi="Verdana" w:cs="Arial"/>
          <w:color w:val="000000" w:themeColor="text1"/>
          <w:lang w:val="es-MX"/>
        </w:rPr>
      </w:pPr>
    </w:p>
    <w:p w14:paraId="7AADA564" w14:textId="77777777" w:rsidR="00B4422D" w:rsidRDefault="00B4422D" w:rsidP="002C480E">
      <w:pPr>
        <w:spacing w:after="0" w:line="240" w:lineRule="auto"/>
        <w:rPr>
          <w:rFonts w:ascii="Verdana" w:eastAsia="Geomanist Light" w:hAnsi="Verdana" w:cs="Arial"/>
          <w:color w:val="000000" w:themeColor="text1"/>
          <w:lang w:val="es-MX"/>
        </w:rPr>
      </w:pPr>
    </w:p>
    <w:p w14:paraId="3D651A5C" w14:textId="77777777" w:rsidR="00B4422D" w:rsidRDefault="00B4422D" w:rsidP="002C480E">
      <w:pPr>
        <w:spacing w:after="0" w:line="240" w:lineRule="auto"/>
        <w:rPr>
          <w:rFonts w:ascii="Verdana" w:eastAsia="Geomanist Light" w:hAnsi="Verdana" w:cs="Arial"/>
          <w:color w:val="000000" w:themeColor="text1"/>
          <w:lang w:val="es-MX"/>
        </w:rPr>
      </w:pPr>
    </w:p>
    <w:p w14:paraId="281BEAE8" w14:textId="77777777" w:rsidR="00B4422D" w:rsidRDefault="00B4422D" w:rsidP="002C480E">
      <w:pPr>
        <w:spacing w:after="0" w:line="240" w:lineRule="auto"/>
        <w:rPr>
          <w:rFonts w:ascii="Verdana" w:eastAsia="Geomanist Light" w:hAnsi="Verdana" w:cs="Arial"/>
          <w:color w:val="000000" w:themeColor="text1"/>
          <w:lang w:val="es-MX"/>
        </w:rPr>
      </w:pPr>
    </w:p>
    <w:p w14:paraId="3C33DA4C" w14:textId="77777777" w:rsidR="00B4422D" w:rsidRDefault="00B4422D" w:rsidP="002C480E">
      <w:pPr>
        <w:spacing w:after="0" w:line="240" w:lineRule="auto"/>
        <w:rPr>
          <w:rFonts w:ascii="Verdana" w:eastAsia="Geomanist Light" w:hAnsi="Verdana" w:cs="Arial"/>
          <w:color w:val="000000" w:themeColor="text1"/>
          <w:lang w:val="es-MX"/>
        </w:rPr>
      </w:pPr>
    </w:p>
    <w:p w14:paraId="3D606EEF" w14:textId="77777777" w:rsidR="00B4422D" w:rsidRDefault="00B4422D" w:rsidP="002C480E">
      <w:pPr>
        <w:spacing w:after="0" w:line="240" w:lineRule="auto"/>
        <w:rPr>
          <w:rFonts w:ascii="Verdana" w:eastAsia="Geomanist Light" w:hAnsi="Verdana" w:cs="Arial"/>
          <w:color w:val="000000" w:themeColor="text1"/>
          <w:lang w:val="es-MX"/>
        </w:rPr>
      </w:pPr>
    </w:p>
    <w:p w14:paraId="29192A23" w14:textId="77777777" w:rsidR="00B4422D" w:rsidRDefault="00B4422D" w:rsidP="002C480E">
      <w:pPr>
        <w:spacing w:after="0" w:line="240" w:lineRule="auto"/>
        <w:rPr>
          <w:rFonts w:ascii="Verdana" w:eastAsia="Geomanist Light" w:hAnsi="Verdana" w:cs="Arial"/>
          <w:color w:val="000000" w:themeColor="text1"/>
          <w:lang w:val="es-MX"/>
        </w:rPr>
      </w:pPr>
    </w:p>
    <w:p w14:paraId="4E8A50F3" w14:textId="77777777" w:rsidR="00B4422D" w:rsidRDefault="00B4422D" w:rsidP="002C480E">
      <w:pPr>
        <w:spacing w:after="0" w:line="240" w:lineRule="auto"/>
        <w:rPr>
          <w:rFonts w:ascii="Verdana" w:eastAsia="Geomanist Light" w:hAnsi="Verdana" w:cs="Arial"/>
          <w:color w:val="000000" w:themeColor="text1"/>
          <w:lang w:val="es-MX"/>
        </w:rPr>
      </w:pPr>
    </w:p>
    <w:p w14:paraId="42142774" w14:textId="77777777" w:rsidR="00B4422D" w:rsidRDefault="00B4422D" w:rsidP="002C480E">
      <w:pPr>
        <w:spacing w:after="0" w:line="240" w:lineRule="auto"/>
        <w:rPr>
          <w:rFonts w:ascii="Verdana" w:eastAsia="Geomanist Light" w:hAnsi="Verdana" w:cs="Arial"/>
          <w:color w:val="000000" w:themeColor="text1"/>
          <w:lang w:val="es-MX"/>
        </w:rPr>
      </w:pPr>
    </w:p>
    <w:p w14:paraId="4BAA9295" w14:textId="77777777" w:rsidR="00B4422D" w:rsidRDefault="00B4422D" w:rsidP="002C480E">
      <w:pPr>
        <w:spacing w:after="0" w:line="240" w:lineRule="auto"/>
        <w:rPr>
          <w:rFonts w:ascii="Verdana" w:eastAsia="Geomanist Light" w:hAnsi="Verdana" w:cs="Arial"/>
          <w:color w:val="000000" w:themeColor="text1"/>
          <w:lang w:val="es-MX"/>
        </w:rPr>
      </w:pPr>
    </w:p>
    <w:p w14:paraId="7491B46F" w14:textId="77777777" w:rsidR="00B4422D" w:rsidRDefault="00B4422D" w:rsidP="002C480E">
      <w:pPr>
        <w:spacing w:after="0" w:line="240" w:lineRule="auto"/>
        <w:rPr>
          <w:rFonts w:ascii="Verdana" w:eastAsia="Geomanist Light" w:hAnsi="Verdana" w:cs="Arial"/>
          <w:color w:val="000000" w:themeColor="text1"/>
          <w:lang w:val="es-MX"/>
        </w:rPr>
      </w:pPr>
    </w:p>
    <w:p w14:paraId="3F8BB72B" w14:textId="77777777" w:rsidR="00B4422D" w:rsidRDefault="00B4422D" w:rsidP="002C480E">
      <w:pPr>
        <w:spacing w:after="0" w:line="240" w:lineRule="auto"/>
        <w:rPr>
          <w:rFonts w:ascii="Verdana" w:eastAsia="Geomanist Light" w:hAnsi="Verdana" w:cs="Arial"/>
          <w:color w:val="000000" w:themeColor="text1"/>
          <w:lang w:val="es-MX"/>
        </w:rPr>
      </w:pPr>
    </w:p>
    <w:p w14:paraId="62FF03CE" w14:textId="77777777" w:rsidR="00B4422D" w:rsidRDefault="00B4422D" w:rsidP="002C480E">
      <w:pPr>
        <w:spacing w:after="0" w:line="240" w:lineRule="auto"/>
        <w:rPr>
          <w:rFonts w:ascii="Verdana" w:eastAsia="Geomanist Light" w:hAnsi="Verdana" w:cs="Arial"/>
          <w:color w:val="000000" w:themeColor="text1"/>
          <w:lang w:val="es-MX"/>
        </w:rPr>
      </w:pPr>
    </w:p>
    <w:p w14:paraId="34362C9B" w14:textId="77777777" w:rsidR="00B4422D" w:rsidRDefault="00B4422D" w:rsidP="002C480E">
      <w:pPr>
        <w:spacing w:after="0" w:line="240" w:lineRule="auto"/>
        <w:rPr>
          <w:rFonts w:ascii="Verdana" w:eastAsia="Geomanist Light" w:hAnsi="Verdana" w:cs="Arial"/>
          <w:color w:val="000000" w:themeColor="text1"/>
          <w:lang w:val="es-MX"/>
        </w:rPr>
      </w:pPr>
    </w:p>
    <w:p w14:paraId="22A059B0" w14:textId="77777777" w:rsidR="00B4422D" w:rsidRDefault="00B4422D" w:rsidP="002C480E">
      <w:pPr>
        <w:spacing w:after="0" w:line="240" w:lineRule="auto"/>
        <w:rPr>
          <w:rFonts w:ascii="Verdana" w:eastAsia="Geomanist Light" w:hAnsi="Verdana" w:cs="Arial"/>
          <w:color w:val="000000" w:themeColor="text1"/>
          <w:lang w:val="es-MX"/>
        </w:rPr>
      </w:pPr>
    </w:p>
    <w:p w14:paraId="3E90329C" w14:textId="77777777" w:rsidR="00B4422D" w:rsidRDefault="00B4422D" w:rsidP="002C480E">
      <w:pPr>
        <w:spacing w:after="0" w:line="240" w:lineRule="auto"/>
        <w:rPr>
          <w:rFonts w:ascii="Verdana" w:eastAsia="Geomanist Light" w:hAnsi="Verdana" w:cs="Arial"/>
          <w:color w:val="000000" w:themeColor="text1"/>
          <w:lang w:val="es-MX"/>
        </w:rPr>
      </w:pPr>
    </w:p>
    <w:p w14:paraId="3A4044AD" w14:textId="77777777" w:rsidR="00B4422D" w:rsidRDefault="00B4422D" w:rsidP="002C480E">
      <w:pPr>
        <w:spacing w:after="0" w:line="240" w:lineRule="auto"/>
        <w:rPr>
          <w:rFonts w:ascii="Verdana" w:eastAsia="Geomanist Light" w:hAnsi="Verdana" w:cs="Arial"/>
          <w:color w:val="000000" w:themeColor="text1"/>
          <w:lang w:val="es-MX"/>
        </w:rPr>
      </w:pPr>
    </w:p>
    <w:p w14:paraId="21178F69" w14:textId="77777777" w:rsidR="00B4422D" w:rsidRDefault="00B4422D" w:rsidP="002C480E">
      <w:pPr>
        <w:spacing w:after="0" w:line="240" w:lineRule="auto"/>
        <w:rPr>
          <w:rFonts w:ascii="Verdana" w:eastAsia="Geomanist Light" w:hAnsi="Verdana" w:cs="Arial"/>
          <w:color w:val="000000" w:themeColor="text1"/>
          <w:lang w:val="es-MX"/>
        </w:rPr>
      </w:pPr>
    </w:p>
    <w:p w14:paraId="37257CB4" w14:textId="561C91F0" w:rsidR="002C480E" w:rsidRPr="00A27102" w:rsidRDefault="002C480E" w:rsidP="002C480E">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41247B">
        <w:rPr>
          <w:rFonts w:ascii="Verdana" w:eastAsia="Geomanist Light" w:hAnsi="Verdana" w:cs="Arial"/>
          <w:color w:val="201F1E"/>
          <w:lang w:val="es-MX"/>
        </w:rPr>
        <w:t>31 de diciembre de 2025</w:t>
      </w:r>
    </w:p>
    <w:p w14:paraId="342DC7B4" w14:textId="5CA1D8A5" w:rsidR="002C480E" w:rsidRPr="004C6B7F" w:rsidRDefault="004D2E39" w:rsidP="002C480E">
      <w:pPr>
        <w:spacing w:after="0" w:line="240" w:lineRule="auto"/>
        <w:rPr>
          <w:rFonts w:ascii="Verdana" w:hAnsi="Verdana"/>
        </w:rPr>
      </w:pPr>
      <w:r w:rsidRPr="0041247B">
        <w:rPr>
          <w:rFonts w:ascii="Verdana" w:hAnsi="Verdana" w:cs="Arial"/>
          <w:bCs/>
          <w:noProof/>
          <w:lang w:eastAsia="es-ES" w:bidi="es-ES"/>
        </w:rPr>
        <w:drawing>
          <wp:anchor distT="0" distB="0" distL="114300" distR="114300" simplePos="0" relativeHeight="251657216" behindDoc="0" locked="0" layoutInCell="1" allowOverlap="1" wp14:anchorId="06E7EDBD" wp14:editId="48010D21">
            <wp:simplePos x="0" y="0"/>
            <wp:positionH relativeFrom="margin">
              <wp:align>right</wp:align>
            </wp:positionH>
            <wp:positionV relativeFrom="paragraph">
              <wp:posOffset>171450</wp:posOffset>
            </wp:positionV>
            <wp:extent cx="2621280" cy="731520"/>
            <wp:effectExtent l="0" t="0" r="7620" b="0"/>
            <wp:wrapSquare wrapText="bothSides"/>
            <wp:docPr id="12875725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1280" cy="731520"/>
                    </a:xfrm>
                    <a:prstGeom prst="rect">
                      <a:avLst/>
                    </a:prstGeom>
                    <a:noFill/>
                    <a:ln>
                      <a:noFill/>
                    </a:ln>
                  </pic:spPr>
                </pic:pic>
              </a:graphicData>
            </a:graphic>
            <wp14:sizeRelH relativeFrom="margin">
              <wp14:pctWidth>0</wp14:pctWidth>
            </wp14:sizeRelH>
          </wp:anchor>
        </w:drawing>
      </w:r>
    </w:p>
    <w:p w14:paraId="5B5314B6" w14:textId="6F4246C5" w:rsidR="002C480E" w:rsidRPr="004C6B7F" w:rsidRDefault="002C480E" w:rsidP="0041247B">
      <w:pPr>
        <w:spacing w:after="0" w:line="240" w:lineRule="auto"/>
        <w:jc w:val="right"/>
        <w:rPr>
          <w:rFonts w:ascii="Verdana" w:hAnsi="Verdana" w:cs="Arial"/>
          <w:bCs/>
          <w:lang w:eastAsia="es-ES" w:bidi="es-ES"/>
        </w:rPr>
      </w:pPr>
    </w:p>
    <w:p w14:paraId="1D4E7F88" w14:textId="77777777" w:rsidR="002C480E" w:rsidRPr="004C6B7F" w:rsidRDefault="002C480E" w:rsidP="002C480E">
      <w:pPr>
        <w:spacing w:after="0" w:line="240" w:lineRule="auto"/>
        <w:jc w:val="both"/>
        <w:rPr>
          <w:rFonts w:ascii="Verdana" w:hAnsi="Verdana" w:cs="Arial"/>
          <w:bCs/>
          <w:lang w:eastAsia="es-ES" w:bidi="es-ES"/>
        </w:rPr>
      </w:pPr>
      <w:r w:rsidRPr="004C6B7F">
        <w:rPr>
          <w:rFonts w:ascii="Verdana" w:hAnsi="Verdana" w:cs="Arial"/>
          <w:bCs/>
          <w:lang w:eastAsia="es-ES" w:bidi="es-ES"/>
        </w:rPr>
        <w:t>Señor</w:t>
      </w:r>
    </w:p>
    <w:p w14:paraId="677F5015" w14:textId="77777777" w:rsidR="002C480E" w:rsidRPr="004C6B7F" w:rsidRDefault="002C480E" w:rsidP="002C480E">
      <w:pPr>
        <w:spacing w:after="0" w:line="240" w:lineRule="auto"/>
        <w:jc w:val="both"/>
        <w:rPr>
          <w:rFonts w:ascii="Verdana" w:hAnsi="Verdana" w:cs="Arial"/>
          <w:b/>
          <w:bCs/>
          <w:lang w:eastAsia="es-ES" w:bidi="es-ES"/>
        </w:rPr>
      </w:pPr>
      <w:r>
        <w:rPr>
          <w:rFonts w:ascii="Verdana" w:hAnsi="Verdana" w:cs="Arial"/>
          <w:b/>
          <w:bCs/>
          <w:lang w:eastAsia="es-ES" w:bidi="es-ES"/>
        </w:rPr>
        <w:t xml:space="preserve">Andrés Felipe Hernández González </w:t>
      </w:r>
    </w:p>
    <w:p w14:paraId="1A302101" w14:textId="77777777" w:rsidR="002C480E" w:rsidRPr="00BD2948" w:rsidRDefault="002C480E" w:rsidP="002C480E">
      <w:pPr>
        <w:spacing w:after="0" w:line="240" w:lineRule="auto"/>
        <w:jc w:val="both"/>
        <w:rPr>
          <w:rFonts w:ascii="Verdana" w:hAnsi="Verdana"/>
        </w:rPr>
      </w:pPr>
      <w:hyperlink r:id="rId12" w:history="1">
        <w:r w:rsidRPr="00BD2948">
          <w:rPr>
            <w:rStyle w:val="Hipervnculo"/>
            <w:rFonts w:ascii="Verdana" w:hAnsi="Verdana"/>
          </w:rPr>
          <w:t>andreshg93@hotmail.com</w:t>
        </w:r>
      </w:hyperlink>
      <w:r w:rsidRPr="00BD2948">
        <w:rPr>
          <w:rFonts w:ascii="Verdana" w:hAnsi="Verdana"/>
        </w:rPr>
        <w:t xml:space="preserve"> </w:t>
      </w:r>
    </w:p>
    <w:p w14:paraId="436EE201" w14:textId="77777777" w:rsidR="002C480E" w:rsidRPr="004C6B7F" w:rsidRDefault="002C480E" w:rsidP="002C480E">
      <w:pPr>
        <w:spacing w:after="0" w:line="240" w:lineRule="auto"/>
        <w:jc w:val="both"/>
        <w:rPr>
          <w:rFonts w:ascii="Verdana" w:hAnsi="Verdana" w:cs="Arial"/>
          <w:bCs/>
          <w:lang w:val="es-MX" w:eastAsia="es-ES" w:bidi="es-ES"/>
        </w:rPr>
      </w:pPr>
      <w:r>
        <w:rPr>
          <w:rFonts w:ascii="Verdana" w:hAnsi="Verdana" w:cs="Arial"/>
          <w:bCs/>
          <w:lang w:val="es-MX" w:eastAsia="es-ES" w:bidi="es-ES"/>
        </w:rPr>
        <w:t>Bogotá</w:t>
      </w:r>
    </w:p>
    <w:p w14:paraId="0FE11483" w14:textId="77777777" w:rsidR="002C480E" w:rsidRPr="004C6B7F" w:rsidRDefault="002C480E" w:rsidP="002C480E">
      <w:pPr>
        <w:spacing w:after="0" w:line="240" w:lineRule="auto"/>
        <w:jc w:val="both"/>
        <w:rPr>
          <w:rFonts w:ascii="Verdana" w:hAnsi="Verdana" w:cs="Arial"/>
          <w:b/>
          <w:bCs/>
          <w:lang w:val="es-ES_tradnl" w:eastAsia="es-ES" w:bidi="es-ES"/>
        </w:rPr>
      </w:pPr>
    </w:p>
    <w:p w14:paraId="48DC9864" w14:textId="77777777" w:rsidR="002C480E" w:rsidRPr="004C6B7F" w:rsidRDefault="002C480E" w:rsidP="002C480E">
      <w:pPr>
        <w:tabs>
          <w:tab w:val="left" w:pos="7184"/>
        </w:tabs>
        <w:spacing w:after="0" w:line="240" w:lineRule="auto"/>
        <w:jc w:val="both"/>
        <w:rPr>
          <w:rFonts w:ascii="Verdana" w:hAnsi="Verdana" w:cs="Arial"/>
          <w:b/>
          <w:bCs/>
          <w:lang w:val="es-ES_tradnl" w:eastAsia="es-ES" w:bidi="es-ES"/>
        </w:rPr>
      </w:pPr>
      <w:r w:rsidRPr="004C6B7F">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2C480E" w:rsidRPr="004C6B7F" w14:paraId="64FB8A41" w14:textId="77777777" w:rsidTr="00FB2425">
        <w:trPr>
          <w:trHeight w:val="312"/>
        </w:trPr>
        <w:tc>
          <w:tcPr>
            <w:tcW w:w="2689" w:type="dxa"/>
          </w:tcPr>
          <w:p w14:paraId="51CF1403" w14:textId="77777777" w:rsidR="002C480E" w:rsidRPr="004C6B7F" w:rsidRDefault="002C480E" w:rsidP="00FB2425">
            <w:pPr>
              <w:jc w:val="both"/>
              <w:rPr>
                <w:rFonts w:ascii="Verdana" w:hAnsi="Verdana" w:cs="Arial"/>
                <w:b/>
                <w:bCs/>
                <w:lang w:val="es-ES_tradnl" w:eastAsia="es-ES" w:bidi="es-ES"/>
              </w:rPr>
            </w:pPr>
          </w:p>
        </w:tc>
        <w:tc>
          <w:tcPr>
            <w:tcW w:w="6242" w:type="dxa"/>
          </w:tcPr>
          <w:p w14:paraId="103F8F35" w14:textId="77777777" w:rsidR="002C480E" w:rsidRPr="004C6B7F" w:rsidRDefault="002C480E" w:rsidP="00FB2425">
            <w:pPr>
              <w:tabs>
                <w:tab w:val="right" w:pos="6242"/>
              </w:tabs>
              <w:jc w:val="both"/>
              <w:rPr>
                <w:rFonts w:ascii="Verdana" w:hAnsi="Verdana" w:cs="Arial"/>
                <w:b/>
                <w:bCs/>
                <w:lang w:val="es-MX" w:eastAsia="es-ES" w:bidi="es-ES"/>
              </w:rPr>
            </w:pPr>
            <w:r w:rsidRPr="004C6B7F">
              <w:rPr>
                <w:rFonts w:ascii="Verdana" w:hAnsi="Verdana" w:cs="Arial"/>
                <w:b/>
                <w:bCs/>
                <w:lang w:val="es-MX" w:eastAsia="es-ES" w:bidi="es-ES"/>
              </w:rPr>
              <w:t xml:space="preserve">Concepto C- </w:t>
            </w:r>
            <w:r>
              <w:rPr>
                <w:rFonts w:ascii="Verdana" w:hAnsi="Verdana" w:cs="Arial"/>
                <w:b/>
                <w:bCs/>
                <w:lang w:val="es-MX" w:eastAsia="es-ES" w:bidi="es-ES"/>
              </w:rPr>
              <w:t>1777</w:t>
            </w:r>
            <w:r w:rsidRPr="004C6B7F">
              <w:rPr>
                <w:rFonts w:ascii="Verdana" w:hAnsi="Verdana" w:cs="Arial"/>
                <w:b/>
                <w:bCs/>
                <w:lang w:val="es-MX" w:eastAsia="es-ES" w:bidi="es-ES"/>
              </w:rPr>
              <w:t xml:space="preserve"> de 2025</w:t>
            </w:r>
            <w:r w:rsidRPr="004C6B7F">
              <w:rPr>
                <w:rFonts w:ascii="Verdana" w:hAnsi="Verdana" w:cs="Arial"/>
                <w:b/>
                <w:bCs/>
                <w:lang w:val="es-MX" w:eastAsia="es-ES" w:bidi="es-ES"/>
              </w:rPr>
              <w:tab/>
            </w:r>
          </w:p>
          <w:p w14:paraId="7165AF1B" w14:textId="77777777" w:rsidR="002C480E" w:rsidRPr="004C6B7F" w:rsidRDefault="002C480E" w:rsidP="00FB2425">
            <w:pPr>
              <w:jc w:val="both"/>
              <w:rPr>
                <w:rFonts w:ascii="Verdana" w:hAnsi="Verdana" w:cs="Arial"/>
                <w:b/>
                <w:bCs/>
                <w:lang w:val="es-MX" w:eastAsia="es-ES" w:bidi="es-ES"/>
              </w:rPr>
            </w:pPr>
          </w:p>
        </w:tc>
      </w:tr>
      <w:tr w:rsidR="002C480E" w:rsidRPr="004C6B7F" w14:paraId="532AEC57" w14:textId="77777777" w:rsidTr="00FB2425">
        <w:trPr>
          <w:trHeight w:val="884"/>
        </w:trPr>
        <w:tc>
          <w:tcPr>
            <w:tcW w:w="2689" w:type="dxa"/>
          </w:tcPr>
          <w:p w14:paraId="20F3CBBD" w14:textId="77777777" w:rsidR="002C480E" w:rsidRPr="004C6B7F" w:rsidRDefault="002C480E" w:rsidP="00FB2425">
            <w:pPr>
              <w:jc w:val="both"/>
              <w:rPr>
                <w:rFonts w:ascii="Verdana" w:hAnsi="Verdana" w:cs="Arial"/>
                <w:bCs/>
                <w:lang w:val="es-MX" w:eastAsia="es-ES" w:bidi="es-ES"/>
              </w:rPr>
            </w:pPr>
            <w:r w:rsidRPr="004C6B7F">
              <w:rPr>
                <w:rFonts w:ascii="Verdana" w:hAnsi="Verdana" w:cs="Arial"/>
                <w:bCs/>
                <w:lang w:val="es-MX" w:eastAsia="es-ES" w:bidi="es-ES"/>
              </w:rPr>
              <w:t xml:space="preserve">Temas:                   </w:t>
            </w:r>
          </w:p>
        </w:tc>
        <w:tc>
          <w:tcPr>
            <w:tcW w:w="6242" w:type="dxa"/>
          </w:tcPr>
          <w:p w14:paraId="43DBC942" w14:textId="77777777" w:rsidR="002C480E" w:rsidRPr="004C6B7F" w:rsidRDefault="002C480E" w:rsidP="00FB2425">
            <w:pPr>
              <w:spacing w:line="276" w:lineRule="auto"/>
              <w:jc w:val="both"/>
              <w:rPr>
                <w:rFonts w:ascii="Verdana" w:hAnsi="Verdana" w:cs="Arial"/>
                <w:bCs/>
                <w:lang w:eastAsia="es-ES" w:bidi="es-ES"/>
              </w:rPr>
            </w:pPr>
            <w:r w:rsidRPr="004C6B7F">
              <w:rPr>
                <w:rFonts w:ascii="Verdana" w:hAnsi="Verdana" w:cs="Arial"/>
                <w:bCs/>
                <w:lang w:val="es-ES_tradnl"/>
              </w:rPr>
              <w:t>ANTICIPO – Regulación normativa</w:t>
            </w:r>
            <w:r w:rsidRPr="004C6B7F">
              <w:rPr>
                <w:rFonts w:ascii="Verdana" w:eastAsia="Calibri" w:hAnsi="Verdana" w:cs="Arial"/>
                <w:bCs/>
                <w:lang w:val="es-ES" w:eastAsia="es-ES"/>
              </w:rPr>
              <w:t xml:space="preserve"> / </w:t>
            </w:r>
            <w:r w:rsidRPr="004C6B7F">
              <w:rPr>
                <w:rFonts w:ascii="Verdana" w:hAnsi="Verdana" w:cs="Arial"/>
                <w:bCs/>
              </w:rPr>
              <w:t xml:space="preserve">ANTICIPO – Definición jurisprudencial / </w:t>
            </w:r>
            <w:r w:rsidRPr="004C6B7F">
              <w:rPr>
                <w:rFonts w:ascii="Verdana" w:eastAsia="Calibri" w:hAnsi="Verdana" w:cs="Arial"/>
                <w:bCs/>
              </w:rPr>
              <w:t xml:space="preserve">PAGO ANTICIPADO Y/O ANTICIPO – Límites – Aplicación – Tipo contractual / </w:t>
            </w:r>
            <w:r w:rsidRPr="004C6B7F">
              <w:rPr>
                <w:rFonts w:ascii="Verdana" w:hAnsi="Verdana" w:cs="Arial"/>
                <w:bCs/>
                <w:lang w:eastAsia="es-ES" w:bidi="es-ES"/>
              </w:rPr>
              <w:t>ADICIÓN – Concepto – Distintos supuestos – Prohibición – Adición en más del 50% / ADICIÓN – Prohibición – Monto – Cálculo – Parágrafo artículo 40 – Ley 80 de 1993 / MODIFICACION DE LOS CONTRATOS ESTATALES – Procedencia – condiciones – Límite</w:t>
            </w:r>
            <w:r>
              <w:rPr>
                <w:rFonts w:ascii="Verdana" w:hAnsi="Verdana" w:cs="Arial"/>
                <w:bCs/>
                <w:lang w:eastAsia="es-ES" w:bidi="es-ES"/>
              </w:rPr>
              <w:t>s</w:t>
            </w:r>
          </w:p>
          <w:p w14:paraId="61C4BA46" w14:textId="77777777" w:rsidR="002C480E" w:rsidRPr="004C6B7F" w:rsidRDefault="002C480E" w:rsidP="00FB2425">
            <w:pPr>
              <w:jc w:val="both"/>
              <w:rPr>
                <w:rFonts w:ascii="Verdana" w:hAnsi="Verdana" w:cs="Arial"/>
                <w:bCs/>
                <w:highlight w:val="yellow"/>
                <w:lang w:val="es-MX" w:eastAsia="es-ES" w:bidi="es-ES"/>
              </w:rPr>
            </w:pPr>
          </w:p>
        </w:tc>
      </w:tr>
      <w:tr w:rsidR="002C480E" w:rsidRPr="004C6B7F" w14:paraId="03598A44" w14:textId="77777777" w:rsidTr="00FB2425">
        <w:tc>
          <w:tcPr>
            <w:tcW w:w="2689" w:type="dxa"/>
          </w:tcPr>
          <w:p w14:paraId="30B9A870" w14:textId="77777777" w:rsidR="002C480E" w:rsidRPr="004C6B7F" w:rsidRDefault="002C480E" w:rsidP="00FB2425">
            <w:pPr>
              <w:jc w:val="both"/>
              <w:rPr>
                <w:rFonts w:ascii="Verdana" w:hAnsi="Verdana" w:cs="Arial"/>
                <w:bCs/>
                <w:lang w:val="es-MX" w:eastAsia="es-ES" w:bidi="es-ES"/>
              </w:rPr>
            </w:pPr>
            <w:r w:rsidRPr="004C6B7F">
              <w:rPr>
                <w:rFonts w:ascii="Verdana" w:hAnsi="Verdana" w:cs="Arial"/>
                <w:bCs/>
                <w:lang w:val="es-MX" w:eastAsia="es-ES" w:bidi="es-ES"/>
              </w:rPr>
              <w:t xml:space="preserve">Radicación:               </w:t>
            </w:r>
          </w:p>
        </w:tc>
        <w:tc>
          <w:tcPr>
            <w:tcW w:w="6242" w:type="dxa"/>
          </w:tcPr>
          <w:p w14:paraId="5D7F9A91" w14:textId="77777777" w:rsidR="002C480E" w:rsidRPr="004C6B7F" w:rsidRDefault="002C480E" w:rsidP="00FB2425">
            <w:pPr>
              <w:jc w:val="both"/>
              <w:rPr>
                <w:rFonts w:ascii="Verdana" w:hAnsi="Verdana" w:cs="Arial"/>
                <w:bCs/>
                <w:lang w:val="es-MX" w:eastAsia="es-ES" w:bidi="es-ES"/>
              </w:rPr>
            </w:pPr>
            <w:r w:rsidRPr="004C6B7F">
              <w:rPr>
                <w:rFonts w:ascii="Verdana" w:hAnsi="Verdana" w:cs="Arial"/>
                <w:bCs/>
                <w:lang w:val="es-MX" w:eastAsia="es-ES" w:bidi="es-ES"/>
              </w:rPr>
              <w:t xml:space="preserve">Respuesta a consulta con radicado No. </w:t>
            </w:r>
            <w:r w:rsidRPr="00CA55D2">
              <w:rPr>
                <w:rFonts w:ascii="Verdana" w:hAnsi="Verdana" w:cs="Arial"/>
                <w:bCs/>
                <w:lang w:val="es-MX" w:eastAsia="es-ES" w:bidi="es-ES"/>
              </w:rPr>
              <w:t>1_2025_12_01_013536</w:t>
            </w:r>
          </w:p>
        </w:tc>
      </w:tr>
    </w:tbl>
    <w:p w14:paraId="1D1A0129" w14:textId="77777777" w:rsidR="002C480E" w:rsidRPr="004C6B7F" w:rsidRDefault="002C480E" w:rsidP="002C480E">
      <w:pPr>
        <w:spacing w:after="0" w:line="240" w:lineRule="auto"/>
        <w:jc w:val="both"/>
        <w:rPr>
          <w:rFonts w:ascii="Verdana" w:hAnsi="Verdana" w:cs="Arial"/>
          <w:bCs/>
          <w:lang w:val="es-ES_tradnl" w:eastAsia="es-ES" w:bidi="es-ES"/>
        </w:rPr>
      </w:pPr>
    </w:p>
    <w:p w14:paraId="09AB4D0D" w14:textId="77777777" w:rsidR="002C480E" w:rsidRPr="004C6B7F" w:rsidRDefault="002C480E" w:rsidP="002C480E">
      <w:pPr>
        <w:spacing w:after="0" w:line="240" w:lineRule="auto"/>
        <w:jc w:val="both"/>
        <w:rPr>
          <w:rFonts w:ascii="Verdana" w:hAnsi="Verdana" w:cs="Arial"/>
          <w:bCs/>
          <w:lang w:val="es-ES_tradnl" w:eastAsia="es-ES" w:bidi="es-ES"/>
        </w:rPr>
      </w:pPr>
    </w:p>
    <w:p w14:paraId="0BB7A652" w14:textId="77777777" w:rsidR="002C480E" w:rsidRPr="0050771E" w:rsidRDefault="002C480E" w:rsidP="002C480E">
      <w:pPr>
        <w:spacing w:after="0" w:line="276" w:lineRule="auto"/>
        <w:jc w:val="both"/>
        <w:rPr>
          <w:rFonts w:ascii="Verdana" w:hAnsi="Verdana" w:cs="Arial"/>
          <w:bCs/>
          <w:lang w:val="es-MX" w:eastAsia="es-ES" w:bidi="es-ES"/>
        </w:rPr>
      </w:pPr>
      <w:r w:rsidRPr="0050771E">
        <w:rPr>
          <w:rFonts w:ascii="Verdana" w:hAnsi="Verdana" w:cs="Arial"/>
          <w:bCs/>
          <w:lang w:val="es-MX" w:eastAsia="es-ES" w:bidi="es-ES"/>
        </w:rPr>
        <w:t xml:space="preserve">Estimado Señor </w:t>
      </w:r>
      <w:r>
        <w:rPr>
          <w:rFonts w:ascii="Verdana" w:hAnsi="Verdana" w:cs="Arial"/>
          <w:bCs/>
          <w:lang w:val="es-MX" w:eastAsia="es-ES" w:bidi="es-ES"/>
        </w:rPr>
        <w:t>Hernández</w:t>
      </w:r>
      <w:r w:rsidRPr="0050771E">
        <w:rPr>
          <w:rFonts w:ascii="Verdana" w:hAnsi="Verdana" w:cs="Arial"/>
          <w:bCs/>
          <w:lang w:val="es-MX" w:eastAsia="es-ES" w:bidi="es-ES"/>
        </w:rPr>
        <w:t>:</w:t>
      </w:r>
    </w:p>
    <w:p w14:paraId="1F744CEA" w14:textId="77777777" w:rsidR="002C480E" w:rsidRPr="0050771E" w:rsidRDefault="002C480E" w:rsidP="002C480E">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ab/>
      </w:r>
    </w:p>
    <w:p w14:paraId="4BB77E88" w14:textId="77777777" w:rsidR="002C480E" w:rsidRPr="00B31C7B" w:rsidRDefault="002C480E" w:rsidP="002C480E">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 xml:space="preserve">En ejercicio de la competencia otorgada por los artículos 3, numeral 5º, y 11, numeral 8º, del Decreto Ley 4170 de 2011,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50771E">
        <w:rPr>
          <w:rFonts w:ascii="Verdana" w:hAnsi="Verdana" w:cs="Arial"/>
          <w:bCs/>
          <w:lang w:eastAsia="es-ES" w:bidi="es-ES"/>
        </w:rPr>
        <w:t xml:space="preserve">, </w:t>
      </w:r>
      <w:r w:rsidRPr="0050771E">
        <w:rPr>
          <w:rFonts w:ascii="Verdana" w:hAnsi="Verdana" w:cs="Arial"/>
          <w:bCs/>
          <w:lang w:val="es-ES" w:eastAsia="es-ES" w:bidi="es-ES"/>
        </w:rPr>
        <w:t xml:space="preserve">la Agencia Nacional de Contratación Pública – Colombia Compra Eficiente– responde su solicitud de consulta de fecha del </w:t>
      </w:r>
      <w:r>
        <w:rPr>
          <w:rFonts w:ascii="Verdana" w:hAnsi="Verdana" w:cs="Arial"/>
          <w:bCs/>
          <w:lang w:val="es-ES" w:eastAsia="es-ES" w:bidi="es-ES"/>
        </w:rPr>
        <w:t>1</w:t>
      </w:r>
      <w:r w:rsidRPr="0050771E">
        <w:rPr>
          <w:rFonts w:ascii="Verdana" w:hAnsi="Verdana" w:cs="Arial"/>
          <w:bCs/>
          <w:lang w:val="es-ES" w:eastAsia="es-ES" w:bidi="es-ES"/>
        </w:rPr>
        <w:t xml:space="preserve"> de </w:t>
      </w:r>
      <w:r>
        <w:rPr>
          <w:rFonts w:ascii="Verdana" w:hAnsi="Verdana" w:cs="Arial"/>
          <w:bCs/>
          <w:lang w:val="es-ES" w:eastAsia="es-ES" w:bidi="es-ES"/>
        </w:rPr>
        <w:t>diciembre</w:t>
      </w:r>
      <w:r w:rsidRPr="0050771E">
        <w:rPr>
          <w:rFonts w:ascii="Verdana" w:hAnsi="Verdana" w:cs="Arial"/>
          <w:bCs/>
          <w:lang w:val="es-ES" w:eastAsia="es-ES" w:bidi="es-ES"/>
        </w:rPr>
        <w:t xml:space="preserve"> de 2025, en la</w:t>
      </w:r>
      <w:r w:rsidRPr="00B31C7B">
        <w:rPr>
          <w:rFonts w:ascii="Verdana" w:hAnsi="Verdana" w:cs="Arial"/>
          <w:bCs/>
          <w:lang w:val="es-ES" w:eastAsia="es-ES" w:bidi="es-ES"/>
        </w:rPr>
        <w:t xml:space="preserve"> cual manifiesta lo siguiente: </w:t>
      </w:r>
    </w:p>
    <w:p w14:paraId="597DF2DC" w14:textId="77777777" w:rsidR="002C480E" w:rsidRPr="006C07EE" w:rsidRDefault="002C480E" w:rsidP="002C480E">
      <w:pPr>
        <w:spacing w:after="0" w:line="276" w:lineRule="auto"/>
        <w:ind w:right="709"/>
        <w:jc w:val="both"/>
        <w:rPr>
          <w:rFonts w:ascii="Verdana" w:hAnsi="Verdana" w:cs="Arial"/>
          <w:bCs/>
          <w:sz w:val="21"/>
          <w:szCs w:val="21"/>
          <w:lang w:eastAsia="es-ES" w:bidi="es-ES"/>
        </w:rPr>
      </w:pPr>
    </w:p>
    <w:p w14:paraId="4FDAB863" w14:textId="77777777" w:rsidR="002C480E" w:rsidRPr="006C07EE" w:rsidRDefault="002C480E" w:rsidP="002C480E">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proofErr w:type="gramStart"/>
      <w:r w:rsidRPr="00905FCF">
        <w:rPr>
          <w:rFonts w:ascii="Verdana" w:hAnsi="Verdana" w:cs="Arial"/>
          <w:bCs/>
          <w:sz w:val="20"/>
          <w:szCs w:val="20"/>
          <w:lang w:eastAsia="es-ES" w:bidi="es-ES"/>
        </w:rPr>
        <w:t>Si en un contrato estatal quedó pactado un anticipo en la forma de pago y posteriormente se realiza una adición de recursos que no modifica ninguna otra cláusula del contrato ni menciona como será cancelado el recurso adicional, se entiende que la forma de pago inicial (anticipo), le aplica al adicional o se debe entender que ese anticipo se pactó sobre un valor inicial del contrato y que ya fue cancelado y siguen actas parciales o mensuales o según se haya estipulado?</w:t>
      </w:r>
      <w:proofErr w:type="gramEnd"/>
      <w:r>
        <w:rPr>
          <w:rFonts w:ascii="Verdana" w:hAnsi="Verdana" w:cs="Arial"/>
          <w:bCs/>
          <w:sz w:val="20"/>
          <w:szCs w:val="20"/>
          <w:lang w:eastAsia="es-ES" w:bidi="es-ES"/>
        </w:rPr>
        <w:t>”</w:t>
      </w:r>
    </w:p>
    <w:p w14:paraId="14E09F56" w14:textId="77777777" w:rsidR="002C480E" w:rsidRPr="00B31C7B" w:rsidRDefault="002C480E" w:rsidP="002C480E">
      <w:pPr>
        <w:spacing w:after="0" w:line="276" w:lineRule="auto"/>
        <w:ind w:firstLine="709"/>
        <w:jc w:val="both"/>
        <w:rPr>
          <w:rFonts w:ascii="Verdana" w:hAnsi="Verdana" w:cs="Arial"/>
          <w:bCs/>
          <w:lang w:eastAsia="es-ES" w:bidi="es-ES"/>
        </w:rPr>
      </w:pPr>
    </w:p>
    <w:p w14:paraId="084D52E7" w14:textId="77777777" w:rsidR="002C480E" w:rsidRPr="00B31C7B" w:rsidRDefault="002C480E" w:rsidP="002C480E">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9722549" w14:textId="77777777" w:rsidR="002C480E" w:rsidRPr="00B31C7B" w:rsidRDefault="002C480E" w:rsidP="002C480E">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w:t>
      </w:r>
      <w:r w:rsidRPr="00B31C7B">
        <w:rPr>
          <w:rFonts w:ascii="Verdana" w:eastAsia="Calibri" w:hAnsi="Verdana" w:cs="Times New Roman"/>
          <w:lang w:val="es-ES"/>
        </w:rPr>
        <w:t>de su consulta.</w:t>
      </w:r>
    </w:p>
    <w:p w14:paraId="4B0D324B" w14:textId="77777777" w:rsidR="002C480E" w:rsidRPr="00B31C7B" w:rsidRDefault="002C480E" w:rsidP="002C480E">
      <w:pPr>
        <w:spacing w:after="0" w:line="256" w:lineRule="auto"/>
        <w:rPr>
          <w:rFonts w:ascii="Verdana" w:eastAsia="Calibri" w:hAnsi="Verdana" w:cs="Times New Roman"/>
          <w:lang w:val="es-ES"/>
        </w:rPr>
      </w:pPr>
    </w:p>
    <w:p w14:paraId="544F39BE" w14:textId="77777777" w:rsidR="002C480E" w:rsidRPr="00B31C7B" w:rsidRDefault="002C480E" w:rsidP="002C480E">
      <w:pPr>
        <w:numPr>
          <w:ilvl w:val="0"/>
          <w:numId w:val="19"/>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7E670756" w14:textId="77777777" w:rsidR="002C480E" w:rsidRPr="00B31C7B" w:rsidRDefault="002C480E" w:rsidP="002C480E">
      <w:pPr>
        <w:spacing w:after="0" w:line="256" w:lineRule="auto"/>
        <w:rPr>
          <w:rFonts w:ascii="Verdana" w:eastAsia="Calibri" w:hAnsi="Verdana" w:cs="Times New Roman"/>
        </w:rPr>
      </w:pPr>
    </w:p>
    <w:p w14:paraId="51915BDD" w14:textId="77777777" w:rsidR="002C480E" w:rsidRPr="00B31C7B" w:rsidRDefault="002C480E" w:rsidP="002C480E">
      <w:pPr>
        <w:spacing w:after="0" w:line="276" w:lineRule="auto"/>
        <w:jc w:val="both"/>
        <w:rPr>
          <w:rFonts w:ascii="Verdana" w:eastAsia="Calibri" w:hAnsi="Verdana" w:cs="Times New Roman"/>
        </w:rPr>
      </w:pPr>
      <w:proofErr w:type="gramStart"/>
      <w:r>
        <w:rPr>
          <w:rFonts w:ascii="Verdana" w:eastAsia="Calibri" w:hAnsi="Verdana" w:cs="Times New Roman"/>
        </w:rPr>
        <w:t>De acuerdo al</w:t>
      </w:r>
      <w:proofErr w:type="gramEnd"/>
      <w:r>
        <w:rPr>
          <w:rFonts w:ascii="Verdana" w:eastAsia="Calibri" w:hAnsi="Verdana" w:cs="Times New Roman"/>
        </w:rPr>
        <w:t xml:space="preserve"> contenido de su solicitud, se presenta el siguiente problema jurídico</w:t>
      </w:r>
      <w:r w:rsidRPr="00B31C7B">
        <w:rPr>
          <w:rFonts w:ascii="Verdana" w:eastAsia="Calibri" w:hAnsi="Verdana" w:cs="Times New Roman"/>
        </w:rPr>
        <w:t xml:space="preserve">: </w:t>
      </w:r>
      <w:r>
        <w:rPr>
          <w:rFonts w:ascii="Verdana" w:eastAsia="Calibri" w:hAnsi="Verdana" w:cs="Times New Roman"/>
        </w:rPr>
        <w:t>¿En caso de una adición contractual es viable adicionar el valor del anticipo pactado?</w:t>
      </w:r>
    </w:p>
    <w:p w14:paraId="507DFD3C" w14:textId="77777777" w:rsidR="002C480E" w:rsidRPr="00B31C7B" w:rsidRDefault="002C480E" w:rsidP="002C480E">
      <w:pPr>
        <w:spacing w:after="0" w:line="276" w:lineRule="auto"/>
        <w:jc w:val="both"/>
        <w:rPr>
          <w:rFonts w:ascii="Verdana" w:eastAsia="Calibri" w:hAnsi="Verdana" w:cs="Times New Roman"/>
        </w:rPr>
      </w:pPr>
    </w:p>
    <w:p w14:paraId="0C68B95F" w14:textId="77777777" w:rsidR="002C480E" w:rsidRPr="00B31C7B" w:rsidRDefault="002C480E" w:rsidP="002C480E">
      <w:pPr>
        <w:numPr>
          <w:ilvl w:val="0"/>
          <w:numId w:val="19"/>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Respuesta:</w:t>
      </w:r>
    </w:p>
    <w:p w14:paraId="289C2B6F" w14:textId="77777777" w:rsidR="002C480E" w:rsidRPr="00B31C7B" w:rsidRDefault="002C480E" w:rsidP="002C480E">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480E" w:rsidRPr="00B31C7B" w14:paraId="5464792E" w14:textId="77777777" w:rsidTr="00FB2425">
        <w:trPr>
          <w:trHeight w:val="870"/>
          <w:jc w:val="center"/>
        </w:trPr>
        <w:tc>
          <w:tcPr>
            <w:tcW w:w="8647" w:type="dxa"/>
          </w:tcPr>
          <w:p w14:paraId="0A3B0477" w14:textId="77777777" w:rsidR="002C480E" w:rsidRDefault="002C480E" w:rsidP="00FB2425">
            <w:pPr>
              <w:widowControl w:val="0"/>
              <w:tabs>
                <w:tab w:val="left" w:pos="709"/>
              </w:tabs>
              <w:autoSpaceDE w:val="0"/>
              <w:autoSpaceDN w:val="0"/>
              <w:spacing w:after="120" w:line="276" w:lineRule="auto"/>
              <w:jc w:val="both"/>
              <w:rPr>
                <w:rFonts w:ascii="Verdana" w:hAnsi="Verdana"/>
              </w:rPr>
            </w:pPr>
            <w:r w:rsidRPr="00B31C7B">
              <w:rPr>
                <w:rFonts w:ascii="Verdana" w:hAnsi="Verdana" w:cs="Arial"/>
                <w:bCs/>
                <w:color w:val="000000" w:themeColor="text1"/>
              </w:rPr>
              <w:t xml:space="preserve">En torno al </w:t>
            </w:r>
            <w:r>
              <w:rPr>
                <w:rFonts w:ascii="Verdana" w:hAnsi="Verdana" w:cs="Arial"/>
                <w:bCs/>
                <w:color w:val="000000" w:themeColor="text1"/>
              </w:rPr>
              <w:t xml:space="preserve">problema jurídico, </w:t>
            </w:r>
            <w:r w:rsidRPr="00B31C7B">
              <w:rPr>
                <w:rFonts w:ascii="Verdana" w:hAnsi="Verdana" w:cs="Arial"/>
                <w:bCs/>
                <w:color w:val="000000" w:themeColor="text1"/>
              </w:rPr>
              <w:t xml:space="preserve">objeto de consulta, </w:t>
            </w:r>
            <w:r>
              <w:rPr>
                <w:rFonts w:ascii="Verdana" w:hAnsi="Verdana"/>
              </w:rPr>
              <w:t xml:space="preserve">debe tenerse en cuenta el límite cuantitativo para la adición de los contratos estatales, en el que se infiere que es procedente que en las adiciones de los contratos estatales se estipulen anticipos bajo la autonomía de la voluntad de las partes, considerando que estas no pueden exceder el cincuenta por ciento (50%) del valor total del contrato, en el que se incluye la adición. En estos términos, si la adición aumenta el valor del contrato, debe calcularse si es procedente el anticipo, </w:t>
            </w:r>
            <w:proofErr w:type="gramStart"/>
            <w:r>
              <w:rPr>
                <w:rFonts w:ascii="Verdana" w:hAnsi="Verdana"/>
              </w:rPr>
              <w:t>de acuerdo al</w:t>
            </w:r>
            <w:proofErr w:type="gramEnd"/>
            <w:r>
              <w:rPr>
                <w:rFonts w:ascii="Verdana" w:hAnsi="Verdana"/>
              </w:rPr>
              <w:t xml:space="preserve"> límite del cincuenta por ciento (50%) dispuesto en el artículo 40 de la Ley 80 de 1993. </w:t>
            </w:r>
          </w:p>
          <w:p w14:paraId="1526F31E" w14:textId="77777777" w:rsidR="002C480E" w:rsidRPr="00C95476" w:rsidRDefault="002C480E" w:rsidP="00FB2425">
            <w:pPr>
              <w:widowControl w:val="0"/>
              <w:tabs>
                <w:tab w:val="left" w:pos="709"/>
              </w:tabs>
              <w:autoSpaceDE w:val="0"/>
              <w:autoSpaceDN w:val="0"/>
              <w:spacing w:after="120" w:line="276" w:lineRule="auto"/>
              <w:jc w:val="both"/>
              <w:rPr>
                <w:rFonts w:ascii="Verdana" w:hAnsi="Verdana"/>
                <w:i/>
                <w:lang w:val="es-MX"/>
              </w:rPr>
            </w:pPr>
            <w:r>
              <w:rPr>
                <w:rFonts w:ascii="Verdana" w:hAnsi="Verdana"/>
              </w:rPr>
              <w:lastRenderedPageBreak/>
              <w:tab/>
              <w:t xml:space="preserve">De igual modo, frente a los demás límites para la adición de los contratos se expresa: en primer lugar, frente al </w:t>
            </w:r>
            <w:r w:rsidRPr="00C95476">
              <w:rPr>
                <w:rFonts w:ascii="Verdana" w:hAnsi="Verdana"/>
                <w:i/>
              </w:rPr>
              <w:t>límite temporal</w:t>
            </w:r>
            <w:r>
              <w:rPr>
                <w:rFonts w:ascii="Verdana" w:hAnsi="Verdana"/>
              </w:rPr>
              <w:t xml:space="preserve">, </w:t>
            </w:r>
            <w:r>
              <w:rPr>
                <w:rFonts w:ascii="Verdana" w:hAnsi="Verdana"/>
                <w:lang w:val="es-MX"/>
              </w:rPr>
              <w:t xml:space="preserve">se precisa que no podrá estipularse anticipos en las adiciones si el contrato estatal ha finalizado; en segundo lugar, frente al </w:t>
            </w:r>
            <w:r w:rsidRPr="00C95476">
              <w:rPr>
                <w:rFonts w:ascii="Verdana" w:hAnsi="Verdana"/>
                <w:i/>
                <w:lang w:val="es-MX"/>
              </w:rPr>
              <w:t>límite formal</w:t>
            </w:r>
            <w:r>
              <w:rPr>
                <w:rFonts w:ascii="Verdana" w:hAnsi="Verdana"/>
                <w:lang w:val="es-MX"/>
              </w:rPr>
              <w:t xml:space="preserve">, </w:t>
            </w:r>
            <w:r w:rsidRPr="00C95476">
              <w:rPr>
                <w:rFonts w:ascii="Verdana" w:hAnsi="Verdana"/>
              </w:rPr>
              <w:t xml:space="preserve">debe señalarse que, por un lado, es necesario que, la </w:t>
            </w:r>
            <w:r w:rsidRPr="00C95476">
              <w:rPr>
                <w:rFonts w:ascii="Verdana" w:hAnsi="Verdana"/>
                <w:lang w:val="es-MX"/>
              </w:rPr>
              <w:t xml:space="preserve">modificación de los contratos conste por escrito, </w:t>
            </w:r>
            <w:r>
              <w:rPr>
                <w:rFonts w:ascii="Verdana" w:hAnsi="Verdana"/>
                <w:lang w:val="es-MX"/>
              </w:rPr>
              <w:t xml:space="preserve">teniendo en cuenta el carácter solemne el contrato estatal; en tercer lugar, frente a </w:t>
            </w:r>
            <w:r w:rsidRPr="00C95476">
              <w:rPr>
                <w:rFonts w:ascii="Verdana" w:hAnsi="Verdana"/>
                <w:i/>
              </w:rPr>
              <w:t>límites materiales</w:t>
            </w:r>
            <w:r w:rsidRPr="00C95476">
              <w:rPr>
                <w:rFonts w:ascii="Verdana" w:hAnsi="Verdana"/>
              </w:rPr>
              <w:t xml:space="preserve"> </w:t>
            </w:r>
            <w:r w:rsidRPr="00C95476">
              <w:rPr>
                <w:rFonts w:ascii="Verdana" w:hAnsi="Verdana"/>
                <w:lang w:val="es-MX"/>
              </w:rPr>
              <w:t xml:space="preserve">corresponden a la prohibición de modificar las condiciones sustanciales del contrato, que se presentará en los </w:t>
            </w:r>
            <w:r>
              <w:rPr>
                <w:rFonts w:ascii="Verdana" w:hAnsi="Verdana"/>
                <w:lang w:val="es-MX"/>
              </w:rPr>
              <w:t xml:space="preserve">supuestos </w:t>
            </w:r>
            <w:r w:rsidRPr="00C95476">
              <w:rPr>
                <w:rFonts w:ascii="Verdana" w:hAnsi="Verdana"/>
                <w:lang w:val="es-MX"/>
              </w:rPr>
              <w:t>en</w:t>
            </w:r>
            <w:r>
              <w:rPr>
                <w:rFonts w:ascii="Verdana" w:hAnsi="Verdana"/>
                <w:lang w:val="es-MX"/>
              </w:rPr>
              <w:t xml:space="preserve"> que se incluyan elementos que va más allá de la estipulación del pago del anticipo en las adiciones</w:t>
            </w:r>
            <w:r>
              <w:rPr>
                <w:rFonts w:ascii="Verdana" w:hAnsi="Verdana"/>
                <w:i/>
                <w:lang w:val="es-MX"/>
              </w:rPr>
              <w:t xml:space="preserve">; </w:t>
            </w:r>
            <w:r w:rsidRPr="003E35A0">
              <w:rPr>
                <w:rFonts w:ascii="Verdana" w:hAnsi="Verdana"/>
                <w:lang w:val="es-MX"/>
              </w:rPr>
              <w:t>finalmente</w:t>
            </w:r>
            <w:r>
              <w:rPr>
                <w:rFonts w:ascii="Verdana" w:hAnsi="Verdana"/>
                <w:i/>
                <w:lang w:val="es-MX"/>
              </w:rPr>
              <w:t xml:space="preserve">, frente a </w:t>
            </w:r>
            <w:r w:rsidRPr="00C95476">
              <w:rPr>
                <w:rFonts w:ascii="Verdana" w:hAnsi="Verdana"/>
                <w:lang w:val="es-MX"/>
              </w:rPr>
              <w:t xml:space="preserve">los </w:t>
            </w:r>
            <w:r w:rsidRPr="00C95476">
              <w:rPr>
                <w:rFonts w:ascii="Verdana" w:hAnsi="Verdana"/>
                <w:i/>
                <w:lang w:val="es-MX"/>
              </w:rPr>
              <w:t>límites axiológicos</w:t>
            </w:r>
            <w:r w:rsidRPr="00C95476">
              <w:rPr>
                <w:rFonts w:ascii="Verdana" w:hAnsi="Verdana"/>
                <w:lang w:val="es-MX"/>
              </w:rPr>
              <w:t xml:space="preserve">, los cuales se fundan en la necesidad de preservar los principios de igualdad, transparencia, libertad de concurrencia, selección objetiva y planeación. </w:t>
            </w:r>
            <w:r>
              <w:rPr>
                <w:rFonts w:ascii="Verdana" w:hAnsi="Verdana"/>
              </w:rPr>
              <w:t xml:space="preserve">A modo de ejemplo, en torno al principio de planeación debe revisarse que del análisis se derive la necesidad de una adición, en la que se requiere un anticipo, es decir, debe existir un estudio y análisis previo por parte de la entidad. </w:t>
            </w:r>
          </w:p>
          <w:p w14:paraId="12498DFC" w14:textId="77777777" w:rsidR="002C480E" w:rsidRPr="00BC2132" w:rsidRDefault="002C480E" w:rsidP="00FB2425">
            <w:pPr>
              <w:spacing w:after="120" w:line="276" w:lineRule="auto"/>
              <w:ind w:firstLine="709"/>
              <w:jc w:val="both"/>
              <w:rPr>
                <w:rFonts w:ascii="Verdana" w:eastAsia="Arial" w:hAnsi="Verdana" w:cs="Arial"/>
                <w:color w:val="000000"/>
                <w:lang w:eastAsia="es-ES" w:bidi="es-ES"/>
              </w:rPr>
            </w:pPr>
            <w:bookmarkStart w:id="1" w:name="_Hlk218035245"/>
            <w:r w:rsidRPr="00BC2132">
              <w:rPr>
                <w:rFonts w:ascii="Verdana" w:eastAsia="Arial" w:hAnsi="Verdana" w:cs="Arial"/>
                <w:color w:val="000000"/>
                <w:lang w:eastAsia="es-ES" w:bidi="es-ES"/>
              </w:rPr>
              <w:t xml:space="preserve">En suma, resulta jurídicamente viable </w:t>
            </w:r>
            <w:r>
              <w:rPr>
                <w:rFonts w:ascii="Verdana" w:eastAsia="Arial" w:hAnsi="Verdana" w:cs="Arial"/>
                <w:color w:val="000000"/>
                <w:lang w:eastAsia="es-ES" w:bidi="es-ES"/>
              </w:rPr>
              <w:t xml:space="preserve">modificar </w:t>
            </w:r>
            <w:r w:rsidRPr="00BC2132">
              <w:rPr>
                <w:rFonts w:ascii="Verdana" w:eastAsia="Arial" w:hAnsi="Verdana" w:cs="Arial"/>
                <w:color w:val="000000"/>
                <w:lang w:eastAsia="es-ES" w:bidi="es-ES"/>
              </w:rPr>
              <w:t>el anticipo con ocasión de una adición contractual, siempre que dicha modificación observe de manera estricta los límites legales y contractuales aplicables a las adiciones, respete las condiciones esenciales inicialmente pactadas y se ajuste a las normas y principios que rigen la contratación pública</w:t>
            </w:r>
            <w:r>
              <w:rPr>
                <w:rFonts w:ascii="Verdana" w:eastAsia="Arial" w:hAnsi="Verdana" w:cs="Arial"/>
                <w:color w:val="000000"/>
                <w:lang w:eastAsia="es-ES" w:bidi="es-ES"/>
              </w:rPr>
              <w:t xml:space="preserve">. En tal sentido, </w:t>
            </w:r>
            <w:r w:rsidRPr="00BC2132">
              <w:rPr>
                <w:rFonts w:ascii="Verdana" w:eastAsia="Arial" w:hAnsi="Verdana" w:cs="Arial"/>
                <w:color w:val="000000"/>
                <w:lang w:eastAsia="es-ES" w:bidi="es-ES"/>
              </w:rPr>
              <w:t xml:space="preserve">es fundamental que </w:t>
            </w:r>
            <w:r>
              <w:rPr>
                <w:rFonts w:ascii="Verdana" w:eastAsia="Arial" w:hAnsi="Verdana" w:cs="Arial"/>
                <w:color w:val="000000"/>
                <w:lang w:eastAsia="es-ES" w:bidi="es-ES"/>
              </w:rPr>
              <w:t xml:space="preserve">modificación </w:t>
            </w:r>
            <w:r w:rsidRPr="00BC2132">
              <w:rPr>
                <w:rFonts w:ascii="Verdana" w:eastAsia="Arial" w:hAnsi="Verdana" w:cs="Arial"/>
                <w:color w:val="000000"/>
                <w:lang w:eastAsia="es-ES" w:bidi="es-ES"/>
              </w:rPr>
              <w:t>consigne de forma expresa</w:t>
            </w:r>
            <w:r>
              <w:rPr>
                <w:rFonts w:ascii="Verdana" w:eastAsia="Arial" w:hAnsi="Verdana" w:cs="Arial"/>
                <w:color w:val="000000"/>
                <w:lang w:eastAsia="es-ES" w:bidi="es-ES"/>
              </w:rPr>
              <w:t xml:space="preserve"> </w:t>
            </w:r>
            <w:r w:rsidRPr="00BC2132">
              <w:rPr>
                <w:rFonts w:ascii="Verdana" w:eastAsia="Arial" w:hAnsi="Verdana" w:cs="Arial"/>
                <w:color w:val="000000"/>
                <w:lang w:eastAsia="es-ES" w:bidi="es-ES"/>
              </w:rPr>
              <w:t>si el valor adicionado implica una modificación del monto del anticipo. Asimismo, debe precisarse la forma, condiciones y oportunidad de pago del anticipo adicional, en caso de que este se incremente, con el fin de evitar interpretaciones ambiguas y eventuales controversias en la ejecución contractual.</w:t>
            </w:r>
          </w:p>
          <w:p w14:paraId="2AD8A5FC" w14:textId="77777777" w:rsidR="002C480E" w:rsidRPr="003E35A0" w:rsidRDefault="002C480E" w:rsidP="00FB2425">
            <w:pPr>
              <w:spacing w:after="120" w:line="276" w:lineRule="auto"/>
              <w:ind w:firstLine="709"/>
              <w:jc w:val="both"/>
              <w:rPr>
                <w:rFonts w:ascii="Verdana" w:eastAsia="Arial" w:hAnsi="Verdana" w:cs="Arial"/>
                <w:color w:val="000000"/>
                <w:lang w:eastAsia="es-ES" w:bidi="es-ES"/>
              </w:rPr>
            </w:pPr>
            <w:r w:rsidRPr="00BC2132">
              <w:rPr>
                <w:rFonts w:ascii="Verdana" w:eastAsia="Arial" w:hAnsi="Verdana" w:cs="Arial"/>
                <w:color w:val="000000"/>
                <w:lang w:eastAsia="es-ES" w:bidi="es-ES"/>
              </w:rPr>
              <w:t xml:space="preserve">Lo anterior cobra especial relevancia si se tiene en cuenta que, en ausencia de una estipulación expresa, podría entenderse, en principio, que el valor adicionado queda sometido a la forma de pago prevista </w:t>
            </w:r>
            <w:r>
              <w:rPr>
                <w:rFonts w:ascii="Verdana" w:eastAsia="Arial" w:hAnsi="Verdana" w:cs="Arial"/>
                <w:color w:val="000000"/>
                <w:lang w:eastAsia="es-ES" w:bidi="es-ES"/>
              </w:rPr>
              <w:t>inicialmente</w:t>
            </w:r>
            <w:r w:rsidRPr="00BC2132">
              <w:rPr>
                <w:rFonts w:ascii="Verdana" w:eastAsia="Arial" w:hAnsi="Verdana" w:cs="Arial"/>
                <w:color w:val="000000"/>
                <w:lang w:eastAsia="es-ES" w:bidi="es-ES"/>
              </w:rPr>
              <w:t xml:space="preserve"> en el contrato. Por ello, una </w:t>
            </w:r>
            <w:r>
              <w:rPr>
                <w:rFonts w:ascii="Verdana" w:eastAsia="Arial" w:hAnsi="Verdana" w:cs="Arial"/>
                <w:color w:val="000000"/>
                <w:lang w:eastAsia="es-ES" w:bidi="es-ES"/>
              </w:rPr>
              <w:t>determinación</w:t>
            </w:r>
            <w:r w:rsidRPr="00BC2132">
              <w:rPr>
                <w:rFonts w:ascii="Verdana" w:eastAsia="Arial" w:hAnsi="Verdana" w:cs="Arial"/>
                <w:color w:val="000000"/>
                <w:lang w:eastAsia="es-ES" w:bidi="es-ES"/>
              </w:rPr>
              <w:t xml:space="preserve"> clara y detallada de estos aspectos contribuye a la correcta ejecución del contrato.</w:t>
            </w:r>
            <w:r>
              <w:rPr>
                <w:rFonts w:ascii="Verdana" w:eastAsia="Arial" w:hAnsi="Verdana" w:cs="Arial"/>
                <w:color w:val="000000"/>
                <w:lang w:eastAsia="es-ES" w:bidi="es-ES"/>
              </w:rPr>
              <w:t xml:space="preserve"> </w:t>
            </w:r>
            <w:bookmarkEnd w:id="1"/>
            <w:r>
              <w:rPr>
                <w:rFonts w:ascii="Verdana" w:eastAsia="Arial" w:hAnsi="Verdana" w:cs="Arial"/>
                <w:color w:val="000000"/>
                <w:lang w:eastAsia="es-ES" w:bidi="es-ES"/>
              </w:rPr>
              <w:t xml:space="preserve">En esta línea, se precisa que </w:t>
            </w:r>
            <w:r w:rsidRPr="00112D1B">
              <w:rPr>
                <w:rFonts w:ascii="Verdana" w:eastAsia="Arial" w:hAnsi="Verdana" w:cs="Arial"/>
                <w:color w:val="000000"/>
                <w:lang w:eastAsia="es-ES" w:bidi="es-ES"/>
              </w:rPr>
              <w:t>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tc>
      </w:tr>
    </w:tbl>
    <w:p w14:paraId="2D89C23D" w14:textId="77777777" w:rsidR="002C480E" w:rsidRPr="00B31C7B" w:rsidRDefault="002C480E" w:rsidP="002C480E">
      <w:pPr>
        <w:spacing w:after="0" w:line="276" w:lineRule="auto"/>
        <w:jc w:val="both"/>
        <w:rPr>
          <w:rFonts w:ascii="Verdana" w:eastAsia="Calibri" w:hAnsi="Verdana" w:cs="Arial"/>
          <w:bCs/>
          <w:color w:val="000000" w:themeColor="text1"/>
        </w:rPr>
      </w:pPr>
    </w:p>
    <w:p w14:paraId="18ED608D" w14:textId="77777777" w:rsidR="002C480E" w:rsidRPr="00B31C7B" w:rsidRDefault="002C480E" w:rsidP="002C480E">
      <w:pPr>
        <w:numPr>
          <w:ilvl w:val="0"/>
          <w:numId w:val="19"/>
        </w:numPr>
        <w:spacing w:after="0" w:line="276" w:lineRule="auto"/>
        <w:rPr>
          <w:rFonts w:ascii="Verdana" w:eastAsia="Calibri" w:hAnsi="Verdana" w:cs="Times New Roman"/>
          <w:b/>
          <w:bCs/>
          <w:lang w:val="es-ES"/>
        </w:rPr>
      </w:pPr>
      <w:r w:rsidRPr="00B31C7B">
        <w:rPr>
          <w:rFonts w:ascii="Verdana" w:eastAsia="Calibri" w:hAnsi="Verdana" w:cs="Times New Roman"/>
          <w:b/>
          <w:bCs/>
          <w:lang w:val="es-ES"/>
        </w:rPr>
        <w:t>Razones de la respuesta:</w:t>
      </w:r>
    </w:p>
    <w:p w14:paraId="659DB226" w14:textId="77777777" w:rsidR="002C480E" w:rsidRPr="00B31C7B" w:rsidRDefault="002C480E" w:rsidP="002C480E">
      <w:pPr>
        <w:spacing w:after="0" w:line="276" w:lineRule="auto"/>
        <w:rPr>
          <w:rFonts w:ascii="Verdana" w:eastAsia="Calibri" w:hAnsi="Verdana" w:cs="Times New Roman"/>
          <w:b/>
          <w:bCs/>
          <w:lang w:val="es-ES"/>
        </w:rPr>
      </w:pPr>
    </w:p>
    <w:p w14:paraId="6DC84D18" w14:textId="77777777" w:rsidR="002C480E" w:rsidRPr="00B31C7B" w:rsidRDefault="002C480E" w:rsidP="002C480E">
      <w:pPr>
        <w:spacing w:after="0" w:line="276" w:lineRule="auto"/>
        <w:jc w:val="both"/>
        <w:rPr>
          <w:rFonts w:ascii="Verdana" w:eastAsia="Calibri" w:hAnsi="Verdana" w:cs="Arial"/>
          <w:lang w:val="es-ES"/>
        </w:rPr>
      </w:pPr>
      <w:r w:rsidRPr="00B31C7B">
        <w:rPr>
          <w:rFonts w:ascii="Verdana" w:eastAsia="Calibri" w:hAnsi="Verdana" w:cs="Arial"/>
          <w:lang w:val="es-ES"/>
        </w:rPr>
        <w:t xml:space="preserve">Lo anterior se sustenta en las siguientes consideraciones: </w:t>
      </w:r>
    </w:p>
    <w:p w14:paraId="38428423" w14:textId="77777777" w:rsidR="002C480E" w:rsidRDefault="002C480E" w:rsidP="002C480E">
      <w:pPr>
        <w:spacing w:after="0" w:line="276" w:lineRule="auto"/>
        <w:jc w:val="both"/>
        <w:rPr>
          <w:rFonts w:ascii="Verdana" w:hAnsi="Verdana" w:cs="Arial"/>
          <w:bCs/>
          <w:lang w:val="es-ES" w:eastAsia="es-ES" w:bidi="es-ES"/>
        </w:rPr>
      </w:pPr>
    </w:p>
    <w:p w14:paraId="6AD3F446" w14:textId="77777777" w:rsidR="002C480E" w:rsidRDefault="002C480E" w:rsidP="002C480E">
      <w:pPr>
        <w:widowControl w:val="0"/>
        <w:tabs>
          <w:tab w:val="left" w:pos="709"/>
        </w:tabs>
        <w:autoSpaceDE w:val="0"/>
        <w:autoSpaceDN w:val="0"/>
        <w:spacing w:after="120" w:line="276" w:lineRule="auto"/>
        <w:jc w:val="both"/>
        <w:rPr>
          <w:rFonts w:ascii="Verdana" w:hAnsi="Verdana" w:cs="Arial"/>
          <w:color w:val="000000" w:themeColor="text1"/>
        </w:rPr>
      </w:pPr>
      <w:r>
        <w:rPr>
          <w:rFonts w:ascii="Verdana" w:hAnsi="Verdana" w:cs="Arial"/>
          <w:bCs/>
          <w:lang w:val="es-ES" w:eastAsia="es-ES" w:bidi="es-ES"/>
        </w:rPr>
        <w:t xml:space="preserve">i. </w:t>
      </w:r>
      <w:r w:rsidRPr="00F71204">
        <w:rPr>
          <w:rFonts w:ascii="Verdana" w:hAnsi="Verdana" w:cs="Arial"/>
          <w:color w:val="000000"/>
          <w:lang w:eastAsia="en-GB"/>
        </w:rPr>
        <w:t>En mater</w:t>
      </w:r>
      <w:r>
        <w:rPr>
          <w:rFonts w:ascii="Verdana" w:hAnsi="Verdana" w:cs="Arial"/>
          <w:color w:val="000000"/>
          <w:lang w:eastAsia="en-GB"/>
        </w:rPr>
        <w:t xml:space="preserve">ia de contratación pública, la institución jurídica </w:t>
      </w:r>
      <w:r w:rsidRPr="00F71204">
        <w:rPr>
          <w:rFonts w:ascii="Verdana" w:hAnsi="Verdana" w:cs="Arial"/>
          <w:color w:val="000000"/>
          <w:lang w:eastAsia="en-GB"/>
        </w:rPr>
        <w:t xml:space="preserve">del anticipo </w:t>
      </w:r>
      <w:r>
        <w:rPr>
          <w:rFonts w:ascii="Verdana" w:hAnsi="Verdana" w:cs="Arial"/>
          <w:color w:val="000000"/>
          <w:lang w:eastAsia="en-GB"/>
        </w:rPr>
        <w:t>está prevista en dos (2) preceptos normativos</w:t>
      </w:r>
      <w:r w:rsidRPr="00F71204">
        <w:rPr>
          <w:rFonts w:ascii="Verdana" w:hAnsi="Verdana" w:cs="Arial"/>
          <w:color w:val="000000"/>
          <w:lang w:eastAsia="en-GB"/>
        </w:rPr>
        <w:t>: el</w:t>
      </w:r>
      <w:r w:rsidRPr="00F71204">
        <w:rPr>
          <w:rFonts w:ascii="Verdana" w:hAnsi="Verdana" w:cs="Arial"/>
          <w:color w:val="000000" w:themeColor="text1"/>
        </w:rPr>
        <w:t xml:space="preserve"> inciso primero del parágrafo del artículo 40 de la Ley 80 de 1993 y en el artículo 91 de la Ley 1474 de 2011. En cuanto al Estatuto General de Contratación de la Administración Pública</w:t>
      </w:r>
      <w:r>
        <w:rPr>
          <w:rFonts w:ascii="Verdana" w:hAnsi="Verdana" w:cs="Arial"/>
          <w:color w:val="000000" w:themeColor="text1"/>
        </w:rPr>
        <w:t xml:space="preserve"> – en adelante EGCAP</w:t>
      </w:r>
      <w:r w:rsidRPr="00F71204">
        <w:rPr>
          <w:rFonts w:ascii="Verdana" w:hAnsi="Verdana" w:cs="Arial"/>
          <w:color w:val="000000" w:themeColor="text1"/>
        </w:rPr>
        <w:t xml:space="preserve">, se dispone la posibilidad de pactar anticipos en los contratos, pero sujeto a determinadas limitaciones. En efecto, la norma prescribe que “En los contratos que celebren las entidades estatales </w:t>
      </w:r>
      <w:r w:rsidRPr="00DF16E3">
        <w:rPr>
          <w:rFonts w:ascii="Verdana" w:hAnsi="Verdana" w:cs="Arial"/>
          <w:i/>
          <w:color w:val="000000" w:themeColor="text1"/>
        </w:rPr>
        <w:t>se podrá pactar el pago anticipado y la entrega de anticipos</w:t>
      </w:r>
      <w:r w:rsidRPr="00F71204">
        <w:rPr>
          <w:rFonts w:ascii="Verdana" w:hAnsi="Verdana" w:cs="Arial"/>
          <w:color w:val="000000" w:themeColor="text1"/>
        </w:rPr>
        <w:t>, pero su monto no podrá exceder del cincuenta por ciento (50%) del val</w:t>
      </w:r>
      <w:r>
        <w:rPr>
          <w:rFonts w:ascii="Verdana" w:hAnsi="Verdana" w:cs="Arial"/>
          <w:color w:val="000000" w:themeColor="text1"/>
        </w:rPr>
        <w:t>or del respectivo contrato” (Énfasis fuera de texto)</w:t>
      </w:r>
    </w:p>
    <w:p w14:paraId="604F1F28" w14:textId="77777777" w:rsidR="002C480E" w:rsidRDefault="002C480E" w:rsidP="002C480E">
      <w:pPr>
        <w:widowControl w:val="0"/>
        <w:tabs>
          <w:tab w:val="left" w:pos="709"/>
        </w:tabs>
        <w:autoSpaceDE w:val="0"/>
        <w:autoSpaceDN w:val="0"/>
        <w:spacing w:after="120" w:line="276" w:lineRule="auto"/>
        <w:jc w:val="both"/>
        <w:rPr>
          <w:rFonts w:ascii="Verdana" w:hAnsi="Verdana"/>
        </w:rPr>
      </w:pPr>
      <w:r>
        <w:rPr>
          <w:rFonts w:ascii="Verdana" w:hAnsi="Verdana" w:cs="Arial"/>
          <w:color w:val="000000" w:themeColor="text1"/>
        </w:rPr>
        <w:tab/>
      </w:r>
      <w:r w:rsidRPr="00F71204">
        <w:rPr>
          <w:rFonts w:ascii="Verdana" w:hAnsi="Verdana" w:cs="Arial"/>
          <w:color w:val="000000" w:themeColor="text1"/>
        </w:rPr>
        <w:t>Por su parte, 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p>
    <w:p w14:paraId="566B39F1" w14:textId="77777777" w:rsidR="002C480E" w:rsidRPr="00CD720B" w:rsidRDefault="002C480E" w:rsidP="002C480E">
      <w:pPr>
        <w:widowControl w:val="0"/>
        <w:tabs>
          <w:tab w:val="left" w:pos="709"/>
        </w:tabs>
        <w:autoSpaceDE w:val="0"/>
        <w:autoSpaceDN w:val="0"/>
        <w:spacing w:after="120" w:line="276" w:lineRule="auto"/>
        <w:jc w:val="both"/>
        <w:rPr>
          <w:rFonts w:ascii="Verdana" w:hAnsi="Verdana"/>
        </w:rPr>
      </w:pPr>
      <w:r>
        <w:rPr>
          <w:rFonts w:ascii="Verdana" w:hAnsi="Verdana"/>
        </w:rPr>
        <w:tab/>
      </w:r>
      <w:r w:rsidRPr="00F71204">
        <w:rPr>
          <w:rFonts w:ascii="Verdana" w:hAnsi="Verdana" w:cs="Arial"/>
        </w:rPr>
        <w:t>Aunque las normas citadas no definen el anticipo, el Consejo de Estado ha precisado su naturaleza jurídica fijando parámetros para su aplicación</w:t>
      </w:r>
      <w:r w:rsidRPr="00F71204">
        <w:rPr>
          <w:vertAlign w:val="superscript"/>
        </w:rPr>
        <w:footnoteReference w:id="2"/>
      </w:r>
      <w:r w:rsidRPr="00F71204">
        <w:rPr>
          <w:rFonts w:ascii="Verdana" w:hAnsi="Verdana" w:cs="Arial"/>
        </w:rPr>
        <w:t xml:space="preserve">. En uno de sus pronunciamientos, el Consejo de Estado se refirió al anticipo como </w:t>
      </w:r>
      <w:r w:rsidRPr="00F71204">
        <w:rPr>
          <w:rFonts w:ascii="Verdana" w:hAnsi="Verdana" w:cs="Arial"/>
          <w:color w:val="000000" w:themeColor="text1"/>
        </w:rPr>
        <w:t>“</w:t>
      </w:r>
      <w:r w:rsidRPr="00F71204">
        <w:rPr>
          <w:rFonts w:ascii="Verdana" w:hAnsi="Verdana" w:cs="Arial"/>
        </w:rPr>
        <w:t xml:space="preserve">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w:t>
      </w:r>
      <w:r w:rsidRPr="00F71204">
        <w:rPr>
          <w:rFonts w:ascii="Verdana" w:hAnsi="Verdana" w:cs="Arial"/>
        </w:rPr>
        <w:lastRenderedPageBreak/>
        <w:t>cuando ha sido debidamente amortizado</w:t>
      </w:r>
      <w:r w:rsidRPr="00F71204">
        <w:rPr>
          <w:rFonts w:ascii="Verdana" w:hAnsi="Verdana" w:cs="Arial"/>
          <w:color w:val="000000" w:themeColor="text1"/>
        </w:rPr>
        <w:t>”</w:t>
      </w:r>
      <w:r w:rsidRPr="00F71204">
        <w:rPr>
          <w:vertAlign w:val="superscript"/>
        </w:rPr>
        <w:footnoteReference w:id="3"/>
      </w:r>
      <w:r w:rsidRPr="00F71204">
        <w:rPr>
          <w:rFonts w:ascii="Verdana" w:hAnsi="Verdana" w:cs="Arial"/>
          <w:color w:val="000000" w:themeColor="text1"/>
        </w:rPr>
        <w:t>.</w:t>
      </w:r>
    </w:p>
    <w:p w14:paraId="6A9AA86B" w14:textId="77777777" w:rsidR="002C480E" w:rsidRPr="00F71204" w:rsidRDefault="002C480E" w:rsidP="002C480E">
      <w:pPr>
        <w:tabs>
          <w:tab w:val="left" w:pos="0"/>
        </w:tabs>
        <w:spacing w:after="120" w:line="276" w:lineRule="auto"/>
        <w:jc w:val="both"/>
        <w:rPr>
          <w:rFonts w:ascii="Verdana" w:hAnsi="Verdana" w:cs="Arial"/>
          <w:color w:val="000000" w:themeColor="text1"/>
        </w:rPr>
      </w:pPr>
      <w:r>
        <w:rPr>
          <w:rFonts w:ascii="Verdana" w:hAnsi="Verdana" w:cs="Arial"/>
        </w:rPr>
        <w:tab/>
      </w:r>
      <w:r w:rsidRPr="00F71204">
        <w:rPr>
          <w:rFonts w:ascii="Verdana" w:hAnsi="Verdana" w:cs="Arial"/>
        </w:rPr>
        <w:t xml:space="preserve">Sobre la calidad de recurso público del anticipo, la jurisprudencia ha reiterado que </w:t>
      </w:r>
      <w:r w:rsidRPr="00F71204">
        <w:rPr>
          <w:rFonts w:ascii="Verdana" w:hAnsi="Verdana" w:cs="Arial"/>
          <w:color w:val="000000" w:themeColor="text1"/>
        </w:rPr>
        <w:t>“</w:t>
      </w:r>
      <w:r w:rsidRPr="00F71204">
        <w:rPr>
          <w:rFonts w:ascii="Verdana" w:hAnsi="Verdana" w:cs="Aria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F71204">
        <w:rPr>
          <w:rFonts w:ascii="Verdana" w:hAnsi="Verdana" w:cs="Arial"/>
          <w:color w:val="000000" w:themeColor="text1"/>
        </w:rPr>
        <w:t>”</w:t>
      </w:r>
      <w:r w:rsidRPr="00F71204">
        <w:rPr>
          <w:vertAlign w:val="superscript"/>
        </w:rPr>
        <w:footnoteReference w:id="4"/>
      </w:r>
      <w:r w:rsidRPr="00F71204">
        <w:rPr>
          <w:rFonts w:ascii="Verdana" w:hAnsi="Verdana" w:cs="Arial"/>
        </w:rPr>
        <w:t>. Igualmente, explica que el anticipo, al facilitar al contratista la financiación de los bienes y servicios que se le han encargado, es un factor determinante para impulsar la ejecución del contrato</w:t>
      </w:r>
      <w:r w:rsidRPr="00F71204">
        <w:rPr>
          <w:vertAlign w:val="superscript"/>
        </w:rPr>
        <w:footnoteReference w:id="5"/>
      </w:r>
      <w:r w:rsidRPr="00F71204">
        <w:rPr>
          <w:rFonts w:ascii="Verdana" w:hAnsi="Verdana" w:cs="Arial"/>
        </w:rPr>
        <w:t>. Este también es el entendimiento de la doctrina</w:t>
      </w:r>
      <w:r w:rsidRPr="00F71204">
        <w:rPr>
          <w:rFonts w:ascii="Verdana" w:hAnsi="Verdana" w:cs="Arial"/>
          <w:color w:val="000000" w:themeColor="text1"/>
        </w:rPr>
        <w:t>,</w:t>
      </w:r>
      <w:r w:rsidRPr="00F71204">
        <w:rPr>
          <w:rFonts w:ascii="Verdana" w:hAnsi="Verdana" w:cs="Arial"/>
        </w:rPr>
        <w:t xml:space="preserve"> que ha considerado el anticipo como un dinero entregado al contratista que debe cancelarse mediante descuentos parciales, siendo una práctica común que permite impulsar la ejecución del contrato</w:t>
      </w:r>
      <w:r w:rsidRPr="00F71204">
        <w:rPr>
          <w:vertAlign w:val="superscript"/>
        </w:rPr>
        <w:footnoteReference w:id="6"/>
      </w:r>
      <w:r w:rsidRPr="00F71204">
        <w:rPr>
          <w:rFonts w:ascii="Verdana" w:hAnsi="Verdana" w:cs="Arial"/>
        </w:rPr>
        <w:t xml:space="preserve">. </w:t>
      </w:r>
    </w:p>
    <w:p w14:paraId="4A3BF0DB" w14:textId="77777777" w:rsidR="002C480E" w:rsidRPr="00F71204" w:rsidRDefault="002C480E" w:rsidP="002C480E">
      <w:pPr>
        <w:tabs>
          <w:tab w:val="left" w:pos="0"/>
        </w:tabs>
        <w:spacing w:after="120" w:line="276" w:lineRule="auto"/>
        <w:jc w:val="both"/>
        <w:rPr>
          <w:rFonts w:ascii="Verdana" w:hAnsi="Verdana" w:cs="Arial"/>
          <w:color w:val="000000" w:themeColor="text1"/>
        </w:rPr>
      </w:pPr>
      <w:r>
        <w:rPr>
          <w:rFonts w:ascii="Verdana" w:hAnsi="Verdana" w:cs="Arial"/>
          <w:color w:val="000000" w:themeColor="text1"/>
        </w:rPr>
        <w:tab/>
      </w:r>
      <w:r w:rsidRPr="00F71204">
        <w:rPr>
          <w:rFonts w:ascii="Verdana" w:hAnsi="Verdana" w:cs="Arial"/>
          <w:color w:val="000000" w:themeColor="text1"/>
        </w:rPr>
        <w:t xml:space="preserve">Así, de acuerdo con las consideraciones de la jurisprudencia y la doctrina, el anticipo es </w:t>
      </w:r>
      <w:r w:rsidRPr="00F71204">
        <w:rPr>
          <w:rFonts w:ascii="Verdana" w:hAnsi="Verdana" w:cs="Arial"/>
        </w:rPr>
        <w:t>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F71204">
        <w:rPr>
          <w:rFonts w:ascii="Verdana" w:hAnsi="Verdana" w:cs="Times New Roman"/>
          <w:lang w:eastAsia="es-CO"/>
        </w:rPr>
        <w:t xml:space="preserve"> </w:t>
      </w:r>
    </w:p>
    <w:p w14:paraId="7893CF2E" w14:textId="77777777" w:rsidR="002C480E" w:rsidRPr="00F71204" w:rsidRDefault="002C480E" w:rsidP="002C480E">
      <w:pPr>
        <w:tabs>
          <w:tab w:val="left" w:pos="0"/>
        </w:tabs>
        <w:spacing w:after="0" w:line="276" w:lineRule="auto"/>
        <w:jc w:val="both"/>
        <w:rPr>
          <w:rFonts w:ascii="Verdana" w:hAnsi="Verdana" w:cs="Arial"/>
          <w:color w:val="000000" w:themeColor="text1"/>
        </w:rPr>
      </w:pPr>
      <w:r>
        <w:rPr>
          <w:rFonts w:ascii="Verdana" w:hAnsi="Verdana" w:cs="Arial"/>
          <w:color w:val="000000" w:themeColor="text1"/>
        </w:rPr>
        <w:tab/>
      </w:r>
      <w:r w:rsidRPr="00F71204">
        <w:rPr>
          <w:rFonts w:ascii="Verdana" w:hAnsi="Verdana"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w:t>
      </w:r>
      <w:r w:rsidRPr="00F71204">
        <w:rPr>
          <w:rFonts w:ascii="Verdana" w:hAnsi="Verdana" w:cs="Arial"/>
          <w:color w:val="000000" w:themeColor="text1"/>
        </w:rPr>
        <w:lastRenderedPageBreak/>
        <w:t>como anticipo y el derecho a que los recursos sean empleados en la forma estipulada. Por otro lado, el contratista tiene derecho a recibir dicho anticipo y la obligación de destinarlo a la ejecución del contrato. De esta manera, el Consej</w:t>
      </w:r>
      <w:r>
        <w:rPr>
          <w:rFonts w:ascii="Verdana" w:hAnsi="Verdana" w:cs="Arial"/>
          <w:color w:val="000000" w:themeColor="text1"/>
        </w:rPr>
        <w:t>o de Estado explica</w:t>
      </w:r>
      <w:r w:rsidRPr="00F71204">
        <w:rPr>
          <w:rFonts w:ascii="Verdana" w:hAnsi="Verdana" w:cs="Arial"/>
          <w:color w:val="000000" w:themeColor="text1"/>
        </w:rPr>
        <w:t>:</w:t>
      </w:r>
    </w:p>
    <w:p w14:paraId="59801ECE" w14:textId="77777777" w:rsidR="002C480E" w:rsidRPr="00F71204" w:rsidRDefault="002C480E" w:rsidP="002C480E">
      <w:pPr>
        <w:spacing w:after="120" w:line="276" w:lineRule="auto"/>
        <w:ind w:left="709" w:firstLine="709"/>
        <w:jc w:val="both"/>
        <w:rPr>
          <w:rFonts w:ascii="Verdana" w:hAnsi="Verdana" w:cs="Arial"/>
        </w:rPr>
      </w:pPr>
      <w:r w:rsidRPr="00F71204">
        <w:rPr>
          <w:rFonts w:ascii="Verdana" w:hAnsi="Verdana" w:cs="Arial"/>
          <w:color w:val="000000" w:themeColor="text1"/>
        </w:rPr>
        <w:t xml:space="preserve"> </w:t>
      </w:r>
    </w:p>
    <w:p w14:paraId="232AB1DC" w14:textId="77777777" w:rsidR="002C480E" w:rsidRPr="00194E4A" w:rsidRDefault="002C480E" w:rsidP="002C480E">
      <w:pPr>
        <w:spacing w:after="0" w:line="240" w:lineRule="auto"/>
        <w:ind w:left="709" w:right="709"/>
        <w:jc w:val="both"/>
        <w:rPr>
          <w:rFonts w:ascii="Verdana" w:hAnsi="Verdana" w:cs="Arial"/>
          <w:i/>
          <w:iCs/>
          <w:sz w:val="20"/>
          <w:szCs w:val="20"/>
        </w:rPr>
      </w:pPr>
      <w:r w:rsidRPr="00194E4A">
        <w:rPr>
          <w:rFonts w:ascii="Verdana" w:hAnsi="Verdana" w:cs="Arial"/>
          <w:i/>
          <w:iCs/>
          <w:sz w:val="20"/>
          <w:szCs w:val="20"/>
        </w:rPr>
        <w:t>[…] 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etc.).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hacer efectiva la garantía de anticipo, o de cumplimiento, según el Estatuto de Contratación vigente, por parte del contratante</w:t>
      </w:r>
      <w:r w:rsidRPr="00194E4A">
        <w:rPr>
          <w:rFonts w:ascii="Verdana" w:hAnsi="Verdana" w:cs="Arial"/>
          <w:b/>
          <w:bCs/>
          <w:i/>
          <w:iCs/>
          <w:sz w:val="20"/>
          <w:szCs w:val="20"/>
        </w:rPr>
        <w:t xml:space="preserve">, </w:t>
      </w:r>
      <w:r w:rsidRPr="00194E4A">
        <w:rPr>
          <w:rFonts w:ascii="Verdana" w:hAnsi="Verdana" w:cs="Arial"/>
          <w:i/>
          <w:iCs/>
          <w:sz w:val="20"/>
          <w:szCs w:val="20"/>
        </w:rPr>
        <w:t>por hechos del contratista que impliquen mal manejo o incorrecta inversión de los dineros de propiedad pública. Las partes contratantes, acuerdan además en el contrato, las condiciones de efectividad, la proporción con el valor del contrato, la oportunidad en que debe entregarse, la vigilancia Estatal sobre las sumas y las amortizaciones</w:t>
      </w:r>
      <w:r w:rsidRPr="00194E4A">
        <w:rPr>
          <w:rFonts w:ascii="Verdana" w:hAnsi="Verdana" w:cs="Arial"/>
          <w:i/>
          <w:iCs/>
          <w:sz w:val="20"/>
          <w:szCs w:val="20"/>
          <w:vertAlign w:val="superscript"/>
        </w:rPr>
        <w:footnoteReference w:id="7"/>
      </w:r>
      <w:r w:rsidRPr="00194E4A">
        <w:rPr>
          <w:rFonts w:ascii="Verdana" w:hAnsi="Verdana" w:cs="Arial"/>
          <w:i/>
          <w:iCs/>
          <w:sz w:val="20"/>
          <w:szCs w:val="20"/>
        </w:rPr>
        <w:t>.</w:t>
      </w:r>
    </w:p>
    <w:p w14:paraId="37F6036A" w14:textId="77777777" w:rsidR="002C480E" w:rsidRPr="00F71204" w:rsidRDefault="002C480E" w:rsidP="002C480E">
      <w:pPr>
        <w:spacing w:after="120" w:line="240" w:lineRule="auto"/>
        <w:ind w:left="709" w:right="709"/>
        <w:jc w:val="both"/>
        <w:rPr>
          <w:rFonts w:ascii="Verdana" w:hAnsi="Verdana" w:cs="Arial"/>
          <w:sz w:val="21"/>
          <w:szCs w:val="21"/>
        </w:rPr>
      </w:pPr>
    </w:p>
    <w:p w14:paraId="73EDBFB6" w14:textId="77777777" w:rsidR="002C480E" w:rsidRPr="00F71204" w:rsidRDefault="002C480E" w:rsidP="002C480E">
      <w:pPr>
        <w:tabs>
          <w:tab w:val="left" w:pos="0"/>
        </w:tabs>
        <w:spacing w:after="120" w:line="276" w:lineRule="auto"/>
        <w:jc w:val="both"/>
        <w:rPr>
          <w:rFonts w:ascii="Verdana" w:hAnsi="Verdana" w:cs="Arial"/>
        </w:rPr>
      </w:pPr>
      <w:r>
        <w:rPr>
          <w:rFonts w:ascii="Verdana" w:hAnsi="Verdana" w:cs="Arial"/>
        </w:rPr>
        <w:tab/>
      </w:r>
      <w:r w:rsidRPr="00F71204">
        <w:rPr>
          <w:rFonts w:ascii="Verdana" w:hAnsi="Verdana" w:cs="Arial"/>
        </w:rPr>
        <w:t>Las entidades estatales tienen la facultad de pactar la entrega de anticipos en los contratos que celebren. Para ello, deberán realizar el estudio correspondiente</w:t>
      </w:r>
      <w:r>
        <w:rPr>
          <w:rFonts w:ascii="Verdana" w:hAnsi="Verdana" w:cs="Arial"/>
        </w:rPr>
        <w:t>,</w:t>
      </w:r>
      <w:r w:rsidRPr="00F71204">
        <w:rPr>
          <w:rFonts w:ascii="Verdana" w:hAnsi="Verdana" w:cs="Arial"/>
        </w:rPr>
        <w:t xml:space="preserve"> con el fin de determinar la conveniencia de otorgar recursos al contratista bajo esa denominación. De este modo, las entidades podrán determinar las condiciones de entrega, el monto –que no podrá ser superior al </w:t>
      </w:r>
      <w:r>
        <w:rPr>
          <w:rFonts w:ascii="Verdana" w:hAnsi="Verdana" w:cs="Arial"/>
        </w:rPr>
        <w:t>cincuenta por ciento (</w:t>
      </w:r>
      <w:r w:rsidRPr="00F71204">
        <w:rPr>
          <w:rFonts w:ascii="Verdana" w:hAnsi="Verdana" w:cs="Arial"/>
        </w:rPr>
        <w:t>50%</w:t>
      </w:r>
      <w:r>
        <w:rPr>
          <w:rFonts w:ascii="Verdana" w:hAnsi="Verdana" w:cs="Arial"/>
        </w:rPr>
        <w:t>)</w:t>
      </w:r>
      <w:r w:rsidRPr="00F71204">
        <w:rPr>
          <w:rFonts w:ascii="Verdana" w:hAnsi="Verdana" w:cs="Arial"/>
        </w:rPr>
        <w:t xml:space="preserve"> del valor del contrato–, el plazo de amortización, las condiciones necesarias para su exigibilidad, así como todas las obligaciones para su correcta inversión.</w:t>
      </w:r>
    </w:p>
    <w:p w14:paraId="02E0B0E4" w14:textId="77777777" w:rsidR="002C480E" w:rsidRPr="00F71204" w:rsidRDefault="002C480E" w:rsidP="002C480E">
      <w:pPr>
        <w:tabs>
          <w:tab w:val="left" w:pos="0"/>
        </w:tabs>
        <w:spacing w:after="120" w:line="276" w:lineRule="auto"/>
        <w:jc w:val="both"/>
        <w:rPr>
          <w:rFonts w:ascii="Verdana" w:hAnsi="Verdana" w:cs="Arial"/>
        </w:rPr>
      </w:pPr>
      <w:r>
        <w:rPr>
          <w:rFonts w:ascii="Verdana" w:hAnsi="Verdana" w:cs="Arial"/>
        </w:rPr>
        <w:tab/>
      </w:r>
      <w:r w:rsidRPr="00F71204">
        <w:rPr>
          <w:rFonts w:ascii="Verdana" w:hAnsi="Verdana" w:cs="Arial"/>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F71204">
        <w:rPr>
          <w:rFonts w:ascii="Verdana" w:hAnsi="Verdana" w:cs="Arial"/>
          <w:color w:val="000000" w:themeColor="text1"/>
        </w:rPr>
        <w:t xml:space="preserve">De hecho, el </w:t>
      </w:r>
      <w:r>
        <w:rPr>
          <w:rFonts w:ascii="Verdana" w:hAnsi="Verdana" w:cs="Arial"/>
          <w:color w:val="000000" w:themeColor="text1"/>
        </w:rPr>
        <w:t>EGCAP</w:t>
      </w:r>
      <w:r w:rsidRPr="00F71204">
        <w:rPr>
          <w:rFonts w:ascii="Verdana" w:hAnsi="Verdana" w:cs="Arial"/>
          <w:color w:val="000000" w:themeColor="text1"/>
        </w:rPr>
        <w:t xml:space="preserve"> dispone como única limitación el valor máximo que puede desembolsar la entidad para pactar el anticipo. </w:t>
      </w:r>
    </w:p>
    <w:p w14:paraId="00EED367" w14:textId="77777777" w:rsidR="002C480E" w:rsidRPr="007213B1" w:rsidRDefault="002C480E" w:rsidP="002C480E">
      <w:pPr>
        <w:spacing w:after="120" w:line="276" w:lineRule="auto"/>
        <w:ind w:firstLine="708"/>
        <w:jc w:val="both"/>
        <w:rPr>
          <w:rFonts w:ascii="Verdana" w:hAnsi="Verdana" w:cs="Arial"/>
        </w:rPr>
      </w:pPr>
      <w:r>
        <w:rPr>
          <w:rFonts w:ascii="Verdana" w:hAnsi="Verdana" w:cs="Arial"/>
          <w:color w:val="000000" w:themeColor="text1"/>
        </w:rPr>
        <w:lastRenderedPageBreak/>
        <w:t>Del análisis realizado se infiere</w:t>
      </w:r>
      <w:r w:rsidRPr="00F71204">
        <w:rPr>
          <w:rFonts w:ascii="Verdana" w:hAnsi="Verdana" w:cs="Arial"/>
          <w:color w:val="000000" w:themeColor="text1"/>
        </w:rPr>
        <w:t xml:space="preserve"> que los recursos entregados al contratista en calidad de anticipo son recursos públicos. Por tanto, corresponde a la entidad </w:t>
      </w:r>
      <w:r w:rsidRPr="00F71204">
        <w:rPr>
          <w:rFonts w:ascii="Verdana" w:hAnsi="Verdana" w:cs="Arial"/>
        </w:rPr>
        <w:t xml:space="preserve">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 circunstancias que deben ser objeto de cobertura: i) la no inversión del anticipo; </w:t>
      </w:r>
      <w:proofErr w:type="spellStart"/>
      <w:r w:rsidRPr="00F71204">
        <w:rPr>
          <w:rFonts w:ascii="Verdana" w:hAnsi="Verdana" w:cs="Arial"/>
        </w:rPr>
        <w:t>ii</w:t>
      </w:r>
      <w:proofErr w:type="spellEnd"/>
      <w:r w:rsidRPr="00F71204">
        <w:rPr>
          <w:rFonts w:ascii="Verdana" w:hAnsi="Verdana" w:cs="Arial"/>
        </w:rPr>
        <w:t xml:space="preserve">) el uso indebido del anticipo; y </w:t>
      </w:r>
      <w:proofErr w:type="spellStart"/>
      <w:r w:rsidRPr="00F71204">
        <w:rPr>
          <w:rFonts w:ascii="Verdana" w:hAnsi="Verdana" w:cs="Arial"/>
        </w:rPr>
        <w:t>iii</w:t>
      </w:r>
      <w:proofErr w:type="spellEnd"/>
      <w:r w:rsidRPr="00F71204">
        <w:rPr>
          <w:rFonts w:ascii="Verdana" w:hAnsi="Verdana" w:cs="Arial"/>
        </w:rPr>
        <w:t>) la apropiación indebida de los recursos recibidos en calidad de anticipo</w:t>
      </w:r>
      <w:r w:rsidRPr="00F71204">
        <w:rPr>
          <w:vertAlign w:val="superscript"/>
        </w:rPr>
        <w:footnoteReference w:id="8"/>
      </w:r>
      <w:r w:rsidRPr="00F71204">
        <w:rPr>
          <w:rFonts w:ascii="Verdana" w:hAnsi="Verdana" w:cs="Arial"/>
        </w:rPr>
        <w:t>.</w:t>
      </w:r>
    </w:p>
    <w:p w14:paraId="6530CF37" w14:textId="77777777" w:rsidR="002C480E" w:rsidRPr="00B31C7B" w:rsidRDefault="002C480E" w:rsidP="002C480E">
      <w:pPr>
        <w:tabs>
          <w:tab w:val="left" w:pos="284"/>
        </w:tabs>
        <w:spacing w:line="276" w:lineRule="auto"/>
        <w:jc w:val="both"/>
        <w:rPr>
          <w:rFonts w:ascii="Verdana" w:eastAsia="Arial" w:hAnsi="Verdana" w:cs="Arial"/>
          <w:color w:val="000000"/>
          <w:lang w:eastAsia="es-ES" w:bidi="es-ES"/>
        </w:rPr>
      </w:pPr>
      <w:proofErr w:type="spellStart"/>
      <w:r w:rsidRPr="00B31C7B">
        <w:rPr>
          <w:rFonts w:ascii="Verdana" w:hAnsi="Verdana" w:cs="Arial"/>
          <w:bCs/>
          <w:lang w:val="es-ES" w:eastAsia="es-ES" w:bidi="es-ES"/>
        </w:rPr>
        <w:t>i</w:t>
      </w:r>
      <w:r>
        <w:rPr>
          <w:rFonts w:ascii="Verdana" w:hAnsi="Verdana" w:cs="Arial"/>
          <w:bCs/>
          <w:lang w:val="es-ES" w:eastAsia="es-ES" w:bidi="es-ES"/>
        </w:rPr>
        <w:t>i</w:t>
      </w:r>
      <w:proofErr w:type="spellEnd"/>
      <w:r w:rsidRPr="00B31C7B">
        <w:rPr>
          <w:rFonts w:ascii="Verdana" w:hAnsi="Verdana" w:cs="Arial"/>
          <w:bCs/>
          <w:lang w:val="es-ES" w:eastAsia="es-ES" w:bidi="es-ES"/>
        </w:rPr>
        <w:t xml:space="preserve">. </w:t>
      </w:r>
      <w:r w:rsidRPr="00B31C7B">
        <w:rPr>
          <w:rFonts w:ascii="Verdana" w:eastAsia="Arial" w:hAnsi="Verdana" w:cs="Arial"/>
          <w:color w:val="000000"/>
          <w:lang w:eastAsia="es-ES" w:bidi="es-ES"/>
        </w:rPr>
        <w:t xml:space="preserve">Una de las manifestaciones de modificación de los contratos es mediante la adición. Al respecto, es oportuno explicar que la palabra </w:t>
      </w:r>
      <w:r w:rsidRPr="00B31C7B">
        <w:rPr>
          <w:rFonts w:ascii="Verdana" w:eastAsia="Arial" w:hAnsi="Verdana" w:cs="Arial"/>
          <w:i/>
          <w:iCs/>
          <w:color w:val="000000"/>
          <w:lang w:eastAsia="es-ES" w:bidi="es-ES"/>
        </w:rPr>
        <w:t xml:space="preserve">adición </w:t>
      </w:r>
      <w:r w:rsidRPr="00B31C7B">
        <w:rPr>
          <w:rFonts w:ascii="Verdana" w:eastAsia="Arial" w:hAnsi="Verdana" w:cs="Arial"/>
          <w:color w:val="00000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1C8A55AE" w14:textId="77777777" w:rsidR="002C480E" w:rsidRPr="00B31C7B" w:rsidRDefault="002C480E" w:rsidP="002C480E">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w:t>
      </w:r>
      <w:r w:rsidRPr="00B31C7B">
        <w:rPr>
          <w:rFonts w:ascii="Verdana" w:eastAsia="Calibri" w:hAnsi="Verdana" w:cs="Arial"/>
          <w:color w:val="000000"/>
          <w:szCs w:val="24"/>
          <w:lang w:eastAsia="es-ES_tradnl"/>
        </w:rPr>
        <w:lastRenderedPageBreak/>
        <w:t xml:space="preserve">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0205BFBE" w14:textId="77777777" w:rsidR="002C480E" w:rsidRPr="00B31C7B" w:rsidRDefault="002C480E" w:rsidP="002C480E">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Lo importante es que, frente a cualquier incremento del valor inicial del contrato</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r w:rsidRPr="00B31C7B">
        <w:rPr>
          <w:rFonts w:ascii="Verdana" w:eastAsia="Calibri" w:hAnsi="Verdana" w:cs="Arial"/>
          <w:color w:val="000000"/>
          <w:szCs w:val="24"/>
          <w:vertAlign w:val="superscript"/>
          <w:lang w:eastAsia="es-ES_tradnl"/>
        </w:rPr>
        <w:footnoteReference w:id="9"/>
      </w:r>
      <w:r w:rsidRPr="00B31C7B">
        <w:rPr>
          <w:rFonts w:ascii="Verdana" w:eastAsia="Calibri" w:hAnsi="Verdana" w:cs="Arial"/>
          <w:color w:val="000000"/>
          <w:szCs w:val="24"/>
          <w:lang w:eastAsia="es-ES_tradnl"/>
        </w:rPr>
        <w:t>.</w:t>
      </w:r>
    </w:p>
    <w:p w14:paraId="31999319" w14:textId="77777777" w:rsidR="002C480E" w:rsidRPr="00B31C7B" w:rsidRDefault="002C480E" w:rsidP="002C480E">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dos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w:t>
      </w:r>
      <w:r w:rsidRPr="00B31C7B">
        <w:rPr>
          <w:rFonts w:ascii="Verdana" w:eastAsia="Calibri" w:hAnsi="Verdana" w:cs="Arial"/>
          <w:color w:val="000000"/>
          <w:szCs w:val="24"/>
          <w:lang w:eastAsia="es-ES_tradnl"/>
        </w:rPr>
        <w:lastRenderedPageBreak/>
        <w:t xml:space="preserve">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6BACECF7" w14:textId="77777777" w:rsidR="002C480E" w:rsidRDefault="002C480E" w:rsidP="002C480E">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expresada en SMLMV</w:t>
      </w:r>
      <w:r w:rsidRPr="00B31C7B">
        <w:rPr>
          <w:rFonts w:ascii="Verdana" w:eastAsia="Calibri" w:hAnsi="Verdana" w:cs="Arial"/>
          <w:color w:val="000000"/>
          <w:szCs w:val="24"/>
          <w:lang w:eastAsia="es-ES_tradnl"/>
        </w:rPr>
        <w:t xml:space="preserve">, y valga la redundancia, el valor inicial es el contemplado en el contrato originario y cualquier alteración a ese valor constituirá, técnicamente, una adición, independientemente de cuál sea su causa. </w:t>
      </w:r>
    </w:p>
    <w:p w14:paraId="640BAA20" w14:textId="77777777" w:rsidR="002C480E" w:rsidRDefault="002C480E" w:rsidP="002C480E">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Sin perjuicio de lo anterior, actualmente existe una posibilidad para adicionar contratos en más del cincuenta por ciento (50%)</w:t>
      </w:r>
      <w:r>
        <w:rPr>
          <w:rFonts w:ascii="Verdana" w:eastAsia="Calibri" w:hAnsi="Verdana" w:cs="Arial"/>
          <w:color w:val="000000"/>
          <w:szCs w:val="24"/>
          <w:lang w:eastAsia="es-ES_tradnl"/>
        </w:rPr>
        <w:t xml:space="preserve"> del valor inicial del contrato expresado en SMLMV</w:t>
      </w:r>
      <w:r w:rsidRPr="00B31C7B">
        <w:rPr>
          <w:rFonts w:ascii="Verdana" w:eastAsia="Calibri" w:hAnsi="Verdana" w:cs="Arial"/>
          <w:color w:val="000000"/>
          <w:szCs w:val="24"/>
          <w:lang w:eastAsia="es-ES_tradnl"/>
        </w:rPr>
        <w:t xml:space="preserve"> 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2E8A8B22" w14:textId="77777777" w:rsidR="002C480E" w:rsidRPr="00612B6B" w:rsidRDefault="002C480E" w:rsidP="002C480E">
      <w:pPr>
        <w:spacing w:after="120" w:line="276" w:lineRule="auto"/>
        <w:ind w:firstLine="709"/>
        <w:jc w:val="both"/>
        <w:rPr>
          <w:rFonts w:ascii="Verdana" w:hAnsi="Verdana" w:cs="Arial"/>
          <w:lang w:eastAsia="es-ES_tradnl"/>
        </w:rPr>
      </w:pPr>
      <w:proofErr w:type="gramStart"/>
      <w:r>
        <w:rPr>
          <w:rFonts w:ascii="Verdana" w:eastAsia="Calibri" w:hAnsi="Verdana" w:cs="Arial"/>
          <w:color w:val="000000"/>
          <w:szCs w:val="24"/>
          <w:lang w:eastAsia="es-ES_tradnl"/>
        </w:rPr>
        <w:t>Igualmente</w:t>
      </w:r>
      <w:proofErr w:type="gramEnd"/>
      <w:r>
        <w:rPr>
          <w:rFonts w:ascii="Verdana" w:eastAsia="Calibri" w:hAnsi="Verdana" w:cs="Arial"/>
          <w:color w:val="000000"/>
          <w:szCs w:val="24"/>
          <w:lang w:eastAsia="es-ES_tradnl"/>
        </w:rPr>
        <w:t xml:space="preserve">, </w:t>
      </w:r>
      <w:r w:rsidRPr="00612B6B">
        <w:rPr>
          <w:rFonts w:ascii="Verdana" w:hAnsi="Verdana" w:cs="Arial"/>
          <w:szCs w:val="24"/>
          <w:lang w:eastAsia="es-ES_tradnl"/>
        </w:rPr>
        <w:t xml:space="preserve">conforme precisó </w:t>
      </w:r>
      <w:proofErr w:type="gramStart"/>
      <w:r w:rsidRPr="00612B6B">
        <w:rPr>
          <w:rFonts w:ascii="Verdana" w:hAnsi="Verdana" w:cs="Arial"/>
          <w:szCs w:val="24"/>
          <w:lang w:eastAsia="es-ES_tradnl"/>
        </w:rPr>
        <w:t>recientemente</w:t>
      </w:r>
      <w:proofErr w:type="gramEnd"/>
      <w:r w:rsidRPr="00612B6B">
        <w:rPr>
          <w:rFonts w:ascii="Verdana" w:hAnsi="Verdana" w:cs="Arial"/>
          <w:szCs w:val="24"/>
          <w:lang w:eastAsia="es-ES_tradnl"/>
        </w:rPr>
        <w:t xml:space="preserve"> esta Subdirección en el Concepto C-466 del 23 de septiembre de 2024, el límite a la adición previsto en segundo inciso del parágrafo del artículo 40 de la Ley 80 de 1993, no resulta a</w:t>
      </w:r>
      <w:r w:rsidRPr="00612B6B">
        <w:rPr>
          <w:rFonts w:ascii="Verdana" w:hAnsi="Verdana" w:cs="Arial"/>
          <w:lang w:eastAsia="es-ES_tradnl"/>
        </w:rPr>
        <w:t xml:space="preserve"> las mayores cantidades que deban ejecutarse en el marco de contratos cuya contraprestación se haya pactado bajo la modalidad de precios unitarios</w:t>
      </w:r>
      <w:r w:rsidRPr="00612B6B">
        <w:rPr>
          <w:rStyle w:val="Refdenotaalpie"/>
          <w:rFonts w:ascii="Verdana" w:hAnsi="Verdana" w:cs="Arial"/>
          <w:lang w:eastAsia="es-ES_tradnl"/>
        </w:rPr>
        <w:footnoteReference w:id="10"/>
      </w:r>
      <w:r w:rsidRPr="00612B6B">
        <w:rPr>
          <w:rFonts w:ascii="Verdana" w:hAnsi="Verdana" w:cs="Arial"/>
          <w:lang w:eastAsia="es-ES_tradnl"/>
        </w:rPr>
        <w:t xml:space="preserve">. </w:t>
      </w:r>
      <w:r w:rsidRPr="00612B6B">
        <w:rPr>
          <w:rFonts w:ascii="Verdana" w:eastAsia="Calibri" w:hAnsi="Verdana" w:cs="Arial"/>
        </w:rPr>
        <w:t xml:space="preserve">De acuerdo con la jurisprudencia reciente del Consejo de Estado, esta limitación no es aplicable a dichos contratos, </w:t>
      </w:r>
      <w:r w:rsidRPr="00612B6B">
        <w:rPr>
          <w:rFonts w:ascii="Verdana" w:hAnsi="Verdana" w:cs="Arial"/>
          <w:lang w:eastAsia="es-ES_tradnl"/>
        </w:rPr>
        <w:t>por cuanto en estos contratos el valor estipulado es estimativo y está sujeto a multiplicar las cantidades de obra ejecutadas por el precio de cada una de ellas</w:t>
      </w:r>
      <w:r w:rsidRPr="00612B6B">
        <w:rPr>
          <w:rStyle w:val="Refdenotaalpie"/>
          <w:rFonts w:ascii="Verdana" w:hAnsi="Verdana" w:cs="Arial"/>
          <w:lang w:eastAsia="es-ES_tradnl"/>
        </w:rPr>
        <w:footnoteReference w:id="11"/>
      </w:r>
      <w:r w:rsidRPr="00612B6B">
        <w:rPr>
          <w:rFonts w:ascii="Verdana" w:hAnsi="Verdana" w:cs="Arial"/>
          <w:lang w:eastAsia="es-ES_tradnl"/>
        </w:rPr>
        <w:t>.</w:t>
      </w:r>
    </w:p>
    <w:p w14:paraId="14085459" w14:textId="77777777" w:rsidR="002C480E" w:rsidRPr="00B31C7B" w:rsidRDefault="002C480E" w:rsidP="002C480E">
      <w:pPr>
        <w:widowControl w:val="0"/>
        <w:autoSpaceDE w:val="0"/>
        <w:autoSpaceDN w:val="0"/>
        <w:spacing w:after="120" w:line="276" w:lineRule="auto"/>
        <w:ind w:firstLine="708"/>
        <w:jc w:val="both"/>
        <w:rPr>
          <w:rFonts w:ascii="Verdana" w:hAnsi="Verdana"/>
        </w:rPr>
      </w:pPr>
      <w:r w:rsidRPr="00B31C7B">
        <w:rPr>
          <w:rFonts w:ascii="Verdana" w:eastAsia="Calibri" w:hAnsi="Verdana" w:cs="Arial"/>
        </w:rPr>
        <w:lastRenderedPageBreak/>
        <w:t xml:space="preserve">Sin perjuicio de lo expuesto, </w:t>
      </w:r>
      <w:r w:rsidRPr="00B31C7B">
        <w:rPr>
          <w:rFonts w:ascii="Verdana" w:hAnsi="Verdana"/>
        </w:rPr>
        <w:t>fuera</w:t>
      </w:r>
      <w:r>
        <w:rPr>
          <w:rFonts w:ascii="Verdana" w:hAnsi="Verdana"/>
        </w:rPr>
        <w:t xml:space="preserve"> de los límites cuantitativos establecidos</w:t>
      </w:r>
      <w:r w:rsidRPr="00B31C7B">
        <w:rPr>
          <w:rFonts w:ascii="Verdana" w:hAnsi="Verdana"/>
        </w:rPr>
        <w:t xml:space="preserve">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w:t>
      </w:r>
      <w:r w:rsidRPr="00B31C7B">
        <w:rPr>
          <w:rFonts w:ascii="Verdana" w:hAnsi="Verdana"/>
          <w:vertAlign w:val="superscript"/>
        </w:rPr>
        <w:footnoteReference w:id="12"/>
      </w:r>
      <w:r w:rsidRPr="00B31C7B">
        <w:rPr>
          <w:rFonts w:ascii="Verdana" w:hAnsi="Verdana"/>
        </w:rPr>
        <w:t xml:space="preserve">. </w:t>
      </w:r>
    </w:p>
    <w:p w14:paraId="1E988844" w14:textId="77777777" w:rsidR="002C480E" w:rsidRPr="00B31C7B" w:rsidRDefault="002C480E" w:rsidP="002C480E">
      <w:pPr>
        <w:widowControl w:val="0"/>
        <w:autoSpaceDE w:val="0"/>
        <w:autoSpaceDN w:val="0"/>
        <w:spacing w:after="0" w:line="276" w:lineRule="auto"/>
        <w:ind w:firstLine="708"/>
        <w:jc w:val="both"/>
        <w:rPr>
          <w:rFonts w:ascii="Verdana" w:hAnsi="Verdana"/>
          <w:b/>
          <w:i/>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3"/>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4"/>
      </w:r>
      <w:r w:rsidRPr="00B31C7B">
        <w:rPr>
          <w:rFonts w:ascii="Verdana" w:eastAsia="Arial" w:hAnsi="Verdana" w:cs="Arial"/>
          <w:lang w:val="es-MX" w:eastAsia="es-ES" w:bidi="es-ES"/>
        </w:rPr>
        <w:t xml:space="preserve">, así como el deber de la existencia de las disponibilidades </w:t>
      </w:r>
      <w:r w:rsidRPr="00B31C7B">
        <w:rPr>
          <w:rFonts w:ascii="Verdana" w:eastAsia="Arial" w:hAnsi="Verdana" w:cs="Arial"/>
          <w:lang w:val="es-MX" w:eastAsia="es-ES" w:bidi="es-ES"/>
        </w:rPr>
        <w:lastRenderedPageBreak/>
        <w:t xml:space="preserve">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5CB05971" w14:textId="77777777" w:rsidR="002C480E" w:rsidRPr="00B31C7B" w:rsidRDefault="002C480E" w:rsidP="002C480E">
      <w:pPr>
        <w:spacing w:after="0" w:line="276" w:lineRule="auto"/>
        <w:jc w:val="both"/>
        <w:rPr>
          <w:rFonts w:ascii="Verdana" w:hAnsi="Verdana"/>
          <w:i/>
        </w:rPr>
      </w:pPr>
    </w:p>
    <w:p w14:paraId="74641B7D" w14:textId="77777777" w:rsidR="002C480E" w:rsidRPr="00B31C7B" w:rsidRDefault="002C480E" w:rsidP="002C480E">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3F7F89A4" w14:textId="77777777" w:rsidR="002C480E" w:rsidRPr="00B31C7B" w:rsidRDefault="002C480E" w:rsidP="002C480E">
      <w:pPr>
        <w:spacing w:after="0" w:line="240" w:lineRule="auto"/>
        <w:ind w:left="709" w:right="709"/>
        <w:jc w:val="both"/>
        <w:rPr>
          <w:rFonts w:ascii="Verdana" w:hAnsi="Verdana"/>
          <w:sz w:val="20"/>
          <w:szCs w:val="20"/>
        </w:rPr>
      </w:pPr>
    </w:p>
    <w:p w14:paraId="1AD01C8A" w14:textId="77777777" w:rsidR="002C480E" w:rsidRPr="00B31C7B" w:rsidRDefault="002C480E" w:rsidP="002C480E">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3CE3AA4E" w14:textId="77777777" w:rsidR="002C480E" w:rsidRPr="00B31C7B" w:rsidRDefault="002C480E" w:rsidP="002C480E">
      <w:pPr>
        <w:spacing w:after="0" w:line="240" w:lineRule="auto"/>
        <w:ind w:left="709" w:right="709"/>
        <w:jc w:val="both"/>
        <w:rPr>
          <w:rFonts w:ascii="Verdana" w:hAnsi="Verdana"/>
          <w:sz w:val="20"/>
          <w:szCs w:val="20"/>
        </w:rPr>
      </w:pPr>
    </w:p>
    <w:p w14:paraId="050959D1" w14:textId="77777777" w:rsidR="002C480E" w:rsidRPr="00B31C7B" w:rsidRDefault="002C480E" w:rsidP="002C480E">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5"/>
      </w:r>
      <w:r w:rsidRPr="00B31C7B">
        <w:rPr>
          <w:rFonts w:ascii="Verdana" w:hAnsi="Verdana"/>
          <w:sz w:val="20"/>
          <w:szCs w:val="20"/>
        </w:rPr>
        <w:t>.</w:t>
      </w:r>
    </w:p>
    <w:p w14:paraId="52C7547B" w14:textId="77777777" w:rsidR="002C480E" w:rsidRPr="00B31C7B" w:rsidRDefault="002C480E" w:rsidP="002C480E">
      <w:pPr>
        <w:widowControl w:val="0"/>
        <w:autoSpaceDE w:val="0"/>
        <w:autoSpaceDN w:val="0"/>
        <w:spacing w:after="0" w:line="276" w:lineRule="auto"/>
        <w:jc w:val="both"/>
        <w:rPr>
          <w:rFonts w:ascii="Verdana" w:eastAsia="Calibri" w:hAnsi="Verdana" w:cs="Arial"/>
        </w:rPr>
      </w:pPr>
      <w:r w:rsidRPr="00B31C7B">
        <w:rPr>
          <w:rFonts w:ascii="Verdana" w:eastAsia="Calibri" w:hAnsi="Verdana" w:cs="Arial"/>
        </w:rPr>
        <w:t xml:space="preserve"> </w:t>
      </w:r>
    </w:p>
    <w:p w14:paraId="4400DD4E" w14:textId="77777777" w:rsidR="002C480E" w:rsidRDefault="002C480E" w:rsidP="002C480E">
      <w:pPr>
        <w:widowControl w:val="0"/>
        <w:autoSpaceDE w:val="0"/>
        <w:autoSpaceDN w:val="0"/>
        <w:spacing w:after="120" w:line="276" w:lineRule="auto"/>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16"/>
      </w:r>
      <w:r w:rsidRPr="00B31C7B">
        <w:rPr>
          <w:rFonts w:ascii="Verdana" w:eastAsia="Arial" w:hAnsi="Verdana" w:cs="Arial"/>
          <w:i/>
          <w:lang w:val="es-MX" w:eastAsia="es-ES" w:bidi="es-ES"/>
        </w:rPr>
        <w:t>.</w:t>
      </w:r>
    </w:p>
    <w:p w14:paraId="7036E561" w14:textId="77777777" w:rsidR="002C480E" w:rsidRPr="00B31C7B" w:rsidRDefault="002C480E" w:rsidP="002C480E">
      <w:pPr>
        <w:widowControl w:val="0"/>
        <w:autoSpaceDE w:val="0"/>
        <w:autoSpaceDN w:val="0"/>
        <w:spacing w:after="120" w:line="276" w:lineRule="auto"/>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 xml:space="preserve">Lo anterior, con la finalidad de </w:t>
      </w:r>
      <w:r w:rsidRPr="00B31C7B">
        <w:rPr>
          <w:rFonts w:ascii="Verdana" w:eastAsia="Calibri" w:hAnsi="Verdana" w:cs="Arial"/>
          <w:lang w:eastAsia="es-ES_tradnl"/>
        </w:rPr>
        <w:lastRenderedPageBreak/>
        <w:t>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050AB799" w14:textId="77777777" w:rsidR="002C480E" w:rsidRPr="00B31C7B" w:rsidRDefault="002C480E" w:rsidP="002C480E">
      <w:pPr>
        <w:widowControl w:val="0"/>
        <w:autoSpaceDE w:val="0"/>
        <w:autoSpaceDN w:val="0"/>
        <w:spacing w:after="120" w:line="276" w:lineRule="auto"/>
        <w:ind w:firstLine="708"/>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073217B7" w14:textId="77777777" w:rsidR="002C480E" w:rsidRPr="00B31C7B" w:rsidRDefault="002C480E" w:rsidP="002C480E">
      <w:pPr>
        <w:widowControl w:val="0"/>
        <w:autoSpaceDE w:val="0"/>
        <w:autoSpaceDN w:val="0"/>
        <w:spacing w:after="120" w:line="276" w:lineRule="auto"/>
        <w:ind w:firstLine="708"/>
        <w:jc w:val="both"/>
        <w:rPr>
          <w:rFonts w:ascii="Verdana" w:eastAsia="Calibri" w:hAnsi="Verdana" w:cs="Arial"/>
          <w:bCs/>
          <w:lang w:val="es-MX" w:eastAsia="es-ES_tradnl"/>
        </w:rPr>
      </w:pPr>
      <w:r w:rsidRPr="00B31C7B">
        <w:rPr>
          <w:rFonts w:ascii="Verdana" w:eastAsia="Calibri" w:hAnsi="Verdana" w:cs="Arial"/>
          <w:lang w:val="es-MX" w:eastAsia="es-ES_tradnl"/>
        </w:rPr>
        <w:t>E</w:t>
      </w:r>
      <w:r w:rsidRPr="00B31C7B">
        <w:rPr>
          <w:rFonts w:ascii="Verdana" w:eastAsia="Arial" w:hAnsi="Verdana" w:cs="Arial"/>
          <w:lang w:val="es-MX" w:eastAsia="es-ES" w:bidi="es-ES"/>
        </w:rPr>
        <w:t>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B31C7B">
        <w:rPr>
          <w:rFonts w:ascii="Verdana" w:eastAsia="Arial" w:hAnsi="Verdana" w:cs="Arial"/>
          <w:lang w:val="es-ES_tradnl" w:eastAsia="es-ES" w:bidi="es-ES"/>
        </w:rPr>
        <w:t>.</w:t>
      </w:r>
      <w:r w:rsidRPr="00B31C7B">
        <w:rPr>
          <w:rFonts w:ascii="Verdana" w:eastAsia="Calibri" w:hAnsi="Verdana" w:cs="Arial"/>
          <w:bCs/>
          <w:lang w:eastAsia="es-ES_tradnl"/>
        </w:rPr>
        <w:t xml:space="preserve"> </w:t>
      </w:r>
    </w:p>
    <w:p w14:paraId="27C484A0" w14:textId="77777777" w:rsidR="002C480E" w:rsidRDefault="002C480E" w:rsidP="002C480E">
      <w:pPr>
        <w:widowControl w:val="0"/>
        <w:tabs>
          <w:tab w:val="left" w:pos="709"/>
        </w:tabs>
        <w:autoSpaceDE w:val="0"/>
        <w:autoSpaceDN w:val="0"/>
        <w:spacing w:after="120" w:line="276" w:lineRule="auto"/>
        <w:jc w:val="both"/>
        <w:rPr>
          <w:rFonts w:ascii="Verdana" w:hAnsi="Verdana"/>
        </w:rPr>
      </w:pPr>
      <w:r w:rsidRPr="00B31C7B">
        <w:rPr>
          <w:rFonts w:ascii="Verdana" w:eastAsia="Calibri" w:hAnsi="Verdana" w:cs="Arial"/>
          <w:bCs/>
          <w:lang w:eastAsia="es-ES_tradnl"/>
        </w:rPr>
        <w:tab/>
      </w:r>
      <w:r w:rsidRPr="00B31C7B">
        <w:rPr>
          <w:rFonts w:ascii="Verdana" w:eastAsia="Calibri" w:hAnsi="Verdana" w:cs="Arial"/>
          <w:lang w:eastAsia="es-ES_tradnl"/>
        </w:rPr>
        <w:t>Sumado a lo anterior, la posibilidad de ejecutar por encima del valor inicialmente estimado un contrato estructurado en el marco del sistema precios unitarios no puede usarse para desconocer la modalidad de selección aplicable al caso, de acuerdo con la cuantía del Proceso de Contratación, con miras a garantizar la transparencia, la selección objetiva y el principio de planeación en la actividad contractual.</w:t>
      </w:r>
      <w:r w:rsidRPr="00B31C7B">
        <w:rPr>
          <w:rFonts w:ascii="Verdana" w:eastAsia="Calibri" w:hAnsi="Verdana" w:cs="Arial"/>
        </w:rPr>
        <w:t xml:space="preserve"> Si bien en los contratos pactados en la </w:t>
      </w:r>
      <w:r w:rsidRPr="00B31C7B">
        <w:rPr>
          <w:rFonts w:ascii="Verdana" w:hAnsi="Verdana"/>
        </w:rPr>
        <w:t>modalidad de precios unitarios el valor inicial es estimativo, mientras que el valor real es el que resulta una vez se ha terminado la ejecución del contrato, lo cierto es que el valor estimado debe obedecer a estudios previos que determinen de la manera más exacta posible las cantidades de obra. Esto además es el presupuesto sobre el cual la Entidad Estatal contratante genera las apropiaciones presupuestales para ejecutar el contrato.</w:t>
      </w:r>
    </w:p>
    <w:p w14:paraId="3920A9FE" w14:textId="77777777" w:rsidR="002C480E" w:rsidRDefault="002C480E" w:rsidP="002C480E">
      <w:pPr>
        <w:widowControl w:val="0"/>
        <w:tabs>
          <w:tab w:val="left" w:pos="709"/>
        </w:tabs>
        <w:autoSpaceDE w:val="0"/>
        <w:autoSpaceDN w:val="0"/>
        <w:spacing w:after="120" w:line="276" w:lineRule="auto"/>
        <w:jc w:val="both"/>
        <w:rPr>
          <w:rFonts w:ascii="Verdana" w:hAnsi="Verdana"/>
        </w:rPr>
      </w:pPr>
      <w:r>
        <w:rPr>
          <w:rFonts w:ascii="Verdana" w:hAnsi="Verdana"/>
        </w:rPr>
        <w:tab/>
        <w:t xml:space="preserve">Teniendo en cuenta lo expresado anteriormente, a partir de límite cuantitativo -, es procedente que en las adiciones de los contratos estatales se </w:t>
      </w:r>
      <w:r>
        <w:rPr>
          <w:rFonts w:ascii="Verdana" w:hAnsi="Verdana"/>
        </w:rPr>
        <w:lastRenderedPageBreak/>
        <w:t xml:space="preserve">estipulen anticipos bajo la autonomía de la voluntad de las partes, considerando que estas no pueden exceder el cincuenta por ciento (50%) del valor total del contrato, en el que se incluye la adición. En estos términos, si la adición aumenta el valor del contrato, debe calcularse si es procedente el anticipo, </w:t>
      </w:r>
      <w:proofErr w:type="gramStart"/>
      <w:r>
        <w:rPr>
          <w:rFonts w:ascii="Verdana" w:hAnsi="Verdana"/>
        </w:rPr>
        <w:t>de acuerdo al</w:t>
      </w:r>
      <w:proofErr w:type="gramEnd"/>
      <w:r>
        <w:rPr>
          <w:rFonts w:ascii="Verdana" w:hAnsi="Verdana"/>
        </w:rPr>
        <w:t xml:space="preserve"> límite del cincuenta por ciento (50%) regulado en el artículo 40 de la Ley 80 de 1993. </w:t>
      </w:r>
    </w:p>
    <w:p w14:paraId="35265422" w14:textId="77777777" w:rsidR="002C480E" w:rsidRPr="00C95476" w:rsidRDefault="002C480E" w:rsidP="002C480E">
      <w:pPr>
        <w:widowControl w:val="0"/>
        <w:tabs>
          <w:tab w:val="left" w:pos="709"/>
        </w:tabs>
        <w:autoSpaceDE w:val="0"/>
        <w:autoSpaceDN w:val="0"/>
        <w:spacing w:after="120" w:line="276" w:lineRule="auto"/>
        <w:jc w:val="both"/>
        <w:rPr>
          <w:rFonts w:ascii="Verdana" w:hAnsi="Verdana"/>
          <w:i/>
          <w:lang w:val="es-MX"/>
        </w:rPr>
      </w:pPr>
      <w:r>
        <w:rPr>
          <w:rFonts w:ascii="Verdana" w:hAnsi="Verdana"/>
        </w:rPr>
        <w:tab/>
        <w:t xml:space="preserve">De igual modo, frente a los demás límites para la adición de los contratos se expresa: en primer lugar, frente al </w:t>
      </w:r>
      <w:r w:rsidRPr="00C95476">
        <w:rPr>
          <w:rFonts w:ascii="Verdana" w:hAnsi="Verdana"/>
          <w:i/>
        </w:rPr>
        <w:t>límite temporal</w:t>
      </w:r>
      <w:r>
        <w:rPr>
          <w:rFonts w:ascii="Verdana" w:hAnsi="Verdana"/>
        </w:rPr>
        <w:t xml:space="preserve">, </w:t>
      </w:r>
      <w:r>
        <w:rPr>
          <w:rFonts w:ascii="Verdana" w:hAnsi="Verdana"/>
          <w:lang w:val="es-MX"/>
        </w:rPr>
        <w:t xml:space="preserve">se precisa que no podrá estipularse anticipos en las adiciones si el contrato estatal ha finalizado; en segundo lugar, frente al </w:t>
      </w:r>
      <w:r w:rsidRPr="00C95476">
        <w:rPr>
          <w:rFonts w:ascii="Verdana" w:hAnsi="Verdana"/>
          <w:i/>
          <w:lang w:val="es-MX"/>
        </w:rPr>
        <w:t>límite formal</w:t>
      </w:r>
      <w:r>
        <w:rPr>
          <w:rFonts w:ascii="Verdana" w:hAnsi="Verdana"/>
          <w:lang w:val="es-MX"/>
        </w:rPr>
        <w:t xml:space="preserve">, </w:t>
      </w:r>
      <w:r w:rsidRPr="00C95476">
        <w:rPr>
          <w:rFonts w:ascii="Verdana" w:hAnsi="Verdana"/>
        </w:rPr>
        <w:t xml:space="preserve">debe señalarse que, por un lado, es necesario que, la </w:t>
      </w:r>
      <w:r w:rsidRPr="00C95476">
        <w:rPr>
          <w:rFonts w:ascii="Verdana" w:hAnsi="Verdana"/>
          <w:lang w:val="es-MX"/>
        </w:rPr>
        <w:t xml:space="preserve">modificación de los contratos conste por escrito, </w:t>
      </w:r>
      <w:r>
        <w:rPr>
          <w:rFonts w:ascii="Verdana" w:hAnsi="Verdana"/>
          <w:lang w:val="es-MX"/>
        </w:rPr>
        <w:t xml:space="preserve">teniendo en cuenta el carácter solemne el contrato estatal; en tercer lugar, frente a </w:t>
      </w:r>
      <w:r w:rsidRPr="00C95476">
        <w:rPr>
          <w:rFonts w:ascii="Verdana" w:hAnsi="Verdana"/>
          <w:i/>
        </w:rPr>
        <w:t>límites materiales</w:t>
      </w:r>
      <w:r w:rsidRPr="00C95476">
        <w:rPr>
          <w:rFonts w:ascii="Verdana" w:hAnsi="Verdana"/>
        </w:rPr>
        <w:t xml:space="preserve"> </w:t>
      </w:r>
      <w:r w:rsidRPr="00C95476">
        <w:rPr>
          <w:rFonts w:ascii="Verdana" w:hAnsi="Verdana"/>
          <w:lang w:val="es-MX"/>
        </w:rPr>
        <w:t xml:space="preserve">corresponden a la prohibición de modificar las condiciones sustanciales del contrato, que se presentará en los </w:t>
      </w:r>
      <w:r>
        <w:rPr>
          <w:rFonts w:ascii="Verdana" w:hAnsi="Verdana"/>
          <w:lang w:val="es-MX"/>
        </w:rPr>
        <w:t xml:space="preserve">supuestos </w:t>
      </w:r>
      <w:r w:rsidRPr="00C95476">
        <w:rPr>
          <w:rFonts w:ascii="Verdana" w:hAnsi="Verdana"/>
          <w:lang w:val="es-MX"/>
        </w:rPr>
        <w:t>en</w:t>
      </w:r>
      <w:r>
        <w:rPr>
          <w:rFonts w:ascii="Verdana" w:hAnsi="Verdana"/>
          <w:lang w:val="es-MX"/>
        </w:rPr>
        <w:t xml:space="preserve"> que se incluyan elementos que va más allá de la estipulación del pago del anticipo en las adiciones</w:t>
      </w:r>
      <w:r>
        <w:rPr>
          <w:rFonts w:ascii="Verdana" w:hAnsi="Verdana"/>
          <w:i/>
          <w:lang w:val="es-MX"/>
        </w:rPr>
        <w:t xml:space="preserve">; </w:t>
      </w:r>
      <w:r w:rsidRPr="003E35A0">
        <w:rPr>
          <w:rFonts w:ascii="Verdana" w:hAnsi="Verdana"/>
          <w:lang w:val="es-MX"/>
        </w:rPr>
        <w:t>finalmente</w:t>
      </w:r>
      <w:r>
        <w:rPr>
          <w:rFonts w:ascii="Verdana" w:hAnsi="Verdana"/>
          <w:i/>
          <w:lang w:val="es-MX"/>
        </w:rPr>
        <w:t xml:space="preserve">, frente a </w:t>
      </w:r>
      <w:r w:rsidRPr="00C95476">
        <w:rPr>
          <w:rFonts w:ascii="Verdana" w:hAnsi="Verdana"/>
          <w:lang w:val="es-MX"/>
        </w:rPr>
        <w:t xml:space="preserve">los </w:t>
      </w:r>
      <w:r w:rsidRPr="00C95476">
        <w:rPr>
          <w:rFonts w:ascii="Verdana" w:hAnsi="Verdana"/>
          <w:i/>
          <w:lang w:val="es-MX"/>
        </w:rPr>
        <w:t>límites axiológicos</w:t>
      </w:r>
      <w:r w:rsidRPr="00C95476">
        <w:rPr>
          <w:rFonts w:ascii="Verdana" w:hAnsi="Verdana"/>
          <w:lang w:val="es-MX"/>
        </w:rPr>
        <w:t xml:space="preserve">, los cuales se fundan en la necesidad de preservar los principios de igualdad, transparencia, libertad de concurrencia, selección objetiva y planeación. </w:t>
      </w:r>
      <w:r>
        <w:rPr>
          <w:rFonts w:ascii="Verdana" w:hAnsi="Verdana"/>
        </w:rPr>
        <w:t xml:space="preserve">A modo de ejemplo, en torno al principio de planeación debe revisarse que del análisis se derive que de la adición que se estipule, también se requiere un anticipo, es decir, debe existir un estudio y análisis previo por parte de la entidad. </w:t>
      </w:r>
    </w:p>
    <w:p w14:paraId="1A76748B" w14:textId="77777777" w:rsidR="002C480E" w:rsidRPr="00BC2132" w:rsidRDefault="002C480E" w:rsidP="002C480E">
      <w:pPr>
        <w:spacing w:after="120" w:line="276" w:lineRule="auto"/>
        <w:ind w:firstLine="709"/>
        <w:jc w:val="both"/>
        <w:rPr>
          <w:rFonts w:ascii="Verdana" w:eastAsia="Arial" w:hAnsi="Verdana" w:cs="Arial"/>
          <w:color w:val="000000"/>
          <w:lang w:eastAsia="es-ES" w:bidi="es-ES"/>
        </w:rPr>
      </w:pPr>
      <w:r w:rsidRPr="00BC2132">
        <w:rPr>
          <w:rFonts w:ascii="Verdana" w:eastAsia="Arial" w:hAnsi="Verdana" w:cs="Arial"/>
          <w:color w:val="000000"/>
          <w:lang w:eastAsia="es-ES" w:bidi="es-ES"/>
        </w:rPr>
        <w:t xml:space="preserve">En suma, resulta jurídicamente viable </w:t>
      </w:r>
      <w:r>
        <w:rPr>
          <w:rFonts w:ascii="Verdana" w:eastAsia="Arial" w:hAnsi="Verdana" w:cs="Arial"/>
          <w:color w:val="000000"/>
          <w:lang w:eastAsia="es-ES" w:bidi="es-ES"/>
        </w:rPr>
        <w:t xml:space="preserve">modificar </w:t>
      </w:r>
      <w:r w:rsidRPr="00BC2132">
        <w:rPr>
          <w:rFonts w:ascii="Verdana" w:eastAsia="Arial" w:hAnsi="Verdana" w:cs="Arial"/>
          <w:color w:val="000000"/>
          <w:lang w:eastAsia="es-ES" w:bidi="es-ES"/>
        </w:rPr>
        <w:t>el anticipo con ocasión de una adición contractual, siempre que dicha modificación observe de manera estricta los límites legales y contractuales aplicables a las adiciones, respete las condiciones esenciales inicialmente pactadas y se ajuste a las normas y principios que rigen la contratación pública</w:t>
      </w:r>
      <w:r>
        <w:rPr>
          <w:rFonts w:ascii="Verdana" w:eastAsia="Arial" w:hAnsi="Verdana" w:cs="Arial"/>
          <w:color w:val="000000"/>
          <w:lang w:eastAsia="es-ES" w:bidi="es-ES"/>
        </w:rPr>
        <w:t xml:space="preserve">. En tal sentido, </w:t>
      </w:r>
      <w:r w:rsidRPr="00BC2132">
        <w:rPr>
          <w:rFonts w:ascii="Verdana" w:eastAsia="Arial" w:hAnsi="Verdana" w:cs="Arial"/>
          <w:color w:val="000000"/>
          <w:lang w:eastAsia="es-ES" w:bidi="es-ES"/>
        </w:rPr>
        <w:t xml:space="preserve">es fundamental que </w:t>
      </w:r>
      <w:r>
        <w:rPr>
          <w:rFonts w:ascii="Verdana" w:eastAsia="Arial" w:hAnsi="Verdana" w:cs="Arial"/>
          <w:color w:val="000000"/>
          <w:lang w:eastAsia="es-ES" w:bidi="es-ES"/>
        </w:rPr>
        <w:t xml:space="preserve">modificación </w:t>
      </w:r>
      <w:r w:rsidRPr="00BC2132">
        <w:rPr>
          <w:rFonts w:ascii="Verdana" w:eastAsia="Arial" w:hAnsi="Verdana" w:cs="Arial"/>
          <w:color w:val="000000"/>
          <w:lang w:eastAsia="es-ES" w:bidi="es-ES"/>
        </w:rPr>
        <w:t>consigne de forma expresa</w:t>
      </w:r>
      <w:r>
        <w:rPr>
          <w:rFonts w:ascii="Verdana" w:eastAsia="Arial" w:hAnsi="Verdana" w:cs="Arial"/>
          <w:color w:val="000000"/>
          <w:lang w:eastAsia="es-ES" w:bidi="es-ES"/>
        </w:rPr>
        <w:t xml:space="preserve"> </w:t>
      </w:r>
      <w:r w:rsidRPr="00BC2132">
        <w:rPr>
          <w:rFonts w:ascii="Verdana" w:eastAsia="Arial" w:hAnsi="Verdana" w:cs="Arial"/>
          <w:color w:val="000000"/>
          <w:lang w:eastAsia="es-ES" w:bidi="es-ES"/>
        </w:rPr>
        <w:t>si el valor adicionado implica una modificación del monto del anticipo. Asimismo, debe precisarse la forma, condiciones y oportunidad de pago del anticipo adicional, en caso de que este se incremente, con el fin de evitar interpretaciones ambiguas y eventuales controversias en la ejecución contractual.</w:t>
      </w:r>
    </w:p>
    <w:p w14:paraId="4D61CA51" w14:textId="77777777" w:rsidR="002C480E" w:rsidRDefault="002C480E" w:rsidP="002C480E">
      <w:pPr>
        <w:spacing w:after="0" w:line="276" w:lineRule="auto"/>
        <w:ind w:firstLine="709"/>
        <w:jc w:val="both"/>
        <w:rPr>
          <w:rFonts w:ascii="Verdana" w:eastAsia="Arial" w:hAnsi="Verdana" w:cs="Arial"/>
          <w:color w:val="000000"/>
          <w:lang w:eastAsia="es-ES" w:bidi="es-ES"/>
        </w:rPr>
      </w:pPr>
      <w:r w:rsidRPr="00BC2132">
        <w:rPr>
          <w:rFonts w:ascii="Verdana" w:eastAsia="Arial" w:hAnsi="Verdana" w:cs="Arial"/>
          <w:color w:val="000000"/>
          <w:lang w:eastAsia="es-ES" w:bidi="es-ES"/>
        </w:rPr>
        <w:t xml:space="preserve">Lo anterior cobra especial relevancia si se tiene en cuenta que, en ausencia de una estipulación expresa, podría entenderse, en principio, que el valor adicionado queda sometido a la forma de pago prevista </w:t>
      </w:r>
      <w:r>
        <w:rPr>
          <w:rFonts w:ascii="Verdana" w:eastAsia="Arial" w:hAnsi="Verdana" w:cs="Arial"/>
          <w:color w:val="000000"/>
          <w:lang w:eastAsia="es-ES" w:bidi="es-ES"/>
        </w:rPr>
        <w:t>inicialmente</w:t>
      </w:r>
      <w:r w:rsidRPr="00BC2132">
        <w:rPr>
          <w:rFonts w:ascii="Verdana" w:eastAsia="Arial" w:hAnsi="Verdana" w:cs="Arial"/>
          <w:color w:val="000000"/>
          <w:lang w:eastAsia="es-ES" w:bidi="es-ES"/>
        </w:rPr>
        <w:t xml:space="preserve"> en el contrato. Por ello, una </w:t>
      </w:r>
      <w:r>
        <w:rPr>
          <w:rFonts w:ascii="Verdana" w:eastAsia="Arial" w:hAnsi="Verdana" w:cs="Arial"/>
          <w:color w:val="000000"/>
          <w:lang w:eastAsia="es-ES" w:bidi="es-ES"/>
        </w:rPr>
        <w:t>determinación</w:t>
      </w:r>
      <w:r w:rsidRPr="00BC2132">
        <w:rPr>
          <w:rFonts w:ascii="Verdana" w:eastAsia="Arial" w:hAnsi="Verdana" w:cs="Arial"/>
          <w:color w:val="000000"/>
          <w:lang w:eastAsia="es-ES" w:bidi="es-ES"/>
        </w:rPr>
        <w:t xml:space="preserve"> clara y detallada de estos aspectos contribuye a la correcta ejecución del contrato.</w:t>
      </w:r>
      <w:r>
        <w:rPr>
          <w:rFonts w:ascii="Verdana" w:eastAsia="Arial" w:hAnsi="Verdana" w:cs="Arial"/>
          <w:color w:val="000000"/>
          <w:lang w:eastAsia="es-ES" w:bidi="es-ES"/>
        </w:rPr>
        <w:t xml:space="preserve"> En esta línea, se precisa que </w:t>
      </w:r>
      <w:r w:rsidRPr="00112D1B">
        <w:rPr>
          <w:rFonts w:ascii="Verdana" w:eastAsia="Arial" w:hAnsi="Verdana" w:cs="Arial"/>
          <w:color w:val="000000"/>
          <w:lang w:eastAsia="es-ES" w:bidi="es-ES"/>
        </w:rPr>
        <w:t xml:space="preserve">la </w:t>
      </w:r>
      <w:r w:rsidRPr="00112D1B">
        <w:rPr>
          <w:rFonts w:ascii="Verdana" w:eastAsia="Arial" w:hAnsi="Verdana" w:cs="Arial"/>
          <w:color w:val="000000"/>
          <w:lang w:eastAsia="es-ES" w:bidi="es-ES"/>
        </w:rPr>
        <w:lastRenderedPageBreak/>
        <w:t>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p w14:paraId="3B9B6CC1" w14:textId="77777777" w:rsidR="002C480E" w:rsidRPr="00112D1B" w:rsidRDefault="002C480E" w:rsidP="002C480E">
      <w:pPr>
        <w:spacing w:after="120" w:line="276" w:lineRule="auto"/>
        <w:ind w:firstLine="709"/>
        <w:jc w:val="both"/>
        <w:rPr>
          <w:rFonts w:ascii="Verdana" w:eastAsia="Arial" w:hAnsi="Verdana" w:cs="Arial"/>
          <w:color w:val="000000"/>
          <w:lang w:eastAsia="es-ES" w:bidi="es-ES"/>
        </w:rPr>
      </w:pPr>
    </w:p>
    <w:p w14:paraId="54A7EE18" w14:textId="77777777" w:rsidR="002C480E" w:rsidRPr="00B31C7B" w:rsidRDefault="002C480E" w:rsidP="002C480E">
      <w:pPr>
        <w:numPr>
          <w:ilvl w:val="0"/>
          <w:numId w:val="19"/>
        </w:numPr>
        <w:spacing w:after="0" w:line="256" w:lineRule="auto"/>
        <w:rPr>
          <w:rFonts w:ascii="Verdana" w:eastAsia="Calibri" w:hAnsi="Verdana" w:cs="Times New Roman"/>
          <w:b/>
          <w:bCs/>
          <w:lang w:val="es-ES"/>
        </w:rPr>
      </w:pPr>
      <w:r w:rsidRPr="00B31C7B">
        <w:rPr>
          <w:rFonts w:ascii="Verdana" w:eastAsia="Calibri" w:hAnsi="Verdana" w:cs="Times New Roman"/>
          <w:b/>
          <w:bCs/>
          <w:lang w:val="es-ES"/>
        </w:rPr>
        <w:t>Referencias normativas:</w:t>
      </w:r>
    </w:p>
    <w:p w14:paraId="49660195" w14:textId="77777777" w:rsidR="002C480E" w:rsidRPr="00B31C7B" w:rsidRDefault="002C480E" w:rsidP="002C480E">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480E" w:rsidRPr="00B31C7B" w14:paraId="7D1A9024" w14:textId="77777777" w:rsidTr="00FB2425">
        <w:trPr>
          <w:trHeight w:val="870"/>
          <w:jc w:val="center"/>
        </w:trPr>
        <w:tc>
          <w:tcPr>
            <w:tcW w:w="8647" w:type="dxa"/>
          </w:tcPr>
          <w:p w14:paraId="69579C6D" w14:textId="77777777" w:rsidR="002C480E" w:rsidRPr="00B31C7B" w:rsidRDefault="002C480E" w:rsidP="002C480E">
            <w:pPr>
              <w:widowControl w:val="0"/>
              <w:numPr>
                <w:ilvl w:val="0"/>
                <w:numId w:val="20"/>
              </w:numPr>
              <w:autoSpaceDE w:val="0"/>
              <w:autoSpaceDN w:val="0"/>
              <w:spacing w:before="120"/>
              <w:ind w:left="714" w:hanging="357"/>
              <w:jc w:val="both"/>
              <w:rPr>
                <w:rFonts w:ascii="Verdana" w:hAnsi="Verdana" w:cs="Arial"/>
                <w:color w:val="000000" w:themeColor="text1"/>
                <w:lang w:val="es-ES"/>
              </w:rPr>
            </w:pPr>
            <w:r w:rsidRPr="00B31C7B">
              <w:rPr>
                <w:rFonts w:ascii="Verdana" w:hAnsi="Verdana" w:cs="Arial"/>
                <w:color w:val="000000" w:themeColor="text1"/>
                <w:lang w:val="es-ES"/>
              </w:rPr>
              <w:t>Le</w:t>
            </w:r>
            <w:r>
              <w:rPr>
                <w:rFonts w:ascii="Verdana" w:hAnsi="Verdana" w:cs="Arial"/>
                <w:color w:val="000000" w:themeColor="text1"/>
                <w:lang w:val="es-ES"/>
              </w:rPr>
              <w:t>y 80 de 1993, artículos 11, 12</w:t>
            </w:r>
            <w:r w:rsidRPr="00B31C7B">
              <w:rPr>
                <w:rFonts w:ascii="Verdana" w:hAnsi="Verdana" w:cs="Arial"/>
                <w:color w:val="000000" w:themeColor="text1"/>
                <w:lang w:val="es-ES"/>
              </w:rPr>
              <w:t>, 25 y 40</w:t>
            </w:r>
          </w:p>
          <w:p w14:paraId="6118DFA2" w14:textId="77777777" w:rsidR="002C480E" w:rsidRDefault="002C480E" w:rsidP="002C480E">
            <w:pPr>
              <w:widowControl w:val="0"/>
              <w:numPr>
                <w:ilvl w:val="0"/>
                <w:numId w:val="20"/>
              </w:numPr>
              <w:autoSpaceDE w:val="0"/>
              <w:autoSpaceDN w:val="0"/>
              <w:spacing w:before="120"/>
              <w:ind w:left="714" w:hanging="357"/>
              <w:jc w:val="both"/>
              <w:rPr>
                <w:rFonts w:ascii="Verdana" w:hAnsi="Verdana" w:cs="Arial"/>
                <w:color w:val="000000" w:themeColor="text1"/>
                <w:lang w:val="es-ES"/>
              </w:rPr>
            </w:pPr>
            <w:r>
              <w:rPr>
                <w:rFonts w:ascii="Verdana" w:hAnsi="Verdana" w:cs="Arial"/>
                <w:color w:val="000000" w:themeColor="text1"/>
                <w:lang w:val="es-ES"/>
              </w:rPr>
              <w:t xml:space="preserve">Ley 1474 de 2011, artículo 91 </w:t>
            </w:r>
          </w:p>
          <w:p w14:paraId="1248221F" w14:textId="77777777" w:rsidR="002C480E" w:rsidRDefault="002C480E" w:rsidP="002C480E">
            <w:pPr>
              <w:widowControl w:val="0"/>
              <w:numPr>
                <w:ilvl w:val="0"/>
                <w:numId w:val="20"/>
              </w:numPr>
              <w:autoSpaceDE w:val="0"/>
              <w:autoSpaceDN w:val="0"/>
              <w:spacing w:before="120"/>
              <w:ind w:left="714" w:hanging="357"/>
              <w:jc w:val="both"/>
              <w:rPr>
                <w:rFonts w:ascii="Verdana" w:hAnsi="Verdana" w:cs="Arial"/>
                <w:color w:val="000000" w:themeColor="text1"/>
                <w:lang w:val="es-ES"/>
              </w:rPr>
            </w:pPr>
            <w:r w:rsidRPr="001B1F6D">
              <w:rPr>
                <w:rFonts w:ascii="Verdana" w:hAnsi="Verdana" w:cs="Arial"/>
                <w:color w:val="000000" w:themeColor="text1"/>
                <w:lang w:val="es-ES"/>
              </w:rPr>
              <w:t>CONSEJO DE ESTADO. Sala de Consulta y Servicio Civil. C.P.: Óscar Daría Amaya Navas. Concepto del 6 de junio de 2018. Radicación número: 2369.</w:t>
            </w:r>
          </w:p>
          <w:p w14:paraId="7451B1B0" w14:textId="77777777" w:rsidR="002C480E" w:rsidRPr="001B1F6D" w:rsidRDefault="002C480E" w:rsidP="002C480E">
            <w:pPr>
              <w:widowControl w:val="0"/>
              <w:numPr>
                <w:ilvl w:val="0"/>
                <w:numId w:val="20"/>
              </w:numPr>
              <w:autoSpaceDE w:val="0"/>
              <w:autoSpaceDN w:val="0"/>
              <w:spacing w:before="120"/>
              <w:ind w:left="714" w:hanging="357"/>
              <w:jc w:val="both"/>
              <w:rPr>
                <w:rFonts w:ascii="Verdana" w:hAnsi="Verdana" w:cs="Arial"/>
                <w:color w:val="000000" w:themeColor="text1"/>
                <w:lang w:val="es-ES"/>
              </w:rPr>
            </w:pPr>
            <w:r w:rsidRPr="001B1F6D">
              <w:rPr>
                <w:rFonts w:ascii="Verdana" w:hAnsi="Verdana" w:cs="Arial"/>
                <w:color w:val="000000" w:themeColor="text1"/>
              </w:rPr>
              <w:t xml:space="preserve">CONSEJO DE ESTADO, Sección Tercera, Subsección A, Sentencia del 22 de agosto de 2023. </w:t>
            </w:r>
            <w:proofErr w:type="spellStart"/>
            <w:r w:rsidRPr="001B1F6D">
              <w:rPr>
                <w:rFonts w:ascii="Verdana" w:hAnsi="Verdana" w:cs="Arial"/>
                <w:color w:val="000000" w:themeColor="text1"/>
              </w:rPr>
              <w:t>Exp</w:t>
            </w:r>
            <w:proofErr w:type="spellEnd"/>
            <w:r w:rsidRPr="001B1F6D">
              <w:rPr>
                <w:rFonts w:ascii="Verdana" w:hAnsi="Verdana" w:cs="Arial"/>
                <w:color w:val="000000" w:themeColor="text1"/>
              </w:rPr>
              <w:t xml:space="preserve">. No. 58634. Consejero ponente: María Adriana Marín; Subsección C. Sentencia del 19 de septiembre de 2022. </w:t>
            </w:r>
            <w:proofErr w:type="spellStart"/>
            <w:r w:rsidRPr="001B1F6D">
              <w:rPr>
                <w:rFonts w:ascii="Verdana" w:hAnsi="Verdana" w:cs="Arial"/>
                <w:color w:val="000000" w:themeColor="text1"/>
              </w:rPr>
              <w:t>Exp</w:t>
            </w:r>
            <w:proofErr w:type="spellEnd"/>
            <w:r w:rsidRPr="001B1F6D">
              <w:rPr>
                <w:rFonts w:ascii="Verdana" w:hAnsi="Verdana" w:cs="Arial"/>
                <w:color w:val="000000" w:themeColor="text1"/>
              </w:rPr>
              <w:t xml:space="preserve">. No. 54714. Consejero ponente: Jaime Enrique Rodríguez Navas; Subsección C, Sentencia del 24 de abril de 2024. </w:t>
            </w:r>
            <w:proofErr w:type="spellStart"/>
            <w:r w:rsidRPr="001B1F6D">
              <w:rPr>
                <w:rFonts w:ascii="Verdana" w:hAnsi="Verdana" w:cs="Arial"/>
                <w:color w:val="000000" w:themeColor="text1"/>
              </w:rPr>
              <w:t>Exp</w:t>
            </w:r>
            <w:proofErr w:type="spellEnd"/>
            <w:r w:rsidRPr="001B1F6D">
              <w:rPr>
                <w:rFonts w:ascii="Verdana" w:hAnsi="Verdana" w:cs="Arial"/>
                <w:color w:val="000000" w:themeColor="text1"/>
              </w:rPr>
              <w:t>. No. 67095. Consejero ponente: Nicolás Yepes Corrales.</w:t>
            </w:r>
          </w:p>
        </w:tc>
      </w:tr>
    </w:tbl>
    <w:p w14:paraId="7F18A1CC" w14:textId="77777777" w:rsidR="002C480E" w:rsidRPr="00801B1E" w:rsidRDefault="002C480E" w:rsidP="002C480E">
      <w:pPr>
        <w:spacing w:after="0" w:line="276" w:lineRule="auto"/>
        <w:ind w:right="709"/>
        <w:jc w:val="both"/>
        <w:rPr>
          <w:rFonts w:ascii="Verdana" w:hAnsi="Verdana" w:cs="Arial"/>
          <w:color w:val="000000" w:themeColor="text1"/>
          <w:lang w:val="es-ES_tradnl"/>
        </w:rPr>
      </w:pPr>
    </w:p>
    <w:p w14:paraId="6F03FE86" w14:textId="77777777" w:rsidR="002C480E" w:rsidRPr="00801B1E" w:rsidRDefault="002C480E" w:rsidP="002C480E">
      <w:pPr>
        <w:numPr>
          <w:ilvl w:val="0"/>
          <w:numId w:val="19"/>
        </w:numPr>
        <w:spacing w:after="0" w:line="276" w:lineRule="auto"/>
        <w:rPr>
          <w:rFonts w:ascii="Verdana" w:eastAsia="Calibri" w:hAnsi="Verdana" w:cs="Times New Roman"/>
          <w:b/>
          <w:bCs/>
          <w:lang w:val="es-ES"/>
        </w:rPr>
      </w:pPr>
      <w:r w:rsidRPr="00801B1E">
        <w:rPr>
          <w:rFonts w:ascii="Verdana" w:eastAsia="Calibri" w:hAnsi="Verdana" w:cs="Times New Roman"/>
          <w:b/>
          <w:bCs/>
          <w:lang w:val="es-ES"/>
        </w:rPr>
        <w:t>Doctrina de la Agencia Nacional de Contratación Pública:</w:t>
      </w:r>
    </w:p>
    <w:p w14:paraId="07485EC8" w14:textId="77777777" w:rsidR="002C480E" w:rsidRPr="00801B1E" w:rsidRDefault="002C480E" w:rsidP="002C480E">
      <w:pPr>
        <w:widowControl w:val="0"/>
        <w:autoSpaceDE w:val="0"/>
        <w:autoSpaceDN w:val="0"/>
        <w:spacing w:after="0" w:line="276" w:lineRule="auto"/>
        <w:jc w:val="both"/>
        <w:rPr>
          <w:rFonts w:ascii="Verdana" w:hAnsi="Verdana" w:cs="Arial"/>
          <w:bCs/>
          <w:shd w:val="clear" w:color="auto" w:fill="FFFFFF"/>
        </w:rPr>
      </w:pPr>
    </w:p>
    <w:p w14:paraId="7E68DB1F" w14:textId="77777777" w:rsidR="002C480E" w:rsidRPr="00801B1E" w:rsidRDefault="002C480E" w:rsidP="002C480E">
      <w:pPr>
        <w:widowControl w:val="0"/>
        <w:autoSpaceDE w:val="0"/>
        <w:autoSpaceDN w:val="0"/>
        <w:spacing w:after="0" w:line="276" w:lineRule="auto"/>
        <w:jc w:val="both"/>
        <w:rPr>
          <w:rFonts w:ascii="Verdana" w:hAnsi="Verdana" w:cs="Arial"/>
          <w:bCs/>
          <w:shd w:val="clear" w:color="auto" w:fill="FFFFFF"/>
        </w:rPr>
      </w:pPr>
      <w:r w:rsidRPr="00801B1E">
        <w:rPr>
          <w:rFonts w:ascii="Verdana" w:hAnsi="Verdana" w:cs="Arial"/>
          <w:bCs/>
          <w:shd w:val="clear" w:color="auto" w:fill="FFFFFF"/>
        </w:rPr>
        <w:t xml:space="preserve">La Agencia Nacional de Contratación Pública – Colombia Compra Eficiente, se ha pronunciado en diferentes conceptos sobre las </w:t>
      </w:r>
      <w:r w:rsidRPr="00801B1E">
        <w:rPr>
          <w:rFonts w:ascii="Verdana" w:hAnsi="Verdana" w:cs="Arial"/>
          <w:bCs/>
          <w:shd w:val="clear" w:color="auto" w:fill="FFFFFF"/>
          <w:lang w:val="es-ES_tradnl"/>
        </w:rPr>
        <w:t>modificaciones y adiciones en los contratos estatales en los Conceptos Nro.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801B1E">
        <w:rPr>
          <w:rFonts w:ascii="Verdana" w:hAnsi="Verdana" w:cs="Arial"/>
          <w:bCs/>
          <w:shd w:val="clear" w:color="auto" w:fill="FFFFFF"/>
          <w:lang w:val="es-ES"/>
        </w:rPr>
        <w:t>, C-308 del 28 de abril de 2025,</w:t>
      </w:r>
      <w:r w:rsidRPr="00801B1E">
        <w:rPr>
          <w:rFonts w:ascii="Verdana" w:hAnsi="Verdana" w:cs="Arial"/>
          <w:bCs/>
          <w:shd w:val="clear" w:color="auto" w:fill="FFFFFF"/>
        </w:rPr>
        <w:t xml:space="preserve"> entre otros. En torno a los anticipos, Colombia Compra Eficiente ha expedido los siguientes Conceptos: C- C-796 de noviembre de 2022, C-825 de diciembre de 2022, C-842 de 2022 de diciembre 2022, C-109 de mayo 2023, C-455 de diciembre de 2023, C-471 de 2023, C-452 de 2023, C-396 de 2023, C-090 de 2024, C-188 del 31 de julio de 2024</w:t>
      </w:r>
      <w:r>
        <w:rPr>
          <w:rFonts w:ascii="Verdana" w:hAnsi="Verdana" w:cs="Arial"/>
          <w:bCs/>
          <w:shd w:val="clear" w:color="auto" w:fill="FFFFFF"/>
        </w:rPr>
        <w:t>, C-485 del 2025</w:t>
      </w:r>
      <w:r w:rsidRPr="00801B1E">
        <w:rPr>
          <w:rFonts w:ascii="Verdana" w:hAnsi="Verdana" w:cs="Arial"/>
          <w:bCs/>
          <w:shd w:val="clear" w:color="auto" w:fill="FFFFFF"/>
        </w:rPr>
        <w:t xml:space="preserve"> entre otros. </w:t>
      </w:r>
      <w:r w:rsidRPr="00801B1E">
        <w:rPr>
          <w:rFonts w:ascii="Verdana" w:eastAsia="Calibri" w:hAnsi="Verdana" w:cs="Times New Roman"/>
        </w:rPr>
        <w:t xml:space="preserve">Estos y otros conceptos se </w:t>
      </w:r>
      <w:r w:rsidRPr="00801B1E">
        <w:rPr>
          <w:rFonts w:ascii="Verdana" w:eastAsia="Calibri" w:hAnsi="Verdana" w:cs="Times New Roman"/>
        </w:rPr>
        <w:lastRenderedPageBreak/>
        <w:t>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7AB2482" w14:textId="77777777" w:rsidR="002C480E" w:rsidRPr="00801B1E" w:rsidRDefault="002C480E" w:rsidP="002C480E">
      <w:pPr>
        <w:spacing w:after="0" w:line="276" w:lineRule="auto"/>
        <w:jc w:val="both"/>
        <w:rPr>
          <w:rFonts w:ascii="Verdana" w:eastAsia="Calibri" w:hAnsi="Verdana" w:cs="Times New Roman"/>
        </w:rPr>
      </w:pPr>
      <w:hyperlink r:id="rId13" w:history="1">
        <w:r w:rsidRPr="00801B1E">
          <w:rPr>
            <w:rFonts w:ascii="Verdana" w:eastAsia="Calibri" w:hAnsi="Verdana" w:cs="Times New Roman"/>
            <w:color w:val="0000FF"/>
            <w:u w:val="single"/>
            <w:lang w:val="es-ES"/>
          </w:rPr>
          <w:t>https://relatoria.colombiacompra.gov.co/busqueda/conceptos</w:t>
        </w:r>
      </w:hyperlink>
      <w:r w:rsidRPr="00801B1E">
        <w:rPr>
          <w:rFonts w:ascii="Verdana" w:eastAsia="Calibri" w:hAnsi="Verdana" w:cs="Times New Roman"/>
        </w:rPr>
        <w:t xml:space="preserve">. </w:t>
      </w:r>
    </w:p>
    <w:p w14:paraId="1BA4469A" w14:textId="77777777" w:rsidR="002C480E" w:rsidRPr="00801B1E" w:rsidRDefault="002C480E" w:rsidP="002C480E">
      <w:pPr>
        <w:spacing w:after="0" w:line="276" w:lineRule="auto"/>
        <w:jc w:val="both"/>
        <w:rPr>
          <w:rFonts w:ascii="Verdana" w:eastAsia="Calibri" w:hAnsi="Verdana" w:cs="Times New Roman"/>
          <w:lang w:val="es-ES"/>
        </w:rPr>
      </w:pPr>
    </w:p>
    <w:p w14:paraId="08353E57" w14:textId="77777777" w:rsidR="002C480E" w:rsidRPr="00801B1E" w:rsidRDefault="002C480E" w:rsidP="002C480E">
      <w:pPr>
        <w:spacing w:after="0" w:line="276" w:lineRule="auto"/>
        <w:jc w:val="both"/>
        <w:rPr>
          <w:rFonts w:ascii="Verdana" w:hAnsi="Verdana"/>
        </w:rPr>
      </w:pPr>
      <w:r w:rsidRPr="00801B1E">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DA55283" w14:textId="77777777" w:rsidR="002C480E" w:rsidRPr="00801B1E" w:rsidRDefault="002C480E" w:rsidP="002C480E">
      <w:pPr>
        <w:spacing w:after="0" w:line="276" w:lineRule="auto"/>
        <w:jc w:val="both"/>
        <w:rPr>
          <w:rFonts w:ascii="Verdana" w:hAnsi="Verdana"/>
        </w:rPr>
      </w:pPr>
    </w:p>
    <w:p w14:paraId="4A5B73A9" w14:textId="77777777" w:rsidR="002C480E" w:rsidRPr="00801B1E" w:rsidRDefault="002C480E" w:rsidP="002C480E">
      <w:pPr>
        <w:numPr>
          <w:ilvl w:val="0"/>
          <w:numId w:val="15"/>
        </w:numPr>
        <w:spacing w:after="0" w:line="276" w:lineRule="auto"/>
        <w:jc w:val="both"/>
        <w:rPr>
          <w:rFonts w:ascii="Verdana" w:hAnsi="Verdana"/>
          <w:lang w:val="es-ES"/>
        </w:rPr>
      </w:pPr>
      <w:r w:rsidRPr="00801B1E">
        <w:rPr>
          <w:rFonts w:ascii="Verdana" w:hAnsi="Verdana"/>
          <w:lang w:val="es-ES"/>
        </w:rPr>
        <w:t>Línea nacional gratuita o servicio a la ciudadanía: 01800 0520808</w:t>
      </w:r>
    </w:p>
    <w:p w14:paraId="3170EED7" w14:textId="77777777" w:rsidR="002C480E" w:rsidRPr="00801B1E" w:rsidRDefault="002C480E" w:rsidP="002C480E">
      <w:pPr>
        <w:numPr>
          <w:ilvl w:val="0"/>
          <w:numId w:val="15"/>
        </w:numPr>
        <w:spacing w:after="0" w:line="276" w:lineRule="auto"/>
        <w:jc w:val="both"/>
        <w:rPr>
          <w:rFonts w:ascii="Verdana" w:hAnsi="Verdana"/>
          <w:lang w:val="es-ES"/>
        </w:rPr>
      </w:pPr>
      <w:r w:rsidRPr="00801B1E">
        <w:rPr>
          <w:rFonts w:ascii="Verdana" w:hAnsi="Verdana"/>
          <w:lang w:val="es-ES"/>
        </w:rPr>
        <w:t>Línea en Bogotá (Mesa de servicio): +57 601 7456788</w:t>
      </w:r>
    </w:p>
    <w:p w14:paraId="54877CC7" w14:textId="77777777" w:rsidR="002C480E" w:rsidRPr="00801B1E" w:rsidRDefault="002C480E" w:rsidP="002C480E">
      <w:pPr>
        <w:numPr>
          <w:ilvl w:val="0"/>
          <w:numId w:val="15"/>
        </w:numPr>
        <w:spacing w:after="0" w:line="276" w:lineRule="auto"/>
        <w:jc w:val="both"/>
        <w:rPr>
          <w:rFonts w:ascii="Verdana" w:hAnsi="Verdana"/>
          <w:lang w:val="es-ES"/>
        </w:rPr>
      </w:pPr>
      <w:r w:rsidRPr="00801B1E">
        <w:rPr>
          <w:rFonts w:ascii="Verdana" w:hAnsi="Verdana"/>
          <w:lang w:val="es-ES"/>
        </w:rPr>
        <w:t>Línea de servicio y atención al ciudadano: +57 601 7956600</w:t>
      </w:r>
    </w:p>
    <w:p w14:paraId="6CCAD3DA" w14:textId="77777777" w:rsidR="002C480E" w:rsidRPr="00801B1E" w:rsidRDefault="002C480E" w:rsidP="002C480E">
      <w:pPr>
        <w:numPr>
          <w:ilvl w:val="0"/>
          <w:numId w:val="15"/>
        </w:numPr>
        <w:spacing w:after="0" w:line="276" w:lineRule="auto"/>
        <w:jc w:val="both"/>
        <w:rPr>
          <w:rFonts w:ascii="Verdana" w:hAnsi="Verdana"/>
          <w:lang w:val="es-ES"/>
        </w:rPr>
      </w:pPr>
      <w:r w:rsidRPr="00801B1E">
        <w:rPr>
          <w:rFonts w:ascii="Verdana" w:hAnsi="Verdana"/>
          <w:lang w:val="es-ES"/>
        </w:rPr>
        <w:t xml:space="preserve">Página web: </w:t>
      </w:r>
      <w:hyperlink r:id="rId14" w:history="1">
        <w:r w:rsidRPr="00801B1E">
          <w:rPr>
            <w:rFonts w:ascii="Verdana" w:hAnsi="Verdana"/>
            <w:color w:val="0000FF"/>
            <w:u w:val="single"/>
            <w:lang w:val="es-ES"/>
          </w:rPr>
          <w:t>www.colombiacompra.gov.co</w:t>
        </w:r>
      </w:hyperlink>
    </w:p>
    <w:p w14:paraId="3C2E522C" w14:textId="77777777" w:rsidR="002C480E" w:rsidRPr="00801B1E" w:rsidRDefault="002C480E" w:rsidP="002C480E">
      <w:pPr>
        <w:spacing w:after="0" w:line="276" w:lineRule="auto"/>
        <w:ind w:left="785"/>
        <w:jc w:val="both"/>
        <w:rPr>
          <w:rFonts w:ascii="Verdana" w:hAnsi="Verdana"/>
          <w:lang w:val="es-ES"/>
        </w:rPr>
      </w:pPr>
    </w:p>
    <w:p w14:paraId="5813451D" w14:textId="77777777" w:rsidR="002C480E" w:rsidRPr="00801B1E" w:rsidRDefault="002C480E" w:rsidP="002C480E">
      <w:pPr>
        <w:spacing w:after="0" w:line="276" w:lineRule="auto"/>
        <w:jc w:val="both"/>
        <w:rPr>
          <w:rFonts w:ascii="Verdana" w:hAnsi="Verdana"/>
        </w:rPr>
      </w:pPr>
      <w:r w:rsidRPr="00801B1E">
        <w:rPr>
          <w:rFonts w:ascii="Verdana" w:hAnsi="Verdana"/>
        </w:rPr>
        <w:t xml:space="preserve">Por último, lo invitamos a seguirnos en las redes sociales en las cuales se difunde información institucional: </w:t>
      </w:r>
    </w:p>
    <w:p w14:paraId="764F4F49" w14:textId="77777777" w:rsidR="002C480E" w:rsidRPr="00801B1E" w:rsidRDefault="002C480E" w:rsidP="002C480E">
      <w:pPr>
        <w:spacing w:after="0" w:line="276" w:lineRule="auto"/>
        <w:jc w:val="both"/>
        <w:rPr>
          <w:rFonts w:ascii="Verdana" w:hAnsi="Verdana"/>
        </w:rPr>
      </w:pPr>
    </w:p>
    <w:p w14:paraId="5BA196FC" w14:textId="77777777" w:rsidR="002C480E" w:rsidRPr="00801B1E" w:rsidRDefault="002C480E" w:rsidP="002C480E">
      <w:pPr>
        <w:spacing w:after="0" w:line="276" w:lineRule="auto"/>
        <w:jc w:val="both"/>
        <w:rPr>
          <w:rFonts w:ascii="Verdana" w:hAnsi="Verdana"/>
        </w:rPr>
      </w:pPr>
      <w:r w:rsidRPr="00801B1E">
        <w:rPr>
          <w:rFonts w:ascii="Verdana" w:hAnsi="Verdana"/>
        </w:rPr>
        <w:t xml:space="preserve">Twitter: </w:t>
      </w:r>
      <w:r w:rsidRPr="00801B1E">
        <w:rPr>
          <w:rFonts w:ascii="Verdana" w:hAnsi="Verdana"/>
          <w:color w:val="0000FF"/>
          <w:u w:val="single"/>
        </w:rPr>
        <w:t>@colombiacompra</w:t>
      </w:r>
      <w:r w:rsidRPr="00801B1E">
        <w:rPr>
          <w:rFonts w:ascii="Verdana" w:hAnsi="Verdana"/>
        </w:rPr>
        <w:t xml:space="preserve"> </w:t>
      </w:r>
    </w:p>
    <w:p w14:paraId="612A17F0" w14:textId="77777777" w:rsidR="002C480E" w:rsidRPr="00801B1E" w:rsidRDefault="002C480E" w:rsidP="002C480E">
      <w:pPr>
        <w:spacing w:after="0" w:line="276" w:lineRule="auto"/>
        <w:jc w:val="both"/>
        <w:rPr>
          <w:rFonts w:ascii="Verdana" w:hAnsi="Verdana"/>
        </w:rPr>
      </w:pPr>
      <w:r w:rsidRPr="00801B1E">
        <w:rPr>
          <w:rFonts w:ascii="Verdana" w:hAnsi="Verdana"/>
        </w:rPr>
        <w:t xml:space="preserve">Facebook: </w:t>
      </w:r>
      <w:proofErr w:type="spellStart"/>
      <w:r w:rsidRPr="00801B1E">
        <w:rPr>
          <w:rFonts w:ascii="Verdana" w:hAnsi="Verdana"/>
          <w:color w:val="0000FF"/>
          <w:u w:val="single"/>
        </w:rPr>
        <w:t>ColombiaCompraEficiente</w:t>
      </w:r>
      <w:proofErr w:type="spellEnd"/>
    </w:p>
    <w:p w14:paraId="26E53C96" w14:textId="77777777" w:rsidR="002C480E" w:rsidRPr="00801B1E" w:rsidRDefault="002C480E" w:rsidP="002C480E">
      <w:pPr>
        <w:spacing w:after="0" w:line="276" w:lineRule="auto"/>
        <w:jc w:val="both"/>
        <w:rPr>
          <w:rFonts w:ascii="Verdana" w:hAnsi="Verdana"/>
        </w:rPr>
      </w:pPr>
      <w:r w:rsidRPr="00801B1E">
        <w:rPr>
          <w:rFonts w:ascii="Verdana" w:hAnsi="Verdana"/>
        </w:rPr>
        <w:t xml:space="preserve">LinkedIn: </w:t>
      </w:r>
      <w:r w:rsidRPr="00801B1E">
        <w:rPr>
          <w:rFonts w:ascii="Verdana" w:hAnsi="Verdana"/>
          <w:color w:val="0000FF"/>
          <w:u w:val="single"/>
        </w:rPr>
        <w:t>Agencia Nacional de Contratación Pública - Colombia Compra Eficiente</w:t>
      </w:r>
      <w:r w:rsidRPr="00801B1E">
        <w:rPr>
          <w:rFonts w:ascii="Verdana" w:hAnsi="Verdana"/>
        </w:rPr>
        <w:t xml:space="preserve"> Instagram: </w:t>
      </w:r>
      <w:r w:rsidRPr="00801B1E">
        <w:rPr>
          <w:rFonts w:ascii="Verdana" w:hAnsi="Verdana"/>
          <w:color w:val="0000FF"/>
          <w:u w:val="single"/>
        </w:rPr>
        <w:t>@colombiacompraeficiente_cce</w:t>
      </w:r>
    </w:p>
    <w:p w14:paraId="43521DA2" w14:textId="77777777" w:rsidR="002C480E" w:rsidRPr="00801B1E" w:rsidRDefault="002C480E" w:rsidP="002C480E">
      <w:pPr>
        <w:spacing w:after="0" w:line="276" w:lineRule="auto"/>
        <w:jc w:val="both"/>
        <w:rPr>
          <w:rFonts w:ascii="Verdana" w:hAnsi="Verdana"/>
        </w:rPr>
      </w:pPr>
    </w:p>
    <w:p w14:paraId="4047B335" w14:textId="77777777" w:rsidR="002C480E" w:rsidRPr="00801B1E" w:rsidRDefault="002C480E" w:rsidP="002C480E">
      <w:pPr>
        <w:spacing w:after="0" w:line="276" w:lineRule="auto"/>
        <w:jc w:val="both"/>
        <w:rPr>
          <w:rFonts w:ascii="Verdana" w:eastAsia="Calibri" w:hAnsi="Verdana" w:cs="Times New Roman"/>
          <w:bCs/>
          <w:lang w:val="es-ES_tradnl"/>
        </w:rPr>
      </w:pPr>
      <w:r w:rsidRPr="00801B1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9B2CC8D" w14:textId="77777777" w:rsidR="002C480E" w:rsidRPr="00801B1E" w:rsidRDefault="002C480E" w:rsidP="002C480E">
      <w:pPr>
        <w:spacing w:after="0" w:line="276" w:lineRule="auto"/>
        <w:jc w:val="both"/>
        <w:rPr>
          <w:rFonts w:ascii="Verdana" w:eastAsia="Calibri" w:hAnsi="Verdana" w:cs="Times New Roman"/>
        </w:rPr>
      </w:pPr>
    </w:p>
    <w:p w14:paraId="7B5DFDF5" w14:textId="77777777" w:rsidR="002C480E" w:rsidRDefault="002C480E" w:rsidP="002C480E">
      <w:pPr>
        <w:spacing w:after="0" w:line="276" w:lineRule="auto"/>
        <w:jc w:val="both"/>
        <w:rPr>
          <w:rFonts w:ascii="Verdana" w:eastAsia="Calibri" w:hAnsi="Verdana" w:cs="Times New Roman"/>
        </w:rPr>
      </w:pPr>
      <w:r w:rsidRPr="00801B1E">
        <w:rPr>
          <w:rFonts w:ascii="Verdana" w:eastAsia="Calibri" w:hAnsi="Verdana" w:cs="Times New Roman"/>
        </w:rPr>
        <w:t>Atentamente,</w:t>
      </w:r>
    </w:p>
    <w:p w14:paraId="5FE49DCF" w14:textId="77777777" w:rsidR="002C480E" w:rsidRPr="00827F85" w:rsidRDefault="002C480E" w:rsidP="002C480E">
      <w:pPr>
        <w:spacing w:after="0" w:line="276" w:lineRule="auto"/>
        <w:jc w:val="both"/>
        <w:rPr>
          <w:rFonts w:ascii="Verdana" w:eastAsia="Calibri" w:hAnsi="Verdana" w:cs="Times New Roman"/>
        </w:rPr>
      </w:pPr>
    </w:p>
    <w:p w14:paraId="6086E723" w14:textId="53E19F00" w:rsidR="002C480E" w:rsidRPr="00A27102" w:rsidRDefault="00674BA2" w:rsidP="002C480E">
      <w:pPr>
        <w:spacing w:line="276" w:lineRule="auto"/>
        <w:jc w:val="center"/>
        <w:rPr>
          <w:rFonts w:ascii="Verdana" w:hAnsi="Verdana" w:cs="Arial"/>
          <w:color w:val="000000"/>
          <w:lang w:val="es-ES_tradnl" w:eastAsia="es-CO"/>
        </w:rPr>
      </w:pPr>
      <w:r>
        <w:rPr>
          <w:noProof/>
        </w:rPr>
        <w:lastRenderedPageBreak/>
        <w:drawing>
          <wp:inline distT="0" distB="0" distL="0" distR="0" wp14:anchorId="119DA0D0" wp14:editId="672F0EE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480E" w:rsidRPr="00A27102" w14:paraId="5C89AC6F" w14:textId="77777777" w:rsidTr="00FB2425">
        <w:trPr>
          <w:trHeight w:val="315"/>
        </w:trPr>
        <w:tc>
          <w:tcPr>
            <w:tcW w:w="893" w:type="dxa"/>
            <w:vAlign w:val="center"/>
            <w:hideMark/>
          </w:tcPr>
          <w:p w14:paraId="325E1ADC" w14:textId="77777777" w:rsidR="002C480E" w:rsidRPr="00A27102" w:rsidRDefault="002C480E"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392809" w14:textId="77777777" w:rsidR="002C480E" w:rsidRPr="00A27102" w:rsidRDefault="002C480E" w:rsidP="00FB2425">
            <w:pPr>
              <w:contextualSpacing/>
              <w:rPr>
                <w:rFonts w:ascii="Verdana" w:hAnsi="Verdana"/>
                <w:sz w:val="16"/>
                <w:szCs w:val="16"/>
              </w:rPr>
            </w:pPr>
            <w:r w:rsidRPr="00A27102">
              <w:rPr>
                <w:rFonts w:ascii="Verdana" w:hAnsi="Verdana"/>
                <w:sz w:val="16"/>
                <w:szCs w:val="16"/>
              </w:rPr>
              <w:t>Tatiana Baquero Iguarán</w:t>
            </w:r>
          </w:p>
          <w:p w14:paraId="2EC1D15D" w14:textId="77777777" w:rsidR="002C480E" w:rsidRPr="00A27102" w:rsidRDefault="002C480E" w:rsidP="00FB242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2C480E" w:rsidRPr="00A27102" w14:paraId="33CA5D24" w14:textId="77777777" w:rsidTr="00FB2425">
        <w:trPr>
          <w:trHeight w:val="330"/>
        </w:trPr>
        <w:tc>
          <w:tcPr>
            <w:tcW w:w="893" w:type="dxa"/>
            <w:vAlign w:val="center"/>
            <w:hideMark/>
          </w:tcPr>
          <w:p w14:paraId="28A8FB63" w14:textId="77777777" w:rsidR="002C480E" w:rsidRPr="00A27102" w:rsidRDefault="002C480E"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C0CF5E" w14:textId="77777777" w:rsidR="002C480E" w:rsidRPr="00A27102" w:rsidRDefault="002C480E" w:rsidP="00FB242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00E03127" w14:textId="77777777" w:rsidR="002C480E" w:rsidRPr="00A27102" w:rsidRDefault="002C480E" w:rsidP="00FB242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2C480E" w:rsidRPr="00A27102" w14:paraId="5E405891" w14:textId="77777777" w:rsidTr="00FB2425">
        <w:trPr>
          <w:trHeight w:val="300"/>
        </w:trPr>
        <w:tc>
          <w:tcPr>
            <w:tcW w:w="893" w:type="dxa"/>
            <w:vAlign w:val="center"/>
          </w:tcPr>
          <w:p w14:paraId="7563FBDA" w14:textId="77777777" w:rsidR="002C480E" w:rsidRPr="00A27102" w:rsidRDefault="002C480E"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C1D45E" w14:textId="77777777" w:rsidR="002C480E" w:rsidRPr="00A27102" w:rsidRDefault="002C480E" w:rsidP="00FB242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01FCE741" w14:textId="77777777" w:rsidR="002C480E" w:rsidRPr="00A27102" w:rsidRDefault="002C480E" w:rsidP="00FB242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6592961B" w14:textId="77777777" w:rsidR="002C480E" w:rsidRPr="00A27102" w:rsidRDefault="002C480E" w:rsidP="002C480E"/>
    <w:p w14:paraId="43957C13" w14:textId="77777777" w:rsidR="002C480E" w:rsidRPr="00F71204" w:rsidRDefault="002C480E" w:rsidP="002C480E"/>
    <w:p w14:paraId="58C5BED1" w14:textId="77777777" w:rsidR="002C480E" w:rsidRPr="006B06DC" w:rsidRDefault="002C480E" w:rsidP="002C480E"/>
    <w:bookmarkEnd w:id="0"/>
    <w:p w14:paraId="14E02A5F" w14:textId="77777777" w:rsidR="00827F85" w:rsidRPr="002C66A0" w:rsidRDefault="00827F85" w:rsidP="002C66A0">
      <w:pPr>
        <w:spacing w:after="0" w:line="240" w:lineRule="auto"/>
        <w:jc w:val="both"/>
        <w:rPr>
          <w:rFonts w:ascii="Verdana" w:hAnsi="Verdana"/>
          <w:sz w:val="20"/>
          <w:szCs w:val="20"/>
        </w:rPr>
      </w:pPr>
    </w:p>
    <w:sectPr w:rsidR="00827F85" w:rsidRPr="002C66A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CAB61" w14:textId="77777777" w:rsidR="00E06768" w:rsidRDefault="00E06768" w:rsidP="004A1847">
      <w:pPr>
        <w:spacing w:after="0" w:line="240" w:lineRule="auto"/>
      </w:pPr>
      <w:r>
        <w:separator/>
      </w:r>
    </w:p>
  </w:endnote>
  <w:endnote w:type="continuationSeparator" w:id="0">
    <w:p w14:paraId="19A6304D" w14:textId="77777777" w:rsidR="00E06768" w:rsidRDefault="00E06768" w:rsidP="004A1847">
      <w:pPr>
        <w:spacing w:after="0" w:line="240" w:lineRule="auto"/>
      </w:pPr>
      <w:r>
        <w:continuationSeparator/>
      </w:r>
    </w:p>
  </w:endnote>
  <w:endnote w:type="continuationNotice" w:id="1">
    <w:p w14:paraId="3016EFC3" w14:textId="77777777" w:rsidR="00E06768" w:rsidRDefault="00E067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00023" w:rsidRDefault="00300023">
    <w:pPr>
      <w:pStyle w:val="Piedepgina"/>
    </w:pPr>
  </w:p>
  <w:p w14:paraId="594D6D9F" w14:textId="31BCEEF7" w:rsidR="00300023" w:rsidRPr="00174B77" w:rsidRDefault="0030002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571932">
      <w:rPr>
        <w:rFonts w:ascii="Verdana" w:eastAsia="Times New Roman" w:hAnsi="Verdana" w:cs="Times New Roman"/>
        <w:b/>
        <w:bCs/>
        <w:sz w:val="16"/>
        <w:szCs w:val="16"/>
        <w:lang w:val="es-ES"/>
      </w:rPr>
      <w:t xml:space="preserve">pág. </w:t>
    </w:r>
    <w:r w:rsidRPr="0057193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571932">
      <w:rPr>
        <w:rFonts w:ascii="Verdana" w:eastAsia="Times New Roman" w:hAnsi="Verdana"/>
        <w:b/>
        <w:bCs/>
        <w:sz w:val="16"/>
        <w:szCs w:val="16"/>
      </w:rPr>
      <w:fldChar w:fldCharType="separate"/>
    </w:r>
    <w:r w:rsidR="00827F85" w:rsidRPr="00827F85">
      <w:rPr>
        <w:rFonts w:ascii="Verdana" w:eastAsia="Times New Roman" w:hAnsi="Verdana"/>
        <w:b/>
        <w:bCs/>
        <w:noProof/>
        <w:sz w:val="16"/>
        <w:szCs w:val="16"/>
      </w:rPr>
      <w:t>18</w:t>
    </w:r>
    <w:r w:rsidRPr="0057193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00023" w:rsidRDefault="0030002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00023" w:rsidRPr="00E41027" w:rsidRDefault="00300023"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9A6402" w:rsidRDefault="009A6402">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51C9D" w14:textId="77777777" w:rsidR="00E06768" w:rsidRDefault="00E06768" w:rsidP="004A1847">
      <w:pPr>
        <w:spacing w:after="0" w:line="240" w:lineRule="auto"/>
      </w:pPr>
      <w:r>
        <w:separator/>
      </w:r>
    </w:p>
  </w:footnote>
  <w:footnote w:type="continuationSeparator" w:id="0">
    <w:p w14:paraId="5E794658" w14:textId="77777777" w:rsidR="00E06768" w:rsidRDefault="00E06768" w:rsidP="004A1847">
      <w:pPr>
        <w:spacing w:after="0" w:line="240" w:lineRule="auto"/>
      </w:pPr>
      <w:r>
        <w:continuationSeparator/>
      </w:r>
    </w:p>
  </w:footnote>
  <w:footnote w:type="continuationNotice" w:id="1">
    <w:p w14:paraId="4391D2B4" w14:textId="77777777" w:rsidR="00E06768" w:rsidRDefault="00E06768">
      <w:pPr>
        <w:spacing w:after="0" w:line="240" w:lineRule="auto"/>
      </w:pPr>
    </w:p>
  </w:footnote>
  <w:footnote w:id="2">
    <w:p w14:paraId="30F4B584" w14:textId="77777777" w:rsidR="002C480E" w:rsidRPr="00827F85" w:rsidRDefault="002C480E" w:rsidP="002C480E">
      <w:pPr>
        <w:pStyle w:val="Textonotapie"/>
        <w:ind w:firstLine="709"/>
        <w:jc w:val="both"/>
        <w:rPr>
          <w:rFonts w:ascii="Verdana" w:hAnsi="Verdana"/>
          <w:color w:val="000000" w:themeColor="text1"/>
          <w:sz w:val="15"/>
          <w:szCs w:val="15"/>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Sala de lo Contencioso Administrativo. Sección Tercera – Subsección A. Sentencia del 16 de mayo de 2019. Rad. (40102). C.P: María Adriana Marín [cita No. 35]. </w:t>
      </w:r>
    </w:p>
  </w:footnote>
  <w:footnote w:id="3">
    <w:p w14:paraId="36E45143" w14:textId="77777777" w:rsidR="002C480E" w:rsidRPr="00827F85" w:rsidRDefault="002C480E" w:rsidP="002C480E">
      <w:pPr>
        <w:pStyle w:val="Textonotapie"/>
        <w:ind w:firstLine="709"/>
        <w:jc w:val="both"/>
        <w:rPr>
          <w:rFonts w:ascii="Verdana" w:hAnsi="Verdana"/>
          <w:color w:val="000000" w:themeColor="text1"/>
          <w:sz w:val="15"/>
          <w:szCs w:val="15"/>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CONSEJO DE ESTADO. Sala de lo Contencioso Administrativo. Sección Tercera – Subsección A. Sentencia del 16 de mayo de 2019. Rad. (40102). C.P: María Adriana Marín</w:t>
      </w:r>
    </w:p>
  </w:footnote>
  <w:footnote w:id="4">
    <w:p w14:paraId="700E35AD"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CONSEJO DE ESTADO. Sala de lo Contencioso Administrativo. Sección Tercera – Subsección C. Sentencia del 2 de octubre del 2020. Rad. 63644. CP. Jaime Enrique Rodríguez Nava. </w:t>
      </w:r>
    </w:p>
  </w:footnote>
  <w:footnote w:id="5">
    <w:p w14:paraId="6C2E32D8" w14:textId="77777777" w:rsidR="002C480E" w:rsidRPr="00827F85" w:rsidRDefault="002C480E" w:rsidP="002C480E">
      <w:pPr>
        <w:pStyle w:val="Textonotapie"/>
        <w:ind w:firstLine="709"/>
        <w:rPr>
          <w:rFonts w:ascii="Verdana" w:hAnsi="Verdana"/>
          <w:color w:val="000000" w:themeColor="text1"/>
          <w:sz w:val="15"/>
          <w:szCs w:val="15"/>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CONSEJO DE ESTADO. Sección Tercera. Sentencia de 22 de junio de 2001. Exp. 13436, C.P. Ricardo Hoyos Duque</w:t>
      </w:r>
    </w:p>
  </w:footnote>
  <w:footnote w:id="6">
    <w:p w14:paraId="43617231" w14:textId="77777777" w:rsidR="002C480E" w:rsidRPr="00827F85" w:rsidRDefault="002C480E" w:rsidP="002C480E">
      <w:pPr>
        <w:pStyle w:val="Textonotapie"/>
        <w:ind w:firstLine="709"/>
        <w:jc w:val="both"/>
        <w:rPr>
          <w:rFonts w:ascii="Verdana" w:hAnsi="Verdana"/>
          <w:color w:val="000000" w:themeColor="text1"/>
          <w:sz w:val="15"/>
          <w:szCs w:val="15"/>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827F85">
        <w:rPr>
          <w:rFonts w:ascii="Verdana" w:eastAsia="Calibri" w:hAnsi="Verdana"/>
          <w:color w:val="000000" w:themeColor="text1"/>
          <w:sz w:val="15"/>
          <w:szCs w:val="15"/>
        </w:rPr>
        <w:t>” (</w:t>
      </w:r>
      <w:r w:rsidRPr="00827F85">
        <w:rPr>
          <w:rFonts w:ascii="Verdana" w:hAnsi="Verdana"/>
          <w:color w:val="000000" w:themeColor="text1"/>
          <w:sz w:val="15"/>
          <w:szCs w:val="15"/>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827F85">
        <w:rPr>
          <w:rFonts w:ascii="Verdana" w:eastAsia="Calibri" w:hAnsi="Verdana"/>
          <w:color w:val="000000" w:themeColor="text1"/>
          <w:sz w:val="15"/>
          <w:szCs w:val="15"/>
        </w:rPr>
        <w:t>”</w:t>
      </w:r>
      <w:r w:rsidRPr="00827F85">
        <w:rPr>
          <w:rFonts w:ascii="Verdana" w:hAnsi="Verdana"/>
          <w:color w:val="000000" w:themeColor="text1"/>
          <w:sz w:val="15"/>
          <w:szCs w:val="15"/>
        </w:rPr>
        <w:t xml:space="preserve"> (MATALLANA CAMACHO, Ernesto. Manual de Contratación de la Administración Pública. Reforma de la Ley 80 de 1993. Bogotá: Universidad Externado de Colombia, 4 ed., 2015, p. 921 y ss).</w:t>
      </w:r>
    </w:p>
  </w:footnote>
  <w:footnote w:id="7">
    <w:p w14:paraId="0C66A708" w14:textId="77777777" w:rsidR="002C480E" w:rsidRPr="00827F85" w:rsidRDefault="002C480E" w:rsidP="002C480E">
      <w:pPr>
        <w:spacing w:line="240" w:lineRule="auto"/>
        <w:ind w:firstLine="709"/>
        <w:rPr>
          <w:rFonts w:ascii="Verdana" w:eastAsia="Calibri" w:hAnsi="Verdana" w:cs="Calibri"/>
          <w:color w:val="000000" w:themeColor="text1"/>
          <w:sz w:val="15"/>
          <w:szCs w:val="15"/>
          <w:lang w:val="es-MX" w:eastAsia="es-ES_tradnl"/>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Consejo de Estado. Sala Plena de lo Contencioso Administrativo. Sentencia del 8 de agosto de 2001. Exp. AC-10966 - AC-11274. Consejero Ponente: Reinaldo Chavarro Buriticá.</w:t>
      </w:r>
    </w:p>
  </w:footnote>
  <w:footnote w:id="8">
    <w:p w14:paraId="5922A097"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Style w:val="Refdenotaalpie"/>
          <w:rFonts w:ascii="Verdana" w:hAnsi="Verdana" w:cs="Arial"/>
          <w:color w:val="000000" w:themeColor="text1"/>
          <w:sz w:val="15"/>
          <w:szCs w:val="15"/>
        </w:rPr>
        <w:footnoteRef/>
      </w:r>
      <w:r w:rsidRPr="00827F85">
        <w:rPr>
          <w:rFonts w:ascii="Verdana" w:hAnsi="Verdana"/>
          <w:color w:val="000000" w:themeColor="text1"/>
          <w:sz w:val="15"/>
          <w:szCs w:val="15"/>
        </w:rPr>
        <w:t xml:space="preserve"> </w:t>
      </w:r>
      <w:r w:rsidRPr="00827F85">
        <w:rPr>
          <w:rFonts w:ascii="Verdana" w:hAnsi="Verdana" w:cs="Arial"/>
          <w:color w:val="000000" w:themeColor="text1"/>
          <w:sz w:val="15"/>
          <w:szCs w:val="15"/>
        </w:rPr>
        <w:t>ARTÍCULO 2.2.1.2.3.1.7. Garantía de cumplimiento. La garantía de cumplimiento del contrato debe cubrir:</w:t>
      </w:r>
    </w:p>
    <w:p w14:paraId="2077B406"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2B4204A0"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2. Devolución del pago anticipado. Este amparo cubre los perjuicios sufridos por la Entidad Estatal por la no devolución total o parcial del dinero entregado al contratista a título de pago anticipado, cuando a ello hubiere lugar.</w:t>
      </w:r>
    </w:p>
    <w:p w14:paraId="1EB83BAE"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3. Cumplimiento del contrato. Este amparo cubre a la Entidad Estatal de los perjuicios derivados de:</w:t>
      </w:r>
    </w:p>
    <w:p w14:paraId="1CD6359D"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3.1. El incumplimiento total o parcial del contrato, cuando el incumplimiento es imputable al contratista;</w:t>
      </w:r>
    </w:p>
    <w:p w14:paraId="60D392BD"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3.2. El cumplimiento tardío o defectuoso del contrato, cuando el incumplimiento es imputable al contratista;</w:t>
      </w:r>
    </w:p>
    <w:p w14:paraId="2FB13A2C"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3.3. Los daños imputables al contratista por entregas parciales de la obra, cuando el contrato no prevé entregas parciales; y</w:t>
      </w:r>
    </w:p>
    <w:p w14:paraId="3D1177D6"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3.4. El pago del valor de las multas y de la cláusula penal pecuniaria.</w:t>
      </w:r>
    </w:p>
    <w:p w14:paraId="622F1C04"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4452A609"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La Entidad Estatal no debe exigir una garantía para cubrir este Riesgo en los contratos que se ejecuten fuera del territorio nacional con personal contratado bajo un régimen jurídico distinto al colombiano.</w:t>
      </w:r>
    </w:p>
    <w:p w14:paraId="31B88648" w14:textId="77777777" w:rsidR="002C480E" w:rsidRPr="00827F85" w:rsidRDefault="002C480E" w:rsidP="002C480E">
      <w:pPr>
        <w:pStyle w:val="Sinespaciado"/>
        <w:ind w:firstLine="708"/>
        <w:jc w:val="both"/>
        <w:rPr>
          <w:rFonts w:ascii="Verdana" w:eastAsia="Calibri" w:hAnsi="Verdana" w:cs="Arial"/>
          <w:color w:val="000000" w:themeColor="text1"/>
          <w:sz w:val="15"/>
          <w:szCs w:val="15"/>
          <w:lang w:val="es-ES"/>
        </w:rPr>
      </w:pPr>
      <w:r w:rsidRPr="00827F85">
        <w:rPr>
          <w:rFonts w:ascii="Verdana" w:hAnsi="Verdana" w:cs="Arial"/>
          <w:color w:val="000000" w:themeColor="text1"/>
          <w:sz w:val="15"/>
          <w:szCs w:val="15"/>
        </w:rPr>
        <w:t>5. Estabilidad y calidad de la obra. Este amparo cubre a la Entidad Estatal de los perjuicios ocasionados por cualquier tipo de daño o deterioro, imputable al contratista, sufrido por la obra entregada a satisfacción.</w:t>
      </w:r>
    </w:p>
    <w:p w14:paraId="0F0437EC"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6. Calidad del servicio. Este amparo cubre a la Entidad Estatal por los perjuicios derivados de la deficiente calidad del servicio prestado.</w:t>
      </w:r>
    </w:p>
    <w:p w14:paraId="2FE22251"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7. Calidad y correcto funcionamiento de los bienes. Este amparo debe cubrir la calidad y el correcto funcionamiento de los bienes que recibe la Entidad Estatal en cumplimiento de un contrato.</w:t>
      </w:r>
    </w:p>
    <w:p w14:paraId="114B3F24" w14:textId="77777777" w:rsidR="002C480E" w:rsidRPr="00827F85" w:rsidRDefault="002C480E" w:rsidP="002C480E">
      <w:pPr>
        <w:pStyle w:val="Sinespaciado"/>
        <w:ind w:firstLine="708"/>
        <w:jc w:val="both"/>
        <w:rPr>
          <w:rFonts w:ascii="Verdana" w:hAnsi="Verdana" w:cs="Arial"/>
          <w:color w:val="000000" w:themeColor="text1"/>
          <w:sz w:val="15"/>
          <w:szCs w:val="15"/>
        </w:rPr>
      </w:pPr>
      <w:r w:rsidRPr="00827F85">
        <w:rPr>
          <w:rFonts w:ascii="Verdana" w:hAnsi="Verdana" w:cs="Arial"/>
          <w:color w:val="000000" w:themeColor="text1"/>
          <w:sz w:val="15"/>
          <w:szCs w:val="15"/>
        </w:rPr>
        <w:t>8. Los demás incumplimientos de obligaciones que la Entidad Estatal considere deben ser amparados de manera proporcional y acorde a la naturaleza del contrato.</w:t>
      </w:r>
    </w:p>
  </w:footnote>
  <w:footnote w:id="9">
    <w:p w14:paraId="0EC20705" w14:textId="77777777" w:rsidR="002C480E" w:rsidRPr="00827F85" w:rsidRDefault="002C480E" w:rsidP="002C480E">
      <w:pPr>
        <w:pStyle w:val="Textonotapie"/>
        <w:ind w:firstLine="708"/>
        <w:jc w:val="both"/>
        <w:rPr>
          <w:rFonts w:ascii="Verdana" w:hAnsi="Verdana" w:cs="Arial"/>
          <w:color w:val="000000" w:themeColor="text1"/>
          <w:sz w:val="15"/>
          <w:szCs w:val="15"/>
        </w:rPr>
      </w:pPr>
      <w:r w:rsidRPr="00827F85">
        <w:rPr>
          <w:rStyle w:val="Refdenotaalpie"/>
          <w:rFonts w:ascii="Verdana" w:hAnsi="Verdana" w:cs="Arial"/>
          <w:color w:val="000000" w:themeColor="text1"/>
          <w:sz w:val="15"/>
          <w:szCs w:val="15"/>
        </w:rPr>
        <w:footnoteRef/>
      </w:r>
      <w:r w:rsidRPr="00827F85">
        <w:rPr>
          <w:rFonts w:ascii="Verdana" w:hAnsi="Verdana" w:cs="Arial"/>
          <w:color w:val="000000" w:themeColor="text1"/>
          <w:sz w:val="15"/>
          <w:szCs w:val="15"/>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44941479" w14:textId="77777777" w:rsidR="002C480E" w:rsidRPr="00827F85" w:rsidRDefault="002C480E" w:rsidP="002C480E">
      <w:pPr>
        <w:pStyle w:val="Textonotapie"/>
        <w:ind w:firstLine="708"/>
        <w:jc w:val="both"/>
        <w:rPr>
          <w:rFonts w:ascii="Verdana" w:hAnsi="Verdana" w:cs="Arial"/>
          <w:color w:val="000000" w:themeColor="text1"/>
          <w:sz w:val="15"/>
          <w:szCs w:val="15"/>
          <w:lang w:val="es-CO"/>
        </w:rPr>
      </w:pPr>
    </w:p>
  </w:footnote>
  <w:footnote w:id="10">
    <w:p w14:paraId="7FE22EA2" w14:textId="77777777" w:rsidR="002C480E" w:rsidRPr="00827F85" w:rsidRDefault="002C480E" w:rsidP="002C480E">
      <w:pPr>
        <w:pStyle w:val="Textonotapie"/>
        <w:ind w:firstLine="708"/>
        <w:contextualSpacing/>
        <w:jc w:val="both"/>
        <w:rPr>
          <w:rFonts w:ascii="Verdana" w:hAnsi="Verdana"/>
          <w:color w:val="000000" w:themeColor="text1"/>
          <w:sz w:val="15"/>
          <w:szCs w:val="15"/>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Agencia Nacional de Contratación Pública. Concepto C-466 de 23 de septiembre de 2024. Radicado de salida No. </w:t>
      </w:r>
      <w:r w:rsidRPr="00827F85">
        <w:rPr>
          <w:rFonts w:ascii="Verdana" w:hAnsi="Verdana"/>
          <w:color w:val="000000" w:themeColor="text1"/>
          <w:sz w:val="15"/>
          <w:szCs w:val="15"/>
          <w:lang w:val="es-CO"/>
        </w:rPr>
        <w:t xml:space="preserve">RS20240923013372. Disponible en: </w:t>
      </w:r>
      <w:hyperlink r:id="rId1" w:history="1">
        <w:r w:rsidRPr="00827F85">
          <w:rPr>
            <w:rStyle w:val="Hipervnculo"/>
            <w:rFonts w:ascii="Verdana" w:hAnsi="Verdana"/>
            <w:color w:val="000000" w:themeColor="text1"/>
            <w:sz w:val="15"/>
            <w:szCs w:val="15"/>
          </w:rPr>
          <w:t>https://relatoria.colombiacompra.gov.co/conceptos/c-466-de-2024/</w:t>
        </w:r>
      </w:hyperlink>
      <w:r w:rsidRPr="00827F85">
        <w:rPr>
          <w:rFonts w:ascii="Verdana" w:hAnsi="Verdana"/>
          <w:color w:val="000000" w:themeColor="text1"/>
          <w:sz w:val="15"/>
          <w:szCs w:val="15"/>
        </w:rPr>
        <w:t xml:space="preserve"> </w:t>
      </w:r>
    </w:p>
  </w:footnote>
  <w:footnote w:id="11">
    <w:p w14:paraId="23240466" w14:textId="77777777" w:rsidR="002C480E" w:rsidRPr="00827F85" w:rsidRDefault="002C480E" w:rsidP="002C480E">
      <w:pPr>
        <w:pStyle w:val="Textonotapie"/>
        <w:ind w:firstLine="708"/>
        <w:contextualSpacing/>
        <w:jc w:val="both"/>
        <w:rPr>
          <w:rFonts w:ascii="Verdana" w:hAnsi="Verdana"/>
          <w:color w:val="000000" w:themeColor="text1"/>
          <w:sz w:val="15"/>
          <w:szCs w:val="15"/>
          <w:lang w:val="es-CO"/>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CONSEJO DE ESTADO, Sección Tercera, Subsección A, Sentencia del 22 de agosto de 2023. Exp. No. 58634. </w:t>
      </w:r>
      <w:r w:rsidRPr="00827F85">
        <w:rPr>
          <w:rFonts w:ascii="Verdana" w:hAnsi="Verdana"/>
          <w:color w:val="000000" w:themeColor="text1"/>
          <w:sz w:val="15"/>
          <w:szCs w:val="15"/>
          <w:lang w:val="es-CO"/>
        </w:rPr>
        <w:t>Consejero ponente: María Adriana Marín; Subsección C. Sentencia del 19 de septiembre de 2022. Exp. No. 54714. Consejero ponente: Jaime Enrique Rodríguez Navas;</w:t>
      </w:r>
      <w:r w:rsidRPr="00827F85">
        <w:rPr>
          <w:rFonts w:ascii="Verdana" w:hAnsi="Verdana"/>
          <w:color w:val="000000" w:themeColor="text1"/>
          <w:sz w:val="15"/>
          <w:szCs w:val="15"/>
        </w:rPr>
        <w:t xml:space="preserve"> Subsección C</w:t>
      </w:r>
      <w:bookmarkStart w:id="2" w:name="_Hlk176969946"/>
      <w:r w:rsidRPr="00827F85">
        <w:rPr>
          <w:rFonts w:ascii="Verdana" w:hAnsi="Verdana"/>
          <w:color w:val="000000" w:themeColor="text1"/>
          <w:sz w:val="15"/>
          <w:szCs w:val="15"/>
        </w:rPr>
        <w:t>, Sentencia del 24 de abril de 2024</w:t>
      </w:r>
      <w:bookmarkEnd w:id="2"/>
      <w:r w:rsidRPr="00827F85">
        <w:rPr>
          <w:rFonts w:ascii="Verdana" w:hAnsi="Verdana"/>
          <w:color w:val="000000" w:themeColor="text1"/>
          <w:sz w:val="15"/>
          <w:szCs w:val="15"/>
        </w:rPr>
        <w:t xml:space="preserve">. Exp. No. 67095. </w:t>
      </w:r>
      <w:r w:rsidRPr="00827F85">
        <w:rPr>
          <w:rFonts w:ascii="Verdana" w:hAnsi="Verdana"/>
          <w:color w:val="000000" w:themeColor="text1"/>
          <w:sz w:val="15"/>
          <w:szCs w:val="15"/>
          <w:lang w:val="es-CO"/>
        </w:rPr>
        <w:t>Consejero ponente: Nicolás Yepes Corrales.</w:t>
      </w:r>
      <w:r w:rsidRPr="00827F85">
        <w:rPr>
          <w:rFonts w:ascii="Verdana" w:hAnsi="Verdana"/>
          <w:color w:val="000000" w:themeColor="text1"/>
          <w:sz w:val="15"/>
          <w:szCs w:val="15"/>
        </w:rPr>
        <w:t xml:space="preserve"> </w:t>
      </w:r>
    </w:p>
  </w:footnote>
  <w:footnote w:id="12">
    <w:p w14:paraId="37C98729" w14:textId="77777777" w:rsidR="002C480E" w:rsidRPr="00827F85" w:rsidRDefault="002C480E" w:rsidP="002C480E">
      <w:pPr>
        <w:spacing w:after="0" w:line="240" w:lineRule="auto"/>
        <w:ind w:firstLine="708"/>
        <w:jc w:val="both"/>
        <w:rPr>
          <w:rFonts w:ascii="Verdana" w:hAnsi="Verdana"/>
          <w:color w:val="000000" w:themeColor="text1"/>
          <w:sz w:val="15"/>
          <w:szCs w:val="15"/>
        </w:rPr>
      </w:pPr>
    </w:p>
    <w:p w14:paraId="4952FC05" w14:textId="77777777" w:rsidR="002C480E" w:rsidRPr="00827F85" w:rsidRDefault="002C480E" w:rsidP="002C480E">
      <w:pPr>
        <w:spacing w:after="0" w:line="240" w:lineRule="auto"/>
        <w:ind w:firstLine="709"/>
        <w:jc w:val="both"/>
        <w:rPr>
          <w:rFonts w:ascii="Verdana" w:hAnsi="Verdana"/>
          <w:color w:val="000000" w:themeColor="text1"/>
          <w:sz w:val="15"/>
          <w:szCs w:val="15"/>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CONSEJO DE ESTADO. Sala de Consulta y Servicio Civil.</w:t>
      </w:r>
      <w:r w:rsidRPr="00827F85">
        <w:rPr>
          <w:rFonts w:ascii="Verdana" w:hAnsi="Verdana"/>
          <w:i/>
          <w:iCs/>
          <w:color w:val="000000" w:themeColor="text1"/>
          <w:sz w:val="15"/>
          <w:szCs w:val="15"/>
        </w:rPr>
        <w:t xml:space="preserve"> </w:t>
      </w:r>
      <w:r w:rsidRPr="00827F85">
        <w:rPr>
          <w:rFonts w:ascii="Verdana" w:hAnsi="Verdana"/>
          <w:color w:val="000000" w:themeColor="text1"/>
          <w:sz w:val="15"/>
          <w:szCs w:val="15"/>
        </w:rPr>
        <w:t>C.P.: Óscar Daría Amaya Navas. Concepto del 06 de junio 2018. Radicación número: 2369.</w:t>
      </w:r>
    </w:p>
    <w:p w14:paraId="0F9B3AA3" w14:textId="77777777" w:rsidR="002C480E" w:rsidRPr="00827F85" w:rsidRDefault="002C480E" w:rsidP="002C480E">
      <w:pPr>
        <w:spacing w:after="0" w:line="240" w:lineRule="auto"/>
        <w:ind w:firstLine="709"/>
        <w:jc w:val="both"/>
        <w:rPr>
          <w:rFonts w:ascii="Verdana" w:hAnsi="Verdana"/>
          <w:i/>
          <w:iCs/>
          <w:color w:val="000000" w:themeColor="text1"/>
          <w:sz w:val="15"/>
          <w:szCs w:val="15"/>
        </w:rPr>
      </w:pPr>
    </w:p>
  </w:footnote>
  <w:footnote w:id="13">
    <w:p w14:paraId="51254B7E"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w:t>
      </w:r>
      <w:r w:rsidRPr="00827F85">
        <w:rPr>
          <w:rFonts w:ascii="Verdana" w:hAnsi="Verdana"/>
          <w:bCs/>
          <w:color w:val="000000" w:themeColor="text1"/>
          <w:sz w:val="15"/>
          <w:szCs w:val="15"/>
          <w:lang w:val="es-CO"/>
        </w:rPr>
        <w:t>ARTICULO 11. DE LA COMPETENCIA PARA DIRIGIR LICITACIONES O CONCURSOS Y PARA CELEBRAR CONTRATOS ESTATALES. </w:t>
      </w:r>
      <w:r w:rsidRPr="00827F85">
        <w:rPr>
          <w:rFonts w:ascii="Verdana" w:hAnsi="Verdana"/>
          <w:color w:val="000000" w:themeColor="text1"/>
          <w:sz w:val="15"/>
          <w:szCs w:val="15"/>
          <w:lang w:val="es-CO"/>
        </w:rPr>
        <w:t>En las entidades estatales a que se refiere el artículo 2o.: </w:t>
      </w:r>
    </w:p>
    <w:p w14:paraId="1ECDF72B"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1o. La competencia para ordenar y dirigir la celebración de licitaciones o concursos y para escoger contratistas será del jefe o representante de la entidad, según el caso. </w:t>
      </w:r>
    </w:p>
    <w:p w14:paraId="5E8FF0A8"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2o. Tiene competencia para celebrar contratos a nombre de la Nación, el Presidente de la República. </w:t>
      </w:r>
    </w:p>
    <w:p w14:paraId="5310342C"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3o. Tienen competencia para celebrar contratos a nombre de la entidad respectiva: </w:t>
      </w:r>
    </w:p>
    <w:p w14:paraId="2FAE5F57"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4F8C60E6"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76E3EA8"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c) Los representantes legales de las entidades descentralizadas en todos los órdenes y niveles. </w:t>
      </w:r>
    </w:p>
    <w:p w14:paraId="3B668A79" w14:textId="77777777" w:rsidR="002C480E" w:rsidRPr="00827F85" w:rsidRDefault="002C480E" w:rsidP="002C480E">
      <w:pPr>
        <w:pStyle w:val="Textonotapie"/>
        <w:ind w:firstLine="709"/>
        <w:jc w:val="both"/>
        <w:rPr>
          <w:rFonts w:ascii="Verdana" w:hAnsi="Verdana"/>
          <w:color w:val="000000" w:themeColor="text1"/>
          <w:sz w:val="15"/>
          <w:szCs w:val="15"/>
          <w:lang w:val="es-CO"/>
        </w:rPr>
      </w:pPr>
    </w:p>
  </w:footnote>
  <w:footnote w:id="14">
    <w:p w14:paraId="67DB1CD2"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Style w:val="Refdenotaalpie"/>
          <w:rFonts w:ascii="Verdana" w:hAnsi="Verdana"/>
          <w:color w:val="000000" w:themeColor="text1"/>
          <w:sz w:val="15"/>
          <w:szCs w:val="15"/>
        </w:rPr>
        <w:footnoteRef/>
      </w:r>
      <w:r w:rsidRPr="00827F85">
        <w:rPr>
          <w:rFonts w:ascii="Verdana" w:hAnsi="Verdana"/>
          <w:color w:val="000000" w:themeColor="text1"/>
          <w:sz w:val="15"/>
          <w:szCs w:val="15"/>
        </w:rPr>
        <w:t xml:space="preserve"> </w:t>
      </w:r>
      <w:r w:rsidRPr="00827F85">
        <w:rPr>
          <w:rFonts w:ascii="Verdana" w:hAnsi="Verdana"/>
          <w:bCs/>
          <w:color w:val="000000" w:themeColor="text1"/>
          <w:sz w:val="15"/>
          <w:szCs w:val="15"/>
          <w:lang w:val="es-CO"/>
        </w:rPr>
        <w:t>ARTICULO 12. DE LA DELEGACION PARA CONTRATAR.</w:t>
      </w:r>
      <w:r w:rsidRPr="00827F85">
        <w:rPr>
          <w:rFonts w:ascii="Verdana" w:hAnsi="Verdana"/>
          <w:color w:val="000000" w:themeColor="text1"/>
          <w:sz w:val="15"/>
          <w:szCs w:val="15"/>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5BED8E76" w14:textId="77777777" w:rsidR="002C480E" w:rsidRPr="00827F85" w:rsidRDefault="002C480E" w:rsidP="002C480E">
      <w:pPr>
        <w:pStyle w:val="Textonotapie"/>
        <w:ind w:firstLine="709"/>
        <w:jc w:val="both"/>
        <w:rPr>
          <w:rFonts w:ascii="Verdana" w:hAnsi="Verdana"/>
          <w:color w:val="000000" w:themeColor="text1"/>
          <w:sz w:val="15"/>
          <w:szCs w:val="15"/>
          <w:lang w:val="es-CO"/>
        </w:rPr>
      </w:pPr>
      <w:r w:rsidRPr="00827F85">
        <w:rPr>
          <w:rFonts w:ascii="Verdana" w:hAnsi="Verdana"/>
          <w:color w:val="000000" w:themeColor="text1"/>
          <w:sz w:val="15"/>
          <w:szCs w:val="15"/>
          <w:lang w:val="es-CO"/>
        </w:rPr>
        <w:t>En ningún caso, los jefes y representantes legales de las entidades estatales quedarán exonerados por virtud de la delegación de sus deberes de control y vigilancia de la actividad precontractual y contractual.  </w:t>
      </w:r>
    </w:p>
    <w:p w14:paraId="437F2D78" w14:textId="77777777" w:rsidR="002C480E" w:rsidRPr="000F325E" w:rsidRDefault="002C480E" w:rsidP="002C480E">
      <w:pPr>
        <w:pStyle w:val="Textonotapie"/>
        <w:ind w:firstLine="708"/>
        <w:jc w:val="both"/>
        <w:rPr>
          <w:rFonts w:ascii="Verdana" w:hAnsi="Verdana"/>
          <w:sz w:val="14"/>
          <w:szCs w:val="14"/>
          <w:lang w:val="es-ES"/>
        </w:rPr>
      </w:pPr>
      <w:r w:rsidRPr="00827F85">
        <w:rPr>
          <w:rFonts w:ascii="Verdana" w:hAnsi="Verdana"/>
          <w:bCs/>
          <w:color w:val="000000" w:themeColor="text1"/>
          <w:sz w:val="15"/>
          <w:szCs w:val="15"/>
          <w:lang w:val="es-CO"/>
        </w:rPr>
        <w:t>Parágrafo. </w:t>
      </w:r>
      <w:r w:rsidRPr="00827F85">
        <w:rPr>
          <w:rFonts w:ascii="Verdana" w:hAnsi="Verdana"/>
          <w:color w:val="000000" w:themeColor="text1"/>
          <w:sz w:val="15"/>
          <w:szCs w:val="15"/>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w:t>
      </w:r>
      <w:r w:rsidRPr="00827F85">
        <w:rPr>
          <w:rFonts w:ascii="Verdana" w:hAnsi="Verdana"/>
          <w:color w:val="000000" w:themeColor="text1"/>
          <w:sz w:val="14"/>
          <w:szCs w:val="14"/>
          <w:lang w:val="es-CO"/>
        </w:rPr>
        <w:t>  </w:t>
      </w:r>
    </w:p>
  </w:footnote>
  <w:footnote w:id="15">
    <w:p w14:paraId="01001DF4" w14:textId="77777777" w:rsidR="002C480E" w:rsidRPr="000F325E" w:rsidRDefault="002C480E" w:rsidP="002C480E">
      <w:pPr>
        <w:spacing w:after="0" w:line="240" w:lineRule="auto"/>
        <w:ind w:firstLine="708"/>
        <w:jc w:val="both"/>
        <w:rPr>
          <w:rFonts w:ascii="Verdana" w:hAnsi="Verdana"/>
          <w:sz w:val="14"/>
          <w:szCs w:val="14"/>
        </w:rPr>
      </w:pPr>
      <w:r w:rsidRPr="000F325E">
        <w:rPr>
          <w:rStyle w:val="Refdenotaalpie"/>
          <w:rFonts w:ascii="Verdana" w:hAnsi="Verdana"/>
          <w:sz w:val="14"/>
          <w:szCs w:val="14"/>
        </w:rPr>
        <w:footnoteRef/>
      </w:r>
      <w:r w:rsidRPr="000F325E">
        <w:rPr>
          <w:rFonts w:ascii="Verdana" w:hAnsi="Verdana"/>
          <w:sz w:val="14"/>
          <w:szCs w:val="14"/>
        </w:rPr>
        <w:t xml:space="preserve"> CONSEJO DE ESTADO. Sala de Consulta y Servicio Civil. C.P.: Óscar Daría Amaya Navas. Concepto del 6 de junio de 2018. Radicación número: 2369.</w:t>
      </w:r>
    </w:p>
    <w:p w14:paraId="7C89C672" w14:textId="77777777" w:rsidR="002C480E" w:rsidRPr="000F325E" w:rsidRDefault="002C480E" w:rsidP="002C480E">
      <w:pPr>
        <w:pStyle w:val="Textonotapie"/>
        <w:jc w:val="both"/>
        <w:rPr>
          <w:rFonts w:ascii="Verdana" w:hAnsi="Verdana"/>
          <w:sz w:val="14"/>
          <w:szCs w:val="14"/>
        </w:rPr>
      </w:pPr>
    </w:p>
  </w:footnote>
  <w:footnote w:id="16">
    <w:p w14:paraId="4C8EF515" w14:textId="77777777" w:rsidR="002C480E" w:rsidRPr="00CD720B" w:rsidRDefault="002C480E" w:rsidP="002C480E">
      <w:pPr>
        <w:pStyle w:val="Textonotapie"/>
        <w:ind w:firstLine="708"/>
        <w:jc w:val="both"/>
        <w:rPr>
          <w:rFonts w:ascii="Verdana" w:hAnsi="Verdana"/>
          <w:sz w:val="16"/>
          <w:szCs w:val="16"/>
        </w:rPr>
      </w:pPr>
      <w:r w:rsidRPr="000F325E">
        <w:rPr>
          <w:rStyle w:val="Refdenotaalpie"/>
          <w:rFonts w:ascii="Verdana" w:hAnsi="Verdana"/>
          <w:sz w:val="14"/>
          <w:szCs w:val="14"/>
        </w:rPr>
        <w:footnoteRef/>
      </w:r>
      <w:r w:rsidRPr="000F325E">
        <w:rPr>
          <w:rFonts w:ascii="Verdana" w:hAnsi="Verdana"/>
          <w:sz w:val="14"/>
          <w:szCs w:val="14"/>
        </w:rPr>
        <w:t xml:space="preserve"> Ibidem.</w:t>
      </w:r>
      <w:r w:rsidRPr="00CD720B">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00023" w:rsidRDefault="00300023">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00023" w:rsidRDefault="00300023">
    <w:pPr>
      <w:pStyle w:val="Encabezado"/>
    </w:pPr>
  </w:p>
  <w:p w14:paraId="3079FC11" w14:textId="77777777" w:rsidR="00300023" w:rsidRDefault="00300023" w:rsidP="004A305D">
    <w:pPr>
      <w:spacing w:after="0"/>
      <w:rPr>
        <w:rFonts w:ascii="Verdana" w:hAnsi="Verdana"/>
        <w:b/>
        <w:bCs/>
      </w:rPr>
    </w:pPr>
  </w:p>
  <w:p w14:paraId="5E18350A" w14:textId="705F7B76" w:rsidR="00300023" w:rsidRPr="004A305D" w:rsidRDefault="00300023" w:rsidP="00B01B1A">
    <w:pPr>
      <w:spacing w:after="0" w:line="120" w:lineRule="auto"/>
      <w:rPr>
        <w:rFonts w:ascii="Century Gothic" w:eastAsia="Geo" w:hAnsi="Century Gothic" w:cs="Geo"/>
        <w:sz w:val="16"/>
        <w:szCs w:val="16"/>
        <w:lang w:eastAsia="es-CO"/>
      </w:rPr>
    </w:pPr>
  </w:p>
  <w:p w14:paraId="1FD1C243" w14:textId="6D74A3CF" w:rsidR="00300023" w:rsidRDefault="0030002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517A65"/>
    <w:multiLevelType w:val="hybridMultilevel"/>
    <w:tmpl w:val="9B5A32B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A15124"/>
    <w:multiLevelType w:val="hybridMultilevel"/>
    <w:tmpl w:val="44E805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710AC9"/>
    <w:multiLevelType w:val="multilevel"/>
    <w:tmpl w:val="58ECF052"/>
    <w:lvl w:ilvl="0">
      <w:start w:val="6"/>
      <w:numFmt w:val="decimal"/>
      <w:lvlText w:val="%1"/>
      <w:lvlJc w:val="left"/>
      <w:pPr>
        <w:ind w:left="1008" w:hanging="408"/>
      </w:pPr>
      <w:rPr>
        <w:rFonts w:hint="default"/>
        <w:lang w:val="es-ES" w:eastAsia="en-US" w:bidi="ar-SA"/>
      </w:rPr>
    </w:lvl>
    <w:lvl w:ilvl="1">
      <w:start w:val="4"/>
      <w:numFmt w:val="decimal"/>
      <w:lvlText w:val="%1.%2."/>
      <w:lvlJc w:val="left"/>
      <w:pPr>
        <w:ind w:left="1008" w:hanging="408"/>
      </w:pPr>
      <w:rPr>
        <w:rFonts w:ascii="Arial" w:eastAsia="Arial" w:hAnsi="Arial" w:cs="Arial" w:hint="default"/>
        <w:spacing w:val="-1"/>
        <w:w w:val="100"/>
        <w:sz w:val="21"/>
        <w:szCs w:val="21"/>
        <w:lang w:val="es-ES" w:eastAsia="en-US" w:bidi="ar-SA"/>
      </w:rPr>
    </w:lvl>
    <w:lvl w:ilvl="2">
      <w:numFmt w:val="bullet"/>
      <w:lvlText w:val="•"/>
      <w:lvlJc w:val="left"/>
      <w:pPr>
        <w:ind w:left="2708" w:hanging="408"/>
      </w:pPr>
      <w:rPr>
        <w:rFonts w:hint="default"/>
        <w:lang w:val="es-ES" w:eastAsia="en-US" w:bidi="ar-SA"/>
      </w:rPr>
    </w:lvl>
    <w:lvl w:ilvl="3">
      <w:numFmt w:val="bullet"/>
      <w:lvlText w:val="•"/>
      <w:lvlJc w:val="left"/>
      <w:pPr>
        <w:ind w:left="3562" w:hanging="408"/>
      </w:pPr>
      <w:rPr>
        <w:rFonts w:hint="default"/>
        <w:lang w:val="es-ES" w:eastAsia="en-US" w:bidi="ar-SA"/>
      </w:rPr>
    </w:lvl>
    <w:lvl w:ilvl="4">
      <w:numFmt w:val="bullet"/>
      <w:lvlText w:val="•"/>
      <w:lvlJc w:val="left"/>
      <w:pPr>
        <w:ind w:left="4416" w:hanging="408"/>
      </w:pPr>
      <w:rPr>
        <w:rFonts w:hint="default"/>
        <w:lang w:val="es-ES" w:eastAsia="en-US" w:bidi="ar-SA"/>
      </w:rPr>
    </w:lvl>
    <w:lvl w:ilvl="5">
      <w:numFmt w:val="bullet"/>
      <w:lvlText w:val="•"/>
      <w:lvlJc w:val="left"/>
      <w:pPr>
        <w:ind w:left="5270" w:hanging="408"/>
      </w:pPr>
      <w:rPr>
        <w:rFonts w:hint="default"/>
        <w:lang w:val="es-ES" w:eastAsia="en-US" w:bidi="ar-SA"/>
      </w:rPr>
    </w:lvl>
    <w:lvl w:ilvl="6">
      <w:numFmt w:val="bullet"/>
      <w:lvlText w:val="•"/>
      <w:lvlJc w:val="left"/>
      <w:pPr>
        <w:ind w:left="6124" w:hanging="408"/>
      </w:pPr>
      <w:rPr>
        <w:rFonts w:hint="default"/>
        <w:lang w:val="es-ES" w:eastAsia="en-US" w:bidi="ar-SA"/>
      </w:rPr>
    </w:lvl>
    <w:lvl w:ilvl="7">
      <w:numFmt w:val="bullet"/>
      <w:lvlText w:val="•"/>
      <w:lvlJc w:val="left"/>
      <w:pPr>
        <w:ind w:left="6978" w:hanging="408"/>
      </w:pPr>
      <w:rPr>
        <w:rFonts w:hint="default"/>
        <w:lang w:val="es-ES" w:eastAsia="en-US" w:bidi="ar-SA"/>
      </w:rPr>
    </w:lvl>
    <w:lvl w:ilvl="8">
      <w:numFmt w:val="bullet"/>
      <w:lvlText w:val="•"/>
      <w:lvlJc w:val="left"/>
      <w:pPr>
        <w:ind w:left="7832" w:hanging="408"/>
      </w:pPr>
      <w:rPr>
        <w:rFonts w:hint="default"/>
        <w:lang w:val="es-ES" w:eastAsia="en-US" w:bidi="ar-SA"/>
      </w:r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5F42816"/>
    <w:multiLevelType w:val="multilevel"/>
    <w:tmpl w:val="384C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ED3924"/>
    <w:multiLevelType w:val="multilevel"/>
    <w:tmpl w:val="CAE2FDF6"/>
    <w:lvl w:ilvl="0">
      <w:start w:val="2"/>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5"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C07AAF"/>
    <w:multiLevelType w:val="hybridMultilevel"/>
    <w:tmpl w:val="DCFC369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629088507">
    <w:abstractNumId w:val="15"/>
  </w:num>
  <w:num w:numId="2" w16cid:durableId="1613707653">
    <w:abstractNumId w:val="2"/>
  </w:num>
  <w:num w:numId="3" w16cid:durableId="1235819728">
    <w:abstractNumId w:val="12"/>
  </w:num>
  <w:num w:numId="4" w16cid:durableId="137234139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93470424">
    <w:abstractNumId w:val="2"/>
  </w:num>
  <w:num w:numId="6" w16cid:durableId="782503094">
    <w:abstractNumId w:val="32"/>
  </w:num>
  <w:num w:numId="7" w16cid:durableId="640961779">
    <w:abstractNumId w:val="14"/>
  </w:num>
  <w:num w:numId="8" w16cid:durableId="1089884257">
    <w:abstractNumId w:val="31"/>
  </w:num>
  <w:num w:numId="9" w16cid:durableId="104007009">
    <w:abstractNumId w:val="16"/>
  </w:num>
  <w:num w:numId="10" w16cid:durableId="1165899962">
    <w:abstractNumId w:val="29"/>
  </w:num>
  <w:num w:numId="11" w16cid:durableId="554587744">
    <w:abstractNumId w:val="17"/>
  </w:num>
  <w:num w:numId="12" w16cid:durableId="1234657432">
    <w:abstractNumId w:val="1"/>
  </w:num>
  <w:num w:numId="13" w16cid:durableId="338892980">
    <w:abstractNumId w:val="8"/>
  </w:num>
  <w:num w:numId="14" w16cid:durableId="528644804">
    <w:abstractNumId w:val="33"/>
  </w:num>
  <w:num w:numId="15" w16cid:durableId="1144348561">
    <w:abstractNumId w:val="28"/>
  </w:num>
  <w:num w:numId="16" w16cid:durableId="102309413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26143402">
    <w:abstractNumId w:val="5"/>
  </w:num>
  <w:num w:numId="18" w16cid:durableId="1990010060">
    <w:abstractNumId w:val="26"/>
  </w:num>
  <w:num w:numId="19" w16cid:durableId="936518186">
    <w:abstractNumId w:val="11"/>
  </w:num>
  <w:num w:numId="20" w16cid:durableId="2013609232">
    <w:abstractNumId w:val="19"/>
  </w:num>
  <w:num w:numId="21" w16cid:durableId="756941510">
    <w:abstractNumId w:val="37"/>
  </w:num>
  <w:num w:numId="22" w16cid:durableId="620111379">
    <w:abstractNumId w:val="20"/>
  </w:num>
  <w:num w:numId="23" w16cid:durableId="902759253">
    <w:abstractNumId w:val="0"/>
  </w:num>
  <w:num w:numId="24" w16cid:durableId="861893086">
    <w:abstractNumId w:val="27"/>
  </w:num>
  <w:num w:numId="25" w16cid:durableId="1099445734">
    <w:abstractNumId w:val="22"/>
  </w:num>
  <w:num w:numId="26" w16cid:durableId="148325348">
    <w:abstractNumId w:val="21"/>
  </w:num>
  <w:num w:numId="27" w16cid:durableId="1047948602">
    <w:abstractNumId w:val="6"/>
  </w:num>
  <w:num w:numId="28" w16cid:durableId="2093579769">
    <w:abstractNumId w:val="10"/>
  </w:num>
  <w:num w:numId="29" w16cid:durableId="1783110701">
    <w:abstractNumId w:val="3"/>
  </w:num>
  <w:num w:numId="30" w16cid:durableId="437484700">
    <w:abstractNumId w:val="4"/>
  </w:num>
  <w:num w:numId="31" w16cid:durableId="1841264251">
    <w:abstractNumId w:val="25"/>
  </w:num>
  <w:num w:numId="32" w16cid:durableId="1973367918">
    <w:abstractNumId w:val="30"/>
  </w:num>
  <w:num w:numId="33" w16cid:durableId="1593393309">
    <w:abstractNumId w:val="35"/>
  </w:num>
  <w:num w:numId="34" w16cid:durableId="737292041">
    <w:abstractNumId w:val="7"/>
  </w:num>
  <w:num w:numId="35" w16cid:durableId="1258447059">
    <w:abstractNumId w:val="13"/>
  </w:num>
  <w:num w:numId="36" w16cid:durableId="648634029">
    <w:abstractNumId w:val="9"/>
  </w:num>
  <w:num w:numId="37" w16cid:durableId="770394167">
    <w:abstractNumId w:val="24"/>
  </w:num>
  <w:num w:numId="38" w16cid:durableId="96953106">
    <w:abstractNumId w:val="34"/>
  </w:num>
  <w:num w:numId="39" w16cid:durableId="2116092248">
    <w:abstractNumId w:val="18"/>
  </w:num>
  <w:num w:numId="40" w16cid:durableId="1889490811">
    <w:abstractNumId w:val="36"/>
  </w:num>
  <w:num w:numId="41" w16cid:durableId="194741918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1FB"/>
    <w:rsid w:val="0000797D"/>
    <w:rsid w:val="00010C4F"/>
    <w:rsid w:val="0001328B"/>
    <w:rsid w:val="000224F2"/>
    <w:rsid w:val="00023C3E"/>
    <w:rsid w:val="0002653B"/>
    <w:rsid w:val="00026C37"/>
    <w:rsid w:val="000355E9"/>
    <w:rsid w:val="00035D9F"/>
    <w:rsid w:val="00036498"/>
    <w:rsid w:val="00040F37"/>
    <w:rsid w:val="00041860"/>
    <w:rsid w:val="000434BC"/>
    <w:rsid w:val="0004434A"/>
    <w:rsid w:val="0005281E"/>
    <w:rsid w:val="0005682C"/>
    <w:rsid w:val="00056D71"/>
    <w:rsid w:val="00061B2A"/>
    <w:rsid w:val="00062BAF"/>
    <w:rsid w:val="000630B9"/>
    <w:rsid w:val="000635D0"/>
    <w:rsid w:val="000643B2"/>
    <w:rsid w:val="000651AB"/>
    <w:rsid w:val="00065E80"/>
    <w:rsid w:val="0007022C"/>
    <w:rsid w:val="00071DE6"/>
    <w:rsid w:val="000754E3"/>
    <w:rsid w:val="00077439"/>
    <w:rsid w:val="000774B8"/>
    <w:rsid w:val="00082362"/>
    <w:rsid w:val="0008328D"/>
    <w:rsid w:val="00086D23"/>
    <w:rsid w:val="00090C58"/>
    <w:rsid w:val="000920CF"/>
    <w:rsid w:val="0009387A"/>
    <w:rsid w:val="0009387B"/>
    <w:rsid w:val="00095E97"/>
    <w:rsid w:val="000963C6"/>
    <w:rsid w:val="0009762F"/>
    <w:rsid w:val="000A31B9"/>
    <w:rsid w:val="000A3330"/>
    <w:rsid w:val="000A33DF"/>
    <w:rsid w:val="000A3D63"/>
    <w:rsid w:val="000A51CA"/>
    <w:rsid w:val="000A683A"/>
    <w:rsid w:val="000A683E"/>
    <w:rsid w:val="000B158F"/>
    <w:rsid w:val="000B19B9"/>
    <w:rsid w:val="000B1E37"/>
    <w:rsid w:val="000B241D"/>
    <w:rsid w:val="000B2DCD"/>
    <w:rsid w:val="000C2889"/>
    <w:rsid w:val="000D0152"/>
    <w:rsid w:val="000D0334"/>
    <w:rsid w:val="000D145C"/>
    <w:rsid w:val="000D25D7"/>
    <w:rsid w:val="000D2CFF"/>
    <w:rsid w:val="000D3B29"/>
    <w:rsid w:val="000E06F4"/>
    <w:rsid w:val="000E0F63"/>
    <w:rsid w:val="000E1070"/>
    <w:rsid w:val="000E4CE4"/>
    <w:rsid w:val="000E694F"/>
    <w:rsid w:val="000E6DD5"/>
    <w:rsid w:val="000F56F9"/>
    <w:rsid w:val="000F6486"/>
    <w:rsid w:val="000F669F"/>
    <w:rsid w:val="001018FF"/>
    <w:rsid w:val="00102AA9"/>
    <w:rsid w:val="00104ACE"/>
    <w:rsid w:val="001063B3"/>
    <w:rsid w:val="00107ACA"/>
    <w:rsid w:val="001114A9"/>
    <w:rsid w:val="00111979"/>
    <w:rsid w:val="00112D1B"/>
    <w:rsid w:val="00115788"/>
    <w:rsid w:val="00115C99"/>
    <w:rsid w:val="00116537"/>
    <w:rsid w:val="00120766"/>
    <w:rsid w:val="00121EA1"/>
    <w:rsid w:val="001240BD"/>
    <w:rsid w:val="00125105"/>
    <w:rsid w:val="00125BC7"/>
    <w:rsid w:val="00127233"/>
    <w:rsid w:val="00131D34"/>
    <w:rsid w:val="00136D0B"/>
    <w:rsid w:val="00143E81"/>
    <w:rsid w:val="00143FD9"/>
    <w:rsid w:val="00145047"/>
    <w:rsid w:val="00146C57"/>
    <w:rsid w:val="00150565"/>
    <w:rsid w:val="001578A4"/>
    <w:rsid w:val="00160D5C"/>
    <w:rsid w:val="001631FE"/>
    <w:rsid w:val="0016332F"/>
    <w:rsid w:val="0016458A"/>
    <w:rsid w:val="001717E9"/>
    <w:rsid w:val="0017238A"/>
    <w:rsid w:val="00177DC9"/>
    <w:rsid w:val="00180A30"/>
    <w:rsid w:val="0018105B"/>
    <w:rsid w:val="0018159B"/>
    <w:rsid w:val="00185EE9"/>
    <w:rsid w:val="00187F79"/>
    <w:rsid w:val="00195992"/>
    <w:rsid w:val="00196153"/>
    <w:rsid w:val="00197274"/>
    <w:rsid w:val="001A237A"/>
    <w:rsid w:val="001A26CF"/>
    <w:rsid w:val="001A2919"/>
    <w:rsid w:val="001B0E6B"/>
    <w:rsid w:val="001B1F6D"/>
    <w:rsid w:val="001B2CFE"/>
    <w:rsid w:val="001C222E"/>
    <w:rsid w:val="001C22F9"/>
    <w:rsid w:val="001D1C29"/>
    <w:rsid w:val="001E1483"/>
    <w:rsid w:val="001E1E21"/>
    <w:rsid w:val="001E3C06"/>
    <w:rsid w:val="001E4177"/>
    <w:rsid w:val="001E741E"/>
    <w:rsid w:val="001F4EFD"/>
    <w:rsid w:val="001F5E13"/>
    <w:rsid w:val="001F6D11"/>
    <w:rsid w:val="001F7DC6"/>
    <w:rsid w:val="00202886"/>
    <w:rsid w:val="0020603D"/>
    <w:rsid w:val="00206A83"/>
    <w:rsid w:val="00213BC6"/>
    <w:rsid w:val="00215B75"/>
    <w:rsid w:val="00215CEF"/>
    <w:rsid w:val="00217A08"/>
    <w:rsid w:val="00220B77"/>
    <w:rsid w:val="00220C9C"/>
    <w:rsid w:val="00221D27"/>
    <w:rsid w:val="00227C89"/>
    <w:rsid w:val="00227E62"/>
    <w:rsid w:val="00233D5B"/>
    <w:rsid w:val="00234E14"/>
    <w:rsid w:val="00237233"/>
    <w:rsid w:val="002421BB"/>
    <w:rsid w:val="00243EB4"/>
    <w:rsid w:val="002442AC"/>
    <w:rsid w:val="00246A81"/>
    <w:rsid w:val="00251A5F"/>
    <w:rsid w:val="002571B0"/>
    <w:rsid w:val="0025796E"/>
    <w:rsid w:val="002603E5"/>
    <w:rsid w:val="00260FD9"/>
    <w:rsid w:val="002638B2"/>
    <w:rsid w:val="002660F2"/>
    <w:rsid w:val="002664BB"/>
    <w:rsid w:val="002707A2"/>
    <w:rsid w:val="00270FB6"/>
    <w:rsid w:val="002715B9"/>
    <w:rsid w:val="00274354"/>
    <w:rsid w:val="00276223"/>
    <w:rsid w:val="00276573"/>
    <w:rsid w:val="00281E93"/>
    <w:rsid w:val="00282584"/>
    <w:rsid w:val="002835A6"/>
    <w:rsid w:val="00284161"/>
    <w:rsid w:val="002844ED"/>
    <w:rsid w:val="002951A0"/>
    <w:rsid w:val="002962BC"/>
    <w:rsid w:val="002A093D"/>
    <w:rsid w:val="002A0DC4"/>
    <w:rsid w:val="002A0DD0"/>
    <w:rsid w:val="002A3450"/>
    <w:rsid w:val="002A49AC"/>
    <w:rsid w:val="002A64FD"/>
    <w:rsid w:val="002A6BBF"/>
    <w:rsid w:val="002B03E4"/>
    <w:rsid w:val="002B1E57"/>
    <w:rsid w:val="002B1F7F"/>
    <w:rsid w:val="002B290B"/>
    <w:rsid w:val="002B631F"/>
    <w:rsid w:val="002C110E"/>
    <w:rsid w:val="002C379A"/>
    <w:rsid w:val="002C480E"/>
    <w:rsid w:val="002C66A0"/>
    <w:rsid w:val="002C73A6"/>
    <w:rsid w:val="002C765E"/>
    <w:rsid w:val="002C7A84"/>
    <w:rsid w:val="002D13A1"/>
    <w:rsid w:val="002D19BE"/>
    <w:rsid w:val="002D1E42"/>
    <w:rsid w:val="002D22AD"/>
    <w:rsid w:val="002D3F0D"/>
    <w:rsid w:val="002D4570"/>
    <w:rsid w:val="002E1D98"/>
    <w:rsid w:val="002E2C3F"/>
    <w:rsid w:val="002E2F4F"/>
    <w:rsid w:val="002E4FD9"/>
    <w:rsid w:val="002E5690"/>
    <w:rsid w:val="002E6F15"/>
    <w:rsid w:val="002E7EA1"/>
    <w:rsid w:val="002F13FD"/>
    <w:rsid w:val="002F6C42"/>
    <w:rsid w:val="00300023"/>
    <w:rsid w:val="00303544"/>
    <w:rsid w:val="003039C1"/>
    <w:rsid w:val="00310DBE"/>
    <w:rsid w:val="0031182E"/>
    <w:rsid w:val="0031430F"/>
    <w:rsid w:val="0031479C"/>
    <w:rsid w:val="00320BBD"/>
    <w:rsid w:val="00322A85"/>
    <w:rsid w:val="00324168"/>
    <w:rsid w:val="0033032A"/>
    <w:rsid w:val="003330D3"/>
    <w:rsid w:val="0033498F"/>
    <w:rsid w:val="00334C6A"/>
    <w:rsid w:val="00336C05"/>
    <w:rsid w:val="00342675"/>
    <w:rsid w:val="00343512"/>
    <w:rsid w:val="003448F4"/>
    <w:rsid w:val="00345330"/>
    <w:rsid w:val="00347102"/>
    <w:rsid w:val="003528DF"/>
    <w:rsid w:val="00352C12"/>
    <w:rsid w:val="00354BCA"/>
    <w:rsid w:val="00354F33"/>
    <w:rsid w:val="00360631"/>
    <w:rsid w:val="00361261"/>
    <w:rsid w:val="0036594E"/>
    <w:rsid w:val="003665EE"/>
    <w:rsid w:val="00366A24"/>
    <w:rsid w:val="0037010E"/>
    <w:rsid w:val="003734F4"/>
    <w:rsid w:val="00374F5E"/>
    <w:rsid w:val="0037755E"/>
    <w:rsid w:val="00377E2D"/>
    <w:rsid w:val="00377E3E"/>
    <w:rsid w:val="003815E8"/>
    <w:rsid w:val="003826F4"/>
    <w:rsid w:val="00386837"/>
    <w:rsid w:val="00387C3F"/>
    <w:rsid w:val="003906F8"/>
    <w:rsid w:val="00392A49"/>
    <w:rsid w:val="003A26D1"/>
    <w:rsid w:val="003A3B30"/>
    <w:rsid w:val="003A6D44"/>
    <w:rsid w:val="003A779E"/>
    <w:rsid w:val="003A7E17"/>
    <w:rsid w:val="003B005A"/>
    <w:rsid w:val="003B30D7"/>
    <w:rsid w:val="003B6898"/>
    <w:rsid w:val="003C1BFE"/>
    <w:rsid w:val="003C1C0E"/>
    <w:rsid w:val="003C3FA5"/>
    <w:rsid w:val="003C5109"/>
    <w:rsid w:val="003D0B0E"/>
    <w:rsid w:val="003D0F4D"/>
    <w:rsid w:val="003D5B0D"/>
    <w:rsid w:val="003E0499"/>
    <w:rsid w:val="003E35A0"/>
    <w:rsid w:val="003E40F2"/>
    <w:rsid w:val="003F3941"/>
    <w:rsid w:val="003F4BAF"/>
    <w:rsid w:val="00400676"/>
    <w:rsid w:val="004008A9"/>
    <w:rsid w:val="00405A3E"/>
    <w:rsid w:val="00406575"/>
    <w:rsid w:val="00407C75"/>
    <w:rsid w:val="00410906"/>
    <w:rsid w:val="0041158D"/>
    <w:rsid w:val="0041247B"/>
    <w:rsid w:val="004136D9"/>
    <w:rsid w:val="0041655A"/>
    <w:rsid w:val="0041694B"/>
    <w:rsid w:val="00420B46"/>
    <w:rsid w:val="00426FD7"/>
    <w:rsid w:val="0042722E"/>
    <w:rsid w:val="00427DA0"/>
    <w:rsid w:val="00431B17"/>
    <w:rsid w:val="00432CA2"/>
    <w:rsid w:val="004377AE"/>
    <w:rsid w:val="00440391"/>
    <w:rsid w:val="00441FCF"/>
    <w:rsid w:val="00442C7F"/>
    <w:rsid w:val="0044528D"/>
    <w:rsid w:val="00450920"/>
    <w:rsid w:val="00454D48"/>
    <w:rsid w:val="004554F9"/>
    <w:rsid w:val="0046004D"/>
    <w:rsid w:val="004627D7"/>
    <w:rsid w:val="004633DE"/>
    <w:rsid w:val="00465E71"/>
    <w:rsid w:val="004712E0"/>
    <w:rsid w:val="004734BD"/>
    <w:rsid w:val="00474931"/>
    <w:rsid w:val="00475E70"/>
    <w:rsid w:val="00482608"/>
    <w:rsid w:val="00483749"/>
    <w:rsid w:val="0048376B"/>
    <w:rsid w:val="00484809"/>
    <w:rsid w:val="00484BB1"/>
    <w:rsid w:val="00491BD3"/>
    <w:rsid w:val="00493392"/>
    <w:rsid w:val="004A0980"/>
    <w:rsid w:val="004A0B8B"/>
    <w:rsid w:val="004A1847"/>
    <w:rsid w:val="004A305D"/>
    <w:rsid w:val="004A3312"/>
    <w:rsid w:val="004A6D9B"/>
    <w:rsid w:val="004B53F1"/>
    <w:rsid w:val="004B703F"/>
    <w:rsid w:val="004B740F"/>
    <w:rsid w:val="004C4B37"/>
    <w:rsid w:val="004D026D"/>
    <w:rsid w:val="004D2E39"/>
    <w:rsid w:val="004D3A9E"/>
    <w:rsid w:val="004D46AB"/>
    <w:rsid w:val="004E181C"/>
    <w:rsid w:val="004E221E"/>
    <w:rsid w:val="004E2892"/>
    <w:rsid w:val="004E409A"/>
    <w:rsid w:val="004E4C0B"/>
    <w:rsid w:val="004E505B"/>
    <w:rsid w:val="004F1D68"/>
    <w:rsid w:val="004F21C4"/>
    <w:rsid w:val="004F2B72"/>
    <w:rsid w:val="004F3012"/>
    <w:rsid w:val="004F5559"/>
    <w:rsid w:val="004F5A86"/>
    <w:rsid w:val="004F685F"/>
    <w:rsid w:val="004F7EC9"/>
    <w:rsid w:val="0050343D"/>
    <w:rsid w:val="00504336"/>
    <w:rsid w:val="00504CBE"/>
    <w:rsid w:val="0050771E"/>
    <w:rsid w:val="00514598"/>
    <w:rsid w:val="00515557"/>
    <w:rsid w:val="00515E1E"/>
    <w:rsid w:val="005163B5"/>
    <w:rsid w:val="00520604"/>
    <w:rsid w:val="00520C55"/>
    <w:rsid w:val="00523453"/>
    <w:rsid w:val="0052543A"/>
    <w:rsid w:val="0052785C"/>
    <w:rsid w:val="00533E1B"/>
    <w:rsid w:val="00540C2D"/>
    <w:rsid w:val="00541793"/>
    <w:rsid w:val="00552502"/>
    <w:rsid w:val="005566E8"/>
    <w:rsid w:val="00560CB5"/>
    <w:rsid w:val="00562470"/>
    <w:rsid w:val="00564F8B"/>
    <w:rsid w:val="00571932"/>
    <w:rsid w:val="00574122"/>
    <w:rsid w:val="00574867"/>
    <w:rsid w:val="00576927"/>
    <w:rsid w:val="0057702A"/>
    <w:rsid w:val="00577D09"/>
    <w:rsid w:val="0058087F"/>
    <w:rsid w:val="00581AA1"/>
    <w:rsid w:val="00585E4C"/>
    <w:rsid w:val="005905AA"/>
    <w:rsid w:val="00591460"/>
    <w:rsid w:val="00592628"/>
    <w:rsid w:val="00597C75"/>
    <w:rsid w:val="005A0868"/>
    <w:rsid w:val="005A0CFB"/>
    <w:rsid w:val="005A282F"/>
    <w:rsid w:val="005A2AC9"/>
    <w:rsid w:val="005A2D71"/>
    <w:rsid w:val="005A55D5"/>
    <w:rsid w:val="005B298F"/>
    <w:rsid w:val="005B2C3C"/>
    <w:rsid w:val="005B2CCE"/>
    <w:rsid w:val="005B496D"/>
    <w:rsid w:val="005B58C1"/>
    <w:rsid w:val="005B6033"/>
    <w:rsid w:val="005C053C"/>
    <w:rsid w:val="005C3777"/>
    <w:rsid w:val="005C5CDC"/>
    <w:rsid w:val="005C6939"/>
    <w:rsid w:val="005C7629"/>
    <w:rsid w:val="005D16B3"/>
    <w:rsid w:val="005D17C8"/>
    <w:rsid w:val="005D2649"/>
    <w:rsid w:val="005D2B2B"/>
    <w:rsid w:val="005D476C"/>
    <w:rsid w:val="005D4E83"/>
    <w:rsid w:val="005D5F91"/>
    <w:rsid w:val="005D75E8"/>
    <w:rsid w:val="005D7B25"/>
    <w:rsid w:val="005F0EE5"/>
    <w:rsid w:val="005F183C"/>
    <w:rsid w:val="005F7C43"/>
    <w:rsid w:val="005F7CC8"/>
    <w:rsid w:val="00601A06"/>
    <w:rsid w:val="00601D76"/>
    <w:rsid w:val="00604396"/>
    <w:rsid w:val="00605A00"/>
    <w:rsid w:val="00610812"/>
    <w:rsid w:val="00612CE7"/>
    <w:rsid w:val="006149EF"/>
    <w:rsid w:val="006219F8"/>
    <w:rsid w:val="0062252A"/>
    <w:rsid w:val="0063165E"/>
    <w:rsid w:val="0063166A"/>
    <w:rsid w:val="006322EC"/>
    <w:rsid w:val="00632C08"/>
    <w:rsid w:val="00636BF8"/>
    <w:rsid w:val="00650FF7"/>
    <w:rsid w:val="0065102E"/>
    <w:rsid w:val="00652AB3"/>
    <w:rsid w:val="006569FB"/>
    <w:rsid w:val="006603E6"/>
    <w:rsid w:val="00661CAF"/>
    <w:rsid w:val="00664B4D"/>
    <w:rsid w:val="00665D70"/>
    <w:rsid w:val="00667199"/>
    <w:rsid w:val="00671DAC"/>
    <w:rsid w:val="0067390E"/>
    <w:rsid w:val="006747C7"/>
    <w:rsid w:val="00674BA2"/>
    <w:rsid w:val="006755B5"/>
    <w:rsid w:val="00675E5F"/>
    <w:rsid w:val="006827AC"/>
    <w:rsid w:val="006859A3"/>
    <w:rsid w:val="006871DF"/>
    <w:rsid w:val="006900D9"/>
    <w:rsid w:val="006A0008"/>
    <w:rsid w:val="006A0F0E"/>
    <w:rsid w:val="006A10DF"/>
    <w:rsid w:val="006A2A1F"/>
    <w:rsid w:val="006A3147"/>
    <w:rsid w:val="006A7312"/>
    <w:rsid w:val="006B6F7B"/>
    <w:rsid w:val="006C0240"/>
    <w:rsid w:val="006C07EE"/>
    <w:rsid w:val="006C1E81"/>
    <w:rsid w:val="006C5595"/>
    <w:rsid w:val="006D12F8"/>
    <w:rsid w:val="006D1F00"/>
    <w:rsid w:val="006D465A"/>
    <w:rsid w:val="006E1ADC"/>
    <w:rsid w:val="006E480D"/>
    <w:rsid w:val="006E5452"/>
    <w:rsid w:val="006F0D40"/>
    <w:rsid w:val="006F2501"/>
    <w:rsid w:val="006F3A51"/>
    <w:rsid w:val="006F41F5"/>
    <w:rsid w:val="006F7C51"/>
    <w:rsid w:val="00703916"/>
    <w:rsid w:val="00704D9B"/>
    <w:rsid w:val="00705E5F"/>
    <w:rsid w:val="00706C16"/>
    <w:rsid w:val="00707DC1"/>
    <w:rsid w:val="00711C85"/>
    <w:rsid w:val="0071287D"/>
    <w:rsid w:val="0071458F"/>
    <w:rsid w:val="0071627C"/>
    <w:rsid w:val="00717903"/>
    <w:rsid w:val="007213B1"/>
    <w:rsid w:val="00723A7F"/>
    <w:rsid w:val="00725BB1"/>
    <w:rsid w:val="007312C3"/>
    <w:rsid w:val="00737C53"/>
    <w:rsid w:val="00737DFA"/>
    <w:rsid w:val="00737E63"/>
    <w:rsid w:val="0074034F"/>
    <w:rsid w:val="00746088"/>
    <w:rsid w:val="0074688A"/>
    <w:rsid w:val="00751A8E"/>
    <w:rsid w:val="00752A44"/>
    <w:rsid w:val="0075663D"/>
    <w:rsid w:val="00756680"/>
    <w:rsid w:val="00756841"/>
    <w:rsid w:val="00762AA9"/>
    <w:rsid w:val="007649AB"/>
    <w:rsid w:val="00770AC9"/>
    <w:rsid w:val="00771D0C"/>
    <w:rsid w:val="007833AC"/>
    <w:rsid w:val="0078358E"/>
    <w:rsid w:val="00784D58"/>
    <w:rsid w:val="0078648E"/>
    <w:rsid w:val="00786FBF"/>
    <w:rsid w:val="00790AB7"/>
    <w:rsid w:val="00791769"/>
    <w:rsid w:val="007922D3"/>
    <w:rsid w:val="00796340"/>
    <w:rsid w:val="007965D0"/>
    <w:rsid w:val="007A23EA"/>
    <w:rsid w:val="007A5189"/>
    <w:rsid w:val="007B0D88"/>
    <w:rsid w:val="007B268C"/>
    <w:rsid w:val="007B7171"/>
    <w:rsid w:val="007B72A7"/>
    <w:rsid w:val="007B7D02"/>
    <w:rsid w:val="007C0C0F"/>
    <w:rsid w:val="007C1E3A"/>
    <w:rsid w:val="007C3DC2"/>
    <w:rsid w:val="007D0457"/>
    <w:rsid w:val="007D387B"/>
    <w:rsid w:val="007D43C9"/>
    <w:rsid w:val="007D483A"/>
    <w:rsid w:val="007D7461"/>
    <w:rsid w:val="007E5497"/>
    <w:rsid w:val="007F1B26"/>
    <w:rsid w:val="007F28CA"/>
    <w:rsid w:val="007F52A4"/>
    <w:rsid w:val="007F60FB"/>
    <w:rsid w:val="007F7B94"/>
    <w:rsid w:val="008032C1"/>
    <w:rsid w:val="00804981"/>
    <w:rsid w:val="0080567E"/>
    <w:rsid w:val="00805944"/>
    <w:rsid w:val="00806F5F"/>
    <w:rsid w:val="008163D7"/>
    <w:rsid w:val="00820278"/>
    <w:rsid w:val="008202D9"/>
    <w:rsid w:val="008232D6"/>
    <w:rsid w:val="00826620"/>
    <w:rsid w:val="00827F85"/>
    <w:rsid w:val="008305F9"/>
    <w:rsid w:val="00834554"/>
    <w:rsid w:val="0083498D"/>
    <w:rsid w:val="00834B31"/>
    <w:rsid w:val="00835438"/>
    <w:rsid w:val="00840ADC"/>
    <w:rsid w:val="00843BF7"/>
    <w:rsid w:val="008449B3"/>
    <w:rsid w:val="00846276"/>
    <w:rsid w:val="00850E23"/>
    <w:rsid w:val="00851137"/>
    <w:rsid w:val="00853978"/>
    <w:rsid w:val="0085432F"/>
    <w:rsid w:val="008551B8"/>
    <w:rsid w:val="00856B1B"/>
    <w:rsid w:val="00862224"/>
    <w:rsid w:val="00864209"/>
    <w:rsid w:val="00866586"/>
    <w:rsid w:val="0087325B"/>
    <w:rsid w:val="0087504A"/>
    <w:rsid w:val="0087570A"/>
    <w:rsid w:val="00875ACC"/>
    <w:rsid w:val="00881939"/>
    <w:rsid w:val="00881ABA"/>
    <w:rsid w:val="008823A8"/>
    <w:rsid w:val="008843B6"/>
    <w:rsid w:val="00886C89"/>
    <w:rsid w:val="0088779F"/>
    <w:rsid w:val="00891928"/>
    <w:rsid w:val="00894B8B"/>
    <w:rsid w:val="0089556C"/>
    <w:rsid w:val="00895808"/>
    <w:rsid w:val="008A00A4"/>
    <w:rsid w:val="008A446D"/>
    <w:rsid w:val="008A522A"/>
    <w:rsid w:val="008A7A64"/>
    <w:rsid w:val="008A7F08"/>
    <w:rsid w:val="008B2F0E"/>
    <w:rsid w:val="008B37D7"/>
    <w:rsid w:val="008B3958"/>
    <w:rsid w:val="008B5A2E"/>
    <w:rsid w:val="008C0232"/>
    <w:rsid w:val="008C7645"/>
    <w:rsid w:val="008D180B"/>
    <w:rsid w:val="008D30AD"/>
    <w:rsid w:val="008D7227"/>
    <w:rsid w:val="008E1F92"/>
    <w:rsid w:val="008E7333"/>
    <w:rsid w:val="008E7B09"/>
    <w:rsid w:val="008E7D98"/>
    <w:rsid w:val="008F0E69"/>
    <w:rsid w:val="008F0EA7"/>
    <w:rsid w:val="008F7BB9"/>
    <w:rsid w:val="009029F9"/>
    <w:rsid w:val="00904692"/>
    <w:rsid w:val="00905FCF"/>
    <w:rsid w:val="00910097"/>
    <w:rsid w:val="00911C7C"/>
    <w:rsid w:val="00912898"/>
    <w:rsid w:val="00913DBA"/>
    <w:rsid w:val="0091561E"/>
    <w:rsid w:val="0091613A"/>
    <w:rsid w:val="0092313E"/>
    <w:rsid w:val="00923EEF"/>
    <w:rsid w:val="00924FEE"/>
    <w:rsid w:val="00931BB5"/>
    <w:rsid w:val="00935BFB"/>
    <w:rsid w:val="0093793E"/>
    <w:rsid w:val="009411F5"/>
    <w:rsid w:val="009419F9"/>
    <w:rsid w:val="00944E84"/>
    <w:rsid w:val="0095217C"/>
    <w:rsid w:val="00953AA4"/>
    <w:rsid w:val="00955305"/>
    <w:rsid w:val="00956664"/>
    <w:rsid w:val="0095685E"/>
    <w:rsid w:val="00956E12"/>
    <w:rsid w:val="009572D9"/>
    <w:rsid w:val="009600D2"/>
    <w:rsid w:val="00961409"/>
    <w:rsid w:val="00961B09"/>
    <w:rsid w:val="00962300"/>
    <w:rsid w:val="00962A07"/>
    <w:rsid w:val="00963186"/>
    <w:rsid w:val="00965334"/>
    <w:rsid w:val="00967DCC"/>
    <w:rsid w:val="0097093E"/>
    <w:rsid w:val="00972768"/>
    <w:rsid w:val="00976025"/>
    <w:rsid w:val="009800BE"/>
    <w:rsid w:val="00982BD4"/>
    <w:rsid w:val="00982E41"/>
    <w:rsid w:val="00984649"/>
    <w:rsid w:val="009858BE"/>
    <w:rsid w:val="00986BA8"/>
    <w:rsid w:val="009904DB"/>
    <w:rsid w:val="00994041"/>
    <w:rsid w:val="009A0DFA"/>
    <w:rsid w:val="009A3C2C"/>
    <w:rsid w:val="009A4A40"/>
    <w:rsid w:val="009A6402"/>
    <w:rsid w:val="009B0A7A"/>
    <w:rsid w:val="009B2D26"/>
    <w:rsid w:val="009B780F"/>
    <w:rsid w:val="009C00CC"/>
    <w:rsid w:val="009C0C09"/>
    <w:rsid w:val="009C2DD0"/>
    <w:rsid w:val="009C3AC7"/>
    <w:rsid w:val="009C699C"/>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1C7F"/>
    <w:rsid w:val="00A02465"/>
    <w:rsid w:val="00A03415"/>
    <w:rsid w:val="00A04A81"/>
    <w:rsid w:val="00A122D3"/>
    <w:rsid w:val="00A14D3D"/>
    <w:rsid w:val="00A17F13"/>
    <w:rsid w:val="00A20739"/>
    <w:rsid w:val="00A211D0"/>
    <w:rsid w:val="00A2142A"/>
    <w:rsid w:val="00A23361"/>
    <w:rsid w:val="00A24433"/>
    <w:rsid w:val="00A2443A"/>
    <w:rsid w:val="00A246FA"/>
    <w:rsid w:val="00A27CB5"/>
    <w:rsid w:val="00A332DD"/>
    <w:rsid w:val="00A339A9"/>
    <w:rsid w:val="00A33C78"/>
    <w:rsid w:val="00A34630"/>
    <w:rsid w:val="00A34B38"/>
    <w:rsid w:val="00A34D87"/>
    <w:rsid w:val="00A35538"/>
    <w:rsid w:val="00A3764D"/>
    <w:rsid w:val="00A37BC4"/>
    <w:rsid w:val="00A42050"/>
    <w:rsid w:val="00A43292"/>
    <w:rsid w:val="00A445C0"/>
    <w:rsid w:val="00A46619"/>
    <w:rsid w:val="00A466EE"/>
    <w:rsid w:val="00A4752D"/>
    <w:rsid w:val="00A50E16"/>
    <w:rsid w:val="00A56FCA"/>
    <w:rsid w:val="00A6004A"/>
    <w:rsid w:val="00A613C2"/>
    <w:rsid w:val="00A617AC"/>
    <w:rsid w:val="00A63222"/>
    <w:rsid w:val="00A63B4E"/>
    <w:rsid w:val="00A74DE6"/>
    <w:rsid w:val="00A8086A"/>
    <w:rsid w:val="00A80F32"/>
    <w:rsid w:val="00A8160E"/>
    <w:rsid w:val="00A81CDB"/>
    <w:rsid w:val="00A84898"/>
    <w:rsid w:val="00A85D57"/>
    <w:rsid w:val="00A87F7D"/>
    <w:rsid w:val="00A9244C"/>
    <w:rsid w:val="00A94D14"/>
    <w:rsid w:val="00AA5784"/>
    <w:rsid w:val="00AB0ADB"/>
    <w:rsid w:val="00AB3FD1"/>
    <w:rsid w:val="00AB6C82"/>
    <w:rsid w:val="00AC0EAB"/>
    <w:rsid w:val="00AC1435"/>
    <w:rsid w:val="00AC1F8F"/>
    <w:rsid w:val="00AC4701"/>
    <w:rsid w:val="00AC49A2"/>
    <w:rsid w:val="00AC6FA5"/>
    <w:rsid w:val="00AD0483"/>
    <w:rsid w:val="00AD6288"/>
    <w:rsid w:val="00AD73E2"/>
    <w:rsid w:val="00AE2631"/>
    <w:rsid w:val="00AE3418"/>
    <w:rsid w:val="00AF1BEC"/>
    <w:rsid w:val="00AF58CB"/>
    <w:rsid w:val="00B009B8"/>
    <w:rsid w:val="00B01B1A"/>
    <w:rsid w:val="00B04298"/>
    <w:rsid w:val="00B052CF"/>
    <w:rsid w:val="00B10F38"/>
    <w:rsid w:val="00B1354A"/>
    <w:rsid w:val="00B13D12"/>
    <w:rsid w:val="00B14E03"/>
    <w:rsid w:val="00B24457"/>
    <w:rsid w:val="00B26611"/>
    <w:rsid w:val="00B2672B"/>
    <w:rsid w:val="00B26B98"/>
    <w:rsid w:val="00B31A3F"/>
    <w:rsid w:val="00B31C7B"/>
    <w:rsid w:val="00B34217"/>
    <w:rsid w:val="00B35A83"/>
    <w:rsid w:val="00B35ADC"/>
    <w:rsid w:val="00B37C24"/>
    <w:rsid w:val="00B37D0D"/>
    <w:rsid w:val="00B405F1"/>
    <w:rsid w:val="00B40FBC"/>
    <w:rsid w:val="00B41B81"/>
    <w:rsid w:val="00B41DF7"/>
    <w:rsid w:val="00B421F5"/>
    <w:rsid w:val="00B4422D"/>
    <w:rsid w:val="00B46F27"/>
    <w:rsid w:val="00B47FD7"/>
    <w:rsid w:val="00B51F75"/>
    <w:rsid w:val="00B52CDB"/>
    <w:rsid w:val="00B53E27"/>
    <w:rsid w:val="00B54675"/>
    <w:rsid w:val="00B55136"/>
    <w:rsid w:val="00B558AF"/>
    <w:rsid w:val="00B6105C"/>
    <w:rsid w:val="00B615BA"/>
    <w:rsid w:val="00B622E7"/>
    <w:rsid w:val="00B62D8B"/>
    <w:rsid w:val="00B65805"/>
    <w:rsid w:val="00B72CD3"/>
    <w:rsid w:val="00B72FFF"/>
    <w:rsid w:val="00B73EB6"/>
    <w:rsid w:val="00B76CEB"/>
    <w:rsid w:val="00B8257D"/>
    <w:rsid w:val="00B828EF"/>
    <w:rsid w:val="00B82B8B"/>
    <w:rsid w:val="00B86982"/>
    <w:rsid w:val="00B86FE2"/>
    <w:rsid w:val="00B878ED"/>
    <w:rsid w:val="00B87F69"/>
    <w:rsid w:val="00B91186"/>
    <w:rsid w:val="00B93423"/>
    <w:rsid w:val="00B96213"/>
    <w:rsid w:val="00BA2EF4"/>
    <w:rsid w:val="00BA7850"/>
    <w:rsid w:val="00BC0036"/>
    <w:rsid w:val="00BC05A6"/>
    <w:rsid w:val="00BC2132"/>
    <w:rsid w:val="00BC3D36"/>
    <w:rsid w:val="00BC4B34"/>
    <w:rsid w:val="00BD279A"/>
    <w:rsid w:val="00BD2948"/>
    <w:rsid w:val="00BD39BA"/>
    <w:rsid w:val="00BD7F72"/>
    <w:rsid w:val="00BE03BC"/>
    <w:rsid w:val="00BE097E"/>
    <w:rsid w:val="00BE0A18"/>
    <w:rsid w:val="00BE12F9"/>
    <w:rsid w:val="00BE2120"/>
    <w:rsid w:val="00BE2377"/>
    <w:rsid w:val="00BE7308"/>
    <w:rsid w:val="00BE7DBA"/>
    <w:rsid w:val="00BF0437"/>
    <w:rsid w:val="00BF1201"/>
    <w:rsid w:val="00BF1C68"/>
    <w:rsid w:val="00BF1D4A"/>
    <w:rsid w:val="00BF230F"/>
    <w:rsid w:val="00BF714A"/>
    <w:rsid w:val="00C002E3"/>
    <w:rsid w:val="00C012CC"/>
    <w:rsid w:val="00C02F3D"/>
    <w:rsid w:val="00C04FB3"/>
    <w:rsid w:val="00C05FE1"/>
    <w:rsid w:val="00C10179"/>
    <w:rsid w:val="00C147D0"/>
    <w:rsid w:val="00C159C1"/>
    <w:rsid w:val="00C16346"/>
    <w:rsid w:val="00C175F4"/>
    <w:rsid w:val="00C203C2"/>
    <w:rsid w:val="00C21B15"/>
    <w:rsid w:val="00C23C5E"/>
    <w:rsid w:val="00C26980"/>
    <w:rsid w:val="00C27B8B"/>
    <w:rsid w:val="00C32523"/>
    <w:rsid w:val="00C330EB"/>
    <w:rsid w:val="00C371C9"/>
    <w:rsid w:val="00C40E9F"/>
    <w:rsid w:val="00C41481"/>
    <w:rsid w:val="00C42469"/>
    <w:rsid w:val="00C46D91"/>
    <w:rsid w:val="00C47A07"/>
    <w:rsid w:val="00C57281"/>
    <w:rsid w:val="00C65D65"/>
    <w:rsid w:val="00C66566"/>
    <w:rsid w:val="00C67703"/>
    <w:rsid w:val="00C7173F"/>
    <w:rsid w:val="00C730B6"/>
    <w:rsid w:val="00C754BE"/>
    <w:rsid w:val="00C76466"/>
    <w:rsid w:val="00C76B1C"/>
    <w:rsid w:val="00C84561"/>
    <w:rsid w:val="00C915DD"/>
    <w:rsid w:val="00C91B94"/>
    <w:rsid w:val="00C95476"/>
    <w:rsid w:val="00CA55D2"/>
    <w:rsid w:val="00CA6A9D"/>
    <w:rsid w:val="00CA7F6B"/>
    <w:rsid w:val="00CA7FB6"/>
    <w:rsid w:val="00CB3853"/>
    <w:rsid w:val="00CB6357"/>
    <w:rsid w:val="00CB7326"/>
    <w:rsid w:val="00CC0FA3"/>
    <w:rsid w:val="00CC1B26"/>
    <w:rsid w:val="00CC2D21"/>
    <w:rsid w:val="00CC4010"/>
    <w:rsid w:val="00CC49F7"/>
    <w:rsid w:val="00CC54DB"/>
    <w:rsid w:val="00CD087D"/>
    <w:rsid w:val="00CD1DD6"/>
    <w:rsid w:val="00CD4073"/>
    <w:rsid w:val="00CD41CB"/>
    <w:rsid w:val="00CD5EE0"/>
    <w:rsid w:val="00CD720B"/>
    <w:rsid w:val="00CD7A71"/>
    <w:rsid w:val="00CE509A"/>
    <w:rsid w:val="00CE5414"/>
    <w:rsid w:val="00CF1287"/>
    <w:rsid w:val="00CF7826"/>
    <w:rsid w:val="00D0157A"/>
    <w:rsid w:val="00D036D8"/>
    <w:rsid w:val="00D038ED"/>
    <w:rsid w:val="00D04446"/>
    <w:rsid w:val="00D06D26"/>
    <w:rsid w:val="00D10199"/>
    <w:rsid w:val="00D10B75"/>
    <w:rsid w:val="00D13351"/>
    <w:rsid w:val="00D13EA0"/>
    <w:rsid w:val="00D15E25"/>
    <w:rsid w:val="00D16D7E"/>
    <w:rsid w:val="00D17114"/>
    <w:rsid w:val="00D20368"/>
    <w:rsid w:val="00D21038"/>
    <w:rsid w:val="00D22361"/>
    <w:rsid w:val="00D22598"/>
    <w:rsid w:val="00D26924"/>
    <w:rsid w:val="00D3128C"/>
    <w:rsid w:val="00D413F6"/>
    <w:rsid w:val="00D4231B"/>
    <w:rsid w:val="00D423A2"/>
    <w:rsid w:val="00D520D8"/>
    <w:rsid w:val="00D52961"/>
    <w:rsid w:val="00D55048"/>
    <w:rsid w:val="00D55978"/>
    <w:rsid w:val="00D57FA4"/>
    <w:rsid w:val="00D62DE7"/>
    <w:rsid w:val="00D63AC2"/>
    <w:rsid w:val="00D665B4"/>
    <w:rsid w:val="00D67A5D"/>
    <w:rsid w:val="00D7383B"/>
    <w:rsid w:val="00D75566"/>
    <w:rsid w:val="00D7609E"/>
    <w:rsid w:val="00D81A63"/>
    <w:rsid w:val="00D81D25"/>
    <w:rsid w:val="00D847FF"/>
    <w:rsid w:val="00D85C60"/>
    <w:rsid w:val="00D908FC"/>
    <w:rsid w:val="00D94C40"/>
    <w:rsid w:val="00DA16BA"/>
    <w:rsid w:val="00DA231B"/>
    <w:rsid w:val="00DA23A0"/>
    <w:rsid w:val="00DA7F66"/>
    <w:rsid w:val="00DB186F"/>
    <w:rsid w:val="00DB1CA2"/>
    <w:rsid w:val="00DB322A"/>
    <w:rsid w:val="00DB5175"/>
    <w:rsid w:val="00DC39FC"/>
    <w:rsid w:val="00DC4385"/>
    <w:rsid w:val="00DC484F"/>
    <w:rsid w:val="00DC4C27"/>
    <w:rsid w:val="00DC51BC"/>
    <w:rsid w:val="00DC793F"/>
    <w:rsid w:val="00DC7D35"/>
    <w:rsid w:val="00DD3BEB"/>
    <w:rsid w:val="00DE0D10"/>
    <w:rsid w:val="00DE4629"/>
    <w:rsid w:val="00DF11FD"/>
    <w:rsid w:val="00DF16E3"/>
    <w:rsid w:val="00DF5254"/>
    <w:rsid w:val="00DF6AE7"/>
    <w:rsid w:val="00DF7BE3"/>
    <w:rsid w:val="00E0065E"/>
    <w:rsid w:val="00E06768"/>
    <w:rsid w:val="00E12426"/>
    <w:rsid w:val="00E16408"/>
    <w:rsid w:val="00E1678E"/>
    <w:rsid w:val="00E20894"/>
    <w:rsid w:val="00E245AB"/>
    <w:rsid w:val="00E26239"/>
    <w:rsid w:val="00E2764C"/>
    <w:rsid w:val="00E27F2E"/>
    <w:rsid w:val="00E377A2"/>
    <w:rsid w:val="00E413EA"/>
    <w:rsid w:val="00E45B7D"/>
    <w:rsid w:val="00E47F28"/>
    <w:rsid w:val="00E50AFE"/>
    <w:rsid w:val="00E52E49"/>
    <w:rsid w:val="00E53447"/>
    <w:rsid w:val="00E577AC"/>
    <w:rsid w:val="00E578B6"/>
    <w:rsid w:val="00E61547"/>
    <w:rsid w:val="00E61702"/>
    <w:rsid w:val="00E658D4"/>
    <w:rsid w:val="00E744BA"/>
    <w:rsid w:val="00E75B66"/>
    <w:rsid w:val="00E75C92"/>
    <w:rsid w:val="00E761BC"/>
    <w:rsid w:val="00E76808"/>
    <w:rsid w:val="00E770CD"/>
    <w:rsid w:val="00E771DC"/>
    <w:rsid w:val="00E77478"/>
    <w:rsid w:val="00E77E1B"/>
    <w:rsid w:val="00E8013F"/>
    <w:rsid w:val="00E8071A"/>
    <w:rsid w:val="00E80C9F"/>
    <w:rsid w:val="00E847D2"/>
    <w:rsid w:val="00E85AA8"/>
    <w:rsid w:val="00E870E5"/>
    <w:rsid w:val="00E8772A"/>
    <w:rsid w:val="00E90F6B"/>
    <w:rsid w:val="00E91079"/>
    <w:rsid w:val="00E92C27"/>
    <w:rsid w:val="00E92E10"/>
    <w:rsid w:val="00EA0E3D"/>
    <w:rsid w:val="00EA1CD8"/>
    <w:rsid w:val="00EA393B"/>
    <w:rsid w:val="00EA39A5"/>
    <w:rsid w:val="00EA4D15"/>
    <w:rsid w:val="00EB185D"/>
    <w:rsid w:val="00EB2C4B"/>
    <w:rsid w:val="00EB7E00"/>
    <w:rsid w:val="00EC1A2C"/>
    <w:rsid w:val="00EC1FE1"/>
    <w:rsid w:val="00EC38A7"/>
    <w:rsid w:val="00EC5D5B"/>
    <w:rsid w:val="00ED042A"/>
    <w:rsid w:val="00ED0D4A"/>
    <w:rsid w:val="00ED2F67"/>
    <w:rsid w:val="00ED7AD8"/>
    <w:rsid w:val="00EE1AA8"/>
    <w:rsid w:val="00EF26C3"/>
    <w:rsid w:val="00EF419E"/>
    <w:rsid w:val="00EF489F"/>
    <w:rsid w:val="00F07875"/>
    <w:rsid w:val="00F11213"/>
    <w:rsid w:val="00F11BAA"/>
    <w:rsid w:val="00F12913"/>
    <w:rsid w:val="00F1445A"/>
    <w:rsid w:val="00F14B48"/>
    <w:rsid w:val="00F177C1"/>
    <w:rsid w:val="00F23592"/>
    <w:rsid w:val="00F238F2"/>
    <w:rsid w:val="00F260AA"/>
    <w:rsid w:val="00F27B26"/>
    <w:rsid w:val="00F31EDC"/>
    <w:rsid w:val="00F34D02"/>
    <w:rsid w:val="00F34E84"/>
    <w:rsid w:val="00F40BAD"/>
    <w:rsid w:val="00F41EEE"/>
    <w:rsid w:val="00F462B3"/>
    <w:rsid w:val="00F47069"/>
    <w:rsid w:val="00F51119"/>
    <w:rsid w:val="00F5184B"/>
    <w:rsid w:val="00F522AE"/>
    <w:rsid w:val="00F5391F"/>
    <w:rsid w:val="00F55081"/>
    <w:rsid w:val="00F55168"/>
    <w:rsid w:val="00F5664F"/>
    <w:rsid w:val="00F626C4"/>
    <w:rsid w:val="00F643DF"/>
    <w:rsid w:val="00F64D9E"/>
    <w:rsid w:val="00F665D0"/>
    <w:rsid w:val="00F666C4"/>
    <w:rsid w:val="00F71204"/>
    <w:rsid w:val="00F73DB7"/>
    <w:rsid w:val="00F7684C"/>
    <w:rsid w:val="00F76AFC"/>
    <w:rsid w:val="00F80CBE"/>
    <w:rsid w:val="00F82FD5"/>
    <w:rsid w:val="00F85198"/>
    <w:rsid w:val="00F85A91"/>
    <w:rsid w:val="00F91268"/>
    <w:rsid w:val="00F939CB"/>
    <w:rsid w:val="00F9479C"/>
    <w:rsid w:val="00F965EE"/>
    <w:rsid w:val="00F97949"/>
    <w:rsid w:val="00FA0A8F"/>
    <w:rsid w:val="00FA1110"/>
    <w:rsid w:val="00FA358D"/>
    <w:rsid w:val="00FA47C0"/>
    <w:rsid w:val="00FB4425"/>
    <w:rsid w:val="00FB4EE0"/>
    <w:rsid w:val="00FB5615"/>
    <w:rsid w:val="00FB5DD1"/>
    <w:rsid w:val="00FB5F87"/>
    <w:rsid w:val="00FC07B5"/>
    <w:rsid w:val="00FC2B5D"/>
    <w:rsid w:val="00FD00E9"/>
    <w:rsid w:val="00FD03E3"/>
    <w:rsid w:val="00FD07E4"/>
    <w:rsid w:val="00FD0E1B"/>
    <w:rsid w:val="00FE122A"/>
    <w:rsid w:val="00FE20E6"/>
    <w:rsid w:val="00FE227D"/>
    <w:rsid w:val="00FE42B3"/>
    <w:rsid w:val="00FE5975"/>
    <w:rsid w:val="00FE72AA"/>
    <w:rsid w:val="00FE7B77"/>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6922BF7B-D604-4697-B359-3BC94268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F0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table" w:customStyle="1" w:styleId="Tablaconcuadrcula11">
    <w:name w:val="Tabla con cuadrícula11"/>
    <w:basedOn w:val="Tablanormal"/>
    <w:next w:val="Tablaconcuadrcula"/>
    <w:uiPriority w:val="39"/>
    <w:qFormat/>
    <w:rsid w:val="00B31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F71204"/>
    <w:pPr>
      <w:spacing w:after="0" w:line="240" w:lineRule="auto"/>
    </w:pPr>
  </w:style>
  <w:style w:type="character" w:styleId="Mencinsinresolver">
    <w:name w:val="Unresolved Mention"/>
    <w:basedOn w:val="Fuentedeprrafopredeter"/>
    <w:uiPriority w:val="99"/>
    <w:semiHidden/>
    <w:unhideWhenUsed/>
    <w:rsid w:val="00BD29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409299">
      <w:bodyDiv w:val="1"/>
      <w:marLeft w:val="0"/>
      <w:marRight w:val="0"/>
      <w:marTop w:val="0"/>
      <w:marBottom w:val="0"/>
      <w:divBdr>
        <w:top w:val="none" w:sz="0" w:space="0" w:color="auto"/>
        <w:left w:val="none" w:sz="0" w:space="0" w:color="auto"/>
        <w:bottom w:val="none" w:sz="0" w:space="0" w:color="auto"/>
        <w:right w:val="none" w:sz="0" w:space="0" w:color="auto"/>
      </w:divBdr>
    </w:div>
    <w:div w:id="367878781">
      <w:bodyDiv w:val="1"/>
      <w:marLeft w:val="0"/>
      <w:marRight w:val="0"/>
      <w:marTop w:val="0"/>
      <w:marBottom w:val="0"/>
      <w:divBdr>
        <w:top w:val="none" w:sz="0" w:space="0" w:color="auto"/>
        <w:left w:val="none" w:sz="0" w:space="0" w:color="auto"/>
        <w:bottom w:val="none" w:sz="0" w:space="0" w:color="auto"/>
        <w:right w:val="none" w:sz="0" w:space="0" w:color="auto"/>
      </w:divBdr>
    </w:div>
    <w:div w:id="404839358">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493180265">
      <w:bodyDiv w:val="1"/>
      <w:marLeft w:val="0"/>
      <w:marRight w:val="0"/>
      <w:marTop w:val="0"/>
      <w:marBottom w:val="0"/>
      <w:divBdr>
        <w:top w:val="none" w:sz="0" w:space="0" w:color="auto"/>
        <w:left w:val="none" w:sz="0" w:space="0" w:color="auto"/>
        <w:bottom w:val="none" w:sz="0" w:space="0" w:color="auto"/>
        <w:right w:val="none" w:sz="0" w:space="0" w:color="auto"/>
      </w:divBdr>
      <w:divsChild>
        <w:div w:id="1080754714">
          <w:marLeft w:val="0"/>
          <w:marRight w:val="0"/>
          <w:marTop w:val="0"/>
          <w:marBottom w:val="0"/>
          <w:divBdr>
            <w:top w:val="none" w:sz="0" w:space="0" w:color="auto"/>
            <w:left w:val="none" w:sz="0" w:space="0" w:color="auto"/>
            <w:bottom w:val="none" w:sz="0" w:space="0" w:color="auto"/>
            <w:right w:val="none" w:sz="0" w:space="0" w:color="auto"/>
          </w:divBdr>
        </w:div>
        <w:div w:id="1112440676">
          <w:marLeft w:val="0"/>
          <w:marRight w:val="0"/>
          <w:marTop w:val="0"/>
          <w:marBottom w:val="0"/>
          <w:divBdr>
            <w:top w:val="none" w:sz="0" w:space="0" w:color="auto"/>
            <w:left w:val="none" w:sz="0" w:space="0" w:color="auto"/>
            <w:bottom w:val="none" w:sz="0" w:space="0" w:color="auto"/>
            <w:right w:val="none" w:sz="0" w:space="0" w:color="auto"/>
          </w:divBdr>
        </w:div>
      </w:divsChild>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1748830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065458">
      <w:bodyDiv w:val="1"/>
      <w:marLeft w:val="0"/>
      <w:marRight w:val="0"/>
      <w:marTop w:val="0"/>
      <w:marBottom w:val="0"/>
      <w:divBdr>
        <w:top w:val="none" w:sz="0" w:space="0" w:color="auto"/>
        <w:left w:val="none" w:sz="0" w:space="0" w:color="auto"/>
        <w:bottom w:val="none" w:sz="0" w:space="0" w:color="auto"/>
        <w:right w:val="none" w:sz="0" w:space="0" w:color="auto"/>
      </w:divBdr>
    </w:div>
    <w:div w:id="707414069">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33375842">
          <w:marLeft w:val="0"/>
          <w:marRight w:val="0"/>
          <w:marTop w:val="0"/>
          <w:marBottom w:val="160"/>
          <w:divBdr>
            <w:top w:val="none" w:sz="0" w:space="0" w:color="auto"/>
            <w:left w:val="none" w:sz="0" w:space="0" w:color="auto"/>
            <w:bottom w:val="none" w:sz="0" w:space="0" w:color="auto"/>
            <w:right w:val="none" w:sz="0" w:space="0" w:color="auto"/>
          </w:divBdr>
        </w:div>
        <w:div w:id="1665283950">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90015204">
      <w:bodyDiv w:val="1"/>
      <w:marLeft w:val="0"/>
      <w:marRight w:val="0"/>
      <w:marTop w:val="0"/>
      <w:marBottom w:val="0"/>
      <w:divBdr>
        <w:top w:val="none" w:sz="0" w:space="0" w:color="auto"/>
        <w:left w:val="none" w:sz="0" w:space="0" w:color="auto"/>
        <w:bottom w:val="none" w:sz="0" w:space="0" w:color="auto"/>
        <w:right w:val="none" w:sz="0" w:space="0" w:color="auto"/>
      </w:divBdr>
      <w:divsChild>
        <w:div w:id="155534597">
          <w:marLeft w:val="0"/>
          <w:marRight w:val="0"/>
          <w:marTop w:val="0"/>
          <w:marBottom w:val="0"/>
          <w:divBdr>
            <w:top w:val="none" w:sz="0" w:space="0" w:color="auto"/>
            <w:left w:val="none" w:sz="0" w:space="0" w:color="auto"/>
            <w:bottom w:val="none" w:sz="0" w:space="0" w:color="auto"/>
            <w:right w:val="none" w:sz="0" w:space="0" w:color="auto"/>
          </w:divBdr>
          <w:divsChild>
            <w:div w:id="1419593446">
              <w:marLeft w:val="0"/>
              <w:marRight w:val="0"/>
              <w:marTop w:val="0"/>
              <w:marBottom w:val="0"/>
              <w:divBdr>
                <w:top w:val="none" w:sz="0" w:space="0" w:color="auto"/>
                <w:left w:val="none" w:sz="0" w:space="0" w:color="auto"/>
                <w:bottom w:val="none" w:sz="0" w:space="0" w:color="auto"/>
                <w:right w:val="none" w:sz="0" w:space="0" w:color="auto"/>
              </w:divBdr>
              <w:divsChild>
                <w:div w:id="1343362081">
                  <w:marLeft w:val="0"/>
                  <w:marRight w:val="0"/>
                  <w:marTop w:val="0"/>
                  <w:marBottom w:val="0"/>
                  <w:divBdr>
                    <w:top w:val="none" w:sz="0" w:space="0" w:color="auto"/>
                    <w:left w:val="none" w:sz="0" w:space="0" w:color="auto"/>
                    <w:bottom w:val="none" w:sz="0" w:space="0" w:color="auto"/>
                    <w:right w:val="none" w:sz="0" w:space="0" w:color="auto"/>
                  </w:divBdr>
                  <w:divsChild>
                    <w:div w:id="716901337">
                      <w:marLeft w:val="0"/>
                      <w:marRight w:val="0"/>
                      <w:marTop w:val="0"/>
                      <w:marBottom w:val="0"/>
                      <w:divBdr>
                        <w:top w:val="none" w:sz="0" w:space="0" w:color="auto"/>
                        <w:left w:val="none" w:sz="0" w:space="0" w:color="auto"/>
                        <w:bottom w:val="none" w:sz="0" w:space="0" w:color="auto"/>
                        <w:right w:val="none" w:sz="0" w:space="0" w:color="auto"/>
                      </w:divBdr>
                      <w:divsChild>
                        <w:div w:id="1330594945">
                          <w:marLeft w:val="0"/>
                          <w:marRight w:val="0"/>
                          <w:marTop w:val="0"/>
                          <w:marBottom w:val="0"/>
                          <w:divBdr>
                            <w:top w:val="none" w:sz="0" w:space="0" w:color="auto"/>
                            <w:left w:val="none" w:sz="0" w:space="0" w:color="auto"/>
                            <w:bottom w:val="none" w:sz="0" w:space="0" w:color="auto"/>
                            <w:right w:val="none" w:sz="0" w:space="0" w:color="auto"/>
                          </w:divBdr>
                          <w:divsChild>
                            <w:div w:id="109624273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8842407">
                      <w:marLeft w:val="0"/>
                      <w:marRight w:val="0"/>
                      <w:marTop w:val="0"/>
                      <w:marBottom w:val="0"/>
                      <w:divBdr>
                        <w:top w:val="none" w:sz="0" w:space="0" w:color="auto"/>
                        <w:left w:val="none" w:sz="0" w:space="0" w:color="auto"/>
                        <w:bottom w:val="none" w:sz="0" w:space="0" w:color="auto"/>
                        <w:right w:val="none" w:sz="0" w:space="0" w:color="auto"/>
                      </w:divBdr>
                      <w:divsChild>
                        <w:div w:id="2080902959">
                          <w:marLeft w:val="0"/>
                          <w:marRight w:val="0"/>
                          <w:marTop w:val="0"/>
                          <w:marBottom w:val="0"/>
                          <w:divBdr>
                            <w:top w:val="none" w:sz="0" w:space="0" w:color="auto"/>
                            <w:left w:val="none" w:sz="0" w:space="0" w:color="auto"/>
                            <w:bottom w:val="none" w:sz="0" w:space="0" w:color="auto"/>
                            <w:right w:val="none" w:sz="0" w:space="0" w:color="auto"/>
                          </w:divBdr>
                          <w:divsChild>
                            <w:div w:id="14011702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76014274">
                      <w:marLeft w:val="0"/>
                      <w:marRight w:val="0"/>
                      <w:marTop w:val="0"/>
                      <w:marBottom w:val="0"/>
                      <w:divBdr>
                        <w:top w:val="none" w:sz="0" w:space="0" w:color="auto"/>
                        <w:left w:val="none" w:sz="0" w:space="0" w:color="auto"/>
                        <w:bottom w:val="none" w:sz="0" w:space="0" w:color="auto"/>
                        <w:right w:val="none" w:sz="0" w:space="0" w:color="auto"/>
                      </w:divBdr>
                      <w:divsChild>
                        <w:div w:id="920606548">
                          <w:marLeft w:val="0"/>
                          <w:marRight w:val="0"/>
                          <w:marTop w:val="0"/>
                          <w:marBottom w:val="0"/>
                          <w:divBdr>
                            <w:top w:val="none" w:sz="0" w:space="0" w:color="auto"/>
                            <w:left w:val="none" w:sz="0" w:space="0" w:color="auto"/>
                            <w:bottom w:val="none" w:sz="0" w:space="0" w:color="auto"/>
                            <w:right w:val="none" w:sz="0" w:space="0" w:color="auto"/>
                          </w:divBdr>
                          <w:divsChild>
                            <w:div w:id="561059275">
                              <w:marLeft w:val="-420"/>
                              <w:marRight w:val="0"/>
                              <w:marTop w:val="0"/>
                              <w:marBottom w:val="0"/>
                              <w:divBdr>
                                <w:top w:val="none" w:sz="0" w:space="0" w:color="auto"/>
                                <w:left w:val="none" w:sz="0" w:space="0" w:color="auto"/>
                                <w:bottom w:val="none" w:sz="0" w:space="0" w:color="auto"/>
                                <w:right w:val="none" w:sz="0" w:space="0" w:color="auto"/>
                              </w:divBdr>
                              <w:divsChild>
                                <w:div w:id="2042825720">
                                  <w:marLeft w:val="0"/>
                                  <w:marRight w:val="0"/>
                                  <w:marTop w:val="0"/>
                                  <w:marBottom w:val="0"/>
                                  <w:divBdr>
                                    <w:top w:val="none" w:sz="0" w:space="0" w:color="auto"/>
                                    <w:left w:val="none" w:sz="0" w:space="0" w:color="auto"/>
                                    <w:bottom w:val="none" w:sz="0" w:space="0" w:color="auto"/>
                                    <w:right w:val="none" w:sz="0" w:space="0" w:color="auto"/>
                                  </w:divBdr>
                                  <w:divsChild>
                                    <w:div w:id="390035471">
                                      <w:marLeft w:val="0"/>
                                      <w:marRight w:val="0"/>
                                      <w:marTop w:val="0"/>
                                      <w:marBottom w:val="0"/>
                                      <w:divBdr>
                                        <w:top w:val="none" w:sz="0" w:space="0" w:color="auto"/>
                                        <w:left w:val="none" w:sz="0" w:space="0" w:color="auto"/>
                                        <w:bottom w:val="none" w:sz="0" w:space="0" w:color="auto"/>
                                        <w:right w:val="none" w:sz="0" w:space="0" w:color="auto"/>
                                      </w:divBdr>
                                      <w:divsChild>
                                        <w:div w:id="401298508">
                                          <w:marLeft w:val="0"/>
                                          <w:marRight w:val="0"/>
                                          <w:marTop w:val="0"/>
                                          <w:marBottom w:val="0"/>
                                          <w:divBdr>
                                            <w:top w:val="none" w:sz="0" w:space="0" w:color="auto"/>
                                            <w:left w:val="none" w:sz="0" w:space="0" w:color="auto"/>
                                            <w:bottom w:val="none" w:sz="0" w:space="0" w:color="auto"/>
                                            <w:right w:val="none" w:sz="0" w:space="0" w:color="auto"/>
                                          </w:divBdr>
                                        </w:div>
                                        <w:div w:id="4931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20477">
                              <w:marLeft w:val="-420"/>
                              <w:marRight w:val="0"/>
                              <w:marTop w:val="0"/>
                              <w:marBottom w:val="0"/>
                              <w:divBdr>
                                <w:top w:val="none" w:sz="0" w:space="0" w:color="auto"/>
                                <w:left w:val="none" w:sz="0" w:space="0" w:color="auto"/>
                                <w:bottom w:val="none" w:sz="0" w:space="0" w:color="auto"/>
                                <w:right w:val="none" w:sz="0" w:space="0" w:color="auto"/>
                              </w:divBdr>
                              <w:divsChild>
                                <w:div w:id="1894656545">
                                  <w:marLeft w:val="0"/>
                                  <w:marRight w:val="0"/>
                                  <w:marTop w:val="0"/>
                                  <w:marBottom w:val="0"/>
                                  <w:divBdr>
                                    <w:top w:val="none" w:sz="0" w:space="0" w:color="auto"/>
                                    <w:left w:val="none" w:sz="0" w:space="0" w:color="auto"/>
                                    <w:bottom w:val="none" w:sz="0" w:space="0" w:color="auto"/>
                                    <w:right w:val="none" w:sz="0" w:space="0" w:color="auto"/>
                                  </w:divBdr>
                                  <w:divsChild>
                                    <w:div w:id="967854028">
                                      <w:marLeft w:val="0"/>
                                      <w:marRight w:val="0"/>
                                      <w:marTop w:val="0"/>
                                      <w:marBottom w:val="0"/>
                                      <w:divBdr>
                                        <w:top w:val="none" w:sz="0" w:space="0" w:color="auto"/>
                                        <w:left w:val="none" w:sz="0" w:space="0" w:color="auto"/>
                                        <w:bottom w:val="none" w:sz="0" w:space="0" w:color="auto"/>
                                        <w:right w:val="none" w:sz="0" w:space="0" w:color="auto"/>
                                      </w:divBdr>
                                      <w:divsChild>
                                        <w:div w:id="149178162">
                                          <w:marLeft w:val="0"/>
                                          <w:marRight w:val="0"/>
                                          <w:marTop w:val="0"/>
                                          <w:marBottom w:val="0"/>
                                          <w:divBdr>
                                            <w:top w:val="none" w:sz="0" w:space="0" w:color="auto"/>
                                            <w:left w:val="none" w:sz="0" w:space="0" w:color="auto"/>
                                            <w:bottom w:val="none" w:sz="0" w:space="0" w:color="auto"/>
                                            <w:right w:val="none" w:sz="0" w:space="0" w:color="auto"/>
                                          </w:divBdr>
                                        </w:div>
                                        <w:div w:id="155177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812738">
                              <w:marLeft w:val="-420"/>
                              <w:marRight w:val="0"/>
                              <w:marTop w:val="0"/>
                              <w:marBottom w:val="0"/>
                              <w:divBdr>
                                <w:top w:val="none" w:sz="0" w:space="0" w:color="auto"/>
                                <w:left w:val="none" w:sz="0" w:space="0" w:color="auto"/>
                                <w:bottom w:val="none" w:sz="0" w:space="0" w:color="auto"/>
                                <w:right w:val="none" w:sz="0" w:space="0" w:color="auto"/>
                              </w:divBdr>
                              <w:divsChild>
                                <w:div w:id="1911041600">
                                  <w:marLeft w:val="0"/>
                                  <w:marRight w:val="0"/>
                                  <w:marTop w:val="0"/>
                                  <w:marBottom w:val="0"/>
                                  <w:divBdr>
                                    <w:top w:val="none" w:sz="0" w:space="0" w:color="auto"/>
                                    <w:left w:val="none" w:sz="0" w:space="0" w:color="auto"/>
                                    <w:bottom w:val="none" w:sz="0" w:space="0" w:color="auto"/>
                                    <w:right w:val="none" w:sz="0" w:space="0" w:color="auto"/>
                                  </w:divBdr>
                                  <w:divsChild>
                                    <w:div w:id="861044171">
                                      <w:marLeft w:val="0"/>
                                      <w:marRight w:val="0"/>
                                      <w:marTop w:val="0"/>
                                      <w:marBottom w:val="0"/>
                                      <w:divBdr>
                                        <w:top w:val="none" w:sz="0" w:space="0" w:color="auto"/>
                                        <w:left w:val="none" w:sz="0" w:space="0" w:color="auto"/>
                                        <w:bottom w:val="none" w:sz="0" w:space="0" w:color="auto"/>
                                        <w:right w:val="none" w:sz="0" w:space="0" w:color="auto"/>
                                      </w:divBdr>
                                      <w:divsChild>
                                        <w:div w:id="705180249">
                                          <w:marLeft w:val="0"/>
                                          <w:marRight w:val="0"/>
                                          <w:marTop w:val="0"/>
                                          <w:marBottom w:val="0"/>
                                          <w:divBdr>
                                            <w:top w:val="none" w:sz="0" w:space="0" w:color="auto"/>
                                            <w:left w:val="none" w:sz="0" w:space="0" w:color="auto"/>
                                            <w:bottom w:val="none" w:sz="0" w:space="0" w:color="auto"/>
                                            <w:right w:val="none" w:sz="0" w:space="0" w:color="auto"/>
                                          </w:divBdr>
                                        </w:div>
                                        <w:div w:id="14786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053937">
                              <w:marLeft w:val="-420"/>
                              <w:marRight w:val="0"/>
                              <w:marTop w:val="0"/>
                              <w:marBottom w:val="0"/>
                              <w:divBdr>
                                <w:top w:val="none" w:sz="0" w:space="0" w:color="auto"/>
                                <w:left w:val="none" w:sz="0" w:space="0" w:color="auto"/>
                                <w:bottom w:val="none" w:sz="0" w:space="0" w:color="auto"/>
                                <w:right w:val="none" w:sz="0" w:space="0" w:color="auto"/>
                              </w:divBdr>
                              <w:divsChild>
                                <w:div w:id="884103095">
                                  <w:marLeft w:val="0"/>
                                  <w:marRight w:val="0"/>
                                  <w:marTop w:val="0"/>
                                  <w:marBottom w:val="0"/>
                                  <w:divBdr>
                                    <w:top w:val="none" w:sz="0" w:space="0" w:color="auto"/>
                                    <w:left w:val="none" w:sz="0" w:space="0" w:color="auto"/>
                                    <w:bottom w:val="none" w:sz="0" w:space="0" w:color="auto"/>
                                    <w:right w:val="none" w:sz="0" w:space="0" w:color="auto"/>
                                  </w:divBdr>
                                  <w:divsChild>
                                    <w:div w:id="307127584">
                                      <w:marLeft w:val="0"/>
                                      <w:marRight w:val="0"/>
                                      <w:marTop w:val="0"/>
                                      <w:marBottom w:val="0"/>
                                      <w:divBdr>
                                        <w:top w:val="none" w:sz="0" w:space="0" w:color="auto"/>
                                        <w:left w:val="none" w:sz="0" w:space="0" w:color="auto"/>
                                        <w:bottom w:val="none" w:sz="0" w:space="0" w:color="auto"/>
                                        <w:right w:val="none" w:sz="0" w:space="0" w:color="auto"/>
                                      </w:divBdr>
                                      <w:divsChild>
                                        <w:div w:id="811405581">
                                          <w:marLeft w:val="0"/>
                                          <w:marRight w:val="0"/>
                                          <w:marTop w:val="0"/>
                                          <w:marBottom w:val="0"/>
                                          <w:divBdr>
                                            <w:top w:val="none" w:sz="0" w:space="0" w:color="auto"/>
                                            <w:left w:val="none" w:sz="0" w:space="0" w:color="auto"/>
                                            <w:bottom w:val="none" w:sz="0" w:space="0" w:color="auto"/>
                                            <w:right w:val="none" w:sz="0" w:space="0" w:color="auto"/>
                                          </w:divBdr>
                                        </w:div>
                                        <w:div w:id="66979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7930448">
                      <w:marLeft w:val="0"/>
                      <w:marRight w:val="0"/>
                      <w:marTop w:val="0"/>
                      <w:marBottom w:val="0"/>
                      <w:divBdr>
                        <w:top w:val="none" w:sz="0" w:space="0" w:color="auto"/>
                        <w:left w:val="none" w:sz="0" w:space="0" w:color="auto"/>
                        <w:bottom w:val="none" w:sz="0" w:space="0" w:color="auto"/>
                        <w:right w:val="none" w:sz="0" w:space="0" w:color="auto"/>
                      </w:divBdr>
                      <w:divsChild>
                        <w:div w:id="153570891">
                          <w:marLeft w:val="0"/>
                          <w:marRight w:val="0"/>
                          <w:marTop w:val="0"/>
                          <w:marBottom w:val="0"/>
                          <w:divBdr>
                            <w:top w:val="none" w:sz="0" w:space="0" w:color="auto"/>
                            <w:left w:val="none" w:sz="0" w:space="0" w:color="auto"/>
                            <w:bottom w:val="none" w:sz="0" w:space="0" w:color="auto"/>
                            <w:right w:val="none" w:sz="0" w:space="0" w:color="auto"/>
                          </w:divBdr>
                          <w:divsChild>
                            <w:div w:id="97603603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59743338">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2257013">
      <w:bodyDiv w:val="1"/>
      <w:marLeft w:val="0"/>
      <w:marRight w:val="0"/>
      <w:marTop w:val="0"/>
      <w:marBottom w:val="0"/>
      <w:divBdr>
        <w:top w:val="none" w:sz="0" w:space="0" w:color="auto"/>
        <w:left w:val="none" w:sz="0" w:space="0" w:color="auto"/>
        <w:bottom w:val="none" w:sz="0" w:space="0" w:color="auto"/>
        <w:right w:val="none" w:sz="0" w:space="0" w:color="auto"/>
      </w:divBdr>
    </w:div>
    <w:div w:id="1195776917">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25353954">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522205550">
          <w:marLeft w:val="0"/>
          <w:marRight w:val="0"/>
          <w:marTop w:val="0"/>
          <w:marBottom w:val="160"/>
          <w:divBdr>
            <w:top w:val="none" w:sz="0" w:space="0" w:color="auto"/>
            <w:left w:val="none" w:sz="0" w:space="0" w:color="auto"/>
            <w:bottom w:val="none" w:sz="0" w:space="0" w:color="auto"/>
            <w:right w:val="none" w:sz="0" w:space="0" w:color="auto"/>
          </w:divBdr>
        </w:div>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39643459">
      <w:bodyDiv w:val="1"/>
      <w:marLeft w:val="0"/>
      <w:marRight w:val="0"/>
      <w:marTop w:val="0"/>
      <w:marBottom w:val="0"/>
      <w:divBdr>
        <w:top w:val="none" w:sz="0" w:space="0" w:color="auto"/>
        <w:left w:val="none" w:sz="0" w:space="0" w:color="auto"/>
        <w:bottom w:val="none" w:sz="0" w:space="0" w:color="auto"/>
        <w:right w:val="none" w:sz="0" w:space="0" w:color="auto"/>
      </w:divBdr>
    </w:div>
    <w:div w:id="1444691453">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78457599">
      <w:bodyDiv w:val="1"/>
      <w:marLeft w:val="0"/>
      <w:marRight w:val="0"/>
      <w:marTop w:val="0"/>
      <w:marBottom w:val="0"/>
      <w:divBdr>
        <w:top w:val="none" w:sz="0" w:space="0" w:color="auto"/>
        <w:left w:val="none" w:sz="0" w:space="0" w:color="auto"/>
        <w:bottom w:val="none" w:sz="0" w:space="0" w:color="auto"/>
        <w:right w:val="none" w:sz="0" w:space="0" w:color="auto"/>
      </w:divBdr>
    </w:div>
    <w:div w:id="1549956869">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179394306">
          <w:marLeft w:val="0"/>
          <w:marRight w:val="0"/>
          <w:marTop w:val="0"/>
          <w:marBottom w:val="160"/>
          <w:divBdr>
            <w:top w:val="none" w:sz="0" w:space="0" w:color="auto"/>
            <w:left w:val="none" w:sz="0" w:space="0" w:color="auto"/>
            <w:bottom w:val="none" w:sz="0" w:space="0" w:color="auto"/>
            <w:right w:val="none" w:sz="0" w:space="0" w:color="auto"/>
          </w:divBdr>
        </w:div>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sChild>
    </w:div>
    <w:div w:id="1677802067">
      <w:bodyDiv w:val="1"/>
      <w:marLeft w:val="0"/>
      <w:marRight w:val="0"/>
      <w:marTop w:val="0"/>
      <w:marBottom w:val="0"/>
      <w:divBdr>
        <w:top w:val="none" w:sz="0" w:space="0" w:color="auto"/>
        <w:left w:val="none" w:sz="0" w:space="0" w:color="auto"/>
        <w:bottom w:val="none" w:sz="0" w:space="0" w:color="auto"/>
        <w:right w:val="none" w:sz="0" w:space="0" w:color="auto"/>
      </w:divBdr>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hg93@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466-de-2024/%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527FF-0051-43E8-8504-0BA46C60B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9d85dbaf-23eb-4e57-a637-93dcacc8b1a1"/>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terms/"/>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A97BA1A-8523-416B-9054-AD61B08E318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20</Pages>
  <Words>6616</Words>
  <Characters>35731</Characters>
  <Application>Microsoft Office Word</Application>
  <DocSecurity>0</DocSecurity>
  <Lines>700</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2026-01-08T22:16:00Z</dcterms:created>
  <dcterms:modified xsi:type="dcterms:W3CDTF">2026-01-08T22:16:00Z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