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80EF2" w14:textId="034E9501" w:rsidR="003B3746" w:rsidRPr="003B3746" w:rsidRDefault="003B3746" w:rsidP="003B3746">
      <w:pPr>
        <w:spacing w:after="0"/>
        <w:jc w:val="both"/>
        <w:rPr>
          <w:rFonts w:ascii="Verdana" w:hAnsi="Verdana"/>
        </w:rPr>
      </w:pPr>
      <w:bookmarkStart w:id="0" w:name="_Hlk143780582"/>
      <w:r w:rsidRPr="003B3746">
        <w:rPr>
          <w:rFonts w:ascii="Verdana" w:eastAsia="Aptos" w:hAnsi="Verdana" w:cs="Times New Roman"/>
          <w:b/>
          <w:bCs/>
          <w:lang w:val="es-ES_tradnl"/>
        </w:rPr>
        <w:t xml:space="preserve">DOCUMENTOS TIPO DE INFRAESTRUCTURA DE TRANSPORTE – Ponderación de la propuesta económica – Reglas – TRM </w:t>
      </w:r>
    </w:p>
    <w:p w14:paraId="23724FC7" w14:textId="77777777" w:rsidR="003B3746" w:rsidRPr="003B3746" w:rsidRDefault="003B3746" w:rsidP="003B3746">
      <w:pPr>
        <w:spacing w:after="0" w:line="276" w:lineRule="auto"/>
        <w:jc w:val="both"/>
        <w:rPr>
          <w:rFonts w:ascii="Verdana" w:eastAsia="Aptos" w:hAnsi="Verdana" w:cs="Times New Roman"/>
          <w:lang w:val="es-ES_tradnl"/>
        </w:rPr>
      </w:pPr>
    </w:p>
    <w:p w14:paraId="32839F63" w14:textId="77777777" w:rsidR="00EB4650" w:rsidRPr="00997F26" w:rsidRDefault="00EB4650" w:rsidP="00997F26">
      <w:pPr>
        <w:tabs>
          <w:tab w:val="left" w:pos="-142"/>
        </w:tabs>
        <w:autoSpaceDE w:val="0"/>
        <w:autoSpaceDN w:val="0"/>
        <w:adjustRightInd w:val="0"/>
        <w:snapToGrid w:val="0"/>
        <w:spacing w:after="0" w:line="240" w:lineRule="auto"/>
        <w:jc w:val="both"/>
        <w:outlineLvl w:val="2"/>
        <w:rPr>
          <w:rFonts w:ascii="Verdana" w:eastAsia="Calibri" w:hAnsi="Verdana" w:cs="Arial"/>
          <w:sz w:val="20"/>
          <w:szCs w:val="20"/>
          <w:lang w:val="x-none" w:eastAsia="es-ES"/>
        </w:rPr>
      </w:pPr>
      <w:r w:rsidRPr="00997F26">
        <w:rPr>
          <w:rFonts w:ascii="Verdana" w:eastAsia="Calibri" w:hAnsi="Verdana" w:cs="Arial"/>
          <w:sz w:val="20"/>
          <w:szCs w:val="20"/>
        </w:rPr>
        <w:t xml:space="preserve">El numeral </w:t>
      </w:r>
      <w:r w:rsidRPr="00997F26">
        <w:rPr>
          <w:rFonts w:ascii="Verdana" w:eastAsia="Calibri" w:hAnsi="Verdana" w:cs="Arial"/>
          <w:sz w:val="20"/>
          <w:szCs w:val="20"/>
          <w:lang w:eastAsia="es-ES"/>
        </w:rPr>
        <w:t>4.1.4. “</w:t>
      </w:r>
      <w:r w:rsidRPr="00997F26">
        <w:rPr>
          <w:rFonts w:ascii="Verdana" w:eastAsia="Arial" w:hAnsi="Verdana" w:cs="Arial"/>
          <w:sz w:val="20"/>
          <w:szCs w:val="20"/>
          <w:lang w:eastAsia="es-ES"/>
        </w:rPr>
        <w:t xml:space="preserve">Determinación del método para la ponderación de la propuesta económica”, contenido en el documento base de los documentos tipo de licitación de obra pública de infraestructura de transporte –versión 4–, contiene </w:t>
      </w:r>
      <w:r w:rsidRPr="00997F26">
        <w:rPr>
          <w:rFonts w:ascii="Verdana" w:eastAsia="Calibri" w:hAnsi="Verdana" w:cs="Arial"/>
          <w:sz w:val="20"/>
          <w:szCs w:val="20"/>
          <w:lang w:val="x-none" w:eastAsia="es-ES"/>
        </w:rPr>
        <w:t>cuatro</w:t>
      </w:r>
      <w:r w:rsidRPr="00997F26">
        <w:rPr>
          <w:rFonts w:ascii="Verdana" w:eastAsia="Calibri" w:hAnsi="Verdana" w:cs="Arial"/>
          <w:sz w:val="20"/>
          <w:szCs w:val="20"/>
          <w:lang w:val="es-MX" w:eastAsia="es-ES"/>
        </w:rPr>
        <w:t xml:space="preserve"> (4)</w:t>
      </w:r>
      <w:r w:rsidRPr="00997F26">
        <w:rPr>
          <w:rFonts w:ascii="Verdana" w:eastAsia="Calibri" w:hAnsi="Verdana" w:cs="Arial"/>
          <w:sz w:val="20"/>
          <w:szCs w:val="20"/>
          <w:lang w:val="x-none" w:eastAsia="es-ES"/>
        </w:rPr>
        <w:t xml:space="preserve"> alternativas para escoger el método de ponderación de la</w:t>
      </w:r>
      <w:r w:rsidRPr="00997F26">
        <w:rPr>
          <w:rFonts w:ascii="Verdana" w:eastAsia="Calibri" w:hAnsi="Verdana" w:cs="Arial"/>
          <w:sz w:val="20"/>
          <w:szCs w:val="20"/>
          <w:lang w:eastAsia="es-ES"/>
        </w:rPr>
        <w:t>s</w:t>
      </w:r>
      <w:r w:rsidRPr="00997F26">
        <w:rPr>
          <w:rFonts w:ascii="Verdana" w:eastAsia="Calibri" w:hAnsi="Verdana" w:cs="Arial"/>
          <w:sz w:val="20"/>
          <w:szCs w:val="20"/>
          <w:lang w:val="x-none" w:eastAsia="es-ES"/>
        </w:rPr>
        <w:t xml:space="preserve"> propuesta</w:t>
      </w:r>
      <w:r w:rsidRPr="00997F26">
        <w:rPr>
          <w:rFonts w:ascii="Verdana" w:eastAsia="Calibri" w:hAnsi="Verdana" w:cs="Arial"/>
          <w:sz w:val="20"/>
          <w:szCs w:val="20"/>
          <w:lang w:eastAsia="es-ES"/>
        </w:rPr>
        <w:t>s</w:t>
      </w:r>
      <w:r w:rsidRPr="00997F26">
        <w:rPr>
          <w:rFonts w:ascii="Verdana" w:eastAsia="Calibri" w:hAnsi="Verdana" w:cs="Arial"/>
          <w:sz w:val="20"/>
          <w:szCs w:val="20"/>
          <w:lang w:val="x-none" w:eastAsia="es-ES"/>
        </w:rPr>
        <w:t xml:space="preserve"> económica</w:t>
      </w:r>
      <w:r w:rsidRPr="00997F26">
        <w:rPr>
          <w:rFonts w:ascii="Verdana" w:eastAsia="Calibri" w:hAnsi="Verdana" w:cs="Arial"/>
          <w:sz w:val="20"/>
          <w:szCs w:val="20"/>
          <w:lang w:eastAsia="es-ES"/>
        </w:rPr>
        <w:t>s</w:t>
      </w:r>
      <w:r w:rsidRPr="00997F26">
        <w:rPr>
          <w:rFonts w:ascii="Verdana" w:eastAsia="Calibri" w:hAnsi="Verdana" w:cs="Arial"/>
          <w:sz w:val="20"/>
          <w:szCs w:val="20"/>
          <w:lang w:val="x-none" w:eastAsia="es-ES"/>
        </w:rPr>
        <w:t>, a saber: i) mediana con valor absoluto; ii) media geométrica; iii) media aritmética baja, y iv) menor valor.</w:t>
      </w:r>
      <w:r w:rsidRPr="00997F26">
        <w:rPr>
          <w:rFonts w:ascii="Verdana" w:eastAsia="Calibri" w:hAnsi="Verdana" w:cs="Arial"/>
          <w:sz w:val="20"/>
          <w:szCs w:val="20"/>
          <w:lang w:eastAsia="es-ES"/>
        </w:rPr>
        <w:t xml:space="preserve"> A partir de estas alternativas</w:t>
      </w:r>
      <w:r w:rsidRPr="00997F26">
        <w:rPr>
          <w:rFonts w:ascii="Verdana" w:eastAsia="Calibri" w:hAnsi="Verdana" w:cs="Arial"/>
          <w:sz w:val="20"/>
          <w:szCs w:val="20"/>
          <w:lang w:val="x-none" w:eastAsia="es-ES"/>
        </w:rPr>
        <w:t>, la entidad</w:t>
      </w:r>
      <w:r w:rsidRPr="00997F26">
        <w:rPr>
          <w:rFonts w:ascii="Verdana" w:eastAsia="Calibri" w:hAnsi="Verdana" w:cs="Arial"/>
          <w:sz w:val="20"/>
          <w:szCs w:val="20"/>
          <w:lang w:val="es-ES" w:eastAsia="es-ES"/>
        </w:rPr>
        <w:t>,</w:t>
      </w:r>
      <w:r w:rsidRPr="00997F26">
        <w:rPr>
          <w:rFonts w:ascii="Verdana" w:eastAsia="Calibri" w:hAnsi="Verdana" w:cs="Arial"/>
          <w:sz w:val="20"/>
          <w:szCs w:val="20"/>
          <w:lang w:val="x-none" w:eastAsia="es-ES"/>
        </w:rPr>
        <w:t xml:space="preserve"> para establecer el método de ponderación</w:t>
      </w:r>
      <w:r w:rsidRPr="00997F26">
        <w:rPr>
          <w:rFonts w:ascii="Verdana" w:eastAsia="Calibri" w:hAnsi="Verdana" w:cs="Arial"/>
          <w:sz w:val="20"/>
          <w:szCs w:val="20"/>
          <w:lang w:val="es-ES" w:eastAsia="es-ES"/>
        </w:rPr>
        <w:t>,</w:t>
      </w:r>
      <w:r w:rsidRPr="00997F26">
        <w:rPr>
          <w:rFonts w:ascii="Verdana" w:eastAsia="Calibri" w:hAnsi="Verdana" w:cs="Arial"/>
          <w:sz w:val="20"/>
          <w:szCs w:val="20"/>
          <w:lang w:val="x-none" w:eastAsia="es-ES"/>
        </w:rPr>
        <w:t xml:space="preserve"> tomará los centavos de la Tasa de Cambio Representativa del Mercado (TRM), certificada por la Superintendencia Financiera de Colombia</w:t>
      </w:r>
      <w:r w:rsidRPr="00997F26">
        <w:rPr>
          <w:rFonts w:ascii="Verdana" w:eastAsia="Calibri" w:hAnsi="Verdana" w:cs="Arial"/>
          <w:color w:val="3A3A3A"/>
          <w:sz w:val="20"/>
          <w:szCs w:val="20"/>
          <w:lang w:val="x-none" w:eastAsia="es-ES"/>
        </w:rPr>
        <w:t>.</w:t>
      </w:r>
      <w:r w:rsidRPr="00997F26">
        <w:rPr>
          <w:rFonts w:ascii="Verdana" w:eastAsia="Calibri" w:hAnsi="Verdana" w:cs="Arial"/>
          <w:sz w:val="20"/>
          <w:szCs w:val="20"/>
          <w:lang w:val="x-none" w:eastAsia="es-ES"/>
        </w:rPr>
        <w:t xml:space="preserve"> Al respecto, el documento base señala lo siguiente:</w:t>
      </w:r>
    </w:p>
    <w:p w14:paraId="77953F62" w14:textId="77777777" w:rsidR="003B3746" w:rsidRPr="00997F26" w:rsidRDefault="003B3746" w:rsidP="00997F26">
      <w:pPr>
        <w:tabs>
          <w:tab w:val="left" w:pos="-142"/>
        </w:tabs>
        <w:autoSpaceDE w:val="0"/>
        <w:autoSpaceDN w:val="0"/>
        <w:adjustRightInd w:val="0"/>
        <w:snapToGrid w:val="0"/>
        <w:spacing w:after="0" w:line="240" w:lineRule="auto"/>
        <w:jc w:val="both"/>
        <w:outlineLvl w:val="2"/>
        <w:rPr>
          <w:rFonts w:ascii="Verdana" w:eastAsia="Calibri" w:hAnsi="Verdana" w:cs="Arial"/>
          <w:sz w:val="20"/>
          <w:szCs w:val="20"/>
          <w:lang w:val="x-none" w:eastAsia="es-ES"/>
        </w:rPr>
      </w:pPr>
      <w:r w:rsidRPr="00997F26">
        <w:rPr>
          <w:rFonts w:ascii="Verdana" w:eastAsia="Calibri" w:hAnsi="Verdana" w:cs="Arial"/>
          <w:sz w:val="20"/>
          <w:szCs w:val="20"/>
          <w:lang w:val="x-none" w:eastAsia="es-ES"/>
        </w:rPr>
        <w:t>[…]</w:t>
      </w:r>
    </w:p>
    <w:p w14:paraId="33AD9C19" w14:textId="65320356" w:rsidR="003B3746" w:rsidRPr="00997F26" w:rsidRDefault="00452A99" w:rsidP="00997F26">
      <w:pPr>
        <w:snapToGrid w:val="0"/>
        <w:spacing w:after="0" w:line="240" w:lineRule="auto"/>
        <w:jc w:val="both"/>
        <w:rPr>
          <w:rFonts w:ascii="Verdana" w:eastAsia="Calibri" w:hAnsi="Verdana" w:cs="Arial"/>
          <w:color w:val="000000"/>
          <w:sz w:val="20"/>
          <w:szCs w:val="20"/>
          <w:lang w:val="es-ES_tradnl"/>
        </w:rPr>
      </w:pPr>
      <w:r w:rsidRPr="00997F26">
        <w:rPr>
          <w:rFonts w:ascii="Verdana" w:eastAsia="Calibri" w:hAnsi="Verdana" w:cs="Arial"/>
          <w:color w:val="000000"/>
          <w:sz w:val="20"/>
          <w:szCs w:val="20"/>
          <w:lang w:val="es-ES_tradnl"/>
        </w:rPr>
        <w:t>La Tasa de Cambio Representativa del Mercado –TRM– “</w:t>
      </w:r>
      <w:r w:rsidRPr="00997F26">
        <w:rPr>
          <w:rFonts w:ascii="Verdana" w:eastAsia="Calibri" w:hAnsi="Verdana" w:cs="Arial"/>
          <w:sz w:val="20"/>
          <w:szCs w:val="20"/>
          <w:lang w:val="es-ES"/>
        </w:rPr>
        <w:t>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1:00 p.m.</w:t>
      </w:r>
      <w:r w:rsidRPr="00997F26">
        <w:rPr>
          <w:rFonts w:ascii="Verdana" w:eastAsia="Calibri" w:hAnsi="Verdana" w:cs="Arial"/>
          <w:color w:val="000000"/>
          <w:sz w:val="20"/>
          <w:szCs w:val="20"/>
          <w:lang w:val="es-ES_tradnl"/>
        </w:rPr>
        <w:t xml:space="preserve">”, definida por la Superintendencia Financiera, es decir, denota la relación entre la moneda colombiana y el dólar. Por su parte, el Banco de la República ha definido la tasa de cambio representativa del mercado como “la cantidad de pesos colombianos por un dólar de los Estados Unidos”, de donde se desprende que la TRM es un valor que se origina en la fluctuación del mercado. </w:t>
      </w:r>
      <w:r w:rsidR="003B3746" w:rsidRPr="00997F26">
        <w:rPr>
          <w:rFonts w:ascii="Verdana" w:eastAsia="Calibri" w:hAnsi="Verdana" w:cs="Arial"/>
          <w:color w:val="000000"/>
          <w:sz w:val="20"/>
          <w:szCs w:val="20"/>
          <w:lang w:val="es-ES_tradnl"/>
        </w:rPr>
        <w:t xml:space="preserve"> </w:t>
      </w:r>
    </w:p>
    <w:p w14:paraId="264A2A8C" w14:textId="77777777" w:rsidR="003B3746" w:rsidRPr="00997F26" w:rsidRDefault="003B3746" w:rsidP="00997F26">
      <w:pPr>
        <w:adjustRightInd w:val="0"/>
        <w:snapToGrid w:val="0"/>
        <w:spacing w:after="0" w:line="240" w:lineRule="auto"/>
        <w:jc w:val="both"/>
        <w:rPr>
          <w:rFonts w:ascii="Verdana" w:eastAsia="Calibri" w:hAnsi="Verdana" w:cs="Arial"/>
          <w:color w:val="000000"/>
          <w:sz w:val="20"/>
          <w:szCs w:val="20"/>
          <w:lang w:val="es-ES_tradnl"/>
        </w:rPr>
      </w:pPr>
      <w:r w:rsidRPr="00997F26">
        <w:rPr>
          <w:rFonts w:ascii="Verdana" w:eastAsia="Calibri" w:hAnsi="Verdana" w:cs="Arial"/>
          <w:color w:val="000000"/>
          <w:sz w:val="20"/>
          <w:szCs w:val="20"/>
          <w:lang w:val="es-ES_tradnl"/>
        </w:rPr>
        <w:t>[…]</w:t>
      </w:r>
    </w:p>
    <w:p w14:paraId="22494CA9" w14:textId="4C3A2DA2" w:rsidR="003B3746" w:rsidRDefault="00452A99" w:rsidP="00997F26">
      <w:pPr>
        <w:snapToGrid w:val="0"/>
        <w:spacing w:after="0" w:line="240" w:lineRule="auto"/>
        <w:jc w:val="both"/>
        <w:rPr>
          <w:rFonts w:ascii="Verdana" w:eastAsia="Aptos" w:hAnsi="Verdana" w:cs="Times New Roman"/>
          <w:kern w:val="2"/>
          <w:sz w:val="20"/>
          <w:szCs w:val="20"/>
          <w:lang w:val="es-MX"/>
          <w14:ligatures w14:val="standardContextual"/>
        </w:rPr>
      </w:pPr>
      <w:r w:rsidRPr="00997F26">
        <w:rPr>
          <w:rFonts w:ascii="Verdana" w:eastAsia="Aptos" w:hAnsi="Verdana" w:cs="Times New Roman"/>
          <w:kern w:val="2"/>
          <w:sz w:val="20"/>
          <w:szCs w:val="20"/>
          <w:lang w:val="es-MX"/>
          <w14:ligatures w14:val="standardContextual"/>
        </w:rPr>
        <w:t>Así, la Entidad a partir del valor total corregido de las propuestas asignará el puntaje de conformidad con el proceso del numeral 4.1.4. A su vez, para evaluar la oferta económica, la Entidad tendrá en cuenta el valor total indicado en la propuesta económica o el obtenido de la corrección aritmética en alguno de los dos supuestos referidos en el numeral 4.1.2.</w:t>
      </w:r>
    </w:p>
    <w:p w14:paraId="71D6CEF7" w14:textId="77777777" w:rsidR="00997F26" w:rsidRPr="00997F26" w:rsidRDefault="00997F26" w:rsidP="00997F26">
      <w:pPr>
        <w:snapToGrid w:val="0"/>
        <w:spacing w:after="0" w:line="240" w:lineRule="auto"/>
        <w:jc w:val="both"/>
        <w:rPr>
          <w:rFonts w:ascii="Verdana" w:eastAsia="Aptos" w:hAnsi="Verdana" w:cs="Times New Roman"/>
          <w:kern w:val="2"/>
          <w:lang w:val="es-MX"/>
          <w14:ligatures w14:val="standardContextual"/>
        </w:rPr>
      </w:pPr>
    </w:p>
    <w:p w14:paraId="710EACD5" w14:textId="77777777" w:rsidR="003B3746" w:rsidRPr="003B3746" w:rsidRDefault="003B3746" w:rsidP="003B3746">
      <w:pPr>
        <w:spacing w:after="0" w:line="276" w:lineRule="auto"/>
        <w:jc w:val="both"/>
        <w:rPr>
          <w:rFonts w:ascii="Verdana" w:eastAsia="Aptos" w:hAnsi="Verdana" w:cs="Times New Roman"/>
          <w:b/>
          <w:bCs/>
          <w:lang w:val="es-ES_tradnl"/>
        </w:rPr>
      </w:pPr>
      <w:r w:rsidRPr="003B3746">
        <w:rPr>
          <w:rFonts w:ascii="Verdana" w:eastAsia="Aptos" w:hAnsi="Verdana" w:cs="Times New Roman"/>
          <w:b/>
          <w:bCs/>
          <w:lang w:val="es-ES_tradnl"/>
        </w:rPr>
        <w:t xml:space="preserve">DOCUMENTOS TIPO DE INFRAESTRUCTURA DE TRANSPORTE – Ponderación de la oferta – Propuesta única habilitada </w:t>
      </w:r>
    </w:p>
    <w:p w14:paraId="5B09657B" w14:textId="77777777" w:rsidR="003B3746" w:rsidRPr="003B3746" w:rsidRDefault="003B3746" w:rsidP="003B3746">
      <w:pPr>
        <w:snapToGrid w:val="0"/>
        <w:spacing w:after="0" w:line="240" w:lineRule="auto"/>
        <w:jc w:val="both"/>
        <w:rPr>
          <w:rFonts w:ascii="Verdana" w:eastAsia="Aptos" w:hAnsi="Verdana" w:cs="Times New Roman"/>
          <w:kern w:val="2"/>
          <w:sz w:val="20"/>
          <w:szCs w:val="20"/>
          <w:lang w:val="es-MX"/>
          <w14:ligatures w14:val="standardContextual"/>
        </w:rPr>
      </w:pPr>
    </w:p>
    <w:p w14:paraId="134D25BD" w14:textId="77777777" w:rsidR="00997F26" w:rsidRDefault="003B3746" w:rsidP="00997F26">
      <w:pPr>
        <w:snapToGrid w:val="0"/>
        <w:spacing w:after="0" w:line="240" w:lineRule="auto"/>
        <w:jc w:val="both"/>
        <w:textAlignment w:val="baseline"/>
        <w:rPr>
          <w:rFonts w:ascii="Verdana" w:eastAsia="Times New Roman" w:hAnsi="Verdana" w:cs="Arial"/>
          <w:sz w:val="20"/>
          <w:szCs w:val="20"/>
          <w:lang w:val="es-ES" w:eastAsia="es-CO"/>
        </w:rPr>
      </w:pPr>
      <w:r w:rsidRPr="00997F26">
        <w:rPr>
          <w:rFonts w:ascii="Verdana" w:eastAsia="Times New Roman" w:hAnsi="Verdana" w:cs="Arial"/>
          <w:sz w:val="20"/>
          <w:szCs w:val="20"/>
          <w:lang w:val="es-ES" w:eastAsia="es-CO"/>
        </w:rPr>
        <w:t xml:space="preserve">[…] </w:t>
      </w:r>
      <w:r w:rsidR="00997F26" w:rsidRPr="00997F26">
        <w:rPr>
          <w:rFonts w:ascii="Verdana" w:eastAsia="Times New Roman" w:hAnsi="Verdana" w:cs="Arial"/>
          <w:sz w:val="20"/>
          <w:szCs w:val="20"/>
          <w:lang w:val="es-ES" w:eastAsia="es-CO"/>
        </w:rPr>
        <w:t>el literal A del numeral 4.1.4 del documento base de los documentos tipo en comento, dispone que, “[e]n el evento que solo exista una oferta habilitada respecto de la cual se vaya a realizar la apertura del sobre No 2, la Entidad podrá prescindir de la definición de la TRM y escogencia de método de ponderación de la oferta económica”.</w:t>
      </w:r>
    </w:p>
    <w:p w14:paraId="758C22A9" w14:textId="77777777" w:rsidR="00997F26" w:rsidRPr="00997F26" w:rsidRDefault="00997F26" w:rsidP="00997F26">
      <w:pPr>
        <w:snapToGrid w:val="0"/>
        <w:spacing w:after="0" w:line="240" w:lineRule="auto"/>
        <w:jc w:val="both"/>
        <w:textAlignment w:val="baseline"/>
        <w:rPr>
          <w:rFonts w:ascii="Verdana" w:eastAsia="Times New Roman" w:hAnsi="Verdana" w:cs="Arial"/>
          <w:sz w:val="20"/>
          <w:szCs w:val="20"/>
          <w:lang w:val="es-ES" w:eastAsia="es-CO"/>
        </w:rPr>
      </w:pPr>
    </w:p>
    <w:p w14:paraId="11AD73D8" w14:textId="77777777" w:rsidR="00997F26" w:rsidRPr="00997F26" w:rsidRDefault="00997F26" w:rsidP="00997F26">
      <w:pPr>
        <w:snapToGrid w:val="0"/>
        <w:spacing w:after="0" w:line="240" w:lineRule="auto"/>
        <w:jc w:val="both"/>
        <w:textAlignment w:val="baseline"/>
        <w:rPr>
          <w:rFonts w:ascii="Verdana" w:eastAsia="Times New Roman" w:hAnsi="Verdana" w:cs="Arial"/>
          <w:sz w:val="20"/>
          <w:szCs w:val="20"/>
          <w:lang w:val="es-ES" w:eastAsia="es-CO"/>
        </w:rPr>
      </w:pPr>
      <w:r w:rsidRPr="00997F26">
        <w:rPr>
          <w:rFonts w:ascii="Verdana" w:eastAsia="Times New Roman" w:hAnsi="Verdana" w:cs="Arial"/>
          <w:sz w:val="20"/>
          <w:szCs w:val="20"/>
          <w:lang w:val="es-ES" w:eastAsia="es-CO"/>
        </w:rPr>
        <w:t xml:space="preserve">En ese sentido, cuando se trate de un único proponente habilitado, la entidad contratante podrá prescindir de la definición de la TRM y de la determinación del método de ponderación de la oferta económica, por lo que la asignación del puntaje se realizará, en su totalidad, frente a la oferta habilitada. </w:t>
      </w:r>
    </w:p>
    <w:p w14:paraId="64054DB9" w14:textId="4641D114" w:rsidR="003B3746" w:rsidRPr="003B3746" w:rsidRDefault="003B3746" w:rsidP="00997F26">
      <w:pPr>
        <w:snapToGrid w:val="0"/>
        <w:spacing w:after="0" w:line="240" w:lineRule="auto"/>
        <w:jc w:val="both"/>
        <w:textAlignment w:val="baseline"/>
        <w:rPr>
          <w:rFonts w:ascii="Verdana" w:eastAsia="Times New Roman" w:hAnsi="Verdana" w:cs="Arial"/>
          <w:sz w:val="20"/>
          <w:szCs w:val="20"/>
          <w:lang w:val="es-ES" w:eastAsia="es-CO"/>
        </w:rPr>
      </w:pPr>
    </w:p>
    <w:p w14:paraId="3A839437" w14:textId="77777777" w:rsidR="003B3746" w:rsidRPr="003B3746" w:rsidRDefault="003B3746" w:rsidP="003B3746">
      <w:pPr>
        <w:tabs>
          <w:tab w:val="left" w:pos="-142"/>
        </w:tabs>
        <w:autoSpaceDE w:val="0"/>
        <w:autoSpaceDN w:val="0"/>
        <w:adjustRightInd w:val="0"/>
        <w:spacing w:after="0" w:line="276" w:lineRule="auto"/>
        <w:ind w:firstLine="709"/>
        <w:jc w:val="both"/>
        <w:outlineLvl w:val="2"/>
        <w:rPr>
          <w:rFonts w:ascii="Verdana" w:eastAsia="Calibri" w:hAnsi="Verdana" w:cs="Arial"/>
          <w:lang w:val="x-none" w:eastAsia="es-ES"/>
        </w:rPr>
      </w:pPr>
    </w:p>
    <w:p w14:paraId="258A7DF0" w14:textId="77777777" w:rsidR="003B3746" w:rsidRPr="003B3746" w:rsidRDefault="003B3746" w:rsidP="003B3746">
      <w:pPr>
        <w:spacing w:after="0" w:line="240" w:lineRule="auto"/>
        <w:rPr>
          <w:rFonts w:ascii="Verdana" w:eastAsia="Aptos" w:hAnsi="Verdana" w:cs="Times New Roman"/>
          <w:sz w:val="20"/>
          <w:szCs w:val="20"/>
          <w:lang w:val="es-ES_tradnl"/>
        </w:rPr>
      </w:pPr>
    </w:p>
    <w:p w14:paraId="33AFE8EB" w14:textId="067C3718" w:rsidR="003B3746" w:rsidRPr="003B3746" w:rsidRDefault="005C57F3" w:rsidP="003B3746">
      <w:pPr>
        <w:spacing w:after="0" w:line="240" w:lineRule="auto"/>
        <w:jc w:val="both"/>
        <w:rPr>
          <w:rFonts w:ascii="Verdana" w:eastAsia="Calibri" w:hAnsi="Verdana" w:cs="Arial"/>
          <w:lang w:val="es-ES_tradnl"/>
        </w:rPr>
      </w:pPr>
      <w:r w:rsidRPr="005C57F3">
        <w:rPr>
          <w:rFonts w:ascii="Verdana" w:eastAsia="Calibri" w:hAnsi="Verdana" w:cs="Arial"/>
        </w:rPr>
        <w:lastRenderedPageBreak/>
        <w:t xml:space="preserve">Bogotá D.C., 30 </w:t>
      </w:r>
      <w:proofErr w:type="gramStart"/>
      <w:r w:rsidRPr="005C57F3">
        <w:rPr>
          <w:rFonts w:ascii="Verdana" w:eastAsia="Calibri" w:hAnsi="Verdana" w:cs="Arial"/>
        </w:rPr>
        <w:t>Diciembre</w:t>
      </w:r>
      <w:proofErr w:type="gramEnd"/>
      <w:r w:rsidRPr="005C57F3">
        <w:rPr>
          <w:rFonts w:ascii="Verdana" w:eastAsia="Calibri" w:hAnsi="Verdana" w:cs="Arial"/>
        </w:rPr>
        <w:t xml:space="preserve"> 2025</w:t>
      </w:r>
      <w:r>
        <w:rPr>
          <w:rFonts w:ascii="Verdana" w:eastAsia="Calibri" w:hAnsi="Verdana" w:cs="Arial"/>
        </w:rPr>
        <w:t xml:space="preserve"> </w:t>
      </w:r>
    </w:p>
    <w:p w14:paraId="7E874640" w14:textId="77777777" w:rsidR="003B3746" w:rsidRDefault="003B3746" w:rsidP="003B3746">
      <w:pPr>
        <w:spacing w:after="0" w:line="240" w:lineRule="auto"/>
        <w:jc w:val="right"/>
        <w:rPr>
          <w:rFonts w:ascii="Verdana" w:eastAsia="Calibri" w:hAnsi="Verdana" w:cs="Arial"/>
          <w:lang w:val="es-ES_tradnl"/>
        </w:rPr>
      </w:pPr>
    </w:p>
    <w:p w14:paraId="633CDB59" w14:textId="44B96B9A" w:rsidR="003B3746" w:rsidRPr="003B3746" w:rsidRDefault="005C57F3" w:rsidP="003B3746">
      <w:pPr>
        <w:spacing w:after="0" w:line="240" w:lineRule="auto"/>
        <w:jc w:val="right"/>
        <w:rPr>
          <w:rFonts w:ascii="Verdana" w:eastAsia="Calibri" w:hAnsi="Verdana" w:cs="Arial"/>
          <w:lang w:val="es-ES_tradnl"/>
        </w:rPr>
      </w:pPr>
      <w:r w:rsidRPr="005C57F3">
        <w:rPr>
          <w:rFonts w:ascii="Verdana" w:eastAsia="Calibri" w:hAnsi="Verdana" w:cs="Arial"/>
          <w:lang w:val="es-ES_tradnl" w:eastAsia="es-ES"/>
        </w:rPr>
        <w:drawing>
          <wp:anchor distT="0" distB="0" distL="114300" distR="114300" simplePos="0" relativeHeight="251658240" behindDoc="1" locked="0" layoutInCell="1" allowOverlap="1" wp14:anchorId="7F3F2C35" wp14:editId="5C3415D4">
            <wp:simplePos x="0" y="0"/>
            <wp:positionH relativeFrom="column">
              <wp:posOffset>2865120</wp:posOffset>
            </wp:positionH>
            <wp:positionV relativeFrom="paragraph">
              <wp:posOffset>19685</wp:posOffset>
            </wp:positionV>
            <wp:extent cx="3371850" cy="854710"/>
            <wp:effectExtent l="0" t="0" r="0" b="2540"/>
            <wp:wrapTight wrapText="bothSides">
              <wp:wrapPolygon edited="0">
                <wp:start x="0" y="0"/>
                <wp:lineTo x="0" y="21183"/>
                <wp:lineTo x="21478" y="21183"/>
                <wp:lineTo x="21478" y="0"/>
                <wp:lineTo x="0" y="0"/>
              </wp:wrapPolygon>
            </wp:wrapTight>
            <wp:docPr id="208883582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83582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71850" cy="854710"/>
                    </a:xfrm>
                    <a:prstGeom prst="rect">
                      <a:avLst/>
                    </a:prstGeom>
                  </pic:spPr>
                </pic:pic>
              </a:graphicData>
            </a:graphic>
            <wp14:sizeRelV relativeFrom="margin">
              <wp14:pctHeight>0</wp14:pctHeight>
            </wp14:sizeRelV>
          </wp:anchor>
        </w:drawing>
      </w:r>
    </w:p>
    <w:p w14:paraId="1985846E" w14:textId="3B0B89FC" w:rsidR="005C57F3" w:rsidRDefault="005C57F3" w:rsidP="003B3746">
      <w:pPr>
        <w:spacing w:after="0" w:line="240" w:lineRule="auto"/>
        <w:jc w:val="both"/>
        <w:rPr>
          <w:rFonts w:ascii="Verdana" w:eastAsia="Calibri" w:hAnsi="Verdana" w:cs="Arial"/>
          <w:lang w:val="es-ES_tradnl" w:eastAsia="es-ES"/>
        </w:rPr>
      </w:pPr>
    </w:p>
    <w:p w14:paraId="269EFF03" w14:textId="2C42CB7F" w:rsidR="003B3746" w:rsidRPr="003B3746" w:rsidRDefault="003B3746" w:rsidP="003B3746">
      <w:pPr>
        <w:spacing w:after="0" w:line="240" w:lineRule="auto"/>
        <w:jc w:val="both"/>
        <w:rPr>
          <w:rFonts w:ascii="Verdana" w:eastAsia="Calibri" w:hAnsi="Verdana" w:cs="Arial"/>
          <w:lang w:val="es-ES_tradnl" w:eastAsia="es-ES"/>
        </w:rPr>
      </w:pPr>
      <w:r w:rsidRPr="003B3746">
        <w:rPr>
          <w:rFonts w:ascii="Verdana" w:eastAsia="Calibri" w:hAnsi="Verdana" w:cs="Arial"/>
          <w:lang w:val="es-ES_tradnl" w:eastAsia="es-ES"/>
        </w:rPr>
        <w:t>Señor</w:t>
      </w:r>
    </w:p>
    <w:p w14:paraId="3CA9D003" w14:textId="77777777" w:rsidR="003B3746" w:rsidRPr="003B3746" w:rsidRDefault="003B3746" w:rsidP="003B3746">
      <w:pPr>
        <w:spacing w:after="0" w:line="240" w:lineRule="auto"/>
        <w:rPr>
          <w:rFonts w:ascii="Verdana" w:eastAsia="Calibri" w:hAnsi="Verdana" w:cs="Arial"/>
          <w:b/>
          <w:lang w:val="es-ES_tradnl" w:eastAsia="es-ES"/>
        </w:rPr>
      </w:pPr>
      <w:r w:rsidRPr="003B3746">
        <w:rPr>
          <w:rFonts w:ascii="Verdana" w:eastAsia="Calibri" w:hAnsi="Verdana" w:cs="Arial"/>
          <w:b/>
          <w:lang w:val="es-ES_tradnl" w:eastAsia="es-ES"/>
        </w:rPr>
        <w:t>Andrés Hernández</w:t>
      </w:r>
    </w:p>
    <w:p w14:paraId="599DC639" w14:textId="77777777" w:rsidR="003B3746" w:rsidRPr="003B3746" w:rsidRDefault="003B3746" w:rsidP="003B3746">
      <w:pPr>
        <w:spacing w:after="0" w:line="240" w:lineRule="auto"/>
        <w:rPr>
          <w:rFonts w:ascii="Verdana" w:eastAsia="Aptos" w:hAnsi="Verdana" w:cs="Times New Roman"/>
          <w:lang w:val="es-ES_tradnl"/>
        </w:rPr>
      </w:pPr>
      <w:r w:rsidRPr="003B3746">
        <w:rPr>
          <w:rFonts w:ascii="Verdana" w:eastAsia="Aptos" w:hAnsi="Verdana" w:cs="Times New Roman"/>
          <w:lang w:val="es-ES_tradnl"/>
        </w:rPr>
        <w:t>Ciudad</w:t>
      </w:r>
    </w:p>
    <w:p w14:paraId="14CA6F52" w14:textId="77777777" w:rsidR="003B3746" w:rsidRPr="003B3746" w:rsidRDefault="003B3746" w:rsidP="003B3746">
      <w:pPr>
        <w:spacing w:after="0" w:line="240" w:lineRule="auto"/>
        <w:rPr>
          <w:rFonts w:ascii="Verdana" w:eastAsia="Calibri" w:hAnsi="Verdana" w:cs="Arial"/>
          <w:b/>
          <w:bCs/>
          <w:lang w:val="es-ES_tradnl" w:eastAsia="es-ES_tradnl"/>
        </w:rPr>
      </w:pPr>
    </w:p>
    <w:p w14:paraId="351D64DF" w14:textId="77777777" w:rsidR="003B3746" w:rsidRPr="003B3746" w:rsidRDefault="003B3746" w:rsidP="003B3746">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B3746" w:rsidRPr="003B3746" w14:paraId="297B14B1" w14:textId="77777777" w:rsidTr="007E0460">
        <w:trPr>
          <w:trHeight w:val="884"/>
        </w:trPr>
        <w:tc>
          <w:tcPr>
            <w:tcW w:w="2689" w:type="dxa"/>
          </w:tcPr>
          <w:p w14:paraId="43B38ECF" w14:textId="77777777" w:rsidR="003B3746" w:rsidRPr="003B3746" w:rsidRDefault="003B3746" w:rsidP="003B3746">
            <w:pPr>
              <w:jc w:val="both"/>
              <w:rPr>
                <w:rFonts w:ascii="Verdana" w:eastAsia="Calibri" w:hAnsi="Verdana" w:cs="Arial"/>
                <w:b/>
                <w:bCs/>
                <w:lang w:val="es-ES_tradnl" w:eastAsia="es-ES_tradnl"/>
              </w:rPr>
            </w:pPr>
          </w:p>
        </w:tc>
        <w:tc>
          <w:tcPr>
            <w:tcW w:w="6100" w:type="dxa"/>
          </w:tcPr>
          <w:p w14:paraId="5A7A8632" w14:textId="77777777" w:rsidR="003B3746" w:rsidRPr="003B3746" w:rsidRDefault="003B3746" w:rsidP="003B3746">
            <w:pPr>
              <w:jc w:val="both"/>
              <w:rPr>
                <w:rFonts w:ascii="Verdana" w:eastAsia="Calibri" w:hAnsi="Verdana" w:cs="Arial"/>
                <w:b/>
                <w:bCs/>
                <w:lang w:val="es-ES_tradnl" w:eastAsia="es-ES"/>
              </w:rPr>
            </w:pPr>
            <w:r w:rsidRPr="003B3746">
              <w:rPr>
                <w:rFonts w:ascii="Verdana" w:eastAsia="Calibri" w:hAnsi="Verdana" w:cs="Arial"/>
                <w:b/>
                <w:bCs/>
                <w:lang w:val="es-ES_tradnl" w:eastAsia="es-ES"/>
              </w:rPr>
              <w:t>Concepto C – 1778 de 2025</w:t>
            </w:r>
          </w:p>
        </w:tc>
      </w:tr>
      <w:tr w:rsidR="003B3746" w:rsidRPr="003B3746" w14:paraId="68F660B5" w14:textId="77777777" w:rsidTr="007E0460">
        <w:trPr>
          <w:trHeight w:val="884"/>
        </w:trPr>
        <w:tc>
          <w:tcPr>
            <w:tcW w:w="2689" w:type="dxa"/>
          </w:tcPr>
          <w:p w14:paraId="71D58CAF" w14:textId="77777777" w:rsidR="003B3746" w:rsidRPr="003B3746" w:rsidRDefault="003B3746" w:rsidP="003B3746">
            <w:pPr>
              <w:jc w:val="both"/>
              <w:rPr>
                <w:rFonts w:ascii="Verdana" w:eastAsia="Calibri" w:hAnsi="Verdana" w:cs="Arial"/>
                <w:lang w:val="es-ES_tradnl" w:eastAsia="es-ES_tradnl"/>
              </w:rPr>
            </w:pPr>
            <w:r w:rsidRPr="003B3746">
              <w:rPr>
                <w:rFonts w:ascii="Verdana" w:eastAsia="Calibri" w:hAnsi="Verdana" w:cs="Arial"/>
                <w:b/>
                <w:lang w:val="es-ES_tradnl" w:eastAsia="es-ES_tradnl"/>
              </w:rPr>
              <w:t>Temas:</w:t>
            </w:r>
            <w:r w:rsidRPr="003B3746">
              <w:rPr>
                <w:rFonts w:ascii="Verdana" w:eastAsia="Calibri" w:hAnsi="Verdana" w:cs="Arial"/>
                <w:lang w:val="es-ES_tradnl" w:eastAsia="es-ES_tradnl"/>
              </w:rPr>
              <w:t xml:space="preserve">                   </w:t>
            </w:r>
          </w:p>
        </w:tc>
        <w:tc>
          <w:tcPr>
            <w:tcW w:w="6100" w:type="dxa"/>
          </w:tcPr>
          <w:p w14:paraId="2883133B" w14:textId="77777777" w:rsidR="003B3746" w:rsidRPr="003B3746" w:rsidRDefault="003B3746" w:rsidP="003B3746">
            <w:pPr>
              <w:spacing w:line="276" w:lineRule="auto"/>
              <w:jc w:val="both"/>
              <w:rPr>
                <w:rFonts w:ascii="Verdana" w:eastAsia="Aptos" w:hAnsi="Verdana" w:cs="Times New Roman"/>
                <w:bCs/>
                <w:lang w:val="es-ES_tradnl"/>
              </w:rPr>
            </w:pPr>
            <w:r w:rsidRPr="003B3746">
              <w:rPr>
                <w:rFonts w:ascii="Verdana" w:eastAsia="Aptos" w:hAnsi="Verdana" w:cs="Times New Roman"/>
                <w:bCs/>
                <w:lang w:val="es-ES_tradnl"/>
              </w:rPr>
              <w:t xml:space="preserve">DOCUMENTOS TIPO DE INFRAESTRUCTURA DE TRANSPORTE – Ponderación de la propuesta económica – Reglas – TRM / DOCUMENTOS TIPO DE INFRAESTRUCTURA DE TRANSPORTE – Ponderación de la oferta – Propuesta única habilitada </w:t>
            </w:r>
          </w:p>
          <w:p w14:paraId="47858970" w14:textId="77777777" w:rsidR="003B3746" w:rsidRPr="003B3746" w:rsidRDefault="003B3746" w:rsidP="003B3746">
            <w:pPr>
              <w:spacing w:line="276" w:lineRule="auto"/>
              <w:jc w:val="both"/>
              <w:rPr>
                <w:rFonts w:ascii="Verdana" w:eastAsia="Calibri" w:hAnsi="Verdana" w:cs="Arial"/>
                <w:bCs/>
                <w:lang w:val="es-ES_tradnl" w:eastAsia="es-ES"/>
              </w:rPr>
            </w:pPr>
          </w:p>
        </w:tc>
      </w:tr>
      <w:tr w:rsidR="003B3746" w:rsidRPr="003B3746" w14:paraId="600336C9" w14:textId="77777777" w:rsidTr="007E0460">
        <w:tc>
          <w:tcPr>
            <w:tcW w:w="2689" w:type="dxa"/>
          </w:tcPr>
          <w:p w14:paraId="4EE8E37C" w14:textId="77777777" w:rsidR="003B3746" w:rsidRPr="003B3746" w:rsidRDefault="003B3746" w:rsidP="003B3746">
            <w:pPr>
              <w:jc w:val="both"/>
              <w:rPr>
                <w:rFonts w:ascii="Verdana" w:eastAsia="Calibri" w:hAnsi="Verdana" w:cs="Arial"/>
                <w:b/>
                <w:lang w:val="es-ES_tradnl" w:eastAsia="es-ES_tradnl"/>
              </w:rPr>
            </w:pPr>
            <w:r w:rsidRPr="003B3746">
              <w:rPr>
                <w:rFonts w:ascii="Verdana" w:eastAsia="Calibri" w:hAnsi="Verdana" w:cs="Arial"/>
                <w:b/>
                <w:lang w:val="es-ES_tradnl" w:eastAsia="es-ES_tradnl"/>
              </w:rPr>
              <w:t>Radicación:</w:t>
            </w:r>
            <w:r w:rsidRPr="003B3746">
              <w:rPr>
                <w:rFonts w:ascii="Verdana" w:eastAsia="Calibri" w:hAnsi="Verdana" w:cs="Arial"/>
                <w:lang w:val="es-ES_tradnl" w:eastAsia="es-ES_tradnl"/>
              </w:rPr>
              <w:t xml:space="preserve">               </w:t>
            </w:r>
          </w:p>
        </w:tc>
        <w:tc>
          <w:tcPr>
            <w:tcW w:w="6100" w:type="dxa"/>
          </w:tcPr>
          <w:p w14:paraId="576BDCD2" w14:textId="77777777" w:rsidR="003B3746" w:rsidRPr="003B3746" w:rsidRDefault="003B3746" w:rsidP="003B3746">
            <w:pPr>
              <w:jc w:val="both"/>
              <w:rPr>
                <w:rFonts w:ascii="Verdana" w:eastAsia="Calibri" w:hAnsi="Verdana" w:cs="Arial"/>
                <w:lang w:val="es-ES_tradnl" w:eastAsia="es-ES_tradnl"/>
              </w:rPr>
            </w:pPr>
            <w:r w:rsidRPr="003B3746">
              <w:rPr>
                <w:rFonts w:ascii="Verdana" w:eastAsia="Calibri" w:hAnsi="Verdana" w:cs="Arial"/>
                <w:lang w:val="es-ES_tradnl" w:eastAsia="es-ES_tradnl"/>
              </w:rPr>
              <w:t>Respuesta a consulta con radicado No. 1_2025_12_02_013544</w:t>
            </w:r>
          </w:p>
        </w:tc>
      </w:tr>
    </w:tbl>
    <w:p w14:paraId="76599655" w14:textId="77777777" w:rsidR="003B3746" w:rsidRPr="003B3746" w:rsidRDefault="003B3746" w:rsidP="003B3746">
      <w:pPr>
        <w:spacing w:after="0" w:line="240" w:lineRule="auto"/>
        <w:jc w:val="both"/>
        <w:rPr>
          <w:rFonts w:ascii="Verdana" w:eastAsia="Calibri" w:hAnsi="Verdana" w:cs="Arial"/>
          <w:lang w:val="es-ES_tradnl" w:eastAsia="es-ES_tradnl"/>
        </w:rPr>
      </w:pPr>
    </w:p>
    <w:p w14:paraId="65E9287F" w14:textId="77777777" w:rsidR="003B3746" w:rsidRPr="003B3746" w:rsidRDefault="003B3746" w:rsidP="003B3746">
      <w:pPr>
        <w:spacing w:after="0" w:line="240" w:lineRule="auto"/>
        <w:jc w:val="both"/>
        <w:rPr>
          <w:rFonts w:ascii="Verdana" w:eastAsia="Calibri" w:hAnsi="Verdana" w:cs="Arial"/>
          <w:lang w:val="es-ES_tradnl" w:eastAsia="es-ES_tradnl"/>
        </w:rPr>
      </w:pPr>
    </w:p>
    <w:p w14:paraId="3CC38673" w14:textId="77777777" w:rsidR="003B3746" w:rsidRPr="003B3746" w:rsidRDefault="003B3746" w:rsidP="003B3746">
      <w:pPr>
        <w:spacing w:after="0" w:line="276" w:lineRule="auto"/>
        <w:jc w:val="both"/>
        <w:rPr>
          <w:rFonts w:ascii="Verdana" w:eastAsia="Calibri" w:hAnsi="Verdana" w:cs="Arial"/>
          <w:lang w:val="es-ES_tradnl" w:eastAsia="es-ES"/>
        </w:rPr>
      </w:pPr>
      <w:r w:rsidRPr="003B3746">
        <w:rPr>
          <w:rFonts w:ascii="Verdana" w:eastAsia="Calibri" w:hAnsi="Verdana" w:cs="Arial"/>
          <w:lang w:val="es-ES_tradnl" w:eastAsia="es-ES"/>
        </w:rPr>
        <w:t>Estimado señor Hernández:</w:t>
      </w:r>
    </w:p>
    <w:p w14:paraId="3409BC59" w14:textId="77777777" w:rsidR="003B3746" w:rsidRPr="003B3746" w:rsidRDefault="003B3746" w:rsidP="003B3746">
      <w:pPr>
        <w:tabs>
          <w:tab w:val="left" w:pos="3768"/>
        </w:tabs>
        <w:spacing w:after="0" w:line="276" w:lineRule="auto"/>
        <w:jc w:val="both"/>
        <w:rPr>
          <w:rFonts w:ascii="Verdana" w:eastAsia="Calibri" w:hAnsi="Verdana" w:cs="Arial"/>
          <w:lang w:val="es-ES_tradnl" w:eastAsia="es-ES"/>
        </w:rPr>
      </w:pPr>
    </w:p>
    <w:p w14:paraId="748B829D" w14:textId="77777777" w:rsidR="003B3746" w:rsidRPr="003B3746" w:rsidRDefault="003B3746" w:rsidP="003B3746">
      <w:pPr>
        <w:spacing w:after="0" w:line="276" w:lineRule="auto"/>
        <w:jc w:val="both"/>
        <w:rPr>
          <w:rFonts w:ascii="Verdana" w:eastAsia="Calibri" w:hAnsi="Verdana" w:cs="Arial"/>
          <w:lang w:val="es-ES_tradnl" w:eastAsia="es-ES"/>
        </w:rPr>
      </w:pPr>
      <w:r w:rsidRPr="003B3746">
        <w:rPr>
          <w:rFonts w:ascii="Verdana" w:eastAsia="Calibri" w:hAnsi="Verdana" w:cs="Arial"/>
          <w:lang w:val="es-ES_tradnl" w:eastAsia="es-ES"/>
        </w:rPr>
        <w:t>En ejercicio de la competencia otorgada por los artículos 3, numeral 5º, y 11, numeral 8º, del Decreto Ley 4170 de 2011,</w:t>
      </w:r>
      <w:r w:rsidRPr="003B3746">
        <w:rPr>
          <w:rFonts w:ascii="Verdana" w:eastAsia="Arial MT" w:hAnsi="Verdana" w:cs="Arial MT"/>
          <w:lang w:val="es-ES_tradnl" w:eastAsia="es-ES"/>
        </w:rPr>
        <w:t xml:space="preserve"> </w:t>
      </w:r>
      <w:r w:rsidRPr="003B3746">
        <w:rPr>
          <w:rFonts w:ascii="Verdana" w:eastAsia="Aptos" w:hAnsi="Verdana" w:cs="Arial"/>
          <w:lang w:val="es-ES_tradnl"/>
        </w:rPr>
        <w:t xml:space="preserve">así como lo establecido en el artículo 4 de la Resolución 1707 de 2018 expedida por esta Entidad, </w:t>
      </w:r>
      <w:r w:rsidRPr="003B3746">
        <w:rPr>
          <w:rFonts w:ascii="Verdana" w:eastAsia="Calibri" w:hAnsi="Verdana" w:cs="Arial"/>
          <w:lang w:val="es-ES_tradnl" w:eastAsia="es-ES"/>
        </w:rPr>
        <w:t>la Agencia Nacional de Contratación Pública –Colombia Compra Eficiente– responde su solicitud de petición de fecha del 1 de diciembre de 2025, en la que manifiesta lo siguiente:</w:t>
      </w:r>
    </w:p>
    <w:p w14:paraId="271EAA89" w14:textId="77777777" w:rsidR="003B3746" w:rsidRPr="003B3746" w:rsidRDefault="003B3746" w:rsidP="003B3746">
      <w:pPr>
        <w:spacing w:after="0" w:line="276" w:lineRule="auto"/>
        <w:jc w:val="both"/>
        <w:rPr>
          <w:rFonts w:ascii="Verdana" w:eastAsia="Calibri" w:hAnsi="Verdana" w:cs="Arial"/>
          <w:lang w:val="es-ES_tradnl" w:eastAsia="es-ES"/>
        </w:rPr>
      </w:pPr>
    </w:p>
    <w:p w14:paraId="5E811A04" w14:textId="77777777" w:rsidR="003B3746" w:rsidRPr="003B3746" w:rsidRDefault="003B3746" w:rsidP="003B3746">
      <w:pPr>
        <w:spacing w:after="0" w:line="240" w:lineRule="auto"/>
        <w:ind w:left="709" w:right="709"/>
        <w:jc w:val="both"/>
        <w:rPr>
          <w:rFonts w:ascii="Verdana" w:eastAsia="Calibri" w:hAnsi="Verdana" w:cs="Arial"/>
          <w:sz w:val="21"/>
          <w:szCs w:val="21"/>
          <w:lang w:val="es-ES" w:eastAsia="es-ES"/>
        </w:rPr>
      </w:pPr>
      <w:r w:rsidRPr="07FC6463">
        <w:rPr>
          <w:rFonts w:ascii="Verdana" w:eastAsia="Calibri" w:hAnsi="Verdana" w:cs="Arial"/>
          <w:sz w:val="21"/>
          <w:szCs w:val="21"/>
          <w:lang w:val="es-ES" w:eastAsia="es-ES"/>
        </w:rPr>
        <w:t xml:space="preserve">“Teniendo en cuenta que los pliegos de condiciones para un proceso de licitación pública estipulan la forma de ponderar la oferta económica e informan que se debe esperar la TRM para ello, surge la siguiente inquietud, si hay una sola oferta participando en el proceso, es necesario esperar la TRM para darle estricto cumplimiento al pliego de condiciones o se puede adelantar la adjudicación antes del conocimiento de la tasa si ya fue </w:t>
      </w:r>
      <w:proofErr w:type="spellStart"/>
      <w:r w:rsidRPr="07FC6463">
        <w:rPr>
          <w:rFonts w:ascii="Verdana" w:eastAsia="Calibri" w:hAnsi="Verdana" w:cs="Arial"/>
          <w:sz w:val="21"/>
          <w:szCs w:val="21"/>
          <w:lang w:val="es-ES" w:eastAsia="es-ES"/>
        </w:rPr>
        <w:t>aperturado</w:t>
      </w:r>
      <w:proofErr w:type="spellEnd"/>
      <w:r w:rsidRPr="07FC6463">
        <w:rPr>
          <w:rFonts w:ascii="Verdana" w:eastAsia="Calibri" w:hAnsi="Verdana" w:cs="Arial"/>
          <w:sz w:val="21"/>
          <w:szCs w:val="21"/>
          <w:lang w:val="es-ES" w:eastAsia="es-ES"/>
        </w:rPr>
        <w:t xml:space="preserve"> el sobre 2 y evaluada la oferta económica y no cabe la </w:t>
      </w:r>
      <w:proofErr w:type="spellStart"/>
      <w:r w:rsidRPr="07FC6463">
        <w:rPr>
          <w:rFonts w:ascii="Verdana" w:eastAsia="Calibri" w:hAnsi="Verdana" w:cs="Arial"/>
          <w:sz w:val="21"/>
          <w:szCs w:val="21"/>
          <w:lang w:val="es-ES" w:eastAsia="es-ES"/>
        </w:rPr>
        <w:t>comparacion</w:t>
      </w:r>
      <w:proofErr w:type="spellEnd"/>
      <w:r w:rsidRPr="07FC6463">
        <w:rPr>
          <w:rFonts w:ascii="Verdana" w:eastAsia="Calibri" w:hAnsi="Verdana" w:cs="Arial"/>
          <w:sz w:val="21"/>
          <w:szCs w:val="21"/>
          <w:lang w:val="es-ES" w:eastAsia="es-ES"/>
        </w:rPr>
        <w:t xml:space="preserve"> de ofertas para otorgamiento de puntaje al ser una sola? Es decir, se </w:t>
      </w:r>
      <w:proofErr w:type="spellStart"/>
      <w:r w:rsidRPr="07FC6463">
        <w:rPr>
          <w:rFonts w:ascii="Verdana" w:eastAsia="Calibri" w:hAnsi="Verdana" w:cs="Arial"/>
          <w:sz w:val="21"/>
          <w:szCs w:val="21"/>
          <w:lang w:val="es-ES" w:eastAsia="es-ES"/>
        </w:rPr>
        <w:t>podria</w:t>
      </w:r>
      <w:proofErr w:type="spellEnd"/>
      <w:r w:rsidRPr="07FC6463">
        <w:rPr>
          <w:rFonts w:ascii="Verdana" w:eastAsia="Calibri" w:hAnsi="Verdana" w:cs="Arial"/>
          <w:sz w:val="21"/>
          <w:szCs w:val="21"/>
          <w:lang w:val="es-ES" w:eastAsia="es-ES"/>
        </w:rPr>
        <w:t xml:space="preserve"> adjudicar </w:t>
      </w:r>
      <w:r w:rsidRPr="07FC6463">
        <w:rPr>
          <w:rFonts w:ascii="Verdana" w:eastAsia="Calibri" w:hAnsi="Verdana" w:cs="Arial"/>
          <w:sz w:val="21"/>
          <w:szCs w:val="21"/>
          <w:lang w:val="es-ES" w:eastAsia="es-ES"/>
        </w:rPr>
        <w:lastRenderedPageBreak/>
        <w:t xml:space="preserve">sin saber que método le aplica porque no hay TRM </w:t>
      </w:r>
      <w:proofErr w:type="gramStart"/>
      <w:r w:rsidRPr="07FC6463">
        <w:rPr>
          <w:rFonts w:ascii="Verdana" w:eastAsia="Calibri" w:hAnsi="Verdana" w:cs="Arial"/>
          <w:sz w:val="21"/>
          <w:szCs w:val="21"/>
          <w:lang w:val="es-ES" w:eastAsia="es-ES"/>
        </w:rPr>
        <w:t>aun</w:t>
      </w:r>
      <w:proofErr w:type="gramEnd"/>
      <w:r w:rsidRPr="07FC6463">
        <w:rPr>
          <w:rFonts w:ascii="Verdana" w:eastAsia="Calibri" w:hAnsi="Verdana" w:cs="Arial"/>
          <w:sz w:val="21"/>
          <w:szCs w:val="21"/>
          <w:lang w:val="es-ES" w:eastAsia="es-ES"/>
        </w:rPr>
        <w:t xml:space="preserve"> pero si el puntaje porque es una sola oferta?” [SIC]</w:t>
      </w:r>
    </w:p>
    <w:p w14:paraId="19CFF9E6" w14:textId="77777777" w:rsidR="003B3746" w:rsidRPr="003B3746" w:rsidRDefault="003B3746" w:rsidP="003B3746">
      <w:pPr>
        <w:tabs>
          <w:tab w:val="left" w:pos="142"/>
          <w:tab w:val="left" w:pos="284"/>
        </w:tabs>
        <w:spacing w:after="0" w:line="240" w:lineRule="auto"/>
        <w:contextualSpacing/>
        <w:jc w:val="both"/>
        <w:rPr>
          <w:rFonts w:ascii="Verdana" w:eastAsia="Century Gothic" w:hAnsi="Verdana" w:cs="Century Gothic"/>
          <w:b/>
          <w:bCs/>
          <w:sz w:val="20"/>
          <w:szCs w:val="20"/>
          <w:lang w:val="es-ES_tradnl"/>
        </w:rPr>
      </w:pPr>
    </w:p>
    <w:p w14:paraId="5AB2BC5A" w14:textId="77777777" w:rsidR="003B3746" w:rsidRPr="003B3746" w:rsidRDefault="003B3746" w:rsidP="003B3746">
      <w:pPr>
        <w:spacing w:after="120" w:line="276" w:lineRule="auto"/>
        <w:ind w:firstLine="709"/>
        <w:jc w:val="both"/>
        <w:rPr>
          <w:rFonts w:ascii="Verdana" w:eastAsia="Calibri" w:hAnsi="Verdana" w:cs="Arial"/>
          <w:szCs w:val="24"/>
          <w:lang w:val="es-ES_tradnl" w:eastAsia="es-ES_tradnl"/>
        </w:rPr>
      </w:pPr>
      <w:r w:rsidRPr="003B3746">
        <w:rPr>
          <w:rFonts w:ascii="Verdana" w:eastAsia="Calibri" w:hAnsi="Verdana" w:cs="Arial"/>
          <w:lang w:val="es-ES_tradnl"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5F0B3B2" w14:textId="77777777" w:rsidR="003B3746" w:rsidRPr="003B3746" w:rsidRDefault="003B3746" w:rsidP="003B3746">
      <w:pPr>
        <w:spacing w:after="0" w:line="276" w:lineRule="auto"/>
        <w:ind w:firstLine="709"/>
        <w:jc w:val="both"/>
        <w:rPr>
          <w:rFonts w:ascii="Verdana" w:eastAsia="Calibri" w:hAnsi="Verdana" w:cs="Arial"/>
          <w:lang w:val="es-ES_tradnl" w:eastAsia="es-ES"/>
        </w:rPr>
      </w:pPr>
      <w:r w:rsidRPr="003B3746">
        <w:rPr>
          <w:rFonts w:ascii="Verdana" w:eastAsia="Calibri" w:hAnsi="Verdana" w:cs="Arial"/>
          <w:lang w:val="es-ES_tradnl"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E2A75D3" w14:textId="77777777" w:rsidR="003B3746" w:rsidRPr="003B3746" w:rsidRDefault="003B3746" w:rsidP="003B3746">
      <w:pPr>
        <w:spacing w:after="0" w:line="276" w:lineRule="auto"/>
        <w:ind w:firstLine="709"/>
        <w:jc w:val="both"/>
        <w:rPr>
          <w:rFonts w:ascii="Verdana" w:eastAsia="Calibri" w:hAnsi="Verdana" w:cs="Arial"/>
          <w:lang w:val="es-ES_tradnl" w:eastAsia="es-ES"/>
        </w:rPr>
      </w:pPr>
    </w:p>
    <w:p w14:paraId="4DF70867" w14:textId="77777777" w:rsidR="003B3746" w:rsidRPr="003B3746" w:rsidRDefault="003B3746" w:rsidP="003B3746">
      <w:pPr>
        <w:widowControl w:val="0"/>
        <w:autoSpaceDE w:val="0"/>
        <w:autoSpaceDN w:val="0"/>
        <w:spacing w:before="1" w:after="0" w:line="240" w:lineRule="auto"/>
        <w:ind w:left="360" w:hanging="360"/>
        <w:jc w:val="both"/>
        <w:outlineLvl w:val="0"/>
        <w:rPr>
          <w:rFonts w:ascii="Verdana" w:eastAsia="Arial" w:hAnsi="Verdana" w:cs="Arial"/>
          <w:b/>
          <w:bCs/>
          <w:lang w:val="es-ES_tradnl"/>
        </w:rPr>
      </w:pPr>
      <w:r w:rsidRPr="003B3746">
        <w:rPr>
          <w:rFonts w:ascii="Verdana" w:eastAsia="Arial" w:hAnsi="Verdana" w:cs="Arial"/>
          <w:b/>
          <w:bCs/>
          <w:lang w:val="es-ES_tradnl"/>
        </w:rPr>
        <w:t>1. Problema planteado:</w:t>
      </w:r>
    </w:p>
    <w:p w14:paraId="190A2EB6" w14:textId="77777777" w:rsidR="003B3746" w:rsidRPr="003B3746" w:rsidRDefault="003B3746" w:rsidP="003B3746">
      <w:pPr>
        <w:tabs>
          <w:tab w:val="left" w:pos="426"/>
        </w:tabs>
        <w:spacing w:after="0" w:line="276" w:lineRule="auto"/>
        <w:jc w:val="both"/>
        <w:rPr>
          <w:rFonts w:ascii="Verdana" w:eastAsia="Century Gothic" w:hAnsi="Verdana" w:cs="Century Gothic"/>
          <w:lang w:val="es-ES_tradnl"/>
        </w:rPr>
      </w:pPr>
    </w:p>
    <w:p w14:paraId="36AEC70C" w14:textId="77777777" w:rsidR="003B3746" w:rsidRPr="003B3746" w:rsidRDefault="003B3746" w:rsidP="003B3746">
      <w:pPr>
        <w:spacing w:after="0" w:line="276" w:lineRule="auto"/>
        <w:jc w:val="both"/>
        <w:rPr>
          <w:rFonts w:ascii="Verdana" w:eastAsia="Century Gothic" w:hAnsi="Verdana" w:cs="Century Gothic"/>
          <w:lang w:val="es-ES_tradnl"/>
        </w:rPr>
      </w:pPr>
      <w:r w:rsidRPr="003B3746">
        <w:rPr>
          <w:rFonts w:ascii="Verdana" w:eastAsia="Century Gothic" w:hAnsi="Verdana" w:cs="Century Gothic"/>
          <w:lang w:val="es-ES_tradnl"/>
        </w:rPr>
        <w:t>De acuerdo con el contenido de su solicitud, esta Agencia resolverá el siguiente problema jurídic</w:t>
      </w:r>
      <w:bookmarkStart w:id="1" w:name="_Hlk171070029"/>
      <w:r w:rsidRPr="003B3746">
        <w:rPr>
          <w:rFonts w:ascii="Verdana" w:eastAsia="Century Gothic" w:hAnsi="Verdana" w:cs="Century Gothic"/>
          <w:lang w:val="es-ES_tradnl"/>
        </w:rPr>
        <w:t>o: ¿cómo opera el manejo de la TRM y del método de ponderación de la oferta cuando existe un único proponente habilitado en los documentos tipo de licitación de obra pública de infraestructura de transporte?</w:t>
      </w:r>
    </w:p>
    <w:p w14:paraId="6A16E369" w14:textId="77777777" w:rsidR="003B3746" w:rsidRPr="003B3746" w:rsidRDefault="003B3746" w:rsidP="003B3746">
      <w:pPr>
        <w:spacing w:after="0" w:line="276" w:lineRule="auto"/>
        <w:jc w:val="both"/>
        <w:rPr>
          <w:rFonts w:ascii="Verdana" w:eastAsia="Century Gothic" w:hAnsi="Verdana" w:cs="Century Gothic"/>
          <w:lang w:val="es-ES_tradnl"/>
        </w:rPr>
      </w:pPr>
    </w:p>
    <w:bookmarkEnd w:id="1"/>
    <w:p w14:paraId="0B1F1B00" w14:textId="77777777" w:rsidR="003B3746" w:rsidRPr="003B3746" w:rsidRDefault="003B3746" w:rsidP="003B3746">
      <w:pPr>
        <w:widowControl w:val="0"/>
        <w:autoSpaceDE w:val="0"/>
        <w:autoSpaceDN w:val="0"/>
        <w:spacing w:before="1" w:after="0" w:line="240" w:lineRule="auto"/>
        <w:jc w:val="both"/>
        <w:outlineLvl w:val="0"/>
        <w:rPr>
          <w:rFonts w:ascii="Verdana" w:eastAsia="Arial" w:hAnsi="Verdana" w:cs="Arial"/>
          <w:b/>
          <w:bCs/>
          <w:lang w:val="es-ES_tradnl"/>
        </w:rPr>
      </w:pPr>
      <w:r w:rsidRPr="003B3746">
        <w:rPr>
          <w:rFonts w:ascii="Verdana" w:eastAsia="Arial" w:hAnsi="Verdana" w:cs="Arial"/>
          <w:b/>
          <w:bCs/>
          <w:lang w:val="es-ES_tradnl"/>
        </w:rPr>
        <w:t>2. Respuesta:</w:t>
      </w:r>
    </w:p>
    <w:p w14:paraId="435B7909" w14:textId="77777777" w:rsidR="003B3746" w:rsidRPr="003B3746" w:rsidRDefault="003B3746" w:rsidP="003B3746">
      <w:pPr>
        <w:spacing w:after="0"/>
        <w:rPr>
          <w:rFonts w:ascii="Verdana" w:eastAsia="Aptos" w:hAnsi="Verdana" w:cs="Times New Roman"/>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B3746" w:rsidRPr="003B3746" w14:paraId="289EE9CF" w14:textId="77777777" w:rsidTr="007E0460">
        <w:tc>
          <w:tcPr>
            <w:tcW w:w="8828" w:type="dxa"/>
          </w:tcPr>
          <w:p w14:paraId="273F244A" w14:textId="77777777" w:rsidR="003B3746" w:rsidRPr="003B3746" w:rsidRDefault="003B3746" w:rsidP="003B3746">
            <w:pPr>
              <w:tabs>
                <w:tab w:val="left" w:pos="-142"/>
              </w:tabs>
              <w:autoSpaceDE w:val="0"/>
              <w:autoSpaceDN w:val="0"/>
              <w:adjustRightInd w:val="0"/>
              <w:spacing w:after="120" w:line="276" w:lineRule="auto"/>
              <w:jc w:val="both"/>
              <w:outlineLvl w:val="2"/>
              <w:rPr>
                <w:rFonts w:ascii="Verdana" w:eastAsia="Times New Roman" w:hAnsi="Verdana" w:cs="Arial"/>
                <w:shd w:val="clear" w:color="auto" w:fill="FFFFFF"/>
                <w:lang w:val="es-ES_tradnl" w:eastAsia="es-ES_tradnl"/>
              </w:rPr>
            </w:pPr>
            <w:bookmarkStart w:id="2" w:name="_Hlk171067516"/>
            <w:r w:rsidRPr="003B3746">
              <w:rPr>
                <w:rFonts w:ascii="Verdana" w:eastAsia="Calibri" w:hAnsi="Verdana" w:cs="Arial"/>
              </w:rPr>
              <w:t xml:space="preserve">El numeral </w:t>
            </w:r>
            <w:r w:rsidRPr="003B3746">
              <w:rPr>
                <w:rFonts w:ascii="Verdana" w:eastAsia="Calibri" w:hAnsi="Verdana" w:cs="Arial"/>
                <w:lang w:eastAsia="es-ES"/>
              </w:rPr>
              <w:t>4.1.4. “</w:t>
            </w:r>
            <w:r w:rsidRPr="003B3746">
              <w:rPr>
                <w:rFonts w:ascii="Verdana" w:eastAsia="Arial" w:hAnsi="Verdana" w:cs="Arial"/>
                <w:lang w:eastAsia="es-ES"/>
              </w:rPr>
              <w:t xml:space="preserve">Determinación del método para la ponderación de la propuesta económica”, contenido en el documento base de los documentos tipo de licitación de obra pública de infraestructura de transporte –versión 4–, contiene </w:t>
            </w:r>
            <w:r w:rsidRPr="003B3746">
              <w:rPr>
                <w:rFonts w:ascii="Verdana" w:eastAsia="Calibri" w:hAnsi="Verdana" w:cs="Arial"/>
                <w:lang w:val="x-none" w:eastAsia="es-ES"/>
              </w:rPr>
              <w:t>cuatro</w:t>
            </w:r>
            <w:r w:rsidRPr="003B3746">
              <w:rPr>
                <w:rFonts w:ascii="Verdana" w:eastAsia="Calibri" w:hAnsi="Verdana" w:cs="Arial"/>
                <w:lang w:val="es-MX" w:eastAsia="es-ES"/>
              </w:rPr>
              <w:t xml:space="preserve"> (4)</w:t>
            </w:r>
            <w:r w:rsidRPr="003B3746">
              <w:rPr>
                <w:rFonts w:ascii="Verdana" w:eastAsia="Calibri" w:hAnsi="Verdana" w:cs="Arial"/>
                <w:lang w:val="x-none" w:eastAsia="es-ES"/>
              </w:rPr>
              <w:t xml:space="preserve"> alternativas para escoger el método de ponderación de la</w:t>
            </w:r>
            <w:r w:rsidRPr="003B3746">
              <w:rPr>
                <w:rFonts w:ascii="Verdana" w:eastAsia="Calibri" w:hAnsi="Verdana" w:cs="Arial"/>
                <w:lang w:eastAsia="es-ES"/>
              </w:rPr>
              <w:t>s</w:t>
            </w:r>
            <w:r w:rsidRPr="003B3746">
              <w:rPr>
                <w:rFonts w:ascii="Verdana" w:eastAsia="Calibri" w:hAnsi="Verdana" w:cs="Arial"/>
                <w:lang w:val="x-none" w:eastAsia="es-ES"/>
              </w:rPr>
              <w:t xml:space="preserve"> propuesta</w:t>
            </w:r>
            <w:r w:rsidRPr="003B3746">
              <w:rPr>
                <w:rFonts w:ascii="Verdana" w:eastAsia="Calibri" w:hAnsi="Verdana" w:cs="Arial"/>
                <w:lang w:eastAsia="es-ES"/>
              </w:rPr>
              <w:t>s</w:t>
            </w:r>
            <w:r w:rsidRPr="003B3746">
              <w:rPr>
                <w:rFonts w:ascii="Verdana" w:eastAsia="Calibri" w:hAnsi="Verdana" w:cs="Arial"/>
                <w:lang w:val="x-none" w:eastAsia="es-ES"/>
              </w:rPr>
              <w:t xml:space="preserve"> económica</w:t>
            </w:r>
            <w:r w:rsidRPr="003B3746">
              <w:rPr>
                <w:rFonts w:ascii="Verdana" w:eastAsia="Calibri" w:hAnsi="Verdana" w:cs="Arial"/>
                <w:lang w:eastAsia="es-ES"/>
              </w:rPr>
              <w:t>s</w:t>
            </w:r>
            <w:r w:rsidRPr="003B3746">
              <w:rPr>
                <w:rFonts w:ascii="Verdana" w:eastAsia="Calibri" w:hAnsi="Verdana" w:cs="Arial"/>
                <w:lang w:val="x-none" w:eastAsia="es-ES"/>
              </w:rPr>
              <w:t xml:space="preserve">, a saber: i) mediana con valor absoluto; ii) media </w:t>
            </w:r>
            <w:r w:rsidRPr="003B3746">
              <w:rPr>
                <w:rFonts w:ascii="Verdana" w:eastAsia="Calibri" w:hAnsi="Verdana" w:cs="Arial"/>
                <w:lang w:val="x-none" w:eastAsia="es-ES"/>
              </w:rPr>
              <w:lastRenderedPageBreak/>
              <w:t>geométrica; iii) media aritmética baja, y iv) menor valor.</w:t>
            </w:r>
            <w:r w:rsidRPr="003B3746">
              <w:rPr>
                <w:rFonts w:ascii="Verdana" w:eastAsia="Calibri" w:hAnsi="Verdana" w:cs="Arial"/>
                <w:lang w:eastAsia="es-ES"/>
              </w:rPr>
              <w:t xml:space="preserve"> A partir de estas alternativas</w:t>
            </w:r>
            <w:r w:rsidRPr="003B3746">
              <w:rPr>
                <w:rFonts w:ascii="Verdana" w:eastAsia="Calibri" w:hAnsi="Verdana" w:cs="Arial"/>
                <w:lang w:val="x-none" w:eastAsia="es-ES"/>
              </w:rPr>
              <w:t>, la entidad</w:t>
            </w:r>
            <w:r w:rsidRPr="003B3746">
              <w:rPr>
                <w:rFonts w:ascii="Verdana" w:eastAsia="Calibri" w:hAnsi="Verdana" w:cs="Arial"/>
                <w:lang w:val="es-ES" w:eastAsia="es-ES"/>
              </w:rPr>
              <w:t>,</w:t>
            </w:r>
            <w:r w:rsidRPr="003B3746">
              <w:rPr>
                <w:rFonts w:ascii="Verdana" w:eastAsia="Calibri" w:hAnsi="Verdana" w:cs="Arial"/>
                <w:lang w:val="x-none" w:eastAsia="es-ES"/>
              </w:rPr>
              <w:t xml:space="preserve"> para establecer el método de ponderación</w:t>
            </w:r>
            <w:r w:rsidRPr="003B3746">
              <w:rPr>
                <w:rFonts w:ascii="Verdana" w:eastAsia="Calibri" w:hAnsi="Verdana" w:cs="Arial"/>
                <w:lang w:val="es-ES" w:eastAsia="es-ES"/>
              </w:rPr>
              <w:t>,</w:t>
            </w:r>
            <w:r w:rsidRPr="003B3746">
              <w:rPr>
                <w:rFonts w:ascii="Verdana" w:eastAsia="Calibri" w:hAnsi="Verdana" w:cs="Arial"/>
                <w:lang w:val="x-none" w:eastAsia="es-ES"/>
              </w:rPr>
              <w:t xml:space="preserve"> tomará los centavos de la Tasa de Cambio Representativa del Mercado (TRM), certificada por la Superintendencia Financiera de Colombia</w:t>
            </w:r>
            <w:r w:rsidRPr="003B3746">
              <w:rPr>
                <w:rFonts w:ascii="Verdana" w:eastAsia="Calibri" w:hAnsi="Verdana" w:cs="Arial"/>
                <w:color w:val="3A3A3A"/>
                <w:lang w:val="x-none" w:eastAsia="es-ES"/>
              </w:rPr>
              <w:t>.</w:t>
            </w:r>
            <w:r w:rsidRPr="003B3746">
              <w:rPr>
                <w:rFonts w:ascii="Verdana" w:eastAsia="Calibri" w:hAnsi="Verdana" w:cs="Arial"/>
                <w:lang w:val="x-none" w:eastAsia="es-ES"/>
              </w:rPr>
              <w:t xml:space="preserve"> </w:t>
            </w:r>
            <w:r w:rsidRPr="003B3746">
              <w:rPr>
                <w:rFonts w:ascii="Verdana" w:eastAsia="Times New Roman" w:hAnsi="Verdana" w:cs="Arial"/>
                <w:shd w:val="clear" w:color="auto" w:fill="FFFFFF"/>
                <w:lang w:val="es-ES_tradnl" w:eastAsia="es-ES_tradnl"/>
              </w:rPr>
              <w:t xml:space="preserve"> </w:t>
            </w:r>
          </w:p>
          <w:p w14:paraId="3C5FF271" w14:textId="77777777" w:rsidR="003B3746" w:rsidRPr="003B3746" w:rsidRDefault="003B3746" w:rsidP="003B3746">
            <w:p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Sin perjuicio de lo anterior, teniendo en cuenta el objeto de su consulta, es importante precisar que, el literal A del numeral 4.1.4 del documento base de los documentos tipo en comento, dispone que, “[e]n el evento que solo exista una oferta habilitada respecto de la cual se vaya a realizar la apertura del sobre No 2, la Entidad podrá prescindir de la definición de la TRM y escogencia de método de ponderación de la oferta económica”.</w:t>
            </w:r>
          </w:p>
          <w:p w14:paraId="47E49E6F" w14:textId="77777777" w:rsidR="003B3746" w:rsidRPr="003B3746" w:rsidRDefault="003B3746" w:rsidP="003B3746">
            <w:p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 xml:space="preserve">En ese sentido, cuando se trate de un único proponente habilitado, la entidad contratante podrá prescindir de la definición de la TRM y de la determinación del método de ponderación de la oferta económica, por lo que la asignación del puntaje se realizará, en su totalidad, frente a la oferta habilitada. </w:t>
            </w:r>
          </w:p>
        </w:tc>
      </w:tr>
      <w:bookmarkEnd w:id="2"/>
    </w:tbl>
    <w:p w14:paraId="737C69BC" w14:textId="77777777" w:rsidR="003B3746" w:rsidRPr="003B3746" w:rsidRDefault="003B3746" w:rsidP="003B3746">
      <w:pPr>
        <w:widowControl w:val="0"/>
        <w:autoSpaceDE w:val="0"/>
        <w:autoSpaceDN w:val="0"/>
        <w:spacing w:before="1" w:after="0" w:line="240" w:lineRule="auto"/>
        <w:ind w:left="360" w:hanging="360"/>
        <w:outlineLvl w:val="0"/>
        <w:rPr>
          <w:rFonts w:ascii="Verdana" w:eastAsia="Arial" w:hAnsi="Verdana" w:cs="Arial"/>
          <w:b/>
          <w:bCs/>
          <w:lang w:val="es-ES_tradnl"/>
        </w:rPr>
      </w:pPr>
    </w:p>
    <w:p w14:paraId="06F152B4" w14:textId="77777777" w:rsidR="003B3746" w:rsidRPr="003B3746" w:rsidRDefault="003B3746" w:rsidP="003B3746">
      <w:pPr>
        <w:widowControl w:val="0"/>
        <w:autoSpaceDE w:val="0"/>
        <w:autoSpaceDN w:val="0"/>
        <w:spacing w:before="1" w:after="0" w:line="240" w:lineRule="auto"/>
        <w:ind w:left="360" w:hanging="360"/>
        <w:outlineLvl w:val="0"/>
        <w:rPr>
          <w:rFonts w:ascii="Verdana" w:eastAsia="Arial" w:hAnsi="Verdana" w:cs="Arial"/>
          <w:b/>
          <w:bCs/>
          <w:lang w:val="es-ES_tradnl"/>
        </w:rPr>
      </w:pPr>
      <w:r w:rsidRPr="003B3746">
        <w:rPr>
          <w:rFonts w:ascii="Verdana" w:eastAsia="Arial" w:hAnsi="Verdana" w:cs="Arial"/>
          <w:b/>
          <w:bCs/>
          <w:lang w:val="es-ES_tradnl"/>
        </w:rPr>
        <w:t>3. Razones de la respuesta</w:t>
      </w:r>
    </w:p>
    <w:p w14:paraId="72FE6B2D" w14:textId="77777777" w:rsidR="003B3746" w:rsidRPr="003B3746" w:rsidRDefault="003B3746" w:rsidP="003B3746">
      <w:pPr>
        <w:spacing w:after="0" w:line="276" w:lineRule="auto"/>
        <w:jc w:val="both"/>
        <w:rPr>
          <w:rFonts w:ascii="Verdana" w:eastAsia="Calibri" w:hAnsi="Verdana" w:cs="Arial"/>
          <w:lang w:val="es-ES_tradnl"/>
        </w:rPr>
      </w:pPr>
    </w:p>
    <w:p w14:paraId="2562887F" w14:textId="77777777" w:rsidR="003B3746" w:rsidRPr="003B3746" w:rsidRDefault="003B3746" w:rsidP="003B3746">
      <w:pPr>
        <w:spacing w:after="0" w:line="276" w:lineRule="auto"/>
        <w:jc w:val="both"/>
        <w:rPr>
          <w:rFonts w:ascii="Verdana" w:eastAsia="Calibri" w:hAnsi="Verdana" w:cs="Arial"/>
          <w:lang w:val="es-ES_tradnl"/>
        </w:rPr>
      </w:pPr>
      <w:r w:rsidRPr="003B3746">
        <w:rPr>
          <w:rFonts w:ascii="Verdana" w:eastAsia="Calibri" w:hAnsi="Verdana" w:cs="Arial"/>
          <w:lang w:val="es-ES_tradnl"/>
        </w:rPr>
        <w:t xml:space="preserve">La respuesta anterior se sustenta en las siguientes consideraciones: </w:t>
      </w:r>
    </w:p>
    <w:p w14:paraId="501B4062" w14:textId="77777777" w:rsidR="003B3746" w:rsidRPr="003B3746" w:rsidRDefault="003B3746" w:rsidP="003B3746">
      <w:pPr>
        <w:spacing w:after="0" w:line="276" w:lineRule="auto"/>
        <w:contextualSpacing/>
        <w:jc w:val="both"/>
        <w:rPr>
          <w:rFonts w:ascii="Verdana" w:eastAsia="Calibri" w:hAnsi="Verdana" w:cs="Arial"/>
          <w:lang w:val="es-ES_tradnl"/>
        </w:rPr>
      </w:pPr>
    </w:p>
    <w:p w14:paraId="4081DE0C" w14:textId="77777777" w:rsidR="003B3746" w:rsidRPr="003B3746" w:rsidRDefault="003B3746" w:rsidP="003B3746">
      <w:pPr>
        <w:tabs>
          <w:tab w:val="left" w:pos="-142"/>
        </w:tabs>
        <w:autoSpaceDE w:val="0"/>
        <w:autoSpaceDN w:val="0"/>
        <w:adjustRightInd w:val="0"/>
        <w:spacing w:after="0" w:line="276" w:lineRule="auto"/>
        <w:jc w:val="both"/>
        <w:outlineLvl w:val="2"/>
        <w:rPr>
          <w:rFonts w:ascii="Verdana" w:eastAsia="Calibri" w:hAnsi="Verdana" w:cs="Arial"/>
          <w:lang w:val="x-none" w:eastAsia="es-ES"/>
        </w:rPr>
      </w:pPr>
      <w:r w:rsidRPr="003B3746">
        <w:rPr>
          <w:rFonts w:ascii="Verdana" w:eastAsia="Calibri" w:hAnsi="Verdana" w:cs="Arial"/>
        </w:rPr>
        <w:t xml:space="preserve">El numeral </w:t>
      </w:r>
      <w:bookmarkStart w:id="3" w:name="_Toc32147369"/>
      <w:bookmarkStart w:id="4" w:name="_Toc84413953"/>
      <w:bookmarkStart w:id="5" w:name="_Hlk511666009"/>
      <w:r w:rsidRPr="003B3746">
        <w:rPr>
          <w:rFonts w:ascii="Verdana" w:eastAsia="Calibri" w:hAnsi="Verdana" w:cs="Arial"/>
          <w:lang w:eastAsia="es-ES"/>
        </w:rPr>
        <w:t>4.1.4. “</w:t>
      </w:r>
      <w:r w:rsidRPr="003B3746">
        <w:rPr>
          <w:rFonts w:ascii="Verdana" w:eastAsia="Arial" w:hAnsi="Verdana" w:cs="Arial"/>
          <w:lang w:eastAsia="es-ES"/>
        </w:rPr>
        <w:t>Determinación del método para la ponderación de la propuesta económica</w:t>
      </w:r>
      <w:bookmarkEnd w:id="3"/>
      <w:bookmarkEnd w:id="4"/>
      <w:bookmarkEnd w:id="5"/>
      <w:r w:rsidRPr="003B3746">
        <w:rPr>
          <w:rFonts w:ascii="Verdana" w:eastAsia="Arial" w:hAnsi="Verdana" w:cs="Arial"/>
          <w:lang w:eastAsia="es-ES"/>
        </w:rPr>
        <w:t xml:space="preserve">”, contenido en el documento base de los documentos tipo de licitación de obra pública de infraestructura de transporte –versión 4–, contiene </w:t>
      </w:r>
      <w:r w:rsidRPr="003B3746">
        <w:rPr>
          <w:rFonts w:ascii="Verdana" w:eastAsia="Calibri" w:hAnsi="Verdana" w:cs="Arial"/>
          <w:lang w:val="x-none" w:eastAsia="es-ES"/>
        </w:rPr>
        <w:t>cuatro</w:t>
      </w:r>
      <w:r w:rsidRPr="003B3746">
        <w:rPr>
          <w:rFonts w:ascii="Verdana" w:eastAsia="Calibri" w:hAnsi="Verdana" w:cs="Arial"/>
          <w:lang w:val="es-MX" w:eastAsia="es-ES"/>
        </w:rPr>
        <w:t xml:space="preserve"> (4)</w:t>
      </w:r>
      <w:r w:rsidRPr="003B3746">
        <w:rPr>
          <w:rFonts w:ascii="Verdana" w:eastAsia="Calibri" w:hAnsi="Verdana" w:cs="Arial"/>
          <w:lang w:val="x-none" w:eastAsia="es-ES"/>
        </w:rPr>
        <w:t xml:space="preserve"> alternativas para escoger el método de ponderación de la</w:t>
      </w:r>
      <w:r w:rsidRPr="003B3746">
        <w:rPr>
          <w:rFonts w:ascii="Verdana" w:eastAsia="Calibri" w:hAnsi="Verdana" w:cs="Arial"/>
          <w:lang w:eastAsia="es-ES"/>
        </w:rPr>
        <w:t>s</w:t>
      </w:r>
      <w:r w:rsidRPr="003B3746">
        <w:rPr>
          <w:rFonts w:ascii="Verdana" w:eastAsia="Calibri" w:hAnsi="Verdana" w:cs="Arial"/>
          <w:lang w:val="x-none" w:eastAsia="es-ES"/>
        </w:rPr>
        <w:t xml:space="preserve"> propuesta</w:t>
      </w:r>
      <w:r w:rsidRPr="003B3746">
        <w:rPr>
          <w:rFonts w:ascii="Verdana" w:eastAsia="Calibri" w:hAnsi="Verdana" w:cs="Arial"/>
          <w:lang w:eastAsia="es-ES"/>
        </w:rPr>
        <w:t>s</w:t>
      </w:r>
      <w:r w:rsidRPr="003B3746">
        <w:rPr>
          <w:rFonts w:ascii="Verdana" w:eastAsia="Calibri" w:hAnsi="Verdana" w:cs="Arial"/>
          <w:lang w:val="x-none" w:eastAsia="es-ES"/>
        </w:rPr>
        <w:t xml:space="preserve"> económica</w:t>
      </w:r>
      <w:r w:rsidRPr="003B3746">
        <w:rPr>
          <w:rFonts w:ascii="Verdana" w:eastAsia="Calibri" w:hAnsi="Verdana" w:cs="Arial"/>
          <w:lang w:eastAsia="es-ES"/>
        </w:rPr>
        <w:t>s</w:t>
      </w:r>
      <w:r w:rsidRPr="003B3746">
        <w:rPr>
          <w:rFonts w:ascii="Verdana" w:eastAsia="Calibri" w:hAnsi="Verdana" w:cs="Arial"/>
          <w:lang w:val="x-none" w:eastAsia="es-ES"/>
        </w:rPr>
        <w:t>, a saber: i) mediana con valor absoluto; ii) media geométrica; iii) media aritmética baja, y iv) menor valor.</w:t>
      </w:r>
      <w:r w:rsidRPr="003B3746">
        <w:rPr>
          <w:rFonts w:ascii="Verdana" w:eastAsia="Calibri" w:hAnsi="Verdana" w:cs="Arial"/>
          <w:lang w:eastAsia="es-ES"/>
        </w:rPr>
        <w:t xml:space="preserve"> A partir de estas alternativas</w:t>
      </w:r>
      <w:r w:rsidRPr="003B3746">
        <w:rPr>
          <w:rFonts w:ascii="Verdana" w:eastAsia="Calibri" w:hAnsi="Verdana" w:cs="Arial"/>
          <w:lang w:val="x-none" w:eastAsia="es-ES"/>
        </w:rPr>
        <w:t>, la entidad</w:t>
      </w:r>
      <w:r w:rsidRPr="003B3746">
        <w:rPr>
          <w:rFonts w:ascii="Verdana" w:eastAsia="Calibri" w:hAnsi="Verdana" w:cs="Arial"/>
          <w:lang w:val="es-ES" w:eastAsia="es-ES"/>
        </w:rPr>
        <w:t>,</w:t>
      </w:r>
      <w:r w:rsidRPr="003B3746">
        <w:rPr>
          <w:rFonts w:ascii="Verdana" w:eastAsia="Calibri" w:hAnsi="Verdana" w:cs="Arial"/>
          <w:lang w:val="x-none" w:eastAsia="es-ES"/>
        </w:rPr>
        <w:t xml:space="preserve"> para establecer el método de ponderación</w:t>
      </w:r>
      <w:r w:rsidRPr="003B3746">
        <w:rPr>
          <w:rFonts w:ascii="Verdana" w:eastAsia="Calibri" w:hAnsi="Verdana" w:cs="Arial"/>
          <w:lang w:val="es-ES" w:eastAsia="es-ES"/>
        </w:rPr>
        <w:t>,</w:t>
      </w:r>
      <w:r w:rsidRPr="003B3746">
        <w:rPr>
          <w:rFonts w:ascii="Verdana" w:eastAsia="Calibri" w:hAnsi="Verdana" w:cs="Arial"/>
          <w:lang w:val="x-none" w:eastAsia="es-ES"/>
        </w:rPr>
        <w:t xml:space="preserve"> tomará los centavos de la Tasa de Cambio Representativa del Mercado (TRM), certificada por la Superintendencia Financiera de Colombia</w:t>
      </w:r>
      <w:r w:rsidRPr="003B3746">
        <w:rPr>
          <w:rFonts w:ascii="Verdana" w:eastAsia="Calibri" w:hAnsi="Verdana" w:cs="Arial"/>
          <w:color w:val="3A3A3A"/>
          <w:lang w:val="x-none" w:eastAsia="es-ES"/>
        </w:rPr>
        <w:t>.</w:t>
      </w:r>
      <w:r w:rsidRPr="003B3746">
        <w:rPr>
          <w:rFonts w:ascii="Verdana" w:eastAsia="Calibri" w:hAnsi="Verdana" w:cs="Arial"/>
          <w:lang w:val="x-none" w:eastAsia="es-ES"/>
        </w:rPr>
        <w:t xml:space="preserve"> Al respecto, el documento base señala lo siguiente:</w:t>
      </w:r>
    </w:p>
    <w:p w14:paraId="51304228" w14:textId="77777777" w:rsidR="003B3746" w:rsidRPr="003B3746" w:rsidRDefault="003B3746" w:rsidP="003B3746">
      <w:pPr>
        <w:tabs>
          <w:tab w:val="left" w:pos="-142"/>
        </w:tabs>
        <w:autoSpaceDE w:val="0"/>
        <w:autoSpaceDN w:val="0"/>
        <w:adjustRightInd w:val="0"/>
        <w:spacing w:after="0" w:line="276" w:lineRule="auto"/>
        <w:ind w:left="720"/>
        <w:jc w:val="both"/>
        <w:outlineLvl w:val="2"/>
        <w:rPr>
          <w:rFonts w:ascii="Verdana" w:eastAsia="Calibri" w:hAnsi="Verdana" w:cs="Arial"/>
          <w:lang w:val="x-none" w:eastAsia="es-ES"/>
        </w:rPr>
      </w:pPr>
    </w:p>
    <w:p w14:paraId="4366E387"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lang w:val="es-MX"/>
        </w:rPr>
        <w:t>“La entidad seleccionará el método de ponderación de la propuesta económica de acuerdo con las siguientes alternativas:</w:t>
      </w:r>
    </w:p>
    <w:tbl>
      <w:tblPr>
        <w:tblStyle w:val="Tablaconcuadrcula"/>
        <w:tblW w:w="0" w:type="auto"/>
        <w:jc w:val="center"/>
        <w:tblLook w:val="04A0" w:firstRow="1" w:lastRow="0" w:firstColumn="1" w:lastColumn="0" w:noHBand="0" w:noVBand="1"/>
      </w:tblPr>
      <w:tblGrid>
        <w:gridCol w:w="1560"/>
        <w:gridCol w:w="1984"/>
      </w:tblGrid>
      <w:tr w:rsidR="003B3746" w:rsidRPr="003B3746" w14:paraId="471A4DE4" w14:textId="77777777" w:rsidTr="007E0460">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vAlign w:val="center"/>
            <w:hideMark/>
          </w:tcPr>
          <w:p w14:paraId="5D339A91" w14:textId="77777777" w:rsidR="003B3746" w:rsidRPr="003B3746" w:rsidRDefault="003B3746" w:rsidP="003B3746">
            <w:pPr>
              <w:spacing w:line="276" w:lineRule="auto"/>
              <w:jc w:val="center"/>
              <w:rPr>
                <w:rFonts w:ascii="Verdana" w:eastAsia="Calibri" w:hAnsi="Verdana" w:cs="Arial"/>
                <w:b/>
                <w:bCs/>
                <w:color w:val="FFFFFF"/>
                <w:sz w:val="20"/>
                <w:szCs w:val="20"/>
              </w:rPr>
            </w:pPr>
            <w:bookmarkStart w:id="6" w:name="_Hlk511666058"/>
            <w:r w:rsidRPr="003B3746">
              <w:rPr>
                <w:rFonts w:ascii="Verdana" w:eastAsia="Calibri" w:hAnsi="Verdana" w:cs="Arial"/>
                <w:b/>
                <w:bCs/>
                <w:color w:val="FFFFFF"/>
                <w:sz w:val="20"/>
                <w:szCs w:val="20"/>
              </w:rPr>
              <w:lastRenderedPageBreak/>
              <w:t>Concepto</w:t>
            </w:r>
          </w:p>
        </w:tc>
        <w:tc>
          <w:tcPr>
            <w:tcW w:w="1984" w:type="dxa"/>
            <w:tcBorders>
              <w:top w:val="double" w:sz="4" w:space="0" w:color="auto"/>
              <w:left w:val="single" w:sz="4" w:space="0" w:color="auto"/>
              <w:bottom w:val="single" w:sz="4" w:space="0" w:color="auto"/>
              <w:right w:val="double" w:sz="4" w:space="0" w:color="auto"/>
            </w:tcBorders>
            <w:shd w:val="clear" w:color="auto" w:fill="404040"/>
            <w:vAlign w:val="center"/>
            <w:hideMark/>
          </w:tcPr>
          <w:p w14:paraId="1FBD956E" w14:textId="77777777" w:rsidR="003B3746" w:rsidRPr="003B3746" w:rsidRDefault="003B3746" w:rsidP="003B3746">
            <w:pPr>
              <w:spacing w:line="276" w:lineRule="auto"/>
              <w:jc w:val="center"/>
              <w:rPr>
                <w:rFonts w:ascii="Verdana" w:eastAsia="Calibri" w:hAnsi="Verdana" w:cs="Arial"/>
                <w:b/>
                <w:bCs/>
                <w:color w:val="FFFFFF"/>
                <w:sz w:val="20"/>
                <w:szCs w:val="20"/>
              </w:rPr>
            </w:pPr>
            <w:r w:rsidRPr="003B3746">
              <w:rPr>
                <w:rFonts w:ascii="Verdana" w:eastAsia="Calibri" w:hAnsi="Verdana" w:cs="Arial"/>
                <w:b/>
                <w:bCs/>
                <w:color w:val="FFFFFF"/>
                <w:sz w:val="20"/>
                <w:szCs w:val="20"/>
              </w:rPr>
              <w:t>Método</w:t>
            </w:r>
          </w:p>
        </w:tc>
      </w:tr>
      <w:tr w:rsidR="003B3746" w:rsidRPr="003B3746" w14:paraId="64B5A6E4" w14:textId="77777777" w:rsidTr="007E0460">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572AEEC1"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1</w:t>
            </w:r>
          </w:p>
        </w:tc>
        <w:tc>
          <w:tcPr>
            <w:tcW w:w="1984" w:type="dxa"/>
            <w:tcBorders>
              <w:top w:val="single" w:sz="4" w:space="0" w:color="auto"/>
              <w:left w:val="single" w:sz="4" w:space="0" w:color="auto"/>
              <w:bottom w:val="single" w:sz="4" w:space="0" w:color="auto"/>
              <w:right w:val="double" w:sz="4" w:space="0" w:color="auto"/>
            </w:tcBorders>
            <w:vAlign w:val="center"/>
            <w:hideMark/>
          </w:tcPr>
          <w:p w14:paraId="25165488"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Mediana con valor absoluto</w:t>
            </w:r>
          </w:p>
        </w:tc>
      </w:tr>
      <w:tr w:rsidR="003B3746" w:rsidRPr="003B3746" w14:paraId="302E5DEF" w14:textId="77777777" w:rsidTr="007E0460">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27D06F97"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2</w:t>
            </w:r>
          </w:p>
        </w:tc>
        <w:tc>
          <w:tcPr>
            <w:tcW w:w="1984" w:type="dxa"/>
            <w:tcBorders>
              <w:top w:val="single" w:sz="4" w:space="0" w:color="auto"/>
              <w:left w:val="single" w:sz="4" w:space="0" w:color="auto"/>
              <w:bottom w:val="single" w:sz="4" w:space="0" w:color="auto"/>
              <w:right w:val="double" w:sz="4" w:space="0" w:color="auto"/>
            </w:tcBorders>
            <w:vAlign w:val="center"/>
            <w:hideMark/>
          </w:tcPr>
          <w:p w14:paraId="0255C9E1"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Media geométrica</w:t>
            </w:r>
          </w:p>
        </w:tc>
      </w:tr>
      <w:tr w:rsidR="003B3746" w:rsidRPr="003B3746" w14:paraId="7ECB6B7E" w14:textId="77777777" w:rsidTr="007E0460">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7DD65F35"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3</w:t>
            </w:r>
          </w:p>
        </w:tc>
        <w:tc>
          <w:tcPr>
            <w:tcW w:w="1984" w:type="dxa"/>
            <w:tcBorders>
              <w:top w:val="single" w:sz="4" w:space="0" w:color="auto"/>
              <w:left w:val="single" w:sz="4" w:space="0" w:color="auto"/>
              <w:bottom w:val="single" w:sz="4" w:space="0" w:color="auto"/>
              <w:right w:val="double" w:sz="4" w:space="0" w:color="auto"/>
            </w:tcBorders>
            <w:vAlign w:val="center"/>
          </w:tcPr>
          <w:p w14:paraId="240F6CBE"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Media aritmética baja</w:t>
            </w:r>
          </w:p>
        </w:tc>
      </w:tr>
      <w:tr w:rsidR="003B3746" w:rsidRPr="003B3746" w14:paraId="5F3C8DF3" w14:textId="77777777" w:rsidTr="007E0460">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tcPr>
          <w:p w14:paraId="5CE7C2FF"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4</w:t>
            </w:r>
          </w:p>
        </w:tc>
        <w:tc>
          <w:tcPr>
            <w:tcW w:w="1984" w:type="dxa"/>
            <w:tcBorders>
              <w:top w:val="single" w:sz="4" w:space="0" w:color="auto"/>
              <w:left w:val="single" w:sz="4" w:space="0" w:color="auto"/>
              <w:bottom w:val="double" w:sz="4" w:space="0" w:color="auto"/>
              <w:right w:val="double" w:sz="4" w:space="0" w:color="auto"/>
            </w:tcBorders>
            <w:vAlign w:val="center"/>
          </w:tcPr>
          <w:p w14:paraId="4230A527" w14:textId="77777777" w:rsidR="003B3746" w:rsidRPr="003B3746" w:rsidRDefault="003B3746" w:rsidP="003B3746">
            <w:pPr>
              <w:spacing w:line="276" w:lineRule="auto"/>
              <w:jc w:val="center"/>
              <w:rPr>
                <w:rFonts w:ascii="Verdana" w:eastAsia="Calibri" w:hAnsi="Verdana" w:cs="Arial"/>
                <w:sz w:val="20"/>
                <w:szCs w:val="20"/>
                <w:lang w:val="es-ES"/>
              </w:rPr>
            </w:pPr>
            <w:r w:rsidRPr="003B3746">
              <w:rPr>
                <w:rFonts w:ascii="Verdana" w:eastAsia="Calibri" w:hAnsi="Verdana" w:cs="Arial"/>
                <w:sz w:val="20"/>
                <w:szCs w:val="20"/>
                <w:lang w:val="es-ES"/>
              </w:rPr>
              <w:t>Menor valor</w:t>
            </w:r>
          </w:p>
        </w:tc>
      </w:tr>
      <w:bookmarkEnd w:id="6"/>
    </w:tbl>
    <w:p w14:paraId="311E99BD" w14:textId="77777777" w:rsidR="003B3746" w:rsidRPr="003B3746" w:rsidRDefault="003B3746" w:rsidP="003B3746">
      <w:pPr>
        <w:ind w:right="709"/>
        <w:rPr>
          <w:rFonts w:ascii="Verdana" w:eastAsia="Calibri" w:hAnsi="Verdana" w:cs="Times New Roman"/>
          <w:sz w:val="21"/>
          <w:szCs w:val="21"/>
          <w:lang w:val="es-MX"/>
        </w:rPr>
      </w:pPr>
    </w:p>
    <w:p w14:paraId="7DFCC82A"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lang w:val="es-MX"/>
        </w:rPr>
        <w:t>Para determinar el método de ponderación, la entidad tomará los centavos de la Tasa de Cambio Representativa del Mercado (TRM), certificada por la Superintendencia Financiera de Colombia (en su sitio web: https://www.superfinanciera.gov.co/publicacion/60819).</w:t>
      </w:r>
    </w:p>
    <w:p w14:paraId="6597F1A9"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rPr>
        <w:t>El día de la audiencia efectiva de adjudicación, la entidad iniciará respondiendo y resolviendo las observaciones presentadas al informe de evaluación, de conformidad con el numeral 2.6. Después, la entidad iniciará la apertura de los sobres de las ofertas económicas, verificará, si procede, determinará las correcciones aritméticas y solicitará la justificación de precios artificialmente bajos a que haya lugar, si es necesario, la entidad se pronunciará sobre las ofertas requeridas en los términos del numeral 4.1.3. Posteriormente, la entidad definirá el método de ponderación de las propuestas de acuerdo con las siguientes reglas:</w:t>
      </w:r>
      <w:r w:rsidRPr="003B3746">
        <w:rPr>
          <w:rFonts w:ascii="Verdana" w:eastAsia="Calibri" w:hAnsi="Verdana" w:cs="Times New Roman"/>
          <w:sz w:val="21"/>
          <w:szCs w:val="21"/>
          <w:lang w:val="es-MX"/>
        </w:rPr>
        <w:t> </w:t>
      </w:r>
    </w:p>
    <w:p w14:paraId="111ECAB9" w14:textId="77777777" w:rsidR="003B3746" w:rsidRPr="003B3746" w:rsidRDefault="003B3746" w:rsidP="003B3746">
      <w:pPr>
        <w:numPr>
          <w:ilvl w:val="0"/>
          <w:numId w:val="17"/>
        </w:numPr>
        <w:spacing w:after="0" w:line="240" w:lineRule="auto"/>
        <w:ind w:right="709"/>
        <w:contextualSpacing/>
        <w:jc w:val="both"/>
        <w:rPr>
          <w:rFonts w:ascii="Verdana" w:eastAsia="Calibri" w:hAnsi="Verdana" w:cs="Times New Roman"/>
          <w:sz w:val="21"/>
          <w:szCs w:val="21"/>
          <w:lang w:val="es-MX"/>
        </w:rPr>
      </w:pPr>
      <w:r w:rsidRPr="003B3746">
        <w:rPr>
          <w:rFonts w:ascii="Verdana" w:eastAsia="Calibri" w:hAnsi="Verdana" w:cs="Times New Roman"/>
          <w:sz w:val="21"/>
          <w:szCs w:val="21"/>
          <w:lang w:val="es-ES"/>
        </w:rPr>
        <w:t>Una vez agotado el procedimiento anterior, la Entidad deberá pronunciarse sobre las propuestas que han sido rechazadas y las que se encuentran validas. Si este pronunciamiento, se realiza hasta las 3:00 pm, la entidad tomará la TRM que rija para el día hábil siguiente.</w:t>
      </w:r>
      <w:r w:rsidRPr="003B3746" w:rsidDel="007C178D">
        <w:rPr>
          <w:rFonts w:ascii="Verdana" w:eastAsia="Calibri" w:hAnsi="Verdana" w:cs="Times New Roman"/>
          <w:sz w:val="21"/>
          <w:szCs w:val="21"/>
          <w:lang w:val="es-ES"/>
        </w:rPr>
        <w:t xml:space="preserve"> </w:t>
      </w:r>
      <w:r w:rsidRPr="003B3746">
        <w:rPr>
          <w:rFonts w:ascii="Verdana" w:eastAsia="Calibri" w:hAnsi="Verdana" w:cs="Times New Roman"/>
          <w:sz w:val="21"/>
          <w:szCs w:val="21"/>
          <w:lang w:val="es-ES"/>
        </w:rPr>
        <w:t>En caso contrario, cuando el pronunciamiento se dé después de las 3:00 pm, la entidad tomará la TRM que rija para el segundo día hábil siguiente.</w:t>
      </w:r>
    </w:p>
    <w:p w14:paraId="6553C504" w14:textId="77777777" w:rsidR="003B3746" w:rsidRPr="003B3746" w:rsidRDefault="003B3746" w:rsidP="003B3746">
      <w:pPr>
        <w:spacing w:after="0" w:line="240" w:lineRule="auto"/>
        <w:ind w:left="1429" w:right="709"/>
        <w:contextualSpacing/>
        <w:jc w:val="both"/>
        <w:rPr>
          <w:rFonts w:ascii="Verdana" w:eastAsia="Calibri" w:hAnsi="Verdana" w:cs="Times New Roman"/>
          <w:sz w:val="21"/>
          <w:szCs w:val="21"/>
          <w:lang w:val="es-MX"/>
        </w:rPr>
      </w:pPr>
    </w:p>
    <w:p w14:paraId="59BA11EE"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rPr>
        <w:t>En este sentido, atendiendo a las circunstancias anteriores y las particularidades de cada caso, la entidad podrá optar por suspender la audiencia y reiniciarla cuando lo considere conveniente.</w:t>
      </w:r>
    </w:p>
    <w:p w14:paraId="524EAB61"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rPr>
        <w:t>Una vez definido el método de ponderación de la oferta económica el mismo seguirá rigiendo aun cuando la entidad deba suspender la audiencia.</w:t>
      </w:r>
    </w:p>
    <w:p w14:paraId="2F1192DD"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rPr>
        <w:t xml:space="preserve">Al momento de definir o modificar el cronograma del Proceso de Contratación la entidad deberá verificar que el día hábil siguiente a la </w:t>
      </w:r>
      <w:r w:rsidRPr="003B3746">
        <w:rPr>
          <w:rFonts w:ascii="Verdana" w:eastAsia="Calibri" w:hAnsi="Verdana" w:cs="Times New Roman"/>
          <w:sz w:val="21"/>
          <w:szCs w:val="21"/>
        </w:rPr>
        <w:lastRenderedPageBreak/>
        <w:t>fecha de apertura de las ofertas económicas no corresponda a un día festivo en Estados Unidos, con el objetivo de no afectar el proceso de definición del método de ponderación de las propuestas.</w:t>
      </w:r>
      <w:r w:rsidRPr="003B3746">
        <w:rPr>
          <w:rFonts w:ascii="Verdana" w:eastAsia="Calibri" w:hAnsi="Verdana" w:cs="Times New Roman"/>
          <w:sz w:val="21"/>
          <w:szCs w:val="21"/>
          <w:lang w:val="es-MX"/>
        </w:rPr>
        <w:t> </w:t>
      </w:r>
    </w:p>
    <w:p w14:paraId="503BEDF8"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lang w:val="es-MX"/>
        </w:rPr>
        <w:t>El método de ponderación se determinará de acuerdo con los rangos del siguiente cuadro: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23"/>
        <w:gridCol w:w="1109"/>
        <w:gridCol w:w="2503"/>
      </w:tblGrid>
      <w:tr w:rsidR="003B3746" w:rsidRPr="003B3746" w14:paraId="232A9CA4" w14:textId="77777777" w:rsidTr="007E0460">
        <w:trPr>
          <w:trHeight w:val="20"/>
          <w:tblHeader/>
          <w:jc w:val="center"/>
        </w:trPr>
        <w:tc>
          <w:tcPr>
            <w:tcW w:w="1413" w:type="dxa"/>
            <w:tcBorders>
              <w:top w:val="double" w:sz="4" w:space="0" w:color="auto"/>
              <w:left w:val="double" w:sz="4" w:space="0" w:color="auto"/>
              <w:bottom w:val="single" w:sz="4" w:space="0" w:color="auto"/>
              <w:right w:val="single" w:sz="4" w:space="0" w:color="auto"/>
            </w:tcBorders>
            <w:shd w:val="clear" w:color="auto" w:fill="262626"/>
            <w:vAlign w:val="center"/>
            <w:hideMark/>
          </w:tcPr>
          <w:p w14:paraId="26251A16" w14:textId="77777777" w:rsidR="003B3746" w:rsidRPr="003B3746" w:rsidRDefault="003B3746" w:rsidP="003B3746">
            <w:pPr>
              <w:spacing w:after="0" w:line="276" w:lineRule="auto"/>
              <w:jc w:val="center"/>
              <w:rPr>
                <w:rFonts w:ascii="Verdana" w:eastAsia="Arial,Calibri" w:hAnsi="Verdana" w:cs="Arial"/>
                <w:b/>
                <w:bCs/>
                <w:color w:val="FFFFFF"/>
                <w:sz w:val="20"/>
                <w:szCs w:val="20"/>
              </w:rPr>
            </w:pPr>
            <w:r w:rsidRPr="003B3746">
              <w:rPr>
                <w:rFonts w:ascii="Verdana" w:eastAsia="Calibri" w:hAnsi="Verdana" w:cs="Arial"/>
                <w:b/>
                <w:bCs/>
                <w:color w:val="FFFFFF"/>
                <w:sz w:val="20"/>
                <w:szCs w:val="20"/>
              </w:rPr>
              <w:t>Rango</w:t>
            </w:r>
            <w:r w:rsidRPr="003B3746">
              <w:rPr>
                <w:rFonts w:ascii="Verdana" w:eastAsia="Arial,Calibri" w:hAnsi="Verdana" w:cs="Arial"/>
                <w:b/>
                <w:bCs/>
                <w:color w:val="FFFFFF"/>
                <w:sz w:val="20"/>
                <w:szCs w:val="20"/>
              </w:rPr>
              <w:t xml:space="preserve"> </w:t>
            </w:r>
            <w:r w:rsidRPr="003B3746">
              <w:rPr>
                <w:rFonts w:ascii="Verdana" w:eastAsia="Calibri" w:hAnsi="Verdana" w:cs="Arial"/>
                <w:b/>
                <w:bCs/>
                <w:color w:val="FFFFFF"/>
                <w:sz w:val="20"/>
                <w:szCs w:val="20"/>
              </w:rPr>
              <w:t>(inclusive)</w:t>
            </w:r>
          </w:p>
        </w:tc>
        <w:tc>
          <w:tcPr>
            <w:tcW w:w="899" w:type="dxa"/>
            <w:tcBorders>
              <w:top w:val="double" w:sz="4" w:space="0" w:color="auto"/>
              <w:left w:val="single" w:sz="4" w:space="0" w:color="auto"/>
              <w:bottom w:val="single" w:sz="4" w:space="0" w:color="auto"/>
              <w:right w:val="single" w:sz="4" w:space="0" w:color="auto"/>
            </w:tcBorders>
            <w:shd w:val="clear" w:color="auto" w:fill="262626"/>
            <w:vAlign w:val="center"/>
            <w:hideMark/>
          </w:tcPr>
          <w:p w14:paraId="78669368" w14:textId="77777777" w:rsidR="003B3746" w:rsidRPr="003B3746" w:rsidRDefault="003B3746" w:rsidP="003B3746">
            <w:pPr>
              <w:spacing w:after="0" w:line="276" w:lineRule="auto"/>
              <w:jc w:val="center"/>
              <w:rPr>
                <w:rFonts w:ascii="Verdana" w:eastAsia="Arial,Calibri" w:hAnsi="Verdana" w:cs="Arial"/>
                <w:b/>
                <w:bCs/>
                <w:color w:val="FFFFFF"/>
                <w:sz w:val="20"/>
                <w:szCs w:val="20"/>
              </w:rPr>
            </w:pPr>
            <w:r w:rsidRPr="003B3746">
              <w:rPr>
                <w:rFonts w:ascii="Verdana" w:eastAsia="Calibri" w:hAnsi="Verdana" w:cs="Arial"/>
                <w:b/>
                <w:bCs/>
                <w:color w:val="FFFFFF"/>
                <w:sz w:val="20"/>
                <w:szCs w:val="20"/>
              </w:rPr>
              <w:t>Número</w:t>
            </w:r>
          </w:p>
        </w:tc>
        <w:tc>
          <w:tcPr>
            <w:tcW w:w="2503" w:type="dxa"/>
            <w:tcBorders>
              <w:top w:val="double" w:sz="4" w:space="0" w:color="auto"/>
              <w:left w:val="single" w:sz="4" w:space="0" w:color="auto"/>
              <w:bottom w:val="single" w:sz="4" w:space="0" w:color="auto"/>
              <w:right w:val="double" w:sz="4" w:space="0" w:color="auto"/>
            </w:tcBorders>
            <w:shd w:val="clear" w:color="auto" w:fill="262626"/>
            <w:vAlign w:val="center"/>
            <w:hideMark/>
          </w:tcPr>
          <w:p w14:paraId="1231FFAF" w14:textId="77777777" w:rsidR="003B3746" w:rsidRPr="003B3746" w:rsidRDefault="003B3746" w:rsidP="003B3746">
            <w:pPr>
              <w:spacing w:after="0" w:line="276" w:lineRule="auto"/>
              <w:jc w:val="center"/>
              <w:rPr>
                <w:rFonts w:ascii="Verdana" w:eastAsia="Arial,Calibri" w:hAnsi="Verdana" w:cs="Arial"/>
                <w:b/>
                <w:bCs/>
                <w:color w:val="FFFFFF"/>
                <w:sz w:val="20"/>
                <w:szCs w:val="20"/>
              </w:rPr>
            </w:pPr>
            <w:r w:rsidRPr="003B3746">
              <w:rPr>
                <w:rFonts w:ascii="Verdana" w:eastAsia="Calibri" w:hAnsi="Verdana" w:cs="Arial"/>
                <w:b/>
                <w:bCs/>
                <w:color w:val="FFFFFF"/>
                <w:sz w:val="20"/>
                <w:szCs w:val="20"/>
              </w:rPr>
              <w:t>Método</w:t>
            </w:r>
          </w:p>
        </w:tc>
      </w:tr>
      <w:tr w:rsidR="003B3746" w:rsidRPr="003B3746" w14:paraId="0FB67A4E" w14:textId="77777777" w:rsidTr="007E0460">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34C7FEAB"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De 0.00 a 0.24</w:t>
            </w:r>
          </w:p>
        </w:tc>
        <w:tc>
          <w:tcPr>
            <w:tcW w:w="899" w:type="dxa"/>
            <w:tcBorders>
              <w:top w:val="single" w:sz="4" w:space="0" w:color="auto"/>
              <w:left w:val="single" w:sz="4" w:space="0" w:color="auto"/>
              <w:bottom w:val="single" w:sz="4" w:space="0" w:color="auto"/>
              <w:right w:val="single" w:sz="4" w:space="0" w:color="auto"/>
            </w:tcBorders>
            <w:vAlign w:val="center"/>
            <w:hideMark/>
          </w:tcPr>
          <w:p w14:paraId="7781BDB6" w14:textId="77777777" w:rsidR="003B3746" w:rsidRPr="003B3746" w:rsidRDefault="003B3746" w:rsidP="003B3746">
            <w:pPr>
              <w:spacing w:after="0" w:line="276" w:lineRule="auto"/>
              <w:jc w:val="center"/>
              <w:rPr>
                <w:rFonts w:ascii="Verdana" w:eastAsia="Arial,Times New Roman" w:hAnsi="Verdana" w:cs="Arial"/>
                <w:sz w:val="20"/>
                <w:szCs w:val="20"/>
                <w:lang w:val="es-ES" w:eastAsia="es-CO"/>
              </w:rPr>
            </w:pPr>
            <w:r w:rsidRPr="003B3746">
              <w:rPr>
                <w:rFonts w:ascii="Verdana" w:eastAsia="Calibri" w:hAnsi="Verdana" w:cs="Arial"/>
                <w:sz w:val="20"/>
                <w:szCs w:val="20"/>
                <w:lang w:val="es-ES" w:eastAsia="es-CO"/>
              </w:rPr>
              <w:t>1</w:t>
            </w:r>
          </w:p>
        </w:tc>
        <w:tc>
          <w:tcPr>
            <w:tcW w:w="2503" w:type="dxa"/>
            <w:tcBorders>
              <w:top w:val="single" w:sz="4" w:space="0" w:color="auto"/>
              <w:left w:val="single" w:sz="4" w:space="0" w:color="auto"/>
              <w:bottom w:val="single" w:sz="4" w:space="0" w:color="auto"/>
              <w:right w:val="double" w:sz="4" w:space="0" w:color="auto"/>
            </w:tcBorders>
            <w:vAlign w:val="center"/>
            <w:hideMark/>
          </w:tcPr>
          <w:p w14:paraId="4757D5EB" w14:textId="77777777" w:rsidR="003B3746" w:rsidRPr="003B3746" w:rsidRDefault="003B3746" w:rsidP="003B3746">
            <w:pPr>
              <w:spacing w:after="0" w:line="276" w:lineRule="auto"/>
              <w:jc w:val="center"/>
              <w:rPr>
                <w:rFonts w:ascii="Verdana" w:eastAsia="Arial,Times New Roman" w:hAnsi="Verdana" w:cs="Arial"/>
                <w:sz w:val="20"/>
                <w:szCs w:val="20"/>
                <w:lang w:val="es-ES" w:eastAsia="es-CO"/>
              </w:rPr>
            </w:pPr>
            <w:r w:rsidRPr="003B3746">
              <w:rPr>
                <w:rFonts w:ascii="Verdana" w:eastAsia="Calibri" w:hAnsi="Verdana" w:cs="Arial"/>
                <w:sz w:val="20"/>
                <w:szCs w:val="20"/>
                <w:lang w:val="es-ES" w:eastAsia="es-CO"/>
              </w:rPr>
              <w:t>Mediana con valor absoluto</w:t>
            </w:r>
          </w:p>
        </w:tc>
      </w:tr>
      <w:tr w:rsidR="003B3746" w:rsidRPr="003B3746" w14:paraId="19D622A3" w14:textId="77777777" w:rsidTr="007E0460">
        <w:trPr>
          <w:trHeight w:val="41"/>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667EC552"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De 0.25 a 0.49</w:t>
            </w:r>
          </w:p>
        </w:tc>
        <w:tc>
          <w:tcPr>
            <w:tcW w:w="899" w:type="dxa"/>
            <w:tcBorders>
              <w:top w:val="single" w:sz="4" w:space="0" w:color="auto"/>
              <w:left w:val="single" w:sz="4" w:space="0" w:color="auto"/>
              <w:bottom w:val="single" w:sz="4" w:space="0" w:color="auto"/>
              <w:right w:val="single" w:sz="4" w:space="0" w:color="auto"/>
            </w:tcBorders>
            <w:vAlign w:val="center"/>
            <w:hideMark/>
          </w:tcPr>
          <w:p w14:paraId="2864C377" w14:textId="77777777" w:rsidR="003B3746" w:rsidRPr="003B3746" w:rsidRDefault="003B3746" w:rsidP="003B3746">
            <w:pPr>
              <w:spacing w:after="0" w:line="276" w:lineRule="auto"/>
              <w:jc w:val="center"/>
              <w:rPr>
                <w:rFonts w:ascii="Verdana" w:eastAsia="Arial,Times New Roman" w:hAnsi="Verdana" w:cs="Arial"/>
                <w:sz w:val="20"/>
                <w:szCs w:val="20"/>
                <w:lang w:val="es-ES" w:eastAsia="es-CO"/>
              </w:rPr>
            </w:pPr>
            <w:r w:rsidRPr="003B3746">
              <w:rPr>
                <w:rFonts w:ascii="Verdana" w:eastAsia="Arial,Times New Roman" w:hAnsi="Verdana" w:cs="Arial"/>
                <w:sz w:val="20"/>
                <w:szCs w:val="20"/>
                <w:lang w:val="es-ES" w:eastAsia="es-CO"/>
              </w:rPr>
              <w:t>2</w:t>
            </w:r>
          </w:p>
        </w:tc>
        <w:tc>
          <w:tcPr>
            <w:tcW w:w="2503" w:type="dxa"/>
            <w:tcBorders>
              <w:top w:val="single" w:sz="4" w:space="0" w:color="auto"/>
              <w:left w:val="single" w:sz="4" w:space="0" w:color="auto"/>
              <w:bottom w:val="single" w:sz="4" w:space="0" w:color="auto"/>
              <w:right w:val="double" w:sz="4" w:space="0" w:color="auto"/>
            </w:tcBorders>
            <w:vAlign w:val="center"/>
            <w:hideMark/>
          </w:tcPr>
          <w:p w14:paraId="3CAB7C8E" w14:textId="77777777" w:rsidR="003B3746" w:rsidRPr="003B3746" w:rsidRDefault="003B3746" w:rsidP="003B3746">
            <w:pPr>
              <w:spacing w:after="0" w:line="276" w:lineRule="auto"/>
              <w:jc w:val="center"/>
              <w:rPr>
                <w:rFonts w:ascii="Verdana" w:eastAsia="Arial,Times New Roman" w:hAnsi="Verdana" w:cs="Arial"/>
                <w:sz w:val="20"/>
                <w:szCs w:val="20"/>
                <w:lang w:val="es-ES" w:eastAsia="es-CO"/>
              </w:rPr>
            </w:pPr>
            <w:r w:rsidRPr="003B3746">
              <w:rPr>
                <w:rFonts w:ascii="Verdana" w:eastAsia="Calibri" w:hAnsi="Verdana" w:cs="Arial"/>
                <w:sz w:val="20"/>
                <w:szCs w:val="20"/>
                <w:lang w:val="es-ES" w:eastAsia="es-CO"/>
              </w:rPr>
              <w:t>Media geométrica</w:t>
            </w:r>
          </w:p>
        </w:tc>
      </w:tr>
      <w:tr w:rsidR="003B3746" w:rsidRPr="003B3746" w14:paraId="461D1A8D" w14:textId="77777777" w:rsidTr="007E0460">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tcPr>
          <w:p w14:paraId="46FB92E4"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De 0.50 a 0.74</w:t>
            </w:r>
          </w:p>
        </w:tc>
        <w:tc>
          <w:tcPr>
            <w:tcW w:w="899" w:type="dxa"/>
            <w:tcBorders>
              <w:top w:val="single" w:sz="4" w:space="0" w:color="auto"/>
              <w:left w:val="single" w:sz="4" w:space="0" w:color="auto"/>
              <w:bottom w:val="single" w:sz="4" w:space="0" w:color="auto"/>
              <w:right w:val="single" w:sz="4" w:space="0" w:color="auto"/>
            </w:tcBorders>
            <w:vAlign w:val="center"/>
          </w:tcPr>
          <w:p w14:paraId="3C3F2033"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3</w:t>
            </w:r>
          </w:p>
        </w:tc>
        <w:tc>
          <w:tcPr>
            <w:tcW w:w="2503" w:type="dxa"/>
            <w:tcBorders>
              <w:top w:val="single" w:sz="4" w:space="0" w:color="auto"/>
              <w:left w:val="single" w:sz="4" w:space="0" w:color="auto"/>
              <w:bottom w:val="single" w:sz="4" w:space="0" w:color="auto"/>
              <w:right w:val="double" w:sz="4" w:space="0" w:color="auto"/>
            </w:tcBorders>
            <w:vAlign w:val="center"/>
          </w:tcPr>
          <w:p w14:paraId="5CC32987"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Media aritmética baja</w:t>
            </w:r>
          </w:p>
        </w:tc>
      </w:tr>
      <w:tr w:rsidR="003B3746" w:rsidRPr="003B3746" w14:paraId="2DB50B17" w14:textId="77777777" w:rsidTr="007E0460">
        <w:trPr>
          <w:trHeight w:val="20"/>
          <w:jc w:val="center"/>
        </w:trPr>
        <w:tc>
          <w:tcPr>
            <w:tcW w:w="1413" w:type="dxa"/>
            <w:tcBorders>
              <w:top w:val="single" w:sz="4" w:space="0" w:color="auto"/>
              <w:left w:val="double" w:sz="4" w:space="0" w:color="auto"/>
              <w:bottom w:val="double" w:sz="4" w:space="0" w:color="auto"/>
              <w:right w:val="single" w:sz="4" w:space="0" w:color="auto"/>
            </w:tcBorders>
            <w:vAlign w:val="center"/>
          </w:tcPr>
          <w:p w14:paraId="65906C63"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De 0.75 a 0.99</w:t>
            </w:r>
          </w:p>
        </w:tc>
        <w:tc>
          <w:tcPr>
            <w:tcW w:w="899" w:type="dxa"/>
            <w:tcBorders>
              <w:top w:val="single" w:sz="4" w:space="0" w:color="auto"/>
              <w:left w:val="single" w:sz="4" w:space="0" w:color="auto"/>
              <w:bottom w:val="double" w:sz="4" w:space="0" w:color="auto"/>
              <w:right w:val="single" w:sz="4" w:space="0" w:color="auto"/>
            </w:tcBorders>
            <w:vAlign w:val="center"/>
          </w:tcPr>
          <w:p w14:paraId="709AF1A5"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4</w:t>
            </w:r>
          </w:p>
        </w:tc>
        <w:tc>
          <w:tcPr>
            <w:tcW w:w="2503" w:type="dxa"/>
            <w:tcBorders>
              <w:top w:val="single" w:sz="4" w:space="0" w:color="auto"/>
              <w:left w:val="single" w:sz="4" w:space="0" w:color="auto"/>
              <w:bottom w:val="double" w:sz="4" w:space="0" w:color="auto"/>
              <w:right w:val="double" w:sz="4" w:space="0" w:color="auto"/>
            </w:tcBorders>
            <w:vAlign w:val="center"/>
          </w:tcPr>
          <w:p w14:paraId="0335456D" w14:textId="77777777" w:rsidR="003B3746" w:rsidRPr="003B3746" w:rsidRDefault="003B3746" w:rsidP="003B3746">
            <w:pPr>
              <w:spacing w:after="0" w:line="276" w:lineRule="auto"/>
              <w:jc w:val="center"/>
              <w:rPr>
                <w:rFonts w:ascii="Verdana" w:eastAsia="Calibri" w:hAnsi="Verdana" w:cs="Arial"/>
                <w:sz w:val="20"/>
                <w:szCs w:val="20"/>
                <w:lang w:val="es-ES" w:eastAsia="es-CO"/>
              </w:rPr>
            </w:pPr>
            <w:r w:rsidRPr="003B3746">
              <w:rPr>
                <w:rFonts w:ascii="Verdana" w:eastAsia="Calibri" w:hAnsi="Verdana" w:cs="Arial"/>
                <w:sz w:val="20"/>
                <w:szCs w:val="20"/>
                <w:lang w:val="es-ES" w:eastAsia="es-CO"/>
              </w:rPr>
              <w:t>Menor valor</w:t>
            </w:r>
          </w:p>
        </w:tc>
      </w:tr>
    </w:tbl>
    <w:p w14:paraId="15773672" w14:textId="77777777" w:rsidR="003B3746" w:rsidRPr="003B3746" w:rsidRDefault="003B3746" w:rsidP="003B3746">
      <w:pPr>
        <w:ind w:right="709"/>
        <w:jc w:val="both"/>
        <w:rPr>
          <w:rFonts w:ascii="Verdana" w:eastAsia="Calibri" w:hAnsi="Verdana" w:cs="Times New Roman"/>
          <w:sz w:val="21"/>
          <w:szCs w:val="21"/>
          <w:lang w:val="es-MX"/>
        </w:rPr>
      </w:pPr>
    </w:p>
    <w:p w14:paraId="197069AA"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lang w:val="es-MX"/>
        </w:rPr>
        <w:t>En todos los casos se tendrá en cuenta hasta el séptimo (7°) decimal del valor obtenido como puntaje y las fórmulas se aplicarán con las propuestas que no han sido rechazadas y se encuentran válidas.</w:t>
      </w:r>
    </w:p>
    <w:p w14:paraId="089265B8" w14:textId="77777777" w:rsidR="003B3746" w:rsidRPr="003B3746" w:rsidRDefault="003B3746" w:rsidP="003B3746">
      <w:pPr>
        <w:spacing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highlight w:val="lightGray"/>
          <w:lang w:val="es-MX"/>
        </w:rPr>
        <w:t>[En los procesos de contratación estructurados por lotes, la TRM definirá el método con el cual se asignará el puntaje para el primer lote o segmento a adjudicar, según el orden definido por la entidad. Para la adjudicación del segundo lote o segmento se tomará el siguiente método de acuerdo con la tabla anterior, en orden ascendente de acuerdo con la numeración definida para los rangos, y así sucesivamente; teniendo en cuenta que se reiniciará desde el primer método en caso de agotarse el último método]</w:t>
      </w:r>
    </w:p>
    <w:p w14:paraId="7354F7D7" w14:textId="77777777" w:rsidR="003B3746" w:rsidRPr="003B3746" w:rsidRDefault="003B3746" w:rsidP="003B3746">
      <w:pPr>
        <w:spacing w:after="0" w:line="240" w:lineRule="auto"/>
        <w:ind w:left="709" w:right="709"/>
        <w:jc w:val="both"/>
        <w:rPr>
          <w:rFonts w:ascii="Verdana" w:eastAsia="Calibri" w:hAnsi="Verdana" w:cs="Times New Roman"/>
          <w:sz w:val="21"/>
          <w:szCs w:val="21"/>
          <w:lang w:val="es-MX"/>
        </w:rPr>
      </w:pPr>
      <w:r w:rsidRPr="003B3746">
        <w:rPr>
          <w:rFonts w:ascii="Verdana" w:eastAsia="Calibri" w:hAnsi="Verdana" w:cs="Times New Roman"/>
          <w:sz w:val="21"/>
          <w:szCs w:val="21"/>
          <w:lang w:val="es-MX"/>
        </w:rPr>
        <w:t>Las propuestas que al aplicar las fórmulas obtengan puntajes negativos obtienen cero (0) puntos en la oferta económica”.</w:t>
      </w:r>
    </w:p>
    <w:p w14:paraId="1DB4F58F" w14:textId="77777777" w:rsidR="003B3746" w:rsidRPr="003B3746" w:rsidRDefault="003B3746" w:rsidP="003B3746">
      <w:pPr>
        <w:spacing w:after="0"/>
        <w:ind w:left="709" w:right="709"/>
        <w:jc w:val="both"/>
        <w:rPr>
          <w:rFonts w:ascii="Verdana" w:eastAsia="Calibri" w:hAnsi="Verdana" w:cs="Times New Roman"/>
          <w:lang w:val="es-MX"/>
        </w:rPr>
      </w:pPr>
    </w:p>
    <w:p w14:paraId="423D2B91" w14:textId="5C358C3B" w:rsidR="003B3746" w:rsidRPr="003B3746" w:rsidRDefault="003B3746" w:rsidP="003B3746">
      <w:pPr>
        <w:snapToGrid w:val="0"/>
        <w:spacing w:after="120" w:line="276" w:lineRule="auto"/>
        <w:ind w:firstLine="709"/>
        <w:jc w:val="both"/>
        <w:rPr>
          <w:rFonts w:ascii="Verdana" w:eastAsia="Calibri" w:hAnsi="Verdana" w:cs="Arial"/>
          <w:color w:val="000000"/>
          <w:lang w:val="es-ES_tradnl"/>
        </w:rPr>
      </w:pPr>
      <w:r w:rsidRPr="003B3746">
        <w:rPr>
          <w:rFonts w:ascii="Verdana" w:eastAsia="Calibri" w:hAnsi="Verdana" w:cs="Arial"/>
          <w:color w:val="000000"/>
          <w:lang w:val="es-ES_tradnl"/>
        </w:rPr>
        <w:t>La Tasa de Cambio Representativa del Mercado –TRM– “</w:t>
      </w:r>
      <w:r w:rsidRPr="003B3746">
        <w:rPr>
          <w:rFonts w:ascii="Verdana" w:eastAsia="Calibri" w:hAnsi="Verdana" w:cs="Arial"/>
          <w:lang w:val="es-ES"/>
        </w:rPr>
        <w:t xml:space="preserve">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w:t>
      </w:r>
      <w:r w:rsidRPr="003B3746">
        <w:rPr>
          <w:rFonts w:ascii="Verdana" w:eastAsia="Calibri" w:hAnsi="Verdana" w:cs="Arial"/>
          <w:lang w:val="es-ES"/>
        </w:rPr>
        <w:lastRenderedPageBreak/>
        <w:t>1:00 p.m.</w:t>
      </w:r>
      <w:r w:rsidRPr="003B3746">
        <w:rPr>
          <w:rFonts w:ascii="Verdana" w:eastAsia="Calibri" w:hAnsi="Verdana" w:cs="Arial"/>
          <w:color w:val="000000"/>
          <w:lang w:val="es-ES_tradnl"/>
        </w:rPr>
        <w:t>”</w:t>
      </w:r>
      <w:r w:rsidRPr="003B3746">
        <w:rPr>
          <w:rFonts w:ascii="Verdana" w:eastAsia="Calibri" w:hAnsi="Verdana" w:cs="Times New Roman"/>
          <w:color w:val="000000"/>
          <w:vertAlign w:val="superscript"/>
          <w:lang w:val="es-ES_tradnl"/>
        </w:rPr>
        <w:footnoteReference w:id="1"/>
      </w:r>
      <w:r w:rsidRPr="003B3746">
        <w:rPr>
          <w:rFonts w:ascii="Verdana" w:eastAsia="Calibri" w:hAnsi="Verdana" w:cs="Arial"/>
          <w:color w:val="000000"/>
          <w:lang w:val="es-ES_tradnl"/>
        </w:rPr>
        <w:t>, definida por la Superintendencia Financiera, es decir, denota la relación entre la moneda colombiana y el dólar. Por su parte, el Banco de la República ha definido la tasa de cambio representativa del mercado como “la cantidad de pesos colombianos por un dólar de los Estados Unidos”</w:t>
      </w:r>
      <w:r w:rsidRPr="003B3746">
        <w:rPr>
          <w:rFonts w:ascii="Verdana" w:eastAsia="Calibri" w:hAnsi="Verdana" w:cs="Times New Roman"/>
          <w:color w:val="000000"/>
          <w:vertAlign w:val="superscript"/>
          <w:lang w:val="es-ES_tradnl"/>
        </w:rPr>
        <w:footnoteReference w:id="2"/>
      </w:r>
      <w:r w:rsidRPr="003B3746">
        <w:rPr>
          <w:rFonts w:ascii="Verdana" w:eastAsia="Calibri" w:hAnsi="Verdana" w:cs="Arial"/>
          <w:color w:val="000000"/>
          <w:lang w:val="es-ES_tradnl"/>
        </w:rPr>
        <w:t xml:space="preserve">, de donde se desprende que la TRM es un valor que se origina en la fluctuación del mercado. </w:t>
      </w:r>
    </w:p>
    <w:p w14:paraId="3FBD317E" w14:textId="77777777" w:rsidR="003B3746" w:rsidRPr="003B3746" w:rsidRDefault="003B3746" w:rsidP="003B3746">
      <w:pPr>
        <w:snapToGrid w:val="0"/>
        <w:spacing w:after="120" w:line="276" w:lineRule="auto"/>
        <w:ind w:firstLine="709"/>
        <w:jc w:val="both"/>
        <w:rPr>
          <w:rFonts w:ascii="Verdana" w:eastAsia="Calibri" w:hAnsi="Verdana" w:cs="Arial"/>
          <w:lang w:val="es-ES"/>
        </w:rPr>
      </w:pPr>
      <w:r w:rsidRPr="003B3746">
        <w:rPr>
          <w:rFonts w:ascii="Verdana" w:eastAsia="Calibri" w:hAnsi="Verdana" w:cs="Arial"/>
          <w:lang w:val="es-ES"/>
        </w:rPr>
        <w:t xml:space="preserve">De conformidad con lo anterior, se puede concluir que el método aleatorio para seleccionar la fórmula de ponderación de la oferta económica desestimula actos de corrupción, puesto que no es posible manipular la TRM para conocer con anticipación la fórmula aplicable y poder adjudicar al proponente por razones subjetivas. </w:t>
      </w:r>
    </w:p>
    <w:p w14:paraId="5820841E" w14:textId="77777777" w:rsidR="003B3746" w:rsidRPr="003B3746" w:rsidRDefault="003B3746" w:rsidP="003B3746">
      <w:p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Debe advertirse entonces que, el numeral 4.1.4 establece que el día de la audiencia efectiva de adjudicación, la entidad responderá y resolverá las observaciones presentadas al informe de evaluación y dará apertura de las ofertas económicas contenidas en los sobres No. 2. Además, “[…] verificará, si procede, determinará las correcciones aritméticas y solicitará la justificación de precios artificialmente bajos a que haya lugar, si es necesario, la entidad se pronunciará sobre las ofertas requeridas en los términos del numeral 4.1.3”.</w:t>
      </w:r>
    </w:p>
    <w:p w14:paraId="72794877" w14:textId="77777777" w:rsidR="003B3746" w:rsidRPr="003B3746" w:rsidRDefault="003B3746" w:rsidP="003B3746">
      <w:pPr>
        <w:snapToGrid w:val="0"/>
        <w:spacing w:after="0" w:line="276" w:lineRule="auto"/>
        <w:ind w:firstLine="709"/>
        <w:rPr>
          <w:rFonts w:ascii="Verdana" w:eastAsia="Aptos" w:hAnsi="Verdana" w:cs="Times New Roman"/>
          <w:kern w:val="2"/>
          <w:lang w:val="es-MX"/>
          <w14:ligatures w14:val="standardContextual"/>
        </w:rPr>
      </w:pPr>
      <w:r w:rsidRPr="003B3746">
        <w:rPr>
          <w:rFonts w:ascii="Verdana" w:eastAsia="Times New Roman" w:hAnsi="Verdana" w:cs="Arial"/>
          <w:lang w:val="es-ES" w:eastAsia="es-CO"/>
        </w:rPr>
        <w:t xml:space="preserve">Hay que señalar que, conforme al numeral 4.1.2 del documento base, </w:t>
      </w:r>
      <w:r w:rsidRPr="003B3746">
        <w:rPr>
          <w:rFonts w:ascii="Verdana" w:eastAsia="Aptos" w:hAnsi="Verdana" w:cs="Times New Roman"/>
          <w:kern w:val="2"/>
          <w:lang w:val="es-MX"/>
          <w14:ligatures w14:val="standardContextual"/>
        </w:rPr>
        <w:t>la Entidad solo efectuará correcciones aritméticas originadas por:</w:t>
      </w:r>
    </w:p>
    <w:p w14:paraId="31DDE7B4" w14:textId="77777777" w:rsidR="003B3746" w:rsidRPr="003B3746" w:rsidRDefault="003B3746" w:rsidP="003B3746">
      <w:pPr>
        <w:snapToGrid w:val="0"/>
        <w:spacing w:after="0" w:line="276" w:lineRule="auto"/>
        <w:ind w:firstLine="709"/>
        <w:rPr>
          <w:rFonts w:ascii="Verdana" w:eastAsia="Aptos" w:hAnsi="Verdana" w:cs="Times New Roman"/>
          <w:kern w:val="2"/>
          <w:lang w:val="es-MX"/>
          <w14:ligatures w14:val="standardContextual"/>
        </w:rPr>
      </w:pPr>
    </w:p>
    <w:p w14:paraId="290EC294" w14:textId="77777777" w:rsidR="003B3746" w:rsidRPr="003B3746" w:rsidRDefault="003B3746" w:rsidP="003B3746">
      <w:pPr>
        <w:spacing w:line="240" w:lineRule="auto"/>
        <w:ind w:left="709" w:right="709"/>
        <w:jc w:val="both"/>
        <w:rPr>
          <w:rFonts w:ascii="Verdana" w:eastAsia="Aptos" w:hAnsi="Verdana" w:cs="Arial"/>
          <w:kern w:val="2"/>
          <w:sz w:val="21"/>
          <w:szCs w:val="21"/>
          <w:lang w:val="es-MX"/>
          <w14:ligatures w14:val="standardContextual"/>
        </w:rPr>
      </w:pPr>
      <w:r w:rsidRPr="003B3746">
        <w:rPr>
          <w:rFonts w:ascii="Verdana" w:eastAsia="Aptos" w:hAnsi="Verdana" w:cs="Times New Roman"/>
          <w:kern w:val="2"/>
          <w:sz w:val="21"/>
          <w:szCs w:val="21"/>
          <w:lang w:val="es-MX"/>
          <w14:ligatures w14:val="standardContextual"/>
        </w:rPr>
        <w:t xml:space="preserve">“A. Las </w:t>
      </w:r>
      <w:r w:rsidRPr="003B3746">
        <w:rPr>
          <w:rFonts w:ascii="Verdana" w:eastAsia="Aptos" w:hAnsi="Verdana" w:cs="Arial"/>
          <w:kern w:val="2"/>
          <w:sz w:val="21"/>
          <w:szCs w:val="21"/>
          <w:lang w:val="es-ES_tradnl"/>
          <w14:ligatures w14:val="standardContextual"/>
        </w:rPr>
        <w:t>operaciones aritméticas a que haya lugar en la propuesta económica, cuando exista un error que surja de un cálculo meramente aritmético cuando la operación ha sido erróneamente realizada. </w:t>
      </w:r>
    </w:p>
    <w:p w14:paraId="364B679B" w14:textId="77777777" w:rsidR="003B3746" w:rsidRPr="003B3746" w:rsidRDefault="003B3746" w:rsidP="003B3746">
      <w:pPr>
        <w:snapToGrid w:val="0"/>
        <w:spacing w:after="0" w:line="240" w:lineRule="auto"/>
        <w:ind w:left="709" w:right="709"/>
        <w:jc w:val="both"/>
        <w:rPr>
          <w:rFonts w:ascii="Verdana" w:eastAsia="Aptos" w:hAnsi="Verdana" w:cs="Arial"/>
          <w:i/>
          <w:iCs/>
          <w:kern w:val="2"/>
          <w:sz w:val="21"/>
          <w:szCs w:val="21"/>
          <w:lang w:val="es-ES_tradnl"/>
          <w14:ligatures w14:val="standardContextual"/>
        </w:rPr>
      </w:pPr>
      <w:r w:rsidRPr="003B3746">
        <w:rPr>
          <w:rFonts w:ascii="Verdana" w:eastAsia="Aptos" w:hAnsi="Verdana" w:cs="Times New Roman"/>
          <w:kern w:val="2"/>
          <w:sz w:val="21"/>
          <w:szCs w:val="21"/>
          <w:lang w:val="es-MX"/>
          <w14:ligatures w14:val="standardContextual"/>
        </w:rPr>
        <w:t xml:space="preserve">B. El ajuste </w:t>
      </w:r>
      <w:r w:rsidRPr="003B3746">
        <w:rPr>
          <w:rFonts w:ascii="Verdana" w:eastAsia="Aptos" w:hAnsi="Verdana" w:cs="Arial"/>
          <w:kern w:val="2"/>
          <w:sz w:val="21"/>
          <w:szCs w:val="21"/>
          <w:lang w:val="es-ES_tradnl"/>
          <w14:ligatures w14:val="standardContextual"/>
        </w:rPr>
        <w:t>ajuste al peso ya sea por exceso o por defecto de los precios unitarios contenidos en la propuesta económica y del valor del IVA, así: cuando la fracción decimal del peso sea igual o superior a punto cinco (0.5) se aproximará por exceso al número entero siguiente del peso y cuando la fracción decimal del peso sea inferior a punto cinco (0.5) se aproximará por defecto al número entero.”</w:t>
      </w:r>
      <w:r w:rsidRPr="003B3746">
        <w:rPr>
          <w:rFonts w:ascii="Verdana" w:eastAsia="Aptos" w:hAnsi="Verdana" w:cs="Arial"/>
          <w:i/>
          <w:iCs/>
          <w:kern w:val="2"/>
          <w:sz w:val="21"/>
          <w:szCs w:val="21"/>
          <w:lang w:val="es-ES_tradnl"/>
          <w14:ligatures w14:val="standardContextual"/>
        </w:rPr>
        <w:t> </w:t>
      </w:r>
    </w:p>
    <w:p w14:paraId="05D275DC" w14:textId="77777777" w:rsidR="003B3746" w:rsidRPr="003B3746" w:rsidRDefault="003B3746" w:rsidP="003B3746">
      <w:pPr>
        <w:snapToGrid w:val="0"/>
        <w:spacing w:after="0" w:line="240" w:lineRule="auto"/>
        <w:ind w:left="709" w:right="709"/>
        <w:jc w:val="both"/>
        <w:rPr>
          <w:rFonts w:ascii="Verdana" w:eastAsia="Aptos" w:hAnsi="Verdana" w:cs="Times New Roman"/>
          <w:kern w:val="2"/>
          <w:lang w:val="es-MX"/>
          <w14:ligatures w14:val="standardContextual"/>
        </w:rPr>
      </w:pPr>
    </w:p>
    <w:p w14:paraId="76003683" w14:textId="77777777" w:rsidR="003B3746" w:rsidRPr="003B3746" w:rsidRDefault="003B3746" w:rsidP="003B3746">
      <w:pPr>
        <w:snapToGrid w:val="0"/>
        <w:spacing w:after="120" w:line="276" w:lineRule="auto"/>
        <w:ind w:firstLine="709"/>
        <w:jc w:val="both"/>
        <w:rPr>
          <w:rFonts w:ascii="Verdana" w:eastAsia="Aptos" w:hAnsi="Verdana" w:cs="Times New Roman"/>
          <w:kern w:val="2"/>
          <w:lang w:val="es-MX"/>
          <w14:ligatures w14:val="standardContextual"/>
        </w:rPr>
      </w:pPr>
      <w:r w:rsidRPr="003B3746">
        <w:rPr>
          <w:rFonts w:ascii="Verdana" w:eastAsia="Aptos" w:hAnsi="Verdana" w:cs="Times New Roman"/>
          <w:kern w:val="2"/>
          <w:lang w:val="es-MX"/>
          <w14:ligatures w14:val="standardContextual"/>
        </w:rPr>
        <w:lastRenderedPageBreak/>
        <w:t>Así, la Entidad a partir del valor total corregido de las propuestas asignará el puntaje de conformidad con el proceso del numeral 4.1.4. A su vez, para evaluar la oferta económica, la Entidad tendrá en cuenta el valor total indicado en la propuesta económica o el obtenido de la corrección aritmética en alguno de los dos supuestos referidos en el numeral 4.1.2.</w:t>
      </w:r>
    </w:p>
    <w:p w14:paraId="01382546" w14:textId="77777777" w:rsidR="003B3746" w:rsidRPr="003B3746" w:rsidRDefault="003B3746" w:rsidP="003B3746">
      <w:p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Agotado el procedimiento anterior, la entidad definirá el método de ponderación de las propuestas de acuerdo con las siguientes reglas:</w:t>
      </w:r>
    </w:p>
    <w:p w14:paraId="61FA8E46" w14:textId="77777777" w:rsidR="003B3746" w:rsidRPr="003B3746" w:rsidRDefault="003B3746" w:rsidP="003B3746">
      <w:pPr>
        <w:numPr>
          <w:ilvl w:val="0"/>
          <w:numId w:val="18"/>
        </w:numPr>
        <w:snapToGrid w:val="0"/>
        <w:spacing w:after="120" w:line="276" w:lineRule="auto"/>
        <w:ind w:firstLine="709"/>
        <w:contextualSpacing/>
        <w:jc w:val="both"/>
        <w:textAlignment w:val="baseline"/>
        <w:rPr>
          <w:rFonts w:ascii="Verdana" w:eastAsia="Times New Roman" w:hAnsi="Verdana" w:cs="Arial"/>
          <w:lang w:val="es-ES" w:eastAsia="es-CO"/>
        </w:rPr>
      </w:pPr>
      <w:r w:rsidRPr="003B3746">
        <w:rPr>
          <w:rFonts w:ascii="Verdana" w:eastAsia="Calibri" w:hAnsi="Verdana" w:cs="Times New Roman"/>
          <w:lang w:val="es-ES"/>
        </w:rPr>
        <w:t>Deberá pronunciarse sobre las propuestas que han sido rechazadas y las que se encuentran válidas.</w:t>
      </w:r>
    </w:p>
    <w:p w14:paraId="6430F4D6" w14:textId="77777777" w:rsidR="003B3746" w:rsidRPr="003B3746" w:rsidRDefault="003B3746" w:rsidP="003B3746">
      <w:pPr>
        <w:numPr>
          <w:ilvl w:val="0"/>
          <w:numId w:val="18"/>
        </w:num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Calibri" w:hAnsi="Verdana" w:cs="Times New Roman"/>
          <w:lang w:val="es-ES"/>
        </w:rPr>
        <w:t>Si este pronunciamiento se realiza hasta las 3:00 pm, la entidad tomará la TRM que rija para el día hábil siguiente.</w:t>
      </w:r>
    </w:p>
    <w:p w14:paraId="452DA024" w14:textId="77777777" w:rsidR="003B3746" w:rsidRPr="003B3746" w:rsidRDefault="003B3746" w:rsidP="003B3746">
      <w:pPr>
        <w:numPr>
          <w:ilvl w:val="0"/>
          <w:numId w:val="18"/>
        </w:numPr>
        <w:snapToGrid w:val="0"/>
        <w:spacing w:after="120" w:line="276" w:lineRule="auto"/>
        <w:ind w:firstLine="709"/>
        <w:jc w:val="both"/>
        <w:rPr>
          <w:rFonts w:ascii="Verdana" w:eastAsia="Calibri" w:hAnsi="Verdana" w:cs="Times New Roman"/>
          <w:lang w:val="es-MX"/>
        </w:rPr>
      </w:pPr>
      <w:r w:rsidRPr="003B3746">
        <w:rPr>
          <w:rFonts w:ascii="Verdana" w:eastAsia="Calibri" w:hAnsi="Verdana" w:cs="Times New Roman"/>
          <w:lang w:val="es-ES"/>
        </w:rPr>
        <w:t>Si el pronunciamiento se da después de las 3:00 pm, la entidad tomará la TRM que rija para el segundo día hábil siguiente.</w:t>
      </w:r>
    </w:p>
    <w:p w14:paraId="02655C39" w14:textId="77777777" w:rsidR="003B3746" w:rsidRPr="003B3746" w:rsidRDefault="003B3746" w:rsidP="003B3746">
      <w:pPr>
        <w:snapToGrid w:val="0"/>
        <w:spacing w:after="120" w:line="276" w:lineRule="auto"/>
        <w:ind w:firstLine="709"/>
        <w:jc w:val="both"/>
        <w:rPr>
          <w:rFonts w:ascii="Verdana" w:eastAsia="Calibri" w:hAnsi="Verdana" w:cs="Arial"/>
          <w:lang w:val="es-ES"/>
        </w:rPr>
      </w:pPr>
      <w:r w:rsidRPr="003B3746">
        <w:rPr>
          <w:rFonts w:ascii="Verdana" w:eastAsia="Calibri" w:hAnsi="Verdana" w:cs="Arial"/>
          <w:lang w:val="es-ES"/>
        </w:rPr>
        <w:t xml:space="preserve">En este sentido, el numeral 4.1.4 al regular el mecanismo de escogencia del método de ponderación, dispone las reglas que debe seguir la entidad para determinarlo. Esto inicia con el pronunciamiento de la entidad sobre las propuestas u ofertas económicas rechazadas y las válidas. </w:t>
      </w:r>
    </w:p>
    <w:p w14:paraId="058FB3B4" w14:textId="77777777" w:rsidR="003B3746" w:rsidRPr="003B3746" w:rsidRDefault="003B3746" w:rsidP="003B3746">
      <w:pPr>
        <w:snapToGrid w:val="0"/>
        <w:spacing w:after="120" w:line="276" w:lineRule="auto"/>
        <w:ind w:firstLine="709"/>
        <w:jc w:val="both"/>
        <w:rPr>
          <w:rFonts w:ascii="Verdana" w:eastAsia="Calibri" w:hAnsi="Verdana" w:cs="Arial"/>
          <w:lang w:val="es-ES"/>
        </w:rPr>
      </w:pPr>
      <w:r w:rsidRPr="003B3746">
        <w:rPr>
          <w:rFonts w:ascii="Verdana" w:eastAsia="Calibri" w:hAnsi="Verdana" w:cs="Arial"/>
          <w:lang w:val="es-ES"/>
        </w:rPr>
        <w:t>Ahora bien, si este pronunciamiento se realiza antes de las 3:00 p.m., la regla contenida en el numeral 4.1.4 establece que se tomará la TRM vigente para el día hábil siguiente. De este modo, fijar una hora límite para el pronunciamiento garantiza que las entidades estatales no puedan conocer anticipadamente la TRM que determinará el método de ponderación, ya que esta es publicada por la Superfinanciera en un momento posterior al pronunciamiento, usualmente entre las 4:00 p.m. y las 6:00 p.m.</w:t>
      </w:r>
    </w:p>
    <w:p w14:paraId="74EDAE52" w14:textId="77777777" w:rsidR="003B3746" w:rsidRPr="003B3746" w:rsidRDefault="003B3746" w:rsidP="003B3746">
      <w:pPr>
        <w:snapToGrid w:val="0"/>
        <w:spacing w:after="120" w:line="276" w:lineRule="auto"/>
        <w:ind w:firstLine="709"/>
        <w:jc w:val="both"/>
        <w:rPr>
          <w:rFonts w:ascii="Verdana" w:eastAsia="Calibri" w:hAnsi="Verdana" w:cs="Arial"/>
          <w:lang w:val="es-ES"/>
        </w:rPr>
      </w:pPr>
      <w:r w:rsidRPr="003B3746">
        <w:rPr>
          <w:rFonts w:ascii="Verdana" w:eastAsia="Calibri" w:hAnsi="Verdana" w:cs="Arial"/>
          <w:lang w:val="es-ES"/>
        </w:rPr>
        <w:t>No obstante, si el pronunciamiento de la entidad sobre las propuestas rechazadas y válidas se realiza después de las 3:00 p.m., la regla establece que se tomará la TRM vigente para el segundo día hábil siguiente. Esta disposición busca evitar que la entidad conozca previamente la TRM que determinará el método de ponderación de las ofertas, dado que la Superintendencia la publicaría antes del pronunciamiento de la entidad.</w:t>
      </w:r>
    </w:p>
    <w:p w14:paraId="5D457DE2" w14:textId="77777777" w:rsidR="003B3746" w:rsidRPr="003B3746" w:rsidRDefault="003B3746" w:rsidP="003B3746">
      <w:p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 xml:space="preserve">En ese orden de ideas, el numeral 4.1.4 establece que, para poder cumplir con estos supuestos, atendiendo a las particularidades de cada proceso, la entidad podrá suspender la audiencia y reiniciarla cuando lo estime conveniente. </w:t>
      </w:r>
      <w:r w:rsidRPr="003B3746">
        <w:rPr>
          <w:rFonts w:ascii="Verdana" w:eastAsia="Times New Roman" w:hAnsi="Verdana" w:cs="Arial"/>
          <w:lang w:val="es-ES" w:eastAsia="es-CO"/>
        </w:rPr>
        <w:lastRenderedPageBreak/>
        <w:t xml:space="preserve">Además, señala que definido el método de ponderación de la oferta este seguirá rigiendo aun cuando se suspenda la audiencia. </w:t>
      </w:r>
    </w:p>
    <w:p w14:paraId="4DFB2CA1" w14:textId="77777777" w:rsidR="003B3746" w:rsidRPr="003B3746" w:rsidRDefault="003B3746" w:rsidP="003B3746">
      <w:p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Sin perjuicio de lo anterior, teniendo en cuenta el objeto de su consulta, es importante precisar que, el literal A del numeral 4.1.4 del documento base de los documentos tipo en comento, dispone que, “[e]n el evento que solo exista una oferta habilitada respecto de la cual se vaya a realizar la apertura del sobre No 2, la Entidad podrá prescindir de la definición de la TRM y escogencia de método de ponderación de la oferta económica”.</w:t>
      </w:r>
    </w:p>
    <w:p w14:paraId="37EBFB0C" w14:textId="77777777" w:rsidR="003B3746" w:rsidRPr="003B3746" w:rsidRDefault="003B3746" w:rsidP="003B3746">
      <w:pPr>
        <w:snapToGrid w:val="0"/>
        <w:spacing w:after="12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 xml:space="preserve">En ese sentido, cuando se trate de un único proponente habilitado, la entidad contratante podrá prescindir de la definición de la TRM y de la determinación del método de ponderación de la oferta económica, por lo que la asignación del puntaje se realizará, en su totalidad, frente a la oferta habilitada. </w:t>
      </w:r>
    </w:p>
    <w:p w14:paraId="730ADE0A" w14:textId="77777777" w:rsidR="003B3746" w:rsidRPr="003B3746" w:rsidRDefault="003B3746" w:rsidP="003B3746">
      <w:pPr>
        <w:snapToGrid w:val="0"/>
        <w:spacing w:after="0" w:line="276" w:lineRule="auto"/>
        <w:ind w:firstLine="709"/>
        <w:jc w:val="both"/>
        <w:textAlignment w:val="baseline"/>
        <w:rPr>
          <w:rFonts w:ascii="Verdana" w:eastAsia="Times New Roman" w:hAnsi="Verdana" w:cs="Arial"/>
          <w:lang w:val="es-ES" w:eastAsia="es-CO"/>
        </w:rPr>
      </w:pPr>
      <w:r w:rsidRPr="003B3746">
        <w:rPr>
          <w:rFonts w:ascii="Verdana" w:eastAsia="Times New Roman" w:hAnsi="Verdana" w:cs="Arial"/>
          <w:lang w:val="es-ES" w:eastAsia="es-CO"/>
        </w:rPr>
        <w:t>De todas maneras, corresponderá a cada entidad estatal tomar las medidas más adecuadas, de acuerdo con las circunstancias particulares relacionadas con cada proceso contractual, con la finalidad de adelantar de la mejor manera posible sus procedimientos de selección, optando por aquellas que mejor garanticen los principios de la contratación estatal.</w:t>
      </w:r>
    </w:p>
    <w:p w14:paraId="02F507F1" w14:textId="77777777" w:rsidR="003B3746" w:rsidRPr="003B3746" w:rsidRDefault="003B3746" w:rsidP="003B3746">
      <w:pPr>
        <w:spacing w:after="0" w:line="276" w:lineRule="auto"/>
        <w:contextualSpacing/>
        <w:rPr>
          <w:rFonts w:ascii="Verdana" w:eastAsia="Calibri" w:hAnsi="Verdana" w:cs="Arial"/>
          <w:lang w:val="es-ES_tradnl"/>
        </w:rPr>
      </w:pPr>
    </w:p>
    <w:p w14:paraId="0D3E6805" w14:textId="77777777" w:rsidR="003B3746" w:rsidRPr="003B3746" w:rsidRDefault="003B3746" w:rsidP="003B3746">
      <w:pPr>
        <w:widowControl w:val="0"/>
        <w:autoSpaceDE w:val="0"/>
        <w:autoSpaceDN w:val="0"/>
        <w:spacing w:after="0" w:line="240" w:lineRule="auto"/>
        <w:outlineLvl w:val="0"/>
        <w:rPr>
          <w:rFonts w:ascii="Verdana" w:eastAsia="Arial" w:hAnsi="Verdana" w:cs="Arial"/>
          <w:b/>
          <w:bCs/>
          <w:lang w:val="es-ES_tradnl"/>
        </w:rPr>
      </w:pPr>
      <w:r w:rsidRPr="003B3746">
        <w:rPr>
          <w:rFonts w:ascii="Verdana" w:eastAsia="Arial" w:hAnsi="Verdana" w:cs="Arial"/>
          <w:b/>
          <w:bCs/>
          <w:lang w:val="es-ES_tradnl"/>
        </w:rPr>
        <w:t>4.Referencias normativas, jurisprudenciales y otras fuentes:</w:t>
      </w:r>
    </w:p>
    <w:p w14:paraId="2E293587" w14:textId="77777777" w:rsidR="003B3746" w:rsidRPr="003B3746" w:rsidRDefault="003B3746" w:rsidP="003B3746">
      <w:pPr>
        <w:widowControl w:val="0"/>
        <w:autoSpaceDE w:val="0"/>
        <w:autoSpaceDN w:val="0"/>
        <w:spacing w:after="0" w:line="276" w:lineRule="auto"/>
        <w:jc w:val="both"/>
        <w:rPr>
          <w:rFonts w:ascii="Verdana" w:eastAsia="Aptos"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B3746" w:rsidRPr="003B3746" w14:paraId="06CFAD9E" w14:textId="77777777" w:rsidTr="007E0460">
        <w:trPr>
          <w:trHeight w:val="870"/>
        </w:trPr>
        <w:tc>
          <w:tcPr>
            <w:tcW w:w="8647" w:type="dxa"/>
          </w:tcPr>
          <w:p w14:paraId="7DF73EDE" w14:textId="77777777" w:rsidR="003B3746" w:rsidRPr="003B3746" w:rsidRDefault="003B3746" w:rsidP="003B3746">
            <w:pPr>
              <w:widowControl w:val="0"/>
              <w:numPr>
                <w:ilvl w:val="0"/>
                <w:numId w:val="16"/>
              </w:numPr>
              <w:autoSpaceDE w:val="0"/>
              <w:autoSpaceDN w:val="0"/>
              <w:snapToGrid w:val="0"/>
              <w:spacing w:after="120" w:line="276" w:lineRule="auto"/>
              <w:ind w:left="714" w:hanging="357"/>
              <w:jc w:val="both"/>
              <w:rPr>
                <w:rFonts w:ascii="Verdana" w:eastAsia="Aptos" w:hAnsi="Verdana" w:cs="Arial"/>
                <w:lang w:val="es-ES_tradnl"/>
              </w:rPr>
            </w:pPr>
            <w:r w:rsidRPr="003B3746">
              <w:rPr>
                <w:rFonts w:ascii="Verdana" w:eastAsia="Aptos" w:hAnsi="Verdana" w:cs="Arial"/>
                <w:lang w:val="es-ES_tradnl"/>
              </w:rPr>
              <w:t>Ley 80 de 1993, artículo 26.</w:t>
            </w:r>
          </w:p>
          <w:p w14:paraId="1133BC81" w14:textId="77777777" w:rsidR="003B3746" w:rsidRPr="003B3746" w:rsidRDefault="003B3746" w:rsidP="003B3746">
            <w:pPr>
              <w:widowControl w:val="0"/>
              <w:numPr>
                <w:ilvl w:val="0"/>
                <w:numId w:val="16"/>
              </w:numPr>
              <w:autoSpaceDE w:val="0"/>
              <w:autoSpaceDN w:val="0"/>
              <w:snapToGrid w:val="0"/>
              <w:spacing w:after="120" w:line="276" w:lineRule="auto"/>
              <w:ind w:left="714" w:hanging="357"/>
              <w:jc w:val="both"/>
              <w:rPr>
                <w:rFonts w:ascii="Verdana" w:eastAsia="Aptos" w:hAnsi="Verdana" w:cs="Arial"/>
                <w:lang w:val="es-ES_tradnl"/>
              </w:rPr>
            </w:pPr>
            <w:r w:rsidRPr="003B3746">
              <w:rPr>
                <w:rFonts w:ascii="Verdana" w:eastAsia="Aptos" w:hAnsi="Verdana" w:cs="Arial"/>
                <w:lang w:val="es-ES_tradnl"/>
              </w:rPr>
              <w:t>Ley 2022 de 2020, artículo 1.</w:t>
            </w:r>
          </w:p>
          <w:p w14:paraId="08D367AD" w14:textId="77777777" w:rsidR="003B3746" w:rsidRPr="003B3746" w:rsidRDefault="003B3746" w:rsidP="003B3746">
            <w:pPr>
              <w:widowControl w:val="0"/>
              <w:numPr>
                <w:ilvl w:val="0"/>
                <w:numId w:val="16"/>
              </w:numPr>
              <w:autoSpaceDE w:val="0"/>
              <w:autoSpaceDN w:val="0"/>
              <w:snapToGrid w:val="0"/>
              <w:spacing w:after="120" w:line="276" w:lineRule="auto"/>
              <w:ind w:left="714" w:hanging="357"/>
              <w:jc w:val="both"/>
              <w:rPr>
                <w:rFonts w:ascii="Verdana" w:eastAsia="Aptos" w:hAnsi="Verdana" w:cs="Arial"/>
                <w:lang w:val="es-ES_tradnl"/>
              </w:rPr>
            </w:pPr>
            <w:r w:rsidRPr="003B3746">
              <w:rPr>
                <w:rFonts w:ascii="Verdana" w:eastAsia="Aptos" w:hAnsi="Verdana" w:cs="Arial"/>
                <w:lang w:val="es-ES_tradnl"/>
              </w:rPr>
              <w:t xml:space="preserve">Decreto 1082 de 2015, artículo </w:t>
            </w:r>
            <w:r w:rsidRPr="003B3746">
              <w:rPr>
                <w:rFonts w:ascii="Verdana" w:eastAsia="Aptos" w:hAnsi="Verdana" w:cs="Times New Roman"/>
                <w:lang w:val="es-ES_tradnl"/>
              </w:rPr>
              <w:t>2.2.1.1.2.2.4.</w:t>
            </w:r>
          </w:p>
          <w:p w14:paraId="313CFDEA" w14:textId="77777777" w:rsidR="003B3746" w:rsidRPr="003B3746" w:rsidRDefault="003B3746" w:rsidP="003B3746">
            <w:pPr>
              <w:widowControl w:val="0"/>
              <w:numPr>
                <w:ilvl w:val="0"/>
                <w:numId w:val="16"/>
              </w:numPr>
              <w:autoSpaceDE w:val="0"/>
              <w:autoSpaceDN w:val="0"/>
              <w:snapToGrid w:val="0"/>
              <w:spacing w:after="120" w:line="276" w:lineRule="auto"/>
              <w:ind w:left="714" w:hanging="357"/>
              <w:jc w:val="both"/>
              <w:rPr>
                <w:rFonts w:ascii="Verdana" w:eastAsia="Aptos" w:hAnsi="Verdana" w:cs="Arial"/>
                <w:lang w:val="es-ES_tradnl"/>
              </w:rPr>
            </w:pPr>
            <w:r w:rsidRPr="003B3746">
              <w:rPr>
                <w:rFonts w:ascii="Verdana" w:eastAsia="Arial" w:hAnsi="Verdana" w:cs="Arial"/>
                <w:lang w:val="es-ES" w:eastAsia="es-ES" w:bidi="es-ES"/>
              </w:rPr>
              <w:t>Consejo de Estado, Sección Tercera, sentencia 4 de junio de 2008, radicado No. 17.783, M.P. Myriam Guerrero de Escobar.</w:t>
            </w:r>
          </w:p>
          <w:p w14:paraId="0BE5B7FA" w14:textId="77777777" w:rsidR="003B3746" w:rsidRPr="003B3746" w:rsidRDefault="003B3746" w:rsidP="003B3746">
            <w:pPr>
              <w:widowControl w:val="0"/>
              <w:numPr>
                <w:ilvl w:val="0"/>
                <w:numId w:val="16"/>
              </w:numPr>
              <w:autoSpaceDE w:val="0"/>
              <w:autoSpaceDN w:val="0"/>
              <w:snapToGrid w:val="0"/>
              <w:spacing w:after="120" w:line="276" w:lineRule="auto"/>
              <w:ind w:left="714" w:hanging="357"/>
              <w:jc w:val="both"/>
              <w:rPr>
                <w:rFonts w:ascii="Verdana" w:eastAsia="Aptos" w:hAnsi="Verdana" w:cs="Arial"/>
                <w:lang w:val="es-ES_tradnl"/>
              </w:rPr>
            </w:pPr>
            <w:r w:rsidRPr="003B3746">
              <w:rPr>
                <w:rFonts w:ascii="Verdana" w:eastAsia="Calibri" w:hAnsi="Verdana" w:cs="Arial"/>
              </w:rPr>
              <w:t xml:space="preserve">Guía para el manejo de ofertas artificialmente bajas en procesos de contratación expedida por la Agencia Nacional de Contratación Pública – Colombia Compra Eficiente. Disponible en: </w:t>
            </w:r>
            <w:hyperlink r:id="rId11" w:history="1">
              <w:r w:rsidRPr="003B3746">
                <w:rPr>
                  <w:rFonts w:ascii="Verdana" w:eastAsia="Calibri" w:hAnsi="Verdana" w:cs="Arial"/>
                  <w:color w:val="0000FF"/>
                  <w:u w:val="single"/>
                </w:rPr>
                <w:t>https://www.colombiacompra.gov.co/normativa-y-relatoria/guias-y-manuales</w:t>
              </w:r>
            </w:hyperlink>
            <w:r w:rsidRPr="003B3746">
              <w:rPr>
                <w:rFonts w:ascii="Verdana" w:eastAsia="Calibri" w:hAnsi="Verdana" w:cs="Arial"/>
              </w:rPr>
              <w:t xml:space="preserve">. </w:t>
            </w:r>
          </w:p>
        </w:tc>
      </w:tr>
    </w:tbl>
    <w:p w14:paraId="684437ED" w14:textId="77777777" w:rsidR="003B3746" w:rsidRPr="003B3746" w:rsidRDefault="003B3746" w:rsidP="003B3746">
      <w:pPr>
        <w:widowControl w:val="0"/>
        <w:autoSpaceDE w:val="0"/>
        <w:autoSpaceDN w:val="0"/>
        <w:spacing w:after="0" w:line="276" w:lineRule="auto"/>
        <w:jc w:val="both"/>
        <w:rPr>
          <w:rFonts w:ascii="Verdana" w:eastAsia="Aptos" w:hAnsi="Verdana" w:cs="Arial"/>
          <w:lang w:val="es-ES_tradnl"/>
        </w:rPr>
      </w:pPr>
    </w:p>
    <w:p w14:paraId="1C225B69" w14:textId="77777777" w:rsidR="003B3746" w:rsidRPr="003B3746" w:rsidRDefault="003B3746" w:rsidP="003B3746">
      <w:pPr>
        <w:widowControl w:val="0"/>
        <w:autoSpaceDE w:val="0"/>
        <w:autoSpaceDN w:val="0"/>
        <w:spacing w:before="1" w:after="0" w:line="240" w:lineRule="auto"/>
        <w:outlineLvl w:val="0"/>
        <w:rPr>
          <w:rFonts w:ascii="Verdana" w:eastAsia="Arial" w:hAnsi="Verdana" w:cs="Arial"/>
          <w:b/>
          <w:bCs/>
          <w:lang w:val="es-ES_tradnl"/>
        </w:rPr>
      </w:pPr>
      <w:r w:rsidRPr="003B3746">
        <w:rPr>
          <w:rFonts w:ascii="Verdana" w:eastAsia="Arial" w:hAnsi="Verdana" w:cs="Arial"/>
          <w:b/>
          <w:bCs/>
          <w:lang w:val="es-ES_tradnl"/>
        </w:rPr>
        <w:t>5. Doctrina de la Agencia Nacional de Contratación Pública:</w:t>
      </w:r>
    </w:p>
    <w:p w14:paraId="6D199C97" w14:textId="77777777" w:rsidR="003B3746" w:rsidRPr="003B3746" w:rsidRDefault="003B3746" w:rsidP="003B3746">
      <w:pPr>
        <w:widowControl w:val="0"/>
        <w:autoSpaceDE w:val="0"/>
        <w:autoSpaceDN w:val="0"/>
        <w:spacing w:after="0" w:line="276" w:lineRule="auto"/>
        <w:jc w:val="both"/>
        <w:rPr>
          <w:rFonts w:ascii="Verdana" w:eastAsia="Aptos" w:hAnsi="Verdana" w:cs="Arial"/>
          <w:lang w:val="es-ES_tradnl"/>
        </w:rPr>
      </w:pPr>
    </w:p>
    <w:p w14:paraId="0A9937B5" w14:textId="77777777" w:rsidR="003B3746" w:rsidRPr="003B3746" w:rsidRDefault="003B3746" w:rsidP="003B3746">
      <w:pPr>
        <w:widowControl w:val="0"/>
        <w:autoSpaceDE w:val="0"/>
        <w:autoSpaceDN w:val="0"/>
        <w:spacing w:after="0" w:line="276" w:lineRule="auto"/>
        <w:jc w:val="both"/>
        <w:rPr>
          <w:rFonts w:ascii="Verdana" w:eastAsia="Aptos" w:hAnsi="Verdana" w:cs="Arial"/>
          <w:kern w:val="2"/>
          <w:shd w:val="clear" w:color="auto" w:fill="FFFFFF"/>
          <w:lang w:val="es-ES"/>
          <w14:ligatures w14:val="standardContextual"/>
        </w:rPr>
      </w:pPr>
      <w:r w:rsidRPr="003B3746">
        <w:rPr>
          <w:rFonts w:ascii="Verdana" w:eastAsia="Calibri" w:hAnsi="Verdana" w:cs="Arial"/>
          <w:color w:val="000000"/>
          <w:kern w:val="2"/>
          <w:lang w:val="es-ES_tradnl"/>
          <w14:ligatures w14:val="standardContextual"/>
        </w:rPr>
        <w:lastRenderedPageBreak/>
        <w:t xml:space="preserve">La Agencia Nacional de Contratación Pública ‒ Colombia Compra Eficiente se </w:t>
      </w:r>
      <w:r w:rsidRPr="003B3746">
        <w:rPr>
          <w:rFonts w:ascii="Verdana" w:eastAsia="Calibri" w:hAnsi="Verdana" w:cs="Arial"/>
          <w:kern w:val="2"/>
          <w:sz w:val="24"/>
          <w:szCs w:val="24"/>
          <w:shd w:val="clear" w:color="auto" w:fill="FFFFFF"/>
          <w:lang w:val="es-ES"/>
          <w14:ligatures w14:val="standardContextual"/>
        </w:rPr>
        <w:t xml:space="preserve">pronunció sobre los métodos de ponderación en los documentos tipo, en los </w:t>
      </w:r>
      <w:r w:rsidRPr="003B3746">
        <w:rPr>
          <w:rFonts w:ascii="Verdana" w:eastAsia="Calibri" w:hAnsi="Verdana" w:cs="Arial"/>
          <w:kern w:val="2"/>
          <w:shd w:val="clear" w:color="auto" w:fill="FFFFFF"/>
          <w:lang w:val="es-ES_tradnl"/>
          <w14:ligatures w14:val="standardContextual"/>
        </w:rPr>
        <w:t>conceptos C-042 del 3 de marzo de 2021, C-174 del 26 de abril de 2021, C-402 y C-425 de 19 de agosto de 2021, C-209 del 02 de marzo de 2022, 20240322004912 del 22 de marzo de 2024, C-546 del 11 de octubre de 2024, C-555 del 25 de octubre de 2024, C-843 del 26 de diciembre de 2024, C-164 del 20 de marzo de 2025, C-497 del 5 de junio de 2025 y C-850 del 8 de agosto de 2025</w:t>
      </w:r>
      <w:r w:rsidRPr="003B3746">
        <w:rPr>
          <w:rFonts w:ascii="Verdana" w:eastAsia="Calibri" w:hAnsi="Verdana" w:cs="Arial"/>
          <w:kern w:val="2"/>
          <w:shd w:val="clear" w:color="auto" w:fill="FFFFFF"/>
          <w:lang w:val="es-ES"/>
          <w14:ligatures w14:val="standardContextual"/>
        </w:rPr>
        <w:t xml:space="preserve">. </w:t>
      </w:r>
      <w:r w:rsidRPr="003B3746">
        <w:rPr>
          <w:rFonts w:ascii="Verdana" w:eastAsia="Aptos"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3B3746">
          <w:rPr>
            <w:rFonts w:ascii="Verdana" w:eastAsia="Aptos" w:hAnsi="Verdana" w:cs="Arial"/>
            <w:kern w:val="2"/>
            <w:shd w:val="clear" w:color="auto" w:fill="FFFFFF"/>
            <w:lang w:val="es-ES"/>
            <w14:ligatures w14:val="standardContextual"/>
          </w:rPr>
          <w:t>https://relatoria.colombiacompra.gov.co/</w:t>
        </w:r>
      </w:hyperlink>
      <w:r w:rsidRPr="003B3746">
        <w:rPr>
          <w:rFonts w:ascii="Verdana" w:eastAsia="Aptos" w:hAnsi="Verdana" w:cs="Arial"/>
          <w:kern w:val="2"/>
          <w:shd w:val="clear" w:color="auto" w:fill="FFFFFF"/>
          <w:lang w:val="es-ES"/>
          <w14:ligatures w14:val="standardContextual"/>
        </w:rPr>
        <w:t>.</w:t>
      </w:r>
    </w:p>
    <w:p w14:paraId="32FACF21" w14:textId="77777777" w:rsidR="003B3746" w:rsidRPr="003B3746" w:rsidRDefault="003B3746" w:rsidP="003B3746">
      <w:pPr>
        <w:spacing w:after="0" w:line="240" w:lineRule="auto"/>
        <w:jc w:val="both"/>
        <w:rPr>
          <w:rFonts w:ascii="Verdana" w:eastAsia="Calibri" w:hAnsi="Verdana" w:cs="Arial"/>
          <w:color w:val="000000"/>
          <w:kern w:val="2"/>
          <w:shd w:val="clear" w:color="auto" w:fill="FFFFFF"/>
          <w:lang w:val="es-ES_tradnl"/>
          <w14:ligatures w14:val="standardContextual"/>
        </w:rPr>
      </w:pPr>
    </w:p>
    <w:p w14:paraId="5AE8FD8D" w14:textId="77777777" w:rsidR="003B3746" w:rsidRPr="003B3746" w:rsidRDefault="003B3746" w:rsidP="003B374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B3746">
        <w:rPr>
          <w:rFonts w:ascii="Verdana" w:eastAsia="Calibri" w:hAnsi="Verdana" w:cs="Arial"/>
          <w:kern w:val="2"/>
          <w:shd w:val="clear" w:color="auto" w:fill="FFFFFF"/>
          <w:lang w:val="es-ES_tradnl"/>
          <w14:ligatures w14:val="standardContextual"/>
        </w:rPr>
        <w:t>La</w:t>
      </w:r>
      <w:r w:rsidRPr="003B3746">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B3746">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B3746">
        <w:rPr>
          <w:rFonts w:ascii="Verdana" w:eastAsia="Calibri" w:hAnsi="Verdana" w:cs="Arial"/>
          <w:b/>
          <w:bCs/>
          <w:kern w:val="2"/>
          <w:shd w:val="clear" w:color="auto" w:fill="FFFFFF"/>
          <w:lang w:val="es-ES_tradnl"/>
          <w14:ligatures w14:val="standardContextual"/>
        </w:rPr>
        <w:t>Documentos Tipo</w:t>
      </w:r>
      <w:r w:rsidRPr="003B3746">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B3746">
        <w:rPr>
          <w:rFonts w:ascii="Verdana" w:eastAsia="Calibri" w:hAnsi="Verdana" w:cs="Arial"/>
          <w:b/>
          <w:bCs/>
          <w:kern w:val="2"/>
          <w:shd w:val="clear" w:color="auto" w:fill="FFFFFF"/>
          <w:lang w:val="es-ES_tradnl"/>
          <w14:ligatures w14:val="standardContextual"/>
        </w:rPr>
        <w:t>transparencia</w:t>
      </w:r>
      <w:r w:rsidRPr="003B3746">
        <w:rPr>
          <w:rFonts w:ascii="Verdana" w:eastAsia="Calibri" w:hAnsi="Verdana" w:cs="Arial"/>
          <w:kern w:val="2"/>
          <w:shd w:val="clear" w:color="auto" w:fill="FFFFFF"/>
          <w:lang w:val="es-ES_tradnl"/>
          <w14:ligatures w14:val="standardContextual"/>
        </w:rPr>
        <w:t> y promover un proceso de </w:t>
      </w:r>
      <w:r w:rsidRPr="003B3746">
        <w:rPr>
          <w:rFonts w:ascii="Verdana" w:eastAsia="Calibri" w:hAnsi="Verdana" w:cs="Arial"/>
          <w:b/>
          <w:bCs/>
          <w:kern w:val="2"/>
          <w:shd w:val="clear" w:color="auto" w:fill="FFFFFF"/>
          <w:lang w:val="es-ES_tradnl"/>
          <w14:ligatures w14:val="standardContextual"/>
        </w:rPr>
        <w:t>selección objetiva</w:t>
      </w:r>
      <w:r w:rsidRPr="003B3746">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3753FEE3" w14:textId="77777777" w:rsidR="003B3746" w:rsidRPr="003B3746" w:rsidRDefault="003B3746" w:rsidP="003B374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C661D30" w14:textId="77777777" w:rsidR="003B3746" w:rsidRPr="003B3746" w:rsidRDefault="003B3746" w:rsidP="003B3746">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3B3746">
        <w:rPr>
          <w:rFonts w:ascii="Verdana" w:eastAsia="Calibri" w:hAnsi="Verdana" w:cs="Arial"/>
          <w:kern w:val="2"/>
          <w:shd w:val="clear" w:color="auto" w:fill="FFFFFF"/>
          <w:lang w:val="es-ES"/>
          <w14:ligatures w14:val="standardContextual"/>
        </w:rPr>
        <w:t>También, le contamos que ya se encuentra disponible la </w:t>
      </w:r>
      <w:r w:rsidRPr="003B3746">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3B3746">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3B3746">
        <w:rPr>
          <w:rFonts w:ascii="Verdana" w:eastAsia="Calibri" w:hAnsi="Verdana" w:cs="Arial"/>
          <w:kern w:val="2"/>
          <w:shd w:val="clear" w:color="auto" w:fill="FFFFFF"/>
          <w:lang w:val="es-ES"/>
          <w14:ligatures w14:val="standardContextual"/>
        </w:rPr>
        <w:t>Wayúu</w:t>
      </w:r>
      <w:proofErr w:type="spellEnd"/>
      <w:r w:rsidRPr="003B3746">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3B3746">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3B3746">
        <w:rPr>
          <w:rFonts w:ascii="Verdana" w:eastAsia="Calibri" w:hAnsi="Verdana" w:cs="Arial"/>
          <w:kern w:val="2"/>
          <w:u w:val="single"/>
          <w:shd w:val="clear" w:color="auto" w:fill="FFFFFF"/>
          <w:lang w:val="es-ES"/>
          <w14:ligatures w14:val="standardContextual"/>
        </w:rPr>
        <w:t>.</w:t>
      </w:r>
    </w:p>
    <w:p w14:paraId="647A824B" w14:textId="77777777" w:rsidR="003B3746" w:rsidRPr="003B3746" w:rsidRDefault="003B3746" w:rsidP="003B374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AE55881" w14:textId="77777777" w:rsidR="003B3746" w:rsidRPr="003B3746" w:rsidRDefault="003B3746" w:rsidP="003B3746">
      <w:pPr>
        <w:spacing w:after="0" w:line="276" w:lineRule="auto"/>
        <w:jc w:val="both"/>
        <w:rPr>
          <w:rFonts w:ascii="Verdana" w:eastAsia="Calibri" w:hAnsi="Verdana" w:cs="Times New Roman"/>
          <w:kern w:val="2"/>
          <w:lang w:val="es-ES_tradnl"/>
          <w14:ligatures w14:val="standardContextual"/>
        </w:rPr>
      </w:pPr>
      <w:r w:rsidRPr="003B3746">
        <w:rPr>
          <w:rFonts w:ascii="Verdana" w:eastAsia="Calibri" w:hAnsi="Verdana" w:cs="Times New Roman"/>
          <w:kern w:val="2"/>
          <w:lang w:val="es-ES_tradnl"/>
          <w14:ligatures w14:val="standardContextual"/>
        </w:rPr>
        <w:lastRenderedPageBreak/>
        <w:t xml:space="preserve">Por último, los invitamos a seguirnos en las redes sociales, en las cuales se difunde información institucional: </w:t>
      </w:r>
    </w:p>
    <w:p w14:paraId="5B811DDC" w14:textId="77777777" w:rsidR="003B3746" w:rsidRPr="003B3746" w:rsidRDefault="003B3746" w:rsidP="003B3746">
      <w:pPr>
        <w:spacing w:after="0" w:line="240" w:lineRule="auto"/>
        <w:jc w:val="both"/>
        <w:rPr>
          <w:rFonts w:ascii="Verdana" w:eastAsia="Calibri" w:hAnsi="Verdana" w:cs="Times New Roman"/>
          <w:kern w:val="2"/>
          <w:lang w:val="es-ES_tradnl"/>
          <w14:ligatures w14:val="standardContextual"/>
        </w:rPr>
      </w:pPr>
    </w:p>
    <w:p w14:paraId="03636854" w14:textId="77777777" w:rsidR="003B3746" w:rsidRPr="003B3746" w:rsidRDefault="003B3746" w:rsidP="003B3746">
      <w:pPr>
        <w:spacing w:after="0" w:line="240" w:lineRule="auto"/>
        <w:jc w:val="both"/>
        <w:rPr>
          <w:rFonts w:ascii="Verdana" w:eastAsia="Calibri" w:hAnsi="Verdana" w:cs="Times New Roman"/>
          <w:kern w:val="2"/>
          <w:lang w:val="es-ES_tradnl"/>
          <w14:ligatures w14:val="standardContextual"/>
        </w:rPr>
      </w:pPr>
      <w:r w:rsidRPr="003B3746">
        <w:rPr>
          <w:rFonts w:ascii="Verdana" w:eastAsia="Calibri" w:hAnsi="Verdana" w:cs="Times New Roman"/>
          <w:kern w:val="2"/>
          <w:lang w:val="es-ES_tradnl"/>
          <w14:ligatures w14:val="standardContextual"/>
        </w:rPr>
        <w:t xml:space="preserve">X: </w:t>
      </w:r>
      <w:r w:rsidRPr="003B3746">
        <w:rPr>
          <w:rFonts w:ascii="Verdana" w:eastAsia="Calibri" w:hAnsi="Verdana" w:cs="Times New Roman"/>
          <w:kern w:val="2"/>
          <w:u w:val="single"/>
          <w:lang w:val="es-ES_tradnl"/>
          <w14:ligatures w14:val="standardContextual"/>
        </w:rPr>
        <w:t>@colombiacompra</w:t>
      </w:r>
      <w:r w:rsidRPr="003B3746">
        <w:rPr>
          <w:rFonts w:ascii="Verdana" w:eastAsia="Calibri" w:hAnsi="Verdana" w:cs="Times New Roman"/>
          <w:kern w:val="2"/>
          <w:lang w:val="es-ES_tradnl"/>
          <w14:ligatures w14:val="standardContextual"/>
        </w:rPr>
        <w:t xml:space="preserve"> </w:t>
      </w:r>
    </w:p>
    <w:p w14:paraId="17A6051B" w14:textId="77777777" w:rsidR="003B3746" w:rsidRPr="003B3746" w:rsidRDefault="003B3746" w:rsidP="003B3746">
      <w:pPr>
        <w:spacing w:after="0" w:line="240" w:lineRule="auto"/>
        <w:jc w:val="both"/>
        <w:rPr>
          <w:rFonts w:ascii="Verdana" w:eastAsia="Calibri" w:hAnsi="Verdana" w:cs="Times New Roman"/>
          <w:kern w:val="2"/>
          <w:lang w:val="es-ES"/>
          <w14:ligatures w14:val="standardContextual"/>
        </w:rPr>
      </w:pPr>
      <w:r w:rsidRPr="003B3746">
        <w:rPr>
          <w:rFonts w:ascii="Verdana" w:eastAsia="Calibri" w:hAnsi="Verdana" w:cs="Times New Roman"/>
          <w:kern w:val="2"/>
          <w:lang w:val="es-ES"/>
          <w14:ligatures w14:val="standardContextual"/>
        </w:rPr>
        <w:t xml:space="preserve">Facebook: </w:t>
      </w:r>
      <w:proofErr w:type="spellStart"/>
      <w:r w:rsidRPr="003B3746">
        <w:rPr>
          <w:rFonts w:ascii="Verdana" w:eastAsia="Calibri" w:hAnsi="Verdana" w:cs="Times New Roman"/>
          <w:kern w:val="2"/>
          <w:u w:val="single"/>
          <w:lang w:val="es-ES"/>
          <w14:ligatures w14:val="standardContextual"/>
        </w:rPr>
        <w:t>ColombiaCompraEficiente</w:t>
      </w:r>
      <w:proofErr w:type="spellEnd"/>
    </w:p>
    <w:p w14:paraId="571EA530" w14:textId="77777777" w:rsidR="003B3746" w:rsidRPr="003B3746" w:rsidRDefault="003B3746" w:rsidP="003B3746">
      <w:pPr>
        <w:spacing w:after="0" w:line="240" w:lineRule="auto"/>
        <w:jc w:val="both"/>
        <w:rPr>
          <w:rFonts w:ascii="Verdana" w:eastAsia="Calibri" w:hAnsi="Verdana" w:cs="Times New Roman"/>
          <w:kern w:val="2"/>
          <w:lang w:val="es-ES_tradnl"/>
          <w14:ligatures w14:val="standardContextual"/>
        </w:rPr>
      </w:pPr>
      <w:r w:rsidRPr="003B3746">
        <w:rPr>
          <w:rFonts w:ascii="Verdana" w:eastAsia="Calibri" w:hAnsi="Verdana" w:cs="Times New Roman"/>
          <w:kern w:val="2"/>
          <w:lang w:val="es-ES_tradnl"/>
          <w14:ligatures w14:val="standardContextual"/>
        </w:rPr>
        <w:t xml:space="preserve">LinkedIn: </w:t>
      </w:r>
      <w:r w:rsidRPr="003B3746">
        <w:rPr>
          <w:rFonts w:ascii="Verdana" w:eastAsia="Calibri" w:hAnsi="Verdana" w:cs="Times New Roman"/>
          <w:kern w:val="2"/>
          <w:u w:val="single"/>
          <w:lang w:val="es-ES_tradnl"/>
          <w14:ligatures w14:val="standardContextual"/>
        </w:rPr>
        <w:t>Agencia Nacional de Contratación Pública - Colombia Compra Eficiente</w:t>
      </w:r>
      <w:r w:rsidRPr="003B3746">
        <w:rPr>
          <w:rFonts w:ascii="Verdana" w:eastAsia="Calibri" w:hAnsi="Verdana" w:cs="Times New Roman"/>
          <w:kern w:val="2"/>
          <w:lang w:val="es-ES_tradnl"/>
          <w14:ligatures w14:val="standardContextual"/>
        </w:rPr>
        <w:t xml:space="preserve"> Instagram: </w:t>
      </w:r>
      <w:r w:rsidRPr="003B3746">
        <w:rPr>
          <w:rFonts w:ascii="Verdana" w:eastAsia="Calibri" w:hAnsi="Verdana" w:cs="Times New Roman"/>
          <w:kern w:val="2"/>
          <w:u w:val="single"/>
          <w:lang w:val="es-ES_tradnl"/>
          <w14:ligatures w14:val="standardContextual"/>
        </w:rPr>
        <w:t>@colombiacompraeficiente_cce</w:t>
      </w:r>
    </w:p>
    <w:p w14:paraId="4DB40E1C" w14:textId="77777777" w:rsidR="003B3746" w:rsidRPr="003B3746" w:rsidRDefault="003B3746" w:rsidP="003B3746">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0F8E22B0" w14:textId="77777777" w:rsidR="003B3746" w:rsidRPr="003B3746" w:rsidRDefault="003B3746" w:rsidP="003B3746">
      <w:pPr>
        <w:widowControl w:val="0"/>
        <w:autoSpaceDE w:val="0"/>
        <w:autoSpaceDN w:val="0"/>
        <w:spacing w:after="0" w:line="276" w:lineRule="auto"/>
        <w:jc w:val="both"/>
        <w:rPr>
          <w:rFonts w:ascii="Verdana" w:eastAsia="Calibri" w:hAnsi="Verdana" w:cs="Arial"/>
          <w:kern w:val="2"/>
          <w:lang w:val="es-ES_tradnl"/>
          <w14:ligatures w14:val="standardContextual"/>
        </w:rPr>
      </w:pPr>
      <w:r w:rsidRPr="003B3746">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AD57D99" w14:textId="77777777" w:rsidR="003B3746" w:rsidRPr="003B3746" w:rsidRDefault="003B3746" w:rsidP="003B3746">
      <w:pPr>
        <w:widowControl w:val="0"/>
        <w:autoSpaceDE w:val="0"/>
        <w:autoSpaceDN w:val="0"/>
        <w:spacing w:after="0" w:line="276" w:lineRule="auto"/>
        <w:jc w:val="both"/>
        <w:rPr>
          <w:rFonts w:ascii="Verdana" w:eastAsia="Aptos" w:hAnsi="Verdana" w:cs="Arial"/>
          <w:lang w:val="es-ES_tradnl"/>
        </w:rPr>
      </w:pPr>
    </w:p>
    <w:p w14:paraId="4B40313F" w14:textId="77777777" w:rsidR="003B3746" w:rsidRPr="003B3746" w:rsidRDefault="003B3746" w:rsidP="003B3746">
      <w:pPr>
        <w:spacing w:after="0" w:line="240" w:lineRule="auto"/>
        <w:rPr>
          <w:rFonts w:ascii="Verdana" w:eastAsia="Aptos" w:hAnsi="Verdana" w:cs="Arial"/>
          <w:lang w:val="es-ES_tradnl" w:eastAsia="es-CO"/>
        </w:rPr>
      </w:pPr>
      <w:r w:rsidRPr="003B3746">
        <w:rPr>
          <w:rFonts w:ascii="Verdana" w:eastAsia="Times New Roman" w:hAnsi="Verdana" w:cs="Arial"/>
          <w:lang w:val="es-ES_tradnl" w:eastAsia="es-CO"/>
        </w:rPr>
        <w:t>Atentamente,</w:t>
      </w:r>
      <w:r w:rsidRPr="003B3746">
        <w:rPr>
          <w:rFonts w:ascii="Verdana" w:eastAsia="Aptos" w:hAnsi="Verdana" w:cs="Arial"/>
          <w:lang w:val="es-ES_tradnl" w:eastAsia="es-CO"/>
        </w:rPr>
        <w:t xml:space="preserve"> </w:t>
      </w:r>
    </w:p>
    <w:p w14:paraId="78AE0F7B" w14:textId="77777777" w:rsidR="003B3746" w:rsidRPr="003B3746" w:rsidRDefault="003B3746" w:rsidP="003B3746">
      <w:pPr>
        <w:spacing w:line="276" w:lineRule="auto"/>
        <w:jc w:val="center"/>
        <w:rPr>
          <w:rFonts w:ascii="Verdana" w:eastAsia="Aptos" w:hAnsi="Verdana" w:cs="Arial"/>
          <w:lang w:val="es-ES_tradnl" w:eastAsia="es-CO"/>
        </w:rPr>
      </w:pPr>
    </w:p>
    <w:p w14:paraId="4894DA78" w14:textId="210A2C9D" w:rsidR="003B3746" w:rsidRPr="003B3746" w:rsidRDefault="00F93F1D" w:rsidP="003B3746">
      <w:pPr>
        <w:spacing w:line="276" w:lineRule="auto"/>
        <w:jc w:val="center"/>
        <w:rPr>
          <w:rFonts w:ascii="Verdana" w:eastAsia="Aptos" w:hAnsi="Verdana" w:cs="Arial"/>
          <w:lang w:val="es-ES_tradnl" w:eastAsia="es-CO"/>
        </w:rPr>
      </w:pPr>
      <w:r>
        <w:rPr>
          <w:noProof/>
        </w:rPr>
        <w:drawing>
          <wp:inline distT="0" distB="0" distL="0" distR="0" wp14:anchorId="1E5E4FEA" wp14:editId="232C856C">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11"/>
        <w:tblpPr w:leftFromText="141" w:rightFromText="141" w:vertAnchor="text" w:horzAnchor="margin" w:tblpY="-19"/>
        <w:tblW w:w="0" w:type="auto"/>
        <w:tblLook w:val="04A0" w:firstRow="1" w:lastRow="0" w:firstColumn="1" w:lastColumn="0" w:noHBand="0" w:noVBand="1"/>
      </w:tblPr>
      <w:tblGrid>
        <w:gridCol w:w="901"/>
        <w:gridCol w:w="4769"/>
      </w:tblGrid>
      <w:tr w:rsidR="003B3746" w:rsidRPr="003B3746" w14:paraId="2E6FC47E" w14:textId="77777777" w:rsidTr="07FC6463">
        <w:trPr>
          <w:trHeight w:val="286"/>
        </w:trPr>
        <w:tc>
          <w:tcPr>
            <w:tcW w:w="901" w:type="dxa"/>
            <w:tcBorders>
              <w:top w:val="nil"/>
              <w:left w:val="nil"/>
              <w:bottom w:val="nil"/>
              <w:right w:val="nil"/>
            </w:tcBorders>
            <w:vAlign w:val="center"/>
            <w:hideMark/>
          </w:tcPr>
          <w:p w14:paraId="118DFFF1"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Elaboró:</w:t>
            </w:r>
          </w:p>
        </w:tc>
        <w:tc>
          <w:tcPr>
            <w:tcW w:w="4769" w:type="dxa"/>
            <w:tcBorders>
              <w:top w:val="nil"/>
              <w:left w:val="nil"/>
              <w:bottom w:val="dotted" w:sz="4" w:space="0" w:color="7F7F7F" w:themeColor="text1" w:themeTint="80"/>
              <w:right w:val="nil"/>
            </w:tcBorders>
            <w:vAlign w:val="center"/>
            <w:hideMark/>
          </w:tcPr>
          <w:p w14:paraId="0FA08BEF"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Kevin Arlid Herrera Santa</w:t>
            </w:r>
          </w:p>
          <w:p w14:paraId="1D24F8F6"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Contratista de la Subdirección de Gestión Contractual</w:t>
            </w:r>
          </w:p>
        </w:tc>
      </w:tr>
      <w:tr w:rsidR="003B3746" w:rsidRPr="003B3746" w14:paraId="4B427E33" w14:textId="77777777" w:rsidTr="07FC6463">
        <w:trPr>
          <w:trHeight w:val="299"/>
        </w:trPr>
        <w:tc>
          <w:tcPr>
            <w:tcW w:w="901" w:type="dxa"/>
            <w:tcBorders>
              <w:top w:val="nil"/>
              <w:left w:val="nil"/>
              <w:bottom w:val="nil"/>
              <w:right w:val="nil"/>
            </w:tcBorders>
            <w:vAlign w:val="center"/>
          </w:tcPr>
          <w:p w14:paraId="10D1E86C"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Revisó:</w:t>
            </w:r>
          </w:p>
        </w:tc>
        <w:tc>
          <w:tcPr>
            <w:tcW w:w="4769" w:type="dxa"/>
            <w:tcBorders>
              <w:top w:val="dotted" w:sz="4" w:space="0" w:color="7F7F7F" w:themeColor="text1" w:themeTint="80"/>
              <w:left w:val="nil"/>
              <w:bottom w:val="dotted" w:sz="4" w:space="0" w:color="7F7F7F" w:themeColor="text1" w:themeTint="80"/>
              <w:right w:val="nil"/>
            </w:tcBorders>
            <w:vAlign w:val="center"/>
          </w:tcPr>
          <w:p w14:paraId="5FCE381F"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Juan David Cárdenas Cabeza</w:t>
            </w:r>
          </w:p>
          <w:p w14:paraId="054BE2A5"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Contratista de la Subdirección de Gestión Contractual</w:t>
            </w:r>
          </w:p>
        </w:tc>
      </w:tr>
      <w:tr w:rsidR="003B3746" w:rsidRPr="003B3746" w14:paraId="51B96FAB" w14:textId="77777777" w:rsidTr="07FC6463">
        <w:trPr>
          <w:trHeight w:val="272"/>
        </w:trPr>
        <w:tc>
          <w:tcPr>
            <w:tcW w:w="901" w:type="dxa"/>
            <w:tcBorders>
              <w:top w:val="nil"/>
              <w:left w:val="nil"/>
              <w:bottom w:val="nil"/>
              <w:right w:val="nil"/>
            </w:tcBorders>
            <w:vAlign w:val="center"/>
            <w:hideMark/>
          </w:tcPr>
          <w:p w14:paraId="50F05573"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Aprobó:</w:t>
            </w:r>
          </w:p>
        </w:tc>
        <w:tc>
          <w:tcPr>
            <w:tcW w:w="4769" w:type="dxa"/>
            <w:tcBorders>
              <w:top w:val="dotted" w:sz="4" w:space="0" w:color="7F7F7F" w:themeColor="text1" w:themeTint="80"/>
              <w:left w:val="nil"/>
              <w:bottom w:val="dotted" w:sz="4" w:space="0" w:color="7F7F7F" w:themeColor="text1" w:themeTint="80"/>
              <w:right w:val="nil"/>
            </w:tcBorders>
            <w:vAlign w:val="center"/>
            <w:hideMark/>
          </w:tcPr>
          <w:p w14:paraId="2F0AFE56" w14:textId="77777777" w:rsidR="003B3746" w:rsidRPr="003B3746" w:rsidRDefault="003B3746" w:rsidP="003B3746">
            <w:pPr>
              <w:rPr>
                <w:rFonts w:ascii="Verdana" w:eastAsia="Aptos" w:hAnsi="Verdana" w:cs="Arial"/>
                <w:sz w:val="16"/>
                <w:szCs w:val="16"/>
                <w:lang w:val="es-ES" w:eastAsia="es-ES"/>
              </w:rPr>
            </w:pPr>
            <w:r w:rsidRPr="07FC6463">
              <w:rPr>
                <w:rFonts w:ascii="Verdana" w:eastAsia="Aptos" w:hAnsi="Verdana" w:cs="Arial"/>
                <w:sz w:val="16"/>
                <w:szCs w:val="16"/>
                <w:lang w:val="es-ES" w:eastAsia="es-ES"/>
              </w:rPr>
              <w:t>Carolina Quintero Gacharná</w:t>
            </w:r>
          </w:p>
          <w:p w14:paraId="53CBEFC0" w14:textId="77777777" w:rsidR="003B3746" w:rsidRPr="003B3746" w:rsidRDefault="003B3746" w:rsidP="003B3746">
            <w:pPr>
              <w:rPr>
                <w:rFonts w:ascii="Verdana" w:eastAsia="Aptos" w:hAnsi="Verdana" w:cs="Arial"/>
                <w:sz w:val="16"/>
                <w:szCs w:val="16"/>
                <w:lang w:val="es-ES_tradnl" w:eastAsia="es-ES"/>
              </w:rPr>
            </w:pPr>
            <w:r w:rsidRPr="003B3746">
              <w:rPr>
                <w:rFonts w:ascii="Verdana" w:eastAsia="Aptos" w:hAnsi="Verdana" w:cs="Arial"/>
                <w:sz w:val="16"/>
                <w:szCs w:val="16"/>
                <w:lang w:val="es-ES_tradnl" w:eastAsia="es-ES"/>
              </w:rPr>
              <w:t>Subdirectora de Gestión Contractual ANCP – CCE</w:t>
            </w:r>
          </w:p>
        </w:tc>
      </w:tr>
    </w:tbl>
    <w:p w14:paraId="51FDC192" w14:textId="77777777" w:rsidR="003B3746" w:rsidRPr="003B3746" w:rsidRDefault="003B3746" w:rsidP="003B3746">
      <w:pPr>
        <w:spacing w:after="0" w:line="240" w:lineRule="auto"/>
        <w:rPr>
          <w:rFonts w:ascii="Verdana" w:eastAsia="Times New Roman" w:hAnsi="Verdana" w:cs="Arial"/>
          <w:sz w:val="16"/>
          <w:szCs w:val="16"/>
          <w:lang w:val="es-ES_tradnl" w:eastAsia="es-ES"/>
        </w:rPr>
      </w:pPr>
    </w:p>
    <w:p w14:paraId="0EF7DEB3" w14:textId="77777777" w:rsidR="003B3746" w:rsidRPr="003B3746" w:rsidRDefault="003B3746" w:rsidP="003B3746">
      <w:pPr>
        <w:rPr>
          <w:rFonts w:ascii="Verdana" w:eastAsia="Aptos" w:hAnsi="Verdana" w:cs="Times New Roman"/>
          <w:sz w:val="16"/>
          <w:szCs w:val="16"/>
          <w:lang w:val="es-ES_tradnl"/>
        </w:rPr>
      </w:pPr>
    </w:p>
    <w:p w14:paraId="562738A4" w14:textId="77777777" w:rsidR="003B3746" w:rsidRPr="003B3746" w:rsidRDefault="003B3746" w:rsidP="003B3746">
      <w:pPr>
        <w:rPr>
          <w:rFonts w:ascii="Verdana" w:eastAsia="Aptos" w:hAnsi="Verdana" w:cs="Times New Roman"/>
          <w:lang w:val="es-ES_tradnl"/>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8D2C1" w14:textId="77777777" w:rsidR="0018624D" w:rsidRDefault="0018624D" w:rsidP="004A1847">
      <w:pPr>
        <w:spacing w:after="0" w:line="240" w:lineRule="auto"/>
      </w:pPr>
      <w:r>
        <w:separator/>
      </w:r>
    </w:p>
  </w:endnote>
  <w:endnote w:type="continuationSeparator" w:id="0">
    <w:p w14:paraId="6D17CDF4" w14:textId="77777777" w:rsidR="0018624D" w:rsidRDefault="0018624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Calibri">
    <w:altName w:val="Times New Roman"/>
    <w:charset w:val="00"/>
    <w:family w:val="roman"/>
    <w:pitch w:val="default"/>
  </w:font>
  <w:font w:name="Arial,Times New Roman">
    <w:altName w:val="Arial"/>
    <w:charset w:val="00"/>
    <w:family w:val="roman"/>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6D5D8" w14:textId="77777777" w:rsidR="0018624D" w:rsidRDefault="0018624D" w:rsidP="004A1847">
      <w:pPr>
        <w:spacing w:after="0" w:line="240" w:lineRule="auto"/>
      </w:pPr>
      <w:r>
        <w:separator/>
      </w:r>
    </w:p>
  </w:footnote>
  <w:footnote w:type="continuationSeparator" w:id="0">
    <w:p w14:paraId="73CF933E" w14:textId="77777777" w:rsidR="0018624D" w:rsidRDefault="0018624D" w:rsidP="004A1847">
      <w:pPr>
        <w:spacing w:after="0" w:line="240" w:lineRule="auto"/>
      </w:pPr>
      <w:r>
        <w:continuationSeparator/>
      </w:r>
    </w:p>
  </w:footnote>
  <w:footnote w:id="1">
    <w:p w14:paraId="539FD4CA" w14:textId="77777777" w:rsidR="003B3746" w:rsidRPr="00B05F58" w:rsidRDefault="003B3746" w:rsidP="003B3746">
      <w:pPr>
        <w:pStyle w:val="Textonotapie"/>
        <w:ind w:firstLine="708"/>
        <w:jc w:val="both"/>
        <w:rPr>
          <w:rFonts w:ascii="Verdana" w:hAnsi="Verdana" w:cs="Arial"/>
          <w:color w:val="000000"/>
          <w:sz w:val="18"/>
          <w:szCs w:val="18"/>
        </w:rPr>
      </w:pPr>
      <w:r w:rsidRPr="00B05F58">
        <w:rPr>
          <w:rStyle w:val="Refdenotaalpie"/>
          <w:rFonts w:ascii="Verdana" w:hAnsi="Verdana" w:cs="Arial"/>
          <w:color w:val="000000"/>
          <w:sz w:val="18"/>
          <w:szCs w:val="18"/>
        </w:rPr>
        <w:footnoteRef/>
      </w:r>
      <w:r w:rsidRPr="00B05F58">
        <w:rPr>
          <w:rFonts w:ascii="Verdana" w:hAnsi="Verdana" w:cs="Arial"/>
          <w:color w:val="000000"/>
          <w:sz w:val="18"/>
          <w:szCs w:val="18"/>
        </w:rPr>
        <w:t xml:space="preserve"> Banco de la República. Circular Reglamentaria Externa – DOAM – 146 de 4 de noviembre de 2020.</w:t>
      </w:r>
    </w:p>
    <w:p w14:paraId="35B33B5A" w14:textId="77777777" w:rsidR="003B3746" w:rsidRPr="00B05F58" w:rsidRDefault="003B3746" w:rsidP="003B3746">
      <w:pPr>
        <w:pStyle w:val="Textonotapie"/>
        <w:ind w:firstLine="708"/>
        <w:jc w:val="both"/>
        <w:rPr>
          <w:rFonts w:ascii="Verdana" w:hAnsi="Verdana" w:cs="Arial"/>
          <w:color w:val="000000"/>
          <w:sz w:val="18"/>
          <w:szCs w:val="18"/>
        </w:rPr>
      </w:pPr>
    </w:p>
  </w:footnote>
  <w:footnote w:id="2">
    <w:p w14:paraId="37F8A9BD" w14:textId="77777777" w:rsidR="003B3746" w:rsidRPr="00B05F58" w:rsidRDefault="003B3746" w:rsidP="003B3746">
      <w:pPr>
        <w:pStyle w:val="Textonotapie"/>
        <w:ind w:firstLine="708"/>
        <w:jc w:val="both"/>
        <w:rPr>
          <w:rFonts w:ascii="Verdana" w:hAnsi="Verdana" w:cs="Arial"/>
          <w:color w:val="000000"/>
          <w:sz w:val="18"/>
          <w:szCs w:val="18"/>
        </w:rPr>
      </w:pPr>
      <w:r w:rsidRPr="00B05F58">
        <w:rPr>
          <w:rStyle w:val="Refdenotaalpie"/>
          <w:rFonts w:ascii="Verdana" w:hAnsi="Verdana" w:cs="Arial"/>
          <w:color w:val="000000"/>
          <w:sz w:val="18"/>
          <w:szCs w:val="18"/>
        </w:rPr>
        <w:footnoteRef/>
      </w:r>
      <w:r w:rsidRPr="00B05F58">
        <w:rPr>
          <w:rFonts w:ascii="Verdana" w:hAnsi="Verdana" w:cs="Arial"/>
          <w:color w:val="000000"/>
          <w:sz w:val="18"/>
          <w:szCs w:val="18"/>
        </w:rPr>
        <w:t xml:space="preserve"> Banco de la República. Disponible en línea: </w:t>
      </w:r>
      <w:hyperlink r:id="rId1" w:history="1">
        <w:r w:rsidRPr="00B05F58">
          <w:rPr>
            <w:rStyle w:val="Hipervnculo"/>
            <w:rFonts w:ascii="Verdana" w:hAnsi="Verdana" w:cs="Arial"/>
            <w:color w:val="000000"/>
            <w:sz w:val="18"/>
            <w:szCs w:val="18"/>
          </w:rPr>
          <w:t>https://www.banrep.gov.co/es/estadisticas/trm</w:t>
        </w:r>
      </w:hyperlink>
      <w:r w:rsidRPr="00B05F58">
        <w:rPr>
          <w:rStyle w:val="Hipervnculo"/>
          <w:rFonts w:ascii="Verdana" w:hAnsi="Verdana" w:cs="Arial"/>
          <w:color w:val="000000"/>
          <w:sz w:val="18"/>
          <w:szCs w:val="18"/>
        </w:rPr>
        <w:t xml:space="preserve">. </w:t>
      </w:r>
      <w:r w:rsidRPr="00B05F58">
        <w:rPr>
          <w:rStyle w:val="Hipervnculo"/>
          <w:rFonts w:ascii="Verdana" w:hAnsi="Verdana" w:cs="Arial"/>
          <w:color w:val="000000"/>
          <w:sz w:val="18"/>
          <w:szCs w:val="18"/>
          <w:u w:val="none"/>
        </w:rPr>
        <w:t>Consultado el 5 de agosto de 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3C23E39"/>
    <w:multiLevelType w:val="hybridMultilevel"/>
    <w:tmpl w:val="A9BC1C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185FA0"/>
    <w:multiLevelType w:val="hybridMultilevel"/>
    <w:tmpl w:val="3250ADE2"/>
    <w:lvl w:ilvl="0" w:tplc="C3146ED4">
      <w:start w:val="1"/>
      <w:numFmt w:val="lowerRoman"/>
      <w:lvlText w:val="%1)"/>
      <w:lvlJc w:val="left"/>
      <w:pPr>
        <w:ind w:left="0" w:hanging="720"/>
      </w:pPr>
      <w:rPr>
        <w:rFonts w:eastAsia="Calibri" w:cs="Times New Roman" w:hint="default"/>
      </w:rPr>
    </w:lvl>
    <w:lvl w:ilvl="1" w:tplc="080A0019" w:tentative="1">
      <w:start w:val="1"/>
      <w:numFmt w:val="lowerLetter"/>
      <w:lvlText w:val="%2."/>
      <w:lvlJc w:val="left"/>
      <w:pPr>
        <w:ind w:left="360" w:hanging="360"/>
      </w:pPr>
    </w:lvl>
    <w:lvl w:ilvl="2" w:tplc="080A001B" w:tentative="1">
      <w:start w:val="1"/>
      <w:numFmt w:val="lowerRoman"/>
      <w:lvlText w:val="%3."/>
      <w:lvlJc w:val="right"/>
      <w:pPr>
        <w:ind w:left="1080" w:hanging="180"/>
      </w:pPr>
    </w:lvl>
    <w:lvl w:ilvl="3" w:tplc="080A000F" w:tentative="1">
      <w:start w:val="1"/>
      <w:numFmt w:val="decimal"/>
      <w:lvlText w:val="%4."/>
      <w:lvlJc w:val="left"/>
      <w:pPr>
        <w:ind w:left="1800" w:hanging="360"/>
      </w:pPr>
    </w:lvl>
    <w:lvl w:ilvl="4" w:tplc="080A0019" w:tentative="1">
      <w:start w:val="1"/>
      <w:numFmt w:val="lowerLetter"/>
      <w:lvlText w:val="%5."/>
      <w:lvlJc w:val="left"/>
      <w:pPr>
        <w:ind w:left="2520" w:hanging="360"/>
      </w:pPr>
    </w:lvl>
    <w:lvl w:ilvl="5" w:tplc="080A001B" w:tentative="1">
      <w:start w:val="1"/>
      <w:numFmt w:val="lowerRoman"/>
      <w:lvlText w:val="%6."/>
      <w:lvlJc w:val="right"/>
      <w:pPr>
        <w:ind w:left="3240" w:hanging="180"/>
      </w:pPr>
    </w:lvl>
    <w:lvl w:ilvl="6" w:tplc="080A000F" w:tentative="1">
      <w:start w:val="1"/>
      <w:numFmt w:val="decimal"/>
      <w:lvlText w:val="%7."/>
      <w:lvlJc w:val="left"/>
      <w:pPr>
        <w:ind w:left="3960" w:hanging="360"/>
      </w:pPr>
    </w:lvl>
    <w:lvl w:ilvl="7" w:tplc="080A0019" w:tentative="1">
      <w:start w:val="1"/>
      <w:numFmt w:val="lowerLetter"/>
      <w:lvlText w:val="%8."/>
      <w:lvlJc w:val="left"/>
      <w:pPr>
        <w:ind w:left="4680" w:hanging="360"/>
      </w:pPr>
    </w:lvl>
    <w:lvl w:ilvl="8" w:tplc="080A001B" w:tentative="1">
      <w:start w:val="1"/>
      <w:numFmt w:val="lowerRoman"/>
      <w:lvlText w:val="%9."/>
      <w:lvlJc w:val="right"/>
      <w:pPr>
        <w:ind w:left="540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679089576">
    <w:abstractNumId w:val="10"/>
  </w:num>
  <w:num w:numId="17" w16cid:durableId="465978032">
    <w:abstractNumId w:val="2"/>
  </w:num>
  <w:num w:numId="18" w16cid:durableId="14720137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4D79"/>
    <w:rsid w:val="0015699B"/>
    <w:rsid w:val="0018624D"/>
    <w:rsid w:val="001A33BF"/>
    <w:rsid w:val="001D49FA"/>
    <w:rsid w:val="001E4177"/>
    <w:rsid w:val="001F0B24"/>
    <w:rsid w:val="001F7DC6"/>
    <w:rsid w:val="0022400B"/>
    <w:rsid w:val="002421BB"/>
    <w:rsid w:val="0025796E"/>
    <w:rsid w:val="002707A2"/>
    <w:rsid w:val="002951A0"/>
    <w:rsid w:val="002962BC"/>
    <w:rsid w:val="002A093D"/>
    <w:rsid w:val="002A0DD0"/>
    <w:rsid w:val="002A49AC"/>
    <w:rsid w:val="002A64FD"/>
    <w:rsid w:val="002C0DD8"/>
    <w:rsid w:val="002C7A84"/>
    <w:rsid w:val="002E2BF8"/>
    <w:rsid w:val="002E4FD9"/>
    <w:rsid w:val="0030657A"/>
    <w:rsid w:val="00322A85"/>
    <w:rsid w:val="00324168"/>
    <w:rsid w:val="00330834"/>
    <w:rsid w:val="00342354"/>
    <w:rsid w:val="003448F4"/>
    <w:rsid w:val="00374F5E"/>
    <w:rsid w:val="00377E3E"/>
    <w:rsid w:val="003A779E"/>
    <w:rsid w:val="003B3746"/>
    <w:rsid w:val="003D0F4D"/>
    <w:rsid w:val="003D5B0D"/>
    <w:rsid w:val="003E0499"/>
    <w:rsid w:val="003E4F80"/>
    <w:rsid w:val="003E6439"/>
    <w:rsid w:val="003F3941"/>
    <w:rsid w:val="00406575"/>
    <w:rsid w:val="00414C74"/>
    <w:rsid w:val="0042722E"/>
    <w:rsid w:val="0044528D"/>
    <w:rsid w:val="00452A99"/>
    <w:rsid w:val="00466E39"/>
    <w:rsid w:val="004A1847"/>
    <w:rsid w:val="004A305D"/>
    <w:rsid w:val="004F21C4"/>
    <w:rsid w:val="004F685F"/>
    <w:rsid w:val="005566E8"/>
    <w:rsid w:val="00574867"/>
    <w:rsid w:val="00591460"/>
    <w:rsid w:val="005A65E0"/>
    <w:rsid w:val="005C3777"/>
    <w:rsid w:val="005C57F3"/>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2074"/>
    <w:rsid w:val="00923EEF"/>
    <w:rsid w:val="00927DB2"/>
    <w:rsid w:val="009419F9"/>
    <w:rsid w:val="0095685E"/>
    <w:rsid w:val="00961B09"/>
    <w:rsid w:val="00965334"/>
    <w:rsid w:val="0097093E"/>
    <w:rsid w:val="00997F26"/>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0FD9"/>
    <w:rsid w:val="00A74811"/>
    <w:rsid w:val="00A75078"/>
    <w:rsid w:val="00AB0ADB"/>
    <w:rsid w:val="00AC0D6F"/>
    <w:rsid w:val="00B00C0E"/>
    <w:rsid w:val="00B01B1A"/>
    <w:rsid w:val="00B0381D"/>
    <w:rsid w:val="00B44A47"/>
    <w:rsid w:val="00B72CD3"/>
    <w:rsid w:val="00B72FFF"/>
    <w:rsid w:val="00BC3D36"/>
    <w:rsid w:val="00BD54A6"/>
    <w:rsid w:val="00BD7F72"/>
    <w:rsid w:val="00BF7425"/>
    <w:rsid w:val="00C04FB3"/>
    <w:rsid w:val="00C11D8B"/>
    <w:rsid w:val="00C15139"/>
    <w:rsid w:val="00C16D0D"/>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86618"/>
    <w:rsid w:val="00DA231B"/>
    <w:rsid w:val="00DC39FC"/>
    <w:rsid w:val="00DF5254"/>
    <w:rsid w:val="00E02524"/>
    <w:rsid w:val="00E16408"/>
    <w:rsid w:val="00E20894"/>
    <w:rsid w:val="00E245AB"/>
    <w:rsid w:val="00E2764C"/>
    <w:rsid w:val="00E27F2E"/>
    <w:rsid w:val="00E50AFE"/>
    <w:rsid w:val="00E75C92"/>
    <w:rsid w:val="00E771DC"/>
    <w:rsid w:val="00E835E5"/>
    <w:rsid w:val="00E8772A"/>
    <w:rsid w:val="00E90F6B"/>
    <w:rsid w:val="00E92C27"/>
    <w:rsid w:val="00EA0E3D"/>
    <w:rsid w:val="00EB4650"/>
    <w:rsid w:val="00EC38A7"/>
    <w:rsid w:val="00EE1AA8"/>
    <w:rsid w:val="00F23FEA"/>
    <w:rsid w:val="00F31EDC"/>
    <w:rsid w:val="00F462B3"/>
    <w:rsid w:val="00F5664F"/>
    <w:rsid w:val="00F666C4"/>
    <w:rsid w:val="00F76AFC"/>
    <w:rsid w:val="00F93F1D"/>
    <w:rsid w:val="00FA47C0"/>
    <w:rsid w:val="00FB5DD1"/>
    <w:rsid w:val="00FC2B5D"/>
    <w:rsid w:val="00FF1449"/>
    <w:rsid w:val="00FF7963"/>
    <w:rsid w:val="071B8F93"/>
    <w:rsid w:val="07FC646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B3746"/>
    <w:pPr>
      <w:spacing w:line="240" w:lineRule="exact"/>
    </w:pPr>
    <w:rPr>
      <w:vertAlign w:val="superscript"/>
    </w:rPr>
  </w:style>
  <w:style w:type="table" w:customStyle="1" w:styleId="Tablaconcuadrcula11">
    <w:name w:val="Tabla con cuadrícula11"/>
    <w:basedOn w:val="Tablanormal"/>
    <w:next w:val="Tablaconcuadrcula"/>
    <w:uiPriority w:val="59"/>
    <w:qFormat/>
    <w:rsid w:val="003B3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guias-y-manuale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banrep.gov.co/es/estadisticas/tr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756B347-4212-4725-97E6-BC79B984D017}"/>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11</Pages>
  <Words>3549</Words>
  <Characters>18953</Characters>
  <Application>Microsoft Office Word</Application>
  <DocSecurity>0</DocSecurity>
  <Lines>440</Lines>
  <Paragraphs>140</Paragraphs>
  <ScaleCrop>false</ScaleCrop>
  <Company/>
  <LinksUpToDate>false</LinksUpToDate>
  <CharactersWithSpaces>22362</CharactersWithSpaces>
  <SharedDoc>false</SharedDoc>
  <HLinks>
    <vt:vector size="24" baseType="variant">
      <vt:variant>
        <vt:i4>7733301</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5898305</vt:i4>
      </vt:variant>
      <vt:variant>
        <vt:i4>0</vt:i4>
      </vt:variant>
      <vt:variant>
        <vt:i4>0</vt:i4>
      </vt:variant>
      <vt:variant>
        <vt:i4>5</vt:i4>
      </vt:variant>
      <vt:variant>
        <vt:lpwstr>https://www.colombiacompra.gov.co/normativa-y-relatoria/guias-y-manuales</vt:lpwstr>
      </vt:variant>
      <vt:variant>
        <vt:lpwstr/>
      </vt:variant>
      <vt:variant>
        <vt:i4>5636104</vt:i4>
      </vt:variant>
      <vt:variant>
        <vt:i4>0</vt:i4>
      </vt:variant>
      <vt:variant>
        <vt:i4>0</vt:i4>
      </vt:variant>
      <vt:variant>
        <vt:i4>5</vt:i4>
      </vt:variant>
      <vt:variant>
        <vt:lpwstr>https://www.banrep.gov.co/es/estadisticas/trm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2025-12-30T01:01:00Z</dcterms:created>
  <dcterms:modified xsi:type="dcterms:W3CDTF">2026-01-07T21:05:00Z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