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FD84E" w14:textId="77777777" w:rsidR="002B62E0" w:rsidRDefault="002B62E0" w:rsidP="002B62E0">
      <w:pPr>
        <w:spacing w:after="0" w:line="240" w:lineRule="auto"/>
        <w:jc w:val="both"/>
        <w:rPr>
          <w:rFonts w:ascii="Verdana" w:hAnsi="Verdana" w:cs="Arial"/>
          <w:b/>
          <w:color w:val="000000" w:themeColor="text1"/>
          <w:lang w:val="es-ES_tradnl"/>
        </w:rPr>
      </w:pPr>
      <w:bookmarkStart w:id="0" w:name="_Hlk143780582"/>
      <w:r w:rsidRPr="005D3A8E">
        <w:rPr>
          <w:rFonts w:ascii="Verdana" w:hAnsi="Verdana" w:cs="Arial"/>
          <w:b/>
          <w:color w:val="000000" w:themeColor="text1"/>
          <w:lang w:val="es-ES_tradnl"/>
        </w:rPr>
        <w:t>CONTRATO DE COMODATO – Régimen jurídico aplicable</w:t>
      </w:r>
    </w:p>
    <w:p w14:paraId="2C2A09BF" w14:textId="77777777" w:rsidR="002B62E0" w:rsidRPr="005D3A8E" w:rsidRDefault="002B62E0" w:rsidP="002B62E0">
      <w:pPr>
        <w:spacing w:after="0" w:line="240" w:lineRule="auto"/>
        <w:jc w:val="both"/>
        <w:rPr>
          <w:rFonts w:ascii="Verdana" w:hAnsi="Verdana" w:cs="Arial"/>
          <w:b/>
          <w:color w:val="000000" w:themeColor="text1"/>
          <w:lang w:val="es-ES_tradnl"/>
        </w:rPr>
      </w:pPr>
    </w:p>
    <w:p w14:paraId="63C49CF5" w14:textId="77777777" w:rsidR="002B62E0" w:rsidRDefault="002B62E0" w:rsidP="002B62E0">
      <w:pPr>
        <w:widowControl w:val="0"/>
        <w:autoSpaceDE w:val="0"/>
        <w:autoSpaceDN w:val="0"/>
        <w:spacing w:after="0" w:line="240" w:lineRule="auto"/>
        <w:jc w:val="both"/>
        <w:rPr>
          <w:rFonts w:ascii="Verdana" w:hAnsi="Verdana" w:cs="Arial"/>
          <w:color w:val="000000" w:themeColor="text1"/>
          <w:sz w:val="20"/>
          <w:szCs w:val="20"/>
        </w:rPr>
      </w:pPr>
      <w:r w:rsidRPr="00EC4045">
        <w:rPr>
          <w:rFonts w:ascii="Verdana" w:hAnsi="Verdana" w:cs="Arial"/>
          <w:color w:val="000000" w:themeColor="text1"/>
          <w:sz w:val="20"/>
          <w:szCs w:val="20"/>
        </w:rPr>
        <w:t xml:space="preserve">En síntesis, i) 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por un término máximo de cinco (5) años, renovables, de acuerdo con el artículo 38 de la Ley 9 de 1989; </w:t>
      </w:r>
      <w:proofErr w:type="spellStart"/>
      <w:r w:rsidRPr="00EC4045">
        <w:rPr>
          <w:rFonts w:ascii="Verdana" w:hAnsi="Verdana" w:cs="Arial"/>
          <w:color w:val="000000" w:themeColor="text1"/>
          <w:sz w:val="20"/>
          <w:szCs w:val="20"/>
        </w:rPr>
        <w:t>ii</w:t>
      </w:r>
      <w:proofErr w:type="spellEnd"/>
      <w:r w:rsidRPr="00EC4045">
        <w:rPr>
          <w:rFonts w:ascii="Verdana" w:hAnsi="Verdana" w:cs="Arial"/>
          <w:color w:val="000000" w:themeColor="text1"/>
          <w:sz w:val="20"/>
          <w:szCs w:val="20"/>
        </w:rPr>
        <w:t xml:space="preserve">) las entidades estatales pueden celebrar contratos de comodato de bienes muebles entre sí, de acuerdo con las reglas del Código Civil; </w:t>
      </w:r>
      <w:proofErr w:type="spellStart"/>
      <w:r w:rsidRPr="00EC4045">
        <w:rPr>
          <w:rFonts w:ascii="Verdana" w:hAnsi="Verdana" w:cs="Arial"/>
          <w:color w:val="000000" w:themeColor="text1"/>
          <w:sz w:val="20"/>
          <w:szCs w:val="20"/>
        </w:rPr>
        <w:t>iii</w:t>
      </w:r>
      <w:proofErr w:type="spellEnd"/>
      <w:r w:rsidRPr="00EC4045">
        <w:rPr>
          <w:rFonts w:ascii="Verdana" w:hAnsi="Verdana" w:cs="Arial"/>
          <w:color w:val="000000" w:themeColor="text1"/>
          <w:sz w:val="20"/>
          <w:szCs w:val="20"/>
        </w:rPr>
        <w:t xml:space="preserve">) en virtud del artículo 355 de la Constitución Política, las entidades estatales pueden entregar en comodato sus bienes muebles a entidades privadas sin ánimo de lucro, y el tiempo de duración del contrato estará sujeto en todo caso a la actividad misional de la respectiva entidad estatal de acuerdo con lo previsto en el artículo 96 de la Ley 489 de 1998 y; </w:t>
      </w:r>
      <w:proofErr w:type="spellStart"/>
      <w:r w:rsidRPr="00EC4045">
        <w:rPr>
          <w:rFonts w:ascii="Verdana" w:hAnsi="Verdana" w:cs="Arial"/>
          <w:color w:val="000000" w:themeColor="text1"/>
          <w:sz w:val="20"/>
          <w:szCs w:val="20"/>
        </w:rPr>
        <w:t>iv</w:t>
      </w:r>
      <w:proofErr w:type="spellEnd"/>
      <w:r w:rsidRPr="00EC4045">
        <w:rPr>
          <w:rFonts w:ascii="Verdana" w:hAnsi="Verdana" w:cs="Arial"/>
          <w:color w:val="000000" w:themeColor="text1"/>
          <w:sz w:val="20"/>
          <w:szCs w:val="20"/>
        </w:rPr>
        <w:t>) las entidades estatales pueden celebrar contratos de comodato con privados, actuando en calidad de comodatarias, caso en el cual no tienen restricción normativa para celebrar este tipo de contratos, con fundamento en la autonomía de la voluntad que establece el artículo 32 de la Ley 80 de 1993, sin perjuicio del cumplimiento de los principios constitucionales aplicables a la función administrativa y los de la contratación estatal. En estos eventos, sin perjuicio de las reglas especiales previstas en el EGCAP, el tipo contractual se rige por los artículos 2200 al 2220, dada la remisión expresa del artículo 13 de la Ley 80 de 1993 en cuanto al régimen aplicable a los contratos estatales.</w:t>
      </w:r>
    </w:p>
    <w:p w14:paraId="08C6422B" w14:textId="77777777" w:rsidR="002B62E0" w:rsidRPr="005D3A8E" w:rsidRDefault="002B62E0" w:rsidP="002B62E0">
      <w:pPr>
        <w:widowControl w:val="0"/>
        <w:autoSpaceDE w:val="0"/>
        <w:autoSpaceDN w:val="0"/>
        <w:spacing w:after="0" w:line="240" w:lineRule="auto"/>
        <w:jc w:val="both"/>
        <w:rPr>
          <w:rFonts w:ascii="Verdana" w:hAnsi="Verdana" w:cs="Arial"/>
          <w:b/>
          <w:color w:val="000000" w:themeColor="text1"/>
          <w:lang w:val="es-ES_tradnl"/>
        </w:rPr>
      </w:pPr>
    </w:p>
    <w:p w14:paraId="38E512F6" w14:textId="77777777" w:rsidR="002B62E0" w:rsidRDefault="002B62E0" w:rsidP="002B62E0">
      <w:pPr>
        <w:spacing w:after="0" w:line="240" w:lineRule="auto"/>
        <w:jc w:val="both"/>
        <w:rPr>
          <w:rFonts w:ascii="Verdana" w:hAnsi="Verdana" w:cs="Arial"/>
          <w:b/>
          <w:color w:val="000000" w:themeColor="text1"/>
          <w:lang w:val="es-ES_tradnl"/>
        </w:rPr>
      </w:pPr>
      <w:r w:rsidRPr="005D3A8E">
        <w:rPr>
          <w:rFonts w:ascii="Verdana" w:hAnsi="Verdana" w:cs="Arial"/>
          <w:b/>
          <w:color w:val="000000" w:themeColor="text1"/>
          <w:lang w:val="es-ES_tradnl"/>
        </w:rPr>
        <w:t xml:space="preserve">AUTORIZACIÓN CONCEJO MUNICIPAL – Procedencia – Regulación </w:t>
      </w:r>
    </w:p>
    <w:p w14:paraId="471528B4" w14:textId="77777777" w:rsidR="002B62E0" w:rsidRPr="005D3A8E" w:rsidRDefault="002B62E0" w:rsidP="002B62E0">
      <w:pPr>
        <w:spacing w:after="0" w:line="240" w:lineRule="auto"/>
        <w:jc w:val="both"/>
        <w:rPr>
          <w:rFonts w:ascii="Verdana" w:hAnsi="Verdana" w:cs="Arial"/>
          <w:b/>
          <w:color w:val="000000" w:themeColor="text1"/>
          <w:lang w:val="es-ES_tradnl"/>
        </w:rPr>
      </w:pPr>
    </w:p>
    <w:p w14:paraId="11C76A38" w14:textId="77777777" w:rsidR="002B62E0" w:rsidRDefault="002B62E0" w:rsidP="002B62E0">
      <w:pPr>
        <w:spacing w:after="0" w:line="240" w:lineRule="auto"/>
        <w:jc w:val="both"/>
        <w:rPr>
          <w:rFonts w:ascii="Verdana" w:eastAsia="Geomanist Light" w:hAnsi="Verdana" w:cs="Arial"/>
          <w:color w:val="000000" w:themeColor="text1"/>
          <w:lang w:val="es-MX"/>
        </w:rPr>
      </w:pPr>
      <w:r w:rsidRPr="00EC4045">
        <w:rPr>
          <w:rFonts w:ascii="Verdana" w:eastAsia="Geomanist Light" w:hAnsi="Verdana" w:cs="Arial"/>
          <w:color w:val="000000" w:themeColor="text1"/>
          <w:sz w:val="20"/>
          <w:szCs w:val="20"/>
          <w:lang w:val="es-MX"/>
        </w:rPr>
        <w:t>[…] La autorización previa por parte del concejo municipal tiene carácter excepcional, y únicamente aplica respecto de los casos señalados expresamente en el parágrafo 4º del artículo 32 de la Ley 136 de 1994, modificado por el artículo 18 de la Ley 1551 de 2012, y en los casos adicionales que haya establecido previa y expresamente el concejo municipal en ejercicio de la competencia otorgada por el numeral 3 del artículo 313 de la Constitución Política y el numeral 3 del artículo 32 de la Ley 136 de 1994</w:t>
      </w:r>
      <w:r w:rsidRPr="0046138D">
        <w:rPr>
          <w:rFonts w:ascii="Verdana" w:eastAsia="Geomanist Light" w:hAnsi="Verdana" w:cs="Arial"/>
          <w:color w:val="000000" w:themeColor="text1"/>
          <w:lang w:val="es-MX"/>
        </w:rPr>
        <w:t>.</w:t>
      </w:r>
    </w:p>
    <w:p w14:paraId="2A429E3E" w14:textId="77777777" w:rsidR="002B62E0" w:rsidRDefault="002B62E0" w:rsidP="002B62E0">
      <w:pPr>
        <w:spacing w:after="0" w:line="240" w:lineRule="auto"/>
        <w:rPr>
          <w:rFonts w:ascii="Verdana" w:eastAsia="Geomanist Light" w:hAnsi="Verdana" w:cs="Arial"/>
          <w:color w:val="000000" w:themeColor="text1"/>
          <w:lang w:val="es-MX"/>
        </w:rPr>
      </w:pPr>
    </w:p>
    <w:p w14:paraId="58BD7754" w14:textId="77777777" w:rsidR="002B62E0" w:rsidRDefault="002B62E0" w:rsidP="002B62E0">
      <w:pPr>
        <w:spacing w:after="0" w:line="240" w:lineRule="auto"/>
        <w:rPr>
          <w:rFonts w:ascii="Verdana" w:eastAsia="Geomanist Light" w:hAnsi="Verdana" w:cs="Arial"/>
          <w:color w:val="000000" w:themeColor="text1"/>
          <w:lang w:val="es-MX"/>
        </w:rPr>
      </w:pPr>
    </w:p>
    <w:p w14:paraId="7797C44D" w14:textId="77777777" w:rsidR="002B62E0" w:rsidRDefault="002B62E0" w:rsidP="002B62E0">
      <w:pPr>
        <w:spacing w:after="0" w:line="240" w:lineRule="auto"/>
        <w:rPr>
          <w:rFonts w:ascii="Verdana" w:eastAsia="Geomanist Light" w:hAnsi="Verdana" w:cs="Arial"/>
          <w:color w:val="000000" w:themeColor="text1"/>
          <w:lang w:val="es-MX"/>
        </w:rPr>
      </w:pPr>
    </w:p>
    <w:p w14:paraId="1452C8AB" w14:textId="77777777" w:rsidR="002B62E0" w:rsidRPr="00EC4045" w:rsidRDefault="002B62E0" w:rsidP="002B62E0">
      <w:pPr>
        <w:spacing w:after="0"/>
        <w:rPr>
          <w:rFonts w:ascii="Verdana" w:hAnsi="Verdana"/>
          <w:lang w:val="es-MX"/>
        </w:rPr>
      </w:pPr>
    </w:p>
    <w:p w14:paraId="46E903FD" w14:textId="77777777" w:rsidR="002B62E0" w:rsidRDefault="002B62E0" w:rsidP="002B62E0">
      <w:pPr>
        <w:spacing w:after="0"/>
        <w:rPr>
          <w:rFonts w:ascii="Verdana" w:hAnsi="Verdana"/>
        </w:rPr>
      </w:pPr>
    </w:p>
    <w:p w14:paraId="744ADFC4" w14:textId="77777777" w:rsidR="002B62E0" w:rsidRDefault="002B62E0" w:rsidP="002B62E0">
      <w:pPr>
        <w:spacing w:after="0"/>
        <w:rPr>
          <w:rFonts w:ascii="Verdana" w:hAnsi="Verdana"/>
        </w:rPr>
      </w:pPr>
    </w:p>
    <w:p w14:paraId="777760C1" w14:textId="77777777" w:rsidR="002B62E0" w:rsidRDefault="002B62E0" w:rsidP="002B62E0">
      <w:pPr>
        <w:spacing w:after="0"/>
        <w:rPr>
          <w:rFonts w:ascii="Verdana" w:hAnsi="Verdana"/>
        </w:rPr>
      </w:pPr>
    </w:p>
    <w:p w14:paraId="39C7C460" w14:textId="77777777" w:rsidR="002B62E0" w:rsidRDefault="002B62E0" w:rsidP="002B62E0">
      <w:pPr>
        <w:spacing w:after="0"/>
        <w:rPr>
          <w:rFonts w:ascii="Verdana" w:hAnsi="Verdana"/>
        </w:rPr>
      </w:pPr>
    </w:p>
    <w:p w14:paraId="3FC55EE2" w14:textId="77777777" w:rsidR="002B62E0" w:rsidRDefault="002B62E0" w:rsidP="002B62E0">
      <w:pPr>
        <w:spacing w:after="0"/>
        <w:rPr>
          <w:rFonts w:ascii="Verdana" w:hAnsi="Verdana"/>
        </w:rPr>
      </w:pPr>
    </w:p>
    <w:p w14:paraId="11D5CCEF" w14:textId="77777777" w:rsidR="002B62E0" w:rsidRDefault="002B62E0" w:rsidP="002B62E0">
      <w:pPr>
        <w:spacing w:after="0"/>
        <w:rPr>
          <w:rFonts w:ascii="Verdana" w:hAnsi="Verdana"/>
        </w:rPr>
      </w:pPr>
    </w:p>
    <w:p w14:paraId="5223B594" w14:textId="77777777" w:rsidR="002B62E0" w:rsidRDefault="002B62E0" w:rsidP="002B62E0">
      <w:pPr>
        <w:spacing w:after="0"/>
        <w:rPr>
          <w:rFonts w:ascii="Verdana" w:hAnsi="Verdana"/>
        </w:rPr>
      </w:pPr>
    </w:p>
    <w:p w14:paraId="3EF9D6EB" w14:textId="77777777" w:rsidR="002B62E0" w:rsidRDefault="002B62E0" w:rsidP="002B62E0">
      <w:pPr>
        <w:spacing w:after="0"/>
        <w:rPr>
          <w:rFonts w:ascii="Verdana" w:hAnsi="Verdana"/>
        </w:rPr>
      </w:pPr>
    </w:p>
    <w:p w14:paraId="11B6BB48" w14:textId="77777777" w:rsidR="002B62E0" w:rsidRDefault="002B62E0" w:rsidP="002B62E0">
      <w:pPr>
        <w:spacing w:after="0"/>
        <w:rPr>
          <w:rFonts w:ascii="Verdana" w:hAnsi="Verdana"/>
        </w:rPr>
      </w:pPr>
    </w:p>
    <w:p w14:paraId="2A3B7EB1" w14:textId="77777777" w:rsidR="002B62E0" w:rsidRDefault="002B62E0" w:rsidP="002B62E0">
      <w:pPr>
        <w:spacing w:after="0"/>
        <w:rPr>
          <w:rFonts w:ascii="Verdana" w:hAnsi="Verdana"/>
        </w:rPr>
      </w:pPr>
    </w:p>
    <w:bookmarkEnd w:id="0"/>
    <w:p w14:paraId="4778155B" w14:textId="2D2EAA25" w:rsidR="002B62E0" w:rsidRPr="00805E23" w:rsidRDefault="002B62E0" w:rsidP="002B62E0">
      <w:pPr>
        <w:spacing w:after="0" w:line="240" w:lineRule="auto"/>
        <w:contextualSpacing/>
        <w:jc w:val="both"/>
        <w:rPr>
          <w:rFonts w:ascii="Verdana" w:eastAsia="Times New Roman" w:hAnsi="Verdana" w:cs="Arial"/>
          <w:lang w:eastAsia="es-ES"/>
        </w:rPr>
      </w:pPr>
      <w:r w:rsidRPr="00805E23">
        <w:rPr>
          <w:rFonts w:ascii="Verdana" w:hAnsi="Verdana"/>
        </w:rPr>
        <w:lastRenderedPageBreak/>
        <w:t xml:space="preserve">Bogotá D.C., </w:t>
      </w:r>
      <w:r w:rsidR="00805E23" w:rsidRPr="00805E23">
        <w:rPr>
          <w:rFonts w:ascii="Verdana" w:hAnsi="Verdana"/>
        </w:rPr>
        <w:t>8 de en</w:t>
      </w:r>
      <w:r w:rsidR="00805E23">
        <w:rPr>
          <w:rFonts w:ascii="Verdana" w:hAnsi="Verdana"/>
        </w:rPr>
        <w:t>ero de 2026</w:t>
      </w:r>
    </w:p>
    <w:p w14:paraId="64D821B8" w14:textId="77777777" w:rsidR="002B62E0" w:rsidRPr="00805E23" w:rsidRDefault="002B62E0" w:rsidP="002B62E0">
      <w:pPr>
        <w:spacing w:after="0" w:line="240" w:lineRule="auto"/>
        <w:jc w:val="right"/>
        <w:rPr>
          <w:rFonts w:ascii="Verdana" w:hAnsi="Verdana" w:cs="Arial"/>
          <w:color w:val="000000"/>
        </w:rPr>
      </w:pPr>
    </w:p>
    <w:p w14:paraId="52926BA1" w14:textId="2F532E2A" w:rsidR="002B62E0" w:rsidRDefault="00805E23" w:rsidP="00805E23">
      <w:pPr>
        <w:spacing w:after="0" w:line="240" w:lineRule="auto"/>
        <w:jc w:val="right"/>
        <w:rPr>
          <w:rFonts w:ascii="Verdana" w:hAnsi="Verdana" w:cs="Arial"/>
          <w:lang w:eastAsia="es-ES"/>
        </w:rPr>
      </w:pPr>
      <w:r w:rsidRPr="00805E23">
        <w:rPr>
          <w:rFonts w:ascii="Verdana" w:hAnsi="Verdana" w:cs="Arial"/>
          <w:noProof/>
          <w:lang w:eastAsia="es-ES"/>
        </w:rPr>
        <w:drawing>
          <wp:inline distT="0" distB="0" distL="0" distR="0" wp14:anchorId="251EC8E4" wp14:editId="44466768">
            <wp:extent cx="3460932" cy="987607"/>
            <wp:effectExtent l="0" t="0" r="6350" b="3175"/>
            <wp:docPr id="1525438860" name="Imagen 1" descr="Interfaz de usuario gráfica, Texto, Aplicación, Chat o mensaje d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438860" name="Imagen 1" descr="Interfaz de usuario gráfica, Texto, Aplicación, Chat o mensaje de texto&#10;&#10;El contenido generado por IA puede ser incorrecto."/>
                    <pic:cNvPicPr/>
                  </pic:nvPicPr>
                  <pic:blipFill>
                    <a:blip r:embed="rId10"/>
                    <a:stretch>
                      <a:fillRect/>
                    </a:stretch>
                  </pic:blipFill>
                  <pic:spPr>
                    <a:xfrm>
                      <a:off x="0" y="0"/>
                      <a:ext cx="3470998" cy="990480"/>
                    </a:xfrm>
                    <a:prstGeom prst="rect">
                      <a:avLst/>
                    </a:prstGeom>
                  </pic:spPr>
                </pic:pic>
              </a:graphicData>
            </a:graphic>
          </wp:inline>
        </w:drawing>
      </w:r>
    </w:p>
    <w:p w14:paraId="5637ECE2" w14:textId="77777777" w:rsidR="002B62E0" w:rsidRPr="00A869FE" w:rsidRDefault="002B62E0" w:rsidP="002B62E0">
      <w:pPr>
        <w:spacing w:after="0" w:line="240" w:lineRule="auto"/>
        <w:jc w:val="both"/>
        <w:rPr>
          <w:rFonts w:ascii="Verdana" w:hAnsi="Verdana" w:cs="Arial"/>
          <w:lang w:eastAsia="es-ES"/>
        </w:rPr>
      </w:pPr>
      <w:r>
        <w:rPr>
          <w:rFonts w:ascii="Verdana" w:hAnsi="Verdana" w:cs="Arial"/>
          <w:lang w:eastAsia="es-ES"/>
        </w:rPr>
        <w:t xml:space="preserve">Señor </w:t>
      </w:r>
    </w:p>
    <w:p w14:paraId="3A877B6F" w14:textId="77777777" w:rsidR="002B62E0" w:rsidRDefault="002B62E0" w:rsidP="002B62E0">
      <w:pPr>
        <w:spacing w:after="0" w:line="240" w:lineRule="auto"/>
        <w:jc w:val="both"/>
        <w:rPr>
          <w:rFonts w:ascii="Verdana" w:hAnsi="Verdana" w:cs="Arial"/>
          <w:b/>
          <w:bCs/>
          <w:lang w:eastAsia="es-ES"/>
        </w:rPr>
      </w:pPr>
      <w:r w:rsidRPr="00323209">
        <w:rPr>
          <w:rFonts w:ascii="Verdana" w:hAnsi="Verdana" w:cs="Arial"/>
          <w:b/>
          <w:bCs/>
          <w:lang w:eastAsia="es-ES"/>
        </w:rPr>
        <w:t xml:space="preserve">Michael Steven Acero Parra </w:t>
      </w:r>
    </w:p>
    <w:p w14:paraId="7A972949" w14:textId="77777777" w:rsidR="002B62E0" w:rsidRPr="004D381C" w:rsidRDefault="002B62E0" w:rsidP="002B62E0">
      <w:pPr>
        <w:spacing w:after="0" w:line="240" w:lineRule="auto"/>
        <w:jc w:val="both"/>
        <w:rPr>
          <w:rFonts w:ascii="Verdana" w:hAnsi="Verdana" w:cs="Arial"/>
          <w:lang w:eastAsia="es-ES"/>
        </w:rPr>
      </w:pPr>
      <w:hyperlink r:id="rId11" w:history="1">
        <w:r w:rsidRPr="00F64BEA">
          <w:rPr>
            <w:rStyle w:val="Hipervnculo"/>
            <w:rFonts w:ascii="Verdana" w:hAnsi="Verdana" w:cs="Arial"/>
            <w:lang w:eastAsia="es-ES"/>
          </w:rPr>
          <w:t>s.administrativa@sanvicentedelcaguan-caqueta.gov.co</w:t>
        </w:r>
      </w:hyperlink>
      <w:r>
        <w:rPr>
          <w:rFonts w:ascii="Verdana" w:hAnsi="Verdana" w:cs="Arial"/>
          <w:lang w:eastAsia="es-ES"/>
        </w:rPr>
        <w:t xml:space="preserve">  </w:t>
      </w:r>
      <w:r w:rsidRPr="00DE5486">
        <w:rPr>
          <w:rFonts w:ascii="Verdana" w:hAnsi="Verdana" w:cs="Arial"/>
          <w:lang w:eastAsia="es-ES"/>
        </w:rPr>
        <w:t xml:space="preserve"> </w:t>
      </w:r>
      <w:r w:rsidRPr="004D381C">
        <w:rPr>
          <w:rFonts w:ascii="Verdana" w:hAnsi="Verdana" w:cs="Arial"/>
          <w:lang w:eastAsia="es-ES"/>
        </w:rPr>
        <w:t xml:space="preserve"> </w:t>
      </w:r>
    </w:p>
    <w:p w14:paraId="1417DF2A" w14:textId="77777777" w:rsidR="002B62E0" w:rsidRPr="00C56C01" w:rsidRDefault="002B62E0" w:rsidP="002B62E0">
      <w:pPr>
        <w:spacing w:after="0" w:line="240" w:lineRule="auto"/>
        <w:jc w:val="both"/>
        <w:rPr>
          <w:rFonts w:ascii="Verdana" w:hAnsi="Verdana" w:cs="Arial"/>
          <w:lang w:eastAsia="es-ES"/>
        </w:rPr>
      </w:pPr>
      <w:r w:rsidRPr="00C56C01">
        <w:rPr>
          <w:rFonts w:ascii="Verdana" w:hAnsi="Verdana" w:cs="Arial"/>
          <w:lang w:eastAsia="es-ES"/>
        </w:rPr>
        <w:t>San Vicente Del Caguán, Caquetá</w:t>
      </w:r>
    </w:p>
    <w:p w14:paraId="72D91BA8" w14:textId="77777777" w:rsidR="002B62E0" w:rsidRPr="00C56C01" w:rsidRDefault="002B62E0" w:rsidP="002B62E0">
      <w:pPr>
        <w:spacing w:after="0" w:line="240" w:lineRule="auto"/>
        <w:rPr>
          <w:rFonts w:ascii="Verdana" w:hAnsi="Verdana" w:cs="Arial"/>
          <w:b/>
          <w:bCs/>
          <w:color w:val="000000"/>
          <w:lang w:eastAsia="es-ES_tradnl"/>
        </w:rPr>
      </w:pPr>
    </w:p>
    <w:p w14:paraId="0E06EE3A" w14:textId="77777777" w:rsidR="002B62E0" w:rsidRPr="00C56C01" w:rsidRDefault="002B62E0" w:rsidP="002B62E0">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2B62E0" w:rsidRPr="00A869FE" w14:paraId="5E1472DA" w14:textId="77777777" w:rsidTr="00093697">
        <w:trPr>
          <w:trHeight w:val="633"/>
        </w:trPr>
        <w:tc>
          <w:tcPr>
            <w:tcW w:w="2689" w:type="dxa"/>
          </w:tcPr>
          <w:p w14:paraId="3AEDD3A7" w14:textId="77777777" w:rsidR="002B62E0" w:rsidRPr="00C56C01" w:rsidRDefault="002B62E0" w:rsidP="00093697">
            <w:pPr>
              <w:jc w:val="both"/>
              <w:rPr>
                <w:rFonts w:ascii="Verdana" w:hAnsi="Verdana" w:cs="Arial"/>
                <w:b/>
                <w:bCs/>
                <w:color w:val="7030A0"/>
                <w:lang w:eastAsia="es-ES_tradnl"/>
              </w:rPr>
            </w:pPr>
          </w:p>
        </w:tc>
        <w:tc>
          <w:tcPr>
            <w:tcW w:w="6100" w:type="dxa"/>
          </w:tcPr>
          <w:p w14:paraId="50DD8A6E" w14:textId="77777777" w:rsidR="002B62E0" w:rsidRPr="00A869FE" w:rsidRDefault="002B62E0" w:rsidP="00093697">
            <w:pPr>
              <w:jc w:val="both"/>
              <w:rPr>
                <w:rFonts w:ascii="Verdana" w:hAnsi="Verdana" w:cs="Arial"/>
                <w:b/>
                <w:bCs/>
                <w:color w:val="7030A0"/>
                <w:lang w:eastAsia="es-ES"/>
              </w:rPr>
            </w:pPr>
            <w:r w:rsidRPr="00A869FE">
              <w:rPr>
                <w:rFonts w:ascii="Verdana" w:hAnsi="Verdana" w:cs="Arial"/>
                <w:b/>
                <w:bCs/>
                <w:lang w:eastAsia="es-ES"/>
              </w:rPr>
              <w:t>Concepto C – 1</w:t>
            </w:r>
            <w:r>
              <w:rPr>
                <w:rFonts w:ascii="Verdana" w:hAnsi="Verdana" w:cs="Arial"/>
                <w:b/>
                <w:bCs/>
                <w:lang w:eastAsia="es-ES"/>
              </w:rPr>
              <w:t>783</w:t>
            </w:r>
            <w:r w:rsidRPr="00A869FE">
              <w:rPr>
                <w:rFonts w:ascii="Verdana" w:hAnsi="Verdana" w:cs="Arial"/>
                <w:b/>
                <w:bCs/>
                <w:lang w:eastAsia="es-ES"/>
              </w:rPr>
              <w:t xml:space="preserve"> de 2025</w:t>
            </w:r>
          </w:p>
        </w:tc>
      </w:tr>
      <w:tr w:rsidR="002B62E0" w:rsidRPr="00A869FE" w14:paraId="2A760D39" w14:textId="77777777" w:rsidTr="00093697">
        <w:trPr>
          <w:trHeight w:val="884"/>
        </w:trPr>
        <w:tc>
          <w:tcPr>
            <w:tcW w:w="2689" w:type="dxa"/>
          </w:tcPr>
          <w:p w14:paraId="51870DAE" w14:textId="77777777" w:rsidR="002B62E0" w:rsidRPr="00A869FE" w:rsidRDefault="002B62E0" w:rsidP="00093697">
            <w:pPr>
              <w:jc w:val="both"/>
              <w:rPr>
                <w:rFonts w:ascii="Verdana" w:hAnsi="Verdana" w:cs="Arial"/>
                <w:color w:val="000000"/>
                <w:lang w:eastAsia="es-ES_tradnl"/>
              </w:rPr>
            </w:pPr>
            <w:r w:rsidRPr="00A869FE">
              <w:rPr>
                <w:rFonts w:ascii="Verdana" w:hAnsi="Verdana" w:cs="Arial"/>
                <w:b/>
                <w:color w:val="000000"/>
                <w:lang w:eastAsia="es-ES_tradnl"/>
              </w:rPr>
              <w:t>Temas:</w:t>
            </w:r>
            <w:r w:rsidRPr="00A869FE">
              <w:rPr>
                <w:rFonts w:ascii="Verdana" w:hAnsi="Verdana" w:cs="Arial"/>
                <w:color w:val="000000"/>
                <w:lang w:eastAsia="es-ES_tradnl"/>
              </w:rPr>
              <w:t xml:space="preserve">                   </w:t>
            </w:r>
          </w:p>
        </w:tc>
        <w:tc>
          <w:tcPr>
            <w:tcW w:w="6100" w:type="dxa"/>
          </w:tcPr>
          <w:p w14:paraId="4524A90C" w14:textId="77777777" w:rsidR="002B62E0" w:rsidRPr="00F547A0" w:rsidRDefault="002B62E0" w:rsidP="00093697">
            <w:pPr>
              <w:jc w:val="both"/>
              <w:rPr>
                <w:lang w:val="es-ES_tradnl"/>
              </w:rPr>
            </w:pPr>
            <w:r w:rsidRPr="00F547A0">
              <w:rPr>
                <w:rFonts w:ascii="Verdana" w:eastAsia="Calibri" w:hAnsi="Verdana" w:cs="Arial"/>
                <w:lang w:val="es-ES" w:eastAsia="es-ES"/>
              </w:rPr>
              <w:t>CONTRATO DE COMODATO – Régimen jurídico aplicable / AUTORIZACIÓN CONCEJO MUNICIPAL – Procedencia – Regulación</w:t>
            </w:r>
          </w:p>
        </w:tc>
      </w:tr>
      <w:tr w:rsidR="002B62E0" w:rsidRPr="00A869FE" w14:paraId="440BAF4C" w14:textId="77777777" w:rsidTr="00093697">
        <w:tc>
          <w:tcPr>
            <w:tcW w:w="2689" w:type="dxa"/>
          </w:tcPr>
          <w:p w14:paraId="0DE611B6" w14:textId="77777777" w:rsidR="002B62E0" w:rsidRPr="00A869FE" w:rsidRDefault="002B62E0" w:rsidP="00093697">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4E4229F7" w14:textId="77777777" w:rsidR="002B62E0" w:rsidRPr="0087731B" w:rsidRDefault="002B62E0" w:rsidP="00093697">
            <w:pPr>
              <w:spacing w:line="276" w:lineRule="auto"/>
              <w:jc w:val="both"/>
              <w:rPr>
                <w:rFonts w:ascii="Verdana" w:hAnsi="Verdana" w:cs="Arial"/>
                <w:lang w:eastAsia="es-ES_tradnl"/>
              </w:rPr>
            </w:pPr>
            <w:r w:rsidRPr="00A869FE">
              <w:rPr>
                <w:rFonts w:ascii="Verdana" w:hAnsi="Verdana" w:cs="Arial"/>
                <w:lang w:eastAsia="es-ES_tradnl"/>
              </w:rPr>
              <w:t xml:space="preserve">Respuesta a la consulta con radicado No. </w:t>
            </w:r>
            <w:r w:rsidRPr="0032693F">
              <w:rPr>
                <w:rFonts w:ascii="Verdana" w:hAnsi="Verdana" w:cs="Arial"/>
                <w:lang w:eastAsia="es-ES_tradnl"/>
              </w:rPr>
              <w:t>1_2025_12_02_013587</w:t>
            </w:r>
          </w:p>
          <w:p w14:paraId="5B50C112" w14:textId="77777777" w:rsidR="002B62E0" w:rsidRPr="00A869FE" w:rsidRDefault="002B62E0" w:rsidP="00093697">
            <w:pPr>
              <w:spacing w:line="276" w:lineRule="auto"/>
              <w:jc w:val="both"/>
              <w:rPr>
                <w:rFonts w:ascii="Verdana" w:hAnsi="Verdana" w:cs="Arial"/>
                <w:lang w:eastAsia="es-ES_tradnl"/>
              </w:rPr>
            </w:pPr>
          </w:p>
        </w:tc>
      </w:tr>
    </w:tbl>
    <w:p w14:paraId="0F50D5B2" w14:textId="77777777" w:rsidR="002B62E0" w:rsidRPr="00A869FE" w:rsidRDefault="002B62E0" w:rsidP="002B62E0">
      <w:pPr>
        <w:spacing w:after="0" w:line="240" w:lineRule="auto"/>
        <w:jc w:val="both"/>
        <w:rPr>
          <w:rFonts w:ascii="Verdana" w:hAnsi="Verdana" w:cs="Arial"/>
          <w:color w:val="000000"/>
          <w:lang w:eastAsia="es-ES_tradnl"/>
        </w:rPr>
      </w:pPr>
    </w:p>
    <w:p w14:paraId="2B22D466" w14:textId="77777777" w:rsidR="002B62E0" w:rsidRPr="00A869FE" w:rsidRDefault="002B62E0" w:rsidP="002B62E0">
      <w:pPr>
        <w:spacing w:after="0" w:line="276" w:lineRule="auto"/>
        <w:jc w:val="both"/>
        <w:rPr>
          <w:rFonts w:ascii="Verdana" w:hAnsi="Verdana" w:cs="Arial"/>
          <w:lang w:eastAsia="es-ES"/>
        </w:rPr>
      </w:pPr>
      <w:r w:rsidRPr="00A869FE">
        <w:rPr>
          <w:rFonts w:ascii="Verdana" w:hAnsi="Verdana" w:cs="Arial"/>
          <w:lang w:eastAsia="es-ES"/>
        </w:rPr>
        <w:t>Estimad</w:t>
      </w:r>
      <w:r>
        <w:rPr>
          <w:rFonts w:ascii="Verdana" w:hAnsi="Verdana" w:cs="Arial"/>
          <w:lang w:eastAsia="es-ES"/>
        </w:rPr>
        <w:t xml:space="preserve">o señor </w:t>
      </w:r>
      <w:r w:rsidRPr="002C029B">
        <w:rPr>
          <w:rFonts w:ascii="Verdana" w:hAnsi="Verdana" w:cs="Arial"/>
          <w:lang w:eastAsia="es-ES"/>
        </w:rPr>
        <w:t>Acero Parra</w:t>
      </w:r>
      <w:r w:rsidRPr="00A869FE">
        <w:rPr>
          <w:rFonts w:ascii="Verdana" w:hAnsi="Verdana" w:cs="Arial"/>
          <w:lang w:eastAsia="es-ES"/>
        </w:rPr>
        <w:t>:</w:t>
      </w:r>
    </w:p>
    <w:p w14:paraId="723B1283" w14:textId="77777777" w:rsidR="002B62E0" w:rsidRDefault="002B62E0" w:rsidP="002B62E0">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F42140A" w14:textId="77777777" w:rsidR="002B62E0" w:rsidRDefault="002B62E0" w:rsidP="002B62E0">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radicada el 2 diciembre de 2025, en la cual manifiesta lo siguiente: </w:t>
      </w:r>
    </w:p>
    <w:p w14:paraId="0507A591" w14:textId="77777777" w:rsidR="002B62E0" w:rsidRDefault="002B62E0" w:rsidP="002B62E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1676EAA" w14:textId="77777777" w:rsidR="002B62E0" w:rsidRDefault="002B62E0" w:rsidP="002B62E0">
      <w:pPr>
        <w:autoSpaceDE w:val="0"/>
        <w:autoSpaceDN w:val="0"/>
        <w:adjustRightInd w:val="0"/>
        <w:spacing w:after="0" w:line="240" w:lineRule="auto"/>
        <w:ind w:left="709" w:right="709"/>
        <w:jc w:val="both"/>
        <w:rPr>
          <w:rFonts w:ascii="Verdana" w:hAnsi="Verdana" w:cs="ArialMT"/>
          <w:sz w:val="20"/>
          <w:szCs w:val="20"/>
        </w:rPr>
      </w:pPr>
      <w:r>
        <w:rPr>
          <w:rFonts w:ascii="Verdana" w:hAnsi="Verdana" w:cs="ArialMT"/>
          <w:sz w:val="20"/>
          <w:szCs w:val="20"/>
        </w:rPr>
        <w:t>“</w:t>
      </w:r>
      <w:r w:rsidRPr="00283542">
        <w:rPr>
          <w:rFonts w:ascii="Verdana" w:hAnsi="Verdana" w:cs="ArialMT"/>
          <w:sz w:val="20"/>
          <w:szCs w:val="20"/>
        </w:rPr>
        <w:t>¿si un municipio va a realizar un comodato de un bien inmueble que son oficinas, parqueadero a una empresa de economía mixta y de bienes muebles como planta y transformadores a una junta de acción comunal es necesario pedir permiso al concejo municipal?</w:t>
      </w:r>
      <w:r>
        <w:rPr>
          <w:rFonts w:ascii="Verdana" w:hAnsi="Verdana" w:cs="ArialMT"/>
          <w:sz w:val="20"/>
          <w:szCs w:val="20"/>
        </w:rPr>
        <w:t>”</w:t>
      </w:r>
    </w:p>
    <w:p w14:paraId="480D3212" w14:textId="77777777" w:rsidR="002B62E0" w:rsidRPr="00924340" w:rsidRDefault="002B62E0" w:rsidP="002B62E0">
      <w:pPr>
        <w:autoSpaceDE w:val="0"/>
        <w:autoSpaceDN w:val="0"/>
        <w:adjustRightInd w:val="0"/>
        <w:spacing w:after="0" w:line="276" w:lineRule="auto"/>
        <w:ind w:left="851" w:right="616"/>
        <w:jc w:val="both"/>
        <w:rPr>
          <w:rFonts w:ascii="Verdana" w:eastAsia="Century Gothic" w:hAnsi="Verdana" w:cs="Century Gothic"/>
          <w:b/>
        </w:rPr>
      </w:pPr>
    </w:p>
    <w:p w14:paraId="3D46ACDD" w14:textId="77777777" w:rsidR="002B62E0" w:rsidRDefault="002B62E0" w:rsidP="002B62E0">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Pr>
          <w:rFonts w:ascii="Verdana" w:eastAsia="Calibri" w:hAnsi="Verdana" w:cs="Arial"/>
          <w:color w:val="000000"/>
          <w:lang w:val="es-ES"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5B626955" w14:textId="77777777" w:rsidR="002B62E0" w:rsidRDefault="002B62E0" w:rsidP="002B62E0">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696FD3EB" w14:textId="77777777" w:rsidR="002B62E0" w:rsidRDefault="002B62E0" w:rsidP="002B62E0">
      <w:pPr>
        <w:spacing w:after="0" w:line="276" w:lineRule="auto"/>
        <w:ind w:firstLine="709"/>
        <w:jc w:val="both"/>
        <w:rPr>
          <w:rFonts w:ascii="Verdana" w:eastAsia="Calibri" w:hAnsi="Verdana" w:cs="Arial"/>
          <w:color w:val="000000"/>
          <w:lang w:val="es-ES" w:eastAsia="es-ES"/>
        </w:rPr>
      </w:pPr>
    </w:p>
    <w:p w14:paraId="0221C9BF" w14:textId="77777777" w:rsidR="002B62E0" w:rsidRDefault="002B62E0" w:rsidP="002B62E0">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65456306" w14:textId="77777777" w:rsidR="002B62E0" w:rsidRDefault="002B62E0" w:rsidP="002B62E0">
      <w:pPr>
        <w:tabs>
          <w:tab w:val="left" w:pos="426"/>
        </w:tabs>
        <w:spacing w:after="0" w:line="276" w:lineRule="auto"/>
        <w:jc w:val="both"/>
        <w:rPr>
          <w:rFonts w:ascii="Verdana" w:eastAsia="Century Gothic" w:hAnsi="Verdana" w:cs="Century Gothic"/>
          <w:lang w:val="es-ES"/>
        </w:rPr>
      </w:pPr>
    </w:p>
    <w:p w14:paraId="31F4D7B1" w14:textId="77777777" w:rsidR="002B62E0" w:rsidRDefault="002B62E0" w:rsidP="002B62E0">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¿Se requiere la autorización del concejo municipal para la celebración de un contrato de comodato por parte de la alcaldía municipal? En otras palabras </w:t>
      </w:r>
      <w:r w:rsidRPr="007524C4">
        <w:rPr>
          <w:rFonts w:ascii="Verdana" w:eastAsia="Century Gothic" w:hAnsi="Verdana" w:cs="Century Gothic"/>
        </w:rPr>
        <w:t>¿Cuál es el alcance de la autorización del concejo municipal para la celebración de contratos estatales de la administración municipal?</w:t>
      </w:r>
    </w:p>
    <w:p w14:paraId="19036B1C" w14:textId="77777777" w:rsidR="002B62E0" w:rsidRDefault="002B62E0" w:rsidP="002B62E0">
      <w:pPr>
        <w:spacing w:after="0" w:line="276" w:lineRule="auto"/>
        <w:jc w:val="both"/>
        <w:rPr>
          <w:rFonts w:ascii="Verdana" w:eastAsia="Calibri" w:hAnsi="Verdana" w:cs="Arial"/>
          <w:color w:val="7030A0"/>
          <w:lang w:val="es-ES"/>
        </w:rPr>
      </w:pPr>
    </w:p>
    <w:p w14:paraId="3330C16D" w14:textId="77777777" w:rsidR="002B62E0" w:rsidRDefault="002B62E0" w:rsidP="002B62E0">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70794B89" w14:textId="77777777" w:rsidR="002B62E0" w:rsidRDefault="002B62E0" w:rsidP="002B62E0">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B62E0" w14:paraId="778B7C44" w14:textId="77777777" w:rsidTr="00093697">
        <w:tc>
          <w:tcPr>
            <w:tcW w:w="8828" w:type="dxa"/>
            <w:tcBorders>
              <w:top w:val="dotted" w:sz="4" w:space="0" w:color="auto"/>
              <w:left w:val="dotted" w:sz="4" w:space="0" w:color="auto"/>
              <w:bottom w:val="dotted" w:sz="4" w:space="0" w:color="auto"/>
              <w:right w:val="dotted" w:sz="4" w:space="0" w:color="auto"/>
            </w:tcBorders>
          </w:tcPr>
          <w:p w14:paraId="7853B7E8" w14:textId="77777777" w:rsidR="002B62E0" w:rsidRPr="004D251D" w:rsidRDefault="002B62E0" w:rsidP="00093697">
            <w:pPr>
              <w:widowControl w:val="0"/>
              <w:autoSpaceDE w:val="0"/>
              <w:autoSpaceDN w:val="0"/>
              <w:spacing w:after="120" w:line="276" w:lineRule="auto"/>
              <w:jc w:val="both"/>
              <w:rPr>
                <w:rFonts w:ascii="Verdana" w:eastAsia="Arial" w:hAnsi="Verdana" w:cs="Arial"/>
                <w:lang w:val="es-ES" w:eastAsia="es-ES" w:bidi="es-ES"/>
              </w:rPr>
            </w:pPr>
            <w:r w:rsidRPr="004D251D">
              <w:rPr>
                <w:rFonts w:ascii="Verdana" w:eastAsia="Arial" w:hAnsi="Verdana" w:cs="Arial"/>
                <w:lang w:val="es-ES" w:eastAsia="es-ES" w:bidi="es-ES"/>
              </w:rPr>
              <w:t xml:space="preserve">Conforme la normativa y jurisprudencia expuesta en este concepto, se concluye que son dos los supuestos que obligan a los alcaldes a contar con una autorización de sus respectivos concejos municipales, a saber: i) cuando así lo disponga el acuerdo que expida el consejo municipal, en virtud de lo previsto en el artículo 32 de la Ley 136 de 1994 y </w:t>
            </w:r>
            <w:proofErr w:type="spellStart"/>
            <w:r w:rsidRPr="004D251D">
              <w:rPr>
                <w:rFonts w:ascii="Verdana" w:eastAsia="Arial" w:hAnsi="Verdana" w:cs="Arial"/>
                <w:lang w:val="es-ES" w:eastAsia="es-ES" w:bidi="es-ES"/>
              </w:rPr>
              <w:t>ii</w:t>
            </w:r>
            <w:proofErr w:type="spellEnd"/>
            <w:r w:rsidRPr="004D251D">
              <w:rPr>
                <w:rFonts w:ascii="Verdana" w:eastAsia="Arial" w:hAnsi="Verdana" w:cs="Arial"/>
                <w:lang w:val="es-ES" w:eastAsia="es-ES" w:bidi="es-ES"/>
              </w:rPr>
              <w:t>) en los eventos en que la ley lo imponga, como en los casos señalados en el parágrafo del citado artículo, que comprende la contratación de empréstitos, la enajenación y compraventa de inmuebles,</w:t>
            </w:r>
            <w:r w:rsidRPr="004D251D">
              <w:rPr>
                <w:rFonts w:ascii="Verdana" w:eastAsia="Arial" w:hAnsi="Verdana" w:cs="Arial"/>
                <w:spacing w:val="-5"/>
                <w:lang w:val="es-ES" w:eastAsia="es-ES" w:bidi="es-ES"/>
              </w:rPr>
              <w:t xml:space="preserve"> </w:t>
            </w:r>
            <w:r w:rsidRPr="004D251D">
              <w:rPr>
                <w:rFonts w:ascii="Verdana" w:eastAsia="Arial" w:hAnsi="Verdana" w:cs="Arial"/>
                <w:lang w:val="es-ES" w:eastAsia="es-ES" w:bidi="es-ES"/>
              </w:rPr>
              <w:t>etc.</w:t>
            </w:r>
          </w:p>
          <w:p w14:paraId="3EC34A46" w14:textId="77777777" w:rsidR="002B62E0" w:rsidRPr="00597009" w:rsidRDefault="002B62E0" w:rsidP="00093697">
            <w:pPr>
              <w:pStyle w:val="Textoindependiente"/>
              <w:ind w:firstLine="709"/>
              <w:jc w:val="both"/>
              <w:rPr>
                <w:rFonts w:ascii="Verdana" w:hAnsi="Verdana"/>
              </w:rPr>
            </w:pPr>
            <w:r w:rsidRPr="004D251D">
              <w:rPr>
                <w:rFonts w:ascii="Verdana" w:hAnsi="Verdana" w:cs="Arial"/>
                <w:color w:val="000000" w:themeColor="text1"/>
              </w:rPr>
              <w:t>Conforme a lo anterior</w:t>
            </w:r>
            <w:r w:rsidRPr="007C4BB0">
              <w:rPr>
                <w:rFonts w:ascii="Verdana" w:hAnsi="Verdana" w:cs="Arial"/>
                <w:color w:val="000000" w:themeColor="text1"/>
              </w:rPr>
              <w:t xml:space="preserve">, </w:t>
            </w:r>
            <w:r w:rsidRPr="007C4BB0">
              <w:rPr>
                <w:rFonts w:ascii="Verdana" w:hAnsi="Verdana" w:cs="Arial"/>
              </w:rPr>
              <w:t xml:space="preserve">el artículo 32 de la Ley 136 de 1994, modificado por el artículo 18 de la Ley 1551 de 2012, establece </w:t>
            </w:r>
            <w:r w:rsidRPr="004D251D">
              <w:rPr>
                <w:rFonts w:ascii="Verdana" w:hAnsi="Verdana" w:cs="Arial"/>
              </w:rPr>
              <w:t xml:space="preserve">que, </w:t>
            </w:r>
            <w:r w:rsidRPr="00846E41">
              <w:rPr>
                <w:rFonts w:ascii="Verdana" w:hAnsi="Verdana"/>
              </w:rPr>
              <w:t xml:space="preserve">además de las funciones que se le señalan en la Constitución y la ley, </w:t>
            </w:r>
            <w:proofErr w:type="gramStart"/>
            <w:r w:rsidRPr="00846E41">
              <w:rPr>
                <w:rFonts w:ascii="Verdana" w:hAnsi="Verdana"/>
              </w:rPr>
              <w:t>le</w:t>
            </w:r>
            <w:proofErr w:type="gramEnd"/>
            <w:r w:rsidRPr="00846E41">
              <w:rPr>
                <w:rFonts w:ascii="Verdana" w:hAnsi="Verdana"/>
              </w:rPr>
              <w:t xml:space="preserve"> corresponde a los concejos reglamentar la autorización al alcalde para contratar, señalando los casos en que requiere autorización previa del Concejo. Así mismo, el parágrafo 4°, de conformidad con el numeral 3 del artículo 313 de la Constitución Política, dispone que el Concejo Municipal o Distrital deberá decidir sobre la </w:t>
            </w:r>
            <w:r w:rsidRPr="00846E41">
              <w:rPr>
                <w:rFonts w:ascii="Verdana" w:hAnsi="Verdana"/>
              </w:rPr>
              <w:lastRenderedPageBreak/>
              <w:t>autorización al alcalde para contratar en los siguientes casos:</w:t>
            </w:r>
            <w:r w:rsidRPr="00846E41">
              <w:rPr>
                <w:rFonts w:ascii="Verdana" w:hAnsi="Verdana" w:cs="Arial"/>
              </w:rPr>
              <w:t xml:space="preserve"> 1. Contratación de</w:t>
            </w:r>
            <w:r w:rsidRPr="00846E41">
              <w:rPr>
                <w:rFonts w:ascii="Verdana" w:hAnsi="Verdana" w:cs="Arial"/>
                <w:spacing w:val="-5"/>
              </w:rPr>
              <w:t xml:space="preserve"> </w:t>
            </w:r>
            <w:r w:rsidRPr="00846E41">
              <w:rPr>
                <w:rFonts w:ascii="Verdana" w:hAnsi="Verdana" w:cs="Arial"/>
              </w:rPr>
              <w:t>empréstitos; 2. Contratos que comprometan vigencias</w:t>
            </w:r>
            <w:r w:rsidRPr="00846E41">
              <w:rPr>
                <w:rFonts w:ascii="Verdana" w:hAnsi="Verdana" w:cs="Arial"/>
                <w:spacing w:val="-3"/>
              </w:rPr>
              <w:t xml:space="preserve"> </w:t>
            </w:r>
            <w:r w:rsidRPr="00846E41">
              <w:rPr>
                <w:rFonts w:ascii="Verdana" w:hAnsi="Verdana" w:cs="Arial"/>
              </w:rPr>
              <w:t xml:space="preserve">futuras; 3. </w:t>
            </w:r>
            <w:r w:rsidRPr="00846E41">
              <w:rPr>
                <w:rFonts w:ascii="Verdana" w:hAnsi="Verdana"/>
              </w:rPr>
              <w:t>Enajenación y compraventa de bienes</w:t>
            </w:r>
            <w:r w:rsidRPr="00846E41">
              <w:rPr>
                <w:rFonts w:ascii="Verdana" w:hAnsi="Verdana"/>
                <w:spacing w:val="-24"/>
              </w:rPr>
              <w:t xml:space="preserve"> </w:t>
            </w:r>
            <w:r w:rsidRPr="00846E41">
              <w:rPr>
                <w:rFonts w:ascii="Verdana" w:hAnsi="Verdana"/>
              </w:rPr>
              <w:t xml:space="preserve">inmuebles; 4. </w:t>
            </w:r>
            <w:r w:rsidRPr="00846E41">
              <w:rPr>
                <w:rFonts w:ascii="Verdana" w:hAnsi="Verdana" w:cs="Arial"/>
              </w:rPr>
              <w:t>Enajenación de activos, acciones y cuotas</w:t>
            </w:r>
            <w:r w:rsidRPr="00846E41">
              <w:rPr>
                <w:rFonts w:ascii="Verdana" w:hAnsi="Verdana" w:cs="Arial"/>
                <w:spacing w:val="-19"/>
              </w:rPr>
              <w:t xml:space="preserve"> </w:t>
            </w:r>
            <w:r w:rsidRPr="00846E41">
              <w:rPr>
                <w:rFonts w:ascii="Verdana" w:hAnsi="Verdana" w:cs="Arial"/>
              </w:rPr>
              <w:t xml:space="preserve">partes; 5. Concesiones y; 6. </w:t>
            </w:r>
            <w:r w:rsidRPr="00846E41">
              <w:rPr>
                <w:rFonts w:ascii="Verdana" w:hAnsi="Verdana"/>
              </w:rPr>
              <w:t>Las demás que determine la</w:t>
            </w:r>
            <w:r w:rsidRPr="00846E41">
              <w:rPr>
                <w:rFonts w:ascii="Verdana" w:hAnsi="Verdana"/>
                <w:spacing w:val="1"/>
              </w:rPr>
              <w:t xml:space="preserve"> </w:t>
            </w:r>
            <w:r w:rsidRPr="00846E41">
              <w:rPr>
                <w:rFonts w:ascii="Verdana" w:hAnsi="Verdana"/>
              </w:rPr>
              <w:t>ley.</w:t>
            </w:r>
          </w:p>
          <w:p w14:paraId="6505372B" w14:textId="77777777" w:rsidR="002B62E0" w:rsidRDefault="002B62E0" w:rsidP="00093697">
            <w:pPr>
              <w:pStyle w:val="Textoindependiente"/>
              <w:ind w:firstLine="709"/>
              <w:jc w:val="both"/>
              <w:rPr>
                <w:rFonts w:ascii="Verdana" w:hAnsi="Verdana"/>
              </w:rPr>
            </w:pPr>
            <w:r w:rsidRPr="007C4BB0">
              <w:rPr>
                <w:rFonts w:ascii="Verdana" w:hAnsi="Verdana"/>
              </w:rPr>
              <w:t xml:space="preserve">En consecuencia, </w:t>
            </w:r>
            <w:r>
              <w:rPr>
                <w:rFonts w:ascii="Verdana" w:hAnsi="Verdana"/>
              </w:rPr>
              <w:t>en términos del parágrafo 4 del artículo 32 de la Ley 136 de 1994</w:t>
            </w:r>
            <w:r w:rsidRPr="004D251D">
              <w:rPr>
                <w:rFonts w:ascii="Verdana" w:hAnsi="Verdana"/>
              </w:rPr>
              <w:t>, dado que</w:t>
            </w:r>
            <w:r>
              <w:rPr>
                <w:rFonts w:ascii="Verdana" w:hAnsi="Verdana"/>
              </w:rPr>
              <w:t xml:space="preserve"> los contratos de comodato son diferentes a los de empréstito, por ser a título gratuito no comprometen recursos de vigencias futuras, no implican una transferencia del derecho de dominio ni implican la enajenación </w:t>
            </w:r>
            <w:r w:rsidRPr="002204BF">
              <w:rPr>
                <w:rFonts w:ascii="Verdana" w:hAnsi="Verdana"/>
              </w:rPr>
              <w:t>de activos, acciones y cuotas partes</w:t>
            </w:r>
            <w:r>
              <w:rPr>
                <w:rFonts w:ascii="Verdana" w:hAnsi="Verdana"/>
              </w:rPr>
              <w:t xml:space="preserve"> ni el uso de la técnica concesional, la necesidad de la autorización del concejo </w:t>
            </w:r>
            <w:r w:rsidRPr="004D251D">
              <w:rPr>
                <w:rFonts w:ascii="Verdana" w:hAnsi="Verdana"/>
              </w:rPr>
              <w:t xml:space="preserve">para suscribir este tipo de negocios jurídicos </w:t>
            </w:r>
            <w:r>
              <w:rPr>
                <w:rFonts w:ascii="Verdana" w:hAnsi="Verdana"/>
              </w:rPr>
              <w:t xml:space="preserve">deberá analizarse en cada caso particular de acuerdo con la reglamentación a la que se refiere el numeral 3 del artículo 32 </w:t>
            </w:r>
            <w:r w:rsidRPr="00E02EAA">
              <w:rPr>
                <w:rFonts w:ascii="Verdana" w:hAnsi="Verdana"/>
                <w:i/>
                <w:iCs/>
              </w:rPr>
              <w:t>ibidem</w:t>
            </w:r>
            <w:r>
              <w:rPr>
                <w:rFonts w:ascii="Verdana" w:hAnsi="Verdana"/>
              </w:rPr>
              <w:t xml:space="preserve"> y los acuerdos municipales pertinentes. </w:t>
            </w:r>
          </w:p>
          <w:p w14:paraId="1422615D" w14:textId="77777777" w:rsidR="002B62E0" w:rsidRPr="00D220F6" w:rsidRDefault="002B62E0" w:rsidP="00093697">
            <w:pPr>
              <w:pStyle w:val="Textoindependiente"/>
              <w:ind w:firstLine="709"/>
              <w:jc w:val="both"/>
              <w:rPr>
                <w:rFonts w:ascii="Verdana" w:hAnsi="Verdana"/>
              </w:rPr>
            </w:pP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la celebración de contratos de comodato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 De esta manera, las afirmaciones aquí realizadas</w:t>
            </w:r>
            <w:r>
              <w:rPr>
                <w:rFonts w:ascii="Verdana" w:hAnsi="Verdana" w:cs="Arial"/>
                <w:lang w:eastAsia="es-ES"/>
              </w:rPr>
              <w:t xml:space="preserve"> </w:t>
            </w:r>
            <w:r w:rsidRPr="00301910">
              <w:rPr>
                <w:rFonts w:ascii="Verdana" w:hAnsi="Verdana" w:cs="Arial"/>
                <w:lang w:eastAsia="es-ES"/>
              </w:rPr>
              <w:t>no</w:t>
            </w:r>
            <w:r>
              <w:rPr>
                <w:rFonts w:ascii="Verdana" w:hAnsi="Verdana" w:cs="Arial"/>
                <w:lang w:eastAsia="es-ES"/>
              </w:rPr>
              <w:t xml:space="preserve"> </w:t>
            </w:r>
            <w:r w:rsidRPr="00301910">
              <w:rPr>
                <w:rFonts w:ascii="Verdana" w:hAnsi="Verdana" w:cs="Arial"/>
                <w:lang w:eastAsia="es-ES"/>
              </w:rPr>
              <w:t>pueden ser interpretadas como juicios de valor sobre circunstancias</w:t>
            </w:r>
            <w:r>
              <w:rPr>
                <w:rFonts w:ascii="Verdana" w:hAnsi="Verdana" w:cs="Arial"/>
                <w:lang w:eastAsia="es-ES"/>
              </w:rPr>
              <w:t xml:space="preserve"> </w:t>
            </w:r>
            <w:r w:rsidRPr="00301910">
              <w:rPr>
                <w:rFonts w:ascii="Verdana" w:hAnsi="Verdana" w:cs="Arial"/>
                <w:lang w:eastAsia="es-ES"/>
              </w:rPr>
              <w:t>concretas</w:t>
            </w:r>
            <w:r>
              <w:rPr>
                <w:rFonts w:ascii="Verdana" w:hAnsi="Verdana" w:cs="Arial"/>
                <w:lang w:eastAsia="es-ES"/>
              </w:rPr>
              <w:t xml:space="preserve"> </w:t>
            </w:r>
            <w:r w:rsidRPr="00301910">
              <w:rPr>
                <w:rFonts w:ascii="Verdana" w:hAnsi="Verdana" w:cs="Arial"/>
                <w:lang w:eastAsia="es-ES"/>
              </w:rPr>
              <w:t>relacionadas con los hechos que motivan la</w:t>
            </w:r>
            <w:r>
              <w:rPr>
                <w:rFonts w:ascii="Verdana" w:hAnsi="Verdana" w:cs="Arial"/>
                <w:lang w:eastAsia="es-ES"/>
              </w:rPr>
              <w:t xml:space="preserve"> </w:t>
            </w:r>
            <w:r w:rsidRPr="00301910">
              <w:rPr>
                <w:rFonts w:ascii="Verdana" w:hAnsi="Verdana" w:cs="Arial"/>
                <w:lang w:eastAsia="es-ES"/>
              </w:rPr>
              <w:t>consulta.</w:t>
            </w:r>
            <w:r>
              <w:rPr>
                <w:rFonts w:ascii="Verdana" w:hAnsi="Verdana" w:cs="Arial"/>
                <w:lang w:eastAsia="es-ES"/>
              </w:rPr>
              <w:t xml:space="preserve"> </w:t>
            </w:r>
            <w:r w:rsidRPr="00301910">
              <w:rPr>
                <w:rFonts w:ascii="Verdana" w:hAnsi="Verdana" w:cs="Arial"/>
                <w:lang w:eastAsia="es-ES"/>
              </w:rPr>
              <w:t>Por lo anterior, previo concepto de sus asesores, la solución de situaciones particulares corresponde a los interesados</w:t>
            </w:r>
            <w:r>
              <w:rPr>
                <w:rFonts w:ascii="Verdana" w:hAnsi="Verdana" w:cs="Arial"/>
                <w:lang w:eastAsia="es-ES"/>
              </w:rPr>
              <w:t xml:space="preserve"> </w:t>
            </w:r>
            <w:r w:rsidRPr="00301910">
              <w:rPr>
                <w:rFonts w:ascii="Verdana" w:hAnsi="Verdana" w:cs="Arial"/>
                <w:lang w:eastAsia="es-ES"/>
              </w:rPr>
              <w:t>adoptar la decisión correspondiente y, en caso de conflicto, a las autoridades judiciales, fiscales y disciplinarias.</w:t>
            </w:r>
          </w:p>
          <w:p w14:paraId="05FDE01D" w14:textId="77777777" w:rsidR="002B62E0" w:rsidRPr="00383475" w:rsidRDefault="002B62E0" w:rsidP="00093697">
            <w:pPr>
              <w:spacing w:after="120" w:line="276" w:lineRule="auto"/>
              <w:ind w:firstLine="709"/>
              <w:jc w:val="both"/>
              <w:rPr>
                <w:rFonts w:ascii="Verdana" w:hAnsi="Verdana"/>
              </w:rPr>
            </w:pPr>
            <w:r w:rsidRPr="00301910">
              <w:rPr>
                <w:rFonts w:ascii="Verdana" w:hAnsi="Verdana" w:cs="Arial"/>
                <w:lang w:eastAsia="es-ES"/>
              </w:rPr>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p>
        </w:tc>
      </w:tr>
    </w:tbl>
    <w:p w14:paraId="3D2B44B3" w14:textId="77777777" w:rsidR="002B62E0" w:rsidRDefault="002B62E0" w:rsidP="002B62E0">
      <w:pPr>
        <w:tabs>
          <w:tab w:val="left" w:pos="142"/>
          <w:tab w:val="left" w:pos="284"/>
        </w:tabs>
        <w:spacing w:after="0" w:line="276" w:lineRule="auto"/>
        <w:jc w:val="both"/>
        <w:rPr>
          <w:rFonts w:ascii="Verdana" w:eastAsia="Century Gothic" w:hAnsi="Verdana" w:cs="Century Gothic"/>
          <w:b/>
          <w:bCs/>
          <w:lang w:val="es-ES"/>
        </w:rPr>
      </w:pPr>
    </w:p>
    <w:p w14:paraId="3FF75494" w14:textId="77777777" w:rsidR="002B62E0" w:rsidRDefault="002B62E0" w:rsidP="002B62E0">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0E748B88" w14:textId="77777777" w:rsidR="002B62E0" w:rsidRDefault="002B62E0" w:rsidP="002B62E0">
      <w:pPr>
        <w:spacing w:after="0" w:line="276" w:lineRule="auto"/>
        <w:jc w:val="both"/>
        <w:rPr>
          <w:rFonts w:ascii="Verdana" w:eastAsia="Calibri" w:hAnsi="Verdana" w:cs="Arial"/>
          <w:color w:val="7030A0"/>
          <w:lang w:val="es-ES"/>
        </w:rPr>
      </w:pPr>
    </w:p>
    <w:p w14:paraId="2819AB1D" w14:textId="77777777" w:rsidR="002B62E0" w:rsidRDefault="002B62E0" w:rsidP="002B62E0">
      <w:pPr>
        <w:spacing w:after="0" w:line="276" w:lineRule="auto"/>
        <w:jc w:val="both"/>
        <w:rPr>
          <w:rFonts w:ascii="Verdana" w:eastAsia="Calibri" w:hAnsi="Verdana" w:cs="Arial"/>
          <w:lang w:val="es-ES"/>
        </w:rPr>
      </w:pPr>
      <w:r>
        <w:rPr>
          <w:rFonts w:ascii="Verdana" w:eastAsia="Calibri" w:hAnsi="Verdana" w:cs="Arial"/>
          <w:lang w:val="es-ES"/>
        </w:rPr>
        <w:lastRenderedPageBreak/>
        <w:t xml:space="preserve">Lo anterior se sustenta en las siguientes consideraciones: </w:t>
      </w:r>
    </w:p>
    <w:p w14:paraId="7BC62EAE" w14:textId="77777777" w:rsidR="002B62E0" w:rsidRDefault="002B62E0" w:rsidP="002B62E0">
      <w:pPr>
        <w:spacing w:after="0" w:line="276" w:lineRule="auto"/>
        <w:jc w:val="both"/>
        <w:rPr>
          <w:rFonts w:ascii="Verdana" w:eastAsia="Calibri" w:hAnsi="Verdana" w:cs="Arial"/>
          <w:lang w:val="es-ES"/>
        </w:rPr>
      </w:pPr>
    </w:p>
    <w:p w14:paraId="7CF9BD6C" w14:textId="77777777" w:rsidR="002B62E0" w:rsidRDefault="002B62E0" w:rsidP="002B62E0">
      <w:pPr>
        <w:spacing w:after="120" w:line="276" w:lineRule="auto"/>
        <w:jc w:val="both"/>
        <w:rPr>
          <w:rFonts w:ascii="Verdana" w:hAnsi="Verdana" w:cs="Arial"/>
        </w:rPr>
      </w:pPr>
      <w:r>
        <w:rPr>
          <w:rFonts w:ascii="Verdana" w:eastAsia="Calibri" w:hAnsi="Verdana" w:cs="Arial"/>
          <w:lang w:val="es-ES"/>
        </w:rPr>
        <w:t xml:space="preserve">i. El inciso primero </w:t>
      </w:r>
      <w:r w:rsidRPr="00CB68C5">
        <w:rPr>
          <w:rFonts w:ascii="Verdana" w:hAnsi="Verdana" w:cs="Arial"/>
        </w:rPr>
        <w:t xml:space="preserve">del artículo 13 </w:t>
      </w:r>
      <w:r>
        <w:rPr>
          <w:rFonts w:ascii="Verdana" w:hAnsi="Verdana" w:cs="Arial"/>
        </w:rPr>
        <w:t xml:space="preserve">de la Ley 80 de 1993 </w:t>
      </w:r>
      <w:r w:rsidRPr="00CB68C5">
        <w:rPr>
          <w:rFonts w:ascii="Verdana" w:hAnsi="Verdana" w:cs="Arial"/>
        </w:rPr>
        <w:t>dispone que “Los contratos que celebren las entidades a que se refiere el artículo 2o. del presente estatuto se regirán por las disposiciones comerciales y civiles pertinentes, salvo en las materias particularmente reguladas en esta ley”.</w:t>
      </w:r>
    </w:p>
    <w:p w14:paraId="13E4CDF3" w14:textId="77777777" w:rsidR="002B62E0" w:rsidRDefault="002B62E0" w:rsidP="002B62E0">
      <w:pPr>
        <w:tabs>
          <w:tab w:val="left" w:pos="8789"/>
        </w:tabs>
        <w:spacing w:after="120" w:line="276" w:lineRule="auto"/>
        <w:ind w:firstLine="709"/>
        <w:jc w:val="both"/>
        <w:rPr>
          <w:rFonts w:ascii="Verdana" w:hAnsi="Verdana" w:cs="Arial"/>
        </w:rPr>
      </w:pPr>
      <w:r w:rsidRPr="00CB68C5">
        <w:rPr>
          <w:rFonts w:ascii="Verdana" w:hAnsi="Verdana" w:cs="Arial"/>
        </w:rPr>
        <w:t>Dicha idea también se reitera en el art</w:t>
      </w:r>
      <w:r>
        <w:rPr>
          <w:rFonts w:ascii="Verdana" w:hAnsi="Verdana" w:cs="Arial"/>
        </w:rPr>
        <w:t>ículo</w:t>
      </w:r>
      <w:r w:rsidRPr="00CB68C5">
        <w:rPr>
          <w:rFonts w:ascii="Verdana" w:hAnsi="Verdana" w:cs="Arial"/>
        </w:rPr>
        <w:t xml:space="preserve"> 32, inciso primero</w:t>
      </w:r>
      <w:r>
        <w:rPr>
          <w:rFonts w:ascii="Verdana" w:hAnsi="Verdana" w:cs="Arial"/>
        </w:rPr>
        <w:t xml:space="preserve">: </w:t>
      </w:r>
      <w:r w:rsidRPr="00CB68C5">
        <w:rPr>
          <w:rFonts w:ascii="Verdana" w:hAnsi="Verdana" w:cs="Arial"/>
        </w:rPr>
        <w:t>“Son</w:t>
      </w:r>
      <w:r>
        <w:rPr>
          <w:rFonts w:ascii="Verdana" w:hAnsi="Verdana" w:cs="Arial"/>
        </w:rPr>
        <w:t xml:space="preserve"> </w:t>
      </w:r>
      <w:r w:rsidRPr="00CB68C5">
        <w:rPr>
          <w:rFonts w:ascii="Verdana" w:hAnsi="Verdana" w:cs="Arial"/>
        </w:rPr>
        <w:t>contratos estatales todos los actos jurídicos generadores de obligaciones que celebren las entidades a que se refiere el presente estatuto, previstos en el derecho privado o en disposiciones especiales, o derivados del ejercicio de la autonomía de la voluntad</w:t>
      </w:r>
      <w:r>
        <w:rPr>
          <w:rFonts w:ascii="Verdana" w:hAnsi="Verdana" w:cs="Arial"/>
        </w:rPr>
        <w:t xml:space="preserve"> […]</w:t>
      </w:r>
      <w:r w:rsidRPr="00CB68C5">
        <w:rPr>
          <w:rFonts w:ascii="Verdana" w:hAnsi="Verdana" w:cs="Arial"/>
        </w:rPr>
        <w:t>”</w:t>
      </w:r>
      <w:r>
        <w:rPr>
          <w:rFonts w:ascii="Verdana" w:hAnsi="Verdana" w:cs="Arial"/>
        </w:rPr>
        <w:t xml:space="preserve">. Así mismo, en el artículo 40, inciso primero, que señala: </w:t>
      </w:r>
      <w:r w:rsidRPr="00CB68C5">
        <w:rPr>
          <w:rFonts w:ascii="Verdana" w:hAnsi="Verdana" w:cs="Arial"/>
        </w:rPr>
        <w:t>“Las estipulaciones de los contratos serán las que, de acuerdo con las normas civiles, comerciales y las previstas en esta ley, correspondan a su esencia y naturaleza”.</w:t>
      </w:r>
    </w:p>
    <w:p w14:paraId="4BBDA48A" w14:textId="77777777" w:rsidR="002B62E0" w:rsidRDefault="002B62E0" w:rsidP="002B62E0">
      <w:pPr>
        <w:spacing w:after="120" w:line="276" w:lineRule="auto"/>
        <w:ind w:firstLine="709"/>
        <w:mirrorIndents/>
        <w:jc w:val="both"/>
        <w:rPr>
          <w:rFonts w:ascii="Verdana" w:hAnsi="Verdana" w:cs="Arial"/>
        </w:rPr>
      </w:pPr>
      <w:r w:rsidRPr="00CB68C5">
        <w:rPr>
          <w:rFonts w:ascii="Verdana" w:hAnsi="Verdana" w:cs="Arial"/>
        </w:rPr>
        <w:t xml:space="preserve">Por ello, con excepción de las materias expresamente reguladas en el Estatuto </w:t>
      </w:r>
      <w:r>
        <w:rPr>
          <w:rFonts w:ascii="Verdana" w:hAnsi="Verdana" w:cs="Arial"/>
        </w:rPr>
        <w:t xml:space="preserve">General </w:t>
      </w:r>
      <w:r w:rsidRPr="00CB68C5">
        <w:rPr>
          <w:rFonts w:ascii="Verdana" w:hAnsi="Verdana" w:cs="Arial"/>
        </w:rPr>
        <w:t>de Contratación</w:t>
      </w:r>
      <w:r>
        <w:rPr>
          <w:rFonts w:ascii="Verdana" w:hAnsi="Verdana" w:cs="Arial"/>
        </w:rPr>
        <w:t xml:space="preserve"> de la Administración Pública</w:t>
      </w:r>
      <w:r w:rsidRPr="00CB68C5">
        <w:rPr>
          <w:rFonts w:ascii="Verdana" w:hAnsi="Verdana" w:cs="Arial"/>
        </w:rPr>
        <w:t>, es posible la aplicación de las normas de derecho privado.</w:t>
      </w:r>
      <w:r>
        <w:rPr>
          <w:rFonts w:ascii="Verdana" w:hAnsi="Verdana" w:cs="Arial"/>
        </w:rPr>
        <w:t xml:space="preserve"> </w:t>
      </w:r>
      <w:r w:rsidRPr="00CB68C5">
        <w:rPr>
          <w:rFonts w:ascii="Verdana" w:hAnsi="Verdana" w:cs="Arial"/>
        </w:rPr>
        <w:t xml:space="preserve">Esta precisión es importante, porque </w:t>
      </w:r>
      <w:r>
        <w:rPr>
          <w:rFonts w:ascii="Verdana" w:hAnsi="Verdana" w:cs="Arial"/>
        </w:rPr>
        <w:t>el comodato</w:t>
      </w:r>
      <w:r w:rsidRPr="00CB68C5">
        <w:rPr>
          <w:rFonts w:ascii="Verdana" w:hAnsi="Verdana" w:cs="Arial"/>
        </w:rPr>
        <w:t xml:space="preserve"> se encuentra tipificad</w:t>
      </w:r>
      <w:r>
        <w:rPr>
          <w:rFonts w:ascii="Verdana" w:hAnsi="Verdana" w:cs="Arial"/>
        </w:rPr>
        <w:t>o</w:t>
      </w:r>
      <w:r w:rsidRPr="00CB68C5">
        <w:rPr>
          <w:rFonts w:ascii="Verdana" w:hAnsi="Verdana" w:cs="Arial"/>
        </w:rPr>
        <w:t xml:space="preserve"> en el Código Civil y allí se encuentra gran parte de su régimen jurídico</w:t>
      </w:r>
      <w:r>
        <w:rPr>
          <w:rFonts w:ascii="Verdana" w:hAnsi="Verdana" w:cs="Arial"/>
        </w:rPr>
        <w:t>.</w:t>
      </w:r>
    </w:p>
    <w:p w14:paraId="455E23FD" w14:textId="77777777" w:rsidR="002B62E0" w:rsidRDefault="002B62E0" w:rsidP="002B62E0">
      <w:pPr>
        <w:spacing w:after="120" w:line="276" w:lineRule="auto"/>
        <w:ind w:firstLine="708"/>
        <w:mirrorIndents/>
        <w:jc w:val="both"/>
        <w:rPr>
          <w:rFonts w:ascii="Verdana" w:eastAsia="Calibri" w:hAnsi="Verdana" w:cs="Arial"/>
          <w:bCs/>
          <w:color w:val="000000" w:themeColor="text1"/>
        </w:rPr>
      </w:pPr>
      <w:bookmarkStart w:id="1" w:name="_Hlk121750800"/>
      <w:r w:rsidRPr="00222802">
        <w:rPr>
          <w:rFonts w:ascii="Verdana" w:eastAsia="Calibri" w:hAnsi="Verdana" w:cs="Arial"/>
          <w:bCs/>
          <w:color w:val="000000" w:themeColor="text1"/>
        </w:rPr>
        <w:t xml:space="preserve">El comodato está previsto en el título XXIX del Código Civil, en cuyo artículo 2200 lo define como aquel en que </w:t>
      </w:r>
      <w:r>
        <w:rPr>
          <w:rFonts w:ascii="Verdana" w:eastAsia="Calibri" w:hAnsi="Verdana" w:cs="Arial"/>
          <w:bCs/>
          <w:color w:val="000000" w:themeColor="text1"/>
        </w:rPr>
        <w:t>“</w:t>
      </w:r>
      <w:r w:rsidRPr="00222802">
        <w:rPr>
          <w:rFonts w:ascii="Verdana" w:eastAsia="Calibri" w:hAnsi="Verdana" w:cs="Arial"/>
          <w:bCs/>
          <w:color w:val="000000" w:themeColor="text1"/>
        </w:rPr>
        <w:t>[…] una de las partes entrega a la otra gratuitamente una especie mueble o raíz, para que haga uso de ella y con cargo de restituir la misma especie después de terminar el uso</w:t>
      </w:r>
      <w:r>
        <w:rPr>
          <w:rFonts w:ascii="Verdana" w:eastAsia="Calibri" w:hAnsi="Verdana" w:cs="Arial"/>
          <w:bCs/>
          <w:color w:val="000000" w:themeColor="text1"/>
        </w:rPr>
        <w:t>”</w:t>
      </w:r>
      <w:r w:rsidRPr="00222802">
        <w:rPr>
          <w:rFonts w:ascii="Verdana" w:eastAsia="Calibri" w:hAnsi="Verdana" w:cs="Arial"/>
          <w:bCs/>
          <w:color w:val="000000" w:themeColor="text1"/>
        </w:rPr>
        <w:t xml:space="preserve">. </w:t>
      </w:r>
      <w:bookmarkEnd w:id="1"/>
      <w:r w:rsidRPr="00222802">
        <w:rPr>
          <w:rFonts w:ascii="Verdana" w:eastAsia="Calibri" w:hAnsi="Verdana" w:cs="Arial"/>
          <w:bCs/>
          <w:color w:val="000000" w:themeColor="text1"/>
        </w:rPr>
        <w:t>En virtud de esta definición, se desprende su carácter de contrato nominado, principal, real, unilateral y gratuito</w:t>
      </w:r>
      <w:r w:rsidRPr="00222802">
        <w:rPr>
          <w:rFonts w:ascii="Verdana" w:eastAsia="Calibri" w:hAnsi="Verdana" w:cs="Arial"/>
          <w:bCs/>
          <w:color w:val="000000" w:themeColor="text1"/>
          <w:vertAlign w:val="superscript"/>
        </w:rPr>
        <w:footnoteReference w:id="1"/>
      </w:r>
      <w:r w:rsidRPr="00222802">
        <w:rPr>
          <w:rFonts w:ascii="Verdana" w:eastAsia="Calibri" w:hAnsi="Verdana" w:cs="Arial"/>
          <w:bCs/>
          <w:color w:val="000000" w:themeColor="text1"/>
        </w:rPr>
        <w:t xml:space="preserve">. También se le ha denominado a este negocio jurídico como préstamo de uso, aunque con características propias y completamente diferente al préstamo de consumo. </w:t>
      </w:r>
    </w:p>
    <w:p w14:paraId="4797834A" w14:textId="77777777" w:rsidR="002B62E0" w:rsidRPr="00222802" w:rsidRDefault="002B62E0" w:rsidP="002B62E0">
      <w:pPr>
        <w:spacing w:after="120" w:line="276" w:lineRule="auto"/>
        <w:ind w:firstLine="709"/>
        <w:jc w:val="both"/>
        <w:rPr>
          <w:rFonts w:ascii="Verdana" w:eastAsia="Calibri" w:hAnsi="Verdana" w:cs="Arial"/>
          <w:bCs/>
          <w:color w:val="000000" w:themeColor="text1"/>
        </w:rPr>
      </w:pPr>
      <w:r w:rsidRPr="00222802">
        <w:rPr>
          <w:rFonts w:ascii="Verdana" w:eastAsia="Calibri" w:hAnsi="Verdana" w:cs="Arial"/>
          <w:bCs/>
          <w:color w:val="000000" w:themeColor="text1"/>
        </w:rPr>
        <w:t>De igual manera, el</w:t>
      </w:r>
      <w:r>
        <w:rPr>
          <w:rFonts w:ascii="Verdana" w:eastAsia="Calibri" w:hAnsi="Verdana" w:cs="Arial"/>
          <w:bCs/>
          <w:color w:val="000000" w:themeColor="text1"/>
        </w:rPr>
        <w:t xml:space="preserve"> </w:t>
      </w:r>
      <w:r w:rsidRPr="00222802">
        <w:rPr>
          <w:rFonts w:ascii="Verdana" w:eastAsia="Calibri" w:hAnsi="Verdana" w:cs="Arial"/>
          <w:bCs/>
          <w:color w:val="000000" w:themeColor="text1"/>
        </w:rPr>
        <w:t>artículo 2201</w:t>
      </w:r>
      <w:r>
        <w:rPr>
          <w:rFonts w:ascii="Verdana" w:eastAsia="Calibri" w:hAnsi="Verdana" w:cs="Arial"/>
          <w:bCs/>
          <w:color w:val="000000" w:themeColor="text1"/>
        </w:rPr>
        <w:t xml:space="preserve"> del </w:t>
      </w:r>
      <w:r w:rsidRPr="00222802">
        <w:rPr>
          <w:rFonts w:ascii="Verdana" w:eastAsia="Calibri" w:hAnsi="Verdana" w:cs="Arial"/>
          <w:bCs/>
          <w:color w:val="000000" w:themeColor="text1"/>
        </w:rPr>
        <w:t xml:space="preserve">Código Civil regula lo relacionado con los derechos del comodante. Al respecto, establece que el comodato no </w:t>
      </w:r>
      <w:r w:rsidRPr="00222802">
        <w:rPr>
          <w:rFonts w:ascii="Verdana" w:eastAsia="Calibri" w:hAnsi="Verdana" w:cs="Arial"/>
          <w:bCs/>
          <w:color w:val="000000" w:themeColor="text1"/>
        </w:rPr>
        <w:lastRenderedPageBreak/>
        <w:t xml:space="preserve">trasfiere el dominio de la cosa dada en comodato y, por ello, </w:t>
      </w:r>
      <w:r>
        <w:rPr>
          <w:rFonts w:ascii="Verdana" w:eastAsia="Calibri" w:hAnsi="Verdana" w:cs="Arial"/>
          <w:bCs/>
          <w:color w:val="000000" w:themeColor="text1"/>
        </w:rPr>
        <w:t>“E</w:t>
      </w:r>
      <w:r w:rsidRPr="00222802">
        <w:rPr>
          <w:rFonts w:ascii="Verdana" w:eastAsia="Calibri" w:hAnsi="Verdana" w:cs="Arial"/>
          <w:bCs/>
          <w:color w:val="000000" w:themeColor="text1"/>
        </w:rPr>
        <w:t>l comodante conserva sobre la cosa prestada todos los derechos que antes tenía, pero no su ejercicio, en cuanto fuere incompatible con el uso concedido al comodatario</w:t>
      </w:r>
      <w:r>
        <w:rPr>
          <w:rFonts w:ascii="Verdana" w:eastAsia="Calibri" w:hAnsi="Verdana" w:cs="Arial"/>
          <w:bCs/>
          <w:color w:val="000000" w:themeColor="text1"/>
        </w:rPr>
        <w:t>”.</w:t>
      </w:r>
      <w:r w:rsidRPr="00222802">
        <w:rPr>
          <w:rFonts w:ascii="Verdana" w:eastAsia="Calibri" w:hAnsi="Verdana" w:cs="Arial"/>
          <w:bCs/>
          <w:color w:val="000000" w:themeColor="text1"/>
        </w:rPr>
        <w:t xml:space="preserve"> </w:t>
      </w:r>
      <w:r>
        <w:rPr>
          <w:rFonts w:ascii="Verdana" w:eastAsia="Calibri" w:hAnsi="Verdana" w:cs="Arial"/>
          <w:bCs/>
          <w:color w:val="000000" w:themeColor="text1"/>
        </w:rPr>
        <w:t>P</w:t>
      </w:r>
      <w:r w:rsidRPr="00222802">
        <w:rPr>
          <w:rFonts w:ascii="Verdana" w:eastAsia="Calibri" w:hAnsi="Verdana" w:cs="Arial"/>
          <w:bCs/>
          <w:color w:val="000000" w:themeColor="text1"/>
        </w:rPr>
        <w:t xml:space="preserve">or lo tanto, </w:t>
      </w:r>
      <w:bookmarkStart w:id="2" w:name="_Hlk121750901"/>
      <w:r w:rsidRPr="00222802">
        <w:rPr>
          <w:rFonts w:ascii="Verdana" w:eastAsia="Calibri" w:hAnsi="Verdana" w:cs="Arial"/>
          <w:bCs/>
          <w:color w:val="000000" w:themeColor="text1"/>
        </w:rPr>
        <w:t>el comodatario es un mero tenedor de la cosa y</w:t>
      </w:r>
      <w:r>
        <w:rPr>
          <w:rFonts w:ascii="Verdana" w:eastAsia="Calibri" w:hAnsi="Verdana" w:cs="Arial"/>
          <w:bCs/>
          <w:color w:val="000000" w:themeColor="text1"/>
        </w:rPr>
        <w:t xml:space="preserve">, en los términos del </w:t>
      </w:r>
      <w:r w:rsidRPr="00222802">
        <w:rPr>
          <w:rFonts w:ascii="Verdana" w:eastAsia="Calibri" w:hAnsi="Verdana" w:cs="Arial"/>
          <w:bCs/>
          <w:color w:val="000000" w:themeColor="text1"/>
        </w:rPr>
        <w:t>artículo 2205</w:t>
      </w:r>
      <w:r>
        <w:rPr>
          <w:rFonts w:ascii="Verdana" w:eastAsia="Calibri" w:hAnsi="Verdana" w:cs="Arial"/>
          <w:bCs/>
          <w:color w:val="000000" w:themeColor="text1"/>
        </w:rPr>
        <w:t xml:space="preserve"> </w:t>
      </w:r>
      <w:r w:rsidRPr="009F2D84">
        <w:rPr>
          <w:rFonts w:ascii="Verdana" w:eastAsia="Calibri" w:hAnsi="Verdana" w:cs="Arial"/>
          <w:bCs/>
          <w:i/>
          <w:iCs/>
          <w:color w:val="000000" w:themeColor="text1"/>
        </w:rPr>
        <w:t>ibidem</w:t>
      </w:r>
      <w:r>
        <w:rPr>
          <w:rFonts w:ascii="Verdana" w:eastAsia="Calibri" w:hAnsi="Verdana" w:cs="Arial"/>
          <w:bCs/>
          <w:color w:val="000000" w:themeColor="text1"/>
        </w:rPr>
        <w:t>,</w:t>
      </w:r>
      <w:r w:rsidRPr="00222802">
        <w:rPr>
          <w:rFonts w:ascii="Verdana" w:eastAsia="Calibri" w:hAnsi="Verdana" w:cs="Arial"/>
          <w:bCs/>
          <w:color w:val="000000" w:themeColor="text1"/>
        </w:rPr>
        <w:t xml:space="preserve"> está obligado a la restitución del bien entregado en comodato al vencimiento del plazo o cuando se ha cumplido el servicio para el cual ha sido prestada</w:t>
      </w:r>
      <w:bookmarkEnd w:id="2"/>
      <w:r w:rsidRPr="00222802">
        <w:rPr>
          <w:rStyle w:val="Refdenotaalpie"/>
          <w:rFonts w:ascii="Verdana" w:eastAsia="Calibri" w:hAnsi="Verdana" w:cs="Arial"/>
          <w:bCs/>
          <w:color w:val="000000" w:themeColor="text1"/>
        </w:rPr>
        <w:footnoteReference w:id="2"/>
      </w:r>
      <w:r w:rsidRPr="00222802">
        <w:rPr>
          <w:rFonts w:ascii="Verdana" w:eastAsia="Calibri" w:hAnsi="Verdana" w:cs="Arial"/>
          <w:bCs/>
          <w:color w:val="000000" w:themeColor="text1"/>
        </w:rPr>
        <w:t xml:space="preserve">. </w:t>
      </w:r>
    </w:p>
    <w:p w14:paraId="1A949AAE" w14:textId="77777777" w:rsidR="002B62E0" w:rsidRDefault="002B62E0" w:rsidP="002B62E0">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Conforme al </w:t>
      </w:r>
      <w:r w:rsidRPr="00222802">
        <w:rPr>
          <w:rFonts w:ascii="Verdana" w:eastAsia="Calibri" w:hAnsi="Verdana" w:cs="Arial"/>
          <w:bCs/>
          <w:color w:val="000000" w:themeColor="text1"/>
        </w:rPr>
        <w:t>artículo 2202</w:t>
      </w:r>
      <w:r>
        <w:rPr>
          <w:rFonts w:ascii="Verdana" w:eastAsia="Calibri" w:hAnsi="Verdana" w:cs="Arial"/>
          <w:bCs/>
          <w:color w:val="000000" w:themeColor="text1"/>
        </w:rPr>
        <w:t xml:space="preserve"> del Código Civil</w:t>
      </w:r>
      <w:r w:rsidRPr="00222802">
        <w:rPr>
          <w:rFonts w:ascii="Verdana" w:eastAsia="Calibri" w:hAnsi="Verdana" w:cs="Arial"/>
          <w:bCs/>
          <w:color w:val="000000" w:themeColor="text1"/>
        </w:rPr>
        <w:t>, el comodatario tendrá la obligación de emplear la cosa para el uso convenido, o a falta de acuerdo, está obligado a usar la cosa bajo el uso ordinario</w:t>
      </w:r>
      <w:r w:rsidRPr="00222802">
        <w:rPr>
          <w:rStyle w:val="Refdenotaalpie"/>
          <w:rFonts w:ascii="Verdana" w:eastAsia="Calibri" w:hAnsi="Verdana" w:cs="Arial"/>
          <w:bCs/>
          <w:color w:val="000000" w:themeColor="text1"/>
        </w:rPr>
        <w:footnoteReference w:id="3"/>
      </w:r>
      <w:r w:rsidRPr="00222802">
        <w:rPr>
          <w:rFonts w:ascii="Verdana" w:eastAsia="Calibri" w:hAnsi="Verdana" w:cs="Arial"/>
          <w:bCs/>
          <w:color w:val="000000" w:themeColor="text1"/>
        </w:rPr>
        <w:t xml:space="preserve">. De incumplir esta obligación, el comodante podrá exigir la reparación de perjuicios y la restitución inmediata de la cosa. </w:t>
      </w:r>
    </w:p>
    <w:p w14:paraId="51FED529" w14:textId="77777777" w:rsidR="002B62E0" w:rsidRDefault="002B62E0" w:rsidP="002B62E0">
      <w:pPr>
        <w:spacing w:after="0" w:line="276" w:lineRule="auto"/>
        <w:ind w:firstLine="709"/>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A propósito de las características del contrato de comodato, la Sala de Consulta y Servicio Civil del Consejo de Estado </w:t>
      </w:r>
      <w:r>
        <w:rPr>
          <w:rFonts w:ascii="Verdana" w:eastAsia="Calibri" w:hAnsi="Verdana" w:cs="Arial"/>
          <w:bCs/>
          <w:color w:val="000000" w:themeColor="text1"/>
        </w:rPr>
        <w:t>explica que</w:t>
      </w:r>
      <w:r w:rsidRPr="00222802">
        <w:rPr>
          <w:rFonts w:ascii="Verdana" w:eastAsia="Calibri" w:hAnsi="Verdana" w:cs="Arial"/>
          <w:bCs/>
          <w:color w:val="000000" w:themeColor="text1"/>
        </w:rPr>
        <w:t xml:space="preserve">: </w:t>
      </w:r>
    </w:p>
    <w:p w14:paraId="38445877" w14:textId="77777777" w:rsidR="002B62E0" w:rsidRPr="00222802" w:rsidRDefault="002B62E0" w:rsidP="002B62E0">
      <w:pPr>
        <w:spacing w:after="0" w:line="276" w:lineRule="auto"/>
        <w:ind w:firstLine="709"/>
        <w:jc w:val="both"/>
        <w:rPr>
          <w:rFonts w:ascii="Verdana" w:eastAsia="Calibri" w:hAnsi="Verdana" w:cs="Arial"/>
          <w:bCs/>
          <w:color w:val="000000" w:themeColor="text1"/>
        </w:rPr>
      </w:pPr>
    </w:p>
    <w:p w14:paraId="3102AD84" w14:textId="77777777" w:rsidR="002B62E0" w:rsidRPr="002964EC" w:rsidRDefault="002B62E0" w:rsidP="002B62E0">
      <w:pPr>
        <w:spacing w:after="0" w:line="240" w:lineRule="auto"/>
        <w:ind w:left="709" w:right="709"/>
        <w:contextualSpacing/>
        <w:jc w:val="both"/>
        <w:rPr>
          <w:rFonts w:ascii="Verdana" w:hAnsi="Verdana" w:cs="Arial"/>
          <w:color w:val="000000" w:themeColor="text1"/>
          <w:sz w:val="20"/>
          <w:szCs w:val="20"/>
        </w:rPr>
      </w:pPr>
      <w:r w:rsidRPr="002964EC">
        <w:rPr>
          <w:rFonts w:ascii="Verdana" w:hAnsi="Verdana" w:cs="Arial"/>
          <w:color w:val="000000" w:themeColor="text1"/>
          <w:sz w:val="20"/>
          <w:szCs w:val="20"/>
        </w:rPr>
        <w:t xml:space="preserve">“Cabe señalar que el contrato de comodato, hoy por hoy, es más común en el derecho contractual administrativo que en el derecho privado; es una figura que ha permitido a las diferentes entidades estatales generar ahorro en componentes de gastos, tales como arrendamiento de sedes, costos de administración, mantenimiento y conservación de los bienes públicos; lo que evidencia algunas de las bondades de esta figura independientemente de las políticas que se dicten en materia de administración de los bienes públicos y de las posibilidades económicas que el Estado tiene para su manejo directo. </w:t>
      </w:r>
    </w:p>
    <w:p w14:paraId="4EC76417" w14:textId="77777777" w:rsidR="002B62E0" w:rsidRPr="002964EC" w:rsidRDefault="002B62E0" w:rsidP="002B62E0">
      <w:pPr>
        <w:spacing w:after="0" w:line="240" w:lineRule="auto"/>
        <w:ind w:left="709" w:right="709"/>
        <w:contextualSpacing/>
        <w:jc w:val="both"/>
        <w:rPr>
          <w:rFonts w:ascii="Verdana" w:hAnsi="Verdana" w:cs="Arial"/>
          <w:color w:val="000000" w:themeColor="text1"/>
          <w:sz w:val="20"/>
          <w:szCs w:val="20"/>
        </w:rPr>
      </w:pPr>
      <w:r w:rsidRPr="002964EC">
        <w:rPr>
          <w:rFonts w:ascii="Verdana" w:hAnsi="Verdana" w:cs="Arial"/>
          <w:color w:val="000000" w:themeColor="text1"/>
          <w:sz w:val="20"/>
          <w:szCs w:val="20"/>
        </w:rPr>
        <w:t xml:space="preserve">[…] </w:t>
      </w:r>
    </w:p>
    <w:p w14:paraId="5257969A" w14:textId="77777777" w:rsidR="002B62E0" w:rsidRPr="002964EC" w:rsidRDefault="002B62E0" w:rsidP="002B62E0">
      <w:pPr>
        <w:spacing w:after="0" w:line="240" w:lineRule="auto"/>
        <w:ind w:left="709" w:right="709"/>
        <w:contextualSpacing/>
        <w:jc w:val="both"/>
        <w:rPr>
          <w:rFonts w:ascii="Verdana" w:hAnsi="Verdana" w:cs="Arial"/>
          <w:color w:val="000000" w:themeColor="text1"/>
          <w:sz w:val="20"/>
          <w:szCs w:val="20"/>
        </w:rPr>
      </w:pPr>
    </w:p>
    <w:p w14:paraId="05398065" w14:textId="77777777" w:rsidR="002B62E0" w:rsidRPr="002964EC" w:rsidRDefault="002B62E0" w:rsidP="002B62E0">
      <w:pPr>
        <w:spacing w:after="0" w:line="240" w:lineRule="auto"/>
        <w:ind w:left="709" w:right="709"/>
        <w:contextualSpacing/>
        <w:jc w:val="both"/>
        <w:rPr>
          <w:rFonts w:ascii="Verdana" w:hAnsi="Verdana" w:cs="Arial"/>
          <w:color w:val="000000" w:themeColor="text1"/>
          <w:sz w:val="20"/>
          <w:szCs w:val="20"/>
        </w:rPr>
      </w:pPr>
      <w:r w:rsidRPr="002964EC">
        <w:rPr>
          <w:rFonts w:ascii="Verdana" w:hAnsi="Verdana" w:cs="Arial"/>
          <w:color w:val="000000" w:themeColor="text1"/>
          <w:sz w:val="20"/>
          <w:szCs w:val="20"/>
        </w:rPr>
        <w:t>La Sala retoma algunos aspectos analizados en consultas anteriores sobre las características del contrato en comento y precisa lo siguiente con el fin de comprender el alcance de esta figura:</w:t>
      </w:r>
    </w:p>
    <w:p w14:paraId="09FF4C21" w14:textId="77777777" w:rsidR="002B62E0" w:rsidRPr="002964EC" w:rsidRDefault="002B62E0" w:rsidP="002B62E0">
      <w:pPr>
        <w:spacing w:after="0" w:line="240" w:lineRule="auto"/>
        <w:ind w:left="709" w:right="709"/>
        <w:contextualSpacing/>
        <w:jc w:val="both"/>
        <w:rPr>
          <w:rFonts w:ascii="Verdana" w:eastAsia="Calibri" w:hAnsi="Verdana" w:cs="Arial"/>
          <w:color w:val="000000" w:themeColor="text1"/>
          <w:sz w:val="20"/>
          <w:szCs w:val="20"/>
        </w:rPr>
      </w:pPr>
    </w:p>
    <w:p w14:paraId="221852A0" w14:textId="77777777" w:rsidR="002B62E0" w:rsidRPr="002964EC" w:rsidRDefault="002B62E0" w:rsidP="002B62E0">
      <w:pPr>
        <w:numPr>
          <w:ilvl w:val="0"/>
          <w:numId w:val="4"/>
        </w:numPr>
        <w:tabs>
          <w:tab w:val="clear" w:pos="720"/>
          <w:tab w:val="num" w:pos="1068"/>
        </w:tabs>
        <w:spacing w:after="0" w:line="240" w:lineRule="auto"/>
        <w:ind w:left="1066" w:right="709" w:hanging="357"/>
        <w:contextualSpacing/>
        <w:jc w:val="both"/>
        <w:rPr>
          <w:rFonts w:ascii="Verdana" w:eastAsia="Calibri" w:hAnsi="Verdana" w:cs="Arial"/>
          <w:color w:val="000000" w:themeColor="text1"/>
          <w:sz w:val="20"/>
          <w:szCs w:val="20"/>
        </w:rPr>
      </w:pPr>
      <w:r w:rsidRPr="002964EC">
        <w:rPr>
          <w:rFonts w:ascii="Verdana" w:eastAsia="Calibri" w:hAnsi="Verdana" w:cs="Arial"/>
          <w:color w:val="000000" w:themeColor="text1"/>
          <w:sz w:val="20"/>
          <w:szCs w:val="20"/>
        </w:rPr>
        <w:t>El comodato se clasifica dentro de los denominados contratos traslaticios del uso y disfrute de un bien.</w:t>
      </w:r>
    </w:p>
    <w:p w14:paraId="1A26864A" w14:textId="77777777" w:rsidR="002B62E0" w:rsidRPr="002964EC" w:rsidRDefault="002B62E0" w:rsidP="002B62E0">
      <w:pPr>
        <w:tabs>
          <w:tab w:val="num" w:pos="1068"/>
        </w:tabs>
        <w:spacing w:after="0" w:line="240" w:lineRule="auto"/>
        <w:ind w:left="1066" w:right="709"/>
        <w:contextualSpacing/>
        <w:jc w:val="both"/>
        <w:rPr>
          <w:rFonts w:ascii="Verdana" w:eastAsia="Calibri" w:hAnsi="Verdana" w:cs="Arial"/>
          <w:color w:val="000000" w:themeColor="text1"/>
          <w:sz w:val="20"/>
          <w:szCs w:val="20"/>
        </w:rPr>
      </w:pPr>
    </w:p>
    <w:p w14:paraId="52FA8745" w14:textId="77777777" w:rsidR="002B62E0" w:rsidRPr="002964EC" w:rsidRDefault="002B62E0" w:rsidP="002B62E0">
      <w:pPr>
        <w:numPr>
          <w:ilvl w:val="0"/>
          <w:numId w:val="4"/>
        </w:numPr>
        <w:spacing w:after="0" w:line="240" w:lineRule="auto"/>
        <w:ind w:left="1069" w:right="709"/>
        <w:contextualSpacing/>
        <w:jc w:val="both"/>
        <w:rPr>
          <w:rFonts w:ascii="Verdana" w:eastAsia="Calibri" w:hAnsi="Verdana" w:cs="Arial"/>
          <w:color w:val="000000" w:themeColor="text1"/>
          <w:sz w:val="20"/>
          <w:szCs w:val="20"/>
        </w:rPr>
      </w:pPr>
      <w:r w:rsidRPr="002964EC">
        <w:rPr>
          <w:rFonts w:ascii="Verdana" w:eastAsia="Calibri" w:hAnsi="Verdana" w:cs="Arial"/>
          <w:color w:val="000000" w:themeColor="text1"/>
          <w:sz w:val="20"/>
          <w:szCs w:val="20"/>
        </w:rPr>
        <w:lastRenderedPageBreak/>
        <w:t>De conformidad con lo previsto en el artículo 32 de la ley 80 de 1993, las entidades estatales están facultadas para celebrar este tipo de contrato regulado por el derecho privado, observando los límites señalados en normas especiales sobre la materia, en cuanto al tiempo máximo de duración y la destinación o uso que debe darse al bien”</w:t>
      </w:r>
      <w:r w:rsidRPr="002964EC">
        <w:rPr>
          <w:rStyle w:val="Refdenotaalpie"/>
          <w:rFonts w:ascii="Verdana" w:eastAsia="Calibri" w:hAnsi="Verdana" w:cs="Arial"/>
          <w:color w:val="000000" w:themeColor="text1"/>
          <w:sz w:val="20"/>
          <w:szCs w:val="20"/>
        </w:rPr>
        <w:footnoteReference w:id="4"/>
      </w:r>
      <w:r w:rsidRPr="002964EC">
        <w:rPr>
          <w:rFonts w:ascii="Verdana" w:eastAsia="Calibri" w:hAnsi="Verdana" w:cs="Arial"/>
          <w:color w:val="000000" w:themeColor="text1"/>
          <w:sz w:val="20"/>
          <w:szCs w:val="20"/>
        </w:rPr>
        <w:t>.</w:t>
      </w:r>
    </w:p>
    <w:p w14:paraId="7024395B" w14:textId="77777777" w:rsidR="002B62E0" w:rsidRPr="00222802" w:rsidRDefault="002B62E0" w:rsidP="002B62E0">
      <w:pPr>
        <w:spacing w:after="0" w:line="276" w:lineRule="auto"/>
        <w:ind w:firstLine="708"/>
        <w:jc w:val="both"/>
        <w:rPr>
          <w:rFonts w:ascii="Verdana" w:eastAsia="Calibri" w:hAnsi="Verdana" w:cs="Arial"/>
          <w:bCs/>
          <w:color w:val="000000" w:themeColor="text1"/>
        </w:rPr>
      </w:pPr>
    </w:p>
    <w:p w14:paraId="38B9495A" w14:textId="77777777" w:rsidR="002B62E0" w:rsidRDefault="002B62E0" w:rsidP="002B62E0">
      <w:pPr>
        <w:spacing w:after="120" w:line="276" w:lineRule="auto"/>
        <w:ind w:firstLine="709"/>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Si bien el artículo 1452 del Código Civil dispone que no existe donación en el comodato, implica un auxilio en favor de terceros. Para estos efectos, la jurisprudencia considera que el contrato </w:t>
      </w:r>
      <w:r>
        <w:rPr>
          <w:rFonts w:ascii="Verdana" w:eastAsia="Calibri" w:hAnsi="Verdana" w:cs="Arial"/>
          <w:bCs/>
          <w:color w:val="000000" w:themeColor="text1"/>
        </w:rPr>
        <w:t>“</w:t>
      </w:r>
      <w:r w:rsidRPr="001E075A">
        <w:rPr>
          <w:rFonts w:ascii="Verdana" w:eastAsia="Calibri" w:hAnsi="Verdana" w:cs="Arial"/>
          <w:bCs/>
          <w:iCs/>
          <w:color w:val="000000" w:themeColor="text1"/>
        </w:rPr>
        <w:t xml:space="preserve">Es tal vez una de las más elementales pero contundentes muestras de solidaridad, ayuda y auxilio, como que se trata de un acto de cortesía, benevolencia, beneficencia o complacencia que no tiene el lucro como inspiración esencial y que facilita al comodatario la satisfacción de sus necesidades […] No en vano, comodato viene del latín </w:t>
      </w:r>
      <w:proofErr w:type="spellStart"/>
      <w:r w:rsidRPr="001E075A">
        <w:rPr>
          <w:rFonts w:ascii="Verdana" w:eastAsia="Calibri" w:hAnsi="Verdana" w:cs="Arial"/>
          <w:bCs/>
          <w:i/>
          <w:color w:val="000000" w:themeColor="text1"/>
        </w:rPr>
        <w:t>commodatum</w:t>
      </w:r>
      <w:proofErr w:type="spellEnd"/>
      <w:r w:rsidRPr="001E075A">
        <w:rPr>
          <w:rFonts w:ascii="Verdana" w:eastAsia="Calibri" w:hAnsi="Verdana" w:cs="Arial"/>
          <w:bCs/>
          <w:iCs/>
          <w:color w:val="000000" w:themeColor="text1"/>
        </w:rPr>
        <w:t xml:space="preserve">, expresión que conjuga los términos </w:t>
      </w:r>
      <w:proofErr w:type="spellStart"/>
      <w:r w:rsidRPr="001E075A">
        <w:rPr>
          <w:rFonts w:ascii="Verdana" w:eastAsia="Calibri" w:hAnsi="Verdana" w:cs="Arial"/>
          <w:bCs/>
          <w:i/>
          <w:color w:val="000000" w:themeColor="text1"/>
        </w:rPr>
        <w:t>commodum</w:t>
      </w:r>
      <w:proofErr w:type="spellEnd"/>
      <w:r w:rsidRPr="001E075A">
        <w:rPr>
          <w:rFonts w:ascii="Verdana" w:eastAsia="Calibri" w:hAnsi="Verdana" w:cs="Arial"/>
          <w:bCs/>
          <w:iCs/>
          <w:color w:val="000000" w:themeColor="text1"/>
        </w:rPr>
        <w:t xml:space="preserve"> -utilidad, provecho- y </w:t>
      </w:r>
      <w:r w:rsidRPr="001E075A">
        <w:rPr>
          <w:rFonts w:ascii="Verdana" w:eastAsia="Calibri" w:hAnsi="Verdana" w:cs="Arial"/>
          <w:bCs/>
          <w:i/>
          <w:color w:val="000000" w:themeColor="text1"/>
        </w:rPr>
        <w:t>datum</w:t>
      </w:r>
      <w:r w:rsidRPr="001E075A">
        <w:rPr>
          <w:rFonts w:ascii="Verdana" w:eastAsia="Calibri" w:hAnsi="Verdana" w:cs="Arial"/>
          <w:bCs/>
          <w:iCs/>
          <w:color w:val="000000" w:themeColor="text1"/>
        </w:rPr>
        <w:t xml:space="preserve"> -dar-, es decir, entregar para utilidad de otro (</w:t>
      </w:r>
      <w:proofErr w:type="spellStart"/>
      <w:r w:rsidRPr="001E075A">
        <w:rPr>
          <w:rFonts w:ascii="Verdana" w:eastAsia="Calibri" w:hAnsi="Verdana" w:cs="Arial"/>
          <w:bCs/>
          <w:i/>
          <w:color w:val="000000" w:themeColor="text1"/>
        </w:rPr>
        <w:t>utendum</w:t>
      </w:r>
      <w:proofErr w:type="spellEnd"/>
      <w:r w:rsidRPr="001E075A">
        <w:rPr>
          <w:rFonts w:ascii="Verdana" w:eastAsia="Calibri" w:hAnsi="Verdana" w:cs="Arial"/>
          <w:bCs/>
          <w:i/>
          <w:color w:val="000000" w:themeColor="text1"/>
        </w:rPr>
        <w:t xml:space="preserve"> </w:t>
      </w:r>
      <w:proofErr w:type="spellStart"/>
      <w:r w:rsidRPr="001E075A">
        <w:rPr>
          <w:rFonts w:ascii="Verdana" w:eastAsia="Calibri" w:hAnsi="Verdana" w:cs="Arial"/>
          <w:bCs/>
          <w:i/>
          <w:color w:val="000000" w:themeColor="text1"/>
        </w:rPr>
        <w:t>dare</w:t>
      </w:r>
      <w:proofErr w:type="spellEnd"/>
      <w:r w:rsidRPr="001E075A">
        <w:rPr>
          <w:rFonts w:ascii="Verdana" w:eastAsia="Calibri" w:hAnsi="Verdana" w:cs="Arial"/>
          <w:bCs/>
          <w:iCs/>
          <w:color w:val="000000" w:themeColor="text1"/>
        </w:rPr>
        <w:t>)</w:t>
      </w:r>
      <w:r>
        <w:rPr>
          <w:rFonts w:ascii="Verdana" w:eastAsia="Calibri" w:hAnsi="Verdana" w:cs="Arial"/>
          <w:bCs/>
          <w:color w:val="000000" w:themeColor="text1"/>
        </w:rPr>
        <w:t>”</w:t>
      </w:r>
      <w:r w:rsidRPr="00222802">
        <w:rPr>
          <w:rFonts w:ascii="Verdana" w:eastAsia="Calibri" w:hAnsi="Verdana"/>
          <w:vertAlign w:val="superscript"/>
        </w:rPr>
        <w:footnoteReference w:id="5"/>
      </w:r>
      <w:bookmarkStart w:id="5" w:name="_Hlk35263504"/>
      <w:r w:rsidRPr="00222802">
        <w:rPr>
          <w:rFonts w:ascii="Verdana" w:eastAsia="Calibri" w:hAnsi="Verdana" w:cs="Arial"/>
          <w:bCs/>
          <w:color w:val="000000" w:themeColor="text1"/>
        </w:rPr>
        <w:t xml:space="preserve">. </w:t>
      </w:r>
    </w:p>
    <w:p w14:paraId="373FCDC0" w14:textId="77777777" w:rsidR="002B62E0" w:rsidRPr="00222802" w:rsidRDefault="002B62E0" w:rsidP="002B62E0">
      <w:pPr>
        <w:spacing w:after="0" w:line="276" w:lineRule="auto"/>
        <w:ind w:firstLine="708"/>
        <w:contextualSpacing/>
        <w:mirrorIndents/>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Sin perjuicio de lo anterior, resulta relevante resaltar que </w:t>
      </w:r>
      <w:bookmarkStart w:id="6" w:name="_Hlk121742558"/>
      <w:r w:rsidRPr="00222802">
        <w:rPr>
          <w:rFonts w:ascii="Verdana" w:eastAsia="Calibri" w:hAnsi="Verdana" w:cs="Arial"/>
          <w:bCs/>
          <w:color w:val="000000" w:themeColor="text1"/>
        </w:rPr>
        <w:t>esta tipología contractual es restrictiva en la contratación pública, cuando se pretende celebrar con particulares, máxime cuando el ordenamiento s</w:t>
      </w:r>
      <w:r>
        <w:rPr>
          <w:rFonts w:ascii="Verdana" w:eastAsia="Calibri" w:hAnsi="Verdana" w:cs="Arial"/>
          <w:bCs/>
          <w:color w:val="000000" w:themeColor="text1"/>
        </w:rPr>
        <w:t>ó</w:t>
      </w:r>
      <w:r w:rsidRPr="00222802">
        <w:rPr>
          <w:rFonts w:ascii="Verdana" w:eastAsia="Calibri" w:hAnsi="Verdana" w:cs="Arial"/>
          <w:bCs/>
          <w:color w:val="000000" w:themeColor="text1"/>
        </w:rPr>
        <w:t>lo permite donaciones y auxilios a favor de entidades estatales.</w:t>
      </w:r>
      <w:bookmarkEnd w:id="6"/>
      <w:r w:rsidRPr="00222802">
        <w:rPr>
          <w:rFonts w:ascii="Verdana" w:eastAsia="Calibri" w:hAnsi="Verdana" w:cs="Arial"/>
          <w:bCs/>
          <w:color w:val="000000" w:themeColor="text1"/>
        </w:rPr>
        <w:t xml:space="preserve"> Al respecto, es importante destacar que el artículo 38 de la Ley 9 de 1989</w:t>
      </w:r>
      <w:bookmarkEnd w:id="5"/>
      <w:r w:rsidRPr="00222802">
        <w:rPr>
          <w:rFonts w:ascii="Verdana" w:eastAsia="Calibri" w:hAnsi="Verdana" w:cs="Arial"/>
          <w:bCs/>
          <w:color w:val="000000" w:themeColor="text1"/>
        </w:rPr>
        <w:t xml:space="preserve"> </w:t>
      </w:r>
      <w:r>
        <w:rPr>
          <w:rFonts w:ascii="Verdana" w:eastAsia="Calibri" w:hAnsi="Verdana" w:cs="Arial"/>
          <w:bCs/>
          <w:color w:val="000000" w:themeColor="text1"/>
        </w:rPr>
        <w:t>prescribe que</w:t>
      </w:r>
      <w:r w:rsidRPr="00222802">
        <w:rPr>
          <w:rFonts w:ascii="Verdana" w:eastAsia="Calibri" w:hAnsi="Verdana" w:cs="Arial"/>
          <w:bCs/>
          <w:color w:val="000000" w:themeColor="text1"/>
        </w:rPr>
        <w:t>:</w:t>
      </w:r>
    </w:p>
    <w:p w14:paraId="25C5003D" w14:textId="77777777" w:rsidR="002B62E0" w:rsidRPr="00332CB9" w:rsidRDefault="002B62E0" w:rsidP="002B62E0">
      <w:pPr>
        <w:pStyle w:val="Prrafodelista"/>
        <w:spacing w:after="0" w:line="276" w:lineRule="auto"/>
        <w:jc w:val="both"/>
        <w:rPr>
          <w:rFonts w:ascii="Verdana" w:eastAsia="Calibri" w:hAnsi="Verdana" w:cs="Arial"/>
          <w:bCs/>
          <w:color w:val="000000" w:themeColor="text1"/>
          <w:lang w:val="es-ES_tradnl"/>
        </w:rPr>
      </w:pPr>
    </w:p>
    <w:p w14:paraId="11A6F490" w14:textId="77777777" w:rsidR="002B62E0" w:rsidRPr="002964EC" w:rsidRDefault="002B62E0" w:rsidP="002B62E0">
      <w:pPr>
        <w:pStyle w:val="Prrafodelista"/>
        <w:spacing w:after="0" w:line="240" w:lineRule="auto"/>
        <w:ind w:left="709" w:right="709"/>
        <w:contextualSpacing w:val="0"/>
        <w:jc w:val="both"/>
        <w:rPr>
          <w:rFonts w:ascii="Verdana" w:eastAsia="Calibri" w:hAnsi="Verdana" w:cs="Arial"/>
          <w:color w:val="000000" w:themeColor="text1"/>
          <w:sz w:val="20"/>
          <w:szCs w:val="20"/>
          <w:lang w:val="es-ES_tradnl"/>
        </w:rPr>
      </w:pPr>
      <w:r w:rsidRPr="002964EC">
        <w:rPr>
          <w:rFonts w:ascii="Verdana" w:eastAsia="Calibri" w:hAnsi="Verdana" w:cs="Arial"/>
          <w:i/>
          <w:color w:val="000000" w:themeColor="text1"/>
          <w:sz w:val="20"/>
          <w:szCs w:val="20"/>
          <w:lang w:val="es-ES_tradnl"/>
        </w:rPr>
        <w:t>“Las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y por un término máximo de cinco (5) años, renovables</w:t>
      </w:r>
      <w:r w:rsidRPr="002964EC">
        <w:rPr>
          <w:rFonts w:ascii="Verdana" w:eastAsia="Calibri" w:hAnsi="Verdana" w:cs="Arial"/>
          <w:color w:val="000000" w:themeColor="text1"/>
          <w:sz w:val="20"/>
          <w:szCs w:val="20"/>
          <w:lang w:val="es-ES_tradnl"/>
        </w:rPr>
        <w:t>.</w:t>
      </w:r>
    </w:p>
    <w:p w14:paraId="4D00E7F7" w14:textId="77777777" w:rsidR="002B62E0" w:rsidRPr="002964EC" w:rsidRDefault="002B62E0" w:rsidP="002B62E0">
      <w:pPr>
        <w:pStyle w:val="Prrafodelista"/>
        <w:spacing w:after="0" w:line="240" w:lineRule="auto"/>
        <w:ind w:left="709" w:right="709"/>
        <w:contextualSpacing w:val="0"/>
        <w:jc w:val="both"/>
        <w:rPr>
          <w:rFonts w:ascii="Verdana" w:eastAsia="Calibri" w:hAnsi="Verdana" w:cs="Arial"/>
          <w:color w:val="000000" w:themeColor="text1"/>
          <w:sz w:val="20"/>
          <w:szCs w:val="20"/>
          <w:lang w:val="es-ES_tradnl"/>
        </w:rPr>
      </w:pPr>
    </w:p>
    <w:p w14:paraId="36CFDCA7" w14:textId="77777777" w:rsidR="002B62E0" w:rsidRPr="002964EC" w:rsidRDefault="002B62E0" w:rsidP="002B62E0">
      <w:pPr>
        <w:pStyle w:val="Prrafodelista"/>
        <w:spacing w:after="0" w:line="240" w:lineRule="auto"/>
        <w:ind w:left="709" w:right="709"/>
        <w:contextualSpacing w:val="0"/>
        <w:jc w:val="both"/>
        <w:rPr>
          <w:rFonts w:ascii="Verdana" w:eastAsia="Calibri" w:hAnsi="Verdana" w:cs="Arial"/>
          <w:color w:val="000000" w:themeColor="text1"/>
          <w:sz w:val="20"/>
          <w:szCs w:val="20"/>
          <w:lang w:val="es-ES_tradnl"/>
        </w:rPr>
      </w:pPr>
      <w:r w:rsidRPr="002964EC">
        <w:rPr>
          <w:rFonts w:ascii="Verdana" w:eastAsia="Calibri" w:hAnsi="Verdana" w:cs="Arial"/>
          <w:color w:val="000000" w:themeColor="text1"/>
          <w:sz w:val="20"/>
          <w:szCs w:val="20"/>
          <w:lang w:val="es-ES_tradnl"/>
        </w:rPr>
        <w:t>Los contratos de comodato existentes, y que hayan sido celebrados por las entidades públicas con personas distintas de las señaladas en el inciso anterior, serán renegociados por las primeras para limitar su término a tres (3) años renovables, contados a partir de la promulgación de la presente Ley”. (Énfasis fuera de texto)</w:t>
      </w:r>
    </w:p>
    <w:p w14:paraId="5F50B80D" w14:textId="77777777" w:rsidR="002B62E0" w:rsidRPr="00222802" w:rsidRDefault="002B62E0" w:rsidP="002B62E0">
      <w:pPr>
        <w:pStyle w:val="Prrafodelista"/>
        <w:spacing w:after="0" w:line="276" w:lineRule="auto"/>
        <w:contextualSpacing w:val="0"/>
        <w:jc w:val="both"/>
        <w:rPr>
          <w:rFonts w:ascii="Verdana" w:eastAsia="Calibri" w:hAnsi="Verdana" w:cs="Arial"/>
          <w:bCs/>
          <w:color w:val="000000" w:themeColor="text1"/>
          <w:lang w:val="es-ES_tradnl"/>
        </w:rPr>
      </w:pPr>
    </w:p>
    <w:p w14:paraId="36B1AC35" w14:textId="77777777" w:rsidR="002B62E0" w:rsidRPr="00222802" w:rsidRDefault="002B62E0" w:rsidP="002B62E0">
      <w:pPr>
        <w:tabs>
          <w:tab w:val="left" w:pos="8789"/>
        </w:tabs>
        <w:spacing w:after="120" w:line="276" w:lineRule="auto"/>
        <w:ind w:right="51" w:firstLine="709"/>
        <w:mirrorIndents/>
        <w:jc w:val="both"/>
        <w:rPr>
          <w:rFonts w:ascii="Verdana" w:eastAsia="Calibri" w:hAnsi="Verdana" w:cs="Arial"/>
          <w:bCs/>
          <w:color w:val="000000" w:themeColor="text1"/>
        </w:rPr>
      </w:pPr>
      <w:r>
        <w:rPr>
          <w:rFonts w:ascii="Verdana" w:eastAsia="Calibri" w:hAnsi="Verdana" w:cs="Arial"/>
          <w:bCs/>
          <w:color w:val="000000" w:themeColor="text1"/>
        </w:rPr>
        <w:t>Esta norma</w:t>
      </w:r>
      <w:r w:rsidRPr="00222802">
        <w:rPr>
          <w:rFonts w:ascii="Verdana" w:eastAsia="Calibri" w:hAnsi="Verdana" w:cs="Arial"/>
          <w:bCs/>
          <w:color w:val="000000" w:themeColor="text1"/>
        </w:rPr>
        <w:t xml:space="preserve"> </w:t>
      </w:r>
      <w:r>
        <w:rPr>
          <w:rFonts w:ascii="Verdana" w:eastAsia="Calibri" w:hAnsi="Verdana" w:cs="Arial"/>
          <w:bCs/>
          <w:color w:val="000000" w:themeColor="text1"/>
        </w:rPr>
        <w:t xml:space="preserve">es congruente con </w:t>
      </w:r>
      <w:r w:rsidRPr="00222802">
        <w:rPr>
          <w:rFonts w:ascii="Verdana" w:eastAsia="Calibri" w:hAnsi="Verdana" w:cs="Arial"/>
          <w:bCs/>
          <w:color w:val="000000" w:themeColor="text1"/>
        </w:rPr>
        <w:t xml:space="preserve">el artículo 355 de la Constitución Política de 1991, el cual dispone que </w:t>
      </w:r>
      <w:r>
        <w:rPr>
          <w:rFonts w:ascii="Verdana" w:eastAsia="Calibri" w:hAnsi="Verdana" w:cs="Arial"/>
          <w:bCs/>
          <w:color w:val="000000" w:themeColor="text1"/>
        </w:rPr>
        <w:t>“</w:t>
      </w:r>
      <w:r w:rsidRPr="00222802">
        <w:rPr>
          <w:rFonts w:ascii="Verdana" w:eastAsia="Calibri" w:hAnsi="Verdana" w:cs="Arial"/>
          <w:bCs/>
          <w:color w:val="000000" w:themeColor="text1"/>
        </w:rPr>
        <w:t xml:space="preserve">Ninguna de las ramas u órganos del poder público podrá decretar auxilios o donaciones en favor de personas naturales o jurídicas </w:t>
      </w:r>
      <w:r w:rsidRPr="00222802">
        <w:rPr>
          <w:rFonts w:ascii="Verdana" w:eastAsia="Calibri" w:hAnsi="Verdana" w:cs="Arial"/>
          <w:bCs/>
          <w:color w:val="000000" w:themeColor="text1"/>
        </w:rPr>
        <w:lastRenderedPageBreak/>
        <w:t>de derecho privado</w:t>
      </w:r>
      <w:r>
        <w:rPr>
          <w:rFonts w:ascii="Verdana" w:eastAsia="Calibri" w:hAnsi="Verdana" w:cs="Arial"/>
          <w:bCs/>
          <w:color w:val="000000" w:themeColor="text1"/>
        </w:rPr>
        <w:t>”</w:t>
      </w:r>
      <w:r w:rsidRPr="00222802">
        <w:rPr>
          <w:rFonts w:ascii="Verdana" w:eastAsia="Calibri" w:hAnsi="Verdana" w:cs="Arial"/>
          <w:bCs/>
          <w:color w:val="000000" w:themeColor="text1"/>
        </w:rPr>
        <w:t>.</w:t>
      </w:r>
      <w:r>
        <w:rPr>
          <w:rFonts w:ascii="Verdana" w:eastAsia="Calibri" w:hAnsi="Verdana" w:cs="Arial"/>
          <w:bCs/>
          <w:color w:val="000000" w:themeColor="text1"/>
        </w:rPr>
        <w:t xml:space="preserve"> No obstante, el inciso segundo también señala lo siguiente: “</w:t>
      </w:r>
      <w:r w:rsidRPr="00CE3BCB">
        <w:rPr>
          <w:rFonts w:ascii="Verdana" w:eastAsia="Calibri" w:hAnsi="Verdana" w:cs="Arial"/>
          <w:bCs/>
          <w:color w:val="000000" w:themeColor="text1"/>
        </w:rPr>
        <w:t>El Gobierno, en los niveles nacional, departamental, distrital y municipal podrá, con recursos de los respectivos presupuestos, celebrará contratos con entidades privadas sin ánimo de lucro y de reconocida idoneidad con el fin de impulsar programas y actividades de interés público acordes con el Plan Nacional y con los planes seccionales de Desarrollo</w:t>
      </w:r>
      <w:r>
        <w:rPr>
          <w:rFonts w:ascii="Verdana" w:eastAsia="Calibri" w:hAnsi="Verdana" w:cs="Arial"/>
          <w:bCs/>
          <w:color w:val="000000" w:themeColor="text1"/>
        </w:rPr>
        <w:t xml:space="preserve"> […]”</w:t>
      </w:r>
      <w:r w:rsidRPr="00CE3BCB">
        <w:rPr>
          <w:rFonts w:ascii="Verdana" w:eastAsia="Calibri" w:hAnsi="Verdana" w:cs="Arial"/>
          <w:bCs/>
          <w:color w:val="000000" w:themeColor="text1"/>
        </w:rPr>
        <w:t>.</w:t>
      </w:r>
    </w:p>
    <w:p w14:paraId="59282CCB" w14:textId="77777777" w:rsidR="002B62E0" w:rsidRPr="00222802" w:rsidRDefault="002B62E0" w:rsidP="002B62E0">
      <w:pPr>
        <w:widowControl w:val="0"/>
        <w:tabs>
          <w:tab w:val="left" w:pos="8789"/>
        </w:tabs>
        <w:autoSpaceDE w:val="0"/>
        <w:autoSpaceDN w:val="0"/>
        <w:spacing w:after="120" w:line="276" w:lineRule="auto"/>
        <w:ind w:firstLine="709"/>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Mediante </w:t>
      </w:r>
      <w:r>
        <w:rPr>
          <w:rFonts w:ascii="Verdana" w:eastAsia="Calibri" w:hAnsi="Verdana" w:cs="Arial"/>
          <w:bCs/>
          <w:color w:val="000000" w:themeColor="text1"/>
        </w:rPr>
        <w:t>C</w:t>
      </w:r>
      <w:r w:rsidRPr="00222802">
        <w:rPr>
          <w:rFonts w:ascii="Verdana" w:eastAsia="Calibri" w:hAnsi="Verdana" w:cs="Arial"/>
          <w:bCs/>
          <w:color w:val="000000" w:themeColor="text1"/>
        </w:rPr>
        <w:t>oncepto</w:t>
      </w:r>
      <w:r>
        <w:rPr>
          <w:rFonts w:ascii="Verdana" w:eastAsia="Calibri" w:hAnsi="Verdana" w:cs="Arial"/>
          <w:bCs/>
          <w:color w:val="000000" w:themeColor="text1"/>
        </w:rPr>
        <w:t xml:space="preserve"> </w:t>
      </w:r>
      <w:r w:rsidRPr="00222802">
        <w:rPr>
          <w:rFonts w:ascii="Verdana" w:eastAsia="Calibri" w:hAnsi="Verdana" w:cs="Arial"/>
          <w:bCs/>
          <w:color w:val="000000" w:themeColor="text1"/>
        </w:rPr>
        <w:t xml:space="preserve">415140000909 de 2015, la </w:t>
      </w:r>
      <w:r w:rsidRPr="002964EC">
        <w:rPr>
          <w:rFonts w:ascii="Verdana" w:eastAsia="Calibri" w:hAnsi="Verdana" w:cs="Arial"/>
          <w:bCs/>
          <w:color w:val="000000" w:themeColor="text1"/>
        </w:rPr>
        <w:t>Agencia Nacional de Contratación Pública - Colombia Compra Eficiente</w:t>
      </w:r>
      <w:r w:rsidRPr="00937B31" w:rsidDel="00937B31">
        <w:rPr>
          <w:rFonts w:ascii="Verdana" w:eastAsia="Calibri" w:hAnsi="Verdana" w:cs="Arial"/>
          <w:bCs/>
          <w:color w:val="000000" w:themeColor="text1"/>
        </w:rPr>
        <w:t xml:space="preserve"> </w:t>
      </w:r>
      <w:r w:rsidRPr="00222802">
        <w:rPr>
          <w:rFonts w:ascii="Verdana" w:eastAsia="Calibri" w:hAnsi="Verdana" w:cs="Arial"/>
          <w:bCs/>
          <w:color w:val="000000" w:themeColor="text1"/>
        </w:rPr>
        <w:t xml:space="preserve">explicó que el artículo 38 de la Ley 9 de 1989 contiene una restricción al texto constitucional del artículo 355, toda vez que tratándose de bienes inmuebles establece dos (2) condiciones a las que están sujetas las entidades estatales para celebrar el contrato de comodato: i) el tiempo de duración del contrato y </w:t>
      </w:r>
      <w:proofErr w:type="spellStart"/>
      <w:r w:rsidRPr="00222802">
        <w:rPr>
          <w:rFonts w:ascii="Verdana" w:eastAsia="Calibri" w:hAnsi="Verdana" w:cs="Arial"/>
          <w:bCs/>
          <w:color w:val="000000" w:themeColor="text1"/>
        </w:rPr>
        <w:t>ii</w:t>
      </w:r>
      <w:proofErr w:type="spellEnd"/>
      <w:r w:rsidRPr="00222802">
        <w:rPr>
          <w:rFonts w:ascii="Verdana" w:eastAsia="Calibri" w:hAnsi="Verdana" w:cs="Arial"/>
          <w:bCs/>
          <w:color w:val="000000" w:themeColor="text1"/>
        </w:rPr>
        <w:t xml:space="preserve">) las personas con las cuales puede celebrarlo. Con fundamento en la misma norma, precisó que esta no establece restricción frente al contrato de comodato de bienes muebles, por tanto, las entidades estatales podrían celebrar contratos de comodato entre sí, de acuerdo con las reglas del Código Civil dispuestas entre los artículos 2200 al 2220. </w:t>
      </w:r>
    </w:p>
    <w:p w14:paraId="754B42C8" w14:textId="77777777" w:rsidR="002B62E0" w:rsidRPr="00222802" w:rsidRDefault="002B62E0" w:rsidP="002B62E0">
      <w:pPr>
        <w:widowControl w:val="0"/>
        <w:tabs>
          <w:tab w:val="left" w:pos="8789"/>
        </w:tabs>
        <w:autoSpaceDE w:val="0"/>
        <w:autoSpaceDN w:val="0"/>
        <w:spacing w:after="120" w:line="276" w:lineRule="auto"/>
        <w:ind w:firstLine="709"/>
        <w:jc w:val="both"/>
        <w:rPr>
          <w:rFonts w:ascii="Verdana" w:hAnsi="Verdana" w:cs="Arial"/>
          <w:color w:val="000000" w:themeColor="text1"/>
        </w:rPr>
      </w:pPr>
      <w:bookmarkStart w:id="7" w:name="_Hlk121751380"/>
      <w:r w:rsidRPr="00222802">
        <w:rPr>
          <w:rFonts w:ascii="Verdana" w:eastAsia="Calibri" w:hAnsi="Verdana" w:cs="Arial"/>
          <w:bCs/>
          <w:color w:val="000000" w:themeColor="text1"/>
        </w:rPr>
        <w:t xml:space="preserve">El supuesto antes </w:t>
      </w:r>
      <w:r>
        <w:rPr>
          <w:rFonts w:ascii="Verdana" w:eastAsia="Calibri" w:hAnsi="Verdana" w:cs="Arial"/>
          <w:bCs/>
          <w:color w:val="000000" w:themeColor="text1"/>
        </w:rPr>
        <w:t>descrito</w:t>
      </w:r>
      <w:r w:rsidRPr="00222802">
        <w:rPr>
          <w:rFonts w:ascii="Verdana" w:eastAsia="Calibri" w:hAnsi="Verdana" w:cs="Arial"/>
          <w:bCs/>
          <w:color w:val="000000" w:themeColor="text1"/>
        </w:rPr>
        <w:t xml:space="preserve"> hace referencia al caso cuando la entidad estatal tiene la condición de comodante</w:t>
      </w:r>
      <w:r>
        <w:rPr>
          <w:rFonts w:ascii="Verdana" w:eastAsia="Calibri" w:hAnsi="Verdana" w:cs="Arial"/>
          <w:bCs/>
          <w:color w:val="000000" w:themeColor="text1"/>
        </w:rPr>
        <w:t>.</w:t>
      </w:r>
      <w:r w:rsidRPr="00222802">
        <w:rPr>
          <w:rFonts w:ascii="Verdana" w:eastAsia="Calibri" w:hAnsi="Verdana" w:cs="Arial"/>
          <w:bCs/>
          <w:color w:val="000000" w:themeColor="text1"/>
        </w:rPr>
        <w:t xml:space="preserve"> </w:t>
      </w:r>
      <w:r>
        <w:rPr>
          <w:rFonts w:ascii="Verdana" w:eastAsia="Calibri" w:hAnsi="Verdana" w:cs="Arial"/>
          <w:bCs/>
          <w:color w:val="000000" w:themeColor="text1"/>
        </w:rPr>
        <w:t>E</w:t>
      </w:r>
      <w:r w:rsidRPr="00222802">
        <w:rPr>
          <w:rFonts w:ascii="Verdana" w:eastAsia="Calibri" w:hAnsi="Verdana" w:cs="Arial"/>
          <w:bCs/>
          <w:color w:val="000000" w:themeColor="text1"/>
        </w:rPr>
        <w:t xml:space="preserve">s decir, cuando la entidad tiene el dominio de la cosa y la entrega a otra persona –que deben ser a otras entidades públicas, sindicatos, cooperativas, asociaciones y fundaciones que no repartan utilidades entre sus asociados o fundadores ni adjudiquen sus activos en el momento de su liquidación a los mismos, juntas de acción comunal, fondos de empleados, conforme lo expuesto anteriormente– para que esta haga uso de ella. </w:t>
      </w:r>
    </w:p>
    <w:bookmarkEnd w:id="7"/>
    <w:p w14:paraId="634DE718" w14:textId="77777777" w:rsidR="002B62E0" w:rsidRDefault="002B62E0" w:rsidP="002B62E0">
      <w:pPr>
        <w:widowControl w:val="0"/>
        <w:autoSpaceDE w:val="0"/>
        <w:autoSpaceDN w:val="0"/>
        <w:spacing w:after="0" w:line="276" w:lineRule="auto"/>
        <w:ind w:firstLine="709"/>
        <w:jc w:val="both"/>
        <w:rPr>
          <w:rFonts w:ascii="Verdana" w:hAnsi="Verdana" w:cs="Arial"/>
          <w:color w:val="000000" w:themeColor="text1"/>
        </w:rPr>
      </w:pPr>
      <w:r w:rsidRPr="00222802">
        <w:rPr>
          <w:rFonts w:ascii="Verdana" w:hAnsi="Verdana" w:cs="Arial"/>
          <w:color w:val="000000" w:themeColor="text1"/>
        </w:rPr>
        <w:t xml:space="preserve">En síntesis, i) 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por un término máximo de cinco (5) años, renovables, de acuerdo con el artículo 38 de la Ley 9 de 1989; </w:t>
      </w:r>
      <w:proofErr w:type="spellStart"/>
      <w:r w:rsidRPr="00222802">
        <w:rPr>
          <w:rFonts w:ascii="Verdana" w:hAnsi="Verdana" w:cs="Arial"/>
          <w:color w:val="000000" w:themeColor="text1"/>
        </w:rPr>
        <w:t>ii</w:t>
      </w:r>
      <w:proofErr w:type="spellEnd"/>
      <w:r w:rsidRPr="00222802">
        <w:rPr>
          <w:rFonts w:ascii="Verdana" w:hAnsi="Verdana" w:cs="Arial"/>
          <w:color w:val="000000" w:themeColor="text1"/>
        </w:rPr>
        <w:t>)</w:t>
      </w:r>
      <w:r>
        <w:rPr>
          <w:rFonts w:ascii="Verdana" w:hAnsi="Verdana" w:cs="Arial"/>
          <w:color w:val="000000" w:themeColor="text1"/>
        </w:rPr>
        <w:t xml:space="preserve"> l</w:t>
      </w:r>
      <w:r w:rsidRPr="00222802">
        <w:rPr>
          <w:rFonts w:ascii="Verdana" w:hAnsi="Verdana" w:cs="Arial"/>
          <w:color w:val="000000" w:themeColor="text1"/>
        </w:rPr>
        <w:t>as entidades estatales pueden celebrar contrato</w:t>
      </w:r>
      <w:r>
        <w:rPr>
          <w:rFonts w:ascii="Verdana" w:hAnsi="Verdana" w:cs="Arial"/>
          <w:color w:val="000000" w:themeColor="text1"/>
        </w:rPr>
        <w:t>s</w:t>
      </w:r>
      <w:r w:rsidRPr="00222802">
        <w:rPr>
          <w:rFonts w:ascii="Verdana" w:hAnsi="Verdana" w:cs="Arial"/>
          <w:color w:val="000000" w:themeColor="text1"/>
        </w:rPr>
        <w:t xml:space="preserve"> de comodato de bienes muebles entre sí, de acuerdo con las reglas del Código Civil; </w:t>
      </w:r>
      <w:proofErr w:type="spellStart"/>
      <w:r w:rsidRPr="00222802">
        <w:rPr>
          <w:rFonts w:ascii="Verdana" w:hAnsi="Verdana" w:cs="Arial"/>
          <w:color w:val="000000" w:themeColor="text1"/>
        </w:rPr>
        <w:t>iii</w:t>
      </w:r>
      <w:proofErr w:type="spellEnd"/>
      <w:r w:rsidRPr="00222802">
        <w:rPr>
          <w:rFonts w:ascii="Verdana" w:hAnsi="Verdana" w:cs="Arial"/>
          <w:color w:val="000000" w:themeColor="text1"/>
        </w:rPr>
        <w:t xml:space="preserve">) en virtud del artículo 355 de la Constitución Política, las entidades estatales pueden entregar en comodato sus bienes muebles a entidades privadas sin ánimo de lucro, y el tiempo de duración </w:t>
      </w:r>
      <w:r w:rsidRPr="00222802">
        <w:rPr>
          <w:rFonts w:ascii="Verdana" w:hAnsi="Verdana" w:cs="Arial"/>
          <w:color w:val="000000" w:themeColor="text1"/>
        </w:rPr>
        <w:lastRenderedPageBreak/>
        <w:t xml:space="preserve">del contrato estará sujeto en todo caso a la actividad misional de la respectiva entidad estatal de acuerdo con lo previsto en el artículo 96 de la Ley 489 de 1998 y; </w:t>
      </w:r>
      <w:proofErr w:type="spellStart"/>
      <w:r w:rsidRPr="00222802">
        <w:rPr>
          <w:rFonts w:ascii="Verdana" w:hAnsi="Verdana" w:cs="Arial"/>
          <w:color w:val="000000" w:themeColor="text1"/>
        </w:rPr>
        <w:t>iv</w:t>
      </w:r>
      <w:proofErr w:type="spellEnd"/>
      <w:r w:rsidRPr="00222802">
        <w:rPr>
          <w:rFonts w:ascii="Verdana" w:hAnsi="Verdana" w:cs="Arial"/>
          <w:color w:val="000000" w:themeColor="text1"/>
        </w:rPr>
        <w:t>) las entidades estatales pueden celebrar contratos de comodato con privados, actuando en calidad de comodatarias, caso en el cual no tienen restricción normativa para celebrar este tipo de contratos, con fundamento en la autonomía de la voluntad que establece el artículo 32 de la Ley 80 de 1993, sin perjuicio del cumplimiento de los principios constitucionales aplicables a la función administrativa y los de la contratación estatal. En estos eventos</w:t>
      </w:r>
      <w:r>
        <w:rPr>
          <w:rFonts w:ascii="Verdana" w:hAnsi="Verdana" w:cs="Arial"/>
          <w:color w:val="000000" w:themeColor="text1"/>
        </w:rPr>
        <w:t>, sin perjuicio de las reglas especiales previstas en el EGCAP,</w:t>
      </w:r>
      <w:r w:rsidRPr="00222802">
        <w:rPr>
          <w:rFonts w:ascii="Verdana" w:hAnsi="Verdana" w:cs="Arial"/>
          <w:color w:val="000000" w:themeColor="text1"/>
        </w:rPr>
        <w:t xml:space="preserve"> el tipo contractual se rige </w:t>
      </w:r>
      <w:r>
        <w:rPr>
          <w:rFonts w:ascii="Verdana" w:hAnsi="Verdana" w:cs="Arial"/>
          <w:color w:val="000000" w:themeColor="text1"/>
        </w:rPr>
        <w:t>por</w:t>
      </w:r>
      <w:r w:rsidRPr="00222802">
        <w:rPr>
          <w:rFonts w:ascii="Verdana" w:hAnsi="Verdana" w:cs="Arial"/>
          <w:color w:val="000000" w:themeColor="text1"/>
        </w:rPr>
        <w:t xml:space="preserve"> los artículos 2200 al 2220, dada la remisión expresa </w:t>
      </w:r>
      <w:r>
        <w:rPr>
          <w:rFonts w:ascii="Verdana" w:hAnsi="Verdana" w:cs="Arial"/>
          <w:color w:val="000000" w:themeColor="text1"/>
        </w:rPr>
        <w:t>d</w:t>
      </w:r>
      <w:r w:rsidRPr="00222802">
        <w:rPr>
          <w:rFonts w:ascii="Verdana" w:hAnsi="Verdana" w:cs="Arial"/>
          <w:color w:val="000000" w:themeColor="text1"/>
        </w:rPr>
        <w:t xml:space="preserve">el artículo 13 de la Ley 80 de 1993 en cuanto al régimen </w:t>
      </w:r>
      <w:r>
        <w:rPr>
          <w:rFonts w:ascii="Verdana" w:hAnsi="Verdana" w:cs="Arial"/>
          <w:color w:val="000000" w:themeColor="text1"/>
        </w:rPr>
        <w:t>aplicable</w:t>
      </w:r>
      <w:r w:rsidRPr="00222802">
        <w:rPr>
          <w:rFonts w:ascii="Verdana" w:hAnsi="Verdana" w:cs="Arial"/>
          <w:color w:val="000000" w:themeColor="text1"/>
        </w:rPr>
        <w:t xml:space="preserve"> a los contratos estatales.</w:t>
      </w:r>
    </w:p>
    <w:p w14:paraId="3EA7680C" w14:textId="77777777" w:rsidR="002B62E0" w:rsidRDefault="002B62E0" w:rsidP="002B62E0">
      <w:pPr>
        <w:widowControl w:val="0"/>
        <w:autoSpaceDE w:val="0"/>
        <w:autoSpaceDN w:val="0"/>
        <w:spacing w:after="0" w:line="276" w:lineRule="auto"/>
        <w:jc w:val="both"/>
        <w:rPr>
          <w:rFonts w:ascii="Verdana" w:hAnsi="Verdana" w:cs="Arial"/>
          <w:color w:val="000000" w:themeColor="text1"/>
        </w:rPr>
      </w:pPr>
    </w:p>
    <w:p w14:paraId="374F7684" w14:textId="77777777" w:rsidR="002B62E0" w:rsidRPr="007524C4" w:rsidRDefault="002B62E0" w:rsidP="002B62E0">
      <w:pPr>
        <w:widowControl w:val="0"/>
        <w:autoSpaceDE w:val="0"/>
        <w:autoSpaceDN w:val="0"/>
        <w:spacing w:after="120" w:line="276" w:lineRule="auto"/>
        <w:jc w:val="both"/>
        <w:rPr>
          <w:rFonts w:ascii="Verdana" w:eastAsia="Arial" w:hAnsi="Verdana" w:cs="Arial"/>
          <w:lang w:eastAsia="es-ES" w:bidi="es-ES"/>
        </w:rPr>
      </w:pPr>
      <w:proofErr w:type="spellStart"/>
      <w:r>
        <w:rPr>
          <w:rFonts w:ascii="Verdana" w:hAnsi="Verdana" w:cs="Arial"/>
          <w:color w:val="000000" w:themeColor="text1"/>
        </w:rPr>
        <w:t>ii</w:t>
      </w:r>
      <w:proofErr w:type="spellEnd"/>
      <w:r>
        <w:rPr>
          <w:rFonts w:ascii="Verdana" w:hAnsi="Verdana" w:cs="Arial"/>
          <w:color w:val="000000" w:themeColor="text1"/>
        </w:rPr>
        <w:t>) Ahora bien, l</w:t>
      </w:r>
      <w:r w:rsidRPr="007524C4">
        <w:rPr>
          <w:rFonts w:ascii="Verdana" w:eastAsia="Arial" w:hAnsi="Verdana" w:cs="Arial"/>
          <w:lang w:eastAsia="es-ES" w:bidi="es-ES"/>
        </w:rPr>
        <w:t>as autorizaciones para contratar comportan una forma de participación de las corporaciones de elección popular en la actividad contractual de la administración. Son varias las disposiciones que se encuentran en la Constitución Política al respecto. Así, el numeral 9 del artículo 150 de Carta prescribe que corresponde al Congreso “conceder autorizaciones al Gobierno para celebrar contratos, negociar empréstitos y enajenar bienes nacionales”. De manera similar, el numeral 9 del artículo 300 atribuye a las asambleas departamentales la competencia de “autorizar al gobernador del departamento para celebrar contratos, negociar empréstitos, enajenar bienes”. Y el numeral 3 del artículo 313 prevé lo propio en el ámbito municipal, cuando establece que corresponde a los concejos “autorizar al alcalde para celebrar contratos”</w:t>
      </w:r>
      <w:r w:rsidRPr="007524C4">
        <w:rPr>
          <w:rFonts w:ascii="Verdana" w:eastAsia="Arial" w:hAnsi="Verdana" w:cs="Arial"/>
          <w:vertAlign w:val="superscript"/>
          <w:lang w:eastAsia="es-ES" w:bidi="es-ES"/>
        </w:rPr>
        <w:footnoteReference w:id="6"/>
      </w:r>
      <w:r w:rsidRPr="007524C4">
        <w:rPr>
          <w:rFonts w:ascii="Verdana" w:eastAsia="Arial" w:hAnsi="Verdana" w:cs="Arial"/>
          <w:lang w:eastAsia="es-ES" w:bidi="es-ES"/>
        </w:rPr>
        <w:t xml:space="preserve">. </w:t>
      </w:r>
    </w:p>
    <w:p w14:paraId="7E827DD7" w14:textId="77777777" w:rsidR="002B62E0" w:rsidRPr="007C4BB0" w:rsidRDefault="002B62E0" w:rsidP="002B62E0">
      <w:pPr>
        <w:widowControl w:val="0"/>
        <w:autoSpaceDE w:val="0"/>
        <w:autoSpaceDN w:val="0"/>
        <w:spacing w:after="0" w:line="276" w:lineRule="auto"/>
        <w:ind w:firstLine="709"/>
        <w:jc w:val="both"/>
        <w:rPr>
          <w:rFonts w:ascii="Verdana" w:hAnsi="Verdana" w:cs="Arial"/>
          <w:color w:val="000000" w:themeColor="text1"/>
        </w:rPr>
      </w:pPr>
      <w:r>
        <w:rPr>
          <w:rFonts w:ascii="Verdana" w:hAnsi="Verdana" w:cs="Arial"/>
          <w:color w:val="000000" w:themeColor="text1"/>
        </w:rPr>
        <w:t>En congruencia con el artículo 313 numeral 3 de la Constitución Política, el artículo 167 del Decreto 1333 de 1986 dispone que “</w:t>
      </w:r>
      <w:r w:rsidRPr="007C4BB0">
        <w:rPr>
          <w:rFonts w:ascii="Verdana" w:hAnsi="Verdana" w:cs="Arial"/>
          <w:color w:val="000000" w:themeColor="text1"/>
        </w:rPr>
        <w:t>La administración y disposición de bienes inmuebles municipales, incluyendo los ejidos, estarán sujetas a las normas que dicten los Concejos Municipales</w:t>
      </w:r>
      <w:r>
        <w:rPr>
          <w:rFonts w:ascii="Verdana" w:hAnsi="Verdana" w:cs="Arial"/>
          <w:color w:val="000000" w:themeColor="text1"/>
        </w:rPr>
        <w:t>”</w:t>
      </w:r>
      <w:r w:rsidRPr="007C4BB0">
        <w:rPr>
          <w:rFonts w:ascii="Verdana" w:hAnsi="Verdana" w:cs="Arial"/>
          <w:color w:val="000000" w:themeColor="text1"/>
        </w:rPr>
        <w:t>.</w:t>
      </w:r>
      <w:r>
        <w:rPr>
          <w:rFonts w:ascii="Verdana" w:hAnsi="Verdana" w:cs="Arial"/>
          <w:color w:val="000000" w:themeColor="text1"/>
        </w:rPr>
        <w:t xml:space="preserve"> </w:t>
      </w:r>
      <w:r w:rsidRPr="007C4BB0">
        <w:rPr>
          <w:rFonts w:ascii="Verdana" w:hAnsi="Verdana" w:cs="Arial"/>
          <w:color w:val="000000" w:themeColor="text1"/>
        </w:rPr>
        <w:t xml:space="preserve">En el mismo sentido, </w:t>
      </w:r>
      <w:r w:rsidRPr="007C4BB0">
        <w:rPr>
          <w:rFonts w:ascii="Verdana" w:hAnsi="Verdana" w:cs="Arial"/>
        </w:rPr>
        <w:t>el artículo 32 de la Ley 136 de 1994, modificado por el artículo 18 de la Ley 1551 de 2012, establece lo siguiente:</w:t>
      </w:r>
    </w:p>
    <w:p w14:paraId="6F22A3C7" w14:textId="77777777" w:rsidR="002B62E0" w:rsidRPr="007C4BB0" w:rsidRDefault="002B62E0" w:rsidP="002B62E0">
      <w:pPr>
        <w:pStyle w:val="Textoindependiente"/>
        <w:spacing w:after="0"/>
        <w:jc w:val="both"/>
        <w:rPr>
          <w:rFonts w:ascii="Verdana" w:hAnsi="Verdana"/>
        </w:rPr>
      </w:pPr>
    </w:p>
    <w:p w14:paraId="1EF2011B" w14:textId="77777777" w:rsidR="002B62E0" w:rsidRPr="002964EC" w:rsidRDefault="002B62E0" w:rsidP="002B62E0">
      <w:pPr>
        <w:pStyle w:val="Textoindependiente"/>
        <w:spacing w:after="0" w:line="240" w:lineRule="auto"/>
        <w:ind w:left="808" w:right="849"/>
        <w:jc w:val="both"/>
        <w:rPr>
          <w:rFonts w:ascii="Verdana" w:hAnsi="Verdana"/>
          <w:sz w:val="20"/>
          <w:szCs w:val="20"/>
        </w:rPr>
      </w:pPr>
      <w:r w:rsidRPr="002964EC">
        <w:rPr>
          <w:rFonts w:ascii="Verdana" w:hAnsi="Verdana"/>
          <w:sz w:val="20"/>
          <w:szCs w:val="20"/>
        </w:rPr>
        <w:t>“Además de las funciones que se le señalan en la Constitución y la ley, son atribuciones de los concejos las siguientes.</w:t>
      </w:r>
    </w:p>
    <w:p w14:paraId="45212D5E" w14:textId="77777777" w:rsidR="002B62E0" w:rsidRPr="002964EC" w:rsidRDefault="002B62E0" w:rsidP="002B62E0">
      <w:pPr>
        <w:pStyle w:val="Textoindependiente"/>
        <w:spacing w:after="0" w:line="240" w:lineRule="auto"/>
        <w:ind w:left="808" w:right="849"/>
        <w:jc w:val="both"/>
        <w:rPr>
          <w:rFonts w:ascii="Verdana" w:hAnsi="Verdana"/>
          <w:sz w:val="20"/>
          <w:szCs w:val="20"/>
        </w:rPr>
      </w:pPr>
      <w:r w:rsidRPr="002964EC">
        <w:rPr>
          <w:rFonts w:ascii="Verdana" w:hAnsi="Verdana"/>
          <w:sz w:val="20"/>
          <w:szCs w:val="20"/>
        </w:rPr>
        <w:t>[…]</w:t>
      </w:r>
    </w:p>
    <w:p w14:paraId="24D650B5" w14:textId="77777777" w:rsidR="002B62E0" w:rsidRPr="002964EC" w:rsidRDefault="002B62E0" w:rsidP="002B62E0">
      <w:pPr>
        <w:pStyle w:val="Textoindependiente"/>
        <w:spacing w:after="0" w:line="240" w:lineRule="auto"/>
        <w:ind w:right="849"/>
        <w:jc w:val="both"/>
        <w:rPr>
          <w:rFonts w:ascii="Verdana" w:hAnsi="Verdana"/>
          <w:sz w:val="20"/>
          <w:szCs w:val="20"/>
        </w:rPr>
      </w:pPr>
    </w:p>
    <w:p w14:paraId="4CE2F643" w14:textId="77777777" w:rsidR="002B62E0" w:rsidRPr="002964EC" w:rsidRDefault="002B62E0" w:rsidP="002B62E0">
      <w:pPr>
        <w:pStyle w:val="Textoindependiente"/>
        <w:spacing w:after="0" w:line="240" w:lineRule="auto"/>
        <w:ind w:left="808" w:right="849"/>
        <w:jc w:val="both"/>
        <w:rPr>
          <w:rFonts w:ascii="Verdana" w:hAnsi="Verdana"/>
          <w:sz w:val="20"/>
          <w:szCs w:val="20"/>
        </w:rPr>
      </w:pPr>
      <w:r w:rsidRPr="002964EC">
        <w:rPr>
          <w:rFonts w:ascii="Verdana" w:hAnsi="Verdana"/>
          <w:sz w:val="20"/>
          <w:szCs w:val="20"/>
        </w:rPr>
        <w:t>3. Reglamentar la autorización al alcalde para contratar, señalando los casos en que requiere autorización previa del Concejo.</w:t>
      </w:r>
    </w:p>
    <w:p w14:paraId="3A0E3F42" w14:textId="77777777" w:rsidR="002B62E0" w:rsidRPr="002964EC" w:rsidRDefault="002B62E0" w:rsidP="002B62E0">
      <w:pPr>
        <w:pStyle w:val="Textoindependiente"/>
        <w:spacing w:after="0" w:line="240" w:lineRule="auto"/>
        <w:ind w:left="805" w:right="851"/>
        <w:jc w:val="both"/>
        <w:rPr>
          <w:rFonts w:ascii="Verdana" w:hAnsi="Verdana"/>
          <w:sz w:val="20"/>
          <w:szCs w:val="20"/>
        </w:rPr>
      </w:pPr>
      <w:r w:rsidRPr="002964EC">
        <w:rPr>
          <w:rFonts w:ascii="Verdana" w:hAnsi="Verdana"/>
          <w:sz w:val="20"/>
          <w:szCs w:val="20"/>
        </w:rPr>
        <w:t>[…]</w:t>
      </w:r>
    </w:p>
    <w:p w14:paraId="4F9D956D" w14:textId="77777777" w:rsidR="002B62E0" w:rsidRPr="002964EC" w:rsidRDefault="002B62E0" w:rsidP="002B62E0">
      <w:pPr>
        <w:pStyle w:val="Textoindependiente"/>
        <w:spacing w:after="0" w:line="240" w:lineRule="auto"/>
        <w:ind w:left="805" w:right="851"/>
        <w:jc w:val="both"/>
        <w:rPr>
          <w:rFonts w:ascii="Verdana" w:hAnsi="Verdana"/>
          <w:sz w:val="20"/>
          <w:szCs w:val="20"/>
        </w:rPr>
      </w:pPr>
      <w:r w:rsidRPr="002964EC">
        <w:rPr>
          <w:rFonts w:ascii="Verdana" w:hAnsi="Verdana"/>
          <w:sz w:val="20"/>
          <w:szCs w:val="20"/>
        </w:rPr>
        <w:lastRenderedPageBreak/>
        <w:t>Parágrafo 4°. De conformidad con el numeral 3 del artículo 313 de la Constitución Política, el Concejo Municipal o Distrital deberá decidir sobre la autorización al alcalde para contratar en los siguientes casos:</w:t>
      </w:r>
    </w:p>
    <w:p w14:paraId="6B7A5741" w14:textId="77777777" w:rsidR="002B62E0" w:rsidRPr="002964EC" w:rsidRDefault="002B62E0" w:rsidP="002B62E0">
      <w:pPr>
        <w:pStyle w:val="Prrafodelista"/>
        <w:widowControl w:val="0"/>
        <w:numPr>
          <w:ilvl w:val="0"/>
          <w:numId w:val="5"/>
        </w:numPr>
        <w:tabs>
          <w:tab w:val="left" w:pos="1029"/>
        </w:tabs>
        <w:autoSpaceDE w:val="0"/>
        <w:autoSpaceDN w:val="0"/>
        <w:spacing w:after="0" w:line="240" w:lineRule="auto"/>
        <w:ind w:left="1026" w:right="849"/>
        <w:contextualSpacing w:val="0"/>
        <w:jc w:val="both"/>
        <w:rPr>
          <w:rFonts w:ascii="Verdana" w:hAnsi="Verdana" w:cs="Arial"/>
          <w:sz w:val="20"/>
          <w:szCs w:val="20"/>
        </w:rPr>
      </w:pPr>
      <w:r w:rsidRPr="002964EC">
        <w:rPr>
          <w:rFonts w:ascii="Verdana" w:hAnsi="Verdana" w:cs="Arial"/>
          <w:sz w:val="20"/>
          <w:szCs w:val="20"/>
        </w:rPr>
        <w:t>Contratación de</w:t>
      </w:r>
      <w:r w:rsidRPr="002964EC">
        <w:rPr>
          <w:rFonts w:ascii="Verdana" w:hAnsi="Verdana" w:cs="Arial"/>
          <w:spacing w:val="-5"/>
          <w:sz w:val="20"/>
          <w:szCs w:val="20"/>
        </w:rPr>
        <w:t xml:space="preserve"> </w:t>
      </w:r>
      <w:r w:rsidRPr="002964EC">
        <w:rPr>
          <w:rFonts w:ascii="Verdana" w:hAnsi="Verdana" w:cs="Arial"/>
          <w:sz w:val="20"/>
          <w:szCs w:val="20"/>
        </w:rPr>
        <w:t>empréstitos.</w:t>
      </w:r>
    </w:p>
    <w:p w14:paraId="4F723E97" w14:textId="77777777" w:rsidR="002B62E0" w:rsidRPr="002964EC" w:rsidRDefault="002B62E0" w:rsidP="002B62E0">
      <w:pPr>
        <w:pStyle w:val="Prrafodelista"/>
        <w:widowControl w:val="0"/>
        <w:numPr>
          <w:ilvl w:val="0"/>
          <w:numId w:val="5"/>
        </w:numPr>
        <w:tabs>
          <w:tab w:val="left" w:pos="1029"/>
        </w:tabs>
        <w:autoSpaceDE w:val="0"/>
        <w:autoSpaceDN w:val="0"/>
        <w:spacing w:after="0" w:line="240" w:lineRule="auto"/>
        <w:ind w:left="1026" w:right="849"/>
        <w:contextualSpacing w:val="0"/>
        <w:jc w:val="both"/>
        <w:rPr>
          <w:rFonts w:ascii="Verdana" w:hAnsi="Verdana" w:cs="Arial"/>
          <w:sz w:val="20"/>
          <w:szCs w:val="20"/>
        </w:rPr>
      </w:pPr>
      <w:r w:rsidRPr="002964EC">
        <w:rPr>
          <w:rFonts w:ascii="Verdana" w:hAnsi="Verdana" w:cs="Arial"/>
          <w:sz w:val="20"/>
          <w:szCs w:val="20"/>
        </w:rPr>
        <w:t>Contratos que comprometan vigencias</w:t>
      </w:r>
      <w:r w:rsidRPr="002964EC">
        <w:rPr>
          <w:rFonts w:ascii="Verdana" w:hAnsi="Verdana" w:cs="Arial"/>
          <w:spacing w:val="-3"/>
          <w:sz w:val="20"/>
          <w:szCs w:val="20"/>
        </w:rPr>
        <w:t xml:space="preserve"> </w:t>
      </w:r>
      <w:r w:rsidRPr="002964EC">
        <w:rPr>
          <w:rFonts w:ascii="Verdana" w:hAnsi="Verdana" w:cs="Arial"/>
          <w:sz w:val="20"/>
          <w:szCs w:val="20"/>
        </w:rPr>
        <w:t>futuras.</w:t>
      </w:r>
    </w:p>
    <w:p w14:paraId="6CD808EF" w14:textId="77777777" w:rsidR="002B62E0" w:rsidRPr="002964EC" w:rsidRDefault="002B62E0" w:rsidP="002B62E0">
      <w:pPr>
        <w:pStyle w:val="Prrafodelista"/>
        <w:widowControl w:val="0"/>
        <w:numPr>
          <w:ilvl w:val="0"/>
          <w:numId w:val="5"/>
        </w:numPr>
        <w:tabs>
          <w:tab w:val="left" w:pos="1029"/>
        </w:tabs>
        <w:autoSpaceDE w:val="0"/>
        <w:autoSpaceDN w:val="0"/>
        <w:spacing w:after="0" w:line="240" w:lineRule="auto"/>
        <w:ind w:left="1026" w:right="849"/>
        <w:contextualSpacing w:val="0"/>
        <w:jc w:val="both"/>
        <w:rPr>
          <w:rFonts w:ascii="Verdana" w:hAnsi="Verdana" w:cs="Arial"/>
          <w:sz w:val="20"/>
          <w:szCs w:val="20"/>
        </w:rPr>
      </w:pPr>
      <w:r w:rsidRPr="002964EC">
        <w:rPr>
          <w:rFonts w:ascii="Verdana" w:hAnsi="Verdana" w:cs="Arial"/>
          <w:sz w:val="20"/>
          <w:szCs w:val="20"/>
        </w:rPr>
        <w:t>Enajenación y compraventa de bienes</w:t>
      </w:r>
      <w:r w:rsidRPr="002964EC">
        <w:rPr>
          <w:rFonts w:ascii="Verdana" w:hAnsi="Verdana" w:cs="Arial"/>
          <w:spacing w:val="-24"/>
          <w:sz w:val="20"/>
          <w:szCs w:val="20"/>
        </w:rPr>
        <w:t xml:space="preserve"> </w:t>
      </w:r>
      <w:r w:rsidRPr="002964EC">
        <w:rPr>
          <w:rFonts w:ascii="Verdana" w:hAnsi="Verdana" w:cs="Arial"/>
          <w:sz w:val="20"/>
          <w:szCs w:val="20"/>
        </w:rPr>
        <w:t>inmuebles.</w:t>
      </w:r>
    </w:p>
    <w:p w14:paraId="36DBB01C" w14:textId="77777777" w:rsidR="002B62E0" w:rsidRPr="002964EC" w:rsidRDefault="002B62E0" w:rsidP="002B62E0">
      <w:pPr>
        <w:pStyle w:val="Prrafodelista"/>
        <w:widowControl w:val="0"/>
        <w:numPr>
          <w:ilvl w:val="0"/>
          <w:numId w:val="5"/>
        </w:numPr>
        <w:tabs>
          <w:tab w:val="left" w:pos="1029"/>
        </w:tabs>
        <w:autoSpaceDE w:val="0"/>
        <w:autoSpaceDN w:val="0"/>
        <w:spacing w:after="0" w:line="240" w:lineRule="auto"/>
        <w:ind w:left="1026" w:right="849"/>
        <w:contextualSpacing w:val="0"/>
        <w:jc w:val="both"/>
        <w:rPr>
          <w:rFonts w:ascii="Verdana" w:hAnsi="Verdana" w:cs="Arial"/>
          <w:sz w:val="20"/>
          <w:szCs w:val="20"/>
        </w:rPr>
      </w:pPr>
      <w:r w:rsidRPr="002964EC">
        <w:rPr>
          <w:rFonts w:ascii="Verdana" w:hAnsi="Verdana" w:cs="Arial"/>
          <w:sz w:val="20"/>
          <w:szCs w:val="20"/>
        </w:rPr>
        <w:t>Enajenación de activos, acciones y cuotas</w:t>
      </w:r>
      <w:r w:rsidRPr="002964EC">
        <w:rPr>
          <w:rFonts w:ascii="Verdana" w:hAnsi="Verdana" w:cs="Arial"/>
          <w:spacing w:val="-19"/>
          <w:sz w:val="20"/>
          <w:szCs w:val="20"/>
        </w:rPr>
        <w:t xml:space="preserve"> </w:t>
      </w:r>
      <w:r w:rsidRPr="002964EC">
        <w:rPr>
          <w:rFonts w:ascii="Verdana" w:hAnsi="Verdana" w:cs="Arial"/>
          <w:sz w:val="20"/>
          <w:szCs w:val="20"/>
        </w:rPr>
        <w:t>partes.</w:t>
      </w:r>
    </w:p>
    <w:p w14:paraId="2500029B" w14:textId="77777777" w:rsidR="002B62E0" w:rsidRPr="002964EC" w:rsidRDefault="002B62E0" w:rsidP="002B62E0">
      <w:pPr>
        <w:pStyle w:val="Prrafodelista"/>
        <w:widowControl w:val="0"/>
        <w:numPr>
          <w:ilvl w:val="0"/>
          <w:numId w:val="5"/>
        </w:numPr>
        <w:tabs>
          <w:tab w:val="left" w:pos="1029"/>
        </w:tabs>
        <w:autoSpaceDE w:val="0"/>
        <w:autoSpaceDN w:val="0"/>
        <w:spacing w:after="0" w:line="240" w:lineRule="auto"/>
        <w:ind w:left="1026" w:right="849"/>
        <w:contextualSpacing w:val="0"/>
        <w:jc w:val="both"/>
        <w:rPr>
          <w:rFonts w:ascii="Verdana" w:hAnsi="Verdana" w:cs="Arial"/>
          <w:sz w:val="20"/>
          <w:szCs w:val="20"/>
        </w:rPr>
      </w:pPr>
      <w:r w:rsidRPr="002964EC">
        <w:rPr>
          <w:rFonts w:ascii="Verdana" w:hAnsi="Verdana" w:cs="Arial"/>
          <w:sz w:val="20"/>
          <w:szCs w:val="20"/>
        </w:rPr>
        <w:t>Concesiones.</w:t>
      </w:r>
    </w:p>
    <w:p w14:paraId="0C70C562" w14:textId="77777777" w:rsidR="002B62E0" w:rsidRPr="002964EC" w:rsidRDefault="002B62E0" w:rsidP="002B62E0">
      <w:pPr>
        <w:pStyle w:val="Prrafodelista"/>
        <w:widowControl w:val="0"/>
        <w:numPr>
          <w:ilvl w:val="0"/>
          <w:numId w:val="5"/>
        </w:numPr>
        <w:tabs>
          <w:tab w:val="left" w:pos="1029"/>
        </w:tabs>
        <w:autoSpaceDE w:val="0"/>
        <w:autoSpaceDN w:val="0"/>
        <w:spacing w:after="0" w:line="240" w:lineRule="auto"/>
        <w:ind w:left="1026" w:right="849"/>
        <w:contextualSpacing w:val="0"/>
        <w:jc w:val="both"/>
        <w:rPr>
          <w:rFonts w:ascii="Verdana" w:hAnsi="Verdana" w:cs="Arial"/>
          <w:sz w:val="20"/>
          <w:szCs w:val="20"/>
        </w:rPr>
      </w:pPr>
      <w:r w:rsidRPr="002964EC">
        <w:rPr>
          <w:rFonts w:ascii="Verdana" w:hAnsi="Verdana" w:cs="Arial"/>
          <w:sz w:val="20"/>
          <w:szCs w:val="20"/>
        </w:rPr>
        <w:t>Las demás que determine la</w:t>
      </w:r>
      <w:r w:rsidRPr="002964EC">
        <w:rPr>
          <w:rFonts w:ascii="Verdana" w:hAnsi="Verdana" w:cs="Arial"/>
          <w:spacing w:val="1"/>
          <w:sz w:val="20"/>
          <w:szCs w:val="20"/>
        </w:rPr>
        <w:t xml:space="preserve"> </w:t>
      </w:r>
      <w:r w:rsidRPr="002964EC">
        <w:rPr>
          <w:rFonts w:ascii="Verdana" w:hAnsi="Verdana" w:cs="Arial"/>
          <w:sz w:val="20"/>
          <w:szCs w:val="20"/>
        </w:rPr>
        <w:t>ley</w:t>
      </w:r>
      <w:r w:rsidRPr="002964EC">
        <w:rPr>
          <w:rFonts w:ascii="Verdana" w:hAnsi="Verdana" w:cs="Arial"/>
          <w:sz w:val="20"/>
          <w:szCs w:val="20"/>
          <w:lang w:val="es-ES_tradnl"/>
        </w:rPr>
        <w:t>”</w:t>
      </w:r>
      <w:r w:rsidRPr="002964EC">
        <w:rPr>
          <w:rFonts w:ascii="Verdana" w:hAnsi="Verdana" w:cs="Arial"/>
          <w:sz w:val="20"/>
          <w:szCs w:val="20"/>
        </w:rPr>
        <w:t>.</w:t>
      </w:r>
    </w:p>
    <w:p w14:paraId="5D51089B" w14:textId="77777777" w:rsidR="002B62E0" w:rsidRPr="007C4BB0" w:rsidRDefault="002B62E0" w:rsidP="002B62E0">
      <w:pPr>
        <w:pStyle w:val="Textoindependiente"/>
        <w:spacing w:after="0"/>
        <w:jc w:val="both"/>
        <w:rPr>
          <w:rFonts w:ascii="Verdana" w:hAnsi="Verdana"/>
        </w:rPr>
      </w:pPr>
    </w:p>
    <w:p w14:paraId="08C41182" w14:textId="77777777" w:rsidR="002B62E0" w:rsidRPr="007524C4" w:rsidRDefault="002B62E0" w:rsidP="002B62E0">
      <w:pPr>
        <w:widowControl w:val="0"/>
        <w:autoSpaceDE w:val="0"/>
        <w:autoSpaceDN w:val="0"/>
        <w:spacing w:after="0" w:line="276" w:lineRule="auto"/>
        <w:ind w:firstLine="708"/>
        <w:jc w:val="both"/>
        <w:rPr>
          <w:rFonts w:ascii="Verdana" w:eastAsia="Arial" w:hAnsi="Verdana" w:cs="Arial"/>
          <w:lang w:eastAsia="es-ES" w:bidi="es-ES"/>
        </w:rPr>
      </w:pPr>
      <w:r w:rsidRPr="007524C4">
        <w:rPr>
          <w:rFonts w:ascii="Verdana" w:eastAsia="Arial" w:hAnsi="Verdana" w:cs="Arial"/>
          <w:lang w:eastAsia="es-ES" w:bidi="es-ES"/>
        </w:rPr>
        <w:t>Por otro lado, la Ley 80 de 1993 estatuye lo siguiente en relación con la competencia para celebrar contratos estatales:</w:t>
      </w:r>
    </w:p>
    <w:p w14:paraId="64E04A9E" w14:textId="77777777" w:rsidR="002B62E0" w:rsidRPr="007524C4" w:rsidRDefault="002B62E0" w:rsidP="002B62E0">
      <w:pPr>
        <w:widowControl w:val="0"/>
        <w:autoSpaceDE w:val="0"/>
        <w:autoSpaceDN w:val="0"/>
        <w:spacing w:after="0" w:line="276" w:lineRule="auto"/>
        <w:jc w:val="both"/>
        <w:rPr>
          <w:rFonts w:ascii="Verdana" w:eastAsia="Arial" w:hAnsi="Verdana" w:cs="Arial"/>
          <w:lang w:eastAsia="es-ES" w:bidi="es-ES"/>
        </w:rPr>
      </w:pPr>
    </w:p>
    <w:p w14:paraId="0B9B778D"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7524C4">
        <w:rPr>
          <w:rFonts w:ascii="Verdana" w:eastAsia="Arial" w:hAnsi="Verdana" w:cs="Arial"/>
          <w:sz w:val="20"/>
          <w:szCs w:val="20"/>
          <w:lang w:eastAsia="es-ES" w:bidi="es-ES"/>
        </w:rPr>
        <w:t xml:space="preserve">“Artículo 11. De la competencia para dirigir licitaciones y para celebrar contratos estatales. En las entidades estatales a que se refiere el artículo 2°: </w:t>
      </w:r>
    </w:p>
    <w:p w14:paraId="66462221"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2B9837E3"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7524C4">
        <w:rPr>
          <w:rFonts w:ascii="Verdana" w:eastAsia="Arial" w:hAnsi="Verdana" w:cs="Arial"/>
          <w:sz w:val="20"/>
          <w:szCs w:val="20"/>
          <w:lang w:eastAsia="es-ES" w:bidi="es-ES"/>
        </w:rPr>
        <w:t xml:space="preserve">1o. La competencia para ordenar y dirigir la celebración de licitaciones y para escoger contratistas será del jefe o </w:t>
      </w:r>
      <w:r w:rsidRPr="007524C4">
        <w:rPr>
          <w:rFonts w:ascii="Verdana" w:eastAsia="Arial" w:hAnsi="Verdana" w:cs="Arial"/>
          <w:i/>
          <w:iCs/>
          <w:sz w:val="20"/>
          <w:szCs w:val="20"/>
          <w:lang w:eastAsia="es-ES" w:bidi="es-ES"/>
        </w:rPr>
        <w:t>representante de la entidad</w:t>
      </w:r>
      <w:r w:rsidRPr="007524C4">
        <w:rPr>
          <w:rFonts w:ascii="Verdana" w:eastAsia="Arial" w:hAnsi="Verdana" w:cs="Arial"/>
          <w:sz w:val="20"/>
          <w:szCs w:val="20"/>
          <w:lang w:eastAsia="es-ES" w:bidi="es-ES"/>
        </w:rPr>
        <w:t xml:space="preserve">, según el caso. </w:t>
      </w:r>
    </w:p>
    <w:p w14:paraId="09A4C886"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11AD73FB"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7524C4">
        <w:rPr>
          <w:rFonts w:ascii="Verdana" w:eastAsia="Arial" w:hAnsi="Verdana" w:cs="Arial"/>
          <w:sz w:val="20"/>
          <w:szCs w:val="20"/>
          <w:lang w:eastAsia="es-ES" w:bidi="es-ES"/>
        </w:rPr>
        <w:t xml:space="preserve">2o. Tiene competencia para celebrar contratos a nombre de la Nación, el </w:t>
      </w:r>
      <w:proofErr w:type="gramStart"/>
      <w:r w:rsidRPr="007524C4">
        <w:rPr>
          <w:rFonts w:ascii="Verdana" w:eastAsia="Arial" w:hAnsi="Verdana" w:cs="Arial"/>
          <w:sz w:val="20"/>
          <w:szCs w:val="20"/>
          <w:lang w:eastAsia="es-ES" w:bidi="es-ES"/>
        </w:rPr>
        <w:t>Presidente</w:t>
      </w:r>
      <w:proofErr w:type="gramEnd"/>
      <w:r w:rsidRPr="007524C4">
        <w:rPr>
          <w:rFonts w:ascii="Verdana" w:eastAsia="Arial" w:hAnsi="Verdana" w:cs="Arial"/>
          <w:sz w:val="20"/>
          <w:szCs w:val="20"/>
          <w:lang w:eastAsia="es-ES" w:bidi="es-ES"/>
        </w:rPr>
        <w:t xml:space="preserve"> de la República. </w:t>
      </w:r>
    </w:p>
    <w:p w14:paraId="4647199B"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30AE3CB5"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7524C4">
        <w:rPr>
          <w:rFonts w:ascii="Verdana" w:eastAsia="Arial" w:hAnsi="Verdana" w:cs="Arial"/>
          <w:sz w:val="20"/>
          <w:szCs w:val="20"/>
          <w:lang w:eastAsia="es-ES" w:bidi="es-ES"/>
        </w:rPr>
        <w:t xml:space="preserve">3o. Tienen competencia para celebrar contratos a nombre de la entidad respectiva: </w:t>
      </w:r>
    </w:p>
    <w:p w14:paraId="275BA6B9"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0217DF2D"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7524C4">
        <w:rPr>
          <w:rFonts w:ascii="Verdana" w:eastAsia="Arial" w:hAnsi="Verdana" w:cs="Arial"/>
          <w:sz w:val="20"/>
          <w:szCs w:val="20"/>
          <w:lang w:eastAsia="es-ES" w:bidi="es-ES"/>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w:t>
      </w:r>
    </w:p>
    <w:p w14:paraId="68D97E43"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7ACDC407"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7524C4">
        <w:rPr>
          <w:rFonts w:ascii="Verdana" w:eastAsia="Arial" w:hAnsi="Verdana" w:cs="Arial"/>
          <w:sz w:val="20"/>
          <w:szCs w:val="20"/>
          <w:lang w:eastAsia="es-ES" w:bidi="es-ES"/>
        </w:rPr>
        <w:t xml:space="preserve">b) A nivel territorial, los gobernadores de los departamentos, </w:t>
      </w:r>
      <w:r w:rsidRPr="007524C4">
        <w:rPr>
          <w:rFonts w:ascii="Verdana" w:eastAsia="Arial" w:hAnsi="Verdana" w:cs="Arial"/>
          <w:i/>
          <w:iCs/>
          <w:sz w:val="20"/>
          <w:szCs w:val="20"/>
          <w:lang w:eastAsia="es-ES" w:bidi="es-ES"/>
        </w:rPr>
        <w:t>los alcaldes municipales y de los distritos capital y especiales</w:t>
      </w:r>
      <w:r w:rsidRPr="007524C4">
        <w:rPr>
          <w:rFonts w:ascii="Verdana" w:eastAsia="Arial" w:hAnsi="Verdana" w:cs="Arial"/>
          <w:sz w:val="20"/>
          <w:szCs w:val="20"/>
          <w:lang w:eastAsia="es-ES" w:bidi="es-ES"/>
        </w:rPr>
        <w:t xml:space="preserve">,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 </w:t>
      </w:r>
    </w:p>
    <w:p w14:paraId="42E642C5"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169C4DB8"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7524C4">
        <w:rPr>
          <w:rFonts w:ascii="Verdana" w:eastAsia="Arial" w:hAnsi="Verdana" w:cs="Arial"/>
          <w:sz w:val="20"/>
          <w:szCs w:val="20"/>
          <w:lang w:eastAsia="es-ES" w:bidi="es-ES"/>
        </w:rPr>
        <w:t>c) Los representantes legales de las entidades descentralizadas en todos los órdenes y niveles”. [Énfasis fuera del texto original]</w:t>
      </w:r>
    </w:p>
    <w:p w14:paraId="055E50A2" w14:textId="77777777" w:rsidR="002B62E0" w:rsidRDefault="002B62E0" w:rsidP="002B62E0">
      <w:pPr>
        <w:spacing w:after="0" w:line="276" w:lineRule="auto"/>
        <w:ind w:right="108" w:firstLine="709"/>
        <w:jc w:val="both"/>
        <w:rPr>
          <w:rFonts w:ascii="Verdana" w:hAnsi="Verdana" w:cs="Arial"/>
        </w:rPr>
      </w:pPr>
    </w:p>
    <w:p w14:paraId="0E480097" w14:textId="77777777" w:rsidR="002B62E0" w:rsidRPr="007C4BB0" w:rsidRDefault="002B62E0" w:rsidP="002B62E0">
      <w:pPr>
        <w:spacing w:after="120" w:line="276" w:lineRule="auto"/>
        <w:ind w:firstLine="709"/>
        <w:jc w:val="both"/>
        <w:rPr>
          <w:rFonts w:ascii="Verdana" w:hAnsi="Verdana" w:cs="Arial"/>
        </w:rPr>
      </w:pPr>
      <w:r w:rsidRPr="007C4BB0">
        <w:rPr>
          <w:rFonts w:ascii="Verdana" w:hAnsi="Verdana" w:cs="Arial"/>
        </w:rPr>
        <w:lastRenderedPageBreak/>
        <w:t xml:space="preserve">El alcance de estas atribuciones ha sido objeto de análisis y pronunciamiento por parte de la Sala de Consulta y Servicio del Consejo de Estado, en el </w:t>
      </w:r>
      <w:r>
        <w:rPr>
          <w:rFonts w:ascii="Verdana" w:hAnsi="Verdana" w:cs="Arial"/>
        </w:rPr>
        <w:t>C</w:t>
      </w:r>
      <w:r w:rsidRPr="007C4BB0">
        <w:rPr>
          <w:rFonts w:ascii="Verdana" w:hAnsi="Verdana" w:cs="Arial"/>
        </w:rPr>
        <w:t xml:space="preserve">oncepto con radicado No. 11001-03-06-000- 2014-00285-00 (2238) del 11 de marzo de 2015, en el cual se reiteró que </w:t>
      </w:r>
      <w:r>
        <w:rPr>
          <w:rFonts w:ascii="Verdana" w:hAnsi="Verdana" w:cs="Arial"/>
        </w:rPr>
        <w:t xml:space="preserve">“[…] </w:t>
      </w:r>
      <w:r w:rsidRPr="007C4BB0">
        <w:rPr>
          <w:rFonts w:ascii="Verdana" w:hAnsi="Verdana" w:cs="Arial"/>
        </w:rPr>
        <w:t>por regla general los alcaldes tienen la facultad general de suscribir contratos y dirigir la actividad contractual de los municipios sin necesidad de una autorización previa, general o periódica del concejo municipal</w:t>
      </w:r>
      <w:r>
        <w:rPr>
          <w:rFonts w:ascii="Verdana" w:hAnsi="Verdana" w:cs="Arial"/>
          <w:bCs/>
          <w:iCs/>
          <w:lang w:val="es-ES_tradnl"/>
        </w:rPr>
        <w:t>”</w:t>
      </w:r>
      <w:r w:rsidRPr="007C4BB0">
        <w:rPr>
          <w:rFonts w:ascii="Verdana" w:hAnsi="Verdana" w:cs="Arial"/>
        </w:rPr>
        <w:t>.</w:t>
      </w:r>
    </w:p>
    <w:p w14:paraId="7B4B5AFF" w14:textId="77777777" w:rsidR="002B62E0" w:rsidRPr="007C4BB0" w:rsidRDefault="002B62E0" w:rsidP="002B62E0">
      <w:pPr>
        <w:pStyle w:val="Textoindependiente"/>
        <w:spacing w:after="0"/>
        <w:ind w:firstLine="708"/>
        <w:jc w:val="both"/>
        <w:rPr>
          <w:rFonts w:ascii="Verdana" w:hAnsi="Verdana"/>
        </w:rPr>
      </w:pPr>
      <w:r w:rsidRPr="007C4BB0">
        <w:rPr>
          <w:rFonts w:ascii="Verdana" w:hAnsi="Verdana"/>
        </w:rPr>
        <w:t>As</w:t>
      </w:r>
      <w:r>
        <w:rPr>
          <w:rFonts w:ascii="Verdana" w:hAnsi="Verdana"/>
        </w:rPr>
        <w:t>i</w:t>
      </w:r>
      <w:r w:rsidRPr="007C4BB0">
        <w:rPr>
          <w:rFonts w:ascii="Verdana" w:hAnsi="Verdana"/>
        </w:rPr>
        <w:t>mismo, el Consejo de Estado señaló que la autorización previa por parte del concejo municipal tiene carácter excepcional, y únicamente aplica respecto de los casos señalados expresamente en el parágrafo 4º del artículo 32 de la Ley 136 de 1994, modificado por el artículo 18 de la Ley 1551 de 2012, y en los casos adicionales que haya establecido expresamente el concejo municipal en ejercicio de la competencia otorgada por el numeral 3 del artículo 313 de la Constitución Política y el numeral 3 del artículo 32 de la Ley 136 de 1994. Sobre el particular, la Sala de Consulta y Servicio Civil manifestó lo siguiente:</w:t>
      </w:r>
    </w:p>
    <w:p w14:paraId="14EEE70B" w14:textId="77777777" w:rsidR="002B62E0" w:rsidRPr="007C4BB0" w:rsidRDefault="002B62E0" w:rsidP="002B62E0">
      <w:pPr>
        <w:pStyle w:val="Textoindependiente"/>
        <w:spacing w:after="0"/>
        <w:ind w:left="709" w:right="849"/>
        <w:jc w:val="both"/>
        <w:rPr>
          <w:rFonts w:ascii="Verdana" w:hAnsi="Verdana"/>
        </w:rPr>
      </w:pPr>
    </w:p>
    <w:p w14:paraId="2C2254F5" w14:textId="77777777" w:rsidR="002B62E0" w:rsidRPr="002964EC" w:rsidRDefault="002B62E0" w:rsidP="002B62E0">
      <w:pPr>
        <w:pStyle w:val="Textoindependiente"/>
        <w:spacing w:after="0" w:line="240" w:lineRule="auto"/>
        <w:ind w:left="709" w:right="709"/>
        <w:jc w:val="both"/>
        <w:rPr>
          <w:rFonts w:ascii="Verdana" w:hAnsi="Verdana"/>
          <w:sz w:val="20"/>
          <w:szCs w:val="20"/>
        </w:rPr>
      </w:pPr>
      <w:r w:rsidRPr="002964EC">
        <w:rPr>
          <w:rFonts w:ascii="Verdana" w:hAnsi="Verdana"/>
          <w:sz w:val="20"/>
          <w:szCs w:val="20"/>
        </w:rPr>
        <w:t>“Así pues, se debe reiterar que a través de la atribución constitucional del artículo 313-3 de la Constitución Política, de naturaleza netamente administrativa, el concejo municipal no puede (i) someter todos los contratos que vaya a suscribir el alcalde a su autorización previa, sino solamente aquellos que por su naturaleza, monto, o materia pueden afectar de manera importante la vida municipal; (</w:t>
      </w:r>
      <w:proofErr w:type="spellStart"/>
      <w:r w:rsidRPr="002964EC">
        <w:rPr>
          <w:rFonts w:ascii="Verdana" w:hAnsi="Verdana"/>
          <w:sz w:val="20"/>
          <w:szCs w:val="20"/>
        </w:rPr>
        <w:t>ii</w:t>
      </w:r>
      <w:proofErr w:type="spellEnd"/>
      <w:r w:rsidRPr="002964EC">
        <w:rPr>
          <w:rFonts w:ascii="Verdana" w:hAnsi="Verdana"/>
          <w:sz w:val="20"/>
          <w:szCs w:val="20"/>
        </w:rPr>
        <w:t>) modificar el estatuto de contratación pública o sus normas reglamentarias o establecer trámites o requisitos adicionales para el respectivo contrato; o (</w:t>
      </w:r>
      <w:proofErr w:type="spellStart"/>
      <w:r w:rsidRPr="002964EC">
        <w:rPr>
          <w:rFonts w:ascii="Verdana" w:hAnsi="Verdana"/>
          <w:sz w:val="20"/>
          <w:szCs w:val="20"/>
        </w:rPr>
        <w:t>iii</w:t>
      </w:r>
      <w:proofErr w:type="spellEnd"/>
      <w:r w:rsidRPr="002964EC">
        <w:rPr>
          <w:rFonts w:ascii="Verdana" w:hAnsi="Verdana"/>
          <w:sz w:val="20"/>
          <w:szCs w:val="20"/>
        </w:rPr>
        <w:t>) interferir en las potestades contractuales que la Constitución y la ley le asignan al alcalde como representante legal del municipio.</w:t>
      </w:r>
    </w:p>
    <w:p w14:paraId="3C220B2E" w14:textId="77777777" w:rsidR="002B62E0" w:rsidRPr="002964EC" w:rsidRDefault="002B62E0" w:rsidP="002B62E0">
      <w:pPr>
        <w:pStyle w:val="Textoindependiente"/>
        <w:spacing w:line="240" w:lineRule="auto"/>
        <w:ind w:left="709" w:right="709"/>
        <w:jc w:val="both"/>
        <w:rPr>
          <w:rFonts w:ascii="Verdana" w:hAnsi="Verdana"/>
          <w:sz w:val="20"/>
          <w:szCs w:val="20"/>
        </w:rPr>
      </w:pPr>
      <w:r w:rsidRPr="002964EC">
        <w:rPr>
          <w:rFonts w:ascii="Verdana" w:hAnsi="Verdana"/>
          <w:sz w:val="20"/>
          <w:szCs w:val="20"/>
        </w:rPr>
        <w:t>[…]</w:t>
      </w:r>
    </w:p>
    <w:p w14:paraId="0113A4D4" w14:textId="77777777" w:rsidR="002B62E0" w:rsidRPr="002964EC" w:rsidRDefault="002B62E0" w:rsidP="002B62E0">
      <w:pPr>
        <w:pStyle w:val="Textoindependiente"/>
        <w:spacing w:after="0" w:line="240" w:lineRule="auto"/>
        <w:ind w:left="709" w:right="709"/>
        <w:jc w:val="both"/>
        <w:rPr>
          <w:rFonts w:ascii="Verdana" w:hAnsi="Verdana"/>
          <w:sz w:val="20"/>
          <w:szCs w:val="20"/>
        </w:rPr>
      </w:pPr>
      <w:r w:rsidRPr="002964EC">
        <w:rPr>
          <w:rFonts w:ascii="Verdana" w:hAnsi="Verdana"/>
          <w:sz w:val="20"/>
          <w:szCs w:val="20"/>
        </w:rPr>
        <w:t>De este modo, en caso de silencio de la ley o en ausencia de acuerdo que someta un determinado contrato a autorización previa del concejo municipal, habrá de entenderse que el alcalde puede celebrarlo, sin necesidad de tal autorización, con base en sus facultades constitucionales y legales en materia contractual</w:t>
      </w:r>
      <w:r w:rsidRPr="002964EC">
        <w:rPr>
          <w:rFonts w:ascii="Verdana" w:hAnsi="Verdana"/>
          <w:sz w:val="20"/>
          <w:szCs w:val="20"/>
          <w:lang w:val="es-ES_tradnl"/>
        </w:rPr>
        <w:t>”</w:t>
      </w:r>
      <w:r w:rsidRPr="002964EC">
        <w:rPr>
          <w:rFonts w:ascii="Verdana" w:hAnsi="Verdana"/>
          <w:sz w:val="20"/>
          <w:szCs w:val="20"/>
        </w:rPr>
        <w:t>.</w:t>
      </w:r>
    </w:p>
    <w:p w14:paraId="69A70692" w14:textId="77777777" w:rsidR="002B62E0" w:rsidRPr="007C4BB0" w:rsidRDefault="002B62E0" w:rsidP="002B62E0">
      <w:pPr>
        <w:pStyle w:val="Textoindependiente"/>
        <w:spacing w:after="0"/>
        <w:ind w:firstLine="608"/>
        <w:jc w:val="both"/>
        <w:rPr>
          <w:rFonts w:ascii="Verdana" w:hAnsi="Verdana"/>
        </w:rPr>
      </w:pPr>
    </w:p>
    <w:p w14:paraId="47B3F9AA" w14:textId="77777777" w:rsidR="002B62E0" w:rsidRDefault="002B62E0" w:rsidP="002B62E0">
      <w:pPr>
        <w:pStyle w:val="Textoindependiente"/>
        <w:spacing w:after="0"/>
        <w:ind w:firstLine="708"/>
        <w:jc w:val="both"/>
        <w:rPr>
          <w:rFonts w:ascii="Verdana" w:hAnsi="Verdana"/>
        </w:rPr>
      </w:pPr>
      <w:r>
        <w:rPr>
          <w:rFonts w:ascii="Verdana" w:hAnsi="Verdana"/>
        </w:rPr>
        <w:t>Por su parte, la Sala de lo Contencioso Administrativo en su Sección Primera manifestó lo siguiente:</w:t>
      </w:r>
    </w:p>
    <w:p w14:paraId="5E7DBFE7" w14:textId="77777777" w:rsidR="002B62E0" w:rsidRDefault="002B62E0" w:rsidP="002B62E0">
      <w:pPr>
        <w:pStyle w:val="Textoindependiente"/>
        <w:spacing w:after="0"/>
        <w:ind w:firstLine="708"/>
        <w:jc w:val="both"/>
        <w:rPr>
          <w:rFonts w:ascii="Verdana" w:hAnsi="Verdana"/>
        </w:rPr>
      </w:pPr>
    </w:p>
    <w:p w14:paraId="1937F642" w14:textId="77777777" w:rsidR="002B62E0" w:rsidRPr="002964EC" w:rsidRDefault="002B62E0" w:rsidP="002B62E0">
      <w:pPr>
        <w:pStyle w:val="Textoindependiente"/>
        <w:spacing w:after="0"/>
        <w:ind w:left="708" w:right="709"/>
        <w:jc w:val="both"/>
        <w:rPr>
          <w:rFonts w:ascii="Verdana" w:hAnsi="Verdana"/>
          <w:sz w:val="20"/>
          <w:szCs w:val="20"/>
        </w:rPr>
      </w:pPr>
      <w:r w:rsidRPr="002964EC">
        <w:rPr>
          <w:rFonts w:ascii="Verdana" w:hAnsi="Verdana"/>
          <w:sz w:val="20"/>
          <w:szCs w:val="20"/>
        </w:rPr>
        <w:t>“[…] se tiene que a los concejos municipales les corresponde establecer los contratos que deben ser autorizados por esa Corporación a los alcaldes municipales, bajo los criterios de razonabilidad en que debe fundarse la expedición de dicha reglamentación.</w:t>
      </w:r>
    </w:p>
    <w:p w14:paraId="12EF06B0" w14:textId="77777777" w:rsidR="002B62E0" w:rsidRPr="002964EC" w:rsidRDefault="002B62E0" w:rsidP="002B62E0">
      <w:pPr>
        <w:pStyle w:val="Textoindependiente"/>
        <w:spacing w:after="0"/>
        <w:ind w:left="708" w:right="709"/>
        <w:jc w:val="both"/>
        <w:rPr>
          <w:rFonts w:ascii="Verdana" w:hAnsi="Verdana"/>
          <w:sz w:val="20"/>
          <w:szCs w:val="20"/>
        </w:rPr>
      </w:pPr>
    </w:p>
    <w:p w14:paraId="76E05711" w14:textId="77777777" w:rsidR="002B62E0" w:rsidRPr="002964EC" w:rsidRDefault="002B62E0" w:rsidP="002B62E0">
      <w:pPr>
        <w:pStyle w:val="Textoindependiente"/>
        <w:spacing w:after="0"/>
        <w:ind w:left="708" w:right="709"/>
        <w:jc w:val="both"/>
        <w:rPr>
          <w:rFonts w:ascii="Verdana" w:hAnsi="Verdana"/>
          <w:sz w:val="20"/>
          <w:szCs w:val="20"/>
        </w:rPr>
      </w:pPr>
      <w:r w:rsidRPr="002964EC">
        <w:rPr>
          <w:rFonts w:ascii="Verdana" w:hAnsi="Verdana"/>
          <w:sz w:val="20"/>
          <w:szCs w:val="20"/>
        </w:rPr>
        <w:lastRenderedPageBreak/>
        <w:t>De lo anterior, se concluye, como lo dijo el a quo que esta atribución de autorización no puede comprender la totalidad de los contratos que suscriba un alcalde municipal, en tanto se restringe únicamente y de manera excepcional a "</w:t>
      </w:r>
      <w:r w:rsidRPr="002964EC">
        <w:rPr>
          <w:rFonts w:ascii="Verdana" w:hAnsi="Verdana"/>
          <w:i/>
          <w:sz w:val="20"/>
          <w:szCs w:val="20"/>
        </w:rPr>
        <w:t>los que tal corporación disponga, en forma razonable, mediante un reglamento que se atenga a la Constitución Política</w:t>
      </w:r>
      <w:r w:rsidRPr="002964EC">
        <w:rPr>
          <w:rFonts w:ascii="Verdana" w:hAnsi="Verdana"/>
          <w:sz w:val="20"/>
          <w:szCs w:val="20"/>
        </w:rPr>
        <w:t>."</w:t>
      </w:r>
      <w:r w:rsidRPr="002964EC">
        <w:rPr>
          <w:rStyle w:val="Refdenotaalpie"/>
          <w:rFonts w:ascii="Verdana" w:hAnsi="Verdana"/>
          <w:sz w:val="20"/>
          <w:szCs w:val="20"/>
        </w:rPr>
        <w:footnoteReference w:id="7"/>
      </w:r>
    </w:p>
    <w:p w14:paraId="17790BCF" w14:textId="77777777" w:rsidR="002B62E0" w:rsidRDefault="002B62E0" w:rsidP="002B62E0">
      <w:pPr>
        <w:pStyle w:val="Textoindependiente"/>
        <w:spacing w:after="0"/>
        <w:ind w:right="108" w:firstLine="708"/>
        <w:jc w:val="both"/>
        <w:rPr>
          <w:rFonts w:ascii="Verdana" w:hAnsi="Verdana"/>
        </w:rPr>
      </w:pPr>
    </w:p>
    <w:p w14:paraId="19C6B594" w14:textId="77777777" w:rsidR="002B62E0" w:rsidRPr="007524C4" w:rsidRDefault="002B62E0" w:rsidP="002B62E0">
      <w:pPr>
        <w:widowControl w:val="0"/>
        <w:autoSpaceDE w:val="0"/>
        <w:autoSpaceDN w:val="0"/>
        <w:spacing w:after="120" w:line="276" w:lineRule="auto"/>
        <w:ind w:firstLine="709"/>
        <w:jc w:val="both"/>
        <w:rPr>
          <w:rFonts w:ascii="Verdana" w:eastAsia="Arial" w:hAnsi="Verdana" w:cs="Arial"/>
          <w:lang w:val="es-ES" w:eastAsia="es-ES" w:bidi="es-ES"/>
        </w:rPr>
      </w:pPr>
      <w:r>
        <w:rPr>
          <w:rFonts w:ascii="Verdana" w:eastAsia="Arial" w:hAnsi="Verdana" w:cs="Arial"/>
          <w:lang w:eastAsia="es-ES" w:bidi="es-ES"/>
        </w:rPr>
        <w:t>Ahora bien</w:t>
      </w:r>
      <w:r w:rsidRPr="007524C4">
        <w:rPr>
          <w:rFonts w:ascii="Verdana" w:eastAsia="Arial" w:hAnsi="Verdana" w:cs="Arial"/>
          <w:lang w:eastAsia="es-ES" w:bidi="es-ES"/>
        </w:rPr>
        <w:t xml:space="preserve">, nótese que el mismo artículo 32 de la Ley 136 de 1994 dispone que, en la reglamentación de la autorización al alcalde para contratar, los concejos señalaran los casos en que requiere autorización previa del concejo, de lo cual se colige que la autorización al alcalde para contratar por parte del concejo procede en ciertos eventos. </w:t>
      </w:r>
    </w:p>
    <w:p w14:paraId="7730BD23" w14:textId="77777777" w:rsidR="002B62E0" w:rsidRPr="007524C4" w:rsidRDefault="002B62E0" w:rsidP="002B62E0">
      <w:pPr>
        <w:widowControl w:val="0"/>
        <w:autoSpaceDE w:val="0"/>
        <w:autoSpaceDN w:val="0"/>
        <w:spacing w:after="0" w:line="276" w:lineRule="auto"/>
        <w:ind w:firstLine="708"/>
        <w:jc w:val="both"/>
        <w:rPr>
          <w:rFonts w:ascii="Verdana" w:eastAsia="Arial" w:hAnsi="Verdana" w:cs="Arial"/>
          <w:lang w:val="es-ES" w:eastAsia="es-ES" w:bidi="es-ES"/>
        </w:rPr>
      </w:pPr>
      <w:r w:rsidRPr="007524C4">
        <w:rPr>
          <w:rFonts w:ascii="Verdana" w:eastAsia="Arial" w:hAnsi="Verdana" w:cs="Arial"/>
          <w:lang w:eastAsia="es-ES" w:bidi="es-ES"/>
        </w:rPr>
        <w:t xml:space="preserve">Respecto a la función de los concejos de autorizar al alcalde para contratar, de conformidad a la atribución constitucional conferida en el numeral 3° del artículo 313 Superior, la Corte Constitucional en la sentencia C-738 de 2001, al examinar y declarar exequible el numeral tercero del artículo 32 de la Ley 136, señaló los siguiente: </w:t>
      </w:r>
    </w:p>
    <w:p w14:paraId="23D4E7C5" w14:textId="77777777" w:rsidR="002B62E0" w:rsidRPr="007524C4" w:rsidRDefault="002B62E0" w:rsidP="002B62E0">
      <w:pPr>
        <w:widowControl w:val="0"/>
        <w:autoSpaceDE w:val="0"/>
        <w:autoSpaceDN w:val="0"/>
        <w:spacing w:after="0" w:line="276" w:lineRule="auto"/>
        <w:rPr>
          <w:rFonts w:ascii="Verdana" w:eastAsia="Arial" w:hAnsi="Verdana" w:cs="Arial"/>
          <w:lang w:val="es-ES" w:eastAsia="es-ES" w:bidi="es-ES"/>
        </w:rPr>
      </w:pPr>
    </w:p>
    <w:p w14:paraId="39CC3461"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7524C4">
        <w:rPr>
          <w:rFonts w:ascii="Verdana" w:eastAsia="Arial" w:hAnsi="Verdana" w:cs="Arial"/>
          <w:sz w:val="20"/>
          <w:szCs w:val="20"/>
          <w:lang w:val="es-ES" w:eastAsia="es-ES" w:bidi="es-ES"/>
        </w:rPr>
        <w:t xml:space="preserve">“Debe advertir esta Corporación que la atribución otorgada en la norma bajo estudio, siendo como es una función administrativa, </w:t>
      </w:r>
      <w:r w:rsidRPr="007524C4">
        <w:rPr>
          <w:rFonts w:ascii="Verdana" w:eastAsia="Arial" w:hAnsi="Verdana" w:cs="Arial"/>
          <w:bCs/>
          <w:sz w:val="20"/>
          <w:szCs w:val="20"/>
          <w:lang w:val="es-ES" w:eastAsia="es-ES" w:bidi="es-ES"/>
        </w:rPr>
        <w:t>sólo podrá ser ejercida por los Concejos con el alcance y las limitaciones propias de su naturaleza.</w:t>
      </w:r>
      <w:r w:rsidRPr="007524C4">
        <w:rPr>
          <w:rFonts w:ascii="Verdana" w:eastAsia="Arial" w:hAnsi="Verdana" w:cs="Arial"/>
          <w:sz w:val="20"/>
          <w:szCs w:val="20"/>
          <w:lang w:val="es-ES" w:eastAsia="es-ES" w:bidi="es-ES"/>
        </w:rPr>
        <w:t xml:space="preserve"> Así, cualquier reglamentación efectuada por dichas Corporaciones, debe ser respetuosa del ámbito reservado constitucionalmente al Legislador, por lo cual no puede entrar a establecer procedimientos de selección, normas generales aplicables a los contratos, etc., puesto que ello forma parte del núcleo propio del Estatuto de</w:t>
      </w:r>
      <w:r w:rsidRPr="007524C4">
        <w:rPr>
          <w:rFonts w:ascii="Verdana" w:eastAsia="Arial" w:hAnsi="Verdana" w:cs="Arial"/>
          <w:spacing w:val="-1"/>
          <w:sz w:val="20"/>
          <w:szCs w:val="20"/>
          <w:lang w:val="es-ES" w:eastAsia="es-ES" w:bidi="es-ES"/>
        </w:rPr>
        <w:t xml:space="preserve"> </w:t>
      </w:r>
      <w:r w:rsidRPr="007524C4">
        <w:rPr>
          <w:rFonts w:ascii="Verdana" w:eastAsia="Arial" w:hAnsi="Verdana" w:cs="Arial"/>
          <w:sz w:val="20"/>
          <w:szCs w:val="20"/>
          <w:lang w:val="es-ES" w:eastAsia="es-ES" w:bidi="es-ES"/>
        </w:rPr>
        <w:t>Contratación.</w:t>
      </w:r>
    </w:p>
    <w:p w14:paraId="6A022F79" w14:textId="77777777" w:rsidR="002B62E0" w:rsidRPr="007524C4" w:rsidRDefault="002B62E0" w:rsidP="002B62E0">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70E424AC" w14:textId="77777777" w:rsidR="002B62E0" w:rsidRPr="007524C4" w:rsidRDefault="002B62E0" w:rsidP="002B62E0">
      <w:pPr>
        <w:widowControl w:val="0"/>
        <w:autoSpaceDE w:val="0"/>
        <w:autoSpaceDN w:val="0"/>
        <w:spacing w:after="0" w:line="240" w:lineRule="auto"/>
        <w:ind w:left="709" w:right="709"/>
        <w:rPr>
          <w:rFonts w:ascii="Verdana" w:eastAsia="Arial" w:hAnsi="Verdana" w:cs="Arial"/>
          <w:sz w:val="20"/>
          <w:szCs w:val="20"/>
          <w:lang w:val="es-ES" w:eastAsia="es-ES" w:bidi="es-ES"/>
        </w:rPr>
      </w:pPr>
      <w:r w:rsidRPr="007524C4">
        <w:rPr>
          <w:rFonts w:ascii="Verdana" w:eastAsia="Arial" w:hAnsi="Verdana" w:cs="Arial"/>
          <w:sz w:val="20"/>
          <w:szCs w:val="20"/>
          <w:lang w:val="es-ES" w:eastAsia="es-ES" w:bidi="es-ES"/>
        </w:rPr>
        <w:t>(…)</w:t>
      </w:r>
    </w:p>
    <w:p w14:paraId="7B5FD404" w14:textId="77777777" w:rsidR="002B62E0" w:rsidRPr="007524C4" w:rsidRDefault="002B62E0" w:rsidP="002B62E0">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26558F45" w14:textId="77777777" w:rsidR="002B62E0" w:rsidRPr="007524C4" w:rsidRDefault="002B62E0" w:rsidP="002B62E0">
      <w:pPr>
        <w:spacing w:after="0" w:line="240" w:lineRule="auto"/>
        <w:ind w:left="709" w:right="709"/>
        <w:jc w:val="both"/>
        <w:rPr>
          <w:rFonts w:ascii="Verdana" w:hAnsi="Verdana"/>
          <w:sz w:val="20"/>
          <w:szCs w:val="20"/>
        </w:rPr>
      </w:pPr>
      <w:r w:rsidRPr="007524C4">
        <w:rPr>
          <w:rFonts w:ascii="Verdana" w:hAnsi="Verdana"/>
          <w:sz w:val="20"/>
          <w:szCs w:val="20"/>
        </w:rPr>
        <w:t xml:space="preserve">Esta función reglamentaria que, se reitera, cuenta con un fundamento constitucional propio, </w:t>
      </w:r>
      <w:r w:rsidRPr="007524C4">
        <w:rPr>
          <w:rFonts w:ascii="Verdana" w:hAnsi="Verdana"/>
          <w:bCs/>
          <w:i/>
          <w:iCs/>
          <w:sz w:val="20"/>
          <w:szCs w:val="20"/>
        </w:rPr>
        <w:t>habrá de ejercerse mediante el trazado de una serie de normas puntuales y específicas sobre una determinada materia, a saber: el procedimiento interno que se deberá seguir ante los Concejos para obtener la autorización respectiva, los criterios que debe seguir para otorgarla, así como los casos en los cuales tal autorización es necesaria.</w:t>
      </w:r>
      <w:r w:rsidRPr="007524C4">
        <w:rPr>
          <w:rFonts w:ascii="Verdana" w:hAnsi="Verdana"/>
          <w:sz w:val="20"/>
          <w:szCs w:val="20"/>
        </w:rPr>
        <w:t xml:space="preserve"> La regulación de dicho procedimiento interno habrá de estar referida, así, a las hipótesis en que tal autorización es necesaria, a los criterios que se deberán aplicar al momento de decidir sobre si se otorga o no dicha autorización, y a las etapas del trámite a seguir en cada</w:t>
      </w:r>
      <w:r w:rsidRPr="007524C4">
        <w:rPr>
          <w:rFonts w:ascii="Verdana" w:hAnsi="Verdana"/>
          <w:spacing w:val="-3"/>
          <w:sz w:val="20"/>
          <w:szCs w:val="20"/>
        </w:rPr>
        <w:t xml:space="preserve"> </w:t>
      </w:r>
      <w:r w:rsidRPr="007524C4">
        <w:rPr>
          <w:rFonts w:ascii="Verdana" w:hAnsi="Verdana"/>
          <w:sz w:val="20"/>
          <w:szCs w:val="20"/>
        </w:rPr>
        <w:t>caso.</w:t>
      </w:r>
    </w:p>
    <w:p w14:paraId="3B66209C" w14:textId="77777777" w:rsidR="002B62E0" w:rsidRPr="007524C4" w:rsidRDefault="002B62E0" w:rsidP="002B62E0">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57FDD2A4" w14:textId="77777777" w:rsidR="002B62E0" w:rsidRPr="007524C4" w:rsidRDefault="002B62E0" w:rsidP="002B62E0">
      <w:pPr>
        <w:widowControl w:val="0"/>
        <w:autoSpaceDE w:val="0"/>
        <w:autoSpaceDN w:val="0"/>
        <w:spacing w:after="0" w:line="240" w:lineRule="auto"/>
        <w:ind w:left="709" w:right="709"/>
        <w:rPr>
          <w:rFonts w:ascii="Verdana" w:eastAsia="Arial" w:hAnsi="Verdana" w:cs="Arial"/>
          <w:sz w:val="20"/>
          <w:szCs w:val="20"/>
          <w:lang w:val="es-ES" w:eastAsia="es-ES" w:bidi="es-ES"/>
        </w:rPr>
      </w:pPr>
      <w:r w:rsidRPr="007524C4">
        <w:rPr>
          <w:rFonts w:ascii="Verdana" w:eastAsia="Arial" w:hAnsi="Verdana" w:cs="Arial"/>
          <w:sz w:val="20"/>
          <w:szCs w:val="20"/>
          <w:lang w:val="es-ES" w:eastAsia="es-ES" w:bidi="es-ES"/>
        </w:rPr>
        <w:lastRenderedPageBreak/>
        <w:t>(…)</w:t>
      </w:r>
    </w:p>
    <w:p w14:paraId="3F86D2D7" w14:textId="77777777" w:rsidR="002B62E0" w:rsidRPr="007524C4" w:rsidRDefault="002B62E0" w:rsidP="002B62E0">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32536636" w14:textId="77777777" w:rsidR="002B62E0" w:rsidRPr="007524C4" w:rsidRDefault="002B62E0" w:rsidP="002B62E0">
      <w:pPr>
        <w:spacing w:after="0" w:line="240" w:lineRule="auto"/>
        <w:ind w:left="709" w:right="709"/>
        <w:jc w:val="both"/>
        <w:rPr>
          <w:rFonts w:ascii="Verdana" w:hAnsi="Verdana"/>
          <w:bCs/>
          <w:i/>
          <w:iCs/>
          <w:sz w:val="20"/>
          <w:szCs w:val="20"/>
        </w:rPr>
      </w:pPr>
      <w:r w:rsidRPr="007524C4">
        <w:rPr>
          <w:rFonts w:ascii="Verdana" w:hAnsi="Verdana"/>
          <w:sz w:val="20"/>
          <w:szCs w:val="20"/>
        </w:rPr>
        <w:t xml:space="preserve">No podrán los Concejos, so pretexto de reglamentar el tema de las autorizaciones, extralimitarse en sus atribuciones e intervenir sobre la actividad contractual propiamente dicha; dirección que corresponde al alcalde, en tanto jefe de la acción administrativa del municipio, de conformidad con el artículo 315- 3 de la Carta. Asimismo, deberán tener en cuenta los concejos municipales que, en tanto función administrativa, la atribución debe ser ejercida en forma razonable y proporcionada, respetando lo dispuesto en el artículo 209 constitucional; </w:t>
      </w:r>
      <w:r w:rsidRPr="007524C4">
        <w:rPr>
          <w:rFonts w:ascii="Verdana" w:hAnsi="Verdana"/>
          <w:bCs/>
          <w:i/>
          <w:iCs/>
          <w:sz w:val="20"/>
          <w:szCs w:val="20"/>
        </w:rPr>
        <w:t>y que no se puede interpretar dicha norma en forma tal que se obligue al alcalde a solicitar autorizaciones del concejo en todos los casos en que vaya a contratar, sino únicamente en los que tal corporación disponga, en forma razonable, mediante un reglamento que se atenga a la Carta</w:t>
      </w:r>
      <w:r w:rsidRPr="007524C4">
        <w:rPr>
          <w:rFonts w:ascii="Verdana" w:hAnsi="Verdana"/>
          <w:bCs/>
          <w:i/>
          <w:iCs/>
          <w:spacing w:val="-2"/>
          <w:sz w:val="20"/>
          <w:szCs w:val="20"/>
        </w:rPr>
        <w:t xml:space="preserve"> </w:t>
      </w:r>
      <w:r w:rsidRPr="007524C4">
        <w:rPr>
          <w:rFonts w:ascii="Verdana" w:hAnsi="Verdana"/>
          <w:bCs/>
          <w:i/>
          <w:iCs/>
          <w:sz w:val="20"/>
          <w:szCs w:val="20"/>
        </w:rPr>
        <w:t>Política.</w:t>
      </w:r>
    </w:p>
    <w:p w14:paraId="4484F2DE" w14:textId="77777777" w:rsidR="002B62E0" w:rsidRPr="007524C4" w:rsidRDefault="002B62E0" w:rsidP="002B62E0">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3B6612E7" w14:textId="77777777" w:rsidR="002B62E0" w:rsidRPr="007524C4" w:rsidRDefault="002B62E0" w:rsidP="002B62E0">
      <w:pPr>
        <w:widowControl w:val="0"/>
        <w:autoSpaceDE w:val="0"/>
        <w:autoSpaceDN w:val="0"/>
        <w:spacing w:after="0" w:line="240" w:lineRule="auto"/>
        <w:ind w:left="709" w:right="709"/>
        <w:rPr>
          <w:rFonts w:ascii="Verdana" w:eastAsia="Arial" w:hAnsi="Verdana" w:cs="Arial"/>
          <w:sz w:val="20"/>
          <w:szCs w:val="20"/>
          <w:lang w:val="es-ES" w:eastAsia="es-ES" w:bidi="es-ES"/>
        </w:rPr>
      </w:pPr>
      <w:r w:rsidRPr="007524C4">
        <w:rPr>
          <w:rFonts w:ascii="Verdana" w:eastAsia="Arial" w:hAnsi="Verdana" w:cs="Arial"/>
          <w:sz w:val="20"/>
          <w:szCs w:val="20"/>
          <w:lang w:val="es-ES" w:eastAsia="es-ES" w:bidi="es-ES"/>
        </w:rPr>
        <w:t>(…)</w:t>
      </w:r>
    </w:p>
    <w:p w14:paraId="55F0031B" w14:textId="77777777" w:rsidR="002B62E0" w:rsidRPr="007524C4" w:rsidRDefault="002B62E0" w:rsidP="002B62E0">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73B3FED1"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7524C4">
        <w:rPr>
          <w:rFonts w:ascii="Verdana" w:eastAsia="Arial" w:hAnsi="Verdana" w:cs="Arial"/>
          <w:sz w:val="20"/>
          <w:szCs w:val="20"/>
          <w:lang w:eastAsia="es-ES" w:bidi="es-ES"/>
        </w:rPr>
        <w:t xml:space="preserve">Debe resaltarse, por último, que, contrario a lo que presupone la argumentación del actor, lejos de ser un límite a la autonomía municipal, el régimen previsto por la Ley 80 de 1993 está construido sobre la base de la autonomía de las entidades estatales en materia contractual, tanto que otorga a ciertas entidades y dependencias que no cuentan con personería jurídica, una capacidad especial de contratación y puedan gestionar mejor los aspectos que a ellas atañen. Para la Corte, igual sucede con la norma bajo estudio, </w:t>
      </w:r>
      <w:proofErr w:type="gramStart"/>
      <w:r w:rsidRPr="007524C4">
        <w:rPr>
          <w:rFonts w:ascii="Verdana" w:eastAsia="Arial" w:hAnsi="Verdana" w:cs="Arial"/>
          <w:sz w:val="20"/>
          <w:szCs w:val="20"/>
          <w:lang w:eastAsia="es-ES" w:bidi="es-ES"/>
        </w:rPr>
        <w:t>ya que</w:t>
      </w:r>
      <w:proofErr w:type="gramEnd"/>
      <w:r w:rsidRPr="007524C4">
        <w:rPr>
          <w:rFonts w:ascii="Verdana" w:eastAsia="Arial" w:hAnsi="Verdana" w:cs="Arial"/>
          <w:sz w:val="20"/>
          <w:szCs w:val="20"/>
          <w:lang w:eastAsia="es-ES" w:bidi="es-ES"/>
        </w:rPr>
        <w:t xml:space="preserve"> al reafirmar la competencia reglamentaria constitucional de los concejos municipales, no sólo presupone, sino que desarrolla su autonomía real. Así, a través de regímenes reglamentarios que no lesionen lo dispuesto en la Ley 80 de 1993 y en las demás normas legales aplicables, </w:t>
      </w:r>
      <w:r w:rsidRPr="007524C4">
        <w:rPr>
          <w:rFonts w:ascii="Verdana" w:eastAsia="Arial" w:hAnsi="Verdana" w:cs="Arial"/>
          <w:i/>
          <w:sz w:val="20"/>
          <w:szCs w:val="20"/>
          <w:lang w:eastAsia="es-ES" w:bidi="es-ES"/>
        </w:rPr>
        <w:t>los concejos podrán decidir cómo ha de surtirse el proceso de autorización, en los casos en que sea necesario de conformidad con los intereses locales</w:t>
      </w:r>
      <w:r w:rsidRPr="007524C4">
        <w:rPr>
          <w:rFonts w:ascii="Verdana" w:eastAsia="Arial" w:hAnsi="Verdana" w:cs="Arial"/>
          <w:b/>
          <w:sz w:val="20"/>
          <w:szCs w:val="20"/>
          <w:lang w:eastAsia="es-ES" w:bidi="es-ES"/>
        </w:rPr>
        <w:t xml:space="preserve"> </w:t>
      </w:r>
      <w:r w:rsidRPr="007524C4">
        <w:rPr>
          <w:rFonts w:ascii="Verdana" w:eastAsia="Arial" w:hAnsi="Verdana" w:cs="Arial"/>
          <w:sz w:val="20"/>
          <w:szCs w:val="20"/>
          <w:lang w:eastAsia="es-ES" w:bidi="es-ES"/>
        </w:rPr>
        <w:t>(…)”</w:t>
      </w:r>
      <w:r w:rsidRPr="007524C4">
        <w:rPr>
          <w:rFonts w:ascii="Verdana" w:eastAsia="Arial" w:hAnsi="Verdana" w:cs="Arial"/>
          <w:sz w:val="20"/>
          <w:szCs w:val="20"/>
          <w:vertAlign w:val="superscript"/>
          <w:lang w:eastAsia="es-ES" w:bidi="es-ES"/>
        </w:rPr>
        <w:footnoteReference w:id="8"/>
      </w:r>
      <w:r w:rsidRPr="007524C4">
        <w:rPr>
          <w:rFonts w:ascii="Verdana" w:eastAsia="Arial" w:hAnsi="Verdana" w:cs="Arial"/>
          <w:sz w:val="20"/>
          <w:szCs w:val="20"/>
          <w:lang w:eastAsia="es-ES" w:bidi="es-ES"/>
        </w:rPr>
        <w:t>. [Énfasis fuera del</w:t>
      </w:r>
      <w:r w:rsidRPr="007524C4">
        <w:rPr>
          <w:rFonts w:ascii="Verdana" w:eastAsia="Arial" w:hAnsi="Verdana" w:cs="Arial"/>
          <w:spacing w:val="-19"/>
          <w:sz w:val="20"/>
          <w:szCs w:val="20"/>
          <w:lang w:eastAsia="es-ES" w:bidi="es-ES"/>
        </w:rPr>
        <w:t xml:space="preserve"> </w:t>
      </w:r>
      <w:r w:rsidRPr="007524C4">
        <w:rPr>
          <w:rFonts w:ascii="Verdana" w:eastAsia="Arial" w:hAnsi="Verdana" w:cs="Arial"/>
          <w:sz w:val="20"/>
          <w:szCs w:val="20"/>
          <w:lang w:eastAsia="es-ES" w:bidi="es-ES"/>
        </w:rPr>
        <w:t>texto original]</w:t>
      </w:r>
    </w:p>
    <w:p w14:paraId="5B439A3A" w14:textId="77777777" w:rsidR="002B62E0" w:rsidRPr="007524C4" w:rsidRDefault="002B62E0" w:rsidP="002B62E0">
      <w:pPr>
        <w:widowControl w:val="0"/>
        <w:autoSpaceDE w:val="0"/>
        <w:autoSpaceDN w:val="0"/>
        <w:spacing w:after="0" w:line="276" w:lineRule="auto"/>
        <w:rPr>
          <w:rFonts w:ascii="Verdana" w:eastAsia="Arial" w:hAnsi="Verdana" w:cs="Arial"/>
          <w:lang w:val="es-ES" w:eastAsia="es-ES" w:bidi="es-ES"/>
        </w:rPr>
      </w:pPr>
    </w:p>
    <w:p w14:paraId="4B80781D" w14:textId="77777777" w:rsidR="002B62E0" w:rsidRPr="007524C4" w:rsidRDefault="002B62E0" w:rsidP="002B62E0">
      <w:pPr>
        <w:widowControl w:val="0"/>
        <w:autoSpaceDE w:val="0"/>
        <w:autoSpaceDN w:val="0"/>
        <w:spacing w:after="120" w:line="276" w:lineRule="auto"/>
        <w:ind w:firstLine="709"/>
        <w:jc w:val="both"/>
        <w:rPr>
          <w:rFonts w:ascii="Verdana" w:eastAsia="Arial" w:hAnsi="Verdana" w:cs="Arial"/>
          <w:lang w:val="es-ES" w:eastAsia="es-ES" w:bidi="es-ES"/>
        </w:rPr>
      </w:pPr>
      <w:r w:rsidRPr="007524C4">
        <w:rPr>
          <w:rFonts w:ascii="Verdana" w:eastAsia="Arial" w:hAnsi="Verdana" w:cs="Arial"/>
          <w:lang w:eastAsia="es-ES" w:bidi="es-ES"/>
        </w:rPr>
        <w:t xml:space="preserve">La anterior interpretación permite concluir que, la autorización de parte del concejo de que trata el artículo 32 de la Ley 136 de 1994 debe ser determinada y restringida y solo frente a los asuntos contractuales que expresamente estuvieran reglamentados por el concejo municipal o distrital. </w:t>
      </w:r>
      <w:r w:rsidRPr="007524C4">
        <w:rPr>
          <w:rFonts w:ascii="Verdana" w:eastAsia="Arial" w:hAnsi="Verdana" w:cs="Arial"/>
          <w:lang w:val="es-ES" w:eastAsia="es-ES" w:bidi="es-ES"/>
        </w:rPr>
        <w:t xml:space="preserve">De ahí que corresponda a los concejos municipales expedir un acuerdo que regule: i) “el procedimiento interno que se deberá seguir ante los Concejos para obtener la autorización respectiva”; </w:t>
      </w:r>
      <w:proofErr w:type="spellStart"/>
      <w:r w:rsidRPr="007524C4">
        <w:rPr>
          <w:rFonts w:ascii="Verdana" w:eastAsia="Arial" w:hAnsi="Verdana" w:cs="Arial"/>
          <w:lang w:val="es-ES" w:eastAsia="es-ES" w:bidi="es-ES"/>
        </w:rPr>
        <w:t>ii</w:t>
      </w:r>
      <w:proofErr w:type="spellEnd"/>
      <w:r w:rsidRPr="007524C4">
        <w:rPr>
          <w:rFonts w:ascii="Verdana" w:eastAsia="Arial" w:hAnsi="Verdana" w:cs="Arial"/>
          <w:lang w:val="es-ES" w:eastAsia="es-ES" w:bidi="es-ES"/>
        </w:rPr>
        <w:t xml:space="preserve">) “los criterios que debe seguir para otorgarla” y; </w:t>
      </w:r>
      <w:proofErr w:type="spellStart"/>
      <w:r w:rsidRPr="007524C4">
        <w:rPr>
          <w:rFonts w:ascii="Verdana" w:eastAsia="Arial" w:hAnsi="Verdana" w:cs="Arial"/>
          <w:lang w:val="es-ES" w:eastAsia="es-ES" w:bidi="es-ES"/>
        </w:rPr>
        <w:t>iii</w:t>
      </w:r>
      <w:proofErr w:type="spellEnd"/>
      <w:r w:rsidRPr="007524C4">
        <w:rPr>
          <w:rFonts w:ascii="Verdana" w:eastAsia="Arial" w:hAnsi="Verdana" w:cs="Arial"/>
          <w:lang w:val="es-ES" w:eastAsia="es-ES" w:bidi="es-ES"/>
        </w:rPr>
        <w:t>) “los casos en los cuales tal autorización es necesaria”, teniendo en cuenta los intereses</w:t>
      </w:r>
      <w:r w:rsidRPr="007524C4">
        <w:rPr>
          <w:rFonts w:ascii="Verdana" w:eastAsia="Arial" w:hAnsi="Verdana" w:cs="Arial"/>
          <w:spacing w:val="-19"/>
          <w:lang w:val="es-ES" w:eastAsia="es-ES" w:bidi="es-ES"/>
        </w:rPr>
        <w:t xml:space="preserve"> </w:t>
      </w:r>
      <w:r w:rsidRPr="007524C4">
        <w:rPr>
          <w:rFonts w:ascii="Verdana" w:eastAsia="Arial" w:hAnsi="Verdana" w:cs="Arial"/>
          <w:lang w:val="es-ES" w:eastAsia="es-ES" w:bidi="es-ES"/>
        </w:rPr>
        <w:t xml:space="preserve">locales. </w:t>
      </w:r>
    </w:p>
    <w:p w14:paraId="1A8CD099" w14:textId="77777777" w:rsidR="002B62E0" w:rsidRPr="007524C4" w:rsidRDefault="002B62E0" w:rsidP="002B62E0">
      <w:pPr>
        <w:spacing w:before="1" w:line="276" w:lineRule="auto"/>
        <w:ind w:firstLine="708"/>
        <w:jc w:val="both"/>
        <w:rPr>
          <w:rFonts w:ascii="Verdana" w:hAnsi="Verdana"/>
        </w:rPr>
      </w:pPr>
      <w:r w:rsidRPr="007524C4">
        <w:rPr>
          <w:rFonts w:ascii="Verdana" w:hAnsi="Verdana"/>
        </w:rPr>
        <w:lastRenderedPageBreak/>
        <w:t xml:space="preserve">De los pronunciamientos antes expuestos es posible concluir que, </w:t>
      </w:r>
      <w:r w:rsidRPr="007524C4">
        <w:rPr>
          <w:rFonts w:ascii="Verdana" w:hAnsi="Verdana"/>
          <w:iCs/>
        </w:rPr>
        <w:t>por regla general los alcaldes tienen la facultad general de suscribir contratos y dirigir la actividad contractual de los municipios sin necesidad de una autorización previa, general o periódica del concejo municipal</w:t>
      </w:r>
      <w:r w:rsidRPr="007524C4">
        <w:rPr>
          <w:rFonts w:ascii="Verdana" w:hAnsi="Verdana"/>
        </w:rPr>
        <w:t xml:space="preserve">. </w:t>
      </w:r>
      <w:bookmarkStart w:id="8" w:name="_Hlk207703653"/>
      <w:r w:rsidRPr="007524C4">
        <w:rPr>
          <w:rFonts w:ascii="Verdana" w:hAnsi="Verdana"/>
        </w:rPr>
        <w:t>La autorización previa por parte del concejo municipal tiene carácter excepcional, y únicamente aplica respecto de los casos señalados expresamente en el parágrafo 4º del artículo 32 de la Ley 136 de 1994, modificado por el artículo 18 de la Ley 1551 de 2012, y en los casos adicionales que haya establecido previa y expresamente el concejo municipal en ejercicio de la competencia otorgada por el numeral 3 del artículo 313 de la Constitución Política y el numeral 3 del artículo 32 de la Ley 136 de 1994.</w:t>
      </w:r>
      <w:bookmarkEnd w:id="8"/>
    </w:p>
    <w:p w14:paraId="272B2BD1" w14:textId="77777777" w:rsidR="002B62E0" w:rsidRDefault="002B62E0" w:rsidP="002B62E0">
      <w:pPr>
        <w:pStyle w:val="Textoindependiente"/>
        <w:ind w:firstLine="709"/>
        <w:jc w:val="both"/>
        <w:rPr>
          <w:rFonts w:ascii="Verdana" w:hAnsi="Verdana"/>
        </w:rPr>
      </w:pPr>
      <w:r w:rsidRPr="007C4BB0">
        <w:rPr>
          <w:rFonts w:ascii="Verdana" w:hAnsi="Verdana"/>
        </w:rPr>
        <w:t xml:space="preserve">Esta Agencia, mediante </w:t>
      </w:r>
      <w:r>
        <w:rPr>
          <w:rFonts w:ascii="Verdana" w:hAnsi="Verdana"/>
        </w:rPr>
        <w:t>C</w:t>
      </w:r>
      <w:r w:rsidRPr="007C4BB0">
        <w:rPr>
          <w:rFonts w:ascii="Verdana" w:hAnsi="Verdana"/>
        </w:rPr>
        <w:t xml:space="preserve">oncepto 2201913000005754 del </w:t>
      </w:r>
      <w:r>
        <w:rPr>
          <w:rFonts w:ascii="Verdana" w:hAnsi="Verdana"/>
        </w:rPr>
        <w:t xml:space="preserve">4 de agosto de </w:t>
      </w:r>
      <w:r w:rsidRPr="007C4BB0">
        <w:rPr>
          <w:rFonts w:ascii="Verdana" w:hAnsi="Verdana"/>
        </w:rPr>
        <w:t xml:space="preserve">2019 compartió las precisiones efectuadas por el Consejo de Estado, en el sentido de manifestar que </w:t>
      </w:r>
      <w:r>
        <w:rPr>
          <w:rFonts w:ascii="Verdana" w:hAnsi="Verdana"/>
        </w:rPr>
        <w:t xml:space="preserve">“[…] </w:t>
      </w:r>
      <w:r w:rsidRPr="007C4BB0">
        <w:rPr>
          <w:rFonts w:ascii="Verdana" w:hAnsi="Verdana"/>
        </w:rPr>
        <w:t>según las normas y el concepto citado es posible concluir que el requisito de autorización previa por parte de corporaciones públicas municipales únicamente se predica de los contratos que expresamente identificó el legislador, como es el caso de los establecidos en el parágrafo 4 del artículo 32 de la Ley 136 de 1994, y los que por vía acuerdo municipal se haya fijado este requisito en consideración a su importancia para el ente territorial</w:t>
      </w:r>
      <w:r>
        <w:rPr>
          <w:rFonts w:ascii="Verdana" w:hAnsi="Verdana"/>
          <w:bCs/>
          <w:iCs/>
          <w:lang w:val="es-ES_tradnl"/>
        </w:rPr>
        <w:t>”</w:t>
      </w:r>
      <w:r w:rsidRPr="007C4BB0">
        <w:rPr>
          <w:rFonts w:ascii="Verdana" w:hAnsi="Verdana"/>
        </w:rPr>
        <w:t xml:space="preserve">. </w:t>
      </w:r>
    </w:p>
    <w:p w14:paraId="3E3CA72D" w14:textId="77777777" w:rsidR="002B62E0" w:rsidRDefault="002B62E0" w:rsidP="002B62E0">
      <w:pPr>
        <w:pStyle w:val="Textoindependiente"/>
        <w:ind w:firstLine="709"/>
        <w:jc w:val="both"/>
        <w:rPr>
          <w:rFonts w:ascii="Verdana" w:hAnsi="Verdana"/>
        </w:rPr>
      </w:pPr>
      <w:r w:rsidRPr="007C4BB0">
        <w:rPr>
          <w:rFonts w:ascii="Verdana" w:hAnsi="Verdana"/>
        </w:rPr>
        <w:t xml:space="preserve">En consecuencia, </w:t>
      </w:r>
      <w:r>
        <w:rPr>
          <w:rFonts w:ascii="Verdana" w:hAnsi="Verdana"/>
        </w:rPr>
        <w:t xml:space="preserve">en términos del parágrafo 4 del artículo 32 de la Ley 136 de 1994, dado que los contratos de comodato son diferentes a los de empréstito, por ser a título gratuito no comprometen recursos de vigencias futuras, no implican una transferencia del derecho de dominio ni implican la enajenación </w:t>
      </w:r>
      <w:r w:rsidRPr="002204BF">
        <w:rPr>
          <w:rFonts w:ascii="Verdana" w:hAnsi="Verdana"/>
        </w:rPr>
        <w:t>de activos, acciones y cuotas partes</w:t>
      </w:r>
      <w:r>
        <w:rPr>
          <w:rFonts w:ascii="Verdana" w:hAnsi="Verdana"/>
        </w:rPr>
        <w:t xml:space="preserve"> ni el uso de la técnica concesional, la necesidad de la autorización del concejo para suscribir este tipo de negocios jurídicos deberá analizarse en cada caso particular de acuerdo con la reglamentación a la que se refiere el numeral 3 del artículo 32 </w:t>
      </w:r>
      <w:r w:rsidRPr="00E02EAA">
        <w:rPr>
          <w:rFonts w:ascii="Verdana" w:hAnsi="Verdana"/>
          <w:i/>
          <w:iCs/>
        </w:rPr>
        <w:t>ibidem</w:t>
      </w:r>
      <w:r>
        <w:rPr>
          <w:rFonts w:ascii="Verdana" w:hAnsi="Verdana"/>
        </w:rPr>
        <w:t xml:space="preserve"> y los acuerdos municipales pertinentes. </w:t>
      </w:r>
    </w:p>
    <w:p w14:paraId="37E6304E" w14:textId="77777777" w:rsidR="002B62E0" w:rsidRPr="00D220F6" w:rsidRDefault="002B62E0" w:rsidP="002B62E0">
      <w:pPr>
        <w:pStyle w:val="Textoindependiente"/>
        <w:ind w:firstLine="709"/>
        <w:jc w:val="both"/>
        <w:rPr>
          <w:rFonts w:ascii="Verdana" w:hAnsi="Verdana"/>
        </w:rPr>
      </w:pP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la celebración de contratos de comodato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 De esta manera, las afirmaciones aquí realizadas</w:t>
      </w:r>
      <w:r>
        <w:rPr>
          <w:rFonts w:ascii="Verdana" w:hAnsi="Verdana" w:cs="Arial"/>
          <w:lang w:eastAsia="es-ES"/>
        </w:rPr>
        <w:t xml:space="preserve"> </w:t>
      </w:r>
      <w:r w:rsidRPr="00301910">
        <w:rPr>
          <w:rFonts w:ascii="Verdana" w:hAnsi="Verdana" w:cs="Arial"/>
          <w:lang w:eastAsia="es-ES"/>
        </w:rPr>
        <w:t>no</w:t>
      </w:r>
      <w:r>
        <w:rPr>
          <w:rFonts w:ascii="Verdana" w:hAnsi="Verdana" w:cs="Arial"/>
          <w:lang w:eastAsia="es-ES"/>
        </w:rPr>
        <w:t xml:space="preserve"> </w:t>
      </w:r>
      <w:r w:rsidRPr="00301910">
        <w:rPr>
          <w:rFonts w:ascii="Verdana" w:hAnsi="Verdana" w:cs="Arial"/>
          <w:lang w:eastAsia="es-ES"/>
        </w:rPr>
        <w:t>pueden ser interpretadas como juicios de valor sobre circunstancias</w:t>
      </w:r>
      <w:r>
        <w:rPr>
          <w:rFonts w:ascii="Verdana" w:hAnsi="Verdana" w:cs="Arial"/>
          <w:lang w:eastAsia="es-ES"/>
        </w:rPr>
        <w:t xml:space="preserve"> </w:t>
      </w:r>
      <w:r w:rsidRPr="00301910">
        <w:rPr>
          <w:rFonts w:ascii="Verdana" w:hAnsi="Verdana" w:cs="Arial"/>
          <w:lang w:eastAsia="es-ES"/>
        </w:rPr>
        <w:t>concretas</w:t>
      </w:r>
      <w:r>
        <w:rPr>
          <w:rFonts w:ascii="Verdana" w:hAnsi="Verdana" w:cs="Arial"/>
          <w:lang w:eastAsia="es-ES"/>
        </w:rPr>
        <w:t xml:space="preserve"> </w:t>
      </w:r>
      <w:r w:rsidRPr="00301910">
        <w:rPr>
          <w:rFonts w:ascii="Verdana" w:hAnsi="Verdana" w:cs="Arial"/>
          <w:lang w:eastAsia="es-ES"/>
        </w:rPr>
        <w:t>relacionadas con los hechos que motivan la</w:t>
      </w:r>
      <w:r>
        <w:rPr>
          <w:rFonts w:ascii="Verdana" w:hAnsi="Verdana" w:cs="Arial"/>
          <w:lang w:eastAsia="es-ES"/>
        </w:rPr>
        <w:t xml:space="preserve"> </w:t>
      </w:r>
      <w:r w:rsidRPr="00301910">
        <w:rPr>
          <w:rFonts w:ascii="Verdana" w:hAnsi="Verdana" w:cs="Arial"/>
          <w:lang w:eastAsia="es-ES"/>
        </w:rPr>
        <w:t>consulta.</w:t>
      </w:r>
      <w:r>
        <w:rPr>
          <w:rFonts w:ascii="Verdana" w:hAnsi="Verdana" w:cs="Arial"/>
          <w:lang w:eastAsia="es-ES"/>
        </w:rPr>
        <w:t xml:space="preserve"> </w:t>
      </w:r>
      <w:r w:rsidRPr="00301910">
        <w:rPr>
          <w:rFonts w:ascii="Verdana" w:hAnsi="Verdana" w:cs="Arial"/>
          <w:lang w:eastAsia="es-ES"/>
        </w:rPr>
        <w:t>Por lo anterior, previo concepto de sus asesores, la solución de situaciones particulares corresponde a los interesados</w:t>
      </w:r>
      <w:r>
        <w:rPr>
          <w:rFonts w:ascii="Verdana" w:hAnsi="Verdana" w:cs="Arial"/>
          <w:lang w:eastAsia="es-ES"/>
        </w:rPr>
        <w:t xml:space="preserve"> </w:t>
      </w:r>
      <w:r w:rsidRPr="00301910">
        <w:rPr>
          <w:rFonts w:ascii="Verdana" w:hAnsi="Verdana" w:cs="Arial"/>
          <w:lang w:eastAsia="es-ES"/>
        </w:rPr>
        <w:t xml:space="preserve">adoptar la decisión </w:t>
      </w:r>
      <w:r w:rsidRPr="00301910">
        <w:rPr>
          <w:rFonts w:ascii="Verdana" w:hAnsi="Verdana" w:cs="Arial"/>
          <w:lang w:eastAsia="es-ES"/>
        </w:rPr>
        <w:lastRenderedPageBreak/>
        <w:t>correspondiente y, en caso de conflicto, a las autoridades judiciales, fiscales y disciplinarias.</w:t>
      </w:r>
    </w:p>
    <w:p w14:paraId="14D7FAB4" w14:textId="77777777" w:rsidR="002B62E0" w:rsidRPr="00301910" w:rsidRDefault="002B62E0" w:rsidP="002B62E0">
      <w:pPr>
        <w:spacing w:before="120" w:after="0" w:line="276" w:lineRule="auto"/>
        <w:ind w:firstLine="709"/>
        <w:jc w:val="both"/>
        <w:rPr>
          <w:rFonts w:ascii="Verdana" w:hAnsi="Verdana" w:cs="Arial"/>
          <w:lang w:eastAsia="es-ES"/>
        </w:rPr>
      </w:pPr>
      <w:r w:rsidRPr="00301910">
        <w:rPr>
          <w:rFonts w:ascii="Verdana" w:hAnsi="Verdana" w:cs="Arial"/>
          <w:lang w:eastAsia="es-ES"/>
        </w:rPr>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p>
    <w:p w14:paraId="3CB9811D" w14:textId="77777777" w:rsidR="002B62E0" w:rsidRDefault="002B62E0" w:rsidP="002B62E0">
      <w:pPr>
        <w:widowControl w:val="0"/>
        <w:autoSpaceDE w:val="0"/>
        <w:autoSpaceDN w:val="0"/>
        <w:spacing w:after="0" w:line="276" w:lineRule="auto"/>
        <w:jc w:val="both"/>
        <w:rPr>
          <w:rFonts w:ascii="Verdana" w:hAnsi="Verdana" w:cs="Arial"/>
        </w:rPr>
      </w:pPr>
    </w:p>
    <w:p w14:paraId="339B1871" w14:textId="77777777" w:rsidR="002B62E0" w:rsidRDefault="002B62E0" w:rsidP="002B62E0">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600577E6" w14:textId="77777777" w:rsidR="002B62E0" w:rsidRDefault="002B62E0" w:rsidP="002B62E0">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2B62E0" w14:paraId="03732A05" w14:textId="77777777" w:rsidTr="00093697">
        <w:trPr>
          <w:trHeight w:val="870"/>
        </w:trPr>
        <w:tc>
          <w:tcPr>
            <w:tcW w:w="8647" w:type="dxa"/>
            <w:tcBorders>
              <w:top w:val="dotted" w:sz="4" w:space="0" w:color="auto"/>
              <w:left w:val="dotted" w:sz="4" w:space="0" w:color="auto"/>
              <w:bottom w:val="dotted" w:sz="4" w:space="0" w:color="auto"/>
              <w:right w:val="dotted" w:sz="4" w:space="0" w:color="auto"/>
            </w:tcBorders>
            <w:hideMark/>
          </w:tcPr>
          <w:p w14:paraId="4CD58C05" w14:textId="77777777" w:rsidR="002B62E0" w:rsidRDefault="002B62E0" w:rsidP="002B62E0">
            <w:pPr>
              <w:pStyle w:val="Prrafodelista"/>
              <w:widowControl w:val="0"/>
              <w:numPr>
                <w:ilvl w:val="0"/>
                <w:numId w:val="3"/>
              </w:numPr>
              <w:autoSpaceDE w:val="0"/>
              <w:autoSpaceDN w:val="0"/>
              <w:spacing w:after="120" w:line="276" w:lineRule="auto"/>
              <w:contextualSpacing w:val="0"/>
              <w:jc w:val="both"/>
              <w:rPr>
                <w:rFonts w:ascii="Verdana" w:hAnsi="Verdana" w:cs="Arial"/>
              </w:rPr>
            </w:pPr>
            <w:r>
              <w:rPr>
                <w:rFonts w:ascii="Verdana" w:hAnsi="Verdana" w:cs="Arial"/>
              </w:rPr>
              <w:t>Constitución Política de 1991, artículos 313 y 355.</w:t>
            </w:r>
          </w:p>
          <w:p w14:paraId="37697103" w14:textId="77777777" w:rsidR="002B62E0" w:rsidRDefault="002B62E0" w:rsidP="002B62E0">
            <w:pPr>
              <w:pStyle w:val="Prrafodelista"/>
              <w:widowControl w:val="0"/>
              <w:numPr>
                <w:ilvl w:val="0"/>
                <w:numId w:val="3"/>
              </w:numPr>
              <w:autoSpaceDE w:val="0"/>
              <w:autoSpaceDN w:val="0"/>
              <w:spacing w:after="120" w:line="276" w:lineRule="auto"/>
              <w:contextualSpacing w:val="0"/>
              <w:jc w:val="both"/>
              <w:rPr>
                <w:rFonts w:ascii="Verdana" w:hAnsi="Verdana" w:cs="Arial"/>
              </w:rPr>
            </w:pPr>
            <w:r>
              <w:rPr>
                <w:rFonts w:ascii="Verdana" w:hAnsi="Verdana" w:cs="Arial"/>
              </w:rPr>
              <w:t xml:space="preserve">Código Civil, artículos </w:t>
            </w:r>
            <w:r w:rsidRPr="00222802">
              <w:rPr>
                <w:rFonts w:ascii="Verdana" w:eastAsia="Calibri" w:hAnsi="Verdana" w:cs="Arial"/>
                <w:bCs/>
                <w:color w:val="000000" w:themeColor="text1"/>
              </w:rPr>
              <w:t>2200 al 2220</w:t>
            </w:r>
            <w:r>
              <w:rPr>
                <w:rFonts w:ascii="Verdana" w:hAnsi="Verdana" w:cs="Arial"/>
              </w:rPr>
              <w:t>.</w:t>
            </w:r>
          </w:p>
          <w:p w14:paraId="632147B8" w14:textId="77777777" w:rsidR="002B62E0" w:rsidRDefault="002B62E0" w:rsidP="002B62E0">
            <w:pPr>
              <w:pStyle w:val="Prrafodelista"/>
              <w:widowControl w:val="0"/>
              <w:numPr>
                <w:ilvl w:val="0"/>
                <w:numId w:val="3"/>
              </w:numPr>
              <w:autoSpaceDE w:val="0"/>
              <w:autoSpaceDN w:val="0"/>
              <w:spacing w:after="120" w:line="276" w:lineRule="auto"/>
              <w:contextualSpacing w:val="0"/>
              <w:jc w:val="both"/>
              <w:rPr>
                <w:rFonts w:ascii="Verdana" w:hAnsi="Verdana" w:cs="Arial"/>
              </w:rPr>
            </w:pPr>
            <w:r>
              <w:rPr>
                <w:rFonts w:ascii="Verdana" w:hAnsi="Verdana" w:cs="Arial"/>
              </w:rPr>
              <w:t>Decreto 1333 de 1986, artículo 167.</w:t>
            </w:r>
          </w:p>
          <w:p w14:paraId="0EC95090" w14:textId="77777777" w:rsidR="002B62E0" w:rsidRDefault="002B62E0" w:rsidP="002B62E0">
            <w:pPr>
              <w:pStyle w:val="Prrafodelista"/>
              <w:widowControl w:val="0"/>
              <w:numPr>
                <w:ilvl w:val="0"/>
                <w:numId w:val="3"/>
              </w:numPr>
              <w:autoSpaceDE w:val="0"/>
              <w:autoSpaceDN w:val="0"/>
              <w:spacing w:after="120" w:line="276" w:lineRule="auto"/>
              <w:contextualSpacing w:val="0"/>
              <w:jc w:val="both"/>
              <w:rPr>
                <w:rFonts w:ascii="Verdana" w:hAnsi="Verdana" w:cs="Arial"/>
              </w:rPr>
            </w:pPr>
            <w:r>
              <w:rPr>
                <w:rFonts w:ascii="Verdana" w:hAnsi="Verdana" w:cs="Arial"/>
              </w:rPr>
              <w:t>Ley 9 de 1989, artículo 38.</w:t>
            </w:r>
          </w:p>
          <w:p w14:paraId="5C245B4F" w14:textId="77777777" w:rsidR="002B62E0" w:rsidRDefault="002B62E0" w:rsidP="002B62E0">
            <w:pPr>
              <w:pStyle w:val="Prrafodelista"/>
              <w:widowControl w:val="0"/>
              <w:numPr>
                <w:ilvl w:val="0"/>
                <w:numId w:val="3"/>
              </w:numPr>
              <w:autoSpaceDE w:val="0"/>
              <w:autoSpaceDN w:val="0"/>
              <w:spacing w:after="120" w:line="276" w:lineRule="auto"/>
              <w:contextualSpacing w:val="0"/>
              <w:jc w:val="both"/>
              <w:rPr>
                <w:rFonts w:ascii="Verdana" w:hAnsi="Verdana" w:cs="Arial"/>
              </w:rPr>
            </w:pPr>
            <w:r>
              <w:rPr>
                <w:rFonts w:ascii="Verdana" w:hAnsi="Verdana" w:cs="Arial"/>
              </w:rPr>
              <w:t>Ley 80 de 1993, artículos 13, 32 y 40.</w:t>
            </w:r>
          </w:p>
          <w:p w14:paraId="79CFCBF9" w14:textId="77777777" w:rsidR="002B62E0" w:rsidRPr="00BD0B8C" w:rsidRDefault="002B62E0" w:rsidP="002B62E0">
            <w:pPr>
              <w:pStyle w:val="Prrafodelista"/>
              <w:widowControl w:val="0"/>
              <w:numPr>
                <w:ilvl w:val="0"/>
                <w:numId w:val="3"/>
              </w:numPr>
              <w:autoSpaceDE w:val="0"/>
              <w:autoSpaceDN w:val="0"/>
              <w:spacing w:after="120" w:line="276" w:lineRule="auto"/>
              <w:contextualSpacing w:val="0"/>
              <w:jc w:val="both"/>
              <w:rPr>
                <w:rFonts w:ascii="Verdana" w:hAnsi="Verdana" w:cs="Arial"/>
              </w:rPr>
            </w:pPr>
            <w:r>
              <w:rPr>
                <w:rFonts w:ascii="Verdana" w:hAnsi="Verdana" w:cs="Arial"/>
              </w:rPr>
              <w:t>Ley 136 de 1994, artículo 32.</w:t>
            </w:r>
          </w:p>
          <w:p w14:paraId="33D10D56" w14:textId="77777777" w:rsidR="002B62E0" w:rsidRDefault="002B62E0" w:rsidP="002B62E0">
            <w:pPr>
              <w:pStyle w:val="Prrafodelista"/>
              <w:widowControl w:val="0"/>
              <w:numPr>
                <w:ilvl w:val="0"/>
                <w:numId w:val="3"/>
              </w:numPr>
              <w:autoSpaceDE w:val="0"/>
              <w:autoSpaceDN w:val="0"/>
              <w:spacing w:after="120" w:line="276" w:lineRule="auto"/>
              <w:contextualSpacing w:val="0"/>
              <w:jc w:val="both"/>
              <w:rPr>
                <w:rFonts w:ascii="Verdana" w:hAnsi="Verdana" w:cs="Arial"/>
              </w:rPr>
            </w:pPr>
            <w:r>
              <w:rPr>
                <w:rFonts w:ascii="Verdana" w:hAnsi="Verdana" w:cs="Arial"/>
              </w:rPr>
              <w:t xml:space="preserve">Ley 489 de 1998, artículo 96. </w:t>
            </w:r>
          </w:p>
          <w:p w14:paraId="75F97C13" w14:textId="77777777" w:rsidR="002B62E0" w:rsidRPr="007524C4" w:rsidRDefault="002B62E0" w:rsidP="002B62E0">
            <w:pPr>
              <w:numPr>
                <w:ilvl w:val="0"/>
                <w:numId w:val="3"/>
              </w:numPr>
              <w:spacing w:line="276" w:lineRule="auto"/>
              <w:contextualSpacing/>
              <w:jc w:val="both"/>
              <w:rPr>
                <w:rFonts w:ascii="Verdana" w:hAnsi="Verdana"/>
                <w:lang w:val="es-MX" w:bidi="es-ES"/>
              </w:rPr>
            </w:pPr>
            <w:r w:rsidRPr="007524C4">
              <w:rPr>
                <w:rFonts w:ascii="Verdana" w:hAnsi="Verdana"/>
                <w:lang w:val="es-MX"/>
              </w:rPr>
              <w:t>Corte Constitucional. Sentencia C-738 del 11 de julio de 2001. Magistrado Ponente: Eduardo Montealegre Lynett.</w:t>
            </w:r>
          </w:p>
          <w:p w14:paraId="7F19CAF3" w14:textId="77777777" w:rsidR="002B62E0" w:rsidRPr="007524C4" w:rsidRDefault="002B62E0" w:rsidP="002B62E0">
            <w:pPr>
              <w:numPr>
                <w:ilvl w:val="0"/>
                <w:numId w:val="3"/>
              </w:numPr>
              <w:spacing w:line="276" w:lineRule="auto"/>
              <w:contextualSpacing/>
              <w:jc w:val="both"/>
              <w:rPr>
                <w:rFonts w:ascii="Verdana" w:hAnsi="Verdana"/>
                <w:lang w:val="es-MX" w:bidi="es-ES"/>
              </w:rPr>
            </w:pPr>
            <w:r w:rsidRPr="007524C4">
              <w:rPr>
                <w:rFonts w:ascii="Verdana" w:hAnsi="Verdana"/>
                <w:lang w:val="es-MX"/>
              </w:rPr>
              <w:t xml:space="preserve">Consejo de Estado. Sala de Consulta y del Servicio Civil. Concepto 1889 del 5 de junio de 2008. Consejero Ponente: William Zambrano Cetina. </w:t>
            </w:r>
          </w:p>
          <w:p w14:paraId="1B8BDBC4" w14:textId="77777777" w:rsidR="002B62E0" w:rsidRPr="007524C4" w:rsidRDefault="002B62E0" w:rsidP="002B62E0">
            <w:pPr>
              <w:numPr>
                <w:ilvl w:val="0"/>
                <w:numId w:val="3"/>
              </w:numPr>
              <w:spacing w:line="276" w:lineRule="auto"/>
              <w:contextualSpacing/>
              <w:jc w:val="both"/>
              <w:rPr>
                <w:rFonts w:ascii="Verdana" w:hAnsi="Verdana"/>
                <w:lang w:val="es-MX" w:bidi="es-ES"/>
              </w:rPr>
            </w:pPr>
            <w:r w:rsidRPr="007524C4">
              <w:rPr>
                <w:rFonts w:ascii="Verdana" w:hAnsi="Verdana"/>
                <w:lang w:val="es-MX"/>
              </w:rPr>
              <w:t>Consejo de Estado. Sala de Consulta y del Servicio Civil. C</w:t>
            </w:r>
            <w:r w:rsidRPr="007524C4">
              <w:rPr>
                <w:rFonts w:ascii="Verdana" w:hAnsi="Verdana" w:cs="Arial"/>
                <w:lang w:val="es-MX"/>
              </w:rPr>
              <w:t xml:space="preserve">oncepto del 9 de octubre de 2014. </w:t>
            </w:r>
          </w:p>
          <w:p w14:paraId="5F7AC20C" w14:textId="77777777" w:rsidR="002B62E0" w:rsidRPr="006A640E" w:rsidRDefault="002B62E0" w:rsidP="00093697">
            <w:pPr>
              <w:widowControl w:val="0"/>
              <w:autoSpaceDE w:val="0"/>
              <w:autoSpaceDN w:val="0"/>
              <w:spacing w:line="276" w:lineRule="auto"/>
              <w:ind w:left="360"/>
              <w:jc w:val="both"/>
              <w:rPr>
                <w:rFonts w:ascii="Verdana" w:eastAsia="Arial MT" w:hAnsi="Verdana" w:cs="Arial"/>
                <w:lang w:val="es-ES" w:eastAsia="es-ES" w:bidi="es-ES"/>
              </w:rPr>
            </w:pPr>
            <w:r w:rsidRPr="007524C4">
              <w:rPr>
                <w:rFonts w:ascii="Verdana" w:hAnsi="Verdana"/>
              </w:rPr>
              <w:t xml:space="preserve">Consejo de Estado. Sala de lo Contencioso Administrativo. Sección Primera. Radicación número: 50001-23-31-000-2010-00548-01. 19 de septiembre de 2019. Consejera Ponente: Nubia </w:t>
            </w:r>
            <w:proofErr w:type="spellStart"/>
            <w:r w:rsidRPr="007524C4">
              <w:rPr>
                <w:rFonts w:ascii="Verdana" w:hAnsi="Verdana"/>
              </w:rPr>
              <w:t>Margoth</w:t>
            </w:r>
            <w:proofErr w:type="spellEnd"/>
            <w:r w:rsidRPr="007524C4">
              <w:rPr>
                <w:rFonts w:ascii="Verdana" w:hAnsi="Verdana"/>
              </w:rPr>
              <w:t xml:space="preserve"> Peña Garzón.</w:t>
            </w:r>
          </w:p>
        </w:tc>
      </w:tr>
    </w:tbl>
    <w:p w14:paraId="741FA541" w14:textId="77777777" w:rsidR="002B62E0" w:rsidRDefault="002B62E0" w:rsidP="002B62E0">
      <w:pPr>
        <w:widowControl w:val="0"/>
        <w:autoSpaceDE w:val="0"/>
        <w:autoSpaceDN w:val="0"/>
        <w:spacing w:after="0" w:line="276" w:lineRule="auto"/>
        <w:jc w:val="both"/>
        <w:rPr>
          <w:rFonts w:ascii="Verdana" w:hAnsi="Verdana" w:cs="Arial"/>
        </w:rPr>
      </w:pPr>
    </w:p>
    <w:p w14:paraId="7D13AB97" w14:textId="77777777" w:rsidR="002B62E0" w:rsidRDefault="002B62E0" w:rsidP="002B62E0">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76AABF28" w14:textId="77777777" w:rsidR="002B62E0" w:rsidRDefault="002B62E0" w:rsidP="002B62E0">
      <w:pPr>
        <w:widowControl w:val="0"/>
        <w:autoSpaceDE w:val="0"/>
        <w:autoSpaceDN w:val="0"/>
        <w:spacing w:after="0" w:line="276" w:lineRule="auto"/>
        <w:jc w:val="both"/>
        <w:rPr>
          <w:rFonts w:ascii="Verdana" w:hAnsi="Verdana" w:cs="Arial"/>
        </w:rPr>
      </w:pPr>
    </w:p>
    <w:p w14:paraId="0F7452C0" w14:textId="77777777" w:rsidR="002B62E0" w:rsidRDefault="002B62E0" w:rsidP="002B62E0">
      <w:pPr>
        <w:widowControl w:val="0"/>
        <w:autoSpaceDE w:val="0"/>
        <w:autoSpaceDN w:val="0"/>
        <w:spacing w:after="0" w:line="276" w:lineRule="auto"/>
        <w:jc w:val="both"/>
        <w:rPr>
          <w:rFonts w:ascii="Verdana" w:hAnsi="Verdana"/>
        </w:rPr>
      </w:pPr>
      <w:r w:rsidRPr="00010325">
        <w:rPr>
          <w:rFonts w:ascii="Verdana" w:hAnsi="Verdana" w:cs="Arial"/>
          <w:shd w:val="clear" w:color="auto" w:fill="FFFFFF"/>
        </w:rPr>
        <w:t>Esta Subdirección se ha pronunciado sobre</w:t>
      </w:r>
      <w:r>
        <w:rPr>
          <w:rFonts w:ascii="Verdana" w:hAnsi="Verdana" w:cs="Arial"/>
          <w:shd w:val="clear" w:color="auto" w:fill="FFFFFF"/>
        </w:rPr>
        <w:t xml:space="preserve"> el contrato de comodato en los Conceptos </w:t>
      </w:r>
      <w:r w:rsidRPr="00222802">
        <w:rPr>
          <w:rFonts w:ascii="Verdana" w:eastAsia="Calibri" w:hAnsi="Verdana" w:cs="Arial"/>
          <w:bCs/>
          <w:color w:val="000000" w:themeColor="text1"/>
        </w:rPr>
        <w:t>415140000909 de 2015</w:t>
      </w:r>
      <w:r>
        <w:rPr>
          <w:rFonts w:ascii="Verdana" w:eastAsia="Calibri" w:hAnsi="Verdana" w:cs="Arial"/>
          <w:bCs/>
          <w:color w:val="000000" w:themeColor="text1"/>
        </w:rPr>
        <w:t>,</w:t>
      </w:r>
      <w:r>
        <w:rPr>
          <w:rFonts w:ascii="Verdana" w:hAnsi="Verdana" w:cs="Arial"/>
          <w:shd w:val="clear" w:color="auto" w:fill="FFFFFF"/>
        </w:rPr>
        <w:t xml:space="preserve"> C-014 del 24 de marzo de 2020, C-012 del </w:t>
      </w:r>
      <w:r>
        <w:rPr>
          <w:rFonts w:ascii="Verdana" w:hAnsi="Verdana" w:cs="Arial"/>
          <w:shd w:val="clear" w:color="auto" w:fill="FFFFFF"/>
        </w:rPr>
        <w:lastRenderedPageBreak/>
        <w:t xml:space="preserve">18 de febrero de 2022, C-799 del 12 de diciembre de 2022, C-161 del 6 de junio de 2023, C-270 del 12 de julio de 2023, C-188 del 21 de marzo de 2025, C-286 del 1 de abril de 2025. Asimismo, se ha pronunciado sobre las autorizaciones para la celebración de contratos en los Conceptos </w:t>
      </w:r>
      <w:r w:rsidRPr="007C4BB0">
        <w:rPr>
          <w:rFonts w:ascii="Verdana" w:hAnsi="Verdana"/>
        </w:rPr>
        <w:t xml:space="preserve">2201913000005754 del </w:t>
      </w:r>
      <w:r>
        <w:rPr>
          <w:rFonts w:ascii="Verdana" w:hAnsi="Verdana"/>
        </w:rPr>
        <w:t xml:space="preserve">4 de agosto de </w:t>
      </w:r>
      <w:r w:rsidRPr="007C4BB0">
        <w:rPr>
          <w:rFonts w:ascii="Verdana" w:hAnsi="Verdana"/>
        </w:rPr>
        <w:t>2019</w:t>
      </w:r>
      <w:r>
        <w:rPr>
          <w:rFonts w:ascii="Verdana" w:hAnsi="Verdana"/>
        </w:rPr>
        <w:t xml:space="preserve">, C-457 del 3 de septiembre de 2021, C-685 del 14 de noviembre de 2024, C-965 del 27 de agosto de 2025, </w:t>
      </w:r>
      <w:r w:rsidRPr="00CF7C16">
        <w:rPr>
          <w:rFonts w:ascii="Verdana" w:hAnsi="Verdana" w:cs="Arial"/>
          <w:shd w:val="clear" w:color="auto" w:fill="FFFFFF"/>
          <w:lang w:val="es-ES"/>
        </w:rPr>
        <w:t>entre otros</w:t>
      </w:r>
      <w:r>
        <w:rPr>
          <w:rStyle w:val="normaltextrun"/>
          <w:rFonts w:ascii="Verdana" w:hAnsi="Verdana" w:cs="Arial"/>
          <w:shd w:val="clear" w:color="auto" w:fill="FFFFFF"/>
          <w:lang w:val="es-ES"/>
        </w:rPr>
        <w:t>. Es</w:t>
      </w:r>
      <w:r>
        <w:rPr>
          <w:rFonts w:ascii="Verdana" w:hAnsi="Verdana"/>
        </w:rPr>
        <w:t>tos y otros conceptos se encuentran disponibles para consulta en el Sistema de relatoría de la Agencia, al cual se puede acceder a través del siguiente enlace:</w:t>
      </w:r>
    </w:p>
    <w:p w14:paraId="7C9754E8" w14:textId="77777777" w:rsidR="002B62E0" w:rsidRDefault="002B62E0" w:rsidP="002B62E0">
      <w:pPr>
        <w:widowControl w:val="0"/>
        <w:autoSpaceDE w:val="0"/>
        <w:autoSpaceDN w:val="0"/>
        <w:spacing w:after="0" w:line="276" w:lineRule="auto"/>
        <w:jc w:val="both"/>
        <w:rPr>
          <w:rFonts w:ascii="Verdana" w:hAnsi="Verdana"/>
        </w:rPr>
      </w:pPr>
    </w:p>
    <w:p w14:paraId="54A13B38" w14:textId="77777777" w:rsidR="002B62E0" w:rsidRPr="00FE3C84" w:rsidRDefault="002B62E0" w:rsidP="002B62E0">
      <w:pPr>
        <w:widowControl w:val="0"/>
        <w:autoSpaceDE w:val="0"/>
        <w:autoSpaceDN w:val="0"/>
        <w:spacing w:after="0" w:line="276" w:lineRule="auto"/>
        <w:jc w:val="both"/>
        <w:rPr>
          <w:rStyle w:val="normaltextrun"/>
          <w:rFonts w:ascii="Verdana" w:hAnsi="Verdana"/>
          <w:color w:val="FF0000"/>
          <w:shd w:val="clear" w:color="auto" w:fill="FFFFFF"/>
          <w:lang w:val="es-ES"/>
        </w:rPr>
      </w:pP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4869C5C2" w14:textId="77777777" w:rsidR="002B62E0" w:rsidRDefault="002B62E0" w:rsidP="002B62E0">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CD48B54" w14:textId="77777777" w:rsidR="002B62E0" w:rsidRPr="00A869FE" w:rsidRDefault="002B62E0" w:rsidP="002B62E0">
      <w:pPr>
        <w:shd w:val="clear" w:color="auto" w:fill="FFFFFF"/>
        <w:spacing w:after="0" w:line="276" w:lineRule="auto"/>
        <w:jc w:val="both"/>
        <w:rPr>
          <w:rFonts w:ascii="Verdana" w:hAnsi="Verdana"/>
          <w:color w:val="467886"/>
          <w:u w:val="single"/>
        </w:rPr>
      </w:pPr>
      <w:r w:rsidRPr="00A869FE">
        <w:rPr>
          <w:rFonts w:ascii="Verdana" w:hAnsi="Verdana"/>
          <w:color w:val="000000"/>
        </w:rPr>
        <w:t>Te informamos que ya se encuentra disponible la </w:t>
      </w:r>
      <w:r w:rsidRPr="00A869FE">
        <w:rPr>
          <w:rFonts w:ascii="Verdana" w:hAnsi="Verdana"/>
          <w:b/>
          <w:bCs/>
          <w:color w:val="000000"/>
        </w:rPr>
        <w:t>Guía de lineamientos de transparencia y selección objetiva para el departamento de La Guajira – Objetivo sexto constitucional de la Sentencia T-302 del 2017. </w:t>
      </w:r>
      <w:r w:rsidRPr="00A869F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869FE">
        <w:rPr>
          <w:rFonts w:ascii="Verdana" w:hAnsi="Verdana"/>
          <w:color w:val="000000"/>
        </w:rPr>
        <w:t>Wayúu</w:t>
      </w:r>
      <w:proofErr w:type="spellEnd"/>
      <w:r w:rsidRPr="00A869FE">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A869FE">
          <w:rPr>
            <w:rFonts w:ascii="Verdana" w:hAnsi="Verdana"/>
            <w:color w:val="0000FF"/>
            <w:u w:val="single"/>
          </w:rPr>
          <w:t>Guía de lineamientos de transparencia y selección objetiva para el departamento de La Guajira – Objetivo sexto constitucional de la Sentencia T-302 del 2017</w:t>
        </w:r>
      </w:hyperlink>
      <w:r w:rsidRPr="00A869FE">
        <w:rPr>
          <w:rFonts w:ascii="Verdana" w:hAnsi="Verdana"/>
          <w:color w:val="000000"/>
          <w:u w:val="single"/>
        </w:rPr>
        <w:t>.</w:t>
      </w:r>
    </w:p>
    <w:p w14:paraId="20F1E5EA" w14:textId="77777777" w:rsidR="002B62E0" w:rsidRPr="00A869FE" w:rsidRDefault="002B62E0" w:rsidP="002B62E0">
      <w:pPr>
        <w:widowControl w:val="0"/>
        <w:autoSpaceDE w:val="0"/>
        <w:autoSpaceDN w:val="0"/>
        <w:spacing w:after="0" w:line="276" w:lineRule="auto"/>
        <w:jc w:val="both"/>
        <w:rPr>
          <w:rFonts w:ascii="Verdana" w:hAnsi="Verdana" w:cs="Arial"/>
          <w:color w:val="000000" w:themeColor="text1"/>
          <w:shd w:val="clear" w:color="auto" w:fill="FFFFFF"/>
        </w:rPr>
      </w:pPr>
      <w:r w:rsidRPr="00A869FE">
        <w:rPr>
          <w:rFonts w:ascii="Verdana" w:hAnsi="Verdana" w:cs="Arial"/>
          <w:color w:val="000000" w:themeColor="text1"/>
          <w:shd w:val="clear" w:color="auto" w:fill="FFFFFF"/>
        </w:rPr>
        <w:t xml:space="preserve"> </w:t>
      </w:r>
    </w:p>
    <w:p w14:paraId="7B0E1806" w14:textId="77777777" w:rsidR="002B62E0" w:rsidRPr="00A869FE" w:rsidRDefault="002B62E0" w:rsidP="002B62E0">
      <w:pPr>
        <w:spacing w:after="0" w:line="276" w:lineRule="auto"/>
        <w:jc w:val="both"/>
        <w:rPr>
          <w:rFonts w:ascii="Verdana" w:hAnsi="Verdana"/>
        </w:rPr>
      </w:pPr>
      <w:r w:rsidRPr="00A869F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6BC8C19" w14:textId="77777777" w:rsidR="002B62E0" w:rsidRPr="00A869FE" w:rsidRDefault="002B62E0" w:rsidP="002B62E0">
      <w:pPr>
        <w:spacing w:after="0" w:line="276" w:lineRule="auto"/>
        <w:jc w:val="both"/>
        <w:rPr>
          <w:rFonts w:ascii="Verdana" w:hAnsi="Verdana"/>
        </w:rPr>
      </w:pPr>
    </w:p>
    <w:p w14:paraId="6A5786E7" w14:textId="77777777" w:rsidR="002B62E0" w:rsidRPr="00A869FE" w:rsidRDefault="002B62E0" w:rsidP="002B62E0">
      <w:pPr>
        <w:numPr>
          <w:ilvl w:val="0"/>
          <w:numId w:val="1"/>
        </w:numPr>
        <w:spacing w:after="0" w:line="276" w:lineRule="auto"/>
        <w:contextualSpacing/>
        <w:jc w:val="both"/>
        <w:rPr>
          <w:rFonts w:ascii="Verdana" w:eastAsia="Verdana" w:hAnsi="Verdana" w:cs="Verdana"/>
          <w:color w:val="4472C4" w:themeColor="accent1"/>
          <w:u w:val="single"/>
        </w:rPr>
      </w:pPr>
      <w:r w:rsidRPr="00A869FE">
        <w:rPr>
          <w:rFonts w:ascii="Verdana" w:eastAsia="Verdana" w:hAnsi="Verdana" w:cs="Verdana"/>
        </w:rPr>
        <w:t xml:space="preserve">Línea nacional gratuita o servicio a la ciudadanía (Mesa de servicio): </w:t>
      </w:r>
      <w:r w:rsidRPr="00A869FE">
        <w:rPr>
          <w:rFonts w:ascii="Verdana" w:hAnsi="Verdana"/>
          <w:color w:val="0000FF"/>
          <w:u w:val="single"/>
        </w:rPr>
        <w:t>01800 0520808</w:t>
      </w:r>
    </w:p>
    <w:p w14:paraId="3ADF345E" w14:textId="77777777" w:rsidR="002B62E0" w:rsidRPr="00A869FE" w:rsidRDefault="002B62E0" w:rsidP="002B62E0">
      <w:pPr>
        <w:numPr>
          <w:ilvl w:val="0"/>
          <w:numId w:val="1"/>
        </w:numPr>
        <w:spacing w:after="0" w:line="276" w:lineRule="auto"/>
        <w:contextualSpacing/>
        <w:rPr>
          <w:rFonts w:ascii="Verdana" w:eastAsia="Verdana" w:hAnsi="Verdana" w:cs="Verdana"/>
          <w:color w:val="4472C4" w:themeColor="accent1"/>
          <w:u w:val="single"/>
        </w:rPr>
      </w:pPr>
      <w:r w:rsidRPr="00A869FE">
        <w:rPr>
          <w:rFonts w:ascii="Verdana" w:eastAsia="Verdana" w:hAnsi="Verdana" w:cs="Verdana"/>
        </w:rPr>
        <w:t>Línea en Bogotá (Mesa de servicio</w:t>
      </w:r>
      <w:proofErr w:type="gramStart"/>
      <w:r w:rsidRPr="00A869FE">
        <w:rPr>
          <w:rFonts w:ascii="Verdana" w:eastAsia="Verdana" w:hAnsi="Verdana" w:cs="Verdana"/>
        </w:rPr>
        <w:t>):</w:t>
      </w:r>
      <w:r w:rsidRPr="00A869FE">
        <w:rPr>
          <w:rFonts w:ascii="Verdana" w:hAnsi="Verdana"/>
          <w:color w:val="0000FF"/>
          <w:u w:val="single"/>
        </w:rPr>
        <w:t>+</w:t>
      </w:r>
      <w:proofErr w:type="gramEnd"/>
      <w:r w:rsidRPr="00A869FE">
        <w:rPr>
          <w:rFonts w:ascii="Verdana" w:hAnsi="Verdana"/>
          <w:color w:val="0000FF"/>
          <w:u w:val="single"/>
        </w:rPr>
        <w:t>57 601 7456788</w:t>
      </w:r>
    </w:p>
    <w:p w14:paraId="1FE8DBEF" w14:textId="77777777" w:rsidR="002B62E0" w:rsidRPr="00A869FE" w:rsidRDefault="002B62E0" w:rsidP="002B62E0">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Correo de radicación de correspondencia: </w:t>
      </w:r>
      <w:hyperlink r:id="rId14" w:history="1">
        <w:r w:rsidRPr="00A869FE">
          <w:rPr>
            <w:rFonts w:ascii="Verdana" w:eastAsia="Verdana" w:hAnsi="Verdana" w:cs="Verdana"/>
            <w:color w:val="0000FF"/>
            <w:u w:val="single"/>
          </w:rPr>
          <w:t>ventanilladeradicacion@colombiacompra.gov.co</w:t>
        </w:r>
      </w:hyperlink>
    </w:p>
    <w:p w14:paraId="434A14E0" w14:textId="77777777" w:rsidR="002B62E0" w:rsidRPr="00A869FE" w:rsidRDefault="002B62E0" w:rsidP="002B62E0">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Formulario web para PQRSD: </w:t>
      </w:r>
      <w:hyperlink r:id="rId15" w:history="1">
        <w:r w:rsidRPr="00A869FE">
          <w:rPr>
            <w:rFonts w:ascii="Verdana" w:eastAsia="Verdana" w:hAnsi="Verdana" w:cs="Verdana"/>
            <w:color w:val="0000FF"/>
            <w:u w:val="single"/>
          </w:rPr>
          <w:t>https://www.colombiacompra.gov.co/pqrsd/informacion-importante-antes-de-formular-una-pqrsd</w:t>
        </w:r>
      </w:hyperlink>
    </w:p>
    <w:p w14:paraId="0C0F9FEF" w14:textId="77777777" w:rsidR="002B62E0" w:rsidRPr="00A869FE" w:rsidRDefault="002B62E0" w:rsidP="002B62E0">
      <w:pPr>
        <w:spacing w:after="0" w:line="276" w:lineRule="auto"/>
        <w:ind w:left="720"/>
        <w:jc w:val="both"/>
        <w:rPr>
          <w:rFonts w:ascii="Verdana" w:hAnsi="Verdana"/>
        </w:rPr>
      </w:pPr>
    </w:p>
    <w:p w14:paraId="4E773D09" w14:textId="77777777" w:rsidR="002B62E0" w:rsidRPr="00A869FE" w:rsidRDefault="002B62E0" w:rsidP="002B62E0">
      <w:pPr>
        <w:spacing w:after="0" w:line="276" w:lineRule="auto"/>
        <w:rPr>
          <w:rFonts w:ascii="Verdana" w:hAnsi="Verdana"/>
        </w:rPr>
      </w:pPr>
      <w:r w:rsidRPr="00A869FE">
        <w:rPr>
          <w:rFonts w:ascii="Verdana" w:hAnsi="Verdana"/>
        </w:rPr>
        <w:lastRenderedPageBreak/>
        <w:t xml:space="preserve">Evalúa el servicio que ofrece la Agencia por el canal de atención de PQRSD en el siguiente </w:t>
      </w:r>
      <w:proofErr w:type="gramStart"/>
      <w:r w:rsidRPr="00A869FE">
        <w:rPr>
          <w:rFonts w:ascii="Verdana" w:hAnsi="Verdana"/>
        </w:rPr>
        <w:t>enlace :</w:t>
      </w:r>
      <w:proofErr w:type="gramEnd"/>
      <w:hyperlink r:id="rId16" w:tgtFrame="_blank" w:tooltip="https://forms.office.com/r/pphywvs2sz" w:history="1">
        <w:r w:rsidRPr="00A869FE">
          <w:rPr>
            <w:rFonts w:ascii="Verdana" w:hAnsi="Verdana"/>
            <w:color w:val="0000FF"/>
            <w:u w:val="single"/>
          </w:rPr>
          <w:t>https://forms.office.com/r/pPHyWVs2SZ</w:t>
        </w:r>
      </w:hyperlink>
      <w:r w:rsidRPr="00A869FE">
        <w:rPr>
          <w:rFonts w:ascii="Verdana" w:hAnsi="Verdana"/>
        </w:rPr>
        <w:t xml:space="preserve"> .¡Ayúdanos a mejorar porque el compromiso es de todos!</w:t>
      </w:r>
    </w:p>
    <w:p w14:paraId="4F6D585D" w14:textId="77777777" w:rsidR="002B62E0" w:rsidRPr="00A869FE" w:rsidRDefault="002B62E0" w:rsidP="002B62E0">
      <w:pPr>
        <w:spacing w:after="0" w:line="276" w:lineRule="auto"/>
        <w:rPr>
          <w:rFonts w:ascii="Verdana" w:hAnsi="Verdana"/>
        </w:rPr>
      </w:pPr>
    </w:p>
    <w:p w14:paraId="30E3B650" w14:textId="77777777" w:rsidR="002B62E0" w:rsidRPr="00A869FE" w:rsidRDefault="002B62E0" w:rsidP="002B62E0">
      <w:pPr>
        <w:spacing w:after="0" w:line="276" w:lineRule="auto"/>
        <w:jc w:val="both"/>
        <w:rPr>
          <w:rFonts w:ascii="Verdana" w:hAnsi="Verdana"/>
        </w:rPr>
      </w:pPr>
      <w:r w:rsidRPr="00A869FE">
        <w:rPr>
          <w:rFonts w:ascii="Verdana" w:hAnsi="Verdana"/>
        </w:rPr>
        <w:t xml:space="preserve">Por último, lo invitamos a seguirnos en las redes sociales en las cuales se difunde información institucional: </w:t>
      </w:r>
    </w:p>
    <w:p w14:paraId="2AD5DC54" w14:textId="77777777" w:rsidR="002B62E0" w:rsidRPr="00A869FE" w:rsidRDefault="002B62E0" w:rsidP="002B62E0">
      <w:pPr>
        <w:spacing w:after="0" w:line="276" w:lineRule="auto"/>
        <w:jc w:val="both"/>
        <w:rPr>
          <w:rFonts w:ascii="Verdana" w:hAnsi="Verdana"/>
        </w:rPr>
      </w:pPr>
    </w:p>
    <w:p w14:paraId="69723E02" w14:textId="77777777" w:rsidR="002B62E0" w:rsidRPr="00A869FE" w:rsidRDefault="002B62E0" w:rsidP="002B62E0">
      <w:pPr>
        <w:spacing w:after="0" w:line="276" w:lineRule="auto"/>
        <w:jc w:val="both"/>
        <w:rPr>
          <w:rFonts w:ascii="Verdana" w:hAnsi="Verdana"/>
        </w:rPr>
      </w:pPr>
      <w:r w:rsidRPr="00A869FE">
        <w:rPr>
          <w:rFonts w:ascii="Verdana" w:hAnsi="Verdana"/>
        </w:rPr>
        <w:t xml:space="preserve">Twitter: </w:t>
      </w:r>
      <w:r w:rsidRPr="00A869FE">
        <w:rPr>
          <w:rFonts w:ascii="Verdana" w:hAnsi="Verdana"/>
          <w:color w:val="0000FF"/>
          <w:u w:val="single"/>
        </w:rPr>
        <w:t>@colombiacompra</w:t>
      </w:r>
      <w:r w:rsidRPr="00A869FE">
        <w:rPr>
          <w:rFonts w:ascii="Verdana" w:hAnsi="Verdana"/>
        </w:rPr>
        <w:t xml:space="preserve"> </w:t>
      </w:r>
    </w:p>
    <w:p w14:paraId="5EC1B51B" w14:textId="77777777" w:rsidR="002B62E0" w:rsidRPr="00A869FE" w:rsidRDefault="002B62E0" w:rsidP="002B62E0">
      <w:pPr>
        <w:spacing w:after="0" w:line="276" w:lineRule="auto"/>
        <w:jc w:val="both"/>
        <w:rPr>
          <w:rFonts w:ascii="Verdana" w:hAnsi="Verdana"/>
        </w:rPr>
      </w:pPr>
      <w:r w:rsidRPr="00A869FE">
        <w:rPr>
          <w:rFonts w:ascii="Verdana" w:hAnsi="Verdana"/>
        </w:rPr>
        <w:t xml:space="preserve">Facebook: </w:t>
      </w:r>
      <w:proofErr w:type="spellStart"/>
      <w:r w:rsidRPr="00A869FE">
        <w:rPr>
          <w:rFonts w:ascii="Verdana" w:hAnsi="Verdana"/>
          <w:color w:val="0000FF"/>
          <w:u w:val="single"/>
        </w:rPr>
        <w:t>ColombiaCompraEficiente</w:t>
      </w:r>
      <w:proofErr w:type="spellEnd"/>
    </w:p>
    <w:p w14:paraId="484DB99B" w14:textId="77777777" w:rsidR="002B62E0" w:rsidRPr="00A869FE" w:rsidRDefault="002B62E0" w:rsidP="002B62E0">
      <w:pPr>
        <w:spacing w:after="0" w:line="276" w:lineRule="auto"/>
        <w:jc w:val="both"/>
        <w:rPr>
          <w:rFonts w:ascii="Verdana" w:hAnsi="Verdana"/>
        </w:rPr>
      </w:pPr>
      <w:r w:rsidRPr="00A869FE">
        <w:rPr>
          <w:rFonts w:ascii="Verdana" w:hAnsi="Verdana"/>
        </w:rPr>
        <w:t xml:space="preserve">LinkedIn: </w:t>
      </w:r>
      <w:r w:rsidRPr="00A869FE">
        <w:rPr>
          <w:rFonts w:ascii="Verdana" w:hAnsi="Verdana"/>
          <w:color w:val="0000FF"/>
          <w:u w:val="single"/>
        </w:rPr>
        <w:t>Agencia Nacional de Contratación Pública - Colombia Compra Eficiente</w:t>
      </w:r>
      <w:r w:rsidRPr="00A869FE">
        <w:rPr>
          <w:rFonts w:ascii="Verdana" w:hAnsi="Verdana"/>
        </w:rPr>
        <w:t xml:space="preserve"> Instagram: </w:t>
      </w:r>
      <w:r w:rsidRPr="00A869FE">
        <w:rPr>
          <w:rFonts w:ascii="Verdana" w:hAnsi="Verdana"/>
          <w:color w:val="0000FF"/>
          <w:u w:val="single"/>
        </w:rPr>
        <w:t>@colombiacompraeficiente_cce</w:t>
      </w:r>
    </w:p>
    <w:p w14:paraId="68D63F41" w14:textId="77777777" w:rsidR="002B62E0" w:rsidRPr="00A869FE" w:rsidRDefault="002B62E0" w:rsidP="002B62E0">
      <w:pPr>
        <w:widowControl w:val="0"/>
        <w:autoSpaceDE w:val="0"/>
        <w:autoSpaceDN w:val="0"/>
        <w:spacing w:after="0" w:line="276" w:lineRule="auto"/>
        <w:jc w:val="both"/>
        <w:rPr>
          <w:rFonts w:ascii="Verdana" w:hAnsi="Verdana" w:cs="Arial"/>
          <w:color w:val="FF0000"/>
          <w:shd w:val="clear" w:color="auto" w:fill="FFFFFF"/>
        </w:rPr>
      </w:pPr>
      <w:r w:rsidRPr="00A869FE">
        <w:rPr>
          <w:rFonts w:ascii="Verdana" w:hAnsi="Verdana" w:cs="Arial"/>
          <w:color w:val="FF0000"/>
          <w:shd w:val="clear" w:color="auto" w:fill="FFFFFF"/>
        </w:rPr>
        <w:t xml:space="preserve">        </w:t>
      </w:r>
    </w:p>
    <w:p w14:paraId="7E45998B" w14:textId="77777777" w:rsidR="002B62E0" w:rsidRPr="00A869FE" w:rsidRDefault="002B62E0" w:rsidP="002B62E0">
      <w:pPr>
        <w:widowControl w:val="0"/>
        <w:autoSpaceDE w:val="0"/>
        <w:autoSpaceDN w:val="0"/>
        <w:spacing w:after="0" w:line="276" w:lineRule="auto"/>
        <w:jc w:val="both"/>
        <w:rPr>
          <w:rFonts w:ascii="Verdana" w:hAnsi="Verdana" w:cs="Arial"/>
        </w:rPr>
      </w:pPr>
      <w:r w:rsidRPr="00A869FE">
        <w:rPr>
          <w:rFonts w:ascii="Verdana" w:hAnsi="Verdana" w:cs="Aria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4F207024" w14:textId="77777777" w:rsidR="002B62E0" w:rsidRPr="00A869FE" w:rsidRDefault="002B62E0" w:rsidP="002B62E0">
      <w:pPr>
        <w:widowControl w:val="0"/>
        <w:autoSpaceDE w:val="0"/>
        <w:autoSpaceDN w:val="0"/>
        <w:spacing w:after="0" w:line="276" w:lineRule="auto"/>
        <w:jc w:val="both"/>
        <w:rPr>
          <w:rFonts w:ascii="Verdana" w:hAnsi="Verdana" w:cs="Arial"/>
        </w:rPr>
      </w:pPr>
    </w:p>
    <w:p w14:paraId="2A7AFEA7" w14:textId="77777777" w:rsidR="002B62E0" w:rsidRPr="00A869FE" w:rsidRDefault="002B62E0" w:rsidP="002B62E0">
      <w:pPr>
        <w:spacing w:after="0" w:line="276" w:lineRule="auto"/>
        <w:rPr>
          <w:rFonts w:ascii="Verdana" w:eastAsia="Times New Roman" w:hAnsi="Verdana" w:cs="Arial"/>
          <w:lang w:eastAsia="es-ES_tradnl"/>
        </w:rPr>
      </w:pPr>
      <w:r w:rsidRPr="00A869FE">
        <w:rPr>
          <w:rFonts w:ascii="Verdana" w:eastAsia="Times New Roman" w:hAnsi="Verdana" w:cs="Arial"/>
          <w:lang w:eastAsia="es-CO"/>
        </w:rPr>
        <w:t>Atentamente,</w:t>
      </w:r>
      <w:r w:rsidRPr="00A869FE">
        <w:rPr>
          <w:rFonts w:ascii="Verdana" w:hAnsi="Verdana" w:cs="Arial"/>
          <w:lang w:eastAsia="es-CO"/>
        </w:rPr>
        <w:t xml:space="preserve"> </w:t>
      </w:r>
    </w:p>
    <w:p w14:paraId="4B8823E2" w14:textId="0EAE95E9" w:rsidR="002B62E0" w:rsidRPr="00A869FE" w:rsidRDefault="00782AC9" w:rsidP="002B62E0">
      <w:pPr>
        <w:spacing w:after="0" w:line="240" w:lineRule="auto"/>
        <w:jc w:val="center"/>
      </w:pPr>
      <w:r w:rsidRPr="004D5C25">
        <w:rPr>
          <w:rFonts w:ascii="Century Gothic" w:hAnsi="Century Gothic"/>
          <w:noProof/>
        </w:rPr>
        <w:drawing>
          <wp:inline distT="0" distB="0" distL="0" distR="0" wp14:anchorId="5AB9B5E7" wp14:editId="218449D8">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B62E0" w:rsidRPr="00A869FE" w14:paraId="6B3C9AEA" w14:textId="77777777" w:rsidTr="00093697">
        <w:trPr>
          <w:trHeight w:val="315"/>
        </w:trPr>
        <w:tc>
          <w:tcPr>
            <w:tcW w:w="893" w:type="dxa"/>
            <w:vAlign w:val="center"/>
            <w:hideMark/>
          </w:tcPr>
          <w:p w14:paraId="40D57F6D" w14:textId="77777777" w:rsidR="002B62E0" w:rsidRPr="00A869FE" w:rsidRDefault="002B62E0" w:rsidP="00093697">
            <w:pPr>
              <w:contextualSpacing/>
              <w:rPr>
                <w:rFonts w:ascii="Verdana" w:hAnsi="Verdana" w:cs="Arial"/>
                <w:sz w:val="16"/>
                <w:szCs w:val="16"/>
                <w:lang w:eastAsia="es-ES"/>
              </w:rPr>
            </w:pPr>
            <w:r w:rsidRPr="00A869FE">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598648C5" w14:textId="77777777" w:rsidR="002B62E0" w:rsidRPr="00A869FE" w:rsidRDefault="002B62E0" w:rsidP="00093697">
            <w:pPr>
              <w:spacing w:line="256" w:lineRule="auto"/>
              <w:rPr>
                <w:rFonts w:ascii="Verdana" w:eastAsia="Calibri" w:hAnsi="Verdana" w:cs="Times New Roman"/>
                <w:sz w:val="16"/>
                <w:szCs w:val="16"/>
              </w:rPr>
            </w:pPr>
            <w:r w:rsidRPr="00A869FE">
              <w:rPr>
                <w:rFonts w:ascii="Verdana" w:eastAsia="Calibri" w:hAnsi="Verdana" w:cs="Times New Roman"/>
                <w:sz w:val="16"/>
                <w:szCs w:val="16"/>
              </w:rPr>
              <w:t>Sergio Enrique Caballero Lesmes</w:t>
            </w:r>
          </w:p>
          <w:p w14:paraId="0FA2950C" w14:textId="77777777" w:rsidR="002B62E0" w:rsidRPr="00A869FE" w:rsidRDefault="002B62E0" w:rsidP="00093697">
            <w:pPr>
              <w:contextualSpacing/>
              <w:rPr>
                <w:rFonts w:ascii="Verdana" w:eastAsia="Arial" w:hAnsi="Verdana" w:cs="Arial"/>
                <w:sz w:val="16"/>
                <w:szCs w:val="16"/>
              </w:rPr>
            </w:pPr>
            <w:r w:rsidRPr="00A869FE">
              <w:rPr>
                <w:rFonts w:ascii="Verdana" w:eastAsia="Calibri" w:hAnsi="Verdana" w:cs="Times New Roman"/>
                <w:sz w:val="16"/>
                <w:szCs w:val="16"/>
              </w:rPr>
              <w:t>Analista T2 -02 de la Subdirección de Gestión Contractual</w:t>
            </w:r>
          </w:p>
        </w:tc>
      </w:tr>
      <w:tr w:rsidR="002B62E0" w:rsidRPr="00A869FE" w14:paraId="7DD16D74" w14:textId="77777777" w:rsidTr="00093697">
        <w:trPr>
          <w:trHeight w:val="330"/>
        </w:trPr>
        <w:tc>
          <w:tcPr>
            <w:tcW w:w="893" w:type="dxa"/>
            <w:vAlign w:val="center"/>
            <w:hideMark/>
          </w:tcPr>
          <w:p w14:paraId="0F0FEDA2" w14:textId="77777777" w:rsidR="002B62E0" w:rsidRPr="00A869FE" w:rsidRDefault="002B62E0" w:rsidP="00093697">
            <w:pPr>
              <w:contextualSpacing/>
              <w:rPr>
                <w:rFonts w:ascii="Verdana" w:hAnsi="Verdana" w:cs="Arial"/>
                <w:sz w:val="16"/>
                <w:szCs w:val="16"/>
                <w:lang w:eastAsia="es-ES"/>
              </w:rPr>
            </w:pPr>
            <w:r w:rsidRPr="00A869F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1C259B" w14:textId="77777777" w:rsidR="002B62E0" w:rsidRDefault="002B62E0" w:rsidP="00093697">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Diana Lucía Saavedra Castañeda</w:t>
            </w:r>
          </w:p>
          <w:p w14:paraId="5FDBAFA1" w14:textId="77777777" w:rsidR="002B62E0" w:rsidRDefault="002B62E0" w:rsidP="00093697">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 xml:space="preserve">Contratista </w:t>
            </w:r>
            <w:r w:rsidRPr="00A869FE">
              <w:rPr>
                <w:rFonts w:ascii="Verdana" w:eastAsia="Calibri" w:hAnsi="Verdana"/>
                <w:sz w:val="16"/>
                <w:szCs w:val="16"/>
              </w:rPr>
              <w:t>de la Subdirección de Gestión Contractual</w:t>
            </w:r>
          </w:p>
          <w:p w14:paraId="09EDAB4D" w14:textId="77777777" w:rsidR="002B62E0" w:rsidRPr="00A869FE" w:rsidRDefault="002B62E0" w:rsidP="00093697">
            <w:pPr>
              <w:pStyle w:val="paragraph"/>
              <w:spacing w:before="0" w:beforeAutospacing="0" w:after="0" w:afterAutospacing="0"/>
              <w:contextualSpacing/>
              <w:textAlignment w:val="baseline"/>
              <w:rPr>
                <w:rFonts w:ascii="Verdana" w:hAnsi="Verdana" w:cs="Segoe UI"/>
                <w:sz w:val="16"/>
                <w:szCs w:val="16"/>
              </w:rPr>
            </w:pPr>
          </w:p>
        </w:tc>
      </w:tr>
      <w:tr w:rsidR="002B62E0" w:rsidRPr="00A869FE" w14:paraId="7338703C" w14:textId="77777777" w:rsidTr="00093697">
        <w:trPr>
          <w:trHeight w:val="300"/>
        </w:trPr>
        <w:tc>
          <w:tcPr>
            <w:tcW w:w="893" w:type="dxa"/>
            <w:vAlign w:val="center"/>
          </w:tcPr>
          <w:p w14:paraId="6660FC17" w14:textId="77777777" w:rsidR="002B62E0" w:rsidRPr="00A869FE" w:rsidRDefault="002B62E0" w:rsidP="00093697">
            <w:pPr>
              <w:contextualSpacing/>
              <w:rPr>
                <w:rFonts w:ascii="Verdana" w:hAnsi="Verdana" w:cs="Arial"/>
                <w:sz w:val="16"/>
                <w:szCs w:val="16"/>
                <w:lang w:eastAsia="es-ES"/>
              </w:rPr>
            </w:pPr>
            <w:r w:rsidRPr="00A869F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1B3EF6C" w14:textId="77777777" w:rsidR="002B62E0" w:rsidRPr="00A869FE" w:rsidRDefault="002B62E0" w:rsidP="00093697">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Carolina Quintero Gacharná</w:t>
            </w:r>
          </w:p>
          <w:p w14:paraId="5EF4DFBE" w14:textId="77777777" w:rsidR="002B62E0" w:rsidRPr="00A869FE" w:rsidRDefault="002B62E0" w:rsidP="00093697">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Subdirectora de Gestión Contractual ANCP – CCE</w:t>
            </w:r>
          </w:p>
        </w:tc>
      </w:tr>
    </w:tbl>
    <w:p w14:paraId="5736A36F" w14:textId="77777777" w:rsidR="002B62E0" w:rsidRPr="00CE53B2" w:rsidRDefault="002B62E0" w:rsidP="002B62E0"/>
    <w:p w14:paraId="6628BA0E" w14:textId="77777777" w:rsidR="002B62E0" w:rsidRDefault="002B62E0" w:rsidP="002B62E0"/>
    <w:p w14:paraId="43769808" w14:textId="77777777" w:rsidR="002B62E0" w:rsidRPr="0015699B" w:rsidRDefault="002B62E0" w:rsidP="002B62E0">
      <w:pPr>
        <w:spacing w:after="0"/>
        <w:rPr>
          <w:rFonts w:ascii="Verdana" w:eastAsia="Times New Roman" w:hAnsi="Verdana" w:cs="Segoe UI"/>
          <w:lang w:eastAsia="es-CO"/>
        </w:rPr>
      </w:pPr>
    </w:p>
    <w:p w14:paraId="094FCD85" w14:textId="77777777" w:rsidR="00C24FFE" w:rsidRDefault="00C24FFE"/>
    <w:sectPr w:rsidR="00C24FFE" w:rsidSect="002B62E0">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86C489" w14:textId="77777777" w:rsidR="00836DD9" w:rsidRDefault="00836DD9" w:rsidP="002B62E0">
      <w:pPr>
        <w:spacing w:after="0" w:line="240" w:lineRule="auto"/>
      </w:pPr>
      <w:r>
        <w:separator/>
      </w:r>
    </w:p>
  </w:endnote>
  <w:endnote w:type="continuationSeparator" w:id="0">
    <w:p w14:paraId="76C44F25" w14:textId="77777777" w:rsidR="00836DD9" w:rsidRDefault="00836DD9" w:rsidP="002B62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8E7ED3" w14:textId="77777777" w:rsidR="002B62E0" w:rsidRDefault="002B62E0">
    <w:pPr>
      <w:pStyle w:val="Piedepgina"/>
    </w:pPr>
  </w:p>
  <w:p w14:paraId="2FA416B5" w14:textId="77777777" w:rsidR="002B62E0" w:rsidRPr="00174B77" w:rsidRDefault="002B62E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507DE1F" w14:textId="77777777" w:rsidR="002B62E0" w:rsidRDefault="002B62E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59E116DD" w14:textId="77777777" w:rsidR="002B62E0" w:rsidRPr="00E41027" w:rsidRDefault="002B62E0" w:rsidP="00D520D8">
    <w:pPr>
      <w:spacing w:after="0"/>
      <w:jc w:val="both"/>
      <w:rPr>
        <w:rFonts w:ascii="Verdana" w:hAnsi="Verdana"/>
        <w:sz w:val="18"/>
        <w:szCs w:val="18"/>
      </w:rPr>
    </w:pPr>
    <w:r w:rsidRPr="00E41027">
      <w:rPr>
        <w:rFonts w:ascii="Verdana" w:hAnsi="Verdana"/>
        <w:sz w:val="18"/>
        <w:szCs w:val="18"/>
      </w:rPr>
      <w:t>Mesa de servicio: (+57) 601 7456788</w:t>
    </w:r>
  </w:p>
  <w:p w14:paraId="2B3700B1" w14:textId="77777777" w:rsidR="002B62E0" w:rsidRPr="007F0D77" w:rsidRDefault="002B62E0" w:rsidP="356CEDFD">
    <w:pPr>
      <w:pBdr>
        <w:top w:val="nil"/>
        <w:left w:val="nil"/>
        <w:bottom w:val="nil"/>
        <w:right w:val="nil"/>
        <w:between w:val="nil"/>
      </w:pBdr>
      <w:tabs>
        <w:tab w:val="center" w:pos="4419"/>
        <w:tab w:val="right" w:pos="8838"/>
        <w:tab w:val="center" w:pos="5400"/>
      </w:tabs>
      <w:spacing w:after="0"/>
      <w:jc w:val="right"/>
      <w:rPr>
        <w:lang w:val="pt-BR"/>
      </w:rPr>
    </w:pPr>
    <w:r w:rsidRPr="007F0D77">
      <w:rPr>
        <w:rFonts w:ascii="Century Gothic" w:eastAsia="Geo" w:hAnsi="Century Gothic" w:cs="Geo"/>
        <w:b/>
        <w:bCs/>
        <w:color w:val="000000" w:themeColor="text1"/>
        <w:sz w:val="16"/>
        <w:szCs w:val="16"/>
        <w:lang w:val="pt-BR" w:eastAsia="es-CO"/>
      </w:rPr>
      <w:t xml:space="preserve">Código: </w:t>
    </w:r>
    <w:r w:rsidRPr="007F0D77">
      <w:rPr>
        <w:rFonts w:ascii="Century Gothic" w:eastAsia="Geo" w:hAnsi="Century Gothic" w:cs="Geo"/>
        <w:color w:val="000000" w:themeColor="text1"/>
        <w:sz w:val="16"/>
        <w:szCs w:val="16"/>
        <w:lang w:val="pt-BR" w:eastAsia="es-CO"/>
      </w:rPr>
      <w:t xml:space="preserve">CCE-REC-FM-17 </w:t>
    </w:r>
    <w:r w:rsidRPr="007F0D77">
      <w:rPr>
        <w:rFonts w:ascii="Century Gothic" w:eastAsia="Geo" w:hAnsi="Century Gothic" w:cs="Geo"/>
        <w:b/>
        <w:bCs/>
        <w:color w:val="000000" w:themeColor="text1"/>
        <w:sz w:val="16"/>
        <w:szCs w:val="16"/>
        <w:lang w:val="pt-BR" w:eastAsia="es-CO"/>
      </w:rPr>
      <w:t>V</w:t>
    </w:r>
    <w:r w:rsidRPr="007F0D77">
      <w:rPr>
        <w:rFonts w:ascii="Century Gothic" w:eastAsia="Arial Nova" w:hAnsi="Century Gothic" w:cs="Arial Nova"/>
        <w:b/>
        <w:bCs/>
        <w:color w:val="000000" w:themeColor="text1"/>
        <w:sz w:val="16"/>
        <w:szCs w:val="16"/>
        <w:lang w:val="pt-BR" w:eastAsia="es-CO"/>
      </w:rPr>
      <w:t xml:space="preserve">: </w:t>
    </w:r>
    <w:r w:rsidRPr="007F0D77">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75F151" w14:textId="77777777" w:rsidR="00836DD9" w:rsidRDefault="00836DD9" w:rsidP="002B62E0">
      <w:pPr>
        <w:spacing w:after="0" w:line="240" w:lineRule="auto"/>
      </w:pPr>
      <w:r>
        <w:separator/>
      </w:r>
    </w:p>
  </w:footnote>
  <w:footnote w:type="continuationSeparator" w:id="0">
    <w:p w14:paraId="6F37023B" w14:textId="77777777" w:rsidR="00836DD9" w:rsidRDefault="00836DD9" w:rsidP="002B62E0">
      <w:pPr>
        <w:spacing w:after="0" w:line="240" w:lineRule="auto"/>
      </w:pPr>
      <w:r>
        <w:continuationSeparator/>
      </w:r>
    </w:p>
  </w:footnote>
  <w:footnote w:id="1">
    <w:p w14:paraId="33B1DFF0" w14:textId="77777777" w:rsidR="002B62E0" w:rsidRPr="00E57E16" w:rsidRDefault="002B62E0" w:rsidP="002B62E0">
      <w:pPr>
        <w:pStyle w:val="Textonotapie"/>
        <w:ind w:firstLine="709"/>
        <w:jc w:val="both"/>
        <w:rPr>
          <w:rFonts w:ascii="Verdana" w:hAnsi="Verdana" w:cs="Arial"/>
          <w:sz w:val="14"/>
          <w:szCs w:val="14"/>
        </w:rPr>
      </w:pPr>
      <w:r w:rsidRPr="00E57E16">
        <w:rPr>
          <w:rFonts w:ascii="Verdana" w:hAnsi="Verdana" w:cs="Arial"/>
          <w:sz w:val="14"/>
          <w:szCs w:val="14"/>
          <w:vertAlign w:val="superscript"/>
        </w:rPr>
        <w:footnoteRef/>
      </w:r>
      <w:r w:rsidRPr="00E57E16">
        <w:rPr>
          <w:rFonts w:ascii="Verdana" w:hAnsi="Verdana" w:cs="Arial"/>
          <w:sz w:val="14"/>
          <w:szCs w:val="14"/>
        </w:rPr>
        <w:t xml:space="preserve"> Al respecto, la jurisprudencia explica que “Entre las características esenciales (art. 1501 C.C.) que […] delimitan la institución, y la identifican como una relación jurídica de tenencia, se hallan las de corresponder a un negocio real, porque no se perfecciona sino por virtud de la entrega (no tanto la tradición, en sentido técnico)  de la cosa sobre la cual versa (arts. 1500 y 2200 C.C), carácter que se explica por cuanto la obligación fundamental, consiste en la restitución de la cosa por parte del comodatario al comodante; es, asimismo, una convención sustancialmente gratuita o de beneficencia</w:t>
      </w:r>
      <w:r w:rsidRPr="00E57E16">
        <w:rPr>
          <w:rFonts w:ascii="Verdana" w:hAnsi="Verdana" w:cs="Arial"/>
          <w:sz w:val="14"/>
          <w:szCs w:val="14"/>
          <w:lang w:val="es-ES"/>
        </w:rPr>
        <w:t xml:space="preserve"> </w:t>
      </w:r>
      <w:r w:rsidRPr="00E57E16">
        <w:rPr>
          <w:rFonts w:ascii="Verdana" w:hAnsi="Verdana" w:cs="Arial"/>
          <w:sz w:val="14"/>
          <w:szCs w:val="14"/>
        </w:rPr>
        <w:t>(arts. 1497 y 2200 C.C.), cuyo objeto es la utilidad de una de las partes, el prestatario o comodatario; se trata de un acto jurídico de naturaleza unilateral, en principio, porque sólo genera una obligación que grava a uno de los contratantes, esto es, la obligación de restituir la cosa, radicada en cabeza del comodatario; es un contrato principal, en la medida que ‘no requiere de algún otro para nacer a la vida jurídica’ ; y, finalmente, es convenio nominado y típico, pues tiene enunciación y regulación legal” (CORTE SUPREMA DE JUSTICIA. Sala de Casación Civil. Sentencia del 23 de mayo de 2018. Exp. 76001310301220080040401. M.P. Luis Armando Tolosa Villabona).</w:t>
      </w:r>
    </w:p>
  </w:footnote>
  <w:footnote w:id="2">
    <w:p w14:paraId="49E8B65B" w14:textId="77777777" w:rsidR="002B62E0" w:rsidRPr="00E57E16" w:rsidRDefault="002B62E0" w:rsidP="002B62E0">
      <w:pPr>
        <w:pStyle w:val="Textonotapie"/>
        <w:ind w:firstLine="709"/>
        <w:jc w:val="both"/>
        <w:rPr>
          <w:rFonts w:ascii="Verdana" w:hAnsi="Verdana" w:cs="Arial"/>
          <w:sz w:val="14"/>
          <w:szCs w:val="14"/>
          <w:lang w:val="es-CO"/>
        </w:rPr>
      </w:pPr>
      <w:r w:rsidRPr="00E57E16">
        <w:rPr>
          <w:rStyle w:val="Refdenotaalpie"/>
          <w:rFonts w:ascii="Verdana" w:hAnsi="Verdana" w:cs="Arial"/>
          <w:sz w:val="14"/>
          <w:szCs w:val="14"/>
        </w:rPr>
        <w:footnoteRef/>
      </w:r>
      <w:r w:rsidRPr="00E57E16">
        <w:rPr>
          <w:rFonts w:ascii="Verdana" w:hAnsi="Verdana" w:cs="Arial"/>
          <w:sz w:val="14"/>
          <w:szCs w:val="14"/>
        </w:rPr>
        <w:t xml:space="preserve"> </w:t>
      </w:r>
      <w:bookmarkStart w:id="3" w:name="2205"/>
      <w:r w:rsidRPr="00E57E16">
        <w:rPr>
          <w:rFonts w:ascii="Verdana" w:hAnsi="Verdana" w:cs="Arial"/>
          <w:sz w:val="14"/>
          <w:szCs w:val="14"/>
        </w:rPr>
        <w:t>“</w:t>
      </w:r>
      <w:r w:rsidRPr="00E57E16">
        <w:rPr>
          <w:rFonts w:ascii="Verdana" w:hAnsi="Verdana" w:cs="Arial"/>
          <w:sz w:val="14"/>
          <w:szCs w:val="14"/>
          <w:lang w:val="es-CO"/>
        </w:rPr>
        <w:t>ARTÍCULO 2205. &lt;TERMINO PARA LA RESTITUCION DE LA COSA PRESTADA&gt;.</w:t>
      </w:r>
      <w:bookmarkEnd w:id="3"/>
      <w:r w:rsidRPr="00E57E16">
        <w:rPr>
          <w:rFonts w:ascii="Verdana" w:hAnsi="Verdana" w:cs="Arial"/>
          <w:sz w:val="14"/>
          <w:szCs w:val="14"/>
          <w:lang w:val="es-CO"/>
        </w:rPr>
        <w:t> El comodatario es obligado a restituir la cosa prestada en el tiempo convenido, o a falta de convención, después del uso para que ha sido prestada.</w:t>
      </w:r>
    </w:p>
    <w:p w14:paraId="7FA8956D" w14:textId="77777777" w:rsidR="002B62E0" w:rsidRPr="00E57E16" w:rsidRDefault="002B62E0" w:rsidP="002B62E0">
      <w:pPr>
        <w:pStyle w:val="Textonotapie"/>
        <w:ind w:firstLine="709"/>
        <w:jc w:val="both"/>
        <w:rPr>
          <w:rFonts w:ascii="Verdana" w:hAnsi="Verdana" w:cs="Arial"/>
          <w:sz w:val="14"/>
          <w:szCs w:val="14"/>
          <w:lang w:val="es-CO"/>
        </w:rPr>
      </w:pPr>
      <w:r w:rsidRPr="00E57E16">
        <w:rPr>
          <w:rFonts w:ascii="Verdana" w:hAnsi="Verdana" w:cs="Arial"/>
          <w:sz w:val="14"/>
          <w:szCs w:val="14"/>
          <w:lang w:val="es-CO"/>
        </w:rPr>
        <w:t>Pero podrá exigirse la restitución aún antes del tiempo estipulado en tres casos:</w:t>
      </w:r>
    </w:p>
    <w:p w14:paraId="017964AC" w14:textId="77777777" w:rsidR="002B62E0" w:rsidRPr="00E57E16" w:rsidRDefault="002B62E0" w:rsidP="002B62E0">
      <w:pPr>
        <w:pStyle w:val="Textonotapie"/>
        <w:ind w:firstLine="709"/>
        <w:jc w:val="both"/>
        <w:rPr>
          <w:rFonts w:ascii="Verdana" w:hAnsi="Verdana" w:cs="Arial"/>
          <w:sz w:val="14"/>
          <w:szCs w:val="14"/>
          <w:lang w:val="es-CO"/>
        </w:rPr>
      </w:pPr>
      <w:r w:rsidRPr="00E57E16">
        <w:rPr>
          <w:rFonts w:ascii="Verdana" w:hAnsi="Verdana" w:cs="Arial"/>
          <w:sz w:val="14"/>
          <w:szCs w:val="14"/>
          <w:lang w:val="es-CO"/>
        </w:rPr>
        <w:t>1. Si muere el comodatario, a menos que la cosa haya sido prestada para un servicio particular que no pueda diferirse o suspenderse.</w:t>
      </w:r>
    </w:p>
    <w:p w14:paraId="2917C785" w14:textId="77777777" w:rsidR="002B62E0" w:rsidRPr="00E57E16" w:rsidRDefault="002B62E0" w:rsidP="002B62E0">
      <w:pPr>
        <w:pStyle w:val="Textonotapie"/>
        <w:ind w:firstLine="709"/>
        <w:jc w:val="both"/>
        <w:rPr>
          <w:rFonts w:ascii="Verdana" w:hAnsi="Verdana" w:cs="Arial"/>
          <w:sz w:val="14"/>
          <w:szCs w:val="14"/>
          <w:lang w:val="es-CO"/>
        </w:rPr>
      </w:pPr>
      <w:r w:rsidRPr="00E57E16">
        <w:rPr>
          <w:rFonts w:ascii="Verdana" w:hAnsi="Verdana" w:cs="Arial"/>
          <w:sz w:val="14"/>
          <w:szCs w:val="14"/>
          <w:lang w:val="es-CO"/>
        </w:rPr>
        <w:t>2. Si sobreviene al comodante una necesidad imprevista y urgente de la cosa.</w:t>
      </w:r>
    </w:p>
    <w:p w14:paraId="104DF32A" w14:textId="77777777" w:rsidR="002B62E0" w:rsidRPr="00E57E16" w:rsidRDefault="002B62E0" w:rsidP="002B62E0">
      <w:pPr>
        <w:pStyle w:val="Textonotapie"/>
        <w:ind w:firstLine="709"/>
        <w:jc w:val="both"/>
        <w:rPr>
          <w:rFonts w:ascii="Verdana" w:hAnsi="Verdana" w:cs="Arial"/>
          <w:sz w:val="14"/>
          <w:szCs w:val="14"/>
          <w:lang w:val="es-CO"/>
        </w:rPr>
      </w:pPr>
      <w:r w:rsidRPr="00E57E16">
        <w:rPr>
          <w:rFonts w:ascii="Verdana" w:hAnsi="Verdana" w:cs="Arial"/>
          <w:sz w:val="14"/>
          <w:szCs w:val="14"/>
          <w:lang w:val="es-CO"/>
        </w:rPr>
        <w:t>3. Si ha terminado o no tiene lugar el servicio para el cual se ha prestado la cosa</w:t>
      </w:r>
      <w:r w:rsidRPr="00E57E16">
        <w:rPr>
          <w:rFonts w:ascii="Verdana" w:hAnsi="Verdana" w:cs="Arial"/>
          <w:sz w:val="14"/>
          <w:szCs w:val="14"/>
        </w:rPr>
        <w:t>”.</w:t>
      </w:r>
    </w:p>
  </w:footnote>
  <w:footnote w:id="3">
    <w:p w14:paraId="197659EE" w14:textId="77777777" w:rsidR="002B62E0" w:rsidRPr="00E57E16" w:rsidRDefault="002B62E0" w:rsidP="002B62E0">
      <w:pPr>
        <w:pStyle w:val="Textonotapie"/>
        <w:ind w:firstLine="709"/>
        <w:jc w:val="both"/>
        <w:rPr>
          <w:rFonts w:ascii="Verdana" w:hAnsi="Verdana" w:cs="Arial"/>
          <w:sz w:val="14"/>
          <w:szCs w:val="14"/>
          <w:lang w:val="es-CO"/>
        </w:rPr>
      </w:pPr>
      <w:r w:rsidRPr="00E57E16">
        <w:rPr>
          <w:rStyle w:val="Refdenotaalpie"/>
          <w:rFonts w:ascii="Verdana" w:hAnsi="Verdana" w:cs="Arial"/>
          <w:sz w:val="14"/>
          <w:szCs w:val="14"/>
        </w:rPr>
        <w:footnoteRef/>
      </w:r>
      <w:r w:rsidRPr="00E57E16">
        <w:rPr>
          <w:rFonts w:ascii="Verdana" w:hAnsi="Verdana" w:cs="Arial"/>
          <w:sz w:val="14"/>
          <w:szCs w:val="14"/>
        </w:rPr>
        <w:t xml:space="preserve"> </w:t>
      </w:r>
      <w:bookmarkStart w:id="4" w:name="2202"/>
      <w:r w:rsidRPr="00E57E16">
        <w:rPr>
          <w:rFonts w:ascii="Verdana" w:hAnsi="Verdana" w:cs="Arial"/>
          <w:sz w:val="14"/>
          <w:szCs w:val="14"/>
        </w:rPr>
        <w:t>“</w:t>
      </w:r>
      <w:r w:rsidRPr="00E57E16">
        <w:rPr>
          <w:rFonts w:ascii="Verdana" w:hAnsi="Verdana" w:cs="Arial"/>
          <w:sz w:val="14"/>
          <w:szCs w:val="14"/>
          <w:lang w:val="es-CO"/>
        </w:rPr>
        <w:t>ARTÍCULO 2202. &lt;LIMITACIONES DEL COMODATARIO&gt;.</w:t>
      </w:r>
      <w:bookmarkEnd w:id="4"/>
      <w:r w:rsidRPr="00E57E16">
        <w:rPr>
          <w:rFonts w:ascii="Verdana" w:hAnsi="Verdana" w:cs="Arial"/>
          <w:sz w:val="14"/>
          <w:szCs w:val="14"/>
          <w:lang w:val="es-CO"/>
        </w:rPr>
        <w:t> El comodatario no puede emplear la cosa sino en el uso convenido, o falta de convención en el uso ordinario de las de su clase.</w:t>
      </w:r>
    </w:p>
    <w:p w14:paraId="6C64BC1D" w14:textId="77777777" w:rsidR="002B62E0" w:rsidRPr="00E57E16" w:rsidRDefault="002B62E0" w:rsidP="002B62E0">
      <w:pPr>
        <w:pStyle w:val="Textonotapie"/>
        <w:ind w:firstLine="709"/>
        <w:jc w:val="both"/>
        <w:rPr>
          <w:rFonts w:ascii="Verdana" w:hAnsi="Verdana" w:cs="Arial"/>
          <w:sz w:val="14"/>
          <w:szCs w:val="14"/>
          <w:lang w:val="es-CO"/>
        </w:rPr>
      </w:pPr>
      <w:r w:rsidRPr="00E57E16">
        <w:rPr>
          <w:rFonts w:ascii="Verdana" w:hAnsi="Verdana" w:cs="Arial"/>
          <w:sz w:val="14"/>
          <w:szCs w:val="14"/>
          <w:lang w:val="es-CO"/>
        </w:rPr>
        <w:t>En el caso de contravención podrá el comodante exigir la reparación de todo perjuicio, y la restitución inmediata, aún cuando para la restitución se haya estipulado plazo</w:t>
      </w:r>
      <w:r w:rsidRPr="00E57E16">
        <w:rPr>
          <w:rFonts w:ascii="Verdana" w:hAnsi="Verdana" w:cs="Arial"/>
          <w:sz w:val="14"/>
          <w:szCs w:val="14"/>
        </w:rPr>
        <w:t>”.</w:t>
      </w:r>
    </w:p>
  </w:footnote>
  <w:footnote w:id="4">
    <w:p w14:paraId="6F919304" w14:textId="77777777" w:rsidR="002B62E0" w:rsidRPr="00E57E16" w:rsidRDefault="002B62E0" w:rsidP="002B62E0">
      <w:pPr>
        <w:pStyle w:val="Textonotapie"/>
        <w:ind w:firstLine="709"/>
        <w:jc w:val="both"/>
        <w:rPr>
          <w:rFonts w:ascii="Verdana" w:hAnsi="Verdana" w:cs="Arial"/>
          <w:sz w:val="14"/>
          <w:szCs w:val="14"/>
        </w:rPr>
      </w:pPr>
      <w:r w:rsidRPr="00E57E16">
        <w:rPr>
          <w:rStyle w:val="Refdenotaalpie"/>
          <w:rFonts w:ascii="Verdana" w:hAnsi="Verdana" w:cs="Arial"/>
          <w:sz w:val="14"/>
          <w:szCs w:val="14"/>
        </w:rPr>
        <w:footnoteRef/>
      </w:r>
      <w:r w:rsidRPr="00E57E16">
        <w:rPr>
          <w:rFonts w:ascii="Verdana" w:hAnsi="Verdana" w:cs="Arial"/>
          <w:sz w:val="14"/>
          <w:szCs w:val="14"/>
        </w:rPr>
        <w:t xml:space="preserve"> CONSEJO DE ESTADO. Sala de Consulta y Servicio Civil. Concepto del 24 de julio de 2003. Radicación 1.510. C.P. Susana Montes de Echeverri. En torno a este tema, se han desarrollado los siguientes pronunciamientos: Conceptos Nos. 726/95; 994/97; 1017/97;1077/98; 1129/98.</w:t>
      </w:r>
    </w:p>
  </w:footnote>
  <w:footnote w:id="5">
    <w:p w14:paraId="3EC1E708" w14:textId="77777777" w:rsidR="002B62E0" w:rsidRPr="00E57E16" w:rsidRDefault="002B62E0" w:rsidP="002B62E0">
      <w:pPr>
        <w:pStyle w:val="Textonotapie"/>
        <w:ind w:firstLine="709"/>
        <w:jc w:val="both"/>
        <w:rPr>
          <w:rFonts w:ascii="Verdana" w:hAnsi="Verdana" w:cs="Arial"/>
          <w:sz w:val="14"/>
          <w:szCs w:val="14"/>
          <w:lang w:val="es-ES"/>
        </w:rPr>
      </w:pPr>
      <w:r w:rsidRPr="00E57E16">
        <w:rPr>
          <w:rStyle w:val="Refdenotaalpie"/>
          <w:rFonts w:ascii="Verdana" w:hAnsi="Verdana" w:cs="Arial"/>
          <w:sz w:val="14"/>
          <w:szCs w:val="14"/>
        </w:rPr>
        <w:footnoteRef/>
      </w:r>
      <w:r w:rsidRPr="00E57E16">
        <w:rPr>
          <w:rFonts w:ascii="Verdana" w:hAnsi="Verdana" w:cs="Arial"/>
          <w:sz w:val="14"/>
          <w:szCs w:val="14"/>
        </w:rPr>
        <w:t xml:space="preserve"> CORTE SUPREMA DE JUSTICIA. Sala de Casación Civil. Sentencia del 4 de agosto de 2008. Exp. 68001310300920000071001. M.P. Edgardo Villamil Portilla. </w:t>
      </w:r>
    </w:p>
  </w:footnote>
  <w:footnote w:id="6">
    <w:p w14:paraId="2FC8EB02" w14:textId="77777777" w:rsidR="002B62E0" w:rsidRPr="00E57E16" w:rsidRDefault="002B62E0" w:rsidP="002B62E0">
      <w:pPr>
        <w:pStyle w:val="Textonotapie"/>
        <w:ind w:firstLine="709"/>
        <w:jc w:val="both"/>
        <w:rPr>
          <w:rFonts w:ascii="Verdana" w:hAnsi="Verdana"/>
          <w:sz w:val="14"/>
          <w:szCs w:val="14"/>
        </w:rPr>
      </w:pPr>
      <w:r w:rsidRPr="00E57E16">
        <w:rPr>
          <w:rStyle w:val="Refdenotaalpie"/>
          <w:rFonts w:ascii="Verdana" w:hAnsi="Verdana"/>
          <w:sz w:val="14"/>
          <w:szCs w:val="14"/>
        </w:rPr>
        <w:footnoteRef/>
      </w:r>
      <w:r w:rsidRPr="00E57E16">
        <w:rPr>
          <w:rFonts w:ascii="Verdana" w:hAnsi="Verdana"/>
          <w:sz w:val="14"/>
          <w:szCs w:val="14"/>
        </w:rPr>
        <w:t xml:space="preserve"> </w:t>
      </w:r>
      <w:r w:rsidRPr="00E57E16">
        <w:rPr>
          <w:rFonts w:ascii="Verdana" w:hAnsi="Verdana"/>
          <w:sz w:val="14"/>
          <w:szCs w:val="14"/>
          <w:lang w:val="es-CO"/>
        </w:rPr>
        <w:t xml:space="preserve">BENAVIDES, José Luis (editor). Fallos referentes en contratación estatal. Universidad Externado de Colombia. Bogotá. 2020. </w:t>
      </w:r>
      <w:r w:rsidRPr="00E57E16">
        <w:rPr>
          <w:rFonts w:ascii="Verdana" w:hAnsi="Verdana"/>
          <w:sz w:val="14"/>
          <w:szCs w:val="14"/>
        </w:rPr>
        <w:t xml:space="preserve">Página 311. </w:t>
      </w:r>
    </w:p>
    <w:p w14:paraId="49EC820B" w14:textId="77777777" w:rsidR="002B62E0" w:rsidRPr="00E57E16" w:rsidRDefault="002B62E0" w:rsidP="002B62E0">
      <w:pPr>
        <w:pStyle w:val="Textonotapie"/>
        <w:ind w:firstLine="709"/>
        <w:jc w:val="both"/>
        <w:rPr>
          <w:rFonts w:ascii="Verdana" w:hAnsi="Verdana"/>
          <w:sz w:val="14"/>
          <w:szCs w:val="14"/>
        </w:rPr>
      </w:pPr>
    </w:p>
  </w:footnote>
  <w:footnote w:id="7">
    <w:p w14:paraId="1145C36E" w14:textId="77777777" w:rsidR="002B62E0" w:rsidRPr="00E57E16" w:rsidRDefault="002B62E0" w:rsidP="002B62E0">
      <w:pPr>
        <w:pStyle w:val="Textonotapie"/>
        <w:ind w:firstLine="709"/>
        <w:jc w:val="both"/>
        <w:rPr>
          <w:rFonts w:ascii="Verdana" w:hAnsi="Verdana"/>
          <w:sz w:val="14"/>
          <w:szCs w:val="14"/>
          <w:lang w:val="es-ES"/>
        </w:rPr>
      </w:pPr>
      <w:r w:rsidRPr="00E57E16">
        <w:rPr>
          <w:rStyle w:val="Refdenotaalpie"/>
          <w:rFonts w:ascii="Verdana" w:hAnsi="Verdana"/>
          <w:sz w:val="14"/>
          <w:szCs w:val="14"/>
        </w:rPr>
        <w:footnoteRef/>
      </w:r>
      <w:r w:rsidRPr="00E57E16">
        <w:rPr>
          <w:rFonts w:ascii="Verdana" w:hAnsi="Verdana"/>
          <w:sz w:val="14"/>
          <w:szCs w:val="14"/>
        </w:rPr>
        <w:t xml:space="preserve"> </w:t>
      </w:r>
      <w:r w:rsidRPr="00E57E16">
        <w:rPr>
          <w:rFonts w:ascii="Verdana" w:hAnsi="Verdana"/>
          <w:sz w:val="14"/>
          <w:szCs w:val="14"/>
          <w:lang w:val="es-ES"/>
        </w:rPr>
        <w:t xml:space="preserve">CONSEJO DE ESTADO. Sala de lo Contencioso Administrativo. Sección primera. Sentencia del 19 de septiembre de 2019. </w:t>
      </w:r>
      <w:r w:rsidRPr="00E57E16">
        <w:rPr>
          <w:rFonts w:ascii="Verdana" w:hAnsi="Verdana"/>
          <w:sz w:val="14"/>
          <w:szCs w:val="14"/>
        </w:rPr>
        <w:t xml:space="preserve">Radicación número: 50001-23-31-000-2010-00548-01. C.P.: Nubia Margoth Peña Garzón </w:t>
      </w:r>
    </w:p>
  </w:footnote>
  <w:footnote w:id="8">
    <w:p w14:paraId="3C6707DC" w14:textId="77777777" w:rsidR="002B62E0" w:rsidRPr="00E57E16" w:rsidRDefault="002B62E0" w:rsidP="002B62E0">
      <w:pPr>
        <w:pStyle w:val="Textonotapie"/>
        <w:ind w:firstLine="709"/>
        <w:jc w:val="both"/>
        <w:rPr>
          <w:rFonts w:ascii="Verdana" w:hAnsi="Verdana"/>
          <w:sz w:val="14"/>
          <w:szCs w:val="14"/>
        </w:rPr>
      </w:pPr>
      <w:r w:rsidRPr="00E57E16">
        <w:rPr>
          <w:rStyle w:val="Refdenotaalpie"/>
          <w:rFonts w:ascii="Verdana" w:hAnsi="Verdana"/>
          <w:sz w:val="14"/>
          <w:szCs w:val="14"/>
        </w:rPr>
        <w:footnoteRef/>
      </w:r>
      <w:r w:rsidRPr="00E57E16">
        <w:rPr>
          <w:rFonts w:ascii="Verdana" w:hAnsi="Verdana"/>
          <w:sz w:val="14"/>
          <w:szCs w:val="14"/>
        </w:rPr>
        <w:t xml:space="preserve"> Corte Constitucional. Sentencia C-738 del 11 de julio de 2001. Magistrado Ponente: Eduardo Montealegre Lynett.</w:t>
      </w:r>
    </w:p>
    <w:p w14:paraId="57A565E7" w14:textId="77777777" w:rsidR="002B62E0" w:rsidRPr="00E57E16" w:rsidRDefault="002B62E0" w:rsidP="002B62E0">
      <w:pPr>
        <w:pStyle w:val="Textonotapie"/>
        <w:ind w:firstLine="709"/>
        <w:jc w:val="both"/>
        <w:rPr>
          <w:rFonts w:ascii="Verdana" w:hAnsi="Verdana"/>
          <w:sz w:val="14"/>
          <w:szCs w:val="14"/>
        </w:rPr>
      </w:pPr>
      <w:r w:rsidRPr="00E57E16">
        <w:rPr>
          <w:rFonts w:ascii="Verdana" w:hAnsi="Verdana"/>
          <w:sz w:val="14"/>
          <w:szCs w:val="14"/>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326BB" w14:textId="77777777" w:rsidR="002B62E0" w:rsidRDefault="002B62E0"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ABA3663" wp14:editId="54C5694D">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4659A32" wp14:editId="38D9473B">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E31CFA4" w14:textId="77777777" w:rsidR="002B62E0" w:rsidRDefault="002B62E0">
    <w:pPr>
      <w:pStyle w:val="Encabezado"/>
    </w:pPr>
  </w:p>
  <w:p w14:paraId="67F79C38" w14:textId="77777777" w:rsidR="002B62E0" w:rsidRPr="004A305D" w:rsidRDefault="002B62E0" w:rsidP="00B01B1A">
    <w:pPr>
      <w:spacing w:after="0" w:line="120" w:lineRule="auto"/>
      <w:rPr>
        <w:rFonts w:ascii="Century Gothic" w:eastAsia="Geo" w:hAnsi="Century Gothic" w:cs="Geo"/>
        <w:sz w:val="16"/>
        <w:szCs w:val="16"/>
        <w:lang w:eastAsia="es-CO"/>
      </w:rPr>
    </w:pPr>
  </w:p>
  <w:p w14:paraId="213101CA" w14:textId="77777777" w:rsidR="002B62E0" w:rsidRDefault="002B62E0" w:rsidP="00844AE9">
    <w:pPr>
      <w:spacing w:after="0" w:line="240" w:lineRule="auto"/>
      <w:rPr>
        <w:rFonts w:ascii="Verdana" w:hAnsi="Verdana"/>
        <w:sz w:val="24"/>
        <w:szCs w:val="24"/>
      </w:rPr>
    </w:pPr>
  </w:p>
  <w:p w14:paraId="701E5601" w14:textId="77777777" w:rsidR="002B62E0" w:rsidRPr="00C925AC" w:rsidRDefault="002B62E0"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 w15:restartNumberingAfterBreak="0">
    <w:nsid w:val="44856BAC"/>
    <w:multiLevelType w:val="hybridMultilevel"/>
    <w:tmpl w:val="FE269584"/>
    <w:lvl w:ilvl="0" w:tplc="A4C23EA4">
      <w:start w:val="1"/>
      <w:numFmt w:val="bullet"/>
      <w:lvlText w:val="-"/>
      <w:lvlJc w:val="left"/>
      <w:pPr>
        <w:tabs>
          <w:tab w:val="num" w:pos="720"/>
        </w:tabs>
        <w:ind w:left="720" w:hanging="360"/>
      </w:pPr>
      <w:rPr>
        <w:rFonts w:ascii="Times New Roman" w:eastAsia="Times New Roman" w:hAnsi="Times New Roman" w:cs="Times New Roman" w:hint="default"/>
      </w:rPr>
    </w:lvl>
    <w:lvl w:ilvl="1" w:tplc="240A000F">
      <w:start w:val="1"/>
      <w:numFmt w:val="decimal"/>
      <w:lvlText w:val="%2."/>
      <w:lvlJc w:val="left"/>
      <w:pPr>
        <w:tabs>
          <w:tab w:val="num" w:pos="1440"/>
        </w:tabs>
        <w:ind w:left="1440" w:hanging="360"/>
      </w:p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4" w15:restartNumberingAfterBreak="0">
    <w:nsid w:val="7C190BA4"/>
    <w:multiLevelType w:val="hybridMultilevel"/>
    <w:tmpl w:val="2ED2866E"/>
    <w:lvl w:ilvl="0" w:tplc="AA806230">
      <w:start w:val="1"/>
      <w:numFmt w:val="decimal"/>
      <w:lvlText w:val="%1."/>
      <w:lvlJc w:val="left"/>
      <w:pPr>
        <w:ind w:left="1028" w:hanging="221"/>
      </w:pPr>
      <w:rPr>
        <w:rFonts w:ascii="Arial" w:eastAsia="Arial" w:hAnsi="Arial" w:cs="Arial" w:hint="default"/>
        <w:color w:val="auto"/>
        <w:spacing w:val="-2"/>
        <w:w w:val="100"/>
        <w:sz w:val="22"/>
        <w:szCs w:val="22"/>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num w:numId="1" w16cid:durableId="390349800">
    <w:abstractNumId w:val="3"/>
  </w:num>
  <w:num w:numId="2" w16cid:durableId="1423180700">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35561001">
    <w:abstractNumId w:val="1"/>
  </w:num>
  <w:num w:numId="4" w16cid:durableId="2079548773">
    <w:abstractNumId w:val="2"/>
  </w:num>
  <w:num w:numId="5" w16cid:durableId="11242270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2E0"/>
    <w:rsid w:val="000F26DD"/>
    <w:rsid w:val="002B62E0"/>
    <w:rsid w:val="00474DF4"/>
    <w:rsid w:val="00485D25"/>
    <w:rsid w:val="004F471F"/>
    <w:rsid w:val="00502152"/>
    <w:rsid w:val="00782AC9"/>
    <w:rsid w:val="00805E23"/>
    <w:rsid w:val="00836DD9"/>
    <w:rsid w:val="00915BD7"/>
    <w:rsid w:val="00C24FFE"/>
    <w:rsid w:val="00E85CA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95021F"/>
  <w15:chartTrackingRefBased/>
  <w15:docId w15:val="{6B5E8207-5225-43A0-8B7A-939414874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2E0"/>
    <w:rPr>
      <w:kern w:val="0"/>
      <w14:ligatures w14:val="none"/>
    </w:rPr>
  </w:style>
  <w:style w:type="paragraph" w:styleId="Ttulo1">
    <w:name w:val="heading 1"/>
    <w:basedOn w:val="Normal"/>
    <w:next w:val="Normal"/>
    <w:link w:val="Ttulo1Car"/>
    <w:uiPriority w:val="9"/>
    <w:qFormat/>
    <w:rsid w:val="002B62E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B62E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B62E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B62E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B62E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B62E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B62E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B62E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B62E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B62E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B62E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B62E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B62E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B62E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B62E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B62E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B62E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B62E0"/>
    <w:rPr>
      <w:rFonts w:eastAsiaTheme="majorEastAsia" w:cstheme="majorBidi"/>
      <w:color w:val="272727" w:themeColor="text1" w:themeTint="D8"/>
    </w:rPr>
  </w:style>
  <w:style w:type="paragraph" w:styleId="Ttulo">
    <w:name w:val="Title"/>
    <w:basedOn w:val="Normal"/>
    <w:next w:val="Normal"/>
    <w:link w:val="TtuloCar"/>
    <w:uiPriority w:val="10"/>
    <w:qFormat/>
    <w:rsid w:val="002B62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B62E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B62E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B62E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B62E0"/>
    <w:pPr>
      <w:spacing w:before="160"/>
      <w:jc w:val="center"/>
    </w:pPr>
    <w:rPr>
      <w:i/>
      <w:iCs/>
      <w:color w:val="404040" w:themeColor="text1" w:themeTint="BF"/>
    </w:rPr>
  </w:style>
  <w:style w:type="character" w:customStyle="1" w:styleId="CitaCar">
    <w:name w:val="Cita Car"/>
    <w:basedOn w:val="Fuentedeprrafopredeter"/>
    <w:link w:val="Cita"/>
    <w:uiPriority w:val="29"/>
    <w:rsid w:val="002B62E0"/>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2B62E0"/>
    <w:pPr>
      <w:ind w:left="720"/>
      <w:contextualSpacing/>
    </w:pPr>
  </w:style>
  <w:style w:type="character" w:styleId="nfasisintenso">
    <w:name w:val="Intense Emphasis"/>
    <w:basedOn w:val="Fuentedeprrafopredeter"/>
    <w:uiPriority w:val="21"/>
    <w:qFormat/>
    <w:rsid w:val="002B62E0"/>
    <w:rPr>
      <w:i/>
      <w:iCs/>
      <w:color w:val="2F5496" w:themeColor="accent1" w:themeShade="BF"/>
    </w:rPr>
  </w:style>
  <w:style w:type="paragraph" w:styleId="Citadestacada">
    <w:name w:val="Intense Quote"/>
    <w:basedOn w:val="Normal"/>
    <w:next w:val="Normal"/>
    <w:link w:val="CitadestacadaCar"/>
    <w:uiPriority w:val="30"/>
    <w:qFormat/>
    <w:rsid w:val="002B62E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B62E0"/>
    <w:rPr>
      <w:i/>
      <w:iCs/>
      <w:color w:val="2F5496" w:themeColor="accent1" w:themeShade="BF"/>
    </w:rPr>
  </w:style>
  <w:style w:type="character" w:styleId="Referenciaintensa">
    <w:name w:val="Intense Reference"/>
    <w:basedOn w:val="Fuentedeprrafopredeter"/>
    <w:uiPriority w:val="32"/>
    <w:qFormat/>
    <w:rsid w:val="002B62E0"/>
    <w:rPr>
      <w:b/>
      <w:bCs/>
      <w:smallCaps/>
      <w:color w:val="2F5496" w:themeColor="accent1" w:themeShade="BF"/>
      <w:spacing w:val="5"/>
    </w:rPr>
  </w:style>
  <w:style w:type="paragraph" w:styleId="Encabezado">
    <w:name w:val="header"/>
    <w:basedOn w:val="Normal"/>
    <w:link w:val="EncabezadoCar"/>
    <w:uiPriority w:val="99"/>
    <w:unhideWhenUsed/>
    <w:rsid w:val="002B62E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B62E0"/>
    <w:rPr>
      <w:kern w:val="0"/>
      <w14:ligatures w14:val="none"/>
    </w:rPr>
  </w:style>
  <w:style w:type="paragraph" w:styleId="Piedepgina">
    <w:name w:val="footer"/>
    <w:basedOn w:val="Normal"/>
    <w:link w:val="PiedepginaCar"/>
    <w:uiPriority w:val="99"/>
    <w:unhideWhenUsed/>
    <w:rsid w:val="002B62E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B62E0"/>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2B62E0"/>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2B62E0"/>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2B62E0"/>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2B62E0"/>
    <w:rPr>
      <w:vertAlign w:val="superscript"/>
    </w:rPr>
  </w:style>
  <w:style w:type="character" w:customStyle="1" w:styleId="normaltextrun">
    <w:name w:val="normaltextrun"/>
    <w:basedOn w:val="Fuentedeprrafopredeter"/>
    <w:rsid w:val="002B62E0"/>
  </w:style>
  <w:style w:type="table" w:styleId="Tablaconcuadrcula">
    <w:name w:val="Table Grid"/>
    <w:basedOn w:val="Tablanormal"/>
    <w:uiPriority w:val="39"/>
    <w:qFormat/>
    <w:rsid w:val="002B62E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2B62E0"/>
    <w:rPr>
      <w:color w:val="0000FF"/>
      <w:u w:val="single"/>
    </w:rPr>
  </w:style>
  <w:style w:type="paragraph" w:customStyle="1" w:styleId="paragraph">
    <w:name w:val="paragraph"/>
    <w:basedOn w:val="Normal"/>
    <w:rsid w:val="002B62E0"/>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2B62E0"/>
  </w:style>
  <w:style w:type="paragraph" w:customStyle="1" w:styleId="Appelnotedebasde">
    <w:name w:val="Appel note de bas de..."/>
    <w:basedOn w:val="Normal"/>
    <w:link w:val="Refdenotaalpie"/>
    <w:uiPriority w:val="99"/>
    <w:rsid w:val="002B62E0"/>
    <w:pPr>
      <w:spacing w:line="240" w:lineRule="exact"/>
    </w:pPr>
    <w:rPr>
      <w:kern w:val="2"/>
      <w:vertAlign w:val="superscript"/>
      <w14:ligatures w14:val="standardContextual"/>
    </w:rPr>
  </w:style>
  <w:style w:type="paragraph" w:styleId="Textoindependiente">
    <w:name w:val="Body Text"/>
    <w:basedOn w:val="Normal"/>
    <w:link w:val="TextoindependienteCar"/>
    <w:uiPriority w:val="99"/>
    <w:unhideWhenUsed/>
    <w:rsid w:val="002B62E0"/>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2B62E0"/>
    <w:rPr>
      <w:rFonts w:eastAsiaTheme="minorEastAsia"/>
      <w:kern w:val="0"/>
      <w:lang w:eastAsia="es-CO"/>
      <w14:ligatures w14:val="none"/>
    </w:rPr>
  </w:style>
  <w:style w:type="table" w:customStyle="1" w:styleId="Tablaconcuadrcula1">
    <w:name w:val="Tabla con cuadrícula1"/>
    <w:basedOn w:val="Tablanormal"/>
    <w:next w:val="Tablaconcuadrcula"/>
    <w:uiPriority w:val="39"/>
    <w:qFormat/>
    <w:rsid w:val="002B62E0"/>
    <w:pPr>
      <w:spacing w:after="0" w:line="240" w:lineRule="auto"/>
    </w:pPr>
    <w:rPr>
      <w:kern w:val="0"/>
      <w14:ligatures w14:val="none"/>
    </w:r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administrativa@sanvicentedelcaguan-caqueta.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14E1EFF-B9A0-4636-B7B2-B484BC45D385}">
  <ds:schemaRefs>
    <ds:schemaRef ds:uri="http://schemas.microsoft.com/sharepoint/v3/contenttype/forms"/>
  </ds:schemaRefs>
</ds:datastoreItem>
</file>

<file path=customXml/itemProps2.xml><?xml version="1.0" encoding="utf-8"?>
<ds:datastoreItem xmlns:ds="http://schemas.openxmlformats.org/officeDocument/2006/customXml" ds:itemID="{53B8A816-C67D-434C-9D74-AFDB472887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52A221-7290-45BC-BD97-ECB5D8327EC3}">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17</Pages>
  <Words>6000</Words>
  <Characters>32101</Characters>
  <Application>Microsoft Office Word</Application>
  <DocSecurity>0</DocSecurity>
  <Lines>668</Lines>
  <Paragraphs>159</Paragraphs>
  <ScaleCrop>false</ScaleCrop>
  <Company/>
  <LinksUpToDate>false</LinksUpToDate>
  <CharactersWithSpaces>37942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Oscar David Mórelo Pedroza</cp:lastModifiedBy>
  <cp:revision>2</cp:revision>
  <dcterms:created xsi:type="dcterms:W3CDTF">2026-01-15T20:28:00Z</dcterms:created>
  <dcterms:modified xsi:type="dcterms:W3CDTF">2026-01-15T20:28:00Z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