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D4BFA" w14:textId="77777777" w:rsidR="0088688C" w:rsidRPr="001E5AD4" w:rsidRDefault="0088688C" w:rsidP="001E5AD4">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5A1B2D48" w:rsidR="0088688C" w:rsidRPr="000E6619" w:rsidRDefault="0088688C" w:rsidP="000E6619">
      <w:pPr>
        <w:spacing w:line="276" w:lineRule="auto"/>
        <w:jc w:val="both"/>
        <w:rPr>
          <w:rFonts w:ascii="Verdana" w:eastAsia="Arial" w:hAnsi="Verdana" w:cs="Arial"/>
          <w:bCs/>
          <w:color w:val="000000" w:themeColor="text1"/>
        </w:rPr>
      </w:pPr>
      <w:r w:rsidRPr="001E5AD4">
        <w:rPr>
          <w:rFonts w:ascii="Verdana" w:eastAsia="Calibri" w:hAnsi="Verdana" w:cs="Arial"/>
          <w:b/>
          <w:bCs/>
          <w:lang w:val="es-ES" w:eastAsia="es-ES"/>
        </w:rPr>
        <w:t xml:space="preserve">LEY DE GARANTÍAS ELECTORALES ‒ Artículo 33 </w:t>
      </w:r>
      <w:r w:rsidRPr="000E6619">
        <w:rPr>
          <w:rFonts w:ascii="Verdana" w:eastAsia="Calibri" w:hAnsi="Verdana" w:cs="Arial"/>
          <w:b/>
          <w:bCs/>
          <w:lang w:val="es-ES" w:eastAsia="es-ES"/>
        </w:rPr>
        <w:t xml:space="preserve">‒ </w:t>
      </w:r>
      <w:r w:rsidR="000E6619" w:rsidRPr="000E6619">
        <w:rPr>
          <w:rFonts w:ascii="Verdana" w:eastAsia="Calibri" w:hAnsi="Verdana" w:cs="Arial"/>
          <w:b/>
          <w:bCs/>
          <w:lang w:val="es-ES" w:eastAsia="es-ES"/>
        </w:rPr>
        <w:t>Actos Administrativos</w:t>
      </w:r>
      <w:r w:rsidR="000E6619">
        <w:rPr>
          <w:rFonts w:ascii="Verdana" w:eastAsia="Calibri" w:hAnsi="Verdana" w:cs="Arial"/>
          <w:lang w:val="es-ES" w:eastAsia="es-ES"/>
        </w:rPr>
        <w:t xml:space="preserve"> </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2FB75FB" w14:textId="77777777" w:rsidR="000E6619" w:rsidRDefault="000E6619" w:rsidP="001E5AD4">
      <w:pPr>
        <w:snapToGrid w:val="0"/>
        <w:spacing w:after="0" w:line="240" w:lineRule="auto"/>
        <w:contextualSpacing/>
        <w:jc w:val="both"/>
        <w:rPr>
          <w:rFonts w:ascii="Verdana" w:eastAsia="Times New Roman" w:hAnsi="Verdana" w:cs="Arial"/>
          <w:sz w:val="20"/>
          <w:szCs w:val="20"/>
          <w:lang w:val="es-ES"/>
        </w:rPr>
      </w:pPr>
    </w:p>
    <w:p w14:paraId="6138F739" w14:textId="4CD381AC" w:rsidR="000E6619" w:rsidRPr="001E5AD4" w:rsidRDefault="0097324C" w:rsidP="001E5AD4">
      <w:pPr>
        <w:snapToGrid w:val="0"/>
        <w:spacing w:after="0" w:line="240" w:lineRule="auto"/>
        <w:contextualSpacing/>
        <w:jc w:val="both"/>
        <w:rPr>
          <w:rFonts w:ascii="Verdana" w:eastAsia="Times New Roman" w:hAnsi="Verdana" w:cs="Arial"/>
          <w:sz w:val="20"/>
          <w:szCs w:val="20"/>
          <w:lang w:val="es-ES"/>
        </w:rPr>
      </w:pPr>
      <w:r>
        <w:rPr>
          <w:rFonts w:ascii="Verdana" w:eastAsia="Times New Roman" w:hAnsi="Verdana" w:cs="Arial"/>
          <w:sz w:val="20"/>
          <w:szCs w:val="20"/>
          <w:lang w:val="es-ES"/>
        </w:rPr>
        <w:t>R</w:t>
      </w:r>
      <w:r w:rsidR="000E6619" w:rsidRPr="000E6619">
        <w:rPr>
          <w:rFonts w:ascii="Verdana" w:eastAsia="Times New Roman" w:hAnsi="Verdana" w:cs="Arial"/>
          <w:sz w:val="20"/>
          <w:szCs w:val="20"/>
          <w:lang w:val="es-ES"/>
        </w:rPr>
        <w:t xml:space="preserve">especto de la celebración de otros instrumentos jurídicos distintos de contratos directos que impliquen la expedición de actos administrativos, es importante señalar que en estos casos no le resulta aplicable las restricciones previstas en el artículo 33 de la Ley 996 de 2005, porque lo que este precepto prohíbe es celebrar cualquier contrato de forma </w:t>
      </w:r>
      <w:r w:rsidR="000E6619" w:rsidRPr="000E6619">
        <w:rPr>
          <w:rFonts w:ascii="Verdana" w:eastAsia="Times New Roman" w:hAnsi="Verdana" w:cs="Arial"/>
          <w:sz w:val="20"/>
          <w:szCs w:val="20"/>
          <w:lang w:val="es-ES"/>
        </w:rPr>
        <w:lastRenderedPageBreak/>
        <w:t>directa. En este sentido, la celebración de contratos de forma directa son acuerdos de voluntades, o sea un acto jurídico bilateral o que participa de la forma contractual, de conformidad con el artículo 1495 del Código Civil. En cambio, los actos administrativos son declaraciones unilaterales de voluntad encaminadas a la producción de efectos jurídicos vinculantes. En tal sentido, si el artículo 33 ibidem prohibió la celebración directa de contratos, no puede entenderse también prohibida la expedición de actos administrativos, porque se estaría incluyendo una circunstancia que el supuesto de hecho de la restricción no contempla</w:t>
      </w:r>
      <w:r w:rsidR="000E6619">
        <w:rPr>
          <w:rFonts w:ascii="Verdana" w:eastAsia="Times New Roman" w:hAnsi="Verdana" w:cs="Arial"/>
          <w:sz w:val="20"/>
          <w:szCs w:val="20"/>
          <w:lang w:val="es-ES"/>
        </w:rPr>
        <w:t>.</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A9AC1C2" w14:textId="4E0822F1" w:rsidR="000E6619" w:rsidRPr="000E6619" w:rsidRDefault="000E6619" w:rsidP="000E6619">
      <w:pPr>
        <w:spacing w:after="0" w:line="240" w:lineRule="auto"/>
        <w:jc w:val="both"/>
        <w:rPr>
          <w:rFonts w:ascii="Verdana" w:eastAsia="Calibri" w:hAnsi="Verdana" w:cs="Arial"/>
          <w:b/>
          <w:bCs/>
          <w:lang w:val="es-ES" w:eastAsia="es-ES"/>
        </w:rPr>
      </w:pPr>
      <w:r w:rsidRPr="000E6619">
        <w:rPr>
          <w:rFonts w:ascii="Verdana" w:eastAsia="Calibri" w:hAnsi="Verdana" w:cs="Arial"/>
          <w:b/>
          <w:bCs/>
          <w:lang w:val="es-ES" w:eastAsia="es-ES"/>
        </w:rPr>
        <w:t>LEY DE GARANTÍAS ELECTORALES ‒ Artículo 38 ‒ Autos de suspensión</w:t>
      </w:r>
    </w:p>
    <w:p w14:paraId="63852114" w14:textId="77777777" w:rsidR="000E6619" w:rsidRDefault="000E6619" w:rsidP="000E6619">
      <w:pPr>
        <w:spacing w:after="0" w:line="240" w:lineRule="auto"/>
        <w:jc w:val="both"/>
        <w:rPr>
          <w:rFonts w:ascii="Verdana" w:eastAsia="Calibri" w:hAnsi="Verdana" w:cs="Arial"/>
          <w:b/>
          <w:bCs/>
          <w:lang w:val="es-ES" w:eastAsia="es-ES"/>
        </w:rPr>
      </w:pPr>
    </w:p>
    <w:p w14:paraId="3FC42B6E" w14:textId="7A4956FB" w:rsidR="000E6619" w:rsidRPr="00482175" w:rsidRDefault="000E6619" w:rsidP="000E6619">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63C30475" w14:textId="77777777" w:rsidR="000E6619" w:rsidRDefault="000E6619" w:rsidP="000E6619">
      <w:pPr>
        <w:spacing w:after="0" w:line="240" w:lineRule="auto"/>
        <w:jc w:val="both"/>
        <w:rPr>
          <w:rFonts w:ascii="Verdana" w:eastAsia="Geomanist Light" w:hAnsi="Verdana" w:cs="Arial"/>
          <w:color w:val="000000" w:themeColor="text1"/>
          <w:sz w:val="20"/>
          <w:szCs w:val="20"/>
          <w:lang w:val="es-ES_tradnl"/>
        </w:rPr>
      </w:pPr>
    </w:p>
    <w:p w14:paraId="4B8EF31D" w14:textId="77777777" w:rsidR="000E6619" w:rsidRDefault="000E6619" w:rsidP="000E6619">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46118DFB" w14:textId="77777777" w:rsidR="000E6619" w:rsidRPr="00482175" w:rsidRDefault="000E6619" w:rsidP="000E6619">
      <w:pPr>
        <w:spacing w:after="0" w:line="240" w:lineRule="auto"/>
        <w:jc w:val="both"/>
        <w:rPr>
          <w:rFonts w:ascii="Verdana" w:eastAsia="Geomanist Light" w:hAnsi="Verdana" w:cs="Arial"/>
          <w:color w:val="000000" w:themeColor="text1"/>
          <w:sz w:val="20"/>
          <w:szCs w:val="20"/>
          <w:lang w:val="es-ES_tradnl"/>
        </w:rPr>
      </w:pPr>
    </w:p>
    <w:p w14:paraId="2A80A5FC" w14:textId="77777777" w:rsidR="000E6619" w:rsidRDefault="000E6619" w:rsidP="000E6619">
      <w:pPr>
        <w:spacing w:after="0" w:line="240" w:lineRule="auto"/>
        <w:jc w:val="both"/>
        <w:rPr>
          <w:rFonts w:ascii="Verdana" w:hAnsi="Verdana"/>
          <w:sz w:val="20"/>
          <w:szCs w:val="20"/>
        </w:rPr>
      </w:pPr>
      <w:r w:rsidRPr="00482175">
        <w:rPr>
          <w:rFonts w:ascii="Verdana" w:hAnsi="Verdana"/>
          <w:sz w:val="20"/>
          <w:szCs w:val="20"/>
        </w:rPr>
        <w:t>De igual manera, mediante auto del 6 de noviembre de 2025, el Consejo de Estado, Subsección A de la Sección Tercera, decretó</w:t>
      </w:r>
      <w:r w:rsidRPr="00482175">
        <w:rPr>
          <w:rFonts w:ascii="Verdana" w:hAnsi="Verdana"/>
          <w:b/>
          <w:bCs/>
          <w:sz w:val="20"/>
          <w:szCs w:val="20"/>
        </w:rPr>
        <w:t xml:space="preserve"> </w:t>
      </w:r>
      <w:r w:rsidRPr="00482175">
        <w:rPr>
          <w:rFonts w:ascii="Verdana" w:hAnsi="Verdana"/>
          <w:sz w:val="20"/>
          <w:szCs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246C792F" w14:textId="77777777" w:rsidR="000E6619" w:rsidRDefault="000E6619" w:rsidP="000E6619">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7071C23C" w14:textId="77777777" w:rsidR="000E6619" w:rsidRPr="00482175" w:rsidRDefault="000E6619" w:rsidP="000E6619">
      <w:pPr>
        <w:spacing w:after="0" w:line="240" w:lineRule="auto"/>
        <w:jc w:val="both"/>
        <w:rPr>
          <w:rFonts w:ascii="Verdana" w:hAnsi="Verdana"/>
          <w:sz w:val="20"/>
          <w:szCs w:val="20"/>
        </w:rPr>
      </w:pPr>
    </w:p>
    <w:p w14:paraId="5735608C" w14:textId="77777777" w:rsidR="000E6619" w:rsidRPr="00482175" w:rsidRDefault="000E6619" w:rsidP="000E6619">
      <w:pPr>
        <w:spacing w:after="0" w:line="240" w:lineRule="auto"/>
        <w:jc w:val="both"/>
        <w:rPr>
          <w:rFonts w:ascii="Verdana" w:hAnsi="Verdana"/>
          <w:sz w:val="20"/>
          <w:szCs w:val="20"/>
        </w:rPr>
      </w:pPr>
      <w:r w:rsidRPr="00482175">
        <w:rPr>
          <w:rFonts w:ascii="Verdana" w:hAnsi="Verdana"/>
          <w:sz w:val="20"/>
          <w:szCs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A4A6811" w14:textId="77777777" w:rsidR="001E5AD4" w:rsidRDefault="001E5AD4" w:rsidP="001E5AD4">
      <w:pPr>
        <w:snapToGrid w:val="0"/>
        <w:contextualSpacing/>
        <w:jc w:val="both"/>
        <w:rPr>
          <w:rFonts w:ascii="Verdana" w:eastAsia="Arial" w:hAnsi="Verdana" w:cs="Arial"/>
          <w:color w:val="000000" w:themeColor="text1"/>
          <w:sz w:val="20"/>
          <w:szCs w:val="20"/>
        </w:rPr>
      </w:pPr>
    </w:p>
    <w:p w14:paraId="29969040" w14:textId="3B64D4E8" w:rsidR="00E66AD4" w:rsidRDefault="001E5AD4" w:rsidP="0097324C">
      <w:pPr>
        <w:snapToGrid w:val="0"/>
        <w:spacing w:after="0" w:line="240" w:lineRule="auto"/>
        <w:contextualSpacing/>
        <w:jc w:val="both"/>
        <w:rPr>
          <w:rFonts w:ascii="Verdana" w:hAnsi="Verdana"/>
          <w:lang w:val="es-ES"/>
        </w:rPr>
      </w:pPr>
      <w:r>
        <w:rPr>
          <w:rFonts w:ascii="Verdana" w:eastAsia="Arial" w:hAnsi="Verdana" w:cs="Arial"/>
          <w:color w:val="000000" w:themeColor="text1"/>
          <w:sz w:val="20"/>
          <w:szCs w:val="20"/>
        </w:rPr>
        <w:t xml:space="preserve">[…] </w:t>
      </w:r>
      <w:r w:rsidRPr="001E5AD4">
        <w:rPr>
          <w:rFonts w:ascii="Verdana" w:eastAsia="Arial" w:hAnsi="Verdana" w:cs="Arial"/>
          <w:color w:val="000000" w:themeColor="text1"/>
          <w:sz w:val="20"/>
          <w:szCs w:val="20"/>
        </w:rPr>
        <w:t xml:space="preserve">estos convenios se celebran de forma directa, y que no implican convocatorias públicas o la posibilidad de pluralidad de oferentes. Dado que el ámbito material del artículo 33 de la Ley 996 de 2005 cobija a </w:t>
      </w:r>
      <w:r w:rsidRPr="001E5AD4">
        <w:rPr>
          <w:rFonts w:ascii="Verdana" w:eastAsia="Arial" w:hAnsi="Verdana" w:cs="Arial"/>
          <w:i/>
          <w:color w:val="000000" w:themeColor="text1"/>
          <w:sz w:val="20"/>
          <w:szCs w:val="20"/>
        </w:rPr>
        <w:t>cualquier</w:t>
      </w:r>
      <w:r w:rsidRPr="001E5AD4">
        <w:rPr>
          <w:rFonts w:ascii="Verdana" w:eastAsia="Arial" w:hAnsi="Verdana" w:cs="Arial"/>
          <w:color w:val="000000" w:themeColor="text1"/>
          <w:sz w:val="20"/>
          <w:szCs w:val="20"/>
        </w:rPr>
        <w:t xml:space="preserve"> contrato o convenio que celebren las entidades de forma directa, sin que medie un proceso abierto o competitivo, las entidades tendrán restringida la suscripción de los convenios objeto de consulta durante el periodo electoral allí establecido. Por otra parte, </w:t>
      </w:r>
      <w:r w:rsidRPr="001E5AD4">
        <w:rPr>
          <w:rFonts w:ascii="Verdana" w:eastAsia="Arial" w:hAnsi="Verdana" w:cs="Arial"/>
          <w:bCs/>
          <w:color w:val="000000" w:themeColor="text1"/>
          <w:sz w:val="20"/>
          <w:szCs w:val="20"/>
          <w:lang w:val="es-ES"/>
        </w:rPr>
        <w:t>será pertinente analizar si se configura alguna de las excepciones previstas en el artículo 33 de la Ley de Garantías, en particular, si la contratación se realiza con ocasión a una “emergencia educativa o sanitaria”.</w:t>
      </w:r>
    </w:p>
    <w:p w14:paraId="266DFA5B" w14:textId="1B5440DB" w:rsidR="000231D2" w:rsidRPr="00A27102" w:rsidRDefault="000231D2" w:rsidP="000231D2">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F372BB">
        <w:rPr>
          <w:rFonts w:ascii="Verdana" w:eastAsia="Geomanist Light" w:hAnsi="Verdana" w:cs="Arial"/>
          <w:color w:val="201F1E"/>
          <w:lang w:val="es-MX"/>
        </w:rPr>
        <w:t>31 de diciembre de 2025</w:t>
      </w:r>
    </w:p>
    <w:p w14:paraId="642A32DF" w14:textId="77777777" w:rsidR="000231D2" w:rsidRDefault="000231D2" w:rsidP="000231D2">
      <w:pPr>
        <w:spacing w:after="0"/>
        <w:rPr>
          <w:rFonts w:ascii="Verdana" w:hAnsi="Verdana"/>
          <w:lang w:val="es-ES"/>
        </w:rPr>
      </w:pPr>
    </w:p>
    <w:p w14:paraId="41EE8F98" w14:textId="40711439" w:rsidR="000231D2" w:rsidRPr="00FC6F34" w:rsidRDefault="00CC62D6" w:rsidP="00F372BB">
      <w:pPr>
        <w:spacing w:after="0"/>
        <w:jc w:val="right"/>
        <w:rPr>
          <w:rFonts w:ascii="Verdana" w:hAnsi="Verdana"/>
          <w:lang w:val="es-ES"/>
        </w:rPr>
      </w:pPr>
      <w:r w:rsidRPr="00CC62D6">
        <w:rPr>
          <w:rFonts w:ascii="Verdana" w:hAnsi="Verdana"/>
          <w:noProof/>
          <w:lang w:val="es-ES"/>
        </w:rPr>
        <w:drawing>
          <wp:inline distT="0" distB="0" distL="0" distR="0" wp14:anchorId="084DB80A" wp14:editId="0C818924">
            <wp:extent cx="2567940" cy="876300"/>
            <wp:effectExtent l="0" t="0" r="3810" b="0"/>
            <wp:docPr id="2000311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67940" cy="876300"/>
                    </a:xfrm>
                    <a:prstGeom prst="rect">
                      <a:avLst/>
                    </a:prstGeom>
                    <a:noFill/>
                    <a:ln>
                      <a:noFill/>
                    </a:ln>
                  </pic:spPr>
                </pic:pic>
              </a:graphicData>
            </a:graphic>
          </wp:inline>
        </w:drawing>
      </w:r>
    </w:p>
    <w:p w14:paraId="78079A59" w14:textId="77777777" w:rsidR="000231D2" w:rsidRDefault="000231D2" w:rsidP="000231D2">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color w:val="000000" w:themeColor="text1"/>
          <w:lang w:val="es-ES" w:eastAsia="es-ES"/>
        </w:rPr>
        <w:t>Señora</w:t>
      </w:r>
    </w:p>
    <w:p w14:paraId="56B94A42" w14:textId="77777777" w:rsidR="000231D2" w:rsidRPr="00D40997" w:rsidRDefault="000231D2" w:rsidP="000231D2">
      <w:pPr>
        <w:spacing w:after="0" w:line="240" w:lineRule="auto"/>
        <w:rPr>
          <w:rFonts w:ascii="Verdana" w:eastAsia="Calibri" w:hAnsi="Verdana" w:cs="Arial"/>
          <w:b/>
          <w:bCs/>
          <w:color w:val="000000" w:themeColor="text1"/>
          <w:lang w:val="es-ES" w:eastAsia="es-ES"/>
        </w:rPr>
      </w:pPr>
      <w:r w:rsidRPr="00D40997">
        <w:rPr>
          <w:rFonts w:ascii="Verdana" w:eastAsia="Calibri" w:hAnsi="Verdana" w:cs="Arial"/>
          <w:b/>
          <w:bCs/>
          <w:color w:val="000000" w:themeColor="text1"/>
          <w:lang w:val="es-ES" w:eastAsia="es-ES"/>
        </w:rPr>
        <w:t>Merlys García Arrieta</w:t>
      </w:r>
    </w:p>
    <w:p w14:paraId="1D629E9F" w14:textId="77777777" w:rsidR="000231D2" w:rsidRPr="006713F3" w:rsidRDefault="000231D2" w:rsidP="000231D2">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Directora Administrativa y Financiera del Fondo Mixto de la Cultura y las Artes de Sucre </w:t>
      </w:r>
    </w:p>
    <w:p w14:paraId="6B6BE8AA" w14:textId="77777777" w:rsidR="000231D2" w:rsidRPr="009F52B0" w:rsidRDefault="000231D2" w:rsidP="000231D2">
      <w:pPr>
        <w:spacing w:after="0" w:line="240" w:lineRule="auto"/>
        <w:rPr>
          <w:rFonts w:ascii="Verdana" w:hAnsi="Verdana"/>
          <w:lang w:val="es-ES"/>
        </w:rPr>
      </w:pPr>
      <w:hyperlink r:id="rId12" w:history="1">
        <w:r w:rsidRPr="009F52B0">
          <w:rPr>
            <w:rStyle w:val="Hipervnculo"/>
            <w:rFonts w:ascii="Verdana" w:hAnsi="Verdana"/>
          </w:rPr>
          <w:t>secretaria@fondomixtodesucre.org</w:t>
        </w:r>
      </w:hyperlink>
      <w:r w:rsidRPr="009F52B0">
        <w:rPr>
          <w:rFonts w:ascii="Verdana" w:hAnsi="Verdana"/>
        </w:rPr>
        <w:t xml:space="preserve"> </w:t>
      </w:r>
    </w:p>
    <w:p w14:paraId="25C9B6B9" w14:textId="77777777" w:rsidR="000231D2" w:rsidRPr="00BC4697" w:rsidRDefault="000231D2" w:rsidP="000231D2">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46739F83" w14:textId="77777777" w:rsidR="000231D2" w:rsidRPr="00FC6F34" w:rsidRDefault="000231D2" w:rsidP="000231D2">
      <w:pPr>
        <w:spacing w:after="0" w:line="240" w:lineRule="auto"/>
        <w:rPr>
          <w:rFonts w:ascii="Verdana" w:eastAsia="Calibri" w:hAnsi="Verdana" w:cs="Arial"/>
          <w:b/>
          <w:bCs/>
          <w:color w:val="000000" w:themeColor="text1"/>
          <w:lang w:val="es-ES" w:eastAsia="es-ES"/>
        </w:rPr>
      </w:pPr>
    </w:p>
    <w:tbl>
      <w:tblPr>
        <w:tblStyle w:val="Tablaconcuadrcula"/>
        <w:tblW w:w="906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6"/>
        <w:gridCol w:w="6496"/>
      </w:tblGrid>
      <w:tr w:rsidR="000231D2" w:rsidRPr="00FC6F34" w14:paraId="412A8502" w14:textId="77777777" w:rsidTr="00FB2425">
        <w:trPr>
          <w:trHeight w:val="304"/>
        </w:trPr>
        <w:tc>
          <w:tcPr>
            <w:tcW w:w="2566" w:type="dxa"/>
          </w:tcPr>
          <w:p w14:paraId="5CBB494B" w14:textId="77777777" w:rsidR="000231D2" w:rsidRPr="00FC6F34" w:rsidRDefault="000231D2" w:rsidP="00FB2425">
            <w:pPr>
              <w:ind w:left="-142"/>
              <w:jc w:val="both"/>
              <w:rPr>
                <w:rFonts w:ascii="Verdana" w:eastAsia="Calibri" w:hAnsi="Verdana" w:cs="Arial"/>
                <w:b/>
                <w:bCs/>
                <w:color w:val="000000" w:themeColor="text1"/>
                <w:lang w:val="es-ES" w:eastAsia="es-ES_tradnl"/>
              </w:rPr>
            </w:pPr>
          </w:p>
        </w:tc>
        <w:tc>
          <w:tcPr>
            <w:tcW w:w="6496" w:type="dxa"/>
          </w:tcPr>
          <w:p w14:paraId="17F7A0E2" w14:textId="77777777" w:rsidR="000231D2" w:rsidRDefault="000231D2" w:rsidP="00FB2425">
            <w:pPr>
              <w:ind w:left="3"/>
              <w:jc w:val="both"/>
              <w:rPr>
                <w:rFonts w:ascii="Verdana" w:eastAsia="Calibri" w:hAnsi="Verdana" w:cs="Arial"/>
                <w:b/>
                <w:bCs/>
                <w:color w:val="000000" w:themeColor="text1"/>
                <w:lang w:val="es-ES" w:eastAsia="es-ES"/>
              </w:rPr>
            </w:pPr>
          </w:p>
          <w:p w14:paraId="11E3C164" w14:textId="77777777" w:rsidR="000231D2" w:rsidRPr="00FC6F34" w:rsidRDefault="000231D2" w:rsidP="00FB2425">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1785</w:t>
            </w:r>
            <w:r w:rsidRPr="00FC6F34">
              <w:rPr>
                <w:rFonts w:ascii="Verdana" w:eastAsia="Calibri" w:hAnsi="Verdana" w:cs="Arial"/>
                <w:b/>
                <w:bCs/>
                <w:color w:val="000000" w:themeColor="text1"/>
                <w:lang w:val="es-ES" w:eastAsia="es-ES"/>
              </w:rPr>
              <w:t xml:space="preserve"> de 2025</w:t>
            </w:r>
          </w:p>
          <w:p w14:paraId="697ED126" w14:textId="77777777" w:rsidR="000231D2" w:rsidRPr="00FC6F34" w:rsidRDefault="000231D2" w:rsidP="00FB2425">
            <w:pPr>
              <w:ind w:left="3"/>
              <w:jc w:val="both"/>
              <w:rPr>
                <w:rFonts w:ascii="Verdana" w:eastAsia="Calibri" w:hAnsi="Verdana" w:cs="Arial"/>
                <w:b/>
                <w:bCs/>
                <w:color w:val="000000" w:themeColor="text1"/>
                <w:lang w:val="es-ES" w:eastAsia="es-ES"/>
              </w:rPr>
            </w:pPr>
          </w:p>
        </w:tc>
      </w:tr>
      <w:tr w:rsidR="000231D2" w:rsidRPr="00FC6F34" w14:paraId="0F56004B" w14:textId="77777777" w:rsidTr="00FB2425">
        <w:trPr>
          <w:trHeight w:val="304"/>
        </w:trPr>
        <w:tc>
          <w:tcPr>
            <w:tcW w:w="2566" w:type="dxa"/>
          </w:tcPr>
          <w:p w14:paraId="173D6E47" w14:textId="77777777" w:rsidR="000231D2" w:rsidRPr="00FC6F34" w:rsidRDefault="000231D2" w:rsidP="00FB2425">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496" w:type="dxa"/>
          </w:tcPr>
          <w:p w14:paraId="2ABC5763" w14:textId="77777777" w:rsidR="000231D2" w:rsidRDefault="000231D2" w:rsidP="00FB2425">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w:t>
            </w:r>
            <w:r w:rsidRPr="00FC6F34">
              <w:rPr>
                <w:rFonts w:ascii="Verdana" w:eastAsia="Calibri" w:hAnsi="Verdana" w:cs="Arial"/>
                <w:lang w:val="es-ES" w:eastAsia="es-ES"/>
              </w:rPr>
              <w:t>‒</w:t>
            </w:r>
            <w:r>
              <w:rPr>
                <w:rFonts w:ascii="Verdana" w:eastAsia="Calibri" w:hAnsi="Verdana" w:cs="Arial"/>
                <w:lang w:val="es-ES" w:eastAsia="es-ES"/>
              </w:rPr>
              <w:t xml:space="preserve"> Actos Administrativos / </w:t>
            </w:r>
            <w:r w:rsidRPr="00FC6F34">
              <w:rPr>
                <w:rFonts w:ascii="Verdana" w:eastAsia="Calibri" w:hAnsi="Verdana" w:cs="Arial"/>
                <w:lang w:val="es-ES" w:eastAsia="es-ES"/>
              </w:rPr>
              <w:t>LEY DE GARANTÍAS ELECTORALES ‒ Artículo 3</w:t>
            </w:r>
            <w:r>
              <w:rPr>
                <w:rFonts w:ascii="Verdana" w:eastAsia="Calibri" w:hAnsi="Verdana" w:cs="Arial"/>
                <w:lang w:val="es-ES" w:eastAsia="es-ES"/>
              </w:rPr>
              <w:t xml:space="preserve">8 </w:t>
            </w:r>
            <w:r w:rsidRPr="00FC6F34">
              <w:rPr>
                <w:rFonts w:ascii="Verdana" w:eastAsia="Calibri" w:hAnsi="Verdana" w:cs="Arial"/>
                <w:lang w:val="es-ES" w:eastAsia="es-ES"/>
              </w:rPr>
              <w:t>‒</w:t>
            </w:r>
            <w:r>
              <w:rPr>
                <w:rFonts w:ascii="Verdana" w:eastAsia="Calibri" w:hAnsi="Verdana" w:cs="Arial"/>
                <w:lang w:val="es-ES" w:eastAsia="es-ES"/>
              </w:rPr>
              <w:t xml:space="preserve"> Autos de suspensión</w:t>
            </w:r>
          </w:p>
          <w:p w14:paraId="16713048" w14:textId="77777777" w:rsidR="000231D2" w:rsidRPr="00FC6F34" w:rsidRDefault="000231D2" w:rsidP="00FB2425">
            <w:pPr>
              <w:spacing w:line="276" w:lineRule="auto"/>
              <w:jc w:val="both"/>
              <w:rPr>
                <w:rFonts w:ascii="Verdana" w:eastAsia="Calibri" w:hAnsi="Verdana" w:cs="Arial"/>
                <w:color w:val="000000" w:themeColor="text1"/>
                <w:lang w:val="es-ES" w:eastAsia="es-ES"/>
              </w:rPr>
            </w:pPr>
          </w:p>
        </w:tc>
      </w:tr>
      <w:tr w:rsidR="000231D2" w:rsidRPr="00FC6F34" w14:paraId="6E417267" w14:textId="77777777" w:rsidTr="00FB2425">
        <w:trPr>
          <w:trHeight w:val="770"/>
        </w:trPr>
        <w:tc>
          <w:tcPr>
            <w:tcW w:w="2566" w:type="dxa"/>
          </w:tcPr>
          <w:p w14:paraId="7155F152" w14:textId="77777777" w:rsidR="000231D2" w:rsidRPr="00FC6F34" w:rsidRDefault="000231D2" w:rsidP="00FB2425">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496" w:type="dxa"/>
          </w:tcPr>
          <w:p w14:paraId="0917B9D9" w14:textId="77777777" w:rsidR="000231D2" w:rsidRPr="00FC6F34" w:rsidRDefault="000231D2" w:rsidP="00FB2425">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1049DC">
              <w:rPr>
                <w:rFonts w:ascii="Verdana" w:eastAsia="Calibri" w:hAnsi="Verdana" w:cs="Arial"/>
                <w:color w:val="000000" w:themeColor="text1"/>
                <w:lang w:val="es-ES" w:eastAsia="es-ES"/>
              </w:rPr>
              <w:t>1_2025_12_03_013601</w:t>
            </w:r>
          </w:p>
        </w:tc>
      </w:tr>
    </w:tbl>
    <w:p w14:paraId="5FCEB893" w14:textId="77777777" w:rsidR="000231D2" w:rsidRPr="00FC6F34" w:rsidRDefault="000231D2" w:rsidP="000231D2">
      <w:pPr>
        <w:spacing w:after="0" w:line="276" w:lineRule="auto"/>
        <w:jc w:val="both"/>
        <w:rPr>
          <w:rFonts w:ascii="Verdana" w:eastAsia="Calibri" w:hAnsi="Verdana" w:cs="Arial"/>
          <w:color w:val="000000" w:themeColor="text1"/>
          <w:lang w:val="es-ES" w:eastAsia="es-ES"/>
        </w:rPr>
      </w:pPr>
    </w:p>
    <w:p w14:paraId="188BD39E" w14:textId="77777777" w:rsidR="000231D2" w:rsidRPr="00FC6F34" w:rsidRDefault="000231D2" w:rsidP="000231D2">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señora García</w:t>
      </w:r>
      <w:r w:rsidRPr="00FC6F34">
        <w:rPr>
          <w:rFonts w:ascii="Verdana" w:eastAsia="Calibri" w:hAnsi="Verdana" w:cs="Arial"/>
          <w:color w:val="000000" w:themeColor="text1"/>
          <w:lang w:val="es-ES" w:eastAsia="es-ES"/>
        </w:rPr>
        <w:t>:</w:t>
      </w:r>
    </w:p>
    <w:p w14:paraId="474223AC" w14:textId="77777777" w:rsidR="000231D2" w:rsidRPr="00FC6F34" w:rsidRDefault="000231D2" w:rsidP="000231D2">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4F5F5E11" w14:textId="77777777" w:rsidR="000231D2" w:rsidRPr="00FC6F34" w:rsidRDefault="000231D2" w:rsidP="000231D2">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3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diciembre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 xml:space="preserve"> cual pregunta</w:t>
      </w:r>
      <w:r w:rsidRPr="00FC6F34">
        <w:rPr>
          <w:rFonts w:ascii="Verdana" w:eastAsia="Calibri" w:hAnsi="Verdana" w:cs="Arial"/>
          <w:color w:val="000000" w:themeColor="text1"/>
          <w:lang w:val="es-ES" w:eastAsia="es-ES"/>
        </w:rPr>
        <w:t xml:space="preserve"> lo siguiente: </w:t>
      </w:r>
    </w:p>
    <w:p w14:paraId="18A89130" w14:textId="77777777" w:rsidR="000231D2" w:rsidRPr="00BF306B" w:rsidRDefault="000231D2" w:rsidP="000231D2">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15D69E34" w14:textId="77777777" w:rsidR="000231D2" w:rsidRPr="00AD46FE" w:rsidRDefault="000231D2" w:rsidP="000231D2">
      <w:pPr>
        <w:spacing w:after="0"/>
        <w:ind w:left="709" w:right="709"/>
        <w:jc w:val="both"/>
        <w:rPr>
          <w:rFonts w:ascii="Verdana" w:eastAsia="Century Gothic" w:hAnsi="Verdana" w:cs="Century Gothic"/>
          <w:i/>
          <w:color w:val="000000" w:themeColor="text1"/>
          <w:sz w:val="20"/>
          <w:szCs w:val="20"/>
        </w:rPr>
      </w:pPr>
      <w:r w:rsidRPr="001A70DA">
        <w:rPr>
          <w:rFonts w:ascii="Verdana" w:eastAsia="Century Gothic" w:hAnsi="Verdana" w:cs="Century Gothic"/>
          <w:i/>
          <w:color w:val="000000" w:themeColor="text1"/>
          <w:sz w:val="20"/>
          <w:szCs w:val="20"/>
          <w:lang w:val="es-ES"/>
        </w:rPr>
        <w:t>“</w:t>
      </w:r>
      <w:r w:rsidRPr="00AD46FE">
        <w:rPr>
          <w:rFonts w:ascii="Verdana" w:eastAsia="Century Gothic" w:hAnsi="Verdana" w:cs="Century Gothic"/>
          <w:b/>
          <w:bCs/>
          <w:i/>
          <w:color w:val="000000" w:themeColor="text1"/>
          <w:sz w:val="20"/>
          <w:szCs w:val="20"/>
        </w:rPr>
        <w:t>I. Preguntas objeto de la consulta</w:t>
      </w:r>
    </w:p>
    <w:p w14:paraId="657FFA78" w14:textId="77777777" w:rsidR="000231D2" w:rsidRDefault="000231D2" w:rsidP="000231D2">
      <w:pPr>
        <w:spacing w:after="0" w:line="240" w:lineRule="auto"/>
        <w:ind w:left="709" w:right="709"/>
        <w:jc w:val="both"/>
        <w:rPr>
          <w:rFonts w:ascii="Verdana" w:eastAsia="Century Gothic" w:hAnsi="Verdana" w:cs="Century Gothic"/>
          <w:i/>
          <w:color w:val="000000" w:themeColor="text1"/>
          <w:sz w:val="20"/>
          <w:szCs w:val="20"/>
        </w:rPr>
      </w:pPr>
      <w:r w:rsidRPr="00AD46FE">
        <w:rPr>
          <w:rFonts w:ascii="Verdana" w:eastAsia="Century Gothic" w:hAnsi="Verdana" w:cs="Century Gothic"/>
          <w:i/>
          <w:color w:val="000000" w:themeColor="text1"/>
          <w:sz w:val="20"/>
          <w:szCs w:val="20"/>
        </w:rPr>
        <w:t>De manera respetuosa, solicito se sirva absolver las siguientes inquietudes:</w:t>
      </w:r>
    </w:p>
    <w:p w14:paraId="79B8B5AA"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p>
    <w:p w14:paraId="3E1E466D" w14:textId="77777777" w:rsidR="000231D2" w:rsidRDefault="000231D2" w:rsidP="000231D2">
      <w:pPr>
        <w:spacing w:after="0" w:line="240" w:lineRule="auto"/>
        <w:ind w:left="709" w:right="709"/>
        <w:jc w:val="both"/>
        <w:rPr>
          <w:rFonts w:ascii="Verdana" w:eastAsia="Century Gothic" w:hAnsi="Verdana" w:cs="Century Gothic"/>
          <w:b/>
          <w:bCs/>
          <w:i/>
          <w:color w:val="000000" w:themeColor="text1"/>
          <w:sz w:val="20"/>
          <w:szCs w:val="20"/>
        </w:rPr>
      </w:pPr>
      <w:r w:rsidRPr="00AD46FE">
        <w:rPr>
          <w:rFonts w:ascii="Verdana" w:eastAsia="Century Gothic" w:hAnsi="Verdana" w:cs="Century Gothic"/>
          <w:b/>
          <w:bCs/>
          <w:i/>
          <w:color w:val="000000" w:themeColor="text1"/>
          <w:sz w:val="20"/>
          <w:szCs w:val="20"/>
        </w:rPr>
        <w:t>1. Sobre la viabilidad del mecanismo actual de estímulos</w:t>
      </w:r>
    </w:p>
    <w:p w14:paraId="2A808D41"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p>
    <w:p w14:paraId="20B7BF4C" w14:textId="77777777" w:rsidR="000231D2" w:rsidRDefault="000231D2" w:rsidP="000231D2">
      <w:pPr>
        <w:spacing w:after="0" w:line="240" w:lineRule="auto"/>
        <w:ind w:left="709" w:right="709"/>
        <w:jc w:val="both"/>
        <w:rPr>
          <w:rFonts w:ascii="Verdana" w:eastAsia="Century Gothic" w:hAnsi="Verdana" w:cs="Century Gothic"/>
          <w:i/>
          <w:color w:val="000000" w:themeColor="text1"/>
          <w:sz w:val="20"/>
          <w:szCs w:val="20"/>
        </w:rPr>
      </w:pPr>
      <w:r w:rsidRPr="00AD46FE">
        <w:rPr>
          <w:rFonts w:ascii="Verdana" w:eastAsia="Century Gothic" w:hAnsi="Verdana" w:cs="Century Gothic"/>
          <w:i/>
          <w:color w:val="000000" w:themeColor="text1"/>
          <w:sz w:val="20"/>
          <w:szCs w:val="20"/>
        </w:rPr>
        <w:t>¿Es jurídicamente viable que el Fondo Mixto de Promoción de la Cultura y las Artes de Sucre otorgue apoyos y estímulos culturales con cargo a recursos de estampilla pro cultura, mediante actos administrativos de otorgamiento de estímulos, durante la vigencia de las restricciones establecidas por la Ley 996 de 2005?</w:t>
      </w:r>
    </w:p>
    <w:p w14:paraId="4432816E"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p>
    <w:p w14:paraId="609C22FD" w14:textId="77777777" w:rsidR="000231D2" w:rsidRDefault="000231D2" w:rsidP="000231D2">
      <w:pPr>
        <w:spacing w:after="0" w:line="240" w:lineRule="auto"/>
        <w:ind w:left="709" w:right="709"/>
        <w:jc w:val="both"/>
        <w:rPr>
          <w:rFonts w:ascii="Verdana" w:eastAsia="Century Gothic" w:hAnsi="Verdana" w:cs="Century Gothic"/>
          <w:b/>
          <w:bCs/>
          <w:i/>
          <w:color w:val="000000" w:themeColor="text1"/>
          <w:sz w:val="20"/>
          <w:szCs w:val="20"/>
        </w:rPr>
      </w:pPr>
      <w:r w:rsidRPr="00AD46FE">
        <w:rPr>
          <w:rFonts w:ascii="Verdana" w:eastAsia="Century Gothic" w:hAnsi="Verdana" w:cs="Century Gothic"/>
          <w:b/>
          <w:bCs/>
          <w:i/>
          <w:color w:val="000000" w:themeColor="text1"/>
          <w:sz w:val="20"/>
          <w:szCs w:val="20"/>
        </w:rPr>
        <w:t>2. Sobre la naturaleza de los actos de estímulo</w:t>
      </w:r>
    </w:p>
    <w:p w14:paraId="60F72F6E"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p>
    <w:p w14:paraId="05E381E8" w14:textId="77777777" w:rsidR="000231D2" w:rsidRDefault="000231D2" w:rsidP="000231D2">
      <w:pPr>
        <w:spacing w:after="0" w:line="240" w:lineRule="auto"/>
        <w:ind w:left="709" w:right="709"/>
        <w:jc w:val="both"/>
        <w:rPr>
          <w:rFonts w:ascii="Verdana" w:eastAsia="Century Gothic" w:hAnsi="Verdana" w:cs="Century Gothic"/>
          <w:i/>
          <w:color w:val="000000" w:themeColor="text1"/>
          <w:sz w:val="20"/>
          <w:szCs w:val="20"/>
        </w:rPr>
      </w:pPr>
      <w:r w:rsidRPr="00AD46FE">
        <w:rPr>
          <w:rFonts w:ascii="Verdana" w:eastAsia="Century Gothic" w:hAnsi="Verdana" w:cs="Century Gothic"/>
          <w:i/>
          <w:color w:val="000000" w:themeColor="text1"/>
          <w:sz w:val="20"/>
          <w:szCs w:val="20"/>
        </w:rPr>
        <w:t xml:space="preserve">¿Los apoyos y estímulos otorgados bajo este esquema (acto administrativo de otorgamiento) pueden ser considerados jurídicamente como </w:t>
      </w:r>
      <w:r w:rsidRPr="00AD46FE">
        <w:rPr>
          <w:rFonts w:ascii="Verdana" w:eastAsia="Century Gothic" w:hAnsi="Verdana" w:cs="Century Gothic"/>
          <w:b/>
          <w:bCs/>
          <w:i/>
          <w:color w:val="000000" w:themeColor="text1"/>
          <w:sz w:val="20"/>
          <w:szCs w:val="20"/>
        </w:rPr>
        <w:t>medidas de fomento</w:t>
      </w:r>
      <w:r w:rsidRPr="00AD46FE">
        <w:rPr>
          <w:rFonts w:ascii="Verdana" w:eastAsia="Century Gothic" w:hAnsi="Verdana" w:cs="Century Gothic"/>
          <w:i/>
          <w:color w:val="000000" w:themeColor="text1"/>
          <w:sz w:val="20"/>
          <w:szCs w:val="20"/>
        </w:rPr>
        <w:t xml:space="preserve"> y no como </w:t>
      </w:r>
      <w:r w:rsidRPr="00AD46FE">
        <w:rPr>
          <w:rFonts w:ascii="Verdana" w:eastAsia="Century Gothic" w:hAnsi="Verdana" w:cs="Century Gothic"/>
          <w:b/>
          <w:bCs/>
          <w:i/>
          <w:color w:val="000000" w:themeColor="text1"/>
          <w:sz w:val="20"/>
          <w:szCs w:val="20"/>
        </w:rPr>
        <w:t>contratos estatales</w:t>
      </w:r>
      <w:r w:rsidRPr="00AD46FE">
        <w:rPr>
          <w:rFonts w:ascii="Verdana" w:eastAsia="Century Gothic" w:hAnsi="Verdana" w:cs="Century Gothic"/>
          <w:i/>
          <w:color w:val="000000" w:themeColor="text1"/>
          <w:sz w:val="20"/>
          <w:szCs w:val="20"/>
        </w:rPr>
        <w:t xml:space="preserve"> o </w:t>
      </w:r>
      <w:r w:rsidRPr="00AD46FE">
        <w:rPr>
          <w:rFonts w:ascii="Verdana" w:eastAsia="Century Gothic" w:hAnsi="Verdana" w:cs="Century Gothic"/>
          <w:b/>
          <w:bCs/>
          <w:i/>
          <w:color w:val="000000" w:themeColor="text1"/>
          <w:sz w:val="20"/>
          <w:szCs w:val="20"/>
        </w:rPr>
        <w:t>convenios interadministrativos</w:t>
      </w:r>
      <w:r w:rsidRPr="00AD46FE">
        <w:rPr>
          <w:rFonts w:ascii="Verdana" w:eastAsia="Century Gothic" w:hAnsi="Verdana" w:cs="Century Gothic"/>
          <w:i/>
          <w:color w:val="000000" w:themeColor="text1"/>
          <w:sz w:val="20"/>
          <w:szCs w:val="20"/>
        </w:rPr>
        <w:t>, para efectos de la aplicación de la Ley 996 de 2005?</w:t>
      </w:r>
    </w:p>
    <w:p w14:paraId="03FB46D3"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p>
    <w:p w14:paraId="59D8C034" w14:textId="77777777" w:rsidR="000231D2" w:rsidRPr="00AD46FE" w:rsidRDefault="000231D2" w:rsidP="000231D2">
      <w:pPr>
        <w:spacing w:after="0" w:line="240" w:lineRule="auto"/>
        <w:ind w:left="709" w:right="709"/>
        <w:jc w:val="both"/>
        <w:rPr>
          <w:rFonts w:ascii="Verdana" w:eastAsia="Century Gothic" w:hAnsi="Verdana" w:cs="Century Gothic"/>
          <w:i/>
          <w:color w:val="000000" w:themeColor="text1"/>
          <w:sz w:val="20"/>
          <w:szCs w:val="20"/>
        </w:rPr>
      </w:pPr>
      <w:r w:rsidRPr="00AD46FE">
        <w:rPr>
          <w:rFonts w:ascii="Verdana" w:eastAsia="Century Gothic" w:hAnsi="Verdana" w:cs="Century Gothic"/>
          <w:b/>
          <w:bCs/>
          <w:i/>
          <w:color w:val="000000" w:themeColor="text1"/>
          <w:sz w:val="20"/>
          <w:szCs w:val="20"/>
        </w:rPr>
        <w:t>3. Sobre la existencia de conceptos previos de esa Agencia en materia de estímulos culturales otorgados mediante actos administrativos</w:t>
      </w:r>
    </w:p>
    <w:p w14:paraId="6B526387" w14:textId="77777777" w:rsidR="000231D2" w:rsidRDefault="000231D2" w:rsidP="000231D2">
      <w:pPr>
        <w:spacing w:after="0" w:line="240" w:lineRule="auto"/>
        <w:ind w:left="709" w:right="709"/>
        <w:jc w:val="both"/>
        <w:rPr>
          <w:rFonts w:ascii="Verdana" w:hAnsi="Verdana"/>
          <w:sz w:val="20"/>
          <w:szCs w:val="20"/>
        </w:rPr>
      </w:pPr>
    </w:p>
    <w:p w14:paraId="52C12DAD" w14:textId="77777777" w:rsidR="000231D2" w:rsidRDefault="000231D2" w:rsidP="000231D2">
      <w:pPr>
        <w:spacing w:after="0" w:line="240" w:lineRule="auto"/>
        <w:ind w:left="709" w:right="709"/>
        <w:jc w:val="both"/>
        <w:rPr>
          <w:rFonts w:ascii="Verdana" w:hAnsi="Verdana"/>
          <w:sz w:val="20"/>
          <w:szCs w:val="20"/>
        </w:rPr>
      </w:pPr>
      <w:r w:rsidRPr="00A56FED">
        <w:rPr>
          <w:rFonts w:ascii="Verdana" w:hAnsi="Verdana"/>
          <w:sz w:val="20"/>
          <w:szCs w:val="20"/>
        </w:rPr>
        <w:t xml:space="preserve">¿Ha emitido previamente esa Agencia conceptos u orientaciones jurídicas relacionadas con la aplicación del régimen de contratación pública y de la Ley 996 de 2005 a esquemas de </w:t>
      </w:r>
      <w:r w:rsidRPr="00A56FED">
        <w:rPr>
          <w:rFonts w:ascii="Verdana" w:hAnsi="Verdana"/>
          <w:b/>
          <w:bCs/>
          <w:sz w:val="20"/>
          <w:szCs w:val="20"/>
        </w:rPr>
        <w:t>estímulos culturales otorgados a través de actos administrativos</w:t>
      </w:r>
      <w:r w:rsidRPr="00A56FED">
        <w:rPr>
          <w:rFonts w:ascii="Verdana" w:hAnsi="Verdana"/>
          <w:sz w:val="20"/>
          <w:szCs w:val="20"/>
        </w:rPr>
        <w:t>?</w:t>
      </w:r>
    </w:p>
    <w:p w14:paraId="58021499" w14:textId="77777777" w:rsidR="000231D2" w:rsidRPr="00A56FED" w:rsidRDefault="000231D2" w:rsidP="000231D2">
      <w:pPr>
        <w:spacing w:after="0" w:line="240" w:lineRule="auto"/>
        <w:ind w:left="709" w:right="709"/>
        <w:jc w:val="both"/>
        <w:rPr>
          <w:rFonts w:ascii="Verdana" w:hAnsi="Verdana"/>
          <w:sz w:val="20"/>
          <w:szCs w:val="20"/>
        </w:rPr>
      </w:pPr>
    </w:p>
    <w:p w14:paraId="62DD07BF" w14:textId="77777777" w:rsidR="000231D2" w:rsidRDefault="000231D2" w:rsidP="000231D2">
      <w:pPr>
        <w:spacing w:after="0" w:line="240" w:lineRule="auto"/>
        <w:ind w:left="709" w:right="709"/>
        <w:jc w:val="both"/>
        <w:rPr>
          <w:rFonts w:ascii="Verdana" w:hAnsi="Verdana"/>
          <w:sz w:val="20"/>
          <w:szCs w:val="20"/>
        </w:rPr>
      </w:pPr>
      <w:r w:rsidRPr="00A56FED">
        <w:rPr>
          <w:rFonts w:ascii="Verdana" w:hAnsi="Verdana"/>
          <w:sz w:val="20"/>
          <w:szCs w:val="20"/>
        </w:rPr>
        <w:t>En caso afirmativo, solicito se indique número, fecha y asunto de dichos conceptos y, de ser posible, se remita copia o enlace electrónico donde puedan ser consultados.</w:t>
      </w:r>
    </w:p>
    <w:p w14:paraId="547F263E" w14:textId="77777777" w:rsidR="000231D2" w:rsidRPr="00A56FED" w:rsidRDefault="000231D2" w:rsidP="000231D2">
      <w:pPr>
        <w:spacing w:after="0" w:line="240" w:lineRule="auto"/>
        <w:ind w:left="709" w:right="709"/>
        <w:jc w:val="both"/>
        <w:rPr>
          <w:rFonts w:ascii="Verdana" w:hAnsi="Verdana"/>
          <w:sz w:val="20"/>
          <w:szCs w:val="20"/>
        </w:rPr>
      </w:pPr>
    </w:p>
    <w:p w14:paraId="2CEAFC08" w14:textId="77777777" w:rsidR="000231D2" w:rsidRDefault="000231D2" w:rsidP="000231D2">
      <w:pPr>
        <w:spacing w:after="0" w:line="240" w:lineRule="auto"/>
        <w:ind w:left="709" w:right="709"/>
        <w:jc w:val="both"/>
        <w:rPr>
          <w:rFonts w:ascii="Verdana" w:hAnsi="Verdana"/>
          <w:b/>
          <w:bCs/>
          <w:sz w:val="20"/>
          <w:szCs w:val="20"/>
        </w:rPr>
      </w:pPr>
      <w:r w:rsidRPr="00A56FED">
        <w:rPr>
          <w:rFonts w:ascii="Verdana" w:hAnsi="Verdana"/>
          <w:b/>
          <w:bCs/>
          <w:sz w:val="20"/>
          <w:szCs w:val="20"/>
        </w:rPr>
        <w:t>4. Sobre la celebración de convenios con personas jurídicas de derecho privado en vigencia de la Ley de Garantías</w:t>
      </w:r>
    </w:p>
    <w:p w14:paraId="4DD37AC6" w14:textId="77777777" w:rsidR="000231D2" w:rsidRPr="00A56FED" w:rsidRDefault="000231D2" w:rsidP="000231D2">
      <w:pPr>
        <w:spacing w:after="0" w:line="240" w:lineRule="auto"/>
        <w:ind w:left="709" w:right="709"/>
        <w:jc w:val="both"/>
        <w:rPr>
          <w:rFonts w:ascii="Verdana" w:hAnsi="Verdana"/>
          <w:sz w:val="20"/>
          <w:szCs w:val="20"/>
        </w:rPr>
      </w:pPr>
    </w:p>
    <w:p w14:paraId="4519DCCA" w14:textId="77777777" w:rsidR="000231D2" w:rsidRDefault="000231D2" w:rsidP="000231D2">
      <w:pPr>
        <w:spacing w:after="0" w:line="240" w:lineRule="auto"/>
        <w:ind w:left="709" w:right="709"/>
        <w:jc w:val="both"/>
        <w:rPr>
          <w:rFonts w:ascii="Verdana" w:hAnsi="Verdana"/>
          <w:sz w:val="20"/>
          <w:szCs w:val="20"/>
        </w:rPr>
      </w:pPr>
      <w:r w:rsidRPr="00A56FED">
        <w:rPr>
          <w:rFonts w:ascii="Verdana" w:hAnsi="Verdana"/>
          <w:sz w:val="20"/>
          <w:szCs w:val="20"/>
        </w:rPr>
        <w:t>De conformidad con la Ley 996 de 2005, ¿es jurídicamente viable que las entidades como el Fondo Mixto de Promoción de la Cultura y las Artes de Sucre celebren convenios, contratos de apoyo u otros instrumentos de colaboración con personas jurídicas de derecho privado, durante los periodos de restricción previstos en dicha ley?</w:t>
      </w:r>
      <w:r>
        <w:rPr>
          <w:rFonts w:ascii="Verdana" w:hAnsi="Verdana"/>
          <w:sz w:val="20"/>
          <w:szCs w:val="20"/>
        </w:rPr>
        <w:t>”</w:t>
      </w:r>
      <w:r w:rsidRPr="004A30C9">
        <w:rPr>
          <w:rFonts w:ascii="Verdana" w:hAnsi="Verdana"/>
          <w:sz w:val="20"/>
          <w:szCs w:val="20"/>
        </w:rPr>
        <w:t>.</w:t>
      </w:r>
    </w:p>
    <w:p w14:paraId="0C380994" w14:textId="77777777" w:rsidR="000231D2" w:rsidRPr="00FC6F34" w:rsidRDefault="000231D2" w:rsidP="000231D2">
      <w:pPr>
        <w:spacing w:after="0" w:line="276" w:lineRule="auto"/>
        <w:ind w:right="709"/>
        <w:jc w:val="both"/>
        <w:rPr>
          <w:rFonts w:ascii="Verdana" w:eastAsia="Calibri" w:hAnsi="Verdana" w:cs="Arial"/>
          <w:lang w:val="es-ES"/>
        </w:rPr>
      </w:pPr>
    </w:p>
    <w:p w14:paraId="5CD41E39" w14:textId="77777777" w:rsidR="000231D2" w:rsidRPr="00FC6F34" w:rsidRDefault="000231D2" w:rsidP="000231D2">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FC6F34">
        <w:rPr>
          <w:rFonts w:ascii="Verdana" w:eastAsia="Calibri" w:hAnsi="Verdana" w:cs="Arial"/>
          <w:color w:val="000000" w:themeColor="text1"/>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0985808" w14:textId="77777777" w:rsidR="000231D2" w:rsidRPr="00FC6F34" w:rsidRDefault="000231D2" w:rsidP="000231D2">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7F761740" w14:textId="77777777" w:rsidR="000231D2" w:rsidRPr="00FC6F34" w:rsidRDefault="000231D2" w:rsidP="000231D2">
      <w:pPr>
        <w:spacing w:after="0" w:line="276" w:lineRule="auto"/>
        <w:ind w:firstLine="709"/>
        <w:jc w:val="both"/>
        <w:rPr>
          <w:rFonts w:ascii="Verdana" w:eastAsia="Calibri" w:hAnsi="Verdana" w:cs="Arial"/>
          <w:color w:val="000000" w:themeColor="text1"/>
          <w:lang w:val="es-ES" w:eastAsia="es-ES"/>
        </w:rPr>
      </w:pPr>
    </w:p>
    <w:p w14:paraId="7066E51D" w14:textId="77777777" w:rsidR="000231D2" w:rsidRPr="00FC6F34" w:rsidRDefault="000231D2" w:rsidP="000231D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367074E9" w14:textId="77777777" w:rsidR="000231D2" w:rsidRPr="00FC6F34" w:rsidRDefault="000231D2" w:rsidP="000231D2">
      <w:pPr>
        <w:tabs>
          <w:tab w:val="left" w:pos="426"/>
        </w:tabs>
        <w:spacing w:after="0" w:line="276" w:lineRule="auto"/>
        <w:jc w:val="both"/>
        <w:rPr>
          <w:rFonts w:ascii="Verdana" w:eastAsia="Century Gothic" w:hAnsi="Verdana" w:cs="Century Gothic"/>
          <w:color w:val="000000" w:themeColor="text1"/>
          <w:lang w:val="es-ES"/>
        </w:rPr>
      </w:pPr>
    </w:p>
    <w:p w14:paraId="1341CD5D" w14:textId="77777777" w:rsidR="000231D2" w:rsidRPr="00FC6F34" w:rsidRDefault="000231D2" w:rsidP="000231D2">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FC6F34">
        <w:rPr>
          <w:rFonts w:ascii="Verdana" w:eastAsia="Century Gothic" w:hAnsi="Verdana" w:cs="Century Gothic"/>
          <w:color w:val="000000" w:themeColor="text1"/>
          <w:lang w:val="es-ES"/>
        </w:rPr>
        <w:t xml:space="preserve"> siguiente problema jurídico:</w:t>
      </w:r>
      <w:r>
        <w:rPr>
          <w:rFonts w:ascii="Verdana" w:eastAsia="Century Gothic" w:hAnsi="Verdana" w:cs="Century Gothic"/>
          <w:color w:val="000000" w:themeColor="text1"/>
          <w:lang w:val="es-ES"/>
        </w:rPr>
        <w:t xml:space="preserve"> </w:t>
      </w:r>
      <w:r w:rsidRPr="004D22F7">
        <w:rPr>
          <w:rFonts w:ascii="Verdana" w:eastAsia="Century Gothic" w:hAnsi="Verdana" w:cs="Century Gothic"/>
          <w:iCs/>
          <w:color w:val="000000" w:themeColor="text1"/>
          <w:lang w:val="es-ES"/>
        </w:rPr>
        <w:t>¿</w:t>
      </w:r>
      <w:r>
        <w:rPr>
          <w:rFonts w:ascii="Verdana" w:eastAsia="Century Gothic" w:hAnsi="Verdana" w:cs="Century Gothic"/>
        </w:rPr>
        <w:t xml:space="preserve">Las restricciones contenidas en </w:t>
      </w:r>
      <w:r>
        <w:rPr>
          <w:rFonts w:ascii="Verdana" w:eastAsia="Century Gothic" w:hAnsi="Verdana" w:cs="Century Gothic"/>
          <w:lang w:val="es-ES"/>
        </w:rPr>
        <w:t>la Ley 996 de 2005 aplican a los fondos mixtos de cultura?</w:t>
      </w:r>
      <w:r>
        <w:rPr>
          <w:rFonts w:ascii="Verdana" w:eastAsia="Century Gothic" w:hAnsi="Verdana" w:cs="Century Gothic"/>
          <w:iCs/>
          <w:color w:val="000000" w:themeColor="text1"/>
          <w:lang w:val="es-ES"/>
        </w:rPr>
        <w:t xml:space="preserve"> </w:t>
      </w:r>
    </w:p>
    <w:p w14:paraId="5E701D88" w14:textId="77777777" w:rsidR="000231D2" w:rsidRPr="00FC6F34" w:rsidRDefault="000231D2" w:rsidP="000231D2">
      <w:pPr>
        <w:spacing w:after="0" w:line="276" w:lineRule="auto"/>
        <w:jc w:val="both"/>
        <w:rPr>
          <w:rFonts w:ascii="Verdana" w:eastAsia="Calibri" w:hAnsi="Verdana" w:cs="Arial"/>
          <w:color w:val="000000" w:themeColor="text1"/>
          <w:lang w:val="es-ES"/>
        </w:rPr>
      </w:pPr>
    </w:p>
    <w:p w14:paraId="0E29E5D1" w14:textId="77777777" w:rsidR="000231D2" w:rsidRPr="00FC6F34" w:rsidRDefault="000231D2" w:rsidP="000231D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78623C9E" w14:textId="77777777" w:rsidR="000231D2" w:rsidRPr="00FC6F34" w:rsidRDefault="000231D2" w:rsidP="000231D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31D2" w:rsidRPr="00FC6F34" w14:paraId="1C01B04B" w14:textId="77777777" w:rsidTr="00FB2425">
        <w:tc>
          <w:tcPr>
            <w:tcW w:w="8828" w:type="dxa"/>
          </w:tcPr>
          <w:p w14:paraId="6BBC745A" w14:textId="77777777" w:rsidR="000231D2" w:rsidRDefault="000231D2" w:rsidP="00FB2425">
            <w:pPr>
              <w:spacing w:after="120" w:line="276" w:lineRule="auto"/>
              <w:jc w:val="both"/>
              <w:rPr>
                <w:rFonts w:ascii="Verdana" w:hAnsi="Verdana"/>
              </w:rPr>
            </w:pPr>
            <w:r>
              <w:rPr>
                <w:rFonts w:ascii="Verdana" w:hAnsi="Verdana" w:cs="Arial"/>
                <w:bCs/>
                <w:lang w:val="es-ES" w:eastAsia="x-none"/>
              </w:rPr>
              <w:t>E</w:t>
            </w:r>
            <w:r w:rsidRPr="00FC6F34">
              <w:rPr>
                <w:rFonts w:ascii="Verdana" w:hAnsi="Verdana" w:cs="Arial"/>
                <w:bCs/>
                <w:lang w:val="es-ES" w:eastAsia="x-none"/>
              </w:rPr>
              <w:t>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r>
              <w:rPr>
                <w:rFonts w:ascii="Verdana" w:hAnsi="Verdana" w:cs="Arial"/>
                <w:bCs/>
                <w:sz w:val="20"/>
                <w:szCs w:val="20"/>
                <w:lang w:val="es-ES" w:eastAsia="es-CO"/>
              </w:rPr>
              <w:t xml:space="preserve"> </w:t>
            </w:r>
            <w:r>
              <w:rPr>
                <w:rFonts w:ascii="Verdana" w:hAnsi="Verdana"/>
              </w:rPr>
              <w:t>Por lo que, esta restricción a la contratación directa es aplicable a los fondos mixtos de promoción de la cultura y las artes en tanto son una entidad pública, independientemente de su régimen de contratación.</w:t>
            </w:r>
          </w:p>
          <w:p w14:paraId="37C8A3BF" w14:textId="77777777" w:rsidR="000231D2" w:rsidRDefault="000231D2" w:rsidP="00FB2425">
            <w:pPr>
              <w:spacing w:after="120" w:line="276" w:lineRule="auto"/>
              <w:ind w:firstLine="708"/>
              <w:jc w:val="both"/>
              <w:rPr>
                <w:rFonts w:ascii="Verdana" w:eastAsia="Times New Roman" w:hAnsi="Verdana" w:cs="Arial"/>
              </w:rPr>
            </w:pPr>
            <w:r>
              <w:rPr>
                <w:rFonts w:ascii="Verdana" w:eastAsia="Times New Roman" w:hAnsi="Verdana" w:cs="Arial"/>
                <w:lang w:val="es-ES"/>
              </w:rPr>
              <w:t xml:space="preserve">De conformidad con lo expuesto, se evidencia que </w:t>
            </w:r>
            <w:r w:rsidRPr="00493D36">
              <w:rPr>
                <w:rFonts w:ascii="Verdana" w:eastAsia="Times New Roman" w:hAnsi="Verdana" w:cs="Arial"/>
              </w:rPr>
              <w:t>la restricción aplica para celebrar cualquier contrato de forma directa, sin que exista un proceso abierto y competitivo.</w:t>
            </w:r>
            <w:r>
              <w:rPr>
                <w:rFonts w:ascii="Verdana" w:eastAsia="Times New Roman" w:hAnsi="Verdana" w:cs="Arial"/>
              </w:rPr>
              <w:t xml:space="preserve"> Lo anterior adquiere especial relevancia de cara a la consulta planteada, toda vez que si la contratación que pretende realizar el </w:t>
            </w:r>
            <w:r>
              <w:rPr>
                <w:rFonts w:ascii="Verdana" w:eastAsia="Times New Roman" w:hAnsi="Verdana" w:cs="Arial"/>
              </w:rPr>
              <w:lastRenderedPageBreak/>
              <w:t>Fondo Mixto se contempla realizar de manera directa, resulta aplicable la restricción del artículo 33.</w:t>
            </w:r>
          </w:p>
          <w:p w14:paraId="273EA464" w14:textId="77777777" w:rsidR="000231D2" w:rsidRPr="00336C91" w:rsidRDefault="000231D2" w:rsidP="00FB2425">
            <w:pPr>
              <w:spacing w:after="120" w:line="276" w:lineRule="auto"/>
              <w:ind w:firstLine="709"/>
              <w:jc w:val="both"/>
              <w:rPr>
                <w:rFonts w:ascii="Verdana" w:hAnsi="Verdana" w:cs="Arial"/>
                <w:bCs/>
                <w:lang w:eastAsia="es-CO"/>
              </w:rPr>
            </w:pPr>
            <w:r>
              <w:rPr>
                <w:rFonts w:ascii="Verdana" w:eastAsia="Times New Roman" w:hAnsi="Verdana" w:cs="Arial"/>
                <w:lang w:val="es-ES"/>
              </w:rPr>
              <w:t xml:space="preserve">Ahora bien, respecto de la celebración de otros instrumentos jurídicos distintos de contratos directos que impliquen la expedición de actos administrativos,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Pr>
                <w:rFonts w:ascii="Verdana" w:hAnsi="Verdana" w:cs="Arial"/>
                <w:bCs/>
                <w:lang w:eastAsia="es-CO"/>
              </w:rPr>
              <w:t xml:space="preserve">. En tal sentido, </w:t>
            </w:r>
            <w:r>
              <w:rPr>
                <w:rFonts w:ascii="Verdana" w:hAnsi="Verdana" w:cs="Arial"/>
                <w:bCs/>
                <w:lang w:val="es-ES_tradnl" w:eastAsia="es-CO"/>
              </w:rPr>
              <w:t xml:space="preserve">si el artículo 33 ibidem prohibió la celebración directa de contratos,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expedición de actos administrativos, porque se estaría incluyendo una circunstancia que el supuesto de hecho de la restricción no contempla. </w:t>
            </w:r>
          </w:p>
          <w:p w14:paraId="2935472D" w14:textId="77777777" w:rsidR="000231D2" w:rsidRPr="00520864" w:rsidRDefault="000231D2" w:rsidP="00FB2425">
            <w:pPr>
              <w:spacing w:after="120" w:line="276" w:lineRule="auto"/>
              <w:ind w:firstLine="708"/>
              <w:jc w:val="both"/>
              <w:rPr>
                <w:rFonts w:ascii="Verdana" w:eastAsia="Times New Roman" w:hAnsi="Verdana" w:cs="Arial"/>
                <w:bCs/>
              </w:rPr>
            </w:pPr>
            <w:r w:rsidRPr="00520864">
              <w:rPr>
                <w:rFonts w:ascii="Verdana" w:eastAsia="Times New Roman" w:hAnsi="Verdana" w:cs="Arial"/>
                <w:lang w:val="es-ES"/>
              </w:rPr>
              <w:t>En ese orden de ideas, corresponde a la entidad verificar de manera previa que el apoyo o estímulo cultural que se pretende otorgar se materialice sin que medie la celebración de un contrato estatal</w:t>
            </w:r>
            <w:r>
              <w:rPr>
                <w:rFonts w:ascii="Verdana" w:eastAsia="Times New Roman" w:hAnsi="Verdana" w:cs="Arial"/>
                <w:lang w:val="es-ES"/>
              </w:rPr>
              <w:t xml:space="preserve"> de forma directa</w:t>
            </w:r>
            <w:r w:rsidRPr="00520864">
              <w:rPr>
                <w:rFonts w:ascii="Verdana" w:eastAsia="Times New Roman" w:hAnsi="Verdana" w:cs="Arial"/>
                <w:lang w:val="es-ES"/>
              </w:rPr>
              <w:t xml:space="preserve"> ni de un convenio</w:t>
            </w:r>
            <w:r>
              <w:rPr>
                <w:rFonts w:ascii="Verdana" w:eastAsia="Times New Roman" w:hAnsi="Verdana" w:cs="Arial"/>
                <w:lang w:val="es-ES"/>
              </w:rPr>
              <w:t xml:space="preserve"> interadministrativo</w:t>
            </w:r>
            <w:r w:rsidRPr="00520864">
              <w:rPr>
                <w:rFonts w:ascii="Verdana" w:eastAsia="Times New Roman" w:hAnsi="Verdana" w:cs="Arial"/>
                <w:lang w:val="es-ES"/>
              </w:rPr>
              <w:t>, y que su otorgamiento se realice mediante la expedición de un acto administrativo. Esta diferenciación resulta esencial, en la medida en que la prohibición prevista en el artículo 33 de la Ley 996 de 2005 se configura cuando se refiera a la celebración de un contrato en sentido estricto, mas no frente a actuaciones administrativas, que no generan obligaciones recíprocas ni una relación contractual entre la entidad y el beneficiario.</w:t>
            </w:r>
          </w:p>
          <w:p w14:paraId="7BF861AF" w14:textId="77777777" w:rsidR="000231D2" w:rsidRDefault="000231D2" w:rsidP="00FB2425">
            <w:pPr>
              <w:spacing w:after="120" w:line="276" w:lineRule="auto"/>
              <w:ind w:firstLine="708"/>
              <w:jc w:val="both"/>
              <w:rPr>
                <w:rFonts w:ascii="Verdana" w:eastAsia="Times New Roman" w:hAnsi="Verdana" w:cs="Arial"/>
                <w:bCs/>
              </w:rPr>
            </w:pPr>
            <w:r w:rsidRPr="00520864">
              <w:rPr>
                <w:rFonts w:ascii="Verdana" w:eastAsia="Times New Roman" w:hAnsi="Verdana" w:cs="Arial"/>
                <w:bCs/>
              </w:rPr>
              <w:t xml:space="preserve">No obstante, es indispensable que dichas actuaciones mantengan su carácter genuino de actos administrativos y no se utilicen como mecanismos indirectos para eludir la prohibición de celebrar contratación directa o convenios interadministrativos durante la vigencia de la Ley de Garantías. Mientras se preserve su naturaleza unilateral, su expedición no se afectará por las restricciones de los artículos 33 y 38 de la Ley 996 de 2005. </w:t>
            </w:r>
          </w:p>
          <w:p w14:paraId="02C87CB3" w14:textId="77777777" w:rsidR="000231D2" w:rsidRPr="00520864" w:rsidRDefault="000231D2" w:rsidP="00FB2425">
            <w:pPr>
              <w:spacing w:after="120" w:line="276" w:lineRule="auto"/>
              <w:ind w:firstLine="708"/>
              <w:jc w:val="both"/>
              <w:rPr>
                <w:rFonts w:ascii="Verdana" w:eastAsia="Times New Roman" w:hAnsi="Verdana" w:cs="Arial"/>
                <w:bCs/>
              </w:rPr>
            </w:pPr>
            <w:r>
              <w:rPr>
                <w:rFonts w:ascii="Verdana" w:eastAsia="Times New Roman" w:hAnsi="Verdana" w:cs="Arial"/>
                <w:lang w:val="es-ES"/>
              </w:rPr>
              <w:t>De otro lado, re</w:t>
            </w:r>
            <w:r w:rsidRPr="00520864">
              <w:rPr>
                <w:rFonts w:ascii="Verdana" w:eastAsia="Times New Roman" w:hAnsi="Verdana" w:cs="Arial"/>
                <w:lang w:val="es-ES"/>
              </w:rPr>
              <w:t xml:space="preserve">specto del alcance del parágrafo </w:t>
            </w:r>
            <w:r w:rsidRPr="00520864">
              <w:rPr>
                <w:rFonts w:ascii="Verdana" w:eastAsia="Times New Roman" w:hAnsi="Verdana" w:cs="Arial"/>
              </w:rPr>
              <w:t xml:space="preserve">del artículo 38 de la Ley 996 de 2005, </w:t>
            </w:r>
            <w:r>
              <w:rPr>
                <w:rFonts w:ascii="Verdana" w:eastAsia="Times New Roman" w:hAnsi="Verdana" w:cs="Arial"/>
              </w:rPr>
              <w:t xml:space="preserve">se precisa que </w:t>
            </w:r>
            <w:r w:rsidRPr="00520864">
              <w:rPr>
                <w:rFonts w:ascii="Verdana" w:eastAsia="Times New Roman" w:hAnsi="Verdana" w:cs="Arial"/>
              </w:rPr>
              <w:t xml:space="preserve">esta prohibición dispone que: “[l]os Gobernadores, Alcaldes Municipales y/o Distritales, Secretarios, Gerentes y </w:t>
            </w:r>
            <w:r w:rsidRPr="00520864">
              <w:rPr>
                <w:rFonts w:ascii="Verdana" w:eastAsia="Times New Roman" w:hAnsi="Verdana" w:cs="Arial"/>
              </w:rPr>
              <w:lastRenderedPageBreak/>
              <w:t xml:space="preserve">directores de Entidades Descentralizadas del orden Municipal, Departamental o Distrital, dentro de los cuatro (4) meses anteriores a las elecciones, no podrán celebrar </w:t>
            </w:r>
            <w:r w:rsidRPr="00520864">
              <w:rPr>
                <w:rFonts w:ascii="Verdana" w:eastAsia="Times New Roman" w:hAnsi="Verdana" w:cs="Arial"/>
                <w:i/>
                <w:iCs/>
              </w:rPr>
              <w:t>convenios interadministrativos</w:t>
            </w:r>
            <w:r w:rsidRPr="00520864">
              <w:rPr>
                <w:rFonts w:ascii="Verdana" w:eastAsia="Times New Roman" w:hAnsi="Verdana" w:cs="Arial"/>
              </w:rPr>
              <w:t xml:space="preserve"> </w:t>
            </w:r>
            <w:r w:rsidRPr="00520864">
              <w:rPr>
                <w:rFonts w:ascii="Verdana" w:eastAsia="Times New Roman" w:hAnsi="Verdana" w:cs="Arial"/>
                <w:i/>
                <w:iCs/>
              </w:rPr>
              <w:t>para la ejecución de recursos públicos</w:t>
            </w:r>
            <w:r w:rsidRPr="00520864">
              <w:rPr>
                <w:rFonts w:ascii="Verdana" w:eastAsia="Times New Roman" w:hAnsi="Verdana" w:cs="Arial"/>
              </w:rPr>
              <w:t>”.</w:t>
            </w:r>
            <w:r w:rsidRPr="00520864">
              <w:rPr>
                <w:rFonts w:ascii="Verdana" w:eastAsia="Times New Roman" w:hAnsi="Verdana" w:cs="Arial"/>
                <w:lang w:val="es-MX"/>
              </w:rPr>
              <w:t xml:space="preserve"> [Énfasis fuera del texto original]</w:t>
            </w:r>
          </w:p>
          <w:p w14:paraId="606497E5" w14:textId="77777777" w:rsidR="000231D2" w:rsidRDefault="000231D2" w:rsidP="00FB2425">
            <w:pPr>
              <w:spacing w:after="120" w:line="276" w:lineRule="auto"/>
              <w:ind w:firstLine="708"/>
              <w:jc w:val="both"/>
              <w:rPr>
                <w:rFonts w:ascii="Verdana" w:eastAsia="Times New Roman" w:hAnsi="Verdana" w:cs="Arial"/>
                <w:lang w:val="es-MX" w:eastAsia="es-CO"/>
              </w:rPr>
            </w:pPr>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E24273B" w14:textId="77777777" w:rsidR="000231D2" w:rsidRPr="00130ECE" w:rsidRDefault="000231D2" w:rsidP="00FB2425">
            <w:pPr>
              <w:spacing w:after="120" w:line="276" w:lineRule="auto"/>
              <w:ind w:firstLine="708"/>
              <w:jc w:val="both"/>
              <w:rPr>
                <w:rFonts w:ascii="Verdana" w:eastAsia="Times New Roman" w:hAnsi="Verdana" w:cs="Arial"/>
              </w:rPr>
            </w:pPr>
            <w:r>
              <w:rPr>
                <w:rFonts w:ascii="Verdana" w:eastAsia="Times New Roman" w:hAnsi="Verdana" w:cs="Arial"/>
                <w:lang w:eastAsia="es-CO"/>
              </w:rPr>
              <w:t xml:space="preserve">Vale aclarar que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p>
        </w:tc>
      </w:tr>
    </w:tbl>
    <w:p w14:paraId="07D4E705" w14:textId="77777777" w:rsidR="000231D2" w:rsidRPr="00FC6F34" w:rsidRDefault="000231D2" w:rsidP="000231D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DAF6005" w14:textId="77777777" w:rsidR="000231D2" w:rsidRPr="00FC6F34" w:rsidRDefault="000231D2" w:rsidP="000231D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1C0351F2" w14:textId="77777777" w:rsidR="000231D2" w:rsidRPr="00FC6F34" w:rsidRDefault="000231D2" w:rsidP="000231D2">
      <w:pPr>
        <w:spacing w:after="0" w:line="276" w:lineRule="auto"/>
        <w:jc w:val="both"/>
        <w:rPr>
          <w:rFonts w:ascii="Verdana" w:eastAsia="Calibri" w:hAnsi="Verdana" w:cs="Arial"/>
          <w:color w:val="000000" w:themeColor="text1"/>
          <w:lang w:val="es-ES"/>
        </w:rPr>
      </w:pPr>
    </w:p>
    <w:p w14:paraId="466B783F" w14:textId="77777777" w:rsidR="000231D2" w:rsidRPr="00FC6F34" w:rsidRDefault="000231D2" w:rsidP="000231D2">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Pr>
          <w:rFonts w:ascii="Verdana" w:eastAsia="Calibri" w:hAnsi="Verdana" w:cs="Arial"/>
          <w:color w:val="000000" w:themeColor="text1"/>
          <w:lang w:val="es-ES"/>
        </w:rPr>
        <w:t>.</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23F0DFBB" w14:textId="77777777" w:rsidR="000231D2" w:rsidRPr="00FC6F34" w:rsidRDefault="000231D2" w:rsidP="000231D2">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6AC3D06A" w14:textId="77777777" w:rsidR="000231D2" w:rsidRPr="00FC6F34" w:rsidRDefault="000231D2" w:rsidP="000231D2">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51F5749" w14:textId="77777777" w:rsidR="000231D2" w:rsidRPr="00FC6F34" w:rsidRDefault="000231D2" w:rsidP="000231D2">
      <w:pPr>
        <w:spacing w:after="0" w:line="276" w:lineRule="auto"/>
        <w:ind w:right="709"/>
        <w:jc w:val="both"/>
        <w:rPr>
          <w:rFonts w:ascii="Verdana" w:eastAsia="Times New Roman" w:hAnsi="Verdana" w:cs="Arial"/>
          <w:lang w:val="es-ES" w:eastAsia="es-CO"/>
        </w:rPr>
      </w:pPr>
    </w:p>
    <w:p w14:paraId="4E64711F" w14:textId="77777777" w:rsidR="000231D2" w:rsidRPr="00FC6F34" w:rsidRDefault="000231D2" w:rsidP="000231D2">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E5497C9" w14:textId="77777777" w:rsidR="000231D2" w:rsidRPr="00FC6F34" w:rsidRDefault="000231D2" w:rsidP="000231D2">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0E4FFEF2" w14:textId="77777777" w:rsidR="000231D2" w:rsidRPr="00FC6F34" w:rsidRDefault="000231D2" w:rsidP="000231D2">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2DF44662" w14:textId="77777777" w:rsidR="000231D2" w:rsidRPr="00FC6F34" w:rsidRDefault="000231D2" w:rsidP="000231D2">
      <w:pPr>
        <w:spacing w:after="0" w:line="276" w:lineRule="auto"/>
        <w:ind w:firstLine="709"/>
        <w:jc w:val="both"/>
        <w:rPr>
          <w:rFonts w:ascii="Verdana" w:eastAsia="Times New Roman" w:hAnsi="Verdana" w:cs="Arial"/>
          <w:lang w:val="es-ES" w:eastAsia="es-CO"/>
        </w:rPr>
      </w:pPr>
    </w:p>
    <w:p w14:paraId="0F3CE77C" w14:textId="77777777" w:rsidR="000231D2" w:rsidRPr="00FC6F34" w:rsidRDefault="000231D2" w:rsidP="000231D2">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2E893745" w14:textId="77777777" w:rsidR="000231D2" w:rsidRPr="00FC6F34" w:rsidRDefault="000231D2" w:rsidP="000231D2">
      <w:pPr>
        <w:spacing w:after="0" w:line="276" w:lineRule="auto"/>
        <w:ind w:firstLine="709"/>
        <w:jc w:val="both"/>
        <w:rPr>
          <w:rFonts w:ascii="Verdana" w:eastAsia="Times New Roman" w:hAnsi="Verdana" w:cs="Arial"/>
          <w:lang w:val="es-ES" w:eastAsia="es-CO"/>
        </w:rPr>
      </w:pPr>
    </w:p>
    <w:p w14:paraId="611A26E2" w14:textId="77777777" w:rsidR="000231D2" w:rsidRPr="00FC6F34" w:rsidRDefault="000231D2" w:rsidP="000231D2">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3529D9E" w14:textId="77777777" w:rsidR="000231D2" w:rsidRPr="00FC6F34" w:rsidRDefault="000231D2" w:rsidP="000231D2">
      <w:pPr>
        <w:spacing w:after="0" w:line="240" w:lineRule="auto"/>
        <w:ind w:right="709"/>
        <w:jc w:val="both"/>
        <w:rPr>
          <w:rFonts w:ascii="Verdana" w:eastAsia="Times New Roman" w:hAnsi="Verdana" w:cs="Arial"/>
          <w:lang w:val="es-ES" w:eastAsia="es-CO"/>
        </w:rPr>
      </w:pPr>
    </w:p>
    <w:p w14:paraId="5375975B" w14:textId="77777777" w:rsidR="000231D2" w:rsidRPr="00FC6F34" w:rsidRDefault="000231D2" w:rsidP="000231D2">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613C598B" w14:textId="77777777" w:rsidR="000231D2" w:rsidRPr="00FC6F34" w:rsidRDefault="000231D2" w:rsidP="000231D2">
      <w:pPr>
        <w:spacing w:after="0" w:line="276" w:lineRule="auto"/>
        <w:jc w:val="both"/>
        <w:rPr>
          <w:rFonts w:ascii="Verdana" w:eastAsia="Calibri" w:hAnsi="Verdana" w:cs="Arial"/>
          <w:bCs/>
          <w:lang w:val="es-ES"/>
        </w:rPr>
      </w:pPr>
    </w:p>
    <w:p w14:paraId="63442161" w14:textId="77777777" w:rsidR="000231D2" w:rsidRDefault="000231D2" w:rsidP="000231D2">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7C1780E" w14:textId="77777777" w:rsidR="000231D2" w:rsidRPr="00FC6F34" w:rsidRDefault="000231D2" w:rsidP="000231D2">
      <w:pPr>
        <w:spacing w:after="120" w:line="276" w:lineRule="auto"/>
        <w:jc w:val="both"/>
        <w:rPr>
          <w:rFonts w:ascii="Verdana" w:eastAsia="Arial" w:hAnsi="Verdana" w:cs="Arial"/>
          <w:lang w:val="es-ES" w:eastAsia="es-ES" w:bidi="es-ES"/>
        </w:rPr>
      </w:pPr>
      <w:r w:rsidRPr="00FC6F34">
        <w:rPr>
          <w:rFonts w:ascii="Verdana" w:eastAsia="Arial" w:hAnsi="Verdana" w:cs="Arial"/>
          <w:lang w:val="es-ES" w:eastAsia="es-ES" w:bidi="es-ES"/>
        </w:rPr>
        <w:t>ii</w:t>
      </w:r>
      <w:r>
        <w:rPr>
          <w:rFonts w:ascii="Verdana" w:eastAsia="Arial" w:hAnsi="Verdana" w:cs="Arial"/>
          <w:lang w:val="es-ES" w:eastAsia="es-ES" w:bidi="es-ES"/>
        </w:rPr>
        <w:t>.</w:t>
      </w:r>
      <w:r w:rsidRPr="00FC6F34">
        <w:rPr>
          <w:rFonts w:ascii="Verdana" w:eastAsia="Arial" w:hAnsi="Verdana" w:cs="Arial"/>
          <w:lang w:val="es-ES" w:eastAsia="es-ES" w:bidi="es-ES"/>
        </w:rPr>
        <w:t xml:space="preserve">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6427878D" w14:textId="77777777" w:rsidR="000231D2" w:rsidRPr="00FC6F34" w:rsidRDefault="000231D2" w:rsidP="000231D2">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lastRenderedPageBreak/>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B881D96" w14:textId="77777777" w:rsidR="000231D2" w:rsidRPr="00FC6F34" w:rsidRDefault="000231D2" w:rsidP="000231D2">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0FE3FCE1" w14:textId="77777777" w:rsidR="000231D2" w:rsidRPr="00FC6F34" w:rsidRDefault="000231D2" w:rsidP="000231D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3869011B" w14:textId="77777777" w:rsidR="000231D2" w:rsidRPr="00FC6F34" w:rsidRDefault="000231D2" w:rsidP="000231D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F5C3995" w14:textId="77777777" w:rsidR="000231D2" w:rsidRPr="00FC6F34" w:rsidRDefault="000231D2" w:rsidP="000231D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w:t>
      </w:r>
      <w:r w:rsidRPr="00FC6F34">
        <w:rPr>
          <w:rFonts w:ascii="Verdana" w:eastAsia="Arial" w:hAnsi="Verdana" w:cs="Arial"/>
          <w:sz w:val="20"/>
          <w:szCs w:val="20"/>
          <w:lang w:val="es-ES" w:eastAsia="es-ES" w:bidi="es-ES"/>
        </w:rPr>
        <w:lastRenderedPageBreak/>
        <w:t>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0019DBA1" w14:textId="77777777" w:rsidR="000231D2" w:rsidRPr="00FC6F34" w:rsidRDefault="000231D2" w:rsidP="000231D2">
      <w:pPr>
        <w:widowControl w:val="0"/>
        <w:autoSpaceDE w:val="0"/>
        <w:autoSpaceDN w:val="0"/>
        <w:spacing w:after="0" w:line="276" w:lineRule="auto"/>
        <w:contextualSpacing/>
        <w:rPr>
          <w:rFonts w:ascii="Verdana" w:eastAsia="Arial" w:hAnsi="Verdana" w:cs="Arial"/>
          <w:lang w:val="es-ES" w:eastAsia="es-ES" w:bidi="es-ES"/>
        </w:rPr>
      </w:pPr>
    </w:p>
    <w:p w14:paraId="7B0B6270" w14:textId="77777777" w:rsidR="000231D2" w:rsidRPr="00FC6F34" w:rsidRDefault="000231D2" w:rsidP="000231D2">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ECC504E" w14:textId="77777777" w:rsidR="000231D2" w:rsidRPr="00FC6F34" w:rsidRDefault="000231D2" w:rsidP="000231D2">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7F31C448" w14:textId="77777777" w:rsidR="000231D2" w:rsidRDefault="000231D2" w:rsidP="000231D2">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343F96A" w14:textId="77777777" w:rsidR="000231D2" w:rsidRPr="00FC6F34" w:rsidRDefault="000231D2" w:rsidP="000231D2">
      <w:pPr>
        <w:spacing w:after="120" w:line="276" w:lineRule="auto"/>
        <w:jc w:val="both"/>
        <w:rPr>
          <w:rFonts w:ascii="Verdana" w:eastAsia="Times New Roman" w:hAnsi="Verdana" w:cs="Arial"/>
          <w:lang w:val="es-ES"/>
        </w:rPr>
      </w:pPr>
      <w:r w:rsidRPr="00FC6F34">
        <w:rPr>
          <w:rFonts w:ascii="Verdana" w:eastAsia="Calibri" w:hAnsi="Verdana" w:cs="Arial"/>
          <w:lang w:val="es-ES"/>
        </w:rPr>
        <w:t>iii</w:t>
      </w:r>
      <w:r>
        <w:rPr>
          <w:rFonts w:ascii="Verdana" w:eastAsia="Calibri" w:hAnsi="Verdana" w:cs="Arial"/>
          <w:lang w:val="es-ES"/>
        </w:rPr>
        <w:t>.</w:t>
      </w:r>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w:t>
      </w:r>
      <w:r w:rsidRPr="00FC6F34">
        <w:rPr>
          <w:rFonts w:ascii="Verdana" w:eastAsia="Times New Roman" w:hAnsi="Verdana" w:cs="Arial"/>
          <w:bCs/>
          <w:lang w:val="es-ES" w:eastAsia="es-CO"/>
        </w:rPr>
        <w:t xml:space="preserve">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51C429B4" w14:textId="77777777" w:rsidR="000231D2" w:rsidRPr="00FC6F34" w:rsidRDefault="000231D2" w:rsidP="000231D2">
      <w:pPr>
        <w:spacing w:after="0" w:line="276" w:lineRule="auto"/>
        <w:ind w:firstLine="708"/>
        <w:jc w:val="both"/>
        <w:rPr>
          <w:rFonts w:ascii="Verdana" w:eastAsia="Times New Roman" w:hAnsi="Verdana" w:cs="Arial"/>
          <w:lang w:val="es-ES"/>
        </w:rPr>
      </w:pPr>
    </w:p>
    <w:p w14:paraId="6D80C231" w14:textId="77777777" w:rsidR="000231D2" w:rsidRDefault="000231D2" w:rsidP="000231D2">
      <w:pPr>
        <w:spacing w:after="0" w:line="240" w:lineRule="auto"/>
        <w:ind w:left="709" w:right="709"/>
        <w:jc w:val="both"/>
        <w:rPr>
          <w:rFonts w:ascii="Verdana" w:eastAsia="Times New Roman" w:hAnsi="Verdana" w:cs="Arial"/>
          <w:bCs/>
          <w:sz w:val="20"/>
          <w:szCs w:val="20"/>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1"/>
      </w:r>
      <w:r w:rsidRPr="00FC6F34">
        <w:rPr>
          <w:rFonts w:ascii="Verdana" w:eastAsia="Times New Roman" w:hAnsi="Verdana" w:cs="Arial"/>
          <w:bCs/>
          <w:sz w:val="20"/>
          <w:szCs w:val="20"/>
          <w:lang w:val="es-ES" w:eastAsia="es-CO"/>
        </w:rPr>
        <w:t>.</w:t>
      </w:r>
    </w:p>
    <w:p w14:paraId="7FA6CFE7" w14:textId="77777777" w:rsidR="000231D2" w:rsidRPr="00FC6F34" w:rsidRDefault="000231D2" w:rsidP="000231D2">
      <w:pPr>
        <w:spacing w:after="0" w:line="240" w:lineRule="auto"/>
        <w:ind w:left="709" w:right="709"/>
        <w:jc w:val="both"/>
        <w:rPr>
          <w:rFonts w:ascii="Verdana" w:eastAsia="Times New Roman" w:hAnsi="Verdana" w:cs="Arial"/>
          <w:bCs/>
          <w:lang w:val="es-ES" w:eastAsia="es-CO"/>
        </w:rPr>
      </w:pPr>
    </w:p>
    <w:p w14:paraId="3D82C5BB" w14:textId="77777777" w:rsidR="000231D2" w:rsidRPr="00FC6F34" w:rsidRDefault="000231D2" w:rsidP="000231D2">
      <w:pPr>
        <w:spacing w:after="12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jurídico, forma de organización o naturaleza, su pertenencia a una u otra rama </w:t>
      </w:r>
      <w:r w:rsidRPr="00FC6F34">
        <w:rPr>
          <w:rFonts w:ascii="Verdana" w:hAnsi="Verdana" w:cs="Arial"/>
          <w:bCs/>
          <w:lang w:val="es-ES" w:eastAsia="x-none"/>
        </w:rPr>
        <w:lastRenderedPageBreak/>
        <w:t>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2"/>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r>
        <w:rPr>
          <w:rFonts w:ascii="Verdana" w:hAnsi="Verdana"/>
        </w:rPr>
        <w:t>Por lo que, esta restricción a la contratación directa es aplicable a los fondos mixtos de promoción de la cultura y las artes en tanto son una entidad pública, independientemente de su régimen de contratación.</w:t>
      </w:r>
    </w:p>
    <w:p w14:paraId="5CE877AA" w14:textId="77777777" w:rsidR="000231D2" w:rsidRPr="00FC6F34" w:rsidRDefault="000231D2" w:rsidP="000231D2">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5D43A1B4" w14:textId="77777777" w:rsidR="000231D2" w:rsidRDefault="000231D2" w:rsidP="000231D2">
      <w:pPr>
        <w:spacing w:after="120" w:line="276" w:lineRule="auto"/>
        <w:ind w:firstLine="708"/>
        <w:jc w:val="both"/>
        <w:rPr>
          <w:rFonts w:ascii="Verdana" w:hAnsi="Verdana" w:cs="Arial"/>
          <w:bCs/>
          <w:lang w:val="es-MX" w:eastAsia="es-CO"/>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 xml:space="preserve">el segundo inciso de la misma disposición consagró las excepciones aplicables a la prohibición de contratación directa establecida en el mismo artículo.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r w:rsidRPr="00380E25">
        <w:rPr>
          <w:rFonts w:ascii="Verdana" w:hAnsi="Verdana" w:cs="Arial"/>
          <w:bCs/>
          <w:lang w:val="es-MX" w:eastAsia="x-none"/>
        </w:rPr>
        <w:t xml:space="preserve"> </w:t>
      </w:r>
      <w:r>
        <w:rPr>
          <w:rFonts w:ascii="Verdana"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w:t>
      </w:r>
      <w:r>
        <w:rPr>
          <w:rFonts w:ascii="Verdana" w:hAnsi="Verdana" w:cs="Arial"/>
          <w:bCs/>
          <w:lang w:val="es-MX" w:eastAsia="es-CO"/>
        </w:rPr>
        <w:lastRenderedPageBreak/>
        <w:t>excepciones, de manera que se le permita realizar la contratación que necesite en forma directa.</w:t>
      </w:r>
    </w:p>
    <w:p w14:paraId="069F5448" w14:textId="77777777" w:rsidR="000231D2" w:rsidRDefault="000231D2" w:rsidP="000231D2">
      <w:pPr>
        <w:spacing w:after="120" w:line="276" w:lineRule="auto"/>
        <w:ind w:firstLine="708"/>
        <w:jc w:val="both"/>
        <w:rPr>
          <w:rFonts w:ascii="Verdana" w:hAnsi="Verdana" w:cs="Arial"/>
          <w:bCs/>
          <w:lang w:val="es-MX" w:eastAsia="x-none"/>
        </w:rPr>
      </w:pPr>
      <w:r>
        <w:rPr>
          <w:rFonts w:ascii="Verdana" w:hAnsi="Verdana" w:cs="Arial"/>
          <w:bCs/>
          <w:lang w:val="es-MX" w:eastAsia="x-none"/>
        </w:rPr>
        <w:t xml:space="preserve">En esta labor es importante tener en cuenta, como lo anotó la Corte Constitucional, en Sentencia C-1153 de noviembre 11 de 2005 </w:t>
      </w:r>
      <w:bookmarkStart w:id="3" w:name="_Hlk74309042"/>
      <w:r>
        <w:rPr>
          <w:rFonts w:ascii="Verdana" w:hAnsi="Verdana" w:cs="Arial"/>
          <w:bCs/>
          <w:lang w:val="es-MX" w:eastAsia="x-none"/>
        </w:rPr>
        <w:t>que “</w:t>
      </w:r>
      <w:bookmarkEnd w:id="3"/>
      <w:r>
        <w:rPr>
          <w:rFonts w:ascii="Verdana" w:hAnsi="Verdana" w:cs="Arial"/>
          <w:bCs/>
          <w:lang w:val="es-MX" w:eastAsia="x-none"/>
        </w:rPr>
        <w:t xml:space="preserve">si bien la limitación garantiza la igualdad de condiciones, también es necesario que tal limitación que pretende la igualdad </w:t>
      </w:r>
      <w:bookmarkStart w:id="4" w:name="_Hlk75768308"/>
      <w:r>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3"/>
      </w:r>
      <w:r>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4"/>
    </w:p>
    <w:p w14:paraId="2970F220" w14:textId="77777777" w:rsidR="000231D2" w:rsidRDefault="000231D2" w:rsidP="000231D2">
      <w:pPr>
        <w:spacing w:after="120" w:line="276" w:lineRule="auto"/>
        <w:jc w:val="both"/>
        <w:rPr>
          <w:rFonts w:ascii="Verdana" w:eastAsia="Times New Roman" w:hAnsi="Verdana" w:cs="Arial"/>
          <w:lang w:val="es-ES"/>
        </w:rPr>
      </w:pPr>
      <w:r>
        <w:rPr>
          <w:rFonts w:ascii="Verdana" w:eastAsia="Times New Roman" w:hAnsi="Verdana" w:cs="Arial"/>
          <w:lang w:val="es-ES"/>
        </w:rPr>
        <w:t>iv. En relación con e</w:t>
      </w:r>
      <w:r w:rsidRPr="00FC6F34">
        <w:rPr>
          <w:rFonts w:ascii="Verdana" w:eastAsia="Times New Roman" w:hAnsi="Verdana" w:cs="Arial"/>
          <w:lang w:val="es-ES"/>
        </w:rPr>
        <w:t xml:space="preserv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w:t>
      </w:r>
      <w:r>
        <w:rPr>
          <w:rFonts w:ascii="Verdana" w:eastAsia="Times New Roman" w:hAnsi="Verdana" w:cs="Arial"/>
          <w:lang w:val="es-ES"/>
        </w:rPr>
        <w:t xml:space="preserve"> se precisa que</w:t>
      </w:r>
      <w:r w:rsidRPr="00FC6F34">
        <w:rPr>
          <w:rFonts w:ascii="Verdana" w:eastAsia="Times New Roman" w:hAnsi="Verdana" w:cs="Arial"/>
          <w:lang w:val="es-ES"/>
        </w:rPr>
        <w:t xml:space="preserve">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6D05704B" w14:textId="77777777" w:rsidR="000231D2" w:rsidRPr="00ED66F4" w:rsidRDefault="000231D2" w:rsidP="000231D2">
      <w:pPr>
        <w:spacing w:after="0" w:line="276" w:lineRule="auto"/>
        <w:jc w:val="both"/>
        <w:rPr>
          <w:rFonts w:ascii="Verdana" w:eastAsia="Arial" w:hAnsi="Verdana" w:cs="Arial"/>
          <w:lang w:val="es-ES" w:eastAsia="es-ES" w:bidi="es-ES"/>
        </w:rPr>
      </w:pPr>
    </w:p>
    <w:p w14:paraId="04B1CFB5" w14:textId="77777777" w:rsidR="000231D2" w:rsidRPr="00FC6F34" w:rsidRDefault="000231D2" w:rsidP="000231D2">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4"/>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5"/>
      </w:r>
      <w:r w:rsidRPr="00FC6F34">
        <w:rPr>
          <w:rFonts w:ascii="Verdana" w:eastAsia="Calibri" w:hAnsi="Verdana" w:cs="Arial"/>
          <w:sz w:val="20"/>
          <w:szCs w:val="20"/>
          <w:lang w:val="es-ES"/>
        </w:rPr>
        <w:t xml:space="preserve"> .</w:t>
      </w:r>
    </w:p>
    <w:p w14:paraId="3479F9F1" w14:textId="77777777" w:rsidR="000231D2" w:rsidRPr="00FC6F34" w:rsidRDefault="000231D2" w:rsidP="000231D2">
      <w:pPr>
        <w:shd w:val="clear" w:color="auto" w:fill="FFFFFF" w:themeFill="background1"/>
        <w:spacing w:after="0" w:line="276" w:lineRule="auto"/>
        <w:ind w:firstLine="709"/>
        <w:jc w:val="both"/>
        <w:rPr>
          <w:rFonts w:ascii="Verdana" w:eastAsia="Times New Roman" w:hAnsi="Verdana" w:cs="Arial"/>
          <w:lang w:val="es-ES" w:eastAsia="x-none"/>
        </w:rPr>
      </w:pPr>
    </w:p>
    <w:p w14:paraId="46766C51" w14:textId="77777777" w:rsidR="000231D2" w:rsidRPr="00FC6F34" w:rsidRDefault="000231D2" w:rsidP="000231D2">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w:t>
      </w:r>
      <w:r w:rsidRPr="00FC6F34">
        <w:rPr>
          <w:rFonts w:ascii="Verdana" w:eastAsia="Times New Roman" w:hAnsi="Verdana" w:cs="Arial"/>
          <w:lang w:val="es-ES" w:eastAsia="x-none"/>
        </w:rPr>
        <w:lastRenderedPageBreak/>
        <w:t xml:space="preserve">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6"/>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7"/>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48262A21" w14:textId="77777777" w:rsidR="000231D2" w:rsidRPr="00FC6F34" w:rsidRDefault="000231D2" w:rsidP="000231D2">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8"/>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B2B117F" w14:textId="77777777" w:rsidR="000231D2" w:rsidRDefault="000231D2" w:rsidP="000231D2">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E4B295A" w14:textId="77777777" w:rsidR="000231D2" w:rsidRDefault="000231D2" w:rsidP="000231D2">
      <w:pPr>
        <w:spacing w:after="120" w:line="276" w:lineRule="auto"/>
        <w:ind w:firstLine="708"/>
        <w:jc w:val="both"/>
        <w:rPr>
          <w:rFonts w:ascii="Verdana" w:eastAsia="Times New Roman" w:hAnsi="Verdana" w:cs="Arial"/>
        </w:rPr>
      </w:pPr>
      <w:r>
        <w:rPr>
          <w:rFonts w:ascii="Verdana" w:eastAsia="Times New Roman" w:hAnsi="Verdana" w:cs="Arial"/>
          <w:lang w:val="es-ES"/>
        </w:rPr>
        <w:t xml:space="preserve">De conformidad con lo expuesto, se evidencia que </w:t>
      </w:r>
      <w:r w:rsidRPr="00493D36">
        <w:rPr>
          <w:rFonts w:ascii="Verdana" w:eastAsia="Times New Roman" w:hAnsi="Verdana" w:cs="Arial"/>
        </w:rPr>
        <w:t>la restricción aplica para celebrar cualquier contrato de forma directa, sin que exista un proceso abierto y competitivo.</w:t>
      </w:r>
      <w:r>
        <w:rPr>
          <w:rFonts w:ascii="Verdana" w:eastAsia="Times New Roman" w:hAnsi="Verdana" w:cs="Arial"/>
        </w:rPr>
        <w:t xml:space="preserve"> Lo anterior adquiere especial relevancia de cara a la </w:t>
      </w:r>
      <w:r>
        <w:rPr>
          <w:rFonts w:ascii="Verdana" w:eastAsia="Times New Roman" w:hAnsi="Verdana" w:cs="Arial"/>
        </w:rPr>
        <w:lastRenderedPageBreak/>
        <w:t>consulta planteada, toda vez que si la contratación que pretende realizar el Fondo Mixto se contempla realizar de manera directa, resulta aplicable la restricción del artículo 33.</w:t>
      </w:r>
    </w:p>
    <w:p w14:paraId="647E310B" w14:textId="77777777" w:rsidR="000231D2" w:rsidRDefault="000231D2" w:rsidP="000231D2">
      <w:pPr>
        <w:spacing w:before="120" w:line="276" w:lineRule="auto"/>
        <w:ind w:firstLine="709"/>
        <w:jc w:val="both"/>
        <w:rPr>
          <w:rFonts w:ascii="Verdana" w:hAnsi="Verdana" w:cs="Arial"/>
          <w:bCs/>
          <w:lang w:eastAsia="es-CO"/>
        </w:rPr>
      </w:pPr>
      <w:r>
        <w:rPr>
          <w:rFonts w:ascii="Verdana" w:eastAsia="Times New Roman" w:hAnsi="Verdana" w:cs="Arial"/>
          <w:lang w:val="es-ES"/>
        </w:rPr>
        <w:t xml:space="preserve">Ahora bien, respecto de la celebración de otros instrumentos jurídicos distintos de contratos directos que impliquen la expedición de actos administrativos,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19"/>
      </w:r>
      <w:r>
        <w:rPr>
          <w:rFonts w:ascii="Verdana" w:hAnsi="Verdana" w:cs="Arial"/>
          <w:bCs/>
          <w:lang w:eastAsia="es-CO"/>
        </w:rPr>
        <w:t xml:space="preserve">. En tal sentido, </w:t>
      </w:r>
      <w:r>
        <w:rPr>
          <w:rFonts w:ascii="Verdana" w:hAnsi="Verdana" w:cs="Arial"/>
          <w:bCs/>
          <w:lang w:val="es-ES_tradnl" w:eastAsia="es-CO"/>
        </w:rPr>
        <w:t xml:space="preserve">si el artículo 33 ibidem prohibió la celebración directa de contratos,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expedición de actos administrativos, porque se estaría incluyendo una circunstancia que el supuesto de hecho de la restricción no contempla. </w:t>
      </w:r>
    </w:p>
    <w:p w14:paraId="582C5A8C" w14:textId="77777777" w:rsidR="000231D2" w:rsidRPr="0044037C" w:rsidRDefault="000231D2" w:rsidP="000231D2">
      <w:pPr>
        <w:spacing w:before="120" w:line="276" w:lineRule="auto"/>
        <w:ind w:firstLine="709"/>
        <w:jc w:val="both"/>
        <w:rPr>
          <w:rFonts w:ascii="Verdana" w:hAnsi="Verdana" w:cs="Arial"/>
          <w:bCs/>
          <w:lang w:eastAsia="es-CO"/>
        </w:rPr>
      </w:pPr>
      <w:r w:rsidRPr="00724D86">
        <w:rPr>
          <w:rFonts w:ascii="Verdana" w:eastAsia="Times New Roman" w:hAnsi="Verdana" w:cs="Arial"/>
          <w:lang w:val="es-ES"/>
        </w:rPr>
        <w:t xml:space="preserve">En ese orden de ideas, corresponde a la entidad verificar de manera previa que el apoyo o estímulo cultural que se pretende otorgar se materialice sin que medie la celebración de un contrato estatal </w:t>
      </w:r>
      <w:r>
        <w:rPr>
          <w:rFonts w:ascii="Verdana" w:eastAsia="Times New Roman" w:hAnsi="Verdana" w:cs="Arial"/>
          <w:lang w:val="es-ES"/>
        </w:rPr>
        <w:t xml:space="preserve">de forma directa </w:t>
      </w:r>
      <w:r w:rsidRPr="00724D86">
        <w:rPr>
          <w:rFonts w:ascii="Verdana" w:eastAsia="Times New Roman" w:hAnsi="Verdana" w:cs="Arial"/>
          <w:lang w:val="es-ES"/>
        </w:rPr>
        <w:t>ni de un convenio</w:t>
      </w:r>
      <w:r>
        <w:rPr>
          <w:rFonts w:ascii="Verdana" w:eastAsia="Times New Roman" w:hAnsi="Verdana" w:cs="Arial"/>
          <w:lang w:val="es-ES"/>
        </w:rPr>
        <w:t xml:space="preserve"> interadministrativo</w:t>
      </w:r>
      <w:r w:rsidRPr="00724D86">
        <w:rPr>
          <w:rFonts w:ascii="Verdana" w:eastAsia="Times New Roman" w:hAnsi="Verdana" w:cs="Arial"/>
          <w:lang w:val="es-ES"/>
        </w:rPr>
        <w:t>, y que su otorgamiento se realice mediante la expedición de un acto administrativo.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generan obligaciones recíprocas ni una relación contractual entre la entidad y el beneficiario.</w:t>
      </w:r>
    </w:p>
    <w:p w14:paraId="389A87C0" w14:textId="77777777" w:rsidR="000231D2" w:rsidRPr="00C81BC5" w:rsidRDefault="000231D2" w:rsidP="000231D2">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No obstante, es indispensable que dichas actuaciones mantengan su carácter genuino de actos administrativos y no se utilicen como mecanismos </w:t>
      </w:r>
      <w:r>
        <w:rPr>
          <w:rFonts w:ascii="Verdana" w:eastAsia="Calibri" w:hAnsi="Verdana" w:cs="Arial"/>
          <w:bCs/>
          <w:color w:val="000000" w:themeColor="text1"/>
          <w:sz w:val="22"/>
          <w:szCs w:val="22"/>
        </w:rPr>
        <w:lastRenderedPageBreak/>
        <w:t xml:space="preserve">indirectos para eludir la prohibición de celebrar contratación directa o convenios interadministrativos durante la vigencia de la Ley de Garantías. Mientras se preserve su naturaleza unilateral, su expedición no se afectará por las restricciones de los artículos 33 y 38 de la Ley 996 de 2005. </w:t>
      </w:r>
    </w:p>
    <w:p w14:paraId="1B5690E4" w14:textId="77777777" w:rsidR="000231D2" w:rsidRDefault="000231D2" w:rsidP="000231D2">
      <w:pPr>
        <w:spacing w:after="120" w:line="276" w:lineRule="auto"/>
        <w:jc w:val="both"/>
        <w:rPr>
          <w:rFonts w:ascii="Verdana" w:hAnsi="Verdana" w:cs="Arial"/>
          <w:lang w:val="es-ES"/>
        </w:rPr>
      </w:pPr>
      <w:r>
        <w:rPr>
          <w:rFonts w:ascii="Verdana" w:hAnsi="Verdana" w:cs="Arial"/>
          <w:bCs/>
          <w:lang w:val="es-ES_tradnl" w:eastAsia="es-CO"/>
        </w:rPr>
        <w:t xml:space="preserve">v. </w:t>
      </w:r>
      <w:r>
        <w:rPr>
          <w:rFonts w:ascii="Verdana" w:hAnsi="Verdana" w:cs="Arial"/>
          <w:lang w:val="es-ES"/>
        </w:rPr>
        <w:t xml:space="preserve">Respecto del alcance del parágrafo </w:t>
      </w:r>
      <w:r>
        <w:rPr>
          <w:rFonts w:ascii="Verdana" w:hAnsi="Verdana" w:cs="Arial"/>
        </w:rPr>
        <w:t xml:space="preserve">del artículo 38 de la Ley 996 de 2005, se precisa que esta prohibición dispone que: “[l]os Gobernadores, Alcaldes Municipales y/o Distritales, Secretarios, Gerentes y directores de Entidades Descentralizadas del orden Municipal, Departamental o Distrital, dentro de los cuatro (4) meses anteriores a las elecciones, no podrán celebrar </w:t>
      </w:r>
      <w:r>
        <w:rPr>
          <w:rFonts w:ascii="Verdana" w:hAnsi="Verdana" w:cs="Arial"/>
          <w:i/>
          <w:iCs/>
        </w:rPr>
        <w:t>convenios interadministrativos</w:t>
      </w:r>
      <w:r>
        <w:rPr>
          <w:rFonts w:ascii="Verdana" w:hAnsi="Verdana" w:cs="Arial"/>
        </w:rPr>
        <w:t xml:space="preserve"> </w:t>
      </w:r>
      <w:r>
        <w:rPr>
          <w:rFonts w:ascii="Verdana" w:hAnsi="Verdana" w:cs="Arial"/>
          <w:i/>
          <w:iCs/>
        </w:rPr>
        <w:t>para la ejecución de recursos públicos</w:t>
      </w:r>
      <w:r>
        <w:rPr>
          <w:rFonts w:ascii="Verdana" w:hAnsi="Verdana" w:cs="Arial"/>
        </w:rPr>
        <w:t>”.</w:t>
      </w:r>
      <w:r>
        <w:rPr>
          <w:rFonts w:ascii="Verdana" w:eastAsia="Times New Roman" w:hAnsi="Verdana" w:cs="Arial"/>
          <w:lang w:val="es-MX" w:eastAsia="x-none"/>
        </w:rPr>
        <w:t xml:space="preserve"> [Énfasis fuera del texto original]</w:t>
      </w:r>
    </w:p>
    <w:p w14:paraId="630140E2" w14:textId="77777777" w:rsidR="000231D2" w:rsidRDefault="000231D2" w:rsidP="000231D2">
      <w:pPr>
        <w:spacing w:after="120" w:line="276" w:lineRule="auto"/>
        <w:ind w:firstLine="709"/>
        <w:jc w:val="both"/>
        <w:rPr>
          <w:rFonts w:ascii="Verdana" w:hAnsi="Verdana" w:cs="Arial"/>
          <w:lang w:eastAsia="es-ES"/>
        </w:rPr>
      </w:pPr>
      <w:r>
        <w:rPr>
          <w:rFonts w:ascii="Verdana" w:eastAsia="Times New Roman" w:hAnsi="Verdana" w:cs="Arial"/>
          <w:lang w:val="es-ES" w:eastAsia="es-ES"/>
        </w:rPr>
        <w:t xml:space="preserve">Para tales efectos, debe precisarse que </w:t>
      </w:r>
      <w:r>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vertAlign w:val="superscript"/>
          <w:lang w:eastAsia="es-ES"/>
        </w:rPr>
        <w:footnoteReference w:id="20"/>
      </w:r>
      <w:r>
        <w:rPr>
          <w:rFonts w:ascii="Verdana" w:hAnsi="Verdana" w:cs="Arial"/>
          <w:lang w:eastAsia="es-ES"/>
        </w:rPr>
        <w:t>.</w:t>
      </w:r>
    </w:p>
    <w:p w14:paraId="422317EF" w14:textId="77777777" w:rsidR="000231D2" w:rsidRDefault="000231D2" w:rsidP="000231D2">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75A1300" w14:textId="77777777" w:rsidR="000231D2" w:rsidRDefault="000231D2" w:rsidP="000231D2">
      <w:pPr>
        <w:spacing w:before="120" w:after="0" w:line="276" w:lineRule="auto"/>
        <w:ind w:firstLine="708"/>
        <w:jc w:val="both"/>
        <w:rPr>
          <w:rFonts w:ascii="Verdana" w:hAnsi="Verdana" w:cs="Arial"/>
          <w:lang w:val="es-ES_tradnl"/>
        </w:rPr>
      </w:pPr>
      <w:r>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Pr>
          <w:rFonts w:ascii="Verdana" w:hAnsi="Verdana" w:cs="Arial"/>
          <w:lang w:val="es-ES"/>
        </w:rPr>
        <w:lastRenderedPageBreak/>
        <w:t>oferentes</w:t>
      </w:r>
      <w:r>
        <w:rPr>
          <w:rFonts w:ascii="Verdana" w:hAnsi="Verdana" w:cs="Arial"/>
          <w:vertAlign w:val="superscript"/>
          <w:lang w:val="es-ES"/>
        </w:rPr>
        <w:footnoteReference w:id="21"/>
      </w:r>
      <w:r>
        <w:rPr>
          <w:rFonts w:ascii="Verdana" w:hAnsi="Verdana" w:cs="Arial"/>
          <w:lang w:val="es-ES"/>
        </w:rPr>
        <w:t>. Nótese que, en este caso, lo que cambia es la modalidad de selección y no la naturaleza de contrato interadministrativo.</w:t>
      </w:r>
    </w:p>
    <w:p w14:paraId="3597C569" w14:textId="77777777" w:rsidR="000231D2" w:rsidRDefault="000231D2" w:rsidP="000231D2">
      <w:pPr>
        <w:spacing w:before="120" w:after="0" w:line="276" w:lineRule="auto"/>
        <w:ind w:firstLine="708"/>
        <w:jc w:val="both"/>
        <w:rPr>
          <w:rFonts w:ascii="Verdana" w:hAnsi="Verdana" w:cs="Arial"/>
          <w:lang w:val="es-ES_tradnl"/>
        </w:rPr>
      </w:pPr>
      <w:r>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Pr>
          <w:rFonts w:ascii="Verdana" w:hAnsi="Verdana" w:cs="Arial"/>
          <w:vertAlign w:val="superscript"/>
          <w:lang w:val="es-ES"/>
        </w:rPr>
        <w:footnoteReference w:id="22"/>
      </w:r>
      <w:r>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A7D21E4" w14:textId="77777777" w:rsidR="000231D2" w:rsidRDefault="000231D2" w:rsidP="000231D2">
      <w:pPr>
        <w:spacing w:before="120" w:after="0" w:line="276" w:lineRule="auto"/>
        <w:ind w:firstLine="708"/>
        <w:jc w:val="both"/>
        <w:rPr>
          <w:rFonts w:ascii="Verdana" w:hAnsi="Verdana"/>
          <w:sz w:val="24"/>
          <w:szCs w:val="24"/>
          <w:lang w:eastAsia="es-CO"/>
        </w:rPr>
      </w:pPr>
      <w:r>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Pr>
          <w:rFonts w:ascii="Verdana" w:hAnsi="Verdana" w:cs="Arial"/>
          <w:vertAlign w:val="superscript"/>
          <w:lang w:val="es-ES"/>
        </w:rPr>
        <w:footnoteReference w:id="23"/>
      </w:r>
      <w:r>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Pr>
          <w:rFonts w:ascii="Verdana" w:hAnsi="Verdana"/>
          <w:sz w:val="24"/>
          <w:szCs w:val="24"/>
          <w:lang w:eastAsia="es-CO"/>
        </w:rPr>
        <w:t>.</w:t>
      </w:r>
    </w:p>
    <w:p w14:paraId="4D89EC03" w14:textId="77777777" w:rsidR="000231D2" w:rsidRDefault="000231D2" w:rsidP="000231D2">
      <w:pPr>
        <w:spacing w:before="120" w:after="0" w:line="276" w:lineRule="auto"/>
        <w:ind w:firstLine="708"/>
        <w:jc w:val="both"/>
        <w:rPr>
          <w:rFonts w:ascii="Verdana" w:eastAsia="Times New Roman" w:hAnsi="Verdana" w:cs="Arial"/>
          <w:lang w:val="es-MX" w:eastAsia="es-CO"/>
        </w:rPr>
      </w:pPr>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w:t>
      </w:r>
      <w:r>
        <w:rPr>
          <w:rFonts w:ascii="Verdana" w:eastAsia="Times New Roman" w:hAnsi="Verdana" w:cs="Arial"/>
          <w:lang w:val="es-MX" w:eastAsia="es-CO"/>
        </w:rPr>
        <w:lastRenderedPageBreak/>
        <w:t xml:space="preserve">durante la aplicación de la Ley de Garantías Electorales, toda vez que la citada disposición hace referencia a dicha tipología contractual sin que el legislador hubiere contemplado un efecto extensivo a otra tipología. </w:t>
      </w:r>
    </w:p>
    <w:p w14:paraId="3F30142B" w14:textId="77777777" w:rsidR="000231D2" w:rsidRDefault="000231D2" w:rsidP="000231D2">
      <w:pPr>
        <w:spacing w:before="120" w:after="0" w:line="276" w:lineRule="auto"/>
        <w:ind w:firstLine="708"/>
        <w:jc w:val="both"/>
        <w:rPr>
          <w:rFonts w:ascii="Verdana" w:eastAsia="Times New Roman" w:hAnsi="Verdana" w:cs="Arial"/>
          <w:lang w:eastAsia="es-CO"/>
        </w:rPr>
      </w:pPr>
      <w:r>
        <w:rPr>
          <w:rFonts w:ascii="Verdana" w:eastAsia="Times New Roman" w:hAnsi="Verdana" w:cs="Arial"/>
          <w:lang w:val="es-MX" w:eastAsia="es-CO"/>
        </w:rPr>
        <w:t>Respecto del alcance de esta prohibición la Circular Externa No. 006 de 2025 expedida por la ANCP -CCE, en los literales ii) y iv)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Pr>
          <w:rFonts w:ascii="Verdana" w:eastAsia="Times New Roman" w:hAnsi="Verdana" w:cs="Arial"/>
          <w:lang w:eastAsia="es-CO"/>
        </w:rPr>
        <w:t xml:space="preserve">parágrafo del artículo 38 de la Ley 996 de 2005 cobija expresamente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p>
    <w:p w14:paraId="328290BC" w14:textId="77777777" w:rsidR="000231D2" w:rsidRDefault="000231D2" w:rsidP="000231D2">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w:t>
      </w:r>
      <w:r>
        <w:rPr>
          <w:rFonts w:ascii="Verdana" w:eastAsia="Times New Roman" w:hAnsi="Verdana" w:cs="Arial"/>
          <w:i/>
          <w:iCs/>
          <w:lang w:eastAsia="es-CO"/>
        </w:rPr>
        <w:t>ejecución de recursos públicos</w:t>
      </w:r>
      <w:r>
        <w:rPr>
          <w:rFonts w:ascii="Verdana" w:eastAsia="Times New Roman" w:hAnsi="Verdana" w:cs="Arial"/>
          <w:lang w:eastAsia="es-CO"/>
        </w:rPr>
        <w:t xml:space="preserve">. Esto significa que la prohibición no resulta aplicable a </w:t>
      </w:r>
      <w:r>
        <w:rPr>
          <w:rFonts w:ascii="Verdana" w:eastAsia="Times New Roman" w:hAnsi="Verdana" w:cs="Arial"/>
          <w:i/>
          <w:iCs/>
          <w:lang w:eastAsia="es-CO"/>
        </w:rPr>
        <w:t>convenios interadministrativos a título gratuito,</w:t>
      </w:r>
      <w:r>
        <w:rPr>
          <w:rFonts w:ascii="Verdana" w:eastAsia="Times New Roman" w:hAnsi="Verdana" w:cs="Arial"/>
          <w:lang w:eastAsia="es-CO"/>
        </w:rPr>
        <w:t xml:space="preserve"> los cuales pueden celebrarse válidamente durante la vigencia de la mencionada restricción. </w:t>
      </w:r>
    </w:p>
    <w:p w14:paraId="55F75157" w14:textId="77777777" w:rsidR="000231D2" w:rsidRDefault="000231D2" w:rsidP="000231D2">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esta manera, conforme a lo dispuesto en la Circular referida, si se suscriben </w:t>
      </w:r>
      <w:r>
        <w:rPr>
          <w:rFonts w:ascii="Verdana" w:eastAsia="Times New Roman" w:hAnsi="Verdana" w:cs="Arial"/>
          <w:i/>
          <w:iCs/>
          <w:lang w:eastAsia="es-CO"/>
        </w:rPr>
        <w:t>convenios interadministrativos para la ejecución de recursos públicos</w:t>
      </w:r>
      <w:r>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Pr>
          <w:rFonts w:ascii="Verdana" w:eastAsia="Times New Roman" w:hAnsi="Verdana" w:cs="Arial"/>
          <w:i/>
          <w:iCs/>
          <w:lang w:eastAsia="es-CO"/>
        </w:rPr>
        <w:t>ibidem</w:t>
      </w:r>
      <w:r>
        <w:rPr>
          <w:rFonts w:ascii="Verdana" w:eastAsia="Times New Roman" w:hAnsi="Verdana" w:cs="Arial"/>
          <w:lang w:eastAsia="es-CO"/>
        </w:rPr>
        <w:t>, independientemente de que se configure alguno de los supuestos de excepción que señaló el inciso final del artículo 33, es decir, que se trate de:</w:t>
      </w:r>
      <w:r>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r>
        <w:rPr>
          <w:rFonts w:ascii="Verdana" w:eastAsia="Times New Roman" w:hAnsi="Verdana" w:cs="Arial"/>
          <w:lang w:eastAsia="es-CO"/>
        </w:rPr>
        <w:t xml:space="preserve">  </w:t>
      </w:r>
    </w:p>
    <w:p w14:paraId="0BF856AB" w14:textId="77777777" w:rsidR="000231D2" w:rsidRDefault="000231D2" w:rsidP="000231D2">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este punto, vale la pena destacar que </w:t>
      </w:r>
      <w:r>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Pr>
          <w:rFonts w:ascii="Verdana" w:hAnsi="Verdana" w:cs="Arial"/>
        </w:rPr>
        <w:t>numeral 16.2 de la Circular Externa Única de 2022 expedida por la Agencia Nacional de Contratación Pública -</w:t>
      </w:r>
      <w:r>
        <w:rPr>
          <w:rFonts w:ascii="Verdana" w:hAnsi="Verdana" w:cs="Arial"/>
        </w:rPr>
        <w:lastRenderedPageBreak/>
        <w:t>Colombia Compra Eficiente-, concretamente, respecto de los siguientes apartes normativos</w:t>
      </w:r>
      <w:r>
        <w:rPr>
          <w:rFonts w:ascii="Verdana" w:hAnsi="Verdana" w:cs="Arial"/>
          <w:vertAlign w:val="superscript"/>
        </w:rPr>
        <w:footnoteReference w:id="24"/>
      </w:r>
      <w:r>
        <w:rPr>
          <w:rFonts w:ascii="Verdana" w:hAnsi="Verdana" w:cs="Arial"/>
        </w:rPr>
        <w:t xml:space="preserve">: </w:t>
      </w:r>
    </w:p>
    <w:p w14:paraId="51218C5A" w14:textId="77777777" w:rsidR="000231D2" w:rsidRDefault="000231D2" w:rsidP="000231D2">
      <w:pPr>
        <w:spacing w:after="0" w:line="276" w:lineRule="auto"/>
        <w:ind w:firstLine="709"/>
        <w:jc w:val="both"/>
        <w:rPr>
          <w:rFonts w:ascii="Verdana" w:hAnsi="Verdana" w:cs="Arial"/>
        </w:rPr>
      </w:pPr>
    </w:p>
    <w:p w14:paraId="0F12354F" w14:textId="77777777" w:rsidR="000231D2" w:rsidRDefault="000231D2" w:rsidP="000231D2">
      <w:pPr>
        <w:spacing w:after="0" w:line="240" w:lineRule="auto"/>
        <w:ind w:left="709" w:right="709"/>
        <w:jc w:val="both"/>
        <w:rPr>
          <w:rFonts w:ascii="Verdana" w:hAnsi="Verdana" w:cs="Arial"/>
          <w:sz w:val="20"/>
          <w:szCs w:val="20"/>
        </w:rPr>
      </w:pPr>
      <w:r>
        <w:rPr>
          <w:rFonts w:ascii="Verdana" w:hAnsi="Verdana" w:cs="Arial"/>
          <w:sz w:val="20"/>
          <w:szCs w:val="20"/>
          <w:lang w:val="es-MX"/>
        </w:rPr>
        <w:t>“i)</w:t>
      </w:r>
      <w:r>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893DEA8" w14:textId="77777777" w:rsidR="000231D2" w:rsidRDefault="000231D2" w:rsidP="000231D2">
      <w:pPr>
        <w:spacing w:after="0" w:line="240" w:lineRule="auto"/>
        <w:ind w:left="709" w:right="709"/>
        <w:jc w:val="both"/>
        <w:rPr>
          <w:rFonts w:ascii="Verdana" w:hAnsi="Verdana" w:cs="Arial"/>
          <w:sz w:val="20"/>
          <w:szCs w:val="20"/>
        </w:rPr>
      </w:pPr>
    </w:p>
    <w:p w14:paraId="6BD1AD64" w14:textId="77777777" w:rsidR="000231D2" w:rsidRDefault="000231D2" w:rsidP="000231D2">
      <w:pPr>
        <w:spacing w:after="0" w:line="240" w:lineRule="auto"/>
        <w:ind w:left="709" w:right="709"/>
        <w:jc w:val="both"/>
        <w:rPr>
          <w:rFonts w:ascii="Verdana" w:hAnsi="Verdana" w:cs="Arial"/>
          <w:sz w:val="20"/>
          <w:szCs w:val="20"/>
        </w:rPr>
      </w:pPr>
      <w:r>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5F5D7C7" w14:textId="77777777" w:rsidR="000231D2" w:rsidRDefault="000231D2" w:rsidP="000231D2">
      <w:pPr>
        <w:spacing w:after="0" w:line="276" w:lineRule="auto"/>
        <w:ind w:left="709" w:right="709"/>
        <w:jc w:val="both"/>
        <w:rPr>
          <w:rFonts w:ascii="Verdana" w:hAnsi="Verdana" w:cs="Arial"/>
        </w:rPr>
      </w:pPr>
    </w:p>
    <w:p w14:paraId="2363D046" w14:textId="77777777" w:rsidR="000231D2" w:rsidRDefault="000231D2" w:rsidP="000231D2">
      <w:pPr>
        <w:spacing w:after="120" w:line="276" w:lineRule="auto"/>
        <w:ind w:firstLine="709"/>
        <w:jc w:val="both"/>
        <w:rPr>
          <w:rFonts w:ascii="Verdana" w:eastAsia="Arial" w:hAnsi="Verdana" w:cs="Arial"/>
          <w:i/>
          <w:iCs/>
          <w:lang w:eastAsia="es-ES" w:bidi="es-ES"/>
        </w:rPr>
      </w:pPr>
      <w:r>
        <w:rPr>
          <w:rFonts w:ascii="Verdana" w:eastAsia="Arial" w:hAnsi="Verdana" w:cs="Arial"/>
          <w:lang w:val="es-MX" w:eastAsia="es-ES" w:bidi="es-ES"/>
        </w:rPr>
        <w:t xml:space="preserve">De conformidad con los argumentos de dicha providencia, se parte de la distinción entre los conceptos </w:t>
      </w:r>
      <w:r>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Pr>
          <w:rFonts w:ascii="Verdana" w:hAnsi="Verdana"/>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739E53F" w14:textId="77777777" w:rsidR="000231D2" w:rsidRDefault="000231D2" w:rsidP="000231D2">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De igual manera, mediante auto del 6 de noviembre de 2025, el Consejo de Estado, Subsección A de la Sección Tercera, decretó</w:t>
      </w:r>
      <w:r>
        <w:rPr>
          <w:rFonts w:ascii="Verdana" w:eastAsia="Arial" w:hAnsi="Verdana" w:cs="Arial"/>
          <w:b/>
          <w:bCs/>
          <w:lang w:eastAsia="es-ES" w:bidi="es-ES"/>
        </w:rPr>
        <w:t xml:space="preserve"> </w:t>
      </w:r>
      <w:r>
        <w:rPr>
          <w:rFonts w:ascii="Verdana" w:eastAsia="Arial" w:hAnsi="Verdana" w:cs="Arial"/>
          <w:lang w:eastAsia="es-ES" w:bidi="es-ES"/>
        </w:rPr>
        <w:t xml:space="preserve">la suspensión provisional </w:t>
      </w:r>
      <w:r>
        <w:rPr>
          <w:rFonts w:ascii="Verdana" w:eastAsia="Arial" w:hAnsi="Verdana" w:cs="Arial"/>
          <w:lang w:eastAsia="es-ES" w:bidi="es-ES"/>
        </w:rPr>
        <w:lastRenderedPageBreak/>
        <w:t>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vertAlign w:val="superscript"/>
          <w:lang w:eastAsia="es-ES" w:bidi="es-ES"/>
        </w:rPr>
        <w:footnoteReference w:id="25"/>
      </w:r>
      <w:r>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131C773C" w14:textId="77777777" w:rsidR="000231D2" w:rsidRDefault="000231D2" w:rsidP="000231D2">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616E800" w14:textId="77777777" w:rsidR="000231D2" w:rsidRDefault="000231D2" w:rsidP="000231D2">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Pr>
          <w:rStyle w:val="Refdenotaalpie"/>
          <w:rFonts w:ascii="Verdana" w:eastAsia="Times New Roman" w:hAnsi="Verdana" w:cs="Times New Roman"/>
          <w:lang w:eastAsia="es-ES"/>
        </w:rPr>
        <w:footnoteReference w:id="26"/>
      </w:r>
      <w:r>
        <w:rPr>
          <w:rFonts w:ascii="Verdana" w:eastAsia="Times New Roman" w:hAnsi="Verdana" w:cs="Times New Roman"/>
          <w:lang w:eastAsia="es-ES"/>
        </w:rPr>
        <w:t xml:space="preserve">. Sobre el </w:t>
      </w:r>
      <w:r>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7CF3278" w14:textId="77777777" w:rsidR="000231D2" w:rsidRDefault="000231D2" w:rsidP="000231D2">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2D02A11" w14:textId="77777777" w:rsidR="000231D2" w:rsidRPr="009C5104" w:rsidRDefault="000231D2" w:rsidP="000231D2">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7"/>
      </w:r>
      <w:r>
        <w:rPr>
          <w:rFonts w:ascii="Verdana" w:eastAsia="Times New Roman" w:hAnsi="Verdana" w:cs="Arial"/>
          <w:lang w:eastAsia="es-CO"/>
        </w:rPr>
        <w:t>.</w:t>
      </w:r>
    </w:p>
    <w:p w14:paraId="66EAAD68" w14:textId="77777777" w:rsidR="000231D2" w:rsidRPr="00584759" w:rsidRDefault="000231D2" w:rsidP="000231D2">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w:t>
      </w:r>
      <w:r w:rsidRPr="00FC6F34">
        <w:rPr>
          <w:rFonts w:ascii="Verdana" w:eastAsia="Times New Roman" w:hAnsi="Verdana" w:cs="Arial"/>
          <w:color w:val="000000" w:themeColor="text1"/>
          <w:lang w:val="es-ES" w:eastAsia="es-ES"/>
        </w:rPr>
        <w:lastRenderedPageBreak/>
        <w:t xml:space="preserve">sea atribución de la Agencia Nacional de Contratación Pública - Colombia Compra Eficiente validarla. </w:t>
      </w:r>
    </w:p>
    <w:p w14:paraId="540B69D0" w14:textId="77777777" w:rsidR="000231D2" w:rsidRPr="00FC6F34" w:rsidRDefault="000231D2" w:rsidP="000231D2">
      <w:pPr>
        <w:spacing w:after="0" w:line="276" w:lineRule="auto"/>
        <w:ind w:firstLine="708"/>
        <w:jc w:val="both"/>
        <w:rPr>
          <w:rFonts w:ascii="Verdana" w:eastAsia="Calibri" w:hAnsi="Verdana" w:cs="Arial"/>
          <w:lang w:val="es-ES"/>
        </w:rPr>
      </w:pPr>
    </w:p>
    <w:bookmarkEnd w:id="1"/>
    <w:bookmarkEnd w:id="2"/>
    <w:p w14:paraId="54E73424" w14:textId="77777777" w:rsidR="000231D2" w:rsidRPr="00FC6F34" w:rsidRDefault="000231D2" w:rsidP="000231D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D04763">
        <w:rPr>
          <w:rFonts w:ascii="Verdana" w:eastAsia="Century Gothic" w:hAnsi="Verdana" w:cs="Century Gothic"/>
          <w:b/>
          <w:color w:val="000000" w:themeColor="text1"/>
        </w:rPr>
        <w:t>Referencias normativas, jurisprudenciales y otras fuentes:</w:t>
      </w:r>
    </w:p>
    <w:p w14:paraId="44C83247" w14:textId="77777777" w:rsidR="000231D2" w:rsidRPr="00FC6F34" w:rsidRDefault="000231D2" w:rsidP="000231D2">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31D2" w:rsidRPr="00FC6F34" w14:paraId="5640B6E6" w14:textId="77777777" w:rsidTr="00FB2425">
        <w:trPr>
          <w:trHeight w:val="870"/>
        </w:trPr>
        <w:tc>
          <w:tcPr>
            <w:tcW w:w="8647" w:type="dxa"/>
          </w:tcPr>
          <w:p w14:paraId="4F3DA888" w14:textId="77777777" w:rsidR="000231D2" w:rsidRPr="00FC6F34" w:rsidRDefault="000231D2" w:rsidP="00FB2425">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0B7741FA" w14:textId="77777777" w:rsidR="000231D2" w:rsidRPr="00FC6F34" w:rsidRDefault="000231D2" w:rsidP="00FB2425">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792ABBC1" w14:textId="77777777" w:rsidR="000231D2" w:rsidRPr="00FC6F34" w:rsidRDefault="000231D2" w:rsidP="00FB2425">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Exp. 2004-00823-01(PI). </w:t>
            </w:r>
          </w:p>
          <w:p w14:paraId="7771D432" w14:textId="77777777" w:rsidR="000231D2" w:rsidRPr="00FC6F34" w:rsidRDefault="000231D2" w:rsidP="00FB2425">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64E67062" w14:textId="77777777" w:rsidR="000231D2" w:rsidRPr="00FC6F34" w:rsidRDefault="000231D2" w:rsidP="00FB2425">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777240EE" w14:textId="77777777" w:rsidR="000231D2" w:rsidRDefault="000231D2" w:rsidP="00FB2425">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r w:rsidRPr="00997373">
              <w:rPr>
                <w:rFonts w:ascii="Verdana" w:hAnsi="Verdana" w:cs="Arial"/>
              </w:rPr>
              <w:t>.</w:t>
            </w:r>
          </w:p>
          <w:p w14:paraId="7531E8CA" w14:textId="77777777" w:rsidR="000231D2" w:rsidRPr="00BC15DE" w:rsidRDefault="000231D2" w:rsidP="00FB2425">
            <w:pPr>
              <w:pStyle w:val="Prrafodelista"/>
              <w:numPr>
                <w:ilvl w:val="0"/>
                <w:numId w:val="16"/>
              </w:numPr>
              <w:spacing w:before="120" w:after="120" w:line="276" w:lineRule="auto"/>
              <w:contextualSpacing w:val="0"/>
              <w:jc w:val="both"/>
              <w:rPr>
                <w:rFonts w:ascii="Verdana" w:hAnsi="Verdana" w:cs="Arial"/>
              </w:rPr>
            </w:pPr>
            <w:r w:rsidRPr="00BC15DE">
              <w:rPr>
                <w:rFonts w:ascii="Verdana" w:eastAsia="Times New Roman" w:hAnsi="Verdana" w:cs="Times New Roman"/>
                <w:lang w:eastAsia="es-ES"/>
              </w:rPr>
              <w:t>Consejo de Estado. Sala de lo Contencioso Administrativo. Sección Tercera. Subsección B. 17 de octubre de 2025.</w:t>
            </w:r>
          </w:p>
          <w:p w14:paraId="16BC70D1" w14:textId="77777777" w:rsidR="000231D2" w:rsidRPr="00BC15DE" w:rsidRDefault="000231D2" w:rsidP="00FB2425">
            <w:pPr>
              <w:pStyle w:val="Prrafodelista"/>
              <w:numPr>
                <w:ilvl w:val="0"/>
                <w:numId w:val="16"/>
              </w:numPr>
              <w:spacing w:before="120" w:after="120" w:line="276" w:lineRule="auto"/>
              <w:contextualSpacing w:val="0"/>
              <w:jc w:val="both"/>
              <w:rPr>
                <w:rFonts w:ascii="Verdana" w:hAnsi="Verdana" w:cs="Arial"/>
              </w:rPr>
            </w:pPr>
            <w:r w:rsidRPr="00BC15DE">
              <w:rPr>
                <w:rFonts w:ascii="Verdana" w:hAnsi="Verdana"/>
                <w:lang w:val="es-CO"/>
              </w:rPr>
              <w:t>Consejo de Estado, Sección Tercera. Auto del 4 de octubre de 2024. Exp. 70.313. C.P: Fredy Ibarra Martínez.</w:t>
            </w:r>
          </w:p>
        </w:tc>
      </w:tr>
    </w:tbl>
    <w:p w14:paraId="0BB57F82" w14:textId="77777777" w:rsidR="000231D2" w:rsidRPr="00FC6F34" w:rsidRDefault="000231D2" w:rsidP="000231D2">
      <w:pPr>
        <w:widowControl w:val="0"/>
        <w:autoSpaceDE w:val="0"/>
        <w:autoSpaceDN w:val="0"/>
        <w:spacing w:after="0" w:line="276" w:lineRule="auto"/>
        <w:jc w:val="both"/>
        <w:rPr>
          <w:rFonts w:ascii="Verdana" w:hAnsi="Verdana" w:cs="Arial"/>
          <w:color w:val="000000" w:themeColor="text1"/>
          <w:lang w:val="es-ES"/>
        </w:rPr>
      </w:pPr>
    </w:p>
    <w:p w14:paraId="4CE94B8F" w14:textId="77777777" w:rsidR="000231D2" w:rsidRPr="00FC6F34" w:rsidRDefault="000231D2" w:rsidP="000231D2">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2D0482AB" w14:textId="77777777" w:rsidR="000231D2" w:rsidRPr="00FC6F34" w:rsidRDefault="000231D2" w:rsidP="000231D2">
      <w:pPr>
        <w:widowControl w:val="0"/>
        <w:autoSpaceDE w:val="0"/>
        <w:autoSpaceDN w:val="0"/>
        <w:spacing w:after="0" w:line="276" w:lineRule="auto"/>
        <w:jc w:val="both"/>
        <w:rPr>
          <w:rFonts w:ascii="Verdana" w:hAnsi="Verdana" w:cs="Arial"/>
          <w:color w:val="000000" w:themeColor="text1"/>
          <w:lang w:val="es-ES"/>
        </w:rPr>
      </w:pPr>
    </w:p>
    <w:p w14:paraId="2115AC2B" w14:textId="77777777" w:rsidR="000231D2" w:rsidRPr="00982071" w:rsidRDefault="000231D2" w:rsidP="000231D2">
      <w:pPr>
        <w:spacing w:after="120" w:line="276" w:lineRule="auto"/>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w:t>
      </w:r>
      <w:r w:rsidRPr="00FC6F34">
        <w:rPr>
          <w:rFonts w:ascii="Verdana" w:hAnsi="Verdana" w:cs="Arial"/>
          <w:shd w:val="clear" w:color="auto" w:fill="FFFFFF"/>
          <w:lang w:val="es-ES"/>
        </w:rPr>
        <w:lastRenderedPageBreak/>
        <w:t>junio de 2025, C -635 del 27 de junio de 2025, C–750 de 17 de julio 2025, C-729 del 15 de Julio de 2015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de 2025</w:t>
      </w:r>
      <w:r>
        <w:rPr>
          <w:rFonts w:ascii="Verdana" w:hAnsi="Verdana" w:cs="Arial"/>
          <w:shd w:val="clear" w:color="auto" w:fill="FFFFFF"/>
          <w:lang w:val="es-ES"/>
        </w:rPr>
        <w:t>,  C-1274 de 2025, C-1488 de 2025 entre otros</w:t>
      </w:r>
      <w:r w:rsidRPr="00FC6F34">
        <w:rPr>
          <w:rFonts w:ascii="Verdana" w:hAnsi="Verdana" w:cs="Arial"/>
          <w:shd w:val="clear" w:color="auto" w:fill="FFFFFF"/>
          <w:lang w:val="es-ES"/>
        </w:rPr>
        <w:t xml:space="preserve">. </w:t>
      </w:r>
      <w:r>
        <w:rPr>
          <w:rFonts w:ascii="Verdana" w:hAnsi="Verdana" w:cs="Arial"/>
          <w:shd w:val="clear" w:color="auto" w:fill="FFFFFF"/>
          <w:lang w:val="es-ES"/>
        </w:rPr>
        <w:t xml:space="preserve">Sobre los estímulos culturales se pronunció esta Subdirección en concepto con radiacado No. </w:t>
      </w:r>
      <w:r w:rsidRPr="005A202A">
        <w:rPr>
          <w:rFonts w:ascii="Verdana" w:hAnsi="Verdana" w:cs="Arial"/>
          <w:shd w:val="clear" w:color="auto" w:fill="FFFFFF"/>
          <w:lang w:val="es-ES"/>
        </w:rPr>
        <w:t>1201913000001331</w:t>
      </w:r>
      <w:r>
        <w:rPr>
          <w:rFonts w:ascii="Verdana" w:hAnsi="Verdana" w:cs="Arial"/>
          <w:shd w:val="clear" w:color="auto" w:fill="FFFFFF"/>
          <w:lang w:val="es-ES"/>
        </w:rPr>
        <w:t xml:space="preserve"> del 19 de noviembre de 2019.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bookmarkEnd w:id="0"/>
    <w:p w14:paraId="577AC37D" w14:textId="77777777" w:rsidR="000231D2" w:rsidRPr="00C55BDE" w:rsidRDefault="000231D2" w:rsidP="000231D2">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1BAA7265" w14:textId="77777777" w:rsidR="000231D2" w:rsidRPr="00C55BDE" w:rsidRDefault="000231D2" w:rsidP="000231D2">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4F35A50" w14:textId="77777777" w:rsidR="000231D2" w:rsidRPr="00C55BDE" w:rsidRDefault="000231D2" w:rsidP="000231D2">
      <w:pPr>
        <w:spacing w:after="0"/>
        <w:jc w:val="both"/>
        <w:rPr>
          <w:rFonts w:ascii="Verdana" w:hAnsi="Verdana"/>
        </w:rPr>
      </w:pPr>
    </w:p>
    <w:p w14:paraId="36DCB629" w14:textId="77777777" w:rsidR="000231D2" w:rsidRPr="00C55BDE" w:rsidRDefault="000231D2" w:rsidP="000231D2">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4C45098D" w14:textId="77777777" w:rsidR="000231D2" w:rsidRPr="00C55BDE" w:rsidRDefault="000231D2" w:rsidP="000231D2">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r w:rsidRPr="00C55BDE">
        <w:rPr>
          <w:rFonts w:ascii="Verdana" w:hAnsi="Verdana"/>
          <w:color w:val="0000FF"/>
          <w:u w:val="single"/>
          <w:lang w:val="es-ES"/>
        </w:rPr>
        <w:t>+57 601 7456788</w:t>
      </w:r>
    </w:p>
    <w:p w14:paraId="0F8C4B14" w14:textId="77777777" w:rsidR="000231D2" w:rsidRPr="00C55BDE" w:rsidRDefault="000231D2" w:rsidP="000231D2">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5" w:history="1">
        <w:r w:rsidRPr="00C55BDE">
          <w:rPr>
            <w:rFonts w:ascii="Verdana" w:eastAsia="Verdana" w:hAnsi="Verdana" w:cs="Verdana"/>
            <w:color w:val="0000FF"/>
            <w:u w:val="single"/>
            <w:lang w:val="es-MX"/>
          </w:rPr>
          <w:t>ventanilladeradicacion@colombiacompra.gov.co</w:t>
        </w:r>
      </w:hyperlink>
    </w:p>
    <w:p w14:paraId="1429047A" w14:textId="77777777" w:rsidR="000231D2" w:rsidRPr="00C55BDE" w:rsidRDefault="000231D2" w:rsidP="000231D2">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6" w:history="1">
        <w:r w:rsidRPr="00C55BDE">
          <w:rPr>
            <w:rFonts w:ascii="Verdana" w:eastAsia="Verdana" w:hAnsi="Verdana" w:cs="Verdana"/>
            <w:color w:val="0000FF"/>
            <w:u w:val="single"/>
            <w:lang w:val="es-MX"/>
          </w:rPr>
          <w:t>https://www.colombiacompra.gov.co/pqrsd/informacion-importante-antes-de-formular-una-pqrsd</w:t>
        </w:r>
      </w:hyperlink>
    </w:p>
    <w:p w14:paraId="049D775E" w14:textId="77777777" w:rsidR="000231D2" w:rsidRPr="00C55BDE" w:rsidRDefault="000231D2" w:rsidP="000231D2">
      <w:pPr>
        <w:spacing w:after="0" w:line="240" w:lineRule="auto"/>
        <w:ind w:left="720"/>
        <w:jc w:val="both"/>
        <w:rPr>
          <w:rFonts w:ascii="Verdana" w:hAnsi="Verdana"/>
        </w:rPr>
      </w:pPr>
    </w:p>
    <w:p w14:paraId="27F909B9" w14:textId="77777777" w:rsidR="000231D2" w:rsidRPr="00C55BDE" w:rsidRDefault="000231D2" w:rsidP="000231D2">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7"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17F6B701" w14:textId="77777777" w:rsidR="000231D2" w:rsidRPr="00C55BDE" w:rsidRDefault="000231D2" w:rsidP="000231D2">
      <w:pPr>
        <w:spacing w:after="0" w:line="240" w:lineRule="auto"/>
        <w:rPr>
          <w:rFonts w:ascii="Verdana" w:hAnsi="Verdana"/>
        </w:rPr>
      </w:pPr>
    </w:p>
    <w:p w14:paraId="6ED76F10" w14:textId="77777777" w:rsidR="000231D2" w:rsidRPr="00C55BDE" w:rsidRDefault="000231D2" w:rsidP="000231D2">
      <w:pPr>
        <w:spacing w:after="0" w:line="240" w:lineRule="auto"/>
        <w:jc w:val="both"/>
        <w:rPr>
          <w:rFonts w:ascii="Verdana" w:hAnsi="Verdana"/>
        </w:rPr>
      </w:pPr>
      <w:r w:rsidRPr="00C55BDE">
        <w:rPr>
          <w:rFonts w:ascii="Verdana" w:hAnsi="Verdana"/>
        </w:rPr>
        <w:lastRenderedPageBreak/>
        <w:t xml:space="preserve">Por último, lo invitamos a seguirnos en las redes sociales en las cuales se difunde información institucional: </w:t>
      </w:r>
    </w:p>
    <w:p w14:paraId="59CCA083" w14:textId="77777777" w:rsidR="000231D2" w:rsidRPr="00C55BDE" w:rsidRDefault="000231D2" w:rsidP="000231D2">
      <w:pPr>
        <w:spacing w:after="0" w:line="240" w:lineRule="auto"/>
        <w:jc w:val="both"/>
        <w:rPr>
          <w:rFonts w:ascii="Verdana" w:hAnsi="Verdana"/>
        </w:rPr>
      </w:pPr>
    </w:p>
    <w:p w14:paraId="1A36AA6B" w14:textId="77777777" w:rsidR="000231D2" w:rsidRPr="00C55BDE" w:rsidRDefault="000231D2" w:rsidP="000231D2">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3E3482C5" w14:textId="77777777" w:rsidR="000231D2" w:rsidRPr="00C55BDE" w:rsidRDefault="000231D2" w:rsidP="000231D2">
      <w:pPr>
        <w:spacing w:after="0" w:line="240" w:lineRule="auto"/>
        <w:jc w:val="both"/>
        <w:rPr>
          <w:rFonts w:ascii="Verdana" w:hAnsi="Verdana"/>
        </w:rPr>
      </w:pPr>
      <w:r w:rsidRPr="00C55BDE">
        <w:rPr>
          <w:rFonts w:ascii="Verdana" w:hAnsi="Verdana"/>
        </w:rPr>
        <w:t xml:space="preserve">Facebook: </w:t>
      </w:r>
      <w:r w:rsidRPr="00C55BDE">
        <w:rPr>
          <w:rFonts w:ascii="Verdana" w:hAnsi="Verdana"/>
          <w:color w:val="0000FF"/>
          <w:u w:val="single"/>
        </w:rPr>
        <w:t>ColombiaCompraEficiente</w:t>
      </w:r>
    </w:p>
    <w:p w14:paraId="7F89865F" w14:textId="77777777" w:rsidR="000231D2" w:rsidRPr="00C55BDE" w:rsidRDefault="000231D2" w:rsidP="000231D2">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59F4DD4D" w14:textId="77777777" w:rsidR="000231D2" w:rsidRPr="00C55BDE" w:rsidRDefault="000231D2" w:rsidP="000231D2">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21DAB74E" w14:textId="77777777" w:rsidR="000231D2" w:rsidRPr="00C55BDE" w:rsidRDefault="000231D2" w:rsidP="000231D2">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5EB6E721" w14:textId="77777777" w:rsidR="000231D2" w:rsidRPr="00C55BDE" w:rsidRDefault="000231D2" w:rsidP="000231D2">
      <w:pPr>
        <w:widowControl w:val="0"/>
        <w:autoSpaceDE w:val="0"/>
        <w:autoSpaceDN w:val="0"/>
        <w:spacing w:after="0" w:line="276" w:lineRule="auto"/>
        <w:jc w:val="both"/>
        <w:rPr>
          <w:rFonts w:ascii="Verdana" w:hAnsi="Verdana" w:cs="Arial"/>
          <w:lang w:val="es-ES_tradnl"/>
        </w:rPr>
      </w:pPr>
    </w:p>
    <w:p w14:paraId="29CDB4E1" w14:textId="77777777" w:rsidR="000231D2" w:rsidRPr="00C55BDE" w:rsidRDefault="000231D2" w:rsidP="000231D2">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53A0F80D" w14:textId="77777777" w:rsidR="000231D2" w:rsidRPr="00FC6F34" w:rsidRDefault="000231D2" w:rsidP="000231D2">
      <w:pPr>
        <w:rPr>
          <w:lang w:val="es-ES"/>
        </w:rPr>
      </w:pPr>
    </w:p>
    <w:p w14:paraId="6158DC2B" w14:textId="56C07863" w:rsidR="000231D2" w:rsidRPr="00A27102" w:rsidRDefault="0097324C" w:rsidP="000231D2">
      <w:pPr>
        <w:spacing w:line="276" w:lineRule="auto"/>
        <w:jc w:val="center"/>
        <w:rPr>
          <w:rFonts w:ascii="Verdana" w:hAnsi="Verdana" w:cs="Arial"/>
          <w:color w:val="000000"/>
          <w:lang w:val="es-ES_tradnl" w:eastAsia="es-CO"/>
        </w:rPr>
      </w:pPr>
      <w:r>
        <w:rPr>
          <w:noProof/>
        </w:rPr>
        <w:drawing>
          <wp:inline distT="0" distB="0" distL="0" distR="0" wp14:anchorId="30D76254" wp14:editId="51E40DB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31D2" w:rsidRPr="00A27102" w14:paraId="517E9EEF" w14:textId="77777777" w:rsidTr="00FB2425">
        <w:trPr>
          <w:trHeight w:val="315"/>
        </w:trPr>
        <w:tc>
          <w:tcPr>
            <w:tcW w:w="893" w:type="dxa"/>
            <w:vAlign w:val="center"/>
            <w:hideMark/>
          </w:tcPr>
          <w:p w14:paraId="29034878" w14:textId="77777777" w:rsidR="000231D2" w:rsidRPr="00A27102" w:rsidRDefault="000231D2"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FFFE2E" w14:textId="77777777" w:rsidR="000231D2" w:rsidRPr="00A27102" w:rsidRDefault="000231D2" w:rsidP="00FB2425">
            <w:pPr>
              <w:contextualSpacing/>
              <w:rPr>
                <w:rFonts w:ascii="Verdana" w:hAnsi="Verdana"/>
                <w:sz w:val="16"/>
                <w:szCs w:val="16"/>
              </w:rPr>
            </w:pPr>
            <w:r w:rsidRPr="00A27102">
              <w:rPr>
                <w:rFonts w:ascii="Verdana" w:hAnsi="Verdana"/>
                <w:sz w:val="16"/>
                <w:szCs w:val="16"/>
              </w:rPr>
              <w:t>Tatiana Baquero Iguarán</w:t>
            </w:r>
          </w:p>
          <w:p w14:paraId="60C71BB3" w14:textId="77777777" w:rsidR="000231D2" w:rsidRPr="00A27102" w:rsidRDefault="000231D2" w:rsidP="00FB242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0231D2" w:rsidRPr="00A27102" w14:paraId="65378521" w14:textId="77777777" w:rsidTr="00FB2425">
        <w:trPr>
          <w:trHeight w:val="330"/>
        </w:trPr>
        <w:tc>
          <w:tcPr>
            <w:tcW w:w="893" w:type="dxa"/>
            <w:vAlign w:val="center"/>
            <w:hideMark/>
          </w:tcPr>
          <w:p w14:paraId="01A408CD" w14:textId="77777777" w:rsidR="000231D2" w:rsidRPr="00A27102" w:rsidRDefault="000231D2"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F24903" w14:textId="77777777" w:rsidR="000231D2" w:rsidRPr="00A27102" w:rsidRDefault="000231D2" w:rsidP="00FB242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45E7B5D5" w14:textId="77777777" w:rsidR="000231D2" w:rsidRPr="00A27102" w:rsidRDefault="000231D2" w:rsidP="00FB242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0231D2" w:rsidRPr="00A27102" w14:paraId="1E335FAB" w14:textId="77777777" w:rsidTr="00FB2425">
        <w:trPr>
          <w:trHeight w:val="300"/>
        </w:trPr>
        <w:tc>
          <w:tcPr>
            <w:tcW w:w="893" w:type="dxa"/>
            <w:vAlign w:val="center"/>
          </w:tcPr>
          <w:p w14:paraId="1DFB35EE" w14:textId="77777777" w:rsidR="000231D2" w:rsidRPr="00A27102" w:rsidRDefault="000231D2"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950B75D" w14:textId="77777777" w:rsidR="000231D2" w:rsidRPr="00A27102" w:rsidRDefault="000231D2"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389744B3" w14:textId="77777777" w:rsidR="000231D2" w:rsidRPr="00A27102" w:rsidRDefault="000231D2"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33E9F864" w14:textId="77777777" w:rsidR="000231D2" w:rsidRPr="00A27102" w:rsidRDefault="000231D2" w:rsidP="000231D2"/>
    <w:p w14:paraId="31EAE2EE" w14:textId="77777777" w:rsidR="000231D2" w:rsidRPr="00927895" w:rsidRDefault="000231D2" w:rsidP="000231D2"/>
    <w:p w14:paraId="1B108CB2" w14:textId="77777777" w:rsidR="000231D2" w:rsidRPr="00C51B83" w:rsidRDefault="000231D2" w:rsidP="000231D2"/>
    <w:p w14:paraId="64F24009" w14:textId="77777777" w:rsidR="000231D2" w:rsidRPr="00AA2912" w:rsidRDefault="000231D2" w:rsidP="000231D2"/>
    <w:p w14:paraId="3C8F7C07" w14:textId="77777777" w:rsidR="000231D2" w:rsidRDefault="000231D2" w:rsidP="000231D2">
      <w:pPr>
        <w:spacing w:after="0"/>
        <w:rPr>
          <w:rFonts w:ascii="Verdana" w:hAnsi="Verdana"/>
          <w:lang w:val="es-ES"/>
        </w:rPr>
      </w:pPr>
    </w:p>
    <w:p w14:paraId="6795DB74" w14:textId="77777777" w:rsidR="000231D2" w:rsidRPr="0064182D" w:rsidRDefault="000231D2" w:rsidP="000231D2"/>
    <w:p w14:paraId="7B10D2D8" w14:textId="77777777" w:rsidR="000231D2" w:rsidRDefault="000231D2" w:rsidP="000231D2">
      <w:pPr>
        <w:spacing w:after="0"/>
        <w:rPr>
          <w:rFonts w:ascii="Verdana" w:hAnsi="Verdana"/>
          <w:lang w:val="es-ES"/>
        </w:rPr>
      </w:pPr>
    </w:p>
    <w:p w14:paraId="4F75A347" w14:textId="77777777" w:rsidR="000231D2" w:rsidRPr="002843D7" w:rsidRDefault="000231D2" w:rsidP="000231D2"/>
    <w:p w14:paraId="02C72C19" w14:textId="77777777" w:rsidR="00E66AD4" w:rsidRDefault="00E66AD4" w:rsidP="00927895">
      <w:pPr>
        <w:spacing w:after="0"/>
        <w:rPr>
          <w:rFonts w:ascii="Verdana" w:hAnsi="Verdana"/>
          <w:lang w:val="es-ES"/>
        </w:rPr>
      </w:pPr>
    </w:p>
    <w:sectPr w:rsidR="00E66AD4"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255D0" w14:textId="77777777" w:rsidR="00BF2B31" w:rsidRDefault="00BF2B31" w:rsidP="004A1847">
      <w:pPr>
        <w:spacing w:after="0" w:line="240" w:lineRule="auto"/>
      </w:pPr>
      <w:r>
        <w:separator/>
      </w:r>
    </w:p>
  </w:endnote>
  <w:endnote w:type="continuationSeparator" w:id="0">
    <w:p w14:paraId="18923F0E" w14:textId="77777777" w:rsidR="00BF2B31" w:rsidRDefault="00BF2B31" w:rsidP="004A1847">
      <w:pPr>
        <w:spacing w:after="0" w:line="240" w:lineRule="auto"/>
      </w:pPr>
      <w:r>
        <w:continuationSeparator/>
      </w:r>
    </w:p>
  </w:endnote>
  <w:endnote w:type="continuationNotice" w:id="1">
    <w:p w14:paraId="69F80CC1" w14:textId="77777777" w:rsidR="00BF2B31" w:rsidRDefault="00BF2B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3F624" w14:textId="77777777" w:rsidR="00BF2B31" w:rsidRDefault="00BF2B31" w:rsidP="004A1847">
      <w:pPr>
        <w:spacing w:after="0" w:line="240" w:lineRule="auto"/>
      </w:pPr>
      <w:r>
        <w:separator/>
      </w:r>
    </w:p>
  </w:footnote>
  <w:footnote w:type="continuationSeparator" w:id="0">
    <w:p w14:paraId="46C30A0D" w14:textId="77777777" w:rsidR="00BF2B31" w:rsidRDefault="00BF2B31" w:rsidP="004A1847">
      <w:pPr>
        <w:spacing w:after="0" w:line="240" w:lineRule="auto"/>
      </w:pPr>
      <w:r>
        <w:continuationSeparator/>
      </w:r>
    </w:p>
  </w:footnote>
  <w:footnote w:type="continuationNotice" w:id="1">
    <w:p w14:paraId="2480654C" w14:textId="77777777" w:rsidR="00BF2B31" w:rsidRDefault="00BF2B31">
      <w:pPr>
        <w:spacing w:after="0" w:line="240" w:lineRule="auto"/>
      </w:pPr>
    </w:p>
  </w:footnote>
  <w:footnote w:id="2">
    <w:p w14:paraId="65D3C266"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7D5B480"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C7A4621"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69E1193B" w14:textId="77777777" w:rsidR="000231D2" w:rsidRPr="0016660C" w:rsidRDefault="000231D2" w:rsidP="000231D2">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5">
    <w:p w14:paraId="7B91E3F1" w14:textId="77777777" w:rsidR="000231D2" w:rsidRPr="0016660C" w:rsidRDefault="000231D2" w:rsidP="000231D2">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26E289E4" w14:textId="77777777" w:rsidR="000231D2" w:rsidRPr="0016660C" w:rsidRDefault="000231D2" w:rsidP="000231D2">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BD0B4B0"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70B09B00" w14:textId="77777777" w:rsidR="000231D2" w:rsidRPr="0016660C" w:rsidRDefault="000231D2" w:rsidP="000231D2">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23751C0" w14:textId="77777777" w:rsidR="000231D2" w:rsidRPr="0016660C" w:rsidRDefault="000231D2" w:rsidP="000231D2">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5F480B3D" w14:textId="77777777" w:rsidR="000231D2" w:rsidRPr="0016660C" w:rsidRDefault="000231D2" w:rsidP="000231D2">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69E410DA" w14:textId="77777777" w:rsidR="000231D2" w:rsidRPr="0016660C" w:rsidRDefault="000231D2" w:rsidP="000231D2">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6D677866" w14:textId="77777777" w:rsidR="000231D2" w:rsidRPr="0016660C" w:rsidRDefault="000231D2" w:rsidP="000231D2">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582CEE7" w14:textId="77777777" w:rsidR="000231D2" w:rsidRPr="0016660C" w:rsidRDefault="000231D2" w:rsidP="000231D2">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2">
    <w:p w14:paraId="7648327B" w14:textId="77777777" w:rsidR="000231D2" w:rsidRPr="0016660C" w:rsidRDefault="000231D2" w:rsidP="000231D2">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3">
    <w:p w14:paraId="4AC58C39" w14:textId="77777777" w:rsidR="000231D2" w:rsidRDefault="000231D2" w:rsidP="000231D2">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4">
    <w:p w14:paraId="17A14425" w14:textId="77777777" w:rsidR="000231D2" w:rsidRPr="0016660C" w:rsidRDefault="000231D2" w:rsidP="000231D2">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5">
    <w:p w14:paraId="20C00653"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01BF718D" w14:textId="77777777" w:rsidR="000231D2" w:rsidRPr="0016660C" w:rsidRDefault="000231D2" w:rsidP="000231D2">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7">
    <w:p w14:paraId="2873E812" w14:textId="77777777" w:rsidR="000231D2" w:rsidRPr="0016660C" w:rsidRDefault="000231D2" w:rsidP="000231D2">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8">
    <w:p w14:paraId="019AB6B7" w14:textId="77777777" w:rsidR="000231D2" w:rsidRPr="0016660C" w:rsidRDefault="000231D2" w:rsidP="000231D2">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9">
    <w:p w14:paraId="27602921" w14:textId="77777777" w:rsidR="000231D2" w:rsidRDefault="000231D2" w:rsidP="000231D2">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20">
    <w:p w14:paraId="2F1695A2" w14:textId="77777777" w:rsidR="000231D2" w:rsidRPr="008E2892" w:rsidRDefault="000231D2" w:rsidP="000231D2">
      <w:pPr>
        <w:pStyle w:val="Textonotapie"/>
        <w:ind w:firstLine="709"/>
        <w:jc w:val="both"/>
        <w:rPr>
          <w:rFonts w:ascii="Verdana" w:hAnsi="Verdana" w:cs="Arial"/>
          <w:sz w:val="16"/>
          <w:szCs w:val="16"/>
        </w:rPr>
      </w:pPr>
      <w:r w:rsidRPr="008E2892">
        <w:rPr>
          <w:rStyle w:val="Refdenotaalpie"/>
          <w:rFonts w:ascii="Verdana" w:hAnsi="Verdana"/>
          <w:sz w:val="16"/>
          <w:szCs w:val="16"/>
        </w:rPr>
        <w:footnoteRef/>
      </w:r>
      <w:r w:rsidRPr="008E2892">
        <w:rPr>
          <w:rFonts w:ascii="Verdana" w:hAnsi="Verdana"/>
          <w:sz w:val="16"/>
          <w:szCs w:val="16"/>
        </w:rPr>
        <w:t xml:space="preserve"> </w:t>
      </w:r>
      <w:r w:rsidRPr="008E2892">
        <w:rPr>
          <w:rFonts w:ascii="Verdana" w:hAnsi="Verdana" w:cs="Arial"/>
          <w:sz w:val="16"/>
          <w:szCs w:val="16"/>
        </w:rPr>
        <w:t>Consejo de Estado -Sección Tercera-. Sentencia del 21 de febrero de 2025. Radicación Número: 68.280. CP: José Roberto Sáchica Méndez.</w:t>
      </w:r>
    </w:p>
    <w:p w14:paraId="10772123" w14:textId="77777777" w:rsidR="000231D2" w:rsidRPr="008E2892" w:rsidRDefault="000231D2" w:rsidP="000231D2">
      <w:pPr>
        <w:pStyle w:val="Textonotapie"/>
        <w:ind w:firstLine="709"/>
        <w:jc w:val="both"/>
        <w:rPr>
          <w:rFonts w:ascii="Verdana" w:hAnsi="Verdana" w:cs="Arial"/>
          <w:sz w:val="16"/>
          <w:szCs w:val="16"/>
        </w:rPr>
      </w:pPr>
    </w:p>
  </w:footnote>
  <w:footnote w:id="21">
    <w:p w14:paraId="453EFD2A" w14:textId="77777777" w:rsidR="000231D2" w:rsidRPr="008E2892" w:rsidRDefault="000231D2" w:rsidP="000231D2">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sz w:val="16"/>
          <w:szCs w:val="16"/>
          <w:vertAlign w:val="superscript"/>
        </w:rPr>
        <w:t xml:space="preserve"> </w:t>
      </w:r>
      <w:r w:rsidRPr="008E2892">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C83145B" w14:textId="77777777" w:rsidR="000231D2" w:rsidRPr="008E2892" w:rsidRDefault="000231D2" w:rsidP="000231D2">
      <w:pPr>
        <w:pStyle w:val="Textonotapie"/>
        <w:ind w:firstLine="709"/>
        <w:jc w:val="both"/>
        <w:rPr>
          <w:rFonts w:ascii="Verdana" w:hAnsi="Verdana" w:cs="Arial"/>
          <w:sz w:val="16"/>
          <w:szCs w:val="16"/>
        </w:rPr>
      </w:pPr>
    </w:p>
  </w:footnote>
  <w:footnote w:id="22">
    <w:p w14:paraId="6BB0ABFE" w14:textId="77777777" w:rsidR="000231D2" w:rsidRPr="008E2892" w:rsidRDefault="000231D2" w:rsidP="000231D2">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cs="Arial"/>
          <w:sz w:val="16"/>
          <w:szCs w:val="16"/>
          <w:vertAlign w:val="superscript"/>
        </w:rPr>
        <w:t xml:space="preserve"> </w:t>
      </w:r>
      <w:r w:rsidRPr="008E2892">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73C30D4E" w14:textId="77777777" w:rsidR="000231D2" w:rsidRPr="008E2892" w:rsidRDefault="000231D2" w:rsidP="000231D2">
      <w:pPr>
        <w:pStyle w:val="Textonotapie"/>
        <w:ind w:firstLine="709"/>
        <w:jc w:val="both"/>
        <w:rPr>
          <w:rFonts w:ascii="Verdana" w:hAnsi="Verdana" w:cs="Arial"/>
          <w:sz w:val="16"/>
          <w:szCs w:val="16"/>
        </w:rPr>
      </w:pPr>
      <w:r w:rsidRPr="008E2892">
        <w:rPr>
          <w:rFonts w:ascii="Verdana" w:hAnsi="Verdana" w:cs="Arial"/>
          <w:sz w:val="16"/>
          <w:szCs w:val="16"/>
        </w:rPr>
        <w:t>[…]”.</w:t>
      </w:r>
    </w:p>
    <w:p w14:paraId="1CE2680B" w14:textId="77777777" w:rsidR="000231D2" w:rsidRPr="008E2892" w:rsidRDefault="000231D2" w:rsidP="000231D2">
      <w:pPr>
        <w:pStyle w:val="Textonotapie"/>
        <w:ind w:firstLine="709"/>
        <w:jc w:val="both"/>
        <w:rPr>
          <w:rFonts w:ascii="Verdana" w:hAnsi="Verdana" w:cs="Arial"/>
          <w:sz w:val="16"/>
          <w:szCs w:val="16"/>
        </w:rPr>
      </w:pPr>
    </w:p>
  </w:footnote>
  <w:footnote w:id="23">
    <w:p w14:paraId="34BE2778" w14:textId="77777777" w:rsidR="000231D2" w:rsidRPr="008E2892" w:rsidRDefault="000231D2" w:rsidP="000231D2">
      <w:pPr>
        <w:pStyle w:val="Textonotapie"/>
        <w:ind w:firstLine="709"/>
        <w:jc w:val="both"/>
        <w:rPr>
          <w:rFonts w:ascii="Verdana" w:hAnsi="Verdana" w:cs="Arial"/>
          <w:sz w:val="16"/>
          <w:szCs w:val="16"/>
        </w:rPr>
      </w:pPr>
      <w:r w:rsidRPr="008E2892">
        <w:rPr>
          <w:rFonts w:ascii="Verdana" w:hAnsi="Verdana"/>
          <w:sz w:val="16"/>
          <w:szCs w:val="16"/>
          <w:vertAlign w:val="superscript"/>
        </w:rPr>
        <w:footnoteRef/>
      </w:r>
      <w:r w:rsidRPr="008E2892">
        <w:rPr>
          <w:rFonts w:ascii="Verdana" w:hAnsi="Verdana" w:cs="Arial"/>
          <w:sz w:val="16"/>
          <w:szCs w:val="16"/>
          <w:vertAlign w:val="superscript"/>
        </w:rPr>
        <w:t xml:space="preserve"> </w:t>
      </w:r>
      <w:r w:rsidRPr="008E2892">
        <w:rPr>
          <w:rFonts w:ascii="Verdana" w:hAnsi="Verdana" w:cs="Arial"/>
          <w:sz w:val="16"/>
          <w:szCs w:val="16"/>
        </w:rPr>
        <w:t>Código Civil: “Artículo 27. Cuando el sentido de la ley sea claro, no se desatenderá su tenor a pretexto de consultar su espíritu”.</w:t>
      </w:r>
    </w:p>
  </w:footnote>
  <w:footnote w:id="24">
    <w:p w14:paraId="7DFCE648" w14:textId="77777777" w:rsidR="000231D2" w:rsidRPr="008E2892" w:rsidRDefault="000231D2" w:rsidP="000231D2">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lang w:val="es-CO"/>
        </w:rPr>
        <w:t xml:space="preserve"> Consejo de Estado, Sección Tercera. Auto del 4 de octubre de 2024. Exp. 70.313. C.P: Fredy Ibarra Martínez.</w:t>
      </w:r>
    </w:p>
  </w:footnote>
  <w:footnote w:id="25">
    <w:p w14:paraId="6A1B4121" w14:textId="77777777" w:rsidR="000231D2" w:rsidRPr="00FA3560" w:rsidRDefault="000231D2" w:rsidP="000231D2">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rPr>
        <w:t xml:space="preserve"> La parte resolutiva del auto dispone lo siguiente</w:t>
      </w:r>
      <w:r w:rsidRPr="00FA3560">
        <w:rPr>
          <w:rFonts w:ascii="Verdana" w:hAnsi="Verdana"/>
          <w:sz w:val="16"/>
          <w:szCs w:val="16"/>
        </w:rPr>
        <w:t>; “</w:t>
      </w:r>
      <w:r w:rsidRPr="00FA3560">
        <w:rPr>
          <w:rFonts w:ascii="Verdana" w:hAnsi="Verdana"/>
          <w:sz w:val="16"/>
          <w:szCs w:val="16"/>
          <w:lang w:val="es-CO"/>
        </w:rPr>
        <w:t xml:space="preserve">PRIMERO: DECRETAR 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A3560">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A3560">
        <w:rPr>
          <w:rFonts w:ascii="Verdana" w:hAnsi="Verdana"/>
          <w:sz w:val="16"/>
          <w:szCs w:val="16"/>
          <w:lang w:val="es-CO"/>
        </w:rPr>
        <w:t xml:space="preserve">, por las razones expuestas en precedencia. </w:t>
      </w:r>
    </w:p>
    <w:p w14:paraId="329E7B43" w14:textId="77777777" w:rsidR="000231D2" w:rsidRPr="008E2892" w:rsidRDefault="000231D2" w:rsidP="000231D2">
      <w:pPr>
        <w:pStyle w:val="Textonotapie"/>
        <w:ind w:firstLine="709"/>
        <w:jc w:val="both"/>
        <w:rPr>
          <w:rFonts w:ascii="Verdana" w:hAnsi="Verdana"/>
          <w:sz w:val="16"/>
          <w:szCs w:val="16"/>
          <w:lang w:val="es-CO"/>
        </w:rPr>
      </w:pPr>
      <w:r w:rsidRPr="00FA3560">
        <w:rPr>
          <w:rFonts w:ascii="Verdana" w:hAnsi="Verdana"/>
          <w:sz w:val="16"/>
          <w:szCs w:val="16"/>
          <w:lang w:val="es-CO"/>
        </w:rPr>
        <w:t>SEGUNDO: DECRETAR la suspensión provisional de la expresión “</w:t>
      </w:r>
      <w:r w:rsidRPr="00FA3560">
        <w:rPr>
          <w:rFonts w:ascii="Verdana" w:hAnsi="Verdana"/>
          <w:i/>
          <w:sz w:val="16"/>
          <w:szCs w:val="16"/>
          <w:lang w:val="es-CO"/>
        </w:rPr>
        <w:t>contratos</w:t>
      </w:r>
      <w:r w:rsidRPr="00FA3560">
        <w:rPr>
          <w:rFonts w:ascii="Verdana" w:hAnsi="Verdana"/>
          <w:sz w:val="16"/>
          <w:szCs w:val="16"/>
          <w:lang w:val="es-CO"/>
        </w:rPr>
        <w:t xml:space="preserve">” y del párrafo </w:t>
      </w:r>
      <w:r w:rsidRPr="00FA3560">
        <w:rPr>
          <w:rFonts w:ascii="Verdana" w:hAnsi="Verdana"/>
          <w:i/>
          <w:sz w:val="16"/>
          <w:szCs w:val="16"/>
          <w:lang w:val="es-CO"/>
        </w:rPr>
        <w:t>“[e]n este sentido, la prohibición que establece el parágrafo del artículo</w:t>
      </w:r>
      <w:r w:rsidRPr="008E2892">
        <w:rPr>
          <w:rFonts w:ascii="Verdana" w:hAnsi="Verdana"/>
          <w:i/>
          <w:sz w:val="16"/>
          <w:szCs w:val="16"/>
          <w:lang w:val="es-CO"/>
        </w:rPr>
        <w:t xml:space="preserve"> 38 de la Ley de Garantías consiste en evitar que los recursos del Estado se ejecuten para lograr apoyos indebidos mediante la suscripción de contratos (…) que, para efectos de la Ley de Garantías, tienen la misma connotación y propósito</w:t>
      </w:r>
      <w:r w:rsidRPr="008E2892">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6">
    <w:p w14:paraId="04EB7EE1" w14:textId="77777777" w:rsidR="000231D2" w:rsidRPr="008E2892" w:rsidRDefault="000231D2" w:rsidP="000231D2">
      <w:pPr>
        <w:spacing w:line="240" w:lineRule="auto"/>
        <w:ind w:firstLine="709"/>
        <w:contextualSpacing/>
        <w:jc w:val="both"/>
        <w:rPr>
          <w:rFonts w:ascii="Verdana" w:eastAsia="Times New Roman" w:hAnsi="Verdana" w:cs="Times New Roman"/>
          <w:sz w:val="16"/>
          <w:szCs w:val="16"/>
          <w:lang w:eastAsia="es-ES"/>
        </w:rPr>
      </w:pPr>
      <w:r w:rsidRPr="008E2892">
        <w:rPr>
          <w:rStyle w:val="Refdenotaalpie"/>
          <w:rFonts w:ascii="Verdana" w:hAnsi="Verdana"/>
          <w:sz w:val="16"/>
          <w:szCs w:val="16"/>
        </w:rPr>
        <w:footnoteRef/>
      </w:r>
      <w:r w:rsidRPr="008E2892">
        <w:rPr>
          <w:rFonts w:ascii="Verdana" w:hAnsi="Verdana"/>
          <w:sz w:val="16"/>
          <w:szCs w:val="16"/>
        </w:rPr>
        <w:t xml:space="preserve"> </w:t>
      </w:r>
      <w:r w:rsidRPr="008E2892">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8E2892">
        <w:rPr>
          <w:rFonts w:ascii="Verdana" w:hAnsi="Verdana"/>
          <w:sz w:val="16"/>
          <w:szCs w:val="16"/>
        </w:rPr>
        <w:t xml:space="preserve">La parte de la providencia señala: </w:t>
      </w:r>
      <w:r w:rsidRPr="008E2892">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596F206E" w14:textId="77777777" w:rsidR="000231D2" w:rsidRPr="008E2892" w:rsidRDefault="000231D2" w:rsidP="000231D2">
      <w:pPr>
        <w:pStyle w:val="Textonotapie"/>
        <w:ind w:firstLine="709"/>
        <w:jc w:val="both"/>
        <w:rPr>
          <w:rFonts w:ascii="Verdana" w:hAnsi="Verdana"/>
          <w:sz w:val="16"/>
          <w:szCs w:val="16"/>
          <w:lang w:val="es-CO"/>
        </w:rPr>
      </w:pPr>
      <w:r w:rsidRPr="008E2892">
        <w:rPr>
          <w:rStyle w:val="Refdenotaalpie"/>
          <w:rFonts w:ascii="Verdana" w:hAnsi="Verdana"/>
          <w:sz w:val="16"/>
          <w:szCs w:val="16"/>
        </w:rPr>
        <w:footnoteRef/>
      </w:r>
      <w:r w:rsidRPr="008E2892">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B2"/>
    <w:rsid w:val="000037FA"/>
    <w:rsid w:val="0000638F"/>
    <w:rsid w:val="00012144"/>
    <w:rsid w:val="00013599"/>
    <w:rsid w:val="00014CF2"/>
    <w:rsid w:val="00016F78"/>
    <w:rsid w:val="00022D0A"/>
    <w:rsid w:val="000231D2"/>
    <w:rsid w:val="00025859"/>
    <w:rsid w:val="00032636"/>
    <w:rsid w:val="00034F14"/>
    <w:rsid w:val="00037138"/>
    <w:rsid w:val="00037D0B"/>
    <w:rsid w:val="00041089"/>
    <w:rsid w:val="00044408"/>
    <w:rsid w:val="00046945"/>
    <w:rsid w:val="00061B2A"/>
    <w:rsid w:val="00061C3B"/>
    <w:rsid w:val="00073BF5"/>
    <w:rsid w:val="000771F0"/>
    <w:rsid w:val="000800AC"/>
    <w:rsid w:val="00082362"/>
    <w:rsid w:val="0008513D"/>
    <w:rsid w:val="00085D81"/>
    <w:rsid w:val="00086D90"/>
    <w:rsid w:val="00095522"/>
    <w:rsid w:val="0009751D"/>
    <w:rsid w:val="000A683E"/>
    <w:rsid w:val="000B19B9"/>
    <w:rsid w:val="000B3801"/>
    <w:rsid w:val="000C6630"/>
    <w:rsid w:val="000D0334"/>
    <w:rsid w:val="000D092C"/>
    <w:rsid w:val="000D3BF9"/>
    <w:rsid w:val="000D4C78"/>
    <w:rsid w:val="000E1B4F"/>
    <w:rsid w:val="000E2D1A"/>
    <w:rsid w:val="000E4620"/>
    <w:rsid w:val="000E6619"/>
    <w:rsid w:val="000F6486"/>
    <w:rsid w:val="00104697"/>
    <w:rsid w:val="001049DC"/>
    <w:rsid w:val="00110454"/>
    <w:rsid w:val="00114F95"/>
    <w:rsid w:val="00116EDE"/>
    <w:rsid w:val="00124CBC"/>
    <w:rsid w:val="00125105"/>
    <w:rsid w:val="00127233"/>
    <w:rsid w:val="00130ECE"/>
    <w:rsid w:val="0014165C"/>
    <w:rsid w:val="001454C6"/>
    <w:rsid w:val="00150BFF"/>
    <w:rsid w:val="001512F4"/>
    <w:rsid w:val="00153204"/>
    <w:rsid w:val="001622F7"/>
    <w:rsid w:val="00167B36"/>
    <w:rsid w:val="00193FFF"/>
    <w:rsid w:val="00194B53"/>
    <w:rsid w:val="001A326C"/>
    <w:rsid w:val="001A70DA"/>
    <w:rsid w:val="001A79A5"/>
    <w:rsid w:val="001C27C7"/>
    <w:rsid w:val="001C3B9A"/>
    <w:rsid w:val="001C4ADB"/>
    <w:rsid w:val="001C7B22"/>
    <w:rsid w:val="001D3A49"/>
    <w:rsid w:val="001E39A2"/>
    <w:rsid w:val="001E3D06"/>
    <w:rsid w:val="001E4177"/>
    <w:rsid w:val="001E5236"/>
    <w:rsid w:val="001E5A46"/>
    <w:rsid w:val="001E5AD4"/>
    <w:rsid w:val="001F002F"/>
    <w:rsid w:val="001F0253"/>
    <w:rsid w:val="001F5A10"/>
    <w:rsid w:val="001F7DC6"/>
    <w:rsid w:val="002067F5"/>
    <w:rsid w:val="00210741"/>
    <w:rsid w:val="002125C8"/>
    <w:rsid w:val="002146D6"/>
    <w:rsid w:val="0022048C"/>
    <w:rsid w:val="002227FB"/>
    <w:rsid w:val="00222B1F"/>
    <w:rsid w:val="00222B46"/>
    <w:rsid w:val="0022574A"/>
    <w:rsid w:val="00236B20"/>
    <w:rsid w:val="002421BB"/>
    <w:rsid w:val="00243685"/>
    <w:rsid w:val="00257118"/>
    <w:rsid w:val="0025796E"/>
    <w:rsid w:val="00260785"/>
    <w:rsid w:val="002705E0"/>
    <w:rsid w:val="002707A2"/>
    <w:rsid w:val="00273A02"/>
    <w:rsid w:val="002740FF"/>
    <w:rsid w:val="00274A9E"/>
    <w:rsid w:val="00275581"/>
    <w:rsid w:val="00280EFB"/>
    <w:rsid w:val="00283F8C"/>
    <w:rsid w:val="0028677B"/>
    <w:rsid w:val="00287CFF"/>
    <w:rsid w:val="0029144A"/>
    <w:rsid w:val="0029347E"/>
    <w:rsid w:val="002951A0"/>
    <w:rsid w:val="002962BC"/>
    <w:rsid w:val="002A093D"/>
    <w:rsid w:val="002A0DD0"/>
    <w:rsid w:val="002A49AC"/>
    <w:rsid w:val="002A64FD"/>
    <w:rsid w:val="002B205C"/>
    <w:rsid w:val="002B25E0"/>
    <w:rsid w:val="002B2AB8"/>
    <w:rsid w:val="002C7A84"/>
    <w:rsid w:val="002D0559"/>
    <w:rsid w:val="002D66EC"/>
    <w:rsid w:val="002E4FD9"/>
    <w:rsid w:val="002E740E"/>
    <w:rsid w:val="002F1143"/>
    <w:rsid w:val="00317467"/>
    <w:rsid w:val="00322A79"/>
    <w:rsid w:val="00322A85"/>
    <w:rsid w:val="00324168"/>
    <w:rsid w:val="003242C3"/>
    <w:rsid w:val="00330994"/>
    <w:rsid w:val="00336C91"/>
    <w:rsid w:val="00340517"/>
    <w:rsid w:val="00342928"/>
    <w:rsid w:val="003448F4"/>
    <w:rsid w:val="003518DE"/>
    <w:rsid w:val="00352506"/>
    <w:rsid w:val="00363F80"/>
    <w:rsid w:val="0037004C"/>
    <w:rsid w:val="00373094"/>
    <w:rsid w:val="00374F5E"/>
    <w:rsid w:val="00377E3E"/>
    <w:rsid w:val="00380CCD"/>
    <w:rsid w:val="00380E25"/>
    <w:rsid w:val="00386A2E"/>
    <w:rsid w:val="003A10B0"/>
    <w:rsid w:val="003A779E"/>
    <w:rsid w:val="003B6ABF"/>
    <w:rsid w:val="003C1AA8"/>
    <w:rsid w:val="003C7700"/>
    <w:rsid w:val="003D0F4D"/>
    <w:rsid w:val="003D180E"/>
    <w:rsid w:val="003D5B0D"/>
    <w:rsid w:val="003D7039"/>
    <w:rsid w:val="003E0499"/>
    <w:rsid w:val="003F3941"/>
    <w:rsid w:val="003F5EC2"/>
    <w:rsid w:val="00402BA2"/>
    <w:rsid w:val="00406575"/>
    <w:rsid w:val="00411102"/>
    <w:rsid w:val="00414C74"/>
    <w:rsid w:val="00420650"/>
    <w:rsid w:val="00426310"/>
    <w:rsid w:val="0042722E"/>
    <w:rsid w:val="00430AEE"/>
    <w:rsid w:val="0044037C"/>
    <w:rsid w:val="00440D75"/>
    <w:rsid w:val="00441B42"/>
    <w:rsid w:val="00442E6D"/>
    <w:rsid w:val="0044528D"/>
    <w:rsid w:val="004461B0"/>
    <w:rsid w:val="00452F94"/>
    <w:rsid w:val="004550CD"/>
    <w:rsid w:val="00463393"/>
    <w:rsid w:val="0046511B"/>
    <w:rsid w:val="004739C7"/>
    <w:rsid w:val="0047421D"/>
    <w:rsid w:val="004833B9"/>
    <w:rsid w:val="00486687"/>
    <w:rsid w:val="0049167A"/>
    <w:rsid w:val="00493D36"/>
    <w:rsid w:val="004A0628"/>
    <w:rsid w:val="004A1847"/>
    <w:rsid w:val="004A305D"/>
    <w:rsid w:val="004A30C9"/>
    <w:rsid w:val="004A4952"/>
    <w:rsid w:val="004C040C"/>
    <w:rsid w:val="004C72A1"/>
    <w:rsid w:val="004C751A"/>
    <w:rsid w:val="004D22F7"/>
    <w:rsid w:val="004E4C40"/>
    <w:rsid w:val="004E7FAE"/>
    <w:rsid w:val="004F21C4"/>
    <w:rsid w:val="004F364D"/>
    <w:rsid w:val="004F6478"/>
    <w:rsid w:val="004F685F"/>
    <w:rsid w:val="00503786"/>
    <w:rsid w:val="00516129"/>
    <w:rsid w:val="005169C2"/>
    <w:rsid w:val="00517C10"/>
    <w:rsid w:val="00520864"/>
    <w:rsid w:val="005301FB"/>
    <w:rsid w:val="005317FE"/>
    <w:rsid w:val="00535EC6"/>
    <w:rsid w:val="00550931"/>
    <w:rsid w:val="0055389A"/>
    <w:rsid w:val="005566E8"/>
    <w:rsid w:val="005576FC"/>
    <w:rsid w:val="00560352"/>
    <w:rsid w:val="00574867"/>
    <w:rsid w:val="005830F1"/>
    <w:rsid w:val="00591460"/>
    <w:rsid w:val="0059160A"/>
    <w:rsid w:val="00596962"/>
    <w:rsid w:val="005972A9"/>
    <w:rsid w:val="005A202A"/>
    <w:rsid w:val="005A4205"/>
    <w:rsid w:val="005C1345"/>
    <w:rsid w:val="005C3777"/>
    <w:rsid w:val="005C409D"/>
    <w:rsid w:val="005C5CDC"/>
    <w:rsid w:val="005C692A"/>
    <w:rsid w:val="005D1521"/>
    <w:rsid w:val="005D1D9F"/>
    <w:rsid w:val="005D476C"/>
    <w:rsid w:val="005D6497"/>
    <w:rsid w:val="005D6542"/>
    <w:rsid w:val="005E4DF7"/>
    <w:rsid w:val="005E7883"/>
    <w:rsid w:val="005F6411"/>
    <w:rsid w:val="006123C9"/>
    <w:rsid w:val="006157C1"/>
    <w:rsid w:val="00615AA5"/>
    <w:rsid w:val="00620D70"/>
    <w:rsid w:val="006219F8"/>
    <w:rsid w:val="006253D4"/>
    <w:rsid w:val="00625A56"/>
    <w:rsid w:val="006302F7"/>
    <w:rsid w:val="00640803"/>
    <w:rsid w:val="0064149B"/>
    <w:rsid w:val="0066305C"/>
    <w:rsid w:val="00665D70"/>
    <w:rsid w:val="006713F3"/>
    <w:rsid w:val="00675C09"/>
    <w:rsid w:val="00680407"/>
    <w:rsid w:val="00680E31"/>
    <w:rsid w:val="00682D45"/>
    <w:rsid w:val="006900D9"/>
    <w:rsid w:val="00690228"/>
    <w:rsid w:val="006A60AE"/>
    <w:rsid w:val="006A760C"/>
    <w:rsid w:val="006B54D1"/>
    <w:rsid w:val="006B6486"/>
    <w:rsid w:val="006B7447"/>
    <w:rsid w:val="006C58AC"/>
    <w:rsid w:val="006E051E"/>
    <w:rsid w:val="006E1FD3"/>
    <w:rsid w:val="006F33E3"/>
    <w:rsid w:val="006F4526"/>
    <w:rsid w:val="0070052E"/>
    <w:rsid w:val="00706C16"/>
    <w:rsid w:val="00722024"/>
    <w:rsid w:val="00722D0F"/>
    <w:rsid w:val="00722E65"/>
    <w:rsid w:val="00724D86"/>
    <w:rsid w:val="00730C53"/>
    <w:rsid w:val="007327A0"/>
    <w:rsid w:val="00737252"/>
    <w:rsid w:val="00742264"/>
    <w:rsid w:val="00751D89"/>
    <w:rsid w:val="007562F6"/>
    <w:rsid w:val="00756841"/>
    <w:rsid w:val="00756ADB"/>
    <w:rsid w:val="007649AB"/>
    <w:rsid w:val="00771D0C"/>
    <w:rsid w:val="0077551B"/>
    <w:rsid w:val="007813F7"/>
    <w:rsid w:val="00782F2D"/>
    <w:rsid w:val="007833AC"/>
    <w:rsid w:val="007965D0"/>
    <w:rsid w:val="007967DC"/>
    <w:rsid w:val="007A0E99"/>
    <w:rsid w:val="007A347D"/>
    <w:rsid w:val="007A4265"/>
    <w:rsid w:val="007A4B29"/>
    <w:rsid w:val="007A7952"/>
    <w:rsid w:val="007B268C"/>
    <w:rsid w:val="007B7171"/>
    <w:rsid w:val="007C0C0F"/>
    <w:rsid w:val="007C3DC2"/>
    <w:rsid w:val="007C6AE0"/>
    <w:rsid w:val="007D2D6A"/>
    <w:rsid w:val="007D4A91"/>
    <w:rsid w:val="007D6FE2"/>
    <w:rsid w:val="007D7DFD"/>
    <w:rsid w:val="007E5497"/>
    <w:rsid w:val="007E5BB4"/>
    <w:rsid w:val="007F10FB"/>
    <w:rsid w:val="007F24DD"/>
    <w:rsid w:val="007F33F9"/>
    <w:rsid w:val="007F4A1F"/>
    <w:rsid w:val="00806F5F"/>
    <w:rsid w:val="0081044D"/>
    <w:rsid w:val="00820278"/>
    <w:rsid w:val="00823AC6"/>
    <w:rsid w:val="008259CF"/>
    <w:rsid w:val="00825F17"/>
    <w:rsid w:val="008339F3"/>
    <w:rsid w:val="0083573A"/>
    <w:rsid w:val="00842812"/>
    <w:rsid w:val="00842E4F"/>
    <w:rsid w:val="00844717"/>
    <w:rsid w:val="00852168"/>
    <w:rsid w:val="00854D37"/>
    <w:rsid w:val="00867F95"/>
    <w:rsid w:val="00870B5B"/>
    <w:rsid w:val="00875B07"/>
    <w:rsid w:val="008843B6"/>
    <w:rsid w:val="0088442B"/>
    <w:rsid w:val="0088688C"/>
    <w:rsid w:val="00886D64"/>
    <w:rsid w:val="00891928"/>
    <w:rsid w:val="008937A4"/>
    <w:rsid w:val="00897A3A"/>
    <w:rsid w:val="008A446D"/>
    <w:rsid w:val="008B2BF2"/>
    <w:rsid w:val="008B3B0A"/>
    <w:rsid w:val="008C15D2"/>
    <w:rsid w:val="008C4E48"/>
    <w:rsid w:val="008D180B"/>
    <w:rsid w:val="008D4A0E"/>
    <w:rsid w:val="008D7289"/>
    <w:rsid w:val="008E4A24"/>
    <w:rsid w:val="008F0EA7"/>
    <w:rsid w:val="008F4A45"/>
    <w:rsid w:val="008F7B5D"/>
    <w:rsid w:val="00901B4F"/>
    <w:rsid w:val="00903345"/>
    <w:rsid w:val="00923EEF"/>
    <w:rsid w:val="00923EFF"/>
    <w:rsid w:val="00927895"/>
    <w:rsid w:val="00937849"/>
    <w:rsid w:val="009419F9"/>
    <w:rsid w:val="00942490"/>
    <w:rsid w:val="009448A1"/>
    <w:rsid w:val="00944C59"/>
    <w:rsid w:val="00945647"/>
    <w:rsid w:val="0095685E"/>
    <w:rsid w:val="00961099"/>
    <w:rsid w:val="009618FF"/>
    <w:rsid w:val="00961B09"/>
    <w:rsid w:val="00963C68"/>
    <w:rsid w:val="00965334"/>
    <w:rsid w:val="0097093E"/>
    <w:rsid w:val="0097324C"/>
    <w:rsid w:val="0097371E"/>
    <w:rsid w:val="0097674C"/>
    <w:rsid w:val="00980D80"/>
    <w:rsid w:val="0098326D"/>
    <w:rsid w:val="00985C60"/>
    <w:rsid w:val="009877E9"/>
    <w:rsid w:val="009879EA"/>
    <w:rsid w:val="0099029B"/>
    <w:rsid w:val="00993CBB"/>
    <w:rsid w:val="00997373"/>
    <w:rsid w:val="009A0DFA"/>
    <w:rsid w:val="009A6E12"/>
    <w:rsid w:val="009B25A8"/>
    <w:rsid w:val="009B2D26"/>
    <w:rsid w:val="009C1DAD"/>
    <w:rsid w:val="009C5104"/>
    <w:rsid w:val="009C71FA"/>
    <w:rsid w:val="009C72E7"/>
    <w:rsid w:val="009D273D"/>
    <w:rsid w:val="009D3058"/>
    <w:rsid w:val="009D774D"/>
    <w:rsid w:val="009E2ECB"/>
    <w:rsid w:val="009E4BFA"/>
    <w:rsid w:val="009F3A13"/>
    <w:rsid w:val="009F3DF0"/>
    <w:rsid w:val="009F52B0"/>
    <w:rsid w:val="00A0159D"/>
    <w:rsid w:val="00A01788"/>
    <w:rsid w:val="00A03407"/>
    <w:rsid w:val="00A03729"/>
    <w:rsid w:val="00A07365"/>
    <w:rsid w:val="00A1080A"/>
    <w:rsid w:val="00A119E3"/>
    <w:rsid w:val="00A11BEB"/>
    <w:rsid w:val="00A122D3"/>
    <w:rsid w:val="00A12B5E"/>
    <w:rsid w:val="00A1443D"/>
    <w:rsid w:val="00A17F13"/>
    <w:rsid w:val="00A20739"/>
    <w:rsid w:val="00A20CB1"/>
    <w:rsid w:val="00A26574"/>
    <w:rsid w:val="00A33C78"/>
    <w:rsid w:val="00A43251"/>
    <w:rsid w:val="00A46FA6"/>
    <w:rsid w:val="00A56975"/>
    <w:rsid w:val="00A56FED"/>
    <w:rsid w:val="00A76106"/>
    <w:rsid w:val="00A869CD"/>
    <w:rsid w:val="00AA4151"/>
    <w:rsid w:val="00AB0ADB"/>
    <w:rsid w:val="00AC7D5A"/>
    <w:rsid w:val="00AC7E32"/>
    <w:rsid w:val="00AD46FE"/>
    <w:rsid w:val="00AE3BAD"/>
    <w:rsid w:val="00AE7D7A"/>
    <w:rsid w:val="00AF133B"/>
    <w:rsid w:val="00AF33D9"/>
    <w:rsid w:val="00AF5434"/>
    <w:rsid w:val="00AF7609"/>
    <w:rsid w:val="00B00C0E"/>
    <w:rsid w:val="00B01B1A"/>
    <w:rsid w:val="00B13179"/>
    <w:rsid w:val="00B40D6C"/>
    <w:rsid w:val="00B44A47"/>
    <w:rsid w:val="00B44B98"/>
    <w:rsid w:val="00B55D09"/>
    <w:rsid w:val="00B64A68"/>
    <w:rsid w:val="00B72CD3"/>
    <w:rsid w:val="00B72FFF"/>
    <w:rsid w:val="00B801E0"/>
    <w:rsid w:val="00BB4946"/>
    <w:rsid w:val="00BC15DE"/>
    <w:rsid w:val="00BC1926"/>
    <w:rsid w:val="00BC3586"/>
    <w:rsid w:val="00BC3D36"/>
    <w:rsid w:val="00BC67D4"/>
    <w:rsid w:val="00BC6BD6"/>
    <w:rsid w:val="00BD218B"/>
    <w:rsid w:val="00BD7F72"/>
    <w:rsid w:val="00BE0649"/>
    <w:rsid w:val="00BF1519"/>
    <w:rsid w:val="00BF2B31"/>
    <w:rsid w:val="00BF306B"/>
    <w:rsid w:val="00BF367C"/>
    <w:rsid w:val="00BF408C"/>
    <w:rsid w:val="00C00508"/>
    <w:rsid w:val="00C04FB3"/>
    <w:rsid w:val="00C14B99"/>
    <w:rsid w:val="00C27077"/>
    <w:rsid w:val="00C3283C"/>
    <w:rsid w:val="00C330EB"/>
    <w:rsid w:val="00C34276"/>
    <w:rsid w:val="00C45727"/>
    <w:rsid w:val="00C65BAD"/>
    <w:rsid w:val="00C66CFF"/>
    <w:rsid w:val="00C73141"/>
    <w:rsid w:val="00C748B3"/>
    <w:rsid w:val="00C754BE"/>
    <w:rsid w:val="00C76B1C"/>
    <w:rsid w:val="00C77EA5"/>
    <w:rsid w:val="00C81BC5"/>
    <w:rsid w:val="00C8362E"/>
    <w:rsid w:val="00C837D2"/>
    <w:rsid w:val="00CA638F"/>
    <w:rsid w:val="00CB6357"/>
    <w:rsid w:val="00CC1B26"/>
    <w:rsid w:val="00CC3A0C"/>
    <w:rsid w:val="00CC62D6"/>
    <w:rsid w:val="00CD3419"/>
    <w:rsid w:val="00CD39C7"/>
    <w:rsid w:val="00CD4B40"/>
    <w:rsid w:val="00CD4BD0"/>
    <w:rsid w:val="00CE3D2F"/>
    <w:rsid w:val="00CF0E56"/>
    <w:rsid w:val="00CF4F4C"/>
    <w:rsid w:val="00D0412C"/>
    <w:rsid w:val="00D15328"/>
    <w:rsid w:val="00D24803"/>
    <w:rsid w:val="00D369A0"/>
    <w:rsid w:val="00D40997"/>
    <w:rsid w:val="00D423A2"/>
    <w:rsid w:val="00D47D3D"/>
    <w:rsid w:val="00D520CE"/>
    <w:rsid w:val="00D520D8"/>
    <w:rsid w:val="00D53A36"/>
    <w:rsid w:val="00D60BA2"/>
    <w:rsid w:val="00D62DB1"/>
    <w:rsid w:val="00D63AC2"/>
    <w:rsid w:val="00D63C82"/>
    <w:rsid w:val="00D7163F"/>
    <w:rsid w:val="00D71DB7"/>
    <w:rsid w:val="00D7383B"/>
    <w:rsid w:val="00D87836"/>
    <w:rsid w:val="00D912B2"/>
    <w:rsid w:val="00D94438"/>
    <w:rsid w:val="00D946B0"/>
    <w:rsid w:val="00DA1601"/>
    <w:rsid w:val="00DA231B"/>
    <w:rsid w:val="00DA4565"/>
    <w:rsid w:val="00DC39FC"/>
    <w:rsid w:val="00DD1135"/>
    <w:rsid w:val="00DD566D"/>
    <w:rsid w:val="00DD5702"/>
    <w:rsid w:val="00DE22E1"/>
    <w:rsid w:val="00DE72C0"/>
    <w:rsid w:val="00DF00B7"/>
    <w:rsid w:val="00DF5254"/>
    <w:rsid w:val="00E0661A"/>
    <w:rsid w:val="00E07945"/>
    <w:rsid w:val="00E1179D"/>
    <w:rsid w:val="00E16408"/>
    <w:rsid w:val="00E20894"/>
    <w:rsid w:val="00E245AB"/>
    <w:rsid w:val="00E2764C"/>
    <w:rsid w:val="00E27F2E"/>
    <w:rsid w:val="00E34BEA"/>
    <w:rsid w:val="00E40B3B"/>
    <w:rsid w:val="00E50AFE"/>
    <w:rsid w:val="00E52901"/>
    <w:rsid w:val="00E652CA"/>
    <w:rsid w:val="00E66717"/>
    <w:rsid w:val="00E66AD4"/>
    <w:rsid w:val="00E67680"/>
    <w:rsid w:val="00E75C92"/>
    <w:rsid w:val="00E76225"/>
    <w:rsid w:val="00E771DC"/>
    <w:rsid w:val="00E82811"/>
    <w:rsid w:val="00E87434"/>
    <w:rsid w:val="00E8772A"/>
    <w:rsid w:val="00E90495"/>
    <w:rsid w:val="00E90F6B"/>
    <w:rsid w:val="00E92C27"/>
    <w:rsid w:val="00E94C79"/>
    <w:rsid w:val="00E96322"/>
    <w:rsid w:val="00EA0C68"/>
    <w:rsid w:val="00EA0E3D"/>
    <w:rsid w:val="00EB0AA1"/>
    <w:rsid w:val="00EB3E46"/>
    <w:rsid w:val="00EC227B"/>
    <w:rsid w:val="00EC38A7"/>
    <w:rsid w:val="00EC5D5B"/>
    <w:rsid w:val="00EC679A"/>
    <w:rsid w:val="00ED20B8"/>
    <w:rsid w:val="00ED5FD4"/>
    <w:rsid w:val="00ED66F4"/>
    <w:rsid w:val="00ED7276"/>
    <w:rsid w:val="00EE17D8"/>
    <w:rsid w:val="00EE1AA8"/>
    <w:rsid w:val="00EE44AA"/>
    <w:rsid w:val="00EF1EE0"/>
    <w:rsid w:val="00EF2181"/>
    <w:rsid w:val="00F00473"/>
    <w:rsid w:val="00F12276"/>
    <w:rsid w:val="00F146F4"/>
    <w:rsid w:val="00F1796B"/>
    <w:rsid w:val="00F20EBE"/>
    <w:rsid w:val="00F2346B"/>
    <w:rsid w:val="00F31EDC"/>
    <w:rsid w:val="00F36228"/>
    <w:rsid w:val="00F372BB"/>
    <w:rsid w:val="00F41A63"/>
    <w:rsid w:val="00F41CF9"/>
    <w:rsid w:val="00F462B3"/>
    <w:rsid w:val="00F502D3"/>
    <w:rsid w:val="00F52FD5"/>
    <w:rsid w:val="00F5664F"/>
    <w:rsid w:val="00F60A2F"/>
    <w:rsid w:val="00F628BB"/>
    <w:rsid w:val="00F629B6"/>
    <w:rsid w:val="00F663FB"/>
    <w:rsid w:val="00F666C4"/>
    <w:rsid w:val="00F728DC"/>
    <w:rsid w:val="00F76AFC"/>
    <w:rsid w:val="00F923E5"/>
    <w:rsid w:val="00F95342"/>
    <w:rsid w:val="00F97A4F"/>
    <w:rsid w:val="00FA3560"/>
    <w:rsid w:val="00FA47C0"/>
    <w:rsid w:val="00FA74F9"/>
    <w:rsid w:val="00FB34BE"/>
    <w:rsid w:val="00FB5DD1"/>
    <w:rsid w:val="00FB76DE"/>
    <w:rsid w:val="00FC0EC6"/>
    <w:rsid w:val="00FC2B5D"/>
    <w:rsid w:val="00FD2AE6"/>
    <w:rsid w:val="00FD7C20"/>
    <w:rsid w:val="00FE6593"/>
    <w:rsid w:val="00FF1449"/>
    <w:rsid w:val="00FF6E5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ecretaria@fondomixtodesucre.org"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B2C9E5-EEA6-464D-BE61-887302A9D2A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8AA3217-32F5-4050-8A97-63B507DA802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26</Pages>
  <Words>8470</Words>
  <Characters>46589</Characters>
  <Application>Microsoft Office Word</Application>
  <DocSecurity>0</DocSecurity>
  <Lines>388</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Tatiana Baquero Iguarán</cp:lastModifiedBy>
  <cp:revision>5</cp:revision>
  <cp:lastPrinted>2023-01-10T18:18:00Z</cp:lastPrinted>
  <dcterms:created xsi:type="dcterms:W3CDTF">2025-12-31T16:03:00Z</dcterms:created>
  <dcterms:modified xsi:type="dcterms:W3CDTF">2025-12-31T16:05:00Z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