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A0023" w14:textId="77777777" w:rsidR="00123A1C" w:rsidRPr="007F716C" w:rsidRDefault="00123A1C" w:rsidP="00123A1C">
      <w:pPr>
        <w:spacing w:after="0" w:line="240" w:lineRule="auto"/>
        <w:jc w:val="both"/>
        <w:rPr>
          <w:rFonts w:ascii="Verdana" w:eastAsia="Calibri" w:hAnsi="Verdana" w:cs="Arial"/>
          <w:b/>
          <w:bCs/>
          <w:lang w:val="es-ES_tradnl" w:eastAsia="es-ES_tradnl"/>
        </w:rPr>
      </w:pPr>
      <w:bookmarkStart w:id="0" w:name="_Hlk143780582"/>
      <w:r w:rsidRPr="007F716C">
        <w:rPr>
          <w:rFonts w:ascii="Verdana" w:eastAsia="Calibri" w:hAnsi="Verdana" w:cs="Arial"/>
          <w:b/>
          <w:bCs/>
          <w:lang w:val="es-ES_tradnl" w:eastAsia="es-ES_tradnl"/>
        </w:rPr>
        <w:t>PLANEACIÓN CONTRACTUAL – Noción – Obligación de las entidades – Ley 80 de 1993</w:t>
      </w:r>
    </w:p>
    <w:p w14:paraId="2F4430FB" w14:textId="77777777" w:rsidR="00123A1C" w:rsidRPr="00C15FFD" w:rsidRDefault="00123A1C" w:rsidP="00123A1C">
      <w:pPr>
        <w:spacing w:after="0" w:line="240" w:lineRule="auto"/>
        <w:jc w:val="both"/>
        <w:rPr>
          <w:rFonts w:ascii="Verdana" w:eastAsia="Calibri" w:hAnsi="Verdana" w:cs="Arial"/>
          <w:b/>
          <w:bCs/>
          <w:sz w:val="20"/>
          <w:szCs w:val="20"/>
          <w:highlight w:val="yellow"/>
          <w:lang w:val="es-ES_tradnl" w:eastAsia="es-ES_tradnl"/>
        </w:rPr>
      </w:pPr>
    </w:p>
    <w:p w14:paraId="6617E72C" w14:textId="77777777" w:rsidR="00123A1C" w:rsidRDefault="00123A1C" w:rsidP="00123A1C">
      <w:pPr>
        <w:spacing w:after="0" w:line="240" w:lineRule="auto"/>
        <w:jc w:val="both"/>
        <w:rPr>
          <w:rFonts w:ascii="Verdana" w:eastAsia="Aptos" w:hAnsi="Verdana" w:cs="Times New Roman"/>
          <w:sz w:val="20"/>
          <w:szCs w:val="20"/>
        </w:rPr>
      </w:pPr>
      <w:r w:rsidRPr="00024394">
        <w:rPr>
          <w:rFonts w:ascii="Verdana" w:eastAsia="Aptos" w:hAnsi="Verdana" w:cs="Times New Roman"/>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3E0C6298" w14:textId="77777777" w:rsidR="00123A1C" w:rsidRDefault="00123A1C" w:rsidP="00123A1C">
      <w:pPr>
        <w:spacing w:after="0" w:line="240" w:lineRule="auto"/>
        <w:jc w:val="both"/>
        <w:rPr>
          <w:rFonts w:ascii="Verdana" w:eastAsia="Aptos" w:hAnsi="Verdana" w:cs="Times New Roman"/>
          <w:sz w:val="20"/>
          <w:szCs w:val="20"/>
        </w:rPr>
      </w:pPr>
    </w:p>
    <w:p w14:paraId="7C2F325D" w14:textId="77777777" w:rsidR="00123A1C" w:rsidRDefault="00123A1C" w:rsidP="00123A1C">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E17369">
        <w:rPr>
          <w:rFonts w:ascii="Verdana" w:eastAsia="Aptos" w:hAnsi="Verdana" w:cs="Times New Roman"/>
          <w:sz w:val="20"/>
          <w:szCs w:val="20"/>
        </w:rPr>
        <w:t>el Estatuto General de Contratación de la Administración Pública, en adelante EGCAP, contiene disposiciones que exigen a las Entidades Estatales el deber de realizar planeación en la etapa precontractual, esto con el fin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w:t>
      </w:r>
    </w:p>
    <w:p w14:paraId="39AC0F20" w14:textId="77777777" w:rsidR="00123A1C" w:rsidRPr="00C15FFD" w:rsidRDefault="00123A1C" w:rsidP="00123A1C">
      <w:pPr>
        <w:spacing w:after="0" w:line="240" w:lineRule="auto"/>
        <w:jc w:val="both"/>
        <w:rPr>
          <w:rFonts w:ascii="Verdana" w:eastAsia="Aptos" w:hAnsi="Verdana" w:cs="Times New Roman"/>
          <w:sz w:val="20"/>
          <w:szCs w:val="20"/>
          <w:highlight w:val="yellow"/>
        </w:rPr>
      </w:pPr>
    </w:p>
    <w:p w14:paraId="18CD037D" w14:textId="77777777" w:rsidR="00123A1C" w:rsidRPr="002B393F" w:rsidRDefault="00123A1C" w:rsidP="00123A1C">
      <w:pPr>
        <w:spacing w:after="0" w:line="240" w:lineRule="auto"/>
        <w:jc w:val="both"/>
        <w:rPr>
          <w:rFonts w:ascii="Verdana" w:eastAsia="Calibri" w:hAnsi="Verdana" w:cs="Arial"/>
          <w:b/>
          <w:bCs/>
          <w:lang w:val="es-ES" w:eastAsia="es-ES"/>
        </w:rPr>
      </w:pPr>
      <w:r w:rsidRPr="002B393F">
        <w:rPr>
          <w:rFonts w:ascii="Verdana" w:eastAsia="Calibri" w:hAnsi="Verdana" w:cs="Arial"/>
          <w:b/>
          <w:bCs/>
          <w:lang w:val="es-ES" w:eastAsia="es-ES"/>
        </w:rPr>
        <w:t xml:space="preserve">ESTUDIOS PREVIOS </w:t>
      </w:r>
      <w:r>
        <w:rPr>
          <w:rFonts w:ascii="Verdana" w:eastAsia="Calibri" w:hAnsi="Verdana" w:cs="Arial"/>
          <w:b/>
          <w:bCs/>
          <w:lang w:val="es-ES" w:eastAsia="es-ES"/>
        </w:rPr>
        <w:t>–</w:t>
      </w:r>
      <w:r w:rsidRPr="002B393F">
        <w:rPr>
          <w:rFonts w:ascii="Verdana" w:eastAsia="Calibri" w:hAnsi="Verdana" w:cs="Arial"/>
          <w:b/>
          <w:bCs/>
          <w:lang w:val="es-ES" w:eastAsia="es-ES"/>
        </w:rPr>
        <w:t xml:space="preserve"> Finalidad</w:t>
      </w:r>
    </w:p>
    <w:p w14:paraId="0C0B831E" w14:textId="77777777" w:rsidR="00123A1C" w:rsidRPr="00C15FFD" w:rsidRDefault="00123A1C" w:rsidP="00123A1C">
      <w:pPr>
        <w:spacing w:after="0" w:line="240" w:lineRule="auto"/>
        <w:jc w:val="both"/>
        <w:rPr>
          <w:rFonts w:ascii="Verdana" w:eastAsia="Calibri" w:hAnsi="Verdana" w:cs="Arial"/>
          <w:b/>
          <w:bCs/>
          <w:sz w:val="20"/>
          <w:szCs w:val="20"/>
          <w:highlight w:val="yellow"/>
          <w:lang w:val="es-ES_tradnl" w:eastAsia="es-ES_tradnl"/>
        </w:rPr>
      </w:pPr>
    </w:p>
    <w:p w14:paraId="30B1CBEC" w14:textId="77777777" w:rsidR="00123A1C" w:rsidRDefault="00123A1C" w:rsidP="00123A1C">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2B393F">
        <w:rPr>
          <w:rFonts w:ascii="Verdana" w:eastAsia="Aptos" w:hAnsi="Verdana" w:cs="Times New Roman"/>
          <w:sz w:val="20"/>
          <w:szCs w:val="20"/>
        </w:rPr>
        <w:t xml:space="preserve">la Entidad Estatal podrá determinar con los estudios previos: i) la verdadera necesidad de la celebración del contrato; </w:t>
      </w:r>
      <w:proofErr w:type="spellStart"/>
      <w:r w:rsidRPr="002B393F">
        <w:rPr>
          <w:rFonts w:ascii="Verdana" w:eastAsia="Aptos" w:hAnsi="Verdana" w:cs="Times New Roman"/>
          <w:sz w:val="20"/>
          <w:szCs w:val="20"/>
        </w:rPr>
        <w:t>ii</w:t>
      </w:r>
      <w:proofErr w:type="spellEnd"/>
      <w:r w:rsidRPr="002B393F">
        <w:rPr>
          <w:rFonts w:ascii="Verdana" w:eastAsia="Aptos" w:hAnsi="Verdana" w:cs="Times New Roman"/>
          <w:sz w:val="20"/>
          <w:szCs w:val="20"/>
        </w:rPr>
        <w:t xml:space="preserve">) las modalidades existentes para satisfacer esa necesidad y las razones que justifiquen la modalidad o tipo contractual que se escoja; </w:t>
      </w:r>
      <w:proofErr w:type="spellStart"/>
      <w:r w:rsidRPr="002B393F">
        <w:rPr>
          <w:rFonts w:ascii="Verdana" w:eastAsia="Aptos" w:hAnsi="Verdana" w:cs="Times New Roman"/>
          <w:sz w:val="20"/>
          <w:szCs w:val="20"/>
        </w:rPr>
        <w:t>iii</w:t>
      </w:r>
      <w:proofErr w:type="spellEnd"/>
      <w:r w:rsidRPr="002B393F">
        <w:rPr>
          <w:rFonts w:ascii="Verdana" w:eastAsia="Aptos" w:hAnsi="Verdana" w:cs="Times New Roman"/>
          <w:sz w:val="20"/>
          <w:szCs w:val="20"/>
        </w:rPr>
        <w:t xml:space="preserve">) las calidades, especificaciones, cantidades y demás características que puedan o deban reunir los bienes, las obras o los servicios cuya contratación se haya determinado necesaria, </w:t>
      </w:r>
      <w:proofErr w:type="spellStart"/>
      <w:r w:rsidRPr="002B393F">
        <w:rPr>
          <w:rFonts w:ascii="Verdana" w:eastAsia="Aptos" w:hAnsi="Verdana" w:cs="Times New Roman"/>
          <w:sz w:val="20"/>
          <w:szCs w:val="20"/>
        </w:rPr>
        <w:t>iv</w:t>
      </w:r>
      <w:proofErr w:type="spellEnd"/>
      <w:r w:rsidRPr="002B393F">
        <w:rPr>
          <w:rFonts w:ascii="Verdana" w:eastAsia="Aptos" w:hAnsi="Verdana" w:cs="Times New Roman"/>
          <w:sz w:val="20"/>
          <w:szCs w:val="20"/>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2B393F">
        <w:rPr>
          <w:rFonts w:ascii="Verdana" w:eastAsia="Aptos" w:hAnsi="Verdana" w:cs="Times New Roman"/>
          <w:sz w:val="20"/>
          <w:szCs w:val="20"/>
        </w:rPr>
        <w:t>vii</w:t>
      </w:r>
      <w:proofErr w:type="spellEnd"/>
      <w:r w:rsidRPr="002B393F">
        <w:rPr>
          <w:rFonts w:ascii="Verdana" w:eastAsia="Aptos" w:hAnsi="Verdana" w:cs="Times New Roman"/>
          <w:sz w:val="20"/>
          <w:szCs w:val="20"/>
        </w:rPr>
        <w:t>) los procedimientos, trámites y requisitos que deban satisfacerse, reunirse u obtenerse para llevar a cabo la selección del respectivo contratista y la celebración del contrato que se pretenda celebrar. La consideración de todos estos aspectos permite que los contratos resultantes de la planeación cuenten con el sustento técnico, económico y jurídico que incidirá en una adecuada ejecución.</w:t>
      </w:r>
    </w:p>
    <w:p w14:paraId="2FE8F527" w14:textId="77777777" w:rsidR="00123A1C" w:rsidRDefault="00123A1C" w:rsidP="00123A1C">
      <w:pPr>
        <w:spacing w:after="0" w:line="240" w:lineRule="auto"/>
        <w:rPr>
          <w:rFonts w:ascii="Verdana" w:eastAsia="Aptos" w:hAnsi="Verdana" w:cs="Times New Roman"/>
          <w:sz w:val="20"/>
          <w:szCs w:val="20"/>
        </w:rPr>
      </w:pPr>
    </w:p>
    <w:p w14:paraId="17119989" w14:textId="77777777" w:rsidR="00123A1C" w:rsidRPr="002B393F" w:rsidRDefault="00123A1C" w:rsidP="00123A1C">
      <w:pPr>
        <w:spacing w:after="0" w:line="240" w:lineRule="auto"/>
        <w:jc w:val="both"/>
        <w:rPr>
          <w:rFonts w:ascii="Verdana" w:eastAsia="Calibri" w:hAnsi="Verdana" w:cs="Arial"/>
          <w:b/>
          <w:bCs/>
          <w:lang w:val="es-ES" w:eastAsia="es-ES"/>
        </w:rPr>
      </w:pPr>
      <w:r w:rsidRPr="002B393F">
        <w:rPr>
          <w:rFonts w:ascii="Verdana" w:eastAsia="Calibri" w:hAnsi="Verdana" w:cs="Arial"/>
          <w:b/>
          <w:bCs/>
          <w:lang w:val="es-ES" w:eastAsia="es-ES"/>
        </w:rPr>
        <w:t xml:space="preserve">ESTUDIOS </w:t>
      </w:r>
      <w:r>
        <w:rPr>
          <w:rFonts w:ascii="Verdana" w:eastAsia="Calibri" w:hAnsi="Verdana" w:cs="Arial"/>
          <w:b/>
          <w:bCs/>
          <w:lang w:val="es-ES" w:eastAsia="es-ES"/>
        </w:rPr>
        <w:t>DE MERCADO</w:t>
      </w:r>
      <w:r w:rsidRPr="002B393F">
        <w:rPr>
          <w:rFonts w:ascii="Verdana" w:eastAsia="Calibri" w:hAnsi="Verdana" w:cs="Arial"/>
          <w:b/>
          <w:bCs/>
          <w:lang w:val="es-ES" w:eastAsia="es-ES"/>
        </w:rPr>
        <w:t xml:space="preserve"> </w:t>
      </w:r>
      <w:r>
        <w:rPr>
          <w:rFonts w:ascii="Verdana" w:eastAsia="Calibri" w:hAnsi="Verdana" w:cs="Arial"/>
          <w:b/>
          <w:bCs/>
          <w:lang w:val="es-ES" w:eastAsia="es-ES"/>
        </w:rPr>
        <w:t>–</w:t>
      </w:r>
      <w:r w:rsidRPr="002B393F">
        <w:rPr>
          <w:rFonts w:ascii="Verdana" w:eastAsia="Calibri" w:hAnsi="Verdana" w:cs="Arial"/>
          <w:b/>
          <w:bCs/>
          <w:lang w:val="es-ES" w:eastAsia="es-ES"/>
        </w:rPr>
        <w:t xml:space="preserve"> </w:t>
      </w:r>
      <w:r>
        <w:rPr>
          <w:rFonts w:ascii="Verdana" w:eastAsia="Calibri" w:hAnsi="Verdana" w:cs="Arial"/>
          <w:b/>
          <w:bCs/>
          <w:lang w:val="es-ES" w:eastAsia="es-ES"/>
        </w:rPr>
        <w:t>Finalidad – Recomendaciones – Colombia compra eficiente – Guía de elaboración de estudios del sector</w:t>
      </w:r>
    </w:p>
    <w:p w14:paraId="193BD15F" w14:textId="77777777" w:rsidR="00123A1C" w:rsidRDefault="00123A1C" w:rsidP="00123A1C">
      <w:pPr>
        <w:spacing w:after="0" w:line="240" w:lineRule="auto"/>
        <w:rPr>
          <w:rFonts w:ascii="Verdana" w:eastAsia="Aptos" w:hAnsi="Verdana" w:cs="Times New Roman"/>
          <w:sz w:val="20"/>
          <w:szCs w:val="20"/>
        </w:rPr>
      </w:pPr>
    </w:p>
    <w:p w14:paraId="26DBF09F" w14:textId="77777777" w:rsidR="00123A1C" w:rsidRDefault="00123A1C" w:rsidP="00123A1C">
      <w:pPr>
        <w:spacing w:after="0" w:line="240" w:lineRule="auto"/>
        <w:jc w:val="both"/>
        <w:rPr>
          <w:rFonts w:ascii="Verdana" w:eastAsia="Aptos" w:hAnsi="Verdana" w:cs="Times New Roman"/>
          <w:sz w:val="20"/>
          <w:szCs w:val="20"/>
        </w:rPr>
      </w:pPr>
      <w:r>
        <w:rPr>
          <w:rFonts w:ascii="Verdana" w:eastAsia="Aptos" w:hAnsi="Verdana" w:cs="Times New Roman"/>
          <w:sz w:val="20"/>
          <w:szCs w:val="20"/>
        </w:rPr>
        <w:t xml:space="preserve">[…] </w:t>
      </w:r>
      <w:r w:rsidRPr="004A1D12">
        <w:rPr>
          <w:rFonts w:ascii="Verdana" w:eastAsia="Aptos" w:hAnsi="Verdana" w:cs="Times New Roman"/>
          <w:sz w:val="20"/>
          <w:szCs w:val="20"/>
        </w:rPr>
        <w:t>este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Este estudio de mercado debe responder claramente a las dinámicas de precio y, de esta manera, establecer el presupuesto oficial del proceso de contratación.</w:t>
      </w:r>
      <w:r w:rsidRPr="00A562DF">
        <w:t xml:space="preserve"> </w:t>
      </w:r>
      <w:r w:rsidRPr="00A562DF">
        <w:rPr>
          <w:rFonts w:ascii="Verdana" w:eastAsia="Aptos" w:hAnsi="Verdana" w:cs="Times New Roman"/>
          <w:sz w:val="20"/>
          <w:szCs w:val="20"/>
        </w:rPr>
        <w:t xml:space="preserve">De esta forma, se tiene </w:t>
      </w:r>
      <w:r w:rsidRPr="00A562DF">
        <w:rPr>
          <w:rFonts w:ascii="Verdana" w:eastAsia="Aptos" w:hAnsi="Verdana" w:cs="Times New Roman"/>
          <w:sz w:val="20"/>
          <w:szCs w:val="20"/>
        </w:rPr>
        <w:lastRenderedPageBreak/>
        <w:t>que, la Guía de Elaboración de Estudios del Sector en el numeral 1.3.4, propone a las Entidades Estatales los siguientes mecanismos para elaborar el estudio de precios de mercado:</w:t>
      </w:r>
      <w:r>
        <w:rPr>
          <w:rFonts w:ascii="Verdana" w:eastAsia="Aptos" w:hAnsi="Verdana" w:cs="Times New Roman"/>
          <w:sz w:val="20"/>
          <w:szCs w:val="20"/>
        </w:rPr>
        <w:t xml:space="preserve"> i</w:t>
      </w:r>
      <w:r w:rsidRPr="00A562DF">
        <w:rPr>
          <w:rFonts w:ascii="Verdana" w:eastAsia="Aptos" w:hAnsi="Verdana" w:cs="Times New Roman"/>
          <w:sz w:val="20"/>
          <w:szCs w:val="20"/>
        </w:rPr>
        <w:t>) Revisión de precios por solicitud de cotizaciones</w:t>
      </w:r>
      <w:r>
        <w:rPr>
          <w:rFonts w:ascii="Verdana" w:eastAsia="Aptos" w:hAnsi="Verdana" w:cs="Times New Roman"/>
          <w:sz w:val="20"/>
          <w:szCs w:val="20"/>
        </w:rPr>
        <w:t xml:space="preserve"> […]. </w:t>
      </w:r>
      <w:proofErr w:type="spellStart"/>
      <w:r>
        <w:rPr>
          <w:rFonts w:ascii="Verdana" w:eastAsia="Aptos" w:hAnsi="Verdana" w:cs="Times New Roman"/>
          <w:sz w:val="20"/>
          <w:szCs w:val="20"/>
        </w:rPr>
        <w:t>ii</w:t>
      </w:r>
      <w:proofErr w:type="spellEnd"/>
      <w:r>
        <w:rPr>
          <w:rFonts w:ascii="Verdana" w:eastAsia="Aptos" w:hAnsi="Verdana" w:cs="Times New Roman"/>
          <w:sz w:val="20"/>
          <w:szCs w:val="20"/>
        </w:rPr>
        <w:t xml:space="preserve">) </w:t>
      </w:r>
      <w:r w:rsidRPr="00A562DF">
        <w:rPr>
          <w:rFonts w:ascii="Verdana" w:eastAsia="Aptos" w:hAnsi="Verdana" w:cs="Times New Roman"/>
          <w:sz w:val="20"/>
          <w:szCs w:val="20"/>
        </w:rPr>
        <w:t>verificarse la ocurrencia de circunstancias que eventualmente pueden distorsionar los precios del mercado</w:t>
      </w:r>
      <w:r>
        <w:rPr>
          <w:rFonts w:ascii="Verdana" w:eastAsia="Aptos" w:hAnsi="Verdana" w:cs="Times New Roman"/>
          <w:sz w:val="20"/>
          <w:szCs w:val="20"/>
        </w:rPr>
        <w:t xml:space="preserve"> […]. </w:t>
      </w:r>
      <w:proofErr w:type="spellStart"/>
      <w:r>
        <w:rPr>
          <w:rFonts w:ascii="Verdana" w:eastAsia="Aptos" w:hAnsi="Verdana" w:cs="Times New Roman"/>
          <w:sz w:val="20"/>
          <w:szCs w:val="20"/>
        </w:rPr>
        <w:t>iii</w:t>
      </w:r>
      <w:proofErr w:type="spellEnd"/>
      <w:r>
        <w:rPr>
          <w:rFonts w:ascii="Verdana" w:eastAsia="Aptos" w:hAnsi="Verdana" w:cs="Times New Roman"/>
          <w:sz w:val="20"/>
          <w:szCs w:val="20"/>
        </w:rPr>
        <w:t>)</w:t>
      </w:r>
      <w:r w:rsidRPr="00A562DF">
        <w:t xml:space="preserve"> </w:t>
      </w:r>
      <w:r w:rsidRPr="00A562DF">
        <w:rPr>
          <w:rFonts w:ascii="Verdana" w:eastAsia="Aptos" w:hAnsi="Verdana" w:cs="Times New Roman"/>
          <w:sz w:val="20"/>
          <w:szCs w:val="20"/>
        </w:rPr>
        <w:t>Revisión de bases de datos especializadas</w:t>
      </w:r>
      <w:r>
        <w:rPr>
          <w:rFonts w:ascii="Verdana" w:eastAsia="Aptos" w:hAnsi="Verdana" w:cs="Times New Roman"/>
          <w:sz w:val="20"/>
          <w:szCs w:val="20"/>
        </w:rPr>
        <w:t xml:space="preserve">. </w:t>
      </w:r>
      <w:proofErr w:type="spellStart"/>
      <w:r>
        <w:rPr>
          <w:rFonts w:ascii="Verdana" w:eastAsia="Aptos" w:hAnsi="Verdana" w:cs="Times New Roman"/>
          <w:sz w:val="20"/>
          <w:szCs w:val="20"/>
        </w:rPr>
        <w:t>iv</w:t>
      </w:r>
      <w:proofErr w:type="spellEnd"/>
      <w:r>
        <w:rPr>
          <w:rFonts w:ascii="Verdana" w:eastAsia="Aptos" w:hAnsi="Verdana" w:cs="Times New Roman"/>
          <w:sz w:val="20"/>
          <w:szCs w:val="20"/>
        </w:rPr>
        <w:t>)</w:t>
      </w:r>
      <w:r w:rsidRPr="0039462C">
        <w:t xml:space="preserve"> </w:t>
      </w:r>
      <w:r w:rsidRPr="0039462C">
        <w:rPr>
          <w:rFonts w:ascii="Verdana" w:eastAsia="Aptos" w:hAnsi="Verdana" w:cs="Times New Roman"/>
          <w:sz w:val="20"/>
          <w:szCs w:val="20"/>
        </w:rPr>
        <w:t>Revisión de precios históricos</w:t>
      </w:r>
      <w:r>
        <w:rPr>
          <w:rFonts w:ascii="Verdana" w:eastAsia="Aptos" w:hAnsi="Verdana" w:cs="Times New Roman"/>
          <w:sz w:val="20"/>
          <w:szCs w:val="20"/>
        </w:rPr>
        <w:t xml:space="preserve"> […]</w:t>
      </w:r>
    </w:p>
    <w:p w14:paraId="5EAAC5B2" w14:textId="77777777" w:rsidR="00123A1C" w:rsidRDefault="00123A1C" w:rsidP="00123A1C">
      <w:pPr>
        <w:spacing w:after="0" w:line="240" w:lineRule="auto"/>
        <w:rPr>
          <w:rFonts w:ascii="Verdana" w:eastAsia="Geomanist Light" w:hAnsi="Verdana" w:cs="Arial"/>
          <w:color w:val="000000" w:themeColor="text1"/>
        </w:rPr>
      </w:pPr>
    </w:p>
    <w:p w14:paraId="586F37DF" w14:textId="77777777" w:rsidR="00123A1C" w:rsidRPr="00D965A5" w:rsidRDefault="00123A1C" w:rsidP="00123A1C">
      <w:pPr>
        <w:spacing w:after="0" w:line="240" w:lineRule="auto"/>
        <w:jc w:val="both"/>
        <w:rPr>
          <w:rFonts w:ascii="Verdana" w:eastAsia="Calibri" w:hAnsi="Verdana" w:cs="Arial"/>
          <w:b/>
          <w:bCs/>
          <w:lang w:val="pt-BR" w:eastAsia="es-ES"/>
        </w:rPr>
      </w:pPr>
      <w:r w:rsidRPr="00D965A5">
        <w:rPr>
          <w:rFonts w:ascii="Verdana" w:eastAsia="Calibri" w:hAnsi="Verdana" w:cs="Arial"/>
          <w:b/>
          <w:bCs/>
          <w:lang w:val="pt-BR" w:eastAsia="es-ES"/>
        </w:rPr>
        <w:t>CONTRATO DE OBRA PÚBLICA – Concepto – Sentido restringido</w:t>
      </w:r>
    </w:p>
    <w:p w14:paraId="3DBF49AB" w14:textId="77777777" w:rsidR="00123A1C" w:rsidRPr="00D965A5" w:rsidRDefault="00123A1C" w:rsidP="00123A1C">
      <w:pPr>
        <w:spacing w:after="0" w:line="240" w:lineRule="auto"/>
        <w:jc w:val="both"/>
        <w:rPr>
          <w:rFonts w:ascii="Verdana" w:eastAsia="Calibri" w:hAnsi="Verdana" w:cs="Arial"/>
          <w:sz w:val="20"/>
          <w:szCs w:val="20"/>
          <w:lang w:val="pt-BR" w:eastAsia="es-ES"/>
        </w:rPr>
      </w:pPr>
    </w:p>
    <w:p w14:paraId="6E79EEEC" w14:textId="77777777" w:rsidR="00123A1C" w:rsidRPr="00123DAA" w:rsidRDefault="00123A1C" w:rsidP="00123A1C">
      <w:pPr>
        <w:spacing w:after="0" w:line="240" w:lineRule="auto"/>
        <w:jc w:val="both"/>
        <w:rPr>
          <w:rFonts w:ascii="Verdana" w:eastAsia="Calibri" w:hAnsi="Verdana" w:cs="Arial"/>
          <w:sz w:val="20"/>
          <w:szCs w:val="20"/>
          <w:lang w:val="es-ES_tradnl" w:eastAsia="es-ES"/>
        </w:rPr>
      </w:pPr>
      <w:r w:rsidRPr="00123DAA">
        <w:rPr>
          <w:rFonts w:ascii="Verdana" w:eastAsia="Calibri" w:hAnsi="Verdana" w:cs="Arial"/>
          <w:sz w:val="20"/>
          <w:szCs w:val="20"/>
          <w:lang w:val="es-ES_tradnl" w:eastAsia="es-ES"/>
        </w:rPr>
        <w:t xml:space="preserve">En </w:t>
      </w:r>
      <w:r w:rsidRPr="00123DAA">
        <w:rPr>
          <w:rFonts w:ascii="Verdana" w:eastAsia="Calibri" w:hAnsi="Verdana" w:cs="Arial"/>
          <w:i/>
          <w:iCs/>
          <w:sz w:val="20"/>
          <w:szCs w:val="20"/>
          <w:lang w:val="es-ES_tradnl" w:eastAsia="es-ES"/>
        </w:rPr>
        <w:t>sentido amplio</w:t>
      </w:r>
      <w:r w:rsidRPr="00123DAA">
        <w:rPr>
          <w:rFonts w:ascii="Verdana" w:eastAsia="Calibri" w:hAnsi="Verdana" w:cs="Arial"/>
          <w:sz w:val="20"/>
          <w:szCs w:val="20"/>
          <w:lang w:val="es-ES_tradnl" w:eastAsia="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123DAA">
        <w:rPr>
          <w:rFonts w:ascii="Verdana" w:eastAsia="Calibri" w:hAnsi="Verdana" w:cs="Arial"/>
          <w:i/>
          <w:iCs/>
          <w:sz w:val="20"/>
          <w:szCs w:val="20"/>
          <w:lang w:val="es-ES_tradnl" w:eastAsia="es-ES"/>
        </w:rPr>
        <w:t>sentido restringido</w:t>
      </w:r>
      <w:r w:rsidRPr="00123DAA">
        <w:rPr>
          <w:rFonts w:ascii="Verdana" w:eastAsia="Calibri" w:hAnsi="Verdana" w:cs="Arial"/>
          <w:sz w:val="20"/>
          <w:szCs w:val="20"/>
          <w:lang w:val="es-ES_tradnl" w:eastAsia="es-ES"/>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56CFD0B7" w14:textId="77777777" w:rsidR="00123A1C" w:rsidRPr="00123DAA" w:rsidRDefault="00123A1C" w:rsidP="00123A1C">
      <w:pPr>
        <w:spacing w:after="0" w:line="240" w:lineRule="auto"/>
        <w:jc w:val="both"/>
        <w:rPr>
          <w:rFonts w:ascii="Verdana" w:eastAsia="Calibri" w:hAnsi="Verdana" w:cs="Arial"/>
          <w:sz w:val="20"/>
          <w:szCs w:val="20"/>
          <w:lang w:val="es-ES_tradnl" w:eastAsia="es-ES"/>
        </w:rPr>
      </w:pPr>
    </w:p>
    <w:p w14:paraId="7D86D56B" w14:textId="77777777" w:rsidR="00123A1C" w:rsidRPr="00123DAA" w:rsidRDefault="00123A1C" w:rsidP="00123A1C">
      <w:pPr>
        <w:spacing w:after="0" w:line="240" w:lineRule="auto"/>
        <w:jc w:val="both"/>
        <w:rPr>
          <w:rFonts w:ascii="Verdana" w:eastAsia="Calibri" w:hAnsi="Verdana" w:cs="Arial"/>
          <w:sz w:val="20"/>
          <w:szCs w:val="20"/>
          <w:lang w:val="es-ES_tradnl" w:eastAsia="es-ES"/>
        </w:rPr>
      </w:pPr>
      <w:r w:rsidRPr="00B73955">
        <w:rPr>
          <w:rFonts w:ascii="Verdana" w:eastAsia="Calibri" w:hAnsi="Verdana" w:cs="Arial"/>
          <w:b/>
          <w:bCs/>
          <w:lang w:val="es-ES_tradnl" w:eastAsia="es-ES"/>
        </w:rPr>
        <w:t>DISEÑOS, ESTUDIOS Y OBRA – Contratación – Viabilidad del proyecto</w:t>
      </w:r>
    </w:p>
    <w:p w14:paraId="38B65B03" w14:textId="77777777" w:rsidR="00123A1C" w:rsidRDefault="00123A1C" w:rsidP="00123A1C">
      <w:pPr>
        <w:spacing w:after="0" w:line="240" w:lineRule="auto"/>
        <w:jc w:val="both"/>
        <w:rPr>
          <w:rFonts w:ascii="Verdana" w:eastAsia="Calibri" w:hAnsi="Verdana" w:cs="Arial"/>
          <w:sz w:val="20"/>
          <w:szCs w:val="20"/>
          <w:lang w:val="es-ES_tradnl" w:eastAsia="es-ES"/>
        </w:rPr>
      </w:pPr>
    </w:p>
    <w:p w14:paraId="46CE66B8" w14:textId="77777777" w:rsidR="00123A1C" w:rsidRDefault="00123A1C" w:rsidP="00123A1C">
      <w:pPr>
        <w:spacing w:after="0" w:line="240" w:lineRule="auto"/>
        <w:jc w:val="both"/>
        <w:rPr>
          <w:rFonts w:ascii="Verdana" w:eastAsia="Calibri" w:hAnsi="Verdana" w:cs="Arial"/>
          <w:sz w:val="20"/>
          <w:szCs w:val="20"/>
          <w:lang w:val="es-ES_tradnl" w:eastAsia="es-ES"/>
        </w:rPr>
      </w:pPr>
      <w:r w:rsidRPr="00B73955">
        <w:rPr>
          <w:rFonts w:ascii="Verdana" w:eastAsia="Calibri" w:hAnsi="Verdana" w:cs="Arial"/>
          <w:sz w:val="20"/>
          <w:szCs w:val="20"/>
          <w:lang w:val="es-ES_tradnl" w:eastAsia="es-ES"/>
        </w:rPr>
        <w:t xml:space="preserve">Previo al inicio de un proceso de selección para la contratación de una obra pública, la entidad estatal debe contar con “los estudios y diseños que permitan establecer la viabilidad del proyecto y su impacto social, económico y ambiental” en los términos del numeral 12 del artículo 25 de la Ley 80 de 1993, modificado por el artículo 87 de la Ley 1474 de 2011.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77477882" w14:textId="77777777" w:rsidR="00123A1C" w:rsidRPr="00B73955" w:rsidRDefault="00123A1C" w:rsidP="00123A1C">
      <w:pPr>
        <w:spacing w:after="0" w:line="240" w:lineRule="auto"/>
        <w:jc w:val="both"/>
        <w:rPr>
          <w:rFonts w:ascii="Verdana" w:eastAsia="Calibri" w:hAnsi="Verdana" w:cs="Arial"/>
          <w:sz w:val="20"/>
          <w:szCs w:val="20"/>
          <w:lang w:val="es-ES_tradnl" w:eastAsia="es-ES"/>
        </w:rPr>
      </w:pPr>
    </w:p>
    <w:p w14:paraId="0BE70100" w14:textId="77777777" w:rsidR="00123A1C" w:rsidRDefault="00123A1C" w:rsidP="00123A1C">
      <w:pPr>
        <w:spacing w:after="0" w:line="240" w:lineRule="auto"/>
        <w:jc w:val="both"/>
        <w:rPr>
          <w:rFonts w:ascii="Verdana" w:eastAsia="Calibri" w:hAnsi="Verdana" w:cs="Arial"/>
          <w:sz w:val="20"/>
          <w:szCs w:val="20"/>
          <w:lang w:val="es-ES_tradnl" w:eastAsia="es-ES"/>
        </w:rPr>
      </w:pPr>
      <w:r w:rsidRPr="00B73955">
        <w:rPr>
          <w:rFonts w:ascii="Verdana" w:eastAsia="Calibri" w:hAnsi="Verdana" w:cs="Arial"/>
          <w:sz w:val="20"/>
          <w:szCs w:val="20"/>
          <w:lang w:val="es-ES_tradnl" w:eastAsia="es-ES"/>
        </w:rPr>
        <w:t>Igualmente, para los procesos de licitación pública, el numeral primero del artículo 30 ibidem prescribe que “De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Cuando sea necesario, el estudio deberá estar acompañado, además, de los diseños, planos y evaluaciones de prefactibilidad o factibilidad” (Énfasis fuera de texto)</w:t>
      </w:r>
      <w:r w:rsidRPr="00123DAA">
        <w:rPr>
          <w:rFonts w:ascii="Verdana" w:eastAsia="Calibri" w:hAnsi="Verdana" w:cs="Arial"/>
          <w:sz w:val="20"/>
          <w:szCs w:val="20"/>
          <w:lang w:val="es-ES_tradnl" w:eastAsia="es-ES"/>
        </w:rPr>
        <w:t>.</w:t>
      </w:r>
    </w:p>
    <w:p w14:paraId="381E1486" w14:textId="77777777" w:rsidR="00123A1C" w:rsidRPr="00123DAA" w:rsidRDefault="00123A1C" w:rsidP="00123A1C">
      <w:pPr>
        <w:spacing w:after="0" w:line="240" w:lineRule="auto"/>
        <w:jc w:val="both"/>
        <w:rPr>
          <w:rFonts w:ascii="Verdana" w:eastAsia="Calibri" w:hAnsi="Verdana" w:cs="Arial"/>
          <w:sz w:val="20"/>
          <w:szCs w:val="20"/>
          <w:lang w:val="es-ES_tradnl" w:eastAsia="es-ES"/>
        </w:rPr>
      </w:pPr>
    </w:p>
    <w:p w14:paraId="75062301" w14:textId="77777777" w:rsidR="00123A1C" w:rsidRPr="00123DAA" w:rsidRDefault="00123A1C" w:rsidP="00123A1C">
      <w:pPr>
        <w:spacing w:after="0" w:line="240" w:lineRule="auto"/>
        <w:jc w:val="both"/>
        <w:rPr>
          <w:rFonts w:ascii="Verdana" w:eastAsia="Calibri" w:hAnsi="Verdana" w:cs="Arial"/>
          <w:sz w:val="20"/>
          <w:szCs w:val="20"/>
          <w:lang w:val="es-ES_tradnl" w:eastAsia="es-ES"/>
        </w:rPr>
      </w:pPr>
      <w:r w:rsidRPr="00B73955">
        <w:rPr>
          <w:rFonts w:ascii="Verdana" w:eastAsia="Calibri" w:hAnsi="Verdana" w:cs="Arial"/>
          <w:b/>
          <w:bCs/>
          <w:lang w:val="es-ES_tradnl" w:eastAsia="es-ES"/>
        </w:rPr>
        <w:t>DISEÑOS</w:t>
      </w:r>
      <w:r>
        <w:rPr>
          <w:rFonts w:ascii="Verdana" w:eastAsia="Calibri" w:hAnsi="Verdana" w:cs="Arial"/>
          <w:b/>
          <w:bCs/>
          <w:lang w:val="es-ES_tradnl" w:eastAsia="es-ES"/>
        </w:rPr>
        <w:t xml:space="preserve"> Y</w:t>
      </w:r>
      <w:r w:rsidRPr="00B73955">
        <w:rPr>
          <w:rFonts w:ascii="Verdana" w:eastAsia="Calibri" w:hAnsi="Verdana" w:cs="Arial"/>
          <w:b/>
          <w:bCs/>
          <w:lang w:val="es-ES_tradnl" w:eastAsia="es-ES"/>
        </w:rPr>
        <w:t xml:space="preserve"> ESTUDIOS </w:t>
      </w:r>
      <w:r>
        <w:rPr>
          <w:rFonts w:ascii="Verdana" w:eastAsia="Calibri" w:hAnsi="Verdana" w:cs="Arial"/>
          <w:b/>
          <w:bCs/>
          <w:lang w:val="es-ES_tradnl" w:eastAsia="es-ES"/>
        </w:rPr>
        <w:t>DE LA</w:t>
      </w:r>
      <w:r w:rsidRPr="00B73955">
        <w:rPr>
          <w:rFonts w:ascii="Verdana" w:eastAsia="Calibri" w:hAnsi="Verdana" w:cs="Arial"/>
          <w:b/>
          <w:bCs/>
          <w:lang w:val="es-ES_tradnl" w:eastAsia="es-ES"/>
        </w:rPr>
        <w:t xml:space="preserve"> OBRA – </w:t>
      </w:r>
      <w:r>
        <w:rPr>
          <w:rFonts w:ascii="Verdana" w:eastAsia="Calibri" w:hAnsi="Verdana" w:cs="Arial"/>
          <w:b/>
          <w:bCs/>
          <w:lang w:val="es-ES_tradnl" w:eastAsia="es-ES"/>
        </w:rPr>
        <w:t>A</w:t>
      </w:r>
      <w:r w:rsidRPr="00B73955">
        <w:rPr>
          <w:rFonts w:ascii="Verdana" w:eastAsia="Calibri" w:hAnsi="Verdana" w:cs="Arial"/>
          <w:b/>
          <w:bCs/>
          <w:lang w:val="es-ES_tradnl" w:eastAsia="es-ES"/>
        </w:rPr>
        <w:t>just</w:t>
      </w:r>
      <w:r>
        <w:rPr>
          <w:rFonts w:ascii="Verdana" w:eastAsia="Calibri" w:hAnsi="Verdana" w:cs="Arial"/>
          <w:b/>
          <w:bCs/>
          <w:lang w:val="es-ES_tradnl" w:eastAsia="es-ES"/>
        </w:rPr>
        <w:t>es –</w:t>
      </w:r>
      <w:r w:rsidRPr="00B73955">
        <w:rPr>
          <w:rFonts w:ascii="Verdana" w:eastAsia="Calibri" w:hAnsi="Verdana" w:cs="Arial"/>
          <w:b/>
          <w:bCs/>
          <w:lang w:val="es-ES_tradnl" w:eastAsia="es-ES"/>
        </w:rPr>
        <w:t xml:space="preserve"> </w:t>
      </w:r>
      <w:r>
        <w:rPr>
          <w:rFonts w:ascii="Verdana" w:eastAsia="Calibri" w:hAnsi="Verdana" w:cs="Arial"/>
          <w:b/>
          <w:bCs/>
          <w:lang w:val="es-ES_tradnl" w:eastAsia="es-ES"/>
        </w:rPr>
        <w:t>R</w:t>
      </w:r>
      <w:r w:rsidRPr="00B73955">
        <w:rPr>
          <w:rFonts w:ascii="Verdana" w:eastAsia="Calibri" w:hAnsi="Verdana" w:cs="Arial"/>
          <w:b/>
          <w:bCs/>
          <w:lang w:val="es-ES_tradnl" w:eastAsia="es-ES"/>
        </w:rPr>
        <w:t>evis</w:t>
      </w:r>
      <w:r>
        <w:rPr>
          <w:rFonts w:ascii="Verdana" w:eastAsia="Calibri" w:hAnsi="Verdana" w:cs="Arial"/>
          <w:b/>
          <w:bCs/>
          <w:lang w:val="es-ES_tradnl" w:eastAsia="es-ES"/>
        </w:rPr>
        <w:t>iones</w:t>
      </w:r>
      <w:r w:rsidRPr="00B73955">
        <w:rPr>
          <w:rFonts w:ascii="Verdana" w:eastAsia="Calibri" w:hAnsi="Verdana" w:cs="Arial"/>
          <w:b/>
          <w:bCs/>
          <w:lang w:val="es-ES_tradnl" w:eastAsia="es-ES"/>
        </w:rPr>
        <w:t xml:space="preserve"> </w:t>
      </w:r>
      <w:r>
        <w:rPr>
          <w:rFonts w:ascii="Verdana" w:eastAsia="Calibri" w:hAnsi="Verdana" w:cs="Arial"/>
          <w:b/>
          <w:bCs/>
          <w:lang w:val="es-ES_tradnl" w:eastAsia="es-ES"/>
        </w:rPr>
        <w:t>– M</w:t>
      </w:r>
      <w:r w:rsidRPr="00B73955">
        <w:rPr>
          <w:rFonts w:ascii="Verdana" w:eastAsia="Calibri" w:hAnsi="Verdana" w:cs="Arial"/>
          <w:b/>
          <w:bCs/>
          <w:lang w:val="es-ES_tradnl" w:eastAsia="es-ES"/>
        </w:rPr>
        <w:t>odifica</w:t>
      </w:r>
      <w:r>
        <w:rPr>
          <w:rFonts w:ascii="Verdana" w:eastAsia="Calibri" w:hAnsi="Verdana" w:cs="Arial"/>
          <w:b/>
          <w:bCs/>
          <w:lang w:val="es-ES_tradnl" w:eastAsia="es-ES"/>
        </w:rPr>
        <w:t>ciones – Procedencia</w:t>
      </w:r>
    </w:p>
    <w:p w14:paraId="0779E4C3" w14:textId="77777777" w:rsidR="00123A1C" w:rsidRDefault="00123A1C" w:rsidP="00123A1C">
      <w:pPr>
        <w:spacing w:after="0" w:line="240" w:lineRule="auto"/>
        <w:jc w:val="both"/>
        <w:rPr>
          <w:rFonts w:ascii="Verdana" w:eastAsia="Calibri" w:hAnsi="Verdana" w:cs="Arial"/>
          <w:sz w:val="20"/>
          <w:szCs w:val="20"/>
          <w:lang w:val="es-ES_tradnl" w:eastAsia="es-ES"/>
        </w:rPr>
      </w:pPr>
    </w:p>
    <w:p w14:paraId="6A49C901" w14:textId="77777777" w:rsidR="00123A1C" w:rsidRDefault="00123A1C" w:rsidP="00123A1C">
      <w:pPr>
        <w:spacing w:after="0" w:line="240" w:lineRule="auto"/>
        <w:jc w:val="both"/>
        <w:rPr>
          <w:rFonts w:ascii="Verdana" w:eastAsia="Calibri" w:hAnsi="Verdana" w:cs="Arial"/>
          <w:sz w:val="20"/>
          <w:szCs w:val="20"/>
          <w:lang w:val="es-ES_tradnl" w:eastAsia="es-ES"/>
        </w:rPr>
      </w:pPr>
      <w:r w:rsidRPr="00B73955">
        <w:rPr>
          <w:rFonts w:ascii="Verdana" w:eastAsia="Calibri" w:hAnsi="Verdana" w:cs="Arial"/>
          <w:sz w:val="20"/>
          <w:szCs w:val="20"/>
          <w:lang w:val="es-ES_tradnl" w:eastAsia="es-ES"/>
        </w:rPr>
        <w:t xml:space="preserve">Previo al inicio de un proceso de selección para la contratación de una obra pública, la entidad estatal debe contar con “los estudios y diseños que permitan establecer la viabilidad del proyecto y su impacto social, económico y ambiental” en los términos del numeral 12 del artículo 25 de la Ley 80 de 1993, modificado por el artículo 87 de la Ley 1474 de 2011. Incluso, el numeral 3 del artículo 26 del Estatuto General de Contratación de la Administración Pública prescribe que las entidades y los servidores públicos </w:t>
      </w:r>
      <w:r w:rsidRPr="00B73955">
        <w:rPr>
          <w:rFonts w:ascii="Verdana" w:eastAsia="Calibri" w:hAnsi="Verdana" w:cs="Arial"/>
          <w:sz w:val="20"/>
          <w:szCs w:val="20"/>
          <w:lang w:val="es-ES_tradnl" w:eastAsia="es-ES"/>
        </w:rPr>
        <w:lastRenderedPageBreak/>
        <w:t xml:space="preserve">responderán cuando hubieren iniciado procedimientos de selección sin haber elaborado los diseños correspondientes. </w:t>
      </w:r>
    </w:p>
    <w:p w14:paraId="2BB12619" w14:textId="77777777" w:rsidR="00123A1C" w:rsidRDefault="00123A1C" w:rsidP="00123A1C">
      <w:pPr>
        <w:spacing w:after="0" w:line="240" w:lineRule="auto"/>
        <w:jc w:val="both"/>
        <w:rPr>
          <w:rFonts w:ascii="Verdana" w:eastAsia="Calibri" w:hAnsi="Verdana" w:cs="Arial"/>
          <w:sz w:val="20"/>
          <w:szCs w:val="20"/>
          <w:lang w:val="es-ES_tradnl" w:eastAsia="es-ES"/>
        </w:rPr>
      </w:pPr>
    </w:p>
    <w:p w14:paraId="460F54CA" w14:textId="77777777" w:rsidR="00123A1C" w:rsidRDefault="00123A1C" w:rsidP="00123A1C">
      <w:pPr>
        <w:spacing w:after="0" w:line="240" w:lineRule="auto"/>
        <w:jc w:val="both"/>
        <w:rPr>
          <w:rFonts w:ascii="Verdana" w:eastAsia="Calibri" w:hAnsi="Verdana" w:cs="Arial"/>
          <w:b/>
          <w:bCs/>
          <w:lang w:val="es-ES_tradnl" w:eastAsia="es-ES"/>
        </w:rPr>
      </w:pPr>
      <w:r w:rsidRPr="00611197">
        <w:rPr>
          <w:rFonts w:ascii="Verdana" w:eastAsia="Calibri" w:hAnsi="Verdana" w:cs="Arial"/>
          <w:b/>
          <w:bCs/>
          <w:lang w:val="es-ES_tradnl" w:eastAsia="es-ES"/>
        </w:rPr>
        <w:t>ORDENADOR DEL GASTO – Margen de decisión y responsabilidad en la modificación y adición de contratos estatales</w:t>
      </w:r>
    </w:p>
    <w:p w14:paraId="55349CB4" w14:textId="77777777" w:rsidR="00123A1C" w:rsidRDefault="00123A1C" w:rsidP="00123A1C">
      <w:pPr>
        <w:spacing w:after="0" w:line="240" w:lineRule="auto"/>
        <w:jc w:val="both"/>
        <w:rPr>
          <w:rFonts w:ascii="Verdana" w:eastAsia="Calibri" w:hAnsi="Verdana" w:cs="Arial"/>
          <w:b/>
          <w:bCs/>
          <w:lang w:val="es-ES_tradnl" w:eastAsia="es-ES"/>
        </w:rPr>
      </w:pPr>
    </w:p>
    <w:p w14:paraId="5E6C7EA1" w14:textId="77777777" w:rsidR="00123A1C" w:rsidRDefault="00123A1C" w:rsidP="00123A1C">
      <w:pPr>
        <w:spacing w:after="0" w:line="240" w:lineRule="auto"/>
        <w:jc w:val="both"/>
        <w:rPr>
          <w:rFonts w:ascii="Verdana" w:eastAsia="Calibri" w:hAnsi="Verdana" w:cs="Arial"/>
          <w:sz w:val="20"/>
          <w:szCs w:val="20"/>
          <w:lang w:val="es-ES_tradnl" w:eastAsia="es-ES"/>
        </w:rPr>
      </w:pPr>
      <w:r w:rsidRPr="006B2007">
        <w:rPr>
          <w:rFonts w:ascii="Verdana" w:eastAsia="Calibri" w:hAnsi="Verdana" w:cs="Arial"/>
          <w:sz w:val="20"/>
          <w:szCs w:val="20"/>
          <w:lang w:val="es-ES_tradnl" w:eastAsia="es-ES"/>
        </w:rPr>
        <w:t>Sin perjuicio de lo anterior, debe precisarse que la posibilidad jurídica de modificar los estudios y diseños de una obra pública, así como de ejecutar obras adicionales derivadas de tales ajustes, no comporta per se la obligación de celebrar una adición contractual. En efecto, aun cuando las modificaciones técnicas cuenten con el respaldo del supervisor y/o del interventor del contrato, dichas actuaciones no sustituyen la competencia decisoria que el ordenamiento jurídico atribuye al ordenador del gasto, quien conserva la responsabilidad indelegable de evaluar la procedencia de la adición desde una perspectiva integral.</w:t>
      </w:r>
    </w:p>
    <w:p w14:paraId="0342CD25" w14:textId="77777777" w:rsidR="00123A1C" w:rsidRPr="006B2007" w:rsidRDefault="00123A1C" w:rsidP="00123A1C">
      <w:pPr>
        <w:spacing w:after="0" w:line="240" w:lineRule="auto"/>
        <w:jc w:val="both"/>
        <w:rPr>
          <w:rFonts w:ascii="Verdana" w:eastAsia="Calibri" w:hAnsi="Verdana" w:cs="Arial"/>
          <w:sz w:val="20"/>
          <w:szCs w:val="20"/>
          <w:lang w:val="es-ES_tradnl" w:eastAsia="es-ES"/>
        </w:rPr>
      </w:pPr>
    </w:p>
    <w:p w14:paraId="34C4B213" w14:textId="77777777" w:rsidR="00123A1C" w:rsidRDefault="00123A1C" w:rsidP="00123A1C">
      <w:pPr>
        <w:spacing w:after="0" w:line="240" w:lineRule="auto"/>
        <w:jc w:val="both"/>
        <w:rPr>
          <w:rFonts w:ascii="Verdana" w:eastAsia="Calibri" w:hAnsi="Verdana" w:cs="Arial"/>
          <w:sz w:val="20"/>
          <w:szCs w:val="20"/>
          <w:lang w:val="es-ES_tradnl" w:eastAsia="es-ES"/>
        </w:rPr>
      </w:pPr>
      <w:r w:rsidRPr="006B2007">
        <w:rPr>
          <w:rFonts w:ascii="Verdana" w:eastAsia="Calibri" w:hAnsi="Verdana" w:cs="Arial"/>
          <w:sz w:val="20"/>
          <w:szCs w:val="20"/>
          <w:lang w:val="es-ES_tradnl" w:eastAsia="es-ES"/>
        </w:rPr>
        <w:t>En ese sentido, los conceptos emitidos por la supervisión o la interventoría constituyen insumos técnicos cualificados para la toma de decisiones, pero no tienen carácter vinculante, en la medida en que la decisión de adicionar un contrato estatal implica la valoración concurrente de elementos jurídicos, técnicos, presupuestales y de planeación, así como la verificación del cumplimiento de los principios que rigen la contratación estatal.</w:t>
      </w:r>
    </w:p>
    <w:p w14:paraId="78F04E21" w14:textId="77777777" w:rsidR="00123A1C" w:rsidRPr="006B2007" w:rsidRDefault="00123A1C" w:rsidP="00123A1C">
      <w:pPr>
        <w:spacing w:after="0" w:line="240" w:lineRule="auto"/>
        <w:jc w:val="both"/>
        <w:rPr>
          <w:rFonts w:ascii="Verdana" w:eastAsia="Calibri" w:hAnsi="Verdana" w:cs="Arial"/>
          <w:sz w:val="20"/>
          <w:szCs w:val="20"/>
          <w:lang w:val="es-ES_tradnl" w:eastAsia="es-ES"/>
        </w:rPr>
      </w:pPr>
    </w:p>
    <w:p w14:paraId="35F246EB" w14:textId="77777777" w:rsidR="00123A1C" w:rsidRPr="00611197" w:rsidRDefault="00123A1C" w:rsidP="00123A1C">
      <w:pPr>
        <w:spacing w:after="0" w:line="240" w:lineRule="auto"/>
        <w:jc w:val="both"/>
        <w:rPr>
          <w:rFonts w:ascii="Verdana" w:eastAsia="Calibri" w:hAnsi="Verdana" w:cs="Arial"/>
          <w:sz w:val="20"/>
          <w:szCs w:val="20"/>
          <w:lang w:val="es-ES_tradnl" w:eastAsia="es-ES"/>
        </w:rPr>
      </w:pPr>
      <w:r w:rsidRPr="006B2007">
        <w:rPr>
          <w:rFonts w:ascii="Verdana" w:eastAsia="Calibri" w:hAnsi="Verdana" w:cs="Arial"/>
          <w:sz w:val="20"/>
          <w:szCs w:val="20"/>
          <w:lang w:val="es-ES_tradnl" w:eastAsia="es-ES"/>
        </w:rPr>
        <w:t>Por consiguiente, el ordenador del gasto no se encuentra jurídicamente obligado a acceder de manera automática a las solicitudes de adición contractual, aun cuando estas se fundamenten en ajustes a los diseños o en la necesidad técnica de ejecutar obras adicionales. Su deber consiste en adoptar una decisión motivada, fundada en la normatividad vigente y en los fines de la contratación estatal, respondiendo por la decisión que adopte, ya sea de aprobación o de negativa, sin que dicha responsabilidad pueda trasladarse a quienes emiten conceptos técnicos dentro del contrato.</w:t>
      </w:r>
    </w:p>
    <w:p w14:paraId="2A9773D3" w14:textId="77777777" w:rsidR="00123A1C" w:rsidRPr="00611197" w:rsidRDefault="00123A1C" w:rsidP="00123A1C">
      <w:pPr>
        <w:spacing w:after="0" w:line="240" w:lineRule="auto"/>
        <w:jc w:val="both"/>
        <w:rPr>
          <w:rFonts w:ascii="Verdana" w:eastAsia="Calibri" w:hAnsi="Verdana" w:cs="Arial"/>
          <w:b/>
          <w:bCs/>
          <w:lang w:eastAsia="es-ES"/>
        </w:rPr>
      </w:pPr>
    </w:p>
    <w:p w14:paraId="0F431FF3" w14:textId="77777777" w:rsidR="00123A1C" w:rsidRDefault="00123A1C" w:rsidP="00123A1C">
      <w:pPr>
        <w:spacing w:after="0" w:line="240" w:lineRule="auto"/>
        <w:rPr>
          <w:rFonts w:ascii="Verdana" w:eastAsia="Geomanist Light" w:hAnsi="Verdana" w:cs="Arial"/>
          <w:color w:val="000000" w:themeColor="text1"/>
          <w:lang w:val="es-ES_tradnl"/>
        </w:rPr>
      </w:pPr>
    </w:p>
    <w:p w14:paraId="1D2D6CE5" w14:textId="77777777" w:rsidR="00123A1C" w:rsidRDefault="00123A1C" w:rsidP="00123A1C">
      <w:pPr>
        <w:spacing w:after="0" w:line="240" w:lineRule="auto"/>
        <w:rPr>
          <w:rFonts w:ascii="Verdana" w:eastAsia="Geomanist Light" w:hAnsi="Verdana" w:cs="Arial"/>
          <w:color w:val="000000" w:themeColor="text1"/>
          <w:lang w:val="es-ES_tradnl"/>
        </w:rPr>
      </w:pPr>
    </w:p>
    <w:p w14:paraId="72B748D5" w14:textId="77777777" w:rsidR="00123A1C" w:rsidRDefault="00123A1C" w:rsidP="00123A1C">
      <w:pPr>
        <w:spacing w:after="0" w:line="240" w:lineRule="auto"/>
        <w:rPr>
          <w:rFonts w:ascii="Verdana" w:eastAsia="Geomanist Light" w:hAnsi="Verdana" w:cs="Arial"/>
          <w:color w:val="000000" w:themeColor="text1"/>
          <w:lang w:val="es-ES_tradnl"/>
        </w:rPr>
      </w:pPr>
    </w:p>
    <w:p w14:paraId="7C7203B1" w14:textId="77777777" w:rsidR="00123A1C" w:rsidRDefault="00123A1C" w:rsidP="00123A1C">
      <w:pPr>
        <w:spacing w:after="0" w:line="240" w:lineRule="auto"/>
        <w:rPr>
          <w:rFonts w:ascii="Verdana" w:eastAsia="Geomanist Light" w:hAnsi="Verdana" w:cs="Arial"/>
          <w:color w:val="000000" w:themeColor="text1"/>
          <w:lang w:val="es-ES_tradnl"/>
        </w:rPr>
      </w:pPr>
    </w:p>
    <w:p w14:paraId="3D04A84B" w14:textId="77777777" w:rsidR="00123A1C" w:rsidRDefault="00123A1C" w:rsidP="00123A1C">
      <w:pPr>
        <w:spacing w:after="0" w:line="240" w:lineRule="auto"/>
        <w:rPr>
          <w:rFonts w:ascii="Verdana" w:eastAsia="Geomanist Light" w:hAnsi="Verdana" w:cs="Arial"/>
          <w:color w:val="000000" w:themeColor="text1"/>
          <w:lang w:val="es-ES_tradnl"/>
        </w:rPr>
      </w:pPr>
    </w:p>
    <w:p w14:paraId="76B91CFC" w14:textId="77777777" w:rsidR="00123A1C" w:rsidRDefault="00123A1C" w:rsidP="00123A1C">
      <w:pPr>
        <w:spacing w:after="0" w:line="240" w:lineRule="auto"/>
        <w:rPr>
          <w:rFonts w:ascii="Verdana" w:eastAsia="Geomanist Light" w:hAnsi="Verdana" w:cs="Arial"/>
          <w:color w:val="000000" w:themeColor="text1"/>
          <w:lang w:val="es-ES_tradnl"/>
        </w:rPr>
      </w:pPr>
    </w:p>
    <w:p w14:paraId="3699E449" w14:textId="77777777" w:rsidR="00123A1C" w:rsidRDefault="00123A1C" w:rsidP="00123A1C">
      <w:pPr>
        <w:spacing w:after="0" w:line="240" w:lineRule="auto"/>
        <w:rPr>
          <w:rFonts w:ascii="Verdana" w:eastAsia="Geomanist Light" w:hAnsi="Verdana" w:cs="Arial"/>
          <w:color w:val="000000" w:themeColor="text1"/>
          <w:lang w:val="es-ES_tradnl"/>
        </w:rPr>
      </w:pPr>
    </w:p>
    <w:p w14:paraId="48D79E5C" w14:textId="77777777" w:rsidR="00123A1C" w:rsidRDefault="00123A1C" w:rsidP="00123A1C">
      <w:pPr>
        <w:spacing w:after="0" w:line="240" w:lineRule="auto"/>
        <w:rPr>
          <w:rFonts w:ascii="Verdana" w:eastAsia="Geomanist Light" w:hAnsi="Verdana" w:cs="Arial"/>
          <w:color w:val="000000" w:themeColor="text1"/>
          <w:lang w:val="es-ES_tradnl"/>
        </w:rPr>
      </w:pPr>
    </w:p>
    <w:p w14:paraId="12E30119" w14:textId="77777777" w:rsidR="00123A1C" w:rsidRDefault="00123A1C" w:rsidP="00123A1C">
      <w:pPr>
        <w:spacing w:after="0" w:line="240" w:lineRule="auto"/>
        <w:rPr>
          <w:rFonts w:ascii="Verdana" w:eastAsia="Geomanist Light" w:hAnsi="Verdana" w:cs="Arial"/>
          <w:color w:val="000000" w:themeColor="text1"/>
          <w:lang w:val="es-ES_tradnl"/>
        </w:rPr>
      </w:pPr>
    </w:p>
    <w:p w14:paraId="29ADCF1C" w14:textId="77777777" w:rsidR="00123A1C" w:rsidRDefault="00123A1C" w:rsidP="00123A1C">
      <w:pPr>
        <w:spacing w:after="0" w:line="240" w:lineRule="auto"/>
        <w:rPr>
          <w:rFonts w:ascii="Verdana" w:eastAsia="Geomanist Light" w:hAnsi="Verdana" w:cs="Arial"/>
          <w:color w:val="000000" w:themeColor="text1"/>
          <w:lang w:val="es-ES_tradnl"/>
        </w:rPr>
      </w:pPr>
    </w:p>
    <w:p w14:paraId="0BEF3367" w14:textId="77777777" w:rsidR="00123A1C" w:rsidRDefault="00123A1C" w:rsidP="00123A1C">
      <w:pPr>
        <w:spacing w:after="0" w:line="240" w:lineRule="auto"/>
        <w:rPr>
          <w:rFonts w:ascii="Verdana" w:eastAsia="Geomanist Light" w:hAnsi="Verdana" w:cs="Arial"/>
          <w:color w:val="000000" w:themeColor="text1"/>
          <w:lang w:val="es-ES_tradnl"/>
        </w:rPr>
      </w:pPr>
    </w:p>
    <w:p w14:paraId="72939BCE" w14:textId="77777777" w:rsidR="00123A1C" w:rsidRDefault="00123A1C" w:rsidP="00123A1C">
      <w:pPr>
        <w:spacing w:after="0" w:line="240" w:lineRule="auto"/>
        <w:rPr>
          <w:rFonts w:ascii="Verdana" w:eastAsia="Geomanist Light" w:hAnsi="Verdana" w:cs="Arial"/>
          <w:color w:val="000000" w:themeColor="text1"/>
          <w:lang w:val="es-ES_tradnl"/>
        </w:rPr>
      </w:pPr>
    </w:p>
    <w:p w14:paraId="23CD202E" w14:textId="77777777" w:rsidR="00123A1C" w:rsidRDefault="00123A1C" w:rsidP="00123A1C">
      <w:pPr>
        <w:spacing w:after="0" w:line="240" w:lineRule="auto"/>
        <w:rPr>
          <w:rFonts w:ascii="Verdana" w:eastAsia="Geomanist Light" w:hAnsi="Verdana" w:cs="Arial"/>
          <w:color w:val="000000" w:themeColor="text1"/>
          <w:lang w:val="es-ES_tradnl"/>
        </w:rPr>
      </w:pPr>
    </w:p>
    <w:p w14:paraId="0F583F62" w14:textId="77777777" w:rsidR="00123A1C" w:rsidRDefault="00123A1C" w:rsidP="00123A1C">
      <w:pPr>
        <w:spacing w:after="0" w:line="240" w:lineRule="auto"/>
        <w:rPr>
          <w:rFonts w:ascii="Verdana" w:eastAsia="Geomanist Light" w:hAnsi="Verdana" w:cs="Arial"/>
          <w:color w:val="000000" w:themeColor="text1"/>
          <w:lang w:val="es-ES_tradnl"/>
        </w:rPr>
      </w:pPr>
    </w:p>
    <w:p w14:paraId="47844EB2" w14:textId="77777777" w:rsidR="00123A1C" w:rsidRDefault="00123A1C" w:rsidP="00123A1C">
      <w:pPr>
        <w:spacing w:after="0" w:line="240" w:lineRule="auto"/>
        <w:rPr>
          <w:rFonts w:ascii="Verdana" w:eastAsia="Geomanist Light" w:hAnsi="Verdana" w:cs="Arial"/>
          <w:color w:val="000000" w:themeColor="text1"/>
          <w:lang w:val="es-ES_tradnl"/>
        </w:rPr>
      </w:pPr>
    </w:p>
    <w:p w14:paraId="39CBD011" w14:textId="77777777" w:rsidR="00123A1C" w:rsidRDefault="00123A1C" w:rsidP="00123A1C">
      <w:pPr>
        <w:spacing w:after="0" w:line="240" w:lineRule="auto"/>
        <w:rPr>
          <w:rFonts w:ascii="Verdana" w:eastAsia="Geomanist Light" w:hAnsi="Verdana" w:cs="Arial"/>
          <w:color w:val="000000" w:themeColor="text1"/>
          <w:lang w:val="es-ES_tradnl"/>
        </w:rPr>
      </w:pPr>
    </w:p>
    <w:bookmarkEnd w:id="0"/>
    <w:p w14:paraId="5AF9E800" w14:textId="6F35BB21" w:rsidR="00123A1C" w:rsidRPr="00034D88" w:rsidRDefault="00123A1C" w:rsidP="00123A1C">
      <w:pPr>
        <w:spacing w:after="0" w:line="240" w:lineRule="auto"/>
        <w:contextualSpacing/>
        <w:jc w:val="both"/>
        <w:rPr>
          <w:rFonts w:ascii="Verdana" w:hAnsi="Verdana"/>
        </w:rPr>
      </w:pPr>
      <w:r w:rsidRPr="00034D88">
        <w:rPr>
          <w:rFonts w:ascii="Verdana" w:hAnsi="Verdana"/>
        </w:rPr>
        <w:lastRenderedPageBreak/>
        <w:t xml:space="preserve">Bogotá D.C., </w:t>
      </w:r>
      <w:r w:rsidR="00034D88" w:rsidRPr="00034D88">
        <w:rPr>
          <w:rFonts w:ascii="Verdana" w:hAnsi="Verdana"/>
        </w:rPr>
        <w:t>8 de ener</w:t>
      </w:r>
      <w:r w:rsidR="00034D88">
        <w:rPr>
          <w:rFonts w:ascii="Verdana" w:hAnsi="Verdana"/>
        </w:rPr>
        <w:t>o de 2026</w:t>
      </w:r>
    </w:p>
    <w:p w14:paraId="37CEF6AA" w14:textId="77777777" w:rsidR="00034D88" w:rsidRPr="00034D88" w:rsidRDefault="00034D88" w:rsidP="00123A1C">
      <w:pPr>
        <w:spacing w:after="0" w:line="240" w:lineRule="auto"/>
        <w:contextualSpacing/>
        <w:jc w:val="both"/>
        <w:rPr>
          <w:rFonts w:ascii="Verdana" w:eastAsia="Times New Roman" w:hAnsi="Verdana" w:cs="Arial"/>
          <w:lang w:eastAsia="es-ES"/>
        </w:rPr>
      </w:pPr>
    </w:p>
    <w:p w14:paraId="4046414F" w14:textId="0873F1FA" w:rsidR="00123A1C" w:rsidRPr="00A869FE" w:rsidRDefault="00034D88" w:rsidP="00123A1C">
      <w:pPr>
        <w:spacing w:after="0" w:line="240" w:lineRule="auto"/>
        <w:jc w:val="right"/>
        <w:rPr>
          <w:rFonts w:ascii="Verdana" w:hAnsi="Verdana" w:cs="Arial"/>
          <w:color w:val="000000"/>
        </w:rPr>
      </w:pPr>
      <w:r w:rsidRPr="00034D88">
        <w:rPr>
          <w:rFonts w:ascii="Verdana" w:hAnsi="Verdana" w:cs="Arial"/>
          <w:noProof/>
          <w:color w:val="000000"/>
        </w:rPr>
        <w:drawing>
          <wp:inline distT="0" distB="0" distL="0" distR="0" wp14:anchorId="6316CBC0" wp14:editId="464E14B9">
            <wp:extent cx="3732533" cy="1066800"/>
            <wp:effectExtent l="0" t="0" r="1270" b="0"/>
            <wp:docPr id="1286070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0705" name="Imagen 1" descr="Texto&#10;&#10;El contenido generado por IA puede ser incorrecto."/>
                    <pic:cNvPicPr/>
                  </pic:nvPicPr>
                  <pic:blipFill>
                    <a:blip r:embed="rId10"/>
                    <a:stretch>
                      <a:fillRect/>
                    </a:stretch>
                  </pic:blipFill>
                  <pic:spPr>
                    <a:xfrm>
                      <a:off x="0" y="0"/>
                      <a:ext cx="3741955" cy="1069493"/>
                    </a:xfrm>
                    <a:prstGeom prst="rect">
                      <a:avLst/>
                    </a:prstGeom>
                  </pic:spPr>
                </pic:pic>
              </a:graphicData>
            </a:graphic>
          </wp:inline>
        </w:drawing>
      </w:r>
    </w:p>
    <w:p w14:paraId="62445075" w14:textId="77777777" w:rsidR="00123A1C" w:rsidRDefault="00123A1C" w:rsidP="00123A1C">
      <w:pPr>
        <w:spacing w:after="0" w:line="240" w:lineRule="auto"/>
        <w:jc w:val="both"/>
        <w:rPr>
          <w:rFonts w:ascii="Verdana" w:hAnsi="Verdana" w:cs="Arial"/>
          <w:lang w:eastAsia="es-ES"/>
        </w:rPr>
      </w:pPr>
    </w:p>
    <w:p w14:paraId="71CF93C2" w14:textId="77777777" w:rsidR="00123A1C" w:rsidRPr="00A869FE" w:rsidRDefault="00123A1C" w:rsidP="00123A1C">
      <w:pPr>
        <w:spacing w:after="0" w:line="240" w:lineRule="auto"/>
        <w:jc w:val="both"/>
        <w:rPr>
          <w:rFonts w:ascii="Verdana" w:hAnsi="Verdana" w:cs="Arial"/>
          <w:lang w:eastAsia="es-ES"/>
        </w:rPr>
      </w:pPr>
      <w:r>
        <w:rPr>
          <w:rFonts w:ascii="Verdana" w:hAnsi="Verdana" w:cs="Arial"/>
          <w:lang w:eastAsia="es-ES"/>
        </w:rPr>
        <w:t xml:space="preserve">Señor </w:t>
      </w:r>
    </w:p>
    <w:p w14:paraId="436471F6" w14:textId="77777777" w:rsidR="00123A1C" w:rsidRPr="00380D8C" w:rsidRDefault="00123A1C" w:rsidP="00123A1C">
      <w:pPr>
        <w:spacing w:after="0" w:line="240" w:lineRule="auto"/>
        <w:jc w:val="both"/>
        <w:rPr>
          <w:rFonts w:ascii="Verdana" w:hAnsi="Verdana" w:cs="Arial"/>
          <w:b/>
          <w:bCs/>
          <w:lang w:eastAsia="es-ES"/>
        </w:rPr>
      </w:pPr>
      <w:r w:rsidRPr="00380D8C">
        <w:rPr>
          <w:rFonts w:ascii="Verdana" w:hAnsi="Verdana" w:cs="Arial"/>
          <w:b/>
          <w:bCs/>
          <w:lang w:eastAsia="es-ES"/>
        </w:rPr>
        <w:t>Giovani Rojas Diaz</w:t>
      </w:r>
    </w:p>
    <w:p w14:paraId="7F74C733" w14:textId="77777777" w:rsidR="00123A1C" w:rsidRPr="00380D8C" w:rsidRDefault="00123A1C" w:rsidP="00123A1C">
      <w:pPr>
        <w:spacing w:after="0" w:line="240" w:lineRule="auto"/>
        <w:jc w:val="both"/>
        <w:rPr>
          <w:rFonts w:ascii="Verdana" w:hAnsi="Verdana" w:cs="Arial"/>
          <w:lang w:eastAsia="es-ES"/>
        </w:rPr>
      </w:pPr>
      <w:hyperlink r:id="rId11" w:history="1">
        <w:r w:rsidRPr="00380D8C">
          <w:rPr>
            <w:rStyle w:val="Hipervnculo"/>
            <w:rFonts w:ascii="Verdana" w:hAnsi="Verdana" w:cs="Arial"/>
            <w:lang w:eastAsia="es-ES"/>
          </w:rPr>
          <w:t>ingenierogard@hotmail.com</w:t>
        </w:r>
      </w:hyperlink>
      <w:r w:rsidRPr="00380D8C">
        <w:rPr>
          <w:rFonts w:ascii="Verdana" w:hAnsi="Verdana" w:cs="Arial"/>
          <w:lang w:eastAsia="es-ES"/>
        </w:rPr>
        <w:t xml:space="preserve">      </w:t>
      </w:r>
    </w:p>
    <w:p w14:paraId="3E0AF1C1" w14:textId="77777777" w:rsidR="00123A1C" w:rsidRPr="00C56C01" w:rsidRDefault="00123A1C" w:rsidP="00123A1C">
      <w:pPr>
        <w:spacing w:after="0" w:line="240" w:lineRule="auto"/>
        <w:jc w:val="both"/>
        <w:rPr>
          <w:rFonts w:ascii="Verdana" w:hAnsi="Verdana" w:cs="Arial"/>
          <w:lang w:eastAsia="es-ES"/>
        </w:rPr>
      </w:pPr>
      <w:r>
        <w:rPr>
          <w:rFonts w:ascii="Verdana" w:hAnsi="Verdana" w:cs="Arial"/>
          <w:lang w:eastAsia="es-ES"/>
        </w:rPr>
        <w:t>Bogotá, D.C.</w:t>
      </w:r>
    </w:p>
    <w:p w14:paraId="44E94743" w14:textId="77777777" w:rsidR="00123A1C" w:rsidRPr="00C56C01" w:rsidRDefault="00123A1C" w:rsidP="00123A1C">
      <w:pPr>
        <w:spacing w:after="0" w:line="240" w:lineRule="auto"/>
        <w:rPr>
          <w:rFonts w:ascii="Verdana" w:hAnsi="Verdana" w:cs="Arial"/>
          <w:b/>
          <w:bCs/>
          <w:color w:val="000000"/>
          <w:lang w:eastAsia="es-ES_tradnl"/>
        </w:rPr>
      </w:pPr>
    </w:p>
    <w:p w14:paraId="445FC07D" w14:textId="77777777" w:rsidR="00123A1C" w:rsidRPr="00C56C01" w:rsidRDefault="00123A1C" w:rsidP="00123A1C">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123A1C" w:rsidRPr="00A869FE" w14:paraId="71ADF656" w14:textId="77777777" w:rsidTr="00093697">
        <w:trPr>
          <w:trHeight w:val="633"/>
        </w:trPr>
        <w:tc>
          <w:tcPr>
            <w:tcW w:w="2689" w:type="dxa"/>
          </w:tcPr>
          <w:p w14:paraId="28684B83" w14:textId="77777777" w:rsidR="00123A1C" w:rsidRPr="00C56C01" w:rsidRDefault="00123A1C" w:rsidP="00093697">
            <w:pPr>
              <w:jc w:val="both"/>
              <w:rPr>
                <w:rFonts w:ascii="Verdana" w:hAnsi="Verdana" w:cs="Arial"/>
                <w:b/>
                <w:bCs/>
                <w:color w:val="7030A0"/>
                <w:lang w:eastAsia="es-ES_tradnl"/>
              </w:rPr>
            </w:pPr>
          </w:p>
        </w:tc>
        <w:tc>
          <w:tcPr>
            <w:tcW w:w="6100" w:type="dxa"/>
          </w:tcPr>
          <w:p w14:paraId="44259ABC" w14:textId="77777777" w:rsidR="00123A1C" w:rsidRPr="00A869FE" w:rsidRDefault="00123A1C"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792</w:t>
            </w:r>
            <w:r w:rsidRPr="00A869FE">
              <w:rPr>
                <w:rFonts w:ascii="Verdana" w:hAnsi="Verdana" w:cs="Arial"/>
                <w:b/>
                <w:bCs/>
                <w:lang w:eastAsia="es-ES"/>
              </w:rPr>
              <w:t xml:space="preserve"> de 2025</w:t>
            </w:r>
          </w:p>
        </w:tc>
      </w:tr>
      <w:tr w:rsidR="00123A1C" w:rsidRPr="00A869FE" w14:paraId="098A9B34" w14:textId="77777777" w:rsidTr="00093697">
        <w:trPr>
          <w:trHeight w:val="884"/>
        </w:trPr>
        <w:tc>
          <w:tcPr>
            <w:tcW w:w="2689" w:type="dxa"/>
          </w:tcPr>
          <w:p w14:paraId="39D02B7E" w14:textId="77777777" w:rsidR="00123A1C" w:rsidRPr="00A869FE" w:rsidRDefault="00123A1C"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02214A22" w14:textId="77777777" w:rsidR="00123A1C" w:rsidRPr="00A11406" w:rsidRDefault="00123A1C" w:rsidP="00093697">
            <w:pPr>
              <w:spacing w:line="276" w:lineRule="auto"/>
              <w:jc w:val="both"/>
              <w:rPr>
                <w:rFonts w:ascii="Verdana" w:eastAsia="Calibri" w:hAnsi="Verdana" w:cs="Arial"/>
                <w:lang w:val="es-ES" w:eastAsia="es-ES"/>
              </w:rPr>
            </w:pPr>
            <w:r w:rsidRPr="00AD4F6A">
              <w:rPr>
                <w:rFonts w:ascii="Verdana" w:eastAsia="Calibri" w:hAnsi="Verdana" w:cs="Arial"/>
                <w:lang w:val="es-ES" w:eastAsia="es-ES"/>
              </w:rPr>
              <w:t>PLANEACIÓN CONTRACTUAL – Noción – Obligación de las entidades – Ley 80 de 1993 / ESTUDIOS PREVIOS – Finalidad / ESTUDIOS DE MERCADO – Finalidad – Recomendaciones – Colombia compra eficiente – Guía de elaboración de estudios del sector</w:t>
            </w:r>
            <w:r>
              <w:rPr>
                <w:rFonts w:ascii="Verdana" w:eastAsia="Calibri" w:hAnsi="Verdana" w:cs="Arial"/>
                <w:lang w:val="es-ES" w:eastAsia="es-ES"/>
              </w:rPr>
              <w:t xml:space="preserve"> / </w:t>
            </w:r>
            <w:r w:rsidRPr="00B73955">
              <w:rPr>
                <w:rFonts w:ascii="Verdana" w:eastAsia="Calibri" w:hAnsi="Verdana" w:cs="Arial"/>
                <w:lang w:val="es-ES" w:eastAsia="es-ES"/>
              </w:rPr>
              <w:t>CONTRATO DE OBRA PÚBLICA – Concepto – Sentido restringido</w:t>
            </w:r>
            <w:r>
              <w:rPr>
                <w:rFonts w:ascii="Verdana" w:eastAsia="Calibri" w:hAnsi="Verdana" w:cs="Arial"/>
                <w:lang w:val="es-ES" w:eastAsia="es-ES"/>
              </w:rPr>
              <w:t xml:space="preserve"> / </w:t>
            </w:r>
            <w:r w:rsidRPr="00B73955">
              <w:rPr>
                <w:rFonts w:ascii="Verdana" w:eastAsia="Calibri" w:hAnsi="Verdana" w:cs="Arial"/>
                <w:lang w:val="es-ES" w:eastAsia="es-ES"/>
              </w:rPr>
              <w:t>DISEÑOS, ESTUDIOS Y OBRA – Contratación – Viabilidad del proyecto</w:t>
            </w:r>
            <w:r>
              <w:rPr>
                <w:rFonts w:ascii="Verdana" w:eastAsia="Calibri" w:hAnsi="Verdana" w:cs="Arial"/>
                <w:lang w:val="es-ES" w:eastAsia="es-ES"/>
              </w:rPr>
              <w:t xml:space="preserve"> / </w:t>
            </w:r>
            <w:r w:rsidRPr="00B73955">
              <w:rPr>
                <w:rFonts w:ascii="Verdana" w:eastAsia="Calibri" w:hAnsi="Verdana" w:cs="Arial"/>
                <w:lang w:val="es-ES" w:eastAsia="es-ES"/>
              </w:rPr>
              <w:t>DISEÑOS Y ESTUDIOS DE LA OBRA – Ajustes – Revisiones – Modificaciones – Procedencia</w:t>
            </w:r>
            <w:r>
              <w:rPr>
                <w:rFonts w:ascii="Verdana" w:eastAsia="Calibri" w:hAnsi="Verdana" w:cs="Arial"/>
                <w:lang w:val="es-ES" w:eastAsia="es-ES"/>
              </w:rPr>
              <w:t xml:space="preserve"> / </w:t>
            </w:r>
            <w:r w:rsidRPr="00611197">
              <w:rPr>
                <w:rFonts w:ascii="Verdana" w:eastAsia="Calibri" w:hAnsi="Verdana" w:cs="Arial"/>
                <w:lang w:eastAsia="es-ES"/>
              </w:rPr>
              <w:t>ORDENADOR DEL GASTO – Margen de decisión y responsabilidad en la modificación y adición de contratos estatales</w:t>
            </w:r>
            <w:r w:rsidRPr="00FA3A97">
              <w:rPr>
                <w:rFonts w:ascii="Verdana" w:eastAsia="Calibri" w:hAnsi="Verdana" w:cs="Arial"/>
                <w:lang w:val="es-ES" w:eastAsia="es-ES"/>
              </w:rPr>
              <w:t xml:space="preserve"> </w:t>
            </w:r>
          </w:p>
          <w:p w14:paraId="5225A728" w14:textId="77777777" w:rsidR="00123A1C" w:rsidRPr="00683DC6" w:rsidRDefault="00123A1C" w:rsidP="00093697">
            <w:pPr>
              <w:jc w:val="both"/>
              <w:rPr>
                <w:lang w:val="es-ES"/>
              </w:rPr>
            </w:pPr>
          </w:p>
        </w:tc>
      </w:tr>
      <w:tr w:rsidR="00123A1C" w:rsidRPr="00A869FE" w14:paraId="58F47DEC" w14:textId="77777777" w:rsidTr="00093697">
        <w:tc>
          <w:tcPr>
            <w:tcW w:w="2689" w:type="dxa"/>
          </w:tcPr>
          <w:p w14:paraId="2570D310" w14:textId="77777777" w:rsidR="00123A1C" w:rsidRPr="00A869FE" w:rsidRDefault="00123A1C"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745DD6FD" w14:textId="77777777" w:rsidR="00123A1C" w:rsidRPr="0087731B" w:rsidRDefault="00123A1C"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1226F7">
              <w:rPr>
                <w:rFonts w:ascii="Verdana" w:hAnsi="Verdana" w:cs="Arial"/>
                <w:lang w:eastAsia="es-ES_tradnl"/>
              </w:rPr>
              <w:t>1_2025_12_03_013661</w:t>
            </w:r>
          </w:p>
          <w:p w14:paraId="4F0DA15E" w14:textId="77777777" w:rsidR="00123A1C" w:rsidRPr="00A869FE" w:rsidRDefault="00123A1C" w:rsidP="00093697">
            <w:pPr>
              <w:spacing w:line="276" w:lineRule="auto"/>
              <w:jc w:val="both"/>
              <w:rPr>
                <w:rFonts w:ascii="Verdana" w:hAnsi="Verdana" w:cs="Arial"/>
                <w:lang w:eastAsia="es-ES_tradnl"/>
              </w:rPr>
            </w:pPr>
          </w:p>
        </w:tc>
      </w:tr>
    </w:tbl>
    <w:p w14:paraId="368F9A5B" w14:textId="77777777" w:rsidR="00123A1C" w:rsidRPr="00A869FE" w:rsidRDefault="00123A1C" w:rsidP="00123A1C">
      <w:pPr>
        <w:spacing w:after="0" w:line="240" w:lineRule="auto"/>
        <w:jc w:val="both"/>
        <w:rPr>
          <w:rFonts w:ascii="Verdana" w:hAnsi="Verdana" w:cs="Arial"/>
          <w:color w:val="000000"/>
          <w:lang w:eastAsia="es-ES_tradnl"/>
        </w:rPr>
      </w:pPr>
    </w:p>
    <w:p w14:paraId="3E2163CF" w14:textId="77777777" w:rsidR="00123A1C" w:rsidRPr="00A869FE" w:rsidRDefault="00123A1C" w:rsidP="00123A1C">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Rojas Díaz</w:t>
      </w:r>
      <w:r w:rsidRPr="00A869FE">
        <w:rPr>
          <w:rFonts w:ascii="Verdana" w:hAnsi="Verdana" w:cs="Arial"/>
          <w:lang w:eastAsia="es-ES"/>
        </w:rPr>
        <w:t>:</w:t>
      </w:r>
    </w:p>
    <w:p w14:paraId="21FED25E" w14:textId="77777777" w:rsidR="00123A1C" w:rsidRDefault="00123A1C" w:rsidP="00123A1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D935A4" w14:textId="77777777" w:rsidR="00123A1C" w:rsidRDefault="00123A1C" w:rsidP="00123A1C">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w:t>
      </w:r>
      <w:r>
        <w:rPr>
          <w:rFonts w:ascii="Verdana" w:eastAsia="Calibri" w:hAnsi="Verdana" w:cs="Arial"/>
          <w:lang w:val="es-ES" w:eastAsia="es-ES"/>
        </w:rPr>
        <w:lastRenderedPageBreak/>
        <w:t xml:space="preserve">de Contratación Pública – Colombia Compra Eficiente– responde su solicitud de consulta radicada el 3 diciembre de 2025, en la cual manifiesta lo siguiente: </w:t>
      </w:r>
    </w:p>
    <w:p w14:paraId="72EBB815" w14:textId="77777777" w:rsidR="00123A1C" w:rsidRDefault="00123A1C" w:rsidP="00123A1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801DFDC" w14:textId="77777777" w:rsidR="00123A1C" w:rsidRDefault="00123A1C" w:rsidP="00123A1C">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966ABB">
        <w:rPr>
          <w:rFonts w:ascii="Verdana" w:hAnsi="Verdana" w:cs="ArialMT"/>
          <w:sz w:val="20"/>
          <w:szCs w:val="20"/>
        </w:rPr>
        <w:t>1.</w:t>
      </w:r>
      <w:r>
        <w:rPr>
          <w:rFonts w:ascii="Verdana" w:hAnsi="Verdana" w:cs="ArialMT"/>
          <w:sz w:val="20"/>
          <w:szCs w:val="20"/>
        </w:rPr>
        <w:t xml:space="preserve"> </w:t>
      </w:r>
      <w:r w:rsidRPr="00966ABB">
        <w:rPr>
          <w:rFonts w:ascii="Verdana" w:hAnsi="Verdana" w:cs="ArialMT"/>
          <w:sz w:val="20"/>
          <w:szCs w:val="20"/>
        </w:rPr>
        <w:t>Qué medidas se pueden adoptar, para valorar las cotizaciones que se reciben para fijar un presupuesto y evitar posible sobre costos.</w:t>
      </w:r>
    </w:p>
    <w:p w14:paraId="5AF5D9DB" w14:textId="77777777" w:rsidR="00123A1C" w:rsidRPr="00966ABB" w:rsidRDefault="00123A1C" w:rsidP="00123A1C">
      <w:pPr>
        <w:autoSpaceDE w:val="0"/>
        <w:autoSpaceDN w:val="0"/>
        <w:adjustRightInd w:val="0"/>
        <w:spacing w:after="0" w:line="240" w:lineRule="auto"/>
        <w:ind w:left="709" w:right="709"/>
        <w:jc w:val="both"/>
        <w:rPr>
          <w:rFonts w:ascii="Verdana" w:hAnsi="Verdana" w:cs="ArialMT"/>
          <w:sz w:val="20"/>
          <w:szCs w:val="20"/>
        </w:rPr>
      </w:pPr>
    </w:p>
    <w:p w14:paraId="24B385B8" w14:textId="77777777" w:rsidR="00123A1C" w:rsidRDefault="00123A1C" w:rsidP="00123A1C">
      <w:pPr>
        <w:autoSpaceDE w:val="0"/>
        <w:autoSpaceDN w:val="0"/>
        <w:adjustRightInd w:val="0"/>
        <w:spacing w:after="0" w:line="240" w:lineRule="auto"/>
        <w:ind w:left="709" w:right="709"/>
        <w:jc w:val="both"/>
        <w:rPr>
          <w:rFonts w:ascii="Verdana" w:hAnsi="Verdana" w:cs="ArialMT"/>
          <w:sz w:val="20"/>
          <w:szCs w:val="20"/>
        </w:rPr>
      </w:pPr>
      <w:r w:rsidRPr="00966ABB">
        <w:rPr>
          <w:rFonts w:ascii="Verdana" w:hAnsi="Verdana" w:cs="ArialMT"/>
          <w:sz w:val="20"/>
          <w:szCs w:val="20"/>
        </w:rPr>
        <w:t>2.</w:t>
      </w:r>
      <w:r>
        <w:rPr>
          <w:rFonts w:ascii="Verdana" w:hAnsi="Verdana" w:cs="ArialMT"/>
          <w:sz w:val="20"/>
          <w:szCs w:val="20"/>
        </w:rPr>
        <w:t xml:space="preserve"> </w:t>
      </w:r>
      <w:r w:rsidRPr="00966ABB">
        <w:rPr>
          <w:rFonts w:ascii="Verdana" w:hAnsi="Verdana" w:cs="ArialMT"/>
          <w:sz w:val="20"/>
          <w:szCs w:val="20"/>
        </w:rPr>
        <w:t>Los estudios previos son de obligatoria adopción por parte del representante legal de una entidad pública, o los mismos pueden ser objeto de cambios y modificaciones</w:t>
      </w:r>
    </w:p>
    <w:p w14:paraId="161DB18C" w14:textId="77777777" w:rsidR="00123A1C" w:rsidRPr="00966ABB" w:rsidRDefault="00123A1C" w:rsidP="00123A1C">
      <w:pPr>
        <w:autoSpaceDE w:val="0"/>
        <w:autoSpaceDN w:val="0"/>
        <w:adjustRightInd w:val="0"/>
        <w:spacing w:after="0" w:line="240" w:lineRule="auto"/>
        <w:ind w:left="709" w:right="709"/>
        <w:jc w:val="both"/>
        <w:rPr>
          <w:rFonts w:ascii="Verdana" w:hAnsi="Verdana" w:cs="ArialMT"/>
          <w:sz w:val="20"/>
          <w:szCs w:val="20"/>
        </w:rPr>
      </w:pPr>
    </w:p>
    <w:p w14:paraId="0C310933" w14:textId="77777777" w:rsidR="00123A1C" w:rsidRDefault="00123A1C" w:rsidP="00123A1C">
      <w:pPr>
        <w:autoSpaceDE w:val="0"/>
        <w:autoSpaceDN w:val="0"/>
        <w:adjustRightInd w:val="0"/>
        <w:spacing w:after="0" w:line="240" w:lineRule="auto"/>
        <w:ind w:left="709" w:right="709"/>
        <w:jc w:val="both"/>
        <w:rPr>
          <w:rFonts w:ascii="Verdana" w:hAnsi="Verdana" w:cs="ArialMT"/>
          <w:sz w:val="20"/>
          <w:szCs w:val="20"/>
        </w:rPr>
      </w:pPr>
      <w:r w:rsidRPr="00966ABB">
        <w:rPr>
          <w:rFonts w:ascii="Verdana" w:hAnsi="Verdana" w:cs="ArialMT"/>
          <w:sz w:val="20"/>
          <w:szCs w:val="20"/>
        </w:rPr>
        <w:t>3.</w:t>
      </w:r>
      <w:r>
        <w:rPr>
          <w:rFonts w:ascii="Verdana" w:hAnsi="Verdana" w:cs="ArialMT"/>
          <w:sz w:val="20"/>
          <w:szCs w:val="20"/>
        </w:rPr>
        <w:t xml:space="preserve"> </w:t>
      </w:r>
      <w:r w:rsidRPr="00966ABB">
        <w:rPr>
          <w:rFonts w:ascii="Verdana" w:hAnsi="Verdana" w:cs="ArialMT"/>
          <w:sz w:val="20"/>
          <w:szCs w:val="20"/>
        </w:rPr>
        <w:t>Que parte técnica se considera en los estudios previos para la construcción de una obra, si ya se cuenta con estudios y diseños y el presupuesto aprobado por la entidad.</w:t>
      </w:r>
    </w:p>
    <w:p w14:paraId="503AABFD" w14:textId="77777777" w:rsidR="00123A1C" w:rsidRPr="00966ABB" w:rsidRDefault="00123A1C" w:rsidP="00123A1C">
      <w:pPr>
        <w:autoSpaceDE w:val="0"/>
        <w:autoSpaceDN w:val="0"/>
        <w:adjustRightInd w:val="0"/>
        <w:spacing w:after="0" w:line="240" w:lineRule="auto"/>
        <w:ind w:left="709" w:right="709"/>
        <w:jc w:val="both"/>
        <w:rPr>
          <w:rFonts w:ascii="Verdana" w:hAnsi="Verdana" w:cs="ArialMT"/>
          <w:sz w:val="20"/>
          <w:szCs w:val="20"/>
        </w:rPr>
      </w:pPr>
    </w:p>
    <w:p w14:paraId="75E4E72B" w14:textId="77777777" w:rsidR="00123A1C" w:rsidRDefault="00123A1C" w:rsidP="00123A1C">
      <w:pPr>
        <w:autoSpaceDE w:val="0"/>
        <w:autoSpaceDN w:val="0"/>
        <w:adjustRightInd w:val="0"/>
        <w:spacing w:after="0" w:line="240" w:lineRule="auto"/>
        <w:ind w:left="709" w:right="709"/>
        <w:jc w:val="both"/>
        <w:rPr>
          <w:rFonts w:ascii="Verdana" w:hAnsi="Verdana" w:cs="ArialMT"/>
          <w:sz w:val="20"/>
          <w:szCs w:val="20"/>
        </w:rPr>
      </w:pPr>
      <w:r w:rsidRPr="00966ABB">
        <w:rPr>
          <w:rFonts w:ascii="Verdana" w:hAnsi="Verdana" w:cs="ArialMT"/>
          <w:sz w:val="20"/>
          <w:szCs w:val="20"/>
        </w:rPr>
        <w:t>4.</w:t>
      </w:r>
      <w:r>
        <w:rPr>
          <w:rFonts w:ascii="Verdana" w:hAnsi="Verdana" w:cs="ArialMT"/>
          <w:sz w:val="20"/>
          <w:szCs w:val="20"/>
        </w:rPr>
        <w:t xml:space="preserve"> </w:t>
      </w:r>
      <w:r w:rsidRPr="00966ABB">
        <w:rPr>
          <w:rFonts w:ascii="Verdana" w:hAnsi="Verdana" w:cs="ArialMT"/>
          <w:sz w:val="20"/>
          <w:szCs w:val="20"/>
        </w:rPr>
        <w:t>El representante legal de una entidad obligatoriamente debe acceder a la solicitud de un adicional que presenta formalmente un supervisor y/o interventor o se pude negar a la celebración del adicional</w:t>
      </w:r>
      <w:r>
        <w:rPr>
          <w:rFonts w:ascii="Verdana" w:hAnsi="Verdana" w:cs="ArialMT"/>
          <w:sz w:val="20"/>
          <w:szCs w:val="20"/>
        </w:rPr>
        <w:t>”</w:t>
      </w:r>
    </w:p>
    <w:p w14:paraId="698549CA" w14:textId="77777777" w:rsidR="00123A1C" w:rsidRPr="00924340" w:rsidRDefault="00123A1C" w:rsidP="00123A1C">
      <w:pPr>
        <w:autoSpaceDE w:val="0"/>
        <w:autoSpaceDN w:val="0"/>
        <w:adjustRightInd w:val="0"/>
        <w:spacing w:after="0" w:line="276" w:lineRule="auto"/>
        <w:ind w:left="851" w:right="616"/>
        <w:jc w:val="both"/>
        <w:rPr>
          <w:rFonts w:ascii="Verdana" w:eastAsia="Century Gothic" w:hAnsi="Verdana" w:cs="Century Gothic"/>
          <w:b/>
        </w:rPr>
      </w:pPr>
    </w:p>
    <w:p w14:paraId="396CBD40" w14:textId="77777777" w:rsidR="00123A1C" w:rsidRDefault="00123A1C" w:rsidP="00123A1C">
      <w:pPr>
        <w:spacing w:after="120" w:line="276" w:lineRule="auto"/>
        <w:ind w:firstLine="709"/>
        <w:jc w:val="both"/>
        <w:rPr>
          <w:rFonts w:ascii="Verdana" w:eastAsia="Calibri" w:hAnsi="Verdana" w:cs="Arial"/>
          <w:color w:val="000000"/>
          <w:lang w:val="es-ES" w:eastAsia="es-ES"/>
        </w:rPr>
      </w:pPr>
      <w:r w:rsidRPr="1D66880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1BA50530" w14:textId="77777777" w:rsidR="00123A1C" w:rsidRDefault="00123A1C" w:rsidP="00123A1C">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24C4BA1C" w14:textId="77777777" w:rsidR="00123A1C" w:rsidRDefault="00123A1C" w:rsidP="00123A1C">
      <w:pPr>
        <w:spacing w:after="0" w:line="276" w:lineRule="auto"/>
        <w:ind w:firstLine="709"/>
        <w:jc w:val="both"/>
        <w:rPr>
          <w:rFonts w:ascii="Verdana" w:eastAsia="Calibri" w:hAnsi="Verdana" w:cs="Arial"/>
          <w:color w:val="000000"/>
          <w:lang w:val="es-ES" w:eastAsia="es-ES"/>
        </w:rPr>
      </w:pPr>
    </w:p>
    <w:p w14:paraId="2A249C70" w14:textId="77777777" w:rsidR="00123A1C" w:rsidRDefault="00123A1C" w:rsidP="00123A1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9924D7A" w14:textId="77777777" w:rsidR="00123A1C" w:rsidRDefault="00123A1C" w:rsidP="00123A1C">
      <w:pPr>
        <w:tabs>
          <w:tab w:val="left" w:pos="426"/>
        </w:tabs>
        <w:spacing w:after="0" w:line="276" w:lineRule="auto"/>
        <w:jc w:val="both"/>
        <w:rPr>
          <w:rFonts w:ascii="Verdana" w:eastAsia="Century Gothic" w:hAnsi="Verdana" w:cs="Century Gothic"/>
          <w:lang w:val="es-ES"/>
        </w:rPr>
      </w:pPr>
    </w:p>
    <w:p w14:paraId="5CB32486" w14:textId="77777777" w:rsidR="00123A1C" w:rsidRDefault="00123A1C" w:rsidP="00123A1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p>
    <w:p w14:paraId="5F8D1566" w14:textId="77777777" w:rsidR="00123A1C" w:rsidRDefault="00123A1C" w:rsidP="00123A1C">
      <w:pPr>
        <w:spacing w:after="0" w:line="276" w:lineRule="auto"/>
        <w:jc w:val="both"/>
        <w:rPr>
          <w:rFonts w:ascii="Verdana" w:eastAsia="Century Gothic" w:hAnsi="Verdana" w:cs="Century Gothic"/>
        </w:rPr>
      </w:pPr>
    </w:p>
    <w:p w14:paraId="427AD966" w14:textId="77777777" w:rsidR="00123A1C" w:rsidRDefault="00123A1C" w:rsidP="00123A1C">
      <w:pPr>
        <w:spacing w:after="0" w:line="276" w:lineRule="auto"/>
        <w:jc w:val="both"/>
        <w:rPr>
          <w:rFonts w:ascii="Verdana" w:eastAsia="Century Gothic" w:hAnsi="Verdana" w:cs="Century Gothic"/>
        </w:rPr>
      </w:pPr>
      <w:r>
        <w:rPr>
          <w:rFonts w:ascii="Verdana" w:eastAsia="Century Gothic" w:hAnsi="Verdana" w:cs="Century Gothic"/>
        </w:rPr>
        <w:lastRenderedPageBreak/>
        <w:t xml:space="preserve">i. </w:t>
      </w:r>
      <w:r w:rsidRPr="00FC0B68">
        <w:rPr>
          <w:rFonts w:ascii="Verdana" w:eastAsia="Century Gothic" w:hAnsi="Verdana" w:cs="Century Gothic"/>
        </w:rPr>
        <w:t>¿Cuáles son los criterios y deberes que deben observar las entidades estatales en la estructuración del estudio de mercado, particularmente</w:t>
      </w:r>
      <w:r w:rsidRPr="1D668801">
        <w:rPr>
          <w:rFonts w:ascii="Verdana" w:eastAsia="Century Gothic" w:hAnsi="Verdana" w:cs="Century Gothic"/>
        </w:rPr>
        <w:t xml:space="preserve">, en aras de </w:t>
      </w:r>
      <w:proofErr w:type="spellStart"/>
      <w:r w:rsidRPr="1D668801">
        <w:rPr>
          <w:rFonts w:ascii="Verdana" w:eastAsia="Century Gothic" w:hAnsi="Verdana" w:cs="Century Gothic"/>
        </w:rPr>
        <w:t>determinar</w:t>
      </w:r>
      <w:r w:rsidRPr="00FC0B68">
        <w:rPr>
          <w:rFonts w:ascii="Verdana" w:eastAsia="Century Gothic" w:hAnsi="Verdana" w:cs="Century Gothic"/>
        </w:rPr>
        <w:t>el</w:t>
      </w:r>
      <w:proofErr w:type="spellEnd"/>
      <w:r w:rsidRPr="00FC0B68">
        <w:rPr>
          <w:rFonts w:ascii="Verdana" w:eastAsia="Century Gothic" w:hAnsi="Verdana" w:cs="Century Gothic"/>
        </w:rPr>
        <w:t xml:space="preserve"> presupuesto oficial del contrato?</w:t>
      </w:r>
    </w:p>
    <w:p w14:paraId="7DF2F4BE" w14:textId="77777777" w:rsidR="00123A1C" w:rsidRDefault="00123A1C" w:rsidP="00123A1C">
      <w:pPr>
        <w:spacing w:after="0" w:line="276" w:lineRule="auto"/>
        <w:jc w:val="both"/>
        <w:rPr>
          <w:rFonts w:ascii="Verdana" w:eastAsia="Century Gothic" w:hAnsi="Verdana" w:cs="Century Gothic"/>
        </w:rPr>
      </w:pPr>
    </w:p>
    <w:p w14:paraId="6CA4234B" w14:textId="77777777" w:rsidR="00123A1C" w:rsidRDefault="00123A1C" w:rsidP="00123A1C">
      <w:pPr>
        <w:spacing w:after="0" w:line="276" w:lineRule="auto"/>
        <w:jc w:val="both"/>
        <w:rPr>
          <w:rFonts w:ascii="Verdana" w:eastAsia="Century Gothic" w:hAnsi="Verdana" w:cs="Century Gothic"/>
        </w:rPr>
      </w:pP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CB54E0">
        <w:rPr>
          <w:rFonts w:ascii="Verdana" w:eastAsia="Century Gothic" w:hAnsi="Verdana" w:cs="Century Gothic"/>
        </w:rPr>
        <w:t>¿Cuál es el alcance del margen de decisión del ordenador del gasto frente a los ajustes o modificaciones de los estudios y diseños en los contratos de obra pública, y en qué medida dichos insumos técnicos inciden en la procedencia de adiciones contractuales?</w:t>
      </w:r>
    </w:p>
    <w:p w14:paraId="6FEAE144" w14:textId="77777777" w:rsidR="00123A1C" w:rsidRDefault="00123A1C" w:rsidP="00123A1C">
      <w:pPr>
        <w:spacing w:after="0" w:line="276" w:lineRule="auto"/>
        <w:jc w:val="both"/>
        <w:rPr>
          <w:rFonts w:ascii="Verdana" w:eastAsia="Calibri" w:hAnsi="Verdana" w:cs="Arial"/>
          <w:color w:val="7030A0"/>
          <w:lang w:val="es-ES"/>
        </w:rPr>
      </w:pPr>
    </w:p>
    <w:p w14:paraId="20D0D2A2" w14:textId="77777777" w:rsidR="00123A1C" w:rsidRDefault="00123A1C" w:rsidP="00123A1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62D5E1B" w14:textId="77777777" w:rsidR="00123A1C" w:rsidRDefault="00123A1C" w:rsidP="00123A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23A1C" w14:paraId="45B07F8B" w14:textId="77777777" w:rsidTr="00093697">
        <w:tc>
          <w:tcPr>
            <w:tcW w:w="8828" w:type="dxa"/>
            <w:tcBorders>
              <w:top w:val="dotted" w:sz="4" w:space="0" w:color="auto"/>
              <w:left w:val="dotted" w:sz="4" w:space="0" w:color="auto"/>
              <w:bottom w:val="dotted" w:sz="4" w:space="0" w:color="auto"/>
              <w:right w:val="dotted" w:sz="4" w:space="0" w:color="auto"/>
            </w:tcBorders>
          </w:tcPr>
          <w:p w14:paraId="157FEFB4" w14:textId="77777777" w:rsidR="00123A1C" w:rsidRPr="00467AFF" w:rsidRDefault="00123A1C" w:rsidP="00093697">
            <w:pPr>
              <w:spacing w:line="276" w:lineRule="auto"/>
              <w:jc w:val="both"/>
              <w:rPr>
                <w:rFonts w:ascii="Verdana" w:eastAsia="Calibri" w:hAnsi="Verdana" w:cs="Arial"/>
                <w:lang w:val="es-ES"/>
              </w:rPr>
            </w:pPr>
            <w:r>
              <w:rPr>
                <w:rFonts w:ascii="Verdana" w:hAnsi="Verdana" w:cs="Arial"/>
              </w:rPr>
              <w:t>i. L</w:t>
            </w:r>
            <w:r w:rsidRPr="00467AFF">
              <w:rPr>
                <w:rFonts w:ascii="Verdana" w:hAnsi="Verdana" w:cs="Arial"/>
              </w:rPr>
              <w:t>os numerales 2 y 4 del artículo 2.2.1.1.2.1.1</w:t>
            </w:r>
            <w:r w:rsidRPr="1D668801">
              <w:rPr>
                <w:rFonts w:ascii="Verdana" w:hAnsi="Verdana" w:cs="Arial"/>
              </w:rPr>
              <w:t>.</w:t>
            </w:r>
            <w:r w:rsidRPr="00467AFF">
              <w:rPr>
                <w:rFonts w:ascii="Verdana" w:hAnsi="Verdana" w:cs="Arial"/>
              </w:rPr>
              <w:t xml:space="preserve"> del Decreto 1082 de 2015 exigen que en los estudios previos se determine el objeto a contratar con sus especificaciones, y se señale el valor estimado del contrato y la justificación </w:t>
            </w:r>
            <w:proofErr w:type="gramStart"/>
            <w:r w:rsidRPr="00467AFF">
              <w:rPr>
                <w:rFonts w:ascii="Verdana" w:hAnsi="Verdana" w:cs="Arial"/>
              </w:rPr>
              <w:t>del mismo</w:t>
            </w:r>
            <w:proofErr w:type="gramEnd"/>
            <w:r w:rsidRPr="00467AFF">
              <w:rPr>
                <w:rFonts w:ascii="Verdana" w:hAnsi="Verdana" w:cs="Arial"/>
              </w:rPr>
              <w:t>. En concordancia</w:t>
            </w:r>
            <w:r w:rsidRPr="1D668801">
              <w:rPr>
                <w:rFonts w:ascii="Verdana" w:hAnsi="Verdana" w:cs="Arial"/>
              </w:rPr>
              <w:t xml:space="preserve"> con lo anterior</w:t>
            </w:r>
            <w:r w:rsidRPr="00467AFF">
              <w:rPr>
                <w:rFonts w:ascii="Verdana" w:hAnsi="Verdana" w:cs="Arial"/>
              </w:rPr>
              <w:t>, e</w:t>
            </w:r>
            <w:r w:rsidRPr="1D668801">
              <w:rPr>
                <w:rFonts w:ascii="Verdana" w:eastAsia="Calibri" w:hAnsi="Verdana" w:cs="Arial"/>
                <w:lang w:val="es-ES"/>
              </w:rPr>
              <w:t xml:space="preserve">l artículo 2.2.1.1.1.6.1 del Decreto 1082 de 2015 establece el deber de las entidades de realizar, durante la etapa de planeación, el análisis necesario para conocer el sector relativo al objeto del Proceso de Contratación desde la perspectiva legal, comercial, financiera, organizacional, técnica, y de análisis de Riesgo. La entidad debe dejar constancia de este análisis en los Documentos del Proceso. </w:t>
            </w:r>
          </w:p>
          <w:p w14:paraId="681B8137" w14:textId="77777777" w:rsidR="00123A1C" w:rsidRPr="00467AFF" w:rsidRDefault="00123A1C" w:rsidP="00093697">
            <w:pPr>
              <w:spacing w:before="120" w:line="276" w:lineRule="auto"/>
              <w:ind w:firstLine="709"/>
              <w:jc w:val="both"/>
              <w:rPr>
                <w:rFonts w:ascii="Verdana" w:hAnsi="Verdana" w:cs="Arial"/>
                <w:bCs/>
                <w:lang w:val="es-ES_tradnl"/>
              </w:rPr>
            </w:pPr>
            <w:r w:rsidRPr="00467AFF">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467AFF">
              <w:rPr>
                <w:rFonts w:ascii="Verdana" w:hAnsi="Verdana" w:cs="Arial"/>
                <w:lang w:eastAsia="es-CO"/>
              </w:rPr>
              <w:t xml:space="preserve">son autónomas para estructurarlo, para lo cual deberán cumplir lo establecido en el artículo </w:t>
            </w:r>
            <w:r w:rsidRPr="00467AFF">
              <w:rPr>
                <w:rFonts w:ascii="Verdana" w:eastAsia="Calibri" w:hAnsi="Verdana" w:cs="Arial"/>
                <w:bCs/>
                <w:lang w:val="es-ES_tradnl"/>
              </w:rPr>
              <w:t xml:space="preserve">2.2.1.1.1.6.1 del Decreto 1082 de 2015 y realizar un análisis integral de planeación que </w:t>
            </w:r>
            <w:r w:rsidRPr="00467AFF">
              <w:rPr>
                <w:rFonts w:ascii="Verdana" w:hAnsi="Verdana" w:cs="Arial"/>
              </w:rPr>
              <w:t xml:space="preserve">sirva de sustento a la decisión de </w:t>
            </w:r>
            <w:r w:rsidRPr="00467AFF">
              <w:rPr>
                <w:rFonts w:ascii="Verdana" w:hAnsi="Verdana" w:cs="Arial"/>
                <w:bCs/>
                <w:lang w:val="es-ES_tradnl"/>
              </w:rPr>
              <w:t>realizar un proceso de contratación.</w:t>
            </w:r>
          </w:p>
          <w:p w14:paraId="0238F6FF" w14:textId="77777777" w:rsidR="00123A1C" w:rsidRPr="00467AFF" w:rsidRDefault="00123A1C" w:rsidP="00093697">
            <w:pPr>
              <w:spacing w:before="120" w:line="276" w:lineRule="auto"/>
              <w:ind w:firstLine="709"/>
              <w:jc w:val="both"/>
              <w:rPr>
                <w:rFonts w:ascii="Verdana" w:eastAsia="Calibri" w:hAnsi="Verdana" w:cs="Arial"/>
                <w:bCs/>
                <w:lang w:val="es-ES_tradnl"/>
              </w:rPr>
            </w:pPr>
            <w:r w:rsidRPr="00467AFF">
              <w:rPr>
                <w:rFonts w:ascii="Verdana" w:eastAsia="Calibri" w:hAnsi="Verdana" w:cs="Arial"/>
                <w:bCs/>
                <w:lang w:val="es-ES_tradnl"/>
              </w:rPr>
              <w:t xml:space="preserve">La Agencia Nacional de Contratación Pública – Colombia Compra Eficiente dispone de la </w:t>
            </w:r>
            <w:r>
              <w:rPr>
                <w:rFonts w:ascii="Verdana" w:eastAsia="Calibri" w:hAnsi="Verdana" w:cs="Arial"/>
                <w:bCs/>
                <w:lang w:val="es-ES_tradnl"/>
              </w:rPr>
              <w:t>“</w:t>
            </w:r>
            <w:r w:rsidRPr="00467AFF">
              <w:rPr>
                <w:rFonts w:ascii="Verdana" w:eastAsia="Calibri" w:hAnsi="Verdana" w:cs="Arial"/>
                <w:bCs/>
                <w:lang w:val="es-ES_tradnl"/>
              </w:rPr>
              <w:t>Guía de Elaboración del Estudio del Sector</w:t>
            </w:r>
            <w:r>
              <w:rPr>
                <w:rFonts w:ascii="Verdana" w:eastAsia="Calibri" w:hAnsi="Verdana" w:cs="Arial"/>
                <w:bCs/>
                <w:lang w:val="es-ES_tradnl"/>
              </w:rPr>
              <w:t>”</w:t>
            </w:r>
            <w:r w:rsidRPr="00467AFF">
              <w:rPr>
                <w:rFonts w:ascii="Verdana" w:eastAsia="Calibri" w:hAnsi="Verdana" w:cs="Arial"/>
                <w:bCs/>
                <w:lang w:val="es-ES_tradnl"/>
              </w:rPr>
              <w:t>,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 Esta Guía es un insumo para realizar el estudio del sector relativo al proceso de contratación, pero carece de fuerza vinculante por lo que su aplicación no exime a las entidades de acatar las normas vigentes.</w:t>
            </w:r>
          </w:p>
          <w:p w14:paraId="5E684A35" w14:textId="77777777" w:rsidR="00123A1C" w:rsidRPr="00467AFF" w:rsidRDefault="00123A1C" w:rsidP="00093697">
            <w:pPr>
              <w:spacing w:before="120" w:after="120" w:line="276" w:lineRule="auto"/>
              <w:ind w:firstLine="709"/>
              <w:jc w:val="both"/>
              <w:rPr>
                <w:rFonts w:ascii="Verdana" w:eastAsia="Calibri" w:hAnsi="Verdana" w:cs="Arial"/>
                <w:bCs/>
                <w:lang w:val="es-ES"/>
              </w:rPr>
            </w:pPr>
            <w:r w:rsidRPr="00467AFF">
              <w:rPr>
                <w:rFonts w:ascii="Verdana" w:eastAsia="Calibri" w:hAnsi="Verdana" w:cs="Arial"/>
                <w:bCs/>
                <w:lang w:val="es-ES_tradnl"/>
              </w:rPr>
              <w:lastRenderedPageBreak/>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61F3CE96" w14:textId="77777777" w:rsidR="00123A1C" w:rsidRDefault="00123A1C" w:rsidP="00093697">
            <w:pPr>
              <w:spacing w:before="120" w:after="120" w:line="276" w:lineRule="auto"/>
              <w:ind w:firstLine="709"/>
              <w:jc w:val="both"/>
              <w:rPr>
                <w:rFonts w:ascii="Verdana" w:eastAsia="Arial" w:hAnsi="Verdana" w:cs="Arial"/>
                <w:lang w:val="es-ES"/>
              </w:rPr>
            </w:pPr>
            <w:r w:rsidRPr="00467AFF">
              <w:rPr>
                <w:rFonts w:ascii="Verdana" w:eastAsia="Calibri" w:hAnsi="Verdana" w:cs="Arial"/>
                <w:bCs/>
                <w:lang w:val="es-ES_tradnl"/>
              </w:rPr>
              <w:t>Asimismo, en la Guía se indica que</w:t>
            </w:r>
            <w:r>
              <w:rPr>
                <w:rFonts w:ascii="Verdana" w:eastAsia="Calibri" w:hAnsi="Verdana" w:cs="Arial"/>
                <w:bCs/>
                <w:lang w:val="es-ES_tradnl"/>
              </w:rPr>
              <w:t>,</w:t>
            </w:r>
            <w:r w:rsidRPr="00467AFF">
              <w:rPr>
                <w:rFonts w:ascii="Verdana" w:eastAsia="Calibri" w:hAnsi="Verdana" w:cs="Arial"/>
                <w:bCs/>
                <w:lang w:val="es-ES_tradnl"/>
              </w:rPr>
              <w:t xml:space="preserve"> como parte de la estructura del estudio del sector</w:t>
            </w:r>
            <w:r>
              <w:rPr>
                <w:rFonts w:ascii="Verdana" w:eastAsia="Calibri" w:hAnsi="Verdana" w:cs="Arial"/>
                <w:bCs/>
                <w:lang w:val="es-ES_tradnl"/>
              </w:rPr>
              <w:t>,</w:t>
            </w:r>
            <w:r w:rsidRPr="00467AFF">
              <w:rPr>
                <w:rFonts w:ascii="Verdana" w:eastAsia="Calibri" w:hAnsi="Verdana" w:cs="Arial"/>
                <w:bCs/>
                <w:lang w:val="es-ES_tradnl"/>
              </w:rPr>
              <w:t xml:space="preserve"> se debe realizar un análisis del comportamiento del gasto histórico, el estudio de la oferta y el estudio del mercado. Este último </w:t>
            </w:r>
            <w:r w:rsidRPr="00467AFF">
              <w:rPr>
                <w:rFonts w:ascii="Verdana" w:eastAsia="Calibri" w:hAnsi="Verdana" w:cs="Arial"/>
                <w:color w:val="000000" w:themeColor="text1"/>
                <w:lang w:val="es-ES"/>
              </w:rPr>
              <w:t>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Este estudio de mercado debe responder claramente cuáles son las dinámicas de precio y, de esta manera, servir de insumo para establecer el presupuesto oficial del proceso de contratación.</w:t>
            </w:r>
            <w:r w:rsidRPr="00467AFF">
              <w:rPr>
                <w:rFonts w:ascii="Verdana" w:eastAsia="Arial" w:hAnsi="Verdana" w:cs="Arial"/>
                <w:lang w:val="es-ES"/>
              </w:rPr>
              <w:t xml:space="preserve"> </w:t>
            </w:r>
          </w:p>
          <w:p w14:paraId="61494095" w14:textId="77777777" w:rsidR="00123A1C" w:rsidRDefault="00123A1C" w:rsidP="00093697">
            <w:pPr>
              <w:pStyle w:val="Textoindependiente"/>
              <w:ind w:firstLine="709"/>
              <w:jc w:val="both"/>
              <w:rPr>
                <w:rFonts w:ascii="Verdana" w:eastAsia="Calibri" w:hAnsi="Verdana" w:cs="Arial"/>
                <w:bCs/>
                <w:lang w:val="es-ES_tradnl"/>
              </w:rPr>
            </w:pPr>
            <w:r>
              <w:rPr>
                <w:rFonts w:ascii="Verdana" w:eastAsia="Calibri" w:hAnsi="Verdana" w:cs="Arial"/>
                <w:color w:val="000000" w:themeColor="text1"/>
                <w:lang w:val="es-ES"/>
              </w:rPr>
              <w:t xml:space="preserve">Finalmente, </w:t>
            </w:r>
            <w:r w:rsidRPr="007A2CB0">
              <w:rPr>
                <w:rFonts w:ascii="Verdana" w:eastAsia="Calibri" w:hAnsi="Verdana" w:cs="Arial"/>
                <w:color w:val="000000" w:themeColor="text1"/>
                <w:lang w:val="es-ES"/>
              </w:rPr>
              <w:t xml:space="preserve">es pertinente precisar que los mecanismos señalados para realizar el estudio del mercado no están determinados por la ley o el reglamento, por lo que no existen lineamientos obligatorios para su estructuración. De esta manera, </w:t>
            </w:r>
            <w:r w:rsidRPr="007A2CB0">
              <w:rPr>
                <w:rFonts w:ascii="Verdana" w:eastAsia="Calibri" w:hAnsi="Verdana" w:cs="Arial"/>
                <w:bCs/>
                <w:lang w:val="es-ES_tradnl"/>
              </w:rPr>
              <w:t xml:space="preserve">las entidades </w:t>
            </w:r>
            <w:r w:rsidRPr="007A2CB0">
              <w:rPr>
                <w:rFonts w:ascii="Verdana" w:hAnsi="Verdana" w:cs="Arial"/>
              </w:rPr>
              <w:t>son autónomas para establecer la forma en la cual se recopilará la información que sustente el análisis del sector, así como lo referente a la solicitud de cotizaciones</w:t>
            </w:r>
            <w:r>
              <w:rPr>
                <w:rFonts w:ascii="Verdana" w:hAnsi="Verdana" w:cs="Arial"/>
              </w:rPr>
              <w:t xml:space="preserve"> o la aplicación de otros métodos para la estructuración del estudio de mercado</w:t>
            </w:r>
            <w:r w:rsidRPr="007A2CB0">
              <w:rPr>
                <w:rFonts w:ascii="Verdana" w:hAnsi="Verdana" w:cs="Arial"/>
              </w:rPr>
              <w:t xml:space="preserve">. Como se mencionó, la </w:t>
            </w:r>
            <w:r>
              <w:rPr>
                <w:rFonts w:ascii="Verdana" w:eastAsia="Calibri" w:hAnsi="Verdana" w:cs="Arial"/>
                <w:bCs/>
                <w:lang w:val="es-ES_tradnl"/>
              </w:rPr>
              <w:t>“</w:t>
            </w:r>
            <w:r w:rsidRPr="007A2CB0">
              <w:rPr>
                <w:rFonts w:ascii="Verdana" w:eastAsia="Calibri" w:hAnsi="Verdana" w:cs="Arial"/>
                <w:bCs/>
                <w:lang w:val="es-ES_tradnl"/>
              </w:rPr>
              <w:t>Guía de Elaboración del Estudio del Sector</w:t>
            </w:r>
            <w:r>
              <w:rPr>
                <w:rFonts w:ascii="Verdana" w:eastAsia="Calibri" w:hAnsi="Verdana" w:cs="Arial"/>
                <w:bCs/>
                <w:lang w:val="es-ES_tradnl"/>
              </w:rPr>
              <w:t>”</w:t>
            </w:r>
            <w:r w:rsidRPr="007A2CB0">
              <w:rPr>
                <w:rFonts w:ascii="Verdana" w:eastAsia="Calibri" w:hAnsi="Verdana" w:cs="Arial"/>
                <w:bCs/>
                <w:lang w:val="es-ES_tradnl"/>
              </w:rPr>
              <w:t xml:space="preserve"> desarrolla recomendaciones y buenas prácticas que servirán a las entidades para entender el mercado del bien, obra o servicio que pretende adquirir, pero no es un instrumento vinculante para la entidad.</w:t>
            </w:r>
          </w:p>
          <w:p w14:paraId="523F8A24" w14:textId="77777777" w:rsidR="00123A1C" w:rsidRPr="00D35837" w:rsidRDefault="00123A1C" w:rsidP="00093697">
            <w:pPr>
              <w:pStyle w:val="Textoindependiente"/>
              <w:ind w:firstLine="709"/>
              <w:jc w:val="both"/>
              <w:rPr>
                <w:rFonts w:ascii="Verdana" w:hAnsi="Verdana"/>
              </w:rPr>
            </w:pPr>
            <w:proofErr w:type="spellStart"/>
            <w:r>
              <w:rPr>
                <w:rFonts w:ascii="Verdana" w:hAnsi="Verdana"/>
                <w:bCs/>
                <w:lang w:val="es-ES_tradnl"/>
              </w:rPr>
              <w:t>ii</w:t>
            </w:r>
            <w:proofErr w:type="spellEnd"/>
            <w:r>
              <w:rPr>
                <w:rFonts w:ascii="Verdana" w:hAnsi="Verdana"/>
                <w:bCs/>
                <w:lang w:val="es-ES_tradnl"/>
              </w:rPr>
              <w:t xml:space="preserve">. </w:t>
            </w:r>
            <w:r w:rsidRPr="00D35837">
              <w:rPr>
                <w:rFonts w:ascii="Verdana" w:hAnsi="Verdana"/>
                <w:bCs/>
              </w:rPr>
              <w:t xml:space="preserve">Conforme a la interpretación general de las normas del sistema de compras públicas, sin perjuicio de los denominados “contratos llave en mano”, los diseños en los contratos de obra pública </w:t>
            </w:r>
            <w:r w:rsidRPr="00D35837">
              <w:rPr>
                <w:rFonts w:ascii="Verdana" w:hAnsi="Verdana"/>
              </w:rPr>
              <w:t xml:space="preserve">no son inalterables. Por ello, en el evento en que la entidad estatal ya cuente con estudios y diseños para la ejecución de una obra pública, y siempre en cumplimiento del principio de planeación, así como con el fin de corroborar la viabilidad técnica, económica y funcional del proyecto, dichos diseños pueden ser modificados o ajustados </w:t>
            </w:r>
            <w:r w:rsidRPr="00D35837">
              <w:rPr>
                <w:rFonts w:ascii="Verdana" w:hAnsi="Verdana"/>
              </w:rPr>
              <w:lastRenderedPageBreak/>
              <w:t>cuando resulte necesario para asegurar el cumplimiento de las finalidades estatales.</w:t>
            </w:r>
          </w:p>
          <w:p w14:paraId="6AA36423" w14:textId="77777777" w:rsidR="00123A1C" w:rsidRPr="00D35837" w:rsidRDefault="00123A1C" w:rsidP="00093697">
            <w:pPr>
              <w:pStyle w:val="Textoindependiente"/>
              <w:ind w:firstLine="709"/>
              <w:jc w:val="both"/>
              <w:rPr>
                <w:rFonts w:ascii="Verdana" w:hAnsi="Verdana"/>
              </w:rPr>
            </w:pPr>
            <w:r w:rsidRPr="00D35837">
              <w:rPr>
                <w:rFonts w:ascii="Verdana" w:hAnsi="Verdana"/>
              </w:rPr>
              <w:t>En este sentido, es un deber jurídico de la entidad estatal adecuar los estudios y diseños cuando estos presenten deficiencias, errores o resulten insuficientes frente a las condiciones reales de ejecución de la obra, de manera que se garantice la correcta materialización del objeto contractual. Bajo este entendido, el alcance del objeto del contrato de obra pública permite que una de las obligaciones a cargo del contratista consista en ajustar, revisar y/o modificar los estudios y diseños con que cuenta la entidad contratante, posibilidad que, además, se encuentra prevista en los documentos tipo para la licitación de obra pública de infraestructura de transporte.</w:t>
            </w:r>
          </w:p>
          <w:p w14:paraId="1945837C" w14:textId="77777777" w:rsidR="00123A1C" w:rsidRPr="00D35837" w:rsidRDefault="00123A1C" w:rsidP="00093697">
            <w:pPr>
              <w:pStyle w:val="Textoindependiente"/>
              <w:ind w:firstLine="709"/>
              <w:jc w:val="both"/>
              <w:rPr>
                <w:rFonts w:ascii="Verdana" w:hAnsi="Verdana"/>
              </w:rPr>
            </w:pPr>
            <w:r w:rsidRPr="00D35837">
              <w:rPr>
                <w:rFonts w:ascii="Verdana" w:hAnsi="Verdana"/>
              </w:rPr>
              <w:t>Naturalmente, una vez revisados, ajustados o modificados, los diseños se tornan obligatorios para la ejecución del proyecto, en la medida en que constituyen el referente técnico que orienta la realización de las actividades contractuales. No obstante, debe precisarse que la modificación de estudios y diseños, así como la identificación de necesidades técnicas adicionales por parte del contratista, del supervisor o del interventor, no genera de manera automática la obligación de celebrar una adición contractual.</w:t>
            </w:r>
          </w:p>
          <w:p w14:paraId="1AD1EDB0" w14:textId="77777777" w:rsidR="00123A1C" w:rsidRPr="00D35837" w:rsidRDefault="00123A1C" w:rsidP="00093697">
            <w:pPr>
              <w:pStyle w:val="Textoindependiente"/>
              <w:ind w:firstLine="709"/>
              <w:jc w:val="both"/>
              <w:rPr>
                <w:rFonts w:ascii="Verdana" w:hAnsi="Verdana"/>
              </w:rPr>
            </w:pPr>
            <w:r w:rsidRPr="00D35837">
              <w:rPr>
                <w:rFonts w:ascii="Verdana" w:hAnsi="Verdana"/>
              </w:rPr>
              <w:t>En efecto, aun cuando las solicitudes de adición se encuentren sustentadas en conceptos técnicos cualificados, la decisión de celebrar o no una adición contractual corresponde al ordenador del gasto, quien conserva un margen de apreciación propio e indelegable para evaluar la procedencia de dicha modificación contractual, a partir de una valoración integral que involucre consideraciones técnicas, jurídicas, presupuestales y de planeación.</w:t>
            </w:r>
          </w:p>
          <w:p w14:paraId="029830EA" w14:textId="77777777" w:rsidR="00123A1C" w:rsidRDefault="00123A1C" w:rsidP="00093697">
            <w:pPr>
              <w:pStyle w:val="Textoindependiente"/>
              <w:ind w:firstLine="709"/>
              <w:jc w:val="both"/>
              <w:rPr>
                <w:rFonts w:ascii="Verdana" w:hAnsi="Verdana"/>
              </w:rPr>
            </w:pPr>
            <w:r w:rsidRPr="00D35837">
              <w:rPr>
                <w:rFonts w:ascii="Verdana" w:hAnsi="Verdana"/>
              </w:rPr>
              <w:t>Por consiguiente, los conceptos emitidos por la supervisión o la interventoría constituyen insumos relevantes para la toma de decisiones, pero no tienen carácter vinculante, en la medida en que no sustituyen la competencia decisoria del ordenador del gasto ni lo eximen de la responsabilidad asociada a la decisión que adopte. En este marco, el ordenador del gasto no se encuentra obligado a acceder de manera automática a las solicitudes de adición, aun cuando estas se originen en ajustes a los diseños o en la necesidad de ejecutar obras adicionales, sino que debe adoptar una decisión motivada, conforme a los principios y reglas que rigen la contratación estatal.</w:t>
            </w:r>
          </w:p>
          <w:p w14:paraId="2399286C" w14:textId="77777777" w:rsidR="00123A1C" w:rsidRPr="00383475" w:rsidRDefault="00123A1C" w:rsidP="00093697">
            <w:pPr>
              <w:pStyle w:val="Textoindependiente"/>
              <w:ind w:firstLine="709"/>
              <w:jc w:val="both"/>
              <w:rPr>
                <w:rFonts w:ascii="Verdana" w:hAnsi="Verdana"/>
              </w:rPr>
            </w:pPr>
            <w:r w:rsidRPr="001941FD">
              <w:rPr>
                <w:rStyle w:val="s15"/>
                <w:rFonts w:ascii="Verdana" w:hAnsi="Verdana"/>
                <w:color w:val="000000"/>
              </w:rPr>
              <w:t xml:space="preserve">Al margen de la explicación precedente debe advertirse que el análisis requerido para resolver problemas específicos en torno a la gestión contractual </w:t>
            </w:r>
            <w:r w:rsidRPr="001941FD">
              <w:rPr>
                <w:rStyle w:val="s15"/>
                <w:rFonts w:ascii="Verdana" w:hAnsi="Verdana"/>
                <w:color w:val="000000"/>
              </w:rPr>
              <w:lastRenderedPageBreak/>
              <w:t>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F19CCD7" w14:textId="77777777" w:rsidR="00123A1C" w:rsidRDefault="00123A1C" w:rsidP="00123A1C">
      <w:pPr>
        <w:tabs>
          <w:tab w:val="left" w:pos="142"/>
          <w:tab w:val="left" w:pos="284"/>
        </w:tabs>
        <w:spacing w:after="0" w:line="276" w:lineRule="auto"/>
        <w:jc w:val="both"/>
        <w:rPr>
          <w:rFonts w:ascii="Verdana" w:eastAsia="Century Gothic" w:hAnsi="Verdana" w:cs="Century Gothic"/>
          <w:b/>
          <w:bCs/>
          <w:lang w:val="es-ES"/>
        </w:rPr>
      </w:pPr>
    </w:p>
    <w:p w14:paraId="3BD429AD" w14:textId="77777777" w:rsidR="00123A1C" w:rsidRDefault="00123A1C" w:rsidP="00123A1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54F95F5" w14:textId="77777777" w:rsidR="00123A1C" w:rsidRDefault="00123A1C" w:rsidP="00123A1C">
      <w:pPr>
        <w:spacing w:after="0" w:line="276" w:lineRule="auto"/>
        <w:jc w:val="both"/>
        <w:rPr>
          <w:rFonts w:ascii="Verdana" w:eastAsia="Calibri" w:hAnsi="Verdana" w:cs="Arial"/>
          <w:color w:val="7030A0"/>
          <w:lang w:val="es-ES"/>
        </w:rPr>
      </w:pPr>
    </w:p>
    <w:p w14:paraId="6938B61D" w14:textId="77777777" w:rsidR="00123A1C" w:rsidRPr="009B7987" w:rsidRDefault="00123A1C" w:rsidP="00123A1C">
      <w:pPr>
        <w:spacing w:after="0" w:line="276" w:lineRule="auto"/>
        <w:jc w:val="both"/>
        <w:rPr>
          <w:rFonts w:ascii="Verdana" w:eastAsia="Calibri" w:hAnsi="Verdana" w:cs="Arial"/>
        </w:rPr>
      </w:pPr>
      <w:r w:rsidRPr="009B7987">
        <w:rPr>
          <w:rFonts w:ascii="Verdana" w:eastAsia="Calibri" w:hAnsi="Verdana" w:cs="Arial"/>
        </w:rPr>
        <w:t>Lo anterior se sustenta en las siguientes consideraciones:</w:t>
      </w:r>
    </w:p>
    <w:p w14:paraId="3FAF55C5" w14:textId="77777777" w:rsidR="00123A1C" w:rsidRPr="009B7987" w:rsidRDefault="00123A1C" w:rsidP="00123A1C">
      <w:pPr>
        <w:spacing w:after="0" w:line="276" w:lineRule="auto"/>
        <w:jc w:val="both"/>
        <w:rPr>
          <w:rFonts w:ascii="Verdana" w:eastAsia="Calibri" w:hAnsi="Verdana" w:cs="Arial"/>
          <w:color w:val="000000" w:themeColor="text1"/>
        </w:rPr>
      </w:pPr>
    </w:p>
    <w:p w14:paraId="447A3B3C" w14:textId="77777777" w:rsidR="00123A1C" w:rsidRPr="007A2CB0" w:rsidRDefault="00123A1C" w:rsidP="00123A1C">
      <w:pPr>
        <w:spacing w:after="120" w:line="276" w:lineRule="auto"/>
        <w:jc w:val="both"/>
        <w:rPr>
          <w:rFonts w:ascii="Verdana" w:hAnsi="Verdana"/>
        </w:rPr>
      </w:pPr>
      <w:r>
        <w:rPr>
          <w:rFonts w:ascii="Verdana" w:eastAsia="Calibri" w:hAnsi="Verdana" w:cs="Arial"/>
          <w:bCs/>
          <w:lang w:val="es-ES_tradnl"/>
        </w:rPr>
        <w:t xml:space="preserve">i. </w:t>
      </w:r>
      <w:r w:rsidRPr="007A2CB0">
        <w:rPr>
          <w:rFonts w:ascii="Verdana" w:eastAsia="Calibri" w:hAnsi="Verdana" w:cs="Arial"/>
          <w:bCs/>
          <w:lang w:val="es-ES_tradnl"/>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203F5061" w14:textId="77777777" w:rsidR="00123A1C" w:rsidRPr="007A2CB0" w:rsidRDefault="00123A1C" w:rsidP="00123A1C">
      <w:pPr>
        <w:spacing w:after="120" w:line="276" w:lineRule="auto"/>
        <w:ind w:firstLine="708"/>
        <w:jc w:val="both"/>
        <w:rPr>
          <w:rFonts w:ascii="Verdana" w:eastAsia="Calibri" w:hAnsi="Verdana" w:cs="Arial"/>
          <w:bCs/>
          <w:lang w:val="es-ES"/>
        </w:rPr>
      </w:pPr>
      <w:r w:rsidRPr="007A2CB0">
        <w:rPr>
          <w:rFonts w:ascii="Verdana" w:eastAsia="Calibri" w:hAnsi="Verdana" w:cs="Arial"/>
          <w:bCs/>
          <w:lang w:val="es-MX"/>
        </w:rPr>
        <w:t xml:space="preserve">El Estatuto General de Contratación de la Administración Pública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7FB5C13" w14:textId="77777777" w:rsidR="00123A1C" w:rsidRPr="007A2CB0" w:rsidRDefault="00123A1C" w:rsidP="00123A1C">
      <w:pPr>
        <w:spacing w:after="0" w:line="276" w:lineRule="auto"/>
        <w:ind w:left="709" w:right="709"/>
        <w:jc w:val="both"/>
        <w:rPr>
          <w:rFonts w:ascii="Verdana" w:eastAsia="Calibri" w:hAnsi="Verdana" w:cs="Arial"/>
          <w:sz w:val="20"/>
          <w:szCs w:val="20"/>
          <w:lang w:val="es-MX"/>
        </w:rPr>
      </w:pPr>
      <w:r w:rsidRPr="007A2CB0">
        <w:rPr>
          <w:rFonts w:ascii="Verdana" w:eastAsia="Calibri"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41081FA4" w14:textId="77777777" w:rsidR="00123A1C" w:rsidRPr="007A2CB0" w:rsidRDefault="00123A1C" w:rsidP="00123A1C">
      <w:pPr>
        <w:spacing w:after="0" w:line="276" w:lineRule="auto"/>
        <w:ind w:left="709" w:right="709"/>
        <w:jc w:val="both"/>
        <w:rPr>
          <w:rFonts w:ascii="Verdana" w:eastAsia="Calibri" w:hAnsi="Verdana" w:cs="Arial"/>
          <w:sz w:val="20"/>
          <w:szCs w:val="20"/>
          <w:lang w:val="es-MX"/>
        </w:rPr>
      </w:pPr>
      <w:r w:rsidRPr="007A2CB0">
        <w:rPr>
          <w:rFonts w:ascii="Verdana" w:eastAsia="Calibri" w:hAnsi="Verdana" w:cs="Arial"/>
          <w:sz w:val="20"/>
          <w:szCs w:val="20"/>
          <w:lang w:val="es-MX"/>
        </w:rPr>
        <w:t>[…]</w:t>
      </w:r>
    </w:p>
    <w:p w14:paraId="6FB2AF24" w14:textId="77777777" w:rsidR="00123A1C" w:rsidRPr="007A2CB0" w:rsidRDefault="00123A1C" w:rsidP="00123A1C">
      <w:pPr>
        <w:spacing w:after="0" w:line="276" w:lineRule="auto"/>
        <w:ind w:left="709" w:right="709"/>
        <w:jc w:val="both"/>
        <w:rPr>
          <w:rFonts w:ascii="Verdana" w:eastAsia="Calibri" w:hAnsi="Verdana" w:cs="Arial"/>
          <w:sz w:val="20"/>
          <w:szCs w:val="20"/>
          <w:lang w:val="es-MX"/>
        </w:rPr>
      </w:pPr>
      <w:r w:rsidRPr="007A2CB0">
        <w:rPr>
          <w:rFonts w:ascii="Verdana" w:eastAsia="Calibri" w:hAnsi="Verdana" w:cs="Arial"/>
          <w:sz w:val="20"/>
          <w:szCs w:val="20"/>
          <w:lang w:val="es-MX"/>
        </w:rPr>
        <w:lastRenderedPageBreak/>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4F5ECBE" w14:textId="77777777" w:rsidR="00123A1C" w:rsidRPr="007A2CB0" w:rsidRDefault="00123A1C" w:rsidP="00123A1C">
      <w:pPr>
        <w:spacing w:after="0" w:line="276" w:lineRule="auto"/>
        <w:ind w:left="709" w:right="709"/>
        <w:jc w:val="both"/>
        <w:rPr>
          <w:rFonts w:ascii="Verdana" w:eastAsia="Calibri" w:hAnsi="Verdana" w:cs="Arial"/>
          <w:sz w:val="20"/>
          <w:szCs w:val="20"/>
          <w:lang w:val="es-MX"/>
        </w:rPr>
      </w:pPr>
      <w:r w:rsidRPr="007A2CB0">
        <w:rPr>
          <w:rFonts w:ascii="Verdana" w:eastAsia="Calibri" w:hAnsi="Verdana" w:cs="Arial"/>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598807D1"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52A0D21D" w14:textId="77777777" w:rsidR="00123A1C"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7EA97FAB" w14:textId="77777777" w:rsidR="00123A1C" w:rsidRPr="007A2CB0" w:rsidRDefault="00123A1C" w:rsidP="00123A1C">
      <w:pPr>
        <w:spacing w:after="0" w:line="276" w:lineRule="auto"/>
        <w:ind w:left="709" w:right="709"/>
        <w:jc w:val="both"/>
        <w:rPr>
          <w:rFonts w:ascii="Verdana" w:hAnsi="Verdana" w:cs="Arial"/>
          <w:sz w:val="20"/>
          <w:szCs w:val="20"/>
        </w:rPr>
      </w:pPr>
    </w:p>
    <w:p w14:paraId="4793BADB" w14:textId="77777777" w:rsidR="00123A1C" w:rsidRDefault="00123A1C" w:rsidP="00123A1C">
      <w:pPr>
        <w:spacing w:after="120" w:line="276" w:lineRule="auto"/>
        <w:ind w:firstLine="709"/>
        <w:jc w:val="both"/>
        <w:rPr>
          <w:rFonts w:ascii="Verdana" w:hAnsi="Verdana" w:cs="Arial"/>
        </w:rPr>
      </w:pPr>
      <w:r w:rsidRPr="007A2CB0">
        <w:rPr>
          <w:rFonts w:ascii="Verdana" w:hAnsi="Verdana" w:cs="Arial"/>
        </w:rPr>
        <w:t xml:space="preserve">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w:t>
      </w:r>
      <w:r>
        <w:rPr>
          <w:rFonts w:ascii="Verdana" w:hAnsi="Verdana" w:cs="Arial"/>
        </w:rPr>
        <w:t>“</w:t>
      </w:r>
      <w:r w:rsidRPr="007A2CB0">
        <w:rPr>
          <w:rFonts w:ascii="Verdana" w:hAnsi="Verdana" w:cs="Arial"/>
        </w:rPr>
        <w:t>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Pr>
          <w:rFonts w:ascii="Verdana" w:hAnsi="Verdana" w:cs="Arial"/>
        </w:rPr>
        <w:t>”</w:t>
      </w:r>
      <w:r w:rsidRPr="007A2CB0">
        <w:rPr>
          <w:rFonts w:ascii="Verdana" w:hAnsi="Verdana" w:cs="Arial"/>
          <w:vertAlign w:val="superscript"/>
        </w:rPr>
        <w:footnoteReference w:id="1"/>
      </w:r>
      <w:r w:rsidRPr="007A2CB0">
        <w:rPr>
          <w:rFonts w:ascii="Verdana" w:hAnsi="Verdana" w:cs="Arial"/>
        </w:rPr>
        <w:t xml:space="preserve">. </w:t>
      </w:r>
    </w:p>
    <w:p w14:paraId="09744797" w14:textId="77777777" w:rsidR="00123A1C" w:rsidRDefault="00123A1C" w:rsidP="00123A1C">
      <w:pPr>
        <w:spacing w:after="120" w:line="276" w:lineRule="auto"/>
        <w:ind w:firstLine="709"/>
        <w:jc w:val="both"/>
        <w:rPr>
          <w:rFonts w:ascii="Verdana" w:hAnsi="Verdana" w:cs="Arial"/>
        </w:rPr>
      </w:pPr>
      <w:r w:rsidRPr="007A2CB0">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4CEB3223" w14:textId="77777777" w:rsidR="00123A1C" w:rsidRPr="000A1D06" w:rsidRDefault="00123A1C" w:rsidP="00123A1C">
      <w:pPr>
        <w:spacing w:after="0" w:line="276" w:lineRule="auto"/>
        <w:ind w:firstLine="709"/>
        <w:jc w:val="both"/>
        <w:rPr>
          <w:rFonts w:ascii="Verdana" w:hAnsi="Verdana" w:cs="Arial"/>
        </w:rPr>
      </w:pPr>
    </w:p>
    <w:p w14:paraId="75EF5116"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lastRenderedPageBreak/>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7906BA2A"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1. La descripción de la necesidad que la Entidad Estatal pretende satisfacer con el Proceso de Contratación. </w:t>
      </w:r>
      <w:r w:rsidRPr="007A2CB0">
        <w:rPr>
          <w:rFonts w:ascii="Arial" w:hAnsi="Arial" w:cs="Arial"/>
          <w:sz w:val="20"/>
          <w:szCs w:val="20"/>
        </w:rPr>
        <w:t>​</w:t>
      </w:r>
    </w:p>
    <w:p w14:paraId="1220E328"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12B73FCA"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3. La modalidad de selección del contratista y su justificación, incluyendo los fundamentos jurídicos. </w:t>
      </w:r>
    </w:p>
    <w:p w14:paraId="1B16DC16"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4. El valor estimado del contrato y la justificación </w:t>
      </w:r>
      <w:proofErr w:type="gramStart"/>
      <w:r w:rsidRPr="007A2CB0">
        <w:rPr>
          <w:rFonts w:ascii="Verdana" w:hAnsi="Verdana" w:cs="Arial"/>
          <w:sz w:val="20"/>
          <w:szCs w:val="20"/>
        </w:rPr>
        <w:t>del mismo</w:t>
      </w:r>
      <w:proofErr w:type="gramEnd"/>
      <w:r w:rsidRPr="007A2CB0">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5705F834"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5. Los criterios para seleccionar la oferta más favorable. </w:t>
      </w:r>
    </w:p>
    <w:p w14:paraId="1B0FD648"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6. El análisis de Riesgo y la forma de mitigarlo. </w:t>
      </w:r>
    </w:p>
    <w:p w14:paraId="499C5781"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7. Las garantías que la Entidad Estatal contempla exigir en el proceso de contratación. </w:t>
      </w:r>
    </w:p>
    <w:p w14:paraId="0DD5D76B"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 xml:space="preserve">8. La indicación de si el proceso de contratación está cobijado por un acuerdo comercial. </w:t>
      </w:r>
    </w:p>
    <w:p w14:paraId="5FB5D865" w14:textId="77777777" w:rsidR="00123A1C" w:rsidRPr="007A2CB0" w:rsidRDefault="00123A1C" w:rsidP="00123A1C">
      <w:pPr>
        <w:spacing w:after="0" w:line="276" w:lineRule="auto"/>
        <w:ind w:left="709" w:right="709"/>
        <w:jc w:val="both"/>
        <w:rPr>
          <w:rFonts w:ascii="Verdana" w:hAnsi="Verdana" w:cs="Arial"/>
          <w:sz w:val="20"/>
          <w:szCs w:val="20"/>
        </w:rPr>
      </w:pPr>
      <w:r w:rsidRPr="007A2CB0">
        <w:rPr>
          <w:rFonts w:ascii="Verdana" w:hAnsi="Verdana" w:cs="Arial"/>
          <w:sz w:val="20"/>
          <w:szCs w:val="20"/>
        </w:rPr>
        <w:t>El presente artículo no es aplicable a la contratación por mínima cuantía.</w:t>
      </w:r>
    </w:p>
    <w:p w14:paraId="5E3B8131" w14:textId="77777777" w:rsidR="00123A1C" w:rsidRPr="007A2CB0" w:rsidRDefault="00123A1C" w:rsidP="00123A1C">
      <w:pPr>
        <w:widowControl w:val="0"/>
        <w:tabs>
          <w:tab w:val="left" w:pos="1305"/>
        </w:tabs>
        <w:autoSpaceDE w:val="0"/>
        <w:autoSpaceDN w:val="0"/>
        <w:spacing w:after="0" w:line="276" w:lineRule="auto"/>
        <w:ind w:left="828" w:right="822"/>
        <w:rPr>
          <w:rFonts w:ascii="Verdana" w:eastAsia="Calibri" w:hAnsi="Verdana" w:cs="Arial"/>
          <w:sz w:val="20"/>
          <w:szCs w:val="20"/>
          <w:lang w:val="es-MX"/>
        </w:rPr>
      </w:pPr>
    </w:p>
    <w:p w14:paraId="2BD82139" w14:textId="77777777" w:rsidR="00123A1C" w:rsidRPr="007A2CB0" w:rsidRDefault="00123A1C" w:rsidP="00123A1C">
      <w:pPr>
        <w:spacing w:after="120" w:line="276" w:lineRule="auto"/>
        <w:ind w:firstLine="709"/>
        <w:jc w:val="both"/>
        <w:rPr>
          <w:rFonts w:ascii="Verdana" w:hAnsi="Verdana" w:cs="Arial"/>
        </w:rPr>
      </w:pPr>
      <w:bookmarkStart w:id="1" w:name="_Hlk54011351"/>
      <w:r w:rsidRPr="007A2CB0">
        <w:rPr>
          <w:rFonts w:ascii="Verdana" w:hAnsi="Verdana" w:cs="Arial"/>
        </w:rPr>
        <w:t xml:space="preserve">De esta manera, antes de iniciar un procedimiento de selección, la entidad estatal podrá determinar con los estudios previos: i) la verdadera necesidad de la celebración del contrato; </w:t>
      </w:r>
      <w:proofErr w:type="spellStart"/>
      <w:r w:rsidRPr="007A2CB0">
        <w:rPr>
          <w:rFonts w:ascii="Verdana" w:hAnsi="Verdana" w:cs="Arial"/>
        </w:rPr>
        <w:t>ii</w:t>
      </w:r>
      <w:proofErr w:type="spellEnd"/>
      <w:r w:rsidRPr="007A2CB0">
        <w:rPr>
          <w:rFonts w:ascii="Verdana" w:hAnsi="Verdana" w:cs="Arial"/>
        </w:rPr>
        <w:t xml:space="preserve">) las modalidades existentes para satisfacer esa necesidad y las razones que justifiquen la modalidad o tipo contractual que se escoja; </w:t>
      </w:r>
      <w:proofErr w:type="spellStart"/>
      <w:r w:rsidRPr="007A2CB0">
        <w:rPr>
          <w:rFonts w:ascii="Verdana" w:hAnsi="Verdana" w:cs="Arial"/>
        </w:rPr>
        <w:t>iii</w:t>
      </w:r>
      <w:proofErr w:type="spellEnd"/>
      <w:r w:rsidRPr="007A2CB0">
        <w:rPr>
          <w:rFonts w:ascii="Verdana" w:hAnsi="Verdana" w:cs="Arial"/>
        </w:rPr>
        <w:t xml:space="preserve">) las calidades, especificaciones, cantidades y demás características que puedan o deban reunir los bienes, las obras o los servicios cuya contratación se haya determinado necesaria, </w:t>
      </w:r>
      <w:proofErr w:type="spellStart"/>
      <w:r w:rsidRPr="007A2CB0">
        <w:rPr>
          <w:rFonts w:ascii="Verdana" w:hAnsi="Verdana" w:cs="Arial"/>
        </w:rPr>
        <w:t>iv</w:t>
      </w:r>
      <w:proofErr w:type="spellEnd"/>
      <w:r w:rsidRPr="007A2CB0">
        <w:rPr>
          <w:rFonts w:ascii="Verdana" w:hAnsi="Verdana" w:cs="Aria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7A2CB0">
        <w:rPr>
          <w:rFonts w:ascii="Verdana" w:hAnsi="Verdana" w:cs="Arial"/>
        </w:rPr>
        <w:t>vii</w:t>
      </w:r>
      <w:proofErr w:type="spellEnd"/>
      <w:r w:rsidRPr="007A2CB0">
        <w:rPr>
          <w:rFonts w:ascii="Verdana" w:hAnsi="Verdana" w:cs="Arial"/>
        </w:rPr>
        <w:t xml:space="preserve">) los procedimientos, trámites y requisitos que deban satisfacerse, reunirse u </w:t>
      </w:r>
      <w:r w:rsidRPr="007A2CB0">
        <w:rPr>
          <w:rFonts w:ascii="Verdana" w:hAnsi="Verdana" w:cs="Arial"/>
        </w:rPr>
        <w:lastRenderedPageBreak/>
        <w:t>obtenerse para llevar a cabo la selección del respectivo contratista y la celebración del contrato que se pretenda celebrar.</w:t>
      </w:r>
    </w:p>
    <w:bookmarkEnd w:id="1"/>
    <w:p w14:paraId="1D7F5B2E" w14:textId="77777777" w:rsidR="00123A1C" w:rsidRPr="007A2CB0" w:rsidRDefault="00123A1C" w:rsidP="00123A1C">
      <w:pPr>
        <w:spacing w:after="120" w:line="276" w:lineRule="auto"/>
        <w:ind w:firstLine="709"/>
        <w:jc w:val="both"/>
        <w:rPr>
          <w:rFonts w:ascii="Verdana" w:hAnsi="Verdana" w:cs="Arial"/>
        </w:rPr>
      </w:pPr>
      <w:r w:rsidRPr="007A2CB0">
        <w:rPr>
          <w:rFonts w:ascii="Verdana" w:hAnsi="Verdana" w:cs="Arial"/>
        </w:rPr>
        <w:t xml:space="preserve">Por ello, el hecho que las entidades cumplan con los elementos mínimos establecidos en la norma y aquellos adicionales que identifiquen en la etapa de planeación de los </w:t>
      </w:r>
      <w:r w:rsidRPr="007A2CB0">
        <w:rPr>
          <w:rFonts w:ascii="Verdana" w:eastAsia="Calibri" w:hAnsi="Verdana" w:cs="Arial"/>
          <w:bCs/>
          <w:lang w:val="es-ES_tradnl"/>
        </w:rPr>
        <w:t xml:space="preserve">procedimientos de contratación, permite que los contratos resultantes cuenten con el sustento técnico, económico y jurídico que incidirá </w:t>
      </w:r>
      <w:r w:rsidRPr="007A2CB0">
        <w:rPr>
          <w:rFonts w:ascii="Verdana" w:hAnsi="Verdana" w:cs="Arial"/>
        </w:rPr>
        <w:t>en una adecuada ejecución.</w:t>
      </w:r>
    </w:p>
    <w:p w14:paraId="39D9B486" w14:textId="77777777" w:rsidR="00123A1C" w:rsidRPr="007A2CB0" w:rsidRDefault="00123A1C" w:rsidP="00123A1C">
      <w:pPr>
        <w:spacing w:after="120" w:line="276" w:lineRule="auto"/>
        <w:ind w:right="103" w:firstLine="708"/>
        <w:jc w:val="both"/>
        <w:rPr>
          <w:rFonts w:ascii="Verdana" w:hAnsi="Verdana" w:cs="Arial"/>
        </w:rPr>
      </w:pPr>
      <w:r w:rsidRPr="007A2CB0">
        <w:rPr>
          <w:rFonts w:ascii="Verdana" w:hAnsi="Verdana" w:cs="Arial"/>
        </w:rPr>
        <w:t xml:space="preserve">Mas allá del cumplimiento de la normativa, </w:t>
      </w:r>
      <w:r>
        <w:rPr>
          <w:rFonts w:ascii="Verdana" w:hAnsi="Verdana" w:cs="Arial"/>
        </w:rPr>
        <w:t>“</w:t>
      </w:r>
      <w:r w:rsidRPr="007A2CB0">
        <w:rPr>
          <w:rFonts w:ascii="Verdana" w:hAnsi="Verdana" w:cs="Arial"/>
        </w:rPr>
        <w:t>los estudios y documentos previos son el soporte para elaborar el proyecto de pliegos, los pliegos de condiciones, y el contrato</w:t>
      </w:r>
      <w:r>
        <w:rPr>
          <w:rFonts w:ascii="Verdana" w:hAnsi="Verdana" w:cs="Arial"/>
        </w:rPr>
        <w:t>”</w:t>
      </w:r>
      <w:r w:rsidRPr="007A2CB0">
        <w:rPr>
          <w:rFonts w:ascii="Verdana" w:hAnsi="Verdana" w:cs="Arial"/>
          <w:vertAlign w:val="superscript"/>
        </w:rPr>
        <w:footnoteReference w:id="2"/>
      </w:r>
      <w:r w:rsidRPr="007A2CB0">
        <w:rPr>
          <w:rFonts w:ascii="Verdana" w:hAnsi="Verdana" w:cs="Arial"/>
        </w:rPr>
        <w:t>, por lo que deben publicarse en la etapa precontractual y sirven de motivación para los documentos expedidos unilateralmente por la entidad estatal tales como el acto administrativo de apertura, los pliegos de condiciones y el acto de adjudicación, entre otros.</w:t>
      </w:r>
    </w:p>
    <w:p w14:paraId="6FEF5716" w14:textId="77777777" w:rsidR="00123A1C" w:rsidRPr="007A2CB0" w:rsidRDefault="00123A1C" w:rsidP="00123A1C">
      <w:pPr>
        <w:spacing w:after="120" w:line="276" w:lineRule="auto"/>
        <w:ind w:right="105" w:firstLine="709"/>
        <w:jc w:val="both"/>
        <w:rPr>
          <w:rFonts w:ascii="Verdana" w:hAnsi="Verdana" w:cs="Arial"/>
        </w:rPr>
      </w:pPr>
      <w:bookmarkStart w:id="3" w:name="_Hlk54011438"/>
      <w:r w:rsidRPr="007A2CB0">
        <w:rPr>
          <w:rFonts w:ascii="Verdana" w:hAnsi="Verdana" w:cs="Arial"/>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3"/>
      <w:r w:rsidRPr="007A2CB0">
        <w:rPr>
          <w:rFonts w:ascii="Verdana" w:hAnsi="Verdana" w:cs="Arial"/>
          <w:vertAlign w:val="superscript"/>
        </w:rPr>
        <w:footnoteReference w:id="3"/>
      </w:r>
      <w:r w:rsidRPr="007A2CB0">
        <w:rPr>
          <w:rFonts w:ascii="Verdana" w:hAnsi="Verdana" w:cs="Arial"/>
        </w:rPr>
        <w:t xml:space="preserve">. </w:t>
      </w:r>
    </w:p>
    <w:p w14:paraId="4BECE219" w14:textId="77777777" w:rsidR="00123A1C" w:rsidRPr="007A2CB0" w:rsidRDefault="00123A1C" w:rsidP="00123A1C">
      <w:pPr>
        <w:spacing w:after="120" w:line="276" w:lineRule="auto"/>
        <w:ind w:firstLine="708"/>
        <w:jc w:val="both"/>
        <w:rPr>
          <w:rFonts w:ascii="Verdana" w:eastAsia="Calibri" w:hAnsi="Verdana" w:cs="Arial"/>
          <w:bCs/>
          <w:lang w:val="es-ES_tradnl"/>
        </w:rPr>
      </w:pPr>
      <w:r w:rsidRPr="007A2CB0">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la justificación </w:t>
      </w:r>
      <w:proofErr w:type="gramStart"/>
      <w:r w:rsidRPr="007A2CB0">
        <w:rPr>
          <w:rFonts w:ascii="Verdana" w:hAnsi="Verdana" w:cs="Arial"/>
        </w:rPr>
        <w:t>del mismo</w:t>
      </w:r>
      <w:proofErr w:type="gramEnd"/>
      <w:r w:rsidRPr="007A2CB0">
        <w:rPr>
          <w:rFonts w:ascii="Verdana" w:hAnsi="Verdana" w:cs="Arial"/>
        </w:rPr>
        <w:t xml:space="preserve">. </w:t>
      </w:r>
      <w:r w:rsidRPr="007A2CB0">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En este sentido, el artículo </w:t>
      </w:r>
      <w:bookmarkStart w:id="4" w:name="_Hlk36117416"/>
      <w:r w:rsidRPr="007A2CB0">
        <w:rPr>
          <w:rFonts w:ascii="Verdana" w:eastAsia="Calibri" w:hAnsi="Verdana" w:cs="Arial"/>
          <w:bCs/>
          <w:lang w:val="es-ES_tradnl"/>
        </w:rPr>
        <w:t>2.2.1.1.1.6.1 del Decreto 1082 de 2015</w:t>
      </w:r>
      <w:bookmarkEnd w:id="4"/>
      <w:r w:rsidRPr="007A2CB0">
        <w:rPr>
          <w:rFonts w:ascii="Verdana" w:eastAsia="Calibri" w:hAnsi="Verdana" w:cs="Arial"/>
          <w:bCs/>
          <w:lang w:val="es-ES_tradnl"/>
        </w:rPr>
        <w:t xml:space="preserve"> dispone que </w:t>
      </w:r>
      <w:r>
        <w:rPr>
          <w:rFonts w:ascii="Verdana" w:eastAsia="Calibri" w:hAnsi="Verdana" w:cs="Arial"/>
          <w:bCs/>
          <w:lang w:val="es-ES_tradnl"/>
        </w:rPr>
        <w:t>“</w:t>
      </w:r>
      <w:r w:rsidRPr="007A2CB0">
        <w:rPr>
          <w:rFonts w:ascii="Verdana" w:eastAsia="Calibri" w:hAnsi="Verdana" w:cs="Arial"/>
          <w:bCs/>
          <w:lang w:val="es-ES_tradnl"/>
        </w:rPr>
        <w:t xml:space="preserve">La Entidad Estatal debe </w:t>
      </w:r>
      <w:r w:rsidRPr="007A2CB0">
        <w:rPr>
          <w:rFonts w:ascii="Verdana" w:eastAsia="Calibri" w:hAnsi="Verdana" w:cs="Arial"/>
          <w:bCs/>
          <w:lang w:val="es-ES_tradnl"/>
        </w:rPr>
        <w:lastRenderedPageBreak/>
        <w:t>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r>
        <w:rPr>
          <w:rFonts w:ascii="Verdana" w:eastAsia="Calibri" w:hAnsi="Verdana" w:cs="Arial"/>
          <w:bCs/>
          <w:lang w:val="es-ES_tradnl"/>
        </w:rPr>
        <w:t>”</w:t>
      </w:r>
      <w:r w:rsidRPr="007A2CB0">
        <w:rPr>
          <w:rFonts w:ascii="Verdana" w:eastAsia="Calibri" w:hAnsi="Verdana" w:cs="Arial"/>
          <w:bCs/>
          <w:lang w:val="es-ES_tradnl"/>
        </w:rPr>
        <w:t>.</w:t>
      </w:r>
    </w:p>
    <w:p w14:paraId="59AAC3B4" w14:textId="77777777" w:rsidR="00123A1C" w:rsidRPr="007A2CB0" w:rsidRDefault="00123A1C" w:rsidP="00123A1C">
      <w:pPr>
        <w:spacing w:after="120" w:line="276" w:lineRule="auto"/>
        <w:ind w:firstLine="709"/>
        <w:jc w:val="both"/>
        <w:rPr>
          <w:rFonts w:ascii="Verdana" w:eastAsia="Calibri" w:hAnsi="Verdana" w:cs="Arial"/>
          <w:lang w:val="es-ES"/>
        </w:rPr>
      </w:pPr>
      <w:r w:rsidRPr="5429D2FB">
        <w:rPr>
          <w:rFonts w:ascii="Verdana" w:eastAsia="Calibri" w:hAnsi="Verdana" w:cs="Arial"/>
          <w:lang w:val="es-ES"/>
        </w:rPr>
        <w:t xml:space="preserve">De acuerdo con la norma citada, </w:t>
      </w:r>
      <w:bookmarkStart w:id="5" w:name="_Hlk36140682"/>
      <w:r w:rsidRPr="5429D2FB">
        <w:rPr>
          <w:rFonts w:ascii="Verdana" w:eastAsia="Calibri" w:hAnsi="Verdana" w:cs="Arial"/>
          <w:lang w:val="es-ES"/>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0722BC71" w14:textId="77777777" w:rsidR="00123A1C" w:rsidRPr="007A2CB0" w:rsidRDefault="00123A1C" w:rsidP="00123A1C">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5AA3EBAE" w14:textId="77777777" w:rsidR="00123A1C" w:rsidRPr="007A2CB0" w:rsidRDefault="00123A1C" w:rsidP="00123A1C">
      <w:pPr>
        <w:spacing w:after="120" w:line="276" w:lineRule="auto"/>
        <w:ind w:firstLine="709"/>
        <w:jc w:val="both"/>
        <w:rPr>
          <w:rFonts w:ascii="Verdana" w:eastAsia="Calibri" w:hAnsi="Verdana" w:cs="Arial"/>
          <w:lang w:val="es-ES"/>
        </w:rPr>
      </w:pPr>
      <w:r w:rsidRPr="5429D2FB">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w:t>
      </w:r>
      <w:r w:rsidRPr="5429D2FB">
        <w:rPr>
          <w:rFonts w:ascii="Verdana" w:eastAsia="Calibri" w:hAnsi="Verdana" w:cs="Arial"/>
          <w:lang w:val="es-ES"/>
        </w:rPr>
        <w:lastRenderedPageBreak/>
        <w:t xml:space="preserve">la realización de las prestaciones derivadas de las obligaciones que serán pactadas, tanto para la entidad contratante como para el contratista que proveerá el bien, obra o servicio. </w:t>
      </w:r>
    </w:p>
    <w:p w14:paraId="5D9547A1" w14:textId="77777777" w:rsidR="00123A1C" w:rsidRPr="007A2CB0" w:rsidRDefault="00123A1C" w:rsidP="00123A1C">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7A2CB0">
        <w:rPr>
          <w:rFonts w:ascii="Verdana" w:hAnsi="Verdana" w:cs="Arial"/>
          <w:lang w:eastAsia="es-CO"/>
        </w:rPr>
        <w:t xml:space="preserve">son autónomas para estructurarlo, para lo cual deberán cumplir lo dispuesto en el artículo </w:t>
      </w:r>
      <w:r w:rsidRPr="007A2CB0">
        <w:rPr>
          <w:rFonts w:ascii="Verdana" w:eastAsia="Calibri" w:hAnsi="Verdana" w:cs="Arial"/>
          <w:bCs/>
          <w:lang w:val="es-ES_tradnl"/>
        </w:rPr>
        <w:t xml:space="preserve">2.2.1.1.1.6.1 del Decreto 1082 de 2015 y realizar un análisis integral de planeación que </w:t>
      </w:r>
      <w:r w:rsidRPr="007A2CB0">
        <w:rPr>
          <w:rFonts w:ascii="Verdana" w:hAnsi="Verdana" w:cs="Arial"/>
        </w:rPr>
        <w:t xml:space="preserve">sirva de sustento a la decisión de </w:t>
      </w:r>
      <w:r w:rsidRPr="007A2CB0">
        <w:rPr>
          <w:rFonts w:ascii="Verdana" w:hAnsi="Verdana" w:cs="Arial"/>
          <w:bCs/>
          <w:lang w:val="es-ES_tradnl"/>
        </w:rPr>
        <w:t>realizar un proceso de contratación.</w:t>
      </w:r>
    </w:p>
    <w:bookmarkEnd w:id="5"/>
    <w:p w14:paraId="42E9C806" w14:textId="77777777" w:rsidR="00123A1C" w:rsidRPr="007A2CB0" w:rsidRDefault="00123A1C" w:rsidP="00123A1C">
      <w:pPr>
        <w:spacing w:after="120" w:line="276" w:lineRule="auto"/>
        <w:ind w:firstLine="709"/>
        <w:jc w:val="both"/>
        <w:rPr>
          <w:rFonts w:ascii="Verdana" w:eastAsia="Calibri" w:hAnsi="Verdana" w:cs="Arial"/>
          <w:bCs/>
          <w:lang w:val="es-ES"/>
        </w:rPr>
      </w:pPr>
      <w:r w:rsidRPr="007A2CB0">
        <w:rPr>
          <w:rFonts w:ascii="Verdana" w:eastAsia="Calibri" w:hAnsi="Verdana" w:cs="Arial"/>
          <w:bCs/>
          <w:lang w:val="es-ES_tradnl"/>
        </w:rPr>
        <w:t xml:space="preserve">La Agencia Nacional de Contratación Pública - Colombia Compra Eficiente dispone de la </w:t>
      </w:r>
      <w:r>
        <w:rPr>
          <w:rFonts w:ascii="Verdana" w:eastAsia="Calibri" w:hAnsi="Verdana" w:cs="Arial"/>
          <w:bCs/>
          <w:lang w:val="es-ES_tradnl"/>
        </w:rPr>
        <w:t>“</w:t>
      </w:r>
      <w:r w:rsidRPr="007A2CB0">
        <w:rPr>
          <w:rFonts w:ascii="Verdana" w:eastAsia="Calibri" w:hAnsi="Verdana" w:cs="Arial"/>
          <w:bCs/>
          <w:lang w:val="es-ES_tradnl"/>
        </w:rPr>
        <w:t>Guía de Elaboración del Estudio del Sector</w:t>
      </w:r>
      <w:r>
        <w:rPr>
          <w:rFonts w:ascii="Verdana" w:eastAsia="Calibri" w:hAnsi="Verdana" w:cs="Arial"/>
          <w:bCs/>
          <w:lang w:val="es-ES_tradnl"/>
        </w:rPr>
        <w:t>”</w:t>
      </w:r>
      <w:r w:rsidRPr="007A2CB0">
        <w:rPr>
          <w:rFonts w:ascii="Verdana" w:eastAsia="Calibri" w:hAnsi="Verdana" w:cs="Arial"/>
          <w:bCs/>
          <w:lang w:val="es-ES_tradnl"/>
        </w:rPr>
        <w:t>,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7A2CB0">
        <w:rPr>
          <w:rStyle w:val="Refdenotaalpie"/>
          <w:rFonts w:ascii="Verdana" w:eastAsia="Calibri" w:hAnsi="Verdana" w:cs="Arial"/>
          <w:bCs/>
          <w:lang w:val="es-ES_tradnl"/>
        </w:rPr>
        <w:footnoteReference w:id="4"/>
      </w:r>
      <w:r w:rsidRPr="007A2CB0">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7A2CB0">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1DAB7489" w14:textId="77777777" w:rsidR="00123A1C" w:rsidRPr="007A2CB0" w:rsidRDefault="00123A1C" w:rsidP="00123A1C">
      <w:pPr>
        <w:spacing w:after="120" w:line="276" w:lineRule="auto"/>
        <w:ind w:firstLine="709"/>
        <w:jc w:val="both"/>
        <w:rPr>
          <w:rFonts w:ascii="Verdana" w:eastAsia="Calibri" w:hAnsi="Verdana" w:cs="Arial"/>
          <w:lang w:val="es-ES"/>
        </w:rPr>
      </w:pPr>
      <w:r w:rsidRPr="4CD273D7">
        <w:rPr>
          <w:rFonts w:ascii="Verdana" w:eastAsia="Calibri" w:hAnsi="Verdana" w:cs="Arial"/>
          <w:lang w:val="es-ES"/>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55A263E4" w14:textId="77777777" w:rsidR="00123A1C" w:rsidRPr="007A2CB0" w:rsidRDefault="00123A1C" w:rsidP="00123A1C">
      <w:pPr>
        <w:spacing w:after="120" w:line="276" w:lineRule="auto"/>
        <w:ind w:firstLine="709"/>
        <w:jc w:val="both"/>
        <w:rPr>
          <w:rFonts w:ascii="Verdana" w:eastAsia="Calibri" w:hAnsi="Verdana" w:cs="Arial"/>
          <w:bCs/>
          <w:lang w:val="es-ES_tradnl"/>
        </w:rPr>
      </w:pPr>
      <w:r w:rsidRPr="007A2CB0">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w:t>
      </w:r>
      <w:r w:rsidRPr="007A2CB0">
        <w:rPr>
          <w:rFonts w:ascii="Verdana" w:eastAsia="Calibri" w:hAnsi="Verdana" w:cs="Arial"/>
          <w:bCs/>
          <w:lang w:val="es-ES_tradnl"/>
        </w:rPr>
        <w:lastRenderedPageBreak/>
        <w:t xml:space="preserve">estudio de la oferta y el estudio del mercado. En </w:t>
      </w:r>
      <w:r w:rsidRPr="007A2CB0">
        <w:rPr>
          <w:rFonts w:ascii="Verdana" w:eastAsia="Calibri" w:hAnsi="Verdana" w:cs="Arial"/>
          <w:bCs/>
          <w:lang w:val="es-ES"/>
        </w:rPr>
        <w:t xml:space="preserve">el marco del comportamiento del gasto histórico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7A2CB0">
        <w:rPr>
          <w:rFonts w:ascii="Verdana" w:eastAsia="Arial MT" w:hAnsi="Verdana" w:cs="Arial"/>
          <w:lang w:val="es-ES"/>
        </w:rPr>
        <w:t>desarrolladas por esta Agencia en el marco del modelo de abastecimiento estratégico</w:t>
      </w:r>
      <w:r w:rsidRPr="007A2CB0">
        <w:rPr>
          <w:rStyle w:val="Refdenotaalpie"/>
          <w:rFonts w:ascii="Verdana" w:eastAsia="Arial MT" w:hAnsi="Verdana" w:cs="Arial"/>
          <w:lang w:val="es-ES"/>
        </w:rPr>
        <w:footnoteReference w:id="5"/>
      </w:r>
      <w:r w:rsidRPr="007A2CB0">
        <w:rPr>
          <w:rFonts w:ascii="Verdana" w:eastAsia="Arial MT" w:hAnsi="Verdana" w:cs="Arial"/>
          <w:lang w:val="es-ES"/>
        </w:rPr>
        <w:t xml:space="preserve">. </w:t>
      </w:r>
    </w:p>
    <w:p w14:paraId="51DEFD8A" w14:textId="77777777" w:rsidR="00123A1C" w:rsidRDefault="00123A1C" w:rsidP="00123A1C">
      <w:pPr>
        <w:spacing w:after="120" w:line="276" w:lineRule="auto"/>
        <w:ind w:firstLine="709"/>
        <w:jc w:val="both"/>
        <w:rPr>
          <w:rFonts w:ascii="Verdana" w:eastAsia="Calibri" w:hAnsi="Verdana" w:cs="Arial"/>
          <w:color w:val="000000" w:themeColor="text1"/>
          <w:lang w:val="es-ES"/>
        </w:rPr>
      </w:pPr>
      <w:r w:rsidRPr="007A2CB0">
        <w:rPr>
          <w:rFonts w:ascii="Verdana" w:eastAsia="Calibri" w:hAnsi="Verdana" w:cs="Arial"/>
          <w:color w:val="000000" w:themeColor="text1"/>
          <w:lang w:val="es-ES"/>
        </w:rPr>
        <w:t xml:space="preserve">Por su parte, según la Guía, el </w:t>
      </w:r>
      <w:r w:rsidRPr="007A2CB0">
        <w:rPr>
          <w:rFonts w:ascii="Verdana" w:eastAsia="Calibri" w:hAnsi="Verdana" w:cs="Arial"/>
          <w:i/>
          <w:iCs/>
          <w:color w:val="000000" w:themeColor="text1"/>
          <w:lang w:val="es-ES"/>
        </w:rPr>
        <w:t>estudio de la oferta</w:t>
      </w:r>
      <w:r w:rsidRPr="007A2CB0">
        <w:rPr>
          <w:rFonts w:ascii="Verdana" w:eastAsia="Calibri" w:hAnsi="Verdana" w:cs="Arial"/>
          <w:color w:val="000000" w:themeColor="text1"/>
          <w:lang w:val="es-ES"/>
        </w:rPr>
        <w:t xml:space="preserve"> tiene como objetivo </w:t>
      </w:r>
      <w:r w:rsidRPr="007A2CB0">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7A2CB0">
        <w:rPr>
          <w:rFonts w:ascii="Verdana" w:eastAsia="Calibri" w:hAnsi="Verdana" w:cs="Arial"/>
          <w:color w:val="000000" w:themeColor="text1"/>
          <w:lang w:val="es-ES"/>
        </w:rPr>
        <w:t xml:space="preserve">. En esta actividad las entidades estatales deben realizar un estudio de la oferta, que responda, entre otras, las siguientes preguntas: i) </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¿Cuál es la dinámica de producción, distribución y entrega de bienes, obras o servicios?</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 xml:space="preserve"> –teniendo en cuenta elementos como la producción, la distribución, transporte etc.– y </w:t>
      </w:r>
      <w:proofErr w:type="spellStart"/>
      <w:r w:rsidRPr="007A2CB0">
        <w:rPr>
          <w:rFonts w:ascii="Verdana" w:eastAsia="Calibri" w:hAnsi="Verdana" w:cs="Arial"/>
          <w:color w:val="000000" w:themeColor="text1"/>
          <w:lang w:val="es-ES"/>
        </w:rPr>
        <w:t>ii</w:t>
      </w:r>
      <w:proofErr w:type="spellEnd"/>
      <w:r w:rsidRPr="007A2CB0">
        <w:rPr>
          <w:rFonts w:ascii="Verdana" w:eastAsia="Calibri" w:hAnsi="Verdana" w:cs="Arial"/>
          <w:color w:val="000000" w:themeColor="text1"/>
          <w:lang w:val="es-ES"/>
        </w:rPr>
        <w:t xml:space="preserve">) </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¿A quién se va a comprar?</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 xml:space="preserve">. En relación con la primera pregunta, la Guía señala que </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para la Entidad Estatal es importante conocer, entre otras, el proceso de producción, distribución y entrega de los bienes o servicios que pretende adquirir, así como los costos asociados a tales procesos, cuáles son las formas de distribución y entrega de los bienes o suministros del servicio, y demás criterios que apliquen</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 xml:space="preserve">. </w:t>
      </w:r>
    </w:p>
    <w:p w14:paraId="72B17D8F" w14:textId="77777777" w:rsidR="00123A1C" w:rsidRDefault="00123A1C" w:rsidP="00123A1C">
      <w:pPr>
        <w:spacing w:after="120" w:line="276" w:lineRule="auto"/>
        <w:ind w:firstLine="709"/>
        <w:jc w:val="both"/>
        <w:rPr>
          <w:rFonts w:ascii="Verdana" w:eastAsia="Calibri" w:hAnsi="Verdana" w:cs="Arial"/>
          <w:color w:val="000000" w:themeColor="text1"/>
          <w:lang w:val="es-ES"/>
        </w:rPr>
      </w:pPr>
      <w:r w:rsidRPr="007A2CB0">
        <w:rPr>
          <w:rFonts w:ascii="Verdana" w:eastAsia="Calibri" w:hAnsi="Verdana" w:cs="Arial"/>
          <w:color w:val="000000" w:themeColor="text1"/>
          <w:lang w:val="es-ES"/>
        </w:rPr>
        <w:t>Para estos efectos, se recomienda a la entidad diseñar e implementar escenarios y procedimientos de consulta de información abiertos e incluyentes con el mercado, en los cuales se defina qué información, cuándo, por qué medio y a quienes se solicitará.</w:t>
      </w:r>
      <w:bookmarkStart w:id="6" w:name="_Hlk78204338"/>
      <w:r w:rsidRPr="007A2CB0">
        <w:rPr>
          <w:rFonts w:ascii="Verdana" w:eastAsia="Calibri" w:hAnsi="Verdana" w:cs="Arial"/>
          <w:color w:val="000000" w:themeColor="text1"/>
          <w:lang w:val="es-ES"/>
        </w:rPr>
        <w:t xml:space="preserve"> </w:t>
      </w:r>
      <w:r>
        <w:rPr>
          <w:rFonts w:ascii="Verdana" w:eastAsia="Calibri" w:hAnsi="Verdana" w:cs="Arial"/>
          <w:color w:val="000000" w:themeColor="text1"/>
          <w:lang w:val="es-ES"/>
        </w:rPr>
        <w:t>L</w:t>
      </w:r>
      <w:r w:rsidRPr="007A2CB0">
        <w:rPr>
          <w:rFonts w:ascii="Verdana" w:eastAsia="Calibri" w:hAnsi="Verdana" w:cs="Arial"/>
          <w:color w:val="000000" w:themeColor="text1"/>
          <w:lang w:val="es-ES"/>
        </w:rPr>
        <w:t>a Guía</w:t>
      </w:r>
      <w:r w:rsidRPr="007A2CB0">
        <w:rPr>
          <w:rFonts w:ascii="Verdana" w:eastAsia="Calibri" w:hAnsi="Verdana" w:cs="Arial"/>
          <w:color w:val="000000" w:themeColor="text1"/>
        </w:rPr>
        <w:t xml:space="preserve"> indica que </w:t>
      </w:r>
      <w:r>
        <w:rPr>
          <w:rFonts w:ascii="Verdana" w:eastAsia="Calibri" w:hAnsi="Verdana" w:cs="Arial"/>
          <w:color w:val="000000" w:themeColor="text1"/>
          <w:lang w:val="es-ES"/>
        </w:rPr>
        <w:t>“</w:t>
      </w:r>
      <w:r w:rsidRPr="007A2CB0">
        <w:rPr>
          <w:rFonts w:ascii="Verdana" w:eastAsia="Calibri" w:hAnsi="Verdana" w:cs="Arial"/>
          <w:color w:val="000000" w:themeColor="text1"/>
          <w:lang w:val="es-ES"/>
        </w:rPr>
        <w:t>la Entidad Estatal debe identificar los proveedores en el mercado del bien o servicio, así como sus principales características como tamaño empresarial, ubicación, esquemas de producción y comportamiento financiero</w:t>
      </w:r>
      <w:r>
        <w:rPr>
          <w:rFonts w:ascii="Verdana" w:eastAsia="Calibri" w:hAnsi="Verdana" w:cs="Arial"/>
          <w:color w:val="000000" w:themeColor="text1"/>
          <w:lang w:val="es-ES"/>
        </w:rPr>
        <w:t>”</w:t>
      </w:r>
      <w:r w:rsidRPr="007A2CB0">
        <w:rPr>
          <w:rFonts w:ascii="Verdana" w:eastAsia="Calibri" w:hAnsi="Verdana" w:cs="Arial"/>
          <w:color w:val="000000" w:themeColor="text1"/>
        </w:rPr>
        <w:t>.</w:t>
      </w:r>
      <w:bookmarkEnd w:id="6"/>
      <w:r w:rsidRPr="007A2CB0">
        <w:rPr>
          <w:rFonts w:ascii="Verdana" w:eastAsia="Calibri" w:hAnsi="Verdana" w:cs="Arial"/>
          <w:color w:val="000000" w:themeColor="text1"/>
        </w:rPr>
        <w:t xml:space="preserve">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1E2ABC68" w14:textId="77777777" w:rsidR="00123A1C" w:rsidRPr="00282F1D" w:rsidRDefault="00123A1C" w:rsidP="00123A1C">
      <w:pPr>
        <w:spacing w:after="120" w:line="276" w:lineRule="auto"/>
        <w:ind w:firstLine="709"/>
        <w:jc w:val="both"/>
        <w:rPr>
          <w:rFonts w:ascii="Verdana" w:eastAsia="Calibri" w:hAnsi="Verdana" w:cs="Arial"/>
          <w:color w:val="000000" w:themeColor="text1"/>
          <w:lang w:val="es-ES"/>
        </w:rPr>
      </w:pPr>
      <w:r w:rsidRPr="00282F1D">
        <w:rPr>
          <w:rFonts w:ascii="Verdana" w:eastAsia="Calibri" w:hAnsi="Verdana" w:cs="Arial"/>
          <w:color w:val="000000" w:themeColor="text1"/>
          <w:lang w:val="es-ES"/>
        </w:rPr>
        <w:lastRenderedPageBreak/>
        <w:t xml:space="preserve">Por último, el estudio del mercado permite comprender la dinámica de los precios y establecer el presupuesto oficial de la contratación.  </w:t>
      </w:r>
      <w:r w:rsidRPr="00282F1D">
        <w:rPr>
          <w:rFonts w:ascii="Verdana" w:eastAsia="Calibri" w:hAnsi="Verdana" w:cs="Arial"/>
          <w:lang w:val="es-ES"/>
        </w:rPr>
        <w:t xml:space="preserve">De esta forma, se tiene que, la Guía de Elaboración de Estudios del Sector en el numeral 1.3.4, propone a las Entidades Estatales los siguientes mecanismos para elaborar el estudio de precios de mercado: </w:t>
      </w:r>
    </w:p>
    <w:p w14:paraId="688A9328" w14:textId="77777777" w:rsidR="00123A1C" w:rsidRPr="00282F1D" w:rsidRDefault="00123A1C" w:rsidP="00123A1C">
      <w:pPr>
        <w:spacing w:after="0" w:line="240" w:lineRule="auto"/>
        <w:ind w:left="720"/>
        <w:contextualSpacing/>
        <w:rPr>
          <w:rFonts w:ascii="Verdana" w:eastAsia="Calibri" w:hAnsi="Verdana" w:cs="Arial"/>
          <w:lang w:val="es-ES"/>
        </w:rPr>
      </w:pPr>
    </w:p>
    <w:p w14:paraId="273C5A45" w14:textId="77777777" w:rsidR="00123A1C" w:rsidRDefault="00123A1C" w:rsidP="00123A1C">
      <w:pPr>
        <w:pStyle w:val="Prrafodelista"/>
        <w:numPr>
          <w:ilvl w:val="0"/>
          <w:numId w:val="3"/>
        </w:numPr>
        <w:spacing w:after="0" w:line="240" w:lineRule="auto"/>
        <w:ind w:right="616"/>
        <w:jc w:val="both"/>
        <w:rPr>
          <w:rFonts w:ascii="Verdana" w:eastAsia="Calibri" w:hAnsi="Verdana" w:cs="Arial"/>
          <w:sz w:val="20"/>
          <w:szCs w:val="20"/>
        </w:rPr>
      </w:pPr>
      <w:bookmarkStart w:id="7" w:name="_Hlk176860475"/>
      <w:r w:rsidRPr="00FF0E9E">
        <w:rPr>
          <w:rFonts w:ascii="Verdana" w:eastAsia="Calibri" w:hAnsi="Verdana" w:cs="Arial"/>
          <w:sz w:val="20"/>
          <w:szCs w:val="20"/>
        </w:rPr>
        <w:t>Revisión de precios por solicitud de cotizaciones</w:t>
      </w:r>
      <w:bookmarkEnd w:id="7"/>
      <w:r w:rsidRPr="00FF0E9E">
        <w:rPr>
          <w:rFonts w:ascii="Verdana" w:eastAsia="Calibri" w:hAnsi="Verdana" w:cs="Arial"/>
          <w:sz w:val="20"/>
          <w:szCs w:val="20"/>
        </w:rPr>
        <w:t xml:space="preserve">: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w:t>
      </w:r>
      <w:proofErr w:type="gramStart"/>
      <w:r w:rsidRPr="00FF0E9E">
        <w:rPr>
          <w:rFonts w:ascii="Verdana" w:eastAsia="Calibri" w:hAnsi="Verdana" w:cs="Arial"/>
          <w:sz w:val="20"/>
          <w:szCs w:val="20"/>
        </w:rPr>
        <w:t>como</w:t>
      </w:r>
      <w:proofErr w:type="gramEnd"/>
      <w:r w:rsidRPr="00FF0E9E">
        <w:rPr>
          <w:rFonts w:ascii="Verdana" w:eastAsia="Calibri" w:hAnsi="Verdana" w:cs="Arial"/>
          <w:sz w:val="20"/>
          <w:szCs w:val="20"/>
        </w:rPr>
        <w:t xml:space="preserve"> por ejemplo, especificaciones técnicas del bien o servicio a contratar, plazo del contrato, así como toda aquella información relevante que incida en el precio del bien o servicio.</w:t>
      </w:r>
    </w:p>
    <w:p w14:paraId="515FE2C1" w14:textId="77777777" w:rsidR="00123A1C" w:rsidRDefault="00123A1C" w:rsidP="00123A1C">
      <w:pPr>
        <w:pStyle w:val="Prrafodelista"/>
        <w:ind w:left="1069" w:right="616"/>
        <w:jc w:val="both"/>
        <w:rPr>
          <w:rFonts w:ascii="Verdana" w:eastAsia="Calibri" w:hAnsi="Verdana" w:cs="Arial"/>
          <w:sz w:val="20"/>
          <w:szCs w:val="20"/>
        </w:rPr>
      </w:pPr>
    </w:p>
    <w:p w14:paraId="668AF036" w14:textId="77777777" w:rsidR="00123A1C" w:rsidRDefault="00123A1C" w:rsidP="00123A1C">
      <w:pPr>
        <w:pStyle w:val="Prrafodelista"/>
        <w:numPr>
          <w:ilvl w:val="0"/>
          <w:numId w:val="3"/>
        </w:numPr>
        <w:spacing w:after="0" w:line="240" w:lineRule="auto"/>
        <w:ind w:right="616"/>
        <w:jc w:val="both"/>
        <w:rPr>
          <w:rFonts w:ascii="Verdana" w:eastAsia="Calibri" w:hAnsi="Verdana" w:cs="Arial"/>
          <w:sz w:val="20"/>
          <w:szCs w:val="20"/>
        </w:rPr>
      </w:pPr>
      <w:r w:rsidRPr="00FF0E9E">
        <w:rPr>
          <w:rFonts w:ascii="Verdana" w:eastAsia="Calibri" w:hAnsi="Verdana" w:cs="Arial"/>
          <w:sz w:val="20"/>
          <w:szCs w:val="20"/>
        </w:rPr>
        <w:t>Al recibir las cotizaciones, debe verificarse la ocurrencia de circunstancias que eventualmente pueden distorsionar los precios del mercado, como ofertas especiales de almacenes de cadena, fenómenos de escasez o abundancia del producto, entre otros aspectos.</w:t>
      </w:r>
    </w:p>
    <w:p w14:paraId="7B2E293F" w14:textId="77777777" w:rsidR="00123A1C" w:rsidRDefault="00123A1C" w:rsidP="00123A1C">
      <w:pPr>
        <w:pStyle w:val="Prrafodelista"/>
        <w:ind w:left="1069" w:right="616"/>
        <w:jc w:val="both"/>
        <w:rPr>
          <w:rFonts w:ascii="Verdana" w:eastAsia="Calibri" w:hAnsi="Verdana" w:cs="Arial"/>
          <w:sz w:val="20"/>
          <w:szCs w:val="20"/>
        </w:rPr>
      </w:pPr>
    </w:p>
    <w:p w14:paraId="34F149BA" w14:textId="77777777" w:rsidR="00123A1C" w:rsidRDefault="00123A1C" w:rsidP="00123A1C">
      <w:pPr>
        <w:pStyle w:val="Prrafodelista"/>
        <w:numPr>
          <w:ilvl w:val="0"/>
          <w:numId w:val="3"/>
        </w:numPr>
        <w:spacing w:after="0" w:line="240" w:lineRule="auto"/>
        <w:ind w:right="616"/>
        <w:jc w:val="both"/>
        <w:rPr>
          <w:rFonts w:ascii="Verdana" w:eastAsia="Calibri" w:hAnsi="Verdana" w:cs="Arial"/>
          <w:sz w:val="20"/>
          <w:szCs w:val="20"/>
        </w:rPr>
      </w:pPr>
      <w:r w:rsidRPr="00FF0E9E">
        <w:rPr>
          <w:rFonts w:ascii="Verdana" w:eastAsia="Calibri" w:hAnsi="Verdana" w:cs="Arial"/>
          <w:sz w:val="20"/>
          <w:szCs w:val="20"/>
        </w:rPr>
        <w:t>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27A63785" w14:textId="77777777" w:rsidR="00123A1C" w:rsidRDefault="00123A1C" w:rsidP="00123A1C">
      <w:pPr>
        <w:pStyle w:val="Prrafodelista"/>
        <w:ind w:left="1069" w:right="616"/>
        <w:jc w:val="both"/>
        <w:rPr>
          <w:rFonts w:ascii="Verdana" w:eastAsia="Calibri" w:hAnsi="Verdana" w:cs="Arial"/>
          <w:sz w:val="20"/>
          <w:szCs w:val="20"/>
        </w:rPr>
      </w:pPr>
    </w:p>
    <w:p w14:paraId="2EAC9FB7" w14:textId="77777777" w:rsidR="00123A1C" w:rsidRPr="00FF0E9E" w:rsidRDefault="00123A1C" w:rsidP="00123A1C">
      <w:pPr>
        <w:pStyle w:val="Prrafodelista"/>
        <w:numPr>
          <w:ilvl w:val="0"/>
          <w:numId w:val="3"/>
        </w:numPr>
        <w:spacing w:after="0" w:line="240" w:lineRule="auto"/>
        <w:ind w:right="616"/>
        <w:jc w:val="both"/>
        <w:rPr>
          <w:rFonts w:ascii="Verdana" w:eastAsia="Calibri" w:hAnsi="Verdana" w:cs="Arial"/>
          <w:sz w:val="20"/>
          <w:szCs w:val="20"/>
        </w:rPr>
      </w:pPr>
      <w:r w:rsidRPr="00FF0E9E">
        <w:rPr>
          <w:rFonts w:ascii="Verdana" w:eastAsia="Calibri" w:hAnsi="Verdana" w:cs="Arial"/>
          <w:sz w:val="20"/>
          <w:szCs w:val="20"/>
        </w:rPr>
        <w:t>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2F780460" w14:textId="77777777" w:rsidR="00123A1C" w:rsidRDefault="00123A1C" w:rsidP="00123A1C">
      <w:pPr>
        <w:spacing w:after="120" w:line="276" w:lineRule="auto"/>
        <w:ind w:firstLine="709"/>
        <w:jc w:val="both"/>
        <w:rPr>
          <w:rFonts w:ascii="Verdana" w:eastAsia="Calibri" w:hAnsi="Verdana" w:cs="Arial"/>
          <w:color w:val="000000" w:themeColor="text1"/>
          <w:lang w:val="es-ES"/>
        </w:rPr>
      </w:pPr>
    </w:p>
    <w:p w14:paraId="2A4CA900" w14:textId="77777777" w:rsidR="00123A1C" w:rsidRPr="00CF5BF1" w:rsidRDefault="00123A1C" w:rsidP="00123A1C">
      <w:pPr>
        <w:spacing w:after="120" w:line="276" w:lineRule="auto"/>
        <w:ind w:firstLine="709"/>
        <w:jc w:val="both"/>
        <w:rPr>
          <w:rFonts w:ascii="Verdana" w:eastAsia="Calibri" w:hAnsi="Verdana" w:cs="Arial"/>
          <w:color w:val="000000" w:themeColor="text1"/>
          <w:lang w:val="es-ES"/>
        </w:rPr>
      </w:pPr>
      <w:bookmarkStart w:id="8" w:name="_Hlk139466471"/>
      <w:r w:rsidRPr="00CF5BF1">
        <w:rPr>
          <w:rFonts w:ascii="Verdana" w:eastAsia="Calibri" w:hAnsi="Verdana" w:cs="Arial"/>
          <w:color w:val="000000" w:themeColor="text1"/>
          <w:lang w:val="es-ES"/>
        </w:rPr>
        <w:t xml:space="preserve">Como se observa, la Guía de Elaboración de Estudios del Sector recomienda como mecanismo para la elaboración de </w:t>
      </w:r>
      <w:r w:rsidRPr="00CF5BF1">
        <w:rPr>
          <w:rFonts w:ascii="Verdana" w:eastAsia="Calibri" w:hAnsi="Verdana" w:cs="Arial"/>
          <w:i/>
          <w:iCs/>
          <w:color w:val="000000" w:themeColor="text1"/>
          <w:lang w:val="es-ES"/>
        </w:rPr>
        <w:t>estudios del mercado</w:t>
      </w:r>
      <w:r w:rsidRPr="00CF5BF1">
        <w:rPr>
          <w:rFonts w:ascii="Verdana" w:eastAsia="Calibri" w:hAnsi="Verdana" w:cs="Arial"/>
          <w:color w:val="000000" w:themeColor="text1"/>
          <w:lang w:val="es-ES"/>
        </w:rPr>
        <w:t xml:space="preserve">,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w:t>
      </w:r>
      <w:r w:rsidRPr="00CF5BF1">
        <w:rPr>
          <w:rFonts w:ascii="Verdana" w:eastAsia="Calibri" w:hAnsi="Verdana" w:cs="Arial"/>
          <w:color w:val="000000" w:themeColor="text1"/>
          <w:lang w:val="es-ES"/>
        </w:rPr>
        <w:lastRenderedPageBreak/>
        <w:t>participe en estos estudios del mercado, remitiendo cotizaciones por citar un ejemplo, no implica que en el futuro no pueda participar del Proceso de Contratación que se adelante.</w:t>
      </w:r>
      <w:bookmarkEnd w:id="8"/>
    </w:p>
    <w:p w14:paraId="59FC1B79" w14:textId="77777777" w:rsidR="00123A1C" w:rsidRPr="007A2CB0" w:rsidRDefault="00123A1C" w:rsidP="00123A1C">
      <w:pPr>
        <w:spacing w:after="120" w:line="276" w:lineRule="auto"/>
        <w:ind w:firstLine="709"/>
        <w:jc w:val="both"/>
        <w:rPr>
          <w:rFonts w:ascii="Verdana" w:eastAsia="Calibri" w:hAnsi="Verdana" w:cs="Arial"/>
          <w:bCs/>
          <w:lang w:val="es-ES_tradnl"/>
        </w:rPr>
      </w:pPr>
      <w:r w:rsidRPr="007A2CB0">
        <w:rPr>
          <w:rFonts w:ascii="Verdana" w:eastAsia="Calibri" w:hAnsi="Verdana" w:cs="Arial"/>
          <w:color w:val="000000" w:themeColor="text1"/>
          <w:lang w:val="es-ES"/>
        </w:rPr>
        <w:t xml:space="preserve">Al respecto, es pertinente precisar que los mecanismos señalados para realizar el estudio del mercado no están determinados por la ley o el reglamento, por lo que no existen lineamientos obligatorios para su estructuración. De esta manera, </w:t>
      </w:r>
      <w:r w:rsidRPr="007A2CB0">
        <w:rPr>
          <w:rFonts w:ascii="Verdana" w:eastAsia="Calibri" w:hAnsi="Verdana" w:cs="Arial"/>
          <w:bCs/>
          <w:lang w:val="es-ES_tradnl"/>
        </w:rPr>
        <w:t xml:space="preserve">las entidades </w:t>
      </w:r>
      <w:r w:rsidRPr="007A2CB0">
        <w:rPr>
          <w:rFonts w:ascii="Verdana" w:hAnsi="Verdana" w:cs="Arial"/>
          <w:lang w:eastAsia="es-CO"/>
        </w:rPr>
        <w:t>son autónomas para establecer la forma en la cual se recopilará la información que sustente el análisis del sector, así como lo referente a la solicitud de cotizaciones</w:t>
      </w:r>
      <w:r w:rsidRPr="00B936F8">
        <w:rPr>
          <w:rFonts w:ascii="Verdana" w:hAnsi="Verdana" w:cs="Arial"/>
          <w:lang w:eastAsia="es-CO"/>
        </w:rPr>
        <w:t xml:space="preserve"> </w:t>
      </w:r>
      <w:r>
        <w:rPr>
          <w:rFonts w:ascii="Verdana" w:hAnsi="Verdana" w:cs="Arial"/>
          <w:lang w:eastAsia="es-CO"/>
        </w:rPr>
        <w:t>o la aplicación de otros métodos para la estructuración del estudio de mercado</w:t>
      </w:r>
      <w:r w:rsidRPr="007A2CB0">
        <w:rPr>
          <w:rFonts w:ascii="Verdana" w:hAnsi="Verdana" w:cs="Arial"/>
          <w:lang w:eastAsia="es-CO"/>
        </w:rPr>
        <w:t xml:space="preserve">. Como se mencionó, la </w:t>
      </w:r>
      <w:r>
        <w:rPr>
          <w:rFonts w:ascii="Verdana" w:eastAsia="Calibri" w:hAnsi="Verdana" w:cs="Arial"/>
          <w:bCs/>
          <w:lang w:val="es-ES_tradnl"/>
        </w:rPr>
        <w:t>“</w:t>
      </w:r>
      <w:r w:rsidRPr="007A2CB0">
        <w:rPr>
          <w:rFonts w:ascii="Verdana" w:eastAsia="Calibri" w:hAnsi="Verdana" w:cs="Arial"/>
          <w:bCs/>
          <w:lang w:val="es-ES_tradnl"/>
        </w:rPr>
        <w:t>Guía de Elaboración del Estudio del Sector</w:t>
      </w:r>
      <w:r>
        <w:rPr>
          <w:rFonts w:ascii="Verdana" w:eastAsia="Calibri" w:hAnsi="Verdana" w:cs="Arial"/>
          <w:bCs/>
          <w:lang w:val="es-ES_tradnl"/>
        </w:rPr>
        <w:t>”</w:t>
      </w:r>
      <w:r w:rsidRPr="007A2CB0">
        <w:rPr>
          <w:rFonts w:ascii="Verdana" w:eastAsia="Calibri" w:hAnsi="Verdana" w:cs="Arial"/>
          <w:bCs/>
          <w:lang w:val="es-ES_tradnl"/>
        </w:rPr>
        <w:t xml:space="preserve"> desarrolla recomendaciones y buenas prácticas que servirán a las entidades para entender el mercado del bien, obra o servicio que pretende adquirir, pero no es un instrumento vinculante para la entidad. </w:t>
      </w:r>
    </w:p>
    <w:p w14:paraId="37B6CCD2" w14:textId="77777777" w:rsidR="00123A1C" w:rsidRPr="007A2CB0" w:rsidRDefault="00123A1C" w:rsidP="00123A1C">
      <w:pPr>
        <w:pStyle w:val="paragraph"/>
        <w:spacing w:before="0" w:beforeAutospacing="0" w:after="120" w:afterAutospacing="0" w:line="276" w:lineRule="auto"/>
        <w:ind w:firstLine="705"/>
        <w:jc w:val="both"/>
        <w:textAlignment w:val="baseline"/>
        <w:rPr>
          <w:rFonts w:ascii="Verdana" w:hAnsi="Verdana" w:cs="Segoe UI"/>
          <w:sz w:val="22"/>
          <w:szCs w:val="22"/>
        </w:rPr>
      </w:pPr>
      <w:r w:rsidRPr="007A2CB0">
        <w:rPr>
          <w:rStyle w:val="normaltextrun"/>
          <w:rFonts w:ascii="Verdana" w:hAnsi="Verdana" w:cs="Arial"/>
          <w:sz w:val="22"/>
          <w:szCs w:val="22"/>
          <w:lang w:val="es-ES"/>
        </w:rPr>
        <w:t>El Consejo de Estado, se pronunció sobre la relación existente entre el estudio del sector y la estimación del valor del contrato, indicando que se deben tener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Esto se logra con el estudio del mercado y sus costos, el cual debe estar a disposición de los participantes del procedimiento contractual</w:t>
      </w:r>
      <w:r w:rsidRPr="007A2CB0">
        <w:rPr>
          <w:rStyle w:val="Refdenotaalpie"/>
          <w:rFonts w:ascii="Verdana" w:eastAsiaTheme="majorEastAsia" w:hAnsi="Verdana" w:cs="Arial"/>
          <w:sz w:val="22"/>
          <w:szCs w:val="22"/>
          <w:lang w:val="es-ES"/>
        </w:rPr>
        <w:footnoteReference w:id="6"/>
      </w:r>
      <w:r w:rsidRPr="007A2CB0">
        <w:rPr>
          <w:rStyle w:val="normaltextrun"/>
          <w:rFonts w:ascii="Verdana" w:hAnsi="Verdana" w:cs="Arial"/>
          <w:sz w:val="22"/>
          <w:szCs w:val="22"/>
          <w:lang w:val="es-ES"/>
        </w:rPr>
        <w:t>.</w:t>
      </w:r>
    </w:p>
    <w:p w14:paraId="7ADC6249" w14:textId="77777777" w:rsidR="00123A1C" w:rsidRDefault="00123A1C" w:rsidP="00123A1C">
      <w:pPr>
        <w:spacing w:after="0" w:line="276" w:lineRule="auto"/>
        <w:ind w:firstLine="708"/>
        <w:jc w:val="both"/>
        <w:rPr>
          <w:rFonts w:ascii="Verdana" w:hAnsi="Verdana" w:cs="Arial"/>
          <w:lang w:val="es-MX"/>
        </w:rPr>
      </w:pPr>
      <w:bookmarkStart w:id="9" w:name="_Hlk91231640"/>
      <w:r w:rsidRPr="007A2CB0">
        <w:rPr>
          <w:rFonts w:ascii="Verdana" w:hAnsi="Verdana" w:cs="Arial"/>
        </w:rPr>
        <w:t xml:space="preserve">En conclusión, el análisis del sector debe ser visto desde una perspectiva funcional, como una labor enfocada a situar la adquisición de bienes y servicios por parte de entidades estatales dentro de las condiciones del mercado o del sector en el que serán adquiridos, el cual constituye una manifestación de los principios de planeación y economía. Dicha labor debe evidenciarse de manera palpable en los </w:t>
      </w:r>
      <w:r w:rsidRPr="007A2CB0">
        <w:rPr>
          <w:rFonts w:ascii="Verdana" w:hAnsi="Verdana" w:cs="Arial"/>
          <w:i/>
          <w:iCs/>
        </w:rPr>
        <w:t>Documentos del Proceso</w:t>
      </w:r>
      <w:r w:rsidRPr="007A2CB0">
        <w:rPr>
          <w:rFonts w:ascii="Verdana" w:hAnsi="Verdana" w:cs="Arial"/>
        </w:rPr>
        <w:t xml:space="preserve">, ya sea dentro de los estudios previos, como documento autónomo o dentro de alguno de los soportes del proceso de contratación, abarcando los campos legal, comercial, financiero, organizacional, técnico y de riesgos, de conformidad con el artículo </w:t>
      </w:r>
      <w:r w:rsidRPr="007A2CB0">
        <w:rPr>
          <w:rFonts w:ascii="Verdana" w:hAnsi="Verdana" w:cs="Arial"/>
          <w:lang w:val="es-MX"/>
        </w:rPr>
        <w:t>2.2.1.1.1.6.1 del Decreto 1082 del 2015.</w:t>
      </w:r>
    </w:p>
    <w:p w14:paraId="73B38E17" w14:textId="77777777" w:rsidR="00123A1C" w:rsidRDefault="00123A1C" w:rsidP="00123A1C">
      <w:pPr>
        <w:spacing w:after="0" w:line="276" w:lineRule="auto"/>
        <w:ind w:firstLine="708"/>
        <w:jc w:val="both"/>
        <w:rPr>
          <w:rFonts w:ascii="Verdana" w:hAnsi="Verdana" w:cs="Arial"/>
          <w:lang w:val="es-MX"/>
        </w:rPr>
      </w:pPr>
    </w:p>
    <w:p w14:paraId="4A5F070F" w14:textId="77777777" w:rsidR="00123A1C" w:rsidRPr="00EC5368" w:rsidRDefault="00123A1C" w:rsidP="00123A1C">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sidRPr="00462654">
        <w:rPr>
          <w:rFonts w:ascii="Verdana" w:hAnsi="Verdana" w:cs="Arial"/>
          <w:lang w:val="es-ES_tradnl"/>
        </w:rPr>
        <w:t>i</w:t>
      </w:r>
      <w:r>
        <w:rPr>
          <w:rFonts w:ascii="Verdana" w:hAnsi="Verdana" w:cs="Arial"/>
          <w:lang w:val="es-ES_tradnl"/>
        </w:rPr>
        <w:t>i</w:t>
      </w:r>
      <w:proofErr w:type="spellEnd"/>
      <w:r w:rsidRPr="00462654">
        <w:rPr>
          <w:rFonts w:ascii="Verdana" w:hAnsi="Verdana" w:cs="Arial"/>
          <w:lang w:val="es-ES_tradnl"/>
        </w:rPr>
        <w:t>.</w:t>
      </w:r>
      <w:r>
        <w:rPr>
          <w:rFonts w:ascii="Verdana" w:hAnsi="Verdana" w:cs="Arial"/>
          <w:lang w:val="es-ES_tradnl"/>
        </w:rPr>
        <w:t xml:space="preserve"> </w:t>
      </w:r>
      <w:r w:rsidRPr="00EC5368">
        <w:rPr>
          <w:rFonts w:ascii="Verdana" w:eastAsia="Calibri" w:hAnsi="Verdana" w:cs="Arial"/>
          <w:lang w:val="es-MX"/>
        </w:rPr>
        <w:t>La</w:t>
      </w:r>
      <w:r w:rsidRPr="00EC5368">
        <w:rPr>
          <w:rFonts w:ascii="Verdana" w:eastAsia="Calibri" w:hAnsi="Verdana" w:cs="Arial"/>
          <w:color w:val="000000"/>
          <w:lang w:val="es-ES_tradnl" w:eastAsia="es-ES" w:bidi="es-ES"/>
        </w:rPr>
        <w:t xml:space="preserve"> obra pública es una tipología de los contratos estatales, entendidos estos </w:t>
      </w:r>
      <w:r w:rsidRPr="00EC5368">
        <w:rPr>
          <w:rFonts w:ascii="Verdana" w:eastAsia="Calibri" w:hAnsi="Verdana" w:cs="Arial"/>
          <w:color w:val="000000"/>
          <w:lang w:val="es-ES_tradnl" w:eastAsia="es-ES" w:bidi="es-ES"/>
        </w:rPr>
        <w:lastRenderedPageBreak/>
        <w:t xml:space="preserve">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3A9EAA48" w14:textId="77777777" w:rsidR="00123A1C" w:rsidRPr="00EC5368" w:rsidRDefault="00123A1C" w:rsidP="00123A1C">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10" w:name="_Hlk81432298"/>
      <w:r w:rsidRPr="418CF8A0">
        <w:rPr>
          <w:rFonts w:ascii="Verdana" w:eastAsia="Calibri" w:hAnsi="Verdana" w:cs="Arial"/>
          <w:color w:val="000000" w:themeColor="text1"/>
          <w:lang w:val="es-ES" w:eastAsia="es-ES" w:bidi="es-ES"/>
        </w:rPr>
        <w:t xml:space="preserve">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10"/>
      <w:r w:rsidRPr="418CF8A0">
        <w:rPr>
          <w:rFonts w:ascii="Verdana" w:eastAsia="Calibri" w:hAnsi="Verdana" w:cs="Arial"/>
          <w:color w:val="000000" w:themeColor="text1"/>
          <w:lang w:val="es-ES" w:eastAsia="es-ES" w:bidi="es-ES"/>
        </w:rPr>
        <w:t>Así, la doctrina considera que:</w:t>
      </w:r>
    </w:p>
    <w:p w14:paraId="73F77235" w14:textId="77777777" w:rsidR="00123A1C" w:rsidRPr="00EC5368" w:rsidRDefault="00123A1C" w:rsidP="00123A1C">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76E5443A" w14:textId="77777777" w:rsidR="00123A1C" w:rsidRPr="00EC5368" w:rsidRDefault="00123A1C" w:rsidP="00123A1C">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54775157" w14:textId="77777777" w:rsidR="00123A1C" w:rsidRPr="00EC5368" w:rsidRDefault="00123A1C" w:rsidP="00123A1C">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EC5368">
        <w:rPr>
          <w:rFonts w:ascii="Verdana" w:eastAsia="Calibri" w:hAnsi="Verdana" w:cs="Arial"/>
          <w:color w:val="000000"/>
          <w:sz w:val="21"/>
          <w:szCs w:val="21"/>
          <w:vertAlign w:val="superscript"/>
          <w:lang w:val="es-ES_tradnl" w:eastAsia="es-ES" w:bidi="es-ES"/>
        </w:rPr>
        <w:footnoteReference w:id="7"/>
      </w:r>
      <w:r w:rsidRPr="00EC5368">
        <w:rPr>
          <w:rFonts w:ascii="Verdana" w:eastAsia="Calibri" w:hAnsi="Verdana" w:cs="Arial"/>
          <w:color w:val="000000"/>
          <w:sz w:val="21"/>
          <w:szCs w:val="21"/>
          <w:lang w:val="es-ES_tradnl" w:eastAsia="es-ES" w:bidi="es-ES"/>
        </w:rPr>
        <w:t xml:space="preserve">.  </w:t>
      </w:r>
    </w:p>
    <w:p w14:paraId="00786295" w14:textId="77777777" w:rsidR="00123A1C" w:rsidRPr="006E15C6" w:rsidRDefault="00123A1C" w:rsidP="00123A1C">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EC5368">
        <w:rPr>
          <w:rFonts w:ascii="Verdana" w:eastAsia="Calibri" w:hAnsi="Verdana" w:cs="Arial"/>
          <w:color w:val="000000"/>
          <w:sz w:val="21"/>
          <w:szCs w:val="21"/>
          <w:lang w:val="es-ES_tradnl" w:eastAsia="es-ES" w:bidi="es-ES"/>
        </w:rPr>
        <w:t xml:space="preserve"> </w:t>
      </w:r>
    </w:p>
    <w:p w14:paraId="256A97CA" w14:textId="77777777" w:rsidR="00123A1C" w:rsidRDefault="00123A1C" w:rsidP="00123A1C">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11" w:name="_Hlk35420344"/>
      <w:r w:rsidRPr="00EC5368">
        <w:rPr>
          <w:rFonts w:ascii="Verdana" w:eastAsia="Calibri" w:hAnsi="Verdana" w:cs="Arial"/>
          <w:color w:val="000000"/>
          <w:lang w:val="es-ES_tradnl" w:eastAsia="es-ES" w:bidi="es-ES"/>
        </w:rPr>
        <w:lastRenderedPageBreak/>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12"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13" w:name="_Hlk171668266"/>
      <w:r w:rsidRPr="00EC5368">
        <w:rPr>
          <w:rFonts w:ascii="Verdana" w:eastAsia="Calibri" w:hAnsi="Verdana" w:cs="Arial"/>
          <w:color w:val="000000"/>
          <w:lang w:val="es-ES_tradnl" w:eastAsia="es-ES" w:bidi="es-ES"/>
        </w:rPr>
        <w:t>construcción, mantenimiento, instalación</w:t>
      </w:r>
      <w:bookmarkEnd w:id="13"/>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14" w:name="_Hlk171667437"/>
      <w:r w:rsidRPr="00EC5368">
        <w:rPr>
          <w:rFonts w:ascii="Verdana" w:eastAsia="Calibri" w:hAnsi="Verdana" w:cs="Arial"/>
          <w:color w:val="000000"/>
          <w:lang w:val="es-ES_tradnl" w:eastAsia="es-ES" w:bidi="es-ES"/>
        </w:rPr>
        <w:t>cualquiera que sea la modalidad de ejecución y pago</w:t>
      </w:r>
      <w:bookmarkEnd w:id="14"/>
      <w:r w:rsidRPr="00EC5368">
        <w:rPr>
          <w:rFonts w:ascii="Verdana" w:eastAsia="Calibri" w:hAnsi="Verdana" w:cs="Arial"/>
          <w:color w:val="000000"/>
          <w:lang w:val="es-ES_tradnl" w:eastAsia="es-ES" w:bidi="es-ES"/>
        </w:rPr>
        <w:t>”, de manera que este tipo de contrato no aplica a los trabajos materiales realizados sobre bienes muebles</w:t>
      </w:r>
      <w:r w:rsidRPr="00EC5368">
        <w:rPr>
          <w:rStyle w:val="Refdenotaalpie"/>
          <w:rFonts w:ascii="Verdana" w:eastAsia="Calibri" w:hAnsi="Verdana" w:cs="Arial"/>
          <w:color w:val="000000"/>
          <w:lang w:val="es-ES_tradnl" w:eastAsia="es-ES" w:bidi="es-ES"/>
        </w:rPr>
        <w:footnoteReference w:id="8"/>
      </w:r>
      <w:r w:rsidRPr="00EC5368">
        <w:rPr>
          <w:rFonts w:ascii="Verdana" w:eastAsia="Calibri" w:hAnsi="Verdana" w:cs="Arial"/>
          <w:color w:val="000000"/>
          <w:lang w:val="es-ES_tradnl" w:eastAsia="es-ES" w:bidi="es-ES"/>
        </w:rPr>
        <w:t xml:space="preserve">. </w:t>
      </w:r>
    </w:p>
    <w:p w14:paraId="054DF9ED" w14:textId="77777777" w:rsidR="00123A1C" w:rsidRPr="00EC5368" w:rsidRDefault="00123A1C" w:rsidP="00123A1C">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11"/>
      <w:bookmarkEnd w:id="12"/>
      <w:r w:rsidRPr="00EC5368">
        <w:rPr>
          <w:rFonts w:ascii="Verdana" w:eastAsia="Calibri" w:hAnsi="Verdana" w:cs="Arial"/>
          <w:color w:val="000000"/>
          <w:vertAlign w:val="superscript"/>
          <w:lang w:val="es-ES_tradnl" w:eastAsia="es-ES" w:bidi="es-ES"/>
        </w:rPr>
        <w:footnoteReference w:id="9"/>
      </w:r>
      <w:r w:rsidRPr="00EC5368">
        <w:rPr>
          <w:rFonts w:ascii="Verdana" w:eastAsia="Calibri" w:hAnsi="Verdana" w:cs="Arial"/>
          <w:color w:val="000000"/>
          <w:lang w:val="es-ES_tradnl" w:eastAsia="es-ES" w:bidi="es-ES"/>
        </w:rPr>
        <w:t>. De esta manera:</w:t>
      </w:r>
    </w:p>
    <w:p w14:paraId="1B79BA66" w14:textId="77777777" w:rsidR="00123A1C" w:rsidRPr="00EC5368" w:rsidRDefault="00123A1C" w:rsidP="00123A1C">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27F0AD37" w14:textId="77777777" w:rsidR="00123A1C" w:rsidRPr="00EC5368" w:rsidRDefault="00123A1C" w:rsidP="00123A1C">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5731E41E" w14:textId="77777777" w:rsidR="00123A1C" w:rsidRPr="00EC5368" w:rsidRDefault="00123A1C" w:rsidP="00123A1C">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EC5368">
        <w:rPr>
          <w:rFonts w:ascii="Verdana" w:eastAsia="Calibri" w:hAnsi="Verdana" w:cs="Arial"/>
          <w:color w:val="000000"/>
          <w:sz w:val="21"/>
          <w:szCs w:val="21"/>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EC5368">
        <w:rPr>
          <w:rFonts w:ascii="Verdana" w:eastAsia="Calibri" w:hAnsi="Verdana" w:cs="Arial"/>
          <w:color w:val="000000"/>
          <w:sz w:val="21"/>
          <w:szCs w:val="21"/>
          <w:vertAlign w:val="superscript"/>
          <w:lang w:val="es-ES_tradnl" w:eastAsia="es-ES" w:bidi="es-ES"/>
        </w:rPr>
        <w:footnoteReference w:id="10"/>
      </w:r>
      <w:r w:rsidRPr="00EC5368">
        <w:rPr>
          <w:rFonts w:ascii="Verdana" w:eastAsia="Calibri" w:hAnsi="Verdana" w:cs="Arial"/>
          <w:color w:val="000000"/>
          <w:sz w:val="21"/>
          <w:szCs w:val="21"/>
          <w:lang w:val="es-ES_tradnl" w:eastAsia="es-ES" w:bidi="es-ES"/>
        </w:rPr>
        <w:t>.</w:t>
      </w:r>
    </w:p>
    <w:p w14:paraId="30093FE2" w14:textId="77777777" w:rsidR="00123A1C" w:rsidRPr="00EC5368" w:rsidRDefault="00123A1C" w:rsidP="00123A1C">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6DE48F53" w14:textId="77777777" w:rsidR="00123A1C" w:rsidRDefault="00123A1C" w:rsidP="00123A1C">
      <w:pPr>
        <w:widowControl w:val="0"/>
        <w:autoSpaceDE w:val="0"/>
        <w:autoSpaceDN w:val="0"/>
        <w:spacing w:after="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 xml:space="preserve">En la disposición citada, el contrato de obra pública no se limita a la construcción de inmuebles, pues la definición se extiende a las actividades de mantenimiento e instalación, lo cual supone un bien preexistente. Para la Real </w:t>
      </w:r>
      <w:r w:rsidRPr="00EC5368">
        <w:rPr>
          <w:rFonts w:ascii="Verdana" w:eastAsia="Calibri" w:hAnsi="Verdana" w:cs="Arial"/>
          <w:color w:val="000000"/>
          <w:lang w:val="es-ES_tradnl" w:eastAsia="es-ES" w:bidi="es-ES"/>
        </w:rPr>
        <w:lastRenderedPageBreak/>
        <w:t>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745B5544" w14:textId="77777777" w:rsidR="00123A1C" w:rsidRPr="006E15C6" w:rsidRDefault="00123A1C" w:rsidP="00123A1C">
      <w:pPr>
        <w:spacing w:after="0" w:line="276" w:lineRule="auto"/>
        <w:jc w:val="both"/>
        <w:rPr>
          <w:rFonts w:ascii="Verdana" w:eastAsia="Calibri" w:hAnsi="Verdana" w:cs="Arial"/>
          <w:lang w:val="es-ES_tradnl"/>
        </w:rPr>
      </w:pPr>
    </w:p>
    <w:p w14:paraId="6EE3041E" w14:textId="77777777" w:rsidR="00123A1C" w:rsidRDefault="00123A1C" w:rsidP="00123A1C">
      <w:pPr>
        <w:spacing w:after="120" w:line="276" w:lineRule="auto"/>
        <w:jc w:val="both"/>
        <w:rPr>
          <w:rFonts w:ascii="Verdana" w:hAnsi="Verdana"/>
        </w:rPr>
      </w:pPr>
      <w:proofErr w:type="spellStart"/>
      <w:r w:rsidRPr="000A1B8E">
        <w:rPr>
          <w:rFonts w:ascii="Verdana" w:eastAsia="Calibri" w:hAnsi="Verdana" w:cs="Arial"/>
          <w:lang w:val="es-ES"/>
        </w:rPr>
        <w:t>ii</w:t>
      </w:r>
      <w:r>
        <w:rPr>
          <w:rFonts w:ascii="Verdana" w:eastAsia="Calibri" w:hAnsi="Verdana" w:cs="Arial"/>
          <w:lang w:val="es-ES"/>
        </w:rPr>
        <w:t>i</w:t>
      </w:r>
      <w:proofErr w:type="spellEnd"/>
      <w:r w:rsidRPr="000A1B8E">
        <w:rPr>
          <w:rFonts w:ascii="Verdana" w:eastAsia="Calibri" w:hAnsi="Verdana" w:cs="Arial"/>
          <w:lang w:val="es-ES"/>
        </w:rPr>
        <w:t xml:space="preserve">. </w:t>
      </w:r>
      <w:r w:rsidRPr="000A1B8E">
        <w:rPr>
          <w:rFonts w:ascii="Verdana" w:hAnsi="Verdana" w:cs="Arial"/>
          <w:bCs/>
          <w:color w:val="000000" w:themeColor="text1"/>
          <w:lang w:val="es-ES_tradnl"/>
        </w:rPr>
        <w:t xml:space="preserve">Previo al inicio de un proceso de selección para la contratación de una obra pública, la entidad estatal debe contar con </w:t>
      </w:r>
      <w:r>
        <w:rPr>
          <w:rFonts w:ascii="Verdana" w:hAnsi="Verdana" w:cs="Arial"/>
          <w:bCs/>
          <w:color w:val="000000" w:themeColor="text1"/>
          <w:lang w:val="es-ES_tradnl"/>
        </w:rPr>
        <w:t>“</w:t>
      </w:r>
      <w:r w:rsidRPr="000A1B8E">
        <w:rPr>
          <w:rFonts w:ascii="Verdana" w:hAnsi="Verdana" w:cs="Arial"/>
          <w:bCs/>
          <w:color w:val="000000" w:themeColor="text1"/>
          <w:lang w:val="es-ES_tradnl"/>
        </w:rPr>
        <w:t>los estudios y diseños que permitan establecer la viabilidad del proyecto y su impacto social, económico y ambiental</w:t>
      </w:r>
      <w:r>
        <w:rPr>
          <w:rFonts w:ascii="Verdana" w:hAnsi="Verdana" w:cs="Arial"/>
          <w:bCs/>
          <w:color w:val="000000" w:themeColor="text1"/>
          <w:lang w:val="es-ES_tradnl"/>
        </w:rPr>
        <w:t>”</w:t>
      </w:r>
      <w:r w:rsidRPr="000A1B8E">
        <w:rPr>
          <w:rFonts w:ascii="Verdana" w:hAnsi="Verdana" w:cs="Arial"/>
          <w:bCs/>
          <w:color w:val="000000" w:themeColor="text1"/>
          <w:lang w:val="es-ES_tradnl"/>
        </w:rPr>
        <w:t xml:space="preserve"> en los términos del numeral 12 del artículo 25 de la Ley 80 de 1993, modificado por el artículo 87 de la Ley 1474 de 2011</w:t>
      </w:r>
      <w:r>
        <w:rPr>
          <w:rStyle w:val="Refdenotaalpie"/>
          <w:rFonts w:ascii="Verdana" w:hAnsi="Verdana" w:cs="Arial"/>
          <w:bCs/>
          <w:color w:val="000000" w:themeColor="text1"/>
          <w:lang w:val="es-ES_tradnl"/>
        </w:rPr>
        <w:footnoteReference w:id="11"/>
      </w:r>
      <w:r w:rsidRPr="000A1B8E">
        <w:rPr>
          <w:rFonts w:ascii="Verdana" w:hAnsi="Verdana"/>
        </w:rPr>
        <w:t>. Incluso, el numeral 3 del artículo 26 de</w:t>
      </w:r>
      <w:r>
        <w:rPr>
          <w:rFonts w:ascii="Verdana" w:hAnsi="Verdana"/>
        </w:rPr>
        <w:t>l Estatuto General de Contratación de la Administración Pública prescribe</w:t>
      </w:r>
      <w:r w:rsidRPr="000A1B8E">
        <w:rPr>
          <w:rFonts w:ascii="Verdana" w:hAnsi="Verdana"/>
        </w:rPr>
        <w:t xml:space="preserve"> que las entidades y los servidores públicos responderán cuando hubieren iniciado procedimientos de selección sin haber elaborado los diseños correspondientes</w:t>
      </w:r>
      <w:r w:rsidRPr="000A1B8E">
        <w:rPr>
          <w:rStyle w:val="Refdenotaalpie"/>
          <w:rFonts w:ascii="Verdana" w:hAnsi="Verdana"/>
        </w:rPr>
        <w:footnoteReference w:id="12"/>
      </w:r>
      <w:r w:rsidRPr="000A1B8E">
        <w:rPr>
          <w:rFonts w:ascii="Verdana" w:hAnsi="Verdana"/>
        </w:rPr>
        <w:t xml:space="preserve">. </w:t>
      </w:r>
    </w:p>
    <w:p w14:paraId="1621DAD4" w14:textId="77777777" w:rsidR="00123A1C" w:rsidRPr="00222C6C" w:rsidRDefault="00123A1C" w:rsidP="00123A1C">
      <w:pPr>
        <w:spacing w:after="120" w:line="276" w:lineRule="auto"/>
        <w:ind w:firstLine="708"/>
        <w:jc w:val="both"/>
        <w:rPr>
          <w:rFonts w:ascii="Verdana" w:hAnsi="Verdana" w:cs="Arial"/>
          <w:sz w:val="21"/>
          <w:szCs w:val="21"/>
        </w:rPr>
      </w:pPr>
      <w:r w:rsidRPr="000A1B8E">
        <w:rPr>
          <w:rFonts w:ascii="Verdana" w:hAnsi="Verdana"/>
        </w:rPr>
        <w:t xml:space="preserve">Igualmente, para los procesos de licitación pública, el numeral primero del artículo 30 </w:t>
      </w:r>
      <w:r w:rsidRPr="000A1B8E">
        <w:rPr>
          <w:rFonts w:ascii="Verdana" w:hAnsi="Verdana"/>
          <w:i/>
          <w:iCs/>
        </w:rPr>
        <w:t>ibidem</w:t>
      </w:r>
      <w:r w:rsidRPr="000A1B8E">
        <w:rPr>
          <w:rFonts w:ascii="Verdana" w:hAnsi="Verdana"/>
        </w:rPr>
        <w:t xml:space="preserve"> prescribe que </w:t>
      </w:r>
      <w:r>
        <w:t>“</w:t>
      </w:r>
      <w:r w:rsidRPr="000A1B8E">
        <w:rPr>
          <w:rFonts w:ascii="Verdana" w:hAnsi="Verdana"/>
          <w:lang w:val="es-MX"/>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0A1B8E">
        <w:rPr>
          <w:rFonts w:ascii="Verdana" w:hAnsi="Verdana"/>
          <w:i/>
          <w:iCs/>
          <w:lang w:val="es-MX"/>
        </w:rPr>
        <w:t>Cuando sea necesario, el estudio deberá estar acompañado, además, de los diseños, planos y evaluaciones de prefactibilidad o factibilidad</w:t>
      </w:r>
      <w:r>
        <w:rPr>
          <w:lang w:val="es-MX"/>
        </w:rPr>
        <w:t>”</w:t>
      </w:r>
      <w:r w:rsidRPr="000A1B8E">
        <w:rPr>
          <w:rFonts w:ascii="Verdana" w:hAnsi="Verdana"/>
          <w:lang w:val="es-MX"/>
        </w:rPr>
        <w:t xml:space="preserve"> (Énfasis fuera de texto).</w:t>
      </w:r>
    </w:p>
    <w:p w14:paraId="2BD4A818" w14:textId="77777777" w:rsidR="00123A1C" w:rsidRPr="003A38A3" w:rsidRDefault="00123A1C" w:rsidP="00123A1C">
      <w:pPr>
        <w:spacing w:after="120" w:line="276" w:lineRule="auto"/>
        <w:ind w:firstLine="708"/>
        <w:jc w:val="both"/>
        <w:rPr>
          <w:rFonts w:ascii="Verdana" w:hAnsi="Verdana" w:cs="Arial"/>
          <w:bCs/>
          <w:color w:val="000000" w:themeColor="text1"/>
          <w:lang w:val="es-ES_tradnl"/>
        </w:rPr>
      </w:pPr>
      <w:r w:rsidRPr="003A38A3">
        <w:rPr>
          <w:rFonts w:ascii="Verdana" w:hAnsi="Verdana" w:cs="Arial"/>
          <w:bCs/>
          <w:color w:val="000000" w:themeColor="text1"/>
          <w:lang w:val="es-ES_tradnl"/>
        </w:rPr>
        <w:t xml:space="preserve">No obstante, el numeral 12 del artículo 25 de la Ley 80 de 1993 no impide que en un mismo proceso de contratación se adelante de forma conjunta el proceso de construcción de la obra y la elaboración de los estudios y diseños que </w:t>
      </w:r>
      <w:r w:rsidRPr="003A38A3">
        <w:rPr>
          <w:rFonts w:ascii="Verdana" w:hAnsi="Verdana" w:cs="Arial"/>
          <w:bCs/>
          <w:color w:val="000000" w:themeColor="text1"/>
          <w:lang w:val="es-ES_tradnl"/>
        </w:rPr>
        <w:lastRenderedPageBreak/>
        <w:t>expliquen con mayor detalle a las obras y estructuras que se requieran, de tal forma que un constructor pueda materializar el proyecto, ya que sólo se requiere que existan unos estudios de viabilidad. Lo anterior se reitera con lo previsto en el artículo 2.2.1.1.2.1.1 del Decreto 1082 de 2015, el cual señala que, dentro de los estudios previos, cuando el objeto de contratación incluye el diseño y construcción, se requiere los documentos técnicos del proyecto</w:t>
      </w:r>
      <w:r w:rsidRPr="00A22946">
        <w:rPr>
          <w:rFonts w:ascii="Verdana" w:hAnsi="Verdana" w:cs="Arial"/>
          <w:bCs/>
          <w:color w:val="000000" w:themeColor="text1"/>
          <w:vertAlign w:val="superscript"/>
          <w:lang w:val="es-ES_tradnl"/>
        </w:rPr>
        <w:footnoteReference w:id="13"/>
      </w:r>
      <w:r w:rsidRPr="003A38A3">
        <w:rPr>
          <w:rFonts w:ascii="Verdana" w:hAnsi="Verdana" w:cs="Arial"/>
          <w:bCs/>
          <w:color w:val="000000" w:themeColor="text1"/>
          <w:lang w:val="es-ES_tradnl"/>
        </w:rPr>
        <w:t xml:space="preserve">. </w:t>
      </w:r>
    </w:p>
    <w:p w14:paraId="18417996" w14:textId="77777777" w:rsidR="00123A1C" w:rsidRPr="003A38A3" w:rsidRDefault="00123A1C" w:rsidP="00123A1C">
      <w:pPr>
        <w:spacing w:after="120" w:line="276" w:lineRule="auto"/>
        <w:ind w:firstLine="708"/>
        <w:jc w:val="both"/>
        <w:rPr>
          <w:rFonts w:ascii="Verdana" w:hAnsi="Verdana" w:cs="Arial"/>
          <w:bCs/>
          <w:color w:val="000000" w:themeColor="text1"/>
          <w:lang w:val="es-ES_tradnl"/>
        </w:rPr>
      </w:pPr>
      <w:r w:rsidRPr="003A38A3">
        <w:rPr>
          <w:rFonts w:ascii="Verdana" w:hAnsi="Verdana" w:cs="Arial"/>
          <w:bCs/>
          <w:color w:val="000000" w:themeColor="text1"/>
          <w:lang w:val="es-ES_tradnl"/>
        </w:rPr>
        <w:t>En este sentido, de forma expresa, se prevé la posibilidad que en un mismo proceso de contratación se adelante la elaboración de los diseños y la construcción de una obra. En otras palabras, debe quedar claro que la consagración de la obligación contractual a cargo del contratista de obra de realizar los estudios y diseños para la obra pública constituye una forma en la que se satisface plenamente el deber legal de contar, de manera previa a la apertura de un procedimiento de licitación pública para la contratación de una obra pública, con los estudios y diseños que permitan establecer la viabilidad del proyecto y su impacto social, económico y ambiental</w:t>
      </w:r>
      <w:r w:rsidRPr="00617102">
        <w:rPr>
          <w:rFonts w:ascii="Verdana" w:hAnsi="Verdana" w:cs="Arial"/>
          <w:vertAlign w:val="superscript"/>
        </w:rPr>
        <w:footnoteReference w:id="14"/>
      </w:r>
      <w:r w:rsidRPr="003A38A3">
        <w:rPr>
          <w:rFonts w:ascii="Verdana" w:hAnsi="Verdana" w:cs="Arial"/>
          <w:bCs/>
          <w:color w:val="000000" w:themeColor="text1"/>
          <w:lang w:val="es-ES_tradnl"/>
        </w:rPr>
        <w:t>.</w:t>
      </w:r>
    </w:p>
    <w:p w14:paraId="22E2334E" w14:textId="77777777" w:rsidR="00123A1C" w:rsidRPr="003A38A3" w:rsidRDefault="00123A1C" w:rsidP="00123A1C">
      <w:pPr>
        <w:spacing w:after="120" w:line="276" w:lineRule="auto"/>
        <w:ind w:firstLine="708"/>
        <w:jc w:val="both"/>
        <w:rPr>
          <w:rFonts w:ascii="Verdana" w:hAnsi="Verdana" w:cs="Arial"/>
          <w:color w:val="000000" w:themeColor="text1"/>
          <w:lang w:val="es-ES"/>
        </w:rPr>
      </w:pPr>
      <w:r w:rsidRPr="6B126E3C">
        <w:rPr>
          <w:rFonts w:ascii="Verdana" w:hAnsi="Verdana" w:cs="Arial"/>
          <w:color w:val="000000" w:themeColor="text1"/>
          <w:lang w:val="es-ES"/>
        </w:rPr>
        <w:t xml:space="preserve">Ahora bien, es importante subrayar que en nuestro ordenamiento jurídico existen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en: i) fase I- prefactibilidad, </w:t>
      </w:r>
      <w:proofErr w:type="spellStart"/>
      <w:r w:rsidRPr="6B126E3C">
        <w:rPr>
          <w:rFonts w:ascii="Verdana" w:hAnsi="Verdana" w:cs="Arial"/>
          <w:color w:val="000000" w:themeColor="text1"/>
          <w:lang w:val="es-ES"/>
        </w:rPr>
        <w:t>ii</w:t>
      </w:r>
      <w:proofErr w:type="spellEnd"/>
      <w:r w:rsidRPr="6B126E3C">
        <w:rPr>
          <w:rFonts w:ascii="Verdana" w:hAnsi="Verdana" w:cs="Arial"/>
          <w:color w:val="000000" w:themeColor="text1"/>
          <w:lang w:val="es-ES"/>
        </w:rPr>
        <w:t xml:space="preserve">) fase II- factibilidad y </w:t>
      </w:r>
      <w:proofErr w:type="spellStart"/>
      <w:r w:rsidRPr="6B126E3C">
        <w:rPr>
          <w:rFonts w:ascii="Verdana" w:hAnsi="Verdana" w:cs="Arial"/>
          <w:color w:val="000000" w:themeColor="text1"/>
          <w:lang w:val="es-ES"/>
        </w:rPr>
        <w:t>iii</w:t>
      </w:r>
      <w:proofErr w:type="spellEnd"/>
      <w:r w:rsidRPr="6B126E3C">
        <w:rPr>
          <w:rFonts w:ascii="Verdana" w:hAnsi="Verdana" w:cs="Arial"/>
          <w:color w:val="000000" w:themeColor="text1"/>
          <w:lang w:val="es-ES"/>
        </w:rPr>
        <w:t>) fase III- estudios y diseños definitivos.</w:t>
      </w:r>
    </w:p>
    <w:p w14:paraId="5AD6F992" w14:textId="77777777" w:rsidR="00123A1C" w:rsidRPr="003A38A3" w:rsidRDefault="00123A1C" w:rsidP="00123A1C">
      <w:pPr>
        <w:spacing w:after="120" w:line="276" w:lineRule="auto"/>
        <w:ind w:firstLine="708"/>
        <w:jc w:val="both"/>
        <w:rPr>
          <w:rFonts w:ascii="Verdana" w:hAnsi="Verdana" w:cs="Arial"/>
          <w:bCs/>
          <w:color w:val="000000" w:themeColor="text1"/>
          <w:lang w:val="es-ES_tradnl"/>
        </w:rPr>
      </w:pPr>
      <w:r w:rsidRPr="003A38A3">
        <w:rPr>
          <w:rFonts w:ascii="Verdana" w:hAnsi="Verdana" w:cs="Arial"/>
          <w:bCs/>
          <w:color w:val="000000" w:themeColor="text1"/>
          <w:lang w:val="es-ES_tradnl"/>
        </w:rPr>
        <w:t xml:space="preserve">El estudio de “Fase 1. Prefactibilidad” es </w:t>
      </w:r>
      <w:r>
        <w:rPr>
          <w:rFonts w:ascii="Verdana" w:hAnsi="Verdana" w:cs="Arial"/>
          <w:bCs/>
          <w:color w:val="000000" w:themeColor="text1"/>
          <w:lang w:val="es-ES_tradnl"/>
        </w:rPr>
        <w:t xml:space="preserve">en </w:t>
      </w:r>
      <w:r w:rsidRPr="003A38A3">
        <w:rPr>
          <w:rFonts w:ascii="Verdana" w:hAnsi="Verdana" w:cs="Arial"/>
          <w:bCs/>
          <w:color w:val="000000" w:themeColor="text1"/>
          <w:lang w:val="es-ES_tradnl"/>
        </w:rPr>
        <w:t xml:space="preserve">el que se realiza el prediseño aproximado del proyecto, presentando alternativas y </w:t>
      </w:r>
      <w:r>
        <w:rPr>
          <w:rFonts w:ascii="Verdana" w:hAnsi="Verdana" w:cs="Arial"/>
          <w:bCs/>
          <w:color w:val="000000" w:themeColor="text1"/>
          <w:lang w:val="es-ES_tradnl"/>
        </w:rPr>
        <w:t xml:space="preserve">se </w:t>
      </w:r>
      <w:r w:rsidRPr="003A38A3">
        <w:rPr>
          <w:rFonts w:ascii="Verdana" w:hAnsi="Verdana" w:cs="Arial"/>
          <w:bCs/>
          <w:color w:val="000000" w:themeColor="text1"/>
          <w:lang w:val="es-ES_tradnl"/>
        </w:rPr>
        <w:t xml:space="preserve">realiza la evaluación económica preliminar recurriendo a costos obtenidos en proyectos con condiciones similares, utilizando modelos de simulación debidamente aprobados por las entidades solicitantes. En el estudio de “Fase 2. Factibilidad” se debe </w:t>
      </w:r>
      <w:r w:rsidRPr="003A38A3">
        <w:rPr>
          <w:rFonts w:ascii="Verdana" w:hAnsi="Verdana" w:cs="Arial"/>
          <w:bCs/>
          <w:color w:val="000000" w:themeColor="text1"/>
          <w:lang w:val="es-ES_tradnl"/>
        </w:rPr>
        <w:lastRenderedPageBreak/>
        <w:t>diseñar el proyecto y efectuar la evaluación económica final, y, además, tiene por finalidad establecer si el proyecto es factible para su ejecución, considerando todos los aspectos relacionados con el mismo. Finalmente, en el estudio de “Fase 3. Estudios y diseños definitivos” se deben elaborar los diseños detallados tanto geométrico como de todas las estructuras y obras que se requieran, de tal forma que un constructor pueda materializar el proyecto</w:t>
      </w:r>
      <w:r w:rsidRPr="00617102">
        <w:rPr>
          <w:rFonts w:ascii="Verdana" w:hAnsi="Verdana" w:cs="Arial"/>
          <w:bCs/>
          <w:color w:val="000000" w:themeColor="text1"/>
          <w:vertAlign w:val="superscript"/>
          <w:lang w:val="es-ES_tradnl"/>
        </w:rPr>
        <w:footnoteReference w:id="15"/>
      </w:r>
      <w:r w:rsidRPr="003A38A3">
        <w:rPr>
          <w:rFonts w:ascii="Verdana" w:hAnsi="Verdana" w:cs="Arial"/>
          <w:bCs/>
          <w:color w:val="000000" w:themeColor="text1"/>
          <w:lang w:val="es-ES_tradnl"/>
        </w:rPr>
        <w:t>. De acuerdo con las definiciones de los estudios de ingeniería es posible concluir que, para adelantar el proceso de contratación, cuyo objeto consiste en la construcción de una obra pública, se requerirá contar con los estudios de prefactibilidad y estudios de factibilidad, porque a través de estos se verifica la viabilidad del proyecto.</w:t>
      </w:r>
    </w:p>
    <w:p w14:paraId="043145C3" w14:textId="77777777" w:rsidR="00123A1C" w:rsidRPr="000A1B8E" w:rsidRDefault="00123A1C" w:rsidP="00123A1C">
      <w:pPr>
        <w:spacing w:after="0" w:line="276" w:lineRule="auto"/>
        <w:ind w:firstLine="708"/>
        <w:jc w:val="both"/>
        <w:rPr>
          <w:rFonts w:ascii="Verdana" w:hAnsi="Verdana" w:cs="Arial"/>
        </w:rPr>
      </w:pPr>
      <w:r w:rsidRPr="000A1B8E">
        <w:rPr>
          <w:rFonts w:ascii="Verdana" w:hAnsi="Verdana" w:cs="Arial"/>
          <w:bCs/>
          <w:color w:val="000000" w:themeColor="text1"/>
          <w:lang w:val="es-ES_tradnl"/>
        </w:rPr>
        <w:t xml:space="preserve">Inclusive, en el evento en que la entidad estatal ya cuente con estudios y diseños para la obra pública, siempre en cumplimiento del principio de planeación y con el fin de corroborar la </w:t>
      </w:r>
      <w:r>
        <w:rPr>
          <w:rFonts w:ascii="Verdana" w:hAnsi="Verdana" w:cs="Arial"/>
          <w:bCs/>
          <w:color w:val="000000" w:themeColor="text1"/>
          <w:lang w:val="es-ES_tradnl"/>
        </w:rPr>
        <w:t>“</w:t>
      </w:r>
      <w:r w:rsidRPr="000A1B8E">
        <w:rPr>
          <w:rFonts w:ascii="Verdana" w:hAnsi="Verdana" w:cs="Arial"/>
          <w:bCs/>
          <w:color w:val="000000" w:themeColor="text1"/>
          <w:lang w:val="es-ES_tradnl"/>
        </w:rPr>
        <w:t>viabilidad</w:t>
      </w:r>
      <w:r>
        <w:rPr>
          <w:rFonts w:ascii="Verdana" w:hAnsi="Verdana" w:cs="Arial"/>
        </w:rPr>
        <w:t>”</w:t>
      </w:r>
      <w:r w:rsidRPr="000A1B8E">
        <w:rPr>
          <w:rFonts w:ascii="Verdana" w:hAnsi="Verdana" w:cs="Arial"/>
        </w:rPr>
        <w:t xml:space="preserve"> del proyecto, puede modificarlos o ajustarlos. Precisamente, en relación con este supuesto, la Sala de Consulta y Servicio Civil del Consejo de Estado considera que: </w:t>
      </w:r>
    </w:p>
    <w:p w14:paraId="714DF6A5" w14:textId="77777777" w:rsidR="00123A1C" w:rsidRPr="000A1B8E" w:rsidRDefault="00123A1C" w:rsidP="00123A1C">
      <w:pPr>
        <w:spacing w:after="0" w:line="276" w:lineRule="auto"/>
        <w:ind w:firstLine="708"/>
        <w:jc w:val="both"/>
        <w:rPr>
          <w:rFonts w:ascii="Verdana" w:hAnsi="Verdana" w:cs="Arial"/>
        </w:rPr>
      </w:pPr>
    </w:p>
    <w:p w14:paraId="56FC099B" w14:textId="77777777" w:rsidR="00123A1C" w:rsidRPr="000A1B8E" w:rsidRDefault="00123A1C" w:rsidP="00123A1C">
      <w:pPr>
        <w:spacing w:line="240" w:lineRule="auto"/>
        <w:ind w:left="709" w:right="709"/>
        <w:jc w:val="both"/>
        <w:rPr>
          <w:rFonts w:ascii="Verdana" w:hAnsi="Verdana" w:cs="Arial"/>
          <w:sz w:val="21"/>
          <w:szCs w:val="21"/>
        </w:rPr>
      </w:pPr>
      <w:r>
        <w:rPr>
          <w:rFonts w:ascii="Verdana" w:hAnsi="Verdana" w:cs="Arial"/>
          <w:sz w:val="21"/>
          <w:szCs w:val="21"/>
        </w:rPr>
        <w:t>“</w:t>
      </w:r>
      <w:r w:rsidRPr="000A1B8E">
        <w:rPr>
          <w:rFonts w:ascii="Verdana" w:hAnsi="Verdana" w:cs="Arial"/>
          <w:sz w:val="21"/>
          <w:szCs w:val="21"/>
        </w:rPr>
        <w:t xml:space="preserve">La contratación, entendida como un instrumento para alcanzar los fines estatales y satisfacer el interés público, </w:t>
      </w:r>
      <w:r w:rsidRPr="000A1B8E">
        <w:rPr>
          <w:rFonts w:ascii="Verdana" w:hAnsi="Verdana" w:cs="Arial"/>
          <w:i/>
          <w:sz w:val="21"/>
          <w:szCs w:val="21"/>
        </w:rPr>
        <w:t xml:space="preserve">hace que la </w:t>
      </w:r>
      <w:r w:rsidRPr="000A1B8E">
        <w:rPr>
          <w:rFonts w:ascii="Verdana" w:hAnsi="Verdana" w:cs="Arial"/>
          <w:i/>
          <w:sz w:val="21"/>
          <w:szCs w:val="21"/>
        </w:rPr>
        <w:lastRenderedPageBreak/>
        <w:t>administración se encuentre facultada para modificar los diseños y estudios previstos inicialmente para la ejecución de una obra pública, cuando éstos adolezcan de errores o sean insuficientes o inadecuados</w:t>
      </w:r>
      <w:r w:rsidRPr="00A20276">
        <w:rPr>
          <w:rFonts w:ascii="Verdana" w:hAnsi="Verdana" w:cs="Arial"/>
          <w:sz w:val="21"/>
          <w:szCs w:val="21"/>
        </w:rPr>
        <w:t>,</w:t>
      </w:r>
      <w:r w:rsidRPr="000A1B8E">
        <w:rPr>
          <w:rFonts w:ascii="Verdana" w:hAnsi="Verdana" w:cs="Arial"/>
          <w:sz w:val="21"/>
          <w:szCs w:val="21"/>
        </w:rPr>
        <w:t xml:space="preserve"> independientemente de la responsabilidad que ello pueda</w:t>
      </w:r>
      <w:r w:rsidRPr="000A1B8E">
        <w:rPr>
          <w:rFonts w:ascii="Verdana" w:hAnsi="Verdana" w:cs="Arial"/>
          <w:spacing w:val="-5"/>
          <w:sz w:val="21"/>
          <w:szCs w:val="21"/>
        </w:rPr>
        <w:t xml:space="preserve"> </w:t>
      </w:r>
      <w:r w:rsidRPr="000A1B8E">
        <w:rPr>
          <w:rFonts w:ascii="Verdana" w:hAnsi="Verdana" w:cs="Arial"/>
          <w:sz w:val="21"/>
          <w:szCs w:val="21"/>
        </w:rPr>
        <w:t xml:space="preserve">generar. </w:t>
      </w:r>
    </w:p>
    <w:p w14:paraId="1E096E48" w14:textId="77777777" w:rsidR="00123A1C" w:rsidRPr="000A1B8E" w:rsidRDefault="00123A1C" w:rsidP="00123A1C">
      <w:pPr>
        <w:spacing w:before="121" w:line="240" w:lineRule="auto"/>
        <w:ind w:left="709" w:right="709"/>
        <w:jc w:val="both"/>
        <w:rPr>
          <w:rFonts w:ascii="Verdana" w:hAnsi="Verdana" w:cs="Arial"/>
          <w:sz w:val="21"/>
          <w:szCs w:val="21"/>
        </w:rPr>
      </w:pPr>
      <w:r w:rsidRPr="000A1B8E">
        <w:rPr>
          <w:rFonts w:ascii="Verdana" w:hAnsi="Verdana" w:cs="Arial"/>
          <w:sz w:val="21"/>
          <w:szCs w:val="21"/>
        </w:rPr>
        <w:t>Por consiguiente, si para alcanzar el objeto contractual se hace necesario corregir errores de diseño o buscar soluciones técnicas alternativas frente a eventos no previstos</w:t>
      </w:r>
      <w:r w:rsidRPr="000A1B8E">
        <w:rPr>
          <w:rFonts w:ascii="Verdana" w:hAnsi="Verdana" w:cs="Arial"/>
          <w:b/>
          <w:sz w:val="21"/>
          <w:szCs w:val="21"/>
        </w:rPr>
        <w:t xml:space="preserve">, </w:t>
      </w:r>
      <w:r w:rsidRPr="000A1B8E">
        <w:rPr>
          <w:rFonts w:ascii="Verdana" w:hAnsi="Verdana" w:cs="Arial"/>
          <w:i/>
          <w:sz w:val="21"/>
          <w:szCs w:val="21"/>
        </w:rPr>
        <w:t xml:space="preserve">la administración está en la posibilidad, y en el deber jurídico, de adecuar los diseños y estudios, así ello implique la ejecución de una mayor cantidad de obra y el desarrollo de obras adicionales al objeto </w:t>
      </w:r>
      <w:r w:rsidRPr="000A1B8E">
        <w:rPr>
          <w:rFonts w:ascii="Verdana" w:hAnsi="Verdana" w:cs="Arial"/>
          <w:sz w:val="21"/>
          <w:szCs w:val="21"/>
        </w:rPr>
        <w:t>contractual, máxime si, como en el caso que nos ocupa, actuar de una manera distinta puede comprometer la estabilidad misma de los trabajos.</w:t>
      </w:r>
    </w:p>
    <w:p w14:paraId="6AD87401" w14:textId="77777777" w:rsidR="00123A1C" w:rsidRPr="000A1B8E" w:rsidRDefault="00123A1C" w:rsidP="00123A1C">
      <w:pPr>
        <w:spacing w:before="120" w:after="0" w:line="240" w:lineRule="auto"/>
        <w:ind w:left="709" w:right="709"/>
        <w:jc w:val="both"/>
        <w:rPr>
          <w:rFonts w:ascii="Verdana" w:hAnsi="Verdana" w:cs="Arial"/>
          <w:sz w:val="21"/>
          <w:szCs w:val="21"/>
        </w:rPr>
      </w:pPr>
      <w:r w:rsidRPr="000A1B8E">
        <w:rPr>
          <w:rFonts w:ascii="Verdana" w:hAnsi="Verdana" w:cs="Arial"/>
          <w:i/>
          <w:sz w:val="21"/>
          <w:szCs w:val="21"/>
        </w:rPr>
        <w:t xml:space="preserve">De lo anterior resulta claro que es un deber de la administración ordenar las modificaciones necesarias para responder por la buena ejecución </w:t>
      </w:r>
      <w:r w:rsidRPr="000A1B8E">
        <w:rPr>
          <w:rFonts w:ascii="Verdana" w:hAnsi="Verdana" w:cs="Arial"/>
          <w:sz w:val="21"/>
          <w:szCs w:val="21"/>
        </w:rPr>
        <w:t>de los trabajos y el logro del fin perseguido con la contratación; es un imperativo de su gestión, al cual no puede sustraerse so pena de incurrir en responsabilidad por omisión, pues iría en contra de lo previsto en el artículo 3º de la Ley 80 de 1993</w:t>
      </w:r>
      <w:r>
        <w:rPr>
          <w:rFonts w:ascii="Verdana" w:hAnsi="Verdana" w:cs="Arial"/>
          <w:sz w:val="21"/>
          <w:szCs w:val="21"/>
        </w:rPr>
        <w:t>”</w:t>
      </w:r>
      <w:r w:rsidRPr="000A1B8E">
        <w:rPr>
          <w:rStyle w:val="Refdenotaalpie"/>
          <w:rFonts w:ascii="Verdana" w:hAnsi="Verdana" w:cs="Arial"/>
          <w:sz w:val="21"/>
          <w:szCs w:val="21"/>
        </w:rPr>
        <w:footnoteReference w:id="16"/>
      </w:r>
      <w:r w:rsidRPr="000A1B8E">
        <w:rPr>
          <w:rFonts w:ascii="Verdana" w:hAnsi="Verdana" w:cs="Arial"/>
          <w:sz w:val="21"/>
          <w:szCs w:val="21"/>
        </w:rPr>
        <w:t xml:space="preserve">. </w:t>
      </w:r>
      <w:r w:rsidRPr="00A20276">
        <w:rPr>
          <w:rFonts w:ascii="Verdana" w:hAnsi="Verdana" w:cs="Arial"/>
        </w:rPr>
        <w:t>[Énfasis fuera del texto]</w:t>
      </w:r>
    </w:p>
    <w:p w14:paraId="0CE73EE1" w14:textId="77777777" w:rsidR="00123A1C" w:rsidRPr="000A1B8E" w:rsidRDefault="00123A1C" w:rsidP="00123A1C">
      <w:pPr>
        <w:pStyle w:val="Textoindependiente"/>
        <w:spacing w:after="0"/>
      </w:pPr>
    </w:p>
    <w:p w14:paraId="1E64029A" w14:textId="77777777" w:rsidR="00123A1C" w:rsidRPr="003A38A3" w:rsidRDefault="00123A1C" w:rsidP="00123A1C">
      <w:pPr>
        <w:spacing w:after="0" w:line="276" w:lineRule="auto"/>
        <w:ind w:firstLine="708"/>
        <w:jc w:val="both"/>
        <w:rPr>
          <w:rFonts w:ascii="Verdana" w:hAnsi="Verdana" w:cs="Arial"/>
          <w:bCs/>
          <w:color w:val="000000" w:themeColor="text1"/>
          <w:lang w:val="es-ES_tradnl"/>
        </w:rPr>
      </w:pPr>
      <w:r w:rsidRPr="003A38A3">
        <w:rPr>
          <w:rFonts w:ascii="Verdana" w:hAnsi="Verdana" w:cs="Arial"/>
          <w:bCs/>
          <w:color w:val="000000" w:themeColor="text1"/>
          <w:lang w:val="es-ES_tradnl"/>
        </w:rPr>
        <w:t>Dicho lo anterior, es un deber jurídico de la entidad estatal adecuar los diseños y estudios, con el fin de procurar que la ejecución de la obra cumpla con las finalidades previstas. En este sentido, se corrobora que el alcance del objeto del contrato de obra pública permitiría que una de las obligaciones del contratista sea ajustar, revisar y/o modificar los estudios con que cuenta la entidad pública contratante. De hecho, esta situación se prevé en los documentos tipo para la licitación de obra pública de infraestructura de transporte</w:t>
      </w:r>
      <w:r w:rsidRPr="003A38A3">
        <w:rPr>
          <w:rFonts w:ascii="Verdana" w:hAnsi="Verdana" w:cs="Arial"/>
          <w:bCs/>
          <w:color w:val="000000" w:themeColor="text1"/>
          <w:vertAlign w:val="superscript"/>
          <w:lang w:val="es-ES_tradnl"/>
        </w:rPr>
        <w:footnoteReference w:id="17"/>
      </w:r>
      <w:r w:rsidRPr="003A38A3">
        <w:rPr>
          <w:rFonts w:ascii="Verdana" w:hAnsi="Verdana" w:cs="Arial"/>
          <w:bCs/>
          <w:color w:val="000000" w:themeColor="text1"/>
          <w:lang w:val="es-ES_tradnl"/>
        </w:rPr>
        <w:t>. En el mismo sentido, la doctrina considera lo siguiente:</w:t>
      </w:r>
    </w:p>
    <w:p w14:paraId="7DC47EA5" w14:textId="77777777" w:rsidR="00123A1C" w:rsidRPr="000A1B8E" w:rsidRDefault="00123A1C" w:rsidP="00123A1C">
      <w:pPr>
        <w:pStyle w:val="Textoindependiente"/>
        <w:spacing w:after="0"/>
        <w:ind w:firstLine="709"/>
        <w:jc w:val="both"/>
      </w:pPr>
    </w:p>
    <w:p w14:paraId="763B82B0" w14:textId="77777777" w:rsidR="00123A1C" w:rsidRPr="000A1B8E" w:rsidRDefault="00123A1C" w:rsidP="00123A1C">
      <w:pPr>
        <w:spacing w:after="0" w:line="240" w:lineRule="auto"/>
        <w:ind w:left="709" w:right="709"/>
        <w:jc w:val="both"/>
        <w:rPr>
          <w:rFonts w:ascii="Verdana" w:hAnsi="Verdana" w:cs="Arial"/>
          <w:sz w:val="21"/>
        </w:rPr>
      </w:pPr>
      <w:r>
        <w:rPr>
          <w:rFonts w:ascii="Verdana" w:hAnsi="Verdana" w:cs="Arial"/>
          <w:sz w:val="21"/>
        </w:rPr>
        <w:t>“</w:t>
      </w:r>
      <w:r w:rsidRPr="000A1B8E">
        <w:rPr>
          <w:rFonts w:ascii="Verdana" w:hAnsi="Verdana" w:cs="Arial"/>
          <w:sz w:val="21"/>
        </w:rPr>
        <w:t xml:space="preserve">A menos de que el contrato se ordene, el constructor no está obligado a revisar ni a completar los diseños constitutivos del proyecto, porque el diseño y la construcción son actividades especializadas. </w:t>
      </w:r>
      <w:r w:rsidRPr="000A1B8E">
        <w:rPr>
          <w:rFonts w:ascii="Verdana" w:hAnsi="Verdana" w:cs="Arial"/>
          <w:i/>
          <w:sz w:val="21"/>
        </w:rPr>
        <w:t xml:space="preserve">Pero en ocasiones el constructor es llamado a verificar y al complementar los diseños, e incluso adoptarlos como suyos. Entonces el dueño le traslada verdaderas obligaciones profesionales tocantes con la concepción misma del proyecto cuya ejecución le ha confiado </w:t>
      </w:r>
      <w:r w:rsidRPr="000A1B8E">
        <w:rPr>
          <w:rFonts w:ascii="Verdana" w:hAnsi="Verdana" w:cs="Arial"/>
          <w:sz w:val="21"/>
        </w:rPr>
        <w:t>[…]</w:t>
      </w:r>
      <w:r>
        <w:rPr>
          <w:rFonts w:ascii="Verdana" w:hAnsi="Verdana" w:cs="Arial"/>
          <w:sz w:val="21"/>
        </w:rPr>
        <w:t>”</w:t>
      </w:r>
      <w:r w:rsidRPr="000A1B8E">
        <w:rPr>
          <w:rStyle w:val="Refdenotaalpie"/>
          <w:rFonts w:ascii="Verdana" w:hAnsi="Verdana" w:cs="Arial"/>
          <w:sz w:val="21"/>
        </w:rPr>
        <w:footnoteReference w:id="18"/>
      </w:r>
      <w:r w:rsidRPr="000A1B8E">
        <w:rPr>
          <w:rFonts w:ascii="Verdana" w:hAnsi="Verdana" w:cs="Arial"/>
          <w:sz w:val="21"/>
        </w:rPr>
        <w:t xml:space="preserve">. </w:t>
      </w:r>
      <w:r w:rsidRPr="00A20276">
        <w:rPr>
          <w:rFonts w:ascii="Verdana" w:hAnsi="Verdana" w:cs="Arial"/>
        </w:rPr>
        <w:t>[Énfasis fuera del texto]</w:t>
      </w:r>
    </w:p>
    <w:p w14:paraId="641198CA" w14:textId="77777777" w:rsidR="00123A1C" w:rsidRPr="000A1B8E" w:rsidRDefault="00123A1C" w:rsidP="00123A1C">
      <w:pPr>
        <w:tabs>
          <w:tab w:val="left" w:pos="426"/>
        </w:tabs>
        <w:spacing w:after="0" w:line="276" w:lineRule="auto"/>
        <w:jc w:val="both"/>
        <w:rPr>
          <w:rFonts w:ascii="Verdana" w:hAnsi="Verdana" w:cs="Arial"/>
          <w:b/>
          <w:bCs/>
        </w:rPr>
      </w:pPr>
    </w:p>
    <w:p w14:paraId="121F6B28" w14:textId="77777777" w:rsidR="00123A1C" w:rsidRPr="000A1B8E" w:rsidRDefault="00123A1C" w:rsidP="00123A1C">
      <w:pPr>
        <w:spacing w:after="120" w:line="276" w:lineRule="auto"/>
        <w:ind w:firstLine="707"/>
        <w:jc w:val="both"/>
        <w:rPr>
          <w:rFonts w:ascii="Verdana" w:hAnsi="Verdana"/>
        </w:rPr>
      </w:pPr>
      <w:r w:rsidRPr="000A1B8E">
        <w:rPr>
          <w:rFonts w:ascii="Verdana" w:hAnsi="Verdana" w:cs="Arial"/>
          <w:bCs/>
          <w:color w:val="000000" w:themeColor="text1"/>
          <w:lang w:val="es-ES_tradnl"/>
        </w:rPr>
        <w:t xml:space="preserve">Otra de las opciones jurídicas previstas en nuestro ordenamiento jurídico para la elaboración de los estudios y diseños se encuentra en la tipología contractual denominada </w:t>
      </w:r>
      <w:r>
        <w:rPr>
          <w:rFonts w:ascii="Verdana" w:hAnsi="Verdana" w:cs="Arial"/>
          <w:bCs/>
          <w:color w:val="000000" w:themeColor="text1"/>
          <w:lang w:val="es-ES_tradnl"/>
        </w:rPr>
        <w:t>“</w:t>
      </w:r>
      <w:r w:rsidRPr="000A1B8E">
        <w:rPr>
          <w:rFonts w:ascii="Verdana" w:hAnsi="Verdana" w:cs="Arial"/>
          <w:bCs/>
          <w:color w:val="000000" w:themeColor="text1"/>
          <w:lang w:val="es-ES_tradnl"/>
        </w:rPr>
        <w:t>llave en mano</w:t>
      </w:r>
      <w:r>
        <w:rPr>
          <w:rFonts w:ascii="Verdana" w:hAnsi="Verdana" w:cs="Arial"/>
          <w:bCs/>
          <w:color w:val="000000" w:themeColor="text1"/>
          <w:lang w:val="es-ES_tradnl"/>
        </w:rPr>
        <w:t>”</w:t>
      </w:r>
      <w:r w:rsidRPr="000A1B8E">
        <w:rPr>
          <w:rFonts w:ascii="Verdana" w:hAnsi="Verdana" w:cs="Arial"/>
          <w:bCs/>
          <w:color w:val="000000" w:themeColor="text1"/>
          <w:lang w:val="es-ES_tradnl"/>
        </w:rPr>
        <w:t xml:space="preserve">. En efecto, según la Guía de obra pública, en esta tipología contractual </w:t>
      </w:r>
      <w:r>
        <w:rPr>
          <w:rFonts w:ascii="Verdana" w:hAnsi="Verdana" w:cs="Arial"/>
          <w:bCs/>
          <w:color w:val="000000" w:themeColor="text1"/>
          <w:lang w:val="es-ES_tradnl"/>
        </w:rPr>
        <w:t>“</w:t>
      </w:r>
      <w:bookmarkStart w:id="15" w:name="_Hlk69292474"/>
      <w:r w:rsidRPr="000A1B8E">
        <w:rPr>
          <w:rFonts w:ascii="Verdana" w:hAnsi="Verdana" w:cs="Arial"/>
          <w:bCs/>
          <w:color w:val="000000" w:themeColor="text1"/>
          <w:lang w:val="es-ES_tradnl"/>
        </w:rPr>
        <w:t>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bookmarkEnd w:id="15"/>
      <w:r>
        <w:rPr>
          <w:rFonts w:ascii="Verdana" w:eastAsia="Calibri" w:hAnsi="Verdana" w:cs="Arial"/>
          <w:color w:val="000000" w:themeColor="text1"/>
          <w:lang w:val="es-ES"/>
        </w:rPr>
        <w:t>”</w:t>
      </w:r>
      <w:r w:rsidRPr="000A1B8E">
        <w:rPr>
          <w:rStyle w:val="Refdenotaalpie"/>
          <w:rFonts w:ascii="Verdana" w:eastAsia="Calibri" w:hAnsi="Verdana" w:cs="Arial"/>
          <w:color w:val="000000" w:themeColor="text1"/>
          <w:lang w:val="es-ES"/>
        </w:rPr>
        <w:footnoteReference w:id="19"/>
      </w:r>
      <w:r w:rsidRPr="000A1B8E">
        <w:rPr>
          <w:rFonts w:ascii="Verdana" w:eastAsia="Calibri" w:hAnsi="Verdana" w:cs="Arial"/>
          <w:color w:val="000000" w:themeColor="text1"/>
          <w:lang w:val="es-ES"/>
        </w:rPr>
        <w:t>.</w:t>
      </w:r>
      <w:r w:rsidRPr="000A1B8E">
        <w:rPr>
          <w:rFonts w:ascii="Verdana" w:hAnsi="Verdana"/>
        </w:rPr>
        <w:t xml:space="preserve"> </w:t>
      </w:r>
      <w:r w:rsidRPr="000A1B8E">
        <w:rPr>
          <w:rFonts w:ascii="Verdana" w:hAnsi="Verdana" w:cs="Arial"/>
        </w:rPr>
        <w:t xml:space="preserve">De este modo, resulta claro que el contrato </w:t>
      </w:r>
      <w:r>
        <w:rPr>
          <w:rFonts w:ascii="Verdana" w:hAnsi="Verdana" w:cs="Arial"/>
        </w:rPr>
        <w:t>“</w:t>
      </w:r>
      <w:r w:rsidRPr="000A1B8E">
        <w:rPr>
          <w:rFonts w:ascii="Verdana" w:hAnsi="Verdana" w:cs="Arial"/>
        </w:rPr>
        <w:t>llave en mano</w:t>
      </w:r>
      <w:r>
        <w:rPr>
          <w:rFonts w:ascii="Verdana" w:hAnsi="Verdana" w:cs="Arial"/>
        </w:rPr>
        <w:t>”</w:t>
      </w:r>
      <w:r w:rsidRPr="000A1B8E">
        <w:rPr>
          <w:rFonts w:ascii="Verdana" w:hAnsi="Verdana" w:cs="Arial"/>
        </w:rPr>
        <w:t xml:space="preserve"> es un sistema de contratación para construcción de obras, en el que el contratista se compromete a ejecutar la totalidad de prestaciones, incluyendo estudios previos, diseños, suministro de equipos, ejecución de la obra en condiciones tales que, al finalizar la labor, permita a la entidad contratante la puesta en marcha de obra en el momento en que se efectúe su</w:t>
      </w:r>
      <w:r w:rsidRPr="000A1B8E">
        <w:rPr>
          <w:rFonts w:ascii="Verdana" w:hAnsi="Verdana" w:cs="Arial"/>
          <w:spacing w:val="-16"/>
        </w:rPr>
        <w:t xml:space="preserve"> </w:t>
      </w:r>
      <w:r w:rsidRPr="000A1B8E">
        <w:rPr>
          <w:rFonts w:ascii="Verdana" w:hAnsi="Verdana" w:cs="Arial"/>
        </w:rPr>
        <w:t>entrega.</w:t>
      </w:r>
    </w:p>
    <w:p w14:paraId="5A5E94FA" w14:textId="77777777" w:rsidR="00123A1C" w:rsidRPr="00AD75A7" w:rsidRDefault="00123A1C" w:rsidP="00123A1C">
      <w:pPr>
        <w:spacing w:after="120" w:line="276" w:lineRule="auto"/>
        <w:ind w:firstLine="707"/>
        <w:jc w:val="both"/>
        <w:rPr>
          <w:rFonts w:ascii="Verdana" w:hAnsi="Verdana" w:cs="Arial"/>
          <w:bCs/>
          <w:color w:val="000000" w:themeColor="text1"/>
          <w:lang w:val="es-ES_tradnl"/>
        </w:rPr>
      </w:pPr>
      <w:r w:rsidRPr="00AD75A7">
        <w:rPr>
          <w:rFonts w:ascii="Verdana" w:hAnsi="Verdana" w:cs="Arial"/>
          <w:bCs/>
          <w:color w:val="000000" w:themeColor="text1"/>
          <w:lang w:val="es-ES_tradnl"/>
        </w:rPr>
        <w:t>Por lo tanto, el contrato de obra de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técnicas aplicables, para operar en condiciones de eficiencia y seguridad […]”</w:t>
      </w:r>
      <w:r w:rsidRPr="00AD75A7">
        <w:rPr>
          <w:rFonts w:ascii="Verdana" w:hAnsi="Verdana" w:cs="Arial"/>
          <w:bCs/>
          <w:color w:val="000000" w:themeColor="text1"/>
          <w:vertAlign w:val="superscript"/>
          <w:lang w:val="es-ES_tradnl"/>
        </w:rPr>
        <w:footnoteReference w:id="20"/>
      </w:r>
      <w:r w:rsidRPr="00AD75A7">
        <w:rPr>
          <w:rFonts w:ascii="Verdana" w:hAnsi="Verdana" w:cs="Arial"/>
          <w:bCs/>
          <w:color w:val="000000" w:themeColor="text1"/>
          <w:lang w:val="es-ES_tradnl"/>
        </w:rPr>
        <w:t xml:space="preserve">.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w:t>
      </w:r>
      <w:r w:rsidRPr="00AD75A7">
        <w:rPr>
          <w:rFonts w:ascii="Verdana" w:hAnsi="Verdana" w:cs="Arial"/>
          <w:bCs/>
          <w:color w:val="000000" w:themeColor="text1"/>
          <w:lang w:val="es-ES_tradnl"/>
        </w:rPr>
        <w:lastRenderedPageBreak/>
        <w:t>comitente y la puesta en marcha comercial […]”</w:t>
      </w:r>
      <w:r w:rsidRPr="00AD75A7">
        <w:rPr>
          <w:rFonts w:ascii="Verdana" w:hAnsi="Verdana" w:cs="Arial"/>
          <w:bCs/>
          <w:color w:val="000000" w:themeColor="text1"/>
          <w:vertAlign w:val="superscript"/>
          <w:lang w:val="es-ES_tradnl"/>
        </w:rPr>
        <w:footnoteReference w:id="21"/>
      </w:r>
      <w:r w:rsidRPr="00AD75A7">
        <w:rPr>
          <w:rFonts w:ascii="Verdana" w:hAnsi="Verdana" w:cs="Arial"/>
          <w:bCs/>
          <w:color w:val="000000" w:themeColor="text1"/>
          <w:lang w:val="es-ES_tradnl"/>
        </w:rPr>
        <w:t xml:space="preserve">. 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de sobrecostos. </w:t>
      </w:r>
    </w:p>
    <w:p w14:paraId="7986248A" w14:textId="77777777" w:rsidR="00123A1C" w:rsidRDefault="00123A1C" w:rsidP="00123A1C">
      <w:pPr>
        <w:spacing w:after="120" w:line="276" w:lineRule="auto"/>
        <w:ind w:firstLine="707"/>
        <w:jc w:val="both"/>
        <w:rPr>
          <w:rFonts w:ascii="Verdana" w:hAnsi="Verdana" w:cs="Arial"/>
          <w:bCs/>
          <w:color w:val="000000" w:themeColor="text1"/>
          <w:lang w:val="es-ES_tradnl"/>
        </w:rPr>
      </w:pPr>
      <w:r w:rsidRPr="00AD75A7">
        <w:rPr>
          <w:rFonts w:ascii="Verdana" w:hAnsi="Verdana" w:cs="Arial"/>
          <w:bCs/>
          <w:color w:val="000000" w:themeColor="text1"/>
          <w:lang w:val="es-ES_tradnl"/>
        </w:rPr>
        <w:t>Conforme al alcance normativo del objeto del contrato de obra, en dicha tipología contractual es posible establecer cláusulas para realización de los diseños. De lo anterior se desprende que la entidad pública contratante, en ejercicio de su discrecionalidad, también puede contratar los diseños mediante un contrato de consultoría que sea resultado de un concurso de méritos, pues dicha actividad se enmarca en el alcance del artículo 32.2 de la Ley 80 de 1993. De esta manera, “[…] si la necesidad […] es ‘diseñar y construir’, la misma se satisface contratando ambas cosas. Si por el contrario es solo ‘diseñar’, se entiende contratado únicamente el diseño. Por lo dicho, los ‘diseños’ que se requieren previamente son los proporcionales a la necesidad a satisfacer”</w:t>
      </w:r>
      <w:r w:rsidRPr="00AD75A7">
        <w:rPr>
          <w:rFonts w:ascii="Verdana" w:hAnsi="Verdana" w:cs="Arial"/>
          <w:bCs/>
          <w:color w:val="000000" w:themeColor="text1"/>
          <w:vertAlign w:val="superscript"/>
          <w:lang w:val="es-ES_tradnl"/>
        </w:rPr>
        <w:footnoteReference w:id="22"/>
      </w:r>
      <w:r w:rsidRPr="00AD75A7">
        <w:rPr>
          <w:rFonts w:ascii="Verdana" w:hAnsi="Verdana" w:cs="Arial"/>
          <w:bCs/>
          <w:color w:val="000000" w:themeColor="text1"/>
          <w:lang w:val="es-ES_tradnl"/>
        </w:rPr>
        <w:t xml:space="preserve">. </w:t>
      </w:r>
    </w:p>
    <w:p w14:paraId="2A34CDA7" w14:textId="77777777" w:rsidR="00123A1C" w:rsidRPr="006B2007" w:rsidRDefault="00123A1C" w:rsidP="00123A1C">
      <w:pPr>
        <w:spacing w:after="120" w:line="276" w:lineRule="auto"/>
        <w:ind w:firstLine="707"/>
        <w:jc w:val="both"/>
        <w:rPr>
          <w:rFonts w:ascii="Verdana" w:hAnsi="Verdana" w:cs="Arial"/>
          <w:color w:val="000000" w:themeColor="text1"/>
        </w:rPr>
      </w:pPr>
      <w:r w:rsidRPr="006B2007">
        <w:rPr>
          <w:rFonts w:ascii="Verdana" w:hAnsi="Verdana" w:cs="Arial"/>
          <w:color w:val="000000" w:themeColor="text1"/>
        </w:rPr>
        <w:t xml:space="preserve">Sin perjuicio de lo anterior, debe precisarse que la posibilidad jurídica de modificar los estudios y diseños de una obra pública, así como de ejecutar obras adicionales derivadas de tales ajustes, no comporta </w:t>
      </w:r>
      <w:r w:rsidRPr="006B2007">
        <w:rPr>
          <w:rFonts w:ascii="Verdana" w:hAnsi="Verdana" w:cs="Arial"/>
          <w:i/>
          <w:iCs/>
          <w:color w:val="000000" w:themeColor="text1"/>
        </w:rPr>
        <w:t>per se</w:t>
      </w:r>
      <w:r w:rsidRPr="006B2007">
        <w:rPr>
          <w:rFonts w:ascii="Verdana" w:hAnsi="Verdana" w:cs="Arial"/>
          <w:color w:val="000000" w:themeColor="text1"/>
        </w:rPr>
        <w:t xml:space="preserve"> la obligación de celebrar una adición contractual. En efecto, aun cuando las modificaciones técnicas cuenten con el respaldo del supervisor y/o del interventor del contrato, dichas actuaciones no sustituyen la competencia decisoria que el ordenamiento jurídico atribuye al ordenador del gasto, quien conserva la responsabilidad indelegable de evaluar la procedencia de la adición desde una perspectiva integral.</w:t>
      </w:r>
    </w:p>
    <w:p w14:paraId="46C23B89" w14:textId="77777777" w:rsidR="00123A1C" w:rsidRPr="006B2007" w:rsidRDefault="00123A1C" w:rsidP="00123A1C">
      <w:pPr>
        <w:spacing w:after="120" w:line="276" w:lineRule="auto"/>
        <w:ind w:firstLine="707"/>
        <w:jc w:val="both"/>
        <w:rPr>
          <w:rFonts w:ascii="Verdana" w:hAnsi="Verdana" w:cs="Arial"/>
          <w:color w:val="000000" w:themeColor="text1"/>
        </w:rPr>
      </w:pPr>
      <w:r w:rsidRPr="006B2007">
        <w:rPr>
          <w:rFonts w:ascii="Verdana" w:hAnsi="Verdana" w:cs="Arial"/>
          <w:color w:val="000000" w:themeColor="text1"/>
        </w:rPr>
        <w:t>En ese sentido, los conceptos emitidos por la supervisión o la interventoría constituyen insumos técnicos cualificados para la toma de decisiones, pero no tienen carácter vinculante, en la medida en que la decisión de adicionar un contrato estatal implica la valoración concurrente de elementos jurídicos, técnicos, presupuestales y de planeación, así como la verificación del cumplimiento de los principios que rigen la contratación estatal.</w:t>
      </w:r>
    </w:p>
    <w:p w14:paraId="2472D5A1" w14:textId="77777777" w:rsidR="00123A1C" w:rsidRDefault="00123A1C" w:rsidP="00123A1C">
      <w:pPr>
        <w:spacing w:after="0" w:line="276" w:lineRule="auto"/>
        <w:ind w:firstLine="707"/>
        <w:jc w:val="both"/>
        <w:rPr>
          <w:rFonts w:ascii="Verdana" w:hAnsi="Verdana" w:cs="Arial"/>
          <w:bCs/>
          <w:color w:val="000000" w:themeColor="text1"/>
        </w:rPr>
      </w:pPr>
      <w:r w:rsidRPr="006B2007">
        <w:rPr>
          <w:rFonts w:ascii="Verdana" w:hAnsi="Verdana" w:cs="Arial"/>
          <w:color w:val="000000" w:themeColor="text1"/>
        </w:rPr>
        <w:t xml:space="preserve">Por consiguiente, el ordenador del gasto no se encuentra jurídicamente obligado a acceder de manera automática a las solicitudes de adición contractual, aun cuando estas se fundamenten en ajustes a los diseños o en la </w:t>
      </w:r>
      <w:r w:rsidRPr="006B2007">
        <w:rPr>
          <w:rFonts w:ascii="Verdana" w:hAnsi="Verdana" w:cs="Arial"/>
          <w:color w:val="000000" w:themeColor="text1"/>
        </w:rPr>
        <w:lastRenderedPageBreak/>
        <w:t>necesidad técnica de ejecutar obras adicionales. Su deber consiste en adoptar una decisión motivada, fundada en la normatividad vigente y en los fines de la contratación estatal, respondiendo por la decisión que adopte, ya sea de aprobación o de negativa,</w:t>
      </w:r>
      <w:r w:rsidRPr="006B2007">
        <w:rPr>
          <w:rFonts w:ascii="Verdana" w:hAnsi="Verdana" w:cs="Arial"/>
          <w:bCs/>
          <w:color w:val="000000" w:themeColor="text1"/>
        </w:rPr>
        <w:t xml:space="preserve"> sin que dicha responsabilidad pueda trasladarse a quienes emiten conceptos técnicos dentro del contrato.</w:t>
      </w:r>
    </w:p>
    <w:p w14:paraId="647A59AD" w14:textId="77777777" w:rsidR="00123A1C" w:rsidRPr="000A1B8E" w:rsidRDefault="00123A1C" w:rsidP="00123A1C">
      <w:pPr>
        <w:spacing w:after="0" w:line="276" w:lineRule="auto"/>
        <w:ind w:firstLine="707"/>
        <w:jc w:val="both"/>
        <w:rPr>
          <w:rFonts w:ascii="Verdana" w:eastAsia="Calibri" w:hAnsi="Verdana" w:cs="Arial"/>
        </w:rPr>
      </w:pPr>
    </w:p>
    <w:p w14:paraId="44CF3A08" w14:textId="77777777" w:rsidR="00123A1C" w:rsidRPr="008415A2" w:rsidRDefault="00123A1C" w:rsidP="00123A1C">
      <w:pPr>
        <w:spacing w:after="120" w:line="276" w:lineRule="auto"/>
        <w:jc w:val="both"/>
        <w:rPr>
          <w:rFonts w:ascii="Verdana" w:hAnsi="Verdana"/>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F22C3B" w14:textId="77777777" w:rsidR="00123A1C" w:rsidRPr="00185EE9" w:rsidRDefault="00123A1C" w:rsidP="00123A1C">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197BFC7" w14:textId="77777777" w:rsidR="00123A1C" w:rsidRPr="002A1D7C" w:rsidRDefault="00123A1C" w:rsidP="00123A1C">
      <w:pPr>
        <w:spacing w:after="120" w:line="276" w:lineRule="auto"/>
        <w:ind w:firstLine="708"/>
        <w:jc w:val="both"/>
        <w:rPr>
          <w:rFonts w:ascii="Verdana" w:hAnsi="Verdana" w:cs="Arial"/>
        </w:rPr>
      </w:pPr>
    </w:p>
    <w:bookmarkEnd w:id="9"/>
    <w:p w14:paraId="45A52828" w14:textId="77777777" w:rsidR="00123A1C" w:rsidRPr="0097247C" w:rsidRDefault="00123A1C" w:rsidP="00123A1C">
      <w:pPr>
        <w:widowControl w:val="0"/>
        <w:autoSpaceDE w:val="0"/>
        <w:autoSpaceDN w:val="0"/>
        <w:spacing w:after="0" w:line="276" w:lineRule="auto"/>
        <w:jc w:val="both"/>
        <w:rPr>
          <w:rFonts w:ascii="Verdana" w:hAnsi="Verdana" w:cs="Arial"/>
          <w:lang w:val="es-MX"/>
        </w:rPr>
      </w:pPr>
    </w:p>
    <w:p w14:paraId="6C0271D4" w14:textId="77777777" w:rsidR="00123A1C" w:rsidRDefault="00123A1C" w:rsidP="00123A1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4D5B00D" w14:textId="77777777" w:rsidR="00123A1C" w:rsidRDefault="00123A1C" w:rsidP="00123A1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23A1C" w14:paraId="6BDF5CB7"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04CFBB11" w14:textId="77777777" w:rsidR="00123A1C" w:rsidRPr="00AD4F6A" w:rsidRDefault="00123A1C" w:rsidP="00123A1C">
            <w:pPr>
              <w:numPr>
                <w:ilvl w:val="0"/>
                <w:numId w:val="4"/>
              </w:numPr>
              <w:ind w:left="318" w:hanging="284"/>
              <w:contextualSpacing/>
              <w:jc w:val="both"/>
              <w:rPr>
                <w:rFonts w:ascii="Verdana" w:hAnsi="Verdana" w:cs="Arial"/>
                <w:lang w:val="es-MX"/>
              </w:rPr>
            </w:pPr>
            <w:r w:rsidRPr="00AD4F6A">
              <w:rPr>
                <w:rFonts w:ascii="Verdana" w:hAnsi="Verdana" w:cs="Arial"/>
                <w:lang w:val="es-MX"/>
              </w:rPr>
              <w:t>Ley 80 de 1993. Artículo</w:t>
            </w:r>
            <w:r>
              <w:rPr>
                <w:rFonts w:ascii="Verdana" w:hAnsi="Verdana" w:cs="Arial"/>
                <w:lang w:val="es-MX"/>
              </w:rPr>
              <w:t>s</w:t>
            </w:r>
            <w:r w:rsidRPr="00AD4F6A">
              <w:rPr>
                <w:rFonts w:ascii="Verdana" w:hAnsi="Verdana" w:cs="Arial"/>
                <w:lang w:val="es-MX"/>
              </w:rPr>
              <w:t xml:space="preserve"> </w:t>
            </w:r>
            <w:r>
              <w:rPr>
                <w:rFonts w:ascii="Verdana" w:hAnsi="Verdana" w:cs="Arial"/>
              </w:rPr>
              <w:t>2, 25, 26, 30 y 32.</w:t>
            </w:r>
          </w:p>
          <w:p w14:paraId="30483492" w14:textId="77777777" w:rsidR="00123A1C" w:rsidRPr="00D85E3B" w:rsidRDefault="00123A1C" w:rsidP="00123A1C">
            <w:pPr>
              <w:numPr>
                <w:ilvl w:val="0"/>
                <w:numId w:val="4"/>
              </w:numPr>
              <w:ind w:left="318" w:hanging="284"/>
              <w:contextualSpacing/>
              <w:jc w:val="both"/>
              <w:rPr>
                <w:rFonts w:ascii="Verdana" w:hAnsi="Verdana" w:cs="Arial"/>
                <w:lang w:val="es-MX"/>
              </w:rPr>
            </w:pPr>
            <w:r w:rsidRPr="00AD4F6A">
              <w:rPr>
                <w:rFonts w:ascii="Verdana" w:hAnsi="Verdana"/>
              </w:rPr>
              <w:t>Ley 610 de 2000. Artículo 6</w:t>
            </w:r>
          </w:p>
          <w:p w14:paraId="5D15A41F" w14:textId="77777777" w:rsidR="00123A1C" w:rsidRPr="00AD4F6A" w:rsidRDefault="00123A1C" w:rsidP="00123A1C">
            <w:pPr>
              <w:numPr>
                <w:ilvl w:val="0"/>
                <w:numId w:val="4"/>
              </w:numPr>
              <w:ind w:left="318" w:hanging="284"/>
              <w:contextualSpacing/>
              <w:jc w:val="both"/>
              <w:rPr>
                <w:rFonts w:ascii="Verdana" w:hAnsi="Verdana" w:cs="Arial"/>
                <w:lang w:val="es-MX"/>
              </w:rPr>
            </w:pPr>
            <w:r>
              <w:rPr>
                <w:rFonts w:ascii="Verdana" w:hAnsi="Verdana" w:cs="Arial"/>
              </w:rPr>
              <w:t>Código Civil, artículos 2053, 2060 y 2061.</w:t>
            </w:r>
          </w:p>
          <w:p w14:paraId="2246265C" w14:textId="77777777" w:rsidR="00123A1C" w:rsidRDefault="00123A1C" w:rsidP="00123A1C">
            <w:pPr>
              <w:numPr>
                <w:ilvl w:val="0"/>
                <w:numId w:val="4"/>
              </w:numPr>
              <w:ind w:left="318" w:hanging="284"/>
              <w:contextualSpacing/>
              <w:jc w:val="both"/>
              <w:rPr>
                <w:rFonts w:ascii="Verdana" w:hAnsi="Verdana" w:cs="Arial"/>
                <w:lang w:val="es-MX"/>
              </w:rPr>
            </w:pPr>
            <w:r w:rsidRPr="00AD4F6A">
              <w:rPr>
                <w:rFonts w:ascii="Verdana" w:hAnsi="Verdana" w:cs="Arial"/>
                <w:lang w:val="es-MX"/>
              </w:rPr>
              <w:t>Decreto 1082 de 2015. Artículos 2.2.1.1.2.1.1. y 2.2.1.1.1.6.1.</w:t>
            </w:r>
          </w:p>
          <w:p w14:paraId="783A5CE1" w14:textId="77777777" w:rsidR="00123A1C" w:rsidRPr="00FB1CB0" w:rsidRDefault="00123A1C" w:rsidP="00123A1C">
            <w:pPr>
              <w:numPr>
                <w:ilvl w:val="0"/>
                <w:numId w:val="4"/>
              </w:numPr>
              <w:ind w:left="318" w:hanging="284"/>
              <w:contextualSpacing/>
              <w:jc w:val="both"/>
              <w:rPr>
                <w:rFonts w:ascii="Verdana" w:hAnsi="Verdana" w:cs="Arial"/>
                <w:lang w:val="es-MX"/>
              </w:rPr>
            </w:pPr>
            <w:r w:rsidRPr="00FB1CB0">
              <w:rPr>
                <w:rFonts w:ascii="Verdana" w:hAnsi="Verdana" w:cs="Arial"/>
                <w:lang w:val="es-MX"/>
              </w:rPr>
              <w:t>Ley 1862 de 2013, artículo 12.</w:t>
            </w:r>
          </w:p>
          <w:p w14:paraId="720A0C30" w14:textId="77777777" w:rsidR="00123A1C" w:rsidRPr="00AD4F6A" w:rsidRDefault="00123A1C" w:rsidP="00123A1C">
            <w:pPr>
              <w:numPr>
                <w:ilvl w:val="0"/>
                <w:numId w:val="4"/>
              </w:numPr>
              <w:ind w:left="318" w:hanging="284"/>
              <w:contextualSpacing/>
              <w:jc w:val="both"/>
              <w:rPr>
                <w:rFonts w:ascii="Verdana" w:hAnsi="Verdana" w:cs="Arial"/>
                <w:lang w:val="es-MX"/>
              </w:rPr>
            </w:pPr>
            <w:r w:rsidRPr="00AD4F6A">
              <w:rPr>
                <w:rFonts w:ascii="Verdana" w:hAnsi="Verdana" w:cs="Arial"/>
                <w:lang w:val="es-MX"/>
              </w:rPr>
              <w:t xml:space="preserve">Consejo de Estado. Sección Tercera. Subsección B. Sentencia del 31 de agosto de 2011. </w:t>
            </w:r>
            <w:proofErr w:type="spellStart"/>
            <w:r w:rsidRPr="00AD4F6A">
              <w:rPr>
                <w:rFonts w:ascii="Verdana" w:hAnsi="Verdana" w:cs="Arial"/>
                <w:lang w:val="es-MX"/>
              </w:rPr>
              <w:t>Exp</w:t>
            </w:r>
            <w:proofErr w:type="spellEnd"/>
            <w:r w:rsidRPr="00AD4F6A">
              <w:rPr>
                <w:rFonts w:ascii="Verdana" w:hAnsi="Verdana" w:cs="Arial"/>
                <w:lang w:val="es-MX"/>
              </w:rPr>
              <w:t>. 18.080.</w:t>
            </w:r>
          </w:p>
          <w:p w14:paraId="06826F5F" w14:textId="77777777" w:rsidR="00123A1C" w:rsidRPr="00AD4F6A" w:rsidRDefault="00123A1C" w:rsidP="00123A1C">
            <w:pPr>
              <w:numPr>
                <w:ilvl w:val="0"/>
                <w:numId w:val="4"/>
              </w:numPr>
              <w:ind w:left="318" w:hanging="284"/>
              <w:contextualSpacing/>
              <w:jc w:val="both"/>
              <w:rPr>
                <w:rFonts w:ascii="Verdana" w:hAnsi="Verdana" w:cs="Arial"/>
                <w:lang w:val="es-MX"/>
              </w:rPr>
            </w:pPr>
            <w:r w:rsidRPr="00AD4F6A">
              <w:rPr>
                <w:rFonts w:ascii="Verdana" w:hAnsi="Verdana" w:cs="Arial"/>
                <w:lang w:val="es-MX"/>
              </w:rPr>
              <w:t>Consejo de Estado. Sección Tercera. Subsección B. Sentencia del 27 de abril de 2011. Rad. 18293. C.P. Ruth Stella Correa Palacio.</w:t>
            </w:r>
          </w:p>
          <w:p w14:paraId="54F75292" w14:textId="77777777" w:rsidR="00123A1C" w:rsidRPr="00AD4F6A" w:rsidRDefault="00123A1C" w:rsidP="00123A1C">
            <w:pPr>
              <w:numPr>
                <w:ilvl w:val="0"/>
                <w:numId w:val="4"/>
              </w:numPr>
              <w:ind w:left="318" w:hanging="284"/>
              <w:contextualSpacing/>
              <w:jc w:val="both"/>
              <w:rPr>
                <w:rFonts w:ascii="Verdana" w:hAnsi="Verdana" w:cs="Arial"/>
                <w:lang w:val="es-MX"/>
              </w:rPr>
            </w:pPr>
            <w:r w:rsidRPr="00AD4F6A">
              <w:rPr>
                <w:rFonts w:ascii="Verdana" w:hAnsi="Verdana" w:cs="Arial"/>
                <w:lang w:val="es-MX"/>
              </w:rPr>
              <w:lastRenderedPageBreak/>
              <w:t>Guía de Elaboración de Estudios de Sector:</w:t>
            </w:r>
          </w:p>
          <w:p w14:paraId="2F279AAF" w14:textId="77777777" w:rsidR="00123A1C" w:rsidRDefault="00123A1C" w:rsidP="00093697">
            <w:pPr>
              <w:widowControl w:val="0"/>
              <w:autoSpaceDE w:val="0"/>
              <w:autoSpaceDN w:val="0"/>
              <w:spacing w:line="276" w:lineRule="auto"/>
              <w:ind w:left="360"/>
              <w:jc w:val="both"/>
            </w:pPr>
            <w:hyperlink r:id="rId12" w:history="1">
              <w:r w:rsidRPr="00AD4F6A">
                <w:rPr>
                  <w:rFonts w:ascii="Verdana" w:hAnsi="Verdana" w:cs="Arial"/>
                  <w:color w:val="0563C1" w:themeColor="hyperlink"/>
                  <w:u w:val="single"/>
                  <w:lang w:val="es-MX"/>
                </w:rPr>
                <w:t>https://www.colombiacompra.gov.co/sites/cce_public/files/cce_documentos/cce-eicp-gi-18._gees_v.2_2.pdf</w:t>
              </w:r>
            </w:hyperlink>
          </w:p>
          <w:p w14:paraId="1D65F7C7" w14:textId="77777777" w:rsidR="00123A1C" w:rsidRPr="006A640E" w:rsidRDefault="00123A1C" w:rsidP="00093697">
            <w:pPr>
              <w:widowControl w:val="0"/>
              <w:autoSpaceDE w:val="0"/>
              <w:autoSpaceDN w:val="0"/>
              <w:spacing w:line="276" w:lineRule="auto"/>
              <w:ind w:left="360"/>
              <w:jc w:val="both"/>
              <w:rPr>
                <w:rFonts w:ascii="Verdana" w:eastAsia="Arial MT" w:hAnsi="Verdana" w:cs="Arial"/>
                <w:lang w:val="es-ES" w:eastAsia="es-ES" w:bidi="es-ES"/>
              </w:rPr>
            </w:pPr>
          </w:p>
        </w:tc>
      </w:tr>
    </w:tbl>
    <w:p w14:paraId="72F4C6FF" w14:textId="77777777" w:rsidR="00123A1C" w:rsidRDefault="00123A1C" w:rsidP="00123A1C">
      <w:pPr>
        <w:widowControl w:val="0"/>
        <w:autoSpaceDE w:val="0"/>
        <w:autoSpaceDN w:val="0"/>
        <w:spacing w:after="0" w:line="276" w:lineRule="auto"/>
        <w:jc w:val="both"/>
        <w:rPr>
          <w:rFonts w:ascii="Verdana" w:hAnsi="Verdana" w:cs="Arial"/>
        </w:rPr>
      </w:pPr>
    </w:p>
    <w:p w14:paraId="338321D8" w14:textId="77777777" w:rsidR="00123A1C" w:rsidRDefault="00123A1C" w:rsidP="00123A1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48B62306" w14:textId="77777777" w:rsidR="00123A1C" w:rsidRDefault="00123A1C" w:rsidP="00123A1C">
      <w:pPr>
        <w:widowControl w:val="0"/>
        <w:autoSpaceDE w:val="0"/>
        <w:autoSpaceDN w:val="0"/>
        <w:spacing w:after="0" w:line="276" w:lineRule="auto"/>
        <w:jc w:val="both"/>
        <w:rPr>
          <w:rFonts w:ascii="Verdana" w:hAnsi="Verdana" w:cs="Arial"/>
        </w:rPr>
      </w:pPr>
    </w:p>
    <w:p w14:paraId="0E6A88EE" w14:textId="77777777" w:rsidR="00123A1C" w:rsidRDefault="00123A1C" w:rsidP="00123A1C">
      <w:pPr>
        <w:widowControl w:val="0"/>
        <w:autoSpaceDE w:val="0"/>
        <w:autoSpaceDN w:val="0"/>
        <w:spacing w:after="0" w:line="276" w:lineRule="auto"/>
        <w:jc w:val="both"/>
        <w:rPr>
          <w:rFonts w:ascii="Verdana" w:hAnsi="Verdana"/>
        </w:rPr>
      </w:pPr>
      <w:r w:rsidRPr="00AD4F6A">
        <w:rPr>
          <w:rFonts w:ascii="Verdana" w:eastAsia="Aptos" w:hAnsi="Verdana" w:cs="Arial"/>
          <w:shd w:val="clear" w:color="auto" w:fill="FFFFFF"/>
          <w:lang w:val="es-ES"/>
        </w:rPr>
        <w:t>Sobre el deber de elaborar análisis del sector frente a procesos de contratación, se pronunció esta Subdirección en los conceptos 2202013000000037 del 7 de enero de 2020, C-223 del 29 de abril de 2020 y C-148 de 2021. Igualmente, se reiteran los Conceptos 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C-101 del 5 de marzo de 2025, C-154 del 18 de marzo de 2025, entre otros</w:t>
      </w:r>
      <w:r w:rsidRPr="00AD4F6A">
        <w:rPr>
          <w:rFonts w:ascii="Verdana" w:eastAsia="Calibri" w:hAnsi="Verdana" w:cs="Arial"/>
          <w:color w:val="000000" w:themeColor="text1"/>
          <w:lang w:val="es-ES_tradnl" w:eastAsia="es-ES_tradnl"/>
        </w:rPr>
        <w:t xml:space="preserve">. </w:t>
      </w:r>
      <w:r>
        <w:rPr>
          <w:rFonts w:ascii="Verdana" w:eastAsia="Calibri" w:hAnsi="Verdana" w:cs="Arial"/>
          <w:color w:val="000000" w:themeColor="text1"/>
          <w:lang w:val="es-ES_tradnl" w:eastAsia="es-ES_tradnl"/>
        </w:rPr>
        <w:t xml:space="preserve">Así mismo, </w:t>
      </w:r>
      <w:r>
        <w:rPr>
          <w:rFonts w:ascii="Verdana" w:hAnsi="Verdana" w:cs="Arial"/>
          <w:shd w:val="clear" w:color="auto" w:fill="FFFFFF"/>
        </w:rPr>
        <w:t>e</w:t>
      </w:r>
      <w:r w:rsidRPr="00326117">
        <w:rPr>
          <w:rFonts w:ascii="Verdana" w:hAnsi="Verdana" w:cs="Arial"/>
          <w:shd w:val="clear" w:color="auto" w:fill="FFFFFF"/>
        </w:rPr>
        <w:t xml:space="preserve">sta Subdirección se ha pronunciado sobre el objeto y las características del contrato de obra pública en los </w:t>
      </w:r>
      <w:r>
        <w:rPr>
          <w:rFonts w:ascii="Verdana" w:hAnsi="Verdana" w:cs="Arial"/>
          <w:shd w:val="clear" w:color="auto" w:fill="FFFFFF"/>
        </w:rPr>
        <w:t>C</w:t>
      </w:r>
      <w:r w:rsidRPr="00326117">
        <w:rPr>
          <w:rFonts w:ascii="Verdana" w:hAnsi="Verdana" w:cs="Arial"/>
          <w:shd w:val="clear" w:color="auto" w:fill="FFFFFF"/>
        </w:rPr>
        <w:t>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y C-174 del 16 de mayo de 2023, estudió la figura del contrato llave en mano</w:t>
      </w:r>
      <w:r>
        <w:rPr>
          <w:rFonts w:ascii="Verdana" w:hAnsi="Verdana"/>
        </w:rPr>
        <w:t>.</w:t>
      </w:r>
      <w:r>
        <w:rPr>
          <w:rFonts w:ascii="Verdana" w:hAnsi="Verdana" w:cs="Arial"/>
          <w:shd w:val="clear" w:color="auto" w:fill="FFFFFF"/>
        </w:rPr>
        <w:t xml:space="preserve">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p>
    <w:p w14:paraId="2813CD95" w14:textId="77777777" w:rsidR="00123A1C" w:rsidRDefault="00123A1C" w:rsidP="00123A1C">
      <w:pPr>
        <w:widowControl w:val="0"/>
        <w:autoSpaceDE w:val="0"/>
        <w:autoSpaceDN w:val="0"/>
        <w:spacing w:after="0" w:line="276" w:lineRule="auto"/>
        <w:jc w:val="both"/>
        <w:rPr>
          <w:rFonts w:ascii="Verdana" w:hAnsi="Verdana"/>
        </w:rPr>
      </w:pPr>
    </w:p>
    <w:p w14:paraId="1AC28CAC" w14:textId="77777777" w:rsidR="00123A1C" w:rsidRPr="00FE3C84" w:rsidRDefault="00123A1C" w:rsidP="00123A1C">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3"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49B5729" w14:textId="77777777" w:rsidR="00123A1C" w:rsidRDefault="00123A1C" w:rsidP="00123A1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66B8DF8" w14:textId="77777777" w:rsidR="00123A1C" w:rsidRPr="00A869FE" w:rsidRDefault="00123A1C" w:rsidP="00123A1C">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A869FE">
        <w:rPr>
          <w:rFonts w:ascii="Verdana" w:hAnsi="Verdana"/>
          <w:color w:val="000000"/>
        </w:rPr>
        <w:lastRenderedPageBreak/>
        <w:t xml:space="preserve">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27324746" w14:textId="77777777" w:rsidR="00123A1C" w:rsidRPr="00A869FE" w:rsidRDefault="00123A1C" w:rsidP="00123A1C">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4EE51CA6" w14:textId="77777777" w:rsidR="00123A1C" w:rsidRPr="00A869FE" w:rsidRDefault="00123A1C" w:rsidP="00123A1C">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688EC70" w14:textId="77777777" w:rsidR="00123A1C" w:rsidRPr="00A869FE" w:rsidRDefault="00123A1C" w:rsidP="00123A1C">
      <w:pPr>
        <w:spacing w:after="0" w:line="276" w:lineRule="auto"/>
        <w:jc w:val="both"/>
        <w:rPr>
          <w:rFonts w:ascii="Verdana" w:hAnsi="Verdana"/>
        </w:rPr>
      </w:pPr>
    </w:p>
    <w:p w14:paraId="0DE36041" w14:textId="77777777" w:rsidR="00123A1C" w:rsidRPr="00A869FE" w:rsidRDefault="00123A1C" w:rsidP="00123A1C">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66F04FBD" w14:textId="77777777" w:rsidR="00123A1C" w:rsidRPr="00A869FE" w:rsidRDefault="00123A1C" w:rsidP="00123A1C">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2C2FF35B" w14:textId="77777777" w:rsidR="00123A1C" w:rsidRPr="00A869FE" w:rsidRDefault="00123A1C" w:rsidP="00123A1C">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5" w:history="1">
        <w:r w:rsidRPr="00A869FE">
          <w:rPr>
            <w:rFonts w:ascii="Verdana" w:eastAsia="Verdana" w:hAnsi="Verdana" w:cs="Verdana"/>
            <w:color w:val="0000FF"/>
            <w:u w:val="single"/>
          </w:rPr>
          <w:t>ventanilladeradicacion@colombiacompra.gov.co</w:t>
        </w:r>
      </w:hyperlink>
    </w:p>
    <w:p w14:paraId="4697C0E7" w14:textId="77777777" w:rsidR="00123A1C" w:rsidRPr="00A869FE" w:rsidRDefault="00123A1C" w:rsidP="00123A1C">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6" w:history="1">
        <w:r w:rsidRPr="00A869FE">
          <w:rPr>
            <w:rFonts w:ascii="Verdana" w:eastAsia="Verdana" w:hAnsi="Verdana" w:cs="Verdana"/>
            <w:color w:val="0000FF"/>
            <w:u w:val="single"/>
          </w:rPr>
          <w:t>https://www.colombiacompra.gov.co/pqrsd/informacion-importante-antes-de-formular-una-pqrsd</w:t>
        </w:r>
      </w:hyperlink>
    </w:p>
    <w:p w14:paraId="46D02566" w14:textId="77777777" w:rsidR="00123A1C" w:rsidRPr="00A869FE" w:rsidRDefault="00123A1C" w:rsidP="00123A1C">
      <w:pPr>
        <w:spacing w:after="0" w:line="276" w:lineRule="auto"/>
        <w:ind w:left="720"/>
        <w:jc w:val="both"/>
        <w:rPr>
          <w:rFonts w:ascii="Verdana" w:hAnsi="Verdana"/>
        </w:rPr>
      </w:pPr>
    </w:p>
    <w:p w14:paraId="3A379ED5" w14:textId="77777777" w:rsidR="00123A1C" w:rsidRPr="00A869FE" w:rsidRDefault="00123A1C" w:rsidP="00123A1C">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7"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02D536FC" w14:textId="77777777" w:rsidR="00123A1C" w:rsidRPr="00A869FE" w:rsidRDefault="00123A1C" w:rsidP="00123A1C">
      <w:pPr>
        <w:spacing w:after="0" w:line="276" w:lineRule="auto"/>
        <w:rPr>
          <w:rFonts w:ascii="Verdana" w:hAnsi="Verdana"/>
        </w:rPr>
      </w:pPr>
    </w:p>
    <w:p w14:paraId="48AB20B6" w14:textId="77777777" w:rsidR="00123A1C" w:rsidRPr="00A869FE" w:rsidRDefault="00123A1C" w:rsidP="00123A1C">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6812C4AD" w14:textId="77777777" w:rsidR="00123A1C" w:rsidRPr="00A869FE" w:rsidRDefault="00123A1C" w:rsidP="00123A1C">
      <w:pPr>
        <w:spacing w:after="0" w:line="276" w:lineRule="auto"/>
        <w:jc w:val="both"/>
        <w:rPr>
          <w:rFonts w:ascii="Verdana" w:hAnsi="Verdana"/>
        </w:rPr>
      </w:pPr>
    </w:p>
    <w:p w14:paraId="33101A88" w14:textId="77777777" w:rsidR="00123A1C" w:rsidRPr="00A869FE" w:rsidRDefault="00123A1C" w:rsidP="00123A1C">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0BD6ACA6" w14:textId="77777777" w:rsidR="00123A1C" w:rsidRPr="00A869FE" w:rsidRDefault="00123A1C" w:rsidP="00123A1C">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45AA1C98" w14:textId="77777777" w:rsidR="00123A1C" w:rsidRPr="00A869FE" w:rsidRDefault="00123A1C" w:rsidP="00123A1C">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2A17C737" w14:textId="77777777" w:rsidR="00123A1C" w:rsidRPr="00A869FE" w:rsidRDefault="00123A1C" w:rsidP="00123A1C">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6D425435" w14:textId="77777777" w:rsidR="00123A1C" w:rsidRPr="00A869FE" w:rsidRDefault="00123A1C" w:rsidP="00123A1C">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4A55D2E" w14:textId="77777777" w:rsidR="00123A1C" w:rsidRPr="00A869FE" w:rsidRDefault="00123A1C" w:rsidP="00123A1C">
      <w:pPr>
        <w:widowControl w:val="0"/>
        <w:autoSpaceDE w:val="0"/>
        <w:autoSpaceDN w:val="0"/>
        <w:spacing w:after="0" w:line="276" w:lineRule="auto"/>
        <w:jc w:val="both"/>
        <w:rPr>
          <w:rFonts w:ascii="Verdana" w:hAnsi="Verdana" w:cs="Arial"/>
        </w:rPr>
      </w:pPr>
    </w:p>
    <w:p w14:paraId="76F48526" w14:textId="77777777" w:rsidR="00123A1C" w:rsidRPr="00A869FE" w:rsidRDefault="00123A1C" w:rsidP="00123A1C">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1DA50209" w14:textId="111CEE48" w:rsidR="00123A1C" w:rsidRPr="00A869FE" w:rsidRDefault="004115F6" w:rsidP="00123A1C">
      <w:pPr>
        <w:spacing w:after="0" w:line="240" w:lineRule="auto"/>
        <w:jc w:val="center"/>
      </w:pPr>
      <w:r w:rsidRPr="004D5C25">
        <w:rPr>
          <w:rFonts w:ascii="Century Gothic" w:hAnsi="Century Gothic"/>
          <w:noProof/>
        </w:rPr>
        <w:lastRenderedPageBreak/>
        <w:drawing>
          <wp:inline distT="0" distB="0" distL="0" distR="0" wp14:anchorId="1DEE09F7" wp14:editId="5000F8F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23A1C" w:rsidRPr="00A869FE" w14:paraId="79EF41F0" w14:textId="77777777" w:rsidTr="00093697">
        <w:trPr>
          <w:trHeight w:val="315"/>
        </w:trPr>
        <w:tc>
          <w:tcPr>
            <w:tcW w:w="893" w:type="dxa"/>
            <w:vAlign w:val="center"/>
            <w:hideMark/>
          </w:tcPr>
          <w:p w14:paraId="5E4BD73A" w14:textId="77777777" w:rsidR="00123A1C" w:rsidRPr="00A869FE" w:rsidRDefault="00123A1C"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E8CC29C" w14:textId="77777777" w:rsidR="00123A1C" w:rsidRPr="00A869FE" w:rsidRDefault="00123A1C"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19129BCA" w14:textId="77777777" w:rsidR="00123A1C" w:rsidRPr="00A869FE" w:rsidRDefault="00123A1C"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123A1C" w:rsidRPr="00A869FE" w14:paraId="57ECB645" w14:textId="77777777" w:rsidTr="00093697">
        <w:trPr>
          <w:trHeight w:val="330"/>
        </w:trPr>
        <w:tc>
          <w:tcPr>
            <w:tcW w:w="893" w:type="dxa"/>
            <w:vAlign w:val="center"/>
            <w:hideMark/>
          </w:tcPr>
          <w:p w14:paraId="6AC17ECF" w14:textId="77777777" w:rsidR="00123A1C" w:rsidRPr="00A869FE" w:rsidRDefault="00123A1C"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2AB753" w14:textId="77777777" w:rsidR="00123A1C" w:rsidRDefault="00123A1C"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Juan Carlos González Vásquez </w:t>
            </w:r>
          </w:p>
          <w:p w14:paraId="2DC7A2C0" w14:textId="77777777" w:rsidR="00123A1C" w:rsidRDefault="00123A1C"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5EBB710C" w14:textId="77777777" w:rsidR="00123A1C" w:rsidRPr="00A869FE" w:rsidRDefault="00123A1C" w:rsidP="00093697">
            <w:pPr>
              <w:pStyle w:val="paragraph"/>
              <w:spacing w:before="0" w:beforeAutospacing="0" w:after="0" w:afterAutospacing="0"/>
              <w:contextualSpacing/>
              <w:textAlignment w:val="baseline"/>
              <w:rPr>
                <w:rFonts w:ascii="Verdana" w:hAnsi="Verdana" w:cs="Segoe UI"/>
                <w:sz w:val="16"/>
                <w:szCs w:val="16"/>
              </w:rPr>
            </w:pPr>
          </w:p>
        </w:tc>
      </w:tr>
      <w:tr w:rsidR="00123A1C" w:rsidRPr="00A869FE" w14:paraId="7C4E9E89" w14:textId="77777777" w:rsidTr="00093697">
        <w:trPr>
          <w:trHeight w:val="300"/>
        </w:trPr>
        <w:tc>
          <w:tcPr>
            <w:tcW w:w="893" w:type="dxa"/>
            <w:vAlign w:val="center"/>
          </w:tcPr>
          <w:p w14:paraId="2F1957E6" w14:textId="77777777" w:rsidR="00123A1C" w:rsidRPr="00A869FE" w:rsidRDefault="00123A1C"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4DDC6E" w14:textId="77777777" w:rsidR="00123A1C" w:rsidRPr="00A869FE" w:rsidRDefault="00123A1C"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180E6BEA" w14:textId="77777777" w:rsidR="00123A1C" w:rsidRPr="00A869FE" w:rsidRDefault="00123A1C"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6F24E640" w14:textId="77777777" w:rsidR="00123A1C" w:rsidRPr="00CE53B2" w:rsidRDefault="00123A1C" w:rsidP="00123A1C"/>
    <w:p w14:paraId="75A22872" w14:textId="77777777" w:rsidR="00123A1C" w:rsidRDefault="00123A1C" w:rsidP="00123A1C"/>
    <w:p w14:paraId="68F69FB6" w14:textId="77777777" w:rsidR="00123A1C" w:rsidRPr="0015699B" w:rsidRDefault="00123A1C" w:rsidP="00123A1C">
      <w:pPr>
        <w:spacing w:after="0"/>
        <w:rPr>
          <w:rFonts w:ascii="Verdana" w:eastAsia="Times New Roman" w:hAnsi="Verdana" w:cs="Segoe UI"/>
          <w:lang w:eastAsia="es-CO"/>
        </w:rPr>
      </w:pPr>
    </w:p>
    <w:p w14:paraId="585A0486" w14:textId="77777777" w:rsidR="00123A1C" w:rsidRPr="009E4C71" w:rsidRDefault="00123A1C" w:rsidP="00123A1C"/>
    <w:p w14:paraId="5C9CBFB4" w14:textId="77777777" w:rsidR="00C24FFE" w:rsidRDefault="00C24FFE"/>
    <w:sectPr w:rsidR="00C24FFE" w:rsidSect="00123A1C">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079D2" w14:textId="77777777" w:rsidR="00123A1C" w:rsidRDefault="00123A1C" w:rsidP="00123A1C">
      <w:pPr>
        <w:spacing w:after="0" w:line="240" w:lineRule="auto"/>
      </w:pPr>
      <w:r>
        <w:separator/>
      </w:r>
    </w:p>
  </w:endnote>
  <w:endnote w:type="continuationSeparator" w:id="0">
    <w:p w14:paraId="3575A8D0" w14:textId="77777777" w:rsidR="00123A1C" w:rsidRDefault="00123A1C" w:rsidP="00123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CB16F" w14:textId="77777777" w:rsidR="00123A1C" w:rsidRDefault="00123A1C">
    <w:pPr>
      <w:pStyle w:val="Piedepgina"/>
    </w:pPr>
  </w:p>
  <w:p w14:paraId="7E8F95AF" w14:textId="77777777" w:rsidR="00123A1C" w:rsidRPr="00174B77" w:rsidRDefault="00123A1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56E5AC6" w14:textId="77777777" w:rsidR="00123A1C" w:rsidRDefault="00123A1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59D560A" w14:textId="77777777" w:rsidR="00123A1C" w:rsidRPr="00E41027" w:rsidRDefault="00123A1C" w:rsidP="00D520D8">
    <w:pPr>
      <w:spacing w:after="0"/>
      <w:jc w:val="both"/>
      <w:rPr>
        <w:rFonts w:ascii="Verdana" w:hAnsi="Verdana"/>
        <w:sz w:val="18"/>
        <w:szCs w:val="18"/>
      </w:rPr>
    </w:pPr>
    <w:r w:rsidRPr="00E41027">
      <w:rPr>
        <w:rFonts w:ascii="Verdana" w:hAnsi="Verdana"/>
        <w:sz w:val="18"/>
        <w:szCs w:val="18"/>
      </w:rPr>
      <w:t>Mesa de servicio: (+57) 601 7456788</w:t>
    </w:r>
  </w:p>
  <w:p w14:paraId="0FFA9DFE" w14:textId="77777777" w:rsidR="00123A1C" w:rsidRPr="004206DB" w:rsidRDefault="00123A1C" w:rsidP="356CEDFD">
    <w:pPr>
      <w:pBdr>
        <w:top w:val="nil"/>
        <w:left w:val="nil"/>
        <w:bottom w:val="nil"/>
        <w:right w:val="nil"/>
        <w:between w:val="nil"/>
      </w:pBdr>
      <w:tabs>
        <w:tab w:val="center" w:pos="4419"/>
        <w:tab w:val="right" w:pos="8838"/>
        <w:tab w:val="center" w:pos="5400"/>
      </w:tabs>
      <w:spacing w:after="0"/>
      <w:jc w:val="right"/>
      <w:rPr>
        <w:lang w:val="pt-BR"/>
      </w:rPr>
    </w:pPr>
    <w:r w:rsidRPr="004206DB">
      <w:rPr>
        <w:rFonts w:ascii="Century Gothic" w:eastAsia="Geo" w:hAnsi="Century Gothic" w:cs="Geo"/>
        <w:b/>
        <w:bCs/>
        <w:color w:val="000000" w:themeColor="text1"/>
        <w:sz w:val="16"/>
        <w:szCs w:val="16"/>
        <w:lang w:val="pt-BR" w:eastAsia="es-CO"/>
      </w:rPr>
      <w:t xml:space="preserve">Código: </w:t>
    </w:r>
    <w:r w:rsidRPr="004206DB">
      <w:rPr>
        <w:rFonts w:ascii="Century Gothic" w:eastAsia="Geo" w:hAnsi="Century Gothic" w:cs="Geo"/>
        <w:color w:val="000000" w:themeColor="text1"/>
        <w:sz w:val="16"/>
        <w:szCs w:val="16"/>
        <w:lang w:val="pt-BR" w:eastAsia="es-CO"/>
      </w:rPr>
      <w:t xml:space="preserve">CCE-REC-FM-17 </w:t>
    </w:r>
    <w:r w:rsidRPr="004206DB">
      <w:rPr>
        <w:rFonts w:ascii="Century Gothic" w:eastAsia="Geo" w:hAnsi="Century Gothic" w:cs="Geo"/>
        <w:b/>
        <w:bCs/>
        <w:color w:val="000000" w:themeColor="text1"/>
        <w:sz w:val="16"/>
        <w:szCs w:val="16"/>
        <w:lang w:val="pt-BR" w:eastAsia="es-CO"/>
      </w:rPr>
      <w:t>V</w:t>
    </w:r>
    <w:r w:rsidRPr="004206DB">
      <w:rPr>
        <w:rFonts w:ascii="Century Gothic" w:eastAsia="Arial Nova" w:hAnsi="Century Gothic" w:cs="Arial Nova"/>
        <w:b/>
        <w:bCs/>
        <w:color w:val="000000" w:themeColor="text1"/>
        <w:sz w:val="16"/>
        <w:szCs w:val="16"/>
        <w:lang w:val="pt-BR" w:eastAsia="es-CO"/>
      </w:rPr>
      <w:t xml:space="preserve">: </w:t>
    </w:r>
    <w:r w:rsidRPr="004206DB">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B5E04" w14:textId="77777777" w:rsidR="00123A1C" w:rsidRDefault="00123A1C" w:rsidP="00123A1C">
      <w:pPr>
        <w:spacing w:after="0" w:line="240" w:lineRule="auto"/>
      </w:pPr>
      <w:r>
        <w:separator/>
      </w:r>
    </w:p>
  </w:footnote>
  <w:footnote w:type="continuationSeparator" w:id="0">
    <w:p w14:paraId="21CE189C" w14:textId="77777777" w:rsidR="00123A1C" w:rsidRDefault="00123A1C" w:rsidP="00123A1C">
      <w:pPr>
        <w:spacing w:after="0" w:line="240" w:lineRule="auto"/>
      </w:pPr>
      <w:r>
        <w:continuationSeparator/>
      </w:r>
    </w:p>
  </w:footnote>
  <w:footnote w:id="1">
    <w:p w14:paraId="1AB96D3A" w14:textId="77777777" w:rsidR="00123A1C" w:rsidRPr="00E718B3" w:rsidRDefault="00123A1C" w:rsidP="00123A1C">
      <w:pPr>
        <w:spacing w:after="0" w:line="240" w:lineRule="auto"/>
        <w:ind w:firstLine="707"/>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position w:val="6"/>
          <w:sz w:val="16"/>
          <w:szCs w:val="16"/>
        </w:rPr>
        <w:t xml:space="preserve"> </w:t>
      </w:r>
      <w:r w:rsidRPr="00E718B3">
        <w:rPr>
          <w:rFonts w:ascii="Verdana" w:hAnsi="Verdana" w:cs="Arial"/>
          <w:sz w:val="16"/>
          <w:szCs w:val="16"/>
        </w:rPr>
        <w:t>DEIK ACOSTAMADIEDO, Carolina, Guía de Contratación Estatal: Deber de planeación y modalidades de selección, Buenos Aires, 2015, p. 59.</w:t>
      </w:r>
    </w:p>
    <w:p w14:paraId="56A01107" w14:textId="77777777" w:rsidR="00123A1C" w:rsidRPr="00E718B3" w:rsidRDefault="00123A1C" w:rsidP="00123A1C">
      <w:pPr>
        <w:pStyle w:val="Textonotapie"/>
        <w:jc w:val="both"/>
        <w:rPr>
          <w:rFonts w:ascii="Verdana" w:hAnsi="Verdana" w:cs="Arial"/>
          <w:sz w:val="16"/>
          <w:szCs w:val="16"/>
        </w:rPr>
      </w:pPr>
    </w:p>
  </w:footnote>
  <w:footnote w:id="2">
    <w:p w14:paraId="55BA13E8" w14:textId="77777777" w:rsidR="00123A1C" w:rsidRPr="00E718B3" w:rsidRDefault="00123A1C" w:rsidP="00123A1C">
      <w:pPr>
        <w:pStyle w:val="Textoindependiente"/>
        <w:spacing w:after="0"/>
        <w:ind w:firstLine="709"/>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w:t>
      </w:r>
      <w:r w:rsidRPr="00E718B3">
        <w:rPr>
          <w:rFonts w:ascii="Verdana" w:hAnsi="Verdana" w:cs="Arial"/>
          <w:position w:val="6"/>
          <w:sz w:val="16"/>
          <w:szCs w:val="16"/>
        </w:rPr>
        <w:t xml:space="preserve"> </w:t>
      </w:r>
      <w:r w:rsidRPr="00E718B3">
        <w:rPr>
          <w:rFonts w:ascii="Verdana" w:hAnsi="Verdana" w:cs="Arial"/>
          <w:sz w:val="16"/>
          <w:szCs w:val="16"/>
        </w:rPr>
        <w:t xml:space="preserve">“Artículo </w:t>
      </w:r>
      <w:bookmarkStart w:id="2" w:name="_Hlk54173885"/>
      <w:r w:rsidRPr="00E718B3">
        <w:rPr>
          <w:rFonts w:ascii="Verdana" w:hAnsi="Verdana" w:cs="Arial"/>
          <w:sz w:val="16"/>
          <w:szCs w:val="16"/>
        </w:rPr>
        <w:t>2.2.1.1.2.1.1</w:t>
      </w:r>
      <w:bookmarkEnd w:id="2"/>
      <w:r w:rsidRPr="00E718B3">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5E9A875E" w14:textId="77777777" w:rsidR="00123A1C" w:rsidRPr="00E718B3" w:rsidRDefault="00123A1C" w:rsidP="00123A1C">
      <w:pPr>
        <w:pStyle w:val="Textoindependiente"/>
        <w:spacing w:after="0"/>
        <w:ind w:firstLine="709"/>
        <w:jc w:val="both"/>
        <w:rPr>
          <w:rFonts w:ascii="Verdana" w:hAnsi="Verdana" w:cs="Arial"/>
          <w:sz w:val="16"/>
          <w:szCs w:val="16"/>
        </w:rPr>
      </w:pPr>
    </w:p>
  </w:footnote>
  <w:footnote w:id="3">
    <w:p w14:paraId="6948040D" w14:textId="77777777" w:rsidR="00123A1C" w:rsidRPr="00E718B3" w:rsidRDefault="00123A1C" w:rsidP="00123A1C">
      <w:pPr>
        <w:pStyle w:val="Textoindependiente"/>
        <w:spacing w:after="0"/>
        <w:ind w:firstLine="709"/>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4">
    <w:p w14:paraId="0AD05DF0" w14:textId="77777777" w:rsidR="00123A1C" w:rsidRPr="00E718B3" w:rsidRDefault="00123A1C" w:rsidP="00123A1C">
      <w:pPr>
        <w:pStyle w:val="Textonotapie"/>
        <w:ind w:firstLine="709"/>
        <w:jc w:val="both"/>
        <w:rPr>
          <w:rFonts w:ascii="Verdana" w:hAnsi="Verdana" w:cs="Arial"/>
          <w:color w:val="000000" w:themeColor="text1"/>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w:t>
      </w:r>
      <w:r w:rsidRPr="00E718B3">
        <w:rPr>
          <w:rFonts w:ascii="Verdana" w:hAnsi="Verdana" w:cs="Arial"/>
          <w:sz w:val="16"/>
          <w:szCs w:val="16"/>
          <w:lang w:val="es-CO"/>
        </w:rPr>
        <w:t xml:space="preserve">La Versión 02 de esta Guía fue adoptada el 24 de junio de 2022. Disponible en </w:t>
      </w:r>
      <w:hyperlink r:id="rId1" w:history="1">
        <w:r w:rsidRPr="00E718B3">
          <w:rPr>
            <w:rStyle w:val="Hipervnculo"/>
            <w:rFonts w:ascii="Verdana" w:hAnsi="Verdana" w:cs="Arial"/>
            <w:color w:val="000000" w:themeColor="text1"/>
            <w:sz w:val="16"/>
            <w:szCs w:val="16"/>
          </w:rPr>
          <w:t>https://colombiacompra.gov.co/sites/cce_public/files/cce_documentos/cce-eicp-gi-18._gees_v.2_2.pdf</w:t>
        </w:r>
      </w:hyperlink>
      <w:r w:rsidRPr="00E718B3">
        <w:rPr>
          <w:rFonts w:ascii="Verdana" w:hAnsi="Verdana" w:cs="Arial"/>
          <w:color w:val="000000" w:themeColor="text1"/>
          <w:sz w:val="16"/>
          <w:szCs w:val="16"/>
        </w:rPr>
        <w:t xml:space="preserve">  </w:t>
      </w:r>
    </w:p>
    <w:p w14:paraId="76B07349" w14:textId="77777777" w:rsidR="00123A1C" w:rsidRPr="00E718B3" w:rsidRDefault="00123A1C" w:rsidP="00123A1C">
      <w:pPr>
        <w:pStyle w:val="Textonotapie"/>
        <w:ind w:firstLine="709"/>
        <w:jc w:val="both"/>
        <w:rPr>
          <w:rFonts w:ascii="Verdana" w:hAnsi="Verdana" w:cs="Arial"/>
          <w:sz w:val="16"/>
          <w:szCs w:val="16"/>
          <w:lang w:val="es-CO"/>
        </w:rPr>
      </w:pPr>
    </w:p>
  </w:footnote>
  <w:footnote w:id="5">
    <w:p w14:paraId="6A43B313" w14:textId="77777777" w:rsidR="00123A1C" w:rsidRPr="00E718B3" w:rsidRDefault="00123A1C" w:rsidP="00123A1C">
      <w:pPr>
        <w:pStyle w:val="Textonotapie"/>
        <w:ind w:firstLine="709"/>
        <w:jc w:val="both"/>
        <w:rPr>
          <w:rFonts w:ascii="Verdana" w:hAnsi="Verdana" w:cs="Arial"/>
          <w:sz w:val="16"/>
          <w:szCs w:val="16"/>
          <w:lang w:val="es-ES"/>
        </w:rPr>
      </w:pPr>
      <w:r w:rsidRPr="00E718B3">
        <w:rPr>
          <w:rStyle w:val="Refdenotaalpie"/>
          <w:rFonts w:ascii="Verdana" w:hAnsi="Verdana" w:cs="Arial"/>
          <w:sz w:val="16"/>
          <w:szCs w:val="16"/>
        </w:rPr>
        <w:footnoteRef/>
      </w:r>
      <w:r w:rsidRPr="00E718B3">
        <w:rPr>
          <w:rFonts w:ascii="Verdana" w:hAnsi="Verdana" w:cs="Arial"/>
          <w:sz w:val="16"/>
          <w:szCs w:val="16"/>
        </w:rPr>
        <w:t xml:space="preserve"> De conformidad con lo indicado en la Guía, e</w:t>
      </w:r>
      <w:r w:rsidRPr="00E718B3">
        <w:rPr>
          <w:rFonts w:ascii="Verdana" w:hAnsi="Verdana" w:cs="Arial"/>
          <w:sz w:val="16"/>
          <w:szCs w:val="16"/>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6">
    <w:p w14:paraId="4239CDF9" w14:textId="77777777" w:rsidR="00123A1C" w:rsidRPr="00E718B3" w:rsidRDefault="00123A1C" w:rsidP="00123A1C">
      <w:pPr>
        <w:pStyle w:val="Textonotapie"/>
        <w:ind w:firstLine="708"/>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Consejo de Estado. Sección Tercera. Sentencia del 27 de abril de 2011. Exp. 18.293. C.P. Ruth Stella Correa Palacio.</w:t>
      </w:r>
    </w:p>
  </w:footnote>
  <w:footnote w:id="7">
    <w:p w14:paraId="3E9F9CC7" w14:textId="77777777" w:rsidR="00123A1C" w:rsidRPr="00E718B3" w:rsidRDefault="00123A1C" w:rsidP="00123A1C">
      <w:pPr>
        <w:pStyle w:val="Textonotapie"/>
        <w:ind w:firstLine="709"/>
        <w:jc w:val="both"/>
        <w:rPr>
          <w:rFonts w:ascii="Verdana" w:hAnsi="Verdana" w:cs="Arial"/>
          <w:color w:val="000000"/>
          <w:sz w:val="16"/>
          <w:szCs w:val="16"/>
        </w:rPr>
      </w:pPr>
      <w:r w:rsidRPr="00E718B3">
        <w:rPr>
          <w:rStyle w:val="Refdenotaalpie"/>
          <w:rFonts w:ascii="Verdana" w:hAnsi="Verdana" w:cs="Arial"/>
          <w:color w:val="000000"/>
          <w:sz w:val="16"/>
          <w:szCs w:val="16"/>
        </w:rPr>
        <w:footnoteRef/>
      </w:r>
      <w:r w:rsidRPr="00E718B3">
        <w:rPr>
          <w:rFonts w:ascii="Verdana" w:hAnsi="Verdana" w:cs="Arial"/>
          <w:color w:val="000000"/>
          <w:sz w:val="16"/>
          <w:szCs w:val="16"/>
        </w:rPr>
        <w:t xml:space="preserve"> ALESSANDRI RODRÍGUEZ, Arturo. De los contratos. Santiago de Chile: Editorial Jurídica EDIAR-CONOCSUR LTDA, 1988. p. 182. </w:t>
      </w:r>
    </w:p>
  </w:footnote>
  <w:footnote w:id="8">
    <w:p w14:paraId="0C4E5789" w14:textId="77777777" w:rsidR="00123A1C" w:rsidRPr="00E718B3" w:rsidRDefault="00123A1C" w:rsidP="00123A1C">
      <w:pPr>
        <w:pStyle w:val="Textonotapie"/>
        <w:ind w:firstLine="708"/>
        <w:jc w:val="both"/>
        <w:rPr>
          <w:rFonts w:ascii="Verdana" w:hAnsi="Verdana" w:cs="Arial"/>
          <w:sz w:val="16"/>
          <w:szCs w:val="16"/>
          <w:lang w:val="es-ES_tradnl"/>
        </w:rPr>
      </w:pPr>
      <w:r w:rsidRPr="00E718B3">
        <w:rPr>
          <w:rStyle w:val="Refdenotaalpie"/>
          <w:rFonts w:ascii="Verdana" w:hAnsi="Verdana" w:cs="Arial"/>
          <w:sz w:val="16"/>
          <w:szCs w:val="16"/>
        </w:rPr>
        <w:footnoteRef/>
      </w:r>
      <w:r w:rsidRPr="00E718B3">
        <w:rPr>
          <w:rFonts w:ascii="Verdana" w:hAnsi="Verdana" w:cs="Arial"/>
          <w:sz w:val="16"/>
          <w:szCs w:val="16"/>
        </w:rPr>
        <w:t xml:space="preserve"> </w:t>
      </w:r>
      <w:r w:rsidRPr="00E718B3">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9">
    <w:p w14:paraId="3480E30F" w14:textId="77777777" w:rsidR="00123A1C" w:rsidRPr="00E718B3" w:rsidRDefault="00123A1C" w:rsidP="00123A1C">
      <w:pPr>
        <w:pStyle w:val="Textonotapie"/>
        <w:ind w:firstLine="709"/>
        <w:jc w:val="both"/>
        <w:rPr>
          <w:rFonts w:ascii="Verdana" w:hAnsi="Verdana" w:cs="Arial"/>
          <w:color w:val="000000"/>
          <w:sz w:val="16"/>
          <w:szCs w:val="16"/>
        </w:rPr>
      </w:pPr>
      <w:r w:rsidRPr="00E718B3">
        <w:rPr>
          <w:rStyle w:val="Refdenotaalpie"/>
          <w:rFonts w:ascii="Verdana" w:hAnsi="Verdana" w:cs="Arial"/>
          <w:color w:val="000000"/>
          <w:sz w:val="16"/>
          <w:szCs w:val="16"/>
        </w:rPr>
        <w:footnoteRef/>
      </w:r>
      <w:r w:rsidRPr="00E718B3">
        <w:rPr>
          <w:rFonts w:ascii="Verdana" w:hAnsi="Verdana" w:cs="Arial"/>
          <w:color w:val="000000"/>
          <w:sz w:val="16"/>
          <w:szCs w:val="16"/>
        </w:rPr>
        <w:t xml:space="preserve"> OSPINA MENA, Jesús Marino. Régimen de la Contratación Estatal. Un salto a la contratación liquida. Bogotá: Dike, 2020. p. 168.</w:t>
      </w:r>
    </w:p>
  </w:footnote>
  <w:footnote w:id="10">
    <w:p w14:paraId="4F938A71" w14:textId="77777777" w:rsidR="00123A1C" w:rsidRPr="00E718B3" w:rsidRDefault="00123A1C" w:rsidP="00123A1C">
      <w:pPr>
        <w:pStyle w:val="Textonotapie"/>
        <w:ind w:firstLine="709"/>
        <w:jc w:val="both"/>
        <w:rPr>
          <w:rFonts w:ascii="Verdana" w:hAnsi="Verdana" w:cs="Arial"/>
          <w:color w:val="000000"/>
          <w:sz w:val="16"/>
          <w:szCs w:val="16"/>
        </w:rPr>
      </w:pPr>
      <w:r w:rsidRPr="00E718B3">
        <w:rPr>
          <w:rStyle w:val="Refdenotaalpie"/>
          <w:rFonts w:ascii="Verdana" w:hAnsi="Verdana" w:cs="Arial"/>
          <w:color w:val="000000"/>
          <w:sz w:val="16"/>
          <w:szCs w:val="16"/>
        </w:rPr>
        <w:footnoteRef/>
      </w:r>
      <w:r w:rsidRPr="00E718B3">
        <w:rPr>
          <w:rFonts w:ascii="Verdana" w:hAnsi="Verdana" w:cs="Arial"/>
          <w:color w:val="000000"/>
          <w:sz w:val="16"/>
          <w:szCs w:val="16"/>
        </w:rPr>
        <w:t xml:space="preserve"> CONSEJO DE ESTADO. Sala de Consulta y Servicio Civil. Concepto del 5 de septiembre de 2018. Rad. 2.386. C.P. Edgar González López.</w:t>
      </w:r>
    </w:p>
  </w:footnote>
  <w:footnote w:id="11">
    <w:p w14:paraId="6A3302A4" w14:textId="77777777" w:rsidR="00123A1C" w:rsidRPr="00E718B3" w:rsidRDefault="00123A1C" w:rsidP="00123A1C">
      <w:pPr>
        <w:pStyle w:val="Textonotapie"/>
        <w:ind w:firstLine="708"/>
        <w:jc w:val="both"/>
        <w:rPr>
          <w:rFonts w:ascii="Verdana" w:hAnsi="Verdana"/>
          <w:sz w:val="16"/>
          <w:szCs w:val="16"/>
        </w:rPr>
      </w:pPr>
      <w:r w:rsidRPr="00E718B3">
        <w:rPr>
          <w:rStyle w:val="Refdenotaalpie"/>
          <w:rFonts w:ascii="Verdana" w:hAnsi="Verdana"/>
          <w:sz w:val="16"/>
          <w:szCs w:val="16"/>
        </w:rPr>
        <w:footnoteRef/>
      </w:r>
      <w:r w:rsidRPr="00E718B3">
        <w:rPr>
          <w:rFonts w:ascii="Verdana" w:hAnsi="Verdana"/>
          <w:sz w:val="16"/>
          <w:szCs w:val="16"/>
        </w:rPr>
        <w:t xml:space="preserve"> De acuerdo con la norma citada: “Artículo 87. Maduración de proyectos. El numeral 12 del artículo 25 de la Ley 80 de 1993 quedará así:</w:t>
      </w:r>
    </w:p>
    <w:p w14:paraId="41F93581" w14:textId="77777777" w:rsidR="00123A1C" w:rsidRPr="00E718B3" w:rsidRDefault="00123A1C" w:rsidP="00123A1C">
      <w:pPr>
        <w:pStyle w:val="Textonotapie"/>
        <w:ind w:firstLine="708"/>
        <w:jc w:val="both"/>
        <w:rPr>
          <w:rFonts w:ascii="Verdana" w:hAnsi="Verdana"/>
          <w:sz w:val="16"/>
          <w:szCs w:val="16"/>
        </w:rPr>
      </w:pPr>
      <w:r w:rsidRPr="00E718B3">
        <w:rPr>
          <w:rFonts w:ascii="Verdana" w:hAnsi="Verdana"/>
          <w:sz w:val="16"/>
          <w:szCs w:val="16"/>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10866D3C" w14:textId="77777777" w:rsidR="00123A1C" w:rsidRPr="00E718B3" w:rsidRDefault="00123A1C" w:rsidP="00123A1C">
      <w:pPr>
        <w:pStyle w:val="Textonotapie"/>
        <w:ind w:firstLine="708"/>
        <w:jc w:val="both"/>
        <w:rPr>
          <w:rFonts w:ascii="Verdana" w:hAnsi="Verdana"/>
          <w:sz w:val="16"/>
          <w:szCs w:val="16"/>
        </w:rPr>
      </w:pPr>
      <w:r w:rsidRPr="00E718B3">
        <w:rPr>
          <w:rFonts w:ascii="Verdana" w:hAnsi="Verdana"/>
          <w:sz w:val="16"/>
          <w:szCs w:val="16"/>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footnote>
  <w:footnote w:id="12">
    <w:p w14:paraId="10194255" w14:textId="77777777" w:rsidR="00123A1C" w:rsidRPr="00E718B3" w:rsidRDefault="00123A1C" w:rsidP="00123A1C">
      <w:pPr>
        <w:pStyle w:val="Textonotapie"/>
        <w:ind w:firstLine="708"/>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El artículo 26.3 de la Ley 80 de 1993 dispone que “Las entidades y los servidores públicos, responderán cuando hubieren abierto licitaciones o concursos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p>
  </w:footnote>
  <w:footnote w:id="13">
    <w:p w14:paraId="34127ED0" w14:textId="77777777" w:rsidR="00123A1C" w:rsidRPr="00E718B3" w:rsidRDefault="00123A1C" w:rsidP="00123A1C">
      <w:pPr>
        <w:spacing w:after="0"/>
        <w:ind w:firstLine="709"/>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Decreto 1082 de 2015: “Artículo 2.2.1.1.2.1.1</w:t>
      </w:r>
      <w:r w:rsidRPr="00E718B3">
        <w:rPr>
          <w:rFonts w:ascii="Verdana" w:hAnsi="Verdana" w:cs="Arial"/>
          <w:b/>
          <w:sz w:val="16"/>
          <w:szCs w:val="16"/>
        </w:rPr>
        <w:t xml:space="preserve">. </w:t>
      </w:r>
      <w:r w:rsidRPr="00E718B3">
        <w:rPr>
          <w:rFonts w:ascii="Verdana" w:hAnsi="Verdana" w:cs="Arial"/>
          <w:sz w:val="16"/>
          <w:szCs w:val="16"/>
        </w:rPr>
        <w:t>Estudios y documentos previos</w:t>
      </w:r>
      <w:r w:rsidRPr="00E718B3">
        <w:rPr>
          <w:rFonts w:ascii="Verdana" w:hAnsi="Verdana" w:cs="Arial"/>
          <w:b/>
          <w:i/>
          <w:sz w:val="16"/>
          <w:szCs w:val="16"/>
        </w:rPr>
        <w:t xml:space="preserve">. </w:t>
      </w:r>
      <w:r w:rsidRPr="00E718B3">
        <w:rPr>
          <w:rFonts w:ascii="Verdana" w:hAnsi="Verdana" w:cs="Arial"/>
          <w:sz w:val="16"/>
          <w:szCs w:val="16"/>
        </w:rPr>
        <w:t>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 2. El objeto a contratar, con sus especificaciones, las autorizaciones, permisos y licencias requeridos para su ejecución, y cuando el contrato incluye diseño y construcción, los documentos técnicos para el desarrollo del proyecto [...]”.</w:t>
      </w:r>
    </w:p>
  </w:footnote>
  <w:footnote w:id="14">
    <w:p w14:paraId="4497B36D" w14:textId="77777777" w:rsidR="00123A1C" w:rsidRPr="00E718B3" w:rsidRDefault="00123A1C" w:rsidP="00123A1C">
      <w:pPr>
        <w:pStyle w:val="Textonotapie"/>
        <w:ind w:firstLine="708"/>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Al respecto, la doctrina considera que “[…]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 (Cfr. SUÁREZ BELTRÁN, Gonzalo. Estudios de derecho público contractual: Bogotá: Legis, 2014. p. 6).  </w:t>
      </w:r>
    </w:p>
  </w:footnote>
  <w:footnote w:id="15">
    <w:p w14:paraId="0ACB297A" w14:textId="77777777" w:rsidR="00123A1C" w:rsidRPr="00E718B3" w:rsidRDefault="00123A1C" w:rsidP="00123A1C">
      <w:pPr>
        <w:spacing w:after="0"/>
        <w:ind w:firstLine="709"/>
        <w:jc w:val="both"/>
        <w:rPr>
          <w:rFonts w:ascii="Verdana" w:hAnsi="Verdana"/>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Ley 1682 de 2013: “Artículo 12. En lo que se refiere a la infraestructura de transporte terrestre, aeronáutica, aeroportuaria y acuática, se tendrán en cuenta las siguientes definiciones:</w:t>
      </w:r>
    </w:p>
    <w:p w14:paraId="2F02EEBC"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Estudios de Ingeniería. Sin perjuicio de lo previsto en la Ley</w:t>
      </w:r>
      <w:hyperlink r:id="rId2" w:anchor="Inicio">
        <w:r w:rsidRPr="00E718B3">
          <w:rPr>
            <w:rFonts w:ascii="Verdana" w:hAnsi="Verdana" w:cs="Arial"/>
            <w:sz w:val="16"/>
            <w:szCs w:val="16"/>
          </w:rPr>
          <w:t xml:space="preserve"> 1508 </w:t>
        </w:r>
      </w:hyperlink>
      <w:r w:rsidRPr="00E718B3">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E718B3">
        <w:rPr>
          <w:rFonts w:ascii="Verdana" w:hAnsi="Verdana" w:cs="Arial"/>
          <w:spacing w:val="-10"/>
          <w:sz w:val="16"/>
          <w:szCs w:val="16"/>
        </w:rPr>
        <w:t xml:space="preserve"> </w:t>
      </w:r>
      <w:r w:rsidRPr="00E718B3">
        <w:rPr>
          <w:rFonts w:ascii="Verdana" w:hAnsi="Verdana" w:cs="Arial"/>
          <w:sz w:val="16"/>
          <w:szCs w:val="16"/>
        </w:rPr>
        <w:t>infraestructura:</w:t>
      </w:r>
    </w:p>
    <w:p w14:paraId="1E8D6BBB"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326A98B6"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3E71454D"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1A7C63E1"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31107E77" w14:textId="77777777" w:rsidR="00123A1C" w:rsidRPr="00E718B3" w:rsidRDefault="00123A1C" w:rsidP="00123A1C">
      <w:pPr>
        <w:spacing w:after="0"/>
        <w:ind w:firstLine="709"/>
        <w:jc w:val="both"/>
        <w:rPr>
          <w:rFonts w:ascii="Verdana" w:hAnsi="Verdana"/>
          <w:sz w:val="16"/>
          <w:szCs w:val="16"/>
        </w:rPr>
      </w:pPr>
      <w:r w:rsidRPr="00E718B3">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E718B3">
        <w:rPr>
          <w:rFonts w:ascii="Verdana" w:hAnsi="Verdana" w:cs="Arial"/>
          <w:spacing w:val="-6"/>
          <w:sz w:val="16"/>
          <w:szCs w:val="16"/>
        </w:rPr>
        <w:t xml:space="preserve"> </w:t>
      </w:r>
      <w:r w:rsidRPr="00E718B3">
        <w:rPr>
          <w:rFonts w:ascii="Verdana" w:hAnsi="Verdana" w:cs="Arial"/>
          <w:sz w:val="16"/>
          <w:szCs w:val="16"/>
        </w:rPr>
        <w:t>respectiva.</w:t>
      </w:r>
    </w:p>
    <w:p w14:paraId="60D058E5" w14:textId="77777777" w:rsidR="00123A1C" w:rsidRPr="00E718B3" w:rsidRDefault="00123A1C" w:rsidP="00123A1C">
      <w:pPr>
        <w:spacing w:after="0"/>
        <w:ind w:firstLine="708"/>
        <w:jc w:val="both"/>
        <w:rPr>
          <w:rFonts w:ascii="Verdana" w:hAnsi="Verdana" w:cs="Arial"/>
          <w:sz w:val="16"/>
          <w:szCs w:val="16"/>
        </w:rPr>
      </w:pPr>
      <w:r w:rsidRPr="00E718B3">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p>
  </w:footnote>
  <w:footnote w:id="16">
    <w:p w14:paraId="33EF35D7" w14:textId="77777777" w:rsidR="00123A1C" w:rsidRPr="00E718B3" w:rsidRDefault="00123A1C" w:rsidP="00123A1C">
      <w:pPr>
        <w:pStyle w:val="Textonotapie"/>
        <w:ind w:firstLine="709"/>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Consejo de Estado, Sala de Consulta y Servicio Civil, Concepto 1439 del 18 de julio de 2002. Consejera Ponente: Susana Montes de Echeverri.</w:t>
      </w:r>
    </w:p>
  </w:footnote>
  <w:footnote w:id="17">
    <w:p w14:paraId="7AF13B1D" w14:textId="77777777" w:rsidR="00123A1C" w:rsidRPr="00E718B3" w:rsidRDefault="00123A1C" w:rsidP="00123A1C">
      <w:pPr>
        <w:spacing w:after="0"/>
        <w:ind w:firstLine="709"/>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En efecto, en el Anexo Técnico 1 de la Resolución 465 de 2024, “Poda cual se adopta la versión -4- de los Documentos Tipo para los procesos de selección de licitación de obra pública del sector de infraestructura de transporte y se deroga la Resolución 240 de 2020”, dispone que dentro de los documentos que la entidad entrega para la ejecución del contrato se encuentran los estudios y diseños que ésta posea. En este sentido, en el literal b del numeral 6 se indica lo siguiente:</w:t>
      </w:r>
    </w:p>
    <w:p w14:paraId="1375C8B7" w14:textId="77777777" w:rsidR="00123A1C" w:rsidRPr="00E718B3" w:rsidRDefault="00123A1C" w:rsidP="00123A1C">
      <w:pPr>
        <w:spacing w:after="0"/>
        <w:ind w:firstLine="709"/>
        <w:jc w:val="both"/>
        <w:rPr>
          <w:rFonts w:ascii="Verdana" w:hAnsi="Verdana" w:cs="Arial"/>
          <w:sz w:val="16"/>
          <w:szCs w:val="16"/>
        </w:rPr>
      </w:pPr>
      <w:r w:rsidRPr="00E718B3">
        <w:rPr>
          <w:rFonts w:ascii="Verdana" w:hAnsi="Verdana" w:cs="Arial"/>
          <w:sz w:val="16"/>
          <w:szCs w:val="16"/>
        </w:rPr>
        <w:t>“El contratista deberá realizar lo necesario y suficiente en orden a conocer, revisar y estudiar completamente los estudios y diseños que la entidad entregue para la ejecución de las obras objeto de este contrato. En consecuencia, finalizado el plazo previsto por la entidad para la revisión de estudios y diseños [cuando aplique], si el contratista no se pronuncia en sentido contrario, se entiende que ha aceptado los estudios y diseños presentados por la entidad y asume toda la responsabilidad de los resultados para la implementación de los mismos y la ejecución de la obra contratada, con la debida calidad, garantizando la durabilidad, resistencia, estabilidad y funcionalidad de tales obras.</w:t>
      </w:r>
    </w:p>
    <w:p w14:paraId="28A1CDA7" w14:textId="77777777" w:rsidR="00123A1C" w:rsidRPr="00E718B3" w:rsidRDefault="00123A1C" w:rsidP="00123A1C">
      <w:pPr>
        <w:spacing w:after="0"/>
        <w:ind w:firstLine="709"/>
        <w:jc w:val="both"/>
        <w:rPr>
          <w:rFonts w:ascii="Verdana" w:hAnsi="Verdana" w:cs="Arial"/>
          <w:color w:val="000000" w:themeColor="text1"/>
          <w:sz w:val="16"/>
          <w:szCs w:val="16"/>
        </w:rPr>
      </w:pPr>
      <w:r w:rsidRPr="00E718B3">
        <w:rPr>
          <w:rFonts w:ascii="Verdana" w:hAnsi="Verdana" w:cs="Arial"/>
          <w:sz w:val="16"/>
          <w:szCs w:val="16"/>
        </w:rPr>
        <w:t>Cualquier modificación y/o adaptación y/o complementación que el contratista pretenda efectuar a los estudios y diseños deberán ser tramitadas por el contratista para su aprobación por la Interventoría, sin que ello se constituya en causa de demora en la ejecución del proyecto</w:t>
      </w:r>
      <w:r w:rsidRPr="00E718B3">
        <w:rPr>
          <w:rFonts w:ascii="Verdana" w:hAnsi="Verdana" w:cs="Arial"/>
          <w:color w:val="000000" w:themeColor="text1"/>
          <w:sz w:val="16"/>
          <w:szCs w:val="16"/>
        </w:rPr>
        <w:t xml:space="preserve">”. </w:t>
      </w:r>
    </w:p>
  </w:footnote>
  <w:footnote w:id="18">
    <w:p w14:paraId="625B49D8" w14:textId="77777777" w:rsidR="00123A1C" w:rsidRPr="00E718B3" w:rsidRDefault="00123A1C" w:rsidP="00123A1C">
      <w:pPr>
        <w:spacing w:after="0"/>
        <w:ind w:firstLine="707"/>
        <w:jc w:val="both"/>
        <w:rPr>
          <w:rFonts w:ascii="Verdana" w:hAnsi="Verdana" w:cs="Arial"/>
          <w:color w:val="000000" w:themeColor="text1"/>
          <w:sz w:val="16"/>
          <w:szCs w:val="16"/>
        </w:rPr>
      </w:pPr>
      <w:r w:rsidRPr="00E718B3">
        <w:rPr>
          <w:rStyle w:val="Refdenotaalpie"/>
          <w:rFonts w:ascii="Verdana" w:hAnsi="Verdana" w:cs="Arial"/>
          <w:color w:val="000000" w:themeColor="text1"/>
          <w:sz w:val="16"/>
          <w:szCs w:val="16"/>
        </w:rPr>
        <w:footnoteRef/>
      </w:r>
      <w:r w:rsidRPr="00E718B3">
        <w:rPr>
          <w:rFonts w:ascii="Verdana" w:hAnsi="Verdana" w:cs="Arial"/>
          <w:color w:val="000000" w:themeColor="text1"/>
          <w:sz w:val="16"/>
          <w:szCs w:val="16"/>
        </w:rPr>
        <w:t xml:space="preserve"> VALLEJO, Felipe. Responsabilidad profesional en la construcción de obras. Revista Derecho Del Estado, n.º 20 (1), 97-120. </w:t>
      </w:r>
      <w:hyperlink r:id="rId3">
        <w:r w:rsidRPr="00E718B3">
          <w:rPr>
            <w:rFonts w:ascii="Verdana" w:hAnsi="Verdana" w:cs="Arial"/>
            <w:color w:val="000000" w:themeColor="text1"/>
            <w:sz w:val="16"/>
            <w:szCs w:val="16"/>
            <w:u w:val="single" w:color="F1F1F1"/>
          </w:rPr>
          <w:t>https://revistas.uexternado.edu.co/index.php/derest/article/view/706</w:t>
        </w:r>
        <w:r w:rsidRPr="00E718B3">
          <w:rPr>
            <w:rFonts w:ascii="Verdana" w:hAnsi="Verdana" w:cs="Arial"/>
            <w:color w:val="000000" w:themeColor="text1"/>
            <w:sz w:val="16"/>
            <w:szCs w:val="16"/>
          </w:rPr>
          <w:t xml:space="preserve">. </w:t>
        </w:r>
      </w:hyperlink>
      <w:r w:rsidRPr="00E718B3">
        <w:rPr>
          <w:rFonts w:ascii="Verdana" w:hAnsi="Verdana" w:cs="Arial"/>
          <w:color w:val="000000" w:themeColor="text1"/>
          <w:sz w:val="16"/>
          <w:szCs w:val="16"/>
        </w:rPr>
        <w:t>pp. 106-107.</w:t>
      </w:r>
    </w:p>
  </w:footnote>
  <w:footnote w:id="19">
    <w:p w14:paraId="632CDCED" w14:textId="77777777" w:rsidR="00123A1C" w:rsidRPr="00E718B3" w:rsidRDefault="00123A1C" w:rsidP="00123A1C">
      <w:pPr>
        <w:pStyle w:val="Textonotapie"/>
        <w:ind w:firstLine="709"/>
        <w:jc w:val="both"/>
        <w:rPr>
          <w:rFonts w:ascii="Verdana" w:hAnsi="Verdana" w:cs="Arial"/>
          <w:sz w:val="16"/>
          <w:szCs w:val="16"/>
          <w:lang w:val="es-ES"/>
        </w:rPr>
      </w:pPr>
      <w:r w:rsidRPr="00E718B3">
        <w:rPr>
          <w:rStyle w:val="Refdenotaalpie"/>
          <w:rFonts w:ascii="Verdana" w:hAnsi="Verdana" w:cs="Arial"/>
          <w:sz w:val="16"/>
          <w:szCs w:val="16"/>
        </w:rPr>
        <w:footnoteRef/>
      </w:r>
      <w:r w:rsidRPr="00E718B3">
        <w:rPr>
          <w:rFonts w:ascii="Verdana" w:hAnsi="Verdana" w:cs="Arial"/>
          <w:sz w:val="16"/>
          <w:szCs w:val="16"/>
        </w:rPr>
        <w:t xml:space="preserve"> </w:t>
      </w:r>
      <w:r w:rsidRPr="00E718B3">
        <w:rPr>
          <w:rFonts w:ascii="Verdana" w:hAnsi="Verdana" w:cs="Arial"/>
          <w:sz w:val="16"/>
          <w:szCs w:val="16"/>
          <w:lang w:val="es-ES"/>
        </w:rPr>
        <w:t xml:space="preserve">Guía para los procesos de contratación de obra pública, expedida por Colombia Compra Eficiente. Pág 9. </w:t>
      </w:r>
    </w:p>
  </w:footnote>
  <w:footnote w:id="20">
    <w:p w14:paraId="4B245ACC" w14:textId="77777777" w:rsidR="00123A1C" w:rsidRPr="00E718B3" w:rsidRDefault="00123A1C" w:rsidP="00123A1C">
      <w:pPr>
        <w:spacing w:after="0"/>
        <w:ind w:firstLine="709"/>
        <w:jc w:val="both"/>
        <w:rPr>
          <w:rFonts w:ascii="Verdana" w:hAnsi="Verdana" w:cs="Arial"/>
          <w:color w:val="000000" w:themeColor="text1"/>
          <w:sz w:val="16"/>
          <w:szCs w:val="16"/>
        </w:rPr>
      </w:pPr>
      <w:r w:rsidRPr="00E718B3">
        <w:rPr>
          <w:rStyle w:val="Refdenotaalpie"/>
          <w:rFonts w:ascii="Verdana" w:hAnsi="Verdana" w:cs="Arial"/>
          <w:color w:val="000000" w:themeColor="text1"/>
          <w:sz w:val="16"/>
          <w:szCs w:val="16"/>
        </w:rPr>
        <w:footnoteRef/>
      </w:r>
      <w:r w:rsidRPr="00E718B3">
        <w:rPr>
          <w:rFonts w:ascii="Verdana" w:hAnsi="Verdana" w:cs="Arial"/>
          <w:color w:val="000000" w:themeColor="text1"/>
          <w:sz w:val="16"/>
          <w:szCs w:val="16"/>
        </w:rPr>
        <w:t xml:space="preserve"> PODETTI, Humberto. El contrato de construcción. Buenos Aires: Editorial Astrea, 2004, p. 248.</w:t>
      </w:r>
    </w:p>
  </w:footnote>
  <w:footnote w:id="21">
    <w:p w14:paraId="4CBC10C3" w14:textId="77777777" w:rsidR="00123A1C" w:rsidRPr="00E718B3" w:rsidRDefault="00123A1C" w:rsidP="00123A1C">
      <w:pPr>
        <w:spacing w:after="0"/>
        <w:ind w:firstLine="709"/>
        <w:jc w:val="both"/>
        <w:rPr>
          <w:rFonts w:ascii="Verdana" w:hAnsi="Verdana" w:cs="Arial"/>
          <w:color w:val="000000" w:themeColor="text1"/>
          <w:sz w:val="16"/>
          <w:szCs w:val="16"/>
        </w:rPr>
      </w:pPr>
      <w:r w:rsidRPr="00E718B3">
        <w:rPr>
          <w:rStyle w:val="Refdenotaalpie"/>
          <w:rFonts w:ascii="Verdana" w:hAnsi="Verdana" w:cs="Arial"/>
          <w:color w:val="000000" w:themeColor="text1"/>
          <w:sz w:val="16"/>
          <w:szCs w:val="16"/>
        </w:rPr>
        <w:footnoteRef/>
      </w:r>
      <w:r w:rsidRPr="00E718B3">
        <w:rPr>
          <w:rFonts w:ascii="Verdana" w:hAnsi="Verdana" w:cs="Arial"/>
          <w:color w:val="000000" w:themeColor="text1"/>
          <w:sz w:val="16"/>
          <w:szCs w:val="16"/>
        </w:rPr>
        <w:t xml:space="preserve"> </w:t>
      </w:r>
      <w:r w:rsidRPr="00E718B3">
        <w:rPr>
          <w:rFonts w:ascii="Verdana" w:hAnsi="Verdana" w:cs="Arial"/>
          <w:i/>
          <w:color w:val="000000" w:themeColor="text1"/>
          <w:sz w:val="16"/>
          <w:szCs w:val="16"/>
        </w:rPr>
        <w:t>Ibidem</w:t>
      </w:r>
      <w:r w:rsidRPr="00E718B3">
        <w:rPr>
          <w:rFonts w:ascii="Verdana" w:hAnsi="Verdana" w:cs="Arial"/>
          <w:color w:val="000000" w:themeColor="text1"/>
          <w:sz w:val="16"/>
          <w:szCs w:val="16"/>
        </w:rPr>
        <w:t xml:space="preserve">., pp. 248-249. </w:t>
      </w:r>
    </w:p>
  </w:footnote>
  <w:footnote w:id="22">
    <w:p w14:paraId="65DBDBB5" w14:textId="77777777" w:rsidR="00123A1C" w:rsidRPr="00E718B3" w:rsidRDefault="00123A1C" w:rsidP="00123A1C">
      <w:pPr>
        <w:pStyle w:val="Textonotapie"/>
        <w:ind w:firstLine="708"/>
        <w:jc w:val="both"/>
        <w:rPr>
          <w:rFonts w:ascii="Verdana" w:hAnsi="Verdana" w:cs="Arial"/>
          <w:sz w:val="16"/>
          <w:szCs w:val="16"/>
        </w:rPr>
      </w:pPr>
      <w:r w:rsidRPr="00E718B3">
        <w:rPr>
          <w:rStyle w:val="Refdenotaalpie"/>
          <w:rFonts w:ascii="Verdana" w:hAnsi="Verdana" w:cs="Arial"/>
          <w:sz w:val="16"/>
          <w:szCs w:val="16"/>
        </w:rPr>
        <w:footnoteRef/>
      </w:r>
      <w:r w:rsidRPr="00E718B3">
        <w:rPr>
          <w:rFonts w:ascii="Verdana" w:hAnsi="Verdana" w:cs="Arial"/>
          <w:sz w:val="16"/>
          <w:szCs w:val="16"/>
        </w:rPr>
        <w:t xml:space="preserve"> SUÁREZ BELTRÁN, Ob. cit., p.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8AAE9" w14:textId="77777777" w:rsidR="00123A1C" w:rsidRDefault="00123A1C"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03BA5D6" wp14:editId="0B55A8BC">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036EB4B" wp14:editId="05ED90E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C1185A9" w14:textId="77777777" w:rsidR="00123A1C" w:rsidRDefault="00123A1C">
    <w:pPr>
      <w:pStyle w:val="Encabezado"/>
    </w:pPr>
  </w:p>
  <w:p w14:paraId="67417624" w14:textId="77777777" w:rsidR="00123A1C" w:rsidRPr="004A305D" w:rsidRDefault="00123A1C" w:rsidP="00B01B1A">
    <w:pPr>
      <w:spacing w:after="0" w:line="120" w:lineRule="auto"/>
      <w:rPr>
        <w:rFonts w:ascii="Century Gothic" w:eastAsia="Geo" w:hAnsi="Century Gothic" w:cs="Geo"/>
        <w:sz w:val="16"/>
        <w:szCs w:val="16"/>
        <w:lang w:eastAsia="es-CO"/>
      </w:rPr>
    </w:pPr>
  </w:p>
  <w:p w14:paraId="555E236F" w14:textId="77777777" w:rsidR="00123A1C" w:rsidRDefault="00123A1C" w:rsidP="00844AE9">
    <w:pPr>
      <w:spacing w:after="0" w:line="240" w:lineRule="auto"/>
      <w:rPr>
        <w:rFonts w:ascii="Verdana" w:hAnsi="Verdana"/>
        <w:sz w:val="24"/>
        <w:szCs w:val="24"/>
      </w:rPr>
    </w:pPr>
  </w:p>
  <w:p w14:paraId="178249CB" w14:textId="77777777" w:rsidR="00123A1C" w:rsidRPr="00C925AC" w:rsidRDefault="00123A1C"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3"/>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92261824">
    <w:abstractNumId w:val="1"/>
  </w:num>
  <w:num w:numId="4" w16cid:durableId="679089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A1C"/>
    <w:rsid w:val="00034D88"/>
    <w:rsid w:val="00123A1C"/>
    <w:rsid w:val="004115F6"/>
    <w:rsid w:val="00474DF4"/>
    <w:rsid w:val="00485D25"/>
    <w:rsid w:val="004F471F"/>
    <w:rsid w:val="0076050B"/>
    <w:rsid w:val="00845E38"/>
    <w:rsid w:val="00915BD7"/>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266E7"/>
  <w15:chartTrackingRefBased/>
  <w15:docId w15:val="{4818CA40-068B-4EA3-A035-70C1298CE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A1C"/>
    <w:rPr>
      <w:kern w:val="0"/>
      <w14:ligatures w14:val="none"/>
    </w:rPr>
  </w:style>
  <w:style w:type="paragraph" w:styleId="Ttulo1">
    <w:name w:val="heading 1"/>
    <w:basedOn w:val="Normal"/>
    <w:next w:val="Normal"/>
    <w:link w:val="Ttulo1Car"/>
    <w:uiPriority w:val="9"/>
    <w:qFormat/>
    <w:rsid w:val="00123A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23A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23A1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23A1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23A1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23A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23A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23A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23A1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23A1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23A1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23A1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23A1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23A1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23A1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23A1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23A1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23A1C"/>
    <w:rPr>
      <w:rFonts w:eastAsiaTheme="majorEastAsia" w:cstheme="majorBidi"/>
      <w:color w:val="272727" w:themeColor="text1" w:themeTint="D8"/>
    </w:rPr>
  </w:style>
  <w:style w:type="paragraph" w:styleId="Ttulo">
    <w:name w:val="Title"/>
    <w:basedOn w:val="Normal"/>
    <w:next w:val="Normal"/>
    <w:link w:val="TtuloCar"/>
    <w:uiPriority w:val="10"/>
    <w:qFormat/>
    <w:rsid w:val="00123A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23A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23A1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23A1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23A1C"/>
    <w:pPr>
      <w:spacing w:before="160"/>
      <w:jc w:val="center"/>
    </w:pPr>
    <w:rPr>
      <w:i/>
      <w:iCs/>
      <w:color w:val="404040" w:themeColor="text1" w:themeTint="BF"/>
    </w:rPr>
  </w:style>
  <w:style w:type="character" w:customStyle="1" w:styleId="CitaCar">
    <w:name w:val="Cita Car"/>
    <w:basedOn w:val="Fuentedeprrafopredeter"/>
    <w:link w:val="Cita"/>
    <w:uiPriority w:val="29"/>
    <w:rsid w:val="00123A1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123A1C"/>
    <w:pPr>
      <w:ind w:left="720"/>
      <w:contextualSpacing/>
    </w:pPr>
  </w:style>
  <w:style w:type="character" w:styleId="nfasisintenso">
    <w:name w:val="Intense Emphasis"/>
    <w:basedOn w:val="Fuentedeprrafopredeter"/>
    <w:uiPriority w:val="21"/>
    <w:qFormat/>
    <w:rsid w:val="00123A1C"/>
    <w:rPr>
      <w:i/>
      <w:iCs/>
      <w:color w:val="2F5496" w:themeColor="accent1" w:themeShade="BF"/>
    </w:rPr>
  </w:style>
  <w:style w:type="paragraph" w:styleId="Citadestacada">
    <w:name w:val="Intense Quote"/>
    <w:basedOn w:val="Normal"/>
    <w:next w:val="Normal"/>
    <w:link w:val="CitadestacadaCar"/>
    <w:uiPriority w:val="30"/>
    <w:qFormat/>
    <w:rsid w:val="00123A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23A1C"/>
    <w:rPr>
      <w:i/>
      <w:iCs/>
      <w:color w:val="2F5496" w:themeColor="accent1" w:themeShade="BF"/>
    </w:rPr>
  </w:style>
  <w:style w:type="character" w:styleId="Referenciaintensa">
    <w:name w:val="Intense Reference"/>
    <w:basedOn w:val="Fuentedeprrafopredeter"/>
    <w:uiPriority w:val="32"/>
    <w:qFormat/>
    <w:rsid w:val="00123A1C"/>
    <w:rPr>
      <w:b/>
      <w:bCs/>
      <w:smallCaps/>
      <w:color w:val="2F5496" w:themeColor="accent1" w:themeShade="BF"/>
      <w:spacing w:val="5"/>
    </w:rPr>
  </w:style>
  <w:style w:type="paragraph" w:styleId="Encabezado">
    <w:name w:val="header"/>
    <w:basedOn w:val="Normal"/>
    <w:link w:val="EncabezadoCar"/>
    <w:uiPriority w:val="99"/>
    <w:unhideWhenUsed/>
    <w:rsid w:val="00123A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23A1C"/>
    <w:rPr>
      <w:kern w:val="0"/>
      <w14:ligatures w14:val="none"/>
    </w:rPr>
  </w:style>
  <w:style w:type="paragraph" w:styleId="Piedepgina">
    <w:name w:val="footer"/>
    <w:basedOn w:val="Normal"/>
    <w:link w:val="PiedepginaCar"/>
    <w:uiPriority w:val="99"/>
    <w:unhideWhenUsed/>
    <w:rsid w:val="00123A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23A1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23A1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23A1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23A1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23A1C"/>
    <w:rPr>
      <w:vertAlign w:val="superscript"/>
    </w:rPr>
  </w:style>
  <w:style w:type="character" w:customStyle="1" w:styleId="normaltextrun">
    <w:name w:val="normaltextrun"/>
    <w:basedOn w:val="Fuentedeprrafopredeter"/>
    <w:rsid w:val="00123A1C"/>
  </w:style>
  <w:style w:type="table" w:styleId="Tablaconcuadrcula">
    <w:name w:val="Table Grid"/>
    <w:basedOn w:val="Tablanormal"/>
    <w:uiPriority w:val="39"/>
    <w:qFormat/>
    <w:rsid w:val="00123A1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23A1C"/>
    <w:rPr>
      <w:color w:val="0000FF"/>
      <w:u w:val="single"/>
    </w:rPr>
  </w:style>
  <w:style w:type="paragraph" w:customStyle="1" w:styleId="paragraph">
    <w:name w:val="paragraph"/>
    <w:basedOn w:val="Normal"/>
    <w:rsid w:val="00123A1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23A1C"/>
  </w:style>
  <w:style w:type="paragraph" w:customStyle="1" w:styleId="Appelnotedebasde">
    <w:name w:val="Appel note de bas de..."/>
    <w:basedOn w:val="Normal"/>
    <w:link w:val="Refdenotaalpie"/>
    <w:uiPriority w:val="99"/>
    <w:rsid w:val="00123A1C"/>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123A1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23A1C"/>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123A1C"/>
    <w:pPr>
      <w:spacing w:after="0" w:line="240" w:lineRule="auto"/>
    </w:pPr>
    <w:rPr>
      <w:kern w:val="0"/>
      <w14:ligatures w14:val="none"/>
    </w:rPr>
    <w:tblPr/>
  </w:style>
  <w:style w:type="character" w:customStyle="1" w:styleId="s15">
    <w:name w:val="s15"/>
    <w:basedOn w:val="Fuentedeprrafopredeter"/>
    <w:rsid w:val="00123A1C"/>
  </w:style>
  <w:style w:type="character" w:customStyle="1" w:styleId="apple-converted-space">
    <w:name w:val="apple-converted-space"/>
    <w:basedOn w:val="Fuentedeprrafopredeter"/>
    <w:rsid w:val="00123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cce_documentos/cce-eicp-gi-18._gees_v.2_2.pdf"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nierogard@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revistas.uexternado.edu.co/index.php/derest/article/view/706" TargetMode="External"/><Relationship Id="rId2" Type="http://schemas.openxmlformats.org/officeDocument/2006/relationships/hyperlink" Target="http://www.secretariasenado.gov.co/senado/basedoc/ley_1508_2012.html" TargetMode="External"/><Relationship Id="rId1" Type="http://schemas.openxmlformats.org/officeDocument/2006/relationships/hyperlink" Target="https://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F1D451-7B7B-48EE-A8EB-4A803B5F9D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3CDB5B-AEC9-4106-A33E-9E5B11F9417A}">
  <ds:schemaRefs>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9d85dbaf-23eb-4e57-a637-93dcacc8b1a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C8419FFB-3FA9-4FDB-B618-F5BD85D69564}">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29</Pages>
  <Words>10171</Words>
  <Characters>55232</Characters>
  <Application>Microsoft Office Word</Application>
  <DocSecurity>0</DocSecurity>
  <Lines>1042</Lines>
  <Paragraphs>195</Paragraphs>
  <ScaleCrop>false</ScaleCrop>
  <Company/>
  <LinksUpToDate>false</LinksUpToDate>
  <CharactersWithSpaces>65208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2026-01-20T19:56:00Z</dcterms:created>
  <dcterms:modified xsi:type="dcterms:W3CDTF">2026-01-20T19:56:00Z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