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314C6" w14:textId="77777777" w:rsidR="00B94F6C" w:rsidRPr="00D17B0D" w:rsidRDefault="00B94F6C" w:rsidP="00B94F6C">
      <w:pPr>
        <w:spacing w:after="0" w:line="240" w:lineRule="auto"/>
        <w:jc w:val="both"/>
        <w:rPr>
          <w:rFonts w:ascii="Verdana" w:eastAsia="Calibri" w:hAnsi="Verdana" w:cs="Arial"/>
          <w:b/>
          <w:bCs/>
          <w:lang w:val="es-MX"/>
        </w:rPr>
      </w:pPr>
      <w:bookmarkStart w:id="0" w:name="_Hlk181166130"/>
      <w:bookmarkStart w:id="1" w:name="_Hlk209714638"/>
      <w:r w:rsidRPr="00D17B0D">
        <w:rPr>
          <w:rFonts w:ascii="Verdana" w:eastAsia="Calibri" w:hAnsi="Verdana" w:cs="Arial"/>
          <w:b/>
          <w:bCs/>
          <w:lang w:val="es-MX"/>
        </w:rPr>
        <w:t xml:space="preserve">PRECIOS ARTIFICIALMENTE BAJOS </w:t>
      </w:r>
      <w:r w:rsidRPr="00D17B0D">
        <w:rPr>
          <w:rFonts w:ascii="Verdana" w:eastAsia="Calibri" w:hAnsi="Verdana" w:cs="Arial"/>
          <w:b/>
          <w:lang w:val="es-MX"/>
        </w:rPr>
        <w:t>–</w:t>
      </w:r>
      <w:r w:rsidRPr="00D17B0D">
        <w:rPr>
          <w:rFonts w:ascii="Verdana" w:eastAsia="Calibri" w:hAnsi="Verdana" w:cs="Arial"/>
          <w:b/>
          <w:bCs/>
          <w:lang w:val="es-MX"/>
        </w:rPr>
        <w:t xml:space="preserve"> Noción</w:t>
      </w:r>
    </w:p>
    <w:p w14:paraId="13F0B11F" w14:textId="77777777" w:rsidR="00B94F6C" w:rsidRPr="00D17B0D" w:rsidRDefault="00B94F6C" w:rsidP="00B94F6C">
      <w:pPr>
        <w:spacing w:after="0" w:line="240" w:lineRule="auto"/>
        <w:jc w:val="both"/>
        <w:rPr>
          <w:rFonts w:ascii="Verdana" w:eastAsia="Calibri" w:hAnsi="Verdana" w:cs="Arial"/>
          <w:sz w:val="20"/>
          <w:szCs w:val="20"/>
          <w:highlight w:val="yellow"/>
          <w:lang w:val="es-ES"/>
        </w:rPr>
      </w:pPr>
    </w:p>
    <w:p w14:paraId="13C7A6CB" w14:textId="77777777" w:rsidR="00B94F6C"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Es importante definir el concepto de </w:t>
      </w:r>
      <w:r>
        <w:rPr>
          <w:rFonts w:ascii="Verdana" w:eastAsia="Calibri" w:hAnsi="Verdana" w:cs="Arial"/>
          <w:sz w:val="20"/>
          <w:szCs w:val="20"/>
          <w:lang w:val="es-ES"/>
        </w:rPr>
        <w:t>“</w:t>
      </w:r>
      <w:r w:rsidRPr="00D17B0D">
        <w:rPr>
          <w:rFonts w:ascii="Verdana" w:eastAsia="Calibri" w:hAnsi="Verdana" w:cs="Arial"/>
          <w:sz w:val="20"/>
          <w:szCs w:val="20"/>
          <w:lang w:val="es-ES"/>
        </w:rPr>
        <w:t>precio artificialmente bajo</w:t>
      </w:r>
      <w:r>
        <w:rPr>
          <w:rFonts w:ascii="Verdana" w:eastAsia="Calibri" w:hAnsi="Verdana" w:cs="Arial"/>
          <w:sz w:val="20"/>
          <w:szCs w:val="20"/>
          <w:lang w:val="es-ES"/>
        </w:rPr>
        <w:t>”</w:t>
      </w:r>
      <w:r w:rsidRPr="00D17B0D">
        <w:rPr>
          <w:rFonts w:ascii="Verdana" w:eastAsia="Calibri" w:hAnsi="Verdana" w:cs="Arial"/>
          <w:sz w:val="20"/>
          <w:szCs w:val="20"/>
          <w:lang w:val="es-ES"/>
        </w:rPr>
        <w:t>, por lo cual la jurisprudencia de la Sección Tercera del Consejo de Estado señala que es aquel que, por un lado, resulta artificioso, disimulado o falso y, por el otro, no tiene sustento o fundamento en relación con su estructuración dentro del tráfico comercial:</w:t>
      </w:r>
    </w:p>
    <w:p w14:paraId="6D566A86" w14:textId="77777777" w:rsidR="00B94F6C" w:rsidRPr="00D17B0D"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ab/>
      </w:r>
    </w:p>
    <w:p w14:paraId="27417A09" w14:textId="77777777" w:rsidR="00B94F6C" w:rsidRPr="00D17B0D"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El denominado </w:t>
      </w:r>
      <w:r>
        <w:rPr>
          <w:rFonts w:ascii="Verdana" w:eastAsia="Calibri" w:hAnsi="Verdana" w:cs="Arial"/>
          <w:sz w:val="20"/>
          <w:szCs w:val="20"/>
          <w:lang w:val="es-ES"/>
        </w:rPr>
        <w:t>“</w:t>
      </w:r>
      <w:r w:rsidRPr="00D17B0D">
        <w:rPr>
          <w:rFonts w:ascii="Verdana" w:eastAsia="Calibri" w:hAnsi="Verdana" w:cs="Arial"/>
          <w:sz w:val="20"/>
          <w:szCs w:val="20"/>
          <w:lang w:val="es-ES"/>
        </w:rPr>
        <w:t>precio artificialmente bajo</w:t>
      </w:r>
      <w:r>
        <w:rPr>
          <w:rFonts w:ascii="Verdana" w:eastAsia="Calibri" w:hAnsi="Verdana" w:cs="Arial"/>
          <w:sz w:val="20"/>
          <w:szCs w:val="20"/>
          <w:lang w:val="es-ES"/>
        </w:rPr>
        <w:t>”</w:t>
      </w:r>
      <w:r w:rsidRPr="00D17B0D">
        <w:rPr>
          <w:rFonts w:ascii="Verdana" w:eastAsia="Calibri" w:hAnsi="Verdana" w:cs="Arial"/>
          <w:sz w:val="20"/>
          <w:szCs w:val="20"/>
          <w:lang w:val="es-ES"/>
        </w:rPr>
        <w:t xml:space="preserve">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p>
    <w:p w14:paraId="15F37FB7" w14:textId="77777777" w:rsidR="00B94F6C" w:rsidRPr="00D17B0D" w:rsidRDefault="00B94F6C" w:rsidP="00B94F6C">
      <w:pPr>
        <w:spacing w:after="0" w:line="240" w:lineRule="auto"/>
        <w:jc w:val="both"/>
        <w:rPr>
          <w:rFonts w:ascii="Verdana" w:eastAsia="Calibri" w:hAnsi="Verdana" w:cs="Arial"/>
          <w:sz w:val="20"/>
          <w:szCs w:val="20"/>
          <w:lang w:val="es-ES"/>
        </w:rPr>
      </w:pPr>
    </w:p>
    <w:p w14:paraId="39775E28" w14:textId="77777777" w:rsidR="00B94F6C" w:rsidRPr="00D17B0D" w:rsidRDefault="00B94F6C" w:rsidP="00B94F6C">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PRECIOS ARTIFICIALMENTE BAJOS </w:t>
      </w:r>
      <w:r w:rsidRPr="00D17B0D">
        <w:rPr>
          <w:rFonts w:ascii="Verdana" w:eastAsia="Calibri" w:hAnsi="Verdana" w:cs="Arial"/>
          <w:b/>
          <w:lang w:val="es-MX"/>
        </w:rPr>
        <w:t>–</w:t>
      </w:r>
      <w:r w:rsidRPr="00D17B0D">
        <w:rPr>
          <w:rFonts w:ascii="Verdana" w:eastAsia="Calibri" w:hAnsi="Verdana" w:cs="Arial"/>
          <w:b/>
          <w:bCs/>
          <w:lang w:val="es-MX"/>
        </w:rPr>
        <w:t xml:space="preserve"> Noción </w:t>
      </w:r>
      <w:r w:rsidRPr="00D17B0D">
        <w:rPr>
          <w:rFonts w:ascii="Verdana" w:eastAsia="Calibri" w:hAnsi="Verdana" w:cs="Arial"/>
          <w:b/>
          <w:lang w:val="es-MX"/>
        </w:rPr>
        <w:t>– Colombia Compra Eficiente</w:t>
      </w:r>
    </w:p>
    <w:p w14:paraId="3363F3BB" w14:textId="77777777" w:rsidR="00B94F6C" w:rsidRPr="00D17B0D" w:rsidRDefault="00B94F6C" w:rsidP="00B94F6C">
      <w:pPr>
        <w:spacing w:after="0" w:line="240" w:lineRule="auto"/>
        <w:jc w:val="both"/>
        <w:rPr>
          <w:rFonts w:ascii="Verdana" w:eastAsia="Calibri" w:hAnsi="Verdana" w:cs="Arial"/>
          <w:sz w:val="20"/>
          <w:szCs w:val="20"/>
          <w:highlight w:val="yellow"/>
          <w:lang w:val="es-ES"/>
        </w:rPr>
      </w:pPr>
    </w:p>
    <w:p w14:paraId="1C8A268D" w14:textId="77777777" w:rsidR="00B94F6C" w:rsidRPr="00D17B0D"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Con la precisión anterior, y para comenzar el análisis de la Guía, allí se establece que una oferta es artificialmente baja cuando </w:t>
      </w:r>
      <w:r>
        <w:rPr>
          <w:rFonts w:ascii="Verdana" w:eastAsia="Calibri" w:hAnsi="Verdana" w:cs="Arial"/>
          <w:sz w:val="20"/>
          <w:szCs w:val="20"/>
          <w:lang w:val="es-ES"/>
        </w:rPr>
        <w:t>“</w:t>
      </w:r>
      <w:r w:rsidRPr="00D17B0D">
        <w:rPr>
          <w:rFonts w:ascii="Verdana" w:eastAsia="Calibri" w:hAnsi="Verdana" w:cs="Arial"/>
          <w:sz w:val="20"/>
          <w:szCs w:val="20"/>
          <w:lang w:val="es-ES"/>
        </w:rPr>
        <w:t>[…] a criterio de la Entidad Estatal, el precio no parece suficiente para garantizar una correcta ejecución del contrato, de acuerdo con la información recogida durante la etapa de planeación y particularmente durante el Estudio del Sector</w:t>
      </w:r>
      <w:r>
        <w:rPr>
          <w:rFonts w:ascii="Verdana" w:eastAsia="Calibri" w:hAnsi="Verdana" w:cs="Arial"/>
          <w:sz w:val="20"/>
          <w:szCs w:val="20"/>
          <w:lang w:val="es-ES"/>
        </w:rPr>
        <w:t xml:space="preserve"> </w:t>
      </w:r>
      <w:r w:rsidRPr="00D17B0D">
        <w:rPr>
          <w:rFonts w:ascii="Verdana" w:eastAsia="Calibri" w:hAnsi="Verdana" w:cs="Arial"/>
          <w:sz w:val="20"/>
          <w:szCs w:val="20"/>
          <w:lang w:val="es-ES"/>
        </w:rPr>
        <w:t>[…]</w:t>
      </w:r>
      <w:r>
        <w:rPr>
          <w:rFonts w:ascii="Verdana" w:eastAsia="Calibri" w:hAnsi="Verdana" w:cs="Arial"/>
          <w:sz w:val="20"/>
          <w:szCs w:val="20"/>
          <w:lang w:val="es-ES"/>
        </w:rPr>
        <w:t>”</w:t>
      </w:r>
      <w:r w:rsidRPr="00D17B0D">
        <w:rPr>
          <w:rFonts w:ascii="Verdana" w:eastAsia="Calibri" w:hAnsi="Verdana" w:cs="Arial"/>
          <w:sz w:val="20"/>
          <w:szCs w:val="20"/>
          <w:lang w:val="es-ES"/>
        </w:rPr>
        <w:t xml:space="preserve">. En este punto, es importante diferenciar las </w:t>
      </w:r>
      <w:r>
        <w:rPr>
          <w:rFonts w:ascii="Verdana" w:eastAsia="Calibri" w:hAnsi="Verdana" w:cs="Arial"/>
          <w:sz w:val="20"/>
          <w:szCs w:val="20"/>
          <w:lang w:val="es-ES"/>
        </w:rPr>
        <w:t>“</w:t>
      </w:r>
      <w:r w:rsidRPr="00D17B0D">
        <w:rPr>
          <w:rFonts w:ascii="Verdana" w:eastAsia="Calibri" w:hAnsi="Verdana" w:cs="Arial"/>
          <w:sz w:val="20"/>
          <w:szCs w:val="20"/>
          <w:lang w:val="es-ES"/>
        </w:rPr>
        <w:t>ofertas artificialmente bajas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las </w:t>
      </w:r>
      <w:r>
        <w:rPr>
          <w:rFonts w:ascii="Verdana" w:eastAsia="Calibri" w:hAnsi="Verdana" w:cs="Arial"/>
          <w:sz w:val="20"/>
          <w:szCs w:val="20"/>
          <w:lang w:val="es-ES"/>
        </w:rPr>
        <w:t>“</w:t>
      </w:r>
      <w:r w:rsidRPr="00D17B0D">
        <w:rPr>
          <w:rFonts w:ascii="Verdana" w:eastAsia="Calibri" w:hAnsi="Verdana" w:cs="Arial"/>
          <w:sz w:val="20"/>
          <w:szCs w:val="20"/>
          <w:lang w:val="es-ES"/>
        </w:rPr>
        <w:t>ofertas competitivas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entendiendo por estas últimas aquellas </w:t>
      </w:r>
      <w:r>
        <w:rPr>
          <w:rFonts w:ascii="Verdana" w:eastAsia="Calibri" w:hAnsi="Verdana" w:cs="Arial"/>
          <w:sz w:val="20"/>
          <w:szCs w:val="20"/>
          <w:lang w:val="es-ES"/>
        </w:rPr>
        <w:t>“</w:t>
      </w:r>
      <w:r w:rsidRPr="00D17B0D">
        <w:rPr>
          <w:rFonts w:ascii="Verdana" w:eastAsia="Calibri" w:hAnsi="Verdana" w:cs="Arial"/>
          <w:sz w:val="20"/>
          <w:szCs w:val="20"/>
          <w:lang w:val="es-ES"/>
        </w:rPr>
        <w:t>que tienen en su estructura de costos economías de escala o economías de alcance, que permiten generar un bien o un servicio a menor costo que el [del] resto de proveedores en el mercado</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según lo establece la Guía mencionada.  </w:t>
      </w:r>
    </w:p>
    <w:p w14:paraId="7AF5ABFC" w14:textId="77777777" w:rsidR="00B94F6C" w:rsidRPr="00D17B0D" w:rsidRDefault="00B94F6C" w:rsidP="00B94F6C">
      <w:pPr>
        <w:spacing w:after="0" w:line="240" w:lineRule="auto"/>
        <w:jc w:val="both"/>
        <w:rPr>
          <w:rFonts w:ascii="Verdana" w:eastAsia="Calibri" w:hAnsi="Verdana" w:cs="Arial"/>
          <w:sz w:val="20"/>
          <w:szCs w:val="20"/>
          <w:highlight w:val="yellow"/>
          <w:lang w:val="es-ES"/>
        </w:rPr>
      </w:pPr>
    </w:p>
    <w:p w14:paraId="3DD3EEAA" w14:textId="77777777" w:rsidR="00B94F6C" w:rsidRPr="00D17B0D" w:rsidRDefault="00B94F6C" w:rsidP="00B94F6C">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GUÍA PARA EL MANEJO DE OFERTAS ARTIFICIALMENTE BAJAS </w:t>
      </w:r>
      <w:r w:rsidRPr="00D17B0D">
        <w:rPr>
          <w:rFonts w:ascii="Verdana" w:eastAsia="Calibri" w:hAnsi="Verdana" w:cs="Arial"/>
          <w:b/>
          <w:lang w:val="es-MX"/>
        </w:rPr>
        <w:t>– Identificación</w:t>
      </w:r>
    </w:p>
    <w:p w14:paraId="0677BD03" w14:textId="77777777" w:rsidR="00B94F6C" w:rsidRPr="00D17B0D" w:rsidRDefault="00B94F6C" w:rsidP="00B94F6C">
      <w:pPr>
        <w:spacing w:after="0" w:line="240" w:lineRule="auto"/>
        <w:jc w:val="both"/>
        <w:rPr>
          <w:rFonts w:ascii="Verdana" w:eastAsia="Calibri" w:hAnsi="Verdana" w:cs="Arial"/>
          <w:sz w:val="20"/>
          <w:szCs w:val="20"/>
          <w:highlight w:val="yellow"/>
          <w:lang w:val="es-ES"/>
        </w:rPr>
      </w:pPr>
    </w:p>
    <w:p w14:paraId="3A9AD9FB" w14:textId="77777777" w:rsidR="00B94F6C" w:rsidRPr="00D17B0D"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Con esta información, la Guía propone dos (2) </w:t>
      </w:r>
      <w:r>
        <w:rPr>
          <w:rFonts w:ascii="Verdana" w:eastAsia="Calibri" w:hAnsi="Verdana" w:cs="Arial"/>
          <w:sz w:val="20"/>
          <w:szCs w:val="20"/>
          <w:lang w:val="es-ES"/>
        </w:rPr>
        <w:t>“</w:t>
      </w:r>
      <w:r w:rsidRPr="00D17B0D">
        <w:rPr>
          <w:rFonts w:ascii="Verdana" w:eastAsia="Calibri" w:hAnsi="Verdana" w:cs="Arial"/>
          <w:sz w:val="20"/>
          <w:szCs w:val="20"/>
          <w:lang w:val="es-ES"/>
        </w:rPr>
        <w:t>herramientas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una (1) </w:t>
      </w:r>
      <w:r>
        <w:rPr>
          <w:rFonts w:ascii="Verdana" w:eastAsia="Calibri" w:hAnsi="Verdana" w:cs="Arial"/>
          <w:sz w:val="20"/>
          <w:szCs w:val="20"/>
          <w:lang w:val="es-ES"/>
        </w:rPr>
        <w:t>“</w:t>
      </w:r>
      <w:r w:rsidRPr="00D17B0D">
        <w:rPr>
          <w:rFonts w:ascii="Verdana" w:eastAsia="Calibri" w:hAnsi="Verdana" w:cs="Arial"/>
          <w:sz w:val="20"/>
          <w:szCs w:val="20"/>
          <w:lang w:val="es-ES"/>
        </w:rPr>
        <w:t>metodología</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su aplicación depende de la cantidad de ofertas que se presentaron al procedimiento. Para la primera herramienta, la entidad puede acudir a la comparación absoluta, para contrastar el valor de cada oferta con el costo estimado de la provisión del bien o servicio, de acuerdo con el estudio del sector, siempre y cuando haya recibido menos de cinco (5) ofertas. La regla es que si después de la comparación se encuentran ofertas menores en un 20% o un mayor porcentaje respecto del costo estimado por la entidad, se considerará que ofrecen precios artificialmente bajos. Por consiguiente, esta herramienta no se puede aplicar cuando se reciben cinco (5) o más ofertas, y no todas las ofertas deben ser tratadas por posibles </w:t>
      </w:r>
      <w:r>
        <w:rPr>
          <w:rFonts w:ascii="Verdana" w:eastAsia="Calibri" w:hAnsi="Verdana" w:cs="Arial"/>
          <w:sz w:val="20"/>
          <w:szCs w:val="20"/>
          <w:lang w:val="es-ES"/>
        </w:rPr>
        <w:t>“</w:t>
      </w:r>
      <w:r w:rsidRPr="00D17B0D">
        <w:rPr>
          <w:rFonts w:ascii="Verdana" w:eastAsia="Calibri" w:hAnsi="Verdana" w:cs="Arial"/>
          <w:sz w:val="20"/>
          <w:szCs w:val="20"/>
          <w:lang w:val="es-ES"/>
        </w:rPr>
        <w:t>precios artificialmente bajos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sino aquellas con un valor por debajo del 20% o un porcentaje superior, respecto del valor que la entidad definió como precio del bien, obra o servicio.</w:t>
      </w:r>
    </w:p>
    <w:p w14:paraId="61A94D5F" w14:textId="77777777" w:rsidR="00B94F6C" w:rsidRDefault="00B94F6C" w:rsidP="00B94F6C">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La segunda herramienta, denominada comparación relativa, corresponde a la </w:t>
      </w:r>
      <w:r>
        <w:rPr>
          <w:rFonts w:ascii="Verdana" w:eastAsia="Calibri" w:hAnsi="Verdana" w:cs="Arial"/>
          <w:sz w:val="20"/>
          <w:szCs w:val="20"/>
          <w:lang w:val="es-ES"/>
        </w:rPr>
        <w:t>“</w:t>
      </w:r>
      <w:r w:rsidRPr="00D17B0D">
        <w:rPr>
          <w:rFonts w:ascii="Verdana" w:eastAsia="Calibri" w:hAnsi="Verdana" w:cs="Arial"/>
          <w:sz w:val="20"/>
          <w:szCs w:val="20"/>
          <w:lang w:val="es-ES"/>
        </w:rPr>
        <w:t>comparación de cada oferta con las demás presentadas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sin que se indique la cantidad </w:t>
      </w:r>
      <w:r w:rsidRPr="00D17B0D">
        <w:rPr>
          <w:rFonts w:ascii="Verdana" w:eastAsia="Calibri" w:hAnsi="Verdana" w:cs="Arial"/>
          <w:sz w:val="20"/>
          <w:szCs w:val="20"/>
          <w:lang w:val="es-ES"/>
        </w:rPr>
        <w:lastRenderedPageBreak/>
        <w:t xml:space="preserve">de ofertas que debió recibir la entidad, por lo cual nada obsta para aplicarla, independientemente del número de ofertas presentadas al procedimiento. […] Por otra parte, Colombia Compra Eficiente ha sugerido aplicar la siguiente metodología con pasos sucesivos, para identificar ofertas que pueden tener </w:t>
      </w:r>
      <w:r>
        <w:rPr>
          <w:rFonts w:ascii="Verdana" w:eastAsia="Calibri" w:hAnsi="Verdana" w:cs="Arial"/>
          <w:sz w:val="20"/>
          <w:szCs w:val="20"/>
          <w:lang w:val="es-ES"/>
        </w:rPr>
        <w:t>“</w:t>
      </w:r>
      <w:r w:rsidRPr="00D17B0D">
        <w:rPr>
          <w:rFonts w:ascii="Verdana" w:eastAsia="Calibri" w:hAnsi="Verdana" w:cs="Arial"/>
          <w:sz w:val="20"/>
          <w:szCs w:val="20"/>
          <w:lang w:val="es-ES"/>
        </w:rPr>
        <w:t>precios artificialmente bajos</w:t>
      </w:r>
      <w:r>
        <w:rPr>
          <w:rFonts w:ascii="Verdana" w:eastAsia="Calibri" w:hAnsi="Verdana" w:cs="Arial"/>
          <w:sz w:val="20"/>
          <w:szCs w:val="20"/>
          <w:lang w:val="es-ES"/>
        </w:rPr>
        <w:t>”</w:t>
      </w:r>
      <w:r w:rsidRPr="00D17B0D">
        <w:rPr>
          <w:rFonts w:ascii="Verdana" w:eastAsia="Calibri" w:hAnsi="Verdana" w:cs="Arial"/>
          <w:sz w:val="20"/>
          <w:szCs w:val="20"/>
          <w:lang w:val="es-ES"/>
        </w:rPr>
        <w:t>, en los procedimientos donde hay cinco (5) o más ofertas, es decir, no es posible aplicarla cuando se reciben menos de cinco (5) ofertas: i) tomar el conjunto de ofertas a evaluar, ii) calcular la mediana, o dependiendo de la dispersión de los datos el promedio, del valor de cada oferta o de cada ítem dentro de la oferta, iii) calcular la desviación estándar del conjunto y iv) determinar el valor mínimo aceptable.</w:t>
      </w:r>
    </w:p>
    <w:p w14:paraId="370A1186" w14:textId="77777777" w:rsidR="00B94F6C" w:rsidRPr="00D17B0D" w:rsidRDefault="00B94F6C" w:rsidP="00B94F6C">
      <w:pPr>
        <w:spacing w:after="0" w:line="240" w:lineRule="auto"/>
        <w:jc w:val="both"/>
        <w:rPr>
          <w:rFonts w:ascii="Verdana" w:eastAsia="Calibri" w:hAnsi="Verdana" w:cs="Arial"/>
          <w:sz w:val="20"/>
          <w:szCs w:val="20"/>
          <w:lang w:val="es-ES"/>
        </w:rPr>
      </w:pPr>
    </w:p>
    <w:p w14:paraId="184F1D9F" w14:textId="77777777" w:rsidR="00B94F6C" w:rsidRPr="00D17B0D" w:rsidRDefault="00B94F6C" w:rsidP="00B94F6C">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GUÍA PARA EL MANEJO DE OFERTAS ARTIFICIALMENTE BAJAS </w:t>
      </w:r>
      <w:r w:rsidRPr="00D17B0D">
        <w:rPr>
          <w:rFonts w:ascii="Verdana" w:eastAsia="Calibri" w:hAnsi="Verdana" w:cs="Arial"/>
          <w:b/>
          <w:lang w:val="es-MX"/>
        </w:rPr>
        <w:t>– Manejo</w:t>
      </w:r>
    </w:p>
    <w:p w14:paraId="2E300B5E" w14:textId="77777777" w:rsidR="00B94F6C" w:rsidRPr="00D17B0D" w:rsidRDefault="00B94F6C" w:rsidP="00B94F6C">
      <w:pPr>
        <w:spacing w:after="0" w:line="240" w:lineRule="auto"/>
        <w:jc w:val="both"/>
        <w:rPr>
          <w:rFonts w:ascii="Verdana" w:eastAsia="Calibri" w:hAnsi="Verdana" w:cs="Arial"/>
          <w:sz w:val="20"/>
          <w:szCs w:val="20"/>
          <w:highlight w:val="yellow"/>
          <w:lang w:val="es-ES"/>
        </w:rPr>
      </w:pPr>
    </w:p>
    <w:p w14:paraId="0430EE3E" w14:textId="77777777" w:rsidR="00B94F6C" w:rsidRPr="00D17B0D" w:rsidRDefault="00B94F6C" w:rsidP="00B94F6C">
      <w:pPr>
        <w:spacing w:after="0" w:line="240" w:lineRule="auto"/>
        <w:jc w:val="both"/>
        <w:rPr>
          <w:rFonts w:ascii="Verdana" w:eastAsia="Geomanist Light" w:hAnsi="Verdana" w:cs="Arial"/>
          <w:color w:val="000000" w:themeColor="text1"/>
          <w:lang w:val="es-MX"/>
        </w:rPr>
      </w:pPr>
      <w:r w:rsidRPr="00D17B0D">
        <w:rPr>
          <w:rFonts w:ascii="Verdana" w:eastAsia="Calibri" w:hAnsi="Verdana" w:cs="Arial"/>
          <w:sz w:val="20"/>
          <w:szCs w:val="20"/>
          <w:lang w:val="es-ES"/>
        </w:rPr>
        <w:t xml:space="preserve">Identificadas estas ofertas, la Guía sugiere realizar las siguientes actuaciones, observando lo dispuesto en el artículo 2.2.1.1.2.2.4. del Decreto 1082 de 2015: i) solicitar aclaración a los proponentes que hayan ofertado precios que parecen bajos injustificadamente, ii) analizar las explicaciones y iii) decidir </w:t>
      </w:r>
      <w:r>
        <w:rPr>
          <w:rFonts w:ascii="Verdana" w:eastAsia="Calibri" w:hAnsi="Verdana" w:cs="Arial"/>
          <w:sz w:val="20"/>
          <w:szCs w:val="20"/>
          <w:lang w:val="es-ES"/>
        </w:rPr>
        <w:t>“</w:t>
      </w:r>
      <w:r w:rsidRPr="00D17B0D">
        <w:rPr>
          <w:rFonts w:ascii="Verdana" w:eastAsia="Calibri" w:hAnsi="Verdana" w:cs="Arial"/>
          <w:sz w:val="20"/>
          <w:szCs w:val="20"/>
          <w:lang w:val="es-ES"/>
        </w:rPr>
        <w:t>si continúa con la evaluación de la oferta porque la explicación demuestra la habilidad del proponente para cumplir adecuadamente con el contrato con los precios ofrecidos, o rechazar la oferta si la explicación no sustenta los valores ofrecidos</w:t>
      </w:r>
      <w:r>
        <w:rPr>
          <w:rFonts w:ascii="Verdana" w:eastAsia="Calibri" w:hAnsi="Verdana" w:cs="Arial"/>
          <w:sz w:val="20"/>
          <w:szCs w:val="20"/>
          <w:lang w:val="es-ES"/>
        </w:rPr>
        <w:t>”</w:t>
      </w:r>
      <w:r w:rsidRPr="00D17B0D">
        <w:rPr>
          <w:rFonts w:ascii="Verdana" w:eastAsia="Calibri" w:hAnsi="Verdana" w:cs="Arial"/>
          <w:sz w:val="20"/>
          <w:szCs w:val="20"/>
          <w:lang w:val="es-ES"/>
        </w:rPr>
        <w:t>.</w:t>
      </w:r>
    </w:p>
    <w:p w14:paraId="643072E0" w14:textId="77777777" w:rsidR="00B94F6C" w:rsidRDefault="00B94F6C" w:rsidP="00B94F6C">
      <w:pPr>
        <w:spacing w:after="0"/>
        <w:rPr>
          <w:rFonts w:ascii="Verdana" w:hAnsi="Verdana"/>
        </w:rPr>
      </w:pPr>
    </w:p>
    <w:p w14:paraId="31B3D79D" w14:textId="77777777" w:rsidR="00B94F6C" w:rsidRDefault="00B94F6C" w:rsidP="00B94F6C">
      <w:pPr>
        <w:spacing w:after="0"/>
        <w:rPr>
          <w:rFonts w:ascii="Verdana" w:hAnsi="Verdana"/>
        </w:rPr>
      </w:pPr>
    </w:p>
    <w:p w14:paraId="5B636C83" w14:textId="77777777" w:rsidR="00B94F6C" w:rsidRDefault="00B94F6C" w:rsidP="00B94F6C">
      <w:pPr>
        <w:spacing w:after="0"/>
        <w:rPr>
          <w:rFonts w:ascii="Verdana" w:hAnsi="Verdana"/>
        </w:rPr>
      </w:pPr>
    </w:p>
    <w:p w14:paraId="1046CC90" w14:textId="77777777" w:rsidR="00B94F6C" w:rsidRDefault="00B94F6C" w:rsidP="00B94F6C">
      <w:pPr>
        <w:spacing w:after="0"/>
        <w:rPr>
          <w:rFonts w:ascii="Verdana" w:hAnsi="Verdana"/>
        </w:rPr>
      </w:pPr>
    </w:p>
    <w:p w14:paraId="0722642B" w14:textId="77777777" w:rsidR="00B94F6C" w:rsidRDefault="00B94F6C" w:rsidP="00B94F6C">
      <w:pPr>
        <w:spacing w:after="0"/>
        <w:rPr>
          <w:rFonts w:ascii="Verdana" w:hAnsi="Verdana"/>
        </w:rPr>
      </w:pPr>
    </w:p>
    <w:p w14:paraId="562FA6FE" w14:textId="77777777" w:rsidR="00EB6C9B" w:rsidRDefault="00EB6C9B" w:rsidP="00EB6C9B">
      <w:pPr>
        <w:spacing w:after="0" w:line="240" w:lineRule="auto"/>
        <w:rPr>
          <w:lang w:val="es-ES"/>
        </w:rPr>
      </w:pPr>
    </w:p>
    <w:p w14:paraId="7D263F74" w14:textId="77777777" w:rsidR="00EB6C9B" w:rsidRDefault="00EB6C9B" w:rsidP="00EB6C9B">
      <w:pPr>
        <w:spacing w:after="0" w:line="240" w:lineRule="auto"/>
        <w:rPr>
          <w:lang w:val="es-ES"/>
        </w:rPr>
      </w:pPr>
    </w:p>
    <w:p w14:paraId="3F5D3589" w14:textId="77777777" w:rsidR="00EB6C9B" w:rsidRDefault="00EB6C9B" w:rsidP="00EB6C9B">
      <w:pPr>
        <w:spacing w:after="0" w:line="240" w:lineRule="auto"/>
        <w:rPr>
          <w:lang w:val="es-ES"/>
        </w:rPr>
      </w:pPr>
    </w:p>
    <w:p w14:paraId="75DB8DED" w14:textId="77777777" w:rsidR="00EB6C9B" w:rsidRDefault="00EB6C9B" w:rsidP="00EB6C9B">
      <w:pPr>
        <w:spacing w:after="0" w:line="240" w:lineRule="auto"/>
        <w:rPr>
          <w:lang w:val="es-ES"/>
        </w:rPr>
      </w:pPr>
    </w:p>
    <w:p w14:paraId="02E0B00B" w14:textId="77777777" w:rsidR="00EB6C9B" w:rsidRDefault="00EB6C9B" w:rsidP="00EB6C9B">
      <w:pPr>
        <w:spacing w:after="0" w:line="240" w:lineRule="auto"/>
        <w:rPr>
          <w:lang w:val="es-ES"/>
        </w:rPr>
      </w:pPr>
    </w:p>
    <w:p w14:paraId="00CE3BB0" w14:textId="77777777" w:rsidR="00EB6C9B" w:rsidRDefault="00EB6C9B" w:rsidP="00EB6C9B">
      <w:pPr>
        <w:spacing w:after="0" w:line="240" w:lineRule="auto"/>
        <w:rPr>
          <w:lang w:val="es-ES"/>
        </w:rPr>
      </w:pPr>
    </w:p>
    <w:p w14:paraId="02D4906E" w14:textId="77777777" w:rsidR="00EB6C9B" w:rsidRDefault="00EB6C9B" w:rsidP="00EB6C9B">
      <w:pPr>
        <w:spacing w:after="0" w:line="240" w:lineRule="auto"/>
        <w:rPr>
          <w:lang w:val="es-ES"/>
        </w:rPr>
      </w:pPr>
    </w:p>
    <w:p w14:paraId="2FB58CFF" w14:textId="77777777" w:rsidR="00EB6C9B" w:rsidRDefault="00EB6C9B" w:rsidP="00EB6C9B">
      <w:pPr>
        <w:spacing w:after="0" w:line="240" w:lineRule="auto"/>
        <w:rPr>
          <w:lang w:val="es-ES"/>
        </w:rPr>
      </w:pPr>
    </w:p>
    <w:p w14:paraId="62EECC77" w14:textId="77777777" w:rsidR="00EB6C9B" w:rsidRDefault="00EB6C9B" w:rsidP="00EB6C9B">
      <w:pPr>
        <w:spacing w:after="0" w:line="240" w:lineRule="auto"/>
        <w:rPr>
          <w:lang w:val="es-ES"/>
        </w:rPr>
      </w:pPr>
    </w:p>
    <w:p w14:paraId="7E26CC3A" w14:textId="77777777" w:rsidR="00EB6C9B" w:rsidRDefault="00EB6C9B" w:rsidP="00EB6C9B">
      <w:pPr>
        <w:spacing w:after="0" w:line="240" w:lineRule="auto"/>
        <w:rPr>
          <w:lang w:val="es-ES"/>
        </w:rPr>
      </w:pPr>
    </w:p>
    <w:p w14:paraId="3175D13F" w14:textId="77777777" w:rsidR="00EB6C9B" w:rsidRDefault="00EB6C9B" w:rsidP="00EB6C9B">
      <w:pPr>
        <w:spacing w:after="0" w:line="240" w:lineRule="auto"/>
        <w:rPr>
          <w:lang w:val="es-ES"/>
        </w:rPr>
      </w:pPr>
    </w:p>
    <w:p w14:paraId="0FE92140" w14:textId="77777777" w:rsidR="00EB6C9B" w:rsidRDefault="00EB6C9B" w:rsidP="00EB6C9B">
      <w:pPr>
        <w:spacing w:after="0" w:line="240" w:lineRule="auto"/>
        <w:rPr>
          <w:lang w:val="es-ES"/>
        </w:rPr>
      </w:pPr>
    </w:p>
    <w:p w14:paraId="7DAD5309" w14:textId="77777777" w:rsidR="00EB6C9B" w:rsidRDefault="00EB6C9B" w:rsidP="00EB6C9B">
      <w:pPr>
        <w:spacing w:after="0" w:line="240" w:lineRule="auto"/>
        <w:rPr>
          <w:lang w:val="es-ES"/>
        </w:rPr>
      </w:pPr>
    </w:p>
    <w:p w14:paraId="7D5788B6" w14:textId="77777777" w:rsidR="00EB6C9B" w:rsidRDefault="00EB6C9B" w:rsidP="00EB6C9B">
      <w:pPr>
        <w:spacing w:after="0" w:line="240" w:lineRule="auto"/>
        <w:rPr>
          <w:lang w:val="es-ES"/>
        </w:rPr>
      </w:pPr>
    </w:p>
    <w:p w14:paraId="2224A57B" w14:textId="77777777" w:rsidR="00EB6C9B" w:rsidRDefault="00EB6C9B" w:rsidP="00EB6C9B">
      <w:pPr>
        <w:spacing w:after="0" w:line="240" w:lineRule="auto"/>
        <w:rPr>
          <w:lang w:val="es-ES"/>
        </w:rPr>
      </w:pPr>
    </w:p>
    <w:p w14:paraId="72ED20CB" w14:textId="77777777" w:rsidR="00EB6C9B" w:rsidRDefault="00EB6C9B" w:rsidP="00EB6C9B">
      <w:pPr>
        <w:spacing w:after="0" w:line="240" w:lineRule="auto"/>
        <w:rPr>
          <w:lang w:val="es-ES"/>
        </w:rPr>
      </w:pPr>
    </w:p>
    <w:p w14:paraId="0E100608" w14:textId="77777777" w:rsidR="00EB6C9B" w:rsidRDefault="00EB6C9B" w:rsidP="00EB6C9B">
      <w:pPr>
        <w:spacing w:after="0" w:line="240" w:lineRule="auto"/>
        <w:rPr>
          <w:lang w:val="es-ES"/>
        </w:rPr>
      </w:pPr>
    </w:p>
    <w:p w14:paraId="17C4252B" w14:textId="77777777" w:rsidR="00EB6C9B" w:rsidRDefault="00EB6C9B" w:rsidP="00EB6C9B">
      <w:pPr>
        <w:spacing w:after="0" w:line="240" w:lineRule="auto"/>
        <w:rPr>
          <w:lang w:val="es-ES"/>
        </w:rPr>
      </w:pPr>
    </w:p>
    <w:p w14:paraId="5AD2A84E" w14:textId="77777777" w:rsidR="00EB6C9B" w:rsidRDefault="00EB6C9B" w:rsidP="00EB6C9B">
      <w:pPr>
        <w:spacing w:after="0" w:line="240" w:lineRule="auto"/>
        <w:rPr>
          <w:lang w:val="es-ES"/>
        </w:rPr>
      </w:pPr>
    </w:p>
    <w:p w14:paraId="3415CA47" w14:textId="77777777" w:rsidR="00EB6C9B" w:rsidRDefault="00EB6C9B" w:rsidP="00F8204E">
      <w:pPr>
        <w:spacing w:after="0" w:line="240" w:lineRule="auto"/>
        <w:rPr>
          <w:rFonts w:ascii="Verdana" w:hAnsi="Verdana"/>
        </w:rPr>
      </w:pPr>
    </w:p>
    <w:p w14:paraId="2952B4CF" w14:textId="76AFA730" w:rsidR="00F8204E" w:rsidRDefault="00F8204E" w:rsidP="00F8204E">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482A27">
        <w:rPr>
          <w:rFonts w:ascii="Verdana" w:hAnsi="Verdana"/>
        </w:rPr>
        <w:t>31</w:t>
      </w:r>
      <w:r>
        <w:rPr>
          <w:rFonts w:ascii="Verdana" w:hAnsi="Verdana"/>
        </w:rPr>
        <w:t>de diciembre de 2025.</w:t>
      </w:r>
    </w:p>
    <w:bookmarkEnd w:id="0"/>
    <w:p w14:paraId="48423B72" w14:textId="77777777" w:rsidR="00F8204E" w:rsidRDefault="00F8204E" w:rsidP="00F8204E">
      <w:pPr>
        <w:spacing w:after="0" w:line="240" w:lineRule="auto"/>
        <w:jc w:val="right"/>
        <w:rPr>
          <w:rFonts w:ascii="Verdana" w:hAnsi="Verdana"/>
        </w:rPr>
      </w:pPr>
    </w:p>
    <w:p w14:paraId="60110F30" w14:textId="36AD197C" w:rsidR="00D37C61" w:rsidRDefault="00D37C61" w:rsidP="00F8204E">
      <w:pPr>
        <w:spacing w:after="0" w:line="240" w:lineRule="auto"/>
        <w:jc w:val="right"/>
        <w:rPr>
          <w:rFonts w:ascii="Verdana" w:hAnsi="Verdana"/>
        </w:rPr>
      </w:pPr>
      <w:r>
        <w:rPr>
          <w:rFonts w:ascii="Verdana" w:hAnsi="Verdana"/>
          <w:noProof/>
        </w:rPr>
        <w:drawing>
          <wp:inline distT="0" distB="0" distL="0" distR="0" wp14:anchorId="452C6BBF" wp14:editId="3259B623">
            <wp:extent cx="2200275" cy="647700"/>
            <wp:effectExtent l="0" t="0" r="9525" b="0"/>
            <wp:docPr id="1557214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0275" cy="647700"/>
                    </a:xfrm>
                    <a:prstGeom prst="rect">
                      <a:avLst/>
                    </a:prstGeom>
                    <a:noFill/>
                    <a:ln>
                      <a:noFill/>
                    </a:ln>
                  </pic:spPr>
                </pic:pic>
              </a:graphicData>
            </a:graphic>
          </wp:inline>
        </w:drawing>
      </w:r>
    </w:p>
    <w:p w14:paraId="2683E166" w14:textId="77777777" w:rsidR="00D37C61" w:rsidRDefault="00D37C61" w:rsidP="00F8204E">
      <w:pPr>
        <w:spacing w:after="0" w:line="240" w:lineRule="auto"/>
        <w:jc w:val="right"/>
        <w:rPr>
          <w:rFonts w:ascii="Verdana" w:hAnsi="Verdana"/>
        </w:rPr>
      </w:pPr>
    </w:p>
    <w:p w14:paraId="19B4D608" w14:textId="77777777" w:rsidR="00D37C61" w:rsidRDefault="00D37C61" w:rsidP="00F8204E">
      <w:pPr>
        <w:spacing w:after="0" w:line="240" w:lineRule="auto"/>
        <w:jc w:val="right"/>
        <w:rPr>
          <w:rFonts w:ascii="Verdana" w:hAnsi="Verdana"/>
        </w:rPr>
      </w:pPr>
    </w:p>
    <w:p w14:paraId="584AC99F" w14:textId="77777777" w:rsidR="008338B9" w:rsidRDefault="008338B9" w:rsidP="00F8204E">
      <w:pPr>
        <w:spacing w:after="0" w:line="240" w:lineRule="auto"/>
        <w:jc w:val="both"/>
        <w:rPr>
          <w:rFonts w:ascii="Verdana" w:eastAsia="Calibri" w:hAnsi="Verdana" w:cs="Arial"/>
          <w:lang w:eastAsia="es-ES"/>
        </w:rPr>
      </w:pPr>
    </w:p>
    <w:p w14:paraId="2FEF59E9" w14:textId="3FD7E3CB" w:rsidR="00F8204E" w:rsidRPr="008A1F02" w:rsidRDefault="00F8204E" w:rsidP="00F8204E">
      <w:pPr>
        <w:spacing w:after="0" w:line="240" w:lineRule="auto"/>
        <w:jc w:val="both"/>
        <w:rPr>
          <w:rFonts w:ascii="Verdana" w:eastAsia="Calibri" w:hAnsi="Verdana" w:cs="Arial"/>
          <w:lang w:eastAsia="es-ES"/>
        </w:rPr>
      </w:pPr>
      <w:r w:rsidRPr="008A1F02">
        <w:rPr>
          <w:rFonts w:ascii="Verdana" w:eastAsia="Calibri" w:hAnsi="Verdana" w:cs="Arial"/>
          <w:lang w:eastAsia="es-ES"/>
        </w:rPr>
        <w:t>Señor</w:t>
      </w:r>
      <w:r w:rsidRPr="008A1F02">
        <w:rPr>
          <w:rFonts w:ascii="Verdana" w:eastAsia="Calibri" w:hAnsi="Verdana" w:cs="Arial"/>
          <w:lang w:eastAsia="es-ES"/>
        </w:rPr>
        <w:tab/>
      </w:r>
    </w:p>
    <w:p w14:paraId="0C58FCCA" w14:textId="1FA63A49" w:rsidR="00F8204E" w:rsidRPr="008A1F02" w:rsidRDefault="008A1F02" w:rsidP="00F8204E">
      <w:pPr>
        <w:spacing w:after="0" w:line="240" w:lineRule="auto"/>
        <w:rPr>
          <w:rFonts w:ascii="Verdana" w:eastAsia="Calibri" w:hAnsi="Verdana" w:cs="Arial"/>
          <w:b/>
          <w:bCs/>
          <w:lang w:eastAsia="es-ES"/>
        </w:rPr>
      </w:pPr>
      <w:r w:rsidRPr="008A1F02">
        <w:rPr>
          <w:rFonts w:ascii="Verdana" w:eastAsia="Calibri" w:hAnsi="Verdana" w:cs="Arial"/>
          <w:b/>
          <w:bCs/>
          <w:lang w:eastAsia="es-ES"/>
        </w:rPr>
        <w:t>ANDRÉS FELIPE SÁNCHEZ ORTIZ</w:t>
      </w:r>
    </w:p>
    <w:p w14:paraId="4CE68D40" w14:textId="40DBE226" w:rsidR="00F8204E" w:rsidRPr="008A1F02" w:rsidRDefault="008A1F02" w:rsidP="00F8204E">
      <w:pPr>
        <w:spacing w:after="0" w:line="240" w:lineRule="auto"/>
        <w:rPr>
          <w:rFonts w:ascii="Verdana" w:hAnsi="Verdana" w:cs="Times New Roman"/>
        </w:rPr>
      </w:pPr>
      <w:hyperlink r:id="rId12" w:history="1">
        <w:r w:rsidRPr="00703C22">
          <w:rPr>
            <w:rStyle w:val="Hipervnculo"/>
            <w:rFonts w:ascii="Verdana" w:hAnsi="Verdana" w:cs="Times New Roman"/>
          </w:rPr>
          <w:t>legoraabogadoscolombia@gmail.com</w:t>
        </w:r>
      </w:hyperlink>
      <w:r>
        <w:rPr>
          <w:rFonts w:ascii="Verdana" w:hAnsi="Verdana" w:cs="Times New Roman"/>
        </w:rPr>
        <w:t xml:space="preserve"> </w:t>
      </w:r>
    </w:p>
    <w:p w14:paraId="43C5AF1C" w14:textId="72C73C51" w:rsidR="00F8204E" w:rsidRDefault="008A1F02" w:rsidP="00F8204E">
      <w:pPr>
        <w:spacing w:after="0" w:line="240" w:lineRule="auto"/>
        <w:rPr>
          <w:rFonts w:ascii="Verdana" w:hAnsi="Verdana"/>
        </w:rPr>
      </w:pPr>
      <w:r>
        <w:rPr>
          <w:rFonts w:ascii="Verdana" w:hAnsi="Verdana"/>
        </w:rPr>
        <w:t>Bogotá D.C.</w:t>
      </w:r>
    </w:p>
    <w:p w14:paraId="11DB9D5E" w14:textId="77777777" w:rsidR="00F8204E" w:rsidRDefault="00F8204E" w:rsidP="00F8204E">
      <w:pPr>
        <w:spacing w:after="0" w:line="240" w:lineRule="auto"/>
        <w:rPr>
          <w:rFonts w:ascii="Verdana" w:eastAsia="Calibri" w:hAnsi="Verdana" w:cs="Arial"/>
          <w:color w:val="000000"/>
          <w:lang w:val="es-ES_tradnl" w:eastAsia="es-ES_tradnl"/>
        </w:rPr>
      </w:pPr>
    </w:p>
    <w:p w14:paraId="7F1BB835" w14:textId="77777777" w:rsidR="00EB7960" w:rsidRPr="00FE3DEC" w:rsidRDefault="00EB7960" w:rsidP="00F8204E">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F8204E" w:rsidRPr="00593A5F" w14:paraId="29A8D308" w14:textId="77777777" w:rsidTr="00B40EB6">
        <w:trPr>
          <w:trHeight w:val="273"/>
        </w:trPr>
        <w:tc>
          <w:tcPr>
            <w:tcW w:w="2295" w:type="dxa"/>
          </w:tcPr>
          <w:p w14:paraId="3130CA9C" w14:textId="77777777" w:rsidR="00F8204E" w:rsidRPr="00E5644F" w:rsidRDefault="00F8204E" w:rsidP="00B40EB6">
            <w:pPr>
              <w:jc w:val="both"/>
              <w:rPr>
                <w:rFonts w:ascii="Verdana" w:eastAsia="Calibri" w:hAnsi="Verdana" w:cs="Arial"/>
                <w:b/>
                <w:bCs/>
                <w:color w:val="7030A0"/>
                <w:lang w:val="es-ES_tradnl" w:eastAsia="es-ES_tradnl"/>
              </w:rPr>
            </w:pPr>
          </w:p>
        </w:tc>
        <w:tc>
          <w:tcPr>
            <w:tcW w:w="6481" w:type="dxa"/>
            <w:gridSpan w:val="2"/>
          </w:tcPr>
          <w:p w14:paraId="37D983A3" w14:textId="185B7337" w:rsidR="00F8204E" w:rsidRPr="001773DA" w:rsidRDefault="00F8204E" w:rsidP="00B40EB6">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17</w:t>
            </w:r>
            <w:r w:rsidR="008A1F02">
              <w:rPr>
                <w:rFonts w:ascii="Verdana" w:eastAsia="Calibri" w:hAnsi="Verdana" w:cs="Arial"/>
                <w:b/>
                <w:bCs/>
                <w:lang w:val="es-ES" w:eastAsia="es-ES"/>
              </w:rPr>
              <w:t>94</w:t>
            </w:r>
            <w:r>
              <w:rPr>
                <w:rFonts w:ascii="Verdana" w:eastAsia="Calibri" w:hAnsi="Verdana" w:cs="Arial"/>
                <w:b/>
                <w:bCs/>
                <w:lang w:val="es-ES" w:eastAsia="es-ES"/>
              </w:rPr>
              <w:t xml:space="preserve"> </w:t>
            </w:r>
            <w:r w:rsidRPr="001773DA">
              <w:rPr>
                <w:rFonts w:ascii="Verdana" w:eastAsia="Calibri" w:hAnsi="Verdana" w:cs="Arial"/>
                <w:b/>
                <w:bCs/>
                <w:lang w:val="es-ES" w:eastAsia="es-ES"/>
              </w:rPr>
              <w:t>de 2025</w:t>
            </w:r>
          </w:p>
          <w:p w14:paraId="2E9BCA33" w14:textId="77777777" w:rsidR="00F8204E" w:rsidRPr="001773DA" w:rsidRDefault="00F8204E" w:rsidP="00B40EB6">
            <w:pPr>
              <w:jc w:val="both"/>
              <w:rPr>
                <w:rFonts w:ascii="Verdana" w:eastAsia="Calibri" w:hAnsi="Verdana" w:cs="Arial"/>
                <w:b/>
                <w:bCs/>
                <w:color w:val="7030A0"/>
                <w:lang w:val="es-ES" w:eastAsia="es-ES"/>
              </w:rPr>
            </w:pPr>
          </w:p>
        </w:tc>
      </w:tr>
      <w:tr w:rsidR="00F8204E" w:rsidRPr="00280D79" w14:paraId="202D4959" w14:textId="77777777" w:rsidTr="00B40EB6">
        <w:trPr>
          <w:trHeight w:val="1583"/>
        </w:trPr>
        <w:tc>
          <w:tcPr>
            <w:tcW w:w="2295" w:type="dxa"/>
          </w:tcPr>
          <w:p w14:paraId="4CB49ED7" w14:textId="77777777" w:rsidR="00F8204E" w:rsidRPr="00593A5F" w:rsidRDefault="00F8204E" w:rsidP="00B40EB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3E99CB4" w14:textId="77777777" w:rsidR="00B94F6C" w:rsidRPr="00A7428E" w:rsidRDefault="00B94F6C" w:rsidP="00B94F6C">
            <w:pPr>
              <w:spacing w:line="276" w:lineRule="auto"/>
              <w:jc w:val="both"/>
              <w:rPr>
                <w:rFonts w:ascii="Verdana" w:eastAsia="Calibri" w:hAnsi="Verdana" w:cs="Arial"/>
                <w:lang w:val="es-ES" w:eastAsia="es-ES"/>
              </w:rPr>
            </w:pPr>
            <w:r w:rsidRPr="00A7428E">
              <w:rPr>
                <w:rFonts w:ascii="Verdana" w:eastAsia="Arial" w:hAnsi="Verdana" w:cs="Arial"/>
                <w:lang w:val="es-MX"/>
              </w:rPr>
              <w:t>PRECIOS ARTIFICIALMENTE BAJOS – Noción / PRECIOS ARTIFICIALMENTE BAJOS – Noción – Colombia Compra Eficiente / GUÍA PARA EL MANEJO DE OFERTAS ARTIFICIALMENTE BAJAS – Identificación / GUÍA PARA EL MANEJO DE OFERTAS ARTIFICIALMENTE BAJAS – Manejo</w:t>
            </w:r>
            <w:r>
              <w:rPr>
                <w:rFonts w:ascii="Verdana" w:eastAsia="Arial" w:hAnsi="Verdana" w:cs="Arial"/>
                <w:lang w:val="es-MX"/>
              </w:rPr>
              <w:t>.</w:t>
            </w:r>
            <w:r w:rsidRPr="00A7428E">
              <w:rPr>
                <w:rFonts w:ascii="Verdana" w:eastAsia="Calibri" w:hAnsi="Verdana" w:cs="Arial"/>
                <w:lang w:val="es-ES" w:eastAsia="es-ES"/>
              </w:rPr>
              <w:t xml:space="preserve">   </w:t>
            </w:r>
          </w:p>
          <w:p w14:paraId="483E7C24" w14:textId="5F13C1FC" w:rsidR="00F8204E" w:rsidRPr="006939EC" w:rsidRDefault="00F8204E" w:rsidP="00B40EB6">
            <w:pPr>
              <w:jc w:val="both"/>
              <w:rPr>
                <w:rFonts w:ascii="Verdana" w:eastAsia="Calibri" w:hAnsi="Verdana" w:cs="Arial"/>
                <w:b/>
                <w:highlight w:val="yellow"/>
                <w:lang w:val="es-ES" w:eastAsia="es-ES"/>
              </w:rPr>
            </w:pPr>
          </w:p>
        </w:tc>
      </w:tr>
      <w:tr w:rsidR="00F8204E" w:rsidRPr="00593A5F" w14:paraId="5805B5EE" w14:textId="77777777" w:rsidTr="00B40EB6">
        <w:trPr>
          <w:trHeight w:val="545"/>
        </w:trPr>
        <w:tc>
          <w:tcPr>
            <w:tcW w:w="2295" w:type="dxa"/>
          </w:tcPr>
          <w:p w14:paraId="04638DC3" w14:textId="77777777" w:rsidR="00F8204E" w:rsidRPr="006730E9" w:rsidRDefault="00F8204E" w:rsidP="00B40EB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A422EAE" w14:textId="485E9D15" w:rsidR="00F8204E" w:rsidRPr="006730E9" w:rsidRDefault="00F8204E" w:rsidP="00B40EB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8A1F02" w:rsidRPr="008A1F02">
              <w:rPr>
                <w:rFonts w:ascii="Verdana" w:eastAsia="Calibri" w:hAnsi="Verdana" w:cs="Arial"/>
                <w:lang w:val="es-ES_tradnl" w:eastAsia="es-ES_tradnl"/>
              </w:rPr>
              <w:t>1_2025_12_04_013669</w:t>
            </w:r>
            <w:r w:rsidR="008A1F02">
              <w:rPr>
                <w:rFonts w:ascii="Verdana" w:eastAsia="Calibri" w:hAnsi="Verdana" w:cs="Arial"/>
                <w:lang w:val="es-ES_tradnl" w:eastAsia="es-ES_tradnl"/>
              </w:rPr>
              <w:t>.</w:t>
            </w:r>
          </w:p>
        </w:tc>
      </w:tr>
      <w:tr w:rsidR="00F8204E" w:rsidRPr="00DB23D2" w14:paraId="10A84767" w14:textId="77777777" w:rsidTr="00B40EB6">
        <w:trPr>
          <w:gridAfter w:val="1"/>
          <w:wAfter w:w="319" w:type="dxa"/>
          <w:trHeight w:val="242"/>
        </w:trPr>
        <w:tc>
          <w:tcPr>
            <w:tcW w:w="8457" w:type="dxa"/>
            <w:gridSpan w:val="2"/>
          </w:tcPr>
          <w:p w14:paraId="6E215AE0" w14:textId="77777777" w:rsidR="00F8204E" w:rsidRPr="00DB23D2" w:rsidRDefault="00F8204E" w:rsidP="00B40EB6">
            <w:pPr>
              <w:spacing w:line="276" w:lineRule="auto"/>
              <w:jc w:val="both"/>
              <w:rPr>
                <w:rFonts w:ascii="Verdana" w:eastAsia="Calibri" w:hAnsi="Verdana" w:cs="Arial"/>
                <w:lang w:val="es-ES_tradnl" w:eastAsia="es-ES"/>
              </w:rPr>
            </w:pPr>
          </w:p>
        </w:tc>
      </w:tr>
    </w:tbl>
    <w:p w14:paraId="22C7EFFE" w14:textId="24E7D1A6" w:rsidR="00F8204E" w:rsidRPr="006730E9" w:rsidRDefault="00F8204E" w:rsidP="00F8204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señor </w:t>
      </w:r>
      <w:r w:rsidR="008A1F02" w:rsidRPr="008A1F02">
        <w:rPr>
          <w:rFonts w:ascii="Verdana" w:eastAsia="Calibri" w:hAnsi="Verdana" w:cs="Arial"/>
          <w:lang w:val="es-ES" w:eastAsia="es-ES"/>
        </w:rPr>
        <w:t>Sánchez</w:t>
      </w:r>
      <w:r>
        <w:rPr>
          <w:rFonts w:ascii="Verdana" w:eastAsia="Calibri" w:hAnsi="Verdana" w:cs="Arial"/>
          <w:lang w:val="es-ES" w:eastAsia="es-ES"/>
        </w:rPr>
        <w:t>;</w:t>
      </w:r>
    </w:p>
    <w:p w14:paraId="6B4EB83D" w14:textId="77777777" w:rsidR="00F8204E" w:rsidRDefault="00F8204E" w:rsidP="00F8204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5FEFB9D" w14:textId="651A4C39" w:rsidR="00F8204E" w:rsidRPr="006730E9" w:rsidRDefault="00F8204E" w:rsidP="00F8204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008A1F02">
        <w:rPr>
          <w:rFonts w:ascii="Verdana" w:eastAsia="Calibri" w:hAnsi="Verdana" w:cs="Arial"/>
          <w:lang w:val="es-ES" w:eastAsia="es-ES"/>
        </w:rPr>
        <w:t xml:space="preserve">04 </w:t>
      </w:r>
      <w:r w:rsidRPr="00E72E05">
        <w:rPr>
          <w:rFonts w:ascii="Verdana" w:eastAsia="Calibri" w:hAnsi="Verdana" w:cs="Arial"/>
          <w:lang w:val="es-ES" w:eastAsia="es-ES"/>
        </w:rPr>
        <w:t xml:space="preserve">de </w:t>
      </w:r>
      <w:r w:rsidR="008A1F02">
        <w:rPr>
          <w:rFonts w:ascii="Verdana" w:eastAsia="Calibri" w:hAnsi="Verdana" w:cs="Arial"/>
          <w:lang w:val="es-ES" w:eastAsia="es-ES"/>
        </w:rPr>
        <w:t xml:space="preserve">diciembre </w:t>
      </w:r>
      <w:r w:rsidRPr="00E72E05">
        <w:rPr>
          <w:rFonts w:ascii="Verdana" w:eastAsia="Calibri" w:hAnsi="Verdana" w:cs="Arial"/>
          <w:lang w:val="es-ES" w:eastAsia="es-ES"/>
        </w:rPr>
        <w:t>de 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2078ED3" w14:textId="77777777" w:rsidR="00F8204E" w:rsidRPr="001773DA" w:rsidRDefault="00F8204E" w:rsidP="00F8204E">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56FF17DB" w14:textId="77777777" w:rsidR="00F8204E" w:rsidRDefault="00F8204E"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2EB22443" w14:textId="77777777" w:rsidR="008A1F02" w:rsidRDefault="008A1F02" w:rsidP="008A1F02">
      <w:pPr>
        <w:ind w:left="851" w:right="900"/>
        <w:jc w:val="both"/>
        <w:rPr>
          <w:rFonts w:ascii="Verdana" w:hAnsi="Verdana"/>
          <w:i/>
          <w:iCs/>
          <w:sz w:val="20"/>
          <w:szCs w:val="20"/>
        </w:rPr>
      </w:pPr>
    </w:p>
    <w:p w14:paraId="799659DA" w14:textId="1704D027" w:rsidR="008A1F02" w:rsidRPr="008A1F02" w:rsidRDefault="008A1F02" w:rsidP="008A1F02">
      <w:pPr>
        <w:ind w:left="851" w:right="900"/>
        <w:jc w:val="both"/>
        <w:rPr>
          <w:rFonts w:ascii="Verdana" w:hAnsi="Verdana"/>
          <w:i/>
          <w:iCs/>
          <w:sz w:val="20"/>
          <w:szCs w:val="20"/>
        </w:rPr>
      </w:pPr>
      <w:r w:rsidRPr="008A1F02">
        <w:rPr>
          <w:rFonts w:ascii="Verdana" w:hAnsi="Verdana"/>
          <w:i/>
          <w:iCs/>
          <w:sz w:val="20"/>
          <w:szCs w:val="20"/>
        </w:rPr>
        <w:t xml:space="preserve">1. ¿Puede una entidad en la etapa de evaluación de ofertas en la modalidad de Mínima Cuantía, sin ninguna justificación técnica o económica, es decir, sin exhibir siquiera mínimamente el método </w:t>
      </w:r>
      <w:r w:rsidRPr="008A1F02">
        <w:rPr>
          <w:rFonts w:ascii="Verdana" w:hAnsi="Verdana"/>
          <w:i/>
          <w:iCs/>
          <w:sz w:val="20"/>
          <w:szCs w:val="20"/>
        </w:rPr>
        <w:lastRenderedPageBreak/>
        <w:t>macroeconómico o microeconómico que usó, calificar la oferta de un oferente como "artificialmente baja", a través de un informe de evaluación? ¿Hacerlo sin exhibición de la justificación o razón técnica, aritmética y/o económica, contraviene o no el deber de "motivación detallada y precisa" del informe de evaluación, de conformidad con el artículo 24, numeral 7 de la ley 80 de 1993? </w:t>
      </w:r>
    </w:p>
    <w:p w14:paraId="18020798" w14:textId="77777777" w:rsidR="008A1F02" w:rsidRPr="008A1F02" w:rsidRDefault="008A1F02" w:rsidP="008A1F02">
      <w:pPr>
        <w:ind w:left="851" w:right="900"/>
        <w:jc w:val="both"/>
        <w:rPr>
          <w:rFonts w:ascii="Verdana" w:hAnsi="Verdana"/>
          <w:i/>
          <w:iCs/>
          <w:sz w:val="20"/>
          <w:szCs w:val="20"/>
        </w:rPr>
      </w:pPr>
    </w:p>
    <w:p w14:paraId="20EA0E63" w14:textId="24B47AE7" w:rsidR="008A1F02" w:rsidRPr="008A1F02" w:rsidRDefault="008A1F02" w:rsidP="008A1F02">
      <w:pPr>
        <w:ind w:left="851" w:right="900"/>
        <w:jc w:val="both"/>
        <w:rPr>
          <w:rFonts w:ascii="Verdana" w:hAnsi="Verdana"/>
          <w:i/>
          <w:iCs/>
          <w:sz w:val="20"/>
          <w:szCs w:val="20"/>
        </w:rPr>
      </w:pPr>
      <w:r w:rsidRPr="008A1F02">
        <w:rPr>
          <w:rFonts w:ascii="Verdana" w:hAnsi="Verdana"/>
          <w:b/>
          <w:bCs/>
          <w:i/>
          <w:iCs/>
          <w:sz w:val="20"/>
          <w:szCs w:val="20"/>
        </w:rPr>
        <w:t>2.</w:t>
      </w:r>
      <w:r w:rsidRPr="008A1F02">
        <w:rPr>
          <w:rFonts w:ascii="Verdana" w:hAnsi="Verdana"/>
          <w:i/>
          <w:iCs/>
          <w:sz w:val="20"/>
          <w:szCs w:val="20"/>
        </w:rPr>
        <w:t> ¿Los métodos de comparación de ofertas establecidos en la "¿GUÍA PARA EL MANEJO DE OFERTAS ARTIFICIALMENTE BAJAS EN PROCESOS DE CONTRATACIÓN” de ustedes, son una “mera recomendación” para que las entidades determinen que los precios de los oferentes son o no “artificialmente bajos”? </w:t>
      </w:r>
    </w:p>
    <w:p w14:paraId="257D6AF3" w14:textId="74B43528" w:rsidR="008A1F02" w:rsidRPr="008A1F02" w:rsidRDefault="008A1F02" w:rsidP="008A1F02">
      <w:pPr>
        <w:ind w:left="851" w:right="900"/>
        <w:jc w:val="both"/>
        <w:rPr>
          <w:rFonts w:ascii="Verdana" w:hAnsi="Verdana"/>
          <w:i/>
          <w:iCs/>
          <w:sz w:val="20"/>
          <w:szCs w:val="20"/>
        </w:rPr>
      </w:pPr>
      <w:r w:rsidRPr="008A1F02">
        <w:rPr>
          <w:rFonts w:ascii="Verdana" w:hAnsi="Verdana"/>
          <w:b/>
          <w:bCs/>
          <w:i/>
          <w:iCs/>
          <w:sz w:val="20"/>
          <w:szCs w:val="20"/>
        </w:rPr>
        <w:t>3.</w:t>
      </w:r>
      <w:r w:rsidRPr="008A1F02">
        <w:rPr>
          <w:rFonts w:ascii="Verdana" w:hAnsi="Verdana"/>
          <w:i/>
          <w:iCs/>
          <w:sz w:val="20"/>
          <w:szCs w:val="20"/>
        </w:rPr>
        <w:t> ¿De conformidad con el artículo 24, numeral 5 literal "B” de la ley 80 de 1993, deben o no las entidades establecer en los pliegos de condiciones, de forma clara, completa, justa y objetiva, ¿los métodos aritméticos a través de los cuales analizarán la condición de “artificialidad” o no de las ofertas que se presenten? </w:t>
      </w:r>
    </w:p>
    <w:p w14:paraId="67CF29D2" w14:textId="77777777" w:rsidR="008A1F02" w:rsidRPr="008A1F02" w:rsidRDefault="008A1F02" w:rsidP="008A1F02">
      <w:pPr>
        <w:ind w:left="851" w:right="900"/>
        <w:jc w:val="both"/>
        <w:rPr>
          <w:rFonts w:ascii="Verdana" w:hAnsi="Verdana"/>
          <w:i/>
          <w:iCs/>
          <w:sz w:val="20"/>
          <w:szCs w:val="20"/>
        </w:rPr>
      </w:pPr>
      <w:r w:rsidRPr="008A1F02">
        <w:rPr>
          <w:rFonts w:ascii="Verdana" w:hAnsi="Verdana"/>
          <w:b/>
          <w:bCs/>
          <w:i/>
          <w:iCs/>
          <w:sz w:val="20"/>
          <w:szCs w:val="20"/>
        </w:rPr>
        <w:t>4.</w:t>
      </w:r>
      <w:r w:rsidRPr="008A1F02">
        <w:rPr>
          <w:rFonts w:ascii="Verdana" w:hAnsi="Verdana"/>
          <w:i/>
          <w:iCs/>
          <w:sz w:val="20"/>
          <w:szCs w:val="20"/>
        </w:rPr>
        <w:t> Si las entidades públicas en sus pliegos de condiciones, dentro del marco de un proceso de selección de Mínima Cuantía, NO establecen ninguna forma, técnica o método a través del cual se determinaría o no la condición de "artificialidad" de una oferta económica ¿Pueden aplicar un método, cualquiera que sea, en la etapa de evaluación de ofertas aun cuando NO lo hayan determinado y publicitado de forma previa en el Pliego de Condiciones? De igual manera ¿Qué método deben aplicar cuando no establecieron ninguno? </w:t>
      </w:r>
    </w:p>
    <w:p w14:paraId="1A2F488C" w14:textId="77777777" w:rsidR="008A1F02" w:rsidRPr="008A1F02" w:rsidRDefault="008A1F02" w:rsidP="008A1F02">
      <w:pPr>
        <w:ind w:left="851" w:right="900"/>
        <w:jc w:val="both"/>
        <w:rPr>
          <w:rFonts w:ascii="Verdana" w:hAnsi="Verdana"/>
          <w:i/>
          <w:iCs/>
          <w:sz w:val="20"/>
          <w:szCs w:val="20"/>
        </w:rPr>
      </w:pPr>
      <w:r w:rsidRPr="008A1F02">
        <w:rPr>
          <w:rFonts w:ascii="Verdana" w:hAnsi="Verdana"/>
          <w:b/>
          <w:bCs/>
          <w:i/>
          <w:iCs/>
          <w:sz w:val="20"/>
          <w:szCs w:val="20"/>
        </w:rPr>
        <w:t>5.</w:t>
      </w:r>
      <w:r w:rsidRPr="008A1F02">
        <w:rPr>
          <w:rFonts w:ascii="Verdana" w:hAnsi="Verdana"/>
          <w:i/>
          <w:iCs/>
          <w:sz w:val="20"/>
          <w:szCs w:val="20"/>
        </w:rPr>
        <w:t> ¿Se viola o desconoce, sí o no, el derecho fundamental al debido proceso administrativo de los oferentes cuando, sin determinarse previamente en el pliego de condiciones el método de análisis o comparación de las ofertas para determinar o no su "artificialidad", la entidad decide sin más motivación o consideración, en el informe de evaluación, calificar de "artificialmente baja" una oferta económica? </w:t>
      </w:r>
    </w:p>
    <w:p w14:paraId="2900A9EB" w14:textId="77777777" w:rsidR="008A1F02" w:rsidRPr="008A1F02" w:rsidRDefault="008A1F02" w:rsidP="008A1F02">
      <w:pPr>
        <w:ind w:left="851" w:right="900"/>
        <w:jc w:val="both"/>
        <w:rPr>
          <w:rFonts w:ascii="Verdana" w:hAnsi="Verdana"/>
          <w:i/>
          <w:iCs/>
          <w:sz w:val="20"/>
          <w:szCs w:val="20"/>
        </w:rPr>
      </w:pPr>
      <w:r w:rsidRPr="008A1F02">
        <w:rPr>
          <w:rFonts w:ascii="Verdana" w:hAnsi="Verdana"/>
          <w:b/>
          <w:bCs/>
          <w:i/>
          <w:iCs/>
          <w:sz w:val="20"/>
          <w:szCs w:val="20"/>
        </w:rPr>
        <w:t>6.</w:t>
      </w:r>
      <w:r w:rsidRPr="008A1F02">
        <w:rPr>
          <w:rFonts w:ascii="Verdana" w:hAnsi="Verdana"/>
          <w:i/>
          <w:iCs/>
          <w:sz w:val="20"/>
          <w:szCs w:val="20"/>
        </w:rPr>
        <w:t> ¿En caso de que las entidades públicas NO determinen en el Pliego de Condiciones el método, modo, forma, o técnica de análisis de las ofertas para determinar si son o no "artificialmente bajas", DEBEN aplicar el método suministrado por Colombia Compra Eficiente en la "GUÍA PARA EL MANEJO DE OFERTAS ARTIFICIALMENTE BAJAS EN PROCESOS DE CONTRATACIÓN"? </w:t>
      </w:r>
    </w:p>
    <w:p w14:paraId="42981D68" w14:textId="02A22DAD" w:rsidR="00F8204E" w:rsidRPr="00B350FE" w:rsidRDefault="008A1F02"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F8204E" w:rsidRPr="00B350FE">
        <w:rPr>
          <w:rFonts w:ascii="Verdana" w:eastAsia="Century Gothic" w:hAnsi="Verdana" w:cs="Century Gothic"/>
          <w:i/>
          <w:iCs/>
          <w:sz w:val="20"/>
          <w:szCs w:val="20"/>
        </w:rPr>
        <w:t xml:space="preserve">(…)”. </w:t>
      </w:r>
    </w:p>
    <w:p w14:paraId="60ACFEB0" w14:textId="77777777" w:rsidR="00F8204E" w:rsidRDefault="00F8204E" w:rsidP="00F8204E">
      <w:pPr>
        <w:spacing w:after="0" w:line="276" w:lineRule="auto"/>
        <w:ind w:firstLine="709"/>
        <w:jc w:val="both"/>
        <w:rPr>
          <w:rFonts w:ascii="Verdana" w:eastAsia="Calibri" w:hAnsi="Verdana" w:cs="Arial"/>
          <w:lang w:val="es-ES" w:eastAsia="es-ES"/>
        </w:rPr>
      </w:pPr>
    </w:p>
    <w:p w14:paraId="67B392F5" w14:textId="77777777" w:rsidR="00F8204E" w:rsidRPr="00AA3B9F" w:rsidRDefault="00F8204E" w:rsidP="00F8204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F19A5DB" w14:textId="77777777" w:rsidR="00F8204E" w:rsidRPr="00AA3B9F" w:rsidRDefault="00F8204E" w:rsidP="00F8204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5FCAF21" w14:textId="77777777" w:rsidR="00F8204E" w:rsidRDefault="00F8204E" w:rsidP="00F8204E">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9D76679" w14:textId="77777777" w:rsidR="00F8204E" w:rsidRDefault="00F8204E" w:rsidP="00F8204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782EF7F" w14:textId="77777777" w:rsidR="00F8204E" w:rsidRDefault="00F8204E" w:rsidP="00F8204E">
      <w:pPr>
        <w:pStyle w:val="Prrafodelista"/>
        <w:tabs>
          <w:tab w:val="left" w:pos="142"/>
          <w:tab w:val="left" w:pos="284"/>
        </w:tabs>
        <w:spacing w:after="0" w:line="276" w:lineRule="auto"/>
        <w:ind w:left="0"/>
        <w:jc w:val="both"/>
        <w:rPr>
          <w:rFonts w:ascii="Verdana" w:eastAsia="Century Gothic" w:hAnsi="Verdana" w:cs="Century Gothic"/>
          <w:b/>
          <w:bCs/>
        </w:rPr>
      </w:pPr>
    </w:p>
    <w:p w14:paraId="25DB8AD2" w14:textId="0AEEC18E" w:rsidR="00EB6C9B" w:rsidRDefault="00F8204E" w:rsidP="00F8204E">
      <w:pPr>
        <w:spacing w:after="0" w:line="276" w:lineRule="auto"/>
        <w:jc w:val="both"/>
        <w:rPr>
          <w:rFonts w:ascii="Verdana" w:eastAsia="Calibri" w:hAnsi="Verdana" w:cs="Arial"/>
          <w:lang w:eastAsia="es-ES"/>
        </w:rPr>
      </w:pPr>
      <w:r w:rsidRPr="152F85F5">
        <w:rPr>
          <w:rFonts w:ascii="Verdana" w:eastAsia="Calibri" w:hAnsi="Verdana" w:cs="Arial"/>
          <w:lang w:eastAsia="es-ES"/>
        </w:rPr>
        <w:t xml:space="preserve">De acuerdo con el contenido de su solicitud, esta Agencia resolverá </w:t>
      </w:r>
      <w:r w:rsidR="008338B9">
        <w:rPr>
          <w:rFonts w:ascii="Verdana" w:eastAsia="Calibri" w:hAnsi="Verdana" w:cs="Arial"/>
          <w:lang w:eastAsia="es-ES"/>
        </w:rPr>
        <w:t>el</w:t>
      </w:r>
      <w:r w:rsidR="004664B2">
        <w:rPr>
          <w:rFonts w:ascii="Verdana" w:eastAsia="Calibri" w:hAnsi="Verdana" w:cs="Arial"/>
          <w:lang w:eastAsia="es-ES"/>
        </w:rPr>
        <w:t xml:space="preserve"> </w:t>
      </w:r>
      <w:r w:rsidRPr="152F85F5">
        <w:rPr>
          <w:rFonts w:ascii="Verdana" w:eastAsia="Calibri" w:hAnsi="Verdana" w:cs="Arial"/>
          <w:lang w:eastAsia="es-ES"/>
        </w:rPr>
        <w:t>siguiente problema jurídico:</w:t>
      </w:r>
      <w:bookmarkStart w:id="3" w:name="_Hlk196737317"/>
      <w:r w:rsidRPr="152F85F5">
        <w:rPr>
          <w:rFonts w:ascii="Verdana" w:eastAsia="Calibri" w:hAnsi="Verdana" w:cs="Arial"/>
          <w:lang w:eastAsia="es-ES"/>
        </w:rPr>
        <w:t xml:space="preserve"> </w:t>
      </w:r>
      <w:r w:rsidR="00B94F6C" w:rsidRPr="00B94F6C">
        <w:rPr>
          <w:rFonts w:ascii="Verdana" w:eastAsia="Calibri" w:hAnsi="Verdana" w:cs="Arial"/>
          <w:lang w:eastAsia="es-ES"/>
        </w:rPr>
        <w:t>¿Cuál es el marco normativo aplicable y cuáles son los criterios jurídicos y técnicos que deben observar las entidades estatales para identificar, analizar y eventualmente declarar una oferta como artificialmente baja dentro de un proceso de contratación pública, garantizando el respeto de los principios de selección objetiva, debido proceso, transparencia y equilibrio económico del contrato?</w:t>
      </w:r>
    </w:p>
    <w:p w14:paraId="12F8C70F" w14:textId="77777777" w:rsidR="00B94F6C" w:rsidRDefault="00B94F6C" w:rsidP="00F8204E">
      <w:pPr>
        <w:spacing w:after="0" w:line="276" w:lineRule="auto"/>
        <w:jc w:val="both"/>
        <w:rPr>
          <w:rFonts w:ascii="Verdana" w:eastAsia="Calibri" w:hAnsi="Verdana" w:cs="Arial"/>
          <w:lang w:eastAsia="es-ES"/>
        </w:rPr>
      </w:pPr>
    </w:p>
    <w:bookmarkEnd w:id="3"/>
    <w:p w14:paraId="18E5D56B" w14:textId="77777777" w:rsidR="00F8204E" w:rsidRDefault="00F8204E" w:rsidP="00F820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43917BA" w14:textId="77777777" w:rsidR="00F8204E" w:rsidRPr="00593A5F"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8204E" w:rsidRPr="00593A5F" w14:paraId="7C9C997A" w14:textId="77777777" w:rsidTr="152F85F5">
        <w:tc>
          <w:tcPr>
            <w:tcW w:w="8828" w:type="dxa"/>
          </w:tcPr>
          <w:p w14:paraId="5E72FE8F" w14:textId="7CFB1BE3" w:rsidR="00F8204E" w:rsidRPr="00E529C2" w:rsidRDefault="00F8204E" w:rsidP="00E57B21">
            <w:pPr>
              <w:spacing w:before="120" w:line="276" w:lineRule="auto"/>
              <w:jc w:val="both"/>
              <w:rPr>
                <w:rFonts w:ascii="Verdana" w:eastAsia="Calibri" w:hAnsi="Verdana" w:cs="Times New Roman"/>
                <w:lang w:val="es-ES"/>
              </w:rPr>
            </w:pPr>
            <w:r w:rsidRPr="152F85F5">
              <w:rPr>
                <w:rFonts w:ascii="Verdana" w:eastAsia="Calibri" w:hAnsi="Verdana" w:cs="Arial"/>
                <w:lang w:val="es-ES" w:eastAsia="es-ES"/>
              </w:rPr>
              <w:t xml:space="preserve">        </w:t>
            </w:r>
          </w:p>
        </w:tc>
      </w:tr>
      <w:tr w:rsidR="00F8204E" w:rsidRPr="00593A5F" w14:paraId="337F01CB" w14:textId="77777777" w:rsidTr="152F85F5">
        <w:tc>
          <w:tcPr>
            <w:tcW w:w="8828" w:type="dxa"/>
          </w:tcPr>
          <w:p w14:paraId="74D49C40" w14:textId="77777777" w:rsidR="004664B2" w:rsidRDefault="004664B2" w:rsidP="004664B2">
            <w:pPr>
              <w:widowControl w:val="0"/>
              <w:autoSpaceDE w:val="0"/>
              <w:autoSpaceDN w:val="0"/>
              <w:adjustRightInd w:val="0"/>
              <w:snapToGrid w:val="0"/>
              <w:spacing w:line="276" w:lineRule="auto"/>
              <w:jc w:val="both"/>
              <w:rPr>
                <w:rFonts w:ascii="Verdana" w:eastAsia="Calibri" w:hAnsi="Verdana" w:cs="Arial"/>
                <w:lang w:val="es-MX"/>
              </w:rPr>
            </w:pPr>
            <w:r>
              <w:rPr>
                <w:rFonts w:ascii="Verdana" w:eastAsia="Calibri" w:hAnsi="Verdana" w:cs="Arial"/>
                <w:lang w:val="es-MX"/>
              </w:rPr>
              <w:t xml:space="preserve">        De manera preliminar es pertinente indicar que en desarrollo del </w:t>
            </w:r>
            <w:r w:rsidRPr="0001452C">
              <w:rPr>
                <w:rFonts w:ascii="Verdana" w:eastAsia="Calibri" w:hAnsi="Verdana" w:cs="Arial"/>
                <w:lang w:val="es-MX"/>
              </w:rPr>
              <w:t>principio de selección objetiva</w:t>
            </w:r>
            <w:r>
              <w:rPr>
                <w:rFonts w:ascii="Verdana" w:eastAsia="Calibri" w:hAnsi="Verdana" w:cs="Arial"/>
                <w:lang w:val="es-MX"/>
              </w:rPr>
              <w:t xml:space="preserve"> previsto en el </w:t>
            </w:r>
            <w:r w:rsidRPr="0001452C">
              <w:rPr>
                <w:rFonts w:ascii="Verdana" w:eastAsia="Calibri" w:hAnsi="Verdana" w:cs="Arial"/>
                <w:lang w:val="es-MX"/>
              </w:rPr>
              <w:t xml:space="preserve">artículo 5 de la Ley 1150 de 2007, </w:t>
            </w:r>
            <w:r>
              <w:rPr>
                <w:rFonts w:ascii="Verdana" w:eastAsia="Calibri" w:hAnsi="Verdana" w:cs="Arial"/>
                <w:lang w:val="es-MX"/>
              </w:rPr>
              <w:t>las entidades estatales</w:t>
            </w:r>
            <w:r w:rsidRPr="0001452C">
              <w:rPr>
                <w:rFonts w:ascii="Verdana" w:eastAsia="Calibri" w:hAnsi="Verdana" w:cs="Arial"/>
                <w:lang w:val="es-MX"/>
              </w:rPr>
              <w:t xml:space="preserve"> </w:t>
            </w:r>
            <w:r>
              <w:rPr>
                <w:rFonts w:ascii="Verdana" w:eastAsia="Calibri" w:hAnsi="Verdana" w:cs="Arial"/>
                <w:lang w:val="es-MX"/>
              </w:rPr>
              <w:t>tienen el deber de seleccionar</w:t>
            </w:r>
            <w:r w:rsidRPr="0001452C">
              <w:rPr>
                <w:rFonts w:ascii="Verdana" w:eastAsia="Calibri" w:hAnsi="Verdana" w:cs="Arial"/>
                <w:lang w:val="es-MX"/>
              </w:rPr>
              <w:t xml:space="preserve"> la oferta más favorable </w:t>
            </w:r>
            <w:r w:rsidRPr="0001452C">
              <w:rPr>
                <w:rFonts w:ascii="Verdana" w:eastAsia="Calibri" w:hAnsi="Verdana" w:cs="Arial"/>
                <w:lang w:val="es-MX"/>
              </w:rPr>
              <w:lastRenderedPageBreak/>
              <w:t>a sus necesidades, comparando lo ofrecido con los precios de mercado y demás estudios que realice la entidad</w:t>
            </w:r>
            <w:r>
              <w:rPr>
                <w:rFonts w:ascii="Verdana" w:eastAsia="Calibri" w:hAnsi="Verdana" w:cs="Arial"/>
                <w:lang w:val="es-MX"/>
              </w:rPr>
              <w:t>.</w:t>
            </w:r>
          </w:p>
          <w:p w14:paraId="1B7B2AE1" w14:textId="77777777" w:rsidR="004664B2" w:rsidRDefault="004664B2" w:rsidP="004664B2">
            <w:pPr>
              <w:widowControl w:val="0"/>
              <w:autoSpaceDE w:val="0"/>
              <w:autoSpaceDN w:val="0"/>
              <w:adjustRightInd w:val="0"/>
              <w:snapToGrid w:val="0"/>
              <w:spacing w:line="276" w:lineRule="auto"/>
              <w:jc w:val="both"/>
              <w:rPr>
                <w:rFonts w:ascii="Verdana" w:eastAsia="Calibri" w:hAnsi="Verdana" w:cs="Arial"/>
                <w:lang w:val="es-MX"/>
              </w:rPr>
            </w:pPr>
          </w:p>
          <w:p w14:paraId="5F28B54E" w14:textId="07CF3EE8" w:rsidR="004664B2" w:rsidRDefault="004664B2" w:rsidP="004664B2">
            <w:pPr>
              <w:widowControl w:val="0"/>
              <w:autoSpaceDE w:val="0"/>
              <w:autoSpaceDN w:val="0"/>
              <w:adjustRightInd w:val="0"/>
              <w:snapToGrid w:val="0"/>
              <w:spacing w:line="276" w:lineRule="auto"/>
              <w:jc w:val="both"/>
              <w:rPr>
                <w:rFonts w:ascii="Verdana" w:eastAsia="Calibri" w:hAnsi="Verdana" w:cs="Arial"/>
                <w:lang w:val="es-MX"/>
              </w:rPr>
            </w:pPr>
            <w:r>
              <w:rPr>
                <w:rFonts w:ascii="Verdana" w:eastAsia="Calibri" w:hAnsi="Verdana" w:cs="Arial"/>
                <w:lang w:val="es-MX"/>
              </w:rPr>
              <w:t xml:space="preserve">         Por su parte, e</w:t>
            </w:r>
            <w:r w:rsidRPr="00BB1F68">
              <w:rPr>
                <w:rFonts w:ascii="Verdana" w:eastAsia="Calibri" w:hAnsi="Verdana" w:cs="Arial"/>
                <w:lang w:val="es-MX"/>
              </w:rPr>
              <w:t>l concepto de precio artificialmente bajo debe examinarse desde la perspectiva de lo que conviene a las entidades estatales como parte compradora de bienes y servicios, en su interacción con el mercado, debiendo hacer las verificaciones que procedan de acuerdo con lo establecido en el artículo 2.2.1.1.2.2.4 del Decreto 1082 de 2015, lo que implica partir de un análisis del sector económico serio y real de cara al mercado estudiado.</w:t>
            </w:r>
          </w:p>
          <w:p w14:paraId="030117AC" w14:textId="77777777" w:rsidR="004664B2" w:rsidRDefault="004664B2" w:rsidP="004664B2">
            <w:pPr>
              <w:widowControl w:val="0"/>
              <w:autoSpaceDE w:val="0"/>
              <w:autoSpaceDN w:val="0"/>
              <w:adjustRightInd w:val="0"/>
              <w:snapToGrid w:val="0"/>
              <w:spacing w:line="276" w:lineRule="auto"/>
              <w:jc w:val="both"/>
              <w:rPr>
                <w:rFonts w:ascii="Verdana" w:eastAsia="Calibri" w:hAnsi="Verdana" w:cs="Arial"/>
                <w:lang w:val="es-MX"/>
              </w:rPr>
            </w:pPr>
          </w:p>
          <w:p w14:paraId="2BEEE342" w14:textId="73365D7D" w:rsidR="004664B2" w:rsidRDefault="008338B9" w:rsidP="004664B2">
            <w:pPr>
              <w:spacing w:after="120" w:line="276" w:lineRule="auto"/>
              <w:ind w:firstLine="708"/>
              <w:jc w:val="both"/>
              <w:rPr>
                <w:rFonts w:ascii="Verdana" w:eastAsia="Calibri" w:hAnsi="Verdana" w:cs="Arial"/>
                <w:lang w:val="es-MX"/>
              </w:rPr>
            </w:pPr>
            <w:r>
              <w:rPr>
                <w:rFonts w:ascii="Verdana" w:eastAsia="Calibri" w:hAnsi="Verdana" w:cs="Arial"/>
                <w:lang w:val="es-MX"/>
              </w:rPr>
              <w:t xml:space="preserve">De esta manera y en atención a lo anteriormente indicado </w:t>
            </w:r>
            <w:r w:rsidR="004664B2" w:rsidRPr="00AC1339">
              <w:rPr>
                <w:rFonts w:ascii="Verdana" w:eastAsia="Calibri" w:hAnsi="Verdana" w:cs="Arial"/>
                <w:lang w:val="es-MX"/>
              </w:rPr>
              <w:t xml:space="preserve">cuando el precio de una oferta parece artificialmente bajo, </w:t>
            </w:r>
            <w:r>
              <w:rPr>
                <w:rFonts w:ascii="Verdana" w:eastAsia="Calibri" w:hAnsi="Verdana" w:cs="Arial"/>
                <w:lang w:val="es-MX"/>
              </w:rPr>
              <w:t xml:space="preserve">la entidad </w:t>
            </w:r>
            <w:r w:rsidR="004664B2">
              <w:rPr>
                <w:rFonts w:ascii="Verdana" w:eastAsia="Calibri" w:hAnsi="Verdana" w:cs="Arial"/>
                <w:lang w:val="es-MX"/>
              </w:rPr>
              <w:t>debe</w:t>
            </w:r>
            <w:r w:rsidR="004664B2" w:rsidRPr="00AC1339">
              <w:rPr>
                <w:rFonts w:ascii="Verdana" w:eastAsia="Calibri" w:hAnsi="Verdana" w:cs="Arial"/>
                <w:lang w:val="es-MX"/>
              </w:rPr>
              <w:t>: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46548666" w14:textId="77777777" w:rsidR="004664B2" w:rsidRDefault="004664B2" w:rsidP="004664B2">
            <w:pPr>
              <w:spacing w:before="120" w:line="276" w:lineRule="auto"/>
              <w:ind w:firstLine="708"/>
              <w:jc w:val="both"/>
              <w:rPr>
                <w:rFonts w:ascii="Verdana" w:eastAsia="Calibri" w:hAnsi="Verdana" w:cs="Arial"/>
                <w:lang w:val="es-MX"/>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1"/>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w:t>
            </w: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se pretende contratar. En ese caso, la entidad podrá identificar las ofertas con precios que parecen artificialmente bajos, y seguir el procedimiento del Decreto 1082 de 2015.</w:t>
            </w:r>
          </w:p>
          <w:p w14:paraId="6963D43F" w14:textId="4304F8FE" w:rsidR="004664B2" w:rsidRDefault="004664B2" w:rsidP="004664B2">
            <w:pPr>
              <w:widowControl w:val="0"/>
              <w:autoSpaceDE w:val="0"/>
              <w:autoSpaceDN w:val="0"/>
              <w:adjustRightInd w:val="0"/>
              <w:snapToGrid w:val="0"/>
              <w:spacing w:line="276" w:lineRule="auto"/>
              <w:jc w:val="both"/>
              <w:rPr>
                <w:rFonts w:ascii="Verdana" w:eastAsia="Aptos" w:hAnsi="Verdana" w:cs="Times New Roman"/>
                <w:lang w:val="es-ES"/>
              </w:rPr>
            </w:pPr>
            <w:r>
              <w:rPr>
                <w:rFonts w:ascii="Verdana" w:eastAsia="Calibri" w:hAnsi="Verdana" w:cs="Arial"/>
              </w:rPr>
              <w:lastRenderedPageBreak/>
              <w:t xml:space="preserve">          </w:t>
            </w:r>
            <w:r w:rsidRPr="002C3B83">
              <w:rPr>
                <w:rFonts w:ascii="Verdana" w:eastAsia="Calibri" w:hAnsi="Verdana" w:cs="Arial"/>
              </w:rPr>
              <w:t>De esta manera</w:t>
            </w:r>
            <w:r>
              <w:rPr>
                <w:rFonts w:ascii="Verdana" w:eastAsia="Calibri" w:hAnsi="Verdana" w:cs="Arial"/>
              </w:rPr>
              <w:t>,</w:t>
            </w:r>
            <w:r w:rsidRPr="002C3B83">
              <w:rPr>
                <w:rFonts w:ascii="Verdana" w:eastAsia="Calibri" w:hAnsi="Verdana" w:cs="Arial"/>
              </w:rPr>
              <w:t xml:space="preserve"> la entidad estatal debe calcular el valor mínimo aceptable considerando únicamente las ofertas habilitadas, es decir, aquellas que cumplen con los requisitos establecidos en el pliego de condiciones y no se encuentran incursos en causales de rechazo o inhabilidad</w:t>
            </w:r>
            <w:r>
              <w:rPr>
                <w:rFonts w:ascii="Verdana" w:eastAsia="Calibri" w:hAnsi="Verdana" w:cs="Arial"/>
              </w:rPr>
              <w:t xml:space="preserve"> por lo que se recomienda </w:t>
            </w:r>
            <w:r>
              <w:rPr>
                <w:rFonts w:ascii="Verdana" w:eastAsia="Aptos" w:hAnsi="Verdana" w:cs="Times New Roman"/>
                <w:lang w:val="es-ES"/>
              </w:rPr>
              <w:t xml:space="preserve">consultar la </w:t>
            </w:r>
            <w:r w:rsidRPr="009D6977">
              <w:rPr>
                <w:rFonts w:ascii="Verdana" w:eastAsia="Aptos" w:hAnsi="Verdana" w:cs="Times New Roman"/>
              </w:rPr>
              <w:t>GUÍA PARA EL MANEJO DE OFERTAS ARTIFICIALMENTE BAJAS EN PROCESOS DE CONTRATACIÓN</w:t>
            </w:r>
            <w:r>
              <w:rPr>
                <w:rFonts w:ascii="Verdana" w:eastAsia="Aptos" w:hAnsi="Verdana" w:cs="Times New Roman"/>
                <w:lang w:val="es-ES"/>
              </w:rPr>
              <w:t xml:space="preserve">, la cual encontrará en el siguiente enlace: </w:t>
            </w:r>
            <w:hyperlink r:id="rId13" w:history="1">
              <w:r w:rsidRPr="00086C8A">
                <w:rPr>
                  <w:rStyle w:val="Hipervnculo"/>
                  <w:rFonts w:ascii="Verdana" w:eastAsia="Aptos" w:hAnsi="Verdana" w:cs="Times New Roman"/>
                  <w:lang w:val="es-ES"/>
                </w:rPr>
                <w:t>https://colombiacompra.gov.co/sites/cce_public/files/cce_documents/guia_para_el_manejo_de_ofertas_artifialmente_bajas.pdf</w:t>
              </w:r>
            </w:hyperlink>
            <w:r>
              <w:rPr>
                <w:rFonts w:ascii="Verdana" w:eastAsia="Aptos" w:hAnsi="Verdana" w:cs="Times New Roman"/>
                <w:lang w:val="es-ES"/>
              </w:rPr>
              <w:t>.</w:t>
            </w:r>
          </w:p>
          <w:p w14:paraId="6475B573" w14:textId="57D0437A" w:rsidR="004664B2" w:rsidRPr="00A7428E" w:rsidRDefault="004664B2" w:rsidP="004664B2">
            <w:pPr>
              <w:pStyle w:val="NormalWeb"/>
              <w:spacing w:after="120"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      </w:t>
            </w:r>
            <w:r w:rsidRPr="00A7428E">
              <w:rPr>
                <w:rFonts w:ascii="Verdana" w:hAnsi="Verdana" w:cs="Arial"/>
                <w:color w:val="000000" w:themeColor="text1"/>
                <w:sz w:val="22"/>
                <w:szCs w:val="22"/>
              </w:rPr>
              <w:t>Al margen de la explicación precedente debe advertirse que el análisis requerido para </w:t>
            </w:r>
            <w:r>
              <w:rPr>
                <w:rFonts w:ascii="Verdana" w:hAnsi="Verdana" w:cs="Arial"/>
                <w:color w:val="000000" w:themeColor="text1"/>
                <w:sz w:val="22"/>
                <w:szCs w:val="22"/>
              </w:rPr>
              <w:t>determinar la existencia de precios artificialmente bajos en los procesos de contratación</w:t>
            </w:r>
            <w:r w:rsidRPr="00A7428E">
              <w:rPr>
                <w:rFonts w:ascii="Verdana" w:hAnsi="Verdana" w:cs="Arial"/>
                <w:color w:val="000000" w:themeColor="text1"/>
                <w:sz w:val="22"/>
                <w:szCs w:val="22"/>
              </w:rPr>
              <w:t>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1C7AF7B6" w14:textId="77777777" w:rsidR="004664B2" w:rsidRDefault="004664B2" w:rsidP="004664B2">
            <w:pPr>
              <w:spacing w:line="276" w:lineRule="auto"/>
              <w:ind w:firstLine="709"/>
              <w:jc w:val="both"/>
              <w:rPr>
                <w:rFonts w:ascii="Verdana" w:eastAsia="Calibri" w:hAnsi="Verdana" w:cs="Times New Roman"/>
                <w:lang w:val="es-ES"/>
              </w:rPr>
            </w:pPr>
            <w:r w:rsidRPr="00A7428E">
              <w:rPr>
                <w:rFonts w:ascii="Verdana" w:hAnsi="Verdana" w:cs="Arial"/>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color w:val="000000" w:themeColor="text1"/>
              </w:rPr>
              <w:t>Por tanto</w:t>
            </w:r>
            <w:r w:rsidRPr="00A7428E">
              <w:rPr>
                <w:rFonts w:ascii="Verdana" w:hAnsi="Verdana" w:cs="Arial"/>
                <w:color w:val="000000" w:themeColor="text1"/>
              </w:rPr>
              <w:t>, cada entidad definirá la forma de adelantar su gestión contractual, sin que sea atribución de Colombia Compra Eficiente validar sus actuaciones</w:t>
            </w:r>
            <w:r w:rsidRPr="00B00396">
              <w:rPr>
                <w:rFonts w:ascii="Verdana" w:eastAsia="Calibri" w:hAnsi="Verdana" w:cs="Times New Roman"/>
                <w:lang w:val="es-ES"/>
              </w:rPr>
              <w:t xml:space="preserve"> </w:t>
            </w:r>
          </w:p>
          <w:p w14:paraId="5654F394" w14:textId="77777777" w:rsidR="004664B2" w:rsidRDefault="004664B2" w:rsidP="004664B2">
            <w:pPr>
              <w:spacing w:line="276" w:lineRule="auto"/>
              <w:ind w:firstLine="709"/>
              <w:jc w:val="both"/>
              <w:rPr>
                <w:rFonts w:ascii="Verdana" w:eastAsia="Calibri" w:hAnsi="Verdana" w:cs="Times New Roman"/>
                <w:lang w:val="es-ES"/>
              </w:rPr>
            </w:pPr>
          </w:p>
          <w:p w14:paraId="6DCD38EC" w14:textId="347DB9FD" w:rsidR="00965ADE" w:rsidRDefault="00F800A5" w:rsidP="004664B2">
            <w:pPr>
              <w:spacing w:line="276" w:lineRule="auto"/>
              <w:ind w:firstLine="709"/>
              <w:jc w:val="both"/>
              <w:rPr>
                <w:rFonts w:ascii="Verdana" w:eastAsia="Calibri" w:hAnsi="Verdana" w:cs="Times New Roman"/>
                <w:lang w:val="es-ES"/>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w:t>
            </w:r>
            <w:r w:rsidRPr="00DB4737">
              <w:rPr>
                <w:rFonts w:ascii="Verdana" w:eastAsia="Calibri" w:hAnsi="Verdana" w:cs="Times New Roman"/>
                <w:lang w:val="es-ES"/>
              </w:rPr>
              <w:lastRenderedPageBreak/>
              <w:t>corresponderá a los interesados de adoptar la decisión y, en caso de conflicto, a las autoridades judiciales, fiscales y disciplinarias.</w:t>
            </w:r>
          </w:p>
          <w:p w14:paraId="28491E1C" w14:textId="77777777" w:rsidR="00965ADE" w:rsidRDefault="00965ADE" w:rsidP="00965ADE">
            <w:pPr>
              <w:spacing w:line="276" w:lineRule="auto"/>
              <w:ind w:firstLine="709"/>
              <w:jc w:val="both"/>
              <w:rPr>
                <w:rFonts w:ascii="Verdana" w:eastAsia="Calibri" w:hAnsi="Verdana" w:cs="Times New Roman"/>
                <w:lang w:val="es-ES"/>
              </w:rPr>
            </w:pPr>
          </w:p>
          <w:p w14:paraId="1EB8D2E3" w14:textId="15B7000B" w:rsidR="00F8204E" w:rsidRDefault="00F800A5" w:rsidP="00965ADE">
            <w:pPr>
              <w:spacing w:line="276" w:lineRule="auto"/>
              <w:ind w:firstLine="709"/>
              <w:jc w:val="both"/>
              <w:rPr>
                <w:rFonts w:ascii="Verdana" w:eastAsia="Calibri" w:hAnsi="Verdana" w:cs="Arial"/>
                <w:bCs/>
                <w:lang w:eastAsia="es-ES_tradn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2A748C7C" w14:textId="77777777" w:rsidR="00F8204E" w:rsidRDefault="00F8204E" w:rsidP="00F8204E">
      <w:pPr>
        <w:tabs>
          <w:tab w:val="left" w:pos="142"/>
          <w:tab w:val="left" w:pos="284"/>
        </w:tabs>
        <w:spacing w:after="0" w:line="276" w:lineRule="auto"/>
        <w:jc w:val="both"/>
        <w:rPr>
          <w:rFonts w:ascii="Verdana" w:eastAsia="Century Gothic" w:hAnsi="Verdana" w:cs="Century Gothic"/>
          <w:b/>
          <w:bCs/>
          <w:lang w:val="es-ES"/>
        </w:rPr>
      </w:pPr>
    </w:p>
    <w:p w14:paraId="73B4CBEB" w14:textId="77777777" w:rsidR="00965ADE" w:rsidRDefault="00965ADE" w:rsidP="00F8204E">
      <w:pPr>
        <w:tabs>
          <w:tab w:val="left" w:pos="142"/>
          <w:tab w:val="left" w:pos="284"/>
        </w:tabs>
        <w:spacing w:after="0" w:line="276" w:lineRule="auto"/>
        <w:jc w:val="both"/>
        <w:rPr>
          <w:rFonts w:ascii="Verdana" w:eastAsia="Century Gothic" w:hAnsi="Verdana" w:cs="Century Gothic"/>
          <w:b/>
          <w:bCs/>
          <w:lang w:val="es-ES"/>
        </w:rPr>
      </w:pPr>
    </w:p>
    <w:p w14:paraId="543E2C50" w14:textId="77777777" w:rsidR="00F8204E" w:rsidRPr="00593A5F" w:rsidRDefault="00F8204E" w:rsidP="00F820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036ECE6" w14:textId="77777777" w:rsidR="00F8204E" w:rsidRDefault="00F8204E" w:rsidP="00F8204E">
      <w:pPr>
        <w:spacing w:after="0" w:line="276" w:lineRule="auto"/>
        <w:ind w:firstLine="708"/>
        <w:jc w:val="both"/>
        <w:rPr>
          <w:rFonts w:ascii="Verdana" w:eastAsia="Calibri" w:hAnsi="Verdana" w:cs="Arial"/>
          <w:color w:val="000000" w:themeColor="text1"/>
        </w:rPr>
      </w:pPr>
    </w:p>
    <w:p w14:paraId="2EB58D0A" w14:textId="77777777" w:rsidR="00A4708A" w:rsidRPr="00CD6A1A" w:rsidRDefault="00F8204E" w:rsidP="00A4708A">
      <w:pPr>
        <w:tabs>
          <w:tab w:val="left" w:pos="0"/>
        </w:tabs>
        <w:spacing w:after="0" w:line="276" w:lineRule="auto"/>
        <w:jc w:val="both"/>
        <w:rPr>
          <w:rFonts w:ascii="Verdana" w:hAnsi="Verdana" w:cs="Arial"/>
          <w:color w:val="000000" w:themeColor="text1"/>
        </w:rPr>
      </w:pPr>
      <w:bookmarkStart w:id="4" w:name="_Hlk108519028"/>
      <w:r>
        <w:rPr>
          <w:rFonts w:ascii="Verdana" w:eastAsia="Calibri" w:hAnsi="Verdana" w:cs="Arial"/>
          <w:color w:val="000000" w:themeColor="text1"/>
        </w:rPr>
        <w:t xml:space="preserve">        </w:t>
      </w:r>
      <w:r>
        <w:rPr>
          <w:rFonts w:ascii="Verdana" w:eastAsia="Calibri" w:hAnsi="Verdana" w:cs="Arial"/>
          <w:bCs/>
          <w:lang w:eastAsia="es-MX"/>
        </w:rPr>
        <w:t xml:space="preserve"> </w:t>
      </w:r>
      <w:bookmarkEnd w:id="4"/>
      <w:r w:rsidR="00A4708A" w:rsidRPr="00CD6A1A">
        <w:rPr>
          <w:rFonts w:ascii="Verdana" w:hAnsi="Verdana" w:cs="Arial"/>
          <w:color w:val="000000" w:themeColor="text1"/>
        </w:rPr>
        <w:t>Según el artículo 26.6 de la Ley 80 de 1993, los contratistas responderán cuando presenten ofertas que resulten artificialmente bajas con el propósito de obtener la adjudicación del contrato.</w:t>
      </w:r>
      <w:r w:rsidR="00A4708A" w:rsidRPr="00CD6A1A">
        <w:rPr>
          <w:rFonts w:ascii="Verdana" w:hAnsi="Verdana" w:cs="Arial"/>
          <w:color w:val="000000" w:themeColor="text1"/>
          <w:lang w:val="es-ES"/>
        </w:rPr>
        <w:t xml:space="preserve"> El precio artificialmente bajo es definido como aquel que, además de ser muy reducido, no encuentra fundamento en el tráfico comercial. En este sentido, la entidad estaría imposibilitada para aceptar la propuesta artificialmente baja, so pena de la infracción de los principios de la contratación pública</w:t>
      </w:r>
      <w:r w:rsidR="00A4708A" w:rsidRPr="00CD6A1A">
        <w:rPr>
          <w:rFonts w:ascii="Verdana" w:hAnsi="Verdana" w:cs="Arial"/>
          <w:color w:val="000000" w:themeColor="text1"/>
        </w:rPr>
        <w:t>. Así lo señalo el Consejo de Estado en sentencia del 4 de junio de 2008, en los siguientes términos:</w:t>
      </w:r>
    </w:p>
    <w:p w14:paraId="05F0806B" w14:textId="77777777" w:rsidR="00A4708A" w:rsidRPr="00CD6A1A" w:rsidRDefault="00A4708A" w:rsidP="00A4708A">
      <w:pPr>
        <w:spacing w:after="0" w:line="276" w:lineRule="auto"/>
        <w:jc w:val="both"/>
        <w:rPr>
          <w:rFonts w:ascii="Verdana" w:hAnsi="Verdana" w:cs="Arial"/>
          <w:color w:val="000000" w:themeColor="text1"/>
        </w:rPr>
      </w:pPr>
    </w:p>
    <w:p w14:paraId="767B3CCB" w14:textId="77777777" w:rsidR="00A4708A" w:rsidRPr="00CD6A1A" w:rsidRDefault="00A4708A" w:rsidP="00A4708A">
      <w:pPr>
        <w:spacing w:after="0" w:line="240" w:lineRule="auto"/>
        <w:ind w:left="708" w:right="709"/>
        <w:jc w:val="both"/>
        <w:rPr>
          <w:rFonts w:ascii="Verdana" w:hAnsi="Verdana" w:cs="Arial"/>
          <w:color w:val="000000" w:themeColor="text1"/>
          <w:sz w:val="21"/>
          <w:szCs w:val="21"/>
        </w:rPr>
      </w:pPr>
      <w:r>
        <w:rPr>
          <w:rFonts w:ascii="Verdana" w:hAnsi="Verdana" w:cs="Arial"/>
          <w:color w:val="000000" w:themeColor="text1"/>
          <w:sz w:val="21"/>
          <w:szCs w:val="21"/>
        </w:rPr>
        <w:t>“</w:t>
      </w:r>
      <w:r w:rsidRPr="00CD6A1A">
        <w:rPr>
          <w:rFonts w:ascii="Verdana" w:hAnsi="Verdana" w:cs="Arial"/>
          <w:color w:val="000000" w:themeColor="text1"/>
          <w:sz w:val="21"/>
          <w:szCs w:val="21"/>
        </w:rPr>
        <w:t xml:space="preserve">El denominado </w:t>
      </w:r>
      <w:r>
        <w:rPr>
          <w:rFonts w:ascii="Verdana" w:hAnsi="Verdana" w:cs="Arial"/>
          <w:color w:val="000000" w:themeColor="text1"/>
          <w:sz w:val="21"/>
          <w:szCs w:val="21"/>
        </w:rPr>
        <w:t>‘</w:t>
      </w:r>
      <w:r w:rsidRPr="00CD6A1A">
        <w:rPr>
          <w:rFonts w:ascii="Verdana" w:hAnsi="Verdana" w:cs="Arial"/>
          <w:color w:val="000000" w:themeColor="text1"/>
          <w:sz w:val="21"/>
          <w:szCs w:val="21"/>
        </w:rPr>
        <w:t>precio artificialmente bajo</w:t>
      </w:r>
      <w:r>
        <w:rPr>
          <w:rFonts w:ascii="Verdana" w:hAnsi="Verdana" w:cs="Arial"/>
          <w:color w:val="000000" w:themeColor="text1"/>
          <w:sz w:val="21"/>
          <w:szCs w:val="21"/>
        </w:rPr>
        <w:t>’</w:t>
      </w:r>
      <w:r w:rsidRPr="00CD6A1A">
        <w:rPr>
          <w:rFonts w:ascii="Verdana" w:hAnsi="Verdana" w:cs="Arial"/>
          <w:color w:val="000000" w:themeColor="text1"/>
          <w:sz w:val="21"/>
          <w:szCs w:val="21"/>
        </w:rPr>
        <w:t xml:space="preserve">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Pr>
          <w:rFonts w:ascii="Verdana" w:hAnsi="Verdana" w:cs="Arial"/>
          <w:color w:val="000000" w:themeColor="text1"/>
          <w:sz w:val="21"/>
          <w:szCs w:val="21"/>
        </w:rPr>
        <w:t>”</w:t>
      </w:r>
      <w:r w:rsidRPr="00CD6A1A">
        <w:rPr>
          <w:rStyle w:val="Refdenotaalpie"/>
          <w:rFonts w:ascii="Verdana" w:hAnsi="Verdana" w:cs="Arial"/>
          <w:color w:val="000000" w:themeColor="text1"/>
        </w:rPr>
        <w:footnoteReference w:id="2"/>
      </w:r>
      <w:r w:rsidRPr="00CD6A1A">
        <w:rPr>
          <w:rFonts w:ascii="Verdana" w:hAnsi="Verdana" w:cs="Arial"/>
          <w:color w:val="000000" w:themeColor="text1"/>
          <w:sz w:val="21"/>
          <w:szCs w:val="21"/>
        </w:rPr>
        <w:t>.</w:t>
      </w:r>
    </w:p>
    <w:p w14:paraId="70D8333A" w14:textId="77777777" w:rsidR="00A4708A" w:rsidRPr="00CD6A1A" w:rsidRDefault="00A4708A" w:rsidP="00A4708A">
      <w:pPr>
        <w:spacing w:after="0" w:line="276" w:lineRule="auto"/>
        <w:ind w:left="709" w:right="709"/>
        <w:jc w:val="both"/>
        <w:rPr>
          <w:rFonts w:ascii="Verdana" w:hAnsi="Verdana" w:cs="Arial"/>
          <w:color w:val="000000" w:themeColor="text1"/>
        </w:rPr>
      </w:pPr>
    </w:p>
    <w:p w14:paraId="31321F19" w14:textId="77777777" w:rsidR="00A4708A" w:rsidRPr="00CD6A1A" w:rsidRDefault="00A4708A" w:rsidP="00A4708A">
      <w:pPr>
        <w:spacing w:line="276" w:lineRule="auto"/>
        <w:ind w:firstLine="709"/>
        <w:jc w:val="both"/>
        <w:rPr>
          <w:rFonts w:ascii="Verdana" w:hAnsi="Verdana" w:cs="Arial"/>
          <w:color w:val="000000" w:themeColor="text1"/>
        </w:rPr>
      </w:pPr>
      <w:r w:rsidRPr="00CD6A1A">
        <w:rPr>
          <w:rFonts w:ascii="Verdana" w:hAnsi="Verdana" w:cs="Arial"/>
          <w:color w:val="000000" w:themeColor="text1"/>
        </w:rPr>
        <w:t xml:space="preserve">Por su parte, la “Guía para el manejo de ofertas artificialmente bajas en Procesos de Contratación”, establece que una oferta es artificialmente baja </w:t>
      </w:r>
      <w:r w:rsidRPr="00CD6A1A">
        <w:rPr>
          <w:rFonts w:ascii="Verdana" w:hAnsi="Verdana" w:cs="Arial"/>
          <w:color w:val="000000" w:themeColor="text1"/>
        </w:rPr>
        <w:lastRenderedPageBreak/>
        <w:t>cuando, “a criterio de la Entidad Estatal, el precio no parece suficiente para garantizar una correcta ejecución del contrato, de acuerdo con la información recogida durante la etapa de planeación y particularmente durante el Estudio del Sector”. En este punto, es importante diferenciar las “ofertas artificialmente bajas” y las “ofertas competitivas”, entendiendo por estas últimas aquellas “que tienen en su estructura de costos economías de escala o economías de alcance, que permiten generar un bien o un servicio a menor costo que el resto de proveedores en el mercado”, según lo establece la guía antes mencionada.</w:t>
      </w:r>
    </w:p>
    <w:p w14:paraId="6ADFD2A1" w14:textId="77777777" w:rsidR="00A4708A" w:rsidRPr="00CD6A1A" w:rsidRDefault="00A4708A" w:rsidP="00A4708A">
      <w:pPr>
        <w:spacing w:before="120" w:after="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De otro lado, el artículo 2.2.1.1.2.2.4 del Decreto 1082 de 2015 regula el procedimiento a seguir en los eventos en que se presenten propuestas con valor artificialmente bajo: </w:t>
      </w:r>
    </w:p>
    <w:p w14:paraId="27A04E72" w14:textId="77777777" w:rsidR="00A4708A" w:rsidRPr="00CD6A1A" w:rsidRDefault="00A4708A" w:rsidP="00A4708A">
      <w:pPr>
        <w:spacing w:after="0" w:line="276" w:lineRule="auto"/>
        <w:ind w:firstLine="709"/>
        <w:jc w:val="both"/>
        <w:rPr>
          <w:rFonts w:ascii="Verdana" w:hAnsi="Verdana" w:cs="Arial"/>
          <w:color w:val="000000" w:themeColor="text1"/>
        </w:rPr>
      </w:pPr>
    </w:p>
    <w:p w14:paraId="4BEE2AE1" w14:textId="77777777" w:rsidR="00A4708A" w:rsidRPr="00CD6A1A" w:rsidRDefault="00A4708A" w:rsidP="00A4708A">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Pr>
          <w:rFonts w:ascii="Verdana" w:hAnsi="Verdana" w:cs="Arial"/>
          <w:color w:val="000000" w:themeColor="text1"/>
          <w:sz w:val="21"/>
          <w:szCs w:val="21"/>
        </w:rPr>
        <w:t>“</w:t>
      </w:r>
      <w:r w:rsidRPr="00CD6A1A">
        <w:rPr>
          <w:rFonts w:ascii="Verdana" w:hAnsi="Verdana" w:cs="Arial"/>
          <w:color w:val="000000" w:themeColor="text1"/>
          <w:sz w:val="21"/>
          <w:szCs w:val="21"/>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0AEFCDD0" w14:textId="77777777" w:rsidR="00A4708A" w:rsidRPr="00CD6A1A" w:rsidRDefault="00A4708A" w:rsidP="00A4708A">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sidRPr="00CD6A1A">
        <w:rPr>
          <w:rFonts w:ascii="Verdana" w:hAnsi="Verdana" w:cs="Arial"/>
          <w:color w:val="000000" w:themeColor="text1"/>
          <w:sz w:val="21"/>
          <w:szCs w:val="21"/>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2CB75066" w14:textId="77777777" w:rsidR="00A4708A" w:rsidRPr="00CD6A1A" w:rsidRDefault="00A4708A" w:rsidP="00A4708A">
      <w:pPr>
        <w:tabs>
          <w:tab w:val="left" w:pos="7230"/>
          <w:tab w:val="left" w:pos="7797"/>
          <w:tab w:val="left" w:pos="8080"/>
        </w:tabs>
        <w:spacing w:after="0" w:line="240" w:lineRule="auto"/>
        <w:ind w:left="709" w:right="709"/>
        <w:jc w:val="both"/>
        <w:rPr>
          <w:rFonts w:ascii="Verdana" w:hAnsi="Verdana" w:cs="Arial"/>
          <w:color w:val="000000" w:themeColor="text1"/>
          <w:sz w:val="21"/>
          <w:szCs w:val="21"/>
        </w:rPr>
      </w:pPr>
      <w:r w:rsidRPr="00CD6A1A">
        <w:rPr>
          <w:rFonts w:ascii="Verdana" w:hAnsi="Verdana" w:cs="Arial"/>
          <w:color w:val="000000" w:themeColor="text1"/>
          <w:sz w:val="21"/>
          <w:szCs w:val="21"/>
        </w:rPr>
        <w:t>En la subasta inversa esta disposición es aplicable sobre el precio obtenido al final de la misma</w:t>
      </w:r>
      <w:r>
        <w:rPr>
          <w:rFonts w:ascii="Verdana" w:hAnsi="Verdana" w:cs="Arial"/>
          <w:color w:val="000000" w:themeColor="text1"/>
          <w:sz w:val="21"/>
          <w:szCs w:val="21"/>
        </w:rPr>
        <w:t>”</w:t>
      </w:r>
      <w:r w:rsidRPr="00CD6A1A">
        <w:rPr>
          <w:rFonts w:ascii="Verdana" w:hAnsi="Verdana" w:cs="Arial"/>
          <w:color w:val="000000" w:themeColor="text1"/>
          <w:sz w:val="21"/>
          <w:szCs w:val="21"/>
        </w:rPr>
        <w:t>.</w:t>
      </w:r>
    </w:p>
    <w:p w14:paraId="0F941680" w14:textId="77777777" w:rsidR="00A4708A" w:rsidRPr="00CD6A1A" w:rsidRDefault="00A4708A" w:rsidP="00A4708A">
      <w:pPr>
        <w:spacing w:after="0" w:line="276" w:lineRule="auto"/>
        <w:ind w:left="709" w:right="709"/>
        <w:jc w:val="both"/>
        <w:rPr>
          <w:rFonts w:ascii="Verdana" w:hAnsi="Verdana" w:cs="Arial"/>
          <w:color w:val="000000" w:themeColor="text1"/>
        </w:rPr>
      </w:pPr>
    </w:p>
    <w:p w14:paraId="3F2FDDE1" w14:textId="77777777" w:rsidR="00A4708A" w:rsidRPr="00CD6A1A" w:rsidRDefault="00A4708A" w:rsidP="00A4708A">
      <w:pPr>
        <w:spacing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De lo expuesto se desprende que, ante una propuesta artificialmente baja, la entidad estatal está obligada a: i) requerir al oferente para que explique las razones que sustentan el valor ofrecido; ii) analizar las explicaciones; y iii) con base en lo anterior, rechazar la oferta o continuar con su análisis en la fase de evaluación. Así, la entidad deberá, inicialmente, determinar si la propuesta es considerada artificialmente baja, de acuerdo con la información del análisis del sector y, posteriormente, agotar el procedimiento indicado. </w:t>
      </w:r>
    </w:p>
    <w:p w14:paraId="2A5FCF1D"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Por su parte, la “Guía para el manejo de ofertas artificialmente bajas en Procesos de Contratación” recomienda a las entidades estatales tener en cuenta la siguiente información: i) promedio del valor de las ofertas, ii) mediana del </w:t>
      </w:r>
      <w:r w:rsidRPr="00CD6A1A">
        <w:rPr>
          <w:rFonts w:ascii="Verdana" w:hAnsi="Verdana" w:cs="Arial"/>
          <w:color w:val="000000" w:themeColor="text1"/>
        </w:rPr>
        <w:lastRenderedPageBreak/>
        <w:t xml:space="preserve">valor las ofertas, iii)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vii) la información histórica de ofertas y contratos del objeto del proceso de contratación. </w:t>
      </w:r>
    </w:p>
    <w:p w14:paraId="3899653A"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Con estos datos, la entidad puede emplear herramientas para identificar ofertas que pueden ser artíficamente bajas, tales como la comparación absoluta o la comparación relativa. La </w:t>
      </w:r>
      <w:r w:rsidRPr="00F94F85">
        <w:rPr>
          <w:rFonts w:ascii="Verdana" w:hAnsi="Verdana" w:cs="Arial"/>
          <w:i/>
          <w:iCs/>
          <w:color w:val="000000" w:themeColor="text1"/>
        </w:rPr>
        <w:t>comparación absoluta</w:t>
      </w:r>
      <w:r w:rsidRPr="00CD6A1A">
        <w:rPr>
          <w:rFonts w:ascii="Verdana" w:hAnsi="Verdana" w:cs="Arial"/>
          <w:color w:val="000000" w:themeColor="text1"/>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F94F85">
        <w:rPr>
          <w:rFonts w:ascii="Verdana" w:hAnsi="Verdana" w:cs="Arial"/>
          <w:i/>
          <w:iCs/>
          <w:color w:val="000000" w:themeColor="text1"/>
        </w:rPr>
        <w:t>comparación relativa</w:t>
      </w:r>
      <w:r w:rsidRPr="00CD6A1A">
        <w:rPr>
          <w:rFonts w:ascii="Verdana" w:hAnsi="Verdana" w:cs="Arial"/>
          <w:color w:val="000000" w:themeColor="text1"/>
        </w:rPr>
        <w:t xml:space="preserve"> consiste en comparar cada oferta con las demás presentadas. </w:t>
      </w:r>
    </w:p>
    <w:p w14:paraId="6FCD25CE" w14:textId="77777777" w:rsidR="00A4708A" w:rsidRPr="00CD6A1A" w:rsidRDefault="00A4708A" w:rsidP="00A4708A">
      <w:pPr>
        <w:spacing w:before="120" w:after="0" w:line="276" w:lineRule="auto"/>
        <w:ind w:firstLine="708"/>
        <w:jc w:val="both"/>
        <w:rPr>
          <w:rFonts w:ascii="Verdana" w:hAnsi="Verdana" w:cs="Arial"/>
          <w:color w:val="000000" w:themeColor="text1"/>
        </w:rPr>
      </w:pPr>
      <w:r w:rsidRPr="00CD6A1A">
        <w:rPr>
          <w:rFonts w:ascii="Verdana" w:hAnsi="Verdana" w:cs="Arial"/>
          <w:color w:val="000000"/>
          <w:shd w:val="clear" w:color="auto" w:fill="FFFFFF"/>
        </w:rPr>
        <w:t>Colombia Compra Eficiente ha sugerido a las entidades aplicar la siguiente metodología para identificar ofertas con “precios artificialmente bajos”, en aquellos procesos en los que hay cinco (5) o más ofertas</w:t>
      </w:r>
      <w:r w:rsidRPr="00CD6A1A">
        <w:rPr>
          <w:rFonts w:ascii="Verdana" w:hAnsi="Verdana" w:cs="Arial"/>
          <w:color w:val="000000" w:themeColor="text1"/>
        </w:rPr>
        <w:t>:</w:t>
      </w:r>
    </w:p>
    <w:p w14:paraId="2C303178" w14:textId="77777777" w:rsidR="00A4708A" w:rsidRPr="00CD6A1A" w:rsidRDefault="00A4708A" w:rsidP="00A4708A">
      <w:pPr>
        <w:spacing w:after="0" w:line="276" w:lineRule="auto"/>
        <w:jc w:val="both"/>
        <w:rPr>
          <w:rFonts w:ascii="Verdana" w:hAnsi="Verdana" w:cs="Arial"/>
          <w:color w:val="000000" w:themeColor="text1"/>
        </w:rPr>
      </w:pPr>
    </w:p>
    <w:p w14:paraId="4FE69625" w14:textId="77777777" w:rsidR="00A4708A" w:rsidRPr="00CD6A1A" w:rsidRDefault="00A4708A" w:rsidP="00A4708A">
      <w:pPr>
        <w:spacing w:after="0"/>
        <w:ind w:left="709" w:right="709" w:hanging="2"/>
        <w:jc w:val="both"/>
        <w:rPr>
          <w:rFonts w:ascii="Verdana" w:hAnsi="Verdana" w:cs="Arial"/>
          <w:color w:val="000000" w:themeColor="text1"/>
          <w:sz w:val="21"/>
          <w:szCs w:val="21"/>
        </w:rPr>
      </w:pPr>
      <w:r w:rsidRPr="00CD6A1A">
        <w:rPr>
          <w:rFonts w:ascii="Verdana" w:hAnsi="Verdana" w:cs="Arial"/>
          <w:color w:val="000000" w:themeColor="text1"/>
          <w:sz w:val="21"/>
          <w:szCs w:val="21"/>
        </w:rPr>
        <w:t xml:space="preserve">1. Tomar el conjunto de ofertas a evaluar. </w:t>
      </w:r>
    </w:p>
    <w:p w14:paraId="5C1AE334" w14:textId="77777777" w:rsidR="00A4708A" w:rsidRPr="00CD6A1A" w:rsidRDefault="00A4708A" w:rsidP="00A4708A">
      <w:pPr>
        <w:spacing w:after="0"/>
        <w:ind w:left="709" w:right="709" w:hanging="2"/>
        <w:jc w:val="both"/>
        <w:rPr>
          <w:rFonts w:ascii="Verdana" w:hAnsi="Verdana" w:cs="Arial"/>
          <w:color w:val="000000" w:themeColor="text1"/>
          <w:sz w:val="21"/>
          <w:szCs w:val="21"/>
        </w:rPr>
      </w:pPr>
      <w:r w:rsidRPr="00CD6A1A">
        <w:rPr>
          <w:rFonts w:ascii="Verdana" w:hAnsi="Verdana" w:cs="Arial"/>
          <w:color w:val="000000" w:themeColor="text1"/>
          <w:sz w:val="21"/>
          <w:szCs w:val="21"/>
        </w:rPr>
        <w:t>2. Calcular la mediana, o dependiendo de la dispersión de los datos el promedio, del valor de cada oferta o de cada ítem dentro de la oferta.</w:t>
      </w:r>
    </w:p>
    <w:p w14:paraId="0E8B32F6" w14:textId="77777777" w:rsidR="00A4708A" w:rsidRPr="00CD6A1A" w:rsidRDefault="00A4708A" w:rsidP="00A4708A">
      <w:pPr>
        <w:spacing w:after="0"/>
        <w:ind w:left="709" w:right="709" w:hanging="2"/>
        <w:jc w:val="both"/>
        <w:rPr>
          <w:rFonts w:ascii="Verdana" w:hAnsi="Verdana" w:cs="Arial"/>
          <w:color w:val="000000" w:themeColor="text1"/>
          <w:sz w:val="21"/>
          <w:szCs w:val="21"/>
        </w:rPr>
      </w:pPr>
      <w:r w:rsidRPr="00CD6A1A">
        <w:rPr>
          <w:rFonts w:ascii="Verdana" w:hAnsi="Verdana" w:cs="Arial"/>
          <w:color w:val="000000" w:themeColor="text1"/>
          <w:sz w:val="21"/>
          <w:szCs w:val="21"/>
        </w:rPr>
        <w:t xml:space="preserve">3. Calcular la desviación estándar del conjunto. </w:t>
      </w:r>
    </w:p>
    <w:p w14:paraId="0D2EBE85" w14:textId="77777777" w:rsidR="00A4708A" w:rsidRPr="00CD6A1A" w:rsidRDefault="00A4708A" w:rsidP="00A4708A">
      <w:pPr>
        <w:spacing w:after="0"/>
        <w:ind w:left="709" w:right="709" w:hanging="2"/>
        <w:jc w:val="both"/>
        <w:rPr>
          <w:rFonts w:ascii="Verdana" w:hAnsi="Verdana" w:cs="Arial"/>
          <w:color w:val="000000" w:themeColor="text1"/>
          <w:sz w:val="21"/>
          <w:szCs w:val="21"/>
        </w:rPr>
      </w:pPr>
      <w:r w:rsidRPr="00CD6A1A">
        <w:rPr>
          <w:rFonts w:ascii="Verdana" w:hAnsi="Verdana" w:cs="Arial"/>
          <w:color w:val="000000" w:themeColor="text1"/>
          <w:sz w:val="21"/>
          <w:szCs w:val="21"/>
        </w:rPr>
        <w:t>4. Determinar el valor mínimo aceptable.</w:t>
      </w:r>
      <w:r w:rsidRPr="00CD6A1A">
        <w:rPr>
          <w:rStyle w:val="Refdenotaalpie"/>
          <w:rFonts w:ascii="Verdana" w:hAnsi="Verdana" w:cs="Arial"/>
          <w:color w:val="000000" w:themeColor="text1"/>
          <w:sz w:val="21"/>
          <w:szCs w:val="21"/>
        </w:rPr>
        <w:footnoteReference w:id="3"/>
      </w:r>
    </w:p>
    <w:p w14:paraId="554F9BCD" w14:textId="77777777" w:rsidR="00A4708A" w:rsidRPr="00CD6A1A" w:rsidRDefault="00A4708A" w:rsidP="00A4708A">
      <w:pPr>
        <w:spacing w:after="0" w:line="276" w:lineRule="auto"/>
        <w:jc w:val="both"/>
        <w:rPr>
          <w:rFonts w:ascii="Verdana" w:hAnsi="Verdana" w:cs="Arial"/>
          <w:color w:val="000000" w:themeColor="text1"/>
        </w:rPr>
      </w:pPr>
    </w:p>
    <w:p w14:paraId="6A18FD1C" w14:textId="77777777" w:rsidR="00A4708A" w:rsidRPr="00CD6A1A" w:rsidRDefault="00A4708A" w:rsidP="00A4708A">
      <w:pPr>
        <w:spacing w:after="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La </w:t>
      </w:r>
      <w:r w:rsidRPr="00CD6A1A">
        <w:rPr>
          <w:rFonts w:ascii="Verdana" w:hAnsi="Verdana" w:cs="Arial"/>
          <w:i/>
          <w:iCs/>
          <w:color w:val="000000" w:themeColor="text1"/>
        </w:rPr>
        <w:t>mediana</w:t>
      </w:r>
      <w:r w:rsidRPr="00CD6A1A">
        <w:rPr>
          <w:rFonts w:ascii="Verdana" w:hAnsi="Verdana" w:cs="Arial"/>
          <w:color w:val="000000" w:themeColor="text1"/>
        </w:rPr>
        <w:t xml:space="preserve"> debe calcularse ordenando los valores de mayor a menor y tomando el valor de la oferta en la mitad de la lista. Si el número de ofertas es par, caso en el cual no habrá una oferta “en la mitad”, debe tomarse los dos valores del medio, se suman y dividen en dos. Posteriormente, es necesario calcular la </w:t>
      </w:r>
      <w:r w:rsidRPr="00CD6A1A">
        <w:rPr>
          <w:rFonts w:ascii="Verdana" w:hAnsi="Verdana" w:cs="Arial"/>
          <w:i/>
          <w:iCs/>
          <w:color w:val="000000" w:themeColor="text1"/>
        </w:rPr>
        <w:t>desviación estándar</w:t>
      </w:r>
      <w:r w:rsidRPr="00CD6A1A">
        <w:rPr>
          <w:rFonts w:ascii="Verdana" w:hAnsi="Verdana" w:cs="Arial"/>
          <w:color w:val="000000" w:themeColor="text1"/>
        </w:rPr>
        <w:t xml:space="preserve">, utilizando la siguiente fórmula, en la que el </w:t>
      </w:r>
      <w:r w:rsidRPr="00CD6A1A">
        <w:rPr>
          <w:rFonts w:ascii="Verdana" w:eastAsia="Calibri" w:hAnsi="Verdana" w:cs="Arial"/>
          <w:color w:val="000000" w:themeColor="text1"/>
          <w:lang w:val="es-ES"/>
        </w:rPr>
        <w:t xml:space="preserve">valor </w:t>
      </w:r>
      <w:r w:rsidRPr="00CD6A1A">
        <w:rPr>
          <w:rFonts w:ascii="Verdana" w:eastAsia="Calibri" w:hAnsi="Verdana" w:cs="Arial"/>
          <w:i/>
          <w:color w:val="000000" w:themeColor="text1"/>
          <w:lang w:val="es-ES"/>
        </w:rPr>
        <w:t>n</w:t>
      </w:r>
      <w:r w:rsidRPr="00CD6A1A">
        <w:rPr>
          <w:rFonts w:ascii="Verdana" w:eastAsia="Calibri" w:hAnsi="Verdana" w:cs="Arial"/>
          <w:color w:val="000000" w:themeColor="text1"/>
          <w:lang w:val="es-ES"/>
        </w:rPr>
        <w:t xml:space="preserve"> es el número de ofertas</w:t>
      </w:r>
      <w:r w:rsidRPr="00CD6A1A">
        <w:rPr>
          <w:rFonts w:ascii="Verdana" w:hAnsi="Verdana" w:cs="Arial"/>
          <w:color w:val="000000" w:themeColor="text1"/>
        </w:rPr>
        <w:t xml:space="preserve">: </w:t>
      </w:r>
    </w:p>
    <w:p w14:paraId="5BB2FBC1" w14:textId="77777777" w:rsidR="00A4708A" w:rsidRPr="00CD6A1A" w:rsidRDefault="00A4708A" w:rsidP="00A4708A">
      <w:pPr>
        <w:spacing w:after="0" w:line="276" w:lineRule="auto"/>
        <w:ind w:firstLine="708"/>
        <w:jc w:val="both"/>
        <w:rPr>
          <w:rFonts w:ascii="Verdana" w:hAnsi="Verdana" w:cs="Arial"/>
          <w:color w:val="000000" w:themeColor="text1"/>
        </w:rPr>
      </w:pPr>
    </w:p>
    <w:p w14:paraId="7C70FA1E" w14:textId="77777777" w:rsidR="00A4708A" w:rsidRPr="00CD6A1A" w:rsidRDefault="00A4708A" w:rsidP="00A4708A">
      <w:pPr>
        <w:spacing w:after="0" w:line="276" w:lineRule="auto"/>
        <w:jc w:val="center"/>
        <w:rPr>
          <w:rFonts w:ascii="Verdana" w:hAnsi="Verdana" w:cs="Arial"/>
          <w:color w:val="000000" w:themeColor="text1"/>
        </w:rPr>
      </w:pPr>
      <w:r w:rsidRPr="00CD6A1A">
        <w:rPr>
          <w:rFonts w:ascii="Verdana" w:hAnsi="Verdana" w:cs="Arial"/>
          <w:noProof/>
          <w:color w:val="000000" w:themeColor="text1"/>
          <w:lang w:eastAsia="es-CO"/>
        </w:rPr>
        <w:drawing>
          <wp:inline distT="0" distB="0" distL="0" distR="0" wp14:anchorId="7C8DA774" wp14:editId="615E1210">
            <wp:extent cx="4967416" cy="460709"/>
            <wp:effectExtent l="0" t="0" r="5080" b="0"/>
            <wp:docPr id="9" name="Imagen 9"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8764" t="35856" r="28678" b="57127"/>
                    <a:stretch/>
                  </pic:blipFill>
                  <pic:spPr bwMode="auto">
                    <a:xfrm>
                      <a:off x="0" y="0"/>
                      <a:ext cx="5180439" cy="480466"/>
                    </a:xfrm>
                    <a:prstGeom prst="rect">
                      <a:avLst/>
                    </a:prstGeom>
                    <a:ln>
                      <a:noFill/>
                    </a:ln>
                    <a:extLst>
                      <a:ext uri="{53640926-AAD7-44D8-BBD7-CCE9431645EC}">
                        <a14:shadowObscured xmlns:a14="http://schemas.microsoft.com/office/drawing/2010/main"/>
                      </a:ext>
                    </a:extLst>
                  </pic:spPr>
                </pic:pic>
              </a:graphicData>
            </a:graphic>
          </wp:inline>
        </w:drawing>
      </w:r>
    </w:p>
    <w:p w14:paraId="15385D64" w14:textId="77777777" w:rsidR="00A4708A" w:rsidRPr="00CD6A1A" w:rsidRDefault="00A4708A" w:rsidP="00A4708A">
      <w:pPr>
        <w:spacing w:after="0" w:line="276" w:lineRule="auto"/>
        <w:jc w:val="both"/>
        <w:rPr>
          <w:rFonts w:ascii="Verdana" w:hAnsi="Verdana" w:cs="Arial"/>
          <w:color w:val="000000" w:themeColor="text1"/>
        </w:rPr>
      </w:pPr>
    </w:p>
    <w:p w14:paraId="2E638EFC" w14:textId="77777777" w:rsidR="00A4708A" w:rsidRPr="00CD6A1A" w:rsidRDefault="00A4708A" w:rsidP="00A4708A">
      <w:pPr>
        <w:spacing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Por último, el </w:t>
      </w:r>
      <w:r w:rsidRPr="00CD6A1A">
        <w:rPr>
          <w:rFonts w:ascii="Verdana" w:hAnsi="Verdana" w:cs="Arial"/>
          <w:i/>
          <w:iCs/>
          <w:color w:val="000000" w:themeColor="text1"/>
        </w:rPr>
        <w:t>valor mínimo aceptable</w:t>
      </w:r>
      <w:r w:rsidRPr="00CD6A1A">
        <w:rPr>
          <w:rFonts w:ascii="Verdana" w:hAnsi="Verdana" w:cs="Arial"/>
          <w:color w:val="000000" w:themeColor="text1"/>
        </w:rPr>
        <w:t xml:space="preserve">, será igual a la </w:t>
      </w:r>
      <w:r w:rsidRPr="00CD6A1A">
        <w:rPr>
          <w:rFonts w:ascii="Verdana" w:hAnsi="Verdana" w:cs="Arial"/>
          <w:i/>
          <w:iCs/>
          <w:color w:val="000000" w:themeColor="text1"/>
        </w:rPr>
        <w:t>mediana</w:t>
      </w:r>
      <w:r w:rsidRPr="00CD6A1A">
        <w:rPr>
          <w:rFonts w:ascii="Verdana" w:hAnsi="Verdana" w:cs="Arial"/>
          <w:color w:val="000000" w:themeColor="text1"/>
        </w:rPr>
        <w:t xml:space="preserve"> menos la </w:t>
      </w:r>
      <w:r w:rsidRPr="00CD6A1A">
        <w:rPr>
          <w:rFonts w:ascii="Verdana" w:hAnsi="Verdana" w:cs="Arial"/>
          <w:i/>
          <w:iCs/>
          <w:color w:val="000000" w:themeColor="text1"/>
        </w:rPr>
        <w:t>desviación estándar</w:t>
      </w:r>
      <w:r w:rsidRPr="00CD6A1A">
        <w:rPr>
          <w:rFonts w:ascii="Verdana" w:hAnsi="Verdana" w:cs="Arial"/>
          <w:color w:val="000000" w:themeColor="text1"/>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CD6A1A">
        <w:rPr>
          <w:rStyle w:val="normaltextrun"/>
          <w:rFonts w:ascii="Verdana" w:hAnsi="Verdana" w:cs="Arial"/>
          <w:color w:val="000000"/>
          <w:shd w:val="clear" w:color="auto" w:fill="FFFFFF"/>
        </w:rPr>
        <w:t>Esto es así porque l</w:t>
      </w:r>
      <w:r w:rsidRPr="00CD6A1A">
        <w:rPr>
          <w:rStyle w:val="normaltextrun"/>
          <w:rFonts w:ascii="Verdana" w:hAnsi="Verdana"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CD6A1A">
        <w:rPr>
          <w:rFonts w:ascii="Verdana" w:eastAsia="Calibri" w:hAnsi="Verdana" w:cs="Arial"/>
          <w:color w:val="000000" w:themeColor="text1"/>
          <w:lang w:val="es-ES"/>
        </w:rPr>
        <w:t>.</w:t>
      </w:r>
    </w:p>
    <w:p w14:paraId="3C71223A" w14:textId="77777777" w:rsidR="00A4708A" w:rsidRPr="00CD6A1A" w:rsidRDefault="00A4708A" w:rsidP="00A4708A">
      <w:pPr>
        <w:spacing w:before="120" w:line="276" w:lineRule="auto"/>
        <w:ind w:firstLine="708"/>
        <w:jc w:val="both"/>
        <w:rPr>
          <w:rFonts w:ascii="Verdana" w:eastAsia="Calibri" w:hAnsi="Verdana" w:cs="Arial"/>
          <w:color w:val="000000" w:themeColor="text1"/>
          <w:lang w:val="es-ES"/>
        </w:rPr>
      </w:pPr>
      <w:r w:rsidRPr="00CD6A1A">
        <w:rPr>
          <w:rFonts w:ascii="Verdana" w:eastAsia="Calibri" w:hAnsi="Verdana" w:cs="Arial"/>
          <w:color w:val="000000" w:themeColor="text1"/>
          <w:lang w:val="es-ES"/>
        </w:rPr>
        <w:t xml:space="preserve">La Guía también contempla los casos en los que el contratista se selecciona a través de </w:t>
      </w:r>
      <w:r w:rsidRPr="00CD6A1A">
        <w:rPr>
          <w:rFonts w:ascii="Verdana" w:eastAsia="Calibri" w:hAnsi="Verdana" w:cs="Arial"/>
          <w:i/>
          <w:iCs/>
          <w:color w:val="000000" w:themeColor="text1"/>
          <w:lang w:val="es-ES"/>
        </w:rPr>
        <w:t>subasta inversa</w:t>
      </w:r>
      <w:r w:rsidRPr="00CD6A1A">
        <w:rPr>
          <w:rFonts w:ascii="Verdana" w:eastAsia="Calibri" w:hAnsi="Verdana" w:cs="Arial"/>
          <w:color w:val="000000" w:themeColor="text1"/>
          <w:lang w:val="es-ES"/>
        </w:rPr>
        <w:t xml:space="preserve">, en los cuales el criterio de evaluación es el precio. En este evento, la Agencia recomienda tener especial cuidado, ya que es común que ofertas competitivas puedan parecer artificialmente bajas en el desarrollo de la subasta inversa. </w:t>
      </w:r>
    </w:p>
    <w:p w14:paraId="5B3AEC40" w14:textId="77777777" w:rsidR="00A4708A" w:rsidRPr="00CD6A1A" w:rsidRDefault="00A4708A" w:rsidP="00A4708A">
      <w:pPr>
        <w:spacing w:before="120" w:line="276" w:lineRule="auto"/>
        <w:ind w:firstLine="708"/>
        <w:jc w:val="both"/>
        <w:rPr>
          <w:rFonts w:ascii="Verdana" w:eastAsia="Calibri" w:hAnsi="Verdana" w:cs="Arial"/>
          <w:color w:val="000000" w:themeColor="text1"/>
          <w:lang w:val="es-ES"/>
        </w:rPr>
      </w:pPr>
      <w:r w:rsidRPr="00CD6A1A">
        <w:rPr>
          <w:rFonts w:ascii="Verdana" w:eastAsia="Calibri" w:hAnsi="Verdana" w:cs="Arial"/>
          <w:color w:val="000000" w:themeColor="text1"/>
          <w:lang w:val="es-ES"/>
        </w:rPr>
        <w:t xml:space="preserve">En todo caso, la Guía sugiere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 ii) Solicitar explicaciones a los proponentes cuyas ofertas sean menores en un 20% o más en relación con el precio estimado por la Entidad Estatal. Para tales fines, se sugiere acudir al método de </w:t>
      </w:r>
      <w:r w:rsidRPr="00CD6A1A">
        <w:rPr>
          <w:rFonts w:ascii="Verdana" w:eastAsia="Calibri" w:hAnsi="Verdana" w:cs="Arial"/>
          <w:i/>
          <w:iCs/>
          <w:color w:val="000000" w:themeColor="text1"/>
          <w:lang w:val="es-ES"/>
        </w:rPr>
        <w:t>comparación absoluta</w:t>
      </w:r>
      <w:r w:rsidRPr="00CD6A1A">
        <w:rPr>
          <w:rFonts w:ascii="Verdana" w:eastAsia="Calibri" w:hAnsi="Verdana" w:cs="Arial"/>
          <w:color w:val="000000" w:themeColor="text1"/>
          <w:lang w:val="es-ES"/>
        </w:rPr>
        <w:t xml:space="preserve">, previamente explicado. Por último, iii) analizar la información remitida por el proponente requerido y, con fundamento en esta, considerar el rechazo de las ofertas por la configuración de alguno de los eventos señalados en la Sección VII de la mencionada Guía. </w:t>
      </w:r>
      <w:r w:rsidRPr="00CD6A1A">
        <w:rPr>
          <w:rStyle w:val="normaltextrun"/>
          <w:rFonts w:ascii="Verdana" w:hAnsi="Verdana"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CD6A1A">
        <w:rPr>
          <w:rStyle w:val="eop"/>
          <w:rFonts w:ascii="Verdana" w:hAnsi="Verdana" w:cs="Arial"/>
          <w:color w:val="000000"/>
          <w:shd w:val="clear" w:color="auto" w:fill="FFFFFF"/>
        </w:rPr>
        <w:t> </w:t>
      </w:r>
      <w:r w:rsidRPr="00CD6A1A">
        <w:rPr>
          <w:rFonts w:ascii="Verdana" w:eastAsia="Calibri" w:hAnsi="Verdana" w:cs="Arial"/>
          <w:color w:val="000000" w:themeColor="text1"/>
          <w:lang w:val="es-ES"/>
        </w:rPr>
        <w:t xml:space="preserve"> </w:t>
      </w:r>
    </w:p>
    <w:p w14:paraId="7E8643A4" w14:textId="77777777" w:rsidR="00A4708A" w:rsidRPr="00CD6A1A" w:rsidRDefault="00A4708A" w:rsidP="00A4708A">
      <w:pPr>
        <w:spacing w:before="120" w:line="276" w:lineRule="auto"/>
        <w:ind w:firstLine="708"/>
        <w:jc w:val="both"/>
        <w:rPr>
          <w:rFonts w:ascii="Verdana" w:hAnsi="Verdana" w:cs="Arial"/>
          <w:color w:val="000000" w:themeColor="text1"/>
        </w:rPr>
      </w:pPr>
      <w:r>
        <w:rPr>
          <w:rFonts w:ascii="Verdana" w:hAnsi="Verdana" w:cs="Arial"/>
          <w:color w:val="000000" w:themeColor="text1"/>
        </w:rPr>
        <w:t>Una</w:t>
      </w:r>
      <w:r w:rsidRPr="00CD6A1A">
        <w:rPr>
          <w:rFonts w:ascii="Verdana" w:hAnsi="Verdana" w:cs="Arial"/>
          <w:color w:val="000000" w:themeColor="text1"/>
        </w:rPr>
        <w:t xml:space="preserve">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w:t>
      </w:r>
      <w:r w:rsidRPr="00CD6A1A">
        <w:rPr>
          <w:rFonts w:ascii="Verdana" w:hAnsi="Verdana" w:cs="Arial"/>
          <w:color w:val="000000" w:themeColor="text1"/>
        </w:rPr>
        <w:lastRenderedPageBreak/>
        <w:t xml:space="preserve">evaluador analizará las explicaciones y decidirá si rechaza la oferta o continúa con el análisis de la misma en el proceso de evaluación de ofertas. </w:t>
      </w:r>
    </w:p>
    <w:p w14:paraId="7FDDD619" w14:textId="77777777" w:rsidR="00A4708A" w:rsidRPr="00CD6A1A" w:rsidRDefault="00A4708A" w:rsidP="00A4708A">
      <w:pPr>
        <w:spacing w:before="120" w:line="276" w:lineRule="auto"/>
        <w:ind w:firstLine="709"/>
        <w:jc w:val="both"/>
        <w:rPr>
          <w:rFonts w:ascii="Verdana" w:hAnsi="Verdana" w:cs="Arial"/>
          <w:color w:val="000000" w:themeColor="text1"/>
        </w:rPr>
      </w:pPr>
      <w:r w:rsidRPr="00CD6A1A">
        <w:rPr>
          <w:rFonts w:ascii="Verdana" w:hAnsi="Verdana" w:cs="Arial"/>
          <w:color w:val="000000" w:themeColor="text1"/>
        </w:rPr>
        <w:t>La ley y el reglamento no determinan la forma ni 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7C6B7018"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En el evento en que el proponente no allegue información una vez se haya requerido, se tratará de una omisión que el comité evaluador deberá analizar. De ser el caso, podrá rechazar la oferta si la duda que tiene es de tal magnitud que no tomar la decisión podría eventualmente comprometer la legalidad del proceso.   </w:t>
      </w:r>
    </w:p>
    <w:p w14:paraId="40B84207"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2201913000008288 del 7 de noviembre de 2019, esta Agencia avaló en abstracto la idoneidad de una llamada telefónica para comunicar el requerimiento al oferente. La entidad estatal, entonces, no tiene la obligación de notificar dicho requerimiento al proponente, pues el mismo es un acto de trámite y no uno definitivo</w:t>
      </w:r>
      <w:r w:rsidRPr="00CD6A1A">
        <w:rPr>
          <w:rStyle w:val="Refdenotaalpie"/>
          <w:rFonts w:ascii="Verdana" w:hAnsi="Verdana" w:cs="Arial"/>
          <w:color w:val="000000" w:themeColor="text1"/>
        </w:rPr>
        <w:footnoteReference w:id="4"/>
      </w:r>
      <w:r w:rsidRPr="00CD6A1A">
        <w:rPr>
          <w:rFonts w:ascii="Verdana" w:hAnsi="Verdana" w:cs="Arial"/>
          <w:color w:val="000000" w:themeColor="text1"/>
        </w:rPr>
        <w:t>.</w:t>
      </w:r>
    </w:p>
    <w:p w14:paraId="77C9E360"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“los (actos) denominados discrecionales […] se emiten por la autoridad administrativa en virtud de que la ley ha creído conveniente dejar a la sensatez, a la oportunidad, al buen criterio y al suficiente </w:t>
      </w:r>
      <w:r w:rsidRPr="00CD6A1A">
        <w:rPr>
          <w:rFonts w:ascii="Verdana" w:hAnsi="Verdana" w:cs="Arial"/>
          <w:color w:val="000000" w:themeColor="text1"/>
        </w:rPr>
        <w:lastRenderedPageBreak/>
        <w:t>tacto que ha de presidir la gestión pública y enmarcar en la prudencia la toma de decisiones, con orden del buen servicio que ha de regir y de guiar sus tareas”</w:t>
      </w:r>
      <w:r w:rsidRPr="00CD6A1A">
        <w:rPr>
          <w:rStyle w:val="Refdenotaalpie"/>
          <w:rFonts w:ascii="Verdana" w:hAnsi="Verdana" w:cs="Arial"/>
          <w:color w:val="000000" w:themeColor="text1"/>
        </w:rPr>
        <w:footnoteReference w:id="5"/>
      </w:r>
      <w:r w:rsidRPr="00CD6A1A">
        <w:rPr>
          <w:rFonts w:ascii="Verdana" w:hAnsi="Verdana" w:cs="Arial"/>
          <w:color w:val="000000" w:themeColor="text1"/>
        </w:rPr>
        <w:t xml:space="preserve">. </w:t>
      </w:r>
    </w:p>
    <w:p w14:paraId="1724DC1A"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La doctrina foránea se ha pronunciado en similar sentido, al argumentar que la discrecionalidad administrativa tiene dos</w:t>
      </w:r>
      <w:r>
        <w:rPr>
          <w:rFonts w:ascii="Verdana" w:hAnsi="Verdana" w:cs="Arial"/>
          <w:color w:val="000000" w:themeColor="text1"/>
        </w:rPr>
        <w:t xml:space="preserve"> (2)</w:t>
      </w:r>
      <w:r w:rsidRPr="00CD6A1A">
        <w:rPr>
          <w:rFonts w:ascii="Verdana" w:hAnsi="Verdana" w:cs="Arial"/>
          <w:color w:val="000000" w:themeColor="text1"/>
        </w:rPr>
        <w:t xml:space="preserve"> limitantes: una, el respeto a la finalidad jurídica que justifica, que no es nada distinto a satisfacer el interés general; y otra, que el uso de la discrecionalidad sea necesario para cumplir el interés jurídico que se tutela. En estos términos, la entidad deberá adoptar una medida que esté acorde con el interés general</w:t>
      </w:r>
      <w:r w:rsidRPr="00CD6A1A">
        <w:rPr>
          <w:rStyle w:val="Refdenotaalpie"/>
          <w:rFonts w:ascii="Verdana" w:hAnsi="Verdana" w:cs="Arial"/>
          <w:color w:val="000000" w:themeColor="text1"/>
        </w:rPr>
        <w:footnoteReference w:id="6"/>
      </w:r>
      <w:r w:rsidRPr="00CD6A1A">
        <w:rPr>
          <w:rFonts w:ascii="Verdana" w:hAnsi="Verdana" w:cs="Arial"/>
          <w:color w:val="000000" w:themeColor="text1"/>
        </w:rPr>
        <w:t>.</w:t>
      </w:r>
    </w:p>
    <w:p w14:paraId="7C1C9F98" w14:textId="77777777" w:rsidR="00A4708A" w:rsidRPr="00CD6A1A" w:rsidRDefault="00A4708A" w:rsidP="00A4708A">
      <w:pPr>
        <w:spacing w:before="120" w:line="276" w:lineRule="auto"/>
        <w:ind w:firstLine="708"/>
        <w:jc w:val="both"/>
        <w:rPr>
          <w:rFonts w:ascii="Verdana" w:hAnsi="Verdana" w:cs="Arial"/>
          <w:color w:val="000000" w:themeColor="text1"/>
        </w:rPr>
      </w:pPr>
      <w:r w:rsidRPr="00CD6A1A">
        <w:rPr>
          <w:rFonts w:ascii="Verdana" w:hAnsi="Verdana" w:cs="Arial"/>
          <w:color w:val="000000" w:themeColor="text1"/>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7123755D" w14:textId="77777777" w:rsidR="00A4708A" w:rsidRDefault="00A4708A" w:rsidP="00A4708A">
      <w:pPr>
        <w:pStyle w:val="NormalWeb"/>
        <w:spacing w:after="120" w:line="276" w:lineRule="auto"/>
        <w:ind w:firstLine="709"/>
        <w:jc w:val="both"/>
        <w:rPr>
          <w:rFonts w:ascii="Verdana" w:hAnsi="Verdana" w:cs="Arial"/>
          <w:color w:val="000000" w:themeColor="text1"/>
          <w:sz w:val="22"/>
          <w:szCs w:val="22"/>
          <w:lang w:val="es-ES"/>
        </w:rPr>
      </w:pPr>
      <w:r w:rsidRPr="00CD6A1A">
        <w:rPr>
          <w:rFonts w:ascii="Verdana" w:hAnsi="Verdana" w:cs="Arial"/>
          <w:color w:val="000000" w:themeColor="text1"/>
          <w:sz w:val="22"/>
          <w:szCs w:val="22"/>
          <w:lang w:val="es-ES"/>
        </w:rPr>
        <w:t xml:space="preserve">Finalmente, verificada la información remitida por el proponente, la entidad debe definir si rechaza o no la oferta. En la “Guía para el manejo de ofertas artificialmente bajas en Procesos de Contratación”, la </w:t>
      </w:r>
      <w:r w:rsidRPr="00CD6A1A">
        <w:rPr>
          <w:rFonts w:ascii="Verdana" w:hAnsi="Verdana" w:cs="Arial"/>
          <w:color w:val="000000" w:themeColor="text1"/>
          <w:sz w:val="22"/>
        </w:rPr>
        <w:t xml:space="preserve">Agencia Nacional de Contratación Pública </w:t>
      </w:r>
      <w:r w:rsidRPr="00CD6A1A">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ii) “el proponente no envía parte o la totalidad de la información solicitada por la entidad estatal”, iii) “las aclaraciones del proponente no son satisfactorias para garantizar la sostenibilidad de la oferta durante la ejecución del contrato” y iv) “las aclaraciones del proponente no desvirtúan la teoría de que está utilizando su oferta como parte de una estrategia colusoria o […] anticompetitiva durante el proceso de selección”. Lo anterior, sin perjuicio de los eventos señalados en la Sección VII de la “Guía para el manejo de ofertas artificialmente bajas en Procesos de Contratación de Colombia </w:t>
      </w:r>
      <w:r w:rsidRPr="00CD6A1A">
        <w:rPr>
          <w:rFonts w:ascii="Verdana" w:hAnsi="Verdana" w:cs="Arial"/>
          <w:color w:val="000000" w:themeColor="text1"/>
          <w:sz w:val="22"/>
          <w:szCs w:val="22"/>
          <w:lang w:val="es-ES"/>
        </w:rPr>
        <w:lastRenderedPageBreak/>
        <w:t>Compra Eficiente”, los cuales, debe advertirse, son criterios orientadores para las entidades públicas y no causales de rechazo en estricto sentido.</w:t>
      </w:r>
    </w:p>
    <w:p w14:paraId="785A6765" w14:textId="77777777" w:rsidR="00A4708A" w:rsidRDefault="00A4708A" w:rsidP="00A4708A">
      <w:pPr>
        <w:pStyle w:val="NormalWeb"/>
        <w:spacing w:after="120" w:line="276" w:lineRule="auto"/>
        <w:ind w:firstLine="709"/>
        <w:jc w:val="both"/>
        <w:rPr>
          <w:rFonts w:ascii="Verdana" w:hAnsi="Verdana" w:cs="Arial"/>
          <w:color w:val="000000" w:themeColor="text1"/>
          <w:sz w:val="22"/>
          <w:szCs w:val="22"/>
          <w:lang w:val="es-ES"/>
        </w:rPr>
      </w:pPr>
      <w:r>
        <w:rPr>
          <w:rFonts w:ascii="Verdana" w:hAnsi="Verdana" w:cs="Arial"/>
          <w:color w:val="000000" w:themeColor="text1"/>
          <w:sz w:val="22"/>
          <w:szCs w:val="22"/>
          <w:lang w:val="es-ES"/>
        </w:rPr>
        <w:t xml:space="preserve">En todo caso, debe advertirse que las aclaraciones que están obligados a dar los proponentes según lo dispuesto en el artículo </w:t>
      </w:r>
      <w:r w:rsidRPr="00004605">
        <w:rPr>
          <w:rFonts w:ascii="Verdana" w:hAnsi="Verdana" w:cs="Arial"/>
          <w:color w:val="000000" w:themeColor="text1"/>
          <w:sz w:val="22"/>
          <w:szCs w:val="22"/>
          <w:lang w:val="es-ES"/>
        </w:rPr>
        <w:t>2.2.1.1.2.2.4</w:t>
      </w:r>
      <w:r>
        <w:rPr>
          <w:rFonts w:ascii="Verdana" w:hAnsi="Verdana" w:cs="Arial"/>
          <w:color w:val="000000" w:themeColor="text1"/>
          <w:sz w:val="22"/>
          <w:szCs w:val="22"/>
          <w:lang w:val="es-ES"/>
        </w:rPr>
        <w:t xml:space="preserve"> del Decreto 1082 de 2015, deben cumplir con la carga de claridad suficiente para desvirtuar 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D07C1F">
        <w:rPr>
          <w:rFonts w:ascii="Verdana" w:hAnsi="Verdana" w:cs="Arial"/>
          <w:color w:val="000000" w:themeColor="text1"/>
          <w:sz w:val="22"/>
          <w:szCs w:val="22"/>
        </w:rPr>
        <w:t>i) técnicas diferenciadas de producción del bien o provisión del servicio; ii) cercanía al lugar de provisión o al lugar de abastecimiento de materias primas; iii) mejores condiciones contractuales con los proveedores de insumos; y iv) mayor diversificación de productos o servicios relacionados.</w:t>
      </w:r>
      <w:r>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w:t>
      </w:r>
    </w:p>
    <w:p w14:paraId="3F3D7C36" w14:textId="77777777" w:rsidR="00A4708A" w:rsidRDefault="00A4708A" w:rsidP="00A4708A">
      <w:pPr>
        <w:pStyle w:val="NormalWeb"/>
        <w:spacing w:after="120" w:line="276" w:lineRule="auto"/>
        <w:ind w:firstLine="709"/>
        <w:jc w:val="both"/>
        <w:rPr>
          <w:rFonts w:ascii="Verdana" w:hAnsi="Verdana" w:cs="Arial"/>
          <w:color w:val="000000" w:themeColor="text1"/>
          <w:sz w:val="22"/>
          <w:szCs w:val="22"/>
          <w:lang w:val="es-ES"/>
        </w:rPr>
      </w:pPr>
      <w:r w:rsidRPr="007D075C">
        <w:rPr>
          <w:rFonts w:ascii="Verdana" w:hAnsi="Verdana" w:cs="Arial"/>
          <w:color w:val="000000" w:themeColor="text1"/>
          <w:sz w:val="22"/>
          <w:szCs w:val="22"/>
        </w:rPr>
        <w:t>Para verificar la sostenibilidad de una oferta, el Banco Mundial recomienda analizar los subtotales de cada componente de un contrato</w:t>
      </w:r>
      <w:r>
        <w:rPr>
          <w:rStyle w:val="Refdenotaalpie"/>
          <w:rFonts w:ascii="Verdana" w:hAnsi="Verdana" w:cs="Arial"/>
          <w:color w:val="000000" w:themeColor="text1"/>
          <w:sz w:val="22"/>
          <w:szCs w:val="22"/>
        </w:rPr>
        <w:footnoteReference w:id="7"/>
      </w:r>
      <w:r w:rsidRPr="007D075C">
        <w:rPr>
          <w:rFonts w:ascii="Verdana" w:hAnsi="Verdana" w:cs="Arial"/>
          <w:color w:val="000000" w:themeColor="text1"/>
          <w:sz w:val="22"/>
          <w:szCs w:val="22"/>
        </w:rPr>
        <w:t>. Para el efecto, la Entidad Estatal debe comparar el costo de cada componente del contrato de cada una de las ofertas recibidas para determinar los componentes que presentan mayor diferencia. Si alguna oferta resulta estar muy por debajo de las demás en el análisis de subtotales, quiere decir que el proponente subestimó todos los costos asociados, o estableció un margen de utilidad excepcionalmente reducido. En este caso, la Entidad Estatal puede solicitar nuevamente aclaraciones, haciendo énfasis en el margen de utilidad estimado por el proponente.</w:t>
      </w:r>
    </w:p>
    <w:p w14:paraId="34D2FA76" w14:textId="77777777" w:rsidR="00A4708A" w:rsidRPr="00A7428E" w:rsidRDefault="00A4708A" w:rsidP="00A4708A">
      <w:pPr>
        <w:pStyle w:val="NormalWeb"/>
        <w:spacing w:after="120" w:line="276" w:lineRule="auto"/>
        <w:ind w:firstLine="709"/>
        <w:jc w:val="both"/>
        <w:rPr>
          <w:rFonts w:ascii="Verdana" w:hAnsi="Verdana" w:cs="Arial"/>
          <w:color w:val="000000" w:themeColor="text1"/>
          <w:sz w:val="22"/>
          <w:szCs w:val="22"/>
          <w:lang w:val="es-ES"/>
        </w:rPr>
      </w:pPr>
      <w:r w:rsidRPr="00665E16">
        <w:rPr>
          <w:rFonts w:ascii="Verdana" w:hAnsi="Verdana" w:cs="Arial"/>
          <w:color w:val="000000" w:themeColor="text1"/>
          <w:sz w:val="22"/>
          <w:szCs w:val="22"/>
          <w:lang w:val="es-ES"/>
        </w:rPr>
        <w:t>De esta manera, la entidad estatal debe calcular el valor mínimo aceptable considerando únicamente las ofertas habilitadas, es decir, aquellas que cumplen con los requisitos establecidos en el pliego de condiciones y no se encuentran incursos en causales de rechazo o inhabilidad</w:t>
      </w:r>
      <w:r>
        <w:rPr>
          <w:rFonts w:ascii="Verdana" w:hAnsi="Verdana" w:cs="Arial"/>
          <w:color w:val="000000" w:themeColor="text1"/>
          <w:sz w:val="22"/>
          <w:szCs w:val="22"/>
          <w:lang w:val="es-ES"/>
        </w:rPr>
        <w:t xml:space="preserve">. </w:t>
      </w:r>
      <w:r w:rsidRPr="00CD6A1A">
        <w:rPr>
          <w:rFonts w:ascii="Verdana" w:hAnsi="Verdana" w:cs="Arial"/>
          <w:color w:val="000000"/>
          <w:sz w:val="22"/>
          <w:szCs w:val="22"/>
          <w:shd w:val="clear" w:color="auto" w:fill="FFFFFF"/>
        </w:rPr>
        <w:t xml:space="preserve">Todo lo anterior, teniendo en cuenta que la referida Guía contiene criterios orientadores para las entidades públicas, los cuales, en consecuencia, no son vinculantes ni de obligatorio </w:t>
      </w:r>
      <w:r w:rsidRPr="00CD6A1A">
        <w:rPr>
          <w:rFonts w:ascii="Verdana" w:hAnsi="Verdana" w:cs="Arial"/>
          <w:color w:val="000000"/>
          <w:sz w:val="22"/>
          <w:szCs w:val="22"/>
          <w:shd w:val="clear" w:color="auto" w:fill="FFFFFF"/>
        </w:rPr>
        <w:lastRenderedPageBreak/>
        <w:t xml:space="preserve">acatamiento. En otras palabras, las entidades están facultadas para aplicar los criterios contenidos en la Guía o acudir, si bien lo tienen, a otro tipo de criterios que consideren más apropiados para cada proceso de </w:t>
      </w:r>
      <w:r w:rsidRPr="00A7428E">
        <w:rPr>
          <w:rFonts w:ascii="Verdana" w:hAnsi="Verdana" w:cs="Arial"/>
          <w:color w:val="000000"/>
          <w:sz w:val="22"/>
          <w:szCs w:val="22"/>
          <w:shd w:val="clear" w:color="auto" w:fill="FFFFFF"/>
        </w:rPr>
        <w:t>contratación</w:t>
      </w:r>
      <w:r w:rsidRPr="00A7428E">
        <w:rPr>
          <w:rFonts w:ascii="Verdana" w:hAnsi="Verdana" w:cs="Arial"/>
          <w:color w:val="000000" w:themeColor="text1"/>
          <w:sz w:val="22"/>
          <w:szCs w:val="22"/>
          <w:lang w:val="es-ES"/>
        </w:rPr>
        <w:t>.</w:t>
      </w:r>
    </w:p>
    <w:p w14:paraId="1CDF485A" w14:textId="77777777" w:rsidR="00A4708A" w:rsidRPr="00A7428E" w:rsidRDefault="00A4708A" w:rsidP="00A4708A">
      <w:pPr>
        <w:pStyle w:val="NormalWeb"/>
        <w:spacing w:after="120" w:line="276" w:lineRule="auto"/>
        <w:ind w:firstLine="709"/>
        <w:jc w:val="both"/>
        <w:rPr>
          <w:rFonts w:ascii="Verdana" w:hAnsi="Verdana" w:cs="Arial"/>
          <w:color w:val="000000" w:themeColor="text1"/>
          <w:sz w:val="22"/>
          <w:szCs w:val="22"/>
        </w:rPr>
      </w:pPr>
      <w:r w:rsidRPr="00A7428E">
        <w:rPr>
          <w:rFonts w:ascii="Verdana" w:hAnsi="Verdana" w:cs="Arial"/>
          <w:color w:val="000000" w:themeColor="text1"/>
          <w:sz w:val="22"/>
          <w:szCs w:val="22"/>
        </w:rPr>
        <w:t>Al margen de la explicación precedente debe advertirse que el análisis requerido para </w:t>
      </w:r>
      <w:r>
        <w:rPr>
          <w:rFonts w:ascii="Verdana" w:hAnsi="Verdana" w:cs="Arial"/>
          <w:color w:val="000000" w:themeColor="text1"/>
          <w:sz w:val="22"/>
          <w:szCs w:val="22"/>
        </w:rPr>
        <w:t>determinar la existencia de precios artificialmente bajos en los procesos de contratación</w:t>
      </w:r>
      <w:r w:rsidRPr="00A7428E">
        <w:rPr>
          <w:rFonts w:ascii="Verdana" w:hAnsi="Verdana" w:cs="Arial"/>
          <w:color w:val="000000" w:themeColor="text1"/>
          <w:sz w:val="22"/>
          <w:szCs w:val="22"/>
        </w:rPr>
        <w:t>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3CE7631C" w14:textId="77777777" w:rsidR="00A4708A" w:rsidRDefault="00A4708A" w:rsidP="00A4708A">
      <w:pPr>
        <w:pStyle w:val="NormalWeb"/>
        <w:spacing w:after="120" w:line="276" w:lineRule="auto"/>
        <w:ind w:firstLine="709"/>
        <w:jc w:val="both"/>
        <w:rPr>
          <w:rFonts w:ascii="Verdana" w:hAnsi="Verdana" w:cs="Arial"/>
          <w:color w:val="000000" w:themeColor="text1"/>
          <w:sz w:val="22"/>
          <w:szCs w:val="22"/>
        </w:rPr>
      </w:pPr>
      <w:r w:rsidRPr="00A7428E">
        <w:rPr>
          <w:rFonts w:ascii="Verdana" w:hAnsi="Verdana" w:cs="Arial"/>
          <w:color w:val="000000" w:themeColor="text1"/>
          <w:sz w:val="22"/>
          <w:szCs w:val="22"/>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color w:val="000000" w:themeColor="text1"/>
          <w:sz w:val="22"/>
          <w:szCs w:val="22"/>
        </w:rPr>
        <w:t>Por tanto</w:t>
      </w:r>
      <w:r w:rsidRPr="00A7428E">
        <w:rPr>
          <w:rFonts w:ascii="Verdana" w:hAnsi="Verdana" w:cs="Arial"/>
          <w:color w:val="000000" w:themeColor="text1"/>
          <w:sz w:val="22"/>
          <w:szCs w:val="22"/>
        </w:rPr>
        <w:t>, cada entidad definirá la forma de adelantar su gestión contractual, sin que sea atribución de Colombia Compra Eficiente validar sus actuaciones.</w:t>
      </w:r>
    </w:p>
    <w:p w14:paraId="20AA678D" w14:textId="03928135" w:rsidR="00F8204E" w:rsidRPr="004F7B86" w:rsidRDefault="00A4708A" w:rsidP="00A4708A">
      <w:pPr>
        <w:spacing w:line="276" w:lineRule="auto"/>
        <w:jc w:val="both"/>
        <w:rPr>
          <w:rFonts w:ascii="Verdana" w:eastAsia="Calibri" w:hAnsi="Verdana" w:cs="Arial"/>
          <w:lang w:eastAsia="es-ES_tradnl"/>
        </w:rPr>
      </w:pPr>
      <w:r>
        <w:rPr>
          <w:rFonts w:ascii="Verdana" w:eastAsia="Calibri" w:hAnsi="Verdana" w:cs="Times New Roman"/>
          <w:lang w:val="es-ES"/>
        </w:rPr>
        <w:t xml:space="preserve">        </w:t>
      </w:r>
      <w:r w:rsidR="008338B9">
        <w:rPr>
          <w:rFonts w:ascii="Verdana" w:eastAsia="Calibri" w:hAnsi="Verdana" w:cs="Times New Roman"/>
          <w:lang w:val="es-ES"/>
        </w:rPr>
        <w:t>Por ultimo,</w:t>
      </w:r>
      <w:r w:rsidR="00F8204E" w:rsidRPr="00B00396">
        <w:rPr>
          <w:rFonts w:ascii="Verdana" w:eastAsia="Calibri" w:hAnsi="Verdana" w:cs="Times New Roman"/>
          <w:lang w:val="es-ES"/>
        </w:rPr>
        <w:t xml:space="preserve"> debe advertirse, que el análisis para </w:t>
      </w:r>
      <w:r w:rsidR="00F8204E" w:rsidRPr="00DB4737">
        <w:rPr>
          <w:rFonts w:ascii="Verdana" w:eastAsia="Calibri" w:hAnsi="Verdana" w:cs="Times New Roman"/>
          <w:lang w:val="es-ES"/>
        </w:rPr>
        <w:t xml:space="preserve">resolver problemas específicos en torno </w:t>
      </w:r>
      <w:r w:rsidR="00F8204E">
        <w:rPr>
          <w:rFonts w:ascii="Verdana" w:eastAsia="Calibri" w:hAnsi="Verdana" w:cs="Times New Roman"/>
          <w:lang w:val="es-ES"/>
        </w:rPr>
        <w:t>a los procesos de contratación</w:t>
      </w:r>
      <w:r w:rsidR="00F8204E" w:rsidRPr="002B5057">
        <w:rPr>
          <w:rFonts w:ascii="Verdana" w:eastAsia="Calibri" w:hAnsi="Verdana" w:cs="Times New Roman"/>
          <w:lang w:val="es-ES"/>
        </w:rPr>
        <w:t xml:space="preserve"> debe ser realizado por quienes tengan interés en ello.</w:t>
      </w:r>
      <w:r w:rsidR="00F8204E" w:rsidRPr="00B00396">
        <w:rPr>
          <w:rFonts w:ascii="Verdana" w:eastAsia="Calibri" w:hAnsi="Verdana" w:cs="Times New Roman"/>
          <w:lang w:val="es-ES"/>
        </w:rPr>
        <w:t xml:space="preserve"> De esta forma, las afirmaciones aquí realizadas</w:t>
      </w:r>
      <w:r w:rsidR="00F8204E"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45358CD" w14:textId="77777777" w:rsidR="00F8204E" w:rsidRDefault="00F8204E" w:rsidP="00F8204E">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eastAsia="Calibri" w:hAnsi="Verdana" w:cs="Times New Roman"/>
          <w:lang w:val="es-ES"/>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C827C60" w14:textId="77777777" w:rsidR="00F8204E" w:rsidRPr="008E2432" w:rsidRDefault="00F8204E" w:rsidP="00F8204E">
      <w:pPr>
        <w:spacing w:after="0" w:line="276" w:lineRule="auto"/>
        <w:ind w:firstLine="708"/>
        <w:jc w:val="both"/>
        <w:rPr>
          <w:rFonts w:ascii="Verdana" w:eastAsia="Calibri" w:hAnsi="Verdana" w:cs="Times New Roman"/>
          <w:lang w:val="es-ES"/>
        </w:rPr>
      </w:pPr>
    </w:p>
    <w:p w14:paraId="44EA48CA" w14:textId="77777777" w:rsidR="00F8204E" w:rsidRPr="0060676F" w:rsidRDefault="00F8204E" w:rsidP="00F8204E">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AF74605" w14:textId="77777777" w:rsidR="00F8204E" w:rsidRPr="00593A5F" w:rsidRDefault="00F8204E" w:rsidP="00F8204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204E" w:rsidRPr="00593A5F" w14:paraId="69DC7A06" w14:textId="77777777" w:rsidTr="00B40EB6">
        <w:trPr>
          <w:trHeight w:val="870"/>
        </w:trPr>
        <w:tc>
          <w:tcPr>
            <w:tcW w:w="8647" w:type="dxa"/>
          </w:tcPr>
          <w:p w14:paraId="2A564503" w14:textId="77777777" w:rsidR="00A4708A" w:rsidRPr="00B36A7B" w:rsidRDefault="00A4708A" w:rsidP="00A4708A">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B36A7B">
              <w:rPr>
                <w:rFonts w:ascii="Verdana" w:hAnsi="Verdana" w:cs="Arial"/>
              </w:rPr>
              <w:t>Ley 80 de 1993, artículos 5, 26 y 41.</w:t>
            </w:r>
          </w:p>
          <w:p w14:paraId="5E022373" w14:textId="77777777" w:rsidR="00994552" w:rsidRDefault="00A4708A" w:rsidP="008E74E0">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994552">
              <w:rPr>
                <w:rFonts w:ascii="Verdana" w:hAnsi="Verdana" w:cs="Arial"/>
              </w:rPr>
              <w:t xml:space="preserve">Decreto 1082 de 2015, artículo </w:t>
            </w:r>
            <w:r w:rsidRPr="00994552">
              <w:rPr>
                <w:rFonts w:ascii="Verdana" w:hAnsi="Verdana" w:cs="Arial"/>
                <w:lang w:val="es-CO"/>
              </w:rPr>
              <w:t>2.2.1.1.1.6.1 y 2.2.1.1.2.2.4.</w:t>
            </w:r>
            <w:r w:rsidRPr="00994552">
              <w:rPr>
                <w:rFonts w:ascii="Verdana" w:hAnsi="Verdana" w:cs="Arial"/>
              </w:rPr>
              <w:t xml:space="preserve"> </w:t>
            </w:r>
          </w:p>
          <w:p w14:paraId="57EB1010" w14:textId="7F32E182" w:rsidR="00994552" w:rsidRPr="00994552" w:rsidRDefault="00994552" w:rsidP="008E74E0">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994552">
              <w:rPr>
                <w:rFonts w:ascii="Verdana" w:hAnsi="Verdana" w:cs="Arial"/>
              </w:rPr>
              <w:t>Ley 1150 de 2007. Artículo 5</w:t>
            </w:r>
          </w:p>
          <w:p w14:paraId="27774463" w14:textId="77777777" w:rsidR="00994552" w:rsidRDefault="00994552" w:rsidP="00C30960">
            <w:pPr>
              <w:pStyle w:val="Prrafodelista"/>
              <w:widowControl w:val="0"/>
              <w:numPr>
                <w:ilvl w:val="0"/>
                <w:numId w:val="18"/>
              </w:numPr>
              <w:autoSpaceDE w:val="0"/>
              <w:autoSpaceDN w:val="0"/>
              <w:spacing w:after="120" w:line="276" w:lineRule="auto"/>
              <w:jc w:val="both"/>
              <w:rPr>
                <w:rFonts w:ascii="Verdana" w:hAnsi="Verdana" w:cs="Arial"/>
              </w:rPr>
            </w:pPr>
            <w:r w:rsidRPr="00994552">
              <w:rPr>
                <w:rFonts w:ascii="Verdana" w:hAnsi="Verdana" w:cs="Arial"/>
              </w:rPr>
              <w:t>Consejo de Estado. Sección Tercera. Sentencia del 4 de junio de 2008. Exp. No. 17.783. C.P. Myriam Guerrero de Escobar.</w:t>
            </w:r>
          </w:p>
          <w:p w14:paraId="2D26C0D4" w14:textId="77777777" w:rsidR="00994552" w:rsidRDefault="00994552" w:rsidP="00994552">
            <w:pPr>
              <w:pStyle w:val="Prrafodelista"/>
              <w:widowControl w:val="0"/>
              <w:numPr>
                <w:ilvl w:val="0"/>
                <w:numId w:val="18"/>
              </w:numPr>
              <w:autoSpaceDE w:val="0"/>
              <w:autoSpaceDN w:val="0"/>
              <w:spacing w:after="120" w:line="276" w:lineRule="auto"/>
              <w:jc w:val="both"/>
              <w:rPr>
                <w:rFonts w:ascii="Verdana" w:hAnsi="Verdana" w:cs="Arial"/>
              </w:rPr>
            </w:pPr>
            <w:r w:rsidRPr="00994552">
              <w:rPr>
                <w:rFonts w:ascii="Verdana" w:hAnsi="Verdana" w:cs="Arial"/>
              </w:rPr>
              <w:t>Decreto 1860 de 2021. Artículo 5</w:t>
            </w:r>
          </w:p>
          <w:p w14:paraId="235E0B19" w14:textId="42C05749" w:rsidR="00F8204E" w:rsidRPr="00EB6C9B" w:rsidRDefault="00A4708A" w:rsidP="00994552">
            <w:pPr>
              <w:pStyle w:val="Prrafodelista"/>
              <w:widowControl w:val="0"/>
              <w:numPr>
                <w:ilvl w:val="0"/>
                <w:numId w:val="18"/>
              </w:numPr>
              <w:autoSpaceDE w:val="0"/>
              <w:autoSpaceDN w:val="0"/>
              <w:spacing w:after="120" w:line="276" w:lineRule="auto"/>
              <w:jc w:val="both"/>
              <w:rPr>
                <w:rFonts w:ascii="Verdana" w:hAnsi="Verdana" w:cs="Arial"/>
              </w:rPr>
            </w:pPr>
            <w:r w:rsidRPr="00B36A7B">
              <w:rPr>
                <w:rFonts w:ascii="Verdana" w:hAnsi="Verdana" w:cs="Arial"/>
                <w:lang w:val="es-CO"/>
              </w:rPr>
              <w:t xml:space="preserve">Guía para el manejo de ofertas artificialmente bajas en Procesos de Contratación de </w:t>
            </w:r>
            <w:r w:rsidRPr="00B36A7B">
              <w:rPr>
                <w:rFonts w:ascii="Verdana" w:hAnsi="Verdana" w:cs="Arial"/>
              </w:rPr>
              <w:t xml:space="preserve">la Agencia Nacional de Contratación Pública – Colombia Compra Eficiente. </w:t>
            </w:r>
            <w:r w:rsidRPr="00B36A7B">
              <w:rPr>
                <w:rFonts w:ascii="Verdana" w:hAnsi="Verdana" w:cs="Arial"/>
                <w:lang w:val="es-CO"/>
              </w:rPr>
              <w:t xml:space="preserve">Disponible en: </w:t>
            </w:r>
            <w:hyperlink r:id="rId15" w:history="1">
              <w:r w:rsidRPr="00B36A7B">
                <w:rPr>
                  <w:rStyle w:val="Hipervnculo"/>
                  <w:rFonts w:ascii="Verdana" w:hAnsi="Verdana" w:cs="Arial"/>
                  <w:lang w:val="es-CO"/>
                </w:rPr>
                <w:t>https://colombiacompra.gov.co/sites/cce_public/files/cce_documents/cce_guia_artificialmente_bajas.pdf</w:t>
              </w:r>
            </w:hyperlink>
            <w:r w:rsidRPr="00B36A7B">
              <w:rPr>
                <w:rFonts w:ascii="Verdana" w:hAnsi="Verdana" w:cs="Arial"/>
                <w:lang w:val="es-CO"/>
              </w:rPr>
              <w:t>.</w:t>
            </w:r>
          </w:p>
        </w:tc>
      </w:tr>
    </w:tbl>
    <w:p w14:paraId="4A421E02" w14:textId="77777777" w:rsidR="00F8204E"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58606CB" w14:textId="77777777" w:rsidR="00F8204E" w:rsidRDefault="00F8204E" w:rsidP="00F8204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BF924E" w14:textId="77777777" w:rsidR="00F8204E" w:rsidRPr="00593A5F"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D5C9E25" w14:textId="38B86603" w:rsidR="00F8204E" w:rsidRPr="002A22D8" w:rsidRDefault="00B94F6C" w:rsidP="00F8204E">
      <w:pPr>
        <w:widowControl w:val="0"/>
        <w:autoSpaceDE w:val="0"/>
        <w:autoSpaceDN w:val="0"/>
        <w:spacing w:after="0" w:line="276" w:lineRule="auto"/>
        <w:jc w:val="both"/>
        <w:rPr>
          <w:rFonts w:ascii="Verdana" w:hAnsi="Verdana" w:cs="Arial"/>
          <w:bCs/>
          <w:shd w:val="clear" w:color="auto" w:fill="FFFFFF"/>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 xml:space="preserve">los precios artificialmente bajos en </w:t>
      </w:r>
      <w:r w:rsidRPr="00C572AA">
        <w:rPr>
          <w:rFonts w:ascii="Verdana" w:hAnsi="Verdana" w:cs="Arial"/>
          <w:shd w:val="clear" w:color="auto" w:fill="FFFFFF"/>
        </w:rPr>
        <w:t xml:space="preserve">los Conceptos 2201913000007853 del 21 de octubre de 2019, 2201913000008058 del 28 de octubre de 2019, 2201913000008288 del 7 de noviembre de 2019, 2201913000009110 del 11 de diciembre de 2019, 2201913000009489 del 20 de diciembre de 2019, 2202013000000038 del 7 de enero de 2020, C-012 del 28 de enero de 2020, C-163 del 31 de marzo de 2020, C-191 del 16 de marzo de 2020, C-200 del 14 de abril de 2020, C-299 del 16 de julio de 2020, C-429 del 24 de julio de 2020, C-473 del 13 de julio de 2020, C-496 del 24 de julio de 2020, C-506 del 22 de julio de 2020, C-767 del 7 de enero de 2021, C-011 del 16 de febrero de 2021, C-112 del 7 de abril de 2021, C-205 del 7 de mayo de 2021, C-737 del 27 de enero de 2022, C-287 del 11 de mayo de 2022, C-299 del 14 de mayo de 2022, C-304 del 16 de mayo de 2022, C-403 del 22 de junio de 2022, C-484 del 28 de julio de 2022, C-487 del 26 de julio de 2022, C-512 del 10 de agosto de 2022, C-546 del 30 de agosto de 2022, C-751 del 17 de noviembre de 2022, C-756 del 17 de noviembre de 2022, C-798 del </w:t>
      </w:r>
      <w:r w:rsidRPr="00C572AA">
        <w:rPr>
          <w:rFonts w:ascii="Verdana" w:hAnsi="Verdana" w:cs="Arial"/>
          <w:shd w:val="clear" w:color="auto" w:fill="FFFFFF"/>
        </w:rPr>
        <w:lastRenderedPageBreak/>
        <w:t>23 de noviembre de 2022, C-022 del 16 de febrero de 2023</w:t>
      </w:r>
      <w:r>
        <w:rPr>
          <w:rFonts w:ascii="Verdana" w:hAnsi="Verdana" w:cs="Arial"/>
          <w:shd w:val="clear" w:color="auto" w:fill="FFFFFF"/>
        </w:rPr>
        <w:t xml:space="preserve">, </w:t>
      </w:r>
      <w:r w:rsidRPr="00C572AA">
        <w:rPr>
          <w:rFonts w:ascii="Verdana" w:hAnsi="Verdana" w:cs="Arial"/>
          <w:shd w:val="clear" w:color="auto" w:fill="FFFFFF"/>
        </w:rPr>
        <w:t>C-165 del 2 de junio de 2023</w:t>
      </w:r>
      <w:r>
        <w:rPr>
          <w:rFonts w:ascii="Verdana" w:hAnsi="Verdana" w:cs="Arial"/>
          <w:shd w:val="clear" w:color="auto" w:fill="FFFFFF"/>
        </w:rPr>
        <w:t>, C-507 del 23 de agosto de 2024 y C-408 del 13 de mayo de 2025</w:t>
      </w:r>
      <w:r w:rsidR="00F8204E">
        <w:rPr>
          <w:rFonts w:ascii="Verdana" w:eastAsia="Calibri" w:hAnsi="Verdana" w:cs="Arial"/>
          <w:lang w:val="es-ES_tradnl" w:eastAsia="es-ES"/>
        </w:rPr>
        <w:t xml:space="preserve">, </w:t>
      </w:r>
      <w:r w:rsidR="00F8204E" w:rsidRPr="00E87EA6">
        <w:rPr>
          <w:rFonts w:ascii="Verdana" w:eastAsia="Calibri" w:hAnsi="Verdana" w:cs="Arial"/>
          <w:shd w:val="clear" w:color="auto" w:fill="FFFFFF"/>
          <w:lang w:val="es-ES"/>
        </w:rPr>
        <w:t>entre otros</w:t>
      </w:r>
      <w:r w:rsidR="00F8204E" w:rsidRPr="00024134">
        <w:rPr>
          <w:rStyle w:val="normaltextrun"/>
          <w:rFonts w:ascii="Verdana" w:hAnsi="Verdana" w:cs="Arial"/>
          <w:shd w:val="clear" w:color="auto" w:fill="FFFFFF"/>
          <w:lang w:val="es-ES"/>
        </w:rPr>
        <w:t xml:space="preserve">. </w:t>
      </w:r>
      <w:r w:rsidR="00F8204E" w:rsidRPr="00024134">
        <w:rPr>
          <w:rFonts w:ascii="Verdana" w:eastAsia="Calibri" w:hAnsi="Verdana" w:cs="Times New Roman"/>
        </w:rPr>
        <w:t>Estos se encuentran</w:t>
      </w:r>
      <w:r w:rsidR="00F8204E"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52BA2D2" w14:textId="77777777" w:rsidR="00F8204E" w:rsidRPr="0065720B" w:rsidRDefault="00F8204E" w:rsidP="00F8204E">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61220A9" w14:textId="77777777" w:rsidR="00F8204E" w:rsidRPr="00505CD6" w:rsidRDefault="00F8204E" w:rsidP="00F8204E">
      <w:pPr>
        <w:widowControl w:val="0"/>
        <w:autoSpaceDE w:val="0"/>
        <w:autoSpaceDN w:val="0"/>
        <w:spacing w:after="0" w:line="276" w:lineRule="auto"/>
        <w:jc w:val="both"/>
        <w:rPr>
          <w:rFonts w:ascii="Verdana" w:hAnsi="Verdana" w:cs="Arial"/>
          <w:color w:val="000000" w:themeColor="text1"/>
          <w:shd w:val="clear" w:color="auto" w:fill="FFFFFF"/>
        </w:rPr>
      </w:pPr>
    </w:p>
    <w:p w14:paraId="607BF372" w14:textId="77777777" w:rsidR="00F8204E" w:rsidRPr="00103B90" w:rsidRDefault="00F8204E" w:rsidP="00F8204E">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0E374684" w14:textId="77777777" w:rsidR="00F8204E" w:rsidRPr="00103B90" w:rsidRDefault="00F8204E" w:rsidP="00F8204E">
      <w:pPr>
        <w:widowControl w:val="0"/>
        <w:autoSpaceDE w:val="0"/>
        <w:autoSpaceDN w:val="0"/>
        <w:spacing w:after="0" w:line="276" w:lineRule="auto"/>
        <w:jc w:val="both"/>
        <w:rPr>
          <w:rFonts w:ascii="Verdana" w:hAnsi="Verdana"/>
        </w:rPr>
      </w:pPr>
    </w:p>
    <w:p w14:paraId="7998F138" w14:textId="77777777" w:rsidR="00F8204E" w:rsidRPr="00505CD6" w:rsidRDefault="00F8204E" w:rsidP="00F8204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B6AE52E" w14:textId="77777777" w:rsidR="00F8204E" w:rsidRPr="00505CD6" w:rsidRDefault="00F8204E" w:rsidP="00F8204E">
      <w:pPr>
        <w:widowControl w:val="0"/>
        <w:autoSpaceDE w:val="0"/>
        <w:autoSpaceDN w:val="0"/>
        <w:spacing w:after="0" w:line="276" w:lineRule="auto"/>
        <w:jc w:val="both"/>
        <w:rPr>
          <w:rFonts w:ascii="Verdana" w:hAnsi="Verdana" w:cs="Arial"/>
        </w:rPr>
      </w:pPr>
    </w:p>
    <w:p w14:paraId="4EE70F05" w14:textId="77777777" w:rsidR="00F8204E" w:rsidRDefault="00F8204E" w:rsidP="00F8204E">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1380FA8" w14:textId="4D04B854" w:rsidR="00F8204E" w:rsidRDefault="00D37C61" w:rsidP="00F8204E">
      <w:pPr>
        <w:spacing w:line="276" w:lineRule="auto"/>
        <w:jc w:val="center"/>
        <w:rPr>
          <w:noProof/>
        </w:rPr>
      </w:pPr>
      <w:r>
        <w:rPr>
          <w:noProof/>
        </w:rPr>
        <w:drawing>
          <wp:inline distT="0" distB="0" distL="0" distR="0" wp14:anchorId="007D780A" wp14:editId="20FF3B25">
            <wp:extent cx="3326130" cy="1427850"/>
            <wp:effectExtent l="0" t="0" r="7620" b="1270"/>
            <wp:docPr id="55404293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5753" cy="1431981"/>
                    </a:xfrm>
                    <a:prstGeom prst="rect">
                      <a:avLst/>
                    </a:prstGeom>
                    <a:noFill/>
                    <a:ln>
                      <a:noFill/>
                    </a:ln>
                  </pic:spPr>
                </pic:pic>
              </a:graphicData>
            </a:graphic>
          </wp:inline>
        </w:drawing>
      </w:r>
    </w:p>
    <w:p w14:paraId="2EBD5588" w14:textId="29B76970" w:rsidR="00F8204E" w:rsidRDefault="00F8204E" w:rsidP="00F8204E">
      <w:pPr>
        <w:spacing w:line="276" w:lineRule="auto"/>
        <w:jc w:val="center"/>
        <w:rPr>
          <w:noProof/>
        </w:rPr>
      </w:pPr>
    </w:p>
    <w:p w14:paraId="598EADB3" w14:textId="77777777" w:rsidR="00D37C61" w:rsidRDefault="00D37C61" w:rsidP="00F8204E">
      <w:pPr>
        <w:spacing w:line="276" w:lineRule="auto"/>
        <w:jc w:val="center"/>
        <w:rPr>
          <w:noProof/>
        </w:rPr>
      </w:pPr>
    </w:p>
    <w:p w14:paraId="311320C6" w14:textId="77777777" w:rsidR="00D37C61" w:rsidRDefault="00D37C61" w:rsidP="00F8204E">
      <w:pPr>
        <w:spacing w:line="276" w:lineRule="auto"/>
        <w:jc w:val="center"/>
        <w:rPr>
          <w:noProof/>
        </w:rPr>
      </w:pPr>
    </w:p>
    <w:p w14:paraId="50CDBEED" w14:textId="77777777" w:rsidR="00D37C61" w:rsidRDefault="00D37C61" w:rsidP="00F8204E">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8204E" w:rsidRPr="00593A5F" w14:paraId="131ACAFC" w14:textId="77777777" w:rsidTr="00B40EB6">
        <w:trPr>
          <w:trHeight w:val="315"/>
        </w:trPr>
        <w:tc>
          <w:tcPr>
            <w:tcW w:w="893" w:type="dxa"/>
            <w:vAlign w:val="center"/>
            <w:hideMark/>
          </w:tcPr>
          <w:p w14:paraId="488D42FE" w14:textId="77777777" w:rsidR="00F8204E" w:rsidRPr="003751C7" w:rsidRDefault="00F8204E" w:rsidP="00B40EB6">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E4FE29D" w14:textId="77777777" w:rsidR="00F8204E" w:rsidRPr="007911EE" w:rsidRDefault="00F8204E" w:rsidP="00B40EB6">
            <w:pPr>
              <w:contextualSpacing/>
              <w:rPr>
                <w:rFonts w:ascii="Verdana" w:hAnsi="Verdana"/>
                <w:sz w:val="16"/>
                <w:szCs w:val="16"/>
              </w:rPr>
            </w:pPr>
            <w:r>
              <w:rPr>
                <w:rFonts w:ascii="Verdana" w:hAnsi="Verdana"/>
                <w:sz w:val="16"/>
                <w:szCs w:val="16"/>
              </w:rPr>
              <w:t>Nicolas Andrés Guzman</w:t>
            </w:r>
          </w:p>
          <w:p w14:paraId="09B580CC" w14:textId="77777777" w:rsidR="00F8204E" w:rsidRPr="007911EE" w:rsidRDefault="00F8204E" w:rsidP="00B40EB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F8204E" w:rsidRPr="00593A5F" w14:paraId="69AB8AB9" w14:textId="77777777" w:rsidTr="00B40EB6">
        <w:trPr>
          <w:trHeight w:val="330"/>
        </w:trPr>
        <w:tc>
          <w:tcPr>
            <w:tcW w:w="893" w:type="dxa"/>
            <w:vAlign w:val="center"/>
            <w:hideMark/>
          </w:tcPr>
          <w:p w14:paraId="05E9D3DB" w14:textId="77777777" w:rsidR="00F8204E" w:rsidRPr="003751C7" w:rsidRDefault="00F8204E" w:rsidP="00B40EB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7135C6" w14:textId="78DCEE84" w:rsidR="00F8204E" w:rsidRDefault="00F800A5" w:rsidP="00B40EB6">
            <w:pPr>
              <w:spacing w:line="276" w:lineRule="auto"/>
              <w:contextualSpacing/>
              <w:jc w:val="both"/>
              <w:rPr>
                <w:rFonts w:ascii="Verdana" w:hAnsi="Verdana"/>
                <w:sz w:val="16"/>
                <w:szCs w:val="16"/>
              </w:rPr>
            </w:pPr>
            <w:r>
              <w:rPr>
                <w:rFonts w:ascii="Verdana" w:hAnsi="Verdana"/>
                <w:sz w:val="16"/>
                <w:szCs w:val="16"/>
              </w:rPr>
              <w:t>Diana Lucia Saavedra</w:t>
            </w:r>
          </w:p>
          <w:p w14:paraId="7028D620" w14:textId="77777777" w:rsidR="00F8204E" w:rsidRPr="007911EE" w:rsidRDefault="00F8204E" w:rsidP="00B40EB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F8204E" w:rsidRPr="00593A5F" w14:paraId="41304926" w14:textId="77777777" w:rsidTr="00B40EB6">
        <w:trPr>
          <w:trHeight w:val="330"/>
        </w:trPr>
        <w:tc>
          <w:tcPr>
            <w:tcW w:w="893" w:type="dxa"/>
            <w:vAlign w:val="center"/>
          </w:tcPr>
          <w:p w14:paraId="74F5DA35" w14:textId="77777777" w:rsidR="00F8204E" w:rsidRPr="003751C7" w:rsidRDefault="00F8204E" w:rsidP="00B40EB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C11EE3" w14:textId="77777777" w:rsidR="00F8204E" w:rsidRDefault="00F8204E" w:rsidP="00B40EB6">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9CAB938" w14:textId="77777777" w:rsidR="00F8204E" w:rsidRDefault="00F8204E" w:rsidP="00B40EB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F293BF4" w14:textId="07BA2D9C" w:rsidR="00127233" w:rsidRPr="00F8204E" w:rsidRDefault="00127233" w:rsidP="00F8204E"/>
    <w:sectPr w:rsidR="00127233" w:rsidRPr="00F8204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79155" w14:textId="77777777" w:rsidR="00A70B93" w:rsidRDefault="00A70B93" w:rsidP="004A1847">
      <w:pPr>
        <w:spacing w:after="0" w:line="240" w:lineRule="auto"/>
      </w:pPr>
      <w:r>
        <w:separator/>
      </w:r>
    </w:p>
  </w:endnote>
  <w:endnote w:type="continuationSeparator" w:id="0">
    <w:p w14:paraId="416DE0A6" w14:textId="77777777" w:rsidR="00A70B93" w:rsidRDefault="00A70B9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C232E" w14:textId="77777777" w:rsidR="00A70B93" w:rsidRDefault="00A70B93" w:rsidP="004A1847">
      <w:pPr>
        <w:spacing w:after="0" w:line="240" w:lineRule="auto"/>
      </w:pPr>
      <w:r>
        <w:separator/>
      </w:r>
    </w:p>
  </w:footnote>
  <w:footnote w:type="continuationSeparator" w:id="0">
    <w:p w14:paraId="3463F141" w14:textId="77777777" w:rsidR="00A70B93" w:rsidRDefault="00A70B93" w:rsidP="004A1847">
      <w:pPr>
        <w:spacing w:after="0" w:line="240" w:lineRule="auto"/>
      </w:pPr>
      <w:r>
        <w:continuationSeparator/>
      </w:r>
    </w:p>
  </w:footnote>
  <w:footnote w:id="1">
    <w:p w14:paraId="33B4D577" w14:textId="77777777" w:rsidR="004664B2" w:rsidRPr="00267157" w:rsidRDefault="004664B2" w:rsidP="004664B2">
      <w:pPr>
        <w:pStyle w:val="Textonotapie"/>
        <w:ind w:firstLine="709"/>
        <w:jc w:val="both"/>
        <w:rPr>
          <w:rFonts w:ascii="Verdana" w:hAnsi="Verdana" w:cs="Arial"/>
          <w:sz w:val="16"/>
          <w:szCs w:val="16"/>
        </w:rPr>
      </w:pPr>
      <w:r w:rsidRPr="00B85E3D">
        <w:rPr>
          <w:rStyle w:val="Refdenotaalpie"/>
          <w:rFonts w:ascii="Verdana" w:hAnsi="Verdana" w:cs="Arial"/>
          <w:sz w:val="18"/>
          <w:szCs w:val="18"/>
        </w:rPr>
        <w:footnoteRef/>
      </w:r>
      <w:r w:rsidRPr="00B85E3D">
        <w:rPr>
          <w:rFonts w:ascii="Verdana" w:hAnsi="Verdana" w:cs="Arial"/>
          <w:sz w:val="18"/>
          <w:szCs w:val="18"/>
        </w:rPr>
        <w:t xml:space="preserve"> </w:t>
      </w:r>
      <w:r w:rsidRPr="00267157">
        <w:rPr>
          <w:rFonts w:ascii="Verdana" w:hAnsi="Verdana" w:cs="Arial"/>
          <w:sz w:val="16"/>
          <w:szCs w:val="16"/>
        </w:rPr>
        <w:t xml:space="preserve">Decreto 1082 de 2015: </w:t>
      </w:r>
      <w:r w:rsidRPr="00267157">
        <w:rPr>
          <w:rFonts w:ascii="Verdana" w:eastAsia="Times New Roman" w:hAnsi="Verdana" w:cs="Arial"/>
          <w:sz w:val="16"/>
          <w:szCs w:val="16"/>
          <w:lang w:val="es-CO"/>
        </w:rPr>
        <w:t>“</w:t>
      </w:r>
      <w:r w:rsidRPr="00267157">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3B6E0AFA" w14:textId="77777777" w:rsidR="004664B2" w:rsidRPr="00267157" w:rsidRDefault="004664B2" w:rsidP="004664B2">
      <w:pPr>
        <w:pStyle w:val="Textonotapie"/>
        <w:ind w:firstLine="709"/>
        <w:jc w:val="both"/>
        <w:rPr>
          <w:rFonts w:ascii="Verdana" w:hAnsi="Verdana" w:cs="Arial"/>
          <w:sz w:val="16"/>
          <w:szCs w:val="16"/>
        </w:rPr>
      </w:pPr>
      <w:r w:rsidRPr="00267157">
        <w:rPr>
          <w:rFonts w:ascii="Verdana" w:hAnsi="Verdana" w:cs="Arial"/>
          <w:sz w:val="16"/>
          <w:szCs w:val="16"/>
        </w:rPr>
        <w:t>Los miembros del comité evaluador están sujetos al régimen de inhabilidades e incompatibilidades y conflicto de interés previstos en la Constitución y la ley.</w:t>
      </w:r>
    </w:p>
    <w:p w14:paraId="07A7DD02" w14:textId="77777777" w:rsidR="004664B2" w:rsidRPr="00267157" w:rsidRDefault="004664B2" w:rsidP="004664B2">
      <w:pPr>
        <w:pStyle w:val="Textonotapie"/>
        <w:ind w:firstLine="709"/>
        <w:jc w:val="both"/>
        <w:rPr>
          <w:rFonts w:ascii="Verdana" w:hAnsi="Verdana" w:cs="Arial"/>
          <w:sz w:val="16"/>
          <w:szCs w:val="16"/>
        </w:rPr>
      </w:pPr>
      <w:r w:rsidRPr="00267157">
        <w:rPr>
          <w:rFonts w:ascii="Verdana" w:hAnsi="Verdana" w:cs="Arial"/>
          <w:sz w:val="16"/>
          <w:szCs w:val="16"/>
        </w:rPr>
        <w:t>La verificación y la evaluación de las ofertas para la mínima cuantía será adelantada por quien sea designado por el ordenador del gasto sin que se requiera un comité plural”.</w:t>
      </w:r>
    </w:p>
    <w:p w14:paraId="4DD65471" w14:textId="77777777" w:rsidR="004664B2" w:rsidRPr="00B85E3D" w:rsidRDefault="004664B2" w:rsidP="004664B2">
      <w:pPr>
        <w:pStyle w:val="Textonotapie"/>
        <w:ind w:firstLine="709"/>
        <w:jc w:val="both"/>
        <w:rPr>
          <w:rFonts w:ascii="Verdana" w:hAnsi="Verdana" w:cs="Arial"/>
          <w:sz w:val="18"/>
          <w:szCs w:val="18"/>
          <w:lang w:val="es-ES"/>
        </w:rPr>
      </w:pPr>
    </w:p>
  </w:footnote>
  <w:footnote w:id="2">
    <w:p w14:paraId="70E7D2A4" w14:textId="77777777" w:rsidR="00A4708A" w:rsidRPr="00DC2507" w:rsidRDefault="00A4708A" w:rsidP="00A4708A">
      <w:pPr>
        <w:pStyle w:val="Textonotapie"/>
        <w:jc w:val="both"/>
        <w:rPr>
          <w:rFonts w:ascii="Verdana" w:hAnsi="Verdana" w:cs="Arial"/>
          <w:color w:val="000000" w:themeColor="text1"/>
          <w:sz w:val="16"/>
          <w:szCs w:val="16"/>
          <w:lang w:val="es-ES"/>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Consejo de Estado. Sección Tercera. Sentencia del 4 de junio de 2008. Exp. No. 17.783. C.P. Myriam Guerrero de Escobar.</w:t>
      </w:r>
    </w:p>
  </w:footnote>
  <w:footnote w:id="3">
    <w:p w14:paraId="0888CDD3" w14:textId="77777777" w:rsidR="00A4708A" w:rsidRPr="00DC2507" w:rsidRDefault="00A4708A" w:rsidP="00A4708A">
      <w:pPr>
        <w:pStyle w:val="Textonotapie"/>
        <w:jc w:val="both"/>
        <w:rPr>
          <w:rFonts w:ascii="Verdana" w:hAnsi="Verdana" w:cs="Arial"/>
          <w:color w:val="000000" w:themeColor="text1"/>
          <w:sz w:val="16"/>
          <w:szCs w:val="16"/>
          <w:lang w:val="es-ES"/>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Guía para el manejo de ofertas artificialmente bajas en Procesos de Contratación. p. 5.</w:t>
      </w:r>
    </w:p>
  </w:footnote>
  <w:footnote w:id="4">
    <w:p w14:paraId="034CCF07" w14:textId="77777777" w:rsidR="00A4708A" w:rsidRPr="00DC2507" w:rsidRDefault="00A4708A" w:rsidP="00A4708A">
      <w:pPr>
        <w:pStyle w:val="Textonotapie"/>
        <w:jc w:val="both"/>
        <w:rPr>
          <w:rFonts w:ascii="Verdana" w:hAnsi="Verdana" w:cs="Arial"/>
          <w:color w:val="000000" w:themeColor="text1"/>
          <w:sz w:val="16"/>
          <w:szCs w:val="16"/>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footnote>
  <w:footnote w:id="5">
    <w:p w14:paraId="34AEFBF0" w14:textId="77777777" w:rsidR="00A4708A" w:rsidRPr="00DC2507" w:rsidRDefault="00A4708A" w:rsidP="00A4708A">
      <w:pPr>
        <w:pStyle w:val="Textonotapie"/>
        <w:jc w:val="both"/>
        <w:rPr>
          <w:rFonts w:ascii="Verdana" w:hAnsi="Verdana" w:cs="Arial"/>
          <w:color w:val="000000" w:themeColor="text1"/>
          <w:sz w:val="16"/>
          <w:szCs w:val="16"/>
          <w:lang w:val="es-ES"/>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w:t>
      </w:r>
      <w:r w:rsidRPr="00DC2507">
        <w:rPr>
          <w:rFonts w:ascii="Verdana" w:hAnsi="Verdana" w:cs="Arial"/>
          <w:color w:val="000000" w:themeColor="text1"/>
          <w:sz w:val="16"/>
          <w:szCs w:val="16"/>
          <w:lang w:val="es-ES"/>
        </w:rPr>
        <w:t>Consejo de Estado. Sección Segunda. Sentencia del 10 de junio de 1992. Exp. No. 4.249. C.P. Álvaro Lecompte Luna.</w:t>
      </w:r>
    </w:p>
  </w:footnote>
  <w:footnote w:id="6">
    <w:p w14:paraId="3803E91A" w14:textId="77777777" w:rsidR="00A4708A" w:rsidRPr="00DC2507" w:rsidRDefault="00A4708A" w:rsidP="00A4708A">
      <w:pPr>
        <w:pStyle w:val="Textonotapie"/>
        <w:jc w:val="both"/>
        <w:rPr>
          <w:rFonts w:ascii="Verdana" w:hAnsi="Verdana" w:cs="Arial"/>
          <w:color w:val="000000" w:themeColor="text1"/>
          <w:sz w:val="16"/>
          <w:szCs w:val="16"/>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 w:id="7">
    <w:p w14:paraId="09125CCC" w14:textId="77777777" w:rsidR="00A4708A" w:rsidRDefault="00A4708A" w:rsidP="00A4708A">
      <w:pPr>
        <w:pStyle w:val="Textonotapie"/>
        <w:jc w:val="both"/>
        <w:rPr>
          <w:rFonts w:ascii="Verdana" w:hAnsi="Verdana"/>
          <w:sz w:val="16"/>
          <w:szCs w:val="16"/>
          <w:lang w:val="en-US"/>
        </w:rPr>
      </w:pPr>
      <w:r w:rsidRPr="00FA56D6">
        <w:rPr>
          <w:rStyle w:val="Refdenotaalpie"/>
          <w:rFonts w:ascii="Verdana" w:hAnsi="Verdana"/>
          <w:sz w:val="16"/>
          <w:szCs w:val="16"/>
        </w:rPr>
        <w:footnoteRef/>
      </w:r>
      <w:r w:rsidRPr="00FA56D6">
        <w:rPr>
          <w:rFonts w:ascii="Verdana" w:hAnsi="Verdana"/>
          <w:sz w:val="16"/>
          <w:szCs w:val="16"/>
          <w:lang w:val="en-US"/>
        </w:rPr>
        <w:t xml:space="preserve">  WORLD BANK. Abnormally Low Bids and Proposals. Guide the identification and treatment of Abnormally Low Bids and Proposals, 2016.</w:t>
      </w:r>
    </w:p>
    <w:p w14:paraId="207EA320" w14:textId="77777777" w:rsidR="00A4708A" w:rsidRPr="00FA56D6" w:rsidRDefault="00A4708A" w:rsidP="00A4708A">
      <w:pPr>
        <w:pStyle w:val="Textonotapie"/>
        <w:jc w:val="both"/>
        <w:rPr>
          <w:rFonts w:ascii="Verdana" w:hAnsi="Verdana"/>
          <w:sz w:val="16"/>
          <w:szCs w:val="16"/>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7B98B1A7"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107B63"/>
    <w:multiLevelType w:val="multilevel"/>
    <w:tmpl w:val="A410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80713882">
    <w:abstractNumId w:val="0"/>
  </w:num>
  <w:num w:numId="17" w16cid:durableId="691802391">
    <w:abstractNumId w:val="10"/>
  </w:num>
  <w:num w:numId="18" w16cid:durableId="1017849859">
    <w:abstractNumId w:val="16"/>
  </w:num>
  <w:num w:numId="19" w16cid:durableId="14806865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838AE"/>
    <w:rsid w:val="002951A0"/>
    <w:rsid w:val="002962BC"/>
    <w:rsid w:val="002A093D"/>
    <w:rsid w:val="002A0DD0"/>
    <w:rsid w:val="002A49AC"/>
    <w:rsid w:val="002A64FD"/>
    <w:rsid w:val="002C7A84"/>
    <w:rsid w:val="002E2BF8"/>
    <w:rsid w:val="002E4FD9"/>
    <w:rsid w:val="0030657A"/>
    <w:rsid w:val="00322A85"/>
    <w:rsid w:val="0032393F"/>
    <w:rsid w:val="00324168"/>
    <w:rsid w:val="00330834"/>
    <w:rsid w:val="003448F4"/>
    <w:rsid w:val="00347989"/>
    <w:rsid w:val="00374F5E"/>
    <w:rsid w:val="00377E3E"/>
    <w:rsid w:val="003A779E"/>
    <w:rsid w:val="003D0F4D"/>
    <w:rsid w:val="003D5B0D"/>
    <w:rsid w:val="003E0499"/>
    <w:rsid w:val="003E4F80"/>
    <w:rsid w:val="003E6439"/>
    <w:rsid w:val="003F3941"/>
    <w:rsid w:val="00406575"/>
    <w:rsid w:val="00414C74"/>
    <w:rsid w:val="00425D4A"/>
    <w:rsid w:val="0042722E"/>
    <w:rsid w:val="0044528D"/>
    <w:rsid w:val="004664B2"/>
    <w:rsid w:val="00466E39"/>
    <w:rsid w:val="00482A27"/>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2111"/>
    <w:rsid w:val="00665D70"/>
    <w:rsid w:val="00684DAE"/>
    <w:rsid w:val="006900D9"/>
    <w:rsid w:val="006C330A"/>
    <w:rsid w:val="006E30B6"/>
    <w:rsid w:val="006F609B"/>
    <w:rsid w:val="00706C16"/>
    <w:rsid w:val="007340C3"/>
    <w:rsid w:val="0075235A"/>
    <w:rsid w:val="00756841"/>
    <w:rsid w:val="007649AB"/>
    <w:rsid w:val="00771D0C"/>
    <w:rsid w:val="007833AC"/>
    <w:rsid w:val="00794828"/>
    <w:rsid w:val="007B268C"/>
    <w:rsid w:val="007B7171"/>
    <w:rsid w:val="007C0C0F"/>
    <w:rsid w:val="007C3DC2"/>
    <w:rsid w:val="007E5497"/>
    <w:rsid w:val="00806F5F"/>
    <w:rsid w:val="00820278"/>
    <w:rsid w:val="008258C9"/>
    <w:rsid w:val="008338B9"/>
    <w:rsid w:val="00844AE9"/>
    <w:rsid w:val="00867F95"/>
    <w:rsid w:val="008843B6"/>
    <w:rsid w:val="00891928"/>
    <w:rsid w:val="008A1F02"/>
    <w:rsid w:val="008A446D"/>
    <w:rsid w:val="008B25F1"/>
    <w:rsid w:val="008D180B"/>
    <w:rsid w:val="008F0EA7"/>
    <w:rsid w:val="00923EEF"/>
    <w:rsid w:val="009375B1"/>
    <w:rsid w:val="009419F9"/>
    <w:rsid w:val="0095685E"/>
    <w:rsid w:val="00961B09"/>
    <w:rsid w:val="00965334"/>
    <w:rsid w:val="00965ADE"/>
    <w:rsid w:val="0097093E"/>
    <w:rsid w:val="00994552"/>
    <w:rsid w:val="009A0DFA"/>
    <w:rsid w:val="009A1C6F"/>
    <w:rsid w:val="009B2D26"/>
    <w:rsid w:val="009C71FA"/>
    <w:rsid w:val="009C72E7"/>
    <w:rsid w:val="009C7F7E"/>
    <w:rsid w:val="009D3058"/>
    <w:rsid w:val="009F08A5"/>
    <w:rsid w:val="009F3A13"/>
    <w:rsid w:val="00A02EE4"/>
    <w:rsid w:val="00A122D3"/>
    <w:rsid w:val="00A14468"/>
    <w:rsid w:val="00A17F13"/>
    <w:rsid w:val="00A20739"/>
    <w:rsid w:val="00A23AF9"/>
    <w:rsid w:val="00A33C78"/>
    <w:rsid w:val="00A4708A"/>
    <w:rsid w:val="00A70B93"/>
    <w:rsid w:val="00A90610"/>
    <w:rsid w:val="00AB0ADB"/>
    <w:rsid w:val="00AC4BBB"/>
    <w:rsid w:val="00AC51D2"/>
    <w:rsid w:val="00B00C0E"/>
    <w:rsid w:val="00B01B1A"/>
    <w:rsid w:val="00B0381D"/>
    <w:rsid w:val="00B44A47"/>
    <w:rsid w:val="00B536D7"/>
    <w:rsid w:val="00B72CD3"/>
    <w:rsid w:val="00B72FFF"/>
    <w:rsid w:val="00B94F6C"/>
    <w:rsid w:val="00BC3D36"/>
    <w:rsid w:val="00BD54A6"/>
    <w:rsid w:val="00BD7F72"/>
    <w:rsid w:val="00BE1763"/>
    <w:rsid w:val="00BF508A"/>
    <w:rsid w:val="00BF7425"/>
    <w:rsid w:val="00C04FB3"/>
    <w:rsid w:val="00C11D8B"/>
    <w:rsid w:val="00C15139"/>
    <w:rsid w:val="00C32DF4"/>
    <w:rsid w:val="00C330EB"/>
    <w:rsid w:val="00C50D69"/>
    <w:rsid w:val="00C5365C"/>
    <w:rsid w:val="00C65C49"/>
    <w:rsid w:val="00C754BE"/>
    <w:rsid w:val="00C76B1C"/>
    <w:rsid w:val="00C925AC"/>
    <w:rsid w:val="00CA14F9"/>
    <w:rsid w:val="00CB6357"/>
    <w:rsid w:val="00CC1B26"/>
    <w:rsid w:val="00D3110A"/>
    <w:rsid w:val="00D361FD"/>
    <w:rsid w:val="00D37C61"/>
    <w:rsid w:val="00D423A2"/>
    <w:rsid w:val="00D44E26"/>
    <w:rsid w:val="00D520D8"/>
    <w:rsid w:val="00D63AC2"/>
    <w:rsid w:val="00D7383B"/>
    <w:rsid w:val="00D7788A"/>
    <w:rsid w:val="00DA231B"/>
    <w:rsid w:val="00DB1315"/>
    <w:rsid w:val="00DC39FC"/>
    <w:rsid w:val="00DF5254"/>
    <w:rsid w:val="00E02524"/>
    <w:rsid w:val="00E16408"/>
    <w:rsid w:val="00E20894"/>
    <w:rsid w:val="00E245AB"/>
    <w:rsid w:val="00E2764C"/>
    <w:rsid w:val="00E27F2E"/>
    <w:rsid w:val="00E32BAD"/>
    <w:rsid w:val="00E36F2C"/>
    <w:rsid w:val="00E50AFE"/>
    <w:rsid w:val="00E57B21"/>
    <w:rsid w:val="00E75C92"/>
    <w:rsid w:val="00E771DC"/>
    <w:rsid w:val="00E8772A"/>
    <w:rsid w:val="00E90F6B"/>
    <w:rsid w:val="00E92C27"/>
    <w:rsid w:val="00EA0E3D"/>
    <w:rsid w:val="00EB6C9B"/>
    <w:rsid w:val="00EB7960"/>
    <w:rsid w:val="00EC38A7"/>
    <w:rsid w:val="00EE1AA8"/>
    <w:rsid w:val="00F23FEA"/>
    <w:rsid w:val="00F31EDC"/>
    <w:rsid w:val="00F462B3"/>
    <w:rsid w:val="00F5664F"/>
    <w:rsid w:val="00F666C4"/>
    <w:rsid w:val="00F76AFC"/>
    <w:rsid w:val="00F800A5"/>
    <w:rsid w:val="00F8204E"/>
    <w:rsid w:val="00F8361C"/>
    <w:rsid w:val="00F83ACC"/>
    <w:rsid w:val="00FA47C0"/>
    <w:rsid w:val="00FB49AF"/>
    <w:rsid w:val="00FB5DD1"/>
    <w:rsid w:val="00FC2B5D"/>
    <w:rsid w:val="00FD5008"/>
    <w:rsid w:val="00FF1449"/>
    <w:rsid w:val="00FF7963"/>
    <w:rsid w:val="01C2D127"/>
    <w:rsid w:val="02877CC3"/>
    <w:rsid w:val="071B8F93"/>
    <w:rsid w:val="07540592"/>
    <w:rsid w:val="092995C7"/>
    <w:rsid w:val="09908A09"/>
    <w:rsid w:val="0FF4CCA8"/>
    <w:rsid w:val="13CFC91B"/>
    <w:rsid w:val="152F85F5"/>
    <w:rsid w:val="19A2EC2C"/>
    <w:rsid w:val="27ED6AB3"/>
    <w:rsid w:val="2859CA1B"/>
    <w:rsid w:val="2B7E238D"/>
    <w:rsid w:val="2F4608BA"/>
    <w:rsid w:val="32A4F9CF"/>
    <w:rsid w:val="356CEDFD"/>
    <w:rsid w:val="358621B4"/>
    <w:rsid w:val="428C048F"/>
    <w:rsid w:val="46DC365E"/>
    <w:rsid w:val="4880A4B0"/>
    <w:rsid w:val="4EF7B277"/>
    <w:rsid w:val="537FD1BE"/>
    <w:rsid w:val="574EBD7B"/>
    <w:rsid w:val="69614A15"/>
    <w:rsid w:val="6F554BBC"/>
    <w:rsid w:val="6FFF512E"/>
    <w:rsid w:val="7656A7AD"/>
    <w:rsid w:val="76D30661"/>
    <w:rsid w:val="7BB183BC"/>
    <w:rsid w:val="7F54EC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8204E"/>
    <w:rPr>
      <w:rFonts w:ascii="Geomanist Light" w:hAnsi="Geomanist Light"/>
      <w:lang w:val="es-ES"/>
    </w:rPr>
  </w:style>
  <w:style w:type="paragraph" w:customStyle="1" w:styleId="Appelnotedebasde">
    <w:name w:val="Appel note de bas de..."/>
    <w:basedOn w:val="Normal"/>
    <w:link w:val="Refdenotaalpie"/>
    <w:uiPriority w:val="99"/>
    <w:rsid w:val="00F8204E"/>
    <w:pPr>
      <w:spacing w:line="240" w:lineRule="exact"/>
    </w:pPr>
    <w:rPr>
      <w:vertAlign w:val="superscript"/>
    </w:rPr>
  </w:style>
  <w:style w:type="paragraph" w:styleId="Textoindependiente">
    <w:name w:val="Body Text"/>
    <w:basedOn w:val="Normal"/>
    <w:link w:val="TextoindependienteCar"/>
    <w:uiPriority w:val="1"/>
    <w:qFormat/>
    <w:rsid w:val="00F8204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8204E"/>
    <w:rPr>
      <w:rFonts w:ascii="Arial" w:eastAsia="Arial" w:hAnsi="Arial" w:cs="Arial"/>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customStyle="1" w:styleId="baj">
    <w:name w:val="b_aj"/>
    <w:basedOn w:val="Fuentedeprrafopredeter"/>
    <w:rsid w:val="009375B1"/>
  </w:style>
  <w:style w:type="character" w:customStyle="1" w:styleId="NormalWebCar">
    <w:name w:val="Normal (Web) Car"/>
    <w:link w:val="NormalWeb"/>
    <w:uiPriority w:val="99"/>
    <w:rsid w:val="004664B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s/guia_para_el_manejo_de_ofertas_artifialmente_bajas.pdf"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legoraabogadoscolombia@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colombiacompra.gov.co/sites/cce_public/files/cce_documents/cce_guia_artificialmente_bajas.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25693E22-CAFC-42A8-95BB-D28A139FBB55}">
  <ds:schemaRefs>
    <ds:schemaRef ds:uri="http://schemas.openxmlformats.org/officeDocument/2006/bibliography"/>
  </ds:schemaRefs>
</ds:datastoreItem>
</file>

<file path=customXml/itemProps2.xml><?xml version="1.0" encoding="utf-8"?>
<ds:datastoreItem xmlns:ds="http://schemas.openxmlformats.org/officeDocument/2006/customXml" ds:itemID="{8E6B06D7-D452-4E28-B9FA-06D8B38EFE8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392</TotalTime>
  <Pages>18</Pages>
  <Words>5896</Words>
  <Characters>31725</Characters>
  <Application>Microsoft Office Word</Application>
  <DocSecurity>0</DocSecurity>
  <Lines>634</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18</cp:revision>
  <cp:lastPrinted>2023-01-10T21:18:00Z</cp:lastPrinted>
  <dcterms:created xsi:type="dcterms:W3CDTF">2025-12-29T22:31:00Z</dcterms:created>
  <dcterms:modified xsi:type="dcterms:W3CDTF">2026-01-01T02:56:00Z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