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E5409" w14:textId="77777777" w:rsidR="00A319FF" w:rsidRPr="00647611" w:rsidRDefault="00A319FF" w:rsidP="00A319FF">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artículo 33 – Contratación directa – Alcance </w:t>
      </w:r>
    </w:p>
    <w:p w14:paraId="201AB457" w14:textId="77777777" w:rsidR="00A319FF" w:rsidRPr="00647611" w:rsidRDefault="00A319FF" w:rsidP="00A319FF">
      <w:pPr>
        <w:spacing w:after="0" w:line="240" w:lineRule="auto"/>
        <w:jc w:val="both"/>
        <w:rPr>
          <w:rFonts w:ascii="Verdana" w:hAnsi="Verdana" w:cs="Arial"/>
          <w:b/>
          <w:sz w:val="20"/>
          <w:szCs w:val="20"/>
          <w:lang w:val="es-MX" w:eastAsia="es-ES_tradnl"/>
        </w:rPr>
      </w:pPr>
    </w:p>
    <w:p w14:paraId="3B8523A1" w14:textId="77777777" w:rsidR="00A319FF" w:rsidRPr="00647611" w:rsidRDefault="00A319FF" w:rsidP="00A319FF">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7DB4AFE6" w14:textId="77777777" w:rsidR="00A319FF" w:rsidRPr="00647611" w:rsidRDefault="00A319FF" w:rsidP="00A319FF">
      <w:pPr>
        <w:spacing w:after="0" w:line="240" w:lineRule="auto"/>
        <w:jc w:val="both"/>
        <w:rPr>
          <w:rFonts w:ascii="Verdana" w:hAnsi="Verdana" w:cs="Arial"/>
          <w:b/>
          <w:sz w:val="20"/>
          <w:szCs w:val="20"/>
          <w:lang w:eastAsia="es-ES_tradnl"/>
        </w:rPr>
      </w:pPr>
    </w:p>
    <w:p w14:paraId="17CD17A6" w14:textId="77777777" w:rsidR="00A319FF" w:rsidRPr="00647611" w:rsidRDefault="00A319FF" w:rsidP="00A319FF">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3210EFFB" w14:textId="77777777" w:rsidR="00A319FF" w:rsidRPr="00647611" w:rsidRDefault="00A319FF" w:rsidP="00A319FF">
      <w:pPr>
        <w:spacing w:after="0" w:line="240" w:lineRule="auto"/>
        <w:jc w:val="both"/>
        <w:rPr>
          <w:rFonts w:ascii="Verdana" w:hAnsi="Verdana" w:cs="Arial"/>
          <w:b/>
          <w:sz w:val="20"/>
          <w:szCs w:val="20"/>
          <w:lang w:val="es-MX" w:eastAsia="es-ES_tradnl"/>
        </w:rPr>
      </w:pPr>
    </w:p>
    <w:p w14:paraId="4ED33E42" w14:textId="77777777" w:rsidR="00A319FF" w:rsidRPr="00647611" w:rsidRDefault="00A319FF" w:rsidP="00A319FF">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9084E29" w14:textId="77777777" w:rsidR="00A319FF" w:rsidRPr="00647611" w:rsidRDefault="00A319FF" w:rsidP="00A319FF">
      <w:pPr>
        <w:spacing w:after="0" w:line="240" w:lineRule="auto"/>
        <w:jc w:val="both"/>
        <w:rPr>
          <w:rFonts w:ascii="Verdana" w:hAnsi="Verdana" w:cs="Arial"/>
          <w:b/>
          <w:sz w:val="20"/>
          <w:szCs w:val="20"/>
          <w:lang w:val="es-MX" w:eastAsia="es-ES_tradnl"/>
        </w:rPr>
      </w:pPr>
    </w:p>
    <w:p w14:paraId="6EAB28C0" w14:textId="77777777" w:rsidR="00A319FF" w:rsidRPr="00647611" w:rsidRDefault="00A319FF" w:rsidP="00A319FF">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37472DE2" w14:textId="77777777" w:rsidR="00A319FF" w:rsidRPr="00647611" w:rsidRDefault="00A319FF" w:rsidP="00A319FF">
      <w:pPr>
        <w:spacing w:after="0" w:line="240" w:lineRule="auto"/>
        <w:rPr>
          <w:rFonts w:ascii="Verdana" w:hAnsi="Verdana" w:cs="Arial"/>
          <w:sz w:val="20"/>
          <w:szCs w:val="20"/>
          <w:lang w:val="es-MX" w:eastAsia="es-ES_tradnl"/>
        </w:rPr>
      </w:pPr>
    </w:p>
    <w:p w14:paraId="40B812BD" w14:textId="77777777" w:rsidR="00A319FF" w:rsidRPr="00647611" w:rsidRDefault="00A319FF" w:rsidP="00A319FF">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647611">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70B3BC1E" w14:textId="77777777" w:rsidR="00A319FF" w:rsidRPr="00647611" w:rsidRDefault="00A319FF" w:rsidP="00A319FF">
      <w:pPr>
        <w:spacing w:after="0" w:line="240" w:lineRule="auto"/>
        <w:jc w:val="both"/>
        <w:rPr>
          <w:rFonts w:ascii="Verdana" w:hAnsi="Verdana"/>
          <w:b/>
          <w:sz w:val="20"/>
          <w:szCs w:val="20"/>
        </w:rPr>
      </w:pPr>
    </w:p>
    <w:p w14:paraId="3A44B479" w14:textId="77777777" w:rsidR="00A319FF" w:rsidRPr="00647611" w:rsidRDefault="00A319FF" w:rsidP="00A319FF">
      <w:pPr>
        <w:spacing w:after="0" w:line="240" w:lineRule="auto"/>
        <w:jc w:val="both"/>
        <w:rPr>
          <w:rFonts w:ascii="Verdana" w:hAnsi="Verdana"/>
          <w:b/>
          <w:lang w:val="es-MX"/>
        </w:rPr>
      </w:pPr>
      <w:r w:rsidRPr="00647611">
        <w:rPr>
          <w:rFonts w:ascii="Verdana" w:hAnsi="Verdana"/>
          <w:b/>
          <w:lang w:val="es-ES"/>
        </w:rPr>
        <w:t xml:space="preserve">ENAJENACIÓN VOLUNTARIA </w:t>
      </w:r>
      <w:r w:rsidRPr="00647611">
        <w:rPr>
          <w:rFonts w:ascii="Verdana" w:hAnsi="Verdana"/>
          <w:b/>
          <w:lang w:val="es-MX"/>
        </w:rPr>
        <w:t>– Objeto – Aplicación – Ley de Garantías Electorales – Restricción</w:t>
      </w:r>
      <w:r>
        <w:rPr>
          <w:rFonts w:ascii="Verdana" w:hAnsi="Verdana"/>
          <w:b/>
          <w:lang w:val="es-MX"/>
        </w:rPr>
        <w:t xml:space="preserve"> –</w:t>
      </w:r>
      <w:r w:rsidRPr="00647611">
        <w:rPr>
          <w:rFonts w:ascii="Verdana" w:hAnsi="Verdana"/>
          <w:b/>
          <w:lang w:val="es-MX"/>
        </w:rPr>
        <w:t xml:space="preserve"> Contratación Directa</w:t>
      </w:r>
    </w:p>
    <w:p w14:paraId="78CC5D3F" w14:textId="77777777" w:rsidR="00A319FF" w:rsidRPr="00647611" w:rsidRDefault="00A319FF" w:rsidP="00A319FF">
      <w:pPr>
        <w:spacing w:after="0" w:line="240" w:lineRule="auto"/>
        <w:rPr>
          <w:rFonts w:ascii="Verdana" w:hAnsi="Verdana"/>
          <w:sz w:val="20"/>
          <w:szCs w:val="20"/>
          <w:lang w:val="es-MX"/>
        </w:rPr>
      </w:pPr>
    </w:p>
    <w:p w14:paraId="53222B2D" w14:textId="77777777" w:rsidR="00A319FF" w:rsidRDefault="00A319FF" w:rsidP="00A319FF">
      <w:pPr>
        <w:spacing w:after="0" w:line="240" w:lineRule="auto"/>
        <w:jc w:val="both"/>
        <w:rPr>
          <w:rFonts w:ascii="Verdana" w:eastAsia="Geomanist Light" w:hAnsi="Verdana" w:cs="Arial"/>
          <w:color w:val="000000" w:themeColor="text1"/>
          <w:sz w:val="20"/>
          <w:szCs w:val="20"/>
          <w:lang w:val="es-MX"/>
        </w:rPr>
      </w:pPr>
      <w:r>
        <w:rPr>
          <w:rFonts w:ascii="Verdana" w:eastAsia="Geomanist Light" w:hAnsi="Verdana" w:cs="Arial"/>
          <w:color w:val="000000" w:themeColor="text1"/>
          <w:sz w:val="20"/>
          <w:szCs w:val="20"/>
          <w:lang w:val="es-MX"/>
        </w:rPr>
        <w:t>D</w:t>
      </w:r>
      <w:r w:rsidRPr="00A11942">
        <w:rPr>
          <w:rFonts w:ascii="Verdana" w:eastAsia="Geomanist Light" w:hAnsi="Verdana" w:cs="Arial"/>
          <w:color w:val="000000" w:themeColor="text1"/>
          <w:sz w:val="20"/>
          <w:szCs w:val="20"/>
          <w:lang w:val="es-MX"/>
        </w:rPr>
        <w:t xml:space="preserve">ando alcance a los conceptos C-1512 y C-1529 de 2025, debe precisarse que la restricción prevista en el artículo 33 de la Ley 996 de 2005 no resulta aplicable al procedimiento administrativo de adquisición predial en sí mismo, en su etapa preparatoria o preliminar, en la medida en que dicho artículo se refiere a la celebración de contratos de forma directa, y no a las actuaciones administrativas que se puedan generar previamente. En tal sentido, la gestión predial no se ve paralizada durante el período de restricción. </w:t>
      </w:r>
    </w:p>
    <w:p w14:paraId="60DF4FC3" w14:textId="77777777" w:rsidR="00A319FF" w:rsidRPr="00A11942" w:rsidRDefault="00A319FF" w:rsidP="00A319FF">
      <w:pPr>
        <w:spacing w:after="0" w:line="240" w:lineRule="auto"/>
        <w:jc w:val="both"/>
        <w:rPr>
          <w:rFonts w:ascii="Verdana" w:eastAsia="Geomanist Light" w:hAnsi="Verdana" w:cs="Arial"/>
          <w:color w:val="000000" w:themeColor="text1"/>
          <w:sz w:val="20"/>
          <w:szCs w:val="20"/>
          <w:lang w:val="es-MX"/>
        </w:rPr>
      </w:pPr>
    </w:p>
    <w:p w14:paraId="7203D3B0" w14:textId="77777777" w:rsidR="00A319FF" w:rsidRDefault="00A319FF" w:rsidP="00A319FF">
      <w:pPr>
        <w:spacing w:after="0" w:line="240" w:lineRule="auto"/>
        <w:jc w:val="both"/>
        <w:rPr>
          <w:rFonts w:ascii="Verdana" w:eastAsia="Geomanist Light" w:hAnsi="Verdana" w:cs="Arial"/>
          <w:color w:val="000000" w:themeColor="text1"/>
          <w:sz w:val="20"/>
          <w:szCs w:val="20"/>
          <w:lang w:val="es-MX"/>
        </w:rPr>
      </w:pPr>
      <w:r w:rsidRPr="00A11942">
        <w:rPr>
          <w:rFonts w:ascii="Verdana" w:eastAsia="Geomanist Light" w:hAnsi="Verdana" w:cs="Arial"/>
          <w:color w:val="000000" w:themeColor="text1"/>
          <w:sz w:val="20"/>
          <w:szCs w:val="20"/>
          <w:lang w:val="es-MX"/>
        </w:rPr>
        <w:t>En ese sentido, todos los trámites preparatorios y actuaciones administrativas de gestión predial que se surtan dentro de este procedimiento especial, tales como los avalúos, las ofertas de compra, las negociaciones preliminares y demás actuaciones que no impliquen la celebración de una promesa de compraventa o contrato compraventa o cualquier otro contrato, pueden adelantarse válidamente, incluso durante el período de restricción previsto en la Ley de Garantías Electorales, por cuanto no configuran los supuestos de contratación directa al que se refiere el artículo en comento.</w:t>
      </w:r>
    </w:p>
    <w:p w14:paraId="17DCFDB4" w14:textId="77777777" w:rsidR="00A319FF" w:rsidRPr="00A11942" w:rsidRDefault="00A319FF" w:rsidP="00A319FF">
      <w:pPr>
        <w:spacing w:after="0" w:line="240" w:lineRule="auto"/>
        <w:jc w:val="both"/>
        <w:rPr>
          <w:rFonts w:ascii="Verdana" w:eastAsia="Geomanist Light" w:hAnsi="Verdana" w:cs="Arial"/>
          <w:color w:val="000000" w:themeColor="text1"/>
          <w:sz w:val="20"/>
          <w:szCs w:val="20"/>
          <w:lang w:val="es-MX"/>
        </w:rPr>
      </w:pPr>
    </w:p>
    <w:p w14:paraId="13FD921F" w14:textId="77777777" w:rsidR="00A319FF" w:rsidRPr="00A11942" w:rsidRDefault="00A319FF" w:rsidP="00A319FF">
      <w:pPr>
        <w:spacing w:after="0" w:line="240" w:lineRule="auto"/>
        <w:jc w:val="both"/>
        <w:rPr>
          <w:rFonts w:ascii="Verdana" w:eastAsia="Geomanist Light" w:hAnsi="Verdana" w:cs="Arial"/>
          <w:color w:val="000000" w:themeColor="text1"/>
          <w:sz w:val="20"/>
          <w:szCs w:val="20"/>
          <w:lang w:val="es-MX"/>
        </w:rPr>
      </w:pPr>
      <w:r w:rsidRPr="00A11942">
        <w:rPr>
          <w:rFonts w:ascii="Verdana" w:eastAsia="Geomanist Light" w:hAnsi="Verdana" w:cs="Arial"/>
          <w:color w:val="000000" w:themeColor="text1"/>
          <w:sz w:val="20"/>
          <w:szCs w:val="20"/>
          <w:lang w:val="es-MX"/>
        </w:rPr>
        <w:t>No obstante, frente a la celebración de una promesa de compraventa o de un contrato de compraventa, sí resulta aplicable la restricción prevista en el citado artículo 33, razón por la cual se reitera la postura sostenida en los conceptos C-1512 y C-1529, en tanto dichos negocios jurídicos comportan la celebración directa de un contrato estatal. En efecto, en la promesa de compraventa y en el contrato de compraventa 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ibidem y en armonía con lo dispuesto por el artículo 1 de la Ley 1150 de 2007. Estos negocios jurídicos constituyen formas de contratación directa, en cuanto su celebración se realiza con un sujeto determinado, sin convocatoria pública y sin posibilidad de concurrencia de una pluralidad de oferentes.</w:t>
      </w:r>
    </w:p>
    <w:p w14:paraId="01DB7DCA" w14:textId="77777777" w:rsidR="00A319FF" w:rsidRDefault="00A319FF" w:rsidP="00A319FF">
      <w:pPr>
        <w:spacing w:after="0" w:line="240" w:lineRule="auto"/>
        <w:jc w:val="both"/>
        <w:rPr>
          <w:rFonts w:ascii="Verdana" w:eastAsia="Geomanist Light" w:hAnsi="Verdana" w:cs="Arial"/>
          <w:color w:val="000000" w:themeColor="text1"/>
          <w:lang w:val="es-MX"/>
        </w:rPr>
      </w:pPr>
    </w:p>
    <w:p w14:paraId="5C756FA5" w14:textId="77777777" w:rsidR="00A319FF" w:rsidRDefault="00A319FF" w:rsidP="00A319FF">
      <w:pPr>
        <w:spacing w:after="0" w:line="240" w:lineRule="auto"/>
        <w:jc w:val="both"/>
        <w:rPr>
          <w:rFonts w:ascii="Verdana" w:eastAsia="Geomanist Light" w:hAnsi="Verdana" w:cs="Arial"/>
          <w:color w:val="000000" w:themeColor="text1"/>
          <w:lang w:val="es-MX"/>
        </w:rPr>
      </w:pPr>
    </w:p>
    <w:p w14:paraId="2048EECD" w14:textId="77777777" w:rsidR="00A319FF" w:rsidRDefault="00A319FF" w:rsidP="00A319FF">
      <w:pPr>
        <w:spacing w:after="0" w:line="240" w:lineRule="auto"/>
        <w:jc w:val="both"/>
        <w:rPr>
          <w:rFonts w:ascii="Verdana" w:eastAsia="Geomanist Light" w:hAnsi="Verdana" w:cs="Arial"/>
          <w:color w:val="000000" w:themeColor="text1"/>
          <w:lang w:val="es-MX"/>
        </w:rPr>
      </w:pPr>
    </w:p>
    <w:p w14:paraId="28FE017F" w14:textId="77777777" w:rsidR="00A319FF" w:rsidRDefault="00A319FF" w:rsidP="00A319FF">
      <w:pPr>
        <w:spacing w:after="0" w:line="240" w:lineRule="auto"/>
        <w:jc w:val="both"/>
        <w:rPr>
          <w:rFonts w:ascii="Verdana" w:eastAsia="Geomanist Light" w:hAnsi="Verdana" w:cs="Arial"/>
          <w:color w:val="000000" w:themeColor="text1"/>
          <w:lang w:val="es-MX"/>
        </w:rPr>
      </w:pPr>
    </w:p>
    <w:p w14:paraId="338C2281" w14:textId="77777777" w:rsidR="00A319FF" w:rsidRDefault="00A319FF" w:rsidP="00A319FF">
      <w:pPr>
        <w:spacing w:after="0" w:line="240" w:lineRule="auto"/>
        <w:jc w:val="both"/>
        <w:rPr>
          <w:rFonts w:ascii="Verdana" w:eastAsia="Geomanist Light" w:hAnsi="Verdana" w:cs="Arial"/>
          <w:color w:val="000000" w:themeColor="text1"/>
          <w:lang w:val="es-MX"/>
        </w:rPr>
      </w:pPr>
    </w:p>
    <w:p w14:paraId="22147FA3" w14:textId="77777777" w:rsidR="00A319FF" w:rsidRDefault="00A319FF" w:rsidP="00A319FF">
      <w:pPr>
        <w:spacing w:after="0" w:line="240" w:lineRule="auto"/>
        <w:jc w:val="both"/>
        <w:rPr>
          <w:rFonts w:ascii="Verdana" w:eastAsia="Geomanist Light" w:hAnsi="Verdana" w:cs="Arial"/>
          <w:color w:val="000000" w:themeColor="text1"/>
          <w:lang w:val="es-MX"/>
        </w:rPr>
      </w:pPr>
    </w:p>
    <w:p w14:paraId="077162B7" w14:textId="77777777" w:rsidR="00A319FF" w:rsidRDefault="00A319FF" w:rsidP="00A319FF">
      <w:pPr>
        <w:spacing w:after="0" w:line="240" w:lineRule="auto"/>
        <w:jc w:val="both"/>
        <w:rPr>
          <w:rFonts w:ascii="Verdana" w:eastAsia="Geomanist Light" w:hAnsi="Verdana" w:cs="Arial"/>
          <w:color w:val="000000" w:themeColor="text1"/>
          <w:lang w:val="es-MX"/>
        </w:rPr>
      </w:pPr>
    </w:p>
    <w:p w14:paraId="23E4B96F" w14:textId="77777777" w:rsidR="00A319FF" w:rsidRDefault="00A319FF" w:rsidP="00A319FF">
      <w:pPr>
        <w:spacing w:after="0" w:line="240" w:lineRule="auto"/>
        <w:jc w:val="both"/>
        <w:rPr>
          <w:rFonts w:ascii="Verdana" w:eastAsia="Geomanist Light" w:hAnsi="Verdana" w:cs="Arial"/>
          <w:color w:val="000000" w:themeColor="text1"/>
          <w:lang w:val="es-MX"/>
        </w:rPr>
      </w:pPr>
    </w:p>
    <w:p w14:paraId="18AA9E95" w14:textId="77777777" w:rsidR="00A319FF" w:rsidRDefault="00A319FF" w:rsidP="00A319FF">
      <w:pPr>
        <w:spacing w:after="0" w:line="240" w:lineRule="auto"/>
        <w:jc w:val="both"/>
        <w:rPr>
          <w:rFonts w:ascii="Verdana" w:eastAsia="Geomanist Light" w:hAnsi="Verdana" w:cs="Arial"/>
          <w:color w:val="000000" w:themeColor="text1"/>
          <w:lang w:val="es-MX"/>
        </w:rPr>
      </w:pPr>
    </w:p>
    <w:p w14:paraId="64928A00" w14:textId="77777777" w:rsidR="00A319FF" w:rsidRDefault="00A319FF" w:rsidP="00A319FF">
      <w:pPr>
        <w:spacing w:after="0" w:line="240" w:lineRule="auto"/>
        <w:jc w:val="both"/>
        <w:rPr>
          <w:rFonts w:ascii="Verdana" w:eastAsia="Geomanist Light" w:hAnsi="Verdana" w:cs="Arial"/>
          <w:color w:val="000000" w:themeColor="text1"/>
          <w:lang w:val="es-MX"/>
        </w:rPr>
      </w:pPr>
    </w:p>
    <w:p w14:paraId="4D055244" w14:textId="711A4F6A" w:rsidR="00085146" w:rsidRPr="00F461B1" w:rsidRDefault="00085146" w:rsidP="00085146">
      <w:pPr>
        <w:spacing w:after="0"/>
        <w:rPr>
          <w:rFonts w:ascii="Verdana" w:hAnsi="Verdana"/>
        </w:rPr>
      </w:pPr>
      <w:r w:rsidRPr="001D0D1B">
        <w:rPr>
          <w:rFonts w:ascii="Verdana" w:hAnsi="Verdana"/>
        </w:rPr>
        <w:lastRenderedPageBreak/>
        <w:t xml:space="preserve">Bogotá D.C., </w:t>
      </w:r>
      <w:r w:rsidR="00DB7DAD">
        <w:rPr>
          <w:rFonts w:ascii="Verdana" w:hAnsi="Verdana"/>
        </w:rPr>
        <w:t>09 enero 2026</w:t>
      </w:r>
      <w:r>
        <w:rPr>
          <w:rFonts w:ascii="Verdana" w:hAnsi="Verdana"/>
        </w:rPr>
        <w:t xml:space="preserve">                                                                 </w:t>
      </w:r>
    </w:p>
    <w:p w14:paraId="6031E9BF" w14:textId="0C392082" w:rsidR="00085146" w:rsidRDefault="00085146" w:rsidP="00085146">
      <w:pPr>
        <w:spacing w:after="0" w:line="240" w:lineRule="auto"/>
        <w:jc w:val="right"/>
        <w:rPr>
          <w:rFonts w:ascii="Verdana" w:eastAsia="Calibri" w:hAnsi="Verdana" w:cs="Arial"/>
          <w:color w:val="000000"/>
          <w:lang w:val="es-ES"/>
        </w:rPr>
      </w:pPr>
    </w:p>
    <w:p w14:paraId="75E12591" w14:textId="06A0CFC1" w:rsidR="00085146" w:rsidRDefault="0095661B" w:rsidP="00085146">
      <w:pPr>
        <w:spacing w:after="0" w:line="240" w:lineRule="auto"/>
        <w:jc w:val="both"/>
        <w:rPr>
          <w:rFonts w:ascii="Verdana" w:eastAsia="Calibri" w:hAnsi="Verdana" w:cs="Arial"/>
          <w:color w:val="000000"/>
          <w:lang w:val="es-ES"/>
        </w:rPr>
      </w:pPr>
      <w:r w:rsidRPr="0095661B">
        <w:rPr>
          <w:rFonts w:ascii="Verdana" w:eastAsia="Calibri" w:hAnsi="Verdana" w:cs="Arial"/>
          <w:noProof/>
          <w:color w:val="000000"/>
          <w:lang w:val="es-ES"/>
        </w:rPr>
        <w:drawing>
          <wp:anchor distT="0" distB="0" distL="114300" distR="114300" simplePos="0" relativeHeight="251658240" behindDoc="1" locked="0" layoutInCell="1" allowOverlap="1" wp14:anchorId="2AEB8E15" wp14:editId="2C4B8CD3">
            <wp:simplePos x="0" y="0"/>
            <wp:positionH relativeFrom="column">
              <wp:posOffset>3101340</wp:posOffset>
            </wp:positionH>
            <wp:positionV relativeFrom="paragraph">
              <wp:posOffset>13970</wp:posOffset>
            </wp:positionV>
            <wp:extent cx="2838450" cy="862048"/>
            <wp:effectExtent l="0" t="0" r="0" b="0"/>
            <wp:wrapNone/>
            <wp:docPr id="127008670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086709"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838450" cy="862048"/>
                    </a:xfrm>
                    <a:prstGeom prst="rect">
                      <a:avLst/>
                    </a:prstGeom>
                  </pic:spPr>
                </pic:pic>
              </a:graphicData>
            </a:graphic>
          </wp:anchor>
        </w:drawing>
      </w:r>
    </w:p>
    <w:p w14:paraId="596B1C11" w14:textId="77777777" w:rsidR="00085146" w:rsidRDefault="00085146" w:rsidP="00085146">
      <w:pPr>
        <w:spacing w:after="0" w:line="240" w:lineRule="auto"/>
        <w:jc w:val="both"/>
        <w:rPr>
          <w:rFonts w:ascii="Verdana" w:eastAsia="Calibri" w:hAnsi="Verdana" w:cs="Arial"/>
          <w:lang w:val="es-ES" w:eastAsia="es-ES"/>
        </w:rPr>
      </w:pPr>
      <w:r>
        <w:rPr>
          <w:rFonts w:ascii="Verdana" w:eastAsia="Calibri" w:hAnsi="Verdana" w:cs="Arial"/>
          <w:lang w:val="es-ES" w:eastAsia="es-ES"/>
        </w:rPr>
        <w:t>Doctora</w:t>
      </w:r>
    </w:p>
    <w:p w14:paraId="7D20A3B2" w14:textId="77777777" w:rsidR="00085146" w:rsidRPr="00812AB9" w:rsidRDefault="00085146" w:rsidP="00085146">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 xml:space="preserve">Priscila Sánchez Sanabria </w:t>
      </w:r>
    </w:p>
    <w:p w14:paraId="6834D69A" w14:textId="77777777" w:rsidR="00085146" w:rsidRPr="00745B2B" w:rsidRDefault="00085146" w:rsidP="00085146">
      <w:pPr>
        <w:spacing w:after="0" w:line="240" w:lineRule="auto"/>
        <w:jc w:val="both"/>
        <w:rPr>
          <w:rFonts w:ascii="Verdana" w:eastAsia="Calibri" w:hAnsi="Verdana" w:cs="Arial"/>
          <w:lang w:val="es-ES" w:eastAsia="es-ES"/>
        </w:rPr>
      </w:pPr>
      <w:r w:rsidRPr="00745B2B">
        <w:rPr>
          <w:rFonts w:ascii="Verdana" w:eastAsia="Calibri" w:hAnsi="Verdana" w:cs="Arial"/>
          <w:lang w:val="es-ES" w:eastAsia="es-ES"/>
        </w:rPr>
        <w:t xml:space="preserve">Gerente Jurídica </w:t>
      </w:r>
    </w:p>
    <w:p w14:paraId="4E19C45C" w14:textId="77777777" w:rsidR="00085146" w:rsidRPr="00745B2B" w:rsidRDefault="00085146" w:rsidP="00085146">
      <w:pPr>
        <w:spacing w:after="0" w:line="240" w:lineRule="auto"/>
        <w:jc w:val="both"/>
        <w:rPr>
          <w:rFonts w:ascii="Verdana" w:eastAsia="Calibri" w:hAnsi="Verdana" w:cs="Arial"/>
          <w:lang w:val="es-ES" w:eastAsia="es-ES"/>
        </w:rPr>
      </w:pPr>
      <w:r w:rsidRPr="00745B2B">
        <w:rPr>
          <w:rFonts w:ascii="Verdana" w:eastAsia="Calibri" w:hAnsi="Verdana" w:cs="Arial"/>
          <w:lang w:val="es-ES" w:eastAsia="es-ES"/>
        </w:rPr>
        <w:t>Empresa Metro de Bogotá</w:t>
      </w:r>
    </w:p>
    <w:p w14:paraId="4D8EE546" w14:textId="77777777" w:rsidR="00085146" w:rsidRPr="00E534C9" w:rsidRDefault="00085146" w:rsidP="00085146">
      <w:pPr>
        <w:spacing w:after="0" w:line="240" w:lineRule="auto"/>
        <w:rPr>
          <w:rFonts w:ascii="Verdana" w:eastAsia="Calibri" w:hAnsi="Verdana" w:cs="Arial"/>
          <w:bCs/>
          <w:lang w:val="es-ES" w:eastAsia="es-ES"/>
        </w:rPr>
      </w:pPr>
      <w:hyperlink r:id="rId12" w:history="1">
        <w:r w:rsidRPr="00977549">
          <w:rPr>
            <w:rStyle w:val="Hipervnculo"/>
            <w:rFonts w:ascii="Verdana" w:eastAsia="Calibri" w:hAnsi="Verdana" w:cs="Arial"/>
            <w:bCs/>
            <w:lang w:val="es-ES" w:eastAsia="es-ES"/>
          </w:rPr>
          <w:t>gerenciajuridica@metrodebogota.gov.co</w:t>
        </w:r>
      </w:hyperlink>
      <w:r>
        <w:rPr>
          <w:rFonts w:ascii="Verdana" w:eastAsia="Calibri" w:hAnsi="Verdana" w:cs="Arial"/>
          <w:bCs/>
          <w:lang w:val="es-ES" w:eastAsia="es-ES"/>
        </w:rPr>
        <w:t xml:space="preserve"> </w:t>
      </w:r>
    </w:p>
    <w:p w14:paraId="7DFE7ED3" w14:textId="77777777" w:rsidR="00085146" w:rsidRDefault="00085146" w:rsidP="00085146">
      <w:pPr>
        <w:spacing w:after="0" w:line="240" w:lineRule="auto"/>
        <w:rPr>
          <w:rFonts w:ascii="Verdana" w:eastAsia="Calibri" w:hAnsi="Verdana" w:cs="Arial"/>
          <w:lang w:val="es-ES" w:eastAsia="es-ES"/>
        </w:rPr>
      </w:pPr>
      <w:r>
        <w:rPr>
          <w:rFonts w:ascii="Verdana" w:eastAsia="Calibri" w:hAnsi="Verdana" w:cs="Arial"/>
          <w:lang w:val="es-ES" w:eastAsia="es-ES"/>
        </w:rPr>
        <w:t xml:space="preserve">Bogotá  </w:t>
      </w:r>
    </w:p>
    <w:p w14:paraId="27546109" w14:textId="77777777" w:rsidR="00085146" w:rsidRDefault="00085146" w:rsidP="00085146">
      <w:pPr>
        <w:spacing w:after="0" w:line="240" w:lineRule="auto"/>
        <w:rPr>
          <w:rFonts w:ascii="Verdana" w:eastAsia="Calibri" w:hAnsi="Verdana" w:cs="Arial"/>
          <w:b/>
          <w:bCs/>
          <w:color w:val="000000"/>
          <w:lang w:val="es-ES_tradnl" w:eastAsia="es-ES_tradnl"/>
        </w:rPr>
      </w:pPr>
    </w:p>
    <w:p w14:paraId="6B1B5DD3" w14:textId="77777777" w:rsidR="00085146" w:rsidRDefault="00085146" w:rsidP="0008514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85146" w14:paraId="6FA99A69" w14:textId="77777777" w:rsidTr="00341831">
        <w:trPr>
          <w:trHeight w:val="884"/>
        </w:trPr>
        <w:tc>
          <w:tcPr>
            <w:tcW w:w="2689" w:type="dxa"/>
          </w:tcPr>
          <w:p w14:paraId="13EB5367" w14:textId="77777777" w:rsidR="00085146" w:rsidRDefault="00085146" w:rsidP="00341831">
            <w:pPr>
              <w:jc w:val="both"/>
              <w:rPr>
                <w:rFonts w:ascii="Verdana" w:eastAsia="Calibri" w:hAnsi="Verdana" w:cs="Arial"/>
                <w:b/>
                <w:bCs/>
                <w:color w:val="7030A0"/>
                <w:lang w:val="es-ES_tradnl" w:eastAsia="es-ES_tradnl"/>
              </w:rPr>
            </w:pPr>
          </w:p>
        </w:tc>
        <w:tc>
          <w:tcPr>
            <w:tcW w:w="6100" w:type="dxa"/>
            <w:hideMark/>
          </w:tcPr>
          <w:p w14:paraId="45EB51B0" w14:textId="77777777" w:rsidR="00085146" w:rsidRDefault="00085146" w:rsidP="00341831">
            <w:pPr>
              <w:jc w:val="both"/>
              <w:rPr>
                <w:rFonts w:ascii="Verdana" w:eastAsia="Calibri" w:hAnsi="Verdana" w:cs="Arial"/>
                <w:b/>
                <w:bCs/>
                <w:color w:val="7030A0"/>
                <w:lang w:val="es-ES" w:eastAsia="es-ES"/>
              </w:rPr>
            </w:pPr>
            <w:r>
              <w:rPr>
                <w:rFonts w:ascii="Verdana" w:eastAsia="Calibri" w:hAnsi="Verdana" w:cs="Arial"/>
                <w:b/>
                <w:bCs/>
                <w:lang w:val="es-ES" w:eastAsia="es-ES"/>
              </w:rPr>
              <w:t>Concepto C – 1799 de 2025</w:t>
            </w:r>
          </w:p>
        </w:tc>
      </w:tr>
      <w:tr w:rsidR="00085146" w14:paraId="18EB222C" w14:textId="77777777" w:rsidTr="00341831">
        <w:trPr>
          <w:trHeight w:val="884"/>
        </w:trPr>
        <w:tc>
          <w:tcPr>
            <w:tcW w:w="2689" w:type="dxa"/>
            <w:hideMark/>
          </w:tcPr>
          <w:p w14:paraId="5895A74D" w14:textId="77777777" w:rsidR="00085146" w:rsidRDefault="00085146" w:rsidP="00341831">
            <w:pPr>
              <w:jc w:val="both"/>
              <w:rPr>
                <w:rFonts w:ascii="Verdana" w:eastAsia="Calibri" w:hAnsi="Verdana" w:cs="Arial"/>
                <w:color w:val="000000"/>
                <w:lang w:val="es-ES_tradnl" w:eastAsia="es-ES_tradnl"/>
              </w:rPr>
            </w:pPr>
            <w:r>
              <w:rPr>
                <w:rFonts w:ascii="Verdana" w:eastAsia="Calibri" w:hAnsi="Verdana" w:cs="Arial"/>
                <w:b/>
                <w:color w:val="000000"/>
                <w:lang w:val="es-ES_tradnl" w:eastAsia="es-ES_tradnl"/>
              </w:rPr>
              <w:t>Temas:</w:t>
            </w:r>
            <w:r>
              <w:rPr>
                <w:rFonts w:ascii="Verdana" w:eastAsia="Calibri" w:hAnsi="Verdana" w:cs="Arial"/>
                <w:color w:val="000000"/>
                <w:lang w:val="es-ES_tradnl" w:eastAsia="es-ES_tradnl"/>
              </w:rPr>
              <w:t xml:space="preserve">                   </w:t>
            </w:r>
          </w:p>
        </w:tc>
        <w:tc>
          <w:tcPr>
            <w:tcW w:w="6100" w:type="dxa"/>
            <w:hideMark/>
          </w:tcPr>
          <w:p w14:paraId="00402A3D" w14:textId="77777777" w:rsidR="00085146" w:rsidRDefault="00085146" w:rsidP="00341831">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LEY DE GARANTÍAS ELECTORALES – Prohibición artículo 33 – Contratación directa – Alcance / LEY DE GARANTÍAS ELECTORALES – Excepciones / LEY DE GARANTÍAS ELECTORALES – Prohibición del artículo 33 – Destinatarios / ENAJENACIÓN VOLUNTARIA – Objeto – Aplicación – Ley de Garantías Electorales – Restricción- Contratación Directa                     </w:t>
            </w:r>
          </w:p>
          <w:p w14:paraId="38A123E7" w14:textId="77777777" w:rsidR="00085146" w:rsidRDefault="00085146" w:rsidP="00341831">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  </w:t>
            </w:r>
          </w:p>
        </w:tc>
      </w:tr>
      <w:tr w:rsidR="00085146" w14:paraId="3BED7E55" w14:textId="77777777" w:rsidTr="00341831">
        <w:tc>
          <w:tcPr>
            <w:tcW w:w="2689" w:type="dxa"/>
            <w:hideMark/>
          </w:tcPr>
          <w:p w14:paraId="0F8ABE44" w14:textId="77777777" w:rsidR="00085146" w:rsidRDefault="00085146" w:rsidP="00341831">
            <w:pPr>
              <w:jc w:val="both"/>
              <w:rPr>
                <w:rFonts w:ascii="Verdana" w:eastAsia="Calibri" w:hAnsi="Verdana" w:cs="Arial"/>
                <w:b/>
                <w:lang w:val="es-ES_tradnl" w:eastAsia="es-ES_tradnl"/>
              </w:rPr>
            </w:pPr>
            <w:r>
              <w:rPr>
                <w:rFonts w:ascii="Verdana" w:eastAsia="Calibri" w:hAnsi="Verdana" w:cs="Arial"/>
                <w:b/>
                <w:lang w:val="es-ES_tradnl" w:eastAsia="es-ES_tradnl"/>
              </w:rPr>
              <w:t>Radicación:</w:t>
            </w:r>
            <w:r>
              <w:rPr>
                <w:rFonts w:ascii="Verdana" w:eastAsia="Calibri" w:hAnsi="Verdana" w:cs="Arial"/>
                <w:lang w:val="es-ES_tradnl" w:eastAsia="es-ES_tradnl"/>
              </w:rPr>
              <w:t xml:space="preserve">               </w:t>
            </w:r>
          </w:p>
        </w:tc>
        <w:tc>
          <w:tcPr>
            <w:tcW w:w="6100" w:type="dxa"/>
            <w:hideMark/>
          </w:tcPr>
          <w:p w14:paraId="58B1E6BB" w14:textId="77777777" w:rsidR="00085146" w:rsidRDefault="00085146" w:rsidP="00341831">
            <w:pPr>
              <w:spacing w:line="276" w:lineRule="auto"/>
              <w:jc w:val="both"/>
              <w:rPr>
                <w:rFonts w:ascii="Verdana" w:eastAsia="Calibri" w:hAnsi="Verdana" w:cs="Arial"/>
                <w:lang w:val="es-ES_tradnl" w:eastAsia="es-ES_tradnl"/>
              </w:rPr>
            </w:pPr>
            <w:r>
              <w:rPr>
                <w:rFonts w:ascii="Verdana" w:eastAsia="Calibri" w:hAnsi="Verdana" w:cs="Arial"/>
                <w:lang w:val="es-ES_tradnl" w:eastAsia="es-ES_tradnl"/>
              </w:rPr>
              <w:t xml:space="preserve">Respuesta a la consulta con radicado No. </w:t>
            </w:r>
            <w:r w:rsidRPr="00AB63BA">
              <w:rPr>
                <w:rFonts w:ascii="Verdana" w:eastAsia="Calibri" w:hAnsi="Verdana" w:cs="Arial"/>
                <w:lang w:val="es-ES_tradnl" w:eastAsia="es-ES_tradnl"/>
              </w:rPr>
              <w:t>1_2025_12_04_013703</w:t>
            </w:r>
            <w:r>
              <w:rPr>
                <w:rFonts w:ascii="Verdana" w:eastAsia="Calibri" w:hAnsi="Verdana" w:cs="Arial"/>
                <w:lang w:val="es-ES_tradnl" w:eastAsia="es-ES_tradnl"/>
              </w:rPr>
              <w:t xml:space="preserve">                                   </w:t>
            </w:r>
          </w:p>
        </w:tc>
      </w:tr>
    </w:tbl>
    <w:p w14:paraId="21145A06" w14:textId="77777777" w:rsidR="00085146" w:rsidRDefault="00085146" w:rsidP="00085146">
      <w:pPr>
        <w:spacing w:after="0" w:line="240" w:lineRule="auto"/>
        <w:jc w:val="both"/>
        <w:rPr>
          <w:rFonts w:ascii="Verdana" w:eastAsia="Calibri" w:hAnsi="Verdana" w:cs="Arial"/>
          <w:color w:val="000000"/>
          <w:lang w:val="es-ES_tradnl" w:eastAsia="es-ES_tradnl"/>
        </w:rPr>
      </w:pPr>
    </w:p>
    <w:p w14:paraId="24CE552C" w14:textId="77777777" w:rsidR="00085146" w:rsidRDefault="00085146" w:rsidP="00085146">
      <w:pPr>
        <w:spacing w:after="0" w:line="240" w:lineRule="auto"/>
        <w:jc w:val="both"/>
        <w:rPr>
          <w:rFonts w:ascii="Verdana" w:eastAsia="Calibri" w:hAnsi="Verdana" w:cs="Arial"/>
          <w:color w:val="000000"/>
          <w:lang w:val="es-ES_tradnl" w:eastAsia="es-ES_tradnl"/>
        </w:rPr>
      </w:pPr>
    </w:p>
    <w:p w14:paraId="1AA64D48" w14:textId="77777777" w:rsidR="00085146" w:rsidRDefault="00085146" w:rsidP="00085146">
      <w:pPr>
        <w:spacing w:after="0" w:line="276" w:lineRule="auto"/>
        <w:jc w:val="both"/>
        <w:rPr>
          <w:rFonts w:ascii="Verdana" w:eastAsia="Calibri" w:hAnsi="Verdana" w:cs="Arial"/>
          <w:lang w:val="es-ES" w:eastAsia="es-ES"/>
        </w:rPr>
      </w:pPr>
      <w:r>
        <w:rPr>
          <w:rFonts w:ascii="Verdana" w:eastAsia="Calibri" w:hAnsi="Verdana" w:cs="Arial"/>
          <w:lang w:val="es-ES" w:eastAsia="es-ES"/>
        </w:rPr>
        <w:t xml:space="preserve">Estimada Doctora Sánchez: </w:t>
      </w:r>
    </w:p>
    <w:p w14:paraId="78EF83E4" w14:textId="77777777" w:rsidR="00085146" w:rsidRDefault="00085146" w:rsidP="0008514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7A3BFA3" w14:textId="77777777" w:rsidR="00085146" w:rsidRDefault="00085146" w:rsidP="00085146">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sidRPr="006C555A">
        <w:rPr>
          <w:rFonts w:ascii="Verdana" w:hAnsi="Verdana" w:cs="Arial"/>
          <w:lang w:val="es-ES_tradnl"/>
        </w:rPr>
        <w:t>así como lo establecido en</w:t>
      </w:r>
      <w:r w:rsidRPr="006C555A">
        <w:rPr>
          <w:rFonts w:ascii="Verdana" w:hAnsi="Verdana" w:cs="Arial"/>
        </w:rPr>
        <w:t xml:space="preserve"> la Resolución 469 de 2025 expedida por esta Entidad</w:t>
      </w:r>
      <w:r>
        <w:rPr>
          <w:rFonts w:ascii="Verdana" w:hAnsi="Verdana" w:cs="Arial"/>
        </w:rPr>
        <w:t xml:space="preserve">, </w:t>
      </w:r>
      <w:r>
        <w:rPr>
          <w:rFonts w:ascii="Verdana" w:eastAsia="Calibri" w:hAnsi="Verdana" w:cs="Arial"/>
          <w:color w:val="000000" w:themeColor="text1"/>
          <w:lang w:val="es-ES" w:eastAsia="es-ES"/>
        </w:rPr>
        <w:t xml:space="preserve">la Agencia Nacional de Contratación Pública – Colombia Compra Eficiente responde su solicitud de consulta de </w:t>
      </w:r>
      <w:r>
        <w:rPr>
          <w:rFonts w:ascii="Verdana" w:eastAsia="Calibri" w:hAnsi="Verdana" w:cs="Arial"/>
          <w:lang w:val="es-ES" w:eastAsia="es-ES"/>
        </w:rPr>
        <w:t xml:space="preserve">fecha 4 de diciembre de 2025, en la cual </w:t>
      </w:r>
      <w:r>
        <w:rPr>
          <w:rFonts w:ascii="Verdana" w:eastAsia="Calibri" w:hAnsi="Verdana" w:cs="Arial"/>
          <w:color w:val="000000" w:themeColor="text1"/>
          <w:lang w:val="es-ES" w:eastAsia="es-ES"/>
        </w:rPr>
        <w:t xml:space="preserve">respecto del concepto C-1529 de 2025, indica </w:t>
      </w:r>
      <w:r w:rsidRPr="00FC6F34">
        <w:rPr>
          <w:rFonts w:ascii="Verdana" w:eastAsia="Calibri" w:hAnsi="Verdana" w:cs="Arial"/>
          <w:color w:val="000000" w:themeColor="text1"/>
          <w:lang w:val="es-ES" w:eastAsia="es-ES"/>
        </w:rPr>
        <w:t>lo siguiente</w:t>
      </w:r>
      <w:r>
        <w:rPr>
          <w:rFonts w:ascii="Verdana" w:eastAsia="Calibri" w:hAnsi="Verdana" w:cs="Arial"/>
          <w:lang w:val="es-ES" w:eastAsia="es-ES"/>
        </w:rPr>
        <w:t xml:space="preserve">: </w:t>
      </w:r>
    </w:p>
    <w:p w14:paraId="7FFB82CA" w14:textId="77777777" w:rsidR="00085146" w:rsidRDefault="00085146" w:rsidP="00085146">
      <w:pPr>
        <w:pStyle w:val="Prrafodelista"/>
        <w:tabs>
          <w:tab w:val="left" w:pos="142"/>
          <w:tab w:val="left" w:pos="284"/>
        </w:tabs>
        <w:spacing w:after="0" w:line="276" w:lineRule="auto"/>
        <w:ind w:left="0"/>
        <w:jc w:val="both"/>
        <w:rPr>
          <w:rFonts w:ascii="Verdana" w:eastAsia="Century Gothic" w:hAnsi="Verdana" w:cs="Century Gothic"/>
          <w:b/>
          <w:bCs/>
        </w:rPr>
      </w:pPr>
    </w:p>
    <w:p w14:paraId="6ED57086" w14:textId="77777777" w:rsidR="00085146" w:rsidRDefault="00085146" w:rsidP="00085146">
      <w:pPr>
        <w:spacing w:after="0" w:line="240" w:lineRule="auto"/>
        <w:ind w:left="709" w:right="709"/>
        <w:jc w:val="both"/>
        <w:rPr>
          <w:rFonts w:ascii="Verdana" w:eastAsia="Century Gothic" w:hAnsi="Verdana" w:cs="Century Gothic"/>
          <w:sz w:val="20"/>
          <w:szCs w:val="20"/>
        </w:rPr>
      </w:pPr>
      <w:bookmarkStart w:id="0" w:name="_Hlk95313578"/>
      <w:r>
        <w:rPr>
          <w:rFonts w:ascii="Verdana" w:eastAsia="Century Gothic" w:hAnsi="Verdana" w:cs="Century Gothic"/>
          <w:sz w:val="20"/>
          <w:szCs w:val="20"/>
          <w:lang w:val="es-ES"/>
        </w:rPr>
        <w:t>“</w:t>
      </w:r>
      <w:bookmarkEnd w:id="0"/>
      <w:r w:rsidRPr="00AB63BA">
        <w:rPr>
          <w:rFonts w:ascii="Verdana" w:eastAsia="Century Gothic" w:hAnsi="Verdana" w:cs="Century Gothic"/>
          <w:sz w:val="20"/>
          <w:szCs w:val="20"/>
        </w:rPr>
        <w:t xml:space="preserve">La Empresa Metro de Bogotá ha tenido conocimiento del concepto de la referencia emitido por la Agencia Nacional de Contratación Pública- Colombia Compra Eficiente, mediante el cual se absuelve solicitud de concepto encaminada a resolver el problema jurídico relativo a si la </w:t>
      </w:r>
      <w:r w:rsidRPr="00AB63BA">
        <w:rPr>
          <w:rFonts w:ascii="Verdana" w:eastAsia="Century Gothic" w:hAnsi="Verdana" w:cs="Century Gothic"/>
          <w:sz w:val="20"/>
          <w:szCs w:val="20"/>
        </w:rPr>
        <w:lastRenderedPageBreak/>
        <w:t xml:space="preserve">adquisición de predios mediante procesos de enajenación voluntaria por parte de entidades estatales en el marco de proyectos de infraestructura se encuentra sujeto a las restricciones previstas en la Ley de Garantías Electorales, en el cual se concluye que “En virtud de esta restricción, se precisa que la adquisición de los predios que se realice por enajenación voluntaria está sometida a un régimen especial de contratación. Sin embargo, como se explicó en las razones de la respuesta, esta culmina con la suscripción de un contrato de promesa de compraventa o de compraventa entre la entidad y la persona, con lo cual se trata de un procedimiento de contratación estatal no competitivo que se encuentra restringido por la prohibición establecida en el artículo 33 de la Ley 996 de 2005. En contraste, cuando la adquisición ocurra por el procedimiento expropiatorio no se materializa en la celebración de un contrato”. </w:t>
      </w:r>
    </w:p>
    <w:p w14:paraId="0D4AA950" w14:textId="77777777" w:rsidR="00085146" w:rsidRDefault="00085146" w:rsidP="00085146">
      <w:pPr>
        <w:spacing w:after="0" w:line="240" w:lineRule="auto"/>
        <w:ind w:left="709" w:right="709"/>
        <w:jc w:val="both"/>
        <w:rPr>
          <w:rFonts w:ascii="Verdana" w:eastAsia="Century Gothic" w:hAnsi="Verdana" w:cs="Century Gothic"/>
          <w:sz w:val="20"/>
          <w:szCs w:val="20"/>
        </w:rPr>
      </w:pPr>
    </w:p>
    <w:p w14:paraId="044E1372" w14:textId="77777777" w:rsidR="00085146" w:rsidRDefault="00085146" w:rsidP="00085146">
      <w:pPr>
        <w:spacing w:after="0" w:line="240" w:lineRule="auto"/>
        <w:ind w:left="709" w:right="709"/>
        <w:jc w:val="both"/>
        <w:rPr>
          <w:rFonts w:ascii="Verdana" w:eastAsia="Century Gothic" w:hAnsi="Verdana" w:cs="Century Gothic"/>
          <w:sz w:val="20"/>
          <w:szCs w:val="20"/>
        </w:rPr>
      </w:pPr>
      <w:r w:rsidRPr="00AB63BA">
        <w:rPr>
          <w:rFonts w:ascii="Verdana" w:eastAsia="Century Gothic" w:hAnsi="Verdana" w:cs="Century Gothic"/>
          <w:sz w:val="20"/>
          <w:szCs w:val="20"/>
        </w:rPr>
        <w:t xml:space="preserve">Frente al particular, la empresa Metro de Bogotá difiere de lo expresado por Colombia Compra Eficiente, por lo cual manifestamos nuestro total desacuerdo con la posición adoptada por esa entidad, además de ser sumamente riesgosa para la ejecución de los proyectos de infraestructura en curso. </w:t>
      </w:r>
    </w:p>
    <w:p w14:paraId="424CA46D" w14:textId="77777777" w:rsidR="00085146" w:rsidRDefault="00085146" w:rsidP="00085146">
      <w:pPr>
        <w:spacing w:after="0" w:line="240" w:lineRule="auto"/>
        <w:ind w:left="709" w:right="709"/>
        <w:jc w:val="both"/>
        <w:rPr>
          <w:rFonts w:ascii="Verdana" w:eastAsia="Century Gothic" w:hAnsi="Verdana" w:cs="Century Gothic"/>
          <w:sz w:val="20"/>
          <w:szCs w:val="20"/>
        </w:rPr>
      </w:pPr>
    </w:p>
    <w:p w14:paraId="114CC34A" w14:textId="77777777" w:rsidR="00085146" w:rsidRPr="00940C39" w:rsidRDefault="00085146" w:rsidP="00085146">
      <w:pPr>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sz w:val="20"/>
          <w:szCs w:val="20"/>
          <w:lang w:val="es-ES"/>
        </w:rPr>
        <w:t>[…]</w:t>
      </w:r>
      <w:r>
        <w:rPr>
          <w:rFonts w:ascii="Verdana" w:eastAsia="Century Gothic" w:hAnsi="Verdana" w:cs="Century Gothic"/>
          <w:i/>
          <w:iCs/>
          <w:sz w:val="20"/>
          <w:szCs w:val="20"/>
        </w:rPr>
        <w:t>”</w:t>
      </w:r>
      <w:r w:rsidRPr="00940C39">
        <w:rPr>
          <w:rFonts w:ascii="Verdana" w:eastAsia="Century Gothic" w:hAnsi="Verdana" w:cs="Century Gothic"/>
          <w:i/>
          <w:iCs/>
          <w:sz w:val="20"/>
          <w:szCs w:val="20"/>
        </w:rPr>
        <w:t>.</w:t>
      </w:r>
    </w:p>
    <w:p w14:paraId="48ECB19E" w14:textId="77777777" w:rsidR="00085146" w:rsidRDefault="00085146" w:rsidP="00085146">
      <w:pPr>
        <w:pStyle w:val="Prrafodelista"/>
        <w:tabs>
          <w:tab w:val="left" w:pos="142"/>
          <w:tab w:val="left" w:pos="284"/>
        </w:tabs>
        <w:spacing w:after="0" w:line="276" w:lineRule="auto"/>
        <w:ind w:left="0"/>
        <w:jc w:val="both"/>
        <w:rPr>
          <w:rFonts w:ascii="Verdana" w:eastAsia="Century Gothic" w:hAnsi="Verdana" w:cs="Century Gothic"/>
          <w:b/>
          <w:bCs/>
        </w:rPr>
      </w:pPr>
    </w:p>
    <w:p w14:paraId="3B66DC08" w14:textId="77777777" w:rsidR="00085146" w:rsidRDefault="00085146" w:rsidP="00085146">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7413EC61" w14:textId="77777777" w:rsidR="00085146" w:rsidRDefault="00085146" w:rsidP="00085146">
      <w:pPr>
        <w:spacing w:after="0" w:line="276" w:lineRule="auto"/>
        <w:ind w:firstLine="708"/>
        <w:jc w:val="both"/>
        <w:rPr>
          <w:rFonts w:ascii="Verdana" w:eastAsia="Calibri" w:hAnsi="Verdana" w:cs="Arial"/>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de su consulta.</w:t>
      </w:r>
      <w:r>
        <w:rPr>
          <w:rFonts w:ascii="Verdana" w:eastAsia="Calibri" w:hAnsi="Verdana" w:cs="Arial"/>
          <w:lang w:val="es-ES" w:eastAsia="es-ES"/>
        </w:rPr>
        <w:t xml:space="preserve"> </w:t>
      </w:r>
      <w:r>
        <w:rPr>
          <w:rFonts w:ascii="Verdana" w:eastAsia="Calibri" w:hAnsi="Verdana" w:cs="Arial"/>
          <w:color w:val="000000"/>
          <w:lang w:val="es-ES" w:eastAsia="es-ES"/>
        </w:rPr>
        <w:t xml:space="preserve">  </w:t>
      </w:r>
    </w:p>
    <w:p w14:paraId="3B603E66" w14:textId="77777777" w:rsidR="00085146" w:rsidRDefault="00085146" w:rsidP="00085146">
      <w:pPr>
        <w:spacing w:after="0" w:line="276" w:lineRule="auto"/>
        <w:ind w:firstLine="709"/>
        <w:jc w:val="both"/>
        <w:rPr>
          <w:rFonts w:ascii="Verdana" w:eastAsia="Calibri" w:hAnsi="Verdana" w:cs="Arial"/>
          <w:color w:val="000000"/>
          <w:lang w:val="es-ES" w:eastAsia="es-ES"/>
        </w:rPr>
      </w:pPr>
    </w:p>
    <w:p w14:paraId="76469DF4" w14:textId="77777777" w:rsidR="00085146" w:rsidRDefault="00085146" w:rsidP="0008514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lastRenderedPageBreak/>
        <w:t>Problema planteado:</w:t>
      </w:r>
    </w:p>
    <w:p w14:paraId="0E267DC0" w14:textId="77777777" w:rsidR="00085146" w:rsidRDefault="00085146" w:rsidP="00085146">
      <w:pPr>
        <w:tabs>
          <w:tab w:val="left" w:pos="426"/>
        </w:tabs>
        <w:spacing w:after="0" w:line="276" w:lineRule="auto"/>
        <w:jc w:val="both"/>
        <w:rPr>
          <w:rFonts w:ascii="Verdana" w:eastAsia="Century Gothic" w:hAnsi="Verdana" w:cs="Century Gothic"/>
          <w:lang w:val="es-ES"/>
        </w:rPr>
      </w:pPr>
    </w:p>
    <w:p w14:paraId="75B2D5A3" w14:textId="77777777" w:rsidR="00085146" w:rsidRDefault="00085146" w:rsidP="00085146">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los siguientes problemas jurídicos: ¿los procesos de enajenación voluntaria </w:t>
      </w:r>
      <w:r>
        <w:rPr>
          <w:rFonts w:ascii="Verdana" w:eastAsia="Calibri" w:hAnsi="Verdana" w:cs="Times New Roman"/>
          <w:iCs/>
          <w:lang w:val="es-ES"/>
        </w:rPr>
        <w:t>por parte de entidades estatales para adquirir predios están restringidos durante la Ley de Garantías Electorales?</w:t>
      </w:r>
      <w:r>
        <w:rPr>
          <w:rFonts w:ascii="Verdana" w:eastAsia="Century Gothic" w:hAnsi="Verdana" w:cs="Century Gothic"/>
        </w:rPr>
        <w:t xml:space="preserve">             </w:t>
      </w:r>
      <w:r>
        <w:rPr>
          <w:rFonts w:ascii="Verdana" w:eastAsia="Century Gothic" w:hAnsi="Verdana" w:cs="Century Gothic"/>
          <w:color w:val="7030A0"/>
        </w:rPr>
        <w:t xml:space="preserve"> </w:t>
      </w:r>
    </w:p>
    <w:p w14:paraId="68BAB277" w14:textId="77777777" w:rsidR="00085146" w:rsidRDefault="00085146" w:rsidP="00085146">
      <w:pPr>
        <w:spacing w:after="0" w:line="276" w:lineRule="auto"/>
        <w:jc w:val="both"/>
        <w:rPr>
          <w:rFonts w:ascii="Verdana" w:eastAsia="Calibri" w:hAnsi="Verdana" w:cs="Arial"/>
          <w:color w:val="7030A0"/>
        </w:rPr>
      </w:pPr>
    </w:p>
    <w:p w14:paraId="5D5D80EE" w14:textId="77777777" w:rsidR="00085146" w:rsidRDefault="00085146" w:rsidP="0008514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Respuesta:</w:t>
      </w:r>
    </w:p>
    <w:p w14:paraId="67281468" w14:textId="77777777" w:rsidR="00085146" w:rsidRDefault="00085146" w:rsidP="0008514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85146" w14:paraId="2F396510" w14:textId="77777777" w:rsidTr="00341831">
        <w:trPr>
          <w:jc w:val="center"/>
        </w:trPr>
        <w:tc>
          <w:tcPr>
            <w:tcW w:w="8828" w:type="dxa"/>
            <w:tcBorders>
              <w:top w:val="dotted" w:sz="4" w:space="0" w:color="auto"/>
              <w:left w:val="dotted" w:sz="4" w:space="0" w:color="auto"/>
              <w:bottom w:val="dotted" w:sz="4" w:space="0" w:color="auto"/>
              <w:right w:val="dotted" w:sz="4" w:space="0" w:color="auto"/>
            </w:tcBorders>
            <w:hideMark/>
          </w:tcPr>
          <w:p w14:paraId="07A3D3D8" w14:textId="77777777" w:rsidR="00085146" w:rsidRDefault="00085146" w:rsidP="00341831">
            <w:pPr>
              <w:spacing w:after="120" w:line="276" w:lineRule="auto"/>
              <w:jc w:val="both"/>
              <w:rPr>
                <w:rFonts w:ascii="Verdana" w:eastAsia="Calibri" w:hAnsi="Verdana" w:cs="Arial"/>
                <w:lang w:val="es-MX"/>
              </w:rPr>
            </w:pPr>
            <w:bookmarkStart w:id="1" w:name="_Hlk171694685"/>
            <w:r>
              <w:rPr>
                <w:rFonts w:ascii="Verdana" w:eastAsia="Calibri" w:hAnsi="Verdana" w:cs="Arial"/>
                <w:lang w:val="es-MX"/>
              </w:rPr>
              <w:t xml:space="preserve">Conforme a la interpretación general de las normas del sistema de compras públicas, </w:t>
            </w:r>
            <w:r>
              <w:rPr>
                <w:rFonts w:ascii="Verdana" w:eastAsia="Times New Roman" w:hAnsi="Verdana" w:cs="Arial"/>
                <w:bCs/>
                <w:lang w:val="es-MX" w:eastAsia="x-none"/>
              </w:rPr>
              <w:t>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3302B4D3" w14:textId="77777777" w:rsidR="00085146" w:rsidRPr="00363C91" w:rsidRDefault="00085146" w:rsidP="00341831">
            <w:pPr>
              <w:spacing w:after="120" w:line="276" w:lineRule="auto"/>
              <w:ind w:firstLine="743"/>
              <w:jc w:val="both"/>
              <w:rPr>
                <w:rFonts w:ascii="Verdana" w:eastAsia="Calibri" w:hAnsi="Verdana" w:cs="Arial"/>
              </w:rPr>
            </w:pPr>
            <w:r>
              <w:rPr>
                <w:rFonts w:ascii="Verdana" w:eastAsia="Times New Roman" w:hAnsi="Verdana" w:cs="Arial"/>
                <w:lang w:val="es-ES" w:eastAsia="es-ES_tradnl"/>
              </w:rPr>
              <w:t>En virtud de esta restricción y</w:t>
            </w:r>
            <w:r w:rsidRPr="00494FAF">
              <w:rPr>
                <w:rFonts w:ascii="Verdana" w:eastAsia="Times New Roman" w:hAnsi="Verdana" w:cs="Arial"/>
                <w:bCs/>
                <w:lang w:eastAsia="x-none"/>
              </w:rPr>
              <w:t xml:space="preserve"> dando alcance a</w:t>
            </w:r>
            <w:r>
              <w:rPr>
                <w:rFonts w:ascii="Verdana" w:eastAsia="Times New Roman" w:hAnsi="Verdana" w:cs="Arial"/>
                <w:bCs/>
                <w:lang w:eastAsia="x-none"/>
              </w:rPr>
              <w:t xml:space="preserve"> los conceptos C-1512 y C-1529 de 2025, </w:t>
            </w:r>
            <w:r w:rsidRPr="00611BBF">
              <w:rPr>
                <w:rFonts w:ascii="Verdana" w:eastAsia="Calibri" w:hAnsi="Verdana" w:cs="Arial"/>
              </w:rPr>
              <w:t xml:space="preserve">debe precisarse que </w:t>
            </w:r>
            <w:r w:rsidRPr="00ED2EBA">
              <w:rPr>
                <w:rFonts w:ascii="Verdana" w:eastAsia="Calibri" w:hAnsi="Verdana" w:cs="Arial"/>
              </w:rPr>
              <w:t xml:space="preserve">la restricción prevista en el artículo 33 de la Ley 996 de 2005 no resulta aplicable al </w:t>
            </w:r>
            <w:r>
              <w:rPr>
                <w:rFonts w:ascii="Verdana" w:eastAsia="Calibri" w:hAnsi="Verdana" w:cs="Arial"/>
              </w:rPr>
              <w:t xml:space="preserve">procedimiento </w:t>
            </w:r>
            <w:r w:rsidRPr="0013781B">
              <w:rPr>
                <w:rFonts w:ascii="Verdana" w:eastAsia="Calibri" w:hAnsi="Verdana" w:cs="Arial"/>
                <w:lang w:val="es-ES"/>
              </w:rPr>
              <w:t>administrativo de adquisición</w:t>
            </w:r>
            <w:r>
              <w:rPr>
                <w:rFonts w:ascii="Verdana" w:eastAsia="Calibri" w:hAnsi="Verdana" w:cs="Arial"/>
                <w:lang w:val="es-ES"/>
              </w:rPr>
              <w:t xml:space="preserve"> predial</w:t>
            </w:r>
            <w:r w:rsidRPr="0013781B">
              <w:rPr>
                <w:rFonts w:ascii="Verdana" w:eastAsia="Calibri" w:hAnsi="Verdana" w:cs="Arial"/>
                <w:lang w:val="es-ES"/>
              </w:rPr>
              <w:t xml:space="preserve"> </w:t>
            </w:r>
            <w:r w:rsidRPr="00DF2532">
              <w:rPr>
                <w:rFonts w:ascii="Verdana" w:eastAsia="Calibri" w:hAnsi="Verdana" w:cs="Arial"/>
                <w:i/>
                <w:iCs/>
              </w:rPr>
              <w:t>en sí mismo</w:t>
            </w:r>
            <w:r w:rsidRPr="00ED2EBA">
              <w:rPr>
                <w:rFonts w:ascii="Verdana" w:eastAsia="Calibri" w:hAnsi="Verdana" w:cs="Arial"/>
              </w:rPr>
              <w:t>,</w:t>
            </w:r>
            <w:r>
              <w:rPr>
                <w:rFonts w:ascii="Verdana" w:eastAsia="Calibri" w:hAnsi="Verdana" w:cs="Arial"/>
              </w:rPr>
              <w:t xml:space="preserve"> en su etapa preparatoria o preliminar, </w:t>
            </w:r>
            <w:r w:rsidRPr="00ED2EBA">
              <w:rPr>
                <w:rFonts w:ascii="Verdana" w:eastAsia="Calibri" w:hAnsi="Verdana" w:cs="Arial"/>
              </w:rPr>
              <w:t>en la medida en que dicho artículo se refiere a</w:t>
            </w:r>
            <w:r>
              <w:rPr>
                <w:rFonts w:ascii="Verdana" w:eastAsia="Calibri" w:hAnsi="Verdana" w:cs="Arial"/>
              </w:rPr>
              <w:t xml:space="preserve"> la </w:t>
            </w:r>
            <w:r w:rsidRPr="0087731C">
              <w:rPr>
                <w:rFonts w:ascii="Verdana" w:eastAsia="Calibri" w:hAnsi="Verdana" w:cs="Arial"/>
                <w:bCs/>
                <w:lang w:val="es-MX"/>
              </w:rPr>
              <w:t>celebra</w:t>
            </w:r>
            <w:r>
              <w:rPr>
                <w:rFonts w:ascii="Verdana" w:eastAsia="Calibri" w:hAnsi="Verdana" w:cs="Arial"/>
                <w:bCs/>
                <w:lang w:val="es-MX"/>
              </w:rPr>
              <w:t xml:space="preserve">ción de </w:t>
            </w:r>
            <w:r w:rsidRPr="0087731C">
              <w:rPr>
                <w:rFonts w:ascii="Verdana" w:eastAsia="Calibri" w:hAnsi="Verdana" w:cs="Arial"/>
                <w:bCs/>
                <w:lang w:val="es-MX"/>
              </w:rPr>
              <w:t>contrato</w:t>
            </w:r>
            <w:r>
              <w:rPr>
                <w:rFonts w:ascii="Verdana" w:eastAsia="Calibri" w:hAnsi="Verdana" w:cs="Arial"/>
                <w:bCs/>
                <w:lang w:val="es-MX"/>
              </w:rPr>
              <w:t>s</w:t>
            </w:r>
            <w:r w:rsidRPr="0087731C">
              <w:rPr>
                <w:rFonts w:ascii="Verdana" w:eastAsia="Calibri" w:hAnsi="Verdana" w:cs="Arial"/>
                <w:bCs/>
                <w:lang w:val="es-MX"/>
              </w:rPr>
              <w:t xml:space="preserve"> de forma directa, </w:t>
            </w:r>
            <w:r w:rsidRPr="00ED2EBA">
              <w:rPr>
                <w:rFonts w:ascii="Verdana" w:eastAsia="Calibri" w:hAnsi="Verdana" w:cs="Arial"/>
              </w:rPr>
              <w:t>y</w:t>
            </w:r>
            <w:r w:rsidRPr="00611BBF">
              <w:rPr>
                <w:rFonts w:ascii="Verdana" w:eastAsia="Calibri" w:hAnsi="Verdana" w:cs="Arial"/>
              </w:rPr>
              <w:t xml:space="preserve"> no a</w:t>
            </w:r>
            <w:r>
              <w:rPr>
                <w:rFonts w:ascii="Verdana" w:eastAsia="Calibri" w:hAnsi="Verdana" w:cs="Arial"/>
              </w:rPr>
              <w:t xml:space="preserve"> las</w:t>
            </w:r>
            <w:r w:rsidRPr="00611BBF">
              <w:rPr>
                <w:rFonts w:ascii="Verdana" w:eastAsia="Calibri" w:hAnsi="Verdana" w:cs="Arial"/>
              </w:rPr>
              <w:t xml:space="preserve"> actuaciones administrativas</w:t>
            </w:r>
            <w:r>
              <w:rPr>
                <w:rFonts w:ascii="Verdana" w:eastAsia="Calibri" w:hAnsi="Verdana" w:cs="Arial"/>
              </w:rPr>
              <w:t xml:space="preserve"> que se puedan generar previamente</w:t>
            </w:r>
            <w:r w:rsidRPr="00494FAF">
              <w:rPr>
                <w:rFonts w:ascii="Verdana" w:eastAsia="Times New Roman" w:hAnsi="Verdana" w:cs="Arial"/>
                <w:bCs/>
                <w:lang w:eastAsia="x-none"/>
              </w:rPr>
              <w:t xml:space="preserve">. En tal sentido, la gestión predial no se ve paralizada durante el período de restricción. </w:t>
            </w:r>
          </w:p>
          <w:p w14:paraId="09DFD4B4" w14:textId="693280C6" w:rsidR="00085146" w:rsidRDefault="00A40456" w:rsidP="00341831">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Pr>
                <w:rFonts w:ascii="Verdana" w:eastAsia="Calibri" w:hAnsi="Verdana" w:cs="Arial"/>
                <w:sz w:val="22"/>
                <w:szCs w:val="22"/>
              </w:rPr>
              <w:t>De esta manera</w:t>
            </w:r>
            <w:r w:rsidR="00085146" w:rsidRPr="00B61452">
              <w:rPr>
                <w:rFonts w:ascii="Verdana" w:eastAsia="Calibri" w:hAnsi="Verdana" w:cs="Arial"/>
                <w:sz w:val="22"/>
                <w:szCs w:val="22"/>
              </w:rPr>
              <w:t xml:space="preserve">, </w:t>
            </w:r>
            <w:r w:rsidR="00085146" w:rsidRPr="009C69E1">
              <w:rPr>
                <w:rFonts w:ascii="Verdana" w:eastAsia="Calibri" w:hAnsi="Verdana" w:cs="Arial"/>
                <w:sz w:val="22"/>
                <w:szCs w:val="22"/>
              </w:rPr>
              <w:t xml:space="preserve">todos los trámites preparatorios y actuaciones administrativas </w:t>
            </w:r>
            <w:r w:rsidR="00085146">
              <w:rPr>
                <w:rFonts w:ascii="Verdana" w:eastAsia="Calibri" w:hAnsi="Verdana" w:cs="Arial"/>
                <w:sz w:val="22"/>
                <w:szCs w:val="22"/>
              </w:rPr>
              <w:t xml:space="preserve">de gestión predial </w:t>
            </w:r>
            <w:r w:rsidR="00085146" w:rsidRPr="00B61452">
              <w:rPr>
                <w:rFonts w:ascii="Verdana" w:eastAsia="Calibri" w:hAnsi="Verdana" w:cs="Arial"/>
                <w:sz w:val="22"/>
                <w:szCs w:val="22"/>
              </w:rPr>
              <w:t>que se surtan dentro de este procedimiento especial</w:t>
            </w:r>
            <w:r w:rsidR="00085146">
              <w:rPr>
                <w:rFonts w:ascii="Verdana" w:eastAsia="Calibri" w:hAnsi="Verdana" w:cs="Arial"/>
                <w:sz w:val="22"/>
                <w:szCs w:val="22"/>
              </w:rPr>
              <w:t xml:space="preserve">, </w:t>
            </w:r>
            <w:r w:rsidR="00085146" w:rsidRPr="00B61452">
              <w:rPr>
                <w:rFonts w:ascii="Verdana" w:eastAsia="Calibri" w:hAnsi="Verdana" w:cs="Arial"/>
                <w:sz w:val="22"/>
                <w:szCs w:val="22"/>
              </w:rPr>
              <w:t xml:space="preserve">tales como los avalúos, las ofertas de compra, las negociaciones preliminares y demás actuaciones que no impliquen la celebración de </w:t>
            </w:r>
            <w:r w:rsidR="00085146" w:rsidRPr="0044553E">
              <w:rPr>
                <w:rFonts w:ascii="Verdana" w:eastAsia="Calibri" w:hAnsi="Verdana" w:cs="Arial"/>
                <w:sz w:val="22"/>
                <w:szCs w:val="22"/>
              </w:rPr>
              <w:t>u</w:t>
            </w:r>
            <w:r w:rsidR="00085146">
              <w:rPr>
                <w:rFonts w:ascii="Verdana" w:eastAsia="Calibri" w:hAnsi="Verdana" w:cs="Arial"/>
                <w:sz w:val="22"/>
                <w:szCs w:val="22"/>
              </w:rPr>
              <w:t>na promesa de compraventa o contrato compraventa o cualquier otro contrato,</w:t>
            </w:r>
            <w:r w:rsidR="00085146" w:rsidRPr="0044553E">
              <w:rPr>
                <w:rFonts w:ascii="Verdana" w:eastAsia="Calibri" w:hAnsi="Verdana" w:cs="Arial"/>
                <w:sz w:val="22"/>
                <w:szCs w:val="22"/>
              </w:rPr>
              <w:t xml:space="preserve"> pueden adelantarse válidamente, incluso durante el período de restricción previsto en la </w:t>
            </w:r>
            <w:r w:rsidR="00085146">
              <w:rPr>
                <w:rFonts w:ascii="Verdana" w:eastAsia="Calibri" w:hAnsi="Verdana" w:cs="Arial"/>
                <w:sz w:val="22"/>
                <w:szCs w:val="22"/>
              </w:rPr>
              <w:t>L</w:t>
            </w:r>
            <w:r w:rsidR="00085146" w:rsidRPr="0044553E">
              <w:rPr>
                <w:rFonts w:ascii="Verdana" w:eastAsia="Calibri" w:hAnsi="Verdana" w:cs="Arial"/>
                <w:sz w:val="22"/>
                <w:szCs w:val="22"/>
              </w:rPr>
              <w:t xml:space="preserve">ey de </w:t>
            </w:r>
            <w:r w:rsidR="00085146">
              <w:rPr>
                <w:rFonts w:ascii="Verdana" w:eastAsia="Calibri" w:hAnsi="Verdana" w:cs="Arial"/>
                <w:sz w:val="22"/>
                <w:szCs w:val="22"/>
              </w:rPr>
              <w:t>G</w:t>
            </w:r>
            <w:r w:rsidR="00085146" w:rsidRPr="0044553E">
              <w:rPr>
                <w:rFonts w:ascii="Verdana" w:eastAsia="Calibri" w:hAnsi="Verdana" w:cs="Arial"/>
                <w:sz w:val="22"/>
                <w:szCs w:val="22"/>
              </w:rPr>
              <w:t>arantías</w:t>
            </w:r>
            <w:r w:rsidR="00085146">
              <w:rPr>
                <w:rFonts w:ascii="Verdana" w:eastAsia="Calibri" w:hAnsi="Verdana" w:cs="Arial"/>
                <w:sz w:val="22"/>
                <w:szCs w:val="22"/>
              </w:rPr>
              <w:t xml:space="preserve"> Electorales</w:t>
            </w:r>
            <w:r w:rsidR="00085146" w:rsidRPr="0044553E">
              <w:rPr>
                <w:rFonts w:ascii="Verdana" w:eastAsia="Calibri" w:hAnsi="Verdana" w:cs="Arial"/>
                <w:sz w:val="22"/>
                <w:szCs w:val="22"/>
              </w:rPr>
              <w:t>, por cuanto no configuran</w:t>
            </w:r>
            <w:r w:rsidR="00085146">
              <w:rPr>
                <w:rFonts w:ascii="Verdana" w:eastAsia="Calibri" w:hAnsi="Verdana" w:cs="Arial"/>
                <w:sz w:val="22"/>
                <w:szCs w:val="22"/>
              </w:rPr>
              <w:t xml:space="preserve"> los</w:t>
            </w:r>
            <w:r w:rsidR="00085146" w:rsidRPr="0044553E">
              <w:rPr>
                <w:rFonts w:ascii="Verdana" w:eastAsia="Calibri" w:hAnsi="Verdana" w:cs="Arial"/>
                <w:sz w:val="22"/>
                <w:szCs w:val="22"/>
              </w:rPr>
              <w:t xml:space="preserve"> supuestos de contratación </w:t>
            </w:r>
            <w:r w:rsidR="00085146">
              <w:rPr>
                <w:rFonts w:ascii="Verdana" w:eastAsia="Calibri" w:hAnsi="Verdana" w:cs="Arial"/>
                <w:sz w:val="22"/>
                <w:szCs w:val="22"/>
              </w:rPr>
              <w:t>directa al que se refiere el artículo en comento</w:t>
            </w:r>
            <w:r w:rsidR="00085146" w:rsidRPr="0044553E">
              <w:rPr>
                <w:rFonts w:ascii="Verdana" w:eastAsia="Calibri" w:hAnsi="Verdana" w:cs="Arial"/>
                <w:sz w:val="22"/>
                <w:szCs w:val="22"/>
              </w:rPr>
              <w:t>.</w:t>
            </w:r>
          </w:p>
          <w:p w14:paraId="6AEFACE5" w14:textId="77777777" w:rsidR="00085146" w:rsidRPr="000D58B6" w:rsidRDefault="00085146" w:rsidP="00341831">
            <w:pPr>
              <w:spacing w:after="120" w:line="276" w:lineRule="auto"/>
              <w:ind w:firstLine="709"/>
              <w:jc w:val="both"/>
              <w:rPr>
                <w:rFonts w:ascii="Verdana" w:hAnsi="Verdana" w:cs="Arial"/>
                <w:bCs/>
                <w:lang w:eastAsia="es-CO"/>
              </w:rPr>
            </w:pPr>
            <w:r>
              <w:rPr>
                <w:rFonts w:ascii="Verdana" w:eastAsia="Times New Roman" w:hAnsi="Verdana" w:cs="Arial"/>
              </w:rPr>
              <w:t>E</w:t>
            </w:r>
            <w:r w:rsidRPr="00FB77DC">
              <w:rPr>
                <w:rFonts w:ascii="Verdana" w:eastAsia="Times New Roman" w:hAnsi="Verdana" w:cs="Arial"/>
              </w:rPr>
              <w:t xml:space="preserve">n ese orden de ideas, corresponde a la entidad verificar la naturaleza jurídica de las actuaciones </w:t>
            </w:r>
            <w:r>
              <w:rPr>
                <w:rFonts w:ascii="Verdana" w:eastAsia="Times New Roman" w:hAnsi="Verdana" w:cs="Arial"/>
              </w:rPr>
              <w:t xml:space="preserve">preliminares </w:t>
            </w:r>
            <w:r w:rsidRPr="00FB77DC">
              <w:rPr>
                <w:rFonts w:ascii="Verdana" w:eastAsia="Times New Roman" w:hAnsi="Verdana" w:cs="Arial"/>
              </w:rPr>
              <w:t xml:space="preserve">de gestión predial que se adelantarán en el marco </w:t>
            </w:r>
            <w:r>
              <w:rPr>
                <w:rFonts w:ascii="Verdana" w:eastAsia="Times New Roman" w:hAnsi="Verdana" w:cs="Arial"/>
              </w:rPr>
              <w:t>del</w:t>
            </w:r>
            <w:r w:rsidRPr="00FB77DC">
              <w:rPr>
                <w:rFonts w:ascii="Verdana" w:eastAsia="Times New Roman" w:hAnsi="Verdana" w:cs="Arial"/>
              </w:rPr>
              <w:t xml:space="preserve"> procedimiento administrativo</w:t>
            </w:r>
            <w:r>
              <w:rPr>
                <w:rFonts w:ascii="Verdana" w:eastAsia="Times New Roman" w:hAnsi="Verdana" w:cs="Arial"/>
              </w:rPr>
              <w:t xml:space="preserve"> referido</w:t>
            </w:r>
            <w:r w:rsidRPr="00FB77DC">
              <w:rPr>
                <w:rFonts w:ascii="Verdana" w:eastAsia="Times New Roman" w:hAnsi="Verdana" w:cs="Arial"/>
              </w:rPr>
              <w:t>, precis</w:t>
            </w:r>
            <w:r>
              <w:rPr>
                <w:rFonts w:ascii="Verdana" w:eastAsia="Times New Roman" w:hAnsi="Verdana" w:cs="Arial"/>
              </w:rPr>
              <w:t>ando</w:t>
            </w:r>
            <w:r w:rsidRPr="00FB77DC">
              <w:rPr>
                <w:rFonts w:ascii="Verdana" w:eastAsia="Times New Roman" w:hAnsi="Verdana" w:cs="Arial"/>
              </w:rPr>
              <w:t xml:space="preserve"> que dichas </w:t>
            </w:r>
            <w:r w:rsidRPr="00FB77DC">
              <w:rPr>
                <w:rFonts w:ascii="Verdana" w:eastAsia="Times New Roman" w:hAnsi="Verdana" w:cs="Arial"/>
              </w:rPr>
              <w:lastRenderedPageBreak/>
              <w:t>actuaciones no implican, por sí mismas, la celebración directa de un contrato estatal</w:t>
            </w:r>
            <w:r w:rsidRPr="00724D86">
              <w:rPr>
                <w:rFonts w:ascii="Verdana" w:eastAsia="Times New Roman" w:hAnsi="Verdana" w:cs="Arial"/>
                <w:lang w:val="es-ES"/>
              </w:rPr>
              <w:t>. Esta diferenciación resulta esencial, en la medida en que la prohibici</w:t>
            </w:r>
            <w:r>
              <w:rPr>
                <w:rFonts w:ascii="Verdana" w:eastAsia="Times New Roman" w:hAnsi="Verdana" w:cs="Arial"/>
                <w:lang w:val="es-ES"/>
              </w:rPr>
              <w:t>ón</w:t>
            </w:r>
            <w:r w:rsidRPr="00724D86">
              <w:rPr>
                <w:rFonts w:ascii="Verdana" w:eastAsia="Times New Roman" w:hAnsi="Verdana" w:cs="Arial"/>
                <w:lang w:val="es-ES"/>
              </w:rPr>
              <w:t xml:space="preserve"> prevista en el artículo 33 de la Ley 996 de 2005 se</w:t>
            </w:r>
            <w:r w:rsidRPr="00BC1926">
              <w:rPr>
                <w:rFonts w:ascii="Verdana" w:eastAsia="Times New Roman" w:hAnsi="Verdana" w:cs="Arial"/>
                <w:lang w:val="es-ES"/>
              </w:rPr>
              <w:t xml:space="preserve"> </w:t>
            </w:r>
            <w:r>
              <w:rPr>
                <w:rFonts w:ascii="Verdana" w:eastAsia="Times New Roman" w:hAnsi="Verdana" w:cs="Arial"/>
                <w:lang w:val="es-ES"/>
              </w:rPr>
              <w:t xml:space="preserve">configura </w:t>
            </w:r>
            <w:r w:rsidRPr="001C7B22">
              <w:rPr>
                <w:rFonts w:ascii="Verdana" w:eastAsia="Times New Roman" w:hAnsi="Verdana" w:cs="Arial"/>
                <w:lang w:val="es-ES"/>
              </w:rPr>
              <w:t xml:space="preserve">cuando </w:t>
            </w:r>
            <w:r>
              <w:rPr>
                <w:rFonts w:ascii="Verdana" w:eastAsia="Times New Roman" w:hAnsi="Verdana" w:cs="Arial"/>
                <w:lang w:val="es-ES"/>
              </w:rPr>
              <w:t>se refiera a la celebración de un</w:t>
            </w:r>
            <w:r w:rsidRPr="001C7B22">
              <w:rPr>
                <w:rFonts w:ascii="Verdana" w:eastAsia="Times New Roman" w:hAnsi="Verdana" w:cs="Arial"/>
                <w:lang w:val="es-ES"/>
              </w:rPr>
              <w:t xml:space="preserve"> contrato en sentido estricto</w:t>
            </w:r>
            <w:r w:rsidRPr="00724D86">
              <w:rPr>
                <w:rFonts w:ascii="Verdana" w:eastAsia="Times New Roman" w:hAnsi="Verdana" w:cs="Arial"/>
                <w:lang w:val="es-ES"/>
              </w:rPr>
              <w:t>, mas no frente a actuaciones administrativas, que no genera</w:t>
            </w:r>
            <w:r>
              <w:rPr>
                <w:rFonts w:ascii="Verdana" w:eastAsia="Times New Roman" w:hAnsi="Verdana" w:cs="Arial"/>
                <w:lang w:val="es-ES"/>
              </w:rPr>
              <w:t>n propiamente u</w:t>
            </w:r>
            <w:r w:rsidRPr="00724D86">
              <w:rPr>
                <w:rFonts w:ascii="Verdana" w:eastAsia="Times New Roman" w:hAnsi="Verdana" w:cs="Arial"/>
                <w:lang w:val="es-ES"/>
              </w:rPr>
              <w:t xml:space="preserve">na relación contractual entre la entidad </w:t>
            </w:r>
            <w:r>
              <w:rPr>
                <w:rFonts w:ascii="Verdana" w:eastAsia="Times New Roman" w:hAnsi="Verdana" w:cs="Arial"/>
                <w:lang w:val="es-ES"/>
              </w:rPr>
              <w:t xml:space="preserve">y el particular. </w:t>
            </w:r>
          </w:p>
          <w:p w14:paraId="07C8AD2E" w14:textId="77777777" w:rsidR="00085146" w:rsidRDefault="00085146" w:rsidP="00341831">
            <w:pPr>
              <w:tabs>
                <w:tab w:val="left" w:pos="709"/>
              </w:tabs>
              <w:spacing w:before="120" w:after="120" w:line="276" w:lineRule="auto"/>
              <w:ind w:firstLine="709"/>
              <w:jc w:val="both"/>
              <w:rPr>
                <w:rFonts w:ascii="Verdana" w:eastAsia="Calibri" w:hAnsi="Verdana" w:cs="Arial"/>
                <w:bCs/>
                <w:color w:val="000000" w:themeColor="text1"/>
              </w:rPr>
            </w:pPr>
            <w:r w:rsidRPr="00494FAF">
              <w:rPr>
                <w:rFonts w:ascii="Verdana" w:eastAsia="Times New Roman" w:hAnsi="Verdana" w:cs="Arial"/>
                <w:bCs/>
                <w:lang w:eastAsia="x-none"/>
              </w:rPr>
              <w:t xml:space="preserve">No obstante, frente a la celebración de una promesa de compraventa o de un contrato de compraventa, sí resulta aplicable la restricción prevista en el citado artículo 33, razón por la cual se reitera la postura sostenida en los conceptos C-1512 y C-1529, en tanto dichos negocios jurídicos comportan la celebración </w:t>
            </w:r>
            <w:r>
              <w:rPr>
                <w:rFonts w:ascii="Verdana" w:eastAsia="Times New Roman" w:hAnsi="Verdana" w:cs="Arial"/>
                <w:bCs/>
                <w:lang w:eastAsia="x-none"/>
              </w:rPr>
              <w:t xml:space="preserve">directa </w:t>
            </w:r>
            <w:r w:rsidRPr="00494FAF">
              <w:rPr>
                <w:rFonts w:ascii="Verdana" w:eastAsia="Times New Roman" w:hAnsi="Verdana" w:cs="Arial"/>
                <w:bCs/>
                <w:lang w:eastAsia="x-none"/>
              </w:rPr>
              <w:t>de un contrato estatal</w:t>
            </w:r>
            <w:r>
              <w:rPr>
                <w:rFonts w:ascii="Verdana" w:eastAsia="Times New Roman" w:hAnsi="Verdana" w:cs="Arial"/>
                <w:bCs/>
                <w:lang w:eastAsia="x-none"/>
              </w:rPr>
              <w:t xml:space="preserve">. </w:t>
            </w:r>
            <w:r w:rsidRPr="00A00771">
              <w:rPr>
                <w:rFonts w:ascii="Verdana" w:eastAsia="Calibri" w:hAnsi="Verdana" w:cs="Arial"/>
                <w:lang w:eastAsia="es-CO"/>
              </w:rPr>
              <w:t>En efecto,</w:t>
            </w:r>
            <w:r>
              <w:rPr>
                <w:rFonts w:ascii="Verdana" w:eastAsia="Calibri" w:hAnsi="Verdana" w:cs="Arial"/>
                <w:lang w:eastAsia="es-CO"/>
              </w:rPr>
              <w:t xml:space="preserve"> en</w:t>
            </w:r>
            <w:r w:rsidRPr="00A00771">
              <w:rPr>
                <w:rFonts w:ascii="Verdana" w:eastAsia="Calibri" w:hAnsi="Verdana" w:cs="Arial"/>
                <w:lang w:eastAsia="es-CO"/>
              </w:rPr>
              <w:t xml:space="preserve"> la promesa de compraventa </w:t>
            </w:r>
            <w:r>
              <w:rPr>
                <w:rFonts w:ascii="Verdana" w:eastAsia="Calibri" w:hAnsi="Verdana" w:cs="Arial"/>
              </w:rPr>
              <w:t>y</w:t>
            </w:r>
            <w:r w:rsidRPr="00A00771">
              <w:rPr>
                <w:rFonts w:ascii="Verdana" w:eastAsia="Calibri" w:hAnsi="Verdana" w:cs="Arial"/>
                <w:lang w:eastAsia="es-CO"/>
              </w:rPr>
              <w:t xml:space="preserve"> </w:t>
            </w:r>
            <w:r>
              <w:rPr>
                <w:rFonts w:ascii="Verdana" w:eastAsia="Calibri" w:hAnsi="Verdana" w:cs="Arial"/>
                <w:lang w:eastAsia="es-CO"/>
              </w:rPr>
              <w:t xml:space="preserve">en </w:t>
            </w:r>
            <w:r w:rsidRPr="00A00771">
              <w:rPr>
                <w:rFonts w:ascii="Verdana" w:eastAsia="Calibri" w:hAnsi="Verdana" w:cs="Arial"/>
                <w:lang w:eastAsia="es-CO"/>
              </w:rPr>
              <w:t xml:space="preserve">el contrato de compraventa </w:t>
            </w:r>
            <w:r>
              <w:rPr>
                <w:rFonts w:ascii="Verdana" w:eastAsia="Times New Roman" w:hAnsi="Verdana" w:cs="Arial"/>
                <w:lang w:val="es-ES" w:eastAsia="es-ES_tradnl"/>
              </w:rPr>
              <w:t xml:space="preserve">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w:t>
            </w:r>
            <w:r>
              <w:rPr>
                <w:rFonts w:ascii="Verdana" w:eastAsia="Times New Roman" w:hAnsi="Verdana" w:cs="Arial"/>
                <w:i/>
                <w:iCs/>
                <w:lang w:val="es-ES" w:eastAsia="es-ES_tradnl"/>
              </w:rPr>
              <w:t>ibidem</w:t>
            </w:r>
            <w:r>
              <w:rPr>
                <w:rFonts w:ascii="Verdana" w:eastAsia="Times New Roman" w:hAnsi="Verdana" w:cs="Arial"/>
                <w:lang w:val="es-ES" w:eastAsia="es-ES_tradnl"/>
              </w:rPr>
              <w:t xml:space="preserve"> y en armonía con lo dispuesto por el artículo 1 de la Ley 1150 de 2007. Estos negocios jurídicos </w:t>
            </w:r>
            <w:r w:rsidRPr="00A00771">
              <w:rPr>
                <w:rFonts w:ascii="Verdana" w:eastAsia="Calibri" w:hAnsi="Verdana" w:cs="Arial"/>
                <w:lang w:eastAsia="es-CO"/>
              </w:rPr>
              <w:t>constituyen formas de contratación directa, en cuanto su celebración se realiza con un sujeto determinado, sin convocatoria pública y sin posibilidad de concurrencia de una pluralidad de oferentes.</w:t>
            </w:r>
          </w:p>
          <w:p w14:paraId="38A8650D" w14:textId="77777777" w:rsidR="00085146" w:rsidRDefault="00085146" w:rsidP="00341831">
            <w:pPr>
              <w:spacing w:line="276" w:lineRule="auto"/>
              <w:ind w:right="51" w:firstLine="737"/>
              <w:jc w:val="both"/>
              <w:rPr>
                <w:rFonts w:ascii="Verdana" w:eastAsia="Calibri" w:hAnsi="Verdana" w:cs="Arial"/>
                <w:bCs/>
                <w:color w:val="000000" w:themeColor="text1"/>
              </w:rPr>
            </w:pPr>
          </w:p>
        </w:tc>
      </w:tr>
    </w:tbl>
    <w:p w14:paraId="47E6D946" w14:textId="77777777" w:rsidR="00085146" w:rsidRDefault="00085146" w:rsidP="00085146">
      <w:pPr>
        <w:tabs>
          <w:tab w:val="left" w:pos="142"/>
          <w:tab w:val="left" w:pos="284"/>
        </w:tabs>
        <w:spacing w:after="0" w:line="276" w:lineRule="auto"/>
        <w:jc w:val="both"/>
        <w:rPr>
          <w:rFonts w:ascii="Verdana" w:eastAsia="Century Gothic" w:hAnsi="Verdana" w:cs="Century Gothic"/>
          <w:b/>
          <w:bCs/>
          <w:lang w:val="es-ES"/>
        </w:rPr>
      </w:pPr>
    </w:p>
    <w:bookmarkEnd w:id="1"/>
    <w:p w14:paraId="7E2A30B0" w14:textId="77777777" w:rsidR="00085146" w:rsidRDefault="00085146" w:rsidP="0008514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Razones de la respuesta:</w:t>
      </w:r>
    </w:p>
    <w:p w14:paraId="339ABD1C" w14:textId="77777777" w:rsidR="00085146" w:rsidRDefault="00085146" w:rsidP="00085146">
      <w:pPr>
        <w:spacing w:after="0" w:line="276" w:lineRule="auto"/>
        <w:jc w:val="both"/>
        <w:rPr>
          <w:rFonts w:ascii="Verdana" w:eastAsia="Calibri" w:hAnsi="Verdana" w:cs="Arial"/>
          <w:color w:val="7030A0"/>
          <w:lang w:val="es-ES"/>
        </w:rPr>
      </w:pPr>
    </w:p>
    <w:p w14:paraId="5255A7AC" w14:textId="77777777" w:rsidR="00085146" w:rsidRDefault="00085146" w:rsidP="00085146">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p>
    <w:p w14:paraId="3B0E5CC8" w14:textId="77777777" w:rsidR="00085146" w:rsidRDefault="00085146" w:rsidP="00085146">
      <w:pPr>
        <w:spacing w:after="0" w:line="276" w:lineRule="auto"/>
        <w:jc w:val="both"/>
        <w:rPr>
          <w:rFonts w:ascii="Verdana" w:eastAsia="Calibri" w:hAnsi="Verdana" w:cs="Arial"/>
          <w:lang w:val="es-ES"/>
        </w:rPr>
      </w:pPr>
    </w:p>
    <w:p w14:paraId="310A42B1" w14:textId="77777777" w:rsidR="00085146" w:rsidRDefault="00085146" w:rsidP="00085146">
      <w:pPr>
        <w:tabs>
          <w:tab w:val="left" w:pos="426"/>
        </w:tabs>
        <w:spacing w:after="120" w:line="276" w:lineRule="auto"/>
        <w:jc w:val="both"/>
        <w:rPr>
          <w:rFonts w:ascii="Verdana" w:eastAsia="Times New Roman" w:hAnsi="Verdana" w:cs="Arial"/>
          <w:lang w:val="es-ES" w:eastAsia="es-ES_tradnl"/>
        </w:rPr>
      </w:pPr>
      <w:r>
        <w:rPr>
          <w:rFonts w:ascii="Verdana" w:eastAsia="Calibri" w:hAnsi="Verdana" w:cs="Arial"/>
        </w:rPr>
        <w:t xml:space="preserve">i. </w:t>
      </w:r>
      <w:r w:rsidRPr="007A60E6">
        <w:rPr>
          <w:rFonts w:ascii="Verdana" w:eastAsia="Calibri" w:hAnsi="Verdana" w:cs="Arial"/>
          <w:color w:val="000000" w:themeColor="text1"/>
          <w:lang w:val="es-ES_tradnl"/>
        </w:rPr>
        <w:t>Como punto de partida,</w:t>
      </w:r>
      <w:r>
        <w:rPr>
          <w:rFonts w:ascii="Verdana" w:eastAsia="Calibri" w:hAnsi="Verdana" w:cs="Arial"/>
          <w:color w:val="000000" w:themeColor="text1"/>
          <w:lang w:val="es-ES_tradnl"/>
        </w:rPr>
        <w:t xml:space="preserve"> resulta </w:t>
      </w:r>
      <w:r w:rsidRPr="007A60E6">
        <w:rPr>
          <w:rFonts w:ascii="Verdana" w:eastAsia="Calibri" w:hAnsi="Verdana" w:cs="Arial"/>
          <w:color w:val="000000" w:themeColor="text1"/>
          <w:lang w:val="es-ES_tradnl"/>
        </w:rPr>
        <w:t>pertinente</w:t>
      </w:r>
      <w:r>
        <w:rPr>
          <w:rFonts w:ascii="Verdana" w:eastAsia="Calibri" w:hAnsi="Verdana" w:cs="Arial"/>
          <w:color w:val="000000" w:themeColor="text1"/>
          <w:lang w:val="es-ES_tradnl"/>
        </w:rPr>
        <w:t xml:space="preserve"> reiterar </w:t>
      </w:r>
      <w:r>
        <w:rPr>
          <w:rFonts w:ascii="Verdana" w:eastAsia="Calibri" w:hAnsi="Verdana" w:cs="Arial"/>
          <w:bCs/>
          <w:color w:val="000000" w:themeColor="text1"/>
        </w:rPr>
        <w:t>lo expuesto sobre</w:t>
      </w:r>
      <w:r w:rsidRPr="003E5E57">
        <w:rPr>
          <w:rFonts w:ascii="Verdana" w:eastAsia="Calibri" w:hAnsi="Verdana" w:cs="Arial"/>
          <w:bCs/>
          <w:color w:val="000000" w:themeColor="text1"/>
        </w:rPr>
        <w:t xml:space="preserve"> alcance</w:t>
      </w:r>
      <w:r>
        <w:rPr>
          <w:rFonts w:ascii="Verdana" w:eastAsia="Calibri" w:hAnsi="Verdana" w:cs="Arial"/>
          <w:bCs/>
          <w:color w:val="000000" w:themeColor="text1"/>
        </w:rPr>
        <w:t xml:space="preserve"> </w:t>
      </w:r>
      <w:r w:rsidRPr="003E5E57">
        <w:rPr>
          <w:rFonts w:ascii="Verdana" w:eastAsia="Calibri" w:hAnsi="Verdana" w:cs="Arial"/>
          <w:bCs/>
          <w:color w:val="000000" w:themeColor="text1"/>
        </w:rPr>
        <w:t xml:space="preserve">del concepto </w:t>
      </w:r>
      <w:r w:rsidRPr="003E5E57">
        <w:rPr>
          <w:rFonts w:ascii="Verdana" w:eastAsia="Calibri" w:hAnsi="Verdana" w:cs="Arial"/>
          <w:color w:val="000000"/>
          <w:lang w:val="es-ES"/>
        </w:rPr>
        <w:t>de</w:t>
      </w:r>
      <w:r>
        <w:rPr>
          <w:rFonts w:ascii="Verdana" w:eastAsia="Calibri" w:hAnsi="Verdana" w:cs="Arial"/>
          <w:color w:val="000000"/>
          <w:lang w:val="es-ES"/>
        </w:rPr>
        <w:t xml:space="preserve">l artículo </w:t>
      </w:r>
      <w:r>
        <w:rPr>
          <w:rFonts w:ascii="Verdana" w:eastAsia="Times New Roman" w:hAnsi="Verdana" w:cs="Arial"/>
          <w:bCs/>
          <w:lang w:val="es-MX" w:eastAsia="x-none"/>
        </w:rPr>
        <w:t>33 de la Ley 996 de 2005</w:t>
      </w:r>
      <w:r>
        <w:rPr>
          <w:rFonts w:ascii="Verdana" w:eastAsia="Calibri" w:hAnsi="Verdana" w:cs="Arial"/>
          <w:color w:val="000000"/>
          <w:lang w:val="es-ES"/>
        </w:rPr>
        <w:t xml:space="preserve"> al que se hizo referencia en los conceptos C-1512 y C-1529 de 2025, con la finalidad de determinar el marco que delimita su aplicación</w:t>
      </w:r>
      <w:r>
        <w:rPr>
          <w:rFonts w:ascii="Verdana" w:eastAsia="Times New Roman" w:hAnsi="Verdana" w:cs="Arial"/>
          <w:lang w:val="es-ES" w:eastAsia="es-ES_tradnl"/>
        </w:rPr>
        <w:t xml:space="preserve">. </w:t>
      </w:r>
    </w:p>
    <w:p w14:paraId="71AD5890" w14:textId="77777777" w:rsidR="00085146" w:rsidRDefault="00085146" w:rsidP="00085146">
      <w:pPr>
        <w:tabs>
          <w:tab w:val="left" w:pos="426"/>
        </w:tabs>
        <w:spacing w:after="120" w:line="276" w:lineRule="auto"/>
        <w:ind w:firstLine="709"/>
        <w:jc w:val="both"/>
        <w:rPr>
          <w:rFonts w:ascii="Verdana" w:eastAsia="Calibri" w:hAnsi="Verdana" w:cs="Arial"/>
        </w:rPr>
      </w:pPr>
      <w:r w:rsidRPr="0066044D">
        <w:rPr>
          <w:rFonts w:ascii="Verdana" w:eastAsia="Calibri" w:hAnsi="Verdana" w:cs="Arial"/>
          <w:color w:val="000000"/>
          <w:lang w:val="es-ES"/>
        </w:rPr>
        <w:t xml:space="preserve">De esta manera, es preciso señalar que </w:t>
      </w:r>
      <w:bookmarkStart w:id="2" w:name="_Hlk100679383"/>
      <w:r>
        <w:rPr>
          <w:rFonts w:ascii="Verdana" w:eastAsia="Calibri" w:hAnsi="Verdana" w:cs="Arial"/>
        </w:rPr>
        <w:t xml:space="preserve">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w:t>
      </w:r>
      <w:r>
        <w:rPr>
          <w:rFonts w:ascii="Verdana" w:eastAsia="Calibri" w:hAnsi="Verdana" w:cs="Arial"/>
        </w:rPr>
        <w:lastRenderedPageBreak/>
        <w:t>puentes, carreteras, infraestructura energética y de comunicaciones, en caso de que hayan sido objeto de atentados, acciones terroristas, desastres naturales o casos de fuerza mayor, y los que deban realizar las entidades sanitarias y hospitalarias”</w:t>
      </w:r>
      <w:r>
        <w:rPr>
          <w:vertAlign w:val="superscript"/>
        </w:rPr>
        <w:footnoteReference w:id="1"/>
      </w:r>
      <w:r>
        <w:rPr>
          <w:rFonts w:ascii="Verdana" w:eastAsia="Calibri" w:hAnsi="Verdana" w:cs="Arial"/>
        </w:rPr>
        <w:t>.</w:t>
      </w:r>
      <w:bookmarkEnd w:id="2"/>
      <w:r>
        <w:rPr>
          <w:rFonts w:ascii="Verdana" w:eastAsia="Arial" w:hAnsi="Verdana" w:cs="Arial"/>
          <w:lang w:val="es-ES" w:eastAsia="es-ES" w:bidi="es-ES"/>
        </w:rPr>
        <w:t xml:space="preserve"> </w:t>
      </w:r>
      <w:bookmarkStart w:id="4" w:name="_Hlk78820161"/>
    </w:p>
    <w:p w14:paraId="222B8B78" w14:textId="77777777" w:rsidR="00085146" w:rsidRPr="00EA6DF5" w:rsidRDefault="00085146" w:rsidP="00085146">
      <w:pPr>
        <w:spacing w:after="120" w:line="276" w:lineRule="auto"/>
        <w:ind w:firstLine="708"/>
        <w:jc w:val="both"/>
        <w:rPr>
          <w:rFonts w:ascii="Verdana" w:eastAsia="Calibri" w:hAnsi="Verdana" w:cs="Arial"/>
        </w:rPr>
      </w:pPr>
      <w:r>
        <w:rPr>
          <w:rFonts w:ascii="Verdana" w:eastAsia="Times New Roman" w:hAnsi="Verdana" w:cs="Arial"/>
          <w:bCs/>
          <w:lang w:val="es-MX" w:eastAsia="x-none"/>
        </w:rPr>
        <w:t xml:space="preserve">Respecto del ámbito material de la prohibición contenida en el artículo 33 de la ley 996 de 2005, está delimitado por la expresión </w:t>
      </w:r>
      <w:r>
        <w:rPr>
          <w:rFonts w:ascii="Verdana" w:eastAsia="Calibri" w:hAnsi="Verdana" w:cs="Arial"/>
          <w:bCs/>
          <w:sz w:val="20"/>
          <w:szCs w:val="20"/>
          <w:lang w:val="es-MX"/>
        </w:rPr>
        <w:t>“</w:t>
      </w:r>
      <w:r>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Pr>
          <w:rFonts w:ascii="Verdana" w:eastAsia="Times New Roman" w:hAnsi="Verdana" w:cs="Arial"/>
          <w:bCs/>
          <w:lang w:val="es-MX" w:eastAsia="x-none"/>
        </w:rPr>
        <w:t xml:space="preserve">. </w:t>
      </w:r>
      <w:r>
        <w:rPr>
          <w:rFonts w:ascii="Verdana" w:eastAsia="Times New Roman" w:hAnsi="Verdana" w:cs="Arial"/>
          <w:lang w:val="es-MX" w:eastAsia="es-CO"/>
        </w:rPr>
        <w:t xml:space="preserve"> A propósito de </w:t>
      </w:r>
      <w:r>
        <w:rPr>
          <w:rFonts w:ascii="Verdana" w:eastAsia="Times New Roman" w:hAnsi="Verdana" w:cs="Arial"/>
          <w:lang w:eastAsia="es-CO"/>
        </w:rPr>
        <w:t>esta restricción de la Ley de Garantías Electorales, la Sala de Consulta y Servicio Civil del Consejo de Estado ha considerado que:</w:t>
      </w:r>
    </w:p>
    <w:p w14:paraId="7B923782" w14:textId="77777777" w:rsidR="00085146" w:rsidRDefault="00085146" w:rsidP="00085146">
      <w:pPr>
        <w:spacing w:after="0" w:line="276" w:lineRule="auto"/>
        <w:ind w:left="708" w:right="709"/>
        <w:jc w:val="both"/>
        <w:rPr>
          <w:rFonts w:ascii="Verdana" w:eastAsia="Calibri" w:hAnsi="Verdana" w:cs="Arial"/>
          <w:lang w:val="es-MX"/>
        </w:rPr>
      </w:pPr>
    </w:p>
    <w:p w14:paraId="336869EB" w14:textId="77777777" w:rsidR="00085146" w:rsidRDefault="00085146" w:rsidP="00085146">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eastAsia="Times New Roman" w:hAnsi="Verdana" w:cs="Arial"/>
          <w:sz w:val="20"/>
          <w:szCs w:val="20"/>
          <w:vertAlign w:val="superscript"/>
          <w:lang w:eastAsia="es-CO"/>
        </w:rPr>
        <w:footnoteReference w:id="2"/>
      </w:r>
      <w:r>
        <w:rPr>
          <w:rFonts w:ascii="Verdana" w:eastAsia="Calibri" w:hAnsi="Verdana" w:cs="Arial"/>
          <w:sz w:val="20"/>
          <w:szCs w:val="20"/>
          <w:lang w:val="es-MX"/>
        </w:rPr>
        <w:t>.</w:t>
      </w:r>
    </w:p>
    <w:p w14:paraId="47B4213B" w14:textId="77777777" w:rsidR="00085146" w:rsidRDefault="00085146" w:rsidP="00085146">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 xml:space="preserve">Esta Sala ha entendido que para los efectos de la ley de garantías, y dada su finalidad, el enunciado ´contratación directa´ es sinónimo de cualquier sistema que no implique convocatoria pública y posibilidad de pluralidad de oferentes, y que, además, </w:t>
      </w:r>
      <w:r w:rsidRPr="008601ED">
        <w:rPr>
          <w:rFonts w:ascii="Verdana" w:eastAsia="Calibri" w:hAnsi="Verdana" w:cs="Arial"/>
          <w:b/>
          <w:bCs/>
          <w:i/>
          <w:iCs/>
          <w:sz w:val="20"/>
          <w:szCs w:val="20"/>
          <w:lang w:val="es-MX"/>
        </w:rPr>
        <w:t>no necesariamente hace referencia al procedimiento especial regulado por la ley de contratación estatal, sino a cualquier otro que prescinda de un proceso de licitación pública o concurso</w:t>
      </w:r>
      <w:r>
        <w:rPr>
          <w:rFonts w:ascii="Verdana" w:eastAsia="Times New Roman" w:hAnsi="Verdana" w:cs="Arial"/>
          <w:sz w:val="20"/>
          <w:szCs w:val="20"/>
          <w:vertAlign w:val="superscript"/>
          <w:lang w:val="es-MX"/>
        </w:rPr>
        <w:footnoteReference w:id="3"/>
      </w:r>
      <w:r>
        <w:rPr>
          <w:rFonts w:ascii="Verdana" w:eastAsia="Times New Roman" w:hAnsi="Verdana" w:cs="Arial"/>
          <w:sz w:val="20"/>
          <w:szCs w:val="20"/>
          <w:vertAlign w:val="superscript"/>
          <w:lang w:val="es-MX"/>
        </w:rPr>
        <w:t>.</w:t>
      </w:r>
      <w:r>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Times New Roman" w:hAnsi="Verdana" w:cs="Arial"/>
          <w:sz w:val="20"/>
          <w:szCs w:val="20"/>
          <w:vertAlign w:val="superscript"/>
          <w:lang w:eastAsia="es-CO"/>
        </w:rPr>
        <w:footnoteReference w:id="4"/>
      </w:r>
      <w:r>
        <w:rPr>
          <w:rFonts w:ascii="Verdana" w:eastAsia="Calibri" w:hAnsi="Verdana" w:cs="Arial"/>
          <w:sz w:val="20"/>
          <w:szCs w:val="20"/>
          <w:lang w:val="es-MX"/>
        </w:rPr>
        <w:t>.[Énfasis por fuera de texto]</w:t>
      </w:r>
    </w:p>
    <w:p w14:paraId="646BAB80" w14:textId="77777777" w:rsidR="00085146" w:rsidRDefault="00085146" w:rsidP="00085146">
      <w:pPr>
        <w:shd w:val="clear" w:color="auto" w:fill="FFFFFF"/>
        <w:spacing w:after="0" w:line="276" w:lineRule="auto"/>
        <w:ind w:firstLine="709"/>
        <w:jc w:val="both"/>
        <w:rPr>
          <w:rFonts w:ascii="Verdana" w:eastAsia="Times New Roman" w:hAnsi="Verdana" w:cs="Arial"/>
          <w:lang w:eastAsia="x-none"/>
        </w:rPr>
      </w:pPr>
    </w:p>
    <w:p w14:paraId="119F29E4" w14:textId="77777777" w:rsidR="00085146" w:rsidRDefault="00085146" w:rsidP="00085146">
      <w:pPr>
        <w:spacing w:after="120" w:line="276" w:lineRule="auto"/>
        <w:ind w:firstLine="708"/>
        <w:jc w:val="both"/>
        <w:rPr>
          <w:rFonts w:ascii="Verdana" w:eastAsia="Times New Roman" w:hAnsi="Verdana" w:cs="Arial"/>
          <w:bCs/>
          <w:lang w:eastAsia="x-none"/>
        </w:rPr>
      </w:pPr>
      <w:r>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Pr>
          <w:rFonts w:ascii="Verdana" w:eastAsia="Times New Roman" w:hAnsi="Verdana" w:cs="Arial"/>
          <w:lang w:val="es-ES_tradnl" w:eastAsia="x-none"/>
        </w:rPr>
        <w:t xml:space="preserve">y la mínima cuantía </w:t>
      </w:r>
      <w:r>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Pr>
          <w:rFonts w:ascii="Verdana" w:eastAsia="Times New Roman" w:hAnsi="Verdana" w:cs="Arial"/>
          <w:vertAlign w:val="superscript"/>
          <w:lang w:val="en-GB" w:eastAsia="x-none"/>
        </w:rPr>
        <w:footnoteReference w:id="5"/>
      </w:r>
      <w:r>
        <w:rPr>
          <w:rFonts w:ascii="Verdana" w:eastAsia="Times New Roman" w:hAnsi="Verdana" w:cs="Arial"/>
          <w:lang w:eastAsia="x-none"/>
        </w:rPr>
        <w:t xml:space="preserve"> y sistematizó las causales de contratación directa</w:t>
      </w:r>
      <w:r>
        <w:rPr>
          <w:rFonts w:ascii="Verdana" w:eastAsia="Times New Roman" w:hAnsi="Verdana" w:cs="Arial"/>
          <w:vertAlign w:val="superscript"/>
          <w:lang w:val="en-GB" w:eastAsia="x-none"/>
        </w:rPr>
        <w:footnoteReference w:id="6"/>
      </w:r>
      <w:r>
        <w:rPr>
          <w:rFonts w:ascii="Verdana" w:eastAsia="Times New Roman" w:hAnsi="Verdana" w:cs="Arial"/>
          <w:lang w:eastAsia="x-none"/>
        </w:rPr>
        <w:t xml:space="preserve">, </w:t>
      </w:r>
      <w:r>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2216C1E2" w14:textId="77777777" w:rsidR="00085146" w:rsidRDefault="00085146" w:rsidP="00085146">
      <w:pPr>
        <w:spacing w:after="120" w:line="276" w:lineRule="auto"/>
        <w:ind w:firstLine="708"/>
        <w:jc w:val="both"/>
        <w:rPr>
          <w:rFonts w:ascii="Verdana" w:eastAsia="Times New Roman" w:hAnsi="Verdana" w:cs="Arial"/>
          <w:lang w:val="es-MX" w:eastAsia="x-none"/>
        </w:rPr>
      </w:pPr>
      <w:r>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Pr>
          <w:rFonts w:ascii="Verdana" w:eastAsia="Times New Roman" w:hAnsi="Verdana" w:cs="Arial"/>
          <w:lang w:eastAsia="x-none"/>
        </w:rPr>
        <w:t>contratación directa</w:t>
      </w:r>
      <w:r>
        <w:rPr>
          <w:rFonts w:ascii="Verdana" w:eastAsia="Times New Roman" w:hAnsi="Verdana" w:cs="Arial"/>
          <w:lang w:eastAsia="en-GB"/>
        </w:rPr>
        <w:t>”</w:t>
      </w:r>
      <w:r>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Pr>
          <w:rFonts w:ascii="Verdana" w:eastAsia="Times New Roman" w:hAnsi="Verdana" w:cs="Arial"/>
          <w:vertAlign w:val="superscript"/>
          <w:lang w:val="en-GB" w:eastAsia="x-none"/>
        </w:rPr>
        <w:footnoteReference w:id="7"/>
      </w:r>
      <w:r>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Pr>
          <w:rFonts w:ascii="Verdana" w:eastAsia="Times New Roman" w:hAnsi="Verdana" w:cs="Arial"/>
          <w:lang w:eastAsia="x-none"/>
        </w:rPr>
        <w:t xml:space="preserve">. </w:t>
      </w:r>
    </w:p>
    <w:p w14:paraId="5E18BB77" w14:textId="77777777" w:rsidR="00085146" w:rsidRDefault="00085146" w:rsidP="00085146">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E</w:t>
      </w:r>
      <w:r>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w:t>
      </w:r>
      <w:r>
        <w:rPr>
          <w:rFonts w:ascii="Verdana" w:eastAsia="Times New Roman" w:hAnsi="Verdana" w:cs="Arial"/>
          <w:lang w:eastAsia="x-none"/>
        </w:rPr>
        <w:lastRenderedPageBreak/>
        <w:t>inscribirse en forma previa se haga de manera pública, y que se permita la participación de una pluralidad de oferentes</w:t>
      </w:r>
      <w:r>
        <w:rPr>
          <w:vertAlign w:val="superscript"/>
        </w:rPr>
        <w:footnoteReference w:id="8"/>
      </w:r>
      <w:r>
        <w:rPr>
          <w:rFonts w:ascii="Verdana" w:eastAsia="Times New Roman" w:hAnsi="Verdana" w:cs="Arial"/>
          <w:lang w:eastAsia="x-none"/>
        </w:rPr>
        <w:t xml:space="preserve">. </w:t>
      </w:r>
    </w:p>
    <w:p w14:paraId="75DC9F31" w14:textId="77777777" w:rsidR="00085146" w:rsidRDefault="00085146" w:rsidP="00085146">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2BD40846" w14:textId="77777777" w:rsidR="00085146" w:rsidRDefault="00085146" w:rsidP="00085146">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vertAlign w:val="superscript"/>
          <w:lang w:eastAsia="x-none"/>
        </w:rPr>
        <w:footnoteReference w:id="9"/>
      </w:r>
      <w:r>
        <w:rPr>
          <w:rFonts w:ascii="Verdana" w:eastAsia="Times New Roman" w:hAnsi="Verdana" w:cs="Arial"/>
          <w:bCs/>
          <w:lang w:val="es-MX" w:eastAsia="x-none"/>
        </w:rPr>
        <w:t>.</w:t>
      </w:r>
      <w:r>
        <w:rPr>
          <w:rFonts w:ascii="Verdana" w:eastAsia="Times New Roman" w:hAnsi="Verdana" w:cs="Arial"/>
          <w:vertAlign w:val="superscript"/>
          <w:lang w:val="es-MX" w:eastAsia="x-none"/>
        </w:rPr>
        <w:t xml:space="preserve"> </w:t>
      </w:r>
    </w:p>
    <w:p w14:paraId="004E2772" w14:textId="77777777" w:rsidR="00085146" w:rsidRDefault="00085146" w:rsidP="00085146">
      <w:pPr>
        <w:spacing w:after="120" w:line="276" w:lineRule="auto"/>
        <w:ind w:firstLine="708"/>
        <w:jc w:val="both"/>
        <w:rPr>
          <w:rFonts w:ascii="Verdana" w:eastAsia="Times New Roman" w:hAnsi="Verdana" w:cs="Arial"/>
          <w:lang w:eastAsia="x-none"/>
        </w:rPr>
      </w:pPr>
      <w:r>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14BF4DD" w14:textId="77777777" w:rsidR="00085146" w:rsidRDefault="00085146" w:rsidP="00085146">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 xml:space="preserve">En este contexto,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w:t>
      </w:r>
      <w:r>
        <w:rPr>
          <w:rFonts w:ascii="Verdana" w:eastAsia="Times New Roman" w:hAnsi="Verdana" w:cs="Arial"/>
          <w:bCs/>
          <w:lang w:val="es-MX" w:eastAsia="x-none"/>
        </w:rPr>
        <w:lastRenderedPageBreak/>
        <w:t>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9FDA1D1" w14:textId="77777777" w:rsidR="00085146" w:rsidRDefault="00085146" w:rsidP="00085146">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Pr>
          <w:rFonts w:ascii="Verdana" w:eastAsia="Calibri" w:hAnsi="Verdana" w:cs="Arial"/>
          <w:vertAlign w:val="superscript"/>
          <w:lang w:val="es-MX"/>
        </w:rPr>
        <w:footnoteReference w:id="10"/>
      </w:r>
      <w:r>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4235CDDB" w14:textId="77777777" w:rsidR="00085146" w:rsidRDefault="00085146" w:rsidP="00085146">
      <w:pPr>
        <w:spacing w:after="120" w:line="276" w:lineRule="auto"/>
        <w:ind w:firstLine="708"/>
        <w:jc w:val="both"/>
        <w:rPr>
          <w:rFonts w:ascii="Verdana" w:eastAsia="Calibri" w:hAnsi="Verdana" w:cs="Arial"/>
          <w:lang w:val="es-MX"/>
        </w:rPr>
      </w:pPr>
      <w:r>
        <w:rPr>
          <w:rFonts w:ascii="Verdana" w:eastAsia="Times New Roman" w:hAnsi="Verdana" w:cs="Arial"/>
          <w:bCs/>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Pr>
          <w:rFonts w:ascii="Verdana" w:eastAsia="Calibri" w:hAnsi="Verdana" w:cs="Arial"/>
          <w:sz w:val="24"/>
          <w:lang w:val="es-MX"/>
        </w:rPr>
        <w:t xml:space="preserve"> </w:t>
      </w:r>
      <w:r>
        <w:rPr>
          <w:rFonts w:ascii="Verdana" w:eastAsia="Times New Roman" w:hAnsi="Verdana" w:cs="Arial"/>
          <w:bCs/>
          <w:lang w:val="es-MX" w:eastAsia="x-none"/>
        </w:rPr>
        <w:t>En efecto, tal como lo ha sostenido el Consejo de Estado, el vocablo “todos” utilizado por el legislador comprende</w:t>
      </w:r>
      <w:r>
        <w:rPr>
          <w:rFonts w:ascii="Verdana" w:eastAsia="Calibri" w:hAnsi="Verdana" w:cs="Arial"/>
          <w:sz w:val="24"/>
          <w:lang w:val="es-MX"/>
        </w:rPr>
        <w:t xml:space="preserve"> </w:t>
      </w:r>
      <w:r>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252718DC" w14:textId="77777777" w:rsidR="00085146" w:rsidRPr="005E6430" w:rsidRDefault="00085146" w:rsidP="00085146">
      <w:pPr>
        <w:spacing w:after="120" w:line="276" w:lineRule="auto"/>
        <w:ind w:firstLine="708"/>
        <w:jc w:val="both"/>
        <w:rPr>
          <w:rFonts w:ascii="Verdana" w:eastAsia="Calibri" w:hAnsi="Verdana" w:cs="Arial"/>
          <w:lang w:val="es-MX"/>
        </w:rPr>
      </w:pPr>
      <w:r>
        <w:rPr>
          <w:rFonts w:ascii="Verdana" w:eastAsia="Calibri" w:hAnsi="Verdana" w:cs="Arial"/>
          <w:lang w:val="es-MX"/>
        </w:rPr>
        <w:t>Así las cosas, de acuerdo con los pronunciamientos de la Sala de Consulta y Servicio Civil del Consejo de Estado</w:t>
      </w:r>
      <w:r>
        <w:rPr>
          <w:rStyle w:val="Refdenotaalpie"/>
          <w:rFonts w:ascii="Verdana" w:eastAsia="Calibri" w:hAnsi="Verdana" w:cs="Arial"/>
          <w:lang w:val="es-MX"/>
        </w:rPr>
        <w:footnoteReference w:id="11"/>
      </w:r>
      <w:r>
        <w:rPr>
          <w:rFonts w:ascii="Verdana" w:eastAsia="Calibri" w:hAnsi="Verdana" w:cs="Arial"/>
          <w:lang w:val="es-MX"/>
        </w:rPr>
        <w:t xml:space="preserve">, la prohibición de la contratación directa </w:t>
      </w:r>
      <w:r>
        <w:rPr>
          <w:rFonts w:ascii="Verdana" w:eastAsia="Calibri" w:hAnsi="Verdana" w:cs="Arial"/>
          <w:lang w:val="es-MX"/>
        </w:rPr>
        <w:lastRenderedPageBreak/>
        <w:t xml:space="preserve">también aplica frente a las entidades exceptuadas de la aplicación del EGCAP y que se rigen en materia contractual por el derecho privado. Sin embargo, señaló que algunas de estas entidades, como sucede con las empresas de servicios públicos domiciliarios, los </w:t>
      </w:r>
      <w:r>
        <w:rPr>
          <w:rFonts w:ascii="Verdana" w:eastAsia="Times New Roman" w:hAnsi="Verdana" w:cs="Arial"/>
          <w:bCs/>
          <w:lang w:val="es-MX" w:eastAsia="x-none"/>
        </w:rPr>
        <w:t>establecimientos de crédito, las sociedades de servicios financieros y las entidades aseguradoras</w:t>
      </w:r>
      <w:r>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vertAlign w:val="superscript"/>
        </w:rPr>
        <w:footnoteReference w:id="12"/>
      </w:r>
      <w:r>
        <w:rPr>
          <w:rFonts w:ascii="Verdana" w:eastAsia="Calibri" w:hAnsi="Verdana" w:cs="Arial"/>
          <w:lang w:val="es-MX"/>
        </w:rPr>
        <w:t>.</w:t>
      </w:r>
      <w:r>
        <w:rPr>
          <w:rFonts w:ascii="Verdana" w:eastAsia="Times New Roman" w:hAnsi="Verdana" w:cs="Arial"/>
          <w:lang w:val="es-MX" w:eastAsia="es-CO"/>
        </w:rPr>
        <w:t xml:space="preserve"> </w:t>
      </w:r>
    </w:p>
    <w:p w14:paraId="67F182A4" w14:textId="77777777" w:rsidR="00085146" w:rsidRDefault="00085146" w:rsidP="00085146">
      <w:pPr>
        <w:spacing w:after="120" w:line="276" w:lineRule="auto"/>
        <w:ind w:firstLine="709"/>
        <w:jc w:val="both"/>
        <w:rPr>
          <w:rFonts w:ascii="Verdana" w:eastAsia="Times New Roman" w:hAnsi="Verdana" w:cs="Arial"/>
          <w:bCs/>
          <w:lang w:val="es-MX" w:eastAsia="x-none"/>
        </w:rPr>
      </w:pPr>
      <w:r>
        <w:rPr>
          <w:rFonts w:ascii="Verdana" w:eastAsia="Times New Roman" w:hAnsi="Verdana" w:cs="Arial"/>
          <w:lang w:eastAsia="es-CO"/>
        </w:rPr>
        <w:t>Sin perjuicio de estos pronunciamientos de la Sala de Consulta y Servicio Civil</w:t>
      </w:r>
      <w:r>
        <w:rPr>
          <w:rFonts w:ascii="Verdana" w:eastAsia="Calibri" w:hAnsi="Verdana" w:cs="Arial"/>
          <w:lang w:val="es-MX"/>
        </w:rPr>
        <w:t xml:space="preserve">, como la ha señalado esa misma Corporación, la restricción prevista en la Ley 996 de 2005 </w:t>
      </w:r>
      <w:r>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372DBBCC" w14:textId="77777777" w:rsidR="00085146" w:rsidRDefault="00085146" w:rsidP="00085146">
      <w:pPr>
        <w:pStyle w:val="paragraph"/>
        <w:shd w:val="clear" w:color="auto" w:fill="FFFFFF"/>
        <w:spacing w:before="0" w:beforeAutospacing="0" w:after="120" w:afterAutospacing="0" w:line="276" w:lineRule="auto"/>
        <w:jc w:val="both"/>
        <w:textAlignment w:val="baseline"/>
        <w:rPr>
          <w:rFonts w:ascii="Verdana" w:eastAsia="Calibri" w:hAnsi="Verdana" w:cs="Arial"/>
          <w:sz w:val="22"/>
          <w:szCs w:val="22"/>
          <w:lang w:val="es-ES"/>
        </w:rPr>
      </w:pPr>
      <w:r>
        <w:rPr>
          <w:rFonts w:ascii="Verdana" w:eastAsia="Calibri" w:hAnsi="Verdana" w:cs="Arial"/>
          <w:sz w:val="22"/>
          <w:szCs w:val="22"/>
          <w:lang w:val="es-ES"/>
        </w:rPr>
        <w:t>ii. E</w:t>
      </w:r>
      <w:r w:rsidRPr="006C389A">
        <w:rPr>
          <w:rFonts w:ascii="Verdana" w:eastAsia="Calibri" w:hAnsi="Verdana" w:cs="Arial"/>
          <w:sz w:val="22"/>
          <w:szCs w:val="22"/>
          <w:lang w:val="es-ES"/>
        </w:rPr>
        <w:t xml:space="preserve">n relación con el procedimiento administrativo </w:t>
      </w:r>
      <w:r>
        <w:rPr>
          <w:rFonts w:ascii="Verdana" w:eastAsia="Calibri" w:hAnsi="Verdana" w:cs="Arial"/>
          <w:sz w:val="22"/>
          <w:szCs w:val="22"/>
          <w:lang w:val="es-ES"/>
        </w:rPr>
        <w:t xml:space="preserve">de </w:t>
      </w:r>
      <w:r w:rsidRPr="006C389A">
        <w:rPr>
          <w:rFonts w:ascii="Verdana" w:eastAsia="Calibri" w:hAnsi="Verdana" w:cs="Arial"/>
          <w:sz w:val="22"/>
          <w:szCs w:val="22"/>
          <w:lang w:val="es-ES"/>
        </w:rPr>
        <w:t xml:space="preserve">adquisición </w:t>
      </w:r>
      <w:r>
        <w:rPr>
          <w:rFonts w:ascii="Verdana" w:eastAsia="Calibri" w:hAnsi="Verdana" w:cs="Arial"/>
          <w:sz w:val="22"/>
          <w:szCs w:val="22"/>
          <w:lang w:val="es-ES"/>
        </w:rPr>
        <w:t>predial p</w:t>
      </w:r>
      <w:r w:rsidRPr="006C389A">
        <w:rPr>
          <w:rFonts w:ascii="Verdana" w:eastAsia="Calibri" w:hAnsi="Verdana" w:cs="Arial"/>
          <w:sz w:val="22"/>
          <w:szCs w:val="22"/>
          <w:lang w:val="es-ES"/>
        </w:rPr>
        <w:t>or motivos de utilidad pública e interés social mediante enajenación voluntaria, en los conceptos C-1512 y C-1529 de 2025 se concluyó que dicho procedimiento se encuentra excluido de la aplicación del EGCAP, en la medida en que está regulado por un régimen especial y exceptuado. No obstante, se precisó que este procedimiento puede culminar en la celebración de una promesa de compraventa o de un contrato de compraventa entre la entidad y el particular, lo cual implica que, en tales eventos, se está frente a un procedimiento de contratación estatal de naturaleza no competitiva, sujeto a la restricción prevista en el artículo 33 de la Ley 996 de 2005, conforme al alcance explicado</w:t>
      </w:r>
      <w:r>
        <w:rPr>
          <w:rFonts w:ascii="Verdana" w:eastAsia="Calibri" w:hAnsi="Verdana" w:cs="Arial"/>
          <w:sz w:val="22"/>
          <w:szCs w:val="22"/>
          <w:lang w:val="es-ES"/>
        </w:rPr>
        <w:t xml:space="preserve">. </w:t>
      </w:r>
      <w:r w:rsidRPr="006C389A">
        <w:rPr>
          <w:rFonts w:ascii="Verdana" w:eastAsia="Calibri" w:hAnsi="Verdana" w:cs="Arial"/>
          <w:sz w:val="22"/>
          <w:szCs w:val="22"/>
          <w:lang w:val="es-ES"/>
        </w:rPr>
        <w:t xml:space="preserve">En </w:t>
      </w:r>
      <w:r w:rsidRPr="006C389A">
        <w:rPr>
          <w:rFonts w:ascii="Verdana" w:eastAsia="Calibri" w:hAnsi="Verdana" w:cs="Arial"/>
          <w:sz w:val="22"/>
          <w:szCs w:val="22"/>
          <w:lang w:val="es-ES"/>
        </w:rPr>
        <w:lastRenderedPageBreak/>
        <w:t xml:space="preserve">contraste, </w:t>
      </w:r>
      <w:r w:rsidRPr="006A3D18">
        <w:rPr>
          <w:rFonts w:ascii="Verdana" w:eastAsia="Calibri" w:hAnsi="Verdana" w:cs="Arial"/>
          <w:sz w:val="22"/>
          <w:szCs w:val="22"/>
          <w:lang w:val="es-ES"/>
        </w:rPr>
        <w:t>cuando la adquisición ocurra por el procedimiento expropiatorio no se materializa en la celebración de un contrato.</w:t>
      </w:r>
    </w:p>
    <w:p w14:paraId="708A625D" w14:textId="77777777" w:rsidR="00085146" w:rsidRDefault="00085146" w:rsidP="00085146">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sidRPr="006C389A">
        <w:rPr>
          <w:rFonts w:ascii="Verdana" w:eastAsia="Calibri" w:hAnsi="Verdana" w:cs="Arial"/>
          <w:sz w:val="22"/>
          <w:szCs w:val="22"/>
          <w:lang w:val="es-ES"/>
        </w:rPr>
        <w:t>Con fundamento en lo anterior, esta Subdirección reitera</w:t>
      </w:r>
      <w:r>
        <w:rPr>
          <w:rFonts w:ascii="Verdana" w:eastAsia="Calibri" w:hAnsi="Verdana" w:cs="Arial"/>
          <w:sz w:val="22"/>
          <w:szCs w:val="22"/>
          <w:lang w:val="es-ES"/>
        </w:rPr>
        <w:t>rá</w:t>
      </w:r>
      <w:r w:rsidRPr="006C389A">
        <w:rPr>
          <w:rFonts w:ascii="Verdana" w:eastAsia="Calibri" w:hAnsi="Verdana" w:cs="Arial"/>
          <w:sz w:val="22"/>
          <w:szCs w:val="22"/>
          <w:lang w:val="es-ES"/>
        </w:rPr>
        <w:t xml:space="preserve"> la posición sostenida en los conceptos mencionados, </w:t>
      </w:r>
      <w:r>
        <w:rPr>
          <w:rFonts w:ascii="Verdana" w:eastAsia="Calibri" w:hAnsi="Verdana" w:cs="Arial"/>
          <w:sz w:val="22"/>
          <w:szCs w:val="22"/>
          <w:lang w:val="es-ES"/>
        </w:rPr>
        <w:t xml:space="preserve">realizando a continuación </w:t>
      </w:r>
      <w:r w:rsidRPr="006C389A">
        <w:rPr>
          <w:rFonts w:ascii="Verdana" w:eastAsia="Calibri" w:hAnsi="Verdana" w:cs="Arial"/>
          <w:sz w:val="22"/>
          <w:szCs w:val="22"/>
          <w:lang w:val="es-ES"/>
        </w:rPr>
        <w:t>algunas precisiones sobre el alcance de su aplicación</w:t>
      </w:r>
      <w:r>
        <w:rPr>
          <w:rFonts w:ascii="Verdana" w:eastAsia="Calibri" w:hAnsi="Verdana" w:cs="Arial"/>
          <w:sz w:val="22"/>
          <w:szCs w:val="22"/>
          <w:lang w:val="es-ES"/>
        </w:rPr>
        <w:t xml:space="preserve">. </w:t>
      </w:r>
      <w:r w:rsidRPr="0013781B">
        <w:rPr>
          <w:rFonts w:ascii="Verdana" w:eastAsia="Calibri" w:hAnsi="Verdana" w:cs="Arial"/>
          <w:sz w:val="22"/>
          <w:szCs w:val="22"/>
          <w:lang w:val="es-ES"/>
        </w:rPr>
        <w:t xml:space="preserve">En primer lugar </w:t>
      </w:r>
      <w:r>
        <w:rPr>
          <w:rFonts w:ascii="Verdana" w:eastAsia="Calibri" w:hAnsi="Verdana" w:cs="Arial"/>
          <w:sz w:val="22"/>
          <w:szCs w:val="22"/>
          <w:lang w:val="es-ES"/>
        </w:rPr>
        <w:t xml:space="preserve">se reconoce que </w:t>
      </w:r>
      <w:r w:rsidRPr="0013781B">
        <w:rPr>
          <w:rFonts w:ascii="Verdana" w:eastAsia="Calibri" w:hAnsi="Verdana" w:cs="Arial"/>
          <w:sz w:val="22"/>
          <w:szCs w:val="22"/>
          <w:lang w:val="es-ES"/>
        </w:rPr>
        <w:t>el procedimiento administrativo de adquisición</w:t>
      </w:r>
      <w:r>
        <w:rPr>
          <w:rFonts w:ascii="Verdana" w:eastAsia="Calibri" w:hAnsi="Verdana" w:cs="Arial"/>
          <w:sz w:val="22"/>
          <w:szCs w:val="22"/>
          <w:lang w:val="es-ES"/>
        </w:rPr>
        <w:t xml:space="preserve"> predial</w:t>
      </w:r>
      <w:r w:rsidRPr="0013781B">
        <w:rPr>
          <w:rFonts w:ascii="Verdana" w:eastAsia="Calibri" w:hAnsi="Verdana" w:cs="Arial"/>
          <w:sz w:val="22"/>
          <w:szCs w:val="22"/>
          <w:lang w:val="es-ES"/>
        </w:rPr>
        <w:t xml:space="preserve"> por motivos de utilidad pública e interés social no constituye un procedimiento sometido al E</w:t>
      </w:r>
      <w:r>
        <w:rPr>
          <w:rFonts w:ascii="Verdana" w:eastAsia="Calibri" w:hAnsi="Verdana" w:cs="Arial"/>
          <w:sz w:val="22"/>
          <w:szCs w:val="22"/>
          <w:lang w:val="es-ES"/>
        </w:rPr>
        <w:t xml:space="preserve">GCAP, puesto que se </w:t>
      </w:r>
      <w:r w:rsidRPr="0013781B">
        <w:rPr>
          <w:rFonts w:ascii="Verdana" w:eastAsia="Calibri" w:hAnsi="Verdana" w:cs="Arial"/>
          <w:sz w:val="22"/>
          <w:szCs w:val="22"/>
          <w:lang w:val="es-ES"/>
        </w:rPr>
        <w:t>trata de un procedimiento especial, dotado de finalidad, etapas y reglas propias, cuya regulación se encuentra prevista de manera específica en</w:t>
      </w:r>
      <w:r w:rsidRPr="007B37F8">
        <w:rPr>
          <w:rFonts w:asciiTheme="minorHAnsi" w:eastAsiaTheme="minorHAnsi" w:hAnsiTheme="minorHAnsi" w:cstheme="minorBidi"/>
          <w:sz w:val="22"/>
          <w:szCs w:val="22"/>
          <w:lang w:eastAsia="en-US"/>
        </w:rPr>
        <w:t xml:space="preserve"> </w:t>
      </w:r>
      <w:r w:rsidRPr="007B37F8">
        <w:rPr>
          <w:rFonts w:ascii="Verdana" w:eastAsia="Calibri" w:hAnsi="Verdana" w:cs="Arial"/>
          <w:sz w:val="22"/>
          <w:szCs w:val="22"/>
        </w:rPr>
        <w:t>Leyes 9 de 1989, 388 de 1997 y 1682 de 2013</w:t>
      </w:r>
      <w:r w:rsidRPr="0013781B">
        <w:rPr>
          <w:rFonts w:ascii="Verdana" w:eastAsia="Calibri" w:hAnsi="Verdana" w:cs="Arial"/>
          <w:sz w:val="22"/>
          <w:szCs w:val="22"/>
          <w:lang w:val="es-ES"/>
        </w:rPr>
        <w:t>, lo que lo sustrae del régimen general de la contratación estatal.</w:t>
      </w:r>
      <w:r>
        <w:rPr>
          <w:rFonts w:ascii="Verdana" w:eastAsia="Calibri" w:hAnsi="Verdana" w:cs="Arial"/>
          <w:sz w:val="22"/>
          <w:szCs w:val="22"/>
          <w:lang w:val="es-ES"/>
        </w:rPr>
        <w:t xml:space="preserve"> </w:t>
      </w:r>
      <w:r w:rsidRPr="0013781B">
        <w:rPr>
          <w:rFonts w:ascii="Verdana" w:eastAsia="Calibri" w:hAnsi="Verdana" w:cs="Arial"/>
          <w:sz w:val="22"/>
          <w:szCs w:val="22"/>
          <w:lang w:val="es-ES"/>
        </w:rPr>
        <w:t>Esta caracterización ha sido reiterada en los conceptos previamente citados, en los cuales se concluyó que dicho procedimiento se rige por un</w:t>
      </w:r>
      <w:r>
        <w:rPr>
          <w:rFonts w:ascii="Verdana" w:eastAsia="Calibri" w:hAnsi="Verdana" w:cs="Arial"/>
          <w:sz w:val="22"/>
          <w:szCs w:val="22"/>
          <w:lang w:val="es-ES"/>
        </w:rPr>
        <w:t xml:space="preserve">as reglas especiales. </w:t>
      </w:r>
    </w:p>
    <w:p w14:paraId="07EC8126" w14:textId="77777777" w:rsidR="00085146" w:rsidRPr="00E47785" w:rsidRDefault="00085146" w:rsidP="00085146">
      <w:pPr>
        <w:spacing w:before="120" w:after="120" w:line="276" w:lineRule="auto"/>
        <w:ind w:firstLine="709"/>
        <w:jc w:val="both"/>
        <w:rPr>
          <w:rFonts w:ascii="Verdana" w:eastAsia="Times New Roman" w:hAnsi="Verdana" w:cs="Arial"/>
          <w:lang w:val="es-ES" w:eastAsia="es-ES_tradnl"/>
        </w:rPr>
      </w:pPr>
      <w:r>
        <w:rPr>
          <w:rFonts w:ascii="Verdana" w:eastAsia="Calibri" w:hAnsi="Verdana" w:cs="Arial"/>
          <w:lang w:val="es-ES"/>
        </w:rPr>
        <w:t xml:space="preserve">En efecto, </w:t>
      </w:r>
      <w:r>
        <w:rPr>
          <w:rFonts w:ascii="Verdana" w:eastAsia="Times New Roman" w:hAnsi="Verdana" w:cs="Arial"/>
          <w:lang w:val="es-ES" w:eastAsia="es-ES_tradnl"/>
        </w:rPr>
        <w:t>en los procesos de expropiación judicial o expropiación administrativa existe una etapa previa de negociación, en la cual la administración intenta adquirir voluntariamente el bien, de suerte que se evite iniciar el proceso forzoso expropiatorio. Esta etapa comienza con una oferta de la entidad al particular para adquirir el bien por el precio base fijado con fundamento en un avalúo. Posteriormente, pasa a una etapa de negociación directa con el particular. En caso de que el proceso de negociación directa se concrete, culmina con la etapa de transferencia del bien y de pago del precio acordado. Pero, si el proceso de negociación se frustra, inicia la etapa expropiatoria, mediante los procesos judicial o administrativo, según el caso, hasta obtener el título traslaticio de dominio al Estado, la tradición del bien y realizar el pago de la indemnización al particular expropiado.</w:t>
      </w:r>
    </w:p>
    <w:p w14:paraId="17234FEC" w14:textId="77777777" w:rsidR="00085146" w:rsidRDefault="00085146" w:rsidP="00085146">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611BBF">
        <w:rPr>
          <w:rFonts w:ascii="Verdana" w:eastAsia="Calibri" w:hAnsi="Verdana" w:cs="Arial"/>
          <w:sz w:val="22"/>
          <w:szCs w:val="22"/>
        </w:rPr>
        <w:t xml:space="preserve">Como consecuencia de lo anterior, y </w:t>
      </w:r>
      <w:r>
        <w:rPr>
          <w:rFonts w:ascii="Verdana" w:eastAsia="Calibri" w:hAnsi="Verdana" w:cs="Arial"/>
          <w:sz w:val="22"/>
          <w:szCs w:val="22"/>
        </w:rPr>
        <w:t xml:space="preserve">dando alcance a </w:t>
      </w:r>
      <w:r w:rsidRPr="00611BBF">
        <w:rPr>
          <w:rFonts w:ascii="Verdana" w:eastAsia="Calibri" w:hAnsi="Verdana" w:cs="Arial"/>
          <w:sz w:val="22"/>
          <w:szCs w:val="22"/>
        </w:rPr>
        <w:t xml:space="preserve">la primera afirmación contenida en los conceptos referidos, debe precisarse que </w:t>
      </w:r>
      <w:r w:rsidRPr="00ED2EBA">
        <w:rPr>
          <w:rFonts w:ascii="Verdana" w:eastAsia="Calibri" w:hAnsi="Verdana" w:cs="Arial"/>
          <w:sz w:val="22"/>
          <w:szCs w:val="22"/>
        </w:rPr>
        <w:t xml:space="preserve">la restricción prevista en el artículo 33 de la Ley 996 de 2005 no resulta aplicable al </w:t>
      </w:r>
      <w:r w:rsidRPr="0013781B">
        <w:rPr>
          <w:rFonts w:ascii="Verdana" w:eastAsia="Calibri" w:hAnsi="Verdana" w:cs="Arial"/>
          <w:sz w:val="22"/>
          <w:szCs w:val="22"/>
          <w:lang w:val="es-ES"/>
        </w:rPr>
        <w:t>administrativo de adquisición</w:t>
      </w:r>
      <w:r>
        <w:rPr>
          <w:rFonts w:ascii="Verdana" w:eastAsia="Calibri" w:hAnsi="Verdana" w:cs="Arial"/>
          <w:sz w:val="22"/>
          <w:szCs w:val="22"/>
          <w:lang w:val="es-ES"/>
        </w:rPr>
        <w:t xml:space="preserve"> predial</w:t>
      </w:r>
      <w:r w:rsidRPr="0013781B">
        <w:rPr>
          <w:rFonts w:ascii="Verdana" w:eastAsia="Calibri" w:hAnsi="Verdana" w:cs="Arial"/>
          <w:sz w:val="22"/>
          <w:szCs w:val="22"/>
          <w:lang w:val="es-ES"/>
        </w:rPr>
        <w:t xml:space="preserve"> </w:t>
      </w:r>
      <w:r w:rsidRPr="00DF2532">
        <w:rPr>
          <w:rFonts w:ascii="Verdana" w:eastAsia="Calibri" w:hAnsi="Verdana" w:cs="Arial"/>
          <w:i/>
          <w:iCs/>
          <w:sz w:val="22"/>
          <w:szCs w:val="22"/>
        </w:rPr>
        <w:t>en sí mismo</w:t>
      </w:r>
      <w:r w:rsidRPr="00ED2EBA">
        <w:rPr>
          <w:rFonts w:ascii="Verdana" w:eastAsia="Calibri" w:hAnsi="Verdana" w:cs="Arial"/>
          <w:sz w:val="22"/>
          <w:szCs w:val="22"/>
        </w:rPr>
        <w:t>,</w:t>
      </w:r>
      <w:r>
        <w:rPr>
          <w:rFonts w:ascii="Verdana" w:eastAsia="Calibri" w:hAnsi="Verdana" w:cs="Arial"/>
          <w:sz w:val="22"/>
          <w:szCs w:val="22"/>
        </w:rPr>
        <w:t xml:space="preserve"> en su etapa preparatoria o preliminar,</w:t>
      </w:r>
      <w:r w:rsidRPr="00ED2EBA">
        <w:rPr>
          <w:rFonts w:ascii="Verdana" w:eastAsia="Calibri" w:hAnsi="Verdana" w:cs="Arial"/>
          <w:sz w:val="22"/>
          <w:szCs w:val="22"/>
        </w:rPr>
        <w:t xml:space="preserve"> en la medida en que dicho artículo se refiere a</w:t>
      </w:r>
      <w:r>
        <w:rPr>
          <w:rFonts w:ascii="Verdana" w:eastAsia="Calibri" w:hAnsi="Verdana" w:cs="Arial"/>
          <w:sz w:val="22"/>
          <w:szCs w:val="22"/>
        </w:rPr>
        <w:t xml:space="preserve"> la </w:t>
      </w:r>
      <w:r w:rsidRPr="0087731C">
        <w:rPr>
          <w:rFonts w:ascii="Verdana" w:eastAsia="Calibri" w:hAnsi="Verdana" w:cs="Arial"/>
          <w:bCs/>
          <w:sz w:val="22"/>
          <w:szCs w:val="22"/>
          <w:lang w:val="es-MX"/>
        </w:rPr>
        <w:t>celebra</w:t>
      </w:r>
      <w:r>
        <w:rPr>
          <w:rFonts w:ascii="Verdana" w:eastAsia="Calibri" w:hAnsi="Verdana" w:cs="Arial"/>
          <w:bCs/>
          <w:sz w:val="22"/>
          <w:szCs w:val="22"/>
          <w:lang w:val="es-MX"/>
        </w:rPr>
        <w:t xml:space="preserve">ción de </w:t>
      </w:r>
      <w:r w:rsidRPr="0087731C">
        <w:rPr>
          <w:rFonts w:ascii="Verdana" w:eastAsia="Calibri" w:hAnsi="Verdana" w:cs="Arial"/>
          <w:bCs/>
          <w:sz w:val="22"/>
          <w:szCs w:val="22"/>
          <w:lang w:val="es-MX"/>
        </w:rPr>
        <w:t>contrato</w:t>
      </w:r>
      <w:r>
        <w:rPr>
          <w:rFonts w:ascii="Verdana" w:eastAsia="Calibri" w:hAnsi="Verdana" w:cs="Arial"/>
          <w:bCs/>
          <w:sz w:val="22"/>
          <w:szCs w:val="22"/>
          <w:lang w:val="es-MX"/>
        </w:rPr>
        <w:t>s</w:t>
      </w:r>
      <w:r w:rsidRPr="0087731C">
        <w:rPr>
          <w:rFonts w:ascii="Verdana" w:eastAsia="Calibri" w:hAnsi="Verdana" w:cs="Arial"/>
          <w:bCs/>
          <w:sz w:val="22"/>
          <w:szCs w:val="22"/>
          <w:lang w:val="es-MX"/>
        </w:rPr>
        <w:t xml:space="preserve"> de forma directa, </w:t>
      </w:r>
      <w:r w:rsidRPr="00ED2EBA">
        <w:rPr>
          <w:rFonts w:ascii="Verdana" w:eastAsia="Calibri" w:hAnsi="Verdana" w:cs="Arial"/>
          <w:sz w:val="22"/>
          <w:szCs w:val="22"/>
        </w:rPr>
        <w:t>y</w:t>
      </w:r>
      <w:r w:rsidRPr="00611BBF">
        <w:rPr>
          <w:rFonts w:ascii="Verdana" w:eastAsia="Calibri" w:hAnsi="Verdana" w:cs="Arial"/>
          <w:sz w:val="22"/>
          <w:szCs w:val="22"/>
        </w:rPr>
        <w:t xml:space="preserve"> no a</w:t>
      </w:r>
      <w:r>
        <w:rPr>
          <w:rFonts w:ascii="Verdana" w:eastAsia="Calibri" w:hAnsi="Verdana" w:cs="Arial"/>
          <w:sz w:val="22"/>
          <w:szCs w:val="22"/>
        </w:rPr>
        <w:t xml:space="preserve"> las</w:t>
      </w:r>
      <w:r w:rsidRPr="00611BBF">
        <w:rPr>
          <w:rFonts w:ascii="Verdana" w:eastAsia="Calibri" w:hAnsi="Verdana" w:cs="Arial"/>
          <w:sz w:val="22"/>
          <w:szCs w:val="22"/>
        </w:rPr>
        <w:t xml:space="preserve"> actuaciones administrativas</w:t>
      </w:r>
      <w:r>
        <w:rPr>
          <w:rFonts w:ascii="Verdana" w:eastAsia="Calibri" w:hAnsi="Verdana" w:cs="Arial"/>
          <w:sz w:val="22"/>
          <w:szCs w:val="22"/>
        </w:rPr>
        <w:t xml:space="preserve"> que se puedan generar previamente. </w:t>
      </w:r>
    </w:p>
    <w:p w14:paraId="40BDBE4B" w14:textId="77777777" w:rsidR="00085146" w:rsidRDefault="00085146" w:rsidP="00085146">
      <w:pPr>
        <w:spacing w:before="120" w:line="276" w:lineRule="auto"/>
        <w:ind w:firstLine="709"/>
        <w:jc w:val="both"/>
        <w:rPr>
          <w:rFonts w:ascii="Verdana" w:hAnsi="Verdana" w:cs="Arial"/>
          <w:bCs/>
          <w:lang w:eastAsia="es-CO"/>
        </w:rPr>
      </w:pPr>
      <w:r>
        <w:rPr>
          <w:rFonts w:ascii="Verdana" w:eastAsia="Times New Roman" w:hAnsi="Verdana" w:cs="Arial"/>
          <w:lang w:val="es-ES"/>
        </w:rPr>
        <w:t xml:space="preserve">Respecto de la celebración de otros instrumentos jurídicos distintos de contratos directos que impliquen la expedición de actos administrativos y otras actuaciones administrativas, es importante señalar que en estos casos </w:t>
      </w:r>
      <w:r>
        <w:rPr>
          <w:rFonts w:ascii="Verdana" w:hAnsi="Verdana" w:cs="Arial"/>
          <w:bCs/>
          <w:lang w:val="es-ES_tradnl" w:eastAsia="es-CO"/>
        </w:rPr>
        <w:t xml:space="preserve">no le </w:t>
      </w:r>
      <w:r>
        <w:rPr>
          <w:rFonts w:ascii="Verdana" w:hAnsi="Verdana" w:cs="Arial"/>
          <w:bCs/>
          <w:lang w:val="es-ES_tradnl" w:eastAsia="es-CO"/>
        </w:rPr>
        <w:lastRenderedPageBreak/>
        <w:t xml:space="preserve">resulta aplicable las restricciones previstas en el artículo 33 de la Ley 996 de 2005, porque lo que este precepto prohíbe es </w:t>
      </w:r>
      <w:r>
        <w:rPr>
          <w:rFonts w:ascii="Verdana" w:hAnsi="Verdana" w:cs="Arial"/>
          <w:bCs/>
          <w:lang w:val="es-MX" w:eastAsia="x-none"/>
        </w:rPr>
        <w:t>celebrar cualquier contrato de forma directa</w:t>
      </w:r>
      <w:r>
        <w:rPr>
          <w:rFonts w:ascii="Verdana" w:hAnsi="Verdana" w:cs="Arial"/>
          <w:bCs/>
          <w:lang w:val="es-ES_tradnl" w:eastAsia="es-CO"/>
        </w:rPr>
        <w:t xml:space="preserve">. En este sentido, </w:t>
      </w:r>
      <w:r>
        <w:rPr>
          <w:rFonts w:ascii="Verdana" w:eastAsia="Times New Roman" w:hAnsi="Verdana" w:cs="Arial"/>
          <w:lang w:val="es-ES"/>
        </w:rPr>
        <w:t xml:space="preserve">la celebración de contratos de forma directa </w:t>
      </w:r>
      <w:r>
        <w:rPr>
          <w:rFonts w:ascii="Verdana" w:hAnsi="Verdana" w:cs="Arial"/>
          <w:bCs/>
          <w:lang w:val="es-ES_tradnl" w:eastAsia="es-CO"/>
        </w:rPr>
        <w:t xml:space="preserve">son </w:t>
      </w:r>
      <w:r>
        <w:rPr>
          <w:rFonts w:ascii="Verdana" w:hAnsi="Verdana" w:cs="Arial"/>
          <w:bCs/>
          <w:i/>
          <w:iCs/>
          <w:lang w:val="es-ES_tradnl" w:eastAsia="es-CO"/>
        </w:rPr>
        <w:t>acuerdos de voluntades</w:t>
      </w:r>
      <w:r>
        <w:rPr>
          <w:rFonts w:ascii="Verdana" w:hAnsi="Verdana" w:cs="Arial"/>
          <w:bCs/>
          <w:lang w:val="es-ES_tradnl" w:eastAsia="es-CO"/>
        </w:rPr>
        <w:t xml:space="preserve">, o sea un acto jurídico </w:t>
      </w:r>
      <w:r>
        <w:rPr>
          <w:rFonts w:ascii="Verdana" w:hAnsi="Verdana" w:cs="Arial"/>
          <w:bCs/>
          <w:i/>
          <w:iCs/>
          <w:lang w:val="es-ES_tradnl" w:eastAsia="es-CO"/>
        </w:rPr>
        <w:t>bilateral</w:t>
      </w:r>
      <w:r>
        <w:rPr>
          <w:rFonts w:ascii="Verdana" w:hAnsi="Verdana" w:cs="Arial"/>
          <w:bCs/>
          <w:lang w:val="es-ES_tradnl" w:eastAsia="es-CO"/>
        </w:rPr>
        <w:t xml:space="preserve"> o que participa de la forma contractual, de conformidad con el artículo 1495 del Código Civil. En cambio, </w:t>
      </w:r>
      <w:r w:rsidRPr="00F12276">
        <w:rPr>
          <w:rFonts w:ascii="Verdana" w:hAnsi="Verdana" w:cs="Arial"/>
          <w:bCs/>
          <w:lang w:eastAsia="es-CO"/>
        </w:rPr>
        <w:t>los actos administrativos son declaraciones unilaterales de voluntad encaminadas a la producción de efectos jurídicos vinculantes</w:t>
      </w:r>
      <w:r w:rsidRPr="00F12276">
        <w:rPr>
          <w:rFonts w:ascii="Verdana" w:hAnsi="Verdana" w:cs="Arial"/>
          <w:bCs/>
          <w:vertAlign w:val="superscript"/>
          <w:lang w:eastAsia="es-CO"/>
        </w:rPr>
        <w:footnoteReference w:id="13"/>
      </w:r>
      <w:r>
        <w:rPr>
          <w:rFonts w:ascii="Verdana" w:hAnsi="Verdana" w:cs="Arial"/>
          <w:bCs/>
          <w:lang w:eastAsia="es-CO"/>
        </w:rPr>
        <w:t xml:space="preserve">. En tal sentido, </w:t>
      </w:r>
      <w:r>
        <w:rPr>
          <w:rFonts w:ascii="Verdana" w:hAnsi="Verdana" w:cs="Arial"/>
          <w:bCs/>
          <w:lang w:val="es-ES_tradnl" w:eastAsia="es-CO"/>
        </w:rPr>
        <w:t xml:space="preserve">si el artículo 33 </w:t>
      </w:r>
      <w:r w:rsidRPr="00A72ADC">
        <w:rPr>
          <w:rFonts w:ascii="Verdana" w:hAnsi="Verdana" w:cs="Arial"/>
          <w:bCs/>
          <w:i/>
          <w:iCs/>
          <w:lang w:val="es-ES_tradnl" w:eastAsia="es-CO"/>
        </w:rPr>
        <w:t>ibidem</w:t>
      </w:r>
      <w:r>
        <w:rPr>
          <w:rFonts w:ascii="Verdana" w:hAnsi="Verdana" w:cs="Arial"/>
          <w:bCs/>
          <w:lang w:val="es-ES_tradnl" w:eastAsia="es-CO"/>
        </w:rPr>
        <w:t xml:space="preserve"> prohibió la celebración directa de contratos, no puede entenderse </w:t>
      </w:r>
      <w:r w:rsidRPr="00A72ADC">
        <w:rPr>
          <w:rFonts w:ascii="Verdana" w:hAnsi="Verdana" w:cs="Arial"/>
          <w:bCs/>
          <w:lang w:val="es-ES_tradnl" w:eastAsia="es-CO"/>
        </w:rPr>
        <w:t>también</w:t>
      </w:r>
      <w:r>
        <w:rPr>
          <w:rFonts w:ascii="Verdana" w:hAnsi="Verdana" w:cs="Arial"/>
          <w:bCs/>
          <w:lang w:val="es-ES_tradnl" w:eastAsia="es-CO"/>
        </w:rPr>
        <w:t xml:space="preserve"> prohibida la expedición de actos administrativos u otros instrumentos jurídicos, porque se estaría incluyendo una circunstancia que el supuesto de hecho de la restricción no contempla. </w:t>
      </w:r>
    </w:p>
    <w:p w14:paraId="4A3A0781" w14:textId="77777777" w:rsidR="00085146" w:rsidRDefault="00085146" w:rsidP="00085146">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B61452">
        <w:rPr>
          <w:rFonts w:ascii="Verdana" w:eastAsia="Calibri" w:hAnsi="Verdana" w:cs="Arial"/>
          <w:sz w:val="22"/>
          <w:szCs w:val="22"/>
        </w:rPr>
        <w:t xml:space="preserve">En ese sentido, </w:t>
      </w:r>
      <w:r w:rsidRPr="009C69E1">
        <w:rPr>
          <w:rFonts w:ascii="Verdana" w:eastAsia="Calibri" w:hAnsi="Verdana" w:cs="Arial"/>
          <w:sz w:val="22"/>
          <w:szCs w:val="22"/>
        </w:rPr>
        <w:t xml:space="preserve">todos los trámites preparatorios y actuaciones administrativas </w:t>
      </w:r>
      <w:r>
        <w:rPr>
          <w:rFonts w:ascii="Verdana" w:eastAsia="Calibri" w:hAnsi="Verdana" w:cs="Arial"/>
          <w:sz w:val="22"/>
          <w:szCs w:val="22"/>
        </w:rPr>
        <w:t xml:space="preserve">de gestión predial </w:t>
      </w:r>
      <w:r w:rsidRPr="00B61452">
        <w:rPr>
          <w:rFonts w:ascii="Verdana" w:eastAsia="Calibri" w:hAnsi="Verdana" w:cs="Arial"/>
          <w:sz w:val="22"/>
          <w:szCs w:val="22"/>
        </w:rPr>
        <w:t>que se surtan dentro de este procedimiento especial</w:t>
      </w:r>
      <w:r>
        <w:rPr>
          <w:rFonts w:ascii="Verdana" w:eastAsia="Calibri" w:hAnsi="Verdana" w:cs="Arial"/>
          <w:sz w:val="22"/>
          <w:szCs w:val="22"/>
        </w:rPr>
        <w:t xml:space="preserve">, </w:t>
      </w:r>
      <w:r w:rsidRPr="00B61452">
        <w:rPr>
          <w:rFonts w:ascii="Verdana" w:eastAsia="Calibri" w:hAnsi="Verdana" w:cs="Arial"/>
          <w:sz w:val="22"/>
          <w:szCs w:val="22"/>
        </w:rPr>
        <w:t xml:space="preserve">tales como los avalúos, las ofertas de compra, las negociaciones preliminares y demás actuaciones que no impliquen la celebración de </w:t>
      </w:r>
      <w:r w:rsidRPr="0044553E">
        <w:rPr>
          <w:rFonts w:ascii="Verdana" w:eastAsia="Calibri" w:hAnsi="Verdana" w:cs="Arial"/>
          <w:sz w:val="22"/>
          <w:szCs w:val="22"/>
        </w:rPr>
        <w:t>u</w:t>
      </w:r>
      <w:r>
        <w:rPr>
          <w:rFonts w:ascii="Verdana" w:eastAsia="Calibri" w:hAnsi="Verdana" w:cs="Arial"/>
          <w:sz w:val="22"/>
          <w:szCs w:val="22"/>
        </w:rPr>
        <w:t>na promesa de compraventa o contrato compraventa o cualquier otro contrato,</w:t>
      </w:r>
      <w:r w:rsidRPr="0044553E">
        <w:rPr>
          <w:rFonts w:ascii="Verdana" w:eastAsia="Calibri" w:hAnsi="Verdana" w:cs="Arial"/>
          <w:sz w:val="22"/>
          <w:szCs w:val="22"/>
        </w:rPr>
        <w:t xml:space="preserve"> pueden adelantarse válidamente, incluso durante el período de restricción previsto en la </w:t>
      </w:r>
      <w:r>
        <w:rPr>
          <w:rFonts w:ascii="Verdana" w:eastAsia="Calibri" w:hAnsi="Verdana" w:cs="Arial"/>
          <w:sz w:val="22"/>
          <w:szCs w:val="22"/>
        </w:rPr>
        <w:t>L</w:t>
      </w:r>
      <w:r w:rsidRPr="0044553E">
        <w:rPr>
          <w:rFonts w:ascii="Verdana" w:eastAsia="Calibri" w:hAnsi="Verdana" w:cs="Arial"/>
          <w:sz w:val="22"/>
          <w:szCs w:val="22"/>
        </w:rPr>
        <w:t xml:space="preserve">ey de </w:t>
      </w:r>
      <w:r>
        <w:rPr>
          <w:rFonts w:ascii="Verdana" w:eastAsia="Calibri" w:hAnsi="Verdana" w:cs="Arial"/>
          <w:sz w:val="22"/>
          <w:szCs w:val="22"/>
        </w:rPr>
        <w:t>G</w:t>
      </w:r>
      <w:r w:rsidRPr="0044553E">
        <w:rPr>
          <w:rFonts w:ascii="Verdana" w:eastAsia="Calibri" w:hAnsi="Verdana" w:cs="Arial"/>
          <w:sz w:val="22"/>
          <w:szCs w:val="22"/>
        </w:rPr>
        <w:t>arantías</w:t>
      </w:r>
      <w:r>
        <w:rPr>
          <w:rFonts w:ascii="Verdana" w:eastAsia="Calibri" w:hAnsi="Verdana" w:cs="Arial"/>
          <w:sz w:val="22"/>
          <w:szCs w:val="22"/>
        </w:rPr>
        <w:t xml:space="preserve"> Electorales</w:t>
      </w:r>
      <w:r w:rsidRPr="0044553E">
        <w:rPr>
          <w:rFonts w:ascii="Verdana" w:eastAsia="Calibri" w:hAnsi="Verdana" w:cs="Arial"/>
          <w:sz w:val="22"/>
          <w:szCs w:val="22"/>
        </w:rPr>
        <w:t>, por cuanto no configuran</w:t>
      </w:r>
      <w:r>
        <w:rPr>
          <w:rFonts w:ascii="Verdana" w:eastAsia="Calibri" w:hAnsi="Verdana" w:cs="Arial"/>
          <w:sz w:val="22"/>
          <w:szCs w:val="22"/>
        </w:rPr>
        <w:t xml:space="preserve"> los</w:t>
      </w:r>
      <w:r w:rsidRPr="0044553E">
        <w:rPr>
          <w:rFonts w:ascii="Verdana" w:eastAsia="Calibri" w:hAnsi="Verdana" w:cs="Arial"/>
          <w:sz w:val="22"/>
          <w:szCs w:val="22"/>
        </w:rPr>
        <w:t xml:space="preserve"> supuestos de contratación </w:t>
      </w:r>
      <w:r>
        <w:rPr>
          <w:rFonts w:ascii="Verdana" w:eastAsia="Calibri" w:hAnsi="Verdana" w:cs="Arial"/>
          <w:sz w:val="22"/>
          <w:szCs w:val="22"/>
        </w:rPr>
        <w:t>directa al que se refiere el artículo en comento</w:t>
      </w:r>
      <w:r w:rsidRPr="0044553E">
        <w:rPr>
          <w:rFonts w:ascii="Verdana" w:eastAsia="Calibri" w:hAnsi="Verdana" w:cs="Arial"/>
          <w:sz w:val="22"/>
          <w:szCs w:val="22"/>
        </w:rPr>
        <w:t>.</w:t>
      </w:r>
    </w:p>
    <w:p w14:paraId="2F3ECBE9" w14:textId="77777777" w:rsidR="00085146" w:rsidRPr="00323979" w:rsidRDefault="00085146" w:rsidP="00085146">
      <w:pPr>
        <w:spacing w:before="120" w:line="276" w:lineRule="auto"/>
        <w:ind w:firstLine="709"/>
        <w:jc w:val="both"/>
        <w:rPr>
          <w:rFonts w:ascii="Verdana" w:hAnsi="Verdana" w:cs="Arial"/>
          <w:bCs/>
          <w:lang w:eastAsia="es-CO"/>
        </w:rPr>
      </w:pPr>
      <w:r>
        <w:rPr>
          <w:rFonts w:ascii="Verdana" w:eastAsia="Times New Roman" w:hAnsi="Verdana" w:cs="Arial"/>
        </w:rPr>
        <w:t>E</w:t>
      </w:r>
      <w:r w:rsidRPr="00FB77DC">
        <w:rPr>
          <w:rFonts w:ascii="Verdana" w:eastAsia="Times New Roman" w:hAnsi="Verdana" w:cs="Arial"/>
        </w:rPr>
        <w:t xml:space="preserve">n ese orden de ideas, corresponde a la entidad verificar la naturaleza jurídica de las actuaciones </w:t>
      </w:r>
      <w:r>
        <w:rPr>
          <w:rFonts w:ascii="Verdana" w:eastAsia="Times New Roman" w:hAnsi="Verdana" w:cs="Arial"/>
        </w:rPr>
        <w:t xml:space="preserve">preliminares </w:t>
      </w:r>
      <w:r w:rsidRPr="00FB77DC">
        <w:rPr>
          <w:rFonts w:ascii="Verdana" w:eastAsia="Times New Roman" w:hAnsi="Verdana" w:cs="Arial"/>
        </w:rPr>
        <w:t xml:space="preserve">de gestión predial que se adelantarán en el marco </w:t>
      </w:r>
      <w:r>
        <w:rPr>
          <w:rFonts w:ascii="Verdana" w:eastAsia="Times New Roman" w:hAnsi="Verdana" w:cs="Arial"/>
        </w:rPr>
        <w:t>del</w:t>
      </w:r>
      <w:r w:rsidRPr="00FB77DC">
        <w:rPr>
          <w:rFonts w:ascii="Verdana" w:eastAsia="Times New Roman" w:hAnsi="Verdana" w:cs="Arial"/>
        </w:rPr>
        <w:t xml:space="preserve"> procedimiento administrativo</w:t>
      </w:r>
      <w:r>
        <w:rPr>
          <w:rFonts w:ascii="Verdana" w:eastAsia="Times New Roman" w:hAnsi="Verdana" w:cs="Arial"/>
        </w:rPr>
        <w:t xml:space="preserve"> referido</w:t>
      </w:r>
      <w:r w:rsidRPr="00FB77DC">
        <w:rPr>
          <w:rFonts w:ascii="Verdana" w:eastAsia="Times New Roman" w:hAnsi="Verdana" w:cs="Arial"/>
        </w:rPr>
        <w:t>, precis</w:t>
      </w:r>
      <w:r>
        <w:rPr>
          <w:rFonts w:ascii="Verdana" w:eastAsia="Times New Roman" w:hAnsi="Verdana" w:cs="Arial"/>
        </w:rPr>
        <w:t>ando</w:t>
      </w:r>
      <w:r w:rsidRPr="00FB77DC">
        <w:rPr>
          <w:rFonts w:ascii="Verdana" w:eastAsia="Times New Roman" w:hAnsi="Verdana" w:cs="Arial"/>
        </w:rPr>
        <w:t xml:space="preserve"> que dichas actuaciones no implican, por sí mismas, la celebración directa de un contrato estatal</w:t>
      </w:r>
      <w:r w:rsidRPr="00724D86">
        <w:rPr>
          <w:rFonts w:ascii="Verdana" w:eastAsia="Times New Roman" w:hAnsi="Verdana" w:cs="Arial"/>
          <w:lang w:val="es-ES"/>
        </w:rPr>
        <w:t>. Esta diferenciación resulta esencial, en la medida en que la prohibici</w:t>
      </w:r>
      <w:r>
        <w:rPr>
          <w:rFonts w:ascii="Verdana" w:eastAsia="Times New Roman" w:hAnsi="Verdana" w:cs="Arial"/>
          <w:lang w:val="es-ES"/>
        </w:rPr>
        <w:t>ón</w:t>
      </w:r>
      <w:r w:rsidRPr="00724D86">
        <w:rPr>
          <w:rFonts w:ascii="Verdana" w:eastAsia="Times New Roman" w:hAnsi="Verdana" w:cs="Arial"/>
          <w:lang w:val="es-ES"/>
        </w:rPr>
        <w:t xml:space="preserve"> prevista en el artículo 33 de la Ley 996 de 2005 se</w:t>
      </w:r>
      <w:r w:rsidRPr="00BC1926">
        <w:rPr>
          <w:rFonts w:ascii="Verdana" w:eastAsia="Times New Roman" w:hAnsi="Verdana" w:cs="Arial"/>
          <w:lang w:val="es-ES"/>
        </w:rPr>
        <w:t xml:space="preserve"> </w:t>
      </w:r>
      <w:r>
        <w:rPr>
          <w:rFonts w:ascii="Verdana" w:eastAsia="Times New Roman" w:hAnsi="Verdana" w:cs="Arial"/>
          <w:lang w:val="es-ES"/>
        </w:rPr>
        <w:t xml:space="preserve">configura </w:t>
      </w:r>
      <w:r w:rsidRPr="001C7B22">
        <w:rPr>
          <w:rFonts w:ascii="Verdana" w:eastAsia="Times New Roman" w:hAnsi="Verdana" w:cs="Arial"/>
          <w:lang w:val="es-ES"/>
        </w:rPr>
        <w:t xml:space="preserve">cuando </w:t>
      </w:r>
      <w:r>
        <w:rPr>
          <w:rFonts w:ascii="Verdana" w:eastAsia="Times New Roman" w:hAnsi="Verdana" w:cs="Arial"/>
          <w:lang w:val="es-ES"/>
        </w:rPr>
        <w:t>se refiera a la celebración de un</w:t>
      </w:r>
      <w:r w:rsidRPr="001C7B22">
        <w:rPr>
          <w:rFonts w:ascii="Verdana" w:eastAsia="Times New Roman" w:hAnsi="Verdana" w:cs="Arial"/>
          <w:lang w:val="es-ES"/>
        </w:rPr>
        <w:t xml:space="preserve"> contrato en sentido estricto</w:t>
      </w:r>
      <w:r w:rsidRPr="00724D86">
        <w:rPr>
          <w:rFonts w:ascii="Verdana" w:eastAsia="Times New Roman" w:hAnsi="Verdana" w:cs="Arial"/>
          <w:lang w:val="es-ES"/>
        </w:rPr>
        <w:t xml:space="preserve">, mas no frente a actuaciones </w:t>
      </w:r>
      <w:r w:rsidRPr="00724D86">
        <w:rPr>
          <w:rFonts w:ascii="Verdana" w:eastAsia="Times New Roman" w:hAnsi="Verdana" w:cs="Arial"/>
          <w:lang w:val="es-ES"/>
        </w:rPr>
        <w:lastRenderedPageBreak/>
        <w:t>administrativas, que no genera</w:t>
      </w:r>
      <w:r>
        <w:rPr>
          <w:rFonts w:ascii="Verdana" w:eastAsia="Times New Roman" w:hAnsi="Verdana" w:cs="Arial"/>
          <w:lang w:val="es-ES"/>
        </w:rPr>
        <w:t>n propiamente u</w:t>
      </w:r>
      <w:r w:rsidRPr="00724D86">
        <w:rPr>
          <w:rFonts w:ascii="Verdana" w:eastAsia="Times New Roman" w:hAnsi="Verdana" w:cs="Arial"/>
          <w:lang w:val="es-ES"/>
        </w:rPr>
        <w:t xml:space="preserve">na relación contractual entre la entidad </w:t>
      </w:r>
      <w:r>
        <w:rPr>
          <w:rFonts w:ascii="Verdana" w:eastAsia="Times New Roman" w:hAnsi="Verdana" w:cs="Arial"/>
          <w:lang w:val="es-ES"/>
        </w:rPr>
        <w:t xml:space="preserve">y el particular. </w:t>
      </w:r>
    </w:p>
    <w:p w14:paraId="172180A4" w14:textId="77777777" w:rsidR="00085146" w:rsidRPr="0044553E" w:rsidRDefault="00085146" w:rsidP="00085146">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sidRPr="0044553E">
        <w:rPr>
          <w:rFonts w:ascii="Verdana" w:eastAsia="Calibri" w:hAnsi="Verdana" w:cs="Arial"/>
          <w:sz w:val="22"/>
          <w:szCs w:val="22"/>
        </w:rPr>
        <w:t xml:space="preserve">En segundo lugar, respecto de la afirmación según la cual cuando el procedimiento administrativo de adquisición </w:t>
      </w:r>
      <w:r>
        <w:rPr>
          <w:rFonts w:ascii="Verdana" w:eastAsia="Calibri" w:hAnsi="Verdana" w:cs="Arial"/>
          <w:sz w:val="22"/>
          <w:szCs w:val="22"/>
        </w:rPr>
        <w:t xml:space="preserve">predial </w:t>
      </w:r>
      <w:r w:rsidRPr="0044553E">
        <w:rPr>
          <w:rFonts w:ascii="Verdana" w:eastAsia="Calibri" w:hAnsi="Verdana" w:cs="Arial"/>
          <w:sz w:val="22"/>
          <w:szCs w:val="22"/>
        </w:rPr>
        <w:t>culmina en la celebración de una promesa de compraventa o de un contrato de compraventa sí resulta aplicable la restricción del artículo 33 de la Ley 996 de 2005, se reitera la postura previamente sostenida</w:t>
      </w:r>
      <w:r>
        <w:rPr>
          <w:rFonts w:ascii="Verdana" w:eastAsia="Calibri" w:hAnsi="Verdana" w:cs="Arial"/>
          <w:sz w:val="22"/>
          <w:szCs w:val="22"/>
        </w:rPr>
        <w:t xml:space="preserve"> en los conceptos C-1512 y C-1529 </w:t>
      </w:r>
      <w:r w:rsidRPr="0044553E">
        <w:rPr>
          <w:rFonts w:ascii="Verdana" w:eastAsia="Calibri" w:hAnsi="Verdana" w:cs="Arial"/>
          <w:sz w:val="22"/>
          <w:szCs w:val="22"/>
        </w:rPr>
        <w:t>en la medida en que dichos negocios jurídicos implican la celebración de un contrato estatal</w:t>
      </w:r>
      <w:r>
        <w:rPr>
          <w:rFonts w:ascii="Verdana" w:eastAsia="Calibri" w:hAnsi="Verdana" w:cs="Arial"/>
          <w:sz w:val="22"/>
          <w:szCs w:val="22"/>
        </w:rPr>
        <w:t xml:space="preserve"> de forma directa</w:t>
      </w:r>
      <w:r w:rsidRPr="0044553E">
        <w:rPr>
          <w:rFonts w:ascii="Verdana" w:eastAsia="Calibri" w:hAnsi="Verdana" w:cs="Arial"/>
          <w:sz w:val="22"/>
          <w:szCs w:val="22"/>
        </w:rPr>
        <w:t>.</w:t>
      </w:r>
    </w:p>
    <w:p w14:paraId="7B50C2A1" w14:textId="77777777" w:rsidR="00085146" w:rsidRPr="00A00771" w:rsidRDefault="00085146" w:rsidP="00085146">
      <w:pPr>
        <w:tabs>
          <w:tab w:val="left" w:pos="709"/>
        </w:tabs>
        <w:spacing w:before="120" w:after="120" w:line="276" w:lineRule="auto"/>
        <w:ind w:firstLine="709"/>
        <w:jc w:val="both"/>
        <w:rPr>
          <w:rFonts w:ascii="Verdana" w:eastAsia="Times New Roman" w:hAnsi="Verdana" w:cs="Arial"/>
          <w:lang w:val="es-ES" w:eastAsia="es-ES_tradnl"/>
        </w:rPr>
      </w:pPr>
      <w:r w:rsidRPr="00A00771">
        <w:rPr>
          <w:rFonts w:ascii="Verdana" w:eastAsia="Calibri" w:hAnsi="Verdana" w:cs="Arial"/>
          <w:lang w:eastAsia="es-CO"/>
        </w:rPr>
        <w:t>En efecto,</w:t>
      </w:r>
      <w:r>
        <w:rPr>
          <w:rFonts w:ascii="Verdana" w:eastAsia="Calibri" w:hAnsi="Verdana" w:cs="Arial"/>
          <w:lang w:eastAsia="es-CO"/>
        </w:rPr>
        <w:t xml:space="preserve"> en</w:t>
      </w:r>
      <w:r w:rsidRPr="00A00771">
        <w:rPr>
          <w:rFonts w:ascii="Verdana" w:eastAsia="Calibri" w:hAnsi="Verdana" w:cs="Arial"/>
          <w:lang w:eastAsia="es-CO"/>
        </w:rPr>
        <w:t xml:space="preserve"> la promesa de compraventa </w:t>
      </w:r>
      <w:r>
        <w:rPr>
          <w:rFonts w:ascii="Verdana" w:eastAsia="Calibri" w:hAnsi="Verdana" w:cs="Arial"/>
        </w:rPr>
        <w:t>y</w:t>
      </w:r>
      <w:r w:rsidRPr="00A00771">
        <w:rPr>
          <w:rFonts w:ascii="Verdana" w:eastAsia="Calibri" w:hAnsi="Verdana" w:cs="Arial"/>
          <w:lang w:eastAsia="es-CO"/>
        </w:rPr>
        <w:t xml:space="preserve"> </w:t>
      </w:r>
      <w:r>
        <w:rPr>
          <w:rFonts w:ascii="Verdana" w:eastAsia="Calibri" w:hAnsi="Verdana" w:cs="Arial"/>
          <w:lang w:eastAsia="es-CO"/>
        </w:rPr>
        <w:t xml:space="preserve">en </w:t>
      </w:r>
      <w:r w:rsidRPr="00A00771">
        <w:rPr>
          <w:rFonts w:ascii="Verdana" w:eastAsia="Calibri" w:hAnsi="Verdana" w:cs="Arial"/>
          <w:lang w:eastAsia="es-CO"/>
        </w:rPr>
        <w:t xml:space="preserve">el contrato de compraventa </w:t>
      </w:r>
      <w:r>
        <w:rPr>
          <w:rFonts w:ascii="Verdana" w:eastAsia="Times New Roman" w:hAnsi="Verdana" w:cs="Arial"/>
          <w:lang w:val="es-ES" w:eastAsia="es-ES_tradnl"/>
        </w:rPr>
        <w:t xml:space="preserve">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w:t>
      </w:r>
      <w:r>
        <w:rPr>
          <w:rFonts w:ascii="Verdana" w:eastAsia="Times New Roman" w:hAnsi="Verdana" w:cs="Arial"/>
          <w:i/>
          <w:iCs/>
          <w:lang w:val="es-ES" w:eastAsia="es-ES_tradnl"/>
        </w:rPr>
        <w:t>ibidem</w:t>
      </w:r>
      <w:r>
        <w:rPr>
          <w:rFonts w:ascii="Verdana" w:eastAsia="Times New Roman" w:hAnsi="Verdana" w:cs="Arial"/>
          <w:lang w:val="es-ES" w:eastAsia="es-ES_tradnl"/>
        </w:rPr>
        <w:t xml:space="preserve"> y en armonía con lo dispuesto por el artículo 1 de la Ley 1150 de 2007. Estos negocios jurídicos </w:t>
      </w:r>
      <w:r w:rsidRPr="00A00771">
        <w:rPr>
          <w:rFonts w:ascii="Verdana" w:eastAsia="Calibri" w:hAnsi="Verdana" w:cs="Arial"/>
          <w:lang w:eastAsia="es-CO"/>
        </w:rPr>
        <w:t>constituyen formas de contratación directa, en cuanto su celebración se realiza con un sujeto determinado, sin convocatoria pública y sin posibilidad de concurrencia de una pluralidad de oferentes.</w:t>
      </w:r>
    </w:p>
    <w:p w14:paraId="64479D63" w14:textId="77777777" w:rsidR="00085146" w:rsidRPr="0044553E" w:rsidRDefault="00085146" w:rsidP="00085146">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A00771">
        <w:rPr>
          <w:rFonts w:ascii="Verdana" w:eastAsia="Calibri" w:hAnsi="Verdana" w:cs="Arial"/>
          <w:sz w:val="22"/>
          <w:szCs w:val="22"/>
        </w:rPr>
        <w:t>Para sustentar esta conclusión, debe tenerse en cuenta que el alcance del artículo 33 de la Ley 996 de 2005, conforme a la interpretación realizada por el Consejo de Estado</w:t>
      </w:r>
      <w:r>
        <w:rPr>
          <w:rFonts w:ascii="Verdana" w:eastAsia="Calibri" w:hAnsi="Verdana" w:cs="Arial"/>
          <w:sz w:val="22"/>
          <w:szCs w:val="22"/>
        </w:rPr>
        <w:t xml:space="preserve"> explicada previamente</w:t>
      </w:r>
      <w:r w:rsidRPr="00A00771">
        <w:rPr>
          <w:rFonts w:ascii="Verdana" w:eastAsia="Calibri" w:hAnsi="Verdana" w:cs="Arial"/>
          <w:sz w:val="22"/>
          <w:szCs w:val="22"/>
        </w:rPr>
        <w:t>, no se limita a la figura formal de “contratación directa” prevista en el EGCAP. Por el contrario, comprende cualquier sistema de selección o procedimiento de contratación utilizado por las entidades estatales que no incluya convocatoria pública</w:t>
      </w:r>
      <w:r w:rsidRPr="0044553E">
        <w:rPr>
          <w:sz w:val="22"/>
          <w:szCs w:val="22"/>
        </w:rPr>
        <w:t xml:space="preserve"> </w:t>
      </w:r>
      <w:r w:rsidRPr="0044553E">
        <w:rPr>
          <w:rFonts w:ascii="Verdana" w:eastAsia="Calibri" w:hAnsi="Verdana" w:cs="Arial"/>
          <w:sz w:val="22"/>
          <w:szCs w:val="22"/>
        </w:rPr>
        <w:t>en alguna de sus etapas ni permita la participación de una pluralidad de oferentes, ya sea que se trate de mecanismos regulados por el Estatuto General de Contratación o por regímenes especiales.</w:t>
      </w:r>
    </w:p>
    <w:p w14:paraId="2A6DC565" w14:textId="77777777" w:rsidR="00085146" w:rsidRPr="0044553E" w:rsidRDefault="00085146" w:rsidP="00085146">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EF7387">
        <w:rPr>
          <w:rFonts w:ascii="Verdana" w:eastAsia="Calibri" w:hAnsi="Verdana" w:cs="Arial"/>
          <w:sz w:val="22"/>
          <w:szCs w:val="22"/>
        </w:rPr>
        <w:t xml:space="preserve">Desde esta perspectiva, lo relevante no es el régimen jurídico del cual se derive el negocio jurídico, sino su naturaleza no competitiva y la ausencia de concurrencia, elementos que justifican la restricción impuesta por la </w:t>
      </w:r>
      <w:r>
        <w:rPr>
          <w:rFonts w:ascii="Verdana" w:eastAsia="Calibri" w:hAnsi="Verdana" w:cs="Arial"/>
          <w:sz w:val="22"/>
          <w:szCs w:val="22"/>
        </w:rPr>
        <w:t>L</w:t>
      </w:r>
      <w:r w:rsidRPr="00EF7387">
        <w:rPr>
          <w:rFonts w:ascii="Verdana" w:eastAsia="Calibri" w:hAnsi="Verdana" w:cs="Arial"/>
          <w:sz w:val="22"/>
          <w:szCs w:val="22"/>
        </w:rPr>
        <w:t xml:space="preserve">ey de </w:t>
      </w:r>
      <w:r>
        <w:rPr>
          <w:rFonts w:ascii="Verdana" w:eastAsia="Calibri" w:hAnsi="Verdana" w:cs="Arial"/>
          <w:sz w:val="22"/>
          <w:szCs w:val="22"/>
        </w:rPr>
        <w:t>G</w:t>
      </w:r>
      <w:r w:rsidRPr="00EF7387">
        <w:rPr>
          <w:rFonts w:ascii="Verdana" w:eastAsia="Calibri" w:hAnsi="Verdana" w:cs="Arial"/>
          <w:sz w:val="22"/>
          <w:szCs w:val="22"/>
        </w:rPr>
        <w:t>arantías.</w:t>
      </w:r>
      <w:r>
        <w:rPr>
          <w:rFonts w:ascii="Verdana" w:eastAsia="Calibri" w:hAnsi="Verdana" w:cs="Arial"/>
          <w:sz w:val="22"/>
          <w:szCs w:val="22"/>
        </w:rPr>
        <w:t xml:space="preserve"> </w:t>
      </w:r>
      <w:r w:rsidRPr="0044553E">
        <w:rPr>
          <w:rFonts w:ascii="Verdana" w:eastAsia="Calibri" w:hAnsi="Verdana" w:cs="Arial"/>
          <w:sz w:val="22"/>
          <w:szCs w:val="22"/>
        </w:rPr>
        <w:t xml:space="preserve">En este sentido, si bien la celebración de la promesa de compraventa o del contrato de compraventa se deriva de un procedimiento administrativo </w:t>
      </w:r>
      <w:r>
        <w:rPr>
          <w:rFonts w:ascii="Verdana" w:eastAsia="Calibri" w:hAnsi="Verdana" w:cs="Arial"/>
          <w:sz w:val="22"/>
          <w:szCs w:val="22"/>
        </w:rPr>
        <w:t xml:space="preserve">que se regula por reglas </w:t>
      </w:r>
      <w:r w:rsidRPr="0044553E">
        <w:rPr>
          <w:rFonts w:ascii="Verdana" w:eastAsia="Calibri" w:hAnsi="Verdana" w:cs="Arial"/>
          <w:sz w:val="22"/>
          <w:szCs w:val="22"/>
        </w:rPr>
        <w:t>especial</w:t>
      </w:r>
      <w:r>
        <w:rPr>
          <w:rFonts w:ascii="Verdana" w:eastAsia="Calibri" w:hAnsi="Verdana" w:cs="Arial"/>
          <w:sz w:val="22"/>
          <w:szCs w:val="22"/>
        </w:rPr>
        <w:t>es</w:t>
      </w:r>
      <w:r w:rsidRPr="0044553E">
        <w:rPr>
          <w:rFonts w:ascii="Verdana" w:eastAsia="Calibri" w:hAnsi="Verdana" w:cs="Arial"/>
          <w:sz w:val="22"/>
          <w:szCs w:val="22"/>
        </w:rPr>
        <w:t>, ello no desvirtúa su carácter de cont</w:t>
      </w:r>
      <w:r>
        <w:rPr>
          <w:rFonts w:ascii="Verdana" w:eastAsia="Calibri" w:hAnsi="Verdana" w:cs="Arial"/>
          <w:sz w:val="22"/>
          <w:szCs w:val="22"/>
        </w:rPr>
        <w:t>rato</w:t>
      </w:r>
      <w:r w:rsidRPr="0044553E">
        <w:rPr>
          <w:rFonts w:ascii="Verdana" w:eastAsia="Calibri" w:hAnsi="Verdana" w:cs="Arial"/>
          <w:sz w:val="22"/>
          <w:szCs w:val="22"/>
        </w:rPr>
        <w:t xml:space="preserve"> direct</w:t>
      </w:r>
      <w:r>
        <w:rPr>
          <w:rFonts w:ascii="Verdana" w:eastAsia="Calibri" w:hAnsi="Verdana" w:cs="Arial"/>
          <w:sz w:val="22"/>
          <w:szCs w:val="22"/>
        </w:rPr>
        <w:t>o</w:t>
      </w:r>
      <w:r w:rsidRPr="0044553E">
        <w:rPr>
          <w:rFonts w:ascii="Verdana" w:eastAsia="Calibri" w:hAnsi="Verdana" w:cs="Arial"/>
          <w:sz w:val="22"/>
          <w:szCs w:val="22"/>
        </w:rPr>
        <w:t xml:space="preserve">, en la medida en que la entidad estatal negocia y contrata con un único </w:t>
      </w:r>
      <w:r w:rsidRPr="0044553E">
        <w:rPr>
          <w:rFonts w:ascii="Verdana" w:eastAsia="Calibri" w:hAnsi="Verdana" w:cs="Arial"/>
          <w:sz w:val="22"/>
          <w:szCs w:val="22"/>
        </w:rPr>
        <w:lastRenderedPageBreak/>
        <w:t>propietario, sin competencia entre oferentes, independientemente del contexto normativo que rodea la adquisición del inmueble.</w:t>
      </w:r>
      <w:r>
        <w:rPr>
          <w:rFonts w:ascii="Verdana" w:eastAsia="Calibri" w:hAnsi="Verdana" w:cs="Arial"/>
          <w:sz w:val="22"/>
          <w:szCs w:val="22"/>
        </w:rPr>
        <w:t xml:space="preserve"> </w:t>
      </w:r>
    </w:p>
    <w:p w14:paraId="503A72C8" w14:textId="77777777" w:rsidR="00085146" w:rsidRDefault="00085146" w:rsidP="00085146">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7806D8">
        <w:rPr>
          <w:rFonts w:ascii="Verdana" w:eastAsia="Calibri" w:hAnsi="Verdana" w:cs="Arial"/>
          <w:sz w:val="22"/>
          <w:szCs w:val="22"/>
        </w:rPr>
        <w:t xml:space="preserve">En consecuencia, si bien el procedimiento administrativo de adquisición predial, </w:t>
      </w:r>
      <w:r>
        <w:rPr>
          <w:rFonts w:ascii="Verdana" w:eastAsia="Calibri" w:hAnsi="Verdana" w:cs="Arial"/>
          <w:sz w:val="22"/>
          <w:szCs w:val="22"/>
        </w:rPr>
        <w:t>por sí mismo</w:t>
      </w:r>
      <w:r w:rsidRPr="007806D8">
        <w:rPr>
          <w:rFonts w:ascii="Verdana" w:eastAsia="Calibri" w:hAnsi="Verdana" w:cs="Arial"/>
          <w:sz w:val="22"/>
          <w:szCs w:val="22"/>
        </w:rPr>
        <w:t xml:space="preserve">, no se encuentra sometido a las disposiciones </w:t>
      </w:r>
      <w:r>
        <w:rPr>
          <w:rFonts w:ascii="Verdana" w:eastAsia="Calibri" w:hAnsi="Verdana" w:cs="Arial"/>
          <w:sz w:val="22"/>
          <w:szCs w:val="22"/>
        </w:rPr>
        <w:t xml:space="preserve">al EGCAP </w:t>
      </w:r>
      <w:r w:rsidRPr="007806D8">
        <w:rPr>
          <w:rFonts w:ascii="Verdana" w:eastAsia="Calibri" w:hAnsi="Verdana" w:cs="Arial"/>
          <w:sz w:val="22"/>
          <w:szCs w:val="22"/>
        </w:rPr>
        <w:t xml:space="preserve">ni a la Ley de Garantías </w:t>
      </w:r>
      <w:r>
        <w:rPr>
          <w:rFonts w:ascii="Verdana" w:eastAsia="Calibri" w:hAnsi="Verdana" w:cs="Arial"/>
          <w:sz w:val="22"/>
          <w:szCs w:val="22"/>
        </w:rPr>
        <w:t xml:space="preserve">Electorales </w:t>
      </w:r>
      <w:r w:rsidRPr="007806D8">
        <w:rPr>
          <w:rFonts w:ascii="Verdana" w:eastAsia="Calibri" w:hAnsi="Verdana" w:cs="Arial"/>
          <w:sz w:val="22"/>
          <w:szCs w:val="22"/>
        </w:rPr>
        <w:t>en los términos previamente analizados, lo cierto es que el contrato de compraventa que pone fin a dicho procedimiento sí da lugar a la aplicación de la restricción prevista en el artículo 33 de la Ley 996 de 2005. Ello, en la medida en que se trata de un contrato estatal celebrado sin pluralidad de oferentes, circunstancia que activa la prohibición allí consagrada. Adicionalmente, dentro de las excepciones expresamente previstas por el legislador en dicha norma no se encuentran comprendidos los contratos que se deriven del procedimiento administrativo de adquisición</w:t>
      </w:r>
      <w:r>
        <w:rPr>
          <w:rFonts w:ascii="Verdana" w:eastAsia="Calibri" w:hAnsi="Verdana" w:cs="Arial"/>
          <w:sz w:val="22"/>
          <w:szCs w:val="22"/>
        </w:rPr>
        <w:t xml:space="preserve"> predial</w:t>
      </w:r>
      <w:r w:rsidRPr="007806D8">
        <w:rPr>
          <w:rFonts w:ascii="Verdana" w:eastAsia="Calibri" w:hAnsi="Verdana" w:cs="Arial"/>
          <w:sz w:val="22"/>
          <w:szCs w:val="22"/>
        </w:rPr>
        <w:t>, lo cual resulta relevante, pues de haber sido la intención del legislador exceptuar este tipo de negocios jurídicos, así lo habría señalado de manera expresa, tal como lo hizo respecto de otras hipótesis exceptuadas.</w:t>
      </w:r>
    </w:p>
    <w:p w14:paraId="6D523A3F" w14:textId="77777777" w:rsidR="00085146" w:rsidRPr="001D031E" w:rsidRDefault="00085146" w:rsidP="00085146">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Pr>
          <w:rFonts w:ascii="Verdana" w:eastAsia="Calibri" w:hAnsi="Verdana" w:cs="Arial"/>
          <w:sz w:val="22"/>
          <w:szCs w:val="22"/>
        </w:rPr>
        <w:t>Sobre el particular, se precisa que la Sala de Consulta y Servicio Civil del Consejo de Estado, en concepto del 21 de mayo del 2014</w:t>
      </w:r>
      <w:r>
        <w:rPr>
          <w:rStyle w:val="Refdenotaalpie"/>
          <w:rFonts w:ascii="Verdana" w:eastAsia="Calibri" w:hAnsi="Verdana" w:cs="Arial"/>
          <w:sz w:val="22"/>
          <w:szCs w:val="22"/>
        </w:rPr>
        <w:footnoteReference w:id="14"/>
      </w:r>
      <w:r>
        <w:rPr>
          <w:rFonts w:ascii="Verdana" w:eastAsia="Calibri" w:hAnsi="Verdana" w:cs="Arial"/>
          <w:sz w:val="22"/>
          <w:szCs w:val="22"/>
        </w:rPr>
        <w:t>, respecto de una consulta relacionada con la aplicación d</w:t>
      </w:r>
      <w:r w:rsidRPr="000634B9">
        <w:rPr>
          <w:rFonts w:ascii="Verdana" w:eastAsia="Calibri" w:hAnsi="Verdana" w:cs="Arial"/>
          <w:sz w:val="22"/>
          <w:szCs w:val="22"/>
        </w:rPr>
        <w:t>el artículo 33 de la Ley 996 de 2005, a los procesos que debe adelantar el INCODER para realizar la compraventa de algunos predios destinados a las Comunidades Étnicas</w:t>
      </w:r>
      <w:r>
        <w:rPr>
          <w:rFonts w:ascii="Verdana" w:eastAsia="Calibri" w:hAnsi="Verdana" w:cs="Arial"/>
          <w:sz w:val="22"/>
          <w:szCs w:val="22"/>
        </w:rPr>
        <w:t>, concluyó que “</w:t>
      </w:r>
      <w:r w:rsidRPr="00BB7F22">
        <w:rPr>
          <w:rFonts w:ascii="Verdana" w:eastAsia="Calibri" w:hAnsi="Verdana" w:cs="Arial"/>
          <w:sz w:val="22"/>
          <w:szCs w:val="22"/>
        </w:rPr>
        <w:t>el Instituto Colombiano de Desarrollo Rural –INCODER- no puede adelantar las contrataciones directas para adquirir los terrenos de que trata la Ley 160 de 1994, por cuanto se trata de una hipótesis que no cabe dentro de las excepciones previstas en el inciso último del artículo 33 de la Ley 996 de 2005</w:t>
      </w:r>
      <w:r>
        <w:rPr>
          <w:rFonts w:ascii="Verdana" w:eastAsia="Calibri" w:hAnsi="Verdana" w:cs="Arial"/>
          <w:sz w:val="22"/>
          <w:szCs w:val="22"/>
        </w:rPr>
        <w:t xml:space="preserve">”. </w:t>
      </w:r>
      <w:r>
        <w:rPr>
          <w:rFonts w:ascii="Verdana" w:hAnsi="Verdana" w:cs="Arial"/>
          <w:sz w:val="22"/>
          <w:szCs w:val="22"/>
          <w:lang w:val="es-ES" w:eastAsia="es-ES_tradnl"/>
        </w:rPr>
        <w:t>P</w:t>
      </w:r>
      <w:r w:rsidRPr="001D031E">
        <w:rPr>
          <w:rFonts w:ascii="Verdana" w:hAnsi="Verdana" w:cs="Arial"/>
          <w:sz w:val="22"/>
          <w:szCs w:val="22"/>
          <w:lang w:val="es-ES" w:eastAsia="es-ES_tradnl"/>
        </w:rPr>
        <w:t>ara argumentar dicha postura, el Consejo de Estado señaló lo siguiente:</w:t>
      </w:r>
      <w:r>
        <w:rPr>
          <w:rFonts w:ascii="Verdana" w:hAnsi="Verdana" w:cs="Arial"/>
          <w:lang w:val="es-ES" w:eastAsia="es-ES_tradnl"/>
        </w:rPr>
        <w:t xml:space="preserve"> </w:t>
      </w:r>
    </w:p>
    <w:p w14:paraId="069169B1" w14:textId="77777777" w:rsidR="00085146" w:rsidRDefault="00085146" w:rsidP="00085146">
      <w:pPr>
        <w:tabs>
          <w:tab w:val="left" w:pos="426"/>
        </w:tabs>
        <w:spacing w:after="0" w:line="276" w:lineRule="auto"/>
        <w:jc w:val="both"/>
        <w:rPr>
          <w:rFonts w:ascii="Verdana" w:eastAsia="Times New Roman" w:hAnsi="Verdana" w:cs="Arial"/>
          <w:lang w:val="es-ES" w:eastAsia="es-ES_tradnl"/>
        </w:rPr>
      </w:pPr>
    </w:p>
    <w:p w14:paraId="139066DF" w14:textId="77777777" w:rsidR="00085146" w:rsidRPr="00D85C95" w:rsidRDefault="00085146" w:rsidP="00085146">
      <w:pPr>
        <w:spacing w:after="120" w:line="240" w:lineRule="auto"/>
        <w:ind w:left="709" w:right="709"/>
        <w:jc w:val="both"/>
        <w:rPr>
          <w:rFonts w:ascii="Verdana" w:eastAsia="Calibri" w:hAnsi="Verdana" w:cs="Arial"/>
          <w:b/>
          <w:bCs/>
          <w:i/>
          <w:iCs/>
          <w:sz w:val="20"/>
          <w:szCs w:val="20"/>
        </w:rPr>
      </w:pPr>
      <w:r>
        <w:rPr>
          <w:rFonts w:ascii="Verdana" w:eastAsia="Calibri" w:hAnsi="Verdana" w:cs="Arial"/>
          <w:sz w:val="20"/>
          <w:szCs w:val="20"/>
          <w:lang w:val="es-MX"/>
        </w:rPr>
        <w:t>“</w:t>
      </w:r>
      <w:r w:rsidRPr="00CC7726">
        <w:rPr>
          <w:rFonts w:ascii="Verdana" w:eastAsia="Calibri" w:hAnsi="Verdana" w:cs="Arial"/>
          <w:sz w:val="20"/>
          <w:szCs w:val="20"/>
        </w:rPr>
        <w:t xml:space="preserve">Así, en los casos de negociación directa de la Ley 160 de 1994 se tiene que la identificación y valoración de los predios la hace el INCODER. De igual forma, el instituto adelanta los trámites para hacer la oferta al propietario del predio y cumple con la obligación de pago frente al vendedor. </w:t>
      </w:r>
      <w:r w:rsidRPr="00D85C95">
        <w:rPr>
          <w:rFonts w:ascii="Verdana" w:eastAsia="Calibri" w:hAnsi="Verdana" w:cs="Arial"/>
          <w:b/>
          <w:bCs/>
          <w:i/>
          <w:iCs/>
          <w:sz w:val="20"/>
          <w:szCs w:val="20"/>
        </w:rPr>
        <w:t>Como se advierte, este proceso de compra de los predios obviamente no admite la posibilidad de que concurra pluralidad de oferentes ni de llevar a cabo un proceso de licitación pública.</w:t>
      </w:r>
    </w:p>
    <w:p w14:paraId="25C73C00" w14:textId="77777777" w:rsidR="00085146" w:rsidRPr="009D26DE" w:rsidRDefault="00085146" w:rsidP="00085146">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lastRenderedPageBreak/>
        <w:t xml:space="preserve">Por tanto, </w:t>
      </w:r>
      <w:r w:rsidRPr="009D26DE">
        <w:rPr>
          <w:rFonts w:ascii="Verdana" w:eastAsia="Calibri" w:hAnsi="Verdana" w:cs="Arial"/>
          <w:sz w:val="20"/>
          <w:szCs w:val="20"/>
          <w:lang w:val="es-MX"/>
        </w:rPr>
        <w:t xml:space="preserve">si dentro de la etapa de negociación directa el INCODER logra el acuerdo de un particular para adquirir un predio con destino a las comunidades destinatarias de la Ley 160 de 1994, </w:t>
      </w:r>
      <w:r w:rsidRPr="00396998">
        <w:rPr>
          <w:rFonts w:ascii="Verdana" w:eastAsia="Calibri" w:hAnsi="Verdana" w:cs="Arial"/>
          <w:b/>
          <w:bCs/>
          <w:i/>
          <w:iCs/>
          <w:sz w:val="20"/>
          <w:szCs w:val="20"/>
          <w:lang w:val="es-MX"/>
        </w:rPr>
        <w:t>el negocio jurídico de compraventa de esos predios queda afectado por la prohibición temporal a la contratación directa, durante los cuatro (4) meses anteriores a la elección presidencial y hasta la realización de la elección en la segunda vuelta, consagrada en el artículo 33 de la Ley 996 de 2005.</w:t>
      </w:r>
      <w:r w:rsidRPr="009D26DE">
        <w:rPr>
          <w:rFonts w:ascii="Verdana" w:eastAsia="Calibri" w:hAnsi="Verdana" w:cs="Arial"/>
          <w:sz w:val="20"/>
          <w:szCs w:val="20"/>
          <w:lang w:val="es-MX"/>
        </w:rPr>
        <w:t xml:space="preserve"> </w:t>
      </w:r>
    </w:p>
    <w:p w14:paraId="67558E4F" w14:textId="77777777" w:rsidR="00085146" w:rsidRDefault="00085146" w:rsidP="00085146">
      <w:pPr>
        <w:spacing w:after="120" w:line="240" w:lineRule="auto"/>
        <w:ind w:left="709" w:right="709"/>
        <w:jc w:val="both"/>
        <w:rPr>
          <w:rFonts w:ascii="Verdana" w:eastAsia="Calibri" w:hAnsi="Verdana" w:cs="Arial"/>
          <w:sz w:val="20"/>
          <w:szCs w:val="20"/>
          <w:lang w:val="es-MX"/>
        </w:rPr>
      </w:pPr>
      <w:r w:rsidRPr="009D26DE">
        <w:rPr>
          <w:rFonts w:ascii="Verdana" w:eastAsia="Calibri" w:hAnsi="Verdana" w:cs="Arial"/>
          <w:sz w:val="20"/>
          <w:szCs w:val="20"/>
          <w:lang w:val="es-MX"/>
        </w:rPr>
        <w:t>Ahora bien, esta Sala ha sido enfática al señalar que las excepciones consagradas en el inciso segundo del artículo 33 son taxativas y su interpretación debe ser de carácter restrictivo. A partir de esta premisa concluye la Sala que la actividad contractual del INCODER en relación con la compraventa de los predios destinados a las Comunidades Étnicas no se ajusta a ninguna de las hipótesis exceptivas que consagra el artículo 33 de la Ley de Garantías Electorales</w:t>
      </w:r>
      <w:r>
        <w:rPr>
          <w:rFonts w:ascii="Verdana" w:eastAsia="Calibri" w:hAnsi="Verdana" w:cs="Arial"/>
          <w:sz w:val="20"/>
          <w:szCs w:val="20"/>
          <w:lang w:val="es-MX"/>
        </w:rPr>
        <w:t>”</w:t>
      </w:r>
      <w:r w:rsidRPr="009D26DE">
        <w:rPr>
          <w:rFonts w:ascii="Verdana" w:eastAsia="Calibri" w:hAnsi="Verdana" w:cs="Arial"/>
          <w:sz w:val="20"/>
          <w:szCs w:val="20"/>
          <w:lang w:val="es-MX"/>
        </w:rPr>
        <w:t>.</w:t>
      </w:r>
    </w:p>
    <w:p w14:paraId="58416362" w14:textId="77777777" w:rsidR="00085146" w:rsidRPr="009D26DE" w:rsidRDefault="00085146" w:rsidP="00085146">
      <w:pPr>
        <w:spacing w:after="0" w:line="240" w:lineRule="auto"/>
        <w:ind w:left="709" w:right="709"/>
        <w:jc w:val="both"/>
        <w:rPr>
          <w:rFonts w:ascii="Verdana" w:eastAsia="Calibri" w:hAnsi="Verdana" w:cs="Arial"/>
          <w:sz w:val="20"/>
          <w:szCs w:val="20"/>
          <w:lang w:val="es-MX"/>
        </w:rPr>
      </w:pPr>
    </w:p>
    <w:bookmarkEnd w:id="4"/>
    <w:p w14:paraId="5F8E9C03" w14:textId="77777777" w:rsidR="00085146" w:rsidRDefault="00085146" w:rsidP="00085146">
      <w:pPr>
        <w:spacing w:after="120" w:line="276" w:lineRule="auto"/>
        <w:ind w:firstLine="709"/>
        <w:jc w:val="both"/>
        <w:rPr>
          <w:rFonts w:ascii="Verdana" w:eastAsia="Calibri" w:hAnsi="Verdana" w:cs="Arial"/>
        </w:rPr>
      </w:pPr>
      <w:r>
        <w:rPr>
          <w:rFonts w:ascii="Verdana" w:eastAsia="Times New Roman" w:hAnsi="Verdana" w:cs="Arial"/>
          <w:bCs/>
          <w:lang w:val="es-MX" w:eastAsia="x-none"/>
        </w:rPr>
        <w:t xml:space="preserve">Conforme se desprende de lo anterior, el Consejo de Estado concluyó la aplicación del artículo 33 de la Ley de Garantías Electorales al procedimiento </w:t>
      </w:r>
      <w:r w:rsidRPr="00740990">
        <w:rPr>
          <w:rFonts w:ascii="Verdana" w:eastAsia="Times New Roman" w:hAnsi="Verdana" w:cs="Arial"/>
          <w:bCs/>
          <w:lang w:eastAsia="x-none"/>
        </w:rPr>
        <w:t>administrativo de adquisición de predios para las comunidades indígenas, afrocolombianas y demás minorías étnicas a cargo del INCODER</w:t>
      </w:r>
      <w:r>
        <w:rPr>
          <w:rFonts w:ascii="Verdana" w:eastAsia="Times New Roman" w:hAnsi="Verdana" w:cs="Arial"/>
          <w:bCs/>
          <w:lang w:eastAsia="x-none"/>
        </w:rPr>
        <w:t>, teniendo en cuenta que en este</w:t>
      </w:r>
      <w:r w:rsidRPr="00EB50CC">
        <w:rPr>
          <w:rFonts w:ascii="Verdana" w:eastAsia="Calibri" w:hAnsi="Verdana" w:cs="Arial"/>
          <w:b/>
          <w:bCs/>
          <w:i/>
          <w:iCs/>
          <w:sz w:val="20"/>
          <w:szCs w:val="20"/>
        </w:rPr>
        <w:t xml:space="preserve"> </w:t>
      </w:r>
      <w:r w:rsidRPr="007C4B33">
        <w:rPr>
          <w:rFonts w:ascii="Verdana" w:eastAsia="Calibri" w:hAnsi="Verdana" w:cs="Arial"/>
        </w:rPr>
        <w:t xml:space="preserve">no se admite la posibilidad de que concurra pluralidad de oferentes ni de llevar a cabo un proceso de licitación pública y </w:t>
      </w:r>
      <w:r>
        <w:rPr>
          <w:rFonts w:ascii="Verdana" w:eastAsia="Calibri" w:hAnsi="Verdana" w:cs="Arial"/>
        </w:rPr>
        <w:t>que</w:t>
      </w:r>
      <w:r w:rsidRPr="007C4B33">
        <w:rPr>
          <w:rFonts w:ascii="Verdana" w:eastAsia="Calibri" w:hAnsi="Verdana" w:cs="Arial"/>
        </w:rPr>
        <w:t xml:space="preserve"> conlleva</w:t>
      </w:r>
      <w:r>
        <w:rPr>
          <w:rFonts w:ascii="Verdana" w:eastAsia="Calibri" w:hAnsi="Verdana" w:cs="Arial"/>
        </w:rPr>
        <w:t xml:space="preserve"> la celebración de una compraventa en caso de que se logre acuerdo con el particular para adquirir el predio.</w:t>
      </w:r>
    </w:p>
    <w:p w14:paraId="7D041121" w14:textId="77777777" w:rsidR="00085146" w:rsidRDefault="00085146" w:rsidP="00085146">
      <w:pPr>
        <w:spacing w:after="120" w:line="276" w:lineRule="auto"/>
        <w:ind w:firstLine="709"/>
        <w:jc w:val="both"/>
        <w:rPr>
          <w:rFonts w:ascii="Verdana" w:eastAsia="Calibri" w:hAnsi="Verdana" w:cs="Arial"/>
        </w:rPr>
      </w:pPr>
      <w:r w:rsidRPr="009B6C64">
        <w:rPr>
          <w:rFonts w:ascii="Verdana" w:eastAsia="Calibri" w:hAnsi="Verdana" w:cs="Arial"/>
        </w:rPr>
        <w:t xml:space="preserve">Lo anterior resulta especialmente </w:t>
      </w:r>
      <w:r>
        <w:rPr>
          <w:rFonts w:ascii="Verdana" w:eastAsia="Calibri" w:hAnsi="Verdana" w:cs="Arial"/>
        </w:rPr>
        <w:t>importante</w:t>
      </w:r>
      <w:r w:rsidRPr="009B6C64">
        <w:rPr>
          <w:rFonts w:ascii="Verdana" w:eastAsia="Calibri" w:hAnsi="Verdana" w:cs="Arial"/>
        </w:rPr>
        <w:t xml:space="preserve"> para el caso bajo estudio, ya que, aunque el procedimiento administrativo de adquisición </w:t>
      </w:r>
      <w:r>
        <w:rPr>
          <w:rFonts w:ascii="Verdana" w:eastAsia="Calibri" w:hAnsi="Verdana" w:cs="Arial"/>
        </w:rPr>
        <w:t xml:space="preserve">predial </w:t>
      </w:r>
      <w:r w:rsidRPr="009B6C64">
        <w:rPr>
          <w:rFonts w:ascii="Verdana" w:eastAsia="Calibri" w:hAnsi="Verdana" w:cs="Arial"/>
        </w:rPr>
        <w:t>adelantado por el INCODER presenta diferencias sustanciales frente al procedimiento de adquisición predial por razones de utilidad pública</w:t>
      </w:r>
      <w:r>
        <w:rPr>
          <w:rFonts w:ascii="Verdana" w:eastAsia="Calibri" w:hAnsi="Verdana" w:cs="Arial"/>
        </w:rPr>
        <w:t xml:space="preserve">, concretamente </w:t>
      </w:r>
      <w:r w:rsidRPr="009B6C64">
        <w:rPr>
          <w:rFonts w:ascii="Verdana" w:eastAsia="Calibri" w:hAnsi="Verdana" w:cs="Arial"/>
        </w:rPr>
        <w:t xml:space="preserve">en lo relativo a su objeto, </w:t>
      </w:r>
      <w:r>
        <w:rPr>
          <w:rFonts w:ascii="Verdana" w:eastAsia="Calibri" w:hAnsi="Verdana" w:cs="Arial"/>
        </w:rPr>
        <w:t xml:space="preserve">reglas, </w:t>
      </w:r>
      <w:r w:rsidRPr="009B6C64">
        <w:rPr>
          <w:rFonts w:ascii="Verdana" w:eastAsia="Calibri" w:hAnsi="Verdana" w:cs="Arial"/>
        </w:rPr>
        <w:t xml:space="preserve">a los sujetos destinatarios y a las autoridades competentes para su desarrollo, debe tenerse en cuenta que, </w:t>
      </w:r>
      <w:r>
        <w:rPr>
          <w:rFonts w:ascii="Verdana" w:eastAsia="Calibri" w:hAnsi="Verdana" w:cs="Arial"/>
        </w:rPr>
        <w:t xml:space="preserve">de acuerdo con </w:t>
      </w:r>
      <w:r w:rsidRPr="009B6C64">
        <w:rPr>
          <w:rFonts w:ascii="Verdana" w:eastAsia="Calibri" w:hAnsi="Verdana" w:cs="Arial"/>
        </w:rPr>
        <w:t>el análisis realizado por el Consejo de Estado en torno a la interpretación y aplicación del artículo 33 de la Ley 996 de 2005, ambos procedimientos coinciden en elementos estructurales esenciales que adquieren relevancia para efectos de la aplicación de la Ley de Garantías.</w:t>
      </w:r>
    </w:p>
    <w:p w14:paraId="20120A5D" w14:textId="77777777" w:rsidR="00085146" w:rsidRDefault="00085146" w:rsidP="00085146">
      <w:pPr>
        <w:spacing w:after="120" w:line="276" w:lineRule="auto"/>
        <w:ind w:firstLine="709"/>
        <w:jc w:val="both"/>
        <w:rPr>
          <w:rFonts w:ascii="Verdana" w:eastAsia="Calibri" w:hAnsi="Verdana" w:cs="Arial"/>
        </w:rPr>
      </w:pPr>
      <w:r w:rsidRPr="00654C01">
        <w:rPr>
          <w:rFonts w:ascii="Verdana" w:eastAsia="Calibri" w:hAnsi="Verdana" w:cs="Arial"/>
        </w:rPr>
        <w:t>En particular, co</w:t>
      </w:r>
      <w:r>
        <w:rPr>
          <w:rFonts w:ascii="Verdana" w:eastAsia="Calibri" w:hAnsi="Verdana" w:cs="Arial"/>
        </w:rPr>
        <w:t>nvergen</w:t>
      </w:r>
      <w:r w:rsidRPr="00654C01">
        <w:rPr>
          <w:rFonts w:ascii="Verdana" w:eastAsia="Calibri" w:hAnsi="Verdana" w:cs="Arial"/>
        </w:rPr>
        <w:t xml:space="preserve"> en dos aspectos fundamentales: (i) no admiten la concurrencia de pluralidad de oferentes ni la realización de un proceso licitación pública, y (ii) en caso de que la etapa de negociación directa resulte exitosa, el procedimiento culmina con la suscripción de una promesa de </w:t>
      </w:r>
      <w:r w:rsidRPr="00654C01">
        <w:rPr>
          <w:rFonts w:ascii="Verdana" w:eastAsia="Calibri" w:hAnsi="Verdana" w:cs="Arial"/>
        </w:rPr>
        <w:lastRenderedPageBreak/>
        <w:t xml:space="preserve">compraventa y el posterior perfeccionamiento del contrato de compraventa. En ese sentido, aun cuando se trate de procedimientos administrativos distintos, la lógica interpretativa </w:t>
      </w:r>
      <w:r>
        <w:rPr>
          <w:rFonts w:ascii="Verdana" w:eastAsia="Calibri" w:hAnsi="Verdana" w:cs="Arial"/>
        </w:rPr>
        <w:t xml:space="preserve">de aplicación del artículo 33 </w:t>
      </w:r>
      <w:r w:rsidRPr="0004219C">
        <w:rPr>
          <w:rFonts w:ascii="Verdana" w:eastAsia="Calibri" w:hAnsi="Verdana" w:cs="Arial"/>
          <w:i/>
          <w:iCs/>
        </w:rPr>
        <w:t>ibidem</w:t>
      </w:r>
      <w:r>
        <w:rPr>
          <w:rFonts w:ascii="Verdana" w:eastAsia="Calibri" w:hAnsi="Verdana" w:cs="Arial"/>
        </w:rPr>
        <w:t xml:space="preserve"> </w:t>
      </w:r>
      <w:r w:rsidRPr="00654C01">
        <w:rPr>
          <w:rFonts w:ascii="Verdana" w:eastAsia="Calibri" w:hAnsi="Verdana" w:cs="Arial"/>
        </w:rPr>
        <w:t>empleada por el Consejo de Estado resulta plenamente aplicable al procedimiento de adquisición predial</w:t>
      </w:r>
      <w:r>
        <w:rPr>
          <w:rFonts w:ascii="Verdana" w:eastAsia="Calibri" w:hAnsi="Verdana" w:cs="Arial"/>
        </w:rPr>
        <w:t xml:space="preserve"> regulado por </w:t>
      </w:r>
      <w:r w:rsidRPr="007B37F8">
        <w:rPr>
          <w:rFonts w:ascii="Verdana" w:eastAsia="Calibri" w:hAnsi="Verdana" w:cs="Arial"/>
        </w:rPr>
        <w:t>Leyes 9 de 1989, 388 de 1997 y 1682 de 2013</w:t>
      </w:r>
      <w:r w:rsidRPr="00654C01">
        <w:rPr>
          <w:rFonts w:ascii="Verdana" w:eastAsia="Calibri" w:hAnsi="Verdana" w:cs="Arial"/>
        </w:rPr>
        <w:t>, en tanto este último tampoco contempla, por expresa disposición legal, una convocatoria pública</w:t>
      </w:r>
      <w:r>
        <w:rPr>
          <w:rFonts w:ascii="Verdana" w:eastAsia="Calibri" w:hAnsi="Verdana" w:cs="Arial"/>
        </w:rPr>
        <w:t>, ni concurrencia de oferentes</w:t>
      </w:r>
      <w:r w:rsidRPr="00654C01">
        <w:rPr>
          <w:rFonts w:ascii="Verdana" w:eastAsia="Calibri" w:hAnsi="Verdana" w:cs="Arial"/>
        </w:rPr>
        <w:t xml:space="preserve"> y puede igualmente concluir con la celebración de un contrato de compraventa</w:t>
      </w:r>
      <w:r>
        <w:rPr>
          <w:rFonts w:ascii="Verdana" w:eastAsia="Calibri" w:hAnsi="Verdana" w:cs="Arial"/>
        </w:rPr>
        <w:t xml:space="preserve"> cuando se llegue a un acuerdo con el particular</w:t>
      </w:r>
      <w:r w:rsidRPr="00654C01">
        <w:rPr>
          <w:rFonts w:ascii="Verdana" w:eastAsia="Calibri" w:hAnsi="Verdana" w:cs="Arial"/>
        </w:rPr>
        <w:t>.</w:t>
      </w:r>
    </w:p>
    <w:p w14:paraId="6F24507F" w14:textId="77777777" w:rsidR="00085146" w:rsidRDefault="00085146" w:rsidP="00085146">
      <w:pPr>
        <w:spacing w:after="120" w:line="276" w:lineRule="auto"/>
        <w:ind w:firstLine="709"/>
        <w:jc w:val="both"/>
        <w:rPr>
          <w:rFonts w:ascii="Verdana" w:eastAsia="Calibri" w:hAnsi="Verdana" w:cs="Arial"/>
        </w:rPr>
      </w:pPr>
      <w:r w:rsidRPr="00B1274A">
        <w:rPr>
          <w:rFonts w:ascii="Verdana" w:eastAsia="Calibri" w:hAnsi="Verdana" w:cs="Arial"/>
        </w:rPr>
        <w:t xml:space="preserve">Lo anterior no supone, en modo alguno, una transgresión al criterio de interpretación restrictiva que rige este tipo de prohibiciones. Por el contrario, se ajusta plenamente a la hermenéutica adoptada por el Consejo de Estado en sus distintos pronunciamientos, en los cuales ha precisado de manera inequívoca que </w:t>
      </w:r>
      <w:r>
        <w:rPr>
          <w:rFonts w:ascii="Verdana" w:eastAsia="Calibri" w:hAnsi="Verdana" w:cs="Arial"/>
        </w:rPr>
        <w:t>“</w:t>
      </w:r>
      <w:r w:rsidRPr="002273D0">
        <w:rPr>
          <w:rFonts w:ascii="Verdana" w:eastAsia="Calibri" w:hAnsi="Verdana" w:cs="Arial"/>
          <w:lang w:val="es-MX"/>
        </w:rPr>
        <w:t xml:space="preserve">el enunciado ´contratación directa´ es sinónimo de </w:t>
      </w:r>
      <w:r w:rsidRPr="00E44CB8">
        <w:rPr>
          <w:rFonts w:ascii="Verdana" w:eastAsia="Calibri" w:hAnsi="Verdana" w:cs="Arial"/>
          <w:i/>
          <w:iCs/>
          <w:lang w:val="es-MX"/>
        </w:rPr>
        <w:t>cualquier sistema que no implique convocatoria pública y posibilidad de pluralidad de oferentes, y que, además, no necesariamente hace referencia al procedimiento especial regulado por la ley de contratación estatal</w:t>
      </w:r>
      <w:r>
        <w:rPr>
          <w:rFonts w:ascii="Verdana" w:eastAsia="Calibri" w:hAnsi="Verdana" w:cs="Arial"/>
          <w:lang w:val="es-MX"/>
        </w:rPr>
        <w:t>”</w:t>
      </w:r>
      <w:r w:rsidRPr="002273D0">
        <w:rPr>
          <w:rFonts w:ascii="Verdana" w:eastAsia="Calibri" w:hAnsi="Verdana" w:cs="Arial"/>
        </w:rPr>
        <w:t>.</w:t>
      </w:r>
      <w:r w:rsidRPr="00B1274A">
        <w:rPr>
          <w:rFonts w:ascii="Verdana" w:eastAsia="Calibri" w:hAnsi="Verdana" w:cs="Arial"/>
        </w:rPr>
        <w:t xml:space="preserve"> Tales consideraciones, por lo demás, han sido reiteradas en el concepto previamente citado.</w:t>
      </w:r>
    </w:p>
    <w:p w14:paraId="5F31199C" w14:textId="77777777" w:rsidR="00085146" w:rsidRDefault="00085146" w:rsidP="00085146">
      <w:pPr>
        <w:spacing w:after="120" w:line="276" w:lineRule="auto"/>
        <w:ind w:firstLine="709"/>
        <w:jc w:val="both"/>
        <w:rPr>
          <w:rFonts w:ascii="Verdana" w:eastAsia="Times New Roman" w:hAnsi="Verdana" w:cs="Arial"/>
          <w:bCs/>
          <w:lang w:val="es-MX" w:eastAsia="x-none"/>
        </w:rPr>
      </w:pPr>
      <w:r w:rsidRPr="00654C01">
        <w:rPr>
          <w:rFonts w:ascii="Verdana" w:eastAsia="Calibri" w:hAnsi="Verdana" w:cs="Arial"/>
        </w:rPr>
        <w:t xml:space="preserve"> Por consiguiente, para efectos del presente análisis, se considera que los argumentos desarrollados por el Consejo de Estado son válidos y suficientes para sostener la aplicación de la Ley de Garantías al contrato de compraventa que se derive de dicho procedimiento</w:t>
      </w:r>
      <w:r>
        <w:rPr>
          <w:rFonts w:ascii="Verdana" w:eastAsia="Calibri" w:hAnsi="Verdana" w:cs="Arial"/>
        </w:rPr>
        <w:t xml:space="preserve">. Además se reitera que dentro de las excepciones </w:t>
      </w:r>
      <w:r>
        <w:rPr>
          <w:rFonts w:ascii="Verdana" w:eastAsia="Times New Roman" w:hAnsi="Verdana" w:cs="Arial"/>
          <w:bCs/>
          <w:lang w:val="es-MX" w:eastAsia="x-none"/>
        </w:rPr>
        <w:t xml:space="preserve">establecidas en el inciso segundo del mismo artículo 33, no se contempló dicha contratación. </w:t>
      </w:r>
    </w:p>
    <w:p w14:paraId="79B07113" w14:textId="77777777" w:rsidR="00085146" w:rsidRDefault="00085146" w:rsidP="00085146">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Aunado a lo anterior, vale la pena traer a colación lo dispuesto por el Consejo de Estado sobre la importancia de que </w:t>
      </w:r>
      <w:r w:rsidRPr="008D09BD">
        <w:rPr>
          <w:rFonts w:ascii="Verdana" w:eastAsia="Times New Roman" w:hAnsi="Verdana" w:cs="Arial"/>
          <w:bCs/>
          <w:lang w:eastAsia="x-none"/>
        </w:rPr>
        <w:t xml:space="preserve">las entidades </w:t>
      </w:r>
      <w:r>
        <w:rPr>
          <w:rFonts w:ascii="Verdana" w:eastAsia="Times New Roman" w:hAnsi="Verdana" w:cs="Arial"/>
          <w:bCs/>
          <w:lang w:eastAsia="x-none"/>
        </w:rPr>
        <w:t xml:space="preserve">planeen y prevean </w:t>
      </w:r>
      <w:r w:rsidRPr="008D09BD">
        <w:rPr>
          <w:rFonts w:ascii="Verdana" w:eastAsia="Times New Roman" w:hAnsi="Verdana" w:cs="Arial"/>
          <w:bCs/>
          <w:lang w:eastAsia="x-none"/>
        </w:rPr>
        <w:t xml:space="preserve">con suficiente antelación las gestiones necesarias para garantizar </w:t>
      </w:r>
      <w:r>
        <w:rPr>
          <w:rFonts w:ascii="Verdana" w:eastAsia="Times New Roman" w:hAnsi="Verdana" w:cs="Arial"/>
          <w:bCs/>
          <w:lang w:eastAsia="x-none"/>
        </w:rPr>
        <w:t>los objetivos “</w:t>
      </w:r>
      <w:r w:rsidRPr="008D09BD">
        <w:rPr>
          <w:rFonts w:ascii="Verdana" w:eastAsia="Times New Roman" w:hAnsi="Verdana" w:cs="Arial"/>
          <w:bCs/>
          <w:lang w:eastAsia="x-none"/>
        </w:rPr>
        <w:t>de manera que no se vean afectados los derechos de las comunidades beneficiarias por circunstancias anticipables como las que dan origen a la legislación protectora de la igualdad política</w:t>
      </w:r>
      <w:r>
        <w:rPr>
          <w:rFonts w:ascii="Verdana" w:eastAsia="Times New Roman" w:hAnsi="Verdana" w:cs="Arial"/>
          <w:bCs/>
          <w:lang w:eastAsia="x-none"/>
        </w:rPr>
        <w:t>”</w:t>
      </w:r>
      <w:r w:rsidRPr="008D09BD">
        <w:rPr>
          <w:rFonts w:ascii="Verdana" w:eastAsia="Times New Roman" w:hAnsi="Verdana" w:cs="Arial"/>
          <w:bCs/>
          <w:lang w:eastAsia="x-none"/>
        </w:rPr>
        <w:t>.</w:t>
      </w:r>
    </w:p>
    <w:p w14:paraId="00EEEC54" w14:textId="77777777" w:rsidR="00085146" w:rsidRDefault="00085146" w:rsidP="00085146">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suma, </w:t>
      </w:r>
      <w:r w:rsidRPr="00494FAF">
        <w:rPr>
          <w:rFonts w:ascii="Verdana" w:eastAsia="Times New Roman" w:hAnsi="Verdana" w:cs="Arial"/>
          <w:bCs/>
          <w:lang w:eastAsia="x-none"/>
        </w:rPr>
        <w:t>y dando alcance a</w:t>
      </w:r>
      <w:r>
        <w:rPr>
          <w:rFonts w:ascii="Verdana" w:eastAsia="Times New Roman" w:hAnsi="Verdana" w:cs="Arial"/>
          <w:bCs/>
          <w:lang w:eastAsia="x-none"/>
        </w:rPr>
        <w:t xml:space="preserve"> los conceptos C-1512 y C-1529 de 2025, </w:t>
      </w:r>
      <w:r w:rsidRPr="00494FAF">
        <w:rPr>
          <w:rFonts w:ascii="Verdana" w:eastAsia="Times New Roman" w:hAnsi="Verdana" w:cs="Arial"/>
          <w:bCs/>
          <w:lang w:eastAsia="x-none"/>
        </w:rPr>
        <w:t xml:space="preserve">debe precisarse que la restricción establecida en el artículo 33 de la Ley 996 de 2005 no resulta aplicable al procedimiento administrativo de adquisición </w:t>
      </w:r>
      <w:r>
        <w:rPr>
          <w:rFonts w:ascii="Verdana" w:eastAsia="Times New Roman" w:hAnsi="Verdana" w:cs="Arial"/>
          <w:bCs/>
          <w:lang w:eastAsia="x-none"/>
        </w:rPr>
        <w:t xml:space="preserve">predial </w:t>
      </w:r>
      <w:r w:rsidRPr="00494FAF">
        <w:rPr>
          <w:rFonts w:ascii="Verdana" w:eastAsia="Times New Roman" w:hAnsi="Verdana" w:cs="Arial"/>
          <w:bCs/>
          <w:lang w:eastAsia="x-none"/>
        </w:rPr>
        <w:t xml:space="preserve">considerado en sí mismo, ni a su etapa preparatoria o preliminar, en la medida en que dicha disposición se circunscribe a la celebración de contratos de manera directa y no a las actuaciones administrativas previas que puedan adelantarse </w:t>
      </w:r>
      <w:r w:rsidRPr="00494FAF">
        <w:rPr>
          <w:rFonts w:ascii="Verdana" w:eastAsia="Times New Roman" w:hAnsi="Verdana" w:cs="Arial"/>
          <w:bCs/>
          <w:lang w:eastAsia="x-none"/>
        </w:rPr>
        <w:lastRenderedPageBreak/>
        <w:t>con ese propósito</w:t>
      </w:r>
      <w:r>
        <w:rPr>
          <w:rFonts w:ascii="Verdana" w:eastAsia="Times New Roman" w:hAnsi="Verdana" w:cs="Arial"/>
          <w:bCs/>
          <w:lang w:eastAsia="x-none"/>
        </w:rPr>
        <w:t>, siempre que estas no impliquen la celebración de un contrato directo</w:t>
      </w:r>
      <w:r w:rsidRPr="00494FAF">
        <w:rPr>
          <w:rFonts w:ascii="Verdana" w:eastAsia="Times New Roman" w:hAnsi="Verdana" w:cs="Arial"/>
          <w:bCs/>
          <w:lang w:eastAsia="x-none"/>
        </w:rPr>
        <w:t xml:space="preserve">. En tal sentido, la gestión predial no se ve paralizada durante el período de restricción. No obstante, frente a la celebración de una promesa de compraventa o de un contrato de compraventa, sí resulta aplicable la restricción prevista en el citado artículo 33, razón por la cual se reitera la postura sostenida en los conceptos C-1512 y C-1529, en tanto dichos negocios jurídicos comportan la celebración </w:t>
      </w:r>
      <w:r>
        <w:rPr>
          <w:rFonts w:ascii="Verdana" w:eastAsia="Times New Roman" w:hAnsi="Verdana" w:cs="Arial"/>
          <w:bCs/>
          <w:lang w:eastAsia="x-none"/>
        </w:rPr>
        <w:t xml:space="preserve">directa </w:t>
      </w:r>
      <w:r w:rsidRPr="00494FAF">
        <w:rPr>
          <w:rFonts w:ascii="Verdana" w:eastAsia="Times New Roman" w:hAnsi="Verdana" w:cs="Arial"/>
          <w:bCs/>
          <w:lang w:eastAsia="x-none"/>
        </w:rPr>
        <w:t>de un contrato estatal.</w:t>
      </w:r>
    </w:p>
    <w:p w14:paraId="68ED00E5" w14:textId="77777777" w:rsidR="00085146" w:rsidRDefault="00085146" w:rsidP="00085146">
      <w:pPr>
        <w:tabs>
          <w:tab w:val="left" w:pos="426"/>
        </w:tabs>
        <w:spacing w:after="120" w:line="276" w:lineRule="auto"/>
        <w:jc w:val="both"/>
        <w:rPr>
          <w:rFonts w:ascii="Verdana" w:eastAsia="Calibri" w:hAnsi="Verdana" w:cs="Arial"/>
          <w:lang w:val="es-ES"/>
        </w:rPr>
      </w:pPr>
      <w:r>
        <w:rPr>
          <w:rFonts w:ascii="Verdana" w:eastAsia="Calibri" w:hAnsi="Verdana" w:cs="Arial"/>
          <w:lang w:val="es-ES"/>
        </w:rPr>
        <w:t xml:space="preserve">iii. Al margen de lo expuesto, </w:t>
      </w:r>
      <w:r>
        <w:rPr>
          <w:rFonts w:ascii="Verdana" w:eastAsia="Calibri" w:hAnsi="Verdana" w:cs="Arial"/>
          <w:bCs/>
          <w:lang w:val="es-ES_tradnl"/>
        </w:rPr>
        <w:t xml:space="preserve">debe precisarse que la </w:t>
      </w:r>
      <w:r w:rsidRPr="008F0413">
        <w:rPr>
          <w:rFonts w:ascii="Verdana" w:eastAsia="Calibri" w:hAnsi="Verdana" w:cs="Arial"/>
          <w:bCs/>
          <w:lang w:val="es-ES_tradnl"/>
        </w:rPr>
        <w:t>competencia consultiva</w:t>
      </w:r>
      <w:r>
        <w:rPr>
          <w:rFonts w:ascii="Verdana" w:eastAsia="Calibri" w:hAnsi="Verdana" w:cs="Arial"/>
          <w:bCs/>
          <w:lang w:val="es-ES_tradnl"/>
        </w:rPr>
        <w:t xml:space="preserve"> contemplada en</w:t>
      </w:r>
      <w:r w:rsidRPr="00F47E0C">
        <w:rPr>
          <w:rFonts w:ascii="Verdana" w:eastAsia="Calibri" w:hAnsi="Verdana" w:cs="Arial"/>
          <w:color w:val="000000" w:themeColor="text1"/>
          <w:lang w:val="es-ES"/>
        </w:rPr>
        <w:t xml:space="preserve"> el numeral 5 del artículo 3 </w:t>
      </w:r>
      <w:r>
        <w:rPr>
          <w:rFonts w:ascii="Verdana" w:eastAsia="Calibri" w:hAnsi="Verdana" w:cs="Arial"/>
          <w:color w:val="000000" w:themeColor="text1"/>
          <w:lang w:val="es-ES"/>
        </w:rPr>
        <w:t xml:space="preserve">y numeral 11 artículo 8 </w:t>
      </w:r>
      <w:r>
        <w:rPr>
          <w:rFonts w:ascii="Verdana" w:eastAsia="Calibri" w:hAnsi="Verdana" w:cs="Arial"/>
          <w:color w:val="000000"/>
          <w:lang w:eastAsia="es-ES"/>
        </w:rPr>
        <w:t xml:space="preserve">del Decreto 4170 de 2011 </w:t>
      </w:r>
      <w:r w:rsidRPr="00E71075">
        <w:rPr>
          <w:rFonts w:ascii="Verdana" w:eastAsia="Calibri" w:hAnsi="Verdana" w:cs="Arial"/>
          <w:lang w:val="es-ES" w:eastAsia="es-ES_tradnl"/>
        </w:rPr>
        <w:t xml:space="preserve">quedó </w:t>
      </w:r>
      <w:r>
        <w:rPr>
          <w:rFonts w:ascii="Verdana" w:eastAsia="Calibri" w:hAnsi="Verdana" w:cs="Arial"/>
          <w:lang w:val="es-ES" w:eastAsia="es-ES_tradnl"/>
        </w:rPr>
        <w:t>determinada</w:t>
      </w:r>
      <w:r w:rsidRPr="00E71075">
        <w:rPr>
          <w:rFonts w:ascii="Verdana" w:eastAsia="Calibri" w:hAnsi="Verdana" w:cs="Arial"/>
          <w:lang w:val="es-ES" w:eastAsia="es-ES_tradnl"/>
        </w:rPr>
        <w:t xml:space="preserve"> dentro de unos límites precisos. </w:t>
      </w:r>
      <w:r>
        <w:rPr>
          <w:rFonts w:ascii="Verdana" w:eastAsia="Calibri" w:hAnsi="Verdana" w:cs="Arial"/>
          <w:lang w:val="es-ES" w:eastAsia="es-ES_tradnl"/>
        </w:rPr>
        <w:t>Esta competencia</w:t>
      </w:r>
      <w:r w:rsidRPr="00E71075">
        <w:rPr>
          <w:rFonts w:ascii="Verdana" w:eastAsia="Calibri" w:hAnsi="Verdana" w:cs="Arial"/>
          <w:lang w:val="es-ES" w:eastAsia="es-ES_tradnl"/>
        </w:rPr>
        <w:t xml:space="preserve"> </w:t>
      </w:r>
      <w:r>
        <w:rPr>
          <w:rFonts w:ascii="Verdana" w:eastAsia="Calibri" w:hAnsi="Verdana" w:cs="Arial"/>
          <w:lang w:val="es-ES" w:eastAsia="es-ES_tradnl"/>
        </w:rPr>
        <w:t>está</w:t>
      </w:r>
      <w:r w:rsidRPr="00E71075">
        <w:rPr>
          <w:rFonts w:ascii="Verdana" w:eastAsia="Calibri" w:hAnsi="Verdana" w:cs="Arial"/>
          <w:lang w:val="es-ES" w:eastAsia="es-ES_tradnl"/>
        </w:rPr>
        <w:t xml:space="preserve"> claramente delimitada en la expresión “</w:t>
      </w:r>
      <w:r>
        <w:rPr>
          <w:rFonts w:ascii="Verdana" w:eastAsia="Calibri" w:hAnsi="Verdana" w:cs="Arial"/>
          <w:lang w:eastAsia="es-ES_tradnl"/>
        </w:rPr>
        <w:t>A</w:t>
      </w:r>
      <w:r w:rsidRPr="003435F6">
        <w:rPr>
          <w:rFonts w:ascii="Verdana" w:eastAsia="Calibri" w:hAnsi="Verdana" w:cs="Arial"/>
          <w:lang w:eastAsia="es-ES_tradnl"/>
        </w:rPr>
        <w:t xml:space="preserve">bsolver consultas sobre la </w:t>
      </w:r>
      <w:r w:rsidRPr="003435F6">
        <w:rPr>
          <w:rFonts w:ascii="Verdana" w:eastAsia="Calibri" w:hAnsi="Verdana" w:cs="Arial"/>
          <w:i/>
          <w:iCs/>
          <w:lang w:eastAsia="es-ES_tradnl"/>
        </w:rPr>
        <w:t xml:space="preserve">aplicación </w:t>
      </w:r>
      <w:r w:rsidRPr="003435F6">
        <w:rPr>
          <w:rFonts w:ascii="Verdana" w:eastAsia="Calibri" w:hAnsi="Verdana" w:cs="Arial"/>
          <w:i/>
          <w:iCs/>
          <w:lang w:val="es-ES" w:eastAsia="es-ES_tradnl"/>
        </w:rPr>
        <w:t>de normas de carácter general</w:t>
      </w:r>
      <w:r w:rsidRPr="00E71075">
        <w:rPr>
          <w:rFonts w:ascii="Verdana" w:eastAsia="Calibri" w:hAnsi="Verdana" w:cs="Arial"/>
          <w:lang w:val="es-ES" w:eastAsia="es-ES_tradnl"/>
        </w:rPr>
        <w:t>”</w:t>
      </w:r>
      <w:r>
        <w:rPr>
          <w:rFonts w:ascii="Verdana" w:eastAsia="Calibri" w:hAnsi="Verdana" w:cs="Arial"/>
          <w:lang w:val="es-ES" w:eastAsia="es-ES_tradnl"/>
        </w:rPr>
        <w:t xml:space="preserve">, lo que significa </w:t>
      </w:r>
      <w:r w:rsidRPr="00E71075">
        <w:rPr>
          <w:rFonts w:ascii="Verdana" w:eastAsia="Calibri" w:hAnsi="Verdana" w:cs="Arial"/>
          <w:lang w:val="es-ES" w:eastAsia="es-ES_tradnl"/>
        </w:rPr>
        <w:t>no son admisibles las consultas que busquen la solución de problemas generados en procesos de contratación particulares o cuyo propósito implique la validación de las decisiones y/o actuaciones que “</w:t>
      </w:r>
      <w:r w:rsidRPr="00E71075">
        <w:rPr>
          <w:rFonts w:ascii="Verdana" w:eastAsia="Calibri" w:hAnsi="Verdana" w:cs="Arial"/>
          <w:i/>
          <w:iCs/>
          <w:lang w:val="es-ES" w:eastAsia="es-ES_tradnl"/>
        </w:rPr>
        <w:t>pueden</w:t>
      </w:r>
      <w:r w:rsidRPr="00E71075">
        <w:rPr>
          <w:rFonts w:ascii="Verdana" w:eastAsia="Calibri" w:hAnsi="Verdana" w:cs="Arial"/>
          <w:lang w:val="es-ES" w:eastAsia="es-ES_tradnl"/>
        </w:rPr>
        <w:t>” adelantar las autoridades y/o los part</w:t>
      </w:r>
      <w:r>
        <w:rPr>
          <w:rFonts w:ascii="Verdana" w:eastAsia="Calibri" w:hAnsi="Verdana" w:cs="Arial"/>
          <w:lang w:val="es-ES" w:eastAsia="es-ES_tradnl"/>
        </w:rPr>
        <w:t>ícipes</w:t>
      </w:r>
      <w:r w:rsidRPr="00E71075">
        <w:rPr>
          <w:rFonts w:ascii="Verdana" w:eastAsia="Calibri" w:hAnsi="Verdana" w:cs="Arial"/>
          <w:lang w:val="es-ES" w:eastAsia="es-ES_tradnl"/>
        </w:rPr>
        <w:t xml:space="preserve"> del sistema de compras públicas, en ejercicio de la actividad contractual de las autoridades</w:t>
      </w:r>
      <w:r>
        <w:rPr>
          <w:rFonts w:ascii="Verdana" w:eastAsia="Calibri" w:hAnsi="Verdana" w:cs="Arial"/>
          <w:lang w:val="es-ES" w:eastAsia="es-ES_tradnl"/>
        </w:rPr>
        <w:t xml:space="preserve">. </w:t>
      </w:r>
    </w:p>
    <w:p w14:paraId="67483BBD" w14:textId="77777777" w:rsidR="00085146" w:rsidRDefault="00085146" w:rsidP="00085146">
      <w:pPr>
        <w:tabs>
          <w:tab w:val="left" w:pos="426"/>
        </w:tabs>
        <w:spacing w:after="120" w:line="276" w:lineRule="auto"/>
        <w:ind w:firstLine="709"/>
        <w:jc w:val="both"/>
        <w:rPr>
          <w:rFonts w:ascii="Verdana" w:eastAsiaTheme="minorEastAsia" w:hAnsi="Verdana" w:cs="Arial"/>
          <w:spacing w:val="-9"/>
          <w:szCs w:val="24"/>
          <w:lang w:eastAsia="es-CO"/>
        </w:rPr>
      </w:pPr>
      <w:r>
        <w:rPr>
          <w:rFonts w:ascii="Verdana" w:eastAsia="Calibri" w:hAnsi="Verdana" w:cs="Arial"/>
          <w:color w:val="000000"/>
          <w:lang w:val="es-ES" w:eastAsia="es-ES"/>
        </w:rPr>
        <w:t xml:space="preserve">Asimismo, esas competencias </w:t>
      </w:r>
      <w:r w:rsidRPr="008F0413">
        <w:rPr>
          <w:rFonts w:ascii="Verdana" w:eastAsia="Calibri" w:hAnsi="Verdana" w:cs="Arial"/>
          <w:bCs/>
          <w:lang w:val="es-ES_tradnl"/>
        </w:rPr>
        <w:t>se relaciona con el artículo 28 de la Ley 1437 de 2011, sustituido por el artículo 1 de la Ley 1755,</w:t>
      </w:r>
      <w:r>
        <w:rPr>
          <w:rFonts w:ascii="Verdana" w:eastAsia="Calibri" w:hAnsi="Verdana" w:cs="Arial"/>
          <w:bCs/>
          <w:lang w:val="es-ES_tradnl"/>
        </w:rPr>
        <w:t xml:space="preserve"> por lo que</w:t>
      </w:r>
      <w:r w:rsidRPr="008F0413">
        <w:rPr>
          <w:rFonts w:ascii="Verdana" w:eastAsia="Calibri" w:hAnsi="Verdana" w:cs="Arial"/>
          <w:bCs/>
          <w:lang w:val="es-ES_tradnl"/>
        </w:rPr>
        <w:t xml:space="preserve"> </w:t>
      </w:r>
      <w:r>
        <w:rPr>
          <w:rFonts w:ascii="Verdana" w:eastAsia="Calibri" w:hAnsi="Verdana" w:cs="Arial"/>
          <w:color w:val="000000"/>
          <w:lang w:val="es-ES" w:eastAsia="es-ES"/>
        </w:rPr>
        <w:t xml:space="preserve">los conceptos emitidos por esta Subdirección en el marco de la función consultiva </w:t>
      </w:r>
      <w:bookmarkStart w:id="5" w:name="_Hlk200718672"/>
      <w:r>
        <w:rPr>
          <w:rFonts w:ascii="Verdana" w:eastAsia="Calibri" w:hAnsi="Verdana" w:cs="Arial"/>
          <w:color w:val="000000"/>
          <w:lang w:val="es-ES" w:eastAsia="es-ES"/>
        </w:rPr>
        <w:t>representan</w:t>
      </w:r>
      <w:r>
        <w:rPr>
          <w:rFonts w:ascii="Verdana" w:hAnsi="Verdana" w:cs="Arial"/>
          <w:lang w:eastAsia="es-ES"/>
        </w:rPr>
        <w:t xml:space="preserve"> una </w:t>
      </w:r>
      <w:r w:rsidRPr="008F0413">
        <w:rPr>
          <w:rFonts w:ascii="Verdana" w:eastAsia="Calibri" w:hAnsi="Verdana" w:cs="Arial"/>
          <w:bCs/>
          <w:lang w:val="es-ES_tradnl"/>
        </w:rPr>
        <w:t>posición hermenéutica respecto a las disposiciones normativas</w:t>
      </w:r>
      <w:r>
        <w:rPr>
          <w:rFonts w:ascii="Verdana" w:eastAsia="Calibri" w:hAnsi="Verdana" w:cs="Arial"/>
          <w:bCs/>
          <w:lang w:val="es-ES_tradnl"/>
        </w:rPr>
        <w:t xml:space="preserve"> del Sistema de Compras Públicas,</w:t>
      </w:r>
      <w:r w:rsidRPr="004E32E1">
        <w:rPr>
          <w:rFonts w:ascii="Verdana" w:hAnsi="Verdana" w:cs="Arial"/>
          <w:lang w:eastAsia="es-ES"/>
        </w:rPr>
        <w:t xml:space="preserve"> </w:t>
      </w:r>
      <w:bookmarkStart w:id="6" w:name="_Hlk42100007"/>
      <w:r>
        <w:rPr>
          <w:rFonts w:ascii="Verdana" w:hAnsi="Verdana" w:cs="Arial"/>
          <w:lang w:eastAsia="es-ES"/>
        </w:rPr>
        <w:t xml:space="preserve">que </w:t>
      </w:r>
      <w:r w:rsidRPr="00DF1D83">
        <w:rPr>
          <w:rFonts w:ascii="Verdana" w:eastAsia="Calibri" w:hAnsi="Verdana" w:cs="Arial"/>
          <w:bCs/>
          <w:lang w:val="es-ES_tradnl"/>
        </w:rPr>
        <w:t xml:space="preserve">no tienen efectos vinculantes </w:t>
      </w:r>
      <w:bookmarkEnd w:id="5"/>
      <w:r w:rsidRPr="00DF1D83">
        <w:rPr>
          <w:rFonts w:ascii="Verdana" w:eastAsia="Calibri" w:hAnsi="Verdana" w:cs="Arial"/>
          <w:bCs/>
          <w:lang w:val="es-ES_tradnl"/>
        </w:rPr>
        <w:t>en relación con una situación jurídica particular y concreta, y exponen un criterio que, aunque jurídicamente fundamentado, no representan la única interpretación válida del ordenamiento jurídico.</w:t>
      </w:r>
      <w:bookmarkEnd w:id="6"/>
      <w:r w:rsidRPr="0084273B">
        <w:rPr>
          <w:rFonts w:ascii="Verdana" w:eastAsiaTheme="minorEastAsia" w:hAnsi="Verdana" w:cs="Arial"/>
          <w:szCs w:val="24"/>
          <w:lang w:eastAsia="es-CO"/>
        </w:rPr>
        <w:t xml:space="preserve"> </w:t>
      </w:r>
      <w:r>
        <w:rPr>
          <w:rFonts w:ascii="Verdana" w:eastAsiaTheme="minorEastAsia" w:hAnsi="Verdana" w:cs="Arial"/>
          <w:szCs w:val="24"/>
          <w:lang w:eastAsia="es-CO"/>
        </w:rPr>
        <w:t>De este modo, las autoridades que ejercen funciones consultivas pueden expresar su</w:t>
      </w:r>
      <w:r>
        <w:rPr>
          <w:rFonts w:ascii="Verdana" w:eastAsiaTheme="minorEastAsia" w:hAnsi="Verdana" w:cs="Arial"/>
          <w:spacing w:val="1"/>
          <w:szCs w:val="24"/>
          <w:lang w:eastAsia="es-CO"/>
        </w:rPr>
        <w:t xml:space="preserve"> </w:t>
      </w:r>
      <w:r>
        <w:rPr>
          <w:rFonts w:ascii="Verdana" w:eastAsiaTheme="minorEastAsia" w:hAnsi="Verdana" w:cs="Arial"/>
          <w:szCs w:val="24"/>
          <w:lang w:eastAsia="es-CO"/>
        </w:rPr>
        <w:t>interpretación de un precepto normativo, que no excluye otras interpretaciones posibles, pues el derecho, como sistema normativo, es un lenguaje que, en ocasiones, se tiñe de vaguedad, en</w:t>
      </w:r>
      <w:r>
        <w:rPr>
          <w:rFonts w:ascii="Verdana" w:eastAsiaTheme="minorEastAsia" w:hAnsi="Verdana" w:cs="Arial"/>
          <w:spacing w:val="1"/>
          <w:szCs w:val="24"/>
          <w:lang w:eastAsia="es-CO"/>
        </w:rPr>
        <w:t xml:space="preserve"> </w:t>
      </w:r>
      <w:r>
        <w:rPr>
          <w:rFonts w:ascii="Verdana" w:eastAsiaTheme="minorEastAsia" w:hAnsi="Verdana" w:cs="Arial"/>
          <w:szCs w:val="24"/>
          <w:lang w:eastAsia="es-CO"/>
        </w:rPr>
        <w:t>virtud</w:t>
      </w:r>
      <w:r>
        <w:rPr>
          <w:rFonts w:ascii="Verdana" w:eastAsiaTheme="minorEastAsia" w:hAnsi="Verdana" w:cs="Arial"/>
          <w:spacing w:val="-10"/>
          <w:szCs w:val="24"/>
          <w:lang w:eastAsia="es-CO"/>
        </w:rPr>
        <w:t xml:space="preserve"> </w:t>
      </w:r>
      <w:r>
        <w:rPr>
          <w:rFonts w:ascii="Verdana" w:eastAsiaTheme="minorEastAsia" w:hAnsi="Verdana" w:cs="Arial"/>
          <w:szCs w:val="24"/>
          <w:lang w:eastAsia="es-CO"/>
        </w:rPr>
        <w:t>de</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la</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utilización</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de</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conceptos</w:t>
      </w:r>
      <w:r>
        <w:rPr>
          <w:rFonts w:ascii="Verdana" w:eastAsiaTheme="minorEastAsia" w:hAnsi="Verdana" w:cs="Arial"/>
          <w:spacing w:val="-10"/>
          <w:szCs w:val="24"/>
          <w:lang w:eastAsia="es-CO"/>
        </w:rPr>
        <w:t xml:space="preserve"> </w:t>
      </w:r>
      <w:r>
        <w:rPr>
          <w:rFonts w:ascii="Verdana" w:eastAsiaTheme="minorEastAsia" w:hAnsi="Verdana" w:cs="Arial"/>
          <w:szCs w:val="24"/>
          <w:lang w:eastAsia="es-CO"/>
        </w:rPr>
        <w:t>jurídicos</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indeterminados.</w:t>
      </w:r>
      <w:r>
        <w:rPr>
          <w:rFonts w:ascii="Verdana" w:eastAsiaTheme="minorEastAsia" w:hAnsi="Verdana" w:cs="Arial"/>
          <w:spacing w:val="-9"/>
          <w:szCs w:val="24"/>
          <w:lang w:eastAsia="es-CO"/>
        </w:rPr>
        <w:t xml:space="preserve"> </w:t>
      </w:r>
    </w:p>
    <w:p w14:paraId="5928B234" w14:textId="77777777" w:rsidR="00085146" w:rsidRPr="00D04935" w:rsidRDefault="00085146" w:rsidP="00085146">
      <w:pPr>
        <w:tabs>
          <w:tab w:val="left" w:pos="426"/>
        </w:tabs>
        <w:spacing w:after="120" w:line="276" w:lineRule="auto"/>
        <w:ind w:firstLine="709"/>
        <w:jc w:val="both"/>
        <w:rPr>
          <w:rFonts w:ascii="Verdana" w:eastAsia="Calibri" w:hAnsi="Verdana" w:cs="Arial"/>
          <w:lang w:val="es-ES"/>
        </w:rPr>
      </w:pPr>
      <w:r w:rsidRPr="008F0413">
        <w:rPr>
          <w:rFonts w:ascii="Verdana" w:eastAsia="Calibri" w:hAnsi="Verdana" w:cs="Arial"/>
          <w:bCs/>
          <w:lang w:val="es-ES_tradnl"/>
        </w:rPr>
        <w:t xml:space="preserve">En términos generales, lo que se busca es que la opinión jurídica de la entidad sirva a los ciudadanos y a la administración pública para el ejercicio de sus derechos y la defensa de sus intereses, y como criterio de orientación para el cumplimiento de sus competencias legales, sin que tome partida por uno u otro, pues a la autoridad que emite el concepto no le compete resolver una </w:t>
      </w:r>
      <w:r w:rsidRPr="008F0413">
        <w:rPr>
          <w:rFonts w:ascii="Verdana" w:eastAsia="Calibri" w:hAnsi="Verdana" w:cs="Arial"/>
          <w:bCs/>
          <w:lang w:val="es-ES_tradnl"/>
        </w:rPr>
        <w:lastRenderedPageBreak/>
        <w:t>controversia o prevenir una problemática, esto es, no le corresponde determinar quién tienen la razón en su interpretación normativa.</w:t>
      </w:r>
    </w:p>
    <w:p w14:paraId="094947FD" w14:textId="77777777" w:rsidR="00085146" w:rsidRPr="00086CBB" w:rsidRDefault="00085146" w:rsidP="00085146">
      <w:pPr>
        <w:tabs>
          <w:tab w:val="left" w:pos="426"/>
        </w:tabs>
        <w:spacing w:after="120" w:line="276" w:lineRule="auto"/>
        <w:ind w:firstLine="709"/>
        <w:jc w:val="both"/>
        <w:rPr>
          <w:rFonts w:ascii="Verdana" w:eastAsia="Calibri" w:hAnsi="Verdana" w:cs="Arial"/>
          <w:bCs/>
          <w:color w:val="000000" w:themeColor="text1"/>
        </w:rPr>
      </w:pPr>
      <w:r w:rsidRPr="00F60A0F">
        <w:rPr>
          <w:rFonts w:ascii="Verdana" w:hAnsi="Verdana"/>
        </w:rPr>
        <w:t xml:space="preserve">Por tanto, </w:t>
      </w:r>
      <w:r>
        <w:rPr>
          <w:rFonts w:ascii="Verdana" w:hAnsi="Verdana"/>
        </w:rPr>
        <w:t xml:space="preserve">se reitera que </w:t>
      </w:r>
      <w:r>
        <w:rPr>
          <w:rFonts w:ascii="Verdana" w:eastAsia="Calibri" w:hAnsi="Verdana" w:cs="Arial"/>
          <w:bCs/>
          <w:color w:val="000000" w:themeColor="text1"/>
        </w:rPr>
        <w:t>el análisis requerido para resolver problemas específicos en torno a la gestión contractual de las entidades públicas y concretamente sobre la situación expuesta debe ser realizado por quienes tengan interés en ello, de acuerdo con lo explicado en este concepto.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B5B793E" w14:textId="77777777" w:rsidR="00085146" w:rsidRDefault="00085146" w:rsidP="00085146">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F473289" w14:textId="77777777" w:rsidR="00085146" w:rsidRDefault="00085146" w:rsidP="00085146">
      <w:pPr>
        <w:spacing w:after="0" w:line="276" w:lineRule="auto"/>
        <w:ind w:firstLine="709"/>
        <w:jc w:val="both"/>
        <w:rPr>
          <w:rFonts w:ascii="Verdana" w:eastAsia="Calibri" w:hAnsi="Verdana" w:cs="Arial"/>
          <w:bCs/>
          <w:color w:val="000000" w:themeColor="text1"/>
        </w:rPr>
      </w:pPr>
    </w:p>
    <w:p w14:paraId="496AAB01" w14:textId="77777777" w:rsidR="00085146" w:rsidRDefault="00085146" w:rsidP="0008514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Referencias normativas:</w:t>
      </w:r>
    </w:p>
    <w:p w14:paraId="1C2F1B29" w14:textId="77777777" w:rsidR="00085146" w:rsidRDefault="00085146" w:rsidP="00085146">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085146" w14:paraId="4D204ED3" w14:textId="77777777" w:rsidTr="00341831">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5631A68C" w14:textId="77777777" w:rsidR="00085146" w:rsidRDefault="00085146" w:rsidP="00341831">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Constitución Política de 1991, artículos 127, 197 y 209.</w:t>
            </w:r>
          </w:p>
          <w:p w14:paraId="49CF1A9B" w14:textId="77777777" w:rsidR="00085146" w:rsidRDefault="00085146" w:rsidP="00341831">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80 de 1993, artículos 2, 32, 39 y 41.</w:t>
            </w:r>
          </w:p>
          <w:p w14:paraId="293C8CAB" w14:textId="77777777" w:rsidR="00085146" w:rsidRDefault="00085146" w:rsidP="00341831">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338 de 1997, artículos 58 y ss.</w:t>
            </w:r>
          </w:p>
          <w:p w14:paraId="12ED463A" w14:textId="77777777" w:rsidR="00085146" w:rsidRDefault="00085146" w:rsidP="00341831">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 xml:space="preserve">Ley 996 de 2005, artículo 33 </w:t>
            </w:r>
          </w:p>
          <w:p w14:paraId="33ABEB33" w14:textId="77777777" w:rsidR="00085146" w:rsidRDefault="00085146" w:rsidP="00341831">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1150 de 2007, artículos 1 y 2.</w:t>
            </w:r>
          </w:p>
          <w:p w14:paraId="656ACBFB" w14:textId="77777777" w:rsidR="00085146" w:rsidRDefault="00085146" w:rsidP="00341831">
            <w:pPr>
              <w:pStyle w:val="Prrafodelista"/>
              <w:widowControl w:val="0"/>
              <w:numPr>
                <w:ilvl w:val="0"/>
                <w:numId w:val="17"/>
              </w:numPr>
              <w:autoSpaceDE w:val="0"/>
              <w:autoSpaceDN w:val="0"/>
              <w:spacing w:line="276" w:lineRule="auto"/>
              <w:ind w:left="714" w:hanging="357"/>
              <w:jc w:val="both"/>
              <w:rPr>
                <w:rFonts w:ascii="Verdana" w:hAnsi="Verdana" w:cs="Arial"/>
              </w:rPr>
            </w:pPr>
            <w:r>
              <w:rPr>
                <w:rFonts w:ascii="Verdana" w:hAnsi="Verdana" w:cs="Arial"/>
              </w:rPr>
              <w:t>Código Civil, artículo 1501.</w:t>
            </w:r>
          </w:p>
        </w:tc>
      </w:tr>
    </w:tbl>
    <w:p w14:paraId="6B7CCB0B" w14:textId="77777777" w:rsidR="00085146" w:rsidRDefault="00085146" w:rsidP="00085146">
      <w:pPr>
        <w:widowControl w:val="0"/>
        <w:autoSpaceDE w:val="0"/>
        <w:autoSpaceDN w:val="0"/>
        <w:spacing w:after="0" w:line="276" w:lineRule="auto"/>
        <w:jc w:val="both"/>
        <w:rPr>
          <w:rFonts w:ascii="Verdana" w:hAnsi="Verdana" w:cs="Arial"/>
        </w:rPr>
      </w:pPr>
    </w:p>
    <w:p w14:paraId="2D864F65" w14:textId="77777777" w:rsidR="00085146" w:rsidRDefault="00085146" w:rsidP="0008514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14A0ACD6" w14:textId="77777777" w:rsidR="00085146" w:rsidRDefault="00085146" w:rsidP="00085146">
      <w:pPr>
        <w:widowControl w:val="0"/>
        <w:autoSpaceDE w:val="0"/>
        <w:autoSpaceDN w:val="0"/>
        <w:spacing w:after="0" w:line="276" w:lineRule="auto"/>
        <w:jc w:val="both"/>
        <w:rPr>
          <w:rFonts w:ascii="Verdana" w:hAnsi="Verdana" w:cs="Arial"/>
        </w:rPr>
      </w:pPr>
    </w:p>
    <w:p w14:paraId="73134ABB" w14:textId="77777777" w:rsidR="00085146" w:rsidRDefault="00085146" w:rsidP="00085146">
      <w:pPr>
        <w:widowControl w:val="0"/>
        <w:autoSpaceDE w:val="0"/>
        <w:autoSpaceDN w:val="0"/>
        <w:spacing w:after="0" w:line="276" w:lineRule="auto"/>
        <w:jc w:val="both"/>
        <w:rPr>
          <w:rStyle w:val="normaltextrun"/>
          <w:shd w:val="clear" w:color="auto" w:fill="FFFFFF"/>
        </w:rPr>
      </w:pPr>
      <w:r>
        <w:rPr>
          <w:rFonts w:ascii="Verdana" w:hAnsi="Verdana" w:cs="Arial"/>
          <w:shd w:val="clear" w:color="auto" w:fill="FFFFFF"/>
        </w:rPr>
        <w:t xml:space="preserve">Sobre la finalidad y propósito de la Ley de Garantías Electorales, la ANCP- CCE se ha pronunciado en los Conceptos 4201913000004536 de 17 de julio de 2019, </w:t>
      </w:r>
      <w:r>
        <w:rPr>
          <w:rFonts w:ascii="Verdana" w:hAnsi="Verdana" w:cs="Arial"/>
          <w:shd w:val="clear" w:color="auto" w:fill="FFFFFF"/>
        </w:rPr>
        <w:lastRenderedPageBreak/>
        <w:t>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C-1512 del 27 de octubre de 2025, C-1529 del 4 de noviembre de 2025, entre otros</w:t>
      </w:r>
      <w:r>
        <w:rPr>
          <w:rFonts w:ascii="Verdana" w:hAnsi="Verdana"/>
        </w:rPr>
        <w:t>.</w:t>
      </w:r>
      <w:r>
        <w:rPr>
          <w:rFonts w:ascii="Verdana" w:hAnsi="Verdana" w:cs="Arial"/>
          <w:shd w:val="clear" w:color="auto" w:fill="FFFFFF"/>
        </w:rPr>
        <w:t xml:space="preserve"> Estos y otros </w:t>
      </w:r>
      <w:r>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626E297" w14:textId="77777777" w:rsidR="00085146" w:rsidRDefault="00085146" w:rsidP="00085146">
      <w:pPr>
        <w:widowControl w:val="0"/>
        <w:autoSpaceDE w:val="0"/>
        <w:autoSpaceDN w:val="0"/>
        <w:spacing w:after="0" w:line="276" w:lineRule="auto"/>
        <w:jc w:val="both"/>
        <w:rPr>
          <w:color w:val="000000" w:themeColor="text1"/>
        </w:rPr>
      </w:pPr>
    </w:p>
    <w:p w14:paraId="5CCFA208" w14:textId="77777777" w:rsidR="00085146" w:rsidRPr="00F84F36" w:rsidRDefault="00085146" w:rsidP="00085146">
      <w:pPr>
        <w:spacing w:after="0"/>
        <w:jc w:val="both"/>
        <w:rPr>
          <w:rFonts w:ascii="Verdana" w:hAnsi="Verdana" w:cs="Arial"/>
          <w:color w:val="EE0000"/>
          <w:shd w:val="clear" w:color="auto" w:fill="FFFFFF"/>
        </w:rPr>
      </w:pPr>
      <w:r w:rsidRPr="008278B1">
        <w:rPr>
          <w:rFonts w:ascii="Verdana" w:hAnsi="Verdana" w:cs="Arial"/>
          <w:shd w:val="clear" w:color="auto" w:fill="FFFFFF"/>
        </w:rPr>
        <w:t>También le contamos que ya se encuentra disponible la </w:t>
      </w:r>
      <w:r w:rsidRPr="008278B1">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8278B1">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8278B1">
          <w:rPr>
            <w:rStyle w:val="Hipervnculo"/>
            <w:rFonts w:ascii="Verdana" w:hAnsi="Verdana"/>
          </w:rPr>
          <w:t>Guía de lineamientos de transparencia y selección objetiva para el departamento de La Guajira – Objetivo sexto constitucional de la Sentencia T-302 del 2017</w:t>
        </w:r>
      </w:hyperlink>
    </w:p>
    <w:p w14:paraId="2487EB51" w14:textId="77777777" w:rsidR="00085146" w:rsidRPr="008278B1" w:rsidRDefault="00085146" w:rsidP="00085146">
      <w:pPr>
        <w:spacing w:after="0"/>
        <w:jc w:val="both"/>
        <w:rPr>
          <w:rFonts w:ascii="Verdana" w:hAnsi="Verdana" w:cs="Arial"/>
          <w:shd w:val="clear" w:color="auto" w:fill="FFFFFF"/>
        </w:rPr>
      </w:pPr>
    </w:p>
    <w:p w14:paraId="0D5B572C" w14:textId="77777777" w:rsidR="00085146" w:rsidRPr="008278B1" w:rsidRDefault="00085146" w:rsidP="00085146">
      <w:pPr>
        <w:spacing w:after="0"/>
        <w:jc w:val="both"/>
        <w:rPr>
          <w:rFonts w:ascii="Verdana" w:hAnsi="Verdana" w:cs="Arial"/>
          <w:shd w:val="clear" w:color="auto" w:fill="FFFFFF"/>
        </w:rPr>
      </w:pPr>
      <w:r w:rsidRPr="008278B1">
        <w:rPr>
          <w:rFonts w:ascii="Verdana" w:hAnsi="Verdana" w:cs="Arial"/>
          <w:shd w:val="clear" w:color="auto" w:fill="FFFFFF"/>
        </w:rPr>
        <w:t xml:space="preserve">Por último, lo invitamos a seguirnos en las redes sociales en las cuales se difunde información institucional: </w:t>
      </w:r>
    </w:p>
    <w:p w14:paraId="042BF72C" w14:textId="77777777" w:rsidR="00085146" w:rsidRPr="008278B1" w:rsidRDefault="00085146" w:rsidP="00085146">
      <w:pPr>
        <w:spacing w:after="0"/>
        <w:jc w:val="both"/>
        <w:rPr>
          <w:rFonts w:ascii="Verdana" w:hAnsi="Verdana" w:cs="Arial"/>
          <w:shd w:val="clear" w:color="auto" w:fill="FFFFFF"/>
        </w:rPr>
      </w:pPr>
    </w:p>
    <w:p w14:paraId="25B611B4" w14:textId="77777777" w:rsidR="00085146" w:rsidRPr="008278B1" w:rsidRDefault="00085146" w:rsidP="00085146">
      <w:pPr>
        <w:spacing w:after="0"/>
        <w:jc w:val="both"/>
        <w:rPr>
          <w:rFonts w:ascii="Verdana" w:hAnsi="Verdana" w:cs="Arial"/>
          <w:shd w:val="clear" w:color="auto" w:fill="FFFFFF"/>
        </w:rPr>
      </w:pPr>
      <w:r w:rsidRPr="008278B1">
        <w:rPr>
          <w:rFonts w:ascii="Verdana" w:hAnsi="Verdana" w:cs="Arial"/>
          <w:shd w:val="clear" w:color="auto" w:fill="FFFFFF"/>
        </w:rPr>
        <w:t xml:space="preserve">Twitter: </w:t>
      </w:r>
      <w:r w:rsidRPr="008278B1">
        <w:rPr>
          <w:rStyle w:val="Hipervnculo"/>
          <w:rFonts w:ascii="Verdana" w:hAnsi="Verdana"/>
          <w:lang w:val="es-ES"/>
        </w:rPr>
        <w:t>@colombiacompra</w:t>
      </w:r>
      <w:r w:rsidRPr="008278B1">
        <w:rPr>
          <w:rStyle w:val="Hipervnculo"/>
          <w:rFonts w:ascii="Verdana" w:hAnsi="Verdana"/>
          <w:color w:val="auto"/>
          <w:lang w:val="es-ES"/>
        </w:rPr>
        <w:t xml:space="preserve"> </w:t>
      </w:r>
    </w:p>
    <w:p w14:paraId="54D1DB24" w14:textId="77777777" w:rsidR="00085146" w:rsidRPr="008278B1" w:rsidRDefault="00085146" w:rsidP="00085146">
      <w:pPr>
        <w:spacing w:after="0"/>
        <w:jc w:val="both"/>
        <w:rPr>
          <w:rFonts w:ascii="Verdana" w:hAnsi="Verdana" w:cs="Arial"/>
          <w:shd w:val="clear" w:color="auto" w:fill="FFFFFF"/>
        </w:rPr>
      </w:pPr>
      <w:r w:rsidRPr="008278B1">
        <w:rPr>
          <w:rFonts w:ascii="Verdana" w:hAnsi="Verdana" w:cs="Arial"/>
          <w:shd w:val="clear" w:color="auto" w:fill="FFFFFF"/>
        </w:rPr>
        <w:lastRenderedPageBreak/>
        <w:t>Facebook:</w:t>
      </w:r>
      <w:r w:rsidRPr="008278B1">
        <w:rPr>
          <w:rStyle w:val="Hipervnculo"/>
          <w:rFonts w:ascii="Verdana" w:hAnsi="Verdana"/>
          <w:lang w:val="es-ES"/>
        </w:rPr>
        <w:t xml:space="preserve"> ColombiaCompraEficiente</w:t>
      </w:r>
    </w:p>
    <w:p w14:paraId="11D0C920" w14:textId="77777777" w:rsidR="00085146" w:rsidRPr="008278B1" w:rsidRDefault="00085146" w:rsidP="00085146">
      <w:pPr>
        <w:spacing w:after="0"/>
        <w:jc w:val="both"/>
        <w:rPr>
          <w:rFonts w:ascii="Verdana" w:hAnsi="Verdana" w:cs="Arial"/>
          <w:shd w:val="clear" w:color="auto" w:fill="FFFFFF"/>
        </w:rPr>
      </w:pPr>
      <w:r w:rsidRPr="008278B1">
        <w:rPr>
          <w:rFonts w:ascii="Verdana" w:hAnsi="Verdana" w:cs="Arial"/>
          <w:shd w:val="clear" w:color="auto" w:fill="FFFFFF"/>
        </w:rPr>
        <w:t xml:space="preserve">LinkedIn: </w:t>
      </w:r>
      <w:r w:rsidRPr="008278B1">
        <w:rPr>
          <w:rStyle w:val="Hipervnculo"/>
          <w:rFonts w:ascii="Verdana" w:hAnsi="Verdana"/>
          <w:lang w:val="es-ES"/>
        </w:rPr>
        <w:t>Agencia Nacional de Contratación Pública - Colombia Compra Eficiente</w:t>
      </w:r>
      <w:r w:rsidRPr="008278B1">
        <w:rPr>
          <w:rFonts w:ascii="Verdana" w:hAnsi="Verdana" w:cs="Arial"/>
          <w:color w:val="0000FF"/>
          <w:shd w:val="clear" w:color="auto" w:fill="FFFFFF"/>
        </w:rPr>
        <w:t xml:space="preserve"> </w:t>
      </w:r>
    </w:p>
    <w:p w14:paraId="11C08A53" w14:textId="77777777" w:rsidR="00085146" w:rsidRPr="008278B1" w:rsidRDefault="00085146" w:rsidP="00085146">
      <w:pPr>
        <w:spacing w:after="0"/>
        <w:jc w:val="both"/>
        <w:rPr>
          <w:rFonts w:ascii="Verdana" w:hAnsi="Verdana" w:cs="Arial"/>
          <w:shd w:val="clear" w:color="auto" w:fill="FFFFFF"/>
        </w:rPr>
      </w:pPr>
      <w:r w:rsidRPr="008278B1">
        <w:rPr>
          <w:rFonts w:ascii="Verdana" w:hAnsi="Verdana" w:cs="Arial"/>
          <w:shd w:val="clear" w:color="auto" w:fill="FFFFFF"/>
        </w:rPr>
        <w:t xml:space="preserve">Instagram: </w:t>
      </w:r>
      <w:r w:rsidRPr="008278B1">
        <w:rPr>
          <w:rStyle w:val="Hipervnculo"/>
          <w:rFonts w:ascii="Verdana" w:hAnsi="Verdana"/>
          <w:lang w:val="es-ES"/>
        </w:rPr>
        <w:t>@colombiacompraeficiente_cce</w:t>
      </w:r>
    </w:p>
    <w:p w14:paraId="22874063" w14:textId="77777777" w:rsidR="00085146" w:rsidRPr="008278B1" w:rsidRDefault="00085146" w:rsidP="00085146">
      <w:pPr>
        <w:widowControl w:val="0"/>
        <w:autoSpaceDE w:val="0"/>
        <w:autoSpaceDN w:val="0"/>
        <w:spacing w:after="0" w:line="276" w:lineRule="auto"/>
        <w:jc w:val="both"/>
        <w:rPr>
          <w:rFonts w:ascii="Verdana" w:hAnsi="Verdana" w:cs="Arial"/>
          <w:lang w:val="es-ES"/>
        </w:rPr>
      </w:pPr>
    </w:p>
    <w:p w14:paraId="39BDCC37" w14:textId="77777777" w:rsidR="00085146" w:rsidRPr="008278B1" w:rsidRDefault="00085146" w:rsidP="00085146">
      <w:pPr>
        <w:widowControl w:val="0"/>
        <w:autoSpaceDE w:val="0"/>
        <w:autoSpaceDN w:val="0"/>
        <w:spacing w:after="0" w:line="276" w:lineRule="auto"/>
        <w:jc w:val="both"/>
        <w:rPr>
          <w:rFonts w:ascii="Verdana" w:hAnsi="Verdana" w:cs="Arial"/>
          <w:lang w:val="es-ES"/>
        </w:rPr>
      </w:pPr>
      <w:r w:rsidRPr="008278B1">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15020F0" w14:textId="77777777" w:rsidR="00085146" w:rsidRPr="008278B1" w:rsidRDefault="00085146" w:rsidP="00085146">
      <w:pPr>
        <w:widowControl w:val="0"/>
        <w:autoSpaceDE w:val="0"/>
        <w:autoSpaceDN w:val="0"/>
        <w:spacing w:after="0" w:line="276" w:lineRule="auto"/>
        <w:jc w:val="both"/>
        <w:rPr>
          <w:rFonts w:ascii="Verdana" w:hAnsi="Verdana" w:cs="Arial"/>
          <w:lang w:val="es-ES"/>
        </w:rPr>
      </w:pPr>
    </w:p>
    <w:p w14:paraId="3A0C718D" w14:textId="77777777" w:rsidR="00085146" w:rsidRPr="008278B1" w:rsidRDefault="00085146" w:rsidP="00085146">
      <w:pPr>
        <w:spacing w:after="0" w:line="276" w:lineRule="auto"/>
        <w:rPr>
          <w:rFonts w:ascii="Verdana" w:hAnsi="Verdana" w:cs="Arial"/>
          <w:lang w:val="es-ES" w:eastAsia="es-CO"/>
        </w:rPr>
      </w:pPr>
      <w:r w:rsidRPr="008278B1">
        <w:rPr>
          <w:rFonts w:ascii="Verdana" w:eastAsia="Times New Roman" w:hAnsi="Verdana" w:cs="Arial"/>
          <w:lang w:val="es-ES" w:eastAsia="es-CO"/>
        </w:rPr>
        <w:t>Atentamente,</w:t>
      </w:r>
      <w:r w:rsidRPr="008278B1">
        <w:rPr>
          <w:rFonts w:ascii="Verdana" w:hAnsi="Verdana" w:cs="Arial"/>
          <w:lang w:val="es-ES" w:eastAsia="es-CO"/>
        </w:rPr>
        <w:t xml:space="preserve"> </w:t>
      </w:r>
    </w:p>
    <w:p w14:paraId="23C461E8" w14:textId="77777777" w:rsidR="00085146" w:rsidRPr="00827F85" w:rsidRDefault="00085146" w:rsidP="00085146">
      <w:pPr>
        <w:spacing w:after="0" w:line="276" w:lineRule="auto"/>
        <w:jc w:val="both"/>
        <w:rPr>
          <w:rFonts w:ascii="Verdana" w:eastAsia="Calibri" w:hAnsi="Verdana" w:cs="Times New Roman"/>
        </w:rPr>
      </w:pPr>
    </w:p>
    <w:p w14:paraId="3FECD6A0" w14:textId="11710F31" w:rsidR="00085146" w:rsidRPr="00A27102" w:rsidRDefault="00482A1B" w:rsidP="00085146">
      <w:pPr>
        <w:spacing w:line="276" w:lineRule="auto"/>
        <w:jc w:val="center"/>
        <w:rPr>
          <w:rFonts w:ascii="Verdana" w:hAnsi="Verdana" w:cs="Arial"/>
          <w:color w:val="000000"/>
          <w:lang w:val="es-ES_tradnl" w:eastAsia="es-CO"/>
        </w:rPr>
      </w:pPr>
      <w:r w:rsidRPr="00482A1B">
        <w:rPr>
          <w:rFonts w:ascii="Verdana" w:hAnsi="Verdana" w:cs="Arial"/>
          <w:noProof/>
          <w:color w:val="000000"/>
          <w:lang w:val="es-ES_tradnl" w:eastAsia="es-CO"/>
        </w:rPr>
        <w:drawing>
          <wp:inline distT="0" distB="0" distL="0" distR="0" wp14:anchorId="3960852C" wp14:editId="5B192B8F">
            <wp:extent cx="2896004" cy="1209844"/>
            <wp:effectExtent l="0" t="0" r="0" b="9525"/>
            <wp:docPr id="40716454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164543" name="Imagen 1" descr="Texto&#10;&#10;El contenido generado por IA puede ser incorrecto."/>
                    <pic:cNvPicPr/>
                  </pic:nvPicPr>
                  <pic:blipFill>
                    <a:blip r:embed="rId15"/>
                    <a:stretch>
                      <a:fillRect/>
                    </a:stretch>
                  </pic:blipFill>
                  <pic:spPr>
                    <a:xfrm>
                      <a:off x="0" y="0"/>
                      <a:ext cx="2896004" cy="120984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85146" w:rsidRPr="00A27102" w14:paraId="1187E536" w14:textId="77777777" w:rsidTr="00341831">
        <w:trPr>
          <w:trHeight w:val="315"/>
        </w:trPr>
        <w:tc>
          <w:tcPr>
            <w:tcW w:w="893" w:type="dxa"/>
            <w:vAlign w:val="center"/>
            <w:hideMark/>
          </w:tcPr>
          <w:p w14:paraId="7BF28DB1" w14:textId="77777777" w:rsidR="00085146" w:rsidRPr="00A27102" w:rsidRDefault="00085146" w:rsidP="00341831">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332A9C7" w14:textId="77777777" w:rsidR="00085146" w:rsidRPr="00A27102" w:rsidRDefault="00085146" w:rsidP="00341831">
            <w:pPr>
              <w:contextualSpacing/>
              <w:rPr>
                <w:rFonts w:ascii="Verdana" w:hAnsi="Verdana"/>
                <w:sz w:val="16"/>
                <w:szCs w:val="16"/>
              </w:rPr>
            </w:pPr>
            <w:r w:rsidRPr="00A27102">
              <w:rPr>
                <w:rFonts w:ascii="Verdana" w:hAnsi="Verdana"/>
                <w:sz w:val="16"/>
                <w:szCs w:val="16"/>
              </w:rPr>
              <w:t>Tatiana Baquero Iguarán</w:t>
            </w:r>
          </w:p>
          <w:p w14:paraId="69A7EF1D" w14:textId="77777777" w:rsidR="00085146" w:rsidRDefault="00085146" w:rsidP="00341831">
            <w:pPr>
              <w:contextualSpacing/>
              <w:rPr>
                <w:rFonts w:ascii="Verdana" w:hAnsi="Verdana"/>
                <w:sz w:val="16"/>
                <w:szCs w:val="16"/>
              </w:rPr>
            </w:pPr>
            <w:r w:rsidRPr="00A27102">
              <w:rPr>
                <w:rFonts w:ascii="Verdana" w:hAnsi="Verdana"/>
                <w:sz w:val="16"/>
                <w:szCs w:val="16"/>
              </w:rPr>
              <w:t>Contratista de la Subdirección de Gestión Contractual</w:t>
            </w:r>
          </w:p>
          <w:p w14:paraId="6A8D11BC" w14:textId="77777777" w:rsidR="00085146" w:rsidRPr="008278B1" w:rsidRDefault="00085146" w:rsidP="00341831">
            <w:pPr>
              <w:rPr>
                <w:rFonts w:ascii="Verdana" w:eastAsia="Times New Roman" w:hAnsi="Verdana" w:cs="Arial"/>
                <w:sz w:val="16"/>
                <w:szCs w:val="16"/>
                <w:lang w:eastAsia="es-ES"/>
              </w:rPr>
            </w:pPr>
            <w:r w:rsidRPr="008278B1">
              <w:rPr>
                <w:rFonts w:ascii="Verdana" w:eastAsia="Times New Roman" w:hAnsi="Verdana" w:cs="Arial"/>
                <w:sz w:val="16"/>
                <w:szCs w:val="16"/>
                <w:lang w:eastAsia="es-ES"/>
              </w:rPr>
              <w:t>Camila Alejandra Naranjo Gómez</w:t>
            </w:r>
          </w:p>
          <w:p w14:paraId="40EE5035" w14:textId="77777777" w:rsidR="00085146" w:rsidRPr="00A27102" w:rsidRDefault="00085146" w:rsidP="00341831">
            <w:pPr>
              <w:contextualSpacing/>
              <w:rPr>
                <w:rFonts w:ascii="Verdana" w:eastAsia="Arial" w:hAnsi="Verdana" w:cs="Arial"/>
                <w:sz w:val="16"/>
                <w:szCs w:val="16"/>
              </w:rPr>
            </w:pPr>
            <w:r w:rsidRPr="008278B1">
              <w:rPr>
                <w:rFonts w:ascii="Verdana" w:eastAsia="Times New Roman" w:hAnsi="Verdana" w:cs="Arial"/>
                <w:sz w:val="16"/>
                <w:szCs w:val="16"/>
                <w:lang w:eastAsia="es-ES"/>
              </w:rPr>
              <w:t>Analista T2-1 de la Subdirección de Gestión Contractual</w:t>
            </w:r>
          </w:p>
        </w:tc>
      </w:tr>
      <w:tr w:rsidR="00085146" w:rsidRPr="00A27102" w14:paraId="4736682E" w14:textId="77777777" w:rsidTr="00341831">
        <w:trPr>
          <w:trHeight w:val="330"/>
        </w:trPr>
        <w:tc>
          <w:tcPr>
            <w:tcW w:w="893" w:type="dxa"/>
            <w:vAlign w:val="center"/>
            <w:hideMark/>
          </w:tcPr>
          <w:p w14:paraId="257107EF" w14:textId="77777777" w:rsidR="00085146" w:rsidRPr="00A27102" w:rsidRDefault="00085146" w:rsidP="00341831">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C4A21F4" w14:textId="77777777" w:rsidR="00085146" w:rsidRPr="00A27102" w:rsidRDefault="00085146" w:rsidP="00341831">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43058E71" w14:textId="77777777" w:rsidR="00085146" w:rsidRPr="00A27102" w:rsidRDefault="00085146" w:rsidP="00341831">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085146" w:rsidRPr="00A27102" w14:paraId="084DD499" w14:textId="77777777" w:rsidTr="00341831">
        <w:trPr>
          <w:trHeight w:val="300"/>
        </w:trPr>
        <w:tc>
          <w:tcPr>
            <w:tcW w:w="893" w:type="dxa"/>
            <w:vAlign w:val="center"/>
          </w:tcPr>
          <w:p w14:paraId="0D479278" w14:textId="77777777" w:rsidR="00085146" w:rsidRPr="00A27102" w:rsidRDefault="00085146" w:rsidP="00341831">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DCAAC56" w14:textId="77777777" w:rsidR="00085146" w:rsidRPr="00A27102" w:rsidRDefault="00085146" w:rsidP="00341831">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Carolina Quintero Gacharná</w:t>
            </w:r>
          </w:p>
          <w:p w14:paraId="33420F33" w14:textId="77777777" w:rsidR="00085146" w:rsidRPr="00A27102" w:rsidRDefault="00085146" w:rsidP="00341831">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2CE1A67C" w14:textId="77777777" w:rsidR="00085146" w:rsidRPr="008D78B9" w:rsidRDefault="00085146" w:rsidP="00085146">
      <w:r>
        <w:t xml:space="preserve"> </w:t>
      </w:r>
    </w:p>
    <w:p w14:paraId="67BC9FA9" w14:textId="77777777" w:rsidR="00085146" w:rsidRPr="008D78B9" w:rsidRDefault="00085146" w:rsidP="00085146">
      <w:pPr>
        <w:shd w:val="clear" w:color="auto" w:fill="FFFFFF"/>
        <w:spacing w:after="120" w:line="276" w:lineRule="auto"/>
        <w:jc w:val="both"/>
        <w:textAlignment w:val="baseline"/>
      </w:pPr>
    </w:p>
    <w:p w14:paraId="0F293BF4" w14:textId="0BAA37F4" w:rsidR="00127233" w:rsidRPr="00085146" w:rsidRDefault="00127233" w:rsidP="00085146"/>
    <w:sectPr w:rsidR="00127233" w:rsidRPr="0008514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059DE9" w14:textId="77777777" w:rsidR="00645C5E" w:rsidRDefault="00645C5E" w:rsidP="004A1847">
      <w:pPr>
        <w:spacing w:after="0" w:line="240" w:lineRule="auto"/>
      </w:pPr>
      <w:r>
        <w:separator/>
      </w:r>
    </w:p>
  </w:endnote>
  <w:endnote w:type="continuationSeparator" w:id="0">
    <w:p w14:paraId="7ABB4F91" w14:textId="77777777" w:rsidR="00645C5E" w:rsidRDefault="00645C5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C48C80" w14:textId="77777777" w:rsidR="00645C5E" w:rsidRDefault="00645C5E" w:rsidP="004A1847">
      <w:pPr>
        <w:spacing w:after="0" w:line="240" w:lineRule="auto"/>
      </w:pPr>
      <w:r>
        <w:separator/>
      </w:r>
    </w:p>
  </w:footnote>
  <w:footnote w:type="continuationSeparator" w:id="0">
    <w:p w14:paraId="0B338AF5" w14:textId="77777777" w:rsidR="00645C5E" w:rsidRDefault="00645C5E" w:rsidP="004A1847">
      <w:pPr>
        <w:spacing w:after="0" w:line="240" w:lineRule="auto"/>
      </w:pPr>
      <w:r>
        <w:continuationSeparator/>
      </w:r>
    </w:p>
  </w:footnote>
  <w:footnote w:id="1">
    <w:p w14:paraId="1D4514F5" w14:textId="77777777" w:rsidR="00085146" w:rsidRDefault="00085146" w:rsidP="00085146">
      <w:pPr>
        <w:spacing w:after="0" w:line="240" w:lineRule="auto"/>
        <w:ind w:firstLine="709"/>
        <w:jc w:val="both"/>
        <w:rPr>
          <w:rFonts w:ascii="Verdana" w:eastAsia="Times New Roman"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3" w:name="33"/>
      <w:r>
        <w:rPr>
          <w:rFonts w:ascii="Verdana" w:eastAsia="Times New Roman" w:hAnsi="Verdana" w:cs="Arial"/>
          <w:sz w:val="16"/>
          <w:szCs w:val="16"/>
        </w:rPr>
        <w:t>Artículo 33. Restricciones a la contratación pública.</w:t>
      </w:r>
      <w:bookmarkEnd w:id="3"/>
      <w:r>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7E41BF43" w14:textId="77777777" w:rsidR="00085146" w:rsidRDefault="00085146" w:rsidP="00085146">
      <w:pPr>
        <w:spacing w:after="0" w:line="240" w:lineRule="auto"/>
        <w:ind w:firstLine="709"/>
        <w:jc w:val="both"/>
        <w:rPr>
          <w:rFonts w:ascii="Verdana" w:eastAsia="Times New Roman" w:hAnsi="Verdana" w:cs="Arial"/>
          <w:sz w:val="16"/>
          <w:szCs w:val="16"/>
        </w:rPr>
      </w:pPr>
      <w:r>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color w:val="000000"/>
          <w:sz w:val="16"/>
          <w:szCs w:val="16"/>
        </w:rPr>
        <w:t>”</w:t>
      </w:r>
      <w:r>
        <w:rPr>
          <w:rFonts w:ascii="Verdana" w:eastAsia="Times New Roman" w:hAnsi="Verdana" w:cs="Arial"/>
          <w:sz w:val="16"/>
          <w:szCs w:val="16"/>
        </w:rPr>
        <w:t>.</w:t>
      </w:r>
    </w:p>
  </w:footnote>
  <w:footnote w:id="2">
    <w:p w14:paraId="3B535963" w14:textId="77777777" w:rsidR="00085146" w:rsidRDefault="00085146" w:rsidP="00085146">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[25] </w:t>
      </w:r>
      <w:r>
        <w:rPr>
          <w:rFonts w:ascii="Verdana" w:hAnsi="Verdana" w:cs="Arial"/>
          <w:sz w:val="16"/>
          <w:szCs w:val="16"/>
        </w:rPr>
        <w:t>Cfr. Consejo de Estado. Sección Tercera. Sentencia de 3 de diciembre de 2007. Radicados: 24.715, 25.206, 25.409, 24.524, 27.834, 25.410, 26.105, 28.244, 31.447 -acumulados-“.</w:t>
      </w:r>
    </w:p>
  </w:footnote>
  <w:footnote w:id="3">
    <w:p w14:paraId="0799021C" w14:textId="77777777" w:rsidR="00085146" w:rsidRDefault="00085146" w:rsidP="00085146">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[26] </w:t>
      </w:r>
      <w:r>
        <w:rPr>
          <w:rFonts w:ascii="Verdana" w:hAnsi="Verdana" w:cs="Arial"/>
          <w:sz w:val="16"/>
          <w:szCs w:val="16"/>
        </w:rPr>
        <w:t>Al respecto ver el concepto 1712 de 2 de febrero de 2006. Consejo de Estado Sala de Consulta y Servicio Civil”.</w:t>
      </w:r>
    </w:p>
  </w:footnote>
  <w:footnote w:id="4">
    <w:p w14:paraId="13F2A92B" w14:textId="77777777" w:rsidR="00085146" w:rsidRDefault="00085146" w:rsidP="00085146">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5">
    <w:p w14:paraId="5F50848D" w14:textId="77777777" w:rsidR="00085146" w:rsidRDefault="00085146" w:rsidP="00085146">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Artículo 2. </w:t>
      </w:r>
    </w:p>
  </w:footnote>
  <w:footnote w:id="6">
    <w:p w14:paraId="2EF9FC53" w14:textId="77777777" w:rsidR="00085146" w:rsidRDefault="00085146" w:rsidP="00085146">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i/>
          <w:sz w:val="16"/>
          <w:szCs w:val="16"/>
          <w:lang w:val="es-ES"/>
        </w:rPr>
        <w:t>Ídem</w:t>
      </w:r>
      <w:r>
        <w:rPr>
          <w:rFonts w:ascii="Verdana" w:hAnsi="Verdana" w:cs="Arial"/>
          <w:sz w:val="16"/>
          <w:szCs w:val="16"/>
          <w:lang w:val="es-ES"/>
        </w:rPr>
        <w:t>.</w:t>
      </w:r>
    </w:p>
  </w:footnote>
  <w:footnote w:id="7">
    <w:p w14:paraId="4751D398" w14:textId="77777777" w:rsidR="00085146" w:rsidRDefault="00085146" w:rsidP="00085146">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 xml:space="preserve">“[…] A este respecto, cabe recordar que el artículo 860 del Código de Comercio regula la licitación en el derecho privado”. </w:t>
      </w:r>
    </w:p>
  </w:footnote>
  <w:footnote w:id="8">
    <w:p w14:paraId="292F4716" w14:textId="77777777" w:rsidR="00085146" w:rsidRDefault="00085146" w:rsidP="00085146">
      <w:pPr>
        <w:shd w:val="clear" w:color="auto" w:fill="FFFFFF"/>
        <w:spacing w:after="0" w:line="240" w:lineRule="auto"/>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9">
    <w:p w14:paraId="15C6DACE" w14:textId="77777777" w:rsidR="00085146" w:rsidRDefault="00085146" w:rsidP="00085146">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08 de mayo de 2018. Exp. 2.382. C.P. Álvaro Namén Vargas.</w:t>
      </w:r>
    </w:p>
  </w:footnote>
  <w:footnote w:id="10">
    <w:p w14:paraId="08C4D314" w14:textId="77777777" w:rsidR="00085146" w:rsidRDefault="00085146" w:rsidP="00085146">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1">
    <w:p w14:paraId="01E24943" w14:textId="77777777" w:rsidR="00085146" w:rsidRPr="005E6430" w:rsidRDefault="00085146" w:rsidP="00085146">
      <w:pPr>
        <w:pStyle w:val="Textonotapie"/>
        <w:ind w:firstLine="709"/>
        <w:jc w:val="both"/>
        <w:rPr>
          <w:lang w:val="es-CO"/>
        </w:rPr>
      </w:pPr>
      <w:r>
        <w:rPr>
          <w:rStyle w:val="Refdenotaalpie"/>
        </w:rPr>
        <w:footnoteRef/>
      </w:r>
      <w:r>
        <w:t xml:space="preserve"> </w:t>
      </w:r>
      <w:r>
        <w:rPr>
          <w:rFonts w:ascii="Verdana" w:hAnsi="Verdana" w:cs="Arial"/>
          <w:sz w:val="16"/>
          <w:szCs w:val="16"/>
        </w:rPr>
        <w:t xml:space="preserve">Consejo de Estado. Sala de </w:t>
      </w:r>
      <w:r w:rsidRPr="00DD3C4B">
        <w:rPr>
          <w:rFonts w:ascii="Verdana" w:hAnsi="Verdana" w:cs="Arial"/>
          <w:sz w:val="16"/>
          <w:szCs w:val="16"/>
        </w:rPr>
        <w:t>Consulta y Servicio Civil</w:t>
      </w:r>
      <w:r w:rsidRPr="00DD3C4B">
        <w:rPr>
          <w:rFonts w:ascii="Verdana" w:eastAsia="Times New Roman" w:hAnsi="Verdana" w:cs="Arial"/>
          <w:bCs/>
          <w:sz w:val="16"/>
          <w:szCs w:val="16"/>
          <w:lang w:val="es-ES_tradnl" w:eastAsia="x-none"/>
        </w:rPr>
        <w:t xml:space="preserve">. Conceptos 1727 de fecha 20 de febrero de 2006, </w:t>
      </w:r>
      <w:r w:rsidRPr="00DD3C4B">
        <w:rPr>
          <w:rFonts w:ascii="Verdana" w:eastAsia="Times New Roman" w:hAnsi="Verdana" w:cs="Arial"/>
          <w:bCs/>
          <w:sz w:val="16"/>
          <w:szCs w:val="16"/>
          <w:lang w:eastAsia="x-none"/>
        </w:rPr>
        <w:t>1738 del 6 de abril de 2006</w:t>
      </w:r>
    </w:p>
  </w:footnote>
  <w:footnote w:id="12">
    <w:p w14:paraId="61213C25" w14:textId="77777777" w:rsidR="00085146" w:rsidRDefault="00085146" w:rsidP="00085146">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ídem.</w:t>
      </w:r>
    </w:p>
  </w:footnote>
  <w:footnote w:id="13">
    <w:p w14:paraId="530D491C" w14:textId="77777777" w:rsidR="00085146" w:rsidRDefault="00085146" w:rsidP="00085146">
      <w:pPr>
        <w:pStyle w:val="Textonotapie"/>
        <w:ind w:firstLine="708"/>
        <w:jc w:val="both"/>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Para Berrocal Guerrero, el acto administrativo es entendido como: […] TODA </w:t>
      </w:r>
      <w:r>
        <w:rPr>
          <w:rFonts w:ascii="Verdana" w:hAnsi="Verdana"/>
          <w:b/>
          <w:bCs/>
          <w:sz w:val="16"/>
          <w:szCs w:val="16"/>
        </w:rPr>
        <w:t>DECLARACIÓN</w:t>
      </w:r>
      <w:r>
        <w:rPr>
          <w:rFonts w:ascii="Verdana" w:hAnsi="Verdana"/>
          <w:sz w:val="16"/>
          <w:szCs w:val="16"/>
        </w:rPr>
        <w:t xml:space="preserve"> DE VOLUNTAD, JUICIO, COGNICIÓN O DESEO QUE SE PROFIERE DE MANERA </w:t>
      </w:r>
      <w:r>
        <w:rPr>
          <w:rFonts w:ascii="Verdana" w:hAnsi="Verdana"/>
          <w:b/>
          <w:bCs/>
          <w:sz w:val="16"/>
          <w:szCs w:val="16"/>
        </w:rPr>
        <w:t>UNILATERAL</w:t>
      </w:r>
      <w:r>
        <w:rPr>
          <w:rFonts w:ascii="Verdana" w:hAnsi="Verdana"/>
          <w:sz w:val="16"/>
          <w:szCs w:val="16"/>
        </w:rPr>
        <w:t xml:space="preserve">, EN EJERCICIO DE LA </w:t>
      </w:r>
      <w:r>
        <w:rPr>
          <w:rFonts w:ascii="Verdana" w:hAnsi="Verdana"/>
          <w:b/>
          <w:bCs/>
          <w:sz w:val="16"/>
          <w:szCs w:val="16"/>
        </w:rPr>
        <w:t>FUNCIÓN ADMINISTRATIVA</w:t>
      </w:r>
      <w:r>
        <w:rPr>
          <w:rFonts w:ascii="Verdana" w:hAnsi="Verdana"/>
          <w:sz w:val="16"/>
          <w:szCs w:val="16"/>
        </w:rPr>
        <w:t xml:space="preserve">, Y PRODUCE </w:t>
      </w:r>
      <w:r>
        <w:rPr>
          <w:rFonts w:ascii="Verdana" w:hAnsi="Verdana"/>
          <w:b/>
          <w:bCs/>
          <w:sz w:val="16"/>
          <w:szCs w:val="16"/>
        </w:rPr>
        <w:t>EFECTOS JURÍDICOS DIRECTOS O DEFINITIVOS</w:t>
      </w:r>
      <w:r>
        <w:rPr>
          <w:rFonts w:ascii="Verdana" w:hAnsi="Verdana"/>
          <w:sz w:val="16"/>
          <w:szCs w:val="16"/>
        </w:rPr>
        <w:t xml:space="preserve"> […] (Mayúsculas y negrillas propios del texto) (</w:t>
      </w:r>
      <w:r>
        <w:rPr>
          <w:rFonts w:ascii="Verdana" w:hAnsi="Verdana"/>
          <w:sz w:val="16"/>
          <w:szCs w:val="16"/>
          <w:lang w:val="es-ES"/>
        </w:rPr>
        <w:t>BERROCAL GUERRERO, Luis Enrique. Manual del acto administrativo. Según la Ley, la jurisprudencia y la doctrina. 7° ed. Bogotá: Librería Ediciones del Profesional Ltda, 2019, p. 114)</w:t>
      </w:r>
      <w:r>
        <w:rPr>
          <w:rFonts w:ascii="Verdana" w:hAnsi="Verdana"/>
          <w:sz w:val="16"/>
          <w:szCs w:val="16"/>
        </w:rPr>
        <w:t xml:space="preserve">. De igual modo, Marín Cortés expresa: “[…] </w:t>
      </w:r>
      <w:r>
        <w:rPr>
          <w:rFonts w:ascii="Verdana" w:hAnsi="Verdana"/>
          <w:sz w:val="16"/>
          <w:szCs w:val="16"/>
          <w:lang w:val="es-ES"/>
        </w:rPr>
        <w:t xml:space="preserve">i) una declaración de voluntad -y excepcionalmente la omisión que representa el silencio-, ii) de carácter unilateral, iii) que proviene de cualquier órgano del Estado cuando ejerce la función administrativa (a), o también cuando cumple funciones de control o electoral b), al igual que de los particulares cuando desempeñan las anteriores funciones públicas (c); y iv) produce efectos jurídicos” (MARÍN CORTÉS, Fabián Gonzalo. El concepto de acto administrativo. Texto inédito, p. 9).  </w:t>
      </w:r>
    </w:p>
  </w:footnote>
  <w:footnote w:id="14">
    <w:p w14:paraId="3FBA96B5" w14:textId="77777777" w:rsidR="00085146" w:rsidRPr="00C9638B" w:rsidRDefault="00085146" w:rsidP="00085146">
      <w:pPr>
        <w:pStyle w:val="Textonotapie"/>
        <w:ind w:firstLine="709"/>
        <w:rPr>
          <w:lang w:val="es-CO"/>
        </w:rPr>
      </w:pPr>
      <w:r>
        <w:rPr>
          <w:rStyle w:val="Refdenotaalpie"/>
        </w:rPr>
        <w:footnoteRef/>
      </w:r>
      <w:r>
        <w:t xml:space="preserve"> </w:t>
      </w:r>
      <w:r>
        <w:rPr>
          <w:rFonts w:ascii="Verdana" w:hAnsi="Verdana" w:cs="Arial"/>
          <w:sz w:val="16"/>
          <w:szCs w:val="16"/>
        </w:rPr>
        <w:t xml:space="preserve">Consejo de Estado. Sala de </w:t>
      </w:r>
      <w:r w:rsidRPr="00DD3C4B">
        <w:rPr>
          <w:rFonts w:ascii="Verdana" w:hAnsi="Verdana" w:cs="Arial"/>
          <w:sz w:val="16"/>
          <w:szCs w:val="16"/>
        </w:rPr>
        <w:t>Consulta y Servicio Civil</w:t>
      </w:r>
      <w:r w:rsidRPr="00DD3C4B">
        <w:rPr>
          <w:rFonts w:ascii="Verdana" w:eastAsia="Times New Roman" w:hAnsi="Verdana" w:cs="Arial"/>
          <w:bCs/>
          <w:sz w:val="16"/>
          <w:szCs w:val="16"/>
          <w:lang w:val="es-ES_tradnl" w:eastAsia="x-none"/>
        </w:rPr>
        <w:t>. Concepto</w:t>
      </w:r>
      <w:r>
        <w:rPr>
          <w:rFonts w:ascii="Verdana" w:eastAsia="Times New Roman" w:hAnsi="Verdana" w:cs="Arial"/>
          <w:bCs/>
          <w:sz w:val="16"/>
          <w:szCs w:val="16"/>
          <w:lang w:val="es-ES_tradnl" w:eastAsia="x-none"/>
        </w:rPr>
        <w:t xml:space="preserve"> del 21 de mayo del 2014. </w:t>
      </w:r>
      <w:r w:rsidRPr="00CE1DD5">
        <w:rPr>
          <w:rFonts w:ascii="Verdana" w:eastAsia="Times New Roman" w:hAnsi="Verdana" w:cs="Arial"/>
          <w:bCs/>
          <w:sz w:val="16"/>
          <w:szCs w:val="16"/>
          <w:lang w:val="es-CO" w:eastAsia="x-none"/>
        </w:rPr>
        <w:t>Radicación número: 11001-03-06-000-2014-00119-00(2212)</w:t>
      </w:r>
      <w:r>
        <w:rPr>
          <w:rFonts w:ascii="Verdana" w:eastAsia="Times New Roman" w:hAnsi="Verdana" w:cs="Arial"/>
          <w:bCs/>
          <w:sz w:val="16"/>
          <w:szCs w:val="16"/>
          <w:lang w:val="es-CO" w:eastAsia="x-none"/>
        </w:rPr>
        <w:t>. C.P: Alvaro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1B13"/>
      </v:shape>
    </w:pict>
  </w:numPicBullet>
  <w:abstractNum w:abstractNumId="0" w15:restartNumberingAfterBreak="0">
    <w:nsid w:val="01C06310"/>
    <w:multiLevelType w:val="multilevel"/>
    <w:tmpl w:val="7BB2E942"/>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05397034">
    <w:abstractNumId w:val="0"/>
  </w:num>
  <w:num w:numId="17" w16cid:durableId="16386104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80E"/>
    <w:rsid w:val="00016F78"/>
    <w:rsid w:val="00046945"/>
    <w:rsid w:val="00061B2A"/>
    <w:rsid w:val="00082362"/>
    <w:rsid w:val="00085146"/>
    <w:rsid w:val="000A683E"/>
    <w:rsid w:val="000B19B9"/>
    <w:rsid w:val="000D0334"/>
    <w:rsid w:val="000D5DA7"/>
    <w:rsid w:val="000F6486"/>
    <w:rsid w:val="00116940"/>
    <w:rsid w:val="00125105"/>
    <w:rsid w:val="00127233"/>
    <w:rsid w:val="00152F52"/>
    <w:rsid w:val="0015699B"/>
    <w:rsid w:val="001A33BF"/>
    <w:rsid w:val="001E4177"/>
    <w:rsid w:val="001F0B24"/>
    <w:rsid w:val="001F7DC6"/>
    <w:rsid w:val="0022400B"/>
    <w:rsid w:val="002421BB"/>
    <w:rsid w:val="0025796E"/>
    <w:rsid w:val="002707A2"/>
    <w:rsid w:val="00271713"/>
    <w:rsid w:val="002951A0"/>
    <w:rsid w:val="0029548D"/>
    <w:rsid w:val="002962BC"/>
    <w:rsid w:val="002A093D"/>
    <w:rsid w:val="002A0DD0"/>
    <w:rsid w:val="002A32E2"/>
    <w:rsid w:val="002A49AC"/>
    <w:rsid w:val="002A64FD"/>
    <w:rsid w:val="002C7A84"/>
    <w:rsid w:val="002D631F"/>
    <w:rsid w:val="002E2BF8"/>
    <w:rsid w:val="002E4FD9"/>
    <w:rsid w:val="002F709F"/>
    <w:rsid w:val="0030657A"/>
    <w:rsid w:val="00322A85"/>
    <w:rsid w:val="00324168"/>
    <w:rsid w:val="00330834"/>
    <w:rsid w:val="003448F4"/>
    <w:rsid w:val="00374F5E"/>
    <w:rsid w:val="00377E3E"/>
    <w:rsid w:val="003971CB"/>
    <w:rsid w:val="003A779E"/>
    <w:rsid w:val="003D0F4D"/>
    <w:rsid w:val="003D5B0D"/>
    <w:rsid w:val="003E0499"/>
    <w:rsid w:val="003E4F80"/>
    <w:rsid w:val="003E6439"/>
    <w:rsid w:val="003F3941"/>
    <w:rsid w:val="00406575"/>
    <w:rsid w:val="00414C74"/>
    <w:rsid w:val="0042722E"/>
    <w:rsid w:val="0044528D"/>
    <w:rsid w:val="00466E39"/>
    <w:rsid w:val="00482A1B"/>
    <w:rsid w:val="004A1847"/>
    <w:rsid w:val="004A305D"/>
    <w:rsid w:val="004A4D29"/>
    <w:rsid w:val="004F21C4"/>
    <w:rsid w:val="004F685F"/>
    <w:rsid w:val="00511321"/>
    <w:rsid w:val="005566E8"/>
    <w:rsid w:val="00574867"/>
    <w:rsid w:val="00591460"/>
    <w:rsid w:val="005A65E0"/>
    <w:rsid w:val="005C3777"/>
    <w:rsid w:val="005C5CDC"/>
    <w:rsid w:val="005D476C"/>
    <w:rsid w:val="005D6AB4"/>
    <w:rsid w:val="006200BF"/>
    <w:rsid w:val="006219F8"/>
    <w:rsid w:val="006302F7"/>
    <w:rsid w:val="006359E6"/>
    <w:rsid w:val="00645C5E"/>
    <w:rsid w:val="00646B9F"/>
    <w:rsid w:val="00665D70"/>
    <w:rsid w:val="006900D9"/>
    <w:rsid w:val="006B3930"/>
    <w:rsid w:val="00706C16"/>
    <w:rsid w:val="007340C3"/>
    <w:rsid w:val="007463E9"/>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560BC"/>
    <w:rsid w:val="00867F95"/>
    <w:rsid w:val="008843B6"/>
    <w:rsid w:val="00891928"/>
    <w:rsid w:val="008A446D"/>
    <w:rsid w:val="008B25F1"/>
    <w:rsid w:val="008D180B"/>
    <w:rsid w:val="008F0EA7"/>
    <w:rsid w:val="00923EEF"/>
    <w:rsid w:val="009419F9"/>
    <w:rsid w:val="0095661B"/>
    <w:rsid w:val="0095685E"/>
    <w:rsid w:val="00961B09"/>
    <w:rsid w:val="00965334"/>
    <w:rsid w:val="0097093E"/>
    <w:rsid w:val="009A0DFA"/>
    <w:rsid w:val="009A1C6F"/>
    <w:rsid w:val="009B2D26"/>
    <w:rsid w:val="009C71FA"/>
    <w:rsid w:val="009C72E7"/>
    <w:rsid w:val="009C7F7E"/>
    <w:rsid w:val="009D3058"/>
    <w:rsid w:val="009D4D42"/>
    <w:rsid w:val="009F3A13"/>
    <w:rsid w:val="00A122D3"/>
    <w:rsid w:val="00A14468"/>
    <w:rsid w:val="00A17F13"/>
    <w:rsid w:val="00A20739"/>
    <w:rsid w:val="00A23AF9"/>
    <w:rsid w:val="00A319FF"/>
    <w:rsid w:val="00A33C78"/>
    <w:rsid w:val="00A40456"/>
    <w:rsid w:val="00AB0ADB"/>
    <w:rsid w:val="00B00C0E"/>
    <w:rsid w:val="00B01B1A"/>
    <w:rsid w:val="00B0381D"/>
    <w:rsid w:val="00B44A47"/>
    <w:rsid w:val="00B72CD3"/>
    <w:rsid w:val="00B72FFF"/>
    <w:rsid w:val="00BC3D36"/>
    <w:rsid w:val="00BD072E"/>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10E5D"/>
    <w:rsid w:val="00D361FD"/>
    <w:rsid w:val="00D423A2"/>
    <w:rsid w:val="00D44E26"/>
    <w:rsid w:val="00D520D8"/>
    <w:rsid w:val="00D63AC2"/>
    <w:rsid w:val="00D7383B"/>
    <w:rsid w:val="00D7788A"/>
    <w:rsid w:val="00DA231B"/>
    <w:rsid w:val="00DB7DAD"/>
    <w:rsid w:val="00DC39FC"/>
    <w:rsid w:val="00DF5254"/>
    <w:rsid w:val="00E02524"/>
    <w:rsid w:val="00E076A1"/>
    <w:rsid w:val="00E16408"/>
    <w:rsid w:val="00E20894"/>
    <w:rsid w:val="00E245AB"/>
    <w:rsid w:val="00E2764C"/>
    <w:rsid w:val="00E27F2E"/>
    <w:rsid w:val="00E50AFE"/>
    <w:rsid w:val="00E75C92"/>
    <w:rsid w:val="00E771DC"/>
    <w:rsid w:val="00E8772A"/>
    <w:rsid w:val="00E90F6B"/>
    <w:rsid w:val="00E92C27"/>
    <w:rsid w:val="00EA0E3D"/>
    <w:rsid w:val="00EC38A7"/>
    <w:rsid w:val="00EC593C"/>
    <w:rsid w:val="00ED0A02"/>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uiPriority w:val="99"/>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85146"/>
    <w:rPr>
      <w:rFonts w:ascii="Geomanist Light" w:hAnsi="Geomanist Light"/>
      <w:lang w:val="es-ES"/>
    </w:rPr>
  </w:style>
  <w:style w:type="paragraph" w:customStyle="1" w:styleId="Appelnotedebasde">
    <w:name w:val="Appel note de bas de..."/>
    <w:basedOn w:val="Normal"/>
    <w:link w:val="Refdenotaalpie"/>
    <w:uiPriority w:val="99"/>
    <w:rsid w:val="0008514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gerenciajuridica@metrodebogota.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C560306-C455-4DC5-A88E-C5F9D5E30CE4}">
  <ds:schemaRefs>
    <ds:schemaRef ds:uri="http://schemas.openxmlformats.org/officeDocument/2006/bibliography"/>
  </ds:schemaRefs>
</ds:datastoreItem>
</file>

<file path=customXml/itemProps2.xml><?xml version="1.0" encoding="utf-8"?>
<ds:datastoreItem xmlns:ds="http://schemas.openxmlformats.org/officeDocument/2006/customXml" ds:itemID="{66920E07-9A4E-4ECC-BA2F-172A5D0C4322}"/>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21</Pages>
  <Words>7541</Words>
  <Characters>40648</Characters>
  <Application>Microsoft Office Word</Application>
  <DocSecurity>0</DocSecurity>
  <Lines>752</Lines>
  <Paragraphs>134</Paragraphs>
  <ScaleCrop>false</ScaleCrop>
  <Company/>
  <LinksUpToDate>false</LinksUpToDate>
  <CharactersWithSpaces>48055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13</cp:revision>
  <cp:lastPrinted>2023-01-10T21:18:00Z</cp:lastPrinted>
  <dcterms:created xsi:type="dcterms:W3CDTF">2026-01-09T20:30:00Z</dcterms:created>
  <dcterms:modified xsi:type="dcterms:W3CDTF">2026-01-21T14:26:00Z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