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3475B" w14:textId="77777777" w:rsidR="00DF3C8B" w:rsidRPr="00CA5050" w:rsidRDefault="00DF3C8B" w:rsidP="00DF3C8B">
      <w:pPr>
        <w:spacing w:after="0"/>
        <w:jc w:val="both"/>
        <w:rPr>
          <w:rFonts w:ascii="Verdana" w:hAnsi="Verdana" w:cs="Arial"/>
          <w:b/>
          <w:bCs/>
          <w:lang w:eastAsia="es-ES"/>
        </w:rPr>
      </w:pPr>
      <w:r w:rsidRPr="00CA5050">
        <w:rPr>
          <w:rFonts w:ascii="Verdana" w:hAnsi="Verdana" w:cs="Arial"/>
          <w:b/>
          <w:bCs/>
          <w:lang w:eastAsia="es-ES"/>
        </w:rPr>
        <w:t xml:space="preserve">PRINCIPIO DE PUBLICIDAD – SECOP  </w:t>
      </w:r>
    </w:p>
    <w:p w14:paraId="15F56173" w14:textId="77777777" w:rsidR="00DF3C8B" w:rsidRPr="00CA5050" w:rsidRDefault="00DF3C8B" w:rsidP="00DF3C8B">
      <w:pPr>
        <w:spacing w:after="0"/>
        <w:jc w:val="both"/>
        <w:rPr>
          <w:rFonts w:ascii="Verdana" w:hAnsi="Verdana" w:cs="Arial"/>
          <w:bCs/>
          <w:lang w:eastAsia="es-ES"/>
        </w:rPr>
      </w:pPr>
    </w:p>
    <w:p w14:paraId="01A84821" w14:textId="77777777" w:rsidR="00DF3C8B" w:rsidRPr="00CA5050" w:rsidRDefault="00DF3C8B" w:rsidP="00DF3C8B">
      <w:pPr>
        <w:spacing w:after="0" w:line="240" w:lineRule="auto"/>
        <w:jc w:val="both"/>
        <w:rPr>
          <w:rFonts w:ascii="Verdana" w:eastAsia="Calibri" w:hAnsi="Verdana" w:cs="Arial"/>
          <w:sz w:val="20"/>
        </w:rPr>
      </w:pPr>
      <w:r w:rsidRPr="00CA5050">
        <w:rPr>
          <w:rFonts w:ascii="Verdana" w:eastAsia="Calibri" w:hAnsi="Verdana" w:cs="Arial"/>
          <w:sz w:val="20"/>
        </w:rPr>
        <w:t xml:space="preserve">Uno de los postulados más importantes de un Estado social y democrático de derecho es el principio de publicidad, pues este permite que las actuaciones de las autoridades gocen de visibilidad. En tal sentido, la filosofía política ha indicado que la democracia </w:t>
      </w:r>
      <w:r>
        <w:rPr>
          <w:rFonts w:ascii="Verdana" w:eastAsia="Calibri" w:hAnsi="Verdana" w:cs="Arial"/>
          <w:sz w:val="20"/>
        </w:rPr>
        <w:t>“</w:t>
      </w:r>
      <w:r w:rsidRPr="00CA5050">
        <w:rPr>
          <w:rFonts w:ascii="Verdana" w:eastAsia="Calibri" w:hAnsi="Verdana" w:cs="Arial"/>
          <w:sz w:val="20"/>
        </w:rPr>
        <w:t>[…] es idealmente el gobierno de un poder visible, es decir, el gobierno cuyos actos se realizan ante el público y bajo la supervisión de la opinión pública”.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pregonan la publicidad de las actuaciones de los poderes públicos.</w:t>
      </w:r>
    </w:p>
    <w:p w14:paraId="2FE3DB2D" w14:textId="77777777" w:rsidR="00DF3C8B" w:rsidRDefault="00DF3C8B" w:rsidP="00DF3C8B">
      <w:pPr>
        <w:spacing w:after="0" w:line="240" w:lineRule="auto"/>
        <w:jc w:val="both"/>
        <w:rPr>
          <w:rFonts w:ascii="Verdana" w:eastAsia="Calibri" w:hAnsi="Verdana" w:cs="Arial"/>
          <w:color w:val="000000" w:themeColor="text1"/>
          <w:sz w:val="20"/>
        </w:rPr>
      </w:pPr>
      <w:r>
        <w:rPr>
          <w:rFonts w:ascii="Verdana" w:eastAsia="Calibri" w:hAnsi="Verdana" w:cs="Arial"/>
          <w:color w:val="000000" w:themeColor="text1"/>
          <w:sz w:val="20"/>
        </w:rPr>
        <w:t>[…]</w:t>
      </w:r>
    </w:p>
    <w:p w14:paraId="535C283C" w14:textId="77777777" w:rsidR="00DF3C8B" w:rsidRDefault="00DF3C8B" w:rsidP="00DF3C8B">
      <w:pPr>
        <w:spacing w:after="0" w:line="240" w:lineRule="auto"/>
        <w:jc w:val="both"/>
        <w:rPr>
          <w:rFonts w:ascii="Verdana" w:eastAsia="Calibri" w:hAnsi="Verdana" w:cs="Arial"/>
          <w:color w:val="000000" w:themeColor="text1"/>
          <w:sz w:val="20"/>
        </w:rPr>
      </w:pPr>
      <w:r w:rsidRPr="00317641">
        <w:rPr>
          <w:rFonts w:ascii="Verdana" w:eastAsia="Calibri" w:hAnsi="Verdana" w:cs="Arial"/>
          <w:color w:val="000000" w:themeColor="text1"/>
          <w:sz w:val="20"/>
        </w:rPr>
        <w:t xml:space="preserve">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w:t>
      </w:r>
      <w:r>
        <w:rPr>
          <w:rFonts w:ascii="Verdana" w:eastAsia="Calibri" w:hAnsi="Verdana" w:cs="Arial"/>
          <w:color w:val="000000" w:themeColor="text1"/>
          <w:sz w:val="20"/>
        </w:rPr>
        <w:t>“</w:t>
      </w:r>
      <w:r w:rsidRPr="00317641">
        <w:rPr>
          <w:rFonts w:ascii="Verdana" w:eastAsia="Calibri" w:hAnsi="Verdana" w:cs="Arial"/>
          <w:color w:val="000000" w:themeColor="text1"/>
          <w:sz w:val="20"/>
        </w:rPr>
        <w:t>contará con la información oficial de la contratación realizada con dineros públicos, para lo cual establecerá los patrones a que haya lugar y se encargará de su difusión a través de canales electrónicos”</w:t>
      </w:r>
    </w:p>
    <w:p w14:paraId="118077CE" w14:textId="77777777" w:rsidR="00DF3C8B" w:rsidRDefault="00DF3C8B" w:rsidP="00DF3C8B">
      <w:pPr>
        <w:tabs>
          <w:tab w:val="left" w:pos="3374"/>
        </w:tabs>
        <w:spacing w:after="0" w:line="240" w:lineRule="auto"/>
        <w:jc w:val="both"/>
        <w:rPr>
          <w:rFonts w:ascii="Verdana" w:eastAsia="Calibri" w:hAnsi="Verdana" w:cs="Arial"/>
          <w:b/>
          <w:bCs/>
          <w:color w:val="7030A0"/>
        </w:rPr>
      </w:pPr>
    </w:p>
    <w:p w14:paraId="0880C825" w14:textId="77777777" w:rsidR="00DF3C8B" w:rsidRDefault="00DF3C8B" w:rsidP="00DF3C8B">
      <w:pPr>
        <w:tabs>
          <w:tab w:val="left" w:pos="3374"/>
        </w:tabs>
        <w:spacing w:after="0" w:line="240" w:lineRule="auto"/>
        <w:jc w:val="both"/>
        <w:rPr>
          <w:rFonts w:ascii="Verdana" w:eastAsia="Calibri" w:hAnsi="Verdana" w:cs="Arial"/>
          <w:b/>
          <w:bCs/>
          <w:color w:val="7030A0"/>
        </w:rPr>
      </w:pPr>
    </w:p>
    <w:p w14:paraId="4F8AF0A8" w14:textId="77777777" w:rsidR="00DF3C8B" w:rsidRPr="00B21659" w:rsidRDefault="00DF3C8B" w:rsidP="00DF3C8B">
      <w:pPr>
        <w:tabs>
          <w:tab w:val="left" w:pos="3374"/>
        </w:tabs>
        <w:spacing w:after="0" w:line="240" w:lineRule="auto"/>
        <w:jc w:val="both"/>
        <w:rPr>
          <w:rFonts w:ascii="Verdana" w:eastAsia="Calibri" w:hAnsi="Verdana" w:cs="Arial"/>
          <w:b/>
          <w:bCs/>
        </w:rPr>
      </w:pPr>
      <w:r w:rsidRPr="00B21659">
        <w:rPr>
          <w:rFonts w:ascii="Verdana" w:eastAsia="Calibri" w:hAnsi="Verdana" w:cs="Arial"/>
          <w:b/>
          <w:bCs/>
        </w:rPr>
        <w:t xml:space="preserve">EJECUCIÓN DEL CONTRATO ‒ Contrato estatal – Cierre del expediente contractual – Acto de trámite – Constancia </w:t>
      </w:r>
    </w:p>
    <w:p w14:paraId="203F463C" w14:textId="77777777" w:rsidR="00DF3C8B" w:rsidRPr="00B21659" w:rsidRDefault="00DF3C8B" w:rsidP="00DF3C8B">
      <w:pPr>
        <w:tabs>
          <w:tab w:val="left" w:pos="3374"/>
        </w:tabs>
        <w:spacing w:after="0" w:line="240" w:lineRule="auto"/>
        <w:jc w:val="both"/>
        <w:rPr>
          <w:rFonts w:ascii="Verdana" w:eastAsia="Calibri" w:hAnsi="Verdana" w:cs="Arial"/>
          <w:b/>
          <w:bCs/>
          <w:sz w:val="20"/>
          <w:szCs w:val="20"/>
        </w:rPr>
      </w:pPr>
    </w:p>
    <w:p w14:paraId="3676202C" w14:textId="77777777" w:rsidR="00DF3C8B" w:rsidRPr="00BE2DFF" w:rsidRDefault="00DF3C8B" w:rsidP="00DF3C8B">
      <w:pPr>
        <w:tabs>
          <w:tab w:val="left" w:pos="3374"/>
        </w:tabs>
        <w:spacing w:after="0" w:line="240" w:lineRule="auto"/>
        <w:jc w:val="both"/>
        <w:rPr>
          <w:rFonts w:ascii="Verdana" w:eastAsia="Calibri" w:hAnsi="Verdana" w:cs="Arial"/>
          <w:sz w:val="20"/>
          <w:szCs w:val="20"/>
        </w:rPr>
      </w:pPr>
      <w:r w:rsidRPr="00B21659">
        <w:rPr>
          <w:rFonts w:ascii="Verdana" w:eastAsia="Calibri" w:hAnsi="Verdana" w:cs="Arial"/>
          <w:sz w:val="20"/>
          <w:szCs w:val="20"/>
        </w:rPr>
        <w:t xml:space="preserve">De acuerdo con el artículo 2.2.1.1.2.4.3 del Decreto 1082 de 2015, </w:t>
      </w:r>
      <w:r w:rsidRPr="00BE2DFF">
        <w:rPr>
          <w:rFonts w:ascii="Verdana" w:eastAsia="Calibri" w:hAnsi="Verdana" w:cs="Arial"/>
          <w:i/>
          <w:iCs/>
          <w:sz w:val="20"/>
          <w:szCs w:val="20"/>
        </w:rPr>
        <w:t>el cierre del expediente</w:t>
      </w:r>
      <w:r w:rsidRPr="00BE2DFF">
        <w:rPr>
          <w:rFonts w:ascii="Verdana" w:eastAsia="Calibri" w:hAnsi="Verdana" w:cs="Arial"/>
          <w:sz w:val="20"/>
          <w:szCs w:val="20"/>
        </w:rPr>
        <w:t xml:space="preserve"> es un acto de trámite que realiza la entidad estatal cuando han vencido, por un lado, las garantías de calidad, estabilidad y mantenimiento, o por el otro, cuando se establecieron condiciones de disposición final o recuperación ambiental de las obras o bienes. Se trata de una constancia administrativa que culmina las actuaciones contractuales.</w:t>
      </w:r>
    </w:p>
    <w:p w14:paraId="6CBD108C" w14:textId="77777777" w:rsidR="00DF3C8B" w:rsidRPr="0010087F" w:rsidRDefault="00DF3C8B" w:rsidP="00DF3C8B">
      <w:pPr>
        <w:spacing w:after="0" w:line="240" w:lineRule="auto"/>
        <w:contextualSpacing/>
        <w:jc w:val="both"/>
        <w:rPr>
          <w:rFonts w:ascii="Verdana" w:eastAsia="Calibri" w:hAnsi="Verdana" w:cs="Arial"/>
          <w:b/>
          <w:bCs/>
          <w:color w:val="7030A0"/>
          <w:lang w:eastAsia="es-ES"/>
        </w:rPr>
      </w:pPr>
    </w:p>
    <w:p w14:paraId="2C30BF86" w14:textId="77777777" w:rsidR="00DF3C8B" w:rsidRPr="00E3533A" w:rsidRDefault="00DF3C8B" w:rsidP="00DF3C8B">
      <w:pPr>
        <w:spacing w:after="0"/>
        <w:jc w:val="both"/>
        <w:rPr>
          <w:rFonts w:ascii="Verdana" w:hAnsi="Verdana" w:cs="Arial"/>
          <w:b/>
          <w:bCs/>
          <w:lang w:eastAsia="es-ES"/>
        </w:rPr>
      </w:pPr>
      <w:r>
        <w:rPr>
          <w:rFonts w:ascii="Verdana" w:hAnsi="Verdana" w:cs="Arial"/>
          <w:b/>
          <w:bCs/>
          <w:lang w:eastAsia="es-ES"/>
        </w:rPr>
        <w:t>CIERRE DEL EXPEDIENTE</w:t>
      </w:r>
      <w:r w:rsidRPr="00E3533A">
        <w:rPr>
          <w:rFonts w:ascii="Verdana" w:hAnsi="Verdana" w:cs="Arial"/>
          <w:b/>
          <w:bCs/>
          <w:lang w:eastAsia="es-ES"/>
        </w:rPr>
        <w:t xml:space="preserve"> – </w:t>
      </w:r>
      <w:r>
        <w:rPr>
          <w:rFonts w:ascii="Verdana" w:hAnsi="Verdana" w:cs="Arial"/>
          <w:b/>
          <w:bCs/>
          <w:lang w:eastAsia="es-ES"/>
        </w:rPr>
        <w:t xml:space="preserve">Actuación administrativa </w:t>
      </w:r>
      <w:r w:rsidRPr="00E3533A">
        <w:rPr>
          <w:rFonts w:ascii="Verdana" w:hAnsi="Verdana" w:cs="Arial"/>
          <w:b/>
          <w:bCs/>
          <w:lang w:eastAsia="es-ES"/>
        </w:rPr>
        <w:t xml:space="preserve">– </w:t>
      </w:r>
      <w:r>
        <w:rPr>
          <w:rFonts w:ascii="Verdana" w:hAnsi="Verdana" w:cs="Arial"/>
          <w:b/>
          <w:bCs/>
          <w:lang w:eastAsia="es-ES"/>
        </w:rPr>
        <w:t>Cumplimiento de obligaciones post-contractuales</w:t>
      </w:r>
      <w:r w:rsidRPr="00E3533A">
        <w:rPr>
          <w:rFonts w:ascii="Verdana" w:hAnsi="Verdana" w:cs="Arial"/>
          <w:b/>
          <w:bCs/>
          <w:lang w:eastAsia="es-ES"/>
        </w:rPr>
        <w:t xml:space="preserve"> </w:t>
      </w:r>
    </w:p>
    <w:p w14:paraId="65304A79" w14:textId="77777777" w:rsidR="00DF3C8B" w:rsidRPr="00E3533A" w:rsidRDefault="00DF3C8B" w:rsidP="00DF3C8B">
      <w:pPr>
        <w:spacing w:after="0"/>
        <w:jc w:val="both"/>
        <w:rPr>
          <w:rFonts w:ascii="Verdana" w:hAnsi="Verdana" w:cs="Arial"/>
          <w:bCs/>
          <w:lang w:eastAsia="es-ES"/>
        </w:rPr>
      </w:pPr>
    </w:p>
    <w:p w14:paraId="08A5F926" w14:textId="77777777" w:rsidR="00DF3C8B" w:rsidRDefault="00DF3C8B" w:rsidP="00DF3C8B">
      <w:pPr>
        <w:spacing w:after="0" w:line="240" w:lineRule="auto"/>
        <w:jc w:val="both"/>
        <w:rPr>
          <w:rFonts w:ascii="Verdana" w:hAnsi="Verdana" w:cs="Arial"/>
          <w:bCs/>
          <w:sz w:val="20"/>
          <w:lang w:eastAsia="es-ES"/>
        </w:rPr>
      </w:pPr>
      <w:r w:rsidRPr="007F69B2">
        <w:rPr>
          <w:rFonts w:ascii="Verdana" w:hAnsi="Verdana" w:cs="Arial"/>
          <w:bCs/>
          <w:sz w:val="20"/>
          <w:lang w:eastAsia="es-ES"/>
        </w:rPr>
        <w:t xml:space="preserve">Teniendo en cuenta lo que implica la liquidación dentro de la etapa de la contratación estatal la Agencia reitera que corresponde a la Entidad Estatal realizar estas modificaciones en SECOP I, que implica cambiar el estado del contrato a </w:t>
      </w:r>
      <w:r>
        <w:rPr>
          <w:rFonts w:ascii="Verdana" w:hAnsi="Verdana" w:cs="Arial"/>
          <w:bCs/>
          <w:sz w:val="20"/>
          <w:lang w:eastAsia="es-ES"/>
        </w:rPr>
        <w:t>“</w:t>
      </w:r>
      <w:r w:rsidRPr="007F69B2">
        <w:rPr>
          <w:rFonts w:ascii="Verdana" w:hAnsi="Verdana" w:cs="Arial"/>
          <w:bCs/>
          <w:sz w:val="20"/>
          <w:lang w:eastAsia="es-ES"/>
        </w:rPr>
        <w:t xml:space="preserve">Cerrado” y si tiene disponibles los documentos relacionados con la terminación o con la liquidación, si aplica. Por su parte, el artículo 2.2.1.1.2.4.3 del Decreto 1082 de 2015 señala que el cierre del expediente es un acto de trámite que realiza la entidad estatal cuando han vencido, por un lado, las garantías de calidad, estabilidad y mantenimiento, o por el otro, cuando se establecieron condiciones de disposición final o recuperación ambiental de las obras o bienes. Se trata de una constancia administrativa que culmina las </w:t>
      </w:r>
      <w:r w:rsidRPr="007F69B2">
        <w:rPr>
          <w:rFonts w:ascii="Verdana" w:hAnsi="Verdana" w:cs="Arial"/>
          <w:bCs/>
          <w:sz w:val="20"/>
          <w:lang w:eastAsia="es-ES"/>
        </w:rPr>
        <w:lastRenderedPageBreak/>
        <w:t xml:space="preserve">actuaciones contractuales. en el caso del cierre del expediente contractual, es importante tener presente que es un documento administrativo que busca cerrar el expediente contractual electrónico de un proceso de contratación. </w:t>
      </w:r>
    </w:p>
    <w:p w14:paraId="6253DD93" w14:textId="77777777" w:rsidR="00DF3C8B" w:rsidRPr="007F69B2" w:rsidRDefault="00DF3C8B" w:rsidP="00DF3C8B">
      <w:pPr>
        <w:spacing w:after="0" w:line="240" w:lineRule="auto"/>
        <w:jc w:val="both"/>
        <w:rPr>
          <w:rFonts w:ascii="Verdana" w:hAnsi="Verdana" w:cs="Arial"/>
          <w:bCs/>
          <w:sz w:val="20"/>
          <w:lang w:eastAsia="es-ES"/>
        </w:rPr>
      </w:pPr>
    </w:p>
    <w:p w14:paraId="46684823" w14:textId="77777777" w:rsidR="00DF3C8B" w:rsidRDefault="00DF3C8B" w:rsidP="00DF3C8B">
      <w:pPr>
        <w:spacing w:after="0" w:line="240" w:lineRule="auto"/>
        <w:jc w:val="both"/>
        <w:rPr>
          <w:rFonts w:ascii="Verdana" w:hAnsi="Verdana" w:cs="Arial"/>
          <w:bCs/>
          <w:sz w:val="20"/>
          <w:lang w:eastAsia="es-ES"/>
        </w:rPr>
      </w:pPr>
      <w:r w:rsidRPr="007F69B2">
        <w:rPr>
          <w:rFonts w:ascii="Verdana" w:hAnsi="Verdana" w:cs="Arial"/>
          <w:bCs/>
          <w:sz w:val="20"/>
          <w:lang w:eastAsia="es-ES"/>
        </w:rPr>
        <w:t xml:space="preserve">Para que proceda el cierre del expediente contractual en la plataforma SECOP I de los procesos es necesario que se hayan cumplido con las obligaciones post-contractuales y de los contratos cuyo plazo de ejecución haya finalizado y no requiera de liquidación o no se encuentren obligaciones post-contractuales pendientes, por lo que el cierre del proceso dependerá de la causal de terminación y de las disposiciones específicas del contrato. En esta línea, aun cuando la Circular Externa 05 del 1 de noviembre de 2024 hace expresa referencia al trámite de cierre del expediente en el SECOP II, lo expresado allí también aplicaría para los contratos surtidos en SECOP I, en la medida en que el cierre del contrato puede aplicar en los siguientes supuestos: a) Cerrar los expedientes electrónicos de los contratos que hayan cumplido con las obligaciones post-contractuales, a las que prescribe el artículo 2.2.1.1.2.4.3 del Decreto 1082 de 2015; b) Cerrar los expedientes electrónicos de los contratos cuyo plazo de ejecución y término para liquidar hayan finalizado, que no se hayan incluido garantías de calidad, estabilidad y mantenimiento, ni obligaciones post-contractuales; c) Cerrar el expediente electrónico de los contratos cuyo plazo de ejecución haya finalizado, que no requieran de liquidación o no se encuentren pendientes obligaciones post-contractuales pendientes por cumplir . Esto, sin perjuicio de otros supuestos que impliquen el cierre del contrato. </w:t>
      </w:r>
    </w:p>
    <w:p w14:paraId="29A44A99" w14:textId="77777777" w:rsidR="00DF3C8B" w:rsidRPr="007F69B2" w:rsidRDefault="00DF3C8B" w:rsidP="00DF3C8B">
      <w:pPr>
        <w:spacing w:after="0" w:line="240" w:lineRule="auto"/>
        <w:jc w:val="both"/>
        <w:rPr>
          <w:rFonts w:ascii="Verdana" w:hAnsi="Verdana" w:cs="Arial"/>
          <w:bCs/>
          <w:sz w:val="20"/>
          <w:lang w:eastAsia="es-ES"/>
        </w:rPr>
      </w:pPr>
    </w:p>
    <w:p w14:paraId="1ECE87EE" w14:textId="77777777" w:rsidR="00DF3C8B" w:rsidRDefault="00DF3C8B" w:rsidP="00DF3C8B">
      <w:pPr>
        <w:spacing w:after="0" w:line="240" w:lineRule="auto"/>
        <w:jc w:val="both"/>
        <w:rPr>
          <w:rFonts w:ascii="Verdana" w:hAnsi="Verdana" w:cs="Arial"/>
          <w:bCs/>
          <w:sz w:val="20"/>
          <w:lang w:eastAsia="es-ES"/>
        </w:rPr>
      </w:pPr>
      <w:r w:rsidRPr="007F69B2">
        <w:rPr>
          <w:rFonts w:ascii="Verdana" w:hAnsi="Verdana" w:cs="Arial"/>
          <w:bCs/>
          <w:sz w:val="20"/>
          <w:lang w:eastAsia="es-ES"/>
        </w:rPr>
        <w:t xml:space="preserve">Una vez se cumplan todas las obligaciones post-contractuales, independientemente del tipo de contrato celebrado por las Entidades Estatales, las mismas proceden con el cierre del contrato en la plataforma. En el caso de que no se hayan cumplido todas las fechas asociadas al contrato, las Entidades como responsables de su actividad contractual y conforme al régimen jurídico de contratación que les resulta aplicable, les corresponde adoptar las decisiones y adelantar las actuaciones que estimen pertinentes para desarrollar y materializar dicha actividad. En ese sentido, si como resultado del análisis requieren aplicar el cierre del contrato, las Entidades deben efectuar una modificación ajustando las fechas, y posteriormente, proceder con el cierre del expediente del contrato. </w:t>
      </w:r>
    </w:p>
    <w:p w14:paraId="74417FB6" w14:textId="77777777" w:rsidR="00DF3C8B" w:rsidRPr="007F69B2" w:rsidRDefault="00DF3C8B" w:rsidP="00DF3C8B">
      <w:pPr>
        <w:spacing w:after="0" w:line="240" w:lineRule="auto"/>
        <w:jc w:val="both"/>
        <w:rPr>
          <w:rFonts w:ascii="Verdana" w:hAnsi="Verdana" w:cs="Arial"/>
          <w:bCs/>
          <w:sz w:val="20"/>
          <w:lang w:eastAsia="es-ES"/>
        </w:rPr>
      </w:pPr>
    </w:p>
    <w:p w14:paraId="0FCD698C" w14:textId="77777777" w:rsidR="00DF3C8B" w:rsidRDefault="00DF3C8B" w:rsidP="00DF3C8B">
      <w:pPr>
        <w:spacing w:after="0"/>
        <w:rPr>
          <w:rFonts w:ascii="Verdana" w:hAnsi="Verdana" w:cs="Arial"/>
          <w:b/>
          <w:bCs/>
          <w:color w:val="ED7D31" w:themeColor="accent2"/>
          <w:lang w:eastAsia="es-ES"/>
        </w:rPr>
      </w:pPr>
    </w:p>
    <w:p w14:paraId="5656E039" w14:textId="77777777" w:rsidR="00DF3C8B" w:rsidRDefault="00DF3C8B" w:rsidP="00DF3C8B">
      <w:pPr>
        <w:spacing w:after="0"/>
        <w:rPr>
          <w:rFonts w:ascii="Verdana" w:hAnsi="Verdana" w:cs="Arial"/>
          <w:b/>
          <w:bCs/>
          <w:color w:val="ED7D31" w:themeColor="accent2"/>
          <w:lang w:eastAsia="es-ES"/>
        </w:rPr>
      </w:pPr>
    </w:p>
    <w:p w14:paraId="5DE4C5AB" w14:textId="77777777" w:rsidR="00DF3C8B" w:rsidRDefault="00DF3C8B" w:rsidP="00DF3C8B">
      <w:pPr>
        <w:spacing w:after="0"/>
        <w:rPr>
          <w:rFonts w:ascii="Verdana" w:hAnsi="Verdana" w:cs="Arial"/>
          <w:b/>
          <w:bCs/>
          <w:color w:val="ED7D31" w:themeColor="accent2"/>
          <w:lang w:eastAsia="es-ES"/>
        </w:rPr>
      </w:pPr>
    </w:p>
    <w:p w14:paraId="2C801E98" w14:textId="77777777" w:rsidR="00DF3C8B" w:rsidRDefault="00DF3C8B" w:rsidP="00DF3C8B">
      <w:pPr>
        <w:spacing w:after="0"/>
        <w:rPr>
          <w:rFonts w:ascii="Verdana" w:hAnsi="Verdana" w:cs="Arial"/>
          <w:b/>
          <w:bCs/>
          <w:color w:val="ED7D31" w:themeColor="accent2"/>
          <w:lang w:eastAsia="es-ES"/>
        </w:rPr>
      </w:pPr>
    </w:p>
    <w:p w14:paraId="4A226F28" w14:textId="77777777" w:rsidR="00DF3C8B" w:rsidRDefault="00DF3C8B" w:rsidP="00DF3C8B">
      <w:pPr>
        <w:spacing w:after="0"/>
        <w:rPr>
          <w:rFonts w:ascii="Verdana" w:hAnsi="Verdana" w:cs="Arial"/>
          <w:b/>
          <w:bCs/>
          <w:color w:val="ED7D31" w:themeColor="accent2"/>
          <w:lang w:eastAsia="es-ES"/>
        </w:rPr>
      </w:pPr>
    </w:p>
    <w:p w14:paraId="260F2561" w14:textId="77777777" w:rsidR="00DF3C8B" w:rsidRDefault="00DF3C8B" w:rsidP="00DF3C8B">
      <w:pPr>
        <w:spacing w:after="0"/>
        <w:rPr>
          <w:rFonts w:ascii="Verdana" w:hAnsi="Verdana" w:cs="Arial"/>
          <w:b/>
          <w:bCs/>
          <w:color w:val="ED7D31" w:themeColor="accent2"/>
          <w:lang w:eastAsia="es-ES"/>
        </w:rPr>
      </w:pPr>
    </w:p>
    <w:p w14:paraId="2E19B788" w14:textId="77777777" w:rsidR="00DF3C8B" w:rsidRDefault="00DF3C8B" w:rsidP="00DF3C8B">
      <w:pPr>
        <w:spacing w:after="0"/>
        <w:rPr>
          <w:rFonts w:ascii="Verdana" w:hAnsi="Verdana" w:cs="Arial"/>
          <w:b/>
          <w:bCs/>
          <w:color w:val="ED7D31" w:themeColor="accent2"/>
          <w:lang w:eastAsia="es-ES"/>
        </w:rPr>
      </w:pPr>
    </w:p>
    <w:p w14:paraId="2BA2A636" w14:textId="77777777" w:rsidR="00DF3C8B" w:rsidRDefault="00DF3C8B" w:rsidP="00DF3C8B">
      <w:pPr>
        <w:spacing w:after="0"/>
        <w:rPr>
          <w:rFonts w:ascii="Verdana" w:hAnsi="Verdana" w:cs="Arial"/>
          <w:b/>
          <w:bCs/>
          <w:color w:val="ED7D31" w:themeColor="accent2"/>
          <w:lang w:eastAsia="es-ES"/>
        </w:rPr>
      </w:pPr>
    </w:p>
    <w:p w14:paraId="19CF3C3D" w14:textId="77777777" w:rsidR="00DF3C8B" w:rsidRDefault="00DF3C8B" w:rsidP="00DF3C8B">
      <w:pPr>
        <w:spacing w:after="0"/>
        <w:rPr>
          <w:rFonts w:ascii="Verdana" w:hAnsi="Verdana" w:cs="Arial"/>
          <w:b/>
          <w:bCs/>
          <w:color w:val="ED7D31" w:themeColor="accent2"/>
          <w:lang w:eastAsia="es-ES"/>
        </w:rPr>
      </w:pPr>
    </w:p>
    <w:p w14:paraId="3E46A2BD" w14:textId="77777777" w:rsidR="00DF3C8B" w:rsidRDefault="00DF3C8B" w:rsidP="00DF3C8B">
      <w:pPr>
        <w:spacing w:after="0"/>
        <w:rPr>
          <w:rFonts w:ascii="Verdana" w:hAnsi="Verdana" w:cs="Arial"/>
          <w:bCs/>
          <w:color w:val="ED7D31" w:themeColor="accent2"/>
          <w:sz w:val="20"/>
          <w:lang w:eastAsia="es-ES"/>
        </w:rPr>
      </w:pPr>
    </w:p>
    <w:p w14:paraId="192B035A" w14:textId="77777777" w:rsidR="00DF3C8B" w:rsidRDefault="00DF3C8B" w:rsidP="00DF3C8B">
      <w:pPr>
        <w:spacing w:after="0"/>
        <w:rPr>
          <w:rFonts w:ascii="Verdana" w:hAnsi="Verdana" w:cs="Arial"/>
          <w:bCs/>
          <w:color w:val="ED7D31" w:themeColor="accent2"/>
          <w:sz w:val="20"/>
          <w:lang w:eastAsia="es-ES"/>
        </w:rPr>
      </w:pPr>
    </w:p>
    <w:p w14:paraId="222C6359" w14:textId="53DCD317" w:rsidR="00DF3C8B" w:rsidRPr="00FC0318" w:rsidRDefault="00DF3C8B" w:rsidP="00DF3C8B">
      <w:pPr>
        <w:spacing w:after="0"/>
        <w:rPr>
          <w:rFonts w:ascii="Verdana" w:hAnsi="Verdana"/>
        </w:rPr>
      </w:pPr>
      <w:r w:rsidRPr="00FC0318">
        <w:rPr>
          <w:rFonts w:ascii="Verdana" w:hAnsi="Verdana"/>
        </w:rPr>
        <w:lastRenderedPageBreak/>
        <w:t xml:space="preserve">Bogotá D.C., </w:t>
      </w:r>
      <w:r w:rsidR="00600D48">
        <w:rPr>
          <w:rFonts w:ascii="Verdana" w:hAnsi="Verdana"/>
        </w:rPr>
        <w:t>14 Enero 2026</w:t>
      </w:r>
    </w:p>
    <w:p w14:paraId="1BEC0408" w14:textId="18C74441" w:rsidR="00DF3C8B" w:rsidRPr="00FC0318" w:rsidRDefault="00DF3C8B" w:rsidP="00DF3C8B">
      <w:pPr>
        <w:spacing w:after="0"/>
        <w:rPr>
          <w:rFonts w:ascii="Verdana" w:hAnsi="Verdana"/>
          <w:lang w:val="es-ES"/>
        </w:rPr>
      </w:pPr>
    </w:p>
    <w:p w14:paraId="4863714F" w14:textId="2F923B58" w:rsidR="00DF3C8B" w:rsidRPr="00B93AC1" w:rsidRDefault="00003CDC" w:rsidP="00DF3C8B">
      <w:pPr>
        <w:spacing w:after="0" w:line="240" w:lineRule="auto"/>
        <w:rPr>
          <w:rFonts w:ascii="Verdana" w:hAnsi="Verdana"/>
          <w:lang w:val="es-ES"/>
        </w:rPr>
      </w:pPr>
      <w:bookmarkStart w:id="0" w:name="_Hlk143780582"/>
      <w:r w:rsidRPr="00003CDC">
        <w:rPr>
          <w:rFonts w:ascii="Verdana" w:eastAsia="Calibri" w:hAnsi="Verdana" w:cs="Arial"/>
          <w:b/>
          <w:bCs/>
          <w:lang w:val="es-ES" w:eastAsia="es-ES"/>
        </w:rPr>
        <w:drawing>
          <wp:anchor distT="0" distB="0" distL="114300" distR="114300" simplePos="0" relativeHeight="251659264" behindDoc="1" locked="0" layoutInCell="1" allowOverlap="1" wp14:anchorId="05A66EDB" wp14:editId="4A615C1B">
            <wp:simplePos x="0" y="0"/>
            <wp:positionH relativeFrom="margin">
              <wp:posOffset>3278505</wp:posOffset>
            </wp:positionH>
            <wp:positionV relativeFrom="paragraph">
              <wp:posOffset>10160</wp:posOffset>
            </wp:positionV>
            <wp:extent cx="2619375" cy="800735"/>
            <wp:effectExtent l="0" t="0" r="0" b="0"/>
            <wp:wrapNone/>
            <wp:docPr id="59804602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046023"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19375" cy="800735"/>
                    </a:xfrm>
                    <a:prstGeom prst="rect">
                      <a:avLst/>
                    </a:prstGeom>
                  </pic:spPr>
                </pic:pic>
              </a:graphicData>
            </a:graphic>
            <wp14:sizeRelH relativeFrom="margin">
              <wp14:pctWidth>0</wp14:pctWidth>
            </wp14:sizeRelH>
            <wp14:sizeRelV relativeFrom="margin">
              <wp14:pctHeight>0</wp14:pctHeight>
            </wp14:sizeRelV>
          </wp:anchor>
        </w:drawing>
      </w:r>
      <w:r w:rsidR="00DF3C8B" w:rsidRPr="00B93AC1">
        <w:rPr>
          <w:rFonts w:ascii="Verdana" w:eastAsia="Calibri" w:hAnsi="Verdana" w:cs="Arial"/>
          <w:lang w:val="es-ES" w:eastAsia="es-ES"/>
        </w:rPr>
        <w:t>Señora</w:t>
      </w:r>
    </w:p>
    <w:p w14:paraId="29FECBB4" w14:textId="2428E0E9" w:rsidR="00DF3C8B" w:rsidRDefault="00DF3C8B" w:rsidP="00DF3C8B">
      <w:pPr>
        <w:spacing w:after="0"/>
        <w:rPr>
          <w:rFonts w:ascii="Verdana" w:eastAsia="Calibri" w:hAnsi="Verdana" w:cs="Arial"/>
          <w:b/>
          <w:bCs/>
          <w:lang w:val="es-ES" w:eastAsia="es-ES"/>
        </w:rPr>
      </w:pPr>
      <w:r w:rsidRPr="00B93AC1">
        <w:rPr>
          <w:rFonts w:ascii="Verdana" w:eastAsia="Calibri" w:hAnsi="Verdana" w:cs="Arial"/>
          <w:b/>
          <w:bCs/>
          <w:lang w:val="es-ES" w:eastAsia="es-ES"/>
        </w:rPr>
        <w:t>Lina Constanza Martínez Henao</w:t>
      </w:r>
      <w:r w:rsidR="00003CDC" w:rsidRPr="00003CDC">
        <w:rPr>
          <w:noProof/>
        </w:rPr>
        <w:t xml:space="preserve"> </w:t>
      </w:r>
    </w:p>
    <w:p w14:paraId="2ED9705D" w14:textId="77777777" w:rsidR="00DF3C8B" w:rsidRDefault="00DF3C8B" w:rsidP="00DF3C8B">
      <w:pPr>
        <w:spacing w:after="0"/>
        <w:rPr>
          <w:rFonts w:ascii="Verdana" w:eastAsia="Calibri" w:hAnsi="Verdana" w:cs="Arial"/>
          <w:lang w:val="es-ES" w:eastAsia="es-ES"/>
        </w:rPr>
      </w:pPr>
      <w:r>
        <w:rPr>
          <w:rFonts w:ascii="Verdana" w:eastAsia="Calibri" w:hAnsi="Verdana" w:cs="Arial"/>
          <w:lang w:val="es-ES" w:eastAsia="es-ES"/>
        </w:rPr>
        <w:t>Técnico Operativo</w:t>
      </w:r>
    </w:p>
    <w:p w14:paraId="66B86D8F" w14:textId="77777777" w:rsidR="00DF3C8B" w:rsidRPr="00E97A46" w:rsidRDefault="00DF3C8B" w:rsidP="00DF3C8B">
      <w:pPr>
        <w:spacing w:after="0"/>
        <w:rPr>
          <w:rFonts w:ascii="Verdana" w:eastAsia="Calibri" w:hAnsi="Verdana" w:cs="Arial"/>
          <w:lang w:val="es-ES" w:eastAsia="es-ES"/>
        </w:rPr>
      </w:pPr>
      <w:r w:rsidRPr="00E97A46">
        <w:rPr>
          <w:rFonts w:ascii="Verdana" w:eastAsia="Calibri" w:hAnsi="Verdana" w:cs="Arial"/>
          <w:lang w:val="es-ES" w:eastAsia="es-ES"/>
        </w:rPr>
        <w:t>Artesanías de Colombia S.A</w:t>
      </w:r>
    </w:p>
    <w:p w14:paraId="4C4FF59E" w14:textId="77777777" w:rsidR="00DF3C8B" w:rsidRPr="00F84F36" w:rsidRDefault="00DF3C8B" w:rsidP="00DF3C8B">
      <w:pPr>
        <w:spacing w:after="0"/>
        <w:rPr>
          <w:rStyle w:val="Hipervnculo"/>
          <w:rFonts w:ascii="Verdana" w:hAnsi="Verdana"/>
          <w:color w:val="EE0000"/>
        </w:rPr>
      </w:pPr>
      <w:hyperlink r:id="rId11" w:history="1">
        <w:r w:rsidRPr="003E2BA9">
          <w:rPr>
            <w:rStyle w:val="Hipervnculo"/>
            <w:rFonts w:ascii="Verdana" w:hAnsi="Verdana"/>
          </w:rPr>
          <w:t>lmartinez@artesaniasdecolombia.com.co</w:t>
        </w:r>
      </w:hyperlink>
      <w:r>
        <w:rPr>
          <w:rStyle w:val="Hipervnculo"/>
          <w:rFonts w:ascii="Verdana" w:hAnsi="Verdana"/>
          <w:color w:val="EE0000"/>
        </w:rPr>
        <w:t xml:space="preserve"> </w:t>
      </w:r>
    </w:p>
    <w:p w14:paraId="328E931A" w14:textId="77777777" w:rsidR="00DF3C8B" w:rsidRPr="00E97A46" w:rsidRDefault="00DF3C8B" w:rsidP="00DF3C8B">
      <w:pPr>
        <w:spacing w:after="0"/>
        <w:rPr>
          <w:rFonts w:ascii="Verdana" w:eastAsia="Calibri" w:hAnsi="Verdana" w:cs="Arial"/>
          <w:lang w:val="es-ES" w:eastAsia="es-ES"/>
        </w:rPr>
      </w:pPr>
      <w:r w:rsidRPr="00E97A46">
        <w:rPr>
          <w:rFonts w:ascii="Verdana" w:eastAsia="Calibri" w:hAnsi="Verdana" w:cs="Arial"/>
          <w:lang w:val="es-ES" w:eastAsia="es-ES"/>
        </w:rPr>
        <w:t>Bogotá D.C</w:t>
      </w:r>
    </w:p>
    <w:p w14:paraId="22AE2B15" w14:textId="77777777" w:rsidR="00DF3C8B" w:rsidRPr="00F84F36" w:rsidRDefault="00DF3C8B" w:rsidP="00DF3C8B">
      <w:pPr>
        <w:spacing w:after="0"/>
        <w:rPr>
          <w:rFonts w:ascii="Verdana" w:eastAsia="Calibri" w:hAnsi="Verdana" w:cs="Arial"/>
          <w:color w:val="EE0000"/>
          <w:lang w:val="es-ES" w:eastAsia="es-ES"/>
        </w:rPr>
      </w:pPr>
    </w:p>
    <w:p w14:paraId="0EB787EB" w14:textId="77777777" w:rsidR="00DF3C8B" w:rsidRPr="00F84F36" w:rsidRDefault="00DF3C8B" w:rsidP="00DF3C8B">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DF3C8B" w:rsidRPr="00F84F36" w14:paraId="04E1BC9A" w14:textId="77777777">
        <w:trPr>
          <w:trHeight w:val="300"/>
        </w:trPr>
        <w:tc>
          <w:tcPr>
            <w:tcW w:w="2410" w:type="dxa"/>
          </w:tcPr>
          <w:p w14:paraId="31E5FA32" w14:textId="77777777" w:rsidR="00DF3C8B" w:rsidRPr="00F84F36" w:rsidRDefault="00DF3C8B">
            <w:pPr>
              <w:ind w:left="-142"/>
              <w:jc w:val="both"/>
              <w:rPr>
                <w:rFonts w:ascii="Verdana" w:eastAsia="Calibri" w:hAnsi="Verdana" w:cs="Arial"/>
                <w:b/>
                <w:bCs/>
                <w:color w:val="EE0000"/>
                <w:lang w:val="es-ES" w:eastAsia="es-ES_tradnl"/>
              </w:rPr>
            </w:pPr>
          </w:p>
        </w:tc>
        <w:tc>
          <w:tcPr>
            <w:tcW w:w="6100" w:type="dxa"/>
          </w:tcPr>
          <w:p w14:paraId="5EBC1000" w14:textId="77777777" w:rsidR="00DF3C8B" w:rsidRPr="00420FAE" w:rsidRDefault="00DF3C8B">
            <w:pPr>
              <w:ind w:left="3"/>
              <w:jc w:val="both"/>
              <w:rPr>
                <w:rFonts w:ascii="Verdana" w:eastAsia="Calibri" w:hAnsi="Verdana" w:cs="Arial"/>
                <w:b/>
                <w:bCs/>
                <w:lang w:val="es-ES" w:eastAsia="es-ES"/>
              </w:rPr>
            </w:pPr>
            <w:r w:rsidRPr="00420FAE">
              <w:rPr>
                <w:rFonts w:ascii="Verdana" w:eastAsia="Calibri" w:hAnsi="Verdana" w:cs="Arial"/>
                <w:b/>
                <w:bCs/>
                <w:lang w:val="es-ES" w:eastAsia="es-ES"/>
              </w:rPr>
              <w:t>Concepto C-1800 de 2025</w:t>
            </w:r>
          </w:p>
          <w:p w14:paraId="6FBEC6E9" w14:textId="77777777" w:rsidR="00DF3C8B" w:rsidRPr="00F84F36" w:rsidRDefault="00DF3C8B">
            <w:pPr>
              <w:ind w:left="3"/>
              <w:jc w:val="both"/>
              <w:rPr>
                <w:rFonts w:ascii="Verdana" w:eastAsia="Calibri" w:hAnsi="Verdana" w:cs="Arial"/>
                <w:b/>
                <w:bCs/>
                <w:color w:val="EE0000"/>
                <w:lang w:val="es-ES" w:eastAsia="es-ES"/>
              </w:rPr>
            </w:pPr>
          </w:p>
        </w:tc>
      </w:tr>
      <w:tr w:rsidR="00DF3C8B" w:rsidRPr="00F84F36" w14:paraId="1E511D28" w14:textId="77777777">
        <w:trPr>
          <w:trHeight w:val="300"/>
        </w:trPr>
        <w:tc>
          <w:tcPr>
            <w:tcW w:w="2410" w:type="dxa"/>
          </w:tcPr>
          <w:p w14:paraId="630D1F68" w14:textId="77777777" w:rsidR="00DF3C8B" w:rsidRPr="00F84F36" w:rsidRDefault="00DF3C8B">
            <w:pPr>
              <w:ind w:left="424" w:firstLine="142"/>
              <w:jc w:val="both"/>
              <w:rPr>
                <w:rFonts w:ascii="Verdana" w:eastAsia="Calibri" w:hAnsi="Verdana" w:cs="Arial"/>
                <w:color w:val="EE0000"/>
                <w:lang w:val="es-ES" w:eastAsia="es-ES_tradnl"/>
              </w:rPr>
            </w:pPr>
            <w:r w:rsidRPr="00420FAE">
              <w:rPr>
                <w:rFonts w:ascii="Verdana" w:eastAsia="Calibri" w:hAnsi="Verdana" w:cs="Arial"/>
                <w:b/>
                <w:lang w:val="es-ES" w:eastAsia="es-ES_tradnl"/>
              </w:rPr>
              <w:t>Temas:</w:t>
            </w:r>
            <w:r w:rsidRPr="00F84F36">
              <w:rPr>
                <w:rFonts w:ascii="Verdana" w:eastAsia="Calibri" w:hAnsi="Verdana" w:cs="Arial"/>
                <w:color w:val="EE0000"/>
                <w:lang w:val="es-ES" w:eastAsia="es-ES_tradnl"/>
              </w:rPr>
              <w:t xml:space="preserve">                  </w:t>
            </w:r>
          </w:p>
        </w:tc>
        <w:tc>
          <w:tcPr>
            <w:tcW w:w="6100" w:type="dxa"/>
          </w:tcPr>
          <w:p w14:paraId="097AD338" w14:textId="77777777" w:rsidR="00DF3C8B" w:rsidRPr="00867799" w:rsidRDefault="00DF3C8B">
            <w:pPr>
              <w:tabs>
                <w:tab w:val="left" w:pos="3374"/>
              </w:tabs>
              <w:jc w:val="both"/>
              <w:rPr>
                <w:rFonts w:ascii="Verdana" w:eastAsia="Calibri" w:hAnsi="Verdana" w:cs="Arial"/>
              </w:rPr>
            </w:pPr>
            <w:r w:rsidRPr="00867799">
              <w:rPr>
                <w:rFonts w:ascii="Verdana" w:eastAsia="Calibri" w:hAnsi="Verdana" w:cs="Arial"/>
              </w:rPr>
              <w:t>PRINCIPIO DE PUBLICIDAD – SECOP / EJECUCIÓN DEL CONTRATO ‒ Contrato estatal – Cierre del expediente contractual – Acto de trámite – Constancia / CIERRE DEL EXPEDIENTE – Actuación administrativa – Cumplimiento de obligaciones post-contractuales</w:t>
            </w:r>
          </w:p>
          <w:p w14:paraId="4805B72D" w14:textId="77777777" w:rsidR="00DF3C8B" w:rsidRPr="00867799" w:rsidRDefault="00DF3C8B">
            <w:pPr>
              <w:tabs>
                <w:tab w:val="left" w:pos="3374"/>
              </w:tabs>
              <w:jc w:val="both"/>
              <w:rPr>
                <w:rFonts w:ascii="Verdana" w:eastAsia="Calibri" w:hAnsi="Verdana" w:cs="Arial"/>
                <w:color w:val="ED7D31" w:themeColor="accent2"/>
              </w:rPr>
            </w:pPr>
          </w:p>
        </w:tc>
      </w:tr>
      <w:tr w:rsidR="00DF3C8B" w:rsidRPr="00420FAE" w14:paraId="0BF5C682" w14:textId="77777777">
        <w:tc>
          <w:tcPr>
            <w:tcW w:w="2410" w:type="dxa"/>
          </w:tcPr>
          <w:p w14:paraId="28D838E9" w14:textId="77777777" w:rsidR="00DF3C8B" w:rsidRPr="00420FAE" w:rsidRDefault="00DF3C8B">
            <w:pPr>
              <w:ind w:left="561"/>
              <w:jc w:val="both"/>
              <w:rPr>
                <w:rFonts w:ascii="Verdana" w:eastAsia="Calibri" w:hAnsi="Verdana" w:cs="Arial"/>
                <w:b/>
                <w:lang w:val="es-ES" w:eastAsia="es-ES_tradnl"/>
              </w:rPr>
            </w:pPr>
            <w:r w:rsidRPr="00420FAE">
              <w:rPr>
                <w:rFonts w:ascii="Verdana" w:eastAsia="Calibri" w:hAnsi="Verdana" w:cs="Arial"/>
                <w:b/>
                <w:lang w:val="es-ES" w:eastAsia="es-ES_tradnl"/>
              </w:rPr>
              <w:t>Radicación:</w:t>
            </w:r>
            <w:r w:rsidRPr="00420FAE">
              <w:rPr>
                <w:rFonts w:ascii="Verdana" w:eastAsia="Calibri" w:hAnsi="Verdana" w:cs="Arial"/>
                <w:lang w:val="es-ES" w:eastAsia="es-ES_tradnl"/>
              </w:rPr>
              <w:t xml:space="preserve">              </w:t>
            </w:r>
          </w:p>
        </w:tc>
        <w:tc>
          <w:tcPr>
            <w:tcW w:w="6100" w:type="dxa"/>
          </w:tcPr>
          <w:p w14:paraId="0A0C1106" w14:textId="77777777" w:rsidR="00DF3C8B" w:rsidRPr="00420FAE" w:rsidRDefault="00DF3C8B">
            <w:pPr>
              <w:ind w:left="3"/>
              <w:jc w:val="both"/>
              <w:rPr>
                <w:rFonts w:ascii="Verdana" w:hAnsi="Verdana"/>
                <w:lang w:val="es-ES"/>
              </w:rPr>
            </w:pPr>
            <w:r w:rsidRPr="00420FAE">
              <w:rPr>
                <w:rFonts w:ascii="Verdana" w:eastAsia="Calibri" w:hAnsi="Verdana" w:cs="Arial"/>
                <w:lang w:val="es-ES" w:eastAsia="es-ES"/>
              </w:rPr>
              <w:t>Respuesta a consulta con radicado No. 1_2025_12_04_013706</w:t>
            </w:r>
          </w:p>
        </w:tc>
      </w:tr>
    </w:tbl>
    <w:p w14:paraId="6ECD2CF6" w14:textId="77777777" w:rsidR="00DF3C8B" w:rsidRPr="00F84F36" w:rsidRDefault="00DF3C8B" w:rsidP="00DF3C8B">
      <w:pPr>
        <w:spacing w:after="0" w:line="276" w:lineRule="auto"/>
        <w:jc w:val="both"/>
        <w:rPr>
          <w:rFonts w:ascii="Verdana" w:eastAsia="Calibri" w:hAnsi="Verdana" w:cs="Arial"/>
          <w:color w:val="EE0000"/>
          <w:lang w:val="es-ES" w:eastAsia="es-ES"/>
        </w:rPr>
      </w:pPr>
    </w:p>
    <w:p w14:paraId="5042BB00" w14:textId="77777777" w:rsidR="00DF3C8B" w:rsidRPr="00F84F36" w:rsidRDefault="00DF3C8B" w:rsidP="00DF3C8B">
      <w:pPr>
        <w:spacing w:after="0" w:line="276" w:lineRule="auto"/>
        <w:jc w:val="both"/>
        <w:rPr>
          <w:rFonts w:ascii="Verdana" w:eastAsia="Calibri" w:hAnsi="Verdana" w:cs="Arial"/>
          <w:color w:val="EE0000"/>
          <w:lang w:val="es-ES" w:eastAsia="es-ES"/>
        </w:rPr>
      </w:pPr>
    </w:p>
    <w:p w14:paraId="2B0CBC8D" w14:textId="77777777" w:rsidR="00DF3C8B" w:rsidRPr="00420FAE" w:rsidRDefault="00DF3C8B" w:rsidP="00DF3C8B">
      <w:pPr>
        <w:spacing w:after="0" w:line="276" w:lineRule="auto"/>
        <w:jc w:val="both"/>
        <w:rPr>
          <w:rFonts w:ascii="Verdana" w:eastAsia="Calibri" w:hAnsi="Verdana" w:cs="Arial"/>
          <w:lang w:val="es-ES" w:eastAsia="es-ES"/>
        </w:rPr>
      </w:pPr>
      <w:r w:rsidRPr="00420FAE">
        <w:rPr>
          <w:rFonts w:ascii="Verdana" w:eastAsia="Calibri" w:hAnsi="Verdana" w:cs="Arial"/>
          <w:lang w:val="es-ES" w:eastAsia="es-ES"/>
        </w:rPr>
        <w:t>Estimada Señora Martínez,</w:t>
      </w:r>
    </w:p>
    <w:p w14:paraId="22AA46FD" w14:textId="77777777" w:rsidR="00DF3C8B" w:rsidRPr="00420FAE" w:rsidRDefault="00DF3C8B" w:rsidP="00DF3C8B">
      <w:pPr>
        <w:tabs>
          <w:tab w:val="left" w:pos="3768"/>
        </w:tabs>
        <w:spacing w:after="0" w:line="276" w:lineRule="auto"/>
        <w:jc w:val="both"/>
        <w:rPr>
          <w:rFonts w:ascii="Verdana" w:eastAsia="Calibri" w:hAnsi="Verdana" w:cs="Arial"/>
          <w:lang w:val="es-ES" w:eastAsia="es-ES"/>
        </w:rPr>
      </w:pPr>
      <w:r w:rsidRPr="00420FAE">
        <w:rPr>
          <w:rFonts w:ascii="Verdana" w:eastAsia="Calibri" w:hAnsi="Verdana" w:cs="Arial"/>
          <w:lang w:val="es-ES" w:eastAsia="es-ES"/>
        </w:rPr>
        <w:tab/>
      </w:r>
    </w:p>
    <w:p w14:paraId="7972229C" w14:textId="77777777" w:rsidR="00DF3C8B" w:rsidRPr="00420FAE" w:rsidRDefault="00DF3C8B" w:rsidP="00DF3C8B">
      <w:pPr>
        <w:spacing w:after="0" w:line="276" w:lineRule="auto"/>
        <w:jc w:val="both"/>
        <w:rPr>
          <w:rFonts w:ascii="Verdana" w:eastAsia="Calibri" w:hAnsi="Verdana" w:cs="Arial"/>
          <w:lang w:val="es-ES" w:eastAsia="es-ES"/>
        </w:rPr>
      </w:pPr>
      <w:r w:rsidRPr="00420FAE">
        <w:rPr>
          <w:rFonts w:ascii="Verdana" w:eastAsia="Calibri" w:hAnsi="Verdana" w:cs="Arial"/>
          <w:lang w:val="es-ES" w:eastAsia="es-ES"/>
        </w:rPr>
        <w:t>En ejercicio de la competencia otorgada por los artículos 3, numeral 5º, y 11, numeral 8º, del Decreto Ley 4170 de 2011,</w:t>
      </w:r>
      <w:r w:rsidRPr="00420FAE">
        <w:rPr>
          <w:rFonts w:ascii="Verdana" w:eastAsia="Arial MT" w:hAnsi="Verdana" w:cs="Arial MT"/>
          <w:lang w:val="es-ES" w:eastAsia="es-ES"/>
        </w:rPr>
        <w:t xml:space="preserve"> </w:t>
      </w:r>
      <w:r w:rsidRPr="00420FAE">
        <w:rPr>
          <w:rFonts w:ascii="Verdana" w:hAnsi="Verdana" w:cs="Arial"/>
          <w:lang w:val="es-ES"/>
        </w:rPr>
        <w:t xml:space="preserve">así como lo establecido en el artículo 4 de la Resolución 1707 de 2018 expedida por esta Entidad, </w:t>
      </w:r>
      <w:r w:rsidRPr="00420FAE">
        <w:rPr>
          <w:rFonts w:ascii="Verdana" w:eastAsia="Calibri" w:hAnsi="Verdana" w:cs="Arial"/>
          <w:lang w:val="es-ES" w:eastAsia="es-ES"/>
        </w:rPr>
        <w:t xml:space="preserve">la Agencia Nacional de Contratación Pública – Colombia Compra Eficiente– responde su solicitud de consulta de fecha 04 de diciembre de 2025, en la cual manifiesta lo siguiente: </w:t>
      </w:r>
    </w:p>
    <w:p w14:paraId="2AA6BE8C" w14:textId="77777777" w:rsidR="00DF3C8B" w:rsidRPr="00F84F36" w:rsidRDefault="00DF3C8B" w:rsidP="00DF3C8B">
      <w:pPr>
        <w:tabs>
          <w:tab w:val="left" w:pos="142"/>
          <w:tab w:val="left" w:pos="284"/>
        </w:tabs>
        <w:spacing w:after="0" w:line="276" w:lineRule="auto"/>
        <w:contextualSpacing/>
        <w:jc w:val="both"/>
        <w:rPr>
          <w:rFonts w:ascii="Verdana" w:eastAsia="Century Gothic" w:hAnsi="Verdana" w:cs="Century Gothic"/>
          <w:b/>
          <w:bCs/>
          <w:color w:val="EE0000"/>
          <w:lang w:val="es-ES"/>
        </w:rPr>
      </w:pPr>
    </w:p>
    <w:p w14:paraId="59E8CEB5" w14:textId="77777777" w:rsidR="00DF3C8B" w:rsidRDefault="00DF3C8B" w:rsidP="00DF3C8B">
      <w:pPr>
        <w:spacing w:before="120" w:after="120"/>
        <w:ind w:left="709" w:right="709"/>
        <w:contextualSpacing/>
        <w:jc w:val="both"/>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w:t>
      </w:r>
      <w:r w:rsidRPr="001764FC">
        <w:rPr>
          <w:rFonts w:ascii="Verdana" w:eastAsia="Century Gothic" w:hAnsi="Verdana" w:cs="Century Gothic"/>
          <w:i/>
          <w:iCs/>
          <w:sz w:val="20"/>
          <w:szCs w:val="20"/>
          <w:lang w:val="es-ES"/>
        </w:rPr>
        <w:t>Agradezco su orientación frente a los siguientes aspectos:</w:t>
      </w:r>
    </w:p>
    <w:p w14:paraId="534EEB64" w14:textId="77777777" w:rsidR="00DF3C8B" w:rsidRDefault="00DF3C8B" w:rsidP="00DF3C8B">
      <w:pPr>
        <w:pStyle w:val="Prrafodelista"/>
        <w:numPr>
          <w:ilvl w:val="0"/>
          <w:numId w:val="17"/>
        </w:numPr>
        <w:spacing w:before="120" w:after="120"/>
        <w:ind w:left="1066" w:right="709" w:hanging="357"/>
        <w:contextualSpacing w:val="0"/>
        <w:jc w:val="both"/>
        <w:rPr>
          <w:rFonts w:ascii="Verdana" w:eastAsia="Century Gothic" w:hAnsi="Verdana" w:cs="Century Gothic"/>
          <w:i/>
          <w:iCs/>
          <w:sz w:val="20"/>
          <w:szCs w:val="20"/>
        </w:rPr>
      </w:pPr>
      <w:r w:rsidRPr="001764FC">
        <w:rPr>
          <w:rFonts w:ascii="Verdana" w:eastAsia="Century Gothic" w:hAnsi="Verdana" w:cs="Century Gothic"/>
          <w:i/>
          <w:iCs/>
          <w:sz w:val="20"/>
          <w:szCs w:val="20"/>
        </w:rPr>
        <w:t>¿Cuál es el documento que debe cerrar formalmente un expediente contractual?</w:t>
      </w:r>
    </w:p>
    <w:p w14:paraId="15A93BEA" w14:textId="77777777" w:rsidR="00DF3C8B" w:rsidRDefault="00DF3C8B" w:rsidP="00DF3C8B">
      <w:pPr>
        <w:pStyle w:val="Prrafodelista"/>
        <w:numPr>
          <w:ilvl w:val="0"/>
          <w:numId w:val="17"/>
        </w:numPr>
        <w:spacing w:before="120" w:after="120"/>
        <w:ind w:left="1066" w:right="709" w:hanging="357"/>
        <w:contextualSpacing w:val="0"/>
        <w:jc w:val="both"/>
        <w:rPr>
          <w:rFonts w:ascii="Verdana" w:eastAsia="Century Gothic" w:hAnsi="Verdana" w:cs="Century Gothic"/>
          <w:i/>
          <w:iCs/>
          <w:sz w:val="20"/>
          <w:szCs w:val="20"/>
        </w:rPr>
      </w:pPr>
      <w:r w:rsidRPr="00FD3CCB">
        <w:rPr>
          <w:rFonts w:ascii="Verdana" w:eastAsia="Century Gothic" w:hAnsi="Verdana" w:cs="Century Gothic"/>
          <w:i/>
          <w:iCs/>
          <w:sz w:val="20"/>
          <w:szCs w:val="20"/>
        </w:rPr>
        <w:t>¿Es procedente que la orden de pago determine el cierre del expediente contractual?</w:t>
      </w:r>
    </w:p>
    <w:p w14:paraId="186C38A8" w14:textId="77777777" w:rsidR="00DF3C8B" w:rsidRPr="00FD3CCB" w:rsidRDefault="00DF3C8B" w:rsidP="00DF3C8B">
      <w:pPr>
        <w:pStyle w:val="Prrafodelista"/>
        <w:numPr>
          <w:ilvl w:val="0"/>
          <w:numId w:val="17"/>
        </w:numPr>
        <w:spacing w:before="120" w:after="120"/>
        <w:ind w:left="1066" w:right="709" w:hanging="357"/>
        <w:contextualSpacing w:val="0"/>
        <w:jc w:val="both"/>
        <w:rPr>
          <w:rFonts w:ascii="Verdana" w:eastAsia="Century Gothic" w:hAnsi="Verdana" w:cs="Century Gothic"/>
          <w:i/>
          <w:iCs/>
          <w:sz w:val="20"/>
          <w:szCs w:val="20"/>
        </w:rPr>
      </w:pPr>
      <w:r w:rsidRPr="00FD3CCB">
        <w:rPr>
          <w:rFonts w:ascii="Verdana" w:eastAsia="Century Gothic" w:hAnsi="Verdana" w:cs="Century Gothic"/>
          <w:i/>
          <w:iCs/>
          <w:sz w:val="20"/>
          <w:szCs w:val="20"/>
        </w:rPr>
        <w:t>¿Es válido que el informe final de supervisión quede registrado únicamente con mes y año, sin fecha exacta?”</w:t>
      </w:r>
    </w:p>
    <w:p w14:paraId="0AC644CC" w14:textId="77777777" w:rsidR="00DF3C8B" w:rsidRPr="001764FC" w:rsidRDefault="00DF3C8B" w:rsidP="00DF3C8B">
      <w:pPr>
        <w:spacing w:after="120" w:line="276" w:lineRule="auto"/>
        <w:ind w:firstLine="708"/>
        <w:jc w:val="both"/>
        <w:rPr>
          <w:rFonts w:ascii="Verdana" w:eastAsia="Calibri" w:hAnsi="Verdana" w:cs="Arial"/>
          <w:lang w:val="es-ES" w:eastAsia="es-ES"/>
        </w:rPr>
      </w:pPr>
      <w:r w:rsidRPr="001764FC">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764FC">
        <w:rPr>
          <w:rFonts w:ascii="Verdana" w:hAnsi="Verdana"/>
          <w:lang w:val="es-ES"/>
        </w:rPr>
        <w:tab/>
      </w:r>
    </w:p>
    <w:p w14:paraId="734A0FB0" w14:textId="77777777" w:rsidR="00DF3C8B" w:rsidRPr="001764FC" w:rsidRDefault="00DF3C8B" w:rsidP="00DF3C8B">
      <w:pPr>
        <w:spacing w:after="0" w:line="276" w:lineRule="auto"/>
        <w:ind w:firstLine="709"/>
        <w:jc w:val="both"/>
        <w:rPr>
          <w:rFonts w:ascii="Verdana" w:eastAsia="Calibri" w:hAnsi="Verdana" w:cs="Arial"/>
          <w:lang w:val="es-ES" w:eastAsia="es-ES"/>
        </w:rPr>
      </w:pPr>
      <w:r w:rsidRPr="001764FC">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B48BB02" w14:textId="77777777" w:rsidR="00DF3C8B" w:rsidRPr="00F84F36" w:rsidRDefault="00DF3C8B" w:rsidP="00DF3C8B">
      <w:pPr>
        <w:spacing w:after="0" w:line="276" w:lineRule="auto"/>
        <w:ind w:firstLine="709"/>
        <w:jc w:val="both"/>
        <w:rPr>
          <w:rFonts w:ascii="Verdana" w:eastAsia="Calibri" w:hAnsi="Verdana" w:cs="Arial"/>
          <w:color w:val="EE0000"/>
          <w:lang w:val="es-ES" w:eastAsia="es-ES"/>
        </w:rPr>
      </w:pPr>
    </w:p>
    <w:p w14:paraId="303B4778" w14:textId="77777777" w:rsidR="00DF3C8B" w:rsidRPr="001764FC" w:rsidRDefault="00DF3C8B" w:rsidP="00DF3C8B">
      <w:pPr>
        <w:tabs>
          <w:tab w:val="left" w:pos="142"/>
          <w:tab w:val="left" w:pos="284"/>
        </w:tabs>
        <w:spacing w:after="0" w:line="276" w:lineRule="auto"/>
        <w:contextualSpacing/>
        <w:jc w:val="both"/>
        <w:rPr>
          <w:rFonts w:ascii="Verdana" w:eastAsia="Century Gothic" w:hAnsi="Verdana" w:cs="Century Gothic"/>
          <w:b/>
          <w:lang w:val="es-ES"/>
        </w:rPr>
      </w:pPr>
      <w:r w:rsidRPr="001764FC">
        <w:rPr>
          <w:rFonts w:ascii="Verdana" w:eastAsia="Century Gothic" w:hAnsi="Verdana" w:cs="Century Gothic"/>
          <w:b/>
          <w:lang w:val="es-ES"/>
        </w:rPr>
        <w:t>1. Problema planteado:</w:t>
      </w:r>
    </w:p>
    <w:p w14:paraId="6D31974A" w14:textId="77777777" w:rsidR="00DF3C8B" w:rsidRPr="00F84F36" w:rsidRDefault="00DF3C8B" w:rsidP="00DF3C8B">
      <w:pPr>
        <w:tabs>
          <w:tab w:val="left" w:pos="426"/>
        </w:tabs>
        <w:spacing w:after="0" w:line="276" w:lineRule="auto"/>
        <w:jc w:val="both"/>
        <w:rPr>
          <w:rFonts w:ascii="Verdana" w:eastAsia="Century Gothic" w:hAnsi="Verdana" w:cs="Century Gothic"/>
          <w:color w:val="EE0000"/>
          <w:lang w:val="es-ES"/>
        </w:rPr>
      </w:pPr>
    </w:p>
    <w:p w14:paraId="2285E3C7" w14:textId="5BB903D6" w:rsidR="00DF3C8B" w:rsidRPr="002840D6" w:rsidRDefault="00DF3C8B" w:rsidP="00DF3C8B">
      <w:pPr>
        <w:spacing w:after="0" w:line="276" w:lineRule="auto"/>
        <w:jc w:val="both"/>
        <w:rPr>
          <w:rFonts w:ascii="Verdana" w:eastAsia="Century Gothic" w:hAnsi="Verdana" w:cs="Century Gothic"/>
          <w:i/>
          <w:iCs/>
        </w:rPr>
      </w:pPr>
      <w:r w:rsidRPr="002840D6">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 xml:space="preserve">los </w:t>
      </w:r>
      <w:r w:rsidRPr="002840D6">
        <w:rPr>
          <w:rFonts w:ascii="Verdana" w:eastAsia="Century Gothic" w:hAnsi="Verdana" w:cs="Century Gothic"/>
          <w:lang w:val="es-ES"/>
        </w:rPr>
        <w:t>siguientes problemas jurídicos:</w:t>
      </w:r>
      <w:r w:rsidRPr="002840D6">
        <w:rPr>
          <w:rFonts w:ascii="Verdana" w:eastAsia="Century Gothic" w:hAnsi="Verdana" w:cs="Century Gothic"/>
        </w:rPr>
        <w:t xml:space="preserve"> i) ¿</w:t>
      </w:r>
      <w:r w:rsidRPr="002840D6">
        <w:rPr>
          <w:rFonts w:ascii="Verdana" w:eastAsia="Calibri" w:hAnsi="Verdana" w:cs="Times New Roman"/>
        </w:rPr>
        <w:t>Cómo opera el cierre del expediente contractual</w:t>
      </w:r>
      <w:r w:rsidR="46F87643" w:rsidRPr="61944BBD">
        <w:rPr>
          <w:rFonts w:ascii="Verdana" w:eastAsia="Calibri" w:hAnsi="Verdana" w:cs="Times New Roman"/>
        </w:rPr>
        <w:t xml:space="preserve"> </w:t>
      </w:r>
      <w:proofErr w:type="spellStart"/>
      <w:r w:rsidR="46F87643" w:rsidRPr="61944BBD">
        <w:rPr>
          <w:rFonts w:ascii="Verdana" w:eastAsia="Calibri" w:hAnsi="Verdana" w:cs="Times New Roman"/>
        </w:rPr>
        <w:t>y</w:t>
      </w:r>
      <w:r w:rsidRPr="002840D6">
        <w:rPr>
          <w:rFonts w:ascii="Verdana" w:eastAsia="Calibri" w:hAnsi="Verdana" w:cs="Times New Roman"/>
        </w:rPr>
        <w:t>cuál</w:t>
      </w:r>
      <w:proofErr w:type="spellEnd"/>
      <w:r w:rsidRPr="002840D6">
        <w:rPr>
          <w:rFonts w:ascii="Verdana" w:eastAsia="Calibri" w:hAnsi="Verdana" w:cs="Times New Roman"/>
        </w:rPr>
        <w:t xml:space="preserve"> es el procedimiento que debe adelantar una entidad estatal para efectuar el cierre del expediente contractual? y</w:t>
      </w:r>
      <w:r w:rsidRPr="002840D6">
        <w:rPr>
          <w:rFonts w:ascii="Verdana" w:eastAsia="Century Gothic" w:hAnsi="Verdana" w:cs="Century Gothic"/>
        </w:rPr>
        <w:t xml:space="preserve"> ii) ¿Es jurídicamente válido que el informe final de supervisión se registre únicamente indicando el mes y el año, sin precisar el día de su elaboración? </w:t>
      </w:r>
    </w:p>
    <w:p w14:paraId="0580005F" w14:textId="77777777" w:rsidR="00DF3C8B" w:rsidRPr="00F84F36" w:rsidRDefault="00DF3C8B" w:rsidP="00DF3C8B">
      <w:pPr>
        <w:spacing w:after="0" w:line="276" w:lineRule="auto"/>
        <w:jc w:val="both"/>
        <w:rPr>
          <w:rFonts w:ascii="Verdana" w:eastAsia="Century Gothic" w:hAnsi="Verdana" w:cs="Century Gothic"/>
          <w:color w:val="EE0000"/>
        </w:rPr>
      </w:pPr>
    </w:p>
    <w:p w14:paraId="1A9ADD09" w14:textId="77777777" w:rsidR="00DF3C8B" w:rsidRPr="001764FC" w:rsidRDefault="00DF3C8B" w:rsidP="00DF3C8B">
      <w:pPr>
        <w:tabs>
          <w:tab w:val="left" w:pos="142"/>
          <w:tab w:val="left" w:pos="284"/>
        </w:tabs>
        <w:spacing w:after="0" w:line="276" w:lineRule="auto"/>
        <w:jc w:val="both"/>
        <w:rPr>
          <w:rFonts w:ascii="Verdana" w:eastAsia="Century Gothic" w:hAnsi="Verdana" w:cs="Century Gothic"/>
          <w:b/>
          <w:lang w:val="es-ES"/>
        </w:rPr>
      </w:pPr>
      <w:r w:rsidRPr="001764FC">
        <w:rPr>
          <w:rFonts w:ascii="Verdana" w:eastAsia="Century Gothic" w:hAnsi="Verdana" w:cs="Century Gothic"/>
          <w:b/>
          <w:lang w:val="es-ES"/>
        </w:rPr>
        <w:t>2. Respuesta:</w:t>
      </w:r>
    </w:p>
    <w:p w14:paraId="421E4F4D" w14:textId="77777777" w:rsidR="00DF3C8B" w:rsidRPr="00F84F36" w:rsidRDefault="00DF3C8B" w:rsidP="00DF3C8B">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F3C8B" w:rsidRPr="00F84F36" w14:paraId="5CA9A6EE" w14:textId="77777777">
        <w:tc>
          <w:tcPr>
            <w:tcW w:w="8828" w:type="dxa"/>
          </w:tcPr>
          <w:p w14:paraId="1FD51D2F" w14:textId="77777777" w:rsidR="00DF3C8B" w:rsidRDefault="00DF3C8B">
            <w:pPr>
              <w:spacing w:after="120" w:line="276" w:lineRule="auto"/>
              <w:jc w:val="both"/>
              <w:rPr>
                <w:rFonts w:ascii="Verdana" w:eastAsia="Times New Roman" w:hAnsi="Verdana" w:cs="Arial"/>
                <w:color w:val="000000"/>
                <w:lang w:eastAsia="es-ES"/>
              </w:rPr>
            </w:pPr>
            <w:r w:rsidRPr="002840D6">
              <w:rPr>
                <w:rFonts w:ascii="Verdana" w:eastAsia="Calibri" w:hAnsi="Verdana" w:cs="Arial"/>
              </w:rPr>
              <w:t>i)</w:t>
            </w:r>
            <w:r w:rsidRPr="00E97A91">
              <w:rPr>
                <w:rFonts w:ascii="Verdana" w:eastAsia="Times New Roman" w:hAnsi="Verdana" w:cs="Arial"/>
                <w:color w:val="000000"/>
                <w:lang w:eastAsia="es-ES"/>
              </w:rPr>
              <w:t xml:space="preserve"> </w:t>
            </w:r>
            <w:r>
              <w:rPr>
                <w:rFonts w:ascii="Verdana" w:eastAsia="Times New Roman" w:hAnsi="Verdana" w:cs="Arial"/>
                <w:color w:val="000000"/>
                <w:lang w:eastAsia="es-ES"/>
              </w:rPr>
              <w:t>En primer lugar, e</w:t>
            </w:r>
            <w:r w:rsidRPr="00E97A91">
              <w:rPr>
                <w:rFonts w:ascii="Verdana" w:eastAsia="Times New Roman" w:hAnsi="Verdana" w:cs="Arial"/>
                <w:color w:val="000000"/>
                <w:lang w:eastAsia="es-ES"/>
              </w:rPr>
              <w:t xml:space="preserve">l principio de publicidad constituye uno de los pilares del Estado Social de Derecho, </w:t>
            </w:r>
            <w:r w:rsidRPr="00152CB5">
              <w:rPr>
                <w:rFonts w:ascii="Verdana" w:eastAsia="Times New Roman" w:hAnsi="Verdana" w:cs="Arial"/>
                <w:color w:val="000000"/>
                <w:lang w:eastAsia="es-ES"/>
              </w:rPr>
              <w:t>en la medida en que</w:t>
            </w:r>
            <w:r>
              <w:rPr>
                <w:rFonts w:ascii="Verdana" w:eastAsia="Times New Roman" w:hAnsi="Verdana" w:cs="Arial"/>
                <w:color w:val="000000"/>
                <w:lang w:eastAsia="es-ES"/>
              </w:rPr>
              <w:t>,</w:t>
            </w:r>
            <w:r w:rsidRPr="00152CB5">
              <w:rPr>
                <w:rFonts w:ascii="Verdana" w:eastAsia="Times New Roman" w:hAnsi="Verdana" w:cs="Arial"/>
                <w:color w:val="000000"/>
                <w:lang w:eastAsia="es-ES"/>
              </w:rPr>
              <w:t xml:space="preserve"> asegura la transparencia de la actuación administrativa y posibilita el control y la participación ciudadana respecto de las decisiones y actuaciones de las autoridades públicas.</w:t>
            </w:r>
            <w:r>
              <w:rPr>
                <w:rFonts w:ascii="Verdana" w:eastAsia="Times New Roman" w:hAnsi="Verdana" w:cs="Arial"/>
                <w:color w:val="000000"/>
                <w:lang w:eastAsia="es-ES"/>
              </w:rPr>
              <w:t xml:space="preserve"> En razón a ello, la Constitución Política y la Ley 1150 de 2007 establece que la actividad del Estado debe hacerse pública a través del Sistema Electrónico para la </w:t>
            </w:r>
            <w:r>
              <w:rPr>
                <w:rFonts w:ascii="Verdana" w:eastAsia="Times New Roman" w:hAnsi="Verdana" w:cs="Arial"/>
                <w:color w:val="000000"/>
                <w:lang w:eastAsia="es-ES"/>
              </w:rPr>
              <w:lastRenderedPageBreak/>
              <w:t>Contratación Pública – SECOP-, el cual contiene la información oficial sobre la contratación celebrada con recursos públicos.</w:t>
            </w:r>
          </w:p>
          <w:p w14:paraId="4DCD503E" w14:textId="77777777" w:rsidR="00DF3C8B" w:rsidRDefault="00DF3C8B">
            <w:pPr>
              <w:spacing w:after="120" w:line="276" w:lineRule="auto"/>
              <w:ind w:firstLine="708"/>
              <w:jc w:val="both"/>
              <w:rPr>
                <w:rFonts w:ascii="Verdana" w:eastAsia="Times New Roman" w:hAnsi="Verdana" w:cs="Arial"/>
                <w:color w:val="000000"/>
                <w:lang w:eastAsia="es-ES"/>
              </w:rPr>
            </w:pPr>
            <w:r>
              <w:rPr>
                <w:rFonts w:ascii="Verdana" w:eastAsia="Times New Roman" w:hAnsi="Verdana" w:cs="Arial"/>
                <w:color w:val="000000"/>
                <w:lang w:eastAsia="es-ES"/>
              </w:rPr>
              <w:t>Así mismo</w:t>
            </w:r>
            <w:r w:rsidRPr="00E97A91">
              <w:rPr>
                <w:rFonts w:ascii="Verdana" w:eastAsia="Times New Roman" w:hAnsi="Verdana" w:cs="Arial"/>
                <w:color w:val="000000"/>
                <w:lang w:eastAsia="es-ES"/>
              </w:rPr>
              <w:t>, la Ley 1712 de 2014</w:t>
            </w:r>
            <w:r>
              <w:rPr>
                <w:rFonts w:ascii="Verdana" w:eastAsia="Times New Roman" w:hAnsi="Verdana" w:cs="Arial"/>
                <w:color w:val="000000"/>
                <w:lang w:eastAsia="es-ES"/>
              </w:rPr>
              <w:t xml:space="preserve">, </w:t>
            </w:r>
            <w:r w:rsidRPr="00E97A91">
              <w:rPr>
                <w:rFonts w:ascii="Verdana" w:eastAsia="Times New Roman" w:hAnsi="Verdana" w:cs="Arial"/>
                <w:color w:val="000000"/>
                <w:lang w:eastAsia="es-ES"/>
              </w:rPr>
              <w:t>dispone que toda entidad pública está obligada a publicar la información contractual en el SECOP, garantizando la máxima publicidad de los documentos y actuaciones que se desarrollen dentro del proceso de contratación.</w:t>
            </w:r>
            <w:r>
              <w:rPr>
                <w:rFonts w:ascii="Verdana" w:eastAsia="Times New Roman" w:hAnsi="Verdana" w:cs="Arial"/>
                <w:color w:val="000000"/>
                <w:lang w:eastAsia="es-ES"/>
              </w:rPr>
              <w:t xml:space="preserve"> </w:t>
            </w:r>
            <w:r w:rsidRPr="00E97A91">
              <w:rPr>
                <w:rFonts w:ascii="Verdana" w:eastAsia="Times New Roman" w:hAnsi="Verdana" w:cs="Arial"/>
                <w:color w:val="000000"/>
                <w:lang w:eastAsia="es-ES"/>
              </w:rPr>
              <w:t>Con el fin de dar cumplimiento a este deber de publicidad, la Agencia Nacional de Contratación Pública –Colombia Compra Eficiente– administra las dos versiones de la plataforma: SECOP I y SECOP II.</w:t>
            </w:r>
          </w:p>
          <w:p w14:paraId="588C2EE4" w14:textId="77777777" w:rsidR="00DF3C8B" w:rsidRDefault="00DF3C8B">
            <w:pPr>
              <w:spacing w:after="120" w:line="276" w:lineRule="auto"/>
              <w:ind w:firstLine="708"/>
              <w:jc w:val="both"/>
              <w:rPr>
                <w:rFonts w:ascii="Verdana" w:eastAsia="Times New Roman" w:hAnsi="Verdana" w:cs="Arial"/>
                <w:color w:val="000000"/>
                <w:lang w:eastAsia="es-ES"/>
              </w:rPr>
            </w:pPr>
            <w:r>
              <w:rPr>
                <w:rFonts w:ascii="Verdana" w:eastAsia="Times New Roman" w:hAnsi="Verdana" w:cs="Arial"/>
                <w:color w:val="000000"/>
                <w:lang w:eastAsia="es-ES"/>
              </w:rPr>
              <w:t>En este contexto</w:t>
            </w:r>
            <w:r w:rsidRPr="00E97A91">
              <w:rPr>
                <w:rFonts w:ascii="Verdana" w:eastAsia="Times New Roman" w:hAnsi="Verdana" w:cs="Arial"/>
                <w:color w:val="000000"/>
                <w:lang w:eastAsia="es-ES"/>
              </w:rPr>
              <w:t xml:space="preserve">, las entidades estatales deben publicar en el SECOP I todos los documentos que expidan con ocasión del proceso de contratación, dentro de los tres (3) días siguientes a su expedición, conforme al artículo 2.2.1.1.1.7.1 del Decreto 1082 de 2015. Estos documentos incluyen los denominados </w:t>
            </w:r>
            <w:r w:rsidRPr="00E97A91">
              <w:rPr>
                <w:rFonts w:ascii="Verdana" w:eastAsia="Times New Roman" w:hAnsi="Verdana" w:cs="Arial"/>
                <w:i/>
                <w:iCs/>
                <w:color w:val="000000"/>
                <w:lang w:eastAsia="es-ES"/>
              </w:rPr>
              <w:t>Documentos del Proceso</w:t>
            </w:r>
            <w:r w:rsidRPr="00E97A91">
              <w:rPr>
                <w:rFonts w:ascii="Verdana" w:eastAsia="Times New Roman" w:hAnsi="Verdana" w:cs="Arial"/>
                <w:color w:val="000000"/>
                <w:lang w:eastAsia="es-ES"/>
              </w:rPr>
              <w:t>, definidos en el artículo 2.2.1.1.1.3 del mismo decreto, así como cualquier otro que se genere durante las fases precontractual, contractual y post-contractuales.</w:t>
            </w:r>
          </w:p>
          <w:p w14:paraId="14EFCEE7" w14:textId="77777777" w:rsidR="00DF3C8B" w:rsidRPr="00E07034" w:rsidRDefault="00DF3C8B">
            <w:pPr>
              <w:spacing w:after="120" w:line="276" w:lineRule="auto"/>
              <w:ind w:firstLine="708"/>
              <w:jc w:val="both"/>
              <w:rPr>
                <w:rFonts w:ascii="Verdana" w:eastAsia="Times New Roman" w:hAnsi="Verdana" w:cs="Arial"/>
                <w:lang w:eastAsia="es-ES"/>
              </w:rPr>
            </w:pPr>
            <w:r w:rsidRPr="00E97A91">
              <w:rPr>
                <w:rFonts w:ascii="Verdana" w:eastAsia="Times New Roman" w:hAnsi="Verdana" w:cs="Arial"/>
                <w:color w:val="000000"/>
                <w:lang w:eastAsia="es-ES"/>
              </w:rPr>
              <w:t xml:space="preserve">Ahora bien, una vez finalizada la ejecución contractual, la entidad estatal debe adelantar las actuaciones necesarias para cerrar el expediente contractual, lo cual implica dejar constancia expresa de que se cumplieron todas las obligaciones derivadas del </w:t>
            </w:r>
            <w:r w:rsidRPr="00E07034">
              <w:rPr>
                <w:rFonts w:ascii="Verdana" w:eastAsia="Times New Roman" w:hAnsi="Verdana" w:cs="Arial"/>
                <w:lang w:eastAsia="es-ES"/>
              </w:rPr>
              <w:t>contrato, incluyendo el vencimiento de las garantías de calidad, estabilidad y mantenimiento o de las condiciones de disposición final o recuperación ambiental, según lo previsto en el artículo 2.2.1.1.2.4.3 del Decreto 1082 de 2015. El cierre del expediente constituye una actuación administrativa de carácter formal, mediante la cual la entidad pone fin a la gestión contractual. Esta actuación es obligatoria para garantizar la integridad del expediente contractual y la trazabilidad de la gestión pública.</w:t>
            </w:r>
          </w:p>
          <w:p w14:paraId="4EE120E0" w14:textId="77777777" w:rsidR="00DF3C8B" w:rsidRDefault="00DF3C8B">
            <w:pPr>
              <w:spacing w:after="120" w:line="276" w:lineRule="auto"/>
              <w:ind w:firstLine="708"/>
              <w:jc w:val="both"/>
              <w:rPr>
                <w:rFonts w:ascii="Verdana" w:eastAsia="Times New Roman" w:hAnsi="Verdana" w:cs="Arial"/>
                <w:lang w:eastAsia="es-ES"/>
              </w:rPr>
            </w:pPr>
            <w:r w:rsidRPr="00E07034">
              <w:rPr>
                <w:rFonts w:ascii="Verdana" w:eastAsia="Times New Roman" w:hAnsi="Verdana" w:cs="Arial"/>
                <w:lang w:eastAsia="es-ES"/>
              </w:rPr>
              <w:t>En cuanto a la competencia para realizar el cierre, esta debe determinarse con base en la distribución interna de funciones de cada entidad, el manual de contratación y los actos de delegación vigentes. En principio, la responsabilidad recae en el representante legal de la entidad o en el funcionario a quien se haya delegado la gestión contractual, como el coordinador de contratación, supervisor del contrato o servidor público que tenga asignadas dichas funciones.</w:t>
            </w:r>
          </w:p>
          <w:p w14:paraId="2DB70A9E" w14:textId="77777777" w:rsidR="00DF3C8B" w:rsidRDefault="00DF3C8B">
            <w:pPr>
              <w:spacing w:after="120" w:line="276" w:lineRule="auto"/>
              <w:jc w:val="both"/>
              <w:rPr>
                <w:rFonts w:ascii="Verdana" w:eastAsia="Calibri" w:hAnsi="Verdana" w:cs="Arial"/>
              </w:rPr>
            </w:pPr>
            <w:r>
              <w:rPr>
                <w:rFonts w:ascii="Verdana" w:eastAsia="Calibri" w:hAnsi="Verdana" w:cs="Arial"/>
              </w:rPr>
              <w:t>ii</w:t>
            </w:r>
            <w:r w:rsidRPr="004437EC">
              <w:rPr>
                <w:rFonts w:ascii="Verdana" w:eastAsia="Calibri" w:hAnsi="Verdana" w:cs="Arial"/>
              </w:rPr>
              <w:t>)</w:t>
            </w:r>
            <w:r>
              <w:rPr>
                <w:rFonts w:ascii="Verdana" w:eastAsia="Calibri" w:hAnsi="Verdana" w:cs="Arial"/>
              </w:rPr>
              <w:t xml:space="preserve">  </w:t>
            </w:r>
            <w:r w:rsidRPr="00E61AEB">
              <w:rPr>
                <w:rFonts w:ascii="Verdana" w:eastAsia="Calibri" w:hAnsi="Verdana" w:cs="Arial"/>
              </w:rPr>
              <w:t>En segundo lugar,</w:t>
            </w:r>
            <w:r w:rsidRPr="00E61AEB">
              <w:t xml:space="preserve"> </w:t>
            </w:r>
            <w:r w:rsidRPr="00E61AEB">
              <w:rPr>
                <w:rFonts w:ascii="Verdana" w:eastAsia="Calibri" w:hAnsi="Verdana" w:cs="Arial"/>
              </w:rPr>
              <w:t xml:space="preserve">se debe precisar que, la determinación de la fecha que se consigne en los informes de supervisión y demás documentos que integran </w:t>
            </w:r>
            <w:r w:rsidRPr="00E61AEB">
              <w:rPr>
                <w:rFonts w:ascii="Verdana" w:eastAsia="Calibri" w:hAnsi="Verdana" w:cs="Arial"/>
              </w:rPr>
              <w:lastRenderedPageBreak/>
              <w:t xml:space="preserve">el expediente contractual corresponde a la entidad, de conformidad con sus lineamientos internos de gestión documental, sin perjuicio de lo anterior, aun cuando el informe final de supervisión se elabore conforme a dichos lineamientos internos, el registro del trámite en el SECOP II incorpora la fecha completa (día, mes y año) en la que se realiza </w:t>
            </w:r>
            <w:r>
              <w:rPr>
                <w:rFonts w:ascii="Verdana" w:eastAsia="Calibri" w:hAnsi="Verdana" w:cs="Arial"/>
              </w:rPr>
              <w:t>el trámite</w:t>
            </w:r>
            <w:r w:rsidRPr="00E61AEB">
              <w:rPr>
                <w:rFonts w:ascii="Verdana" w:eastAsia="Calibri" w:hAnsi="Verdana" w:cs="Arial"/>
              </w:rPr>
              <w:t>, garantizando así la trazabilidad del procedimiento contractual y el cumplimiento del principio de publicidad.</w:t>
            </w:r>
          </w:p>
          <w:p w14:paraId="621F0FAF" w14:textId="77777777" w:rsidR="00DF3C8B" w:rsidRPr="00E61AEB" w:rsidRDefault="00DF3C8B">
            <w:pPr>
              <w:spacing w:after="120" w:line="276" w:lineRule="auto"/>
              <w:ind w:firstLine="709"/>
              <w:jc w:val="both"/>
              <w:rPr>
                <w:rFonts w:ascii="Verdana" w:eastAsia="Calibri" w:hAnsi="Verdana" w:cs="Arial"/>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375EA0D" w14:textId="77777777" w:rsidR="00DF3C8B" w:rsidRPr="00F84F36" w:rsidRDefault="00DF3C8B" w:rsidP="00DF3C8B">
      <w:pPr>
        <w:tabs>
          <w:tab w:val="left" w:pos="142"/>
          <w:tab w:val="left" w:pos="284"/>
        </w:tabs>
        <w:spacing w:after="0" w:line="276" w:lineRule="auto"/>
        <w:jc w:val="both"/>
        <w:rPr>
          <w:rFonts w:ascii="Verdana" w:eastAsia="Century Gothic" w:hAnsi="Verdana" w:cs="Century Gothic"/>
          <w:b/>
          <w:bCs/>
          <w:color w:val="EE0000"/>
          <w:lang w:val="es-ES"/>
        </w:rPr>
      </w:pPr>
    </w:p>
    <w:p w14:paraId="0DA0DCA7" w14:textId="77777777" w:rsidR="00DF3C8B" w:rsidRPr="003A1B88" w:rsidRDefault="00DF3C8B" w:rsidP="00DF3C8B">
      <w:pPr>
        <w:tabs>
          <w:tab w:val="left" w:pos="142"/>
          <w:tab w:val="left" w:pos="284"/>
        </w:tabs>
        <w:spacing w:after="0" w:line="276" w:lineRule="auto"/>
        <w:jc w:val="both"/>
        <w:rPr>
          <w:rFonts w:ascii="Verdana" w:eastAsia="Century Gothic" w:hAnsi="Verdana" w:cs="Century Gothic"/>
          <w:b/>
          <w:lang w:val="es-ES"/>
        </w:rPr>
      </w:pPr>
      <w:r w:rsidRPr="00313B95">
        <w:rPr>
          <w:rFonts w:ascii="Verdana" w:eastAsia="Century Gothic" w:hAnsi="Verdana" w:cs="Century Gothic"/>
          <w:b/>
          <w:lang w:val="es-ES"/>
        </w:rPr>
        <w:t>3. Razones de la respuesta:</w:t>
      </w:r>
    </w:p>
    <w:p w14:paraId="6F3DA3BE" w14:textId="77777777" w:rsidR="00DF3C8B" w:rsidRDefault="00DF3C8B" w:rsidP="00DF3C8B">
      <w:pPr>
        <w:spacing w:before="120" w:after="120" w:line="276" w:lineRule="auto"/>
        <w:jc w:val="both"/>
        <w:rPr>
          <w:rFonts w:ascii="Verdana" w:eastAsia="Times New Roman" w:hAnsi="Verdana" w:cs="Arial"/>
          <w:lang w:val="es-ES" w:eastAsia="es-ES"/>
          <w14:ligatures w14:val="standardContextual"/>
        </w:rPr>
      </w:pPr>
      <w:bookmarkStart w:id="1" w:name="_Hlk102983874"/>
      <w:bookmarkStart w:id="2" w:name="_Hlk102388095"/>
      <w:r w:rsidRPr="00D973C6">
        <w:rPr>
          <w:rFonts w:ascii="Verdana" w:eastAsia="Calibri" w:hAnsi="Verdana" w:cs="Arial"/>
          <w:lang w:val="es-ES"/>
        </w:rPr>
        <w:t>i)</w:t>
      </w:r>
      <w:r w:rsidRPr="00D973C6">
        <w:rPr>
          <w:rFonts w:ascii="Verdana" w:eastAsia="Verdana" w:hAnsi="Verdana" w:cs="Verdana"/>
          <w:lang w:val="es-ES"/>
        </w:rPr>
        <w:t xml:space="preserve"> </w:t>
      </w:r>
      <w:r w:rsidRPr="1BEC6B70">
        <w:rPr>
          <w:rFonts w:ascii="Verdana" w:eastAsia="Times New Roman" w:hAnsi="Verdana" w:cs="Arial"/>
          <w:lang w:val="es-ES" w:eastAsia="es-ES"/>
          <w14:ligatures w14:val="standardContextual"/>
        </w:rPr>
        <w:t xml:space="preserve">Uno de los postulados más importantes de un Estado social y democrático de derecho es el principio de </w:t>
      </w:r>
      <w:r w:rsidRPr="1BEC6B70">
        <w:rPr>
          <w:rFonts w:ascii="Verdana" w:eastAsia="Times New Roman" w:hAnsi="Verdana" w:cs="Arial"/>
          <w:i/>
          <w:iCs/>
          <w:lang w:val="es-ES" w:eastAsia="es-ES"/>
          <w14:ligatures w14:val="standardContextual"/>
        </w:rPr>
        <w:t>publicidad</w:t>
      </w:r>
      <w:r w:rsidRPr="1BEC6B70">
        <w:rPr>
          <w:rFonts w:ascii="Verdana" w:eastAsia="Times New Roman" w:hAnsi="Verdana" w:cs="Arial"/>
          <w:lang w:val="es-ES" w:eastAsia="es-ES"/>
          <w14:ligatures w14:val="standardContextual"/>
        </w:rPr>
        <w:t xml:space="preserve">, pues este permite que las actuaciones de las autoridades gocen de visibilidad. En tal sentido, la filosofía política ha indicado que la democracia </w:t>
      </w:r>
      <w:r>
        <w:rPr>
          <w:rFonts w:ascii="Verdana" w:eastAsia="Times New Roman" w:hAnsi="Verdana" w:cs="Arial"/>
          <w:lang w:val="es-ES" w:eastAsia="es-ES"/>
          <w14:ligatures w14:val="standardContextual"/>
        </w:rPr>
        <w:t>“</w:t>
      </w:r>
      <w:r w:rsidRPr="1BEC6B70">
        <w:rPr>
          <w:rFonts w:ascii="Verdana" w:eastAsia="Times New Roman" w:hAnsi="Verdana" w:cs="Arial"/>
          <w:lang w:val="es-ES" w:eastAsia="es-ES"/>
          <w14:ligatures w14:val="standardContextual"/>
        </w:rPr>
        <w:t>[…] es idealmente el gobierno de un poder visible, es decir, el gobierno cuyos actos se realizan ante el público y bajo la supervisión de la opinión pública”</w:t>
      </w:r>
      <w:r w:rsidRPr="1BEC6B70">
        <w:rPr>
          <w:rFonts w:ascii="Verdana" w:eastAsia="Times New Roman" w:hAnsi="Verdana" w:cs="Arial"/>
          <w:vertAlign w:val="superscript"/>
          <w:lang w:val="es-ES" w:eastAsia="es-ES"/>
          <w14:ligatures w14:val="standardContextual"/>
        </w:rPr>
        <w:footnoteReference w:id="1"/>
      </w:r>
      <w:r w:rsidRPr="1BEC6B70">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pregonan la publicidad de las actuaciones de los poderes públicos. </w:t>
      </w:r>
    </w:p>
    <w:p w14:paraId="2ABFAF41" w14:textId="77777777" w:rsidR="00DF3C8B" w:rsidRPr="002A3450" w:rsidRDefault="00DF3C8B" w:rsidP="00DF3C8B">
      <w:pPr>
        <w:spacing w:before="120" w:after="120" w:line="276" w:lineRule="auto"/>
        <w:ind w:firstLine="708"/>
        <w:jc w:val="both"/>
        <w:rPr>
          <w:rFonts w:ascii="Verdana" w:eastAsia="Times New Roman" w:hAnsi="Verdana" w:cs="Arial"/>
          <w:lang w:val="es-ES" w:eastAsia="es-ES"/>
          <w14:ligatures w14:val="standardContextual"/>
        </w:rPr>
      </w:pPr>
      <w:r w:rsidRPr="1BEC6B70">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w:t>
      </w:r>
      <w:r w:rsidRPr="1BEC6B70">
        <w:rPr>
          <w:rFonts w:ascii="Verdana" w:eastAsia="Times New Roman" w:hAnsi="Verdana" w:cs="Arial"/>
          <w:lang w:val="es-ES" w:eastAsia="es-ES"/>
          <w14:ligatures w14:val="standardContextual"/>
        </w:rPr>
        <w:lastRenderedPageBreak/>
        <w:t>publicidad es uno de los principios que fundamentan el ejercicio de la función administrativa</w:t>
      </w:r>
      <w:r>
        <w:rPr>
          <w:rFonts w:ascii="Verdana" w:eastAsia="Times New Roman" w:hAnsi="Verdana" w:cs="Arial"/>
          <w:lang w:val="es-ES" w:eastAsia="es-ES"/>
          <w14:ligatures w14:val="standardContextual"/>
        </w:rPr>
        <w:t>,</w:t>
      </w:r>
      <w:r w:rsidRPr="1BEC6B70">
        <w:rPr>
          <w:rFonts w:ascii="Verdana" w:eastAsia="Times New Roman" w:hAnsi="Verdana" w:cs="Arial"/>
          <w:lang w:val="es-ES" w:eastAsia="es-ES"/>
          <w14:ligatures w14:val="standardContextual"/>
        </w:rPr>
        <w:t xml:space="preserve"> y el 74, que consagra la garantía de acceso a los documentos públicos que no gocen de reserva –y esta, además, es excepcional, pues solo procede si existe causal constitucional o legal expresa–. </w:t>
      </w:r>
    </w:p>
    <w:p w14:paraId="16B31493" w14:textId="77777777" w:rsidR="00DF3C8B" w:rsidRDefault="00DF3C8B" w:rsidP="00DF3C8B">
      <w:pPr>
        <w:spacing w:before="120" w:after="120" w:line="276" w:lineRule="auto"/>
        <w:ind w:firstLine="709"/>
        <w:jc w:val="both"/>
        <w:rPr>
          <w:rFonts w:ascii="Verdana" w:eastAsia="Times New Roman" w:hAnsi="Verdana" w:cs="Arial"/>
          <w:lang w:val="es-ES_tradnl" w:eastAsia="es-ES_tradnl"/>
          <w14:ligatures w14:val="standardContextual"/>
        </w:rPr>
      </w:pPr>
      <w:r w:rsidRPr="005817C0">
        <w:rPr>
          <w:rFonts w:ascii="Verdana" w:eastAsia="Times New Roman" w:hAnsi="Verdana" w:cs="Arial"/>
          <w:lang w:val="es-ES_tradnl" w:eastAsia="es-ES_tradnl"/>
          <w14:ligatures w14:val="standardContextual"/>
        </w:rPr>
        <w:t xml:space="preserve">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w:t>
      </w:r>
      <w:r>
        <w:rPr>
          <w:rFonts w:ascii="Verdana" w:eastAsia="Times New Roman" w:hAnsi="Verdana" w:cs="Arial"/>
          <w:lang w:val="es-ES_tradnl" w:eastAsia="es-ES_tradnl"/>
          <w14:ligatures w14:val="standardContextual"/>
        </w:rPr>
        <w:t>“</w:t>
      </w:r>
      <w:r w:rsidRPr="005817C0">
        <w:rPr>
          <w:rFonts w:ascii="Verdana" w:eastAsia="Times New Roman" w:hAnsi="Verdana" w:cs="Arial"/>
          <w:lang w:val="es-ES_tradnl" w:eastAsia="es-ES_tradnl"/>
          <w14:ligatures w14:val="standardContextual"/>
        </w:rPr>
        <w:t>contará con la información oficial de la contratación realizada con dineros públicos, para lo cual establecerá los patrones a que haya lugar y se encargará de su difusión a través de canales electrónicos</w:t>
      </w:r>
      <w:r>
        <w:rPr>
          <w:rFonts w:ascii="Verdana" w:eastAsia="Times New Roman" w:hAnsi="Verdana" w:cs="Arial"/>
          <w:lang w:val="es-ES_tradnl" w:eastAsia="es-ES_tradnl"/>
          <w14:ligatures w14:val="standardContextual"/>
        </w:rPr>
        <w:t>”</w:t>
      </w:r>
      <w:r w:rsidRPr="005817C0">
        <w:rPr>
          <w:rFonts w:ascii="Verdana" w:eastAsia="Times New Roman" w:hAnsi="Verdana" w:cs="Arial"/>
          <w:vertAlign w:val="superscript"/>
          <w:lang w:val="es-ES_tradnl" w:eastAsia="es-ES_tradnl"/>
          <w14:ligatures w14:val="standardContextual"/>
        </w:rPr>
        <w:footnoteReference w:id="2"/>
      </w:r>
      <w:r w:rsidRPr="005817C0">
        <w:rPr>
          <w:rFonts w:ascii="Verdana" w:eastAsia="Times New Roman" w:hAnsi="Verdana" w:cs="Arial"/>
          <w:lang w:val="es-ES_tradnl" w:eastAsia="es-ES_tradnl"/>
          <w14:ligatures w14:val="standardContextual"/>
        </w:rPr>
        <w:t>.</w:t>
      </w:r>
    </w:p>
    <w:p w14:paraId="6F291B93" w14:textId="77777777" w:rsidR="00DF3C8B" w:rsidRDefault="00DF3C8B" w:rsidP="00DF3C8B">
      <w:pPr>
        <w:spacing w:before="120" w:after="120" w:line="276" w:lineRule="auto"/>
        <w:ind w:firstLine="709"/>
        <w:jc w:val="both"/>
        <w:rPr>
          <w:rFonts w:ascii="Verdana" w:eastAsia="Times New Roman" w:hAnsi="Verdana" w:cs="Arial"/>
          <w:lang w:val="es-ES" w:eastAsia="es-ES"/>
          <w14:ligatures w14:val="standardContextual"/>
        </w:rPr>
      </w:pPr>
      <w:r w:rsidRPr="08599089">
        <w:rPr>
          <w:rFonts w:ascii="Verdana" w:eastAsia="Times New Roman" w:hAnsi="Verdana" w:cs="Arial"/>
          <w:lang w:val="es-ES" w:eastAsia="es-ES"/>
          <w14:ligatures w14:val="standardContextual"/>
        </w:rPr>
        <w:t xml:space="preserve">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w:t>
      </w:r>
      <w:r>
        <w:rPr>
          <w:rFonts w:ascii="Verdana" w:eastAsia="Times New Roman" w:hAnsi="Verdana" w:cs="Arial"/>
          <w:lang w:val="es-ES" w:eastAsia="es-ES"/>
          <w14:ligatures w14:val="standardContextual"/>
        </w:rPr>
        <w:t>“</w:t>
      </w:r>
      <w:r w:rsidRPr="08599089">
        <w:rPr>
          <w:rFonts w:ascii="Verdana" w:eastAsia="Times New Roman" w:hAnsi="Verdana" w:cs="Arial"/>
          <w:lang w:val="es-ES" w:eastAsia="es-ES"/>
          <w14:ligatures w14:val="standardContextual"/>
        </w:rPr>
        <w:t>toda información en posesión, bajo control o custodia de un sujeto obligado es pública y no podrá ser reservada o limitada sino por disposición constitucional o legal”</w:t>
      </w:r>
      <w:r w:rsidRPr="08599089">
        <w:rPr>
          <w:rFonts w:ascii="Verdana" w:eastAsia="Times New Roman" w:hAnsi="Verdana" w:cs="Arial"/>
          <w:vertAlign w:val="superscript"/>
          <w:lang w:val="es-ES" w:eastAsia="es-ES"/>
          <w14:ligatures w14:val="standardContextual"/>
        </w:rPr>
        <w:footnoteReference w:id="3"/>
      </w:r>
      <w:r w:rsidRPr="08599089">
        <w:rPr>
          <w:rFonts w:ascii="Verdana" w:eastAsia="Times New Roman" w:hAnsi="Verdana" w:cs="Arial"/>
          <w:lang w:val="es-ES" w:eastAsia="es-ES"/>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1713BDE2" w14:textId="77777777" w:rsidR="00DF3C8B" w:rsidRPr="002A3450" w:rsidRDefault="00DF3C8B" w:rsidP="00DF3C8B">
      <w:pPr>
        <w:spacing w:before="120" w:after="120" w:line="276" w:lineRule="auto"/>
        <w:ind w:firstLine="709"/>
        <w:jc w:val="both"/>
        <w:rPr>
          <w:rFonts w:ascii="Verdana" w:eastAsia="Times New Roman" w:hAnsi="Verdana" w:cs="Arial"/>
          <w:lang w:val="es-ES_tradnl" w:eastAsia="es-ES_tradnl"/>
          <w14:ligatures w14:val="standardContextual"/>
        </w:rPr>
      </w:pPr>
      <w:r w:rsidRPr="002A3450">
        <w:rPr>
          <w:rFonts w:ascii="Verdana" w:eastAsia="Times New Roman" w:hAnsi="Verdana" w:cs="Arial"/>
          <w:lang w:val="es-ES_tradnl" w:eastAsia="es-ES_tradnl"/>
          <w14:ligatures w14:val="standardContextual"/>
        </w:rPr>
        <w:lastRenderedPageBreak/>
        <w:t>La Ley Estatutaria citada establece, en el literal e) del artículo 9, que los sujetos obligados, que son todas las entidades públicas</w:t>
      </w:r>
      <w:r w:rsidRPr="002A3450">
        <w:rPr>
          <w:rFonts w:ascii="Verdana" w:eastAsia="Times New Roman" w:hAnsi="Verdana" w:cs="Arial"/>
          <w:vertAlign w:val="superscript"/>
          <w:lang w:val="es-ES_tradnl" w:eastAsia="es-ES_tradnl"/>
          <w14:ligatures w14:val="standardContextual"/>
        </w:rPr>
        <w:footnoteReference w:id="4"/>
      </w:r>
      <w:r w:rsidRPr="002A3450">
        <w:rPr>
          <w:rFonts w:ascii="Verdana" w:eastAsia="Times New Roman" w:hAnsi="Verdana" w:cs="Arial"/>
          <w:lang w:val="es-ES_tradnl" w:eastAsia="es-ES_tradnl"/>
          <w14:ligatures w14:val="standardContextual"/>
        </w:rPr>
        <w:t>, deben publicar la información relativa a su contratación. Esta obligación fue desarrollada por el Decreto Único Reglamentario 1081 de 2015</w:t>
      </w:r>
      <w:r w:rsidRPr="002A3450">
        <w:rPr>
          <w:rFonts w:ascii="Verdana" w:eastAsia="Times New Roman" w:hAnsi="Verdana" w:cs="Arial"/>
          <w:vertAlign w:val="superscript"/>
          <w:lang w:val="es-ES_tradnl" w:eastAsia="es-ES_tradnl"/>
          <w14:ligatures w14:val="standardContextual"/>
        </w:rPr>
        <w:footnoteReference w:id="5"/>
      </w:r>
      <w:r w:rsidRPr="002A3450">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p>
    <w:p w14:paraId="6B6834BB" w14:textId="77777777" w:rsidR="00DF3C8B" w:rsidRDefault="00DF3C8B" w:rsidP="00DF3C8B">
      <w:pPr>
        <w:spacing w:before="120"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 xml:space="preserve">Asimismo, de acuerdo con el literal g) del artículo 11 de </w:t>
      </w:r>
      <w:r>
        <w:rPr>
          <w:rFonts w:ascii="Verdana" w:eastAsia="Times New Roman" w:hAnsi="Verdana" w:cs="Arial"/>
          <w:lang w:val="es-ES_tradnl" w:eastAsia="es-ES_tradnl"/>
          <w14:ligatures w14:val="standardContextual"/>
        </w:rPr>
        <w:t>la L</w:t>
      </w:r>
      <w:r w:rsidRPr="00E806EA">
        <w:rPr>
          <w:rFonts w:ascii="Verdana" w:eastAsia="Times New Roman" w:hAnsi="Verdana" w:cs="Arial"/>
          <w:lang w:val="es-ES_tradnl" w:eastAsia="es-ES_tradnl"/>
          <w14:ligatures w14:val="standardContextual"/>
        </w:rPr>
        <w:t>ey</w:t>
      </w:r>
      <w:r>
        <w:rPr>
          <w:rFonts w:ascii="Verdana" w:eastAsia="Times New Roman" w:hAnsi="Verdana" w:cs="Arial"/>
          <w:lang w:val="es-ES_tradnl" w:eastAsia="es-ES_tradnl"/>
          <w14:ligatures w14:val="standardContextual"/>
        </w:rPr>
        <w:t xml:space="preserve"> 1712 de 2014</w:t>
      </w:r>
      <w:r w:rsidRPr="00E806EA">
        <w:rPr>
          <w:rFonts w:ascii="Verdana" w:eastAsia="Times New Roman" w:hAnsi="Verdana" w:cs="Arial"/>
          <w:lang w:val="es-ES_tradnl" w:eastAsia="es-ES_tradnl"/>
          <w14:ligatures w14:val="standardContextual"/>
        </w:rPr>
        <w:t xml:space="preserve">, todos los destinatarios de la </w:t>
      </w:r>
      <w:r>
        <w:rPr>
          <w:rFonts w:ascii="Verdana" w:eastAsia="Times New Roman" w:hAnsi="Verdana" w:cs="Arial"/>
          <w:lang w:val="es-ES_tradnl" w:eastAsia="es-ES_tradnl"/>
          <w14:ligatures w14:val="standardContextual"/>
        </w:rPr>
        <w:t xml:space="preserve">Ley Estatutaria de Transparencia y Acceso a la Información Pública </w:t>
      </w:r>
      <w:r w:rsidRPr="00E806EA">
        <w:rPr>
          <w:rFonts w:ascii="Verdana" w:eastAsia="Times New Roman" w:hAnsi="Verdana" w:cs="Arial"/>
          <w:lang w:val="es-ES_tradnl" w:eastAsia="es-ES_tradnl"/>
          <w14:ligatures w14:val="standardContextual"/>
        </w:rPr>
        <w:t xml:space="preserve">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17BBDB87" w14:textId="77777777" w:rsidR="00DF3C8B" w:rsidRDefault="00DF3C8B" w:rsidP="00DF3C8B">
      <w:pPr>
        <w:spacing w:before="120"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B300BE">
        <w:rPr>
          <w:rFonts w:ascii="Verdana" w:eastAsia="Times New Roman" w:hAnsi="Verdana" w:cs="Arial"/>
          <w:vertAlign w:val="superscript"/>
          <w:lang w:val="es-ES_tradnl" w:eastAsia="es-ES_tradnl"/>
          <w14:ligatures w14:val="standardContextual"/>
        </w:rPr>
        <w:footnoteReference w:id="6"/>
      </w:r>
      <w:r w:rsidRPr="00E806EA">
        <w:rPr>
          <w:rFonts w:ascii="Verdana" w:eastAsia="Times New Roman" w:hAnsi="Verdana" w:cs="Arial"/>
          <w:lang w:val="es-ES_tradnl" w:eastAsia="es-ES_tradnl"/>
          <w14:ligatures w14:val="standardContextual"/>
        </w:rPr>
        <w:t>.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1CE18B9C" w14:textId="77777777" w:rsidR="00DF3C8B" w:rsidRDefault="00DF3C8B" w:rsidP="00DF3C8B">
      <w:pPr>
        <w:tabs>
          <w:tab w:val="left" w:pos="709"/>
        </w:tabs>
        <w:spacing w:before="120" w:after="0" w:line="276" w:lineRule="auto"/>
        <w:ind w:firstLine="709"/>
        <w:jc w:val="both"/>
        <w:rPr>
          <w:rFonts w:ascii="Verdana" w:hAnsi="Verdana" w:cs="Arial"/>
          <w:shd w:val="clear" w:color="auto" w:fill="FFFFFF"/>
        </w:rPr>
      </w:pPr>
      <w:r w:rsidRPr="00052904">
        <w:rPr>
          <w:rFonts w:ascii="Verdana" w:hAnsi="Verdana" w:cs="Arial"/>
          <w:shd w:val="clear" w:color="auto" w:fill="FFFFFF"/>
        </w:rPr>
        <w:t xml:space="preserve">La expresión </w:t>
      </w:r>
      <w:r w:rsidRPr="00052904">
        <w:rPr>
          <w:rFonts w:ascii="Verdana" w:hAnsi="Verdana" w:cs="Arial"/>
          <w:i/>
          <w:iCs/>
          <w:shd w:val="clear" w:color="auto" w:fill="FFFFFF"/>
        </w:rPr>
        <w:t xml:space="preserve">Documentos del Proceso </w:t>
      </w:r>
      <w:r w:rsidRPr="00052904">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w:t>
      </w:r>
      <w:r w:rsidRPr="00052904">
        <w:rPr>
          <w:rFonts w:ascii="Verdana" w:hAnsi="Verdana" w:cs="Arial"/>
          <w:shd w:val="clear" w:color="auto" w:fill="FFFFFF"/>
        </w:rPr>
        <w:lastRenderedPageBreak/>
        <w:t xml:space="preserve">condiciones o la invitación; (d) las adendas; (e) la oferta; (f) el informe de evaluación; (g) el contrato; </w:t>
      </w:r>
      <w:r w:rsidRPr="00052904">
        <w:rPr>
          <w:rFonts w:ascii="Verdana" w:hAnsi="Verdana" w:cs="Arial"/>
          <w:i/>
          <w:iCs/>
          <w:shd w:val="clear" w:color="auto" w:fill="FFFFFF"/>
        </w:rPr>
        <w:t>y cualquier otro documento expedido por la Entidad Estatal durante el Proceso de Contratación</w:t>
      </w:r>
      <w:r w:rsidRPr="00052904">
        <w:rPr>
          <w:rFonts w:ascii="Verdana" w:hAnsi="Verdana" w:cs="Arial"/>
          <w:shd w:val="clear" w:color="auto" w:fill="FFFFFF"/>
        </w:rPr>
        <w:t xml:space="preserve">”. </w:t>
      </w:r>
    </w:p>
    <w:p w14:paraId="13B590AE" w14:textId="77777777" w:rsidR="00DF3C8B" w:rsidRDefault="00DF3C8B" w:rsidP="00DF3C8B">
      <w:pPr>
        <w:tabs>
          <w:tab w:val="left" w:pos="709"/>
        </w:tabs>
        <w:spacing w:before="120" w:after="0" w:line="276" w:lineRule="auto"/>
        <w:ind w:firstLine="709"/>
        <w:jc w:val="both"/>
        <w:rPr>
          <w:rFonts w:ascii="Verdana" w:hAnsi="Verdana" w:cs="Arial"/>
          <w:shd w:val="clear" w:color="auto" w:fill="FFFFFF"/>
        </w:rPr>
      </w:pPr>
      <w:r w:rsidRPr="00EF0BDA">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EF0BDA">
        <w:rPr>
          <w:rFonts w:ascii="Verdana" w:hAnsi="Verdana" w:cs="Arial"/>
          <w:i/>
          <w:iCs/>
          <w:shd w:val="clear" w:color="auto" w:fill="FFFFFF"/>
        </w:rPr>
        <w:t>Ibidem</w:t>
      </w:r>
      <w:r w:rsidRPr="00EF0BDA">
        <w:rPr>
          <w:rFonts w:ascii="Verdana" w:hAnsi="Verdana" w:cs="Arial"/>
          <w:shd w:val="clear" w:color="auto" w:fill="FFFFFF"/>
        </w:rPr>
        <w:t xml:space="preserve"> recoge en la noción de Documentos del Proceso “cualquier otro documento expedido por la Entidad Estatal durante el Proceso de Contratación”. </w:t>
      </w:r>
    </w:p>
    <w:p w14:paraId="377C0EBF" w14:textId="77777777" w:rsidR="00DF3C8B" w:rsidRDefault="00DF3C8B" w:rsidP="00DF3C8B">
      <w:pPr>
        <w:tabs>
          <w:tab w:val="left" w:pos="709"/>
        </w:tabs>
        <w:spacing w:before="120" w:after="0" w:line="276" w:lineRule="auto"/>
        <w:ind w:firstLine="709"/>
        <w:jc w:val="both"/>
        <w:rPr>
          <w:rFonts w:ascii="Verdana" w:hAnsi="Verdana" w:cs="Arial"/>
          <w:shd w:val="clear" w:color="auto" w:fill="FFFFFF"/>
        </w:rPr>
      </w:pPr>
      <w:r w:rsidRPr="00EF0BDA">
        <w:rPr>
          <w:rFonts w:ascii="Verdana" w:hAnsi="Verdana" w:cs="Arial"/>
          <w:shd w:val="clear" w:color="auto" w:fill="FFFFFF"/>
        </w:rPr>
        <w:t xml:space="preserve">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w:t>
      </w:r>
      <w:r>
        <w:rPr>
          <w:rFonts w:ascii="Verdana" w:hAnsi="Verdana" w:cs="Arial"/>
          <w:shd w:val="clear" w:color="auto" w:fill="FFFFFF"/>
        </w:rPr>
        <w:t xml:space="preserve">se refiere </w:t>
      </w:r>
      <w:r w:rsidRPr="00EF0BDA">
        <w:rPr>
          <w:rFonts w:ascii="Verdana" w:hAnsi="Verdana" w:cs="Arial"/>
          <w:shd w:val="clear" w:color="auto" w:fill="FFFFFF"/>
        </w:rPr>
        <w:t>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2D4E7D52" w14:textId="77777777" w:rsidR="00DF3C8B" w:rsidRDefault="00DF3C8B" w:rsidP="00DF3C8B">
      <w:pPr>
        <w:tabs>
          <w:tab w:val="left" w:pos="709"/>
        </w:tabs>
        <w:spacing w:before="120" w:after="120" w:line="276" w:lineRule="auto"/>
        <w:ind w:firstLine="709"/>
        <w:jc w:val="both"/>
        <w:rPr>
          <w:rFonts w:ascii="Verdana" w:hAnsi="Verdana" w:cs="Arial"/>
          <w:shd w:val="clear" w:color="auto" w:fill="FFFFFF"/>
        </w:rPr>
      </w:pPr>
      <w:r w:rsidRPr="00F14C13">
        <w:rPr>
          <w:rFonts w:ascii="Verdana" w:hAnsi="Verdana" w:cs="Arial"/>
          <w:shd w:val="clear" w:color="auto" w:fill="FFFFFF"/>
        </w:rPr>
        <w:t>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w:t>
      </w:r>
      <w:r>
        <w:rPr>
          <w:rFonts w:ascii="Verdana" w:hAnsi="Verdana" w:cs="Arial"/>
          <w:shd w:val="clear" w:color="auto" w:fill="FFFFFF"/>
        </w:rPr>
        <w:t xml:space="preserve"> </w:t>
      </w:r>
      <w:r w:rsidRPr="00F14C13">
        <w:rPr>
          <w:rFonts w:ascii="Verdana" w:hAnsi="Verdana" w:cs="Arial"/>
          <w:shd w:val="clear" w:color="auto" w:fill="FFFFFF"/>
        </w:rPr>
        <w:t>de ejecu</w:t>
      </w:r>
      <w:r>
        <w:rPr>
          <w:rFonts w:ascii="Verdana" w:hAnsi="Verdana" w:cs="Arial"/>
          <w:shd w:val="clear" w:color="auto" w:fill="FFFFFF"/>
        </w:rPr>
        <w:t>ción y post-contractuales deberán publicarse</w:t>
      </w:r>
      <w:r w:rsidRPr="00F14C13">
        <w:rPr>
          <w:rFonts w:ascii="Verdana" w:hAnsi="Verdana" w:cs="Arial"/>
          <w:shd w:val="clear" w:color="auto" w:fill="FFFFFF"/>
        </w:rPr>
        <w:t xml:space="preserve"> en SECOP dentro de los tres (3) días siguientes a su expedición, para cumplir el deber de publicidad regulado por el artículo 2.2.1.1.1.7.1. del Decreto 1082 de 2015.</w:t>
      </w:r>
    </w:p>
    <w:p w14:paraId="372A74A7" w14:textId="77777777" w:rsidR="00DF3C8B" w:rsidRPr="007D65AA" w:rsidRDefault="00DF3C8B" w:rsidP="00DF3C8B">
      <w:pPr>
        <w:tabs>
          <w:tab w:val="left" w:pos="709"/>
        </w:tabs>
        <w:spacing w:before="120" w:after="120" w:line="276" w:lineRule="auto"/>
        <w:ind w:firstLine="709"/>
        <w:jc w:val="both"/>
        <w:rPr>
          <w:rFonts w:ascii="Verdana" w:hAnsi="Verdana" w:cs="Arial"/>
          <w:shd w:val="clear" w:color="auto" w:fill="FFFFFF"/>
        </w:rPr>
      </w:pPr>
      <w:r w:rsidRPr="007D65AA">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7D65AA">
        <w:rPr>
          <w:rFonts w:ascii="Verdana" w:hAnsi="Verdana" w:cs="Arial"/>
          <w:shd w:val="clear" w:color="auto" w:fill="FFFFFF"/>
          <w:vertAlign w:val="superscript"/>
        </w:rPr>
        <w:footnoteReference w:id="7"/>
      </w:r>
      <w:r w:rsidRPr="007D65AA">
        <w:rPr>
          <w:rFonts w:ascii="Verdana" w:hAnsi="Verdana" w:cs="Arial"/>
          <w:shd w:val="clear" w:color="auto" w:fill="FFFFFF"/>
        </w:rPr>
        <w:t xml:space="preserve">. Dicha plataforma ha </w:t>
      </w:r>
      <w:r w:rsidRPr="007D65AA">
        <w:rPr>
          <w:rFonts w:ascii="Verdana" w:hAnsi="Verdana" w:cs="Arial"/>
          <w:shd w:val="clear" w:color="auto" w:fill="FFFFFF"/>
        </w:rPr>
        <w:lastRenderedPageBreak/>
        <w:t>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72C9F78B" w14:textId="77777777" w:rsidR="00DF3C8B" w:rsidRDefault="00DF3C8B" w:rsidP="00DF3C8B">
      <w:pPr>
        <w:tabs>
          <w:tab w:val="left" w:pos="709"/>
        </w:tabs>
        <w:spacing w:before="120" w:after="120" w:line="276" w:lineRule="auto"/>
        <w:ind w:firstLine="709"/>
        <w:jc w:val="both"/>
        <w:rPr>
          <w:rFonts w:ascii="Verdana" w:hAnsi="Verdana" w:cs="Arial"/>
          <w:shd w:val="clear" w:color="auto" w:fill="FFFFFF"/>
        </w:rPr>
      </w:pPr>
      <w:r w:rsidRPr="007D65AA">
        <w:rPr>
          <w:rFonts w:ascii="Verdana" w:hAnsi="Verdana" w:cs="Arial"/>
          <w:shd w:val="clear" w:color="auto" w:fill="FFFFFF"/>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492A7746" w14:textId="77777777" w:rsidR="00DF3C8B" w:rsidRPr="00B870F8" w:rsidRDefault="00DF3C8B" w:rsidP="00DF3C8B">
      <w:pPr>
        <w:spacing w:line="276" w:lineRule="auto"/>
        <w:ind w:firstLine="567"/>
        <w:jc w:val="both"/>
        <w:rPr>
          <w:rFonts w:ascii="Verdana" w:hAnsi="Verdana" w:cs="Arial"/>
          <w:color w:val="000000"/>
        </w:rPr>
      </w:pPr>
      <w:r>
        <w:rPr>
          <w:rFonts w:ascii="Verdana" w:eastAsia="Calibri" w:hAnsi="Verdana" w:cs="Arial"/>
          <w:color w:val="000000" w:themeColor="text1"/>
        </w:rPr>
        <w:t>Ahora bien</w:t>
      </w:r>
      <w:r w:rsidRPr="0070566A">
        <w:rPr>
          <w:rFonts w:ascii="Verdana" w:eastAsia="Calibri" w:hAnsi="Verdana" w:cs="Arial"/>
          <w:color w:val="000000" w:themeColor="text1"/>
        </w:rPr>
        <w:t xml:space="preserve">, es importante advertir que, </w:t>
      </w:r>
      <w:r>
        <w:rPr>
          <w:rFonts w:ascii="Verdana" w:eastAsia="Calibri" w:hAnsi="Verdana" w:cs="Arial"/>
          <w:color w:val="000000" w:themeColor="text1"/>
        </w:rPr>
        <w:t xml:space="preserve">como se indicó, </w:t>
      </w:r>
      <w:r w:rsidRPr="0070566A">
        <w:rPr>
          <w:rFonts w:ascii="Verdana" w:eastAsia="Calibri" w:hAnsi="Verdana" w:cs="Arial"/>
          <w:color w:val="000000" w:themeColor="text1"/>
        </w:rPr>
        <w:t>dada la naturaleza publicitaria del SECOP I, las actuaciones contractuales se elaboran y gestionan por fuera de la plataforma, mediante documentos físicos o digitales que posteriormente se publican en el sistema con el fin de dar cumplimiento a las obligaciones de transparencia y publicidad que recaen sobre las entidades estatales</w:t>
      </w:r>
      <w:r>
        <w:rPr>
          <w:rFonts w:ascii="Verdana" w:eastAsia="Calibri" w:hAnsi="Verdana" w:cs="Arial"/>
          <w:color w:val="000000" w:themeColor="text1"/>
        </w:rPr>
        <w:t xml:space="preserve"> y resulta ser el instrumento a partir del cual se </w:t>
      </w:r>
      <w:r w:rsidRPr="00C472F8">
        <w:rPr>
          <w:rFonts w:ascii="Verdana" w:hAnsi="Verdana" w:cs="Arial"/>
          <w:color w:val="000000"/>
        </w:rPr>
        <w:t>aplica</w:t>
      </w:r>
      <w:r>
        <w:rPr>
          <w:rFonts w:ascii="Verdana" w:hAnsi="Verdana" w:cs="Arial"/>
          <w:color w:val="000000"/>
        </w:rPr>
        <w:t>n</w:t>
      </w:r>
      <w:r w:rsidRPr="00C472F8">
        <w:rPr>
          <w:rFonts w:ascii="Verdana" w:hAnsi="Verdana" w:cs="Arial"/>
          <w:color w:val="000000"/>
        </w:rPr>
        <w:t xml:space="preserve"> las formalidades que se presentan en el marco de las etapas del proceso de contratación.</w:t>
      </w:r>
    </w:p>
    <w:p w14:paraId="7D2E81EE" w14:textId="77777777" w:rsidR="00DF3C8B" w:rsidRDefault="00DF3C8B" w:rsidP="009733F1">
      <w:pPr>
        <w:tabs>
          <w:tab w:val="left" w:pos="426"/>
        </w:tabs>
        <w:spacing w:after="120" w:line="276" w:lineRule="auto"/>
        <w:ind w:firstLine="567"/>
        <w:jc w:val="both"/>
        <w:rPr>
          <w:rFonts w:ascii="Verdana" w:eastAsia="Calibri" w:hAnsi="Verdana" w:cs="Arial"/>
          <w:lang w:val="es-ES" w:eastAsia="es-ES"/>
        </w:rPr>
      </w:pPr>
      <w:r w:rsidRPr="00CF2C63">
        <w:rPr>
          <w:rFonts w:ascii="Verdana" w:eastAsia="Verdana" w:hAnsi="Verdana" w:cs="Verdana"/>
        </w:rPr>
        <w:t>Aunado en lo anterior, e</w:t>
      </w:r>
      <w:r w:rsidRPr="00CF2C63">
        <w:rPr>
          <w:rFonts w:ascii="Verdana" w:eastAsia="Verdana" w:hAnsi="Verdana" w:cs="Verdana"/>
          <w:lang w:val="es-ES"/>
        </w:rPr>
        <w:t xml:space="preserve">l Decreto 1082 de 20155, en su artículo </w:t>
      </w:r>
      <w:r w:rsidRPr="00CF2C63">
        <w:rPr>
          <w:rFonts w:ascii="Verdana" w:eastAsia="Calibri" w:hAnsi="Verdana" w:cs="Arial"/>
          <w:lang w:val="es-ES" w:eastAsia="es-ES"/>
        </w:rPr>
        <w:t xml:space="preserve">2.2.1.1.2.4.3, establece la obligación constancia del cierre del proceso de contratación. Este corresponde a un acto de trámite que realiza la entidad estatal cuando han vencido, por un lado, las garantías de calidad, estabilidad y mantenimiento o, por el otro, cuando se establecieron condiciones de disposición final o recuperación ambiental de las obras o bienes. </w:t>
      </w:r>
      <w:r>
        <w:rPr>
          <w:rFonts w:ascii="Verdana" w:eastAsia="Calibri" w:hAnsi="Verdana" w:cs="Arial"/>
          <w:lang w:val="es-ES" w:eastAsia="es-ES"/>
        </w:rPr>
        <w:t>L</w:t>
      </w:r>
      <w:r w:rsidRPr="00CF2C63">
        <w:rPr>
          <w:rFonts w:ascii="Verdana" w:eastAsia="Calibri" w:hAnsi="Verdana" w:cs="Arial"/>
          <w:lang w:val="es-ES" w:eastAsia="es-ES"/>
        </w:rPr>
        <w:t>a norma objeto de análisis dispone lo siguiente:</w:t>
      </w:r>
    </w:p>
    <w:p w14:paraId="7C3B8EEE" w14:textId="77777777" w:rsidR="00DF3C8B" w:rsidRPr="00CF2C63" w:rsidRDefault="00DF3C8B" w:rsidP="00DF3C8B">
      <w:pPr>
        <w:tabs>
          <w:tab w:val="left" w:pos="426"/>
        </w:tabs>
        <w:spacing w:after="120" w:line="276" w:lineRule="auto"/>
        <w:jc w:val="both"/>
        <w:rPr>
          <w:rFonts w:ascii="Verdana" w:eastAsia="Calibri" w:hAnsi="Verdana" w:cs="Arial"/>
          <w:lang w:val="es-ES" w:eastAsia="es-ES"/>
        </w:rPr>
      </w:pPr>
    </w:p>
    <w:p w14:paraId="13E729E3" w14:textId="77777777" w:rsidR="00DF3C8B" w:rsidRDefault="00DF3C8B" w:rsidP="00DF3C8B">
      <w:pPr>
        <w:tabs>
          <w:tab w:val="left" w:pos="426"/>
        </w:tabs>
        <w:spacing w:after="120" w:line="240" w:lineRule="auto"/>
        <w:ind w:left="709" w:right="709"/>
        <w:jc w:val="both"/>
        <w:rPr>
          <w:rFonts w:ascii="Verdana" w:eastAsia="Calibri" w:hAnsi="Verdana" w:cs="Arial"/>
          <w:sz w:val="20"/>
          <w:szCs w:val="20"/>
          <w:lang w:val="es-ES" w:eastAsia="es-ES"/>
        </w:rPr>
      </w:pPr>
      <w:r w:rsidRPr="00CF2C63">
        <w:rPr>
          <w:rFonts w:ascii="Verdana" w:eastAsia="Calibri" w:hAnsi="Verdana" w:cs="Arial"/>
          <w:sz w:val="20"/>
          <w:szCs w:val="20"/>
          <w:lang w:val="es-ES" w:eastAsia="es-ES"/>
        </w:rPr>
        <w:lastRenderedPageBreak/>
        <w:t>“Artículo 2.2.1.1.2.4.3. Obligaciones posteriores a la liquidación. Vencidos los términos de las garantías de calidad, estabilidad y mantenimiento, o las condiciones de disposición final o recuperación ambiental de las obras o bienes, la Entidad Estatal debe dejar constancia del cierre del expediente del Proceso de Contratación”.</w:t>
      </w:r>
    </w:p>
    <w:p w14:paraId="263EB2D2" w14:textId="77777777" w:rsidR="00DF3C8B" w:rsidRPr="00CF2C63" w:rsidRDefault="00DF3C8B" w:rsidP="00DF3C8B">
      <w:pPr>
        <w:tabs>
          <w:tab w:val="left" w:pos="426"/>
        </w:tabs>
        <w:spacing w:after="120" w:line="240" w:lineRule="auto"/>
        <w:ind w:left="709" w:right="709"/>
        <w:jc w:val="both"/>
        <w:rPr>
          <w:rFonts w:ascii="Verdana" w:eastAsia="Calibri" w:hAnsi="Verdana" w:cs="Arial"/>
          <w:sz w:val="20"/>
          <w:szCs w:val="20"/>
          <w:lang w:val="es-ES" w:eastAsia="es-ES"/>
        </w:rPr>
      </w:pPr>
    </w:p>
    <w:p w14:paraId="4E5EF575" w14:textId="77777777" w:rsidR="00DF3C8B" w:rsidRDefault="00DF3C8B" w:rsidP="00DF3C8B">
      <w:pPr>
        <w:spacing w:before="120" w:after="120" w:line="276" w:lineRule="auto"/>
        <w:ind w:firstLine="708"/>
        <w:jc w:val="both"/>
        <w:rPr>
          <w:rFonts w:ascii="Verdana" w:eastAsia="Times New Roman" w:hAnsi="Verdana" w:cs="Arial"/>
          <w:color w:val="000000"/>
          <w:lang w:val="es-ES"/>
        </w:rPr>
      </w:pPr>
      <w:bookmarkStart w:id="3" w:name="_Hlk218602419"/>
      <w:r w:rsidRPr="003D3E5B">
        <w:rPr>
          <w:rFonts w:ascii="Verdana" w:eastAsia="Times New Roman" w:hAnsi="Verdana" w:cs="Arial"/>
          <w:color w:val="000000"/>
          <w:lang w:val="es-ES"/>
        </w:rPr>
        <w:t>El</w:t>
      </w:r>
      <w:r w:rsidRPr="003D3E5B">
        <w:rPr>
          <w:rFonts w:ascii="Verdana" w:eastAsia="Times New Roman" w:hAnsi="Verdana" w:cs="Arial"/>
          <w:color w:val="000000"/>
        </w:rPr>
        <w:t xml:space="preserve"> </w:t>
      </w:r>
      <w:r w:rsidRPr="003D3E5B">
        <w:rPr>
          <w:rFonts w:ascii="Verdana" w:eastAsia="Times New Roman" w:hAnsi="Verdana" w:cs="Arial"/>
          <w:i/>
          <w:iCs/>
          <w:color w:val="000000"/>
        </w:rPr>
        <w:t>cierre del expediente</w:t>
      </w:r>
      <w:r w:rsidRPr="003D3E5B">
        <w:rPr>
          <w:rFonts w:ascii="Verdana" w:eastAsia="Times New Roman" w:hAnsi="Verdana" w:cs="Arial"/>
          <w:color w:val="000000"/>
        </w:rPr>
        <w:t xml:space="preserve"> es</w:t>
      </w:r>
      <w:r w:rsidRPr="0071235D">
        <w:rPr>
          <w:rFonts w:ascii="Verdana" w:eastAsia="Times New Roman" w:hAnsi="Verdana" w:cs="Arial"/>
          <w:color w:val="000000"/>
        </w:rPr>
        <w:t xml:space="preserve"> un acto de trámite que realiza la entidad estatal cuando han vencido, por un lado, las garantías de calidad, estabilidad y mantenimiento, o por el otro, cuando se establecieron condiciones de disposición final o recuperación ambiental de las obras o bienes. Se trata de una constancia administrativa que culmina las actuaciones contractuales</w:t>
      </w:r>
      <w:r w:rsidRPr="0071235D">
        <w:rPr>
          <w:rFonts w:ascii="Verdana" w:eastAsia="Times New Roman" w:hAnsi="Verdana" w:cs="Arial"/>
          <w:color w:val="000000"/>
          <w:vertAlign w:val="superscript"/>
        </w:rPr>
        <w:footnoteReference w:id="8"/>
      </w:r>
      <w:r w:rsidRPr="0071235D">
        <w:rPr>
          <w:rFonts w:ascii="Verdana" w:eastAsia="Times New Roman" w:hAnsi="Verdana" w:cs="Arial"/>
          <w:color w:val="000000"/>
        </w:rPr>
        <w:t xml:space="preserve">. </w:t>
      </w:r>
      <w:r>
        <w:rPr>
          <w:rFonts w:ascii="Verdana" w:eastAsia="Times New Roman" w:hAnsi="Verdana" w:cs="Arial"/>
          <w:color w:val="000000"/>
          <w:lang w:val="es-ES"/>
        </w:rPr>
        <w:t xml:space="preserve">en el caso del cierre del expediente contractual, es importante tener presente que </w:t>
      </w:r>
      <w:r w:rsidRPr="00CA3F96">
        <w:rPr>
          <w:rFonts w:ascii="Verdana" w:eastAsia="Times New Roman" w:hAnsi="Verdana" w:cs="Arial"/>
          <w:color w:val="000000"/>
          <w:lang w:val="es-ES"/>
        </w:rPr>
        <w:t xml:space="preserve">es un documento administrativo que busca cerrar el expediente contractual electrónico de un proceso de contratación. </w:t>
      </w:r>
    </w:p>
    <w:p w14:paraId="2BFB7B2C" w14:textId="77777777" w:rsidR="00DF3C8B" w:rsidRDefault="00DF3C8B" w:rsidP="00DF3C8B">
      <w:pPr>
        <w:spacing w:before="120" w:line="276" w:lineRule="auto"/>
        <w:ind w:firstLine="708"/>
        <w:jc w:val="both"/>
        <w:rPr>
          <w:rFonts w:ascii="Verdana" w:eastAsia="Calibri" w:hAnsi="Verdana" w:cs="Arial"/>
        </w:rPr>
      </w:pPr>
      <w:r w:rsidRPr="72BFB149">
        <w:rPr>
          <w:rFonts w:ascii="Verdana" w:eastAsia="Times New Roman" w:hAnsi="Verdana" w:cs="Arial"/>
          <w:color w:val="000000" w:themeColor="text1"/>
          <w:lang w:val="es-ES"/>
        </w:rPr>
        <w:t xml:space="preserve">Para que proceda el cierre del expediente contractual </w:t>
      </w:r>
      <w:r w:rsidRPr="000A201B">
        <w:rPr>
          <w:rFonts w:ascii="Verdana" w:eastAsia="Calibri" w:hAnsi="Verdana" w:cs="Arial"/>
        </w:rPr>
        <w:t xml:space="preserve">en la plataforma SECOP I de los procesos </w:t>
      </w:r>
      <w:r>
        <w:rPr>
          <w:rFonts w:ascii="Verdana" w:eastAsia="Calibri" w:hAnsi="Verdana" w:cs="Arial"/>
        </w:rPr>
        <w:t xml:space="preserve">es necesario </w:t>
      </w:r>
      <w:r w:rsidRPr="000A201B">
        <w:rPr>
          <w:rFonts w:ascii="Verdana" w:eastAsia="Calibri" w:hAnsi="Verdana" w:cs="Arial"/>
        </w:rPr>
        <w:t xml:space="preserve">que </w:t>
      </w:r>
      <w:r>
        <w:rPr>
          <w:rFonts w:ascii="Verdana" w:eastAsia="Calibri" w:hAnsi="Verdana" w:cs="Arial"/>
        </w:rPr>
        <w:t xml:space="preserve">se </w:t>
      </w:r>
      <w:r w:rsidRPr="000A201B">
        <w:rPr>
          <w:rFonts w:ascii="Verdana" w:eastAsia="Calibri" w:hAnsi="Verdana" w:cs="Arial"/>
        </w:rPr>
        <w:t xml:space="preserve">hayan cumplido con las obligaciones post-contractuales y de los contratos cuyo plazo de ejecución haya finalizado y no requiera de liquidación o no se encuentren obligaciones post-contractuales pendientes, por lo que el cierre del proceso dependerá </w:t>
      </w:r>
      <w:r>
        <w:rPr>
          <w:rFonts w:ascii="Verdana" w:eastAsia="Calibri" w:hAnsi="Verdana" w:cs="Arial"/>
        </w:rPr>
        <w:t xml:space="preserve">de </w:t>
      </w:r>
      <w:r w:rsidRPr="000A201B">
        <w:rPr>
          <w:rFonts w:ascii="Verdana" w:eastAsia="Calibri" w:hAnsi="Verdana" w:cs="Arial"/>
        </w:rPr>
        <w:t>la causal de terminación y de las disposiciones específicas del contrato</w:t>
      </w:r>
      <w:r>
        <w:rPr>
          <w:rFonts w:ascii="Verdana" w:eastAsia="Calibri" w:hAnsi="Verdana" w:cs="Arial"/>
        </w:rPr>
        <w:t>. En esta línea, aun cuando la Circular Externa 05 del 1 de noviembre de 2024 hace expresa referencia al trámite de cierre del expediente en el SECOP II, lo expresado allí también aplicaría para los contratos surtidos en SECOP I, en la medida en que el cierre del contrato puede aplicar en los siguientes supuestos:</w:t>
      </w:r>
      <w:r w:rsidRPr="00931E75">
        <w:t xml:space="preserve"> </w:t>
      </w:r>
      <w:r>
        <w:rPr>
          <w:rFonts w:ascii="Verdana" w:eastAsia="Calibri" w:hAnsi="Verdana" w:cs="Arial"/>
        </w:rPr>
        <w:t>a)</w:t>
      </w:r>
      <w:r w:rsidRPr="00931E75">
        <w:rPr>
          <w:rFonts w:ascii="Verdana" w:eastAsia="Calibri" w:hAnsi="Verdana" w:cs="Arial"/>
        </w:rPr>
        <w:t xml:space="preserve"> </w:t>
      </w:r>
      <w:r w:rsidRPr="00A82C03">
        <w:rPr>
          <w:rFonts w:ascii="Verdana" w:eastAsia="Calibri" w:hAnsi="Verdana" w:cs="Arial"/>
        </w:rPr>
        <w:t xml:space="preserve">Cerrar los expedientes electrónicos de los contratos que hayan cumplido con las </w:t>
      </w:r>
      <w:r>
        <w:rPr>
          <w:rFonts w:ascii="Verdana" w:eastAsia="Calibri" w:hAnsi="Verdana" w:cs="Arial"/>
        </w:rPr>
        <w:t xml:space="preserve">obligaciones post-contractuales, a las que prescribe el artículo </w:t>
      </w:r>
      <w:r w:rsidRPr="00A82C03">
        <w:rPr>
          <w:rFonts w:ascii="Verdana" w:eastAsia="Calibri" w:hAnsi="Verdana" w:cs="Arial"/>
        </w:rPr>
        <w:t>2.2.1.1.2</w:t>
      </w:r>
      <w:r>
        <w:rPr>
          <w:rFonts w:ascii="Verdana" w:eastAsia="Calibri" w:hAnsi="Verdana" w:cs="Arial"/>
        </w:rPr>
        <w:t>.4.3 del Decreto 1082 de 2015; b)</w:t>
      </w:r>
      <w:r w:rsidRPr="00A82C03">
        <w:rPr>
          <w:rFonts w:ascii="Verdana" w:eastAsia="Calibri" w:hAnsi="Verdana" w:cs="Arial"/>
        </w:rPr>
        <w:t xml:space="preserve"> Cerrar los expedientes electrónicos de los contratos cuyo plazo de ejecución y término para liquidar hayan finalizado, </w:t>
      </w:r>
      <w:r>
        <w:rPr>
          <w:rFonts w:ascii="Verdana" w:eastAsia="Calibri" w:hAnsi="Verdana" w:cs="Arial"/>
        </w:rPr>
        <w:t xml:space="preserve">que no </w:t>
      </w:r>
      <w:r w:rsidRPr="00A82C03">
        <w:rPr>
          <w:rFonts w:ascii="Verdana" w:eastAsia="Calibri" w:hAnsi="Verdana" w:cs="Arial"/>
        </w:rPr>
        <w:t>se hayan incluido garantías de calidad, estabilidad y mantenimiento, ni o</w:t>
      </w:r>
      <w:r>
        <w:rPr>
          <w:rFonts w:ascii="Verdana" w:eastAsia="Calibri" w:hAnsi="Verdana" w:cs="Arial"/>
        </w:rPr>
        <w:t>bligaciones post-contractuales; c)</w:t>
      </w:r>
      <w:r w:rsidRPr="00A82C03">
        <w:rPr>
          <w:rFonts w:ascii="Verdana" w:eastAsia="Calibri" w:hAnsi="Verdana" w:cs="Arial"/>
        </w:rPr>
        <w:t xml:space="preserve"> Cerrar el expediente electrónico de los contratos cuyo plazo de ejecución haya finalizado, que no requieran de liquidación o no se </w:t>
      </w:r>
      <w:r w:rsidRPr="00A82C03">
        <w:rPr>
          <w:rFonts w:ascii="Verdana" w:eastAsia="Calibri" w:hAnsi="Verdana" w:cs="Arial"/>
        </w:rPr>
        <w:lastRenderedPageBreak/>
        <w:t>encuentren pendientes obligaciones post-contractuales p</w:t>
      </w:r>
      <w:r>
        <w:rPr>
          <w:rFonts w:ascii="Verdana" w:eastAsia="Calibri" w:hAnsi="Verdana" w:cs="Arial"/>
        </w:rPr>
        <w:t>endientes por cumplir</w:t>
      </w:r>
      <w:r w:rsidRPr="00A82C03">
        <w:rPr>
          <w:rFonts w:ascii="Verdana" w:eastAsia="Calibri" w:hAnsi="Verdana" w:cs="Arial"/>
        </w:rPr>
        <w:t>.</w:t>
      </w:r>
      <w:r>
        <w:rPr>
          <w:rFonts w:ascii="Verdana" w:eastAsia="Calibri" w:hAnsi="Verdana" w:cs="Arial"/>
        </w:rPr>
        <w:t xml:space="preserve"> Esto, sin perjuicio de otros supuestos que impliquen el cierre del contrato. </w:t>
      </w:r>
    </w:p>
    <w:p w14:paraId="69B10F83" w14:textId="77777777" w:rsidR="00DF3C8B" w:rsidRPr="00EB074D" w:rsidRDefault="00DF3C8B" w:rsidP="00DF3C8B">
      <w:pPr>
        <w:spacing w:after="120" w:line="276" w:lineRule="auto"/>
        <w:ind w:firstLine="708"/>
        <w:jc w:val="both"/>
        <w:rPr>
          <w:rFonts w:ascii="Verdana" w:eastAsia="Calibri" w:hAnsi="Verdana" w:cs="Arial"/>
        </w:rPr>
      </w:pPr>
      <w:r w:rsidRPr="00EB074D">
        <w:rPr>
          <w:rFonts w:ascii="Verdana" w:eastAsia="Calibri" w:hAnsi="Verdana" w:cs="Arial"/>
        </w:rPr>
        <w:t>Una vez se cumplan todas las obligaciones post-contractuales, independientemente del tipo de contrato celebrado por las Entidades</w:t>
      </w:r>
      <w:r>
        <w:rPr>
          <w:rFonts w:ascii="Verdana" w:eastAsia="Calibri" w:hAnsi="Verdana" w:cs="Arial"/>
        </w:rPr>
        <w:t xml:space="preserve"> Estatales, las mismas procede</w:t>
      </w:r>
      <w:r w:rsidRPr="00EB074D">
        <w:rPr>
          <w:rFonts w:ascii="Verdana" w:eastAsia="Calibri" w:hAnsi="Verdana" w:cs="Arial"/>
        </w:rPr>
        <w:t>n con el cierre del contrato en la plataforma. En el caso de que no se hayan cumplido todas las fechas asociadas al contrato, las Entidades como responsables de su actividad contractual y conforme al régimen jurídico de contratación que les resulta aplicable, les corresponde adoptar las decisiones y adelantar las actuaciones que estimen pertinentes para desarrollar y materializar dicha actividad. En ese sentido, si como resultado del análisis requieren aplicar el cierre de</w:t>
      </w:r>
      <w:r>
        <w:rPr>
          <w:rFonts w:ascii="Verdana" w:eastAsia="Calibri" w:hAnsi="Verdana" w:cs="Arial"/>
        </w:rPr>
        <w:t>l contrato, las Entidades deben efectuar</w:t>
      </w:r>
      <w:r w:rsidRPr="00EB074D">
        <w:rPr>
          <w:rFonts w:ascii="Verdana" w:eastAsia="Calibri" w:hAnsi="Verdana" w:cs="Arial"/>
        </w:rPr>
        <w:t xml:space="preserve"> una modificación ajustando las fechas, y posteriormente</w:t>
      </w:r>
      <w:r>
        <w:rPr>
          <w:rFonts w:ascii="Verdana" w:eastAsia="Calibri" w:hAnsi="Verdana" w:cs="Arial"/>
        </w:rPr>
        <w:t xml:space="preserve">, proceder con el </w:t>
      </w:r>
      <w:r w:rsidRPr="00EB074D">
        <w:rPr>
          <w:rFonts w:ascii="Verdana" w:eastAsia="Calibri" w:hAnsi="Verdana" w:cs="Arial"/>
        </w:rPr>
        <w:t xml:space="preserve">cierre del expediente del contrato. </w:t>
      </w:r>
    </w:p>
    <w:p w14:paraId="48AD0E33" w14:textId="77777777" w:rsidR="00DF3C8B" w:rsidRPr="00304BF3" w:rsidRDefault="00DF3C8B" w:rsidP="00DF3C8B">
      <w:pPr>
        <w:tabs>
          <w:tab w:val="left" w:pos="709"/>
        </w:tabs>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conclusión, se puede afirmar que </w:t>
      </w:r>
      <w:r w:rsidRPr="00304BF3">
        <w:rPr>
          <w:rFonts w:ascii="Verdana" w:eastAsia="Calibri" w:hAnsi="Verdana" w:cs="Arial"/>
          <w:color w:val="000000" w:themeColor="text1"/>
        </w:rPr>
        <w:t>el cierre del expediente contractual constituye una actuación administrativa que se adelanta una vez finaliza la ejecución del contrato y se verifica el cumplimiento de las obligaciones y el vencimiento de las garantías. Dicho cierre implica, por parte de la entidad, dejar constancia expresa en el expediente físico o electrónico, y posteriormente registrar el cierre en el SECOP I, mediante la carga del documento correspondiente y la ejecución de las tareas necesarias para que el sistema refleje el estado del contrato como “cerrado”.</w:t>
      </w:r>
    </w:p>
    <w:p w14:paraId="32068CCD" w14:textId="77777777" w:rsidR="00DF3C8B" w:rsidRPr="003D3E5B" w:rsidRDefault="00DF3C8B" w:rsidP="00DF3C8B">
      <w:pPr>
        <w:tabs>
          <w:tab w:val="left" w:pos="709"/>
        </w:tabs>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Ahora bien, r</w:t>
      </w:r>
      <w:r w:rsidRPr="00304BF3">
        <w:rPr>
          <w:rFonts w:ascii="Verdana" w:eastAsia="Calibri" w:hAnsi="Verdana" w:cs="Arial"/>
          <w:color w:val="000000" w:themeColor="text1"/>
        </w:rPr>
        <w:t>especto de la competencia para adelantar el cierre del expediente contractual, esta se determina conforme a la distribución de funciones establecida en el manual de contratación y en los actos administrativos de delegación o asignación de funciones de la entidad. En principio, la responsabilidad recae en el representante legal de la entidad o en quien haya sido delegado o encargado de la gestión contractual, como el coordinador de contratación, el supervisor del contrato o el funcionario que ejerza esas funciones dentro de la estructura organizacional vigente.</w:t>
      </w:r>
      <w:bookmarkEnd w:id="3"/>
    </w:p>
    <w:p w14:paraId="405458E2" w14:textId="77777777" w:rsidR="00DF3C8B" w:rsidRPr="00EF6D72" w:rsidRDefault="00DF3C8B" w:rsidP="00DF3C8B">
      <w:pPr>
        <w:tabs>
          <w:tab w:val="left" w:pos="709"/>
        </w:tabs>
        <w:spacing w:after="0" w:line="276" w:lineRule="auto"/>
        <w:jc w:val="both"/>
        <w:rPr>
          <w:rFonts w:ascii="Verdana" w:eastAsia="Calibri" w:hAnsi="Verdana" w:cs="Arial"/>
          <w:color w:val="000000"/>
          <w:lang w:val="es-ES" w:eastAsia="es-ES"/>
        </w:rPr>
      </w:pPr>
      <w:r>
        <w:rPr>
          <w:rFonts w:ascii="Verdana" w:eastAsia="Calibri" w:hAnsi="Verdana" w:cs="Arial"/>
          <w:color w:val="000000"/>
          <w:lang w:eastAsia="es-ES"/>
        </w:rPr>
        <w:tab/>
      </w:r>
      <w:r w:rsidRPr="00C35463">
        <w:rPr>
          <w:rFonts w:ascii="Verdana" w:eastAsia="Calibri" w:hAnsi="Verdana" w:cs="Arial"/>
          <w:bCs/>
          <w:color w:val="000000" w:themeColor="text1"/>
        </w:rPr>
        <w:t>Al margen</w:t>
      </w:r>
      <w:r w:rsidRPr="00E853DE">
        <w:rPr>
          <w:rFonts w:ascii="Verdana" w:eastAsia="Calibri" w:hAnsi="Verdana" w:cs="Arial"/>
          <w:bCs/>
          <w:color w:val="000000" w:themeColor="text1"/>
        </w:rPr>
        <w:t xml:space="preserve">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E853DE">
        <w:rPr>
          <w:rFonts w:ascii="Verdana" w:eastAsia="Calibri" w:hAnsi="Verdana" w:cs="Arial"/>
          <w:bCs/>
          <w:color w:val="000000" w:themeColor="text1"/>
        </w:rPr>
        <w:t xml:space="preserve">. De esta manera, las afirmaciones aquí realizadas no pueden ser interpretadas como juicios de valor sobre circunstancias concretas relacionadas con los hechos que motivan la </w:t>
      </w:r>
      <w:r w:rsidRPr="00E853DE">
        <w:rPr>
          <w:rFonts w:ascii="Verdana" w:eastAsia="Calibri" w:hAnsi="Verdana" w:cs="Arial"/>
          <w:bCs/>
          <w:color w:val="000000" w:themeColor="text1"/>
        </w:rPr>
        <w:lastRenderedPageBreak/>
        <w:t>consulta. Por lo anterior, previo concepto de sus asesores, la solución de situaciones particulares corresponde a los interesados adoptar la decisión correspondiente y, en caso de conflicto, a las autoridades judiciales, fiscales y disciplinarias.</w:t>
      </w:r>
    </w:p>
    <w:p w14:paraId="7EE2A9B8" w14:textId="77777777" w:rsidR="00DF3C8B" w:rsidRPr="00CC4F33" w:rsidRDefault="00DF3C8B" w:rsidP="00DF3C8B">
      <w:pPr>
        <w:spacing w:after="120" w:line="276" w:lineRule="auto"/>
        <w:ind w:firstLine="708"/>
        <w:jc w:val="both"/>
        <w:rPr>
          <w:rFonts w:ascii="Verdana" w:hAnsi="Verdana" w:cs="Arial"/>
          <w:color w:val="4472C4" w:themeColor="accent1"/>
        </w:rPr>
      </w:pPr>
    </w:p>
    <w:p w14:paraId="5895ECF5" w14:textId="77777777" w:rsidR="00DF3C8B" w:rsidRPr="00D96C0E" w:rsidRDefault="00DF3C8B" w:rsidP="00DF3C8B">
      <w:pPr>
        <w:spacing w:after="0" w:line="276" w:lineRule="auto"/>
        <w:jc w:val="both"/>
        <w:rPr>
          <w:rFonts w:ascii="Verdana" w:eastAsia="Calibri" w:hAnsi="Verdana" w:cs="Arial"/>
          <w:bCs/>
          <w:color w:val="EE0000"/>
        </w:rPr>
      </w:pPr>
    </w:p>
    <w:bookmarkEnd w:id="1"/>
    <w:bookmarkEnd w:id="2"/>
    <w:p w14:paraId="0AB04940" w14:textId="77777777" w:rsidR="00DF3C8B" w:rsidRPr="008278B1" w:rsidRDefault="00DF3C8B" w:rsidP="00DF3C8B">
      <w:pPr>
        <w:spacing w:after="120" w:line="276" w:lineRule="auto"/>
        <w:jc w:val="both"/>
        <w:rPr>
          <w:rFonts w:ascii="Verdana" w:eastAsia="Century Gothic" w:hAnsi="Verdana" w:cs="Century Gothic"/>
          <w:b/>
          <w:lang w:val="es-ES"/>
        </w:rPr>
      </w:pPr>
      <w:r w:rsidRPr="008278B1">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F3C8B" w:rsidRPr="00F84F36" w14:paraId="61E5C353" w14:textId="77777777">
        <w:trPr>
          <w:trHeight w:val="870"/>
        </w:trPr>
        <w:tc>
          <w:tcPr>
            <w:tcW w:w="8647" w:type="dxa"/>
          </w:tcPr>
          <w:p w14:paraId="27F6D25A" w14:textId="77777777" w:rsidR="00DF3C8B" w:rsidRPr="00417591" w:rsidRDefault="00DF3C8B">
            <w:pPr>
              <w:widowControl w:val="0"/>
              <w:numPr>
                <w:ilvl w:val="0"/>
                <w:numId w:val="16"/>
              </w:numPr>
              <w:autoSpaceDE w:val="0"/>
              <w:autoSpaceDN w:val="0"/>
              <w:jc w:val="both"/>
              <w:rPr>
                <w:rFonts w:ascii="Verdana" w:eastAsia="Arial MT" w:hAnsi="Verdana" w:cs="Arial"/>
                <w:lang w:eastAsia="es-ES" w:bidi="es-ES"/>
              </w:rPr>
            </w:pPr>
            <w:r w:rsidRPr="00417591">
              <w:rPr>
                <w:rFonts w:ascii="Verdana" w:eastAsia="Arial MT" w:hAnsi="Verdana" w:cs="Arial"/>
                <w:lang w:eastAsia="es-ES" w:bidi="es-ES"/>
              </w:rPr>
              <w:t>Constitución Política de 1991</w:t>
            </w:r>
            <w:r>
              <w:rPr>
                <w:rFonts w:ascii="Verdana" w:eastAsia="Arial MT" w:hAnsi="Verdana" w:cs="Arial"/>
                <w:lang w:eastAsia="es-ES" w:bidi="es-ES"/>
              </w:rPr>
              <w:t>. A</w:t>
            </w:r>
            <w:r w:rsidRPr="00417591">
              <w:rPr>
                <w:rFonts w:ascii="Verdana" w:eastAsia="Arial MT" w:hAnsi="Verdana" w:cs="Arial"/>
                <w:lang w:eastAsia="es-ES" w:bidi="es-ES"/>
              </w:rPr>
              <w:t>rtículos 74 y 209</w:t>
            </w:r>
            <w:r>
              <w:rPr>
                <w:rFonts w:ascii="Verdana" w:eastAsia="Arial MT" w:hAnsi="Verdana" w:cs="Arial"/>
                <w:lang w:eastAsia="es-ES" w:bidi="es-ES"/>
              </w:rPr>
              <w:t>.</w:t>
            </w:r>
          </w:p>
          <w:p w14:paraId="42F07FB7" w14:textId="77777777" w:rsidR="00DF3C8B" w:rsidRPr="00417591" w:rsidRDefault="00DF3C8B">
            <w:pPr>
              <w:widowControl w:val="0"/>
              <w:numPr>
                <w:ilvl w:val="0"/>
                <w:numId w:val="16"/>
              </w:numPr>
              <w:autoSpaceDE w:val="0"/>
              <w:autoSpaceDN w:val="0"/>
              <w:jc w:val="both"/>
              <w:rPr>
                <w:rFonts w:ascii="Verdana" w:eastAsia="Arial MT" w:hAnsi="Verdana" w:cs="Arial"/>
                <w:lang w:eastAsia="es-ES" w:bidi="es-ES"/>
              </w:rPr>
            </w:pPr>
            <w:r w:rsidRPr="00417591">
              <w:rPr>
                <w:rFonts w:ascii="Verdana" w:eastAsia="Arial MT" w:hAnsi="Verdana" w:cs="Arial"/>
                <w:lang w:eastAsia="es-ES" w:bidi="es-ES"/>
              </w:rPr>
              <w:t>Ley 1150 de 2007</w:t>
            </w:r>
            <w:r>
              <w:rPr>
                <w:rFonts w:ascii="Verdana" w:eastAsia="Arial MT" w:hAnsi="Verdana" w:cs="Arial"/>
                <w:lang w:eastAsia="es-ES" w:bidi="es-ES"/>
              </w:rPr>
              <w:t>. A</w:t>
            </w:r>
            <w:r w:rsidRPr="00417591">
              <w:rPr>
                <w:rFonts w:ascii="Verdana" w:eastAsia="Arial MT" w:hAnsi="Verdana" w:cs="Arial"/>
                <w:lang w:eastAsia="es-ES" w:bidi="es-ES"/>
              </w:rPr>
              <w:t>rtículo 3</w:t>
            </w:r>
            <w:r>
              <w:rPr>
                <w:rFonts w:ascii="Verdana" w:eastAsia="Arial MT" w:hAnsi="Verdana" w:cs="Arial"/>
                <w:lang w:eastAsia="es-ES" w:bidi="es-ES"/>
              </w:rPr>
              <w:t>.</w:t>
            </w:r>
          </w:p>
          <w:p w14:paraId="1F607217" w14:textId="77777777" w:rsidR="00DF3C8B" w:rsidRPr="00C768A7" w:rsidRDefault="00DF3C8B">
            <w:pPr>
              <w:widowControl w:val="0"/>
              <w:numPr>
                <w:ilvl w:val="0"/>
                <w:numId w:val="16"/>
              </w:numPr>
              <w:autoSpaceDE w:val="0"/>
              <w:autoSpaceDN w:val="0"/>
              <w:jc w:val="both"/>
              <w:rPr>
                <w:rFonts w:ascii="Verdana" w:eastAsia="Arial MT" w:hAnsi="Verdana" w:cs="Arial"/>
                <w:lang w:eastAsia="es-ES" w:bidi="es-ES"/>
              </w:rPr>
            </w:pPr>
            <w:r w:rsidRPr="00C768A7">
              <w:rPr>
                <w:rFonts w:ascii="Verdana" w:eastAsia="Arial MT" w:hAnsi="Verdana" w:cs="Arial"/>
                <w:lang w:eastAsia="es-ES" w:bidi="es-ES"/>
              </w:rPr>
              <w:t>Ley 1712 de 2014. Artículo 2, 5, 9 y 11.</w:t>
            </w:r>
          </w:p>
          <w:p w14:paraId="52059154" w14:textId="77777777" w:rsidR="00DF3C8B" w:rsidRPr="00C768A7" w:rsidRDefault="00DF3C8B">
            <w:pPr>
              <w:widowControl w:val="0"/>
              <w:numPr>
                <w:ilvl w:val="0"/>
                <w:numId w:val="16"/>
              </w:numPr>
              <w:autoSpaceDE w:val="0"/>
              <w:autoSpaceDN w:val="0"/>
              <w:jc w:val="both"/>
              <w:rPr>
                <w:rFonts w:ascii="Verdana" w:eastAsia="Arial MT" w:hAnsi="Verdana" w:cs="Arial"/>
                <w:lang w:eastAsia="es-ES" w:bidi="es-ES"/>
              </w:rPr>
            </w:pPr>
            <w:r w:rsidRPr="00C768A7">
              <w:rPr>
                <w:rFonts w:ascii="Verdana" w:eastAsia="Arial MT" w:hAnsi="Verdana" w:cs="Arial"/>
                <w:lang w:eastAsia="es-ES" w:bidi="es-ES"/>
              </w:rPr>
              <w:t xml:space="preserve">Decreto 1082 de 2015. Artículos 2.2.1.1.2.4.3, </w:t>
            </w:r>
            <w:r w:rsidRPr="00C768A7">
              <w:rPr>
                <w:rFonts w:ascii="Verdana" w:hAnsi="Verdana" w:cs="Arial"/>
                <w:shd w:val="clear" w:color="auto" w:fill="FFFFFF"/>
              </w:rPr>
              <w:t>2.2.1.1.1.3.1. y 2.2.1.1.1.7.1.</w:t>
            </w:r>
          </w:p>
          <w:p w14:paraId="3AA52D77" w14:textId="77777777" w:rsidR="00DF3C8B" w:rsidRPr="00C768A7" w:rsidRDefault="00DF3C8B">
            <w:pPr>
              <w:widowControl w:val="0"/>
              <w:numPr>
                <w:ilvl w:val="0"/>
                <w:numId w:val="16"/>
              </w:numPr>
              <w:autoSpaceDE w:val="0"/>
              <w:autoSpaceDN w:val="0"/>
              <w:jc w:val="both"/>
              <w:rPr>
                <w:rFonts w:ascii="Verdana" w:eastAsia="Arial MT" w:hAnsi="Verdana" w:cs="Arial"/>
                <w:lang w:eastAsia="es-ES" w:bidi="es-ES"/>
              </w:rPr>
            </w:pPr>
            <w:r w:rsidRPr="00C768A7">
              <w:rPr>
                <w:rFonts w:ascii="Verdana" w:eastAsia="Arial MT" w:hAnsi="Verdana" w:cs="Arial"/>
                <w:lang w:eastAsia="es-ES" w:bidi="es-ES"/>
              </w:rPr>
              <w:t>Decreto Único Reglamentario 1081 de 2015. Artículo 2.1.1.2.1.7.</w:t>
            </w:r>
          </w:p>
          <w:p w14:paraId="6DCE01EC" w14:textId="77777777" w:rsidR="00DF3C8B" w:rsidRPr="00C768A7" w:rsidRDefault="00DF3C8B">
            <w:pPr>
              <w:widowControl w:val="0"/>
              <w:numPr>
                <w:ilvl w:val="0"/>
                <w:numId w:val="16"/>
              </w:numPr>
              <w:autoSpaceDE w:val="0"/>
              <w:autoSpaceDN w:val="0"/>
              <w:jc w:val="both"/>
              <w:rPr>
                <w:rFonts w:ascii="Verdana" w:eastAsia="Arial MT" w:hAnsi="Verdana" w:cs="Arial"/>
                <w:lang w:eastAsia="es-ES" w:bidi="es-ES"/>
              </w:rPr>
            </w:pPr>
            <w:r w:rsidRPr="00C768A7">
              <w:rPr>
                <w:rFonts w:ascii="Verdana" w:eastAsia="Arial MT" w:hAnsi="Verdana" w:cs="Arial"/>
                <w:lang w:eastAsia="es-ES" w:bidi="es-ES"/>
              </w:rPr>
              <w:t>Decreto 4170 de 2011, Artículo 3.</w:t>
            </w:r>
          </w:p>
          <w:p w14:paraId="132CB6D2" w14:textId="77777777" w:rsidR="00DF3C8B" w:rsidRPr="00C768A7" w:rsidRDefault="00DF3C8B">
            <w:pPr>
              <w:widowControl w:val="0"/>
              <w:numPr>
                <w:ilvl w:val="0"/>
                <w:numId w:val="16"/>
              </w:numPr>
              <w:autoSpaceDE w:val="0"/>
              <w:autoSpaceDN w:val="0"/>
              <w:jc w:val="both"/>
              <w:rPr>
                <w:rFonts w:ascii="Verdana" w:eastAsia="Arial MT" w:hAnsi="Verdana" w:cs="Arial"/>
                <w:lang w:eastAsia="es-ES" w:bidi="es-ES"/>
              </w:rPr>
            </w:pPr>
            <w:r w:rsidRPr="00C768A7">
              <w:rPr>
                <w:rFonts w:ascii="Verdana" w:eastAsia="Arial MT" w:hAnsi="Verdana" w:cs="Arial"/>
                <w:lang w:eastAsia="es-ES" w:bidi="es-ES"/>
              </w:rPr>
              <w:t>Corte Constitucional. Sentencia C‒274 de 9 de mayo de 2013. M.P. María Victoria Calle Correa.</w:t>
            </w:r>
          </w:p>
          <w:p w14:paraId="356E41F9" w14:textId="77777777" w:rsidR="00DF3C8B" w:rsidRPr="00C768A7" w:rsidRDefault="00DF3C8B">
            <w:pPr>
              <w:widowControl w:val="0"/>
              <w:numPr>
                <w:ilvl w:val="0"/>
                <w:numId w:val="16"/>
              </w:numPr>
              <w:autoSpaceDE w:val="0"/>
              <w:autoSpaceDN w:val="0"/>
              <w:jc w:val="both"/>
              <w:rPr>
                <w:rFonts w:ascii="Verdana" w:eastAsia="Arial MT" w:hAnsi="Verdana" w:cs="Arial"/>
                <w:lang w:eastAsia="es-ES" w:bidi="es-ES"/>
              </w:rPr>
            </w:pPr>
            <w:r w:rsidRPr="00C768A7">
              <w:rPr>
                <w:rFonts w:ascii="Verdana" w:eastAsia="Arial MT" w:hAnsi="Verdana" w:cs="Arial"/>
                <w:lang w:eastAsia="es-ES" w:bidi="es-ES"/>
              </w:rPr>
              <w:t>Consejo de Estado. Sala de Consulta y Servicio Civil. Concepto del 8 de marzo de 2017, radicado No. 2298.</w:t>
            </w:r>
          </w:p>
        </w:tc>
      </w:tr>
    </w:tbl>
    <w:p w14:paraId="46832723" w14:textId="77777777" w:rsidR="00DF3C8B" w:rsidRPr="00F84F36" w:rsidRDefault="00DF3C8B" w:rsidP="00DF3C8B">
      <w:pPr>
        <w:widowControl w:val="0"/>
        <w:autoSpaceDE w:val="0"/>
        <w:autoSpaceDN w:val="0"/>
        <w:spacing w:after="0" w:line="276" w:lineRule="auto"/>
        <w:jc w:val="both"/>
        <w:rPr>
          <w:rFonts w:ascii="Verdana" w:hAnsi="Verdana" w:cs="Arial"/>
          <w:color w:val="EE0000"/>
          <w:lang w:val="es-ES"/>
        </w:rPr>
      </w:pPr>
    </w:p>
    <w:p w14:paraId="30813758" w14:textId="77777777" w:rsidR="00DF3C8B" w:rsidRPr="008278B1" w:rsidRDefault="00DF3C8B" w:rsidP="00DF3C8B">
      <w:pPr>
        <w:tabs>
          <w:tab w:val="left" w:pos="142"/>
          <w:tab w:val="left" w:pos="284"/>
        </w:tabs>
        <w:spacing w:after="0" w:line="276" w:lineRule="auto"/>
        <w:jc w:val="both"/>
        <w:rPr>
          <w:rFonts w:ascii="Verdana" w:eastAsia="Century Gothic" w:hAnsi="Verdana" w:cs="Century Gothic"/>
          <w:b/>
          <w:lang w:val="es-ES"/>
        </w:rPr>
      </w:pPr>
      <w:r w:rsidRPr="008278B1">
        <w:rPr>
          <w:rFonts w:ascii="Verdana" w:eastAsia="Century Gothic" w:hAnsi="Verdana" w:cs="Century Gothic"/>
          <w:b/>
          <w:lang w:val="es-ES"/>
        </w:rPr>
        <w:t>5. Doctrina de la Agencia Nacional de Contratación Pública:</w:t>
      </w:r>
    </w:p>
    <w:p w14:paraId="6834E556" w14:textId="77777777" w:rsidR="00DF3C8B" w:rsidRPr="00F84F36" w:rsidRDefault="00DF3C8B" w:rsidP="00DF3C8B">
      <w:pPr>
        <w:widowControl w:val="0"/>
        <w:autoSpaceDE w:val="0"/>
        <w:autoSpaceDN w:val="0"/>
        <w:spacing w:after="0" w:line="276" w:lineRule="auto"/>
        <w:jc w:val="both"/>
        <w:rPr>
          <w:rFonts w:ascii="Verdana" w:hAnsi="Verdana" w:cs="Arial"/>
          <w:color w:val="EE0000"/>
          <w:lang w:val="es-ES"/>
        </w:rPr>
      </w:pPr>
    </w:p>
    <w:p w14:paraId="504F0130" w14:textId="77777777" w:rsidR="00DF3C8B" w:rsidRDefault="00DF3C8B" w:rsidP="00DF3C8B">
      <w:pPr>
        <w:spacing w:after="0" w:line="276" w:lineRule="auto"/>
        <w:jc w:val="both"/>
        <w:rPr>
          <w:rFonts w:ascii="Verdana" w:eastAsia="Aptos" w:hAnsi="Verdana" w:cs="Arial"/>
          <w:shd w:val="clear" w:color="auto" w:fill="FFFFFF"/>
        </w:rPr>
      </w:pPr>
      <w:r w:rsidRPr="0025661F">
        <w:rPr>
          <w:rFonts w:ascii="Verdana" w:eastAsia="Calibri" w:hAnsi="Verdana" w:cs="Arial"/>
          <w:color w:val="000000" w:themeColor="text1"/>
          <w:lang w:val="es-ES"/>
        </w:rPr>
        <w:t xml:space="preserve">La Agencia Nacional de Contratación Pública – Colombia Compra Eficiente se ha referido </w:t>
      </w:r>
      <w:r w:rsidRPr="0025661F">
        <w:rPr>
          <w:rFonts w:ascii="Verdana" w:hAnsi="Verdana" w:cs="Arial"/>
          <w:color w:val="000000" w:themeColor="text1"/>
          <w:shd w:val="clear" w:color="auto" w:fill="FFFFFF"/>
          <w:lang w:val="es-ES"/>
        </w:rPr>
        <w:t xml:space="preserve">sobre el cierre de expediente en los conceptos </w:t>
      </w:r>
      <w:r w:rsidRPr="00BE2DFF">
        <w:rPr>
          <w:rFonts w:ascii="Verdana" w:hAnsi="Verdana" w:cs="Arial"/>
          <w:shd w:val="clear" w:color="auto" w:fill="FFFFFF"/>
          <w:lang w:val="es-ES"/>
        </w:rPr>
        <w:t xml:space="preserve">con radicado </w:t>
      </w:r>
      <w:r w:rsidRPr="00594E6F">
        <w:rPr>
          <w:rFonts w:ascii="Verdana" w:eastAsia="Aptos" w:hAnsi="Verdana" w:cs="Arial"/>
          <w:shd w:val="clear" w:color="auto" w:fill="FFFFFF"/>
        </w:rPr>
        <w:t>Concepto CU</w:t>
      </w:r>
      <w:r>
        <w:rPr>
          <w:rFonts w:ascii="Verdana" w:eastAsia="Aptos" w:hAnsi="Verdana" w:cs="Arial"/>
          <w:shd w:val="clear" w:color="auto" w:fill="FFFFFF"/>
        </w:rPr>
        <w:t>-</w:t>
      </w:r>
      <w:r w:rsidRPr="00594E6F">
        <w:rPr>
          <w:rFonts w:ascii="Verdana" w:eastAsia="Aptos" w:hAnsi="Verdana" w:cs="Arial"/>
          <w:shd w:val="clear" w:color="auto" w:fill="FFFFFF"/>
        </w:rPr>
        <w:t>028 de 2020,</w:t>
      </w:r>
      <w:r>
        <w:rPr>
          <w:rFonts w:ascii="Verdana" w:eastAsia="Aptos" w:hAnsi="Verdana" w:cs="Arial"/>
          <w:shd w:val="clear" w:color="auto" w:fill="FFFFFF"/>
        </w:rPr>
        <w:t xml:space="preserve"> C-480 del 24 de septiembre de 2024, C- 621 del 27 de junio de 2025, C-913 del 19 de agosto de 2025, C-1276 del 16 de octubre de 2025 y C-1685 de 2025 del 01 de diciembre de 2025.</w:t>
      </w:r>
    </w:p>
    <w:p w14:paraId="01ED6C54" w14:textId="77777777" w:rsidR="00DF3C8B" w:rsidRPr="008278B1" w:rsidRDefault="00DF3C8B" w:rsidP="00DF3C8B">
      <w:pPr>
        <w:spacing w:after="0" w:line="276" w:lineRule="auto"/>
        <w:jc w:val="both"/>
        <w:rPr>
          <w:rFonts w:ascii="Verdana" w:hAnsi="Verdana" w:cs="Arial"/>
          <w:shd w:val="clear" w:color="auto" w:fill="FFFFFF"/>
          <w:lang w:val="es-ES"/>
        </w:rPr>
      </w:pPr>
    </w:p>
    <w:p w14:paraId="0C61767C" w14:textId="77777777" w:rsidR="00DF3C8B" w:rsidRPr="008278B1" w:rsidRDefault="00DF3C8B" w:rsidP="00DF3C8B">
      <w:pPr>
        <w:spacing w:after="0"/>
        <w:jc w:val="both"/>
        <w:rPr>
          <w:rFonts w:ascii="Verdana" w:hAnsi="Verdana"/>
          <w:lang w:val="es-ES"/>
        </w:rPr>
      </w:pPr>
      <w:r w:rsidRPr="008278B1">
        <w:rPr>
          <w:rFonts w:ascii="Verdana" w:hAnsi="Verdana" w:cs="Arial"/>
          <w:shd w:val="clear" w:color="auto" w:fill="FFFFFF"/>
          <w:lang w:val="es-ES"/>
        </w:rPr>
        <w:t>Estos</w:t>
      </w:r>
      <w:r w:rsidRPr="008278B1">
        <w:rPr>
          <w:rFonts w:ascii="Verdana" w:hAnsi="Verdana"/>
          <w:lang w:val="es-ES"/>
        </w:rPr>
        <w:t xml:space="preserve"> y otros se encuentran disponibles para consulta en el Sistema de relatoría de la Agencia, al cual se puede acceder a través del siguiente enlace:</w:t>
      </w:r>
      <w:r w:rsidRPr="008278B1">
        <w:rPr>
          <w:rFonts w:ascii="Verdana" w:hAnsi="Verdana" w:cs="Arial"/>
          <w:shd w:val="clear" w:color="auto" w:fill="FFFFFF"/>
          <w:lang w:val="es-ES"/>
        </w:rPr>
        <w:t xml:space="preserve"> </w:t>
      </w:r>
      <w:hyperlink r:id="rId12" w:history="1">
        <w:r w:rsidRPr="003E2BA9">
          <w:rPr>
            <w:rStyle w:val="Hipervnculo"/>
            <w:rFonts w:ascii="Verdana" w:hAnsi="Verdana" w:cs="Arial"/>
            <w:shd w:val="clear" w:color="auto" w:fill="FFFFFF"/>
            <w:lang w:val="es-ES"/>
          </w:rPr>
          <w:t>https://relatoria.colombiacompra.gov.co/busqueda/conceptos</w:t>
        </w:r>
      </w:hyperlink>
    </w:p>
    <w:p w14:paraId="120B2DB9" w14:textId="77777777" w:rsidR="00DF3C8B" w:rsidRPr="008278B1" w:rsidRDefault="00DF3C8B" w:rsidP="00DF3C8B">
      <w:pPr>
        <w:spacing w:after="0"/>
        <w:jc w:val="both"/>
        <w:rPr>
          <w:rFonts w:ascii="Verdana" w:hAnsi="Verdana" w:cs="Arial"/>
          <w:shd w:val="clear" w:color="auto" w:fill="FFFFFF"/>
          <w:lang w:val="es-ES"/>
        </w:rPr>
      </w:pPr>
    </w:p>
    <w:p w14:paraId="51E5BEEE" w14:textId="77777777" w:rsidR="00DF3C8B" w:rsidRPr="00F84F36" w:rsidRDefault="00DF3C8B" w:rsidP="00DF3C8B">
      <w:pPr>
        <w:spacing w:after="0"/>
        <w:jc w:val="both"/>
        <w:rPr>
          <w:rFonts w:ascii="Verdana" w:hAnsi="Verdana" w:cs="Arial"/>
          <w:color w:val="EE0000"/>
          <w:shd w:val="clear" w:color="auto" w:fill="FFFFFF"/>
        </w:rPr>
      </w:pPr>
      <w:r w:rsidRPr="008278B1">
        <w:rPr>
          <w:rFonts w:ascii="Verdana" w:hAnsi="Verdana" w:cs="Arial"/>
          <w:shd w:val="clear" w:color="auto" w:fill="FFFFFF"/>
        </w:rPr>
        <w:t>También le contamos que ya se encuentra disponible la </w:t>
      </w:r>
      <w:r w:rsidRPr="008278B1">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8278B1">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w:t>
      </w:r>
      <w:r w:rsidRPr="008278B1">
        <w:rPr>
          <w:rFonts w:ascii="Verdana" w:hAnsi="Verdana" w:cs="Arial"/>
          <w:shd w:val="clear" w:color="auto" w:fill="FFFFFF"/>
        </w:rPr>
        <w:lastRenderedPageBreak/>
        <w:t>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8278B1">
          <w:rPr>
            <w:rStyle w:val="Hipervnculo"/>
            <w:rFonts w:ascii="Verdana" w:hAnsi="Verdana"/>
          </w:rPr>
          <w:t>Guía de lineamientos de transparencia y selección objetiva para el departamento de La Guajira – Objetivo sexto constitucional de la Sentencia T-302 del 2017</w:t>
        </w:r>
      </w:hyperlink>
    </w:p>
    <w:p w14:paraId="56C7873D" w14:textId="77777777" w:rsidR="00DF3C8B" w:rsidRPr="008278B1" w:rsidRDefault="00DF3C8B" w:rsidP="00DF3C8B">
      <w:pPr>
        <w:spacing w:after="0"/>
        <w:jc w:val="both"/>
        <w:rPr>
          <w:rFonts w:ascii="Verdana" w:hAnsi="Verdana" w:cs="Arial"/>
          <w:shd w:val="clear" w:color="auto" w:fill="FFFFFF"/>
        </w:rPr>
      </w:pPr>
    </w:p>
    <w:p w14:paraId="2DFF8948" w14:textId="091BC035" w:rsidR="00DF3C8B" w:rsidRPr="008278B1" w:rsidRDefault="00DF3C8B" w:rsidP="00DF3C8B">
      <w:pPr>
        <w:spacing w:after="0"/>
        <w:jc w:val="both"/>
        <w:rPr>
          <w:rFonts w:ascii="Verdana" w:hAnsi="Verdana" w:cs="Arial"/>
          <w:shd w:val="clear" w:color="auto" w:fill="FFFFFF"/>
        </w:rPr>
      </w:pPr>
      <w:r w:rsidRPr="008278B1">
        <w:rPr>
          <w:rFonts w:ascii="Verdana" w:hAnsi="Verdana" w:cs="Arial"/>
          <w:shd w:val="clear" w:color="auto" w:fill="FFFFFF"/>
        </w:rPr>
        <w:t xml:space="preserve">Por último, lo invitamos a seguirnos en las redes sociales en las cuales se difunde información institucional: </w:t>
      </w:r>
    </w:p>
    <w:p w14:paraId="3F42646D" w14:textId="77777777" w:rsidR="00DF3C8B" w:rsidRPr="008278B1" w:rsidRDefault="00DF3C8B" w:rsidP="00DF3C8B">
      <w:pPr>
        <w:spacing w:after="0"/>
        <w:jc w:val="both"/>
        <w:rPr>
          <w:rFonts w:ascii="Verdana" w:hAnsi="Verdana" w:cs="Arial"/>
          <w:shd w:val="clear" w:color="auto" w:fill="FFFFFF"/>
        </w:rPr>
      </w:pPr>
    </w:p>
    <w:p w14:paraId="71137832" w14:textId="77777777" w:rsidR="00DF3C8B" w:rsidRPr="008278B1" w:rsidRDefault="00DF3C8B" w:rsidP="00DF3C8B">
      <w:pPr>
        <w:spacing w:after="0"/>
        <w:jc w:val="both"/>
        <w:rPr>
          <w:rFonts w:ascii="Verdana" w:hAnsi="Verdana" w:cs="Arial"/>
          <w:shd w:val="clear" w:color="auto" w:fill="FFFFFF"/>
        </w:rPr>
      </w:pPr>
      <w:r w:rsidRPr="008278B1">
        <w:rPr>
          <w:rFonts w:ascii="Verdana" w:hAnsi="Verdana" w:cs="Arial"/>
          <w:shd w:val="clear" w:color="auto" w:fill="FFFFFF"/>
        </w:rPr>
        <w:t xml:space="preserve">Twitter: </w:t>
      </w:r>
      <w:r w:rsidRPr="008278B1">
        <w:rPr>
          <w:rStyle w:val="Hipervnculo"/>
          <w:rFonts w:ascii="Verdana" w:hAnsi="Verdana"/>
          <w:lang w:val="es-ES"/>
        </w:rPr>
        <w:t>@colombiacompra</w:t>
      </w:r>
      <w:r w:rsidRPr="008278B1">
        <w:rPr>
          <w:rStyle w:val="Hipervnculo"/>
          <w:rFonts w:ascii="Verdana" w:hAnsi="Verdana"/>
          <w:color w:val="auto"/>
          <w:lang w:val="es-ES"/>
        </w:rPr>
        <w:t xml:space="preserve"> </w:t>
      </w:r>
    </w:p>
    <w:p w14:paraId="12F704C3" w14:textId="77777777" w:rsidR="00DF3C8B" w:rsidRPr="008278B1" w:rsidRDefault="00DF3C8B" w:rsidP="00DF3C8B">
      <w:pPr>
        <w:spacing w:after="0"/>
        <w:jc w:val="both"/>
        <w:rPr>
          <w:rFonts w:ascii="Verdana" w:hAnsi="Verdana" w:cs="Arial"/>
          <w:shd w:val="clear" w:color="auto" w:fill="FFFFFF"/>
        </w:rPr>
      </w:pPr>
      <w:r w:rsidRPr="008278B1">
        <w:rPr>
          <w:rFonts w:ascii="Verdana" w:hAnsi="Verdana" w:cs="Arial"/>
          <w:shd w:val="clear" w:color="auto" w:fill="FFFFFF"/>
        </w:rPr>
        <w:t>Facebook:</w:t>
      </w:r>
      <w:r w:rsidRPr="008278B1">
        <w:rPr>
          <w:rStyle w:val="Hipervnculo"/>
          <w:rFonts w:ascii="Verdana" w:hAnsi="Verdana"/>
          <w:lang w:val="es-ES"/>
        </w:rPr>
        <w:t xml:space="preserve"> ColombiaCompraEficiente</w:t>
      </w:r>
    </w:p>
    <w:p w14:paraId="297E6437" w14:textId="4F3ADF2C" w:rsidR="00DF3C8B" w:rsidRPr="008278B1" w:rsidRDefault="00DF3C8B" w:rsidP="00DF3C8B">
      <w:pPr>
        <w:spacing w:after="0"/>
        <w:jc w:val="both"/>
        <w:rPr>
          <w:rFonts w:ascii="Verdana" w:hAnsi="Verdana" w:cs="Arial"/>
          <w:shd w:val="clear" w:color="auto" w:fill="FFFFFF"/>
        </w:rPr>
      </w:pPr>
      <w:r w:rsidRPr="008278B1">
        <w:rPr>
          <w:rFonts w:ascii="Verdana" w:hAnsi="Verdana" w:cs="Arial"/>
          <w:shd w:val="clear" w:color="auto" w:fill="FFFFFF"/>
        </w:rPr>
        <w:t xml:space="preserve">LinkedIn: </w:t>
      </w:r>
      <w:r w:rsidRPr="008278B1">
        <w:rPr>
          <w:rStyle w:val="Hipervnculo"/>
          <w:rFonts w:ascii="Verdana" w:hAnsi="Verdana"/>
          <w:lang w:val="es-ES"/>
        </w:rPr>
        <w:t>Agencia Nacional de Contratación Pública - Colombia Compra Eficiente</w:t>
      </w:r>
      <w:r w:rsidRPr="008278B1">
        <w:rPr>
          <w:rFonts w:ascii="Verdana" w:hAnsi="Verdana" w:cs="Arial"/>
          <w:color w:val="0000FF"/>
          <w:shd w:val="clear" w:color="auto" w:fill="FFFFFF"/>
        </w:rPr>
        <w:t xml:space="preserve"> </w:t>
      </w:r>
    </w:p>
    <w:p w14:paraId="7C3D0D46" w14:textId="77777777" w:rsidR="00DF3C8B" w:rsidRPr="008278B1" w:rsidRDefault="00DF3C8B" w:rsidP="00DF3C8B">
      <w:pPr>
        <w:spacing w:after="0"/>
        <w:jc w:val="both"/>
        <w:rPr>
          <w:rFonts w:ascii="Verdana" w:hAnsi="Verdana" w:cs="Arial"/>
          <w:shd w:val="clear" w:color="auto" w:fill="FFFFFF"/>
        </w:rPr>
      </w:pPr>
      <w:r w:rsidRPr="008278B1">
        <w:rPr>
          <w:rFonts w:ascii="Verdana" w:hAnsi="Verdana" w:cs="Arial"/>
          <w:shd w:val="clear" w:color="auto" w:fill="FFFFFF"/>
        </w:rPr>
        <w:t xml:space="preserve">Instagram: </w:t>
      </w:r>
      <w:r w:rsidRPr="008278B1">
        <w:rPr>
          <w:rStyle w:val="Hipervnculo"/>
          <w:rFonts w:ascii="Verdana" w:hAnsi="Verdana"/>
          <w:lang w:val="es-ES"/>
        </w:rPr>
        <w:t>@colombiacompraeficiente_cce</w:t>
      </w:r>
    </w:p>
    <w:p w14:paraId="4D333475" w14:textId="77777777" w:rsidR="00DF3C8B" w:rsidRPr="008278B1" w:rsidRDefault="00DF3C8B" w:rsidP="00DF3C8B">
      <w:pPr>
        <w:widowControl w:val="0"/>
        <w:autoSpaceDE w:val="0"/>
        <w:autoSpaceDN w:val="0"/>
        <w:spacing w:after="0" w:line="276" w:lineRule="auto"/>
        <w:jc w:val="both"/>
        <w:rPr>
          <w:rFonts w:ascii="Verdana" w:hAnsi="Verdana" w:cs="Arial"/>
          <w:lang w:val="es-ES"/>
        </w:rPr>
      </w:pPr>
    </w:p>
    <w:p w14:paraId="40705A6D" w14:textId="77777777" w:rsidR="00DF3C8B" w:rsidRPr="008278B1" w:rsidRDefault="00DF3C8B" w:rsidP="00DF3C8B">
      <w:pPr>
        <w:widowControl w:val="0"/>
        <w:autoSpaceDE w:val="0"/>
        <w:autoSpaceDN w:val="0"/>
        <w:spacing w:after="0" w:line="276" w:lineRule="auto"/>
        <w:jc w:val="both"/>
        <w:rPr>
          <w:rFonts w:ascii="Verdana" w:hAnsi="Verdana" w:cs="Arial"/>
          <w:lang w:val="es-ES"/>
        </w:rPr>
      </w:pPr>
      <w:r w:rsidRPr="008278B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149CCFC" w14:textId="77777777" w:rsidR="00DF3C8B" w:rsidRPr="008278B1" w:rsidRDefault="00DF3C8B" w:rsidP="00DF3C8B">
      <w:pPr>
        <w:widowControl w:val="0"/>
        <w:autoSpaceDE w:val="0"/>
        <w:autoSpaceDN w:val="0"/>
        <w:spacing w:after="0" w:line="276" w:lineRule="auto"/>
        <w:jc w:val="both"/>
        <w:rPr>
          <w:rFonts w:ascii="Verdana" w:hAnsi="Verdana" w:cs="Arial"/>
          <w:lang w:val="es-ES"/>
        </w:rPr>
      </w:pPr>
    </w:p>
    <w:p w14:paraId="77499AAA" w14:textId="77777777" w:rsidR="00DF3C8B" w:rsidRPr="008278B1" w:rsidRDefault="00DF3C8B" w:rsidP="00DF3C8B">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p>
    <w:p w14:paraId="5DBF51A9" w14:textId="7E319ED5" w:rsidR="00DF3C8B" w:rsidRPr="00F84F36" w:rsidRDefault="003253E7" w:rsidP="00DF3C8B">
      <w:pPr>
        <w:spacing w:after="0" w:line="276" w:lineRule="auto"/>
        <w:jc w:val="center"/>
        <w:rPr>
          <w:rFonts w:ascii="Verdana" w:hAnsi="Verdana"/>
          <w:noProof/>
          <w:color w:val="EE0000"/>
        </w:rPr>
      </w:pPr>
      <w:r w:rsidRPr="003253E7">
        <w:rPr>
          <w:rFonts w:ascii="Verdana" w:hAnsi="Verdana"/>
          <w:noProof/>
          <w:color w:val="EE0000"/>
        </w:rPr>
        <w:drawing>
          <wp:anchor distT="0" distB="0" distL="114300" distR="114300" simplePos="0" relativeHeight="251660288" behindDoc="1" locked="0" layoutInCell="1" allowOverlap="1" wp14:anchorId="50A7442B" wp14:editId="6B16EC5D">
            <wp:simplePos x="0" y="0"/>
            <wp:positionH relativeFrom="column">
              <wp:posOffset>1415415</wp:posOffset>
            </wp:positionH>
            <wp:positionV relativeFrom="paragraph">
              <wp:posOffset>0</wp:posOffset>
            </wp:positionV>
            <wp:extent cx="2791215" cy="1114581"/>
            <wp:effectExtent l="0" t="0" r="0" b="9525"/>
            <wp:wrapNone/>
            <wp:docPr id="73895145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951456"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2791215" cy="1114581"/>
                    </a:xfrm>
                    <a:prstGeom prst="rect">
                      <a:avLst/>
                    </a:prstGeom>
                  </pic:spPr>
                </pic:pic>
              </a:graphicData>
            </a:graphic>
          </wp:anchor>
        </w:drawing>
      </w:r>
    </w:p>
    <w:p w14:paraId="0FAC9B70" w14:textId="77777777" w:rsidR="00DF3C8B" w:rsidRPr="00F84F36" w:rsidRDefault="00DF3C8B" w:rsidP="00DF3C8B">
      <w:pPr>
        <w:spacing w:after="0" w:line="276" w:lineRule="auto"/>
        <w:jc w:val="center"/>
        <w:rPr>
          <w:rFonts w:ascii="Verdana" w:hAnsi="Verdana"/>
          <w:noProof/>
          <w:color w:val="EE0000"/>
        </w:rPr>
      </w:pPr>
    </w:p>
    <w:p w14:paraId="6BD3BF66" w14:textId="77777777" w:rsidR="00DF3C8B" w:rsidRPr="00F84F36" w:rsidRDefault="00DF3C8B" w:rsidP="00DF3C8B">
      <w:pPr>
        <w:spacing w:after="0" w:line="276" w:lineRule="auto"/>
        <w:jc w:val="center"/>
        <w:rPr>
          <w:rFonts w:ascii="Verdana" w:hAnsi="Verdana"/>
          <w:noProof/>
          <w:color w:val="EE0000"/>
        </w:rPr>
      </w:pPr>
    </w:p>
    <w:p w14:paraId="3562903C" w14:textId="77777777" w:rsidR="00DF3C8B" w:rsidRPr="00F84F36" w:rsidRDefault="00DF3C8B" w:rsidP="00DF3C8B">
      <w:pPr>
        <w:spacing w:after="0" w:line="276" w:lineRule="auto"/>
        <w:jc w:val="center"/>
        <w:rPr>
          <w:rFonts w:ascii="Verdana" w:hAnsi="Verdana"/>
          <w:noProof/>
          <w:color w:val="EE0000"/>
        </w:rPr>
      </w:pPr>
    </w:p>
    <w:p w14:paraId="21442218" w14:textId="77777777" w:rsidR="00DF3C8B" w:rsidRPr="00F84F36" w:rsidRDefault="00DF3C8B" w:rsidP="00DF3C8B">
      <w:pPr>
        <w:spacing w:after="0" w:line="276" w:lineRule="auto"/>
        <w:jc w:val="center"/>
        <w:rPr>
          <w:rFonts w:ascii="Verdana" w:hAnsi="Verdana" w:cs="Arial"/>
          <w:color w:val="EE0000"/>
          <w:lang w:val="es-ES" w:eastAsia="es-CO"/>
        </w:rPr>
      </w:pPr>
    </w:p>
    <w:p w14:paraId="16C32AC8" w14:textId="77777777" w:rsidR="00DF3C8B" w:rsidRDefault="00DF3C8B" w:rsidP="003253E7">
      <w:pPr>
        <w:spacing w:after="0" w:line="276" w:lineRule="auto"/>
        <w:rPr>
          <w:rFonts w:ascii="Verdana" w:hAnsi="Verdana" w:cs="Arial"/>
          <w:color w:val="EE0000"/>
          <w:lang w:val="es-ES" w:eastAsia="es-CO"/>
        </w:rPr>
      </w:pPr>
    </w:p>
    <w:p w14:paraId="46D54098" w14:textId="77777777" w:rsidR="003253E7" w:rsidRPr="008278B1" w:rsidRDefault="003253E7" w:rsidP="003253E7">
      <w:pPr>
        <w:spacing w:after="0" w:line="276" w:lineRule="auto"/>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F3C8B" w:rsidRPr="008278B1" w14:paraId="56BABE77" w14:textId="77777777">
        <w:trPr>
          <w:trHeight w:val="315"/>
        </w:trPr>
        <w:tc>
          <w:tcPr>
            <w:tcW w:w="893" w:type="dxa"/>
            <w:vAlign w:val="center"/>
            <w:hideMark/>
          </w:tcPr>
          <w:p w14:paraId="584CFE77" w14:textId="77777777" w:rsidR="00DF3C8B" w:rsidRPr="008278B1" w:rsidRDefault="00DF3C8B">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CCB03D5" w14:textId="77777777" w:rsidR="00DF3C8B" w:rsidRPr="008278B1" w:rsidRDefault="00DF3C8B">
            <w:pPr>
              <w:rPr>
                <w:rFonts w:ascii="Verdana" w:eastAsia="Times New Roman" w:hAnsi="Verdana" w:cs="Arial"/>
                <w:sz w:val="16"/>
                <w:szCs w:val="16"/>
                <w:lang w:eastAsia="es-ES"/>
              </w:rPr>
            </w:pPr>
            <w:r w:rsidRPr="008278B1">
              <w:rPr>
                <w:rFonts w:ascii="Verdana" w:eastAsia="Times New Roman" w:hAnsi="Verdana" w:cs="Arial"/>
                <w:sz w:val="16"/>
                <w:szCs w:val="16"/>
                <w:lang w:eastAsia="es-ES"/>
              </w:rPr>
              <w:t>Camila Alejandra Naranjo Gómez</w:t>
            </w:r>
          </w:p>
          <w:p w14:paraId="335ECBBC" w14:textId="77777777" w:rsidR="00DF3C8B" w:rsidRPr="008278B1" w:rsidRDefault="00DF3C8B">
            <w:pPr>
              <w:contextualSpacing/>
              <w:rPr>
                <w:rFonts w:ascii="Verdana" w:eastAsia="Arial" w:hAnsi="Verdana" w:cs="Arial"/>
                <w:sz w:val="16"/>
                <w:szCs w:val="16"/>
                <w:lang w:val="es-ES"/>
              </w:rPr>
            </w:pPr>
            <w:r w:rsidRPr="008278B1">
              <w:rPr>
                <w:rFonts w:ascii="Verdana" w:eastAsia="Times New Roman" w:hAnsi="Verdana" w:cs="Arial"/>
                <w:sz w:val="16"/>
                <w:szCs w:val="16"/>
                <w:lang w:eastAsia="es-ES"/>
              </w:rPr>
              <w:t>Analista T2-1 de la Subdirección de Gestión Contractual</w:t>
            </w:r>
          </w:p>
        </w:tc>
      </w:tr>
      <w:tr w:rsidR="00DF3C8B" w:rsidRPr="00F84F36" w14:paraId="4415756E" w14:textId="77777777">
        <w:trPr>
          <w:trHeight w:val="330"/>
        </w:trPr>
        <w:tc>
          <w:tcPr>
            <w:tcW w:w="893" w:type="dxa"/>
            <w:vAlign w:val="center"/>
            <w:hideMark/>
          </w:tcPr>
          <w:p w14:paraId="5529CCE5" w14:textId="77777777" w:rsidR="00DF3C8B" w:rsidRPr="0025661F" w:rsidRDefault="00DF3C8B">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FA65C16" w14:textId="77777777" w:rsidR="00DF3C8B" w:rsidRPr="0025661F" w:rsidRDefault="00DF3C8B">
            <w:pPr>
              <w:rPr>
                <w:rFonts w:ascii="Verdana" w:eastAsia="Times New Roman" w:hAnsi="Verdana" w:cs="Arial"/>
                <w:color w:val="000000" w:themeColor="text1"/>
                <w:sz w:val="16"/>
                <w:szCs w:val="16"/>
                <w:lang w:eastAsia="es-ES"/>
              </w:rPr>
            </w:pPr>
            <w:r w:rsidRPr="0025661F">
              <w:rPr>
                <w:rFonts w:ascii="Verdana" w:eastAsia="Times New Roman" w:hAnsi="Verdana" w:cs="Arial"/>
                <w:color w:val="000000" w:themeColor="text1"/>
                <w:sz w:val="16"/>
                <w:szCs w:val="16"/>
                <w:lang w:eastAsia="es-ES"/>
              </w:rPr>
              <w:t>Diana Lucía Saavedra Castañeda</w:t>
            </w:r>
          </w:p>
          <w:p w14:paraId="6C278B3C" w14:textId="77777777" w:rsidR="00DF3C8B" w:rsidRPr="0025661F" w:rsidRDefault="00DF3C8B">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25661F">
              <w:rPr>
                <w:rFonts w:ascii="Verdana" w:hAnsi="Verdana" w:cs="Arial"/>
                <w:color w:val="000000" w:themeColor="text1"/>
                <w:sz w:val="16"/>
                <w:szCs w:val="16"/>
                <w:lang w:eastAsia="es-ES"/>
              </w:rPr>
              <w:t>Contratista de la Subdirección de Gestión Contractual</w:t>
            </w:r>
          </w:p>
        </w:tc>
      </w:tr>
      <w:tr w:rsidR="00DF3C8B" w:rsidRPr="00F84F36" w14:paraId="644E03D5" w14:textId="77777777">
        <w:trPr>
          <w:trHeight w:val="300"/>
        </w:trPr>
        <w:tc>
          <w:tcPr>
            <w:tcW w:w="893" w:type="dxa"/>
            <w:vAlign w:val="center"/>
          </w:tcPr>
          <w:p w14:paraId="0646E7E3" w14:textId="77777777" w:rsidR="00DF3C8B" w:rsidRPr="008278B1" w:rsidRDefault="00DF3C8B">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93AAAA8" w14:textId="77777777" w:rsidR="00DF3C8B" w:rsidRPr="008278B1" w:rsidRDefault="00DF3C8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0AB1DBE8" w14:textId="77777777" w:rsidR="00DF3C8B" w:rsidRPr="008278B1" w:rsidRDefault="00DF3C8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bookmarkEnd w:id="0"/>
    </w:tbl>
    <w:p w14:paraId="0F293BF4" w14:textId="04FF9D39" w:rsidR="00127233" w:rsidRPr="00DF3C8B" w:rsidRDefault="00127233" w:rsidP="00DF3C8B">
      <w:pPr>
        <w:rPr>
          <w:lang w:val="es-ES"/>
        </w:rPr>
      </w:pPr>
    </w:p>
    <w:sectPr w:rsidR="00127233" w:rsidRPr="00DF3C8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5A26B6" w14:textId="77777777" w:rsidR="006137A4" w:rsidRDefault="006137A4" w:rsidP="004A1847">
      <w:pPr>
        <w:spacing w:after="0" w:line="240" w:lineRule="auto"/>
      </w:pPr>
      <w:r>
        <w:separator/>
      </w:r>
    </w:p>
  </w:endnote>
  <w:endnote w:type="continuationSeparator" w:id="0">
    <w:p w14:paraId="4963D02D" w14:textId="77777777" w:rsidR="006137A4" w:rsidRDefault="006137A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BC6EC5" w14:textId="77777777" w:rsidR="006137A4" w:rsidRDefault="006137A4" w:rsidP="004A1847">
      <w:pPr>
        <w:spacing w:after="0" w:line="240" w:lineRule="auto"/>
      </w:pPr>
      <w:r>
        <w:separator/>
      </w:r>
    </w:p>
  </w:footnote>
  <w:footnote w:type="continuationSeparator" w:id="0">
    <w:p w14:paraId="7DC34873" w14:textId="77777777" w:rsidR="006137A4" w:rsidRDefault="006137A4" w:rsidP="004A1847">
      <w:pPr>
        <w:spacing w:after="0" w:line="240" w:lineRule="auto"/>
      </w:pPr>
      <w:r>
        <w:continuationSeparator/>
      </w:r>
    </w:p>
  </w:footnote>
  <w:footnote w:id="1">
    <w:p w14:paraId="58D67D41" w14:textId="77777777" w:rsidR="00DF3C8B" w:rsidRDefault="00DF3C8B" w:rsidP="00DF3C8B">
      <w:pPr>
        <w:pStyle w:val="Textonotapie"/>
        <w:ind w:firstLine="709"/>
        <w:jc w:val="both"/>
        <w:rPr>
          <w:rFonts w:ascii="Verdana" w:hAnsi="Verdana" w:cs="Arial"/>
          <w:sz w:val="16"/>
          <w:szCs w:val="16"/>
          <w:lang w:val="es-ES"/>
        </w:rPr>
      </w:pPr>
      <w:r w:rsidRPr="00A617AC">
        <w:rPr>
          <w:rStyle w:val="Refdenotaalpie"/>
          <w:rFonts w:ascii="Verdana" w:hAnsi="Verdana" w:cs="Arial"/>
          <w:sz w:val="16"/>
          <w:szCs w:val="16"/>
        </w:rPr>
        <w:footnoteRef/>
      </w:r>
      <w:r w:rsidRPr="00A617AC">
        <w:rPr>
          <w:rFonts w:ascii="Verdana" w:hAnsi="Verdana" w:cs="Arial"/>
          <w:sz w:val="16"/>
          <w:szCs w:val="16"/>
        </w:rPr>
        <w:t xml:space="preserve"> </w:t>
      </w:r>
      <w:r w:rsidRPr="00A617AC">
        <w:rPr>
          <w:rFonts w:ascii="Verdana" w:hAnsi="Verdana" w:cs="Arial"/>
          <w:sz w:val="16"/>
          <w:szCs w:val="16"/>
          <w:lang w:val="es-ES"/>
        </w:rPr>
        <w:t>BOBBIO, Norberto. Democracia y secreto. México: Fondo de Cultura Económica, 2013. p. 27.</w:t>
      </w:r>
    </w:p>
    <w:p w14:paraId="37900B2B" w14:textId="77777777" w:rsidR="00DF3C8B" w:rsidRPr="00A617AC" w:rsidRDefault="00DF3C8B" w:rsidP="00DF3C8B">
      <w:pPr>
        <w:pStyle w:val="Textonotapie"/>
        <w:ind w:firstLine="709"/>
        <w:jc w:val="both"/>
        <w:rPr>
          <w:rFonts w:ascii="Verdana" w:hAnsi="Verdana" w:cs="Arial"/>
          <w:sz w:val="16"/>
          <w:szCs w:val="16"/>
          <w:lang w:val="es-ES"/>
        </w:rPr>
      </w:pPr>
    </w:p>
  </w:footnote>
  <w:footnote w:id="2">
    <w:p w14:paraId="2C094152" w14:textId="77777777" w:rsidR="00DF3C8B" w:rsidRPr="00A617AC" w:rsidRDefault="00DF3C8B" w:rsidP="00DF3C8B">
      <w:pPr>
        <w:pStyle w:val="Textonotapie"/>
        <w:ind w:firstLine="709"/>
        <w:jc w:val="both"/>
        <w:rPr>
          <w:rFonts w:ascii="Verdana" w:hAnsi="Verdana" w:cs="Arial"/>
          <w:color w:val="000000" w:themeColor="text1"/>
          <w:sz w:val="16"/>
          <w:szCs w:val="16"/>
        </w:rPr>
      </w:pPr>
      <w:r w:rsidRPr="00A617AC">
        <w:rPr>
          <w:rStyle w:val="Refdenotaalpie"/>
          <w:rFonts w:ascii="Verdana" w:hAnsi="Verdana" w:cs="Arial"/>
          <w:color w:val="000000" w:themeColor="text1"/>
          <w:sz w:val="16"/>
          <w:szCs w:val="16"/>
        </w:rPr>
        <w:footnoteRef/>
      </w:r>
      <w:r w:rsidRPr="00A617AC">
        <w:rPr>
          <w:rFonts w:ascii="Verdana" w:hAnsi="Verdana" w:cs="Arial"/>
          <w:color w:val="000000" w:themeColor="text1"/>
          <w:sz w:val="16"/>
          <w:szCs w:val="16"/>
        </w:rPr>
        <w:t xml:space="preserve"> Ley 1150 de 2007: </w:t>
      </w:r>
      <w:r>
        <w:rPr>
          <w:rFonts w:ascii="Verdana" w:hAnsi="Verdana" w:cs="Arial"/>
          <w:color w:val="000000" w:themeColor="text1"/>
          <w:sz w:val="16"/>
          <w:szCs w:val="16"/>
        </w:rPr>
        <w:t>“</w:t>
      </w:r>
      <w:r w:rsidRPr="00A617AC">
        <w:rPr>
          <w:rFonts w:ascii="Verdana" w:hAnsi="Verdana" w:cs="Arial"/>
          <w:color w:val="000000" w:themeColor="text1"/>
          <w:sz w:val="16"/>
          <w:szCs w:val="16"/>
        </w:rPr>
        <w:t>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7A1BB250" w14:textId="77777777" w:rsidR="00DF3C8B" w:rsidRPr="00A617AC" w:rsidRDefault="00DF3C8B" w:rsidP="00DF3C8B">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Lo anterior, sin perjuicio de las publicaciones previstas en el numeral 3 del artículo 30 de la Ley 80 de 1993.</w:t>
      </w:r>
    </w:p>
    <w:p w14:paraId="1394AADD" w14:textId="77777777" w:rsidR="00DF3C8B" w:rsidRPr="00A617AC" w:rsidRDefault="00DF3C8B" w:rsidP="00DF3C8B">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496BA73E" w14:textId="77777777" w:rsidR="00DF3C8B" w:rsidRPr="00A617AC" w:rsidRDefault="00DF3C8B" w:rsidP="00DF3C8B">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w:t>
      </w:r>
    </w:p>
    <w:p w14:paraId="41FBCFE3" w14:textId="77777777" w:rsidR="00DF3C8B" w:rsidRPr="00A617AC" w:rsidRDefault="00DF3C8B" w:rsidP="00DF3C8B">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7463138D" w14:textId="77777777" w:rsidR="00DF3C8B" w:rsidRPr="00A617AC" w:rsidRDefault="00DF3C8B" w:rsidP="00DF3C8B">
      <w:pPr>
        <w:pStyle w:val="Textonotapie"/>
        <w:ind w:firstLine="709"/>
        <w:jc w:val="both"/>
        <w:rPr>
          <w:rFonts w:ascii="Verdana" w:hAnsi="Verdana" w:cs="Arial"/>
          <w:color w:val="000000" w:themeColor="text1"/>
          <w:sz w:val="16"/>
          <w:szCs w:val="16"/>
          <w:lang w:val="es-CO"/>
        </w:rPr>
      </w:pPr>
    </w:p>
  </w:footnote>
  <w:footnote w:id="3">
    <w:p w14:paraId="17F1EB21" w14:textId="77777777" w:rsidR="00DF3C8B" w:rsidRPr="00A617AC" w:rsidRDefault="00DF3C8B" w:rsidP="00DF3C8B">
      <w:pPr>
        <w:pStyle w:val="Textonotapie"/>
        <w:ind w:firstLine="709"/>
        <w:jc w:val="both"/>
        <w:rPr>
          <w:rFonts w:ascii="Verdana" w:hAnsi="Verdana" w:cs="Arial"/>
          <w:color w:val="000000" w:themeColor="text1"/>
          <w:sz w:val="16"/>
          <w:szCs w:val="16"/>
        </w:rPr>
      </w:pPr>
      <w:r w:rsidRPr="00A617AC">
        <w:rPr>
          <w:rStyle w:val="Refdenotaalpie"/>
          <w:rFonts w:ascii="Verdana" w:hAnsi="Verdana" w:cs="Arial"/>
          <w:color w:val="000000" w:themeColor="text1"/>
          <w:sz w:val="16"/>
          <w:szCs w:val="16"/>
        </w:rPr>
        <w:footnoteRef/>
      </w:r>
      <w:r w:rsidRPr="00A617AC">
        <w:rPr>
          <w:rFonts w:ascii="Verdana" w:hAnsi="Verdana" w:cs="Arial"/>
          <w:color w:val="000000" w:themeColor="text1"/>
          <w:sz w:val="16"/>
          <w:szCs w:val="16"/>
        </w:rPr>
        <w:t xml:space="preserve"> Ley 1712 de 2014: </w:t>
      </w:r>
      <w:r>
        <w:rPr>
          <w:rFonts w:ascii="Verdana" w:hAnsi="Verdana" w:cs="Arial"/>
          <w:color w:val="000000" w:themeColor="text1"/>
          <w:sz w:val="16"/>
          <w:szCs w:val="16"/>
        </w:rPr>
        <w:t>“</w:t>
      </w:r>
      <w:r w:rsidRPr="00A617AC">
        <w:rPr>
          <w:rFonts w:ascii="Verdana" w:hAnsi="Verdana" w:cs="Arial"/>
          <w:color w:val="000000" w:themeColor="text1"/>
          <w:sz w:val="16"/>
          <w:szCs w:val="16"/>
        </w:rPr>
        <w:t>Artículo 2. Toda información en posesión, bajo control o custodia de un sujeto obligado es pública y no podrá ser reservada o limitada sino por disposición constitucional o legal, de conformidad con la presente ley</w:t>
      </w:r>
      <w:r>
        <w:rPr>
          <w:rFonts w:ascii="Verdana" w:hAnsi="Verdana" w:cs="Arial"/>
          <w:color w:val="000000" w:themeColor="text1"/>
          <w:sz w:val="16"/>
          <w:szCs w:val="16"/>
        </w:rPr>
        <w:t>”</w:t>
      </w:r>
      <w:r w:rsidRPr="00A617AC">
        <w:rPr>
          <w:rFonts w:ascii="Verdana" w:hAnsi="Verdana" w:cs="Arial"/>
          <w:color w:val="000000" w:themeColor="text1"/>
          <w:sz w:val="16"/>
          <w:szCs w:val="16"/>
        </w:rPr>
        <w:t>.</w:t>
      </w:r>
    </w:p>
    <w:p w14:paraId="36D621D6" w14:textId="77777777" w:rsidR="00DF3C8B" w:rsidRPr="00A617AC" w:rsidRDefault="00DF3C8B" w:rsidP="00DF3C8B">
      <w:pPr>
        <w:pStyle w:val="Textonotapie"/>
        <w:ind w:firstLine="709"/>
        <w:jc w:val="both"/>
        <w:rPr>
          <w:rFonts w:ascii="Verdana" w:hAnsi="Verdana" w:cs="Arial"/>
          <w:color w:val="000000" w:themeColor="text1"/>
          <w:sz w:val="16"/>
          <w:szCs w:val="16"/>
          <w:lang w:val="es-CO"/>
        </w:rPr>
      </w:pPr>
    </w:p>
  </w:footnote>
  <w:footnote w:id="4">
    <w:p w14:paraId="4FDCE835" w14:textId="77777777" w:rsidR="00DF3C8B" w:rsidRPr="00A617AC" w:rsidRDefault="00DF3C8B" w:rsidP="00DF3C8B">
      <w:pPr>
        <w:pStyle w:val="Textonotapie"/>
        <w:ind w:firstLine="709"/>
        <w:jc w:val="both"/>
        <w:rPr>
          <w:rFonts w:ascii="Verdana" w:hAnsi="Verdana" w:cs="Arial"/>
          <w:color w:val="000000" w:themeColor="text1"/>
          <w:sz w:val="16"/>
          <w:szCs w:val="16"/>
        </w:rPr>
      </w:pPr>
      <w:r w:rsidRPr="00A617AC">
        <w:rPr>
          <w:rStyle w:val="Refdenotaalpie"/>
          <w:rFonts w:ascii="Verdana" w:hAnsi="Verdana" w:cs="Arial"/>
          <w:color w:val="000000" w:themeColor="text1"/>
          <w:sz w:val="16"/>
          <w:szCs w:val="16"/>
        </w:rPr>
        <w:footnoteRef/>
      </w:r>
      <w:r w:rsidRPr="00A617AC">
        <w:rPr>
          <w:rFonts w:ascii="Verdana" w:hAnsi="Verdana" w:cs="Arial"/>
          <w:color w:val="000000" w:themeColor="text1"/>
          <w:sz w:val="16"/>
          <w:szCs w:val="16"/>
        </w:rPr>
        <w:t xml:space="preserve"> Ley 1712 de 2014: </w:t>
      </w:r>
      <w:r>
        <w:rPr>
          <w:rFonts w:ascii="Verdana" w:hAnsi="Verdana" w:cs="Arial"/>
          <w:color w:val="000000" w:themeColor="text1"/>
          <w:sz w:val="16"/>
          <w:szCs w:val="16"/>
        </w:rPr>
        <w:t>“</w:t>
      </w:r>
      <w:r w:rsidRPr="00A617AC">
        <w:rPr>
          <w:rFonts w:ascii="Verdana" w:hAnsi="Verdana" w:cs="Arial"/>
          <w:color w:val="000000" w:themeColor="text1"/>
          <w:sz w:val="16"/>
          <w:szCs w:val="16"/>
        </w:rPr>
        <w:t xml:space="preserve">Artículo 5. Ámbito de aplicación. Las disposiciones de esta ley serán aplicables a las siguientes personas en calidad de sujetos obligados: </w:t>
      </w:r>
    </w:p>
    <w:p w14:paraId="68C50E72" w14:textId="77777777" w:rsidR="00DF3C8B" w:rsidRPr="00A617AC" w:rsidRDefault="00DF3C8B" w:rsidP="00DF3C8B">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r>
        <w:rPr>
          <w:rFonts w:ascii="Verdana" w:hAnsi="Verdana" w:cs="Arial"/>
          <w:color w:val="000000" w:themeColor="text1"/>
          <w:sz w:val="16"/>
          <w:szCs w:val="16"/>
        </w:rPr>
        <w:t>”</w:t>
      </w:r>
      <w:r w:rsidRPr="00A617AC">
        <w:rPr>
          <w:rFonts w:ascii="Verdana" w:hAnsi="Verdana" w:cs="Arial"/>
          <w:color w:val="000000" w:themeColor="text1"/>
          <w:sz w:val="16"/>
          <w:szCs w:val="16"/>
        </w:rPr>
        <w:t>.</w:t>
      </w:r>
    </w:p>
    <w:p w14:paraId="6AC81968" w14:textId="77777777" w:rsidR="00DF3C8B" w:rsidRPr="00A617AC" w:rsidRDefault="00DF3C8B" w:rsidP="00DF3C8B">
      <w:pPr>
        <w:pStyle w:val="Textonotapie"/>
        <w:ind w:firstLine="709"/>
        <w:jc w:val="both"/>
        <w:rPr>
          <w:rFonts w:ascii="Verdana" w:hAnsi="Verdana" w:cs="Arial"/>
          <w:color w:val="000000" w:themeColor="text1"/>
          <w:sz w:val="16"/>
          <w:szCs w:val="16"/>
          <w:lang w:val="es-CO"/>
        </w:rPr>
      </w:pPr>
    </w:p>
  </w:footnote>
  <w:footnote w:id="5">
    <w:p w14:paraId="19839D80" w14:textId="77777777" w:rsidR="00DF3C8B" w:rsidRPr="00A617AC" w:rsidRDefault="00DF3C8B" w:rsidP="00DF3C8B">
      <w:pPr>
        <w:pStyle w:val="Textonotapie"/>
        <w:ind w:firstLine="709"/>
        <w:jc w:val="both"/>
        <w:rPr>
          <w:rFonts w:ascii="Verdana" w:hAnsi="Verdana" w:cs="Arial"/>
          <w:color w:val="000000" w:themeColor="text1"/>
          <w:sz w:val="16"/>
          <w:szCs w:val="16"/>
        </w:rPr>
      </w:pPr>
      <w:r w:rsidRPr="00A617AC">
        <w:rPr>
          <w:rFonts w:ascii="Verdana" w:eastAsia="Times New Roman" w:hAnsi="Verdana" w:cs="Arial"/>
          <w:color w:val="000000" w:themeColor="text1"/>
          <w:sz w:val="16"/>
          <w:szCs w:val="16"/>
          <w:vertAlign w:val="superscript"/>
          <w:lang w:val="es-ES" w:eastAsia="es-ES"/>
        </w:rPr>
        <w:footnoteRef/>
      </w:r>
      <w:r w:rsidRPr="00A617AC">
        <w:rPr>
          <w:rFonts w:ascii="Verdana" w:eastAsia="Times New Roman" w:hAnsi="Verdana" w:cs="Arial"/>
          <w:color w:val="000000" w:themeColor="text1"/>
          <w:sz w:val="16"/>
          <w:szCs w:val="16"/>
          <w:vertAlign w:val="superscript"/>
          <w:lang w:val="es-ES" w:eastAsia="es-ES"/>
        </w:rPr>
        <w:t xml:space="preserve"> </w:t>
      </w:r>
      <w:r>
        <w:rPr>
          <w:rFonts w:ascii="Verdana" w:eastAsia="Times New Roman" w:hAnsi="Verdana" w:cs="Arial"/>
          <w:color w:val="000000" w:themeColor="text1"/>
          <w:sz w:val="16"/>
          <w:szCs w:val="16"/>
          <w:lang w:val="es-ES" w:eastAsia="es-ES"/>
        </w:rPr>
        <w:t>“</w:t>
      </w:r>
      <w:r w:rsidRPr="00A617AC">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693DEE92" w14:textId="77777777" w:rsidR="00DF3C8B" w:rsidRPr="00A617AC" w:rsidRDefault="00DF3C8B" w:rsidP="00DF3C8B">
      <w:pPr>
        <w:pStyle w:val="Textonotapie"/>
        <w:ind w:firstLine="709"/>
        <w:jc w:val="both"/>
        <w:rPr>
          <w:rFonts w:ascii="Verdana" w:eastAsia="Times New Roman" w:hAnsi="Verdana" w:cs="Arial"/>
          <w:color w:val="000000" w:themeColor="text1"/>
          <w:sz w:val="16"/>
          <w:szCs w:val="16"/>
          <w:lang w:val="es-ES" w:eastAsia="es-ES"/>
        </w:rPr>
      </w:pPr>
      <w:r w:rsidRPr="00A617AC">
        <w:rPr>
          <w:rFonts w:ascii="Verdana" w:hAnsi="Verdana" w:cs="Arial"/>
          <w:color w:val="000000" w:themeColor="text1"/>
          <w:sz w:val="16"/>
          <w:szCs w:val="16"/>
        </w:rPr>
        <w:t>[…].</w:t>
      </w:r>
    </w:p>
    <w:p w14:paraId="07F6444A" w14:textId="77777777" w:rsidR="00DF3C8B" w:rsidRPr="00A617AC" w:rsidRDefault="00DF3C8B" w:rsidP="00DF3C8B">
      <w:pPr>
        <w:pStyle w:val="Textonotapie"/>
        <w:ind w:firstLine="709"/>
        <w:jc w:val="both"/>
        <w:rPr>
          <w:rFonts w:ascii="Verdana" w:eastAsia="Times New Roman" w:hAnsi="Verdana" w:cs="Arial"/>
          <w:color w:val="000000" w:themeColor="text1"/>
          <w:sz w:val="16"/>
          <w:szCs w:val="16"/>
          <w:lang w:val="es-ES" w:eastAsia="es-ES"/>
        </w:rPr>
      </w:pPr>
      <w:r w:rsidRPr="00A617AC">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r>
        <w:rPr>
          <w:rFonts w:ascii="Verdana" w:eastAsia="Times New Roman" w:hAnsi="Verdana" w:cs="Arial"/>
          <w:color w:val="000000" w:themeColor="text1"/>
          <w:sz w:val="16"/>
          <w:szCs w:val="16"/>
          <w:lang w:val="es-ES" w:eastAsia="es-ES"/>
        </w:rPr>
        <w:t>”</w:t>
      </w:r>
      <w:r w:rsidRPr="00A617AC">
        <w:rPr>
          <w:rFonts w:ascii="Verdana" w:eastAsia="Times New Roman" w:hAnsi="Verdana" w:cs="Arial"/>
          <w:color w:val="000000" w:themeColor="text1"/>
          <w:sz w:val="16"/>
          <w:szCs w:val="16"/>
          <w:lang w:val="es-ES" w:eastAsia="es-ES"/>
        </w:rPr>
        <w:t>.</w:t>
      </w:r>
    </w:p>
    <w:p w14:paraId="0DA677EB" w14:textId="77777777" w:rsidR="00DF3C8B" w:rsidRPr="00A617AC" w:rsidRDefault="00DF3C8B" w:rsidP="00DF3C8B">
      <w:pPr>
        <w:pStyle w:val="Textonotapie"/>
        <w:ind w:firstLine="709"/>
        <w:jc w:val="both"/>
        <w:rPr>
          <w:rFonts w:ascii="Verdana" w:eastAsia="Times New Roman" w:hAnsi="Verdana" w:cs="Arial"/>
          <w:color w:val="000000" w:themeColor="text1"/>
          <w:sz w:val="16"/>
          <w:szCs w:val="16"/>
          <w:lang w:val="es-ES" w:eastAsia="es-ES"/>
        </w:rPr>
      </w:pPr>
    </w:p>
  </w:footnote>
  <w:footnote w:id="6">
    <w:p w14:paraId="46532C37" w14:textId="77777777" w:rsidR="00DF3C8B" w:rsidRPr="00A617AC" w:rsidRDefault="00DF3C8B" w:rsidP="00DF3C8B">
      <w:pPr>
        <w:pStyle w:val="Textonotapie"/>
        <w:ind w:firstLine="709"/>
        <w:jc w:val="both"/>
        <w:rPr>
          <w:rFonts w:ascii="Verdana" w:hAnsi="Verdana" w:cs="Arial"/>
          <w:color w:val="000000"/>
          <w:sz w:val="16"/>
          <w:szCs w:val="16"/>
        </w:rPr>
      </w:pPr>
      <w:r w:rsidRPr="00A617AC">
        <w:rPr>
          <w:rStyle w:val="Refdenotaalpie"/>
          <w:rFonts w:ascii="Verdana" w:hAnsi="Verdana" w:cs="Arial"/>
          <w:color w:val="000000"/>
          <w:sz w:val="16"/>
          <w:szCs w:val="16"/>
        </w:rPr>
        <w:footnoteRef/>
      </w:r>
      <w:r w:rsidRPr="00A617AC">
        <w:rPr>
          <w:rFonts w:ascii="Verdana" w:hAnsi="Verdana" w:cs="Arial"/>
          <w:color w:val="000000"/>
          <w:sz w:val="16"/>
          <w:szCs w:val="16"/>
        </w:rPr>
        <w:t xml:space="preserve"> C</w:t>
      </w:r>
      <w:r w:rsidRPr="00A617AC">
        <w:rPr>
          <w:rFonts w:ascii="Verdana" w:eastAsia="Times New Roman" w:hAnsi="Verdana" w:cs="Arial"/>
          <w:color w:val="000000"/>
          <w:sz w:val="16"/>
          <w:szCs w:val="16"/>
          <w:lang w:val="es-ES" w:eastAsia="es-ES"/>
        </w:rPr>
        <w:t>ORTE CONSTITUCIONAL. Sentencia C‒274 de 9 de mayo de 2013. M.P. Mar</w:t>
      </w:r>
      <w:r w:rsidRPr="00A617AC">
        <w:rPr>
          <w:rFonts w:ascii="Verdana" w:eastAsia="Times New Roman" w:hAnsi="Verdana" w:cs="Century Gothic"/>
          <w:color w:val="000000"/>
          <w:sz w:val="16"/>
          <w:szCs w:val="16"/>
          <w:lang w:val="es-ES" w:eastAsia="es-ES"/>
        </w:rPr>
        <w:t>í</w:t>
      </w:r>
      <w:r w:rsidRPr="00A617AC">
        <w:rPr>
          <w:rFonts w:ascii="Verdana" w:eastAsia="Times New Roman" w:hAnsi="Verdana" w:cs="Arial"/>
          <w:color w:val="000000"/>
          <w:sz w:val="16"/>
          <w:szCs w:val="16"/>
          <w:lang w:val="es-ES" w:eastAsia="es-ES"/>
        </w:rPr>
        <w:t xml:space="preserve">a Victoria Calle Correa. </w:t>
      </w:r>
    </w:p>
    <w:p w14:paraId="7FD41C82" w14:textId="77777777" w:rsidR="00DF3C8B" w:rsidRPr="00A617AC" w:rsidRDefault="00DF3C8B" w:rsidP="00DF3C8B">
      <w:pPr>
        <w:pStyle w:val="Textonotapie"/>
        <w:ind w:firstLine="709"/>
        <w:jc w:val="both"/>
        <w:rPr>
          <w:rFonts w:ascii="Verdana" w:hAnsi="Verdana" w:cs="Arial"/>
          <w:color w:val="000000"/>
          <w:sz w:val="16"/>
          <w:szCs w:val="16"/>
          <w:lang w:val="es-CO"/>
        </w:rPr>
      </w:pPr>
    </w:p>
  </w:footnote>
  <w:footnote w:id="7">
    <w:p w14:paraId="0756A1F7" w14:textId="77777777" w:rsidR="00DF3C8B" w:rsidRPr="00A617AC" w:rsidRDefault="00DF3C8B" w:rsidP="00DF3C8B">
      <w:pPr>
        <w:pStyle w:val="Textonotapie"/>
        <w:ind w:firstLine="708"/>
        <w:jc w:val="both"/>
        <w:rPr>
          <w:rFonts w:ascii="Verdana" w:hAnsi="Verdana" w:cs="Arial"/>
          <w:color w:val="000000"/>
          <w:sz w:val="16"/>
          <w:szCs w:val="16"/>
        </w:rPr>
      </w:pPr>
      <w:r w:rsidRPr="00A617AC">
        <w:rPr>
          <w:rStyle w:val="Refdenotaalpie"/>
          <w:rFonts w:ascii="Verdana" w:hAnsi="Verdana" w:cs="Arial"/>
          <w:color w:val="000000"/>
          <w:sz w:val="16"/>
          <w:szCs w:val="16"/>
        </w:rPr>
        <w:footnoteRef/>
      </w:r>
      <w:r w:rsidRPr="00A617AC">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2190223A" w14:textId="77777777" w:rsidR="00DF3C8B" w:rsidRPr="00A617AC" w:rsidRDefault="00DF3C8B" w:rsidP="00DF3C8B">
      <w:pPr>
        <w:pStyle w:val="Textonotapie"/>
        <w:ind w:firstLine="708"/>
        <w:jc w:val="both"/>
        <w:rPr>
          <w:rFonts w:ascii="Verdana" w:hAnsi="Verdana" w:cs="Arial"/>
          <w:color w:val="000000"/>
          <w:sz w:val="16"/>
          <w:szCs w:val="16"/>
        </w:rPr>
      </w:pPr>
      <w:r w:rsidRPr="00A97281">
        <w:rPr>
          <w:rStyle w:val="Refdenotaalpie"/>
        </w:rPr>
        <w:t>8</w:t>
      </w:r>
      <w:r w:rsidRPr="00A617AC">
        <w:rPr>
          <w:rFonts w:ascii="Verdana" w:hAnsi="Verdana" w:cs="Arial"/>
          <w:color w:val="000000"/>
          <w:sz w:val="16"/>
          <w:szCs w:val="16"/>
        </w:rPr>
        <w:t>.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8">
    <w:p w14:paraId="317DC5F7" w14:textId="77777777" w:rsidR="00DF3C8B" w:rsidRPr="00577E43" w:rsidRDefault="00DF3C8B" w:rsidP="00DF3C8B">
      <w:pPr>
        <w:spacing w:after="0" w:line="240" w:lineRule="auto"/>
        <w:ind w:firstLine="709"/>
        <w:jc w:val="both"/>
        <w:rPr>
          <w:rFonts w:ascii="Verdana" w:hAnsi="Verdana" w:cs="Arial"/>
          <w:color w:val="000000" w:themeColor="text1"/>
          <w:sz w:val="16"/>
          <w:szCs w:val="16"/>
        </w:rPr>
      </w:pPr>
      <w:r w:rsidRPr="005867CF">
        <w:rPr>
          <w:rFonts w:ascii="Verdana" w:hAnsi="Verdana" w:cs="Arial"/>
          <w:color w:val="000000" w:themeColor="text1"/>
          <w:sz w:val="15"/>
          <w:szCs w:val="15"/>
          <w:vertAlign w:val="superscript"/>
        </w:rPr>
        <w:footnoteRef/>
      </w:r>
      <w:r w:rsidRPr="005867CF">
        <w:rPr>
          <w:rFonts w:ascii="Verdana" w:hAnsi="Verdana" w:cs="Arial"/>
          <w:color w:val="000000" w:themeColor="text1"/>
          <w:sz w:val="15"/>
          <w:szCs w:val="15"/>
        </w:rPr>
        <w:t xml:space="preserve"> </w:t>
      </w:r>
      <w:r>
        <w:rPr>
          <w:rFonts w:ascii="Verdana" w:hAnsi="Verdana" w:cs="Arial"/>
          <w:color w:val="000000" w:themeColor="text1"/>
          <w:sz w:val="15"/>
          <w:szCs w:val="15"/>
        </w:rPr>
        <w:t>CONSEJO DE ESTADO.</w:t>
      </w:r>
      <w:r w:rsidRPr="005867CF">
        <w:rPr>
          <w:rFonts w:ascii="Verdana" w:hAnsi="Verdana" w:cs="Arial"/>
          <w:color w:val="000000" w:themeColor="text1"/>
          <w:sz w:val="15"/>
          <w:szCs w:val="15"/>
        </w:rPr>
        <w:t xml:space="preserve"> Sala de Consulta y Servicio Civil, en concepto del 8 de marzo de 2017, radicado No. 2298, y con ponencia del Consejero Édgar González, manifestó respecto del trámite del cierre del expediente del </w:t>
      </w:r>
      <w:r w:rsidRPr="00577E43">
        <w:rPr>
          <w:rFonts w:ascii="Verdana" w:hAnsi="Verdana" w:cs="Arial"/>
          <w:color w:val="000000" w:themeColor="text1"/>
          <w:sz w:val="16"/>
          <w:szCs w:val="16"/>
        </w:rPr>
        <w:t>Proceso de Contratación que: “[…] procede cuando se ha efectuado la liquidación del contrato, a efectos de dejar las constancias sobre el vencimiento de las garantías y la condición de los bienes y obras desde la perspectiva ambiental, y también en los casos en los cuales no se haya efectuado dicha liquidación, a efectos de dejar constancia sobre el punto final de la actuación contractual”.</w:t>
      </w:r>
    </w:p>
    <w:p w14:paraId="412065BA" w14:textId="77777777" w:rsidR="00DF3C8B" w:rsidRPr="00577E43" w:rsidRDefault="00DF3C8B" w:rsidP="00DF3C8B">
      <w:pPr>
        <w:spacing w:after="0" w:line="240" w:lineRule="auto"/>
        <w:ind w:firstLine="709"/>
        <w:jc w:val="both"/>
        <w:rPr>
          <w:rFonts w:ascii="Verdana" w:hAnsi="Verdana" w:cs="Arial"/>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E36479"/>
    <w:multiLevelType w:val="hybridMultilevel"/>
    <w:tmpl w:val="BAEC765C"/>
    <w:lvl w:ilvl="0" w:tplc="05CA8B0C">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9"/>
  </w:num>
  <w:num w:numId="17" w16cid:durableId="12910913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CDC"/>
    <w:rsid w:val="00016F78"/>
    <w:rsid w:val="00046945"/>
    <w:rsid w:val="00061B2A"/>
    <w:rsid w:val="00082362"/>
    <w:rsid w:val="000A683E"/>
    <w:rsid w:val="000B19B9"/>
    <w:rsid w:val="000C7A60"/>
    <w:rsid w:val="000D0334"/>
    <w:rsid w:val="000D07CE"/>
    <w:rsid w:val="000D5DA7"/>
    <w:rsid w:val="000F6486"/>
    <w:rsid w:val="00116940"/>
    <w:rsid w:val="00125105"/>
    <w:rsid w:val="00127233"/>
    <w:rsid w:val="00152B60"/>
    <w:rsid w:val="0015699B"/>
    <w:rsid w:val="001A33BF"/>
    <w:rsid w:val="001A7853"/>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253E7"/>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57EA7"/>
    <w:rsid w:val="00574867"/>
    <w:rsid w:val="00591460"/>
    <w:rsid w:val="005A65E0"/>
    <w:rsid w:val="005C3777"/>
    <w:rsid w:val="005C5CDC"/>
    <w:rsid w:val="005D476C"/>
    <w:rsid w:val="00600D48"/>
    <w:rsid w:val="006137A4"/>
    <w:rsid w:val="006200BF"/>
    <w:rsid w:val="006219F8"/>
    <w:rsid w:val="006302F7"/>
    <w:rsid w:val="00646B9F"/>
    <w:rsid w:val="00665D70"/>
    <w:rsid w:val="006900D9"/>
    <w:rsid w:val="00706C16"/>
    <w:rsid w:val="007340C3"/>
    <w:rsid w:val="0075235A"/>
    <w:rsid w:val="00752D92"/>
    <w:rsid w:val="00756841"/>
    <w:rsid w:val="007649AB"/>
    <w:rsid w:val="00771D0C"/>
    <w:rsid w:val="007833AC"/>
    <w:rsid w:val="007B268C"/>
    <w:rsid w:val="007B7171"/>
    <w:rsid w:val="007C0C0F"/>
    <w:rsid w:val="007C3DC2"/>
    <w:rsid w:val="007E5497"/>
    <w:rsid w:val="008050F6"/>
    <w:rsid w:val="00806F5F"/>
    <w:rsid w:val="00820278"/>
    <w:rsid w:val="008258C9"/>
    <w:rsid w:val="00844AE9"/>
    <w:rsid w:val="00867F95"/>
    <w:rsid w:val="008843B6"/>
    <w:rsid w:val="00891928"/>
    <w:rsid w:val="008A446D"/>
    <w:rsid w:val="008B25F1"/>
    <w:rsid w:val="008D180B"/>
    <w:rsid w:val="008F0EA7"/>
    <w:rsid w:val="008F5153"/>
    <w:rsid w:val="00923EEF"/>
    <w:rsid w:val="009419F9"/>
    <w:rsid w:val="009468EC"/>
    <w:rsid w:val="0095685E"/>
    <w:rsid w:val="00961B09"/>
    <w:rsid w:val="00965334"/>
    <w:rsid w:val="0097093E"/>
    <w:rsid w:val="009733F1"/>
    <w:rsid w:val="009862B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7956"/>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49C4"/>
    <w:rsid w:val="00CE606F"/>
    <w:rsid w:val="00D361FD"/>
    <w:rsid w:val="00D423A2"/>
    <w:rsid w:val="00D44E26"/>
    <w:rsid w:val="00D520D8"/>
    <w:rsid w:val="00D63AC2"/>
    <w:rsid w:val="00D7383B"/>
    <w:rsid w:val="00D7788A"/>
    <w:rsid w:val="00DA231B"/>
    <w:rsid w:val="00DC39FC"/>
    <w:rsid w:val="00DF3C8B"/>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7C10"/>
    <w:rsid w:val="00F23FEA"/>
    <w:rsid w:val="00F31EDC"/>
    <w:rsid w:val="00F462B3"/>
    <w:rsid w:val="00F5664F"/>
    <w:rsid w:val="00F666C4"/>
    <w:rsid w:val="00F76AFC"/>
    <w:rsid w:val="00F918E3"/>
    <w:rsid w:val="00F95FBC"/>
    <w:rsid w:val="00FA47C0"/>
    <w:rsid w:val="00FB5DD1"/>
    <w:rsid w:val="00FC2B5D"/>
    <w:rsid w:val="00FF1449"/>
    <w:rsid w:val="00FF7963"/>
    <w:rsid w:val="071B8F93"/>
    <w:rsid w:val="09908A09"/>
    <w:rsid w:val="0FF4CCA8"/>
    <w:rsid w:val="13CFC91B"/>
    <w:rsid w:val="19A2EC2C"/>
    <w:rsid w:val="2859CA1B"/>
    <w:rsid w:val="32A4F9CF"/>
    <w:rsid w:val="356CEDFD"/>
    <w:rsid w:val="41EAB120"/>
    <w:rsid w:val="46F87643"/>
    <w:rsid w:val="61944BBD"/>
    <w:rsid w:val="69614A15"/>
    <w:rsid w:val="72BFB149"/>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AA9CABC-5AE7-4FE6-97A1-B005E5804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F3C8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F3C8B"/>
    <w:rPr>
      <w:rFonts w:ascii="Geomanist Light" w:hAnsi="Geomanist Light"/>
      <w:lang w:val="es-ES"/>
    </w:rPr>
  </w:style>
  <w:style w:type="character" w:customStyle="1" w:styleId="s15">
    <w:name w:val="s15"/>
    <w:basedOn w:val="Fuentedeprrafopredeter"/>
    <w:rsid w:val="00DF3C8B"/>
  </w:style>
  <w:style w:type="character" w:customStyle="1" w:styleId="apple-converted-space">
    <w:name w:val="apple-converted-space"/>
    <w:basedOn w:val="Fuentedeprrafopredeter"/>
    <w:rsid w:val="00DF3C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martinez@artesaniasdecolombia.com.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934745-13B1-40AC-9D46-627E72E267BB}"/>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14</Pages>
  <Words>4580</Words>
  <Characters>25377</Characters>
  <Application>Microsoft Office Word</Application>
  <DocSecurity>0</DocSecurity>
  <Lines>497</Lines>
  <Paragraphs>112</Paragraphs>
  <ScaleCrop>false</ScaleCrop>
  <Company/>
  <LinksUpToDate>false</LinksUpToDate>
  <CharactersWithSpaces>29845</CharactersWithSpaces>
  <SharedDoc>false</SharedDoc>
  <HLinks>
    <vt:vector size="18" baseType="variant">
      <vt:variant>
        <vt:i4>3276900</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589950</vt:i4>
      </vt:variant>
      <vt:variant>
        <vt:i4>0</vt:i4>
      </vt:variant>
      <vt:variant>
        <vt:i4>0</vt:i4>
      </vt:variant>
      <vt:variant>
        <vt:i4>5</vt:i4>
      </vt:variant>
      <vt:variant>
        <vt:lpwstr>mailto:lmartinez@artesaniasdecolombia.com.co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6</cp:revision>
  <cp:lastPrinted>2023-01-10T21:18:00Z</cp:lastPrinted>
  <dcterms:created xsi:type="dcterms:W3CDTF">2026-01-14T20:49:00Z</dcterms:created>
  <dcterms:modified xsi:type="dcterms:W3CDTF">2026-01-14T21:24:00Z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