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A17037" w14:textId="77777777" w:rsidR="0046584A" w:rsidRPr="00396DBB" w:rsidRDefault="0046584A" w:rsidP="0046584A">
      <w:pPr>
        <w:pStyle w:val="Textoindependiente"/>
        <w:spacing w:after="0" w:line="240" w:lineRule="auto"/>
        <w:ind w:right="102"/>
        <w:jc w:val="both"/>
        <w:rPr>
          <w:rFonts w:ascii="Verdana" w:hAnsi="Verdana" w:cs="Arial"/>
          <w:b/>
          <w:color w:val="000000" w:themeColor="text1"/>
          <w:lang w:val="es-ES_tradnl"/>
        </w:rPr>
      </w:pPr>
      <w:r>
        <w:rPr>
          <w:rFonts w:ascii="Verdana" w:hAnsi="Verdana" w:cs="Arial"/>
          <w:b/>
          <w:color w:val="000000" w:themeColor="text1"/>
          <w:lang w:val="es-ES_tradnl"/>
        </w:rPr>
        <w:t>CONTRATACIÓN DIRECTA</w:t>
      </w:r>
      <w:r w:rsidRPr="00A07A23">
        <w:rPr>
          <w:rFonts w:ascii="Verdana" w:hAnsi="Verdana" w:cs="Arial"/>
          <w:b/>
          <w:color w:val="000000" w:themeColor="text1"/>
          <w:lang w:val="es-ES_tradnl"/>
        </w:rPr>
        <w:t xml:space="preserve"> – </w:t>
      </w:r>
      <w:r>
        <w:rPr>
          <w:rFonts w:ascii="Verdana" w:hAnsi="Verdana" w:cs="Arial"/>
          <w:b/>
          <w:color w:val="000000" w:themeColor="text1"/>
          <w:lang w:val="es-ES_tradnl"/>
        </w:rPr>
        <w:t>Libre concurrencia – Excepciones – Causales – Interpretación estricta</w:t>
      </w:r>
    </w:p>
    <w:p w14:paraId="255AC9C5" w14:textId="77777777" w:rsidR="0046584A" w:rsidRPr="00396DBB" w:rsidRDefault="0046584A" w:rsidP="0046584A">
      <w:pPr>
        <w:pStyle w:val="Textoindependiente"/>
        <w:spacing w:after="0" w:line="240" w:lineRule="auto"/>
        <w:ind w:right="102"/>
        <w:jc w:val="both"/>
        <w:rPr>
          <w:rFonts w:ascii="Verdana" w:hAnsi="Verdana" w:cs="Arial"/>
          <w:color w:val="000000" w:themeColor="text1"/>
          <w:sz w:val="20"/>
          <w:szCs w:val="20"/>
          <w:lang w:val="es-ES_tradnl"/>
        </w:rPr>
      </w:pPr>
    </w:p>
    <w:p w14:paraId="26FB519A" w14:textId="77777777" w:rsidR="0046584A" w:rsidRDefault="0046584A" w:rsidP="0046584A">
      <w:pPr>
        <w:pStyle w:val="Textoindependiente"/>
        <w:spacing w:after="0" w:line="240" w:lineRule="auto"/>
        <w:ind w:right="102"/>
        <w:jc w:val="both"/>
        <w:rPr>
          <w:rFonts w:ascii="Verdana" w:eastAsia="Arial" w:hAnsi="Verdana" w:cs="Arial"/>
          <w:color w:val="000000" w:themeColor="text1"/>
          <w:sz w:val="20"/>
          <w:szCs w:val="20"/>
          <w:lang w:val="es-ES"/>
        </w:rPr>
      </w:pPr>
      <w:r>
        <w:rPr>
          <w:rFonts w:ascii="Verdana" w:eastAsia="Arial" w:hAnsi="Verdana" w:cs="Arial"/>
          <w:color w:val="000000" w:themeColor="text1"/>
          <w:sz w:val="20"/>
          <w:szCs w:val="20"/>
          <w:lang w:val="es-ES"/>
        </w:rPr>
        <w:t>L</w:t>
      </w:r>
      <w:r w:rsidRPr="00EF19E6">
        <w:rPr>
          <w:rFonts w:ascii="Verdana" w:eastAsia="Arial" w:hAnsi="Verdana" w:cs="Arial"/>
          <w:color w:val="000000" w:themeColor="text1"/>
          <w:sz w:val="20"/>
          <w:szCs w:val="20"/>
          <w:lang w:val="es-ES"/>
        </w:rPr>
        <w:t>a contratación directa es una excepción al principio de libre concurrencia y competencia, que se aplica en los procesos de contratación, para que cualquier persona interesada en satisfacer la necesidad de una entidad pueda presentar una oferta. Por ello, es de aplicación restrictiva, esto es, solo procede por las causales señaladas taxativamente en el numeral 4 del artículo 2 de la Ley 1150 de 2007. En tal sentido, su aplicación no puede efectuarse por fuera del contenido normativo citado, ni operar más allá de lo que la misma norma dispone, dentro del contexto del ordenamiento jurídico de la contratación estatal.</w:t>
      </w:r>
    </w:p>
    <w:p w14:paraId="12763BEB" w14:textId="77777777" w:rsidR="0046584A" w:rsidRPr="00B56E33" w:rsidRDefault="0046584A" w:rsidP="0046584A">
      <w:pPr>
        <w:spacing w:after="0"/>
        <w:rPr>
          <w:rFonts w:ascii="Verdana" w:eastAsia="Calibri" w:hAnsi="Verdana" w:cs="Arial"/>
          <w:b/>
          <w:bCs/>
          <w:color w:val="EE0000"/>
          <w:lang w:val="es-ES"/>
        </w:rPr>
      </w:pPr>
    </w:p>
    <w:p w14:paraId="5CE557F9" w14:textId="77777777" w:rsidR="0046584A" w:rsidRPr="00396DBB" w:rsidRDefault="0046584A" w:rsidP="0046584A">
      <w:pPr>
        <w:pStyle w:val="Textoindependiente"/>
        <w:spacing w:after="0" w:line="240" w:lineRule="auto"/>
        <w:ind w:right="102"/>
        <w:jc w:val="both"/>
        <w:rPr>
          <w:rFonts w:ascii="Verdana" w:hAnsi="Verdana" w:cs="Arial"/>
          <w:b/>
          <w:color w:val="000000" w:themeColor="text1"/>
          <w:lang w:val="es-ES_tradnl"/>
        </w:rPr>
      </w:pPr>
      <w:r w:rsidRPr="00A07A23">
        <w:rPr>
          <w:rFonts w:ascii="Verdana" w:hAnsi="Verdana" w:cs="Arial"/>
          <w:b/>
          <w:color w:val="000000" w:themeColor="text1"/>
          <w:lang w:val="es-ES_tradnl"/>
        </w:rPr>
        <w:t>URGENCIA MANIFIESTA – Definición – Causal – Contratación directa</w:t>
      </w:r>
      <w:r w:rsidRPr="00396DBB">
        <w:rPr>
          <w:rFonts w:ascii="Verdana" w:hAnsi="Verdana" w:cs="Arial"/>
          <w:b/>
          <w:color w:val="000000" w:themeColor="text1"/>
          <w:lang w:val="es-ES_tradnl"/>
        </w:rPr>
        <w:t xml:space="preserve"> </w:t>
      </w:r>
    </w:p>
    <w:p w14:paraId="656CCEBC" w14:textId="77777777" w:rsidR="0046584A" w:rsidRPr="00396DBB" w:rsidRDefault="0046584A" w:rsidP="0046584A">
      <w:pPr>
        <w:pStyle w:val="Textoindependiente"/>
        <w:spacing w:after="0" w:line="240" w:lineRule="auto"/>
        <w:ind w:right="102"/>
        <w:jc w:val="both"/>
        <w:rPr>
          <w:rFonts w:ascii="Verdana" w:hAnsi="Verdana" w:cs="Arial"/>
          <w:color w:val="000000" w:themeColor="text1"/>
          <w:sz w:val="20"/>
          <w:szCs w:val="20"/>
          <w:lang w:val="es-ES_tradnl"/>
        </w:rPr>
      </w:pPr>
    </w:p>
    <w:p w14:paraId="1A43F5FD" w14:textId="77777777" w:rsidR="0046584A" w:rsidRPr="00A07A23" w:rsidRDefault="0046584A" w:rsidP="0046584A">
      <w:pPr>
        <w:spacing w:after="0" w:line="240" w:lineRule="auto"/>
        <w:jc w:val="both"/>
        <w:rPr>
          <w:rFonts w:ascii="Verdana" w:eastAsia="Arial" w:hAnsi="Verdana" w:cs="Arial"/>
          <w:color w:val="000000" w:themeColor="text1"/>
          <w:sz w:val="20"/>
          <w:szCs w:val="20"/>
          <w:lang w:val="es-ES"/>
        </w:rPr>
      </w:pPr>
      <w:r w:rsidRPr="00A07A23">
        <w:rPr>
          <w:rFonts w:ascii="Verdana" w:eastAsia="Arial" w:hAnsi="Verdana" w:cs="Arial"/>
          <w:color w:val="000000" w:themeColor="text1"/>
          <w:sz w:val="20"/>
          <w:szCs w:val="20"/>
          <w:lang w:val="es-ES"/>
        </w:rPr>
        <w:t>Si bien la licitación pública es la modalidad de selección que constituye la regla general para las entidades regidas por el Estatuto General de Contratación de la Administración Pública, el artículo 2.4 de la Ley 1150 de 2007 consagra algunas excepciones, que atienden a la necesidad de proteger principios como la eficiencia, la eficacia, la economía, la celeridad o la integridad de las personas. Una de las excepciones es la causal de contratación directa prevista en el literal a) del mencionado numeral, denominada por la ley como “urgencia manifiesta”. Esta causal debe leerse en concordancia con los artículos 42 de la Ley 80 de 1993, que define el concepto y establece el procedimiento para su declaratoria, así como para la celebración de los contratos que se derivan de aquella.</w:t>
      </w:r>
    </w:p>
    <w:p w14:paraId="3C40AFC5" w14:textId="77777777" w:rsidR="0046584A" w:rsidRPr="00A07A23" w:rsidRDefault="0046584A" w:rsidP="0046584A">
      <w:pPr>
        <w:spacing w:after="0" w:line="240" w:lineRule="auto"/>
        <w:jc w:val="both"/>
        <w:rPr>
          <w:rFonts w:ascii="Verdana" w:eastAsia="Arial" w:hAnsi="Verdana" w:cs="Arial"/>
          <w:color w:val="000000" w:themeColor="text1"/>
          <w:sz w:val="20"/>
          <w:szCs w:val="20"/>
          <w:lang w:val="es-ES"/>
        </w:rPr>
      </w:pPr>
    </w:p>
    <w:p w14:paraId="18A3EFA3" w14:textId="77777777" w:rsidR="0046584A" w:rsidRPr="00A07A23" w:rsidRDefault="0046584A" w:rsidP="0046584A">
      <w:pPr>
        <w:spacing w:after="0" w:line="240" w:lineRule="auto"/>
        <w:jc w:val="both"/>
        <w:rPr>
          <w:rFonts w:ascii="Verdana" w:eastAsia="Arial" w:hAnsi="Verdana" w:cs="Arial"/>
          <w:color w:val="000000" w:themeColor="text1"/>
          <w:sz w:val="20"/>
          <w:szCs w:val="20"/>
          <w:lang w:val="es-ES"/>
        </w:rPr>
      </w:pPr>
      <w:r w:rsidRPr="00A07A23">
        <w:rPr>
          <w:rFonts w:ascii="Verdana" w:eastAsia="Arial" w:hAnsi="Verdana" w:cs="Arial"/>
          <w:color w:val="000000" w:themeColor="text1"/>
          <w:sz w:val="20"/>
          <w:szCs w:val="20"/>
          <w:lang w:val="es-ES"/>
        </w:rPr>
        <w:t xml:space="preserve">De esta manera, el artículo 42 de la Ley 80 define la urgencia manifiesta como una circunstancia que exige, con carácter apremiante, preservar la continuidad del servicio, cuando se afecta por situaciones de fuerza mayor, desastres, calamidades o hechos relacionados con los estados de excepción. No en vano, para la doctrina, las situaciones de urgencia manifiesta deben ser concretas, inmediatas, objetivas y probadas, pues se trata de circunstancias de hecho actuales, debidamente acreditadas y fundadas por estudios técnicos, verificadas por la autoridad competente. </w:t>
      </w:r>
    </w:p>
    <w:p w14:paraId="642CF63C" w14:textId="77777777" w:rsidR="0046584A" w:rsidRPr="00A07A23" w:rsidRDefault="0046584A" w:rsidP="0046584A">
      <w:pPr>
        <w:spacing w:after="0" w:line="240" w:lineRule="auto"/>
        <w:jc w:val="both"/>
        <w:rPr>
          <w:rFonts w:ascii="Verdana" w:eastAsia="Arial" w:hAnsi="Verdana" w:cs="Arial"/>
          <w:color w:val="000000" w:themeColor="text1"/>
          <w:sz w:val="20"/>
          <w:szCs w:val="20"/>
          <w:lang w:val="es-ES"/>
        </w:rPr>
      </w:pPr>
    </w:p>
    <w:p w14:paraId="2BEF5A94" w14:textId="77777777" w:rsidR="0046584A" w:rsidRPr="00FB1576" w:rsidRDefault="0046584A" w:rsidP="0046584A">
      <w:pPr>
        <w:spacing w:after="0" w:line="240" w:lineRule="auto"/>
        <w:jc w:val="both"/>
        <w:rPr>
          <w:rFonts w:ascii="Verdana" w:eastAsia="Arial" w:hAnsi="Verdana" w:cs="Arial"/>
          <w:color w:val="000000" w:themeColor="text1"/>
          <w:sz w:val="20"/>
          <w:szCs w:val="20"/>
        </w:rPr>
      </w:pPr>
      <w:r w:rsidRPr="00A07A23">
        <w:rPr>
          <w:rFonts w:ascii="Verdana" w:eastAsia="Arial" w:hAnsi="Verdana" w:cs="Arial"/>
          <w:color w:val="000000" w:themeColor="text1"/>
          <w:sz w:val="20"/>
          <w:szCs w:val="20"/>
          <w:lang w:val="es-ES"/>
        </w:rPr>
        <w:t>En esos casos excepcionales, que comprometen fines superiores de interés colectivo, con mayor razón son de obligatoria aplicación los objetivos de la contratación administrativa, previstos en el artículo 3 de la Ley 80 de 1993. Esto en la medida que el cumplimiento de los fines estatales, la continua y eficiente prestación de los servicios públicos, y la efectividad de los derechos e intereses de los administrados que colaboran con entidades y organismos del Estado en la consecución de dichos propósitos confieren un fundamento adicional a esta causal de contratación directa</w:t>
      </w:r>
      <w:r w:rsidRPr="00BE364D">
        <w:rPr>
          <w:rFonts w:ascii="Verdana" w:eastAsia="Arial" w:hAnsi="Verdana" w:cs="Arial"/>
          <w:color w:val="000000" w:themeColor="text1"/>
          <w:sz w:val="20"/>
          <w:szCs w:val="20"/>
        </w:rPr>
        <w:t>.</w:t>
      </w:r>
      <w:r w:rsidRPr="00FB1576">
        <w:rPr>
          <w:rFonts w:ascii="Verdana" w:eastAsia="Arial" w:hAnsi="Verdana" w:cs="Arial"/>
          <w:color w:val="000000" w:themeColor="text1"/>
          <w:sz w:val="20"/>
          <w:szCs w:val="20"/>
        </w:rPr>
        <w:t xml:space="preserve"> </w:t>
      </w:r>
    </w:p>
    <w:p w14:paraId="1872A022" w14:textId="77777777" w:rsidR="0046584A" w:rsidRPr="00942368" w:rsidRDefault="0046584A" w:rsidP="0046584A">
      <w:pPr>
        <w:spacing w:after="0" w:line="240" w:lineRule="auto"/>
        <w:rPr>
          <w:rFonts w:ascii="Verdana" w:hAnsi="Verdana"/>
          <w:b/>
          <w:color w:val="EE0000"/>
        </w:rPr>
      </w:pPr>
    </w:p>
    <w:p w14:paraId="0075ECF5" w14:textId="77777777" w:rsidR="0046584A" w:rsidRPr="00396DBB" w:rsidRDefault="0046584A" w:rsidP="0046584A">
      <w:pPr>
        <w:spacing w:after="0" w:line="240" w:lineRule="auto"/>
        <w:jc w:val="both"/>
        <w:rPr>
          <w:rFonts w:ascii="Verdana" w:eastAsia="Calibri" w:hAnsi="Verdana" w:cs="Arial"/>
          <w:b/>
          <w:color w:val="000000" w:themeColor="text1"/>
          <w:lang w:val="es-ES_tradnl"/>
        </w:rPr>
      </w:pPr>
      <w:r w:rsidRPr="00A07A23">
        <w:rPr>
          <w:rFonts w:ascii="Verdana" w:eastAsia="Calibri" w:hAnsi="Verdana" w:cs="Arial"/>
          <w:b/>
          <w:color w:val="000000" w:themeColor="text1"/>
          <w:lang w:val="es-ES_tradnl"/>
        </w:rPr>
        <w:t>CALAMIDAD PÚBLICA Y DESASTRE – Declaración previa</w:t>
      </w:r>
      <w:r>
        <w:rPr>
          <w:rFonts w:ascii="Verdana" w:eastAsia="Calibri" w:hAnsi="Verdana" w:cs="Arial"/>
          <w:b/>
          <w:color w:val="000000" w:themeColor="text1"/>
          <w:lang w:val="es-ES_tradnl"/>
        </w:rPr>
        <w:t xml:space="preserve"> </w:t>
      </w:r>
      <w:r w:rsidRPr="00396DBB">
        <w:rPr>
          <w:rFonts w:ascii="Verdana" w:eastAsia="Calibri" w:hAnsi="Verdana" w:cs="Arial"/>
          <w:b/>
          <w:color w:val="000000" w:themeColor="text1"/>
          <w:lang w:val="es-ES_tradnl"/>
        </w:rPr>
        <w:t xml:space="preserve"> </w:t>
      </w:r>
    </w:p>
    <w:p w14:paraId="471013BF" w14:textId="77777777" w:rsidR="0046584A" w:rsidRPr="00396DBB" w:rsidRDefault="0046584A" w:rsidP="0046584A">
      <w:pPr>
        <w:spacing w:after="0" w:line="240" w:lineRule="auto"/>
        <w:jc w:val="both"/>
        <w:rPr>
          <w:rFonts w:ascii="Verdana" w:eastAsia="Calibri" w:hAnsi="Verdana" w:cs="Arial"/>
          <w:bCs/>
          <w:color w:val="000000" w:themeColor="text1"/>
          <w:sz w:val="20"/>
          <w:szCs w:val="20"/>
          <w:lang w:val="es-ES_tradnl"/>
        </w:rPr>
      </w:pPr>
    </w:p>
    <w:p w14:paraId="4ED26EB0" w14:textId="77777777" w:rsidR="0046584A" w:rsidRPr="00A07A23" w:rsidRDefault="0046584A" w:rsidP="0046584A">
      <w:pPr>
        <w:spacing w:after="0" w:line="240" w:lineRule="auto"/>
        <w:jc w:val="both"/>
        <w:rPr>
          <w:rFonts w:ascii="Verdana" w:hAnsi="Verdana" w:cs="Arial"/>
          <w:color w:val="000000" w:themeColor="text1"/>
          <w:sz w:val="20"/>
          <w:szCs w:val="20"/>
        </w:rPr>
      </w:pPr>
      <w:r w:rsidRPr="00A07A23">
        <w:rPr>
          <w:rFonts w:ascii="Verdana" w:hAnsi="Verdana" w:cs="Arial"/>
          <w:color w:val="000000" w:themeColor="text1"/>
          <w:sz w:val="20"/>
          <w:szCs w:val="20"/>
        </w:rPr>
        <w:t xml:space="preserve">[…] para contratar directamente no basta con la declaración de desastre o de calamidad. Es decir, se necesitan dos (2) actos administrativos concurrentes para que pueda </w:t>
      </w:r>
      <w:r w:rsidRPr="00A07A23">
        <w:rPr>
          <w:rFonts w:ascii="Verdana" w:hAnsi="Verdana" w:cs="Arial"/>
          <w:color w:val="000000" w:themeColor="text1"/>
          <w:sz w:val="20"/>
          <w:szCs w:val="20"/>
        </w:rPr>
        <w:lastRenderedPageBreak/>
        <w:t>contratarse directamente por urgencia manifiesta: i) el primero en el tiempo, la declaración de la situación de calamidad pública o la declaración de la situación de desastre, de conformidad con lo establecido en el Capítulo VI de la Ley 1523 de 2012; y ii) el segundo, la declaración propiamente dicha de “urgencia manifiesta” de que trata el artículo 42 del Estatuto General de Contratación, amparado o fundamentado en la declaración previa del desastre o calamidad.</w:t>
      </w:r>
    </w:p>
    <w:p w14:paraId="79ED353E" w14:textId="77777777" w:rsidR="0046584A" w:rsidRPr="00A07A23" w:rsidRDefault="0046584A" w:rsidP="0046584A">
      <w:pPr>
        <w:spacing w:after="0" w:line="240" w:lineRule="auto"/>
        <w:jc w:val="both"/>
        <w:rPr>
          <w:rFonts w:ascii="Verdana" w:hAnsi="Verdana" w:cs="Arial"/>
          <w:color w:val="000000" w:themeColor="text1"/>
          <w:sz w:val="20"/>
          <w:szCs w:val="20"/>
        </w:rPr>
      </w:pPr>
    </w:p>
    <w:p w14:paraId="1C208D87" w14:textId="77777777" w:rsidR="0046584A" w:rsidRPr="00A07A23" w:rsidRDefault="0046584A" w:rsidP="0046584A">
      <w:pPr>
        <w:spacing w:after="0" w:line="240" w:lineRule="auto"/>
        <w:jc w:val="both"/>
        <w:rPr>
          <w:rFonts w:ascii="Verdana" w:hAnsi="Verdana" w:cs="Arial"/>
          <w:color w:val="000000" w:themeColor="text1"/>
          <w:sz w:val="20"/>
          <w:szCs w:val="20"/>
        </w:rPr>
      </w:pPr>
      <w:r w:rsidRPr="00A07A23">
        <w:rPr>
          <w:rFonts w:ascii="Verdana" w:hAnsi="Verdana" w:cs="Arial"/>
          <w:color w:val="000000" w:themeColor="text1"/>
          <w:sz w:val="20"/>
          <w:szCs w:val="20"/>
        </w:rPr>
        <w:t xml:space="preserve">Sin el primer acto administrativo no es posible expedir el segundo, es decir, para declarar la urgencia manifiesta es imprescindible que el presidente de la república o el gobernador o el alcalde, según el caso, hayan declarado la situación de desastre o la declaración de calamidad. Lo anterior, porque la situación de calamidad pública o la situación de desastre depende tanto de la ocurrencia de los hechos que dan lugar a las mismas como de la declaración del órgano competente, de manera que ninguna se configura a falta de alguna de estas condiciones. </w:t>
      </w:r>
    </w:p>
    <w:p w14:paraId="27E22D37" w14:textId="77777777" w:rsidR="0046584A" w:rsidRPr="00A07A23" w:rsidRDefault="0046584A" w:rsidP="0046584A">
      <w:pPr>
        <w:spacing w:after="0" w:line="240" w:lineRule="auto"/>
        <w:jc w:val="both"/>
        <w:rPr>
          <w:rFonts w:ascii="Verdana" w:hAnsi="Verdana" w:cs="Arial"/>
          <w:color w:val="000000" w:themeColor="text1"/>
          <w:sz w:val="20"/>
          <w:szCs w:val="20"/>
        </w:rPr>
      </w:pPr>
    </w:p>
    <w:p w14:paraId="2AED6129" w14:textId="77777777" w:rsidR="0046584A" w:rsidRPr="00396DBB" w:rsidRDefault="0046584A" w:rsidP="0046584A">
      <w:pPr>
        <w:spacing w:after="0" w:line="240" w:lineRule="auto"/>
        <w:jc w:val="both"/>
        <w:rPr>
          <w:rFonts w:ascii="Verdana" w:hAnsi="Verdana" w:cs="Arial"/>
          <w:color w:val="000000" w:themeColor="text1"/>
          <w:sz w:val="20"/>
          <w:szCs w:val="20"/>
          <w:lang w:val="es-ES_tradnl"/>
        </w:rPr>
      </w:pPr>
      <w:r w:rsidRPr="00A07A23">
        <w:rPr>
          <w:rFonts w:ascii="Verdana" w:hAnsi="Verdana" w:cs="Arial"/>
          <w:color w:val="000000" w:themeColor="text1"/>
          <w:sz w:val="20"/>
          <w:szCs w:val="20"/>
        </w:rPr>
        <w:t>Por lo tanto, como una autoridad diferente al presidente de la república, o al gobernador y el alcalde –por ejemplo, los ministros, directores o presidentes de agencias, directores de establecimientos públicos, de sociedades de economía mixta, etc.–, carece de competencia para declarar cualquiera de estas dos situaciones, deben esperar a que se dicten los actos respectivos para fundamentar la declaración de urgencia manifiesta en la situación de desastre o en la situación de calamidad. Por lo anterior, cuando el artículo 42 de la Ley 80 de 1993 dispone que la urgencia manifiesta se declara –entre otras tres (3) causales– para “[…] conjurar situaciones excepcionales relacionadas con hechos de calamidad o constitutivos de fuerza mayor o desastre que demanden actuaciones inmediatas […]”, las circunstancias de calamidad y desastre deben entenderse en los términos de la Ley 1523 de 2012, en la medida que forman una unidad jurídica completa</w:t>
      </w:r>
      <w:r w:rsidRPr="00BE364D">
        <w:rPr>
          <w:rFonts w:ascii="Verdana" w:hAnsi="Verdana" w:cs="Arial"/>
          <w:color w:val="000000" w:themeColor="text1"/>
          <w:sz w:val="20"/>
          <w:szCs w:val="20"/>
        </w:rPr>
        <w:t>.</w:t>
      </w:r>
    </w:p>
    <w:p w14:paraId="6FB534FD" w14:textId="77777777" w:rsidR="0046584A" w:rsidRDefault="0046584A" w:rsidP="0046584A">
      <w:pPr>
        <w:spacing w:after="0"/>
        <w:rPr>
          <w:rFonts w:ascii="Verdana" w:hAnsi="Verdana" w:cs="Arial"/>
          <w:bCs/>
          <w:color w:val="EE0000"/>
          <w:sz w:val="20"/>
          <w:lang w:val="es-ES_tradnl" w:eastAsia="es-ES"/>
        </w:rPr>
      </w:pPr>
    </w:p>
    <w:p w14:paraId="15BEB89C" w14:textId="77777777" w:rsidR="0046584A" w:rsidRDefault="0046584A" w:rsidP="0046584A">
      <w:pPr>
        <w:spacing w:after="0"/>
        <w:rPr>
          <w:rFonts w:ascii="Verdana" w:hAnsi="Verdana" w:cs="Arial"/>
          <w:bCs/>
          <w:color w:val="EE0000"/>
          <w:sz w:val="20"/>
          <w:lang w:val="es-ES_tradnl" w:eastAsia="es-ES"/>
        </w:rPr>
      </w:pPr>
    </w:p>
    <w:p w14:paraId="50BD0553" w14:textId="77777777" w:rsidR="0046584A" w:rsidRDefault="0046584A" w:rsidP="0046584A">
      <w:pPr>
        <w:spacing w:after="0"/>
        <w:rPr>
          <w:rFonts w:ascii="Verdana" w:hAnsi="Verdana" w:cs="Arial"/>
          <w:bCs/>
          <w:color w:val="EE0000"/>
          <w:sz w:val="20"/>
          <w:lang w:val="es-ES_tradnl" w:eastAsia="es-ES"/>
        </w:rPr>
      </w:pPr>
    </w:p>
    <w:p w14:paraId="7E821405" w14:textId="77777777" w:rsidR="0046584A" w:rsidRDefault="0046584A" w:rsidP="0046584A">
      <w:pPr>
        <w:spacing w:after="0"/>
        <w:rPr>
          <w:rFonts w:ascii="Verdana" w:hAnsi="Verdana" w:cs="Arial"/>
          <w:bCs/>
          <w:color w:val="EE0000"/>
          <w:sz w:val="20"/>
          <w:lang w:val="es-ES_tradnl" w:eastAsia="es-ES"/>
        </w:rPr>
      </w:pPr>
    </w:p>
    <w:p w14:paraId="5F46FFF9" w14:textId="77777777" w:rsidR="0046584A" w:rsidRDefault="0046584A" w:rsidP="0046584A">
      <w:pPr>
        <w:spacing w:after="0"/>
        <w:rPr>
          <w:rFonts w:ascii="Verdana" w:hAnsi="Verdana" w:cs="Arial"/>
          <w:bCs/>
          <w:color w:val="EE0000"/>
          <w:sz w:val="20"/>
          <w:lang w:val="es-ES_tradnl" w:eastAsia="es-ES"/>
        </w:rPr>
      </w:pPr>
    </w:p>
    <w:p w14:paraId="41D6CC8C" w14:textId="77777777" w:rsidR="0046584A" w:rsidRDefault="0046584A" w:rsidP="0046584A">
      <w:pPr>
        <w:spacing w:after="0"/>
        <w:rPr>
          <w:rFonts w:ascii="Verdana" w:hAnsi="Verdana" w:cs="Arial"/>
          <w:bCs/>
          <w:color w:val="EE0000"/>
          <w:sz w:val="20"/>
          <w:lang w:val="es-ES_tradnl" w:eastAsia="es-ES"/>
        </w:rPr>
      </w:pPr>
    </w:p>
    <w:p w14:paraId="6871EF93" w14:textId="77777777" w:rsidR="0046584A" w:rsidRDefault="0046584A" w:rsidP="0046584A">
      <w:pPr>
        <w:spacing w:after="0"/>
        <w:rPr>
          <w:rFonts w:ascii="Verdana" w:hAnsi="Verdana" w:cs="Arial"/>
          <w:bCs/>
          <w:color w:val="EE0000"/>
          <w:sz w:val="20"/>
          <w:lang w:val="es-ES_tradnl" w:eastAsia="es-ES"/>
        </w:rPr>
      </w:pPr>
    </w:p>
    <w:p w14:paraId="7600B6A3" w14:textId="77777777" w:rsidR="0046584A" w:rsidRDefault="0046584A" w:rsidP="0046584A">
      <w:pPr>
        <w:spacing w:after="0"/>
        <w:rPr>
          <w:rFonts w:ascii="Verdana" w:hAnsi="Verdana" w:cs="Arial"/>
          <w:bCs/>
          <w:color w:val="EE0000"/>
          <w:sz w:val="20"/>
          <w:lang w:val="es-ES_tradnl" w:eastAsia="es-ES"/>
        </w:rPr>
      </w:pPr>
    </w:p>
    <w:p w14:paraId="146B7C0F" w14:textId="77777777" w:rsidR="0046584A" w:rsidRDefault="0046584A" w:rsidP="0046584A">
      <w:pPr>
        <w:spacing w:after="0"/>
        <w:rPr>
          <w:rFonts w:ascii="Verdana" w:hAnsi="Verdana" w:cs="Arial"/>
          <w:bCs/>
          <w:color w:val="EE0000"/>
          <w:sz w:val="20"/>
          <w:lang w:val="es-ES_tradnl" w:eastAsia="es-ES"/>
        </w:rPr>
      </w:pPr>
    </w:p>
    <w:p w14:paraId="7A831434" w14:textId="77777777" w:rsidR="0046584A" w:rsidRDefault="0046584A" w:rsidP="0046584A">
      <w:pPr>
        <w:spacing w:after="0"/>
        <w:rPr>
          <w:rFonts w:ascii="Verdana" w:hAnsi="Verdana" w:cs="Arial"/>
          <w:bCs/>
          <w:color w:val="EE0000"/>
          <w:sz w:val="20"/>
          <w:lang w:val="es-ES_tradnl" w:eastAsia="es-ES"/>
        </w:rPr>
      </w:pPr>
    </w:p>
    <w:p w14:paraId="11AAF70B" w14:textId="77777777" w:rsidR="0046584A" w:rsidRDefault="0046584A" w:rsidP="0046584A">
      <w:pPr>
        <w:spacing w:after="0"/>
        <w:rPr>
          <w:rFonts w:ascii="Verdana" w:hAnsi="Verdana" w:cs="Arial"/>
          <w:bCs/>
          <w:color w:val="EE0000"/>
          <w:sz w:val="20"/>
          <w:lang w:val="es-ES_tradnl" w:eastAsia="es-ES"/>
        </w:rPr>
      </w:pPr>
    </w:p>
    <w:p w14:paraId="66D4270D" w14:textId="77777777" w:rsidR="0046584A" w:rsidRDefault="0046584A" w:rsidP="0046584A">
      <w:pPr>
        <w:spacing w:after="0"/>
        <w:rPr>
          <w:rFonts w:ascii="Verdana" w:hAnsi="Verdana" w:cs="Arial"/>
          <w:bCs/>
          <w:color w:val="EE0000"/>
          <w:sz w:val="20"/>
          <w:lang w:val="es-ES_tradnl" w:eastAsia="es-ES"/>
        </w:rPr>
      </w:pPr>
    </w:p>
    <w:p w14:paraId="73EB178E" w14:textId="77777777" w:rsidR="0046584A" w:rsidRDefault="0046584A" w:rsidP="0046584A">
      <w:pPr>
        <w:spacing w:after="0"/>
        <w:rPr>
          <w:rFonts w:ascii="Verdana" w:hAnsi="Verdana" w:cs="Arial"/>
          <w:bCs/>
          <w:color w:val="EE0000"/>
          <w:sz w:val="20"/>
          <w:lang w:val="es-ES_tradnl" w:eastAsia="es-ES"/>
        </w:rPr>
      </w:pPr>
    </w:p>
    <w:p w14:paraId="1CF389C4" w14:textId="77777777" w:rsidR="0046584A" w:rsidRDefault="0046584A" w:rsidP="0046584A">
      <w:pPr>
        <w:spacing w:after="0"/>
        <w:rPr>
          <w:rFonts w:ascii="Verdana" w:hAnsi="Verdana" w:cs="Arial"/>
          <w:bCs/>
          <w:color w:val="EE0000"/>
          <w:sz w:val="20"/>
          <w:lang w:val="es-ES_tradnl" w:eastAsia="es-ES"/>
        </w:rPr>
      </w:pPr>
    </w:p>
    <w:p w14:paraId="45F8DC53" w14:textId="77777777" w:rsidR="0046584A" w:rsidRDefault="0046584A" w:rsidP="0046584A">
      <w:pPr>
        <w:spacing w:after="0"/>
        <w:rPr>
          <w:rFonts w:ascii="Verdana" w:hAnsi="Verdana" w:cs="Arial"/>
          <w:bCs/>
          <w:color w:val="EE0000"/>
          <w:sz w:val="20"/>
          <w:lang w:val="es-ES_tradnl" w:eastAsia="es-ES"/>
        </w:rPr>
      </w:pPr>
    </w:p>
    <w:p w14:paraId="772937DD" w14:textId="77777777" w:rsidR="0046584A" w:rsidRDefault="0046584A" w:rsidP="0046584A">
      <w:pPr>
        <w:spacing w:after="0"/>
        <w:rPr>
          <w:rFonts w:ascii="Verdana" w:hAnsi="Verdana" w:cs="Arial"/>
          <w:bCs/>
          <w:color w:val="EE0000"/>
          <w:sz w:val="20"/>
          <w:lang w:val="es-ES_tradnl" w:eastAsia="es-ES"/>
        </w:rPr>
      </w:pPr>
    </w:p>
    <w:p w14:paraId="0350FFB7" w14:textId="77777777" w:rsidR="0046584A" w:rsidRDefault="0046584A" w:rsidP="0046584A">
      <w:pPr>
        <w:spacing w:after="0"/>
        <w:rPr>
          <w:rFonts w:ascii="Verdana" w:hAnsi="Verdana" w:cs="Arial"/>
          <w:bCs/>
          <w:color w:val="EE0000"/>
          <w:sz w:val="20"/>
          <w:lang w:val="es-ES_tradnl" w:eastAsia="es-ES"/>
        </w:rPr>
      </w:pPr>
    </w:p>
    <w:p w14:paraId="206E1E30" w14:textId="77777777" w:rsidR="0046584A" w:rsidRPr="00736594" w:rsidRDefault="0046584A" w:rsidP="0046584A">
      <w:pPr>
        <w:spacing w:after="0"/>
        <w:rPr>
          <w:rFonts w:ascii="Verdana" w:hAnsi="Verdana" w:cs="Arial"/>
          <w:bCs/>
          <w:color w:val="EE0000"/>
          <w:sz w:val="20"/>
          <w:lang w:val="es-ES_tradnl" w:eastAsia="es-ES"/>
        </w:rPr>
      </w:pPr>
    </w:p>
    <w:p w14:paraId="3B88CA50" w14:textId="082FC057" w:rsidR="0046584A" w:rsidRPr="0049373C" w:rsidRDefault="0046584A" w:rsidP="0046584A">
      <w:pPr>
        <w:spacing w:after="0"/>
        <w:rPr>
          <w:rFonts w:ascii="Verdana" w:hAnsi="Verdana"/>
        </w:rPr>
      </w:pPr>
      <w:r w:rsidRPr="0049373C">
        <w:rPr>
          <w:rFonts w:ascii="Verdana" w:hAnsi="Verdana"/>
        </w:rPr>
        <w:lastRenderedPageBreak/>
        <w:t xml:space="preserve">Bogotá D.C., </w:t>
      </w:r>
      <w:r w:rsidR="00A20C3E">
        <w:rPr>
          <w:rFonts w:ascii="Verdana" w:hAnsi="Verdana"/>
        </w:rPr>
        <w:t>19 Enero 2026</w:t>
      </w:r>
    </w:p>
    <w:p w14:paraId="09C645B8" w14:textId="2AF28A15" w:rsidR="0046584A" w:rsidRPr="0049373C" w:rsidRDefault="00EA62E6" w:rsidP="0046584A">
      <w:pPr>
        <w:spacing w:after="0"/>
        <w:rPr>
          <w:rFonts w:ascii="Verdana" w:hAnsi="Verdana"/>
          <w:lang w:val="es-ES"/>
        </w:rPr>
      </w:pPr>
      <w:r w:rsidRPr="00EA62E6">
        <w:rPr>
          <w:rFonts w:ascii="Verdana" w:eastAsia="Calibri" w:hAnsi="Verdana" w:cs="Arial"/>
          <w:lang w:val="es-ES" w:eastAsia="es-ES"/>
        </w:rPr>
        <w:drawing>
          <wp:anchor distT="0" distB="0" distL="114300" distR="114300" simplePos="0" relativeHeight="251659264" behindDoc="1" locked="0" layoutInCell="1" allowOverlap="1" wp14:anchorId="6E1167E7" wp14:editId="3E9B6ACD">
            <wp:simplePos x="0" y="0"/>
            <wp:positionH relativeFrom="column">
              <wp:posOffset>3087769</wp:posOffset>
            </wp:positionH>
            <wp:positionV relativeFrom="paragraph">
              <wp:posOffset>115039</wp:posOffset>
            </wp:positionV>
            <wp:extent cx="2775098" cy="823857"/>
            <wp:effectExtent l="0" t="0" r="6350" b="0"/>
            <wp:wrapNone/>
            <wp:docPr id="787277081"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277081"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775098" cy="823857"/>
                    </a:xfrm>
                    <a:prstGeom prst="rect">
                      <a:avLst/>
                    </a:prstGeom>
                  </pic:spPr>
                </pic:pic>
              </a:graphicData>
            </a:graphic>
            <wp14:sizeRelH relativeFrom="margin">
              <wp14:pctWidth>0</wp14:pctWidth>
            </wp14:sizeRelH>
            <wp14:sizeRelV relativeFrom="margin">
              <wp14:pctHeight>0</wp14:pctHeight>
            </wp14:sizeRelV>
          </wp:anchor>
        </w:drawing>
      </w:r>
    </w:p>
    <w:p w14:paraId="166D517A" w14:textId="10843319" w:rsidR="0046584A" w:rsidRPr="0049373C" w:rsidRDefault="0046584A" w:rsidP="0046584A">
      <w:pPr>
        <w:spacing w:after="0" w:line="240" w:lineRule="auto"/>
        <w:rPr>
          <w:rFonts w:ascii="Verdana" w:hAnsi="Verdana"/>
          <w:lang w:val="es-ES"/>
        </w:rPr>
      </w:pPr>
      <w:bookmarkStart w:id="0" w:name="_Hlk143780582"/>
      <w:r w:rsidRPr="0049373C">
        <w:rPr>
          <w:rFonts w:ascii="Verdana" w:eastAsia="Calibri" w:hAnsi="Verdana" w:cs="Arial"/>
          <w:lang w:val="es-ES" w:eastAsia="es-ES"/>
        </w:rPr>
        <w:t>Señor</w:t>
      </w:r>
    </w:p>
    <w:p w14:paraId="7ADB808C" w14:textId="77777777" w:rsidR="0046584A" w:rsidRPr="00A20C3E" w:rsidRDefault="0046584A" w:rsidP="0046584A">
      <w:pPr>
        <w:tabs>
          <w:tab w:val="center" w:pos="4419"/>
        </w:tabs>
        <w:spacing w:after="0"/>
        <w:rPr>
          <w:rFonts w:ascii="Verdana" w:eastAsia="Calibri" w:hAnsi="Verdana" w:cs="Arial"/>
          <w:b/>
          <w:bCs/>
          <w:lang w:eastAsia="es-ES"/>
        </w:rPr>
      </w:pPr>
      <w:r w:rsidRPr="00A20C3E">
        <w:rPr>
          <w:rFonts w:ascii="Verdana" w:eastAsia="Calibri" w:hAnsi="Verdana" w:cs="Arial"/>
          <w:b/>
          <w:bCs/>
          <w:lang w:eastAsia="es-ES"/>
        </w:rPr>
        <w:t>John Alexander Restrepo Ramírez</w:t>
      </w:r>
    </w:p>
    <w:p w14:paraId="51DF62C9" w14:textId="77777777" w:rsidR="0046584A" w:rsidRPr="00EE7787" w:rsidRDefault="0046584A" w:rsidP="0046584A">
      <w:pPr>
        <w:spacing w:after="0"/>
        <w:rPr>
          <w:rStyle w:val="Hipervnculo"/>
          <w:rFonts w:ascii="Verdana" w:hAnsi="Verdana"/>
          <w:color w:val="EE0000"/>
        </w:rPr>
      </w:pPr>
      <w:hyperlink r:id="rId11" w:history="1">
        <w:r w:rsidRPr="00EE7787">
          <w:rPr>
            <w:rStyle w:val="Hipervnculo"/>
            <w:rFonts w:ascii="Verdana" w:hAnsi="Verdana"/>
          </w:rPr>
          <w:t>responsabilidadlegaljr@hotmail.es</w:t>
        </w:r>
      </w:hyperlink>
      <w:r w:rsidRPr="00EE7787">
        <w:rPr>
          <w:rStyle w:val="Hipervnculo"/>
          <w:rFonts w:ascii="Verdana" w:hAnsi="Verdana"/>
          <w:color w:val="EE0000"/>
        </w:rPr>
        <w:t xml:space="preserve"> </w:t>
      </w:r>
    </w:p>
    <w:p w14:paraId="01DD9077" w14:textId="77777777" w:rsidR="0046584A" w:rsidRPr="00EE7787" w:rsidRDefault="0046584A" w:rsidP="0046584A">
      <w:pPr>
        <w:spacing w:after="0"/>
        <w:rPr>
          <w:rFonts w:ascii="Verdana" w:eastAsia="Calibri" w:hAnsi="Verdana" w:cs="Arial"/>
          <w:lang w:val="es-ES" w:eastAsia="es-ES"/>
        </w:rPr>
      </w:pPr>
      <w:r w:rsidRPr="00EE7787">
        <w:rPr>
          <w:rFonts w:ascii="Verdana" w:eastAsia="Calibri" w:hAnsi="Verdana" w:cs="Arial"/>
          <w:lang w:val="es-ES" w:eastAsia="es-ES"/>
        </w:rPr>
        <w:t>Manizales, Caldas</w:t>
      </w:r>
    </w:p>
    <w:p w14:paraId="2BFBD7BC" w14:textId="77777777" w:rsidR="0046584A" w:rsidRPr="00B56E33" w:rsidRDefault="0046584A" w:rsidP="0046584A">
      <w:pPr>
        <w:spacing w:after="0"/>
        <w:rPr>
          <w:rFonts w:ascii="Verdana" w:eastAsia="Calibri" w:hAnsi="Verdana" w:cs="Arial"/>
          <w:color w:val="EE0000"/>
          <w:lang w:val="es-ES" w:eastAsia="es-ES"/>
        </w:rPr>
      </w:pPr>
    </w:p>
    <w:p w14:paraId="77900B1B" w14:textId="77777777" w:rsidR="0046584A" w:rsidRPr="00B56E33" w:rsidRDefault="0046584A" w:rsidP="0046584A">
      <w:pPr>
        <w:spacing w:after="0" w:line="240" w:lineRule="auto"/>
        <w:rPr>
          <w:rFonts w:ascii="Verdana" w:eastAsia="Calibri" w:hAnsi="Verdana" w:cs="Arial"/>
          <w:b/>
          <w:bCs/>
          <w:color w:val="EE0000"/>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850"/>
        <w:gridCol w:w="5660"/>
      </w:tblGrid>
      <w:tr w:rsidR="0046584A" w:rsidRPr="00B56E33" w14:paraId="7E4A92CB" w14:textId="77777777" w:rsidTr="7E72FEFD">
        <w:trPr>
          <w:trHeight w:val="300"/>
        </w:trPr>
        <w:tc>
          <w:tcPr>
            <w:tcW w:w="2850" w:type="dxa"/>
          </w:tcPr>
          <w:p w14:paraId="6C070A69" w14:textId="77777777" w:rsidR="0046584A" w:rsidRPr="00B56E33" w:rsidRDefault="0046584A">
            <w:pPr>
              <w:ind w:left="-142"/>
              <w:jc w:val="both"/>
              <w:rPr>
                <w:rFonts w:ascii="Verdana" w:eastAsia="Calibri" w:hAnsi="Verdana" w:cs="Arial"/>
                <w:b/>
                <w:bCs/>
                <w:color w:val="EE0000"/>
                <w:lang w:val="es-ES" w:eastAsia="es-ES_tradnl"/>
              </w:rPr>
            </w:pPr>
          </w:p>
        </w:tc>
        <w:tc>
          <w:tcPr>
            <w:tcW w:w="5660" w:type="dxa"/>
          </w:tcPr>
          <w:p w14:paraId="652744DF" w14:textId="77777777" w:rsidR="0046584A" w:rsidRPr="00A72EB0" w:rsidRDefault="0046584A">
            <w:pPr>
              <w:ind w:left="3"/>
              <w:jc w:val="both"/>
              <w:rPr>
                <w:rFonts w:ascii="Verdana" w:eastAsia="Calibri" w:hAnsi="Verdana" w:cs="Arial"/>
                <w:b/>
                <w:bCs/>
                <w:lang w:val="es-ES" w:eastAsia="es-ES"/>
              </w:rPr>
            </w:pPr>
            <w:r w:rsidRPr="00A72EB0">
              <w:rPr>
                <w:rFonts w:ascii="Verdana" w:eastAsia="Calibri" w:hAnsi="Verdana" w:cs="Arial"/>
                <w:b/>
                <w:bCs/>
                <w:lang w:val="es-ES" w:eastAsia="es-ES"/>
              </w:rPr>
              <w:t>Concepto C-1807 de 2025</w:t>
            </w:r>
          </w:p>
          <w:p w14:paraId="2E89FA0D" w14:textId="77777777" w:rsidR="0046584A" w:rsidRPr="00B56E33" w:rsidRDefault="0046584A">
            <w:pPr>
              <w:ind w:left="3"/>
              <w:jc w:val="both"/>
              <w:rPr>
                <w:rFonts w:ascii="Verdana" w:eastAsia="Calibri" w:hAnsi="Verdana" w:cs="Arial"/>
                <w:b/>
                <w:bCs/>
                <w:color w:val="EE0000"/>
                <w:lang w:val="es-ES" w:eastAsia="es-ES"/>
              </w:rPr>
            </w:pPr>
          </w:p>
        </w:tc>
      </w:tr>
      <w:tr w:rsidR="0046584A" w:rsidRPr="00B56E33" w14:paraId="38AE0738" w14:textId="77777777" w:rsidTr="7E72FEFD">
        <w:trPr>
          <w:trHeight w:val="300"/>
        </w:trPr>
        <w:tc>
          <w:tcPr>
            <w:tcW w:w="2850" w:type="dxa"/>
          </w:tcPr>
          <w:p w14:paraId="0DEE804B" w14:textId="77777777" w:rsidR="0046584A" w:rsidRPr="00B56E33" w:rsidRDefault="0046584A">
            <w:pPr>
              <w:ind w:left="424" w:firstLine="142"/>
              <w:jc w:val="both"/>
              <w:rPr>
                <w:rFonts w:ascii="Verdana" w:eastAsia="Calibri" w:hAnsi="Verdana" w:cs="Arial"/>
                <w:color w:val="EE0000"/>
                <w:lang w:val="es-ES" w:eastAsia="es-ES_tradnl"/>
              </w:rPr>
            </w:pPr>
            <w:r w:rsidRPr="00EE7787">
              <w:rPr>
                <w:rFonts w:ascii="Verdana" w:eastAsia="Calibri" w:hAnsi="Verdana" w:cs="Arial"/>
                <w:b/>
                <w:lang w:val="es-ES" w:eastAsia="es-ES_tradnl"/>
              </w:rPr>
              <w:t>Temas:</w:t>
            </w:r>
            <w:r w:rsidRPr="00EE7787">
              <w:rPr>
                <w:rFonts w:ascii="Verdana" w:eastAsia="Calibri" w:hAnsi="Verdana" w:cs="Arial"/>
                <w:lang w:val="es-ES" w:eastAsia="es-ES_tradnl"/>
              </w:rPr>
              <w:t xml:space="preserve">   </w:t>
            </w:r>
            <w:r w:rsidRPr="00B56E33">
              <w:rPr>
                <w:rFonts w:ascii="Verdana" w:eastAsia="Calibri" w:hAnsi="Verdana" w:cs="Arial"/>
                <w:color w:val="EE0000"/>
                <w:lang w:val="es-ES" w:eastAsia="es-ES_tradnl"/>
              </w:rPr>
              <w:t xml:space="preserve">               </w:t>
            </w:r>
          </w:p>
        </w:tc>
        <w:tc>
          <w:tcPr>
            <w:tcW w:w="5660" w:type="dxa"/>
          </w:tcPr>
          <w:p w14:paraId="11BC6B2E" w14:textId="77777777" w:rsidR="0046584A" w:rsidRPr="00A11406" w:rsidRDefault="0046584A">
            <w:pPr>
              <w:spacing w:line="276" w:lineRule="auto"/>
              <w:jc w:val="both"/>
              <w:rPr>
                <w:rFonts w:ascii="Verdana" w:eastAsia="Calibri" w:hAnsi="Verdana" w:cs="Arial"/>
                <w:lang w:val="es-ES" w:eastAsia="es-ES"/>
              </w:rPr>
            </w:pPr>
            <w:r w:rsidRPr="00EF19E6">
              <w:rPr>
                <w:rFonts w:ascii="Verdana" w:eastAsia="Calibri" w:hAnsi="Verdana" w:cs="Arial"/>
                <w:lang w:val="es-ES" w:eastAsia="es-ES"/>
              </w:rPr>
              <w:t>CONTRATACIÓN DIRECTA – Libre concurrencia – Excepciones – Causales – Interpretación estricta</w:t>
            </w:r>
            <w:r>
              <w:rPr>
                <w:rFonts w:ascii="Verdana" w:eastAsia="Calibri" w:hAnsi="Verdana" w:cs="Arial"/>
                <w:lang w:val="es-ES" w:eastAsia="es-ES"/>
              </w:rPr>
              <w:t xml:space="preserve"> / </w:t>
            </w:r>
            <w:r w:rsidRPr="00EF19E6">
              <w:rPr>
                <w:rFonts w:ascii="Verdana" w:eastAsia="Calibri" w:hAnsi="Verdana" w:cs="Arial"/>
                <w:lang w:val="es-ES" w:eastAsia="es-ES"/>
              </w:rPr>
              <w:t>URGENCIA MANIFIESTA – Definición – Causal – Contratación directa</w:t>
            </w:r>
            <w:r>
              <w:rPr>
                <w:rFonts w:ascii="Verdana" w:eastAsia="Calibri" w:hAnsi="Verdana" w:cs="Arial"/>
                <w:lang w:val="es-ES" w:eastAsia="es-ES"/>
              </w:rPr>
              <w:t xml:space="preserve"> / </w:t>
            </w:r>
            <w:r w:rsidRPr="00EF19E6">
              <w:rPr>
                <w:rFonts w:ascii="Verdana" w:eastAsia="Calibri" w:hAnsi="Verdana" w:cs="Arial"/>
                <w:lang w:val="es-ES" w:eastAsia="es-ES"/>
              </w:rPr>
              <w:t>CALAMIDAD PÚBLICA Y DESASTRE – Declaración previa</w:t>
            </w:r>
            <w:r w:rsidRPr="008A6428">
              <w:rPr>
                <w:rFonts w:ascii="Verdana" w:eastAsia="Calibri" w:hAnsi="Verdana" w:cs="Arial"/>
                <w:lang w:val="es-ES" w:eastAsia="es-ES"/>
              </w:rPr>
              <w:t xml:space="preserve"> </w:t>
            </w:r>
            <w:r w:rsidRPr="00EF19E6">
              <w:rPr>
                <w:rFonts w:ascii="Verdana" w:eastAsia="Calibri" w:hAnsi="Verdana" w:cs="Arial"/>
                <w:lang w:val="es-ES" w:eastAsia="es-ES"/>
              </w:rPr>
              <w:t xml:space="preserve">  </w:t>
            </w:r>
            <w:r w:rsidRPr="00EA1BFE">
              <w:rPr>
                <w:rFonts w:ascii="Verdana" w:eastAsia="Calibri" w:hAnsi="Verdana" w:cs="Arial"/>
                <w:lang w:val="es-ES" w:eastAsia="es-ES"/>
              </w:rPr>
              <w:t xml:space="preserve"> </w:t>
            </w:r>
            <w:r w:rsidRPr="00C75A78">
              <w:rPr>
                <w:rFonts w:ascii="Verdana" w:eastAsia="Calibri" w:hAnsi="Verdana" w:cs="Arial"/>
                <w:lang w:val="es-ES" w:eastAsia="es-ES"/>
              </w:rPr>
              <w:t xml:space="preserve"> </w:t>
            </w:r>
            <w:r w:rsidRPr="006424A3">
              <w:rPr>
                <w:rFonts w:ascii="Verdana" w:eastAsia="Calibri" w:hAnsi="Verdana" w:cs="Arial"/>
                <w:lang w:val="es-ES" w:eastAsia="es-ES"/>
              </w:rPr>
              <w:t xml:space="preserve">   </w:t>
            </w:r>
            <w:r w:rsidRPr="00003886">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04688474" w14:textId="77777777" w:rsidR="0046584A" w:rsidRPr="00EA30AC" w:rsidRDefault="0046584A">
            <w:pPr>
              <w:tabs>
                <w:tab w:val="left" w:pos="3374"/>
              </w:tabs>
              <w:jc w:val="both"/>
              <w:rPr>
                <w:rFonts w:ascii="Verdana" w:eastAsia="Calibri" w:hAnsi="Verdana" w:cs="Arial"/>
                <w:color w:val="EE0000"/>
                <w:lang w:val="es-ES"/>
              </w:rPr>
            </w:pPr>
          </w:p>
        </w:tc>
      </w:tr>
      <w:tr w:rsidR="0046584A" w:rsidRPr="00A72EB0" w14:paraId="54C6D532" w14:textId="77777777" w:rsidTr="7E72FEFD">
        <w:trPr>
          <w:trHeight w:val="194"/>
        </w:trPr>
        <w:tc>
          <w:tcPr>
            <w:tcW w:w="2850" w:type="dxa"/>
          </w:tcPr>
          <w:p w14:paraId="0757C836" w14:textId="77777777" w:rsidR="0046584A" w:rsidRPr="00B56E33" w:rsidRDefault="0046584A">
            <w:pPr>
              <w:ind w:left="561"/>
              <w:jc w:val="both"/>
              <w:rPr>
                <w:rFonts w:ascii="Verdana" w:eastAsia="Calibri" w:hAnsi="Verdana" w:cs="Arial"/>
                <w:b/>
                <w:color w:val="EE0000"/>
                <w:lang w:val="es-ES" w:eastAsia="es-ES_tradnl"/>
              </w:rPr>
            </w:pPr>
            <w:r w:rsidRPr="00EE7787">
              <w:rPr>
                <w:rFonts w:ascii="Verdana" w:eastAsia="Calibri" w:hAnsi="Verdana" w:cs="Arial"/>
                <w:b/>
                <w:lang w:val="es-ES" w:eastAsia="es-ES_tradnl"/>
              </w:rPr>
              <w:t>Radicación:</w:t>
            </w:r>
            <w:r w:rsidRPr="00B56E33">
              <w:rPr>
                <w:rFonts w:ascii="Verdana" w:eastAsia="Calibri" w:hAnsi="Verdana" w:cs="Arial"/>
                <w:color w:val="EE0000"/>
                <w:lang w:val="es-ES" w:eastAsia="es-ES_tradnl"/>
              </w:rPr>
              <w:t xml:space="preserve">              </w:t>
            </w:r>
          </w:p>
        </w:tc>
        <w:tc>
          <w:tcPr>
            <w:tcW w:w="5660" w:type="dxa"/>
          </w:tcPr>
          <w:p w14:paraId="4DA8836D" w14:textId="77777777" w:rsidR="0046584A" w:rsidRPr="00A72EB0" w:rsidRDefault="0046584A">
            <w:pPr>
              <w:ind w:left="3"/>
              <w:jc w:val="both"/>
              <w:rPr>
                <w:rFonts w:ascii="Verdana" w:hAnsi="Verdana"/>
                <w:lang w:val="es-ES"/>
              </w:rPr>
            </w:pPr>
            <w:r w:rsidRPr="00A72EB0">
              <w:rPr>
                <w:rFonts w:ascii="Verdana" w:eastAsia="Calibri" w:hAnsi="Verdana" w:cs="Arial"/>
                <w:lang w:val="es-ES" w:eastAsia="es-ES"/>
              </w:rPr>
              <w:t>Respuesta a consulta con radicado No. 1_2025_12_10_013869</w:t>
            </w:r>
          </w:p>
        </w:tc>
      </w:tr>
    </w:tbl>
    <w:p w14:paraId="6AEDCEE1" w14:textId="77777777" w:rsidR="0046584A" w:rsidRPr="00B56E33" w:rsidRDefault="0046584A" w:rsidP="0046584A">
      <w:pPr>
        <w:spacing w:after="0" w:line="276" w:lineRule="auto"/>
        <w:jc w:val="both"/>
        <w:rPr>
          <w:rFonts w:ascii="Verdana" w:eastAsia="Calibri" w:hAnsi="Verdana" w:cs="Arial"/>
          <w:color w:val="EE0000"/>
          <w:lang w:val="es-ES" w:eastAsia="es-ES"/>
        </w:rPr>
      </w:pPr>
    </w:p>
    <w:p w14:paraId="40268746" w14:textId="77777777" w:rsidR="0046584A" w:rsidRPr="00B56E33" w:rsidRDefault="0046584A" w:rsidP="0046584A">
      <w:pPr>
        <w:spacing w:after="0" w:line="276" w:lineRule="auto"/>
        <w:jc w:val="both"/>
        <w:rPr>
          <w:rFonts w:ascii="Verdana" w:eastAsia="Calibri" w:hAnsi="Verdana" w:cs="Arial"/>
          <w:color w:val="EE0000"/>
          <w:lang w:val="es-ES" w:eastAsia="es-ES"/>
        </w:rPr>
      </w:pPr>
    </w:p>
    <w:p w14:paraId="212053E2" w14:textId="77777777" w:rsidR="0046584A" w:rsidRPr="00A72EB0" w:rsidRDefault="0046584A" w:rsidP="0046584A">
      <w:pPr>
        <w:spacing w:after="0" w:line="276" w:lineRule="auto"/>
        <w:jc w:val="both"/>
        <w:rPr>
          <w:rFonts w:ascii="Verdana" w:eastAsia="Calibri" w:hAnsi="Verdana" w:cs="Arial"/>
          <w:lang w:val="es-ES" w:eastAsia="es-ES"/>
        </w:rPr>
      </w:pPr>
      <w:r w:rsidRPr="00A72EB0">
        <w:rPr>
          <w:rFonts w:ascii="Verdana" w:eastAsia="Calibri" w:hAnsi="Verdana" w:cs="Arial"/>
          <w:lang w:val="es-ES" w:eastAsia="es-ES"/>
        </w:rPr>
        <w:t>Estimado Señor Restrepo,</w:t>
      </w:r>
    </w:p>
    <w:p w14:paraId="703EDB91" w14:textId="77777777" w:rsidR="0046584A" w:rsidRPr="00B56E33" w:rsidRDefault="0046584A" w:rsidP="0046584A">
      <w:pPr>
        <w:tabs>
          <w:tab w:val="left" w:pos="3768"/>
        </w:tabs>
        <w:spacing w:after="0" w:line="276" w:lineRule="auto"/>
        <w:jc w:val="both"/>
        <w:rPr>
          <w:rFonts w:ascii="Verdana" w:eastAsia="Calibri" w:hAnsi="Verdana" w:cs="Arial"/>
          <w:color w:val="EE0000"/>
          <w:lang w:val="es-ES" w:eastAsia="es-ES"/>
        </w:rPr>
      </w:pPr>
      <w:r w:rsidRPr="00B56E33">
        <w:rPr>
          <w:rFonts w:ascii="Verdana" w:eastAsia="Calibri" w:hAnsi="Verdana" w:cs="Arial"/>
          <w:color w:val="EE0000"/>
          <w:lang w:val="es-ES" w:eastAsia="es-ES"/>
        </w:rPr>
        <w:tab/>
      </w:r>
    </w:p>
    <w:p w14:paraId="367A3B0B" w14:textId="77777777" w:rsidR="0046584A" w:rsidRPr="00A72EB0" w:rsidRDefault="0046584A" w:rsidP="0046584A">
      <w:pPr>
        <w:spacing w:after="0" w:line="276" w:lineRule="auto"/>
        <w:jc w:val="both"/>
        <w:rPr>
          <w:rFonts w:ascii="Verdana" w:eastAsia="Calibri" w:hAnsi="Verdana" w:cs="Arial"/>
          <w:lang w:val="es-ES" w:eastAsia="es-ES"/>
        </w:rPr>
      </w:pPr>
      <w:r w:rsidRPr="00A72EB0">
        <w:rPr>
          <w:rFonts w:ascii="Verdana" w:eastAsia="Calibri" w:hAnsi="Verdana" w:cs="Arial"/>
          <w:lang w:val="es-ES" w:eastAsia="es-ES"/>
        </w:rPr>
        <w:t>En ejercicio de la competencia otorgada por los artículos 3, numeral 5º, y 11, numeral 8º, del Decreto Ley 4170 de 2011,</w:t>
      </w:r>
      <w:r w:rsidRPr="00A72EB0">
        <w:rPr>
          <w:rFonts w:ascii="Verdana" w:eastAsia="Arial MT" w:hAnsi="Verdana" w:cs="Arial MT"/>
          <w:lang w:val="es-ES" w:eastAsia="es-ES"/>
        </w:rPr>
        <w:t xml:space="preserve"> </w:t>
      </w:r>
      <w:r w:rsidRPr="00A72EB0">
        <w:rPr>
          <w:rFonts w:ascii="Verdana" w:hAnsi="Verdana" w:cs="Arial"/>
          <w:lang w:val="es-ES"/>
        </w:rPr>
        <w:t xml:space="preserve">así como lo establecido en el artículo 4 de la Resolución 1707 de 2018 expedida por esta Entidad, </w:t>
      </w:r>
      <w:r w:rsidRPr="00A72EB0">
        <w:rPr>
          <w:rFonts w:ascii="Verdana" w:eastAsia="Calibri" w:hAnsi="Verdana" w:cs="Arial"/>
          <w:lang w:val="es-ES" w:eastAsia="es-ES"/>
        </w:rPr>
        <w:t xml:space="preserve">la Agencia Nacional de Contratación Pública – Colombia Compra Eficiente– responde su solicitud de consulta de fecha 10 de diciembre de 2025, en la cual manifiesta lo siguiente: </w:t>
      </w:r>
    </w:p>
    <w:p w14:paraId="0A37E818" w14:textId="77777777" w:rsidR="0046584A" w:rsidRPr="00B56E33" w:rsidRDefault="0046584A" w:rsidP="0046584A">
      <w:pPr>
        <w:tabs>
          <w:tab w:val="left" w:pos="142"/>
          <w:tab w:val="left" w:pos="284"/>
        </w:tabs>
        <w:spacing w:after="0" w:line="276" w:lineRule="auto"/>
        <w:contextualSpacing/>
        <w:jc w:val="both"/>
        <w:rPr>
          <w:rFonts w:ascii="Verdana" w:eastAsia="Century Gothic" w:hAnsi="Verdana" w:cs="Century Gothic"/>
          <w:b/>
          <w:bCs/>
          <w:color w:val="EE0000"/>
          <w:lang w:val="es-ES"/>
        </w:rPr>
      </w:pPr>
    </w:p>
    <w:p w14:paraId="1DCFA50E" w14:textId="77777777" w:rsidR="0046584A" w:rsidRPr="00B56BE3" w:rsidRDefault="0046584A" w:rsidP="0046584A">
      <w:pPr>
        <w:spacing w:before="120" w:after="120"/>
        <w:ind w:left="709" w:right="709"/>
        <w:contextualSpacing/>
        <w:jc w:val="both"/>
        <w:rPr>
          <w:rFonts w:ascii="Verdana" w:eastAsia="Century Gothic" w:hAnsi="Verdana" w:cs="Century Gothic"/>
          <w:i/>
          <w:iCs/>
          <w:sz w:val="20"/>
          <w:szCs w:val="20"/>
          <w:lang w:val="es-ES"/>
        </w:rPr>
      </w:pPr>
      <w:r w:rsidRPr="00B56BE3">
        <w:rPr>
          <w:rFonts w:ascii="Verdana" w:eastAsia="Century Gothic" w:hAnsi="Verdana" w:cs="Century Gothic"/>
          <w:i/>
          <w:iCs/>
          <w:sz w:val="20"/>
          <w:szCs w:val="20"/>
          <w:lang w:val="es-ES"/>
        </w:rPr>
        <w:t>“Por medio de la presente y acudiendo a sus múltiples funciones me permito solicitar se me oriente, de información o conceptúe sobre lo siguiente:</w:t>
      </w:r>
    </w:p>
    <w:p w14:paraId="41FBD6BD" w14:textId="77777777" w:rsidR="0046584A" w:rsidRPr="00B56BE3" w:rsidRDefault="0046584A" w:rsidP="0046584A">
      <w:pPr>
        <w:spacing w:before="120" w:after="120"/>
        <w:ind w:left="709" w:right="709"/>
        <w:contextualSpacing/>
        <w:jc w:val="both"/>
        <w:rPr>
          <w:rFonts w:ascii="Verdana" w:eastAsia="Century Gothic" w:hAnsi="Verdana" w:cs="Century Gothic"/>
          <w:i/>
          <w:iCs/>
          <w:sz w:val="20"/>
          <w:szCs w:val="20"/>
          <w:lang w:val="es-ES"/>
        </w:rPr>
      </w:pPr>
    </w:p>
    <w:p w14:paraId="7569E387" w14:textId="77777777" w:rsidR="0046584A" w:rsidRPr="00B56BE3" w:rsidRDefault="0046584A" w:rsidP="0046584A">
      <w:pPr>
        <w:spacing w:before="120" w:after="120"/>
        <w:ind w:left="709" w:right="709"/>
        <w:contextualSpacing/>
        <w:jc w:val="both"/>
        <w:rPr>
          <w:rFonts w:ascii="Verdana" w:eastAsia="Century Gothic" w:hAnsi="Verdana" w:cs="Century Gothic"/>
          <w:i/>
          <w:iCs/>
          <w:sz w:val="20"/>
          <w:szCs w:val="20"/>
          <w:lang w:val="es-ES"/>
        </w:rPr>
      </w:pPr>
      <w:r w:rsidRPr="00B56BE3">
        <w:rPr>
          <w:rFonts w:ascii="Verdana" w:eastAsia="Century Gothic" w:hAnsi="Verdana" w:cs="Century Gothic"/>
          <w:i/>
          <w:iCs/>
          <w:sz w:val="20"/>
          <w:szCs w:val="20"/>
          <w:lang w:val="es-ES"/>
        </w:rPr>
        <w:t>1. Es posible que las entidades territoriales como alcaldías municipales y</w:t>
      </w:r>
    </w:p>
    <w:p w14:paraId="7A4AAE32" w14:textId="77777777" w:rsidR="0046584A" w:rsidRPr="00B56BE3" w:rsidRDefault="0046584A" w:rsidP="0046584A">
      <w:pPr>
        <w:spacing w:before="120" w:after="120"/>
        <w:ind w:left="709" w:right="709"/>
        <w:contextualSpacing/>
        <w:jc w:val="both"/>
        <w:rPr>
          <w:rFonts w:ascii="Verdana" w:eastAsia="Century Gothic" w:hAnsi="Verdana" w:cs="Century Gothic"/>
          <w:i/>
          <w:iCs/>
          <w:sz w:val="20"/>
          <w:szCs w:val="20"/>
          <w:lang w:val="es-ES"/>
        </w:rPr>
      </w:pPr>
      <w:proofErr w:type="gramStart"/>
      <w:r w:rsidRPr="00B56BE3">
        <w:rPr>
          <w:rFonts w:ascii="Verdana" w:eastAsia="Century Gothic" w:hAnsi="Verdana" w:cs="Century Gothic"/>
          <w:i/>
          <w:iCs/>
          <w:sz w:val="20"/>
          <w:szCs w:val="20"/>
          <w:lang w:val="es-ES"/>
        </w:rPr>
        <w:t>gobernaciones una vez declarada</w:t>
      </w:r>
      <w:proofErr w:type="gramEnd"/>
      <w:r w:rsidRPr="00B56BE3">
        <w:rPr>
          <w:rFonts w:ascii="Verdana" w:eastAsia="Century Gothic" w:hAnsi="Verdana" w:cs="Century Gothic"/>
          <w:i/>
          <w:iCs/>
          <w:sz w:val="20"/>
          <w:szCs w:val="20"/>
          <w:lang w:val="es-ES"/>
        </w:rPr>
        <w:t xml:space="preserve"> la Calamidad pública puedan contratar</w:t>
      </w:r>
    </w:p>
    <w:p w14:paraId="1E09B39F" w14:textId="77777777" w:rsidR="0046584A" w:rsidRPr="00B56BE3" w:rsidRDefault="0046584A" w:rsidP="0046584A">
      <w:pPr>
        <w:spacing w:before="120" w:after="120"/>
        <w:ind w:left="709" w:right="709"/>
        <w:contextualSpacing/>
        <w:jc w:val="both"/>
        <w:rPr>
          <w:rFonts w:ascii="Verdana" w:eastAsia="Century Gothic" w:hAnsi="Verdana" w:cs="Century Gothic"/>
          <w:i/>
          <w:iCs/>
          <w:sz w:val="20"/>
          <w:szCs w:val="20"/>
          <w:lang w:val="es-ES"/>
        </w:rPr>
      </w:pPr>
      <w:r w:rsidRPr="00B56BE3">
        <w:rPr>
          <w:rFonts w:ascii="Verdana" w:eastAsia="Century Gothic" w:hAnsi="Verdana" w:cs="Century Gothic"/>
          <w:i/>
          <w:iCs/>
          <w:sz w:val="20"/>
          <w:szCs w:val="20"/>
          <w:lang w:val="es-ES"/>
        </w:rPr>
        <w:t>directamente, sin ser necesario decretar de la Urgencia manifiesta y sea</w:t>
      </w:r>
    </w:p>
    <w:p w14:paraId="753C8D2F" w14:textId="77777777" w:rsidR="0046584A" w:rsidRPr="00B56BE3" w:rsidRDefault="0046584A" w:rsidP="0046584A">
      <w:pPr>
        <w:spacing w:before="120" w:after="120"/>
        <w:ind w:left="709" w:right="709"/>
        <w:contextualSpacing/>
        <w:jc w:val="both"/>
        <w:rPr>
          <w:rFonts w:ascii="Verdana" w:eastAsia="Century Gothic" w:hAnsi="Verdana" w:cs="Century Gothic"/>
          <w:i/>
          <w:iCs/>
          <w:sz w:val="20"/>
          <w:szCs w:val="20"/>
          <w:lang w:val="es-ES"/>
        </w:rPr>
      </w:pPr>
      <w:r w:rsidRPr="00B56BE3">
        <w:rPr>
          <w:rFonts w:ascii="Verdana" w:eastAsia="Century Gothic" w:hAnsi="Verdana" w:cs="Century Gothic"/>
          <w:i/>
          <w:iCs/>
          <w:sz w:val="20"/>
          <w:szCs w:val="20"/>
          <w:lang w:val="es-ES"/>
        </w:rPr>
        <w:t>simplemente con la declaratoria de calamidad pública la que habilite la</w:t>
      </w:r>
    </w:p>
    <w:p w14:paraId="2F014DA5" w14:textId="77777777" w:rsidR="0046584A" w:rsidRPr="00B56BE3" w:rsidRDefault="0046584A" w:rsidP="0046584A">
      <w:pPr>
        <w:spacing w:before="120" w:after="120"/>
        <w:ind w:left="709" w:right="709"/>
        <w:contextualSpacing/>
        <w:jc w:val="both"/>
        <w:rPr>
          <w:rFonts w:ascii="Verdana" w:eastAsia="Century Gothic" w:hAnsi="Verdana" w:cs="Century Gothic"/>
          <w:i/>
          <w:iCs/>
          <w:sz w:val="20"/>
          <w:szCs w:val="20"/>
          <w:lang w:val="es-ES"/>
        </w:rPr>
      </w:pPr>
      <w:r w:rsidRPr="00B56BE3">
        <w:rPr>
          <w:rFonts w:ascii="Verdana" w:eastAsia="Century Gothic" w:hAnsi="Verdana" w:cs="Century Gothic"/>
          <w:i/>
          <w:iCs/>
          <w:sz w:val="20"/>
          <w:szCs w:val="20"/>
          <w:lang w:val="es-ES"/>
        </w:rPr>
        <w:t>contratación directa????</w:t>
      </w:r>
    </w:p>
    <w:p w14:paraId="600C794C" w14:textId="77777777" w:rsidR="0046584A" w:rsidRPr="00B56BE3" w:rsidRDefault="0046584A" w:rsidP="0046584A">
      <w:pPr>
        <w:spacing w:before="120" w:after="120"/>
        <w:ind w:left="709" w:right="709"/>
        <w:contextualSpacing/>
        <w:jc w:val="both"/>
        <w:rPr>
          <w:rFonts w:ascii="Verdana" w:eastAsia="Century Gothic" w:hAnsi="Verdana" w:cs="Century Gothic"/>
          <w:i/>
          <w:iCs/>
          <w:sz w:val="20"/>
          <w:szCs w:val="20"/>
          <w:lang w:val="es-ES"/>
        </w:rPr>
      </w:pPr>
    </w:p>
    <w:p w14:paraId="599647F4" w14:textId="77777777" w:rsidR="0046584A" w:rsidRPr="00B56BE3" w:rsidRDefault="0046584A" w:rsidP="0046584A">
      <w:pPr>
        <w:spacing w:before="120" w:after="120"/>
        <w:ind w:left="709" w:right="709"/>
        <w:contextualSpacing/>
        <w:jc w:val="both"/>
        <w:rPr>
          <w:rFonts w:ascii="Verdana" w:eastAsia="Century Gothic" w:hAnsi="Verdana" w:cs="Century Gothic"/>
          <w:i/>
          <w:iCs/>
          <w:sz w:val="20"/>
          <w:szCs w:val="20"/>
          <w:lang w:val="es-ES"/>
        </w:rPr>
      </w:pPr>
      <w:r w:rsidRPr="00B56BE3">
        <w:rPr>
          <w:rFonts w:ascii="Verdana" w:eastAsia="Century Gothic" w:hAnsi="Verdana" w:cs="Century Gothic"/>
          <w:i/>
          <w:iCs/>
          <w:sz w:val="20"/>
          <w:szCs w:val="20"/>
          <w:lang w:val="es-ES"/>
        </w:rPr>
        <w:lastRenderedPageBreak/>
        <w:t>2.</w:t>
      </w:r>
      <w:r>
        <w:rPr>
          <w:rFonts w:ascii="Verdana" w:eastAsia="Century Gothic" w:hAnsi="Verdana" w:cs="Century Gothic"/>
          <w:i/>
          <w:iCs/>
          <w:sz w:val="20"/>
          <w:szCs w:val="20"/>
          <w:lang w:val="es-ES"/>
        </w:rPr>
        <w:t xml:space="preserve"> </w:t>
      </w:r>
      <w:r w:rsidRPr="00B56BE3">
        <w:rPr>
          <w:rFonts w:ascii="Verdana" w:eastAsia="Century Gothic" w:hAnsi="Verdana" w:cs="Century Gothic"/>
          <w:i/>
          <w:iCs/>
          <w:sz w:val="20"/>
          <w:szCs w:val="20"/>
          <w:lang w:val="es-ES"/>
        </w:rPr>
        <w:t>La contralorías municipales y territoriales tienen que pronunciarse o emitir algún concepto o es simplemente sobre la urgencia manifiesta y la contratación que se desprenda de ello, en razón del art, 42 y 43 de la ley 80 de 1993?</w:t>
      </w:r>
    </w:p>
    <w:p w14:paraId="75533254" w14:textId="77777777" w:rsidR="0046584A" w:rsidRPr="00B56BE3" w:rsidRDefault="0046584A" w:rsidP="0046584A">
      <w:pPr>
        <w:spacing w:before="120" w:after="120"/>
        <w:ind w:left="709" w:right="709"/>
        <w:contextualSpacing/>
        <w:jc w:val="both"/>
        <w:rPr>
          <w:rFonts w:ascii="Verdana" w:eastAsia="Century Gothic" w:hAnsi="Verdana" w:cs="Century Gothic"/>
          <w:i/>
          <w:iCs/>
          <w:sz w:val="20"/>
          <w:szCs w:val="20"/>
          <w:lang w:val="es-ES"/>
        </w:rPr>
      </w:pPr>
    </w:p>
    <w:p w14:paraId="13BEC6CA" w14:textId="77777777" w:rsidR="0046584A" w:rsidRPr="0009170C" w:rsidRDefault="0046584A" w:rsidP="0046584A">
      <w:pPr>
        <w:spacing w:before="120" w:after="120"/>
        <w:ind w:left="709" w:right="709"/>
        <w:contextualSpacing/>
        <w:jc w:val="both"/>
        <w:rPr>
          <w:rFonts w:ascii="Verdana" w:eastAsia="Century Gothic" w:hAnsi="Verdana" w:cs="Century Gothic"/>
          <w:i/>
          <w:iCs/>
          <w:sz w:val="20"/>
          <w:szCs w:val="20"/>
          <w:lang w:val="es-ES"/>
        </w:rPr>
      </w:pPr>
      <w:r w:rsidRPr="0009170C">
        <w:rPr>
          <w:rFonts w:ascii="Verdana" w:eastAsia="Century Gothic" w:hAnsi="Verdana" w:cs="Century Gothic"/>
          <w:i/>
          <w:iCs/>
          <w:sz w:val="20"/>
          <w:szCs w:val="20"/>
          <w:lang w:val="es-ES"/>
        </w:rPr>
        <w:t>3. En razón del artículo 66 de la ley 1523 de 2012 pueden las entidades que declaran la calamidad pública contratar directamente?</w:t>
      </w:r>
    </w:p>
    <w:p w14:paraId="18DCFA0B" w14:textId="77777777" w:rsidR="0046584A" w:rsidRPr="0009170C" w:rsidRDefault="0046584A" w:rsidP="0046584A">
      <w:pPr>
        <w:spacing w:before="120" w:after="120"/>
        <w:ind w:left="709" w:right="709"/>
        <w:contextualSpacing/>
        <w:jc w:val="both"/>
        <w:rPr>
          <w:rFonts w:ascii="Verdana" w:eastAsia="Century Gothic" w:hAnsi="Verdana" w:cs="Century Gothic"/>
          <w:i/>
          <w:iCs/>
          <w:sz w:val="20"/>
          <w:szCs w:val="20"/>
          <w:lang w:val="es-ES"/>
        </w:rPr>
      </w:pPr>
    </w:p>
    <w:p w14:paraId="7071367C" w14:textId="77777777" w:rsidR="0046584A" w:rsidRPr="0009170C" w:rsidRDefault="0046584A" w:rsidP="0046584A">
      <w:pPr>
        <w:spacing w:before="120" w:after="120"/>
        <w:ind w:left="709" w:right="709"/>
        <w:contextualSpacing/>
        <w:jc w:val="both"/>
        <w:rPr>
          <w:rFonts w:ascii="Verdana" w:eastAsia="Century Gothic" w:hAnsi="Verdana" w:cs="Century Gothic"/>
          <w:i/>
          <w:iCs/>
          <w:sz w:val="20"/>
          <w:szCs w:val="20"/>
          <w:lang w:val="es-ES"/>
        </w:rPr>
      </w:pPr>
      <w:r w:rsidRPr="0009170C">
        <w:rPr>
          <w:rFonts w:ascii="Verdana" w:eastAsia="Century Gothic" w:hAnsi="Verdana" w:cs="Century Gothic"/>
          <w:i/>
          <w:iCs/>
          <w:sz w:val="20"/>
          <w:szCs w:val="20"/>
          <w:lang w:val="es-ES"/>
        </w:rPr>
        <w:t>4. Deben las Contralorías territoriales pronunciarse o emitir concepto o revisar el desarrollo de una calamidad pública en razón del artículo 66 de la ley 1523 de 2012, o el pronunciamiento es solo cuando se declare la urgencia manifiesta tal y como demanda l articulo 42 y 43 de la ley 80?</w:t>
      </w:r>
    </w:p>
    <w:p w14:paraId="42441F9E" w14:textId="77777777" w:rsidR="0046584A" w:rsidRPr="0009170C" w:rsidRDefault="0046584A" w:rsidP="0046584A">
      <w:pPr>
        <w:spacing w:before="120" w:after="120"/>
        <w:ind w:left="709" w:right="709"/>
        <w:contextualSpacing/>
        <w:jc w:val="both"/>
        <w:rPr>
          <w:rFonts w:ascii="Verdana" w:eastAsia="Century Gothic" w:hAnsi="Verdana" w:cs="Century Gothic"/>
          <w:i/>
          <w:iCs/>
          <w:sz w:val="20"/>
          <w:szCs w:val="20"/>
          <w:lang w:val="es-ES"/>
        </w:rPr>
      </w:pPr>
    </w:p>
    <w:p w14:paraId="4A7DD1E1" w14:textId="77777777" w:rsidR="0046584A" w:rsidRPr="0009170C" w:rsidRDefault="0046584A" w:rsidP="0046584A">
      <w:pPr>
        <w:spacing w:before="120" w:after="120"/>
        <w:ind w:left="709" w:right="709"/>
        <w:contextualSpacing/>
        <w:jc w:val="both"/>
        <w:rPr>
          <w:rFonts w:ascii="Verdana" w:eastAsia="Century Gothic" w:hAnsi="Verdana" w:cs="Century Gothic"/>
          <w:i/>
          <w:iCs/>
          <w:sz w:val="20"/>
          <w:szCs w:val="20"/>
          <w:lang w:val="es-ES"/>
        </w:rPr>
      </w:pPr>
      <w:r w:rsidRPr="0009170C">
        <w:rPr>
          <w:rFonts w:ascii="Verdana" w:eastAsia="Century Gothic" w:hAnsi="Verdana" w:cs="Century Gothic"/>
          <w:i/>
          <w:iCs/>
          <w:sz w:val="20"/>
          <w:szCs w:val="20"/>
          <w:lang w:val="es-ES"/>
        </w:rPr>
        <w:t xml:space="preserve">5. En razón a los sendos conceptos y sentencias judiciales, que dicen que es indiscutible que la declaratoria de calamidad pública no es suficiente para adelantar la contratación directa sin haberse declarado urgencia manifiesta; en ese sentido, se podría contratar directamente en una situación de calamidad pública, sin declarar la urgencia manifiesta? </w:t>
      </w:r>
    </w:p>
    <w:p w14:paraId="57E98AA4" w14:textId="77777777" w:rsidR="0046584A" w:rsidRPr="0009170C" w:rsidRDefault="0046584A" w:rsidP="0046584A">
      <w:pPr>
        <w:spacing w:before="120" w:after="120"/>
        <w:ind w:left="709" w:right="709"/>
        <w:contextualSpacing/>
        <w:jc w:val="both"/>
        <w:rPr>
          <w:rFonts w:ascii="Verdana" w:eastAsia="Century Gothic" w:hAnsi="Verdana" w:cs="Century Gothic"/>
          <w:i/>
          <w:iCs/>
          <w:sz w:val="20"/>
          <w:szCs w:val="20"/>
          <w:lang w:val="es-ES"/>
        </w:rPr>
      </w:pPr>
    </w:p>
    <w:p w14:paraId="3578909E" w14:textId="77777777" w:rsidR="0046584A" w:rsidRPr="0009170C" w:rsidRDefault="0046584A" w:rsidP="0046584A">
      <w:pPr>
        <w:spacing w:before="120" w:after="120"/>
        <w:ind w:left="709" w:right="709"/>
        <w:contextualSpacing/>
        <w:jc w:val="both"/>
        <w:rPr>
          <w:rFonts w:ascii="Verdana" w:eastAsia="Century Gothic" w:hAnsi="Verdana" w:cs="Century Gothic"/>
          <w:i/>
          <w:iCs/>
          <w:sz w:val="20"/>
          <w:szCs w:val="20"/>
          <w:lang w:val="es-ES"/>
        </w:rPr>
      </w:pPr>
      <w:r w:rsidRPr="0009170C">
        <w:rPr>
          <w:rFonts w:ascii="Verdana" w:eastAsia="Century Gothic" w:hAnsi="Verdana" w:cs="Century Gothic"/>
          <w:i/>
          <w:iCs/>
          <w:sz w:val="20"/>
          <w:szCs w:val="20"/>
          <w:lang w:val="es-ES"/>
        </w:rPr>
        <w:t xml:space="preserve">Debe la contraloría revisar la contratación de la calamidad pública, se debe emitir </w:t>
      </w:r>
      <w:proofErr w:type="gramStart"/>
      <w:r w:rsidRPr="0009170C">
        <w:rPr>
          <w:rFonts w:ascii="Verdana" w:eastAsia="Century Gothic" w:hAnsi="Verdana" w:cs="Century Gothic"/>
          <w:i/>
          <w:iCs/>
          <w:sz w:val="20"/>
          <w:szCs w:val="20"/>
          <w:lang w:val="es-ES"/>
        </w:rPr>
        <w:t>concepto ????</w:t>
      </w:r>
      <w:proofErr w:type="gramEnd"/>
      <w:r w:rsidRPr="0009170C">
        <w:rPr>
          <w:rFonts w:ascii="Verdana" w:eastAsia="Century Gothic" w:hAnsi="Verdana" w:cs="Century Gothic"/>
          <w:i/>
          <w:iCs/>
          <w:sz w:val="20"/>
          <w:szCs w:val="20"/>
          <w:lang w:val="es-ES"/>
        </w:rPr>
        <w:t xml:space="preserve"> </w:t>
      </w:r>
    </w:p>
    <w:p w14:paraId="6D50CB79" w14:textId="77777777" w:rsidR="0046584A" w:rsidRPr="0009170C" w:rsidRDefault="0046584A" w:rsidP="0046584A">
      <w:pPr>
        <w:spacing w:before="120" w:after="120"/>
        <w:ind w:left="709" w:right="709"/>
        <w:contextualSpacing/>
        <w:jc w:val="both"/>
        <w:rPr>
          <w:rFonts w:ascii="Verdana" w:eastAsia="Century Gothic" w:hAnsi="Verdana" w:cs="Century Gothic"/>
          <w:i/>
          <w:iCs/>
          <w:sz w:val="20"/>
          <w:szCs w:val="20"/>
          <w:lang w:val="es-ES"/>
        </w:rPr>
      </w:pPr>
    </w:p>
    <w:p w14:paraId="4F9AC523" w14:textId="77777777" w:rsidR="0046584A" w:rsidRDefault="0046584A" w:rsidP="0046584A">
      <w:pPr>
        <w:spacing w:before="120" w:after="120"/>
        <w:ind w:left="709" w:right="709"/>
        <w:contextualSpacing/>
        <w:jc w:val="both"/>
        <w:rPr>
          <w:rFonts w:ascii="Verdana" w:eastAsia="Century Gothic" w:hAnsi="Verdana" w:cs="Century Gothic"/>
          <w:i/>
          <w:iCs/>
          <w:sz w:val="20"/>
          <w:szCs w:val="20"/>
          <w:lang w:val="es-ES"/>
        </w:rPr>
      </w:pPr>
      <w:r w:rsidRPr="0009170C">
        <w:rPr>
          <w:rFonts w:ascii="Verdana" w:eastAsia="Century Gothic" w:hAnsi="Verdana" w:cs="Century Gothic"/>
          <w:i/>
          <w:iCs/>
          <w:sz w:val="20"/>
          <w:szCs w:val="20"/>
          <w:lang w:val="es-ES"/>
        </w:rPr>
        <w:t>Estaría en una omisión la entidad que contrate solo en razón de la calamidad pública y no de la urgencia manifiesta?”</w:t>
      </w:r>
    </w:p>
    <w:p w14:paraId="7F89A401" w14:textId="77777777" w:rsidR="0046584A" w:rsidRPr="00984644" w:rsidRDefault="0046584A" w:rsidP="0046584A">
      <w:pPr>
        <w:spacing w:before="120" w:after="120"/>
        <w:ind w:left="709" w:right="709"/>
        <w:contextualSpacing/>
        <w:jc w:val="both"/>
        <w:rPr>
          <w:rFonts w:ascii="Verdana" w:eastAsia="Century Gothic" w:hAnsi="Verdana" w:cs="Century Gothic"/>
          <w:i/>
          <w:iCs/>
          <w:sz w:val="20"/>
          <w:szCs w:val="20"/>
          <w:lang w:val="es-ES"/>
        </w:rPr>
      </w:pPr>
    </w:p>
    <w:p w14:paraId="5E65C7D4" w14:textId="77777777" w:rsidR="0046584A" w:rsidRPr="00984644" w:rsidRDefault="0046584A" w:rsidP="0046584A">
      <w:pPr>
        <w:spacing w:after="120" w:line="276" w:lineRule="auto"/>
        <w:ind w:firstLine="708"/>
        <w:jc w:val="both"/>
        <w:rPr>
          <w:rFonts w:ascii="Verdana" w:eastAsia="Calibri" w:hAnsi="Verdana" w:cs="Arial"/>
          <w:lang w:val="es-ES" w:eastAsia="es-ES"/>
        </w:rPr>
      </w:pPr>
      <w:r w:rsidRPr="00984644">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84644">
        <w:rPr>
          <w:rFonts w:ascii="Verdana" w:hAnsi="Verdana"/>
          <w:lang w:val="es-ES"/>
        </w:rPr>
        <w:tab/>
      </w:r>
    </w:p>
    <w:p w14:paraId="01AFE776" w14:textId="77777777" w:rsidR="0046584A" w:rsidRPr="00984644" w:rsidRDefault="0046584A" w:rsidP="0046584A">
      <w:pPr>
        <w:spacing w:after="0" w:line="276" w:lineRule="auto"/>
        <w:ind w:firstLine="709"/>
        <w:jc w:val="both"/>
        <w:rPr>
          <w:rFonts w:ascii="Verdana" w:eastAsia="Calibri" w:hAnsi="Verdana" w:cs="Arial"/>
          <w:lang w:val="es-ES" w:eastAsia="es-ES"/>
        </w:rPr>
      </w:pPr>
      <w:r w:rsidRPr="00984644">
        <w:rPr>
          <w:rFonts w:ascii="Verdana" w:eastAsia="Calibri" w:hAnsi="Verdana" w:cs="Arial"/>
          <w:lang w:val="es-ES" w:eastAsia="es-ES"/>
        </w:rPr>
        <w:t xml:space="preserve">Conforme lo expuesto, en aras de satisfacer el derecho fundamental de petición se resolverá su consulta dentro de los límites de la referida competencia </w:t>
      </w:r>
      <w:r w:rsidRPr="00984644">
        <w:rPr>
          <w:rFonts w:ascii="Verdana" w:eastAsia="Calibri" w:hAnsi="Verdana" w:cs="Arial"/>
          <w:lang w:val="es-ES" w:eastAsia="es-ES"/>
        </w:rPr>
        <w:lastRenderedPageBreak/>
        <w:t xml:space="preserve">consultiva, esto es, haciendo abstracción de las circunstancias particulares y concretas mencionadas en su petición, pero haciendo unas consideraciones sobre las normas generales relacionadas con el problema jurídico de su consulta. </w:t>
      </w:r>
    </w:p>
    <w:p w14:paraId="544F4C5E" w14:textId="77777777" w:rsidR="0046584A" w:rsidRPr="00984644" w:rsidRDefault="0046584A" w:rsidP="0046584A">
      <w:pPr>
        <w:spacing w:after="0" w:line="276" w:lineRule="auto"/>
        <w:ind w:firstLine="709"/>
        <w:jc w:val="both"/>
        <w:rPr>
          <w:rFonts w:ascii="Verdana" w:eastAsia="Calibri" w:hAnsi="Verdana" w:cs="Arial"/>
          <w:lang w:val="es-ES" w:eastAsia="es-ES"/>
        </w:rPr>
      </w:pPr>
    </w:p>
    <w:p w14:paraId="01319C54" w14:textId="77777777" w:rsidR="0046584A" w:rsidRPr="00984644" w:rsidRDefault="0046584A" w:rsidP="0046584A">
      <w:pPr>
        <w:tabs>
          <w:tab w:val="left" w:pos="142"/>
          <w:tab w:val="left" w:pos="284"/>
        </w:tabs>
        <w:spacing w:after="0" w:line="276" w:lineRule="auto"/>
        <w:contextualSpacing/>
        <w:jc w:val="both"/>
        <w:rPr>
          <w:rFonts w:ascii="Verdana" w:eastAsia="Century Gothic" w:hAnsi="Verdana" w:cs="Century Gothic"/>
          <w:b/>
          <w:lang w:val="es-ES"/>
        </w:rPr>
      </w:pPr>
      <w:r w:rsidRPr="00984644">
        <w:rPr>
          <w:rFonts w:ascii="Verdana" w:eastAsia="Century Gothic" w:hAnsi="Verdana" w:cs="Century Gothic"/>
          <w:b/>
          <w:lang w:val="es-ES"/>
        </w:rPr>
        <w:t>1. Problema planteado:</w:t>
      </w:r>
    </w:p>
    <w:p w14:paraId="6746F564" w14:textId="77777777" w:rsidR="0046584A" w:rsidRPr="00B56E33" w:rsidRDefault="0046584A" w:rsidP="0046584A">
      <w:pPr>
        <w:tabs>
          <w:tab w:val="left" w:pos="426"/>
        </w:tabs>
        <w:spacing w:after="0" w:line="276" w:lineRule="auto"/>
        <w:jc w:val="both"/>
        <w:rPr>
          <w:rFonts w:ascii="Verdana" w:eastAsia="Century Gothic" w:hAnsi="Verdana" w:cs="Century Gothic"/>
          <w:color w:val="EE0000"/>
          <w:lang w:val="es-ES"/>
        </w:rPr>
      </w:pPr>
    </w:p>
    <w:p w14:paraId="2840E3FC" w14:textId="77777777" w:rsidR="0046584A" w:rsidRPr="009B288C" w:rsidRDefault="0046584A" w:rsidP="0046584A">
      <w:pPr>
        <w:spacing w:after="0" w:line="276" w:lineRule="auto"/>
        <w:jc w:val="both"/>
        <w:rPr>
          <w:rFonts w:ascii="Verdana" w:eastAsia="Century Gothic" w:hAnsi="Verdana" w:cs="Century Gothic"/>
          <w:lang w:val="es-ES"/>
        </w:rPr>
      </w:pPr>
      <w:r w:rsidRPr="003A45AF">
        <w:rPr>
          <w:rFonts w:ascii="Verdana" w:eastAsia="Century Gothic" w:hAnsi="Verdana" w:cs="Century Gothic"/>
          <w:lang w:val="es-ES"/>
        </w:rPr>
        <w:t>De acuerdo con el contenido de su solicitud, esta Agencia resolverá el siguiente problema jurídico:</w:t>
      </w:r>
      <w:r w:rsidRPr="009B288C">
        <w:rPr>
          <w:rFonts w:ascii="Verdana" w:eastAsia="Century Gothic" w:hAnsi="Verdana" w:cs="Century Gothic"/>
        </w:rPr>
        <w:t xml:space="preserve"> ¿Cuáles son las entidades</w:t>
      </w:r>
      <w:r>
        <w:rPr>
          <w:rFonts w:ascii="Verdana" w:eastAsia="Century Gothic" w:hAnsi="Verdana" w:cs="Century Gothic"/>
        </w:rPr>
        <w:t xml:space="preserve"> y/o autoridades</w:t>
      </w:r>
      <w:r w:rsidRPr="009B288C">
        <w:rPr>
          <w:rFonts w:ascii="Verdana" w:eastAsia="Century Gothic" w:hAnsi="Verdana" w:cs="Century Gothic"/>
        </w:rPr>
        <w:t xml:space="preserve"> competentes para decretar calamidad pública que permita</w:t>
      </w:r>
      <w:r>
        <w:rPr>
          <w:rFonts w:ascii="Verdana" w:eastAsia="Century Gothic" w:hAnsi="Verdana" w:cs="Century Gothic"/>
        </w:rPr>
        <w:t xml:space="preserve"> habilitar</w:t>
      </w:r>
      <w:r w:rsidRPr="009B288C">
        <w:rPr>
          <w:rFonts w:ascii="Verdana" w:eastAsia="Century Gothic" w:hAnsi="Verdana" w:cs="Century Gothic"/>
        </w:rPr>
        <w:t xml:space="preserve"> la contratación directa bajo la figura de urgencia manifiesta?</w:t>
      </w:r>
    </w:p>
    <w:p w14:paraId="5C76F3A4" w14:textId="77777777" w:rsidR="0046584A" w:rsidRPr="00B56E33" w:rsidRDefault="0046584A" w:rsidP="0046584A">
      <w:pPr>
        <w:spacing w:after="0" w:line="276" w:lineRule="auto"/>
        <w:jc w:val="both"/>
        <w:rPr>
          <w:rFonts w:ascii="Verdana" w:eastAsia="Century Gothic" w:hAnsi="Verdana" w:cs="Century Gothic"/>
          <w:color w:val="EE0000"/>
        </w:rPr>
      </w:pPr>
    </w:p>
    <w:p w14:paraId="5A6DC427" w14:textId="77777777" w:rsidR="0046584A" w:rsidRPr="00361686" w:rsidRDefault="0046584A" w:rsidP="0046584A">
      <w:pPr>
        <w:tabs>
          <w:tab w:val="left" w:pos="142"/>
          <w:tab w:val="left" w:pos="284"/>
        </w:tabs>
        <w:spacing w:after="0" w:line="276" w:lineRule="auto"/>
        <w:jc w:val="both"/>
        <w:rPr>
          <w:rFonts w:ascii="Verdana" w:eastAsia="Century Gothic" w:hAnsi="Verdana" w:cs="Century Gothic"/>
          <w:b/>
          <w:lang w:val="es-ES"/>
        </w:rPr>
      </w:pPr>
      <w:r w:rsidRPr="00361686">
        <w:rPr>
          <w:rFonts w:ascii="Verdana" w:eastAsia="Century Gothic" w:hAnsi="Verdana" w:cs="Century Gothic"/>
          <w:b/>
          <w:lang w:val="es-ES"/>
        </w:rPr>
        <w:t>2. Respuesta:</w:t>
      </w:r>
    </w:p>
    <w:p w14:paraId="400AE363" w14:textId="77777777" w:rsidR="0046584A" w:rsidRPr="00B56E33" w:rsidRDefault="0046584A" w:rsidP="0046584A">
      <w:pPr>
        <w:tabs>
          <w:tab w:val="left" w:pos="142"/>
          <w:tab w:val="left" w:pos="284"/>
        </w:tabs>
        <w:spacing w:after="0" w:line="276" w:lineRule="auto"/>
        <w:jc w:val="both"/>
        <w:rPr>
          <w:rFonts w:ascii="Verdana" w:eastAsia="Century Gothic" w:hAnsi="Verdana" w:cs="Century Gothic"/>
          <w:b/>
          <w:bCs/>
          <w:color w:val="EE0000"/>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6584A" w:rsidRPr="00B56E33" w14:paraId="14ECB401" w14:textId="77777777">
        <w:tc>
          <w:tcPr>
            <w:tcW w:w="8828" w:type="dxa"/>
          </w:tcPr>
          <w:p w14:paraId="7CC210EC" w14:textId="77777777" w:rsidR="0046584A" w:rsidRPr="009A0292" w:rsidRDefault="0046584A">
            <w:pPr>
              <w:spacing w:after="120" w:line="276" w:lineRule="auto"/>
              <w:jc w:val="both"/>
              <w:rPr>
                <w:rFonts w:ascii="Verdana" w:eastAsia="Calibri" w:hAnsi="Verdana" w:cs="Arial"/>
              </w:rPr>
            </w:pPr>
            <w:r w:rsidRPr="009A0292">
              <w:rPr>
                <w:rFonts w:ascii="Verdana" w:eastAsia="Calibri" w:hAnsi="Verdana" w:cs="Arial"/>
              </w:rPr>
              <w:t xml:space="preserve">Para responde el problema planteado, conforme a lo dispuesto en los artículos 56 y 57 de la Ley 1523 de 2012 y su interpretación en el marco del sistema de compras públicas, la competencia para declarar la situación de desastre recae exclusivamente en el Presidente de la República, tanto en el orden nacional, departamental, como en el municipal y distrital. En contraste, sí corresponde a los gobernadores y alcaldes declarar la situación de calamidad pública dentro de sus respectivos ámbitos, esta facultad no puede ser ejercida por el Presidente de la República. </w:t>
            </w:r>
          </w:p>
          <w:p w14:paraId="3C102446" w14:textId="77777777" w:rsidR="0046584A" w:rsidRPr="009A0292" w:rsidRDefault="0046584A">
            <w:pPr>
              <w:spacing w:after="120" w:line="276" w:lineRule="auto"/>
              <w:ind w:firstLine="709"/>
              <w:jc w:val="both"/>
              <w:rPr>
                <w:rFonts w:ascii="Verdana" w:eastAsia="Calibri" w:hAnsi="Verdana" w:cs="Arial"/>
                <w:lang w:val="es-ES_tradnl"/>
              </w:rPr>
            </w:pPr>
            <w:r w:rsidRPr="009A0292">
              <w:rPr>
                <w:rFonts w:ascii="Verdana" w:eastAsia="Calibri" w:hAnsi="Verdana" w:cs="Arial"/>
              </w:rPr>
              <w:t>Ahora bien,</w:t>
            </w:r>
            <w:r w:rsidRPr="009A0292">
              <w:rPr>
                <w:rFonts w:ascii="Verdana" w:eastAsia="Calibri" w:hAnsi="Verdana" w:cs="Arial"/>
                <w:lang w:val="es-ES_tradnl"/>
              </w:rPr>
              <w:t xml:space="preserve"> una vez que se declara la situación de calamidad pública o la situación de desastres bajo los parámetros señalados en el artículo 59 de la Ley 1523 de 2012 por la autoridad competente, posterior a ello, las demás entidades estatales de acuerdo con el artículo 42 de la Ley 80 de 1993, quedan facultadas para declarar la causal de contratación directa denominada “urgencia manifiesta”, mediante un acto administrativo propio, autónomo, que tiene como fundamento fáctico y jurídico la declaración de situación de calamidad o la situación de desastre. </w:t>
            </w:r>
          </w:p>
          <w:p w14:paraId="524C52B1" w14:textId="77777777" w:rsidR="0046584A" w:rsidRPr="009A0292" w:rsidRDefault="0046584A">
            <w:pPr>
              <w:spacing w:after="120" w:line="276" w:lineRule="auto"/>
              <w:ind w:firstLine="709"/>
              <w:jc w:val="both"/>
              <w:rPr>
                <w:rFonts w:ascii="Verdana" w:eastAsia="Calibri" w:hAnsi="Verdana" w:cs="Arial"/>
                <w:lang w:val="es-ES"/>
              </w:rPr>
            </w:pPr>
            <w:r w:rsidRPr="009A0292">
              <w:rPr>
                <w:rFonts w:ascii="Verdana" w:eastAsia="Calibri" w:hAnsi="Verdana" w:cs="Arial"/>
                <w:lang w:val="es-ES_tradnl"/>
              </w:rPr>
              <w:t xml:space="preserve">Aunado a lo anterior, significa que para contratar directamente, no basta con la declaración de desastre o de calamidad, sino que se requieren de dos (2) actos administrativos concurrentes para que pueda operar la contratación directa por urgencia manifiesta: </w:t>
            </w:r>
            <w:r w:rsidRPr="009A0292">
              <w:rPr>
                <w:rFonts w:ascii="Verdana" w:eastAsia="Calibri" w:hAnsi="Verdana" w:cs="Arial"/>
                <w:lang w:val="es-ES"/>
              </w:rPr>
              <w:t xml:space="preserve">i) primero, la declaración de la situación de calamidad pública o la declaración de la situación de desastre, de conformidad con lo establecido en el Capítulo VI de la Ley 1523 de 2012; y ii) </w:t>
            </w:r>
            <w:r w:rsidRPr="009A0292">
              <w:rPr>
                <w:rFonts w:ascii="Verdana" w:eastAsia="Calibri" w:hAnsi="Verdana" w:cs="Arial"/>
                <w:lang w:val="es-ES"/>
              </w:rPr>
              <w:lastRenderedPageBreak/>
              <w:t xml:space="preserve">segundo, la declaración propiamente dicha de “urgencia manifiesta” de que trata el artículo 42 del Estatuto General de Contratación, amparado o fundamentado en la declaración previa del desastre o calamidad. </w:t>
            </w:r>
          </w:p>
          <w:p w14:paraId="550D3228" w14:textId="77777777" w:rsidR="0046584A" w:rsidRDefault="0046584A">
            <w:pPr>
              <w:spacing w:after="120" w:line="276" w:lineRule="auto"/>
              <w:ind w:firstLine="709"/>
              <w:jc w:val="both"/>
              <w:rPr>
                <w:rFonts w:ascii="Verdana" w:eastAsia="Calibri" w:hAnsi="Verdana" w:cs="Arial"/>
                <w:lang w:val="es-ES"/>
              </w:rPr>
            </w:pPr>
            <w:r w:rsidRPr="009A0292">
              <w:rPr>
                <w:rFonts w:ascii="Verdana" w:eastAsia="Calibri" w:hAnsi="Verdana" w:cs="Arial"/>
                <w:lang w:val="es-ES"/>
              </w:rPr>
              <w:t xml:space="preserve">Para declarar la urgencia manifiesta es imprescindible que el presidente de la república o el gobernador o el alcalde, según el caso, hayan declarado la situación de desastre o la declaración de calamidad. Tratándose de los funcionarios mencionados, ambas declaraciones pueden realizarse en un mismo acto administrativo, es decir, el presidente, el gobernador o el alcalde declara el desastre o la calamidad y, como consecuencia, decreta la urgencia manifiesta. Lo anterior, porque la situación de calamidad pública o la situación de desastre depende tanto de la ocurrencia de los hechos que dan lugar a las mismas como de la declaración del órgano competente, de manera que ninguna se configura a falta de alguna de estas condiciones. </w:t>
            </w:r>
          </w:p>
          <w:p w14:paraId="764A0AE9" w14:textId="0CF7FE7C" w:rsidR="0046584A" w:rsidRDefault="0046584A">
            <w:pPr>
              <w:spacing w:after="120" w:line="276" w:lineRule="auto"/>
              <w:ind w:firstLine="709"/>
              <w:jc w:val="both"/>
              <w:rPr>
                <w:rFonts w:ascii="Verdana" w:eastAsia="Calibri" w:hAnsi="Verdana" w:cs="Arial"/>
                <w:lang w:val="es-ES_tradnl"/>
              </w:rPr>
            </w:pPr>
            <w:r>
              <w:rPr>
                <w:rFonts w:ascii="Verdana" w:eastAsia="Calibri" w:hAnsi="Verdana" w:cs="Arial"/>
                <w:lang w:val="es-ES_tradnl"/>
              </w:rPr>
              <w:t>C</w:t>
            </w:r>
            <w:r w:rsidRPr="00D93A6C">
              <w:rPr>
                <w:rFonts w:ascii="Verdana" w:eastAsia="Calibri" w:hAnsi="Verdana" w:cs="Arial"/>
                <w:lang w:val="es-ES_tradnl"/>
              </w:rPr>
              <w:t>omo una autoridad diferente al presidente de la república, o al gobernador y el alcalde</w:t>
            </w:r>
            <w:r>
              <w:rPr>
                <w:rFonts w:ascii="Verdana" w:eastAsia="Calibri" w:hAnsi="Verdana" w:cs="Arial"/>
                <w:lang w:val="es-ES_tradnl"/>
              </w:rPr>
              <w:t xml:space="preserve">, </w:t>
            </w:r>
            <w:r w:rsidRPr="00D93A6C">
              <w:rPr>
                <w:rFonts w:ascii="Verdana" w:eastAsia="Calibri" w:hAnsi="Verdana" w:cs="Arial"/>
                <w:lang w:val="es-ES_tradnl"/>
              </w:rPr>
              <w:t>por ejemplo, los ministros, directores o presidentes de agencias, directores de establecimientos públicos, de sociedades de economía mixta,</w:t>
            </w:r>
            <w:r>
              <w:rPr>
                <w:rFonts w:ascii="Verdana" w:eastAsia="Calibri" w:hAnsi="Verdana" w:cs="Arial"/>
                <w:lang w:val="es-ES_tradnl"/>
              </w:rPr>
              <w:t xml:space="preserve"> entre otros</w:t>
            </w:r>
            <w:r w:rsidRPr="00D93A6C">
              <w:rPr>
                <w:rFonts w:ascii="Verdana" w:eastAsia="Calibri" w:hAnsi="Verdana" w:cs="Arial"/>
                <w:lang w:val="es-ES_tradnl"/>
              </w:rPr>
              <w:t xml:space="preserve">, carece de competencia para declarar cualquiera de estas dos </w:t>
            </w:r>
            <w:r>
              <w:rPr>
                <w:rFonts w:ascii="Verdana" w:eastAsia="Calibri" w:hAnsi="Verdana" w:cs="Arial"/>
                <w:lang w:val="es-ES_tradnl"/>
              </w:rPr>
              <w:t xml:space="preserve">(2) </w:t>
            </w:r>
            <w:r w:rsidRPr="00D93A6C">
              <w:rPr>
                <w:rFonts w:ascii="Verdana" w:eastAsia="Calibri" w:hAnsi="Verdana" w:cs="Arial"/>
                <w:lang w:val="es-ES_tradnl"/>
              </w:rPr>
              <w:t>situaciones,</w:t>
            </w:r>
            <w:r>
              <w:rPr>
                <w:rFonts w:ascii="Verdana" w:eastAsia="Calibri" w:hAnsi="Verdana" w:cs="Arial"/>
                <w:lang w:val="es-ES_tradnl"/>
              </w:rPr>
              <w:t xml:space="preserve"> y por lo tanto,</w:t>
            </w:r>
            <w:r w:rsidRPr="00D93A6C">
              <w:rPr>
                <w:rFonts w:ascii="Verdana" w:eastAsia="Calibri" w:hAnsi="Verdana" w:cs="Arial"/>
                <w:lang w:val="es-ES_tradnl"/>
              </w:rPr>
              <w:t xml:space="preserve"> deben esperar a que se dicten los actos respectivos para fundamentar la declaración de urgencia manifiesta en la situación de desastre o en la situación de calamidad.</w:t>
            </w:r>
          </w:p>
          <w:p w14:paraId="20EA97AB" w14:textId="41E52381" w:rsidR="00CA3539" w:rsidRPr="00FD122F" w:rsidRDefault="00CA3539" w:rsidP="00CA3539">
            <w:pPr>
              <w:spacing w:after="120" w:line="276" w:lineRule="auto"/>
              <w:ind w:firstLine="709"/>
              <w:jc w:val="both"/>
              <w:rPr>
                <w:rFonts w:ascii="Verdana" w:eastAsia="Calibri" w:hAnsi="Verdana" w:cs="Arial"/>
                <w:lang w:val="es-ES"/>
              </w:rPr>
            </w:pPr>
            <w:r>
              <w:rPr>
                <w:rFonts w:ascii="Verdana" w:eastAsia="Calibri" w:hAnsi="Verdana" w:cs="Arial"/>
                <w:lang w:val="es-ES_tradnl"/>
              </w:rPr>
              <w:t>Conforme a lo expuesto, s</w:t>
            </w:r>
            <w:r w:rsidRPr="736CB040">
              <w:rPr>
                <w:rFonts w:ascii="Verdana" w:eastAsia="Calibri" w:hAnsi="Verdana" w:cs="Arial"/>
                <w:lang w:val="es-ES"/>
              </w:rPr>
              <w:t xml:space="preserve">in el primer acto administrativo no es posible expedir el segundo, es decir, para declarar la urgencia manifiesta es imprescindible que el presidente de la república o el gobernador o el alcalde, según el caso, hayan declarado la situación de desastre o la declaración de calamidad. Lo anterior, porque la situación de calamidad pública o la situación de desastre depende tanto de la ocurrencia de los hechos que dan lugar a las mismas como de la declaración del órgano competente, de manera que ninguna se configura a falta de alguna de estas condiciones. </w:t>
            </w:r>
          </w:p>
          <w:p w14:paraId="11917972" w14:textId="77777777" w:rsidR="0046584A" w:rsidRPr="00EC7736" w:rsidRDefault="0046584A">
            <w:pPr>
              <w:spacing w:after="120" w:line="276" w:lineRule="auto"/>
              <w:ind w:firstLine="709"/>
              <w:jc w:val="both"/>
              <w:rPr>
                <w:rFonts w:ascii="Verdana" w:eastAsia="Calibri" w:hAnsi="Verdana" w:cs="Arial"/>
                <w:color w:val="EE0000"/>
                <w:lang w:val="es-ES_tradnl"/>
              </w:rPr>
            </w:pPr>
            <w:r w:rsidRPr="0003776E">
              <w:rPr>
                <w:rStyle w:val="s15"/>
                <w:rFonts w:ascii="Verdana" w:hAnsi="Verdana"/>
                <w:color w:val="000000"/>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w:t>
            </w:r>
            <w:r w:rsidRPr="0003776E">
              <w:rPr>
                <w:rStyle w:val="s15"/>
                <w:rFonts w:ascii="Verdana" w:hAnsi="Verdana"/>
                <w:color w:val="000000"/>
              </w:rPr>
              <w:lastRenderedPageBreak/>
              <w:t>y, en caso de conflicto, a las autoridades judiciales, fiscales y disciplinarias. Así, cada entidad definirá la forma de adelantar su gestión contractual, sin que sea atribución de Colombia Compra Eficiente validar sus actuaciones.</w:t>
            </w:r>
          </w:p>
        </w:tc>
      </w:tr>
    </w:tbl>
    <w:p w14:paraId="57C23692" w14:textId="77777777" w:rsidR="0046584A" w:rsidRPr="00B56E33" w:rsidRDefault="0046584A" w:rsidP="0046584A">
      <w:pPr>
        <w:tabs>
          <w:tab w:val="left" w:pos="142"/>
          <w:tab w:val="left" w:pos="284"/>
        </w:tabs>
        <w:spacing w:after="0" w:line="276" w:lineRule="auto"/>
        <w:jc w:val="both"/>
        <w:rPr>
          <w:rFonts w:ascii="Verdana" w:eastAsia="Century Gothic" w:hAnsi="Verdana" w:cs="Century Gothic"/>
          <w:b/>
          <w:bCs/>
          <w:color w:val="EE0000"/>
          <w:lang w:val="es-ES"/>
        </w:rPr>
      </w:pPr>
    </w:p>
    <w:p w14:paraId="50B45F52" w14:textId="77777777" w:rsidR="0046584A" w:rsidRPr="003B44A7" w:rsidRDefault="0046584A" w:rsidP="0046584A">
      <w:pPr>
        <w:tabs>
          <w:tab w:val="left" w:pos="142"/>
          <w:tab w:val="left" w:pos="284"/>
        </w:tabs>
        <w:spacing w:after="0" w:line="276" w:lineRule="auto"/>
        <w:jc w:val="both"/>
        <w:rPr>
          <w:rFonts w:ascii="Verdana" w:eastAsia="Century Gothic" w:hAnsi="Verdana" w:cs="Century Gothic"/>
          <w:b/>
          <w:lang w:val="es-ES"/>
        </w:rPr>
      </w:pPr>
      <w:r w:rsidRPr="003B44A7">
        <w:rPr>
          <w:rFonts w:ascii="Verdana" w:eastAsia="Century Gothic" w:hAnsi="Verdana" w:cs="Century Gothic"/>
          <w:b/>
          <w:lang w:val="es-ES"/>
        </w:rPr>
        <w:t>3. Razones de la respuesta:</w:t>
      </w:r>
    </w:p>
    <w:p w14:paraId="32B9B64A" w14:textId="77777777" w:rsidR="0046584A" w:rsidRPr="003B44A7" w:rsidRDefault="0046584A" w:rsidP="0046584A">
      <w:pPr>
        <w:tabs>
          <w:tab w:val="left" w:pos="142"/>
          <w:tab w:val="left" w:pos="284"/>
        </w:tabs>
        <w:spacing w:after="0" w:line="276" w:lineRule="auto"/>
        <w:jc w:val="both"/>
        <w:rPr>
          <w:rFonts w:ascii="Verdana" w:eastAsia="Century Gothic" w:hAnsi="Verdana" w:cs="Century Gothic"/>
          <w:b/>
          <w:lang w:val="es-ES"/>
        </w:rPr>
      </w:pPr>
    </w:p>
    <w:p w14:paraId="19930522" w14:textId="77777777" w:rsidR="0046584A" w:rsidRPr="003B44A7" w:rsidRDefault="0046584A" w:rsidP="0046584A">
      <w:pPr>
        <w:spacing w:after="0" w:line="276" w:lineRule="auto"/>
        <w:jc w:val="both"/>
        <w:rPr>
          <w:rFonts w:ascii="Verdana" w:eastAsia="Calibri" w:hAnsi="Verdana" w:cs="Arial"/>
          <w:lang w:val="es-ES"/>
        </w:rPr>
      </w:pPr>
      <w:bookmarkStart w:id="1" w:name="_Hlk102983874"/>
      <w:bookmarkStart w:id="2" w:name="_Hlk102388095"/>
      <w:r w:rsidRPr="003B44A7">
        <w:rPr>
          <w:rFonts w:ascii="Verdana" w:eastAsia="Calibri" w:hAnsi="Verdana" w:cs="Arial"/>
          <w:lang w:val="es-ES"/>
        </w:rPr>
        <w:t>Lo anterior se sustenta en las siguientes consideraciones:</w:t>
      </w:r>
    </w:p>
    <w:p w14:paraId="3838B16F" w14:textId="77777777" w:rsidR="0046584A" w:rsidRPr="00B56E33" w:rsidRDefault="0046584A" w:rsidP="0046584A">
      <w:pPr>
        <w:spacing w:after="0" w:line="276" w:lineRule="auto"/>
        <w:jc w:val="both"/>
        <w:rPr>
          <w:rFonts w:ascii="Verdana" w:eastAsia="Calibri" w:hAnsi="Verdana" w:cs="Arial"/>
          <w:color w:val="EE0000"/>
          <w:lang w:val="es-ES"/>
        </w:rPr>
      </w:pPr>
    </w:p>
    <w:p w14:paraId="71FBBF1F" w14:textId="77777777" w:rsidR="0046584A" w:rsidRDefault="0046584A" w:rsidP="0046584A">
      <w:pPr>
        <w:spacing w:after="120" w:line="276" w:lineRule="auto"/>
        <w:jc w:val="both"/>
        <w:rPr>
          <w:rFonts w:ascii="Verdana" w:hAnsi="Verdana" w:cs="Arial"/>
          <w:bCs/>
          <w:lang w:val="es-MX"/>
        </w:rPr>
      </w:pPr>
      <w:r w:rsidRPr="00603608">
        <w:rPr>
          <w:rFonts w:ascii="Verdana" w:eastAsia="Calibri" w:hAnsi="Verdana" w:cs="Arial"/>
          <w:lang w:val="es-ES_tradnl"/>
        </w:rPr>
        <w:t>i)</w:t>
      </w:r>
      <w:r w:rsidRPr="00603608">
        <w:rPr>
          <w:rFonts w:ascii="Verdana" w:hAnsi="Verdana" w:cs="Arial"/>
          <w:lang w:val="es-ES"/>
        </w:rPr>
        <w:t xml:space="preserve"> </w:t>
      </w:r>
      <w:r>
        <w:rPr>
          <w:rFonts w:ascii="Verdana" w:hAnsi="Verdana" w:cs="Arial"/>
          <w:lang w:val="es-ES"/>
        </w:rPr>
        <w:t xml:space="preserve">Los </w:t>
      </w:r>
      <w:r w:rsidRPr="00B47324">
        <w:rPr>
          <w:rFonts w:ascii="Verdana" w:hAnsi="Verdana" w:cs="Arial"/>
          <w:lang w:val="es-ES"/>
        </w:rPr>
        <w:t xml:space="preserve">procesos de selección </w:t>
      </w:r>
      <w:r>
        <w:rPr>
          <w:rFonts w:ascii="Verdana" w:hAnsi="Verdana" w:cs="Arial"/>
          <w:lang w:val="es-ES"/>
        </w:rPr>
        <w:t>p</w:t>
      </w:r>
      <w:r w:rsidRPr="00B47324">
        <w:rPr>
          <w:rFonts w:ascii="Verdana" w:hAnsi="Verdana" w:cs="Arial"/>
          <w:lang w:val="es-ES"/>
        </w:rPr>
        <w:t xml:space="preserve">ara las entidades </w:t>
      </w:r>
      <w:r>
        <w:rPr>
          <w:rFonts w:ascii="Verdana" w:hAnsi="Verdana" w:cs="Arial"/>
          <w:lang w:val="es-ES"/>
        </w:rPr>
        <w:t xml:space="preserve">sometidas a la Ley 80 de 1993 </w:t>
      </w:r>
      <w:r w:rsidRPr="00B47324">
        <w:rPr>
          <w:rFonts w:ascii="Verdana" w:hAnsi="Verdana" w:cs="Arial"/>
          <w:lang w:val="es-ES"/>
        </w:rPr>
        <w:t xml:space="preserve">se rigen por el artículo 2 de la Ley 1150 de 2007. El </w:t>
      </w:r>
      <w:r w:rsidRPr="00B47324">
        <w:rPr>
          <w:rFonts w:ascii="Verdana" w:hAnsi="Verdana" w:cs="Arial"/>
          <w:bCs/>
          <w:lang w:val="es-MX"/>
        </w:rPr>
        <w:t>numeral</w:t>
      </w:r>
      <w:r w:rsidRPr="00666B6A">
        <w:rPr>
          <w:rFonts w:ascii="Verdana" w:hAnsi="Verdana" w:cs="Arial"/>
          <w:bCs/>
          <w:lang w:val="es-MX"/>
        </w:rPr>
        <w:t xml:space="preserve"> uno, inciso primero, dispone que “La escogencia del contratista se efectuará por </w:t>
      </w:r>
      <w:r w:rsidRPr="00666B6A">
        <w:rPr>
          <w:rFonts w:ascii="Verdana" w:hAnsi="Verdana" w:cs="Arial"/>
          <w:bCs/>
          <w:i/>
          <w:iCs/>
          <w:lang w:val="es-MX"/>
        </w:rPr>
        <w:t>regla general</w:t>
      </w:r>
      <w:r w:rsidRPr="00666B6A">
        <w:rPr>
          <w:rFonts w:ascii="Verdana" w:hAnsi="Verdana" w:cs="Arial"/>
          <w:bCs/>
          <w:lang w:val="es-MX"/>
        </w:rPr>
        <w:t xml:space="preserve"> a través de licitación pública, con las </w:t>
      </w:r>
      <w:r w:rsidRPr="00666B6A">
        <w:rPr>
          <w:rFonts w:ascii="Verdana" w:hAnsi="Verdana" w:cs="Arial"/>
          <w:bCs/>
          <w:i/>
          <w:iCs/>
          <w:lang w:val="es-MX"/>
        </w:rPr>
        <w:t>excepciones</w:t>
      </w:r>
      <w:r w:rsidRPr="00666B6A">
        <w:rPr>
          <w:rFonts w:ascii="Verdana" w:hAnsi="Verdana" w:cs="Arial"/>
          <w:bCs/>
          <w:lang w:val="es-MX"/>
        </w:rPr>
        <w:t xml:space="preserve"> que se señalan en los numerales 2, 3 y 4 del presente artículo” (Énfasis fuera de texto), norma que sustituye el derogado numeral 1 del artículo 24 de la Ley 80 de 1993 sobre el principio de transparencia</w:t>
      </w:r>
      <w:r w:rsidRPr="00666B6A">
        <w:rPr>
          <w:rFonts w:ascii="Verdana" w:hAnsi="Verdana" w:cs="Arial"/>
          <w:bCs/>
          <w:vertAlign w:val="superscript"/>
          <w:lang w:val="es-MX"/>
        </w:rPr>
        <w:footnoteReference w:id="1"/>
      </w:r>
      <w:r w:rsidRPr="00666B6A">
        <w:rPr>
          <w:rFonts w:ascii="Verdana" w:hAnsi="Verdana" w:cs="Arial"/>
          <w:bCs/>
          <w:lang w:val="es-MX"/>
        </w:rPr>
        <w:t>. En este contexto, salvo norma especial que ordene la celebración del negocio jurídico por selección abreviada, concurso de méritos, mínima cuantía o contratación directa, debe aplicarse la regla general de licitación pública</w:t>
      </w:r>
      <w:r w:rsidRPr="00666B6A">
        <w:rPr>
          <w:rFonts w:ascii="Verdana" w:hAnsi="Verdana" w:cs="Arial"/>
          <w:bCs/>
          <w:vertAlign w:val="superscript"/>
          <w:lang w:val="es-MX"/>
        </w:rPr>
        <w:footnoteReference w:id="2"/>
      </w:r>
      <w:r w:rsidRPr="00666B6A">
        <w:rPr>
          <w:rFonts w:ascii="Verdana" w:hAnsi="Verdana" w:cs="Arial"/>
          <w:bCs/>
          <w:lang w:val="es-MX"/>
        </w:rPr>
        <w:t>.</w:t>
      </w:r>
    </w:p>
    <w:p w14:paraId="61DFF342" w14:textId="77777777" w:rsidR="0046584A" w:rsidRPr="00603608" w:rsidRDefault="0046584A" w:rsidP="00FD122F">
      <w:pPr>
        <w:spacing w:after="120" w:line="276" w:lineRule="auto"/>
        <w:ind w:firstLine="708"/>
        <w:jc w:val="both"/>
        <w:rPr>
          <w:rFonts w:ascii="Verdana" w:hAnsi="Verdana" w:cs="Arial"/>
          <w:bCs/>
          <w:lang w:val="es-MX"/>
        </w:rPr>
      </w:pPr>
      <w:r w:rsidRPr="00480D85">
        <w:rPr>
          <w:rFonts w:ascii="Verdana" w:eastAsia="Times New Roman" w:hAnsi="Verdana" w:cs="Arial"/>
          <w:lang w:eastAsia="es-MX"/>
        </w:rPr>
        <w:t xml:space="preserve">La exposición de motivos de la Ley 1150 de 2007 señala las razones por las cuales se establecieron estos procedimientos, pues “[…] las experiencias </w:t>
      </w:r>
      <w:r w:rsidRPr="00480D85">
        <w:rPr>
          <w:rFonts w:ascii="Verdana" w:eastAsia="Times New Roman" w:hAnsi="Verdana" w:cs="Arial"/>
          <w:lang w:eastAsia="es-MX"/>
        </w:rPr>
        <w:lastRenderedPageBreak/>
        <w:t>exitosas a nivel internacional demuestran que el criterio de distinción que debe gobernar un esquema contractual eficiente es el de modular las modalidades de selección en razón a las características del objeto”</w:t>
      </w:r>
      <w:r w:rsidRPr="00480D85">
        <w:rPr>
          <w:rFonts w:ascii="Verdana" w:eastAsia="Times New Roman" w:hAnsi="Verdana" w:cs="Arial"/>
          <w:vertAlign w:val="superscript"/>
          <w:lang w:eastAsia="es-MX"/>
        </w:rPr>
        <w:footnoteReference w:id="3"/>
      </w:r>
      <w:r w:rsidRPr="00480D85">
        <w:rPr>
          <w:rFonts w:ascii="Verdana" w:eastAsia="Times New Roman" w:hAnsi="Verdana" w:cs="Arial"/>
          <w:lang w:eastAsia="es-MX"/>
        </w:rPr>
        <w:t>.</w:t>
      </w:r>
      <w:r w:rsidRPr="00480D85">
        <w:rPr>
          <w:rFonts w:ascii="Verdana" w:hAnsi="Verdana" w:cs="Arial"/>
          <w:lang w:eastAsia="es-MX"/>
        </w:rPr>
        <w:t xml:space="preserve"> Así, la</w:t>
      </w:r>
      <w:r>
        <w:rPr>
          <w:rFonts w:ascii="Verdana" w:hAnsi="Verdana" w:cs="Arial"/>
          <w:lang w:eastAsia="es-MX"/>
        </w:rPr>
        <w:t>s</w:t>
      </w:r>
      <w:r w:rsidRPr="00480D85">
        <w:rPr>
          <w:rFonts w:ascii="Verdana" w:hAnsi="Verdana" w:cs="Arial"/>
          <w:lang w:eastAsia="es-MX"/>
        </w:rPr>
        <w:t xml:space="preserve"> </w:t>
      </w:r>
      <w:r w:rsidRPr="00480D85">
        <w:rPr>
          <w:rFonts w:ascii="Verdana" w:eastAsia="Times New Roman" w:hAnsi="Verdana" w:cs="Arial"/>
          <w:lang w:eastAsia="es-MX"/>
        </w:rPr>
        <w:t>modalidades pueden dividirse en i) competitivas y ii) no competitivas. Sobre el particular, la guía de competencia en las compras públicas de la Agencia Nacional de Contratación Pública – Colombia Compra Eficiente señala que “[…] la competencia, entendida como rivalidad efectiva entre empresas de un mismo mercado, incentiva la reducción de precios, el aumento de la calidad, la lucha contra la corrupción y la innovación por parte del sector privado”</w:t>
      </w:r>
      <w:r w:rsidRPr="00480D85">
        <w:rPr>
          <w:rFonts w:ascii="Verdana" w:eastAsia="Times New Roman" w:hAnsi="Verdana" w:cs="Arial"/>
          <w:vertAlign w:val="superscript"/>
          <w:lang w:eastAsia="es-MX"/>
        </w:rPr>
        <w:footnoteReference w:id="4"/>
      </w:r>
      <w:r w:rsidRPr="00480D85">
        <w:rPr>
          <w:rFonts w:ascii="Verdana" w:eastAsia="Times New Roman" w:hAnsi="Verdana" w:cs="Arial"/>
          <w:lang w:eastAsia="es-MX"/>
        </w:rPr>
        <w:t xml:space="preserve">. </w:t>
      </w:r>
    </w:p>
    <w:p w14:paraId="67841380" w14:textId="77777777" w:rsidR="0046584A" w:rsidRPr="00480D85" w:rsidRDefault="0046584A" w:rsidP="0046584A">
      <w:pPr>
        <w:spacing w:after="120" w:line="276" w:lineRule="auto"/>
        <w:ind w:firstLine="709"/>
        <w:jc w:val="both"/>
        <w:rPr>
          <w:rFonts w:ascii="Verdana" w:eastAsia="Times New Roman" w:hAnsi="Verdana" w:cs="Arial"/>
          <w:lang w:eastAsia="es-MX"/>
        </w:rPr>
      </w:pPr>
      <w:r w:rsidRPr="00480D85">
        <w:rPr>
          <w:rFonts w:ascii="Verdana" w:eastAsia="Times New Roman" w:hAnsi="Verdana" w:cs="Arial"/>
          <w:lang w:eastAsia="es-MX"/>
        </w:rPr>
        <w:t>Por ejemplo, procesos como la licitación pública y el concurso de méritos son modalidades de selección abiertas a competencia, pues en ellas tiene lugar la participación de varios proponentes en una fase pública de presentación de ofertas. Esto permite que todas las personas interesadas concurran al proceso en igualdad de condiciones y compitan en el mismo. En contraste, la modalidad de selección de contratación directa es una modalidad no competitiva, es decir, no está abierta al público para que los proponentes presenten sus ofertas. En esta modalidad la entidad estatal determina, de forma directa y no pública, la persona que puede participar y que será seleccionada.</w:t>
      </w:r>
    </w:p>
    <w:p w14:paraId="50ECFE40" w14:textId="77777777" w:rsidR="0046584A" w:rsidRPr="00480D85" w:rsidRDefault="0046584A" w:rsidP="0046584A">
      <w:pPr>
        <w:spacing w:after="120" w:line="276" w:lineRule="auto"/>
        <w:ind w:firstLine="708"/>
        <w:jc w:val="both"/>
        <w:rPr>
          <w:rFonts w:ascii="Verdana" w:eastAsia="Times New Roman" w:hAnsi="Verdana" w:cs="Arial"/>
          <w:lang w:eastAsia="es-MX"/>
        </w:rPr>
      </w:pPr>
      <w:r w:rsidRPr="00480D85">
        <w:rPr>
          <w:rFonts w:ascii="Verdana" w:eastAsia="Times New Roman" w:hAnsi="Verdana" w:cs="Arial"/>
          <w:lang w:eastAsia="es-MX"/>
        </w:rPr>
        <w:t>Lo expuesto se complementa con lo explicado por la Corte Constitucional en Sentencia C-713 de 2009, la cual estudió la constitucionalidad de los artículos 2 ‒parcial‒ y 5 ‒parcial‒ de la Ley 1150 de 2007. En esa decisi</w:t>
      </w:r>
      <w:r w:rsidRPr="00480D85">
        <w:rPr>
          <w:rFonts w:ascii="Verdana" w:eastAsia="Times New Roman" w:hAnsi="Verdana" w:cs="Century Gothic"/>
          <w:lang w:eastAsia="es-MX"/>
        </w:rPr>
        <w:t>ó</w:t>
      </w:r>
      <w:r w:rsidRPr="00480D85">
        <w:rPr>
          <w:rFonts w:ascii="Verdana" w:eastAsia="Times New Roman" w:hAnsi="Verdana" w:cs="Arial"/>
          <w:lang w:eastAsia="es-MX"/>
        </w:rPr>
        <w:t>n judicial se desarrollaron los principios de libre concurrencia y selecci</w:t>
      </w:r>
      <w:r w:rsidRPr="00480D85">
        <w:rPr>
          <w:rFonts w:ascii="Verdana" w:eastAsia="Times New Roman" w:hAnsi="Verdana" w:cs="Century Gothic"/>
          <w:lang w:eastAsia="es-MX"/>
        </w:rPr>
        <w:t>ó</w:t>
      </w:r>
      <w:r w:rsidRPr="00480D85">
        <w:rPr>
          <w:rFonts w:ascii="Verdana" w:eastAsia="Times New Roman" w:hAnsi="Verdana" w:cs="Arial"/>
          <w:lang w:eastAsia="es-MX"/>
        </w:rPr>
        <w:t>n objetiva en la contrataci</w:t>
      </w:r>
      <w:r w:rsidRPr="00480D85">
        <w:rPr>
          <w:rFonts w:ascii="Verdana" w:eastAsia="Times New Roman" w:hAnsi="Verdana" w:cs="Century Gothic"/>
          <w:lang w:eastAsia="es-MX"/>
        </w:rPr>
        <w:t>ó</w:t>
      </w:r>
      <w:r w:rsidRPr="00480D85">
        <w:rPr>
          <w:rFonts w:ascii="Verdana" w:eastAsia="Times New Roman" w:hAnsi="Verdana" w:cs="Arial"/>
          <w:lang w:eastAsia="es-MX"/>
        </w:rPr>
        <w:t>n p</w:t>
      </w:r>
      <w:r w:rsidRPr="00480D85">
        <w:rPr>
          <w:rFonts w:ascii="Verdana" w:eastAsia="Times New Roman" w:hAnsi="Verdana" w:cs="Century Gothic"/>
          <w:lang w:eastAsia="es-MX"/>
        </w:rPr>
        <w:t>ú</w:t>
      </w:r>
      <w:r w:rsidRPr="00480D85">
        <w:rPr>
          <w:rFonts w:ascii="Verdana" w:eastAsia="Times New Roman" w:hAnsi="Verdana" w:cs="Arial"/>
          <w:lang w:eastAsia="es-MX"/>
        </w:rPr>
        <w:t>blica, como expresiones del derecho a la igualdad de oportunidades para quienes tengan inter</w:t>
      </w:r>
      <w:r w:rsidRPr="00480D85">
        <w:rPr>
          <w:rFonts w:ascii="Verdana" w:eastAsia="Times New Roman" w:hAnsi="Verdana" w:cs="Century Gothic"/>
          <w:lang w:eastAsia="es-MX"/>
        </w:rPr>
        <w:t>é</w:t>
      </w:r>
      <w:r w:rsidRPr="00480D85">
        <w:rPr>
          <w:rFonts w:ascii="Verdana" w:eastAsia="Times New Roman" w:hAnsi="Verdana" w:cs="Arial"/>
          <w:lang w:eastAsia="es-MX"/>
        </w:rPr>
        <w:t>s en participar en la contrataci</w:t>
      </w:r>
      <w:r w:rsidRPr="00480D85">
        <w:rPr>
          <w:rFonts w:ascii="Verdana" w:eastAsia="Times New Roman" w:hAnsi="Verdana" w:cs="Century Gothic"/>
          <w:lang w:eastAsia="es-MX"/>
        </w:rPr>
        <w:t>ó</w:t>
      </w:r>
      <w:r w:rsidRPr="00480D85">
        <w:rPr>
          <w:rFonts w:ascii="Verdana" w:eastAsia="Times New Roman" w:hAnsi="Verdana" w:cs="Arial"/>
          <w:lang w:eastAsia="es-MX"/>
        </w:rPr>
        <w:t>n estatal.</w:t>
      </w:r>
      <w:r>
        <w:rPr>
          <w:rFonts w:ascii="Verdana" w:eastAsia="Times New Roman" w:hAnsi="Verdana" w:cs="Arial"/>
          <w:lang w:eastAsia="es-MX"/>
        </w:rPr>
        <w:t xml:space="preserve"> </w:t>
      </w:r>
      <w:r w:rsidRPr="00480D85">
        <w:rPr>
          <w:rFonts w:ascii="Verdana" w:eastAsia="Times New Roman" w:hAnsi="Verdana" w:cs="Arial"/>
          <w:lang w:eastAsia="es-MX"/>
        </w:rPr>
        <w:t>La materializaci</w:t>
      </w:r>
      <w:r w:rsidRPr="00480D85">
        <w:rPr>
          <w:rFonts w:ascii="Verdana" w:eastAsia="Times New Roman" w:hAnsi="Verdana" w:cs="Century Gothic"/>
          <w:lang w:eastAsia="es-MX"/>
        </w:rPr>
        <w:t>ó</w:t>
      </w:r>
      <w:r w:rsidRPr="00480D85">
        <w:rPr>
          <w:rFonts w:ascii="Verdana" w:eastAsia="Times New Roman" w:hAnsi="Verdana" w:cs="Arial"/>
          <w:lang w:eastAsia="es-MX"/>
        </w:rPr>
        <w:t>n de esos principios pretende que no exista discriminaci</w:t>
      </w:r>
      <w:r w:rsidRPr="00480D85">
        <w:rPr>
          <w:rFonts w:ascii="Verdana" w:eastAsia="Times New Roman" w:hAnsi="Verdana" w:cs="Century Gothic"/>
          <w:lang w:eastAsia="es-MX"/>
        </w:rPr>
        <w:t>ó</w:t>
      </w:r>
      <w:r w:rsidRPr="00480D85">
        <w:rPr>
          <w:rFonts w:ascii="Verdana" w:eastAsia="Times New Roman" w:hAnsi="Verdana" w:cs="Arial"/>
          <w:lang w:eastAsia="es-MX"/>
        </w:rPr>
        <w:t>n y que las entidades no impongan limitaciones a través de reglas que impidan la concurrencia para obtener mejores condiciones de contratación. Sin embargo, se admiten excepciones que busquen condiciones del contratista que sean favorables a los intereses del Estado y aseguren la transparencia del procedimiento como las inhabilidades e incompatibilidades</w:t>
      </w:r>
      <w:r w:rsidRPr="00480D85">
        <w:rPr>
          <w:rFonts w:ascii="Verdana" w:eastAsia="Times New Roman" w:hAnsi="Verdana" w:cs="Arial"/>
          <w:vertAlign w:val="superscript"/>
          <w:lang w:eastAsia="es-MX"/>
        </w:rPr>
        <w:footnoteReference w:id="5"/>
      </w:r>
      <w:r w:rsidRPr="00480D85">
        <w:rPr>
          <w:rFonts w:ascii="Verdana" w:eastAsia="Times New Roman" w:hAnsi="Verdana" w:cs="Arial"/>
          <w:lang w:eastAsia="es-MX"/>
        </w:rPr>
        <w:t>.</w:t>
      </w:r>
    </w:p>
    <w:p w14:paraId="2EE2B48B" w14:textId="77777777" w:rsidR="0046584A" w:rsidRPr="00480D85" w:rsidRDefault="0046584A" w:rsidP="0046584A">
      <w:pPr>
        <w:spacing w:after="120" w:line="276" w:lineRule="auto"/>
        <w:ind w:firstLine="708"/>
        <w:jc w:val="both"/>
        <w:rPr>
          <w:rFonts w:ascii="Verdana" w:eastAsia="Times New Roman" w:hAnsi="Verdana" w:cs="Arial"/>
          <w:lang w:eastAsia="es-MX"/>
        </w:rPr>
      </w:pPr>
      <w:r w:rsidRPr="00480D85">
        <w:rPr>
          <w:rFonts w:ascii="Verdana" w:eastAsia="Times New Roman" w:hAnsi="Verdana" w:cs="Arial"/>
          <w:lang w:eastAsia="es-MX"/>
        </w:rPr>
        <w:lastRenderedPageBreak/>
        <w:t xml:space="preserve">Así las cosas, la contratación directa es una excepción al principio de libre concurrencia y competencia, que se aplica en los procesos de contratación, para que cualquier persona interesada en satisfacer la necesidad de una entidad pueda presentar una oferta. Por ello, es de aplicación restrictiva, esto es, solo procede por las causales señaladas taxativamente en el numeral 4 del artículo 2 de la Ley 1150 de 2007. En tal sentido, su aplicación no puede efectuarse por fuera del contenido normativo citado, ni operar más allá de lo que la misma norma dispone, dentro del contexto del ordenamiento jurídico de la contratación estatal. </w:t>
      </w:r>
    </w:p>
    <w:p w14:paraId="4A35036D" w14:textId="77777777" w:rsidR="0046584A" w:rsidRPr="00480D85" w:rsidRDefault="0046584A" w:rsidP="0046584A">
      <w:pPr>
        <w:spacing w:after="120" w:line="276" w:lineRule="auto"/>
        <w:ind w:right="45" w:firstLine="709"/>
        <w:jc w:val="both"/>
        <w:rPr>
          <w:rFonts w:ascii="Verdana" w:eastAsia="Times New Roman" w:hAnsi="Verdana" w:cs="Arial"/>
          <w:lang w:eastAsia="es-MX"/>
        </w:rPr>
      </w:pPr>
      <w:r w:rsidRPr="00480D85">
        <w:rPr>
          <w:rFonts w:ascii="Verdana" w:eastAsia="Times New Roman" w:hAnsi="Verdana" w:cs="Arial"/>
          <w:lang w:eastAsia="es-MX"/>
        </w:rPr>
        <w:t>Igualmente, esta excepción al deber de procurar la pluralidad de ofertas es considerada por el Consejo de Estado como un método que permite satisfacer la selección objetiva. De esta manera, aunque en la contratación directa no es necesaria la comparación de ofertas, no desconoce lo previsto en el artículo 5 de la Ley 1150 de 2007. Por ello, la jurisprudencia explica que: “[…] se ha aceptado que la selección objetiva fundada en el ofrecimiento más favorable no depende únicamente del cotejo entre ofertas sino también de métodos que, aun prescindiendo de dicha comparación, garanticen que la respectiva escogencia se ajuste a los criterios legales de selección objetiva, a los precios o condiciones del mercado y a los estudios y deducciones de la entidad o de los organismos consultores o asesores designados para ello”</w:t>
      </w:r>
      <w:r w:rsidRPr="00480D85">
        <w:rPr>
          <w:rFonts w:ascii="Verdana" w:eastAsia="Times New Roman" w:hAnsi="Verdana" w:cs="Arial"/>
          <w:vertAlign w:val="superscript"/>
          <w:lang w:eastAsia="es-MX"/>
        </w:rPr>
        <w:footnoteReference w:id="6"/>
      </w:r>
      <w:r w:rsidRPr="00480D85">
        <w:rPr>
          <w:rFonts w:ascii="Verdana" w:eastAsia="Times New Roman" w:hAnsi="Verdana" w:cs="Arial"/>
          <w:lang w:eastAsia="es-MX"/>
        </w:rPr>
        <w:t>.</w:t>
      </w:r>
    </w:p>
    <w:p w14:paraId="6ED138A6" w14:textId="77777777" w:rsidR="0046584A" w:rsidRPr="00480D85" w:rsidRDefault="0046584A" w:rsidP="0046584A">
      <w:pPr>
        <w:spacing w:after="0" w:line="276" w:lineRule="auto"/>
        <w:ind w:firstLine="708"/>
        <w:jc w:val="both"/>
        <w:rPr>
          <w:rFonts w:ascii="Verdana" w:eastAsia="Times New Roman" w:hAnsi="Verdana" w:cs="Arial"/>
          <w:lang w:eastAsia="es-MX"/>
        </w:rPr>
      </w:pPr>
      <w:r w:rsidRPr="00480D85">
        <w:rPr>
          <w:rFonts w:ascii="Verdana" w:eastAsia="Times New Roman" w:hAnsi="Verdana" w:cs="Arial"/>
          <w:lang w:eastAsia="es-MX"/>
        </w:rPr>
        <w:t>De este modo, en la contratación directa no es necesario que la entidad reciba más de una oferta, pues la contratación se realiza con quien la entidad escoja libremente, bajo criterios que permitan adoptar una decisión objetiva en procura del cumplimiento de las necesidades de la administración</w:t>
      </w:r>
      <w:r w:rsidRPr="00480D85">
        <w:rPr>
          <w:rFonts w:ascii="Verdana" w:eastAsia="Times New Roman" w:hAnsi="Verdana" w:cs="Arial"/>
          <w:vertAlign w:val="superscript"/>
          <w:lang w:eastAsia="es-MX"/>
        </w:rPr>
        <w:footnoteReference w:id="7"/>
      </w:r>
      <w:r w:rsidRPr="00480D85">
        <w:rPr>
          <w:rFonts w:ascii="Verdana" w:eastAsia="Times New Roman" w:hAnsi="Verdana" w:cs="Arial"/>
          <w:lang w:eastAsia="es-MX"/>
        </w:rPr>
        <w:t xml:space="preserve">. Esta </w:t>
      </w:r>
      <w:r w:rsidRPr="00480D85">
        <w:rPr>
          <w:rFonts w:ascii="Verdana" w:eastAsia="Times New Roman" w:hAnsi="Verdana" w:cs="Arial"/>
          <w:lang w:eastAsia="es-MX"/>
        </w:rPr>
        <w:lastRenderedPageBreak/>
        <w:t>contratación puede estar fundada en que el proponente es único</w:t>
      </w:r>
      <w:r>
        <w:rPr>
          <w:rFonts w:ascii="Verdana" w:eastAsia="Times New Roman" w:hAnsi="Verdana" w:cs="Arial"/>
          <w:lang w:eastAsia="es-MX"/>
        </w:rPr>
        <w:t>, existe alguna situación de urgencia manifiesta</w:t>
      </w:r>
      <w:r w:rsidRPr="00480D85">
        <w:rPr>
          <w:rFonts w:ascii="Verdana" w:eastAsia="Times New Roman" w:hAnsi="Verdana" w:cs="Arial"/>
          <w:lang w:eastAsia="es-MX"/>
        </w:rPr>
        <w:t xml:space="preserve"> o el legislador privilegió algunos objetos contractuales u oferentes para contratarlos de manera directa, teniendo en cuenta las causales expresamente señaladas en la ley. </w:t>
      </w:r>
    </w:p>
    <w:p w14:paraId="6B772027" w14:textId="77777777" w:rsidR="0046584A" w:rsidRPr="00480D85" w:rsidRDefault="0046584A" w:rsidP="0046584A">
      <w:pPr>
        <w:spacing w:before="120" w:after="120" w:line="276" w:lineRule="auto"/>
        <w:ind w:firstLine="709"/>
        <w:jc w:val="both"/>
        <w:rPr>
          <w:rFonts w:ascii="Verdana" w:eastAsia="Times New Roman" w:hAnsi="Verdana" w:cs="Arial"/>
          <w:lang w:eastAsia="es-MX"/>
        </w:rPr>
      </w:pPr>
      <w:r w:rsidRPr="00480D85">
        <w:rPr>
          <w:rFonts w:ascii="Verdana" w:eastAsia="Times New Roman" w:hAnsi="Verdana" w:cs="Arial"/>
          <w:lang w:eastAsia="es-MX"/>
        </w:rPr>
        <w:t>Todo lo anterior implica que el proceso de contratación directa sea simplificado, corto, ágil y expedito, por no exigir el agotamiento de una convocatoria pública o la realización de un proceso competitivo. Sin embargo, estas características no eximen a las entidades estatales de garantizar los principios rectores de la contratación pública. Por ello, cabe destacar que existe otra diferencia fundamental con las modalidades de selección competitivas mencionadas: en la contratación directa no se otorga puntaje a las ofertas para ponderarlas y elegir el ofrecimiento más favorable, pues la entidad recibe solo una oferta. Sobre este particular el Consejo de Estado explica que “Se define la expresión contratación directa entendida como cualquier mecanismo de escogencia del contratista en el que se prescinde de la licitación o concurso, sin que se tenga en cuenta por el legislador estatutario el régimen de contratación aplicable, ya sea contenido en el Estatuto General de Contratación de la Administración Pública - ley 80 de 1993 -, o uno especial en razón del objeto del contrato o del órgano que contrata”</w:t>
      </w:r>
      <w:r w:rsidRPr="00480D85">
        <w:rPr>
          <w:rFonts w:ascii="Verdana" w:eastAsia="Times New Roman" w:hAnsi="Verdana" w:cs="Arial"/>
          <w:vertAlign w:val="superscript"/>
          <w:lang w:eastAsia="es-MX"/>
        </w:rPr>
        <w:footnoteReference w:id="8"/>
      </w:r>
      <w:r w:rsidRPr="00480D85">
        <w:rPr>
          <w:rFonts w:ascii="Verdana" w:eastAsia="Times New Roman" w:hAnsi="Verdana" w:cs="Arial"/>
          <w:lang w:eastAsia="es-MX"/>
        </w:rPr>
        <w:t>.</w:t>
      </w:r>
    </w:p>
    <w:p w14:paraId="54196F14" w14:textId="77777777" w:rsidR="0046584A" w:rsidRPr="00480D85" w:rsidRDefault="0046584A" w:rsidP="0046584A">
      <w:pPr>
        <w:spacing w:after="0" w:line="276" w:lineRule="auto"/>
        <w:ind w:firstLine="709"/>
        <w:jc w:val="both"/>
        <w:rPr>
          <w:rFonts w:ascii="Verdana" w:eastAsia="Times New Roman" w:hAnsi="Verdana" w:cs="Arial"/>
          <w:lang w:eastAsia="es-MX"/>
        </w:rPr>
      </w:pPr>
      <w:r w:rsidRPr="00480D85">
        <w:rPr>
          <w:rFonts w:ascii="Verdana" w:eastAsia="Times New Roman" w:hAnsi="Verdana" w:cs="Arial"/>
          <w:lang w:eastAsia="es-MX"/>
        </w:rPr>
        <w:t>Por consiguiente, en la contratación directa la entidad no establece puntaje para ponderar ofertas, porque se presenta una sola oferta, la cual corresponde a la de la persona a quien la entidad invitó y seleccionó en forma directa. En todo caso, se debe garantizar el cumplimiento de los principios de la función administrativa y la gestión fiscal consagrados en los artículos 209 y 267 de la Constitución Política.</w:t>
      </w:r>
    </w:p>
    <w:p w14:paraId="6EC7364B" w14:textId="77777777" w:rsidR="0046584A" w:rsidRPr="00B56E33" w:rsidRDefault="0046584A" w:rsidP="0046584A">
      <w:pPr>
        <w:widowControl w:val="0"/>
        <w:spacing w:after="0" w:line="276" w:lineRule="auto"/>
        <w:jc w:val="both"/>
        <w:rPr>
          <w:rFonts w:ascii="Verdana" w:eastAsia="Calibri" w:hAnsi="Verdana" w:cs="Arial"/>
          <w:color w:val="EE0000"/>
          <w:lang w:val="es-ES"/>
        </w:rPr>
      </w:pPr>
      <w:r w:rsidRPr="00B56E33">
        <w:rPr>
          <w:rFonts w:ascii="Verdana" w:eastAsia="Calibri" w:hAnsi="Verdana" w:cs="Arial"/>
          <w:color w:val="EE0000"/>
          <w:lang w:val="es-ES_tradnl"/>
        </w:rPr>
        <w:t xml:space="preserve"> </w:t>
      </w:r>
      <w:r w:rsidRPr="00B56E33">
        <w:rPr>
          <w:rFonts w:ascii="Verdana" w:eastAsia="Arial" w:hAnsi="Verdana" w:cs="Arial"/>
          <w:color w:val="EE0000"/>
          <w:lang w:eastAsia="es-CO"/>
        </w:rPr>
        <w:t xml:space="preserve"> </w:t>
      </w:r>
    </w:p>
    <w:p w14:paraId="6B7AC7E4" w14:textId="77777777" w:rsidR="0046584A" w:rsidRPr="00C16D58" w:rsidRDefault="0046584A" w:rsidP="0046584A">
      <w:pPr>
        <w:spacing w:after="0" w:line="276" w:lineRule="auto"/>
        <w:jc w:val="both"/>
        <w:rPr>
          <w:rFonts w:ascii="Verdana" w:eastAsia="Calibri" w:hAnsi="Verdana" w:cs="Arial"/>
          <w:lang w:val="es-ES"/>
        </w:rPr>
      </w:pPr>
      <w:r w:rsidRPr="00C16D58">
        <w:rPr>
          <w:rFonts w:ascii="Verdana" w:eastAsia="Calibri" w:hAnsi="Verdana" w:cs="Arial"/>
          <w:lang w:val="es-ES"/>
        </w:rPr>
        <w:t xml:space="preserve">ii) Si bien la licitación pública es la modalidad de selección que constituye la regla general para las entidades regidas por el Estatuto General de Contratación de la Administración Pública, el artículo 2.4 de la Ley 1150 de 2007 consagra algunas excepciones, que atienden a la necesidad de proteger principios como la eficiencia, la eficacia, la economía, la celeridad o la integridad de las personas. </w:t>
      </w:r>
      <w:r w:rsidRPr="00C16D58">
        <w:rPr>
          <w:rFonts w:ascii="Verdana" w:eastAsia="Calibri" w:hAnsi="Verdana" w:cs="Arial"/>
          <w:lang w:val="es-ES"/>
        </w:rPr>
        <w:lastRenderedPageBreak/>
        <w:t>Una de las excepciones es la causal de contratación directa prevista en el literal a) del mencionado numeral, denominada por la ley como “urgencia manifiesta”. Esta causal debe leerse en concordancia con los artículos 42 de la Ley 80 de 1993, que define el concepto y establece el procedimiento para su declaratoria, así como para la celebración de los contratos que se derivan de aquella. Esta norma dispone lo siguiente:</w:t>
      </w:r>
    </w:p>
    <w:p w14:paraId="60535E5A" w14:textId="77777777" w:rsidR="0046584A" w:rsidRPr="00BE5FE3" w:rsidRDefault="0046584A" w:rsidP="0046584A">
      <w:pPr>
        <w:spacing w:after="0" w:line="276" w:lineRule="auto"/>
        <w:jc w:val="both"/>
        <w:rPr>
          <w:rFonts w:ascii="Verdana" w:eastAsia="Calibri" w:hAnsi="Verdana" w:cs="Arial"/>
          <w:lang w:val="es-ES_tradnl"/>
        </w:rPr>
      </w:pPr>
    </w:p>
    <w:p w14:paraId="79578B84" w14:textId="109C310B" w:rsidR="0046584A" w:rsidRPr="0003776E" w:rsidRDefault="0046584A" w:rsidP="00DC1B17">
      <w:pPr>
        <w:spacing w:after="0" w:line="240" w:lineRule="auto"/>
        <w:ind w:left="709" w:right="709"/>
        <w:jc w:val="both"/>
        <w:rPr>
          <w:rFonts w:ascii="Verdana" w:eastAsia="Calibri" w:hAnsi="Verdana" w:cs="Arial"/>
          <w:sz w:val="20"/>
          <w:szCs w:val="20"/>
          <w:lang w:val="es-ES_tradnl"/>
        </w:rPr>
      </w:pPr>
      <w:r w:rsidRPr="0003776E">
        <w:rPr>
          <w:rFonts w:ascii="Verdana" w:eastAsia="Calibri" w:hAnsi="Verdana" w:cs="Arial"/>
          <w:sz w:val="20"/>
          <w:szCs w:val="20"/>
          <w:lang w:val="es-ES_tradnl"/>
        </w:rPr>
        <w:t xml:space="preserve">“Artículo 42. De la urgencia manifiesta. Existe urgencia manifiesta </w:t>
      </w:r>
      <w:bookmarkStart w:id="3" w:name="_Hlk35851184"/>
      <w:r w:rsidRPr="0003776E">
        <w:rPr>
          <w:rFonts w:ascii="Verdana" w:eastAsia="Calibri" w:hAnsi="Verdana" w:cs="Arial"/>
          <w:sz w:val="20"/>
          <w:szCs w:val="20"/>
          <w:lang w:val="es-ES_tradnl"/>
        </w:rPr>
        <w:t>cuando la continuidad del servicio exige el suministro de bienes, o la prestación de servicios, o la ejecución de obras en el inmediato futuro</w:t>
      </w:r>
      <w:bookmarkEnd w:id="3"/>
      <w:r w:rsidRPr="0003776E">
        <w:rPr>
          <w:rFonts w:ascii="Verdana" w:eastAsia="Calibri" w:hAnsi="Verdana" w:cs="Arial"/>
          <w:sz w:val="20"/>
          <w:szCs w:val="20"/>
          <w:lang w:val="es-ES_tradnl"/>
        </w:rPr>
        <w:t xml:space="preserve">; </w:t>
      </w:r>
      <w:bookmarkStart w:id="4" w:name="_Hlk35857288"/>
      <w:r w:rsidRPr="0003776E">
        <w:rPr>
          <w:rFonts w:ascii="Verdana" w:eastAsia="Calibri" w:hAnsi="Verdana" w:cs="Arial"/>
          <w:sz w:val="20"/>
          <w:szCs w:val="20"/>
          <w:lang w:val="es-ES_tradnl"/>
        </w:rPr>
        <w:t xml:space="preserve">cuando se presenten </w:t>
      </w:r>
      <w:bookmarkStart w:id="5" w:name="_Hlk35857424"/>
      <w:r w:rsidRPr="0003776E">
        <w:rPr>
          <w:rFonts w:ascii="Verdana" w:eastAsia="Calibri" w:hAnsi="Verdana" w:cs="Arial"/>
          <w:sz w:val="20"/>
          <w:szCs w:val="20"/>
          <w:lang w:val="es-ES_tradnl"/>
        </w:rPr>
        <w:t>situaciones relacionadas con los estados de excepción</w:t>
      </w:r>
      <w:bookmarkEnd w:id="4"/>
      <w:bookmarkEnd w:id="5"/>
      <w:r w:rsidRPr="0003776E">
        <w:rPr>
          <w:rFonts w:ascii="Verdana" w:eastAsia="Calibri" w:hAnsi="Verdana" w:cs="Arial"/>
          <w:sz w:val="20"/>
          <w:szCs w:val="20"/>
          <w:lang w:val="es-ES_tradnl"/>
        </w:rPr>
        <w:t xml:space="preserve">; </w:t>
      </w:r>
      <w:bookmarkStart w:id="6" w:name="_Hlk35865550"/>
      <w:r w:rsidRPr="0003776E">
        <w:rPr>
          <w:rFonts w:ascii="Verdana" w:eastAsia="Calibri" w:hAnsi="Verdana" w:cs="Arial"/>
          <w:sz w:val="20"/>
          <w:szCs w:val="20"/>
          <w:lang w:val="es-ES_tradnl"/>
        </w:rPr>
        <w:t xml:space="preserve">cuando se trate de conjurar situaciones excepcionales relacionadas con hechos de calamidad o constitutivos de fuerza mayor o desastre que demanden actuaciones inmediatas </w:t>
      </w:r>
      <w:bookmarkEnd w:id="6"/>
      <w:r w:rsidRPr="0003776E">
        <w:rPr>
          <w:rFonts w:ascii="Verdana" w:eastAsia="Calibri" w:hAnsi="Verdana" w:cs="Arial"/>
          <w:sz w:val="20"/>
          <w:szCs w:val="20"/>
          <w:lang w:val="es-ES_tradnl"/>
        </w:rPr>
        <w:t>y, en general, cuando se trate de situaciones similares que imposibiliten acudir a los procedimientos de selección o concurso públicos.</w:t>
      </w:r>
    </w:p>
    <w:p w14:paraId="53123AC7" w14:textId="77777777" w:rsidR="00DC1B17" w:rsidRPr="0003776E" w:rsidRDefault="00DC1B17" w:rsidP="00FD122F">
      <w:pPr>
        <w:spacing w:after="0" w:line="240" w:lineRule="auto"/>
        <w:ind w:left="709" w:right="709"/>
        <w:jc w:val="both"/>
        <w:rPr>
          <w:rFonts w:ascii="Verdana" w:eastAsia="Calibri" w:hAnsi="Verdana" w:cs="Arial"/>
          <w:sz w:val="20"/>
          <w:szCs w:val="20"/>
          <w:lang w:val="es-ES_tradnl"/>
        </w:rPr>
      </w:pPr>
    </w:p>
    <w:p w14:paraId="2E904B94" w14:textId="77777777" w:rsidR="0046584A" w:rsidRPr="0003776E" w:rsidRDefault="0046584A" w:rsidP="00FD122F">
      <w:pPr>
        <w:spacing w:after="0" w:line="240" w:lineRule="auto"/>
        <w:ind w:left="709" w:right="709"/>
        <w:jc w:val="both"/>
        <w:rPr>
          <w:rFonts w:ascii="Verdana" w:eastAsia="Calibri" w:hAnsi="Verdana" w:cs="Arial"/>
          <w:sz w:val="20"/>
          <w:szCs w:val="20"/>
          <w:lang w:val="es-ES_tradnl"/>
        </w:rPr>
      </w:pPr>
      <w:r w:rsidRPr="0003776E">
        <w:rPr>
          <w:rFonts w:ascii="Verdana" w:eastAsia="Calibri" w:hAnsi="Verdana" w:cs="Arial"/>
          <w:sz w:val="20"/>
          <w:szCs w:val="20"/>
          <w:lang w:val="es-ES_tradnl"/>
        </w:rPr>
        <w:t>La urgencia manifiesta se declarará mediante acto administrativo motivado.</w:t>
      </w:r>
    </w:p>
    <w:p w14:paraId="434D2F3F" w14:textId="77777777" w:rsidR="00DC1B17" w:rsidRDefault="00DC1B17" w:rsidP="00DC1B17">
      <w:pPr>
        <w:spacing w:after="0" w:line="240" w:lineRule="auto"/>
        <w:ind w:left="709" w:right="709"/>
        <w:jc w:val="both"/>
        <w:rPr>
          <w:rFonts w:ascii="Verdana" w:eastAsia="Calibri" w:hAnsi="Verdana" w:cs="Arial"/>
          <w:sz w:val="20"/>
          <w:szCs w:val="20"/>
          <w:lang w:val="es-ES"/>
        </w:rPr>
      </w:pPr>
    </w:p>
    <w:p w14:paraId="70B033B8" w14:textId="7D65BE94" w:rsidR="0046584A" w:rsidRPr="00BE5FE3" w:rsidRDefault="0046584A" w:rsidP="00FD122F">
      <w:pPr>
        <w:spacing w:after="0" w:line="240" w:lineRule="auto"/>
        <w:ind w:left="709" w:right="709"/>
        <w:jc w:val="both"/>
        <w:rPr>
          <w:rFonts w:ascii="Verdana" w:eastAsia="Calibri" w:hAnsi="Verdana" w:cs="Arial"/>
          <w:sz w:val="21"/>
          <w:szCs w:val="21"/>
          <w:lang w:val="es-ES"/>
        </w:rPr>
      </w:pPr>
      <w:r w:rsidRPr="0003776E">
        <w:rPr>
          <w:rFonts w:ascii="Verdana" w:eastAsia="Calibri" w:hAnsi="Verdana" w:cs="Arial"/>
          <w:sz w:val="20"/>
          <w:szCs w:val="20"/>
          <w:lang w:val="es-ES"/>
        </w:rPr>
        <w:t>Parágrafo. Con el fin de atender las necesidades y los gastos propios de la urgencia manifiesta, se podrán hacer los traslados presupuestales internos que se requieran dentro del presupuesto del organismo o entidad estatal correspondiente”.</w:t>
      </w:r>
    </w:p>
    <w:p w14:paraId="32BD1A92" w14:textId="77777777" w:rsidR="0046584A" w:rsidRPr="00BE5FE3" w:rsidRDefault="0046584A" w:rsidP="0046584A">
      <w:pPr>
        <w:spacing w:after="0" w:line="276" w:lineRule="auto"/>
        <w:ind w:left="709" w:right="709"/>
        <w:jc w:val="both"/>
        <w:rPr>
          <w:rFonts w:ascii="Verdana" w:eastAsia="Calibri" w:hAnsi="Verdana" w:cs="Arial"/>
          <w:lang w:val="es-ES_tradnl"/>
        </w:rPr>
      </w:pPr>
    </w:p>
    <w:p w14:paraId="1BB12F47" w14:textId="77777777" w:rsidR="0046584A" w:rsidRPr="00BE5FE3" w:rsidRDefault="0046584A" w:rsidP="0046584A">
      <w:pPr>
        <w:spacing w:after="120" w:line="276" w:lineRule="auto"/>
        <w:ind w:firstLine="708"/>
        <w:jc w:val="both"/>
        <w:rPr>
          <w:rFonts w:ascii="Verdana" w:eastAsia="Calibri" w:hAnsi="Verdana" w:cs="Arial"/>
          <w:sz w:val="21"/>
          <w:szCs w:val="21"/>
          <w:lang w:val="es-ES_tradnl"/>
        </w:rPr>
      </w:pPr>
      <w:r w:rsidRPr="00BE5FE3">
        <w:rPr>
          <w:rFonts w:ascii="Verdana" w:eastAsia="Calibri" w:hAnsi="Verdana" w:cs="Arial"/>
          <w:lang w:val="es-ES_tradnl"/>
        </w:rPr>
        <w:t>Esta causal tiene como antecedente el derogado artículo 43.16 del Decreto-Ley 222 de 1983, que autorizaba la contratación directa “Cuando hubiere urgencia evidente calificada por el Consejo de Ministros, que no permita el tiempo necesario para la licitación o concurso”, entendiendo por tal “[…]</w:t>
      </w:r>
      <w:r w:rsidRPr="00BE5FE3">
        <w:rPr>
          <w:rFonts w:ascii="Verdana" w:hAnsi="Verdana"/>
        </w:rPr>
        <w:t xml:space="preserve"> </w:t>
      </w:r>
      <w:r w:rsidRPr="00BE5FE3">
        <w:rPr>
          <w:rFonts w:ascii="Verdana" w:eastAsia="Calibri" w:hAnsi="Verdana" w:cs="Arial"/>
          <w:lang w:val="es-ES_tradnl"/>
        </w:rPr>
        <w:t>necesidades actuales o previsibles de orden público, seguridad nacional o calamidad pública”; razón por la cual, los controles para su utilización eran tan evidentes que al declarase por un órgano distinto, el juez debía declarar la nulidad absoluta del contrato, por la falta de competencia</w:t>
      </w:r>
      <w:r w:rsidRPr="00BE5FE3">
        <w:rPr>
          <w:rStyle w:val="Refdenotaalpie"/>
          <w:rFonts w:ascii="Verdana" w:eastAsia="Calibri" w:hAnsi="Verdana" w:cs="Arial"/>
          <w:lang w:val="es-ES_tradnl"/>
        </w:rPr>
        <w:footnoteReference w:id="9"/>
      </w:r>
      <w:r w:rsidRPr="00BE5FE3">
        <w:rPr>
          <w:rFonts w:ascii="Verdana" w:eastAsia="Calibri" w:hAnsi="Verdana" w:cs="Arial"/>
          <w:lang w:val="es-ES_tradnl"/>
        </w:rPr>
        <w:t xml:space="preserve">. En contraste, el </w:t>
      </w:r>
      <w:r w:rsidRPr="00BE5FE3">
        <w:rPr>
          <w:rFonts w:ascii="Verdana" w:eastAsia="Calibri" w:hAnsi="Verdana" w:cs="Arial"/>
        </w:rPr>
        <w:t>Estatuto General de Contratación de la Administración Pública</w:t>
      </w:r>
      <w:r w:rsidRPr="00BE5FE3">
        <w:rPr>
          <w:rFonts w:ascii="Verdana" w:eastAsia="Calibri" w:hAnsi="Verdana" w:cs="Arial"/>
          <w:lang w:val="es-ES_tradnl"/>
        </w:rPr>
        <w:t xml:space="preserve">, interpretando de manera más realista las necesidades de la Administración, autoriza al jefe o </w:t>
      </w:r>
      <w:r w:rsidRPr="00BE5FE3">
        <w:rPr>
          <w:rFonts w:ascii="Verdana" w:eastAsia="Calibri" w:hAnsi="Verdana" w:cs="Arial"/>
          <w:lang w:val="es-ES_tradnl"/>
        </w:rPr>
        <w:lastRenderedPageBreak/>
        <w:t xml:space="preserve">representante legal de la entidad estatal para declarar la urgencia, siempre que tenga el carácter de </w:t>
      </w:r>
      <w:r w:rsidRPr="00BE5FE3">
        <w:rPr>
          <w:rFonts w:ascii="Verdana" w:eastAsia="Calibri" w:hAnsi="Verdana" w:cs="Arial"/>
          <w:i/>
          <w:iCs/>
          <w:lang w:val="es-ES_tradnl"/>
        </w:rPr>
        <w:t>manifiesta</w:t>
      </w:r>
      <w:r w:rsidRPr="00BE5FE3">
        <w:rPr>
          <w:rStyle w:val="Refdenotaalpie"/>
          <w:rFonts w:ascii="Verdana" w:eastAsia="Calibri" w:hAnsi="Verdana" w:cs="Arial"/>
          <w:sz w:val="21"/>
          <w:szCs w:val="21"/>
          <w:lang w:val="es-ES_tradnl"/>
        </w:rPr>
        <w:footnoteReference w:id="10"/>
      </w:r>
      <w:r w:rsidRPr="00BE5FE3">
        <w:rPr>
          <w:rFonts w:ascii="Verdana" w:eastAsia="Calibri" w:hAnsi="Verdana" w:cs="Arial"/>
          <w:sz w:val="21"/>
          <w:szCs w:val="21"/>
          <w:lang w:val="es-ES_tradnl"/>
        </w:rPr>
        <w:t>.</w:t>
      </w:r>
    </w:p>
    <w:p w14:paraId="776F8145" w14:textId="77777777" w:rsidR="0046584A" w:rsidRPr="00BE5FE3" w:rsidRDefault="0046584A" w:rsidP="0046584A">
      <w:pPr>
        <w:spacing w:after="120" w:line="276" w:lineRule="auto"/>
        <w:ind w:firstLine="708"/>
        <w:jc w:val="both"/>
        <w:rPr>
          <w:rFonts w:ascii="Verdana" w:eastAsia="Calibri" w:hAnsi="Verdana" w:cs="Arial"/>
          <w:lang w:val="es-ES"/>
        </w:rPr>
      </w:pPr>
      <w:bookmarkStart w:id="7" w:name="_Hlk35959309"/>
      <w:r w:rsidRPr="0026167B">
        <w:rPr>
          <w:rFonts w:ascii="Verdana" w:eastAsia="Calibri" w:hAnsi="Verdana" w:cs="Arial"/>
          <w:lang w:val="es-ES"/>
        </w:rPr>
        <w:t>De esta manera, el artículo 42 de la Ley 80 define la urgencia manifiesta como una circunstancia que exige, con carácter apremiante, preservar la continuidad del servicio, cuando se afecta por situaciones de fuerza mayor, desastres, calamidades o hechos relacionados con los estados de excepción. No en vano, para la doctrina, las situaciones de urgencia manifiesta deben ser concretas, inmediatas, objetivas y probadas, pues se trata de circunstancias de hecho actuales, debidamente acreditadas y fundadas por estudios técnicos, verificadas por la autoridad competente</w:t>
      </w:r>
      <w:r w:rsidRPr="00C16D58">
        <w:rPr>
          <w:rStyle w:val="Refdenotaalpie"/>
          <w:rFonts w:ascii="Verdana" w:eastAsia="Calibri" w:hAnsi="Verdana" w:cs="Arial"/>
          <w:lang w:val="es-ES"/>
        </w:rPr>
        <w:footnoteReference w:id="11"/>
      </w:r>
      <w:r w:rsidRPr="00C16D58">
        <w:rPr>
          <w:rFonts w:ascii="Verdana" w:eastAsia="Calibri" w:hAnsi="Verdana" w:cs="Arial"/>
          <w:vertAlign w:val="superscript"/>
          <w:lang w:val="es-ES"/>
        </w:rPr>
        <w:t>.</w:t>
      </w:r>
      <w:r w:rsidRPr="3683B926">
        <w:rPr>
          <w:rFonts w:ascii="Verdana" w:eastAsia="Calibri" w:hAnsi="Verdana" w:cs="Arial"/>
          <w:lang w:val="es-ES"/>
        </w:rPr>
        <w:t xml:space="preserve"> </w:t>
      </w:r>
    </w:p>
    <w:p w14:paraId="0BBF230A" w14:textId="77777777" w:rsidR="0046584A" w:rsidRPr="00BE5FE3" w:rsidRDefault="0046584A" w:rsidP="0046584A">
      <w:pPr>
        <w:spacing w:after="120" w:line="276" w:lineRule="auto"/>
        <w:ind w:firstLine="709"/>
        <w:jc w:val="both"/>
        <w:rPr>
          <w:rFonts w:ascii="Verdana" w:eastAsia="Calibri" w:hAnsi="Verdana" w:cs="Arial"/>
          <w:lang w:val="es-ES_tradnl"/>
        </w:rPr>
      </w:pPr>
      <w:r w:rsidRPr="00BE5FE3">
        <w:rPr>
          <w:rFonts w:ascii="Verdana" w:eastAsia="Calibri" w:hAnsi="Verdana" w:cs="Arial"/>
          <w:lang w:val="es-ES_tradnl"/>
        </w:rPr>
        <w:t>En esos casos excepcionales, que comprometen fines superiores de interés colectivo, con mayor razón son de obligatoria aplicación los objetivos de la contratación administrativa, previstos en el artículo 3 de la Ley 80 de 1993. Esto en la medida que el cumplimiento de los fines estatales, la continua y eficiente prestación de los servicios públicos, y la efectividad de los derechos e intereses de los administrados que colaboran con entidades y organismos del Estado en la consecución de dichos propósitos confieren un fundamento adicional a esta causal de contratación directa</w:t>
      </w:r>
      <w:r w:rsidRPr="00BE5FE3">
        <w:rPr>
          <w:rStyle w:val="Refdenotaalpie"/>
          <w:rFonts w:ascii="Verdana" w:eastAsia="Calibri" w:hAnsi="Verdana" w:cs="Arial"/>
          <w:lang w:val="es-ES_tradnl"/>
        </w:rPr>
        <w:footnoteReference w:id="12"/>
      </w:r>
      <w:r w:rsidRPr="00BE5FE3">
        <w:rPr>
          <w:rFonts w:ascii="Verdana" w:eastAsia="Calibri" w:hAnsi="Verdana" w:cs="Arial"/>
          <w:lang w:val="es-ES_tradnl"/>
        </w:rPr>
        <w:t xml:space="preserve">. </w:t>
      </w:r>
    </w:p>
    <w:bookmarkEnd w:id="7"/>
    <w:p w14:paraId="3EAFEA8F" w14:textId="77777777" w:rsidR="0046584A" w:rsidRPr="00BE5FE3" w:rsidRDefault="0046584A" w:rsidP="0046584A">
      <w:pPr>
        <w:spacing w:after="120" w:line="276" w:lineRule="auto"/>
        <w:ind w:firstLine="709"/>
        <w:jc w:val="both"/>
        <w:rPr>
          <w:rFonts w:ascii="Verdana" w:eastAsia="Calibri" w:hAnsi="Verdana" w:cs="Arial"/>
          <w:lang w:val="es-ES_tradnl"/>
        </w:rPr>
      </w:pPr>
      <w:r w:rsidRPr="00BE5FE3">
        <w:rPr>
          <w:rFonts w:ascii="Verdana" w:eastAsia="Calibri" w:hAnsi="Verdana" w:cs="Arial"/>
          <w:lang w:val="es-ES_tradnl"/>
        </w:rPr>
        <w:t xml:space="preserve">En esta medida, el precitado artículo 42 del </w:t>
      </w:r>
      <w:r w:rsidRPr="00BE5FE3">
        <w:rPr>
          <w:rFonts w:ascii="Verdana" w:eastAsia="Calibri" w:hAnsi="Verdana" w:cs="Arial"/>
        </w:rPr>
        <w:t>Estatuto General de Contratación</w:t>
      </w:r>
      <w:r w:rsidRPr="00BE5FE3">
        <w:rPr>
          <w:rFonts w:ascii="Verdana" w:eastAsia="Calibri" w:hAnsi="Verdana" w:cs="Arial"/>
          <w:lang w:val="es-ES_tradnl"/>
        </w:rPr>
        <w:t xml:space="preserve"> contempla cuatro (4) circunstancias o hechos que configuran la urgencia manifiesta, si así lo declara la entidad: i) cuando la continuidad del servicio exige el suministro de bienes, o la prestación de servicios, o la ejecución de obras en el inmediato futuro; ii) cuando se presenten situaciones relacionadas con los estados de excepción; iii) cuando se trate de conjurar situaciones excepcionales relacionadas con hechos de calamidad o constitutivos de fuerza </w:t>
      </w:r>
      <w:r w:rsidRPr="00BE5FE3">
        <w:rPr>
          <w:rFonts w:ascii="Verdana" w:eastAsia="Calibri" w:hAnsi="Verdana" w:cs="Arial"/>
          <w:lang w:val="es-ES_tradnl"/>
        </w:rPr>
        <w:lastRenderedPageBreak/>
        <w:t>mayor o desastre que demanden actuaciones inmediatas; y iv) en general, cuando se trate de situaciones similares que imposibiliten acudir a los procedimientos de selección o concurso públicos.</w:t>
      </w:r>
    </w:p>
    <w:p w14:paraId="7DC64510" w14:textId="77777777" w:rsidR="0046584A" w:rsidRPr="00BE5FE3" w:rsidRDefault="0046584A" w:rsidP="0046584A">
      <w:pPr>
        <w:spacing w:after="120" w:line="276" w:lineRule="auto"/>
        <w:ind w:firstLine="708"/>
        <w:jc w:val="both"/>
        <w:rPr>
          <w:rFonts w:ascii="Verdana" w:eastAsia="Calibri" w:hAnsi="Verdana" w:cs="Arial"/>
          <w:lang w:val="es-ES"/>
        </w:rPr>
      </w:pPr>
      <w:r w:rsidRPr="3683B926">
        <w:rPr>
          <w:rFonts w:ascii="Verdana" w:eastAsia="Calibri" w:hAnsi="Verdana" w:cs="Arial"/>
          <w:lang w:val="es-ES"/>
        </w:rPr>
        <w:t xml:space="preserve">La </w:t>
      </w:r>
      <w:r w:rsidRPr="3683B926">
        <w:rPr>
          <w:rFonts w:ascii="Verdana" w:eastAsia="Calibri" w:hAnsi="Verdana" w:cs="Arial"/>
          <w:i/>
          <w:lang w:val="es-ES"/>
        </w:rPr>
        <w:t>primera circunstancia</w:t>
      </w:r>
      <w:r w:rsidRPr="3683B926">
        <w:rPr>
          <w:rFonts w:ascii="Verdana" w:eastAsia="Calibri" w:hAnsi="Verdana" w:cs="Arial"/>
          <w:lang w:val="es-ES"/>
        </w:rPr>
        <w:t xml:space="preserve"> se configura cuando la continuidad del servicio exige el suministro de bienes, la prestación de servicios, o la ejecución de obras en el inmediato futuro. En este caso, se busca evitar la paralización de un servicio, pues están destinados a satisfacer necesidades colectivas en forma general, permanente y continua. En este contexto, no puede olvidarse que el servicio público responde, por definición, a una necesidad de interés general, razón por la cual no podría ser discontinuo, pues la interrupción ocasiona problemas graves para la vida colectiva. </w:t>
      </w:r>
    </w:p>
    <w:p w14:paraId="3A548434" w14:textId="77777777" w:rsidR="0046584A" w:rsidRPr="00BE5FE3" w:rsidRDefault="0046584A" w:rsidP="0046584A">
      <w:pPr>
        <w:spacing w:after="120" w:line="276" w:lineRule="auto"/>
        <w:ind w:firstLine="708"/>
        <w:jc w:val="both"/>
        <w:rPr>
          <w:rFonts w:ascii="Verdana" w:eastAsia="Calibri" w:hAnsi="Verdana" w:cs="Arial"/>
          <w:lang w:val="es-ES_tradnl"/>
        </w:rPr>
      </w:pPr>
      <w:r w:rsidRPr="00BE5FE3">
        <w:rPr>
          <w:rFonts w:ascii="Verdana" w:eastAsia="Calibri" w:hAnsi="Verdana" w:cs="Arial"/>
          <w:lang w:val="es-ES_tradnl"/>
        </w:rPr>
        <w:t>En esta causal es secundaria la previsibilidad de la situación, porque –si así fuera– se llegaría al absurdo de permitir que efectivamente se paralizara el servicio, sacrificando el interés general por causa de la inactividad de los servidores</w:t>
      </w:r>
      <w:r w:rsidRPr="00BE5FE3">
        <w:rPr>
          <w:rStyle w:val="Refdenotaalpie"/>
          <w:rFonts w:ascii="Verdana" w:eastAsia="Calibri" w:hAnsi="Verdana" w:cs="Arial"/>
          <w:lang w:val="es-ES_tradnl"/>
        </w:rPr>
        <w:footnoteReference w:id="13"/>
      </w:r>
      <w:r w:rsidRPr="00BE5FE3">
        <w:rPr>
          <w:rFonts w:ascii="Verdana" w:eastAsia="Calibri" w:hAnsi="Verdana" w:cs="Arial"/>
          <w:lang w:val="es-ES_tradnl"/>
        </w:rPr>
        <w:t>. En consecuencia, “[…] uno de los elementos esenciales de la urgencia manifiesta lo constituye la obligación de verificar que el objeto del contrato necesita su permanencia, es decir, que se requiere garantizar por parte de la Administración la continuidad de un servicio que exige suministro de bienes, ejecución de obras o la propia prestación de servicios”</w:t>
      </w:r>
      <w:r w:rsidRPr="00BE5FE3">
        <w:rPr>
          <w:rStyle w:val="Refdenotaalpie"/>
          <w:rFonts w:ascii="Verdana" w:eastAsia="Calibri" w:hAnsi="Verdana" w:cs="Arial"/>
          <w:lang w:val="es-ES_tradnl"/>
        </w:rPr>
        <w:footnoteReference w:id="14"/>
      </w:r>
      <w:r w:rsidRPr="00BE5FE3">
        <w:rPr>
          <w:rFonts w:ascii="Verdana" w:eastAsia="Calibri" w:hAnsi="Verdana" w:cs="Arial"/>
          <w:lang w:val="es-ES_tradnl"/>
        </w:rPr>
        <w:t xml:space="preserve">. </w:t>
      </w:r>
    </w:p>
    <w:p w14:paraId="57608F70" w14:textId="77777777" w:rsidR="0046584A" w:rsidRPr="00BE5FE3" w:rsidRDefault="0046584A" w:rsidP="0046584A">
      <w:pPr>
        <w:spacing w:after="120" w:line="276" w:lineRule="auto"/>
        <w:ind w:firstLine="708"/>
        <w:jc w:val="both"/>
        <w:rPr>
          <w:rFonts w:ascii="Verdana" w:eastAsia="Calibri" w:hAnsi="Verdana" w:cs="Arial"/>
          <w:lang w:val="es-ES_tradnl"/>
        </w:rPr>
      </w:pPr>
      <w:r w:rsidRPr="00BE5FE3">
        <w:rPr>
          <w:rFonts w:ascii="Verdana" w:eastAsia="Calibri" w:hAnsi="Verdana" w:cs="Arial"/>
          <w:lang w:val="es-ES_tradnl"/>
        </w:rPr>
        <w:t xml:space="preserve">La </w:t>
      </w:r>
      <w:r w:rsidRPr="00BE5FE3">
        <w:rPr>
          <w:rFonts w:ascii="Verdana" w:eastAsia="Calibri" w:hAnsi="Verdana" w:cs="Arial"/>
          <w:i/>
          <w:iCs/>
          <w:lang w:val="es-ES_tradnl"/>
        </w:rPr>
        <w:t>segunda circunstancia</w:t>
      </w:r>
      <w:r w:rsidRPr="00BE5FE3">
        <w:rPr>
          <w:rFonts w:ascii="Verdana" w:eastAsia="Calibri" w:hAnsi="Verdana" w:cs="Arial"/>
          <w:lang w:val="es-ES_tradnl"/>
        </w:rPr>
        <w:t xml:space="preserve"> se presenta en las situaciones relacionadas con los estados de excepción, siendo necesaria la remisión a los artículos 212, 213 y 215 superiores. Estas normas se refieren a la declaración de los estados de guerra exterior, conmoción interior y emergencia económica, social y ecológica. De hecho, el uso indiscriminado, excesivo e incontrolado del estado de sitio, durante la vigencia de la Constitución Nacional de 1886, llevó a que los supuestos fácticos, las facultades y los controles adscritos a cada uno de ellos </w:t>
      </w:r>
      <w:r w:rsidRPr="00BE5FE3">
        <w:rPr>
          <w:rFonts w:ascii="Verdana" w:eastAsia="Calibri" w:hAnsi="Verdana" w:cs="Arial"/>
          <w:lang w:val="es-ES_tradnl"/>
        </w:rPr>
        <w:lastRenderedPageBreak/>
        <w:t>fueran específicamente regulados tanto en la Constitución Política como en la Ley Estatutaria 137 de 1994</w:t>
      </w:r>
      <w:r w:rsidRPr="00BE5FE3">
        <w:rPr>
          <w:rStyle w:val="Refdenotaalpie"/>
          <w:rFonts w:ascii="Verdana" w:eastAsia="Calibri" w:hAnsi="Verdana" w:cs="Arial"/>
          <w:lang w:val="es-ES_tradnl"/>
        </w:rPr>
        <w:footnoteReference w:id="15"/>
      </w:r>
      <w:r w:rsidRPr="00BE5FE3">
        <w:rPr>
          <w:rFonts w:ascii="Verdana" w:eastAsia="Calibri" w:hAnsi="Verdana" w:cs="Arial"/>
          <w:lang w:val="es-ES_tradnl"/>
        </w:rPr>
        <w:t xml:space="preserve">. </w:t>
      </w:r>
    </w:p>
    <w:p w14:paraId="2E6B9FA5" w14:textId="77777777" w:rsidR="0046584A" w:rsidRPr="00BE5FE3" w:rsidRDefault="0046584A" w:rsidP="0046584A">
      <w:pPr>
        <w:spacing w:after="120" w:line="276" w:lineRule="auto"/>
        <w:ind w:firstLine="708"/>
        <w:jc w:val="both"/>
        <w:rPr>
          <w:rFonts w:ascii="Verdana" w:eastAsia="Calibri" w:hAnsi="Verdana" w:cs="Arial"/>
          <w:lang w:val="es-ES"/>
        </w:rPr>
      </w:pPr>
      <w:r w:rsidRPr="3683B926">
        <w:rPr>
          <w:rFonts w:ascii="Verdana" w:eastAsia="Calibri" w:hAnsi="Verdana" w:cs="Arial"/>
          <w:lang w:val="es-ES"/>
        </w:rPr>
        <w:t xml:space="preserve">De conformidad con las normas citadas, los estados de excepción se declaran en caso de situación de anormalidad, y están acompañados de facultades y limitaciones que permiten el retorno a la regularidad. Por eso, mientras subsista la situación que la origina, y sólo en lo relacionado con la declaración previa del presidente de la república, con la firma de todos los ministros, las entidades pueden contratar directamente, por urgencia manifiesta, como medida </w:t>
      </w:r>
      <w:r w:rsidRPr="3683B926">
        <w:rPr>
          <w:rFonts w:ascii="Verdana" w:eastAsia="Calibri" w:hAnsi="Verdana" w:cs="Arial"/>
          <w:i/>
          <w:lang w:val="es-ES"/>
        </w:rPr>
        <w:t>pro tempore</w:t>
      </w:r>
      <w:r w:rsidRPr="3683B926">
        <w:rPr>
          <w:rFonts w:ascii="Verdana" w:eastAsia="Calibri" w:hAnsi="Verdana" w:cs="Arial"/>
          <w:lang w:val="es-ES"/>
        </w:rPr>
        <w:t xml:space="preserve"> para adquirir bienes y servicios que permitan superar la crisis. En contraste, cuando cesen las causas, las entidades deben contratar de conformidad con las reglas generales del Estatuto de Contratación.</w:t>
      </w:r>
    </w:p>
    <w:p w14:paraId="71D83C41" w14:textId="77777777" w:rsidR="0046584A" w:rsidRPr="00BE5FE3" w:rsidRDefault="0046584A" w:rsidP="0046584A">
      <w:pPr>
        <w:spacing w:after="120" w:line="276" w:lineRule="auto"/>
        <w:ind w:firstLine="708"/>
        <w:jc w:val="both"/>
        <w:rPr>
          <w:rFonts w:ascii="Verdana" w:eastAsia="Calibri" w:hAnsi="Verdana" w:cs="Arial"/>
          <w:lang w:val="es-ES_tradnl"/>
        </w:rPr>
      </w:pPr>
      <w:r w:rsidRPr="00BE5FE3">
        <w:rPr>
          <w:rFonts w:ascii="Verdana" w:eastAsia="Calibri" w:hAnsi="Verdana" w:cs="Arial"/>
          <w:lang w:val="es-ES_tradnl"/>
        </w:rPr>
        <w:t>En este supuesto, cuando se declara un estado de excepción, se configura el supuesto para declarar a continuación la “urgencia manifiesta”, por parte de cualquier entidad estatal regida por la Ley 80 de 1993, por configurarse uno de los cuatro (4) supuestos del art. 42 de la Ley 80 de 1993. En este evento no es suficiente la declaración del estado de excepción, por parte del presidente y sus ministros, sino que es necesario expedir, luego, el acto que declare la urgencia manifiesta, con fundamento en la declaración previa de alguno de los tres estados de excepción.</w:t>
      </w:r>
    </w:p>
    <w:p w14:paraId="0F8C761D" w14:textId="77777777" w:rsidR="0046584A" w:rsidRPr="00BE5FE3" w:rsidRDefault="0046584A" w:rsidP="0046584A">
      <w:pPr>
        <w:spacing w:after="120" w:line="276" w:lineRule="auto"/>
        <w:ind w:firstLine="708"/>
        <w:jc w:val="both"/>
        <w:rPr>
          <w:rFonts w:ascii="Verdana" w:eastAsia="Calibri" w:hAnsi="Verdana" w:cs="Arial"/>
          <w:sz w:val="21"/>
          <w:szCs w:val="21"/>
          <w:lang w:val="es-ES"/>
        </w:rPr>
      </w:pPr>
      <w:r w:rsidRPr="48C53EE2">
        <w:rPr>
          <w:rFonts w:ascii="Verdana" w:eastAsia="Calibri" w:hAnsi="Verdana" w:cs="Arial"/>
          <w:lang w:val="es-ES"/>
        </w:rPr>
        <w:t xml:space="preserve">La </w:t>
      </w:r>
      <w:r w:rsidRPr="48C53EE2">
        <w:rPr>
          <w:rFonts w:ascii="Verdana" w:eastAsia="Calibri" w:hAnsi="Verdana" w:cs="Arial"/>
          <w:i/>
          <w:lang w:val="es-ES"/>
        </w:rPr>
        <w:t>tercera circunstancia</w:t>
      </w:r>
      <w:r w:rsidRPr="48C53EE2">
        <w:rPr>
          <w:rFonts w:ascii="Verdana" w:eastAsia="Calibri" w:hAnsi="Verdana" w:cs="Arial"/>
          <w:lang w:val="es-ES"/>
        </w:rPr>
        <w:t xml:space="preserve"> surge de la necesidad de conjurar situaciones excepcionales relacionadas con </w:t>
      </w:r>
      <w:r w:rsidRPr="48C53EE2">
        <w:rPr>
          <w:rFonts w:ascii="Verdana" w:eastAsia="Calibri" w:hAnsi="Verdana" w:cs="Arial"/>
          <w:i/>
          <w:lang w:val="es-ES"/>
        </w:rPr>
        <w:t>hechos de calamidad o constitutivos de fuerza mayor o desastre</w:t>
      </w:r>
      <w:r w:rsidRPr="48C53EE2">
        <w:rPr>
          <w:rFonts w:ascii="Verdana" w:eastAsia="Calibri" w:hAnsi="Verdana" w:cs="Arial"/>
          <w:lang w:val="es-ES"/>
        </w:rPr>
        <w:t xml:space="preserve"> que demanden actuaciones inmediatas, causa que –conforme se analiza en el siguiente acápite– exige tener en cuenta lo previsto en la Ley 1523 de 2012. Lo anterior sin perjuicio de que, conforme a la </w:t>
      </w:r>
      <w:r w:rsidRPr="48C53EE2">
        <w:rPr>
          <w:rFonts w:ascii="Verdana" w:eastAsia="Calibri" w:hAnsi="Verdana" w:cs="Arial"/>
          <w:i/>
          <w:lang w:val="es-ES"/>
        </w:rPr>
        <w:t>cuarta circunstancia</w:t>
      </w:r>
      <w:r w:rsidRPr="48C53EE2">
        <w:rPr>
          <w:rFonts w:ascii="Verdana" w:eastAsia="Calibri" w:hAnsi="Verdana" w:cs="Arial"/>
          <w:lang w:val="es-ES"/>
        </w:rPr>
        <w:t xml:space="preserve">, surjan situaciones similares que imposibiliten acudir a los procedimientos de selección o concurso públicos. </w:t>
      </w:r>
    </w:p>
    <w:p w14:paraId="1A9BEA9D" w14:textId="77777777" w:rsidR="0046584A" w:rsidRPr="00BE5FE3" w:rsidRDefault="0046584A" w:rsidP="0046584A">
      <w:pPr>
        <w:spacing w:after="120" w:line="276" w:lineRule="auto"/>
        <w:ind w:firstLine="708"/>
        <w:jc w:val="both"/>
        <w:rPr>
          <w:rFonts w:ascii="Verdana" w:eastAsia="Calibri" w:hAnsi="Verdana" w:cs="Arial"/>
          <w:lang w:val="es-ES_tradnl"/>
        </w:rPr>
      </w:pPr>
      <w:bookmarkStart w:id="8" w:name="_Hlk132729706"/>
      <w:r w:rsidRPr="00BE5FE3">
        <w:rPr>
          <w:rFonts w:ascii="Verdana" w:eastAsia="Calibri" w:hAnsi="Verdana" w:cs="Arial"/>
          <w:lang w:val="es-ES_tradnl"/>
        </w:rPr>
        <w:t xml:space="preserve">El elemento común en los cuatro (4) eventos es que exigen atender la contingencia de manera pronta, mediante la ejecución de obras, la prestación de servicios o el suministro de bienes. Por tanto, lo que permite catalogar un supuesto fáctico como urgente, en forma manifiesta, es que demanda actuaciones del Estado que no dan espera para mantener la regularidad del </w:t>
      </w:r>
      <w:r w:rsidRPr="00BE5FE3">
        <w:rPr>
          <w:rFonts w:ascii="Verdana" w:eastAsia="Calibri" w:hAnsi="Verdana" w:cs="Arial"/>
          <w:lang w:val="es-ES_tradnl"/>
        </w:rPr>
        <w:lastRenderedPageBreak/>
        <w:t>servicio, e impiden acudir a los procedimientos de selección ordinarios, es decir, a la licitación pública, la selección abreviada, el concurso de méritos y la contratación de mínima cuantía</w:t>
      </w:r>
      <w:r w:rsidRPr="00BE5FE3">
        <w:rPr>
          <w:rStyle w:val="Refdenotaalpie"/>
          <w:rFonts w:ascii="Verdana" w:eastAsia="Calibri" w:hAnsi="Verdana" w:cs="Arial"/>
          <w:sz w:val="21"/>
          <w:szCs w:val="21"/>
          <w:lang w:val="es-ES_tradnl"/>
        </w:rPr>
        <w:footnoteReference w:id="16"/>
      </w:r>
      <w:r w:rsidRPr="00BE5FE3">
        <w:rPr>
          <w:rFonts w:ascii="Verdana" w:eastAsia="Calibri" w:hAnsi="Verdana" w:cs="Arial"/>
          <w:sz w:val="21"/>
          <w:szCs w:val="21"/>
          <w:lang w:val="es-ES_tradnl"/>
        </w:rPr>
        <w:t>.</w:t>
      </w:r>
    </w:p>
    <w:bookmarkEnd w:id="8"/>
    <w:p w14:paraId="6A8445BA" w14:textId="77777777" w:rsidR="0046584A" w:rsidRPr="00BE5FE3" w:rsidRDefault="0046584A" w:rsidP="0046584A">
      <w:pPr>
        <w:spacing w:after="120" w:line="276" w:lineRule="auto"/>
        <w:ind w:firstLine="708"/>
        <w:jc w:val="both"/>
        <w:rPr>
          <w:rFonts w:ascii="Verdana" w:eastAsia="Calibri" w:hAnsi="Verdana" w:cs="Arial"/>
          <w:lang w:val="es-ES_tradnl"/>
        </w:rPr>
      </w:pPr>
      <w:r w:rsidRPr="00C16D58">
        <w:rPr>
          <w:rFonts w:ascii="Verdana" w:eastAsia="Calibri" w:hAnsi="Verdana" w:cs="Arial"/>
          <w:lang w:val="es-ES_tradnl"/>
        </w:rPr>
        <w:t xml:space="preserve">Se insiste en que cuando se configure alguna de las cuatro (4) situaciones, el artículo 42 de la Ley 80 de 1993 exige declarar formalmente la urgencia manifiesta mediante acto administrativo motivado, es decir, a través de una manifestación unilateral de voluntad razonablemente justificada, proferida por el jefe o representante legal de cada entidad –o quien sea el titular de la competencia–, según lo establecido en los artículos 11 y 12 </w:t>
      </w:r>
      <w:r w:rsidRPr="00C16D58">
        <w:rPr>
          <w:rFonts w:ascii="Verdana" w:eastAsia="Calibri" w:hAnsi="Verdana" w:cs="Arial"/>
          <w:i/>
          <w:iCs/>
          <w:lang w:val="es-ES_tradnl"/>
        </w:rPr>
        <w:t>ibidem</w:t>
      </w:r>
      <w:r w:rsidRPr="00C16D58">
        <w:rPr>
          <w:rFonts w:ascii="Verdana" w:eastAsia="Calibri" w:hAnsi="Verdana" w:cs="Arial"/>
          <w:lang w:val="es-ES_tradnl"/>
        </w:rPr>
        <w:t>. Adicionalmente, no es necesario realizar estudios previos, como lo dispone el artículo 2.2.1.2.1.4.2 del Decreto 1082 de 2015: “Si la causal de contratación directa es la urgencia manifiesta, el acto administrativo que la declare hará las veces del acto administrativo de justificación, y en este caso la Entidad Estatal no está obligada a elaborar estudios y documentos previos”.</w:t>
      </w:r>
    </w:p>
    <w:p w14:paraId="6F73CF5A" w14:textId="77777777" w:rsidR="0046584A" w:rsidRDefault="0046584A" w:rsidP="0046584A">
      <w:pPr>
        <w:spacing w:after="0" w:line="276" w:lineRule="auto"/>
        <w:ind w:firstLine="708"/>
        <w:jc w:val="both"/>
        <w:rPr>
          <w:rFonts w:ascii="Verdana" w:eastAsia="Calibri" w:hAnsi="Verdana" w:cs="Arial"/>
          <w:lang w:val="es-ES"/>
        </w:rPr>
      </w:pPr>
      <w:r w:rsidRPr="3683B926">
        <w:rPr>
          <w:rFonts w:ascii="Verdana" w:eastAsia="Calibri" w:hAnsi="Verdana" w:cs="Arial"/>
          <w:lang w:val="es-ES"/>
        </w:rPr>
        <w:t>Expedido el acto administrativo, la entidad estatal debe realizar todos los trámites internos necesarios para contratar, entre ellos la disposición de los recursos. En tal sentido, el parágrafo del artículo 42 de la Ley 80 señala que “Con el fin de atender las necesidades y los gastos propios de la urgencia manifiesta, se podrán hacer los traslados presupuestales internos que se requieran dentro del presupuesto del organismo o entidad estatal correspondiente”. Este apartado fue declarado condicionalmente exequible por la Corte Constitucional en la Sentencia C-772 de 1998, “[…] bajo el entendimiento de que los traslados presupuestales internos a que se refiere dicha norma se efectúen afectando exclusivamente el anexo del decreto de liquidación del Presupuesto”</w:t>
      </w:r>
      <w:r w:rsidRPr="3683B926">
        <w:rPr>
          <w:rFonts w:ascii="Verdana" w:eastAsia="Calibri" w:hAnsi="Verdana" w:cs="Arial"/>
          <w:vertAlign w:val="superscript"/>
          <w:lang w:val="es-ES"/>
        </w:rPr>
        <w:footnoteReference w:id="17"/>
      </w:r>
      <w:r w:rsidRPr="3683B926">
        <w:rPr>
          <w:rFonts w:ascii="Verdana" w:eastAsia="Calibri" w:hAnsi="Verdana" w:cs="Arial"/>
          <w:lang w:val="es-ES"/>
        </w:rPr>
        <w:t xml:space="preserve">. </w:t>
      </w:r>
    </w:p>
    <w:p w14:paraId="48E6A748" w14:textId="77777777" w:rsidR="0046584A" w:rsidRPr="00BE5FE3" w:rsidRDefault="0046584A" w:rsidP="0046584A">
      <w:pPr>
        <w:spacing w:after="0" w:line="276" w:lineRule="auto"/>
        <w:ind w:firstLine="708"/>
        <w:jc w:val="both"/>
        <w:rPr>
          <w:rFonts w:ascii="Verdana" w:eastAsia="Calibri" w:hAnsi="Verdana" w:cs="Arial"/>
          <w:lang w:val="es-ES"/>
        </w:rPr>
      </w:pPr>
    </w:p>
    <w:p w14:paraId="53AC4B19" w14:textId="77777777" w:rsidR="0046584A" w:rsidRPr="00D93A6C" w:rsidRDefault="0046584A" w:rsidP="0046584A">
      <w:pPr>
        <w:spacing w:after="120" w:line="276" w:lineRule="auto"/>
        <w:jc w:val="both"/>
        <w:rPr>
          <w:rFonts w:ascii="Verdana" w:eastAsia="Calibri" w:hAnsi="Verdana" w:cs="Arial"/>
          <w:lang w:val="es-ES"/>
        </w:rPr>
      </w:pPr>
      <w:r w:rsidRPr="0061155F">
        <w:rPr>
          <w:rFonts w:ascii="Verdana" w:eastAsia="Calibri" w:hAnsi="Verdana" w:cs="Arial"/>
          <w:lang w:val="es-ES"/>
        </w:rPr>
        <w:lastRenderedPageBreak/>
        <w:t xml:space="preserve">iii) El </w:t>
      </w:r>
      <w:r w:rsidRPr="3683B926">
        <w:rPr>
          <w:rFonts w:ascii="Verdana" w:eastAsia="Calibri" w:hAnsi="Verdana" w:cs="Arial"/>
          <w:lang w:val="es-ES"/>
        </w:rPr>
        <w:t xml:space="preserve">artículo 42 de la Ley 80 de 1993 dispone que la urgencia manifiesta se declara, entre otras tres (3) circunstancias, con la finalidad de “[…] conjurar situaciones excepcionales relacionadas con hechos de calamidad o constitutivos de fuerza mayor o desastre que demanden actuaciones inmediatas […]”. Para delimitar estas expresiones, el </w:t>
      </w:r>
      <w:bookmarkStart w:id="9" w:name="_Hlk35880053"/>
      <w:r w:rsidRPr="3683B926">
        <w:rPr>
          <w:rFonts w:ascii="Verdana" w:eastAsia="Calibri" w:hAnsi="Verdana" w:cs="Arial"/>
          <w:lang w:val="es-ES"/>
        </w:rPr>
        <w:t xml:space="preserve">artículo 28 del Código Civil </w:t>
      </w:r>
      <w:bookmarkEnd w:id="9"/>
      <w:r w:rsidRPr="3683B926">
        <w:rPr>
          <w:rFonts w:ascii="Verdana" w:eastAsia="Calibri" w:hAnsi="Verdana" w:cs="Arial"/>
          <w:lang w:val="es-ES"/>
        </w:rPr>
        <w:t xml:space="preserve">dispone que “Las palabras de la ley se entenderán en su sentido natural y obvio, según el uso general de las mismas palabras; pero cuando el legislador las haya definido expresamente para ciertas materias, se les dará en éstas su significado legal”. Y resulta que en la medida en que la norma utiliza la conjunción “o”, en principio asimilaría la </w:t>
      </w:r>
      <w:r w:rsidRPr="3683B926">
        <w:rPr>
          <w:rFonts w:ascii="Verdana" w:eastAsia="Calibri" w:hAnsi="Verdana" w:cs="Arial"/>
          <w:i/>
          <w:lang w:val="es-ES"/>
        </w:rPr>
        <w:t>calamidad</w:t>
      </w:r>
      <w:r w:rsidRPr="3683B926">
        <w:rPr>
          <w:rFonts w:ascii="Verdana" w:eastAsia="Calibri" w:hAnsi="Verdana" w:cs="Arial"/>
          <w:lang w:val="es-ES"/>
        </w:rPr>
        <w:t xml:space="preserve"> y el </w:t>
      </w:r>
      <w:r w:rsidRPr="3683B926">
        <w:rPr>
          <w:rFonts w:ascii="Verdana" w:eastAsia="Calibri" w:hAnsi="Verdana" w:cs="Arial"/>
          <w:i/>
          <w:lang w:val="es-ES"/>
        </w:rPr>
        <w:t xml:space="preserve">desastre </w:t>
      </w:r>
      <w:r w:rsidRPr="3683B926">
        <w:rPr>
          <w:rFonts w:ascii="Verdana" w:eastAsia="Calibri" w:hAnsi="Verdana" w:cs="Arial"/>
          <w:lang w:val="es-ES"/>
        </w:rPr>
        <w:t xml:space="preserve">con la </w:t>
      </w:r>
      <w:r w:rsidRPr="3683B926">
        <w:rPr>
          <w:rFonts w:ascii="Verdana" w:eastAsia="Calibri" w:hAnsi="Verdana" w:cs="Arial"/>
          <w:i/>
          <w:lang w:val="es-ES"/>
        </w:rPr>
        <w:t>fuerza mayor</w:t>
      </w:r>
      <w:r w:rsidRPr="3683B926">
        <w:rPr>
          <w:rFonts w:ascii="Verdana" w:eastAsia="Calibri" w:hAnsi="Verdana" w:cs="Arial"/>
          <w:lang w:val="es-ES"/>
        </w:rPr>
        <w:t xml:space="preserve"> o el </w:t>
      </w:r>
      <w:r w:rsidRPr="3683B926">
        <w:rPr>
          <w:rFonts w:ascii="Verdana" w:eastAsia="Calibri" w:hAnsi="Verdana" w:cs="Arial"/>
          <w:i/>
          <w:lang w:val="es-ES"/>
        </w:rPr>
        <w:t>caso fortuito</w:t>
      </w:r>
      <w:r w:rsidRPr="3683B926">
        <w:rPr>
          <w:rFonts w:ascii="Verdana" w:eastAsia="Calibri" w:hAnsi="Verdana" w:cs="Arial"/>
          <w:lang w:val="es-ES"/>
        </w:rPr>
        <w:t xml:space="preserve">. </w:t>
      </w:r>
    </w:p>
    <w:p w14:paraId="13C9E509" w14:textId="77777777" w:rsidR="0046584A" w:rsidRPr="00D93A6C" w:rsidRDefault="0046584A" w:rsidP="0046584A">
      <w:pPr>
        <w:spacing w:after="0" w:line="276" w:lineRule="auto"/>
        <w:ind w:firstLine="708"/>
        <w:jc w:val="both"/>
        <w:rPr>
          <w:rFonts w:ascii="Verdana" w:eastAsia="Calibri" w:hAnsi="Verdana" w:cs="Arial"/>
          <w:lang w:val="es-ES_tradnl"/>
        </w:rPr>
      </w:pPr>
      <w:r w:rsidRPr="00D93A6C">
        <w:rPr>
          <w:rFonts w:ascii="Verdana" w:eastAsia="Calibri" w:hAnsi="Verdana" w:cs="Arial"/>
          <w:lang w:val="es-ES_tradnl"/>
        </w:rPr>
        <w:t xml:space="preserve">Al respecto, el artículo 64 del Código Civil define como tal “[…] el imprevisto o que no es posible resistir, como un naufragio, un terremoto, </w:t>
      </w:r>
      <w:bookmarkStart w:id="10" w:name="_Hlk35871146"/>
      <w:r w:rsidRPr="00D93A6C">
        <w:rPr>
          <w:rFonts w:ascii="Verdana" w:eastAsia="Calibri" w:hAnsi="Verdana" w:cs="Arial"/>
          <w:lang w:val="es-ES_tradnl"/>
        </w:rPr>
        <w:t>el apresamiento de enemigos, los actos de autoridad ejercidos por un funcionario público</w:t>
      </w:r>
      <w:bookmarkEnd w:id="10"/>
      <w:r w:rsidRPr="00D93A6C">
        <w:rPr>
          <w:rFonts w:ascii="Verdana" w:eastAsia="Calibri" w:hAnsi="Verdana" w:cs="Arial"/>
          <w:lang w:val="es-ES_tradnl"/>
        </w:rPr>
        <w:t>, etc.”</w:t>
      </w:r>
      <w:r w:rsidRPr="00D93A6C">
        <w:rPr>
          <w:rFonts w:ascii="Verdana" w:eastAsia="Calibri" w:hAnsi="Verdana" w:cs="Arial"/>
          <w:sz w:val="21"/>
          <w:szCs w:val="21"/>
          <w:vertAlign w:val="superscript"/>
          <w:lang w:val="es-ES_tradnl"/>
        </w:rPr>
        <w:footnoteReference w:id="18"/>
      </w:r>
      <w:r w:rsidRPr="00D93A6C">
        <w:rPr>
          <w:rFonts w:ascii="Verdana" w:eastAsia="Calibri" w:hAnsi="Verdana" w:cs="Arial"/>
          <w:sz w:val="21"/>
          <w:szCs w:val="21"/>
          <w:lang w:val="es-ES_tradnl"/>
        </w:rPr>
        <w:t>.</w:t>
      </w:r>
      <w:r w:rsidRPr="00D93A6C">
        <w:rPr>
          <w:rFonts w:ascii="Verdana" w:eastAsia="Calibri" w:hAnsi="Verdana" w:cs="Arial"/>
          <w:lang w:val="es-ES_tradnl"/>
        </w:rPr>
        <w:t xml:space="preserve"> Cuando provienen de fenómenos de la naturaleza estas características confluyen con los conceptos de desastre y calamidad, los cuales –conforme al Diccionario de la Real Academia Española– constituyen una “Desgracia grande, suceso infeliz y lamentable” o “Desgracia o infortunio que alcanza a muchas personas”, respectivamente. Conforme al significado natural de las palabras, parece que la diferencia es el mayor alcance de la segunda </w:t>
      </w:r>
      <w:r w:rsidRPr="00D93A6C">
        <w:rPr>
          <w:rFonts w:ascii="Verdana" w:eastAsia="Calibri" w:hAnsi="Verdana" w:cs="Arial"/>
          <w:lang w:val="es-ES_tradnl"/>
        </w:rPr>
        <w:lastRenderedPageBreak/>
        <w:t xml:space="preserve">respecto al primero. No obstante, además de la ocurrencia de desastres y calamidades que –aunque irresistibles– se presentan con cierto grado de previsibilidad o que, incluso, se originan en la actuación humana intencional, estos dos conceptos también los definió </w:t>
      </w:r>
      <w:bookmarkStart w:id="11" w:name="_Hlk35879271"/>
      <w:r w:rsidRPr="00D93A6C">
        <w:rPr>
          <w:rFonts w:ascii="Verdana" w:eastAsia="Calibri" w:hAnsi="Verdana" w:cs="Arial"/>
          <w:lang w:val="es-ES_tradnl"/>
        </w:rPr>
        <w:t>el artículo 4, numerales 5 y 8, de la Ley 1523 de 2012</w:t>
      </w:r>
      <w:bookmarkEnd w:id="11"/>
      <w:r w:rsidRPr="00D93A6C">
        <w:rPr>
          <w:rFonts w:ascii="Verdana" w:eastAsia="Calibri" w:hAnsi="Verdana" w:cs="Arial"/>
          <w:lang w:val="es-ES_tradnl"/>
        </w:rPr>
        <w:t>:</w:t>
      </w:r>
    </w:p>
    <w:p w14:paraId="436453C6" w14:textId="77777777" w:rsidR="0046584A" w:rsidRPr="00D93A6C" w:rsidRDefault="0046584A" w:rsidP="0046584A">
      <w:pPr>
        <w:spacing w:after="0" w:line="276" w:lineRule="auto"/>
        <w:ind w:firstLine="708"/>
        <w:jc w:val="both"/>
        <w:rPr>
          <w:rFonts w:ascii="Verdana" w:eastAsia="Calibri" w:hAnsi="Verdana" w:cs="Arial"/>
          <w:lang w:val="es-ES_tradnl"/>
        </w:rPr>
      </w:pPr>
    </w:p>
    <w:p w14:paraId="7AEEB409" w14:textId="77777777" w:rsidR="0046584A" w:rsidRPr="00DB5641" w:rsidRDefault="0046584A" w:rsidP="0046584A">
      <w:pPr>
        <w:spacing w:after="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“Art. 4. Para efectos de la presente ley se entenderá por:</w:t>
      </w:r>
    </w:p>
    <w:p w14:paraId="327DA6B2" w14:textId="77777777" w:rsidR="0046584A" w:rsidRPr="00DB5641" w:rsidRDefault="0046584A" w:rsidP="0046584A">
      <w:pPr>
        <w:spacing w:after="12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w:t>
      </w:r>
      <w:r>
        <w:rPr>
          <w:rFonts w:ascii="Verdana" w:eastAsia="Calibri" w:hAnsi="Verdana" w:cs="Arial"/>
          <w:sz w:val="20"/>
          <w:szCs w:val="20"/>
          <w:lang w:val="es-ES_tradnl"/>
        </w:rPr>
        <w:t xml:space="preserve"> </w:t>
      </w:r>
      <w:r w:rsidRPr="00DB5641">
        <w:rPr>
          <w:rFonts w:ascii="Verdana" w:eastAsia="Calibri" w:hAnsi="Verdana" w:cs="Arial"/>
          <w:sz w:val="20"/>
          <w:szCs w:val="20"/>
          <w:lang w:val="es-ES_tradnl"/>
        </w:rPr>
        <w:t xml:space="preserve">5. Calamidad pública: Es </w:t>
      </w:r>
      <w:bookmarkStart w:id="12" w:name="_Hlk35879333"/>
      <w:r w:rsidRPr="00DB5641">
        <w:rPr>
          <w:rFonts w:ascii="Verdana" w:eastAsia="Calibri" w:hAnsi="Verdana" w:cs="Arial"/>
          <w:sz w:val="20"/>
          <w:szCs w:val="20"/>
          <w:lang w:val="es-ES_tradnl"/>
        </w:rPr>
        <w:t xml:space="preserve">el resultado que se desencadena de la manifestación de uno o varios eventos naturales </w:t>
      </w:r>
      <w:bookmarkStart w:id="13" w:name="_Hlk35870820"/>
      <w:r w:rsidRPr="00DB5641">
        <w:rPr>
          <w:rFonts w:ascii="Verdana" w:eastAsia="Calibri" w:hAnsi="Verdana" w:cs="Arial"/>
          <w:sz w:val="20"/>
          <w:szCs w:val="20"/>
          <w:lang w:val="es-ES_tradnl"/>
        </w:rPr>
        <w:t xml:space="preserve">o antropogénicos no intencionales </w:t>
      </w:r>
      <w:bookmarkEnd w:id="13"/>
      <w:r w:rsidRPr="00DB5641">
        <w:rPr>
          <w:rFonts w:ascii="Verdana" w:eastAsia="Calibri" w:hAnsi="Verdana" w:cs="Arial"/>
          <w:sz w:val="20"/>
          <w:szCs w:val="20"/>
          <w:lang w:val="es-ES_tradnl"/>
        </w:rPr>
        <w:t xml:space="preserve">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w:t>
      </w:r>
      <w:bookmarkEnd w:id="12"/>
      <w:r w:rsidRPr="00DB5641">
        <w:rPr>
          <w:rFonts w:ascii="Verdana" w:eastAsia="Calibri" w:hAnsi="Verdana" w:cs="Arial"/>
          <w:sz w:val="20"/>
          <w:szCs w:val="20"/>
          <w:lang w:val="es-ES_tradnl"/>
        </w:rPr>
        <w:t>de la población, en el respectivo territorio, que exige al municipio, distrito o departamento ejecutar acciones de respuesta a la emergencia, rehabilitación y reconstrucción.</w:t>
      </w:r>
    </w:p>
    <w:p w14:paraId="1970C406" w14:textId="77777777" w:rsidR="0046584A" w:rsidRPr="00DB5641" w:rsidRDefault="0046584A" w:rsidP="0046584A">
      <w:pPr>
        <w:spacing w:after="12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 xml:space="preserve">[…] </w:t>
      </w:r>
    </w:p>
    <w:p w14:paraId="161CC6FD" w14:textId="77777777" w:rsidR="0046584A" w:rsidRPr="00D93A6C" w:rsidRDefault="0046584A" w:rsidP="0046584A">
      <w:pPr>
        <w:spacing w:after="0" w:line="240" w:lineRule="auto"/>
        <w:ind w:left="709" w:right="709"/>
        <w:jc w:val="both"/>
        <w:rPr>
          <w:rFonts w:ascii="Verdana" w:eastAsia="Calibri" w:hAnsi="Verdana" w:cs="Arial"/>
          <w:lang w:val="es-ES_tradnl"/>
        </w:rPr>
      </w:pPr>
      <w:r w:rsidRPr="00DB5641">
        <w:rPr>
          <w:rFonts w:ascii="Verdana" w:eastAsia="Calibri" w:hAnsi="Verdana" w:cs="Arial"/>
          <w:sz w:val="20"/>
          <w:szCs w:val="20"/>
          <w:lang w:val="es-ES_tradnl"/>
        </w:rPr>
        <w:t>8. Desastre: Es el resultado que se desencadena de la manifestación de uno o varios eventos naturales o antropogénicos no intencionales 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de la sociedad, que exige del Estado y del sistema nacional ejecutar acciones de respuesta a la emergencia, rehabilitación y reconstrucción”.</w:t>
      </w:r>
    </w:p>
    <w:p w14:paraId="690AA336" w14:textId="77777777" w:rsidR="0046584A" w:rsidRPr="00D93A6C" w:rsidRDefault="0046584A" w:rsidP="0046584A">
      <w:pPr>
        <w:spacing w:after="0" w:line="276" w:lineRule="auto"/>
        <w:ind w:left="709" w:right="709"/>
        <w:jc w:val="both"/>
        <w:rPr>
          <w:rFonts w:ascii="Verdana" w:eastAsia="Calibri" w:hAnsi="Verdana" w:cs="Arial"/>
          <w:lang w:val="es-ES_tradnl"/>
        </w:rPr>
      </w:pPr>
    </w:p>
    <w:p w14:paraId="58243D83" w14:textId="77777777" w:rsidR="0046584A" w:rsidRPr="00D93A6C" w:rsidRDefault="0046584A" w:rsidP="0046584A">
      <w:pPr>
        <w:spacing w:after="120" w:line="276" w:lineRule="auto"/>
        <w:ind w:firstLine="709"/>
        <w:jc w:val="both"/>
        <w:rPr>
          <w:rFonts w:ascii="Verdana" w:eastAsia="Calibri" w:hAnsi="Verdana" w:cs="Arial"/>
          <w:lang w:val="es-ES"/>
        </w:rPr>
      </w:pPr>
      <w:r w:rsidRPr="3683B926">
        <w:rPr>
          <w:rFonts w:ascii="Verdana" w:eastAsia="Calibri" w:hAnsi="Verdana" w:cs="Arial"/>
          <w:lang w:val="es-ES"/>
        </w:rPr>
        <w:t xml:space="preserve">Esta norma debe armonizarse con los artículos 56 y 57 </w:t>
      </w:r>
      <w:r w:rsidRPr="3683B926">
        <w:rPr>
          <w:rFonts w:ascii="Verdana" w:eastAsia="Calibri" w:hAnsi="Verdana" w:cs="Arial"/>
          <w:i/>
          <w:lang w:val="es-ES"/>
        </w:rPr>
        <w:t>ibidem</w:t>
      </w:r>
      <w:r w:rsidRPr="3683B926">
        <w:rPr>
          <w:rFonts w:ascii="Verdana" w:eastAsia="Calibri" w:hAnsi="Verdana" w:cs="Arial"/>
          <w:lang w:val="es-ES"/>
        </w:rPr>
        <w:t xml:space="preserve">, que asignan la competencia para declarar la ocurrencia de una situación de </w:t>
      </w:r>
      <w:r w:rsidRPr="3683B926">
        <w:rPr>
          <w:rFonts w:ascii="Verdana" w:eastAsia="Calibri" w:hAnsi="Verdana" w:cs="Arial"/>
          <w:i/>
          <w:lang w:val="es-ES"/>
        </w:rPr>
        <w:t>desastre</w:t>
      </w:r>
      <w:r w:rsidRPr="3683B926">
        <w:rPr>
          <w:rFonts w:ascii="Verdana" w:eastAsia="Calibri" w:hAnsi="Verdana" w:cs="Arial"/>
          <w:lang w:val="es-ES"/>
        </w:rPr>
        <w:t xml:space="preserve"> o una situación de </w:t>
      </w:r>
      <w:r w:rsidRPr="3683B926">
        <w:rPr>
          <w:rFonts w:ascii="Verdana" w:eastAsia="Calibri" w:hAnsi="Verdana" w:cs="Arial"/>
          <w:i/>
          <w:lang w:val="es-ES"/>
        </w:rPr>
        <w:t>calamidad pública</w:t>
      </w:r>
      <w:r w:rsidRPr="3683B926">
        <w:rPr>
          <w:rFonts w:ascii="Verdana" w:eastAsia="Calibri" w:hAnsi="Verdana" w:cs="Arial"/>
          <w:lang w:val="es-ES"/>
        </w:rPr>
        <w:t xml:space="preserve">. Particularmente, disponen que al Presidente de la República le corresponde declarar la situación de </w:t>
      </w:r>
      <w:r w:rsidRPr="3683B926">
        <w:rPr>
          <w:rFonts w:ascii="Verdana" w:eastAsia="Calibri" w:hAnsi="Verdana" w:cs="Arial"/>
          <w:i/>
          <w:lang w:val="es-ES"/>
        </w:rPr>
        <w:t>desastre</w:t>
      </w:r>
      <w:r w:rsidRPr="3683B926">
        <w:rPr>
          <w:rFonts w:ascii="Verdana" w:eastAsia="Calibri" w:hAnsi="Verdana" w:cs="Arial"/>
          <w:lang w:val="es-ES"/>
        </w:rPr>
        <w:t>, tanto en el orden nacional, departamental, como en el municipal y distrital</w:t>
      </w:r>
      <w:r w:rsidRPr="3683B926">
        <w:rPr>
          <w:rStyle w:val="Refdenotaalpie"/>
          <w:rFonts w:ascii="Verdana" w:eastAsia="Calibri" w:hAnsi="Verdana" w:cs="Arial"/>
          <w:lang w:val="es-ES"/>
        </w:rPr>
        <w:footnoteReference w:id="19"/>
      </w:r>
      <w:r w:rsidRPr="3683B926">
        <w:rPr>
          <w:rFonts w:ascii="Verdana" w:eastAsia="Calibri" w:hAnsi="Verdana" w:cs="Arial"/>
          <w:lang w:val="es-ES"/>
        </w:rPr>
        <w:t xml:space="preserve">, facultad </w:t>
      </w:r>
      <w:r w:rsidRPr="3683B926">
        <w:rPr>
          <w:rFonts w:ascii="Verdana" w:eastAsia="Calibri" w:hAnsi="Verdana" w:cs="Arial"/>
          <w:lang w:val="es-ES"/>
        </w:rPr>
        <w:lastRenderedPageBreak/>
        <w:t xml:space="preserve">que no pueden ejercer los gobernadores y alcaldes, porque la norma no les asignó esta competencia. No obstante, a los gobernadores y alcaldes sí les corresponde declarar la </w:t>
      </w:r>
      <w:r w:rsidRPr="3683B926">
        <w:rPr>
          <w:rFonts w:ascii="Verdana" w:eastAsia="Calibri" w:hAnsi="Verdana" w:cs="Arial"/>
          <w:i/>
          <w:lang w:val="es-ES"/>
        </w:rPr>
        <w:t>situación de calamidad pública</w:t>
      </w:r>
      <w:r w:rsidRPr="3683B926">
        <w:rPr>
          <w:rFonts w:ascii="Verdana" w:eastAsia="Calibri" w:hAnsi="Verdana" w:cs="Arial"/>
          <w:lang w:val="es-ES"/>
        </w:rPr>
        <w:t>, en los respectivos ámbitos, facultad que, en cambio, no puede ejercer el presidente de la república</w:t>
      </w:r>
      <w:r w:rsidRPr="3683B926">
        <w:rPr>
          <w:rStyle w:val="Refdenotaalpie"/>
          <w:rFonts w:ascii="Verdana" w:eastAsia="Calibri" w:hAnsi="Verdana" w:cs="Arial"/>
          <w:lang w:val="es-ES"/>
        </w:rPr>
        <w:footnoteReference w:id="20"/>
      </w:r>
      <w:r w:rsidRPr="3683B926">
        <w:rPr>
          <w:rFonts w:ascii="Verdana" w:eastAsia="Calibri" w:hAnsi="Verdana" w:cs="Arial"/>
          <w:lang w:val="es-ES"/>
        </w:rPr>
        <w:t xml:space="preserve">. </w:t>
      </w:r>
    </w:p>
    <w:p w14:paraId="01589DD7" w14:textId="77777777" w:rsidR="0046584A" w:rsidRPr="0061155F" w:rsidRDefault="0046584A" w:rsidP="0046584A">
      <w:pPr>
        <w:spacing w:after="120" w:line="276" w:lineRule="auto"/>
        <w:ind w:firstLine="709"/>
        <w:jc w:val="both"/>
        <w:rPr>
          <w:rFonts w:ascii="Verdana" w:eastAsia="Calibri" w:hAnsi="Verdana" w:cs="Arial"/>
          <w:lang w:val="es-ES_tradnl"/>
        </w:rPr>
      </w:pPr>
      <w:r w:rsidRPr="00D93A6C">
        <w:rPr>
          <w:rFonts w:ascii="Verdana" w:eastAsia="Calibri" w:hAnsi="Verdana" w:cs="Arial"/>
          <w:lang w:val="es-ES_tradnl"/>
        </w:rPr>
        <w:t xml:space="preserve">De esta manera, una vez se declara la situación de calamidad o la situación de desastre bajo los criterios señalados en el artículo 59 de la Ley 1523 de 2012, por parte de la autoridad competente, las demás entidades estatales –de conformidad con el artículo 42 de la Ley 80 de 1993– quedan facultadas para declarar, a continuación, la causal de contratación directa denominada “urgencia manifiesta”, mediante un acto administrativo propio, autónomo, que tiene como </w:t>
      </w:r>
      <w:r w:rsidRPr="0061155F">
        <w:rPr>
          <w:rFonts w:ascii="Verdana" w:eastAsia="Calibri" w:hAnsi="Verdana" w:cs="Arial"/>
          <w:lang w:val="es-ES_tradnl"/>
        </w:rPr>
        <w:t xml:space="preserve">fundamento fáctico y jurídico la declaración de situación de calamidad o la situación de desastre. </w:t>
      </w:r>
    </w:p>
    <w:p w14:paraId="3FABED04" w14:textId="4A0AA3EB" w:rsidR="0046584A" w:rsidRPr="0061155F" w:rsidRDefault="0046584A" w:rsidP="0046584A">
      <w:pPr>
        <w:spacing w:after="120" w:line="276" w:lineRule="auto"/>
        <w:ind w:firstLine="709"/>
        <w:jc w:val="both"/>
        <w:rPr>
          <w:rFonts w:ascii="Verdana" w:eastAsia="Calibri" w:hAnsi="Verdana" w:cs="Arial"/>
          <w:lang w:val="es-ES"/>
        </w:rPr>
      </w:pPr>
      <w:bookmarkStart w:id="15" w:name="_Hlk35959844"/>
      <w:r w:rsidRPr="0061155F">
        <w:rPr>
          <w:rFonts w:ascii="Verdana" w:eastAsia="Calibri" w:hAnsi="Verdana" w:cs="Arial"/>
          <w:lang w:val="es-ES"/>
        </w:rPr>
        <w:t xml:space="preserve">Lo anterior significa que </w:t>
      </w:r>
      <w:bookmarkStart w:id="16" w:name="_Hlk35959859"/>
      <w:r w:rsidRPr="0061155F">
        <w:rPr>
          <w:rFonts w:ascii="Verdana" w:eastAsia="Calibri" w:hAnsi="Verdana" w:cs="Arial"/>
          <w:lang w:val="es-ES"/>
        </w:rPr>
        <w:t xml:space="preserve">para contratar </w:t>
      </w:r>
      <w:bookmarkEnd w:id="15"/>
      <w:r w:rsidRPr="0061155F">
        <w:rPr>
          <w:rFonts w:ascii="Verdana" w:eastAsia="Calibri" w:hAnsi="Verdana" w:cs="Arial"/>
          <w:lang w:val="es-ES"/>
        </w:rPr>
        <w:t xml:space="preserve">directamente no basta con la declaración de desastre o de calamidad. Es decir, se necesitan dos (2) actos administrativos concurrentes para que pueda contratarse directamente por urgencia manifiesta: i) el primero en el tiempo, la declaración de la situación de calamidad pública o la declaración de la situación de desastre, de conformidad con lo establecido en el Capítulo VI de la Ley 1523 de 2012; y ii) el segundo, la declaración propiamente dicha de “urgencia manifiesta” de que trata el artículo </w:t>
      </w:r>
      <w:r w:rsidRPr="0061155F">
        <w:rPr>
          <w:rFonts w:ascii="Verdana" w:eastAsia="Calibri" w:hAnsi="Verdana" w:cs="Arial"/>
          <w:lang w:val="es-ES"/>
        </w:rPr>
        <w:lastRenderedPageBreak/>
        <w:t>42 del Estatuto General de Contratación, amparado o fundamentado en la declaración previa del desastre o calamidad.</w:t>
      </w:r>
    </w:p>
    <w:p w14:paraId="153F57CC" w14:textId="216E47F0" w:rsidR="00CA3539" w:rsidRPr="0061155F" w:rsidRDefault="00CA3539" w:rsidP="00CA3539">
      <w:pPr>
        <w:spacing w:after="120" w:line="276" w:lineRule="auto"/>
        <w:ind w:firstLine="709"/>
        <w:jc w:val="both"/>
        <w:rPr>
          <w:rFonts w:ascii="Verdana" w:eastAsia="Calibri" w:hAnsi="Verdana" w:cs="Arial"/>
          <w:lang w:val="es-ES"/>
        </w:rPr>
      </w:pPr>
      <w:r w:rsidRPr="736CB040">
        <w:rPr>
          <w:rFonts w:ascii="Verdana" w:eastAsia="Calibri" w:hAnsi="Verdana" w:cs="Arial"/>
          <w:lang w:val="es-ES"/>
        </w:rPr>
        <w:t xml:space="preserve">Sin el primer acto administrativo no es posible expedir el segundo, es decir, para declarar la urgencia manifiesta es imprescindible que el presidente de la república o el gobernador o el alcalde, según el caso, hayan declarado la situación de desastre o la declaración de calamidad. </w:t>
      </w:r>
      <w:r>
        <w:rPr>
          <w:rFonts w:ascii="Verdana" w:eastAsia="Calibri" w:hAnsi="Verdana" w:cs="Arial"/>
          <w:lang w:val="es-ES"/>
        </w:rPr>
        <w:t>Esto</w:t>
      </w:r>
      <w:r w:rsidRPr="736CB040">
        <w:rPr>
          <w:rFonts w:ascii="Verdana" w:eastAsia="Calibri" w:hAnsi="Verdana" w:cs="Arial"/>
          <w:lang w:val="es-ES"/>
        </w:rPr>
        <w:t xml:space="preserve">, porque la situación de calamidad pública o la situación de desastre depende tanto de la ocurrencia de los hechos que dan lugar a las mismas como de la declaración del órgano competente, de manera que ninguna se configura a falta de alguna de estas condiciones. </w:t>
      </w:r>
    </w:p>
    <w:p w14:paraId="41B076DD" w14:textId="77777777" w:rsidR="0046584A" w:rsidRPr="00D93A6C" w:rsidRDefault="0046584A" w:rsidP="0046584A">
      <w:pPr>
        <w:spacing w:after="120" w:line="276" w:lineRule="auto"/>
        <w:ind w:firstLine="709"/>
        <w:jc w:val="both"/>
        <w:rPr>
          <w:rFonts w:ascii="Verdana" w:eastAsia="Calibri" w:hAnsi="Verdana" w:cs="Arial"/>
          <w:lang w:val="es-ES"/>
        </w:rPr>
      </w:pPr>
      <w:r w:rsidRPr="3683B926">
        <w:rPr>
          <w:rFonts w:ascii="Verdana" w:eastAsia="Calibri" w:hAnsi="Verdana" w:cs="Arial"/>
          <w:lang w:val="es-ES"/>
        </w:rPr>
        <w:t xml:space="preserve"> </w:t>
      </w:r>
      <w:r>
        <w:rPr>
          <w:rFonts w:ascii="Verdana" w:eastAsia="Calibri" w:hAnsi="Verdana" w:cs="Arial"/>
          <w:lang w:val="es-ES"/>
        </w:rPr>
        <w:t>P</w:t>
      </w:r>
      <w:r w:rsidRPr="3683B926">
        <w:rPr>
          <w:rFonts w:ascii="Verdana" w:eastAsia="Calibri" w:hAnsi="Verdana" w:cs="Arial"/>
          <w:lang w:val="es-ES"/>
        </w:rPr>
        <w:t>ara declarar la urgencia manifiesta es imprescindible que el presidente de la república o el gobernador o el alcalde, según el caso, hayan declarado la situación de desastre o la declaración de calamidad.</w:t>
      </w:r>
      <w:r>
        <w:rPr>
          <w:rFonts w:ascii="Verdana" w:eastAsia="Calibri" w:hAnsi="Verdana" w:cs="Arial"/>
          <w:lang w:val="es-ES"/>
        </w:rPr>
        <w:t xml:space="preserve"> Tratándose de los funcionarios mencionados, ambas declaraciones pueden realizarse en un mismo acto administrativo, es decir, el presidente, el gobernador o el alcalde declara el desastre o la calamidad y, como consecuencia, decreta la urgencia manifiesta.</w:t>
      </w:r>
      <w:r w:rsidRPr="3683B926">
        <w:rPr>
          <w:rFonts w:ascii="Verdana" w:eastAsia="Calibri" w:hAnsi="Verdana" w:cs="Arial"/>
          <w:lang w:val="es-ES"/>
        </w:rPr>
        <w:t xml:space="preserve"> Lo anterior, porque la situación de calamidad pública o la situación de desastre depende tanto de la ocurrencia de los hechos que dan lugar a las mismas como de la declaración del órgano competente, de manera que ninguna se configura a falta de alguna de estas condiciones. </w:t>
      </w:r>
    </w:p>
    <w:p w14:paraId="3308923F" w14:textId="0A8E0089" w:rsidR="0046584A" w:rsidRPr="0009151F" w:rsidRDefault="0046584A" w:rsidP="00FD122F">
      <w:pPr>
        <w:spacing w:after="120" w:line="276" w:lineRule="auto"/>
        <w:ind w:firstLine="709"/>
        <w:jc w:val="both"/>
        <w:rPr>
          <w:rFonts w:ascii="Verdana" w:eastAsia="Calibri" w:hAnsi="Verdana" w:cs="Arial"/>
          <w:lang w:val="es-ES_tradnl"/>
        </w:rPr>
      </w:pPr>
      <w:r>
        <w:rPr>
          <w:rFonts w:ascii="Verdana" w:eastAsia="Calibri" w:hAnsi="Verdana" w:cs="Arial"/>
          <w:lang w:val="es-ES_tradnl"/>
        </w:rPr>
        <w:t>C</w:t>
      </w:r>
      <w:r w:rsidRPr="00D93A6C">
        <w:rPr>
          <w:rFonts w:ascii="Verdana" w:eastAsia="Calibri" w:hAnsi="Verdana" w:cs="Arial"/>
          <w:lang w:val="es-ES_tradnl"/>
        </w:rPr>
        <w:t xml:space="preserve">omo una autoridad diferente al presidente de la república, o al gobernador y el alcalde –por ejemplo, los ministros, directores o presidentes de agencias, directores de establecimientos públicos, de sociedades de economía mixta, etc.–, carece de competencia para declarar cualquiera de estas dos </w:t>
      </w:r>
      <w:r>
        <w:rPr>
          <w:rFonts w:ascii="Verdana" w:eastAsia="Calibri" w:hAnsi="Verdana" w:cs="Arial"/>
          <w:lang w:val="es-ES_tradnl"/>
        </w:rPr>
        <w:t xml:space="preserve">(2) </w:t>
      </w:r>
      <w:r w:rsidRPr="00D93A6C">
        <w:rPr>
          <w:rFonts w:ascii="Verdana" w:eastAsia="Calibri" w:hAnsi="Verdana" w:cs="Arial"/>
          <w:lang w:val="es-ES_tradnl"/>
        </w:rPr>
        <w:t>situaciones, deben esperar a que se dicten los actos respectivos para fundamentar la declaración de urgencia manifiesta en la situación de desastre o en la situación de calamidad</w:t>
      </w:r>
      <w:bookmarkEnd w:id="16"/>
      <w:r w:rsidRPr="00D93A6C">
        <w:rPr>
          <w:rFonts w:ascii="Verdana" w:eastAsia="Calibri" w:hAnsi="Verdana" w:cs="Arial"/>
          <w:lang w:val="es-ES_tradnl"/>
        </w:rPr>
        <w:t xml:space="preserve">. </w:t>
      </w:r>
      <w:r>
        <w:rPr>
          <w:rFonts w:ascii="Verdana" w:eastAsia="Calibri" w:hAnsi="Verdana" w:cs="Arial"/>
          <w:lang w:val="es-ES_tradnl"/>
        </w:rPr>
        <w:t xml:space="preserve">En esta segunda hipótesis, se expiden dos (2) actos administrativos separados: el presidente, gobernador o alcalde declara el desastre o la calamidad, por un lado, y </w:t>
      </w:r>
      <w:r w:rsidRPr="00D93A6C">
        <w:rPr>
          <w:rFonts w:ascii="Verdana" w:eastAsia="Calibri" w:hAnsi="Verdana" w:cs="Arial"/>
          <w:lang w:val="es-ES_tradnl"/>
        </w:rPr>
        <w:t>los ministros, directores o presidentes de agencias, directores de establecimientos públicos, de sociedades de economía mixta, etc.</w:t>
      </w:r>
      <w:r>
        <w:rPr>
          <w:rFonts w:ascii="Verdana" w:eastAsia="Calibri" w:hAnsi="Verdana" w:cs="Arial"/>
          <w:lang w:val="es-ES_tradnl"/>
        </w:rPr>
        <w:t xml:space="preserve"> decretan la urgencia manifiesta, por otro. </w:t>
      </w:r>
      <w:r w:rsidRPr="00D93A6C">
        <w:rPr>
          <w:rFonts w:ascii="Verdana" w:eastAsia="Calibri" w:hAnsi="Verdana" w:cs="Arial"/>
          <w:lang w:val="es-ES_tradnl"/>
        </w:rPr>
        <w:t xml:space="preserve">Por lo anterior, cuando el artículo 42 de la Ley 80 de 1993 dispone que la urgencia manifiesta se declara –entre otras tres (3) causales– para “[…] </w:t>
      </w:r>
      <w:bookmarkStart w:id="17" w:name="_Hlk35879915"/>
      <w:r w:rsidRPr="00D93A6C">
        <w:rPr>
          <w:rFonts w:ascii="Verdana" w:eastAsia="Calibri" w:hAnsi="Verdana" w:cs="Arial"/>
          <w:lang w:val="es-ES_tradnl"/>
        </w:rPr>
        <w:t>conjurar situaciones excepcionales relacionadas con hechos de calamidad o constitutivos de fuerza mayor o desastre que demanden actuaciones inmediatas</w:t>
      </w:r>
      <w:bookmarkEnd w:id="17"/>
      <w:r w:rsidRPr="00D93A6C">
        <w:rPr>
          <w:rFonts w:ascii="Verdana" w:eastAsia="Calibri" w:hAnsi="Verdana" w:cs="Arial"/>
          <w:lang w:val="es-ES_tradnl"/>
        </w:rPr>
        <w:t xml:space="preserve"> […]”, las circunstancias de calamidad y </w:t>
      </w:r>
      <w:r w:rsidRPr="00D93A6C">
        <w:rPr>
          <w:rFonts w:ascii="Verdana" w:eastAsia="Calibri" w:hAnsi="Verdana" w:cs="Arial"/>
          <w:lang w:val="es-ES_tradnl"/>
        </w:rPr>
        <w:lastRenderedPageBreak/>
        <w:t>desastre deben entenderse en los términos de la Ley 1523 de 2012, en la medida que forman una unidad jurídica completa.</w:t>
      </w:r>
    </w:p>
    <w:p w14:paraId="6ADF4058" w14:textId="77777777" w:rsidR="0046584A" w:rsidRPr="0009151F" w:rsidRDefault="0046584A" w:rsidP="0046584A">
      <w:pPr>
        <w:tabs>
          <w:tab w:val="left" w:pos="709"/>
        </w:tabs>
        <w:spacing w:after="0" w:line="276" w:lineRule="auto"/>
        <w:jc w:val="both"/>
        <w:rPr>
          <w:rFonts w:ascii="Verdana" w:eastAsia="Calibri" w:hAnsi="Verdana" w:cs="Arial"/>
          <w:bCs/>
        </w:rPr>
      </w:pPr>
      <w:r w:rsidRPr="0009151F">
        <w:rPr>
          <w:rFonts w:ascii="Verdana" w:eastAsia="Calibri" w:hAnsi="Verdana" w:cs="Arial"/>
          <w:lang w:eastAsia="es-ES"/>
        </w:rPr>
        <w:tab/>
      </w:r>
      <w:r w:rsidRPr="0009151F">
        <w:rPr>
          <w:rFonts w:ascii="Verdana" w:eastAsia="Calibri" w:hAnsi="Verdana" w:cs="Arial"/>
          <w:bCs/>
        </w:rPr>
        <w:t xml:space="preserve">Al margen de la explicación precedente debe advertirse que </w:t>
      </w:r>
      <w:r w:rsidRPr="0009151F">
        <w:rPr>
          <w:rStyle w:val="s15"/>
          <w:rFonts w:ascii="Verdana" w:hAnsi="Verdana"/>
        </w:rPr>
        <w:t>el análisis requerido para resolver problemas específicos en torno a la gestión contractual debe ser realizado por quienes tengan interés en ello, de acuerdo con lo explicado la aclaración preliminar del presente oficio</w:t>
      </w:r>
      <w:r w:rsidRPr="0009151F">
        <w:rPr>
          <w:rFonts w:ascii="Verdana" w:eastAsia="Calibri" w:hAnsi="Verdana" w:cs="Arial"/>
          <w:bCs/>
        </w:rPr>
        <w:t>.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1B4586C" w14:textId="77777777" w:rsidR="0046584A" w:rsidRPr="0009151F" w:rsidRDefault="0046584A" w:rsidP="0046584A">
      <w:pPr>
        <w:tabs>
          <w:tab w:val="left" w:pos="709"/>
        </w:tabs>
        <w:spacing w:after="0" w:line="276" w:lineRule="auto"/>
        <w:jc w:val="both"/>
        <w:rPr>
          <w:rFonts w:ascii="Verdana" w:eastAsia="Calibri" w:hAnsi="Verdana" w:cs="Arial"/>
          <w:bCs/>
        </w:rPr>
      </w:pPr>
    </w:p>
    <w:p w14:paraId="4EB0E2CD" w14:textId="77777777" w:rsidR="0046584A" w:rsidRPr="0009151F" w:rsidRDefault="0046584A" w:rsidP="00FD122F">
      <w:pPr>
        <w:spacing w:after="0" w:line="276" w:lineRule="auto"/>
        <w:ind w:firstLine="708"/>
        <w:jc w:val="both"/>
        <w:rPr>
          <w:rFonts w:ascii="Verdana" w:eastAsia="Calibri" w:hAnsi="Verdana" w:cs="Arial"/>
          <w:bCs/>
        </w:rPr>
      </w:pPr>
      <w:r w:rsidRPr="0009151F">
        <w:rPr>
          <w:rFonts w:ascii="Verdana" w:eastAsia="Calibri" w:hAnsi="Verdana" w:cs="Arial"/>
          <w:bC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72F9BBD2" w14:textId="77777777" w:rsidR="0046584A" w:rsidRPr="00BC4191" w:rsidRDefault="0046584A" w:rsidP="0046584A">
      <w:pPr>
        <w:tabs>
          <w:tab w:val="left" w:pos="709"/>
        </w:tabs>
        <w:spacing w:after="0" w:line="276" w:lineRule="auto"/>
        <w:jc w:val="both"/>
        <w:rPr>
          <w:rFonts w:ascii="Verdana" w:eastAsia="Calibri" w:hAnsi="Verdana" w:cs="Arial"/>
          <w:bCs/>
          <w:color w:val="EE0000"/>
        </w:rPr>
      </w:pPr>
    </w:p>
    <w:bookmarkEnd w:id="1"/>
    <w:bookmarkEnd w:id="2"/>
    <w:p w14:paraId="71A74FF6" w14:textId="20F7C7EC" w:rsidR="0046584A" w:rsidRPr="00FE2A2F" w:rsidRDefault="0046584A" w:rsidP="00CA3539">
      <w:pPr>
        <w:spacing w:after="0" w:line="276" w:lineRule="auto"/>
        <w:jc w:val="both"/>
        <w:rPr>
          <w:rFonts w:ascii="Verdana" w:eastAsia="Century Gothic" w:hAnsi="Verdana" w:cs="Century Gothic"/>
          <w:b/>
          <w:lang w:val="es-ES"/>
        </w:rPr>
      </w:pPr>
      <w:r w:rsidRPr="00FE2A2F">
        <w:rPr>
          <w:rFonts w:ascii="Verdana" w:eastAsia="Century Gothic" w:hAnsi="Verdana" w:cs="Century Gothic"/>
          <w:b/>
          <w:lang w:val="es-ES"/>
        </w:rPr>
        <w:t>4. Referencias normativas, jurisprudenciales y otras fuentes:</w:t>
      </w:r>
    </w:p>
    <w:p w14:paraId="5CBD75FC" w14:textId="77777777" w:rsidR="00CA3539" w:rsidRPr="00FE2A2F" w:rsidRDefault="00CA3539" w:rsidP="00FD122F">
      <w:pPr>
        <w:spacing w:after="0" w:line="276" w:lineRule="auto"/>
        <w:jc w:val="both"/>
        <w:rPr>
          <w:rFonts w:ascii="Verdana" w:eastAsia="Century Gothic" w:hAnsi="Verdana" w:cs="Century Gothic"/>
          <w:b/>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6584A" w:rsidRPr="00B56E33" w14:paraId="4BF20B6E" w14:textId="77777777">
        <w:trPr>
          <w:trHeight w:val="870"/>
        </w:trPr>
        <w:tc>
          <w:tcPr>
            <w:tcW w:w="8647" w:type="dxa"/>
          </w:tcPr>
          <w:p w14:paraId="3AB38721" w14:textId="77777777" w:rsidR="0046584A" w:rsidRDefault="0046584A" w:rsidP="00FD122F">
            <w:pPr>
              <w:pStyle w:val="Prrafodelista"/>
              <w:widowControl w:val="0"/>
              <w:numPr>
                <w:ilvl w:val="0"/>
                <w:numId w:val="16"/>
              </w:numPr>
              <w:autoSpaceDE w:val="0"/>
              <w:autoSpaceDN w:val="0"/>
              <w:spacing w:line="276" w:lineRule="auto"/>
              <w:contextualSpacing w:val="0"/>
              <w:jc w:val="both"/>
              <w:rPr>
                <w:rFonts w:ascii="Verdana" w:hAnsi="Verdana" w:cs="Arial"/>
                <w:color w:val="000000" w:themeColor="text1"/>
                <w:lang w:val="es-ES_tradnl"/>
              </w:rPr>
            </w:pPr>
            <w:r>
              <w:rPr>
                <w:rFonts w:ascii="Verdana" w:hAnsi="Verdana" w:cs="Arial"/>
                <w:color w:val="000000" w:themeColor="text1"/>
                <w:lang w:val="es-ES_tradnl"/>
              </w:rPr>
              <w:t>Constitución Política de 1991. Artículos 212, 213, y 215.</w:t>
            </w:r>
          </w:p>
          <w:p w14:paraId="1453D315" w14:textId="77777777" w:rsidR="0046584A" w:rsidRPr="00E40604" w:rsidRDefault="0046584A" w:rsidP="00FD122F">
            <w:pPr>
              <w:pStyle w:val="Prrafodelista"/>
              <w:widowControl w:val="0"/>
              <w:numPr>
                <w:ilvl w:val="0"/>
                <w:numId w:val="16"/>
              </w:numPr>
              <w:autoSpaceDE w:val="0"/>
              <w:autoSpaceDN w:val="0"/>
              <w:spacing w:line="276" w:lineRule="auto"/>
              <w:contextualSpacing w:val="0"/>
              <w:jc w:val="both"/>
              <w:rPr>
                <w:rFonts w:ascii="Verdana" w:hAnsi="Verdana" w:cs="Arial"/>
                <w:color w:val="000000" w:themeColor="text1"/>
                <w:lang w:val="es-ES_tradnl"/>
              </w:rPr>
            </w:pPr>
            <w:r>
              <w:rPr>
                <w:rFonts w:ascii="Verdana" w:hAnsi="Verdana" w:cs="Arial"/>
                <w:color w:val="000000" w:themeColor="text1"/>
                <w:lang w:val="es-ES_tradnl"/>
              </w:rPr>
              <w:t>Ley 80 de 1993. Ar</w:t>
            </w:r>
            <w:r w:rsidRPr="00E40604">
              <w:rPr>
                <w:rFonts w:ascii="Verdana" w:hAnsi="Verdana" w:cs="Arial"/>
                <w:color w:val="000000" w:themeColor="text1"/>
                <w:lang w:val="es-ES_tradnl"/>
              </w:rPr>
              <w:t>tículo 42.</w:t>
            </w:r>
          </w:p>
          <w:p w14:paraId="6ED59B27" w14:textId="77777777" w:rsidR="0046584A" w:rsidRDefault="0046584A" w:rsidP="00FD122F">
            <w:pPr>
              <w:pStyle w:val="Prrafodelista"/>
              <w:widowControl w:val="0"/>
              <w:numPr>
                <w:ilvl w:val="0"/>
                <w:numId w:val="16"/>
              </w:numPr>
              <w:autoSpaceDE w:val="0"/>
              <w:autoSpaceDN w:val="0"/>
              <w:spacing w:line="276" w:lineRule="auto"/>
              <w:contextualSpacing w:val="0"/>
              <w:jc w:val="both"/>
              <w:rPr>
                <w:rFonts w:ascii="Verdana" w:hAnsi="Verdana" w:cs="Arial"/>
                <w:color w:val="000000" w:themeColor="text1"/>
                <w:lang w:val="es-ES_tradnl"/>
              </w:rPr>
            </w:pPr>
            <w:r>
              <w:rPr>
                <w:rFonts w:ascii="Verdana" w:hAnsi="Verdana" w:cs="Arial"/>
                <w:color w:val="000000" w:themeColor="text1"/>
                <w:lang w:val="es-ES_tradnl"/>
              </w:rPr>
              <w:t xml:space="preserve">Ley 1150 de 2007. Artículos 2 y 5. </w:t>
            </w:r>
          </w:p>
          <w:p w14:paraId="13AE0ECC" w14:textId="77777777" w:rsidR="0046584A" w:rsidRDefault="0046584A" w:rsidP="00FD122F">
            <w:pPr>
              <w:pStyle w:val="Prrafodelista"/>
              <w:widowControl w:val="0"/>
              <w:numPr>
                <w:ilvl w:val="0"/>
                <w:numId w:val="16"/>
              </w:numPr>
              <w:autoSpaceDE w:val="0"/>
              <w:autoSpaceDN w:val="0"/>
              <w:spacing w:line="276" w:lineRule="auto"/>
              <w:contextualSpacing w:val="0"/>
              <w:jc w:val="both"/>
              <w:rPr>
                <w:rFonts w:ascii="Verdana" w:hAnsi="Verdana" w:cs="Arial"/>
                <w:color w:val="000000" w:themeColor="text1"/>
                <w:lang w:val="es-ES_tradnl"/>
              </w:rPr>
            </w:pPr>
            <w:r>
              <w:rPr>
                <w:rFonts w:ascii="Verdana" w:hAnsi="Verdana" w:cs="Arial"/>
                <w:color w:val="000000" w:themeColor="text1"/>
                <w:lang w:val="es-ES_tradnl"/>
              </w:rPr>
              <w:t>Ley 1523 de 2012. Artículos 56,57 y 59</w:t>
            </w:r>
          </w:p>
          <w:p w14:paraId="177A63AE" w14:textId="77777777" w:rsidR="0046584A" w:rsidRDefault="0046584A" w:rsidP="00FD122F">
            <w:pPr>
              <w:pStyle w:val="Prrafodelista"/>
              <w:widowControl w:val="0"/>
              <w:numPr>
                <w:ilvl w:val="0"/>
                <w:numId w:val="16"/>
              </w:numPr>
              <w:autoSpaceDE w:val="0"/>
              <w:autoSpaceDN w:val="0"/>
              <w:spacing w:line="276" w:lineRule="auto"/>
              <w:contextualSpacing w:val="0"/>
              <w:jc w:val="both"/>
              <w:rPr>
                <w:rFonts w:ascii="Verdana" w:hAnsi="Verdana" w:cs="Arial"/>
                <w:color w:val="000000" w:themeColor="text1"/>
                <w:lang w:val="es-ES_tradnl"/>
              </w:rPr>
            </w:pPr>
            <w:r w:rsidRPr="0009170C">
              <w:rPr>
                <w:rFonts w:ascii="Verdana" w:hAnsi="Verdana" w:cs="Arial"/>
                <w:color w:val="000000" w:themeColor="text1"/>
                <w:lang w:val="es-ES_tradnl"/>
              </w:rPr>
              <w:t>Corte Constitucional. Sentencia C-772 de 1998. M.P. Fabio Morón Díaz.</w:t>
            </w:r>
          </w:p>
          <w:p w14:paraId="4D4ECD32" w14:textId="77777777" w:rsidR="0046584A" w:rsidRDefault="0046584A" w:rsidP="00FD122F">
            <w:pPr>
              <w:pStyle w:val="Prrafodelista"/>
              <w:widowControl w:val="0"/>
              <w:numPr>
                <w:ilvl w:val="0"/>
                <w:numId w:val="16"/>
              </w:numPr>
              <w:autoSpaceDE w:val="0"/>
              <w:autoSpaceDN w:val="0"/>
              <w:spacing w:line="276" w:lineRule="auto"/>
              <w:contextualSpacing w:val="0"/>
              <w:jc w:val="both"/>
              <w:rPr>
                <w:rFonts w:ascii="Verdana" w:hAnsi="Verdana" w:cs="Arial"/>
                <w:color w:val="000000" w:themeColor="text1"/>
              </w:rPr>
            </w:pPr>
            <w:r w:rsidRPr="2D58B4D5">
              <w:rPr>
                <w:rFonts w:ascii="Verdana" w:hAnsi="Verdana" w:cs="Arial"/>
                <w:color w:val="000000" w:themeColor="text1"/>
              </w:rPr>
              <w:t>Corte Suprema De Justicia. Sala de Casación Civil. Sentencia 20 de noviembre de 1989. MP. Alberto Ospina Botero. Publicada en la Gaceta Judicial. Tomo CXCVI. N° 2435. p. 93.</w:t>
            </w:r>
          </w:p>
          <w:p w14:paraId="6322DFD6" w14:textId="77777777" w:rsidR="0046584A" w:rsidRPr="00571138" w:rsidRDefault="0046584A" w:rsidP="00FD122F">
            <w:pPr>
              <w:pStyle w:val="Prrafodelista"/>
              <w:widowControl w:val="0"/>
              <w:numPr>
                <w:ilvl w:val="0"/>
                <w:numId w:val="16"/>
              </w:numPr>
              <w:autoSpaceDE w:val="0"/>
              <w:autoSpaceDN w:val="0"/>
              <w:spacing w:line="276" w:lineRule="auto"/>
              <w:contextualSpacing w:val="0"/>
              <w:jc w:val="both"/>
              <w:rPr>
                <w:rFonts w:ascii="Verdana" w:hAnsi="Verdana" w:cs="Arial"/>
                <w:color w:val="000000" w:themeColor="text1"/>
              </w:rPr>
            </w:pPr>
            <w:r w:rsidRPr="2D58B4D5">
              <w:rPr>
                <w:rFonts w:ascii="Verdana" w:hAnsi="Verdana" w:cs="Arial"/>
                <w:color w:val="000000" w:themeColor="text1"/>
              </w:rPr>
              <w:t>Consejo de Estado. Sala De Consulta Y Servicio Civil. Sentencia del 20 de febrero de 2006. Exp. 1.727. C.P. Enrique José Arboleda Perdomo.</w:t>
            </w:r>
          </w:p>
        </w:tc>
      </w:tr>
    </w:tbl>
    <w:p w14:paraId="55FD20C4" w14:textId="77777777" w:rsidR="0046584A" w:rsidRPr="00F954D3" w:rsidRDefault="0046584A" w:rsidP="0046584A">
      <w:pPr>
        <w:widowControl w:val="0"/>
        <w:autoSpaceDE w:val="0"/>
        <w:autoSpaceDN w:val="0"/>
        <w:spacing w:after="0" w:line="276" w:lineRule="auto"/>
        <w:jc w:val="both"/>
        <w:rPr>
          <w:rFonts w:ascii="Verdana" w:hAnsi="Verdana" w:cs="Arial"/>
          <w:color w:val="EE0000"/>
        </w:rPr>
      </w:pPr>
    </w:p>
    <w:p w14:paraId="6ADEEA93" w14:textId="590B5B57" w:rsidR="0046584A" w:rsidRPr="00E40604" w:rsidRDefault="0046584A" w:rsidP="0046584A">
      <w:pPr>
        <w:tabs>
          <w:tab w:val="left" w:pos="142"/>
          <w:tab w:val="left" w:pos="284"/>
        </w:tabs>
        <w:spacing w:after="0" w:line="276" w:lineRule="auto"/>
        <w:jc w:val="both"/>
        <w:rPr>
          <w:rFonts w:ascii="Verdana" w:eastAsia="Century Gothic" w:hAnsi="Verdana" w:cs="Century Gothic"/>
          <w:b/>
          <w:lang w:val="es-ES"/>
        </w:rPr>
      </w:pPr>
      <w:r w:rsidRPr="00F8741F">
        <w:rPr>
          <w:rFonts w:ascii="Verdana" w:eastAsia="Century Gothic" w:hAnsi="Verdana" w:cs="Century Gothic"/>
          <w:b/>
          <w:lang w:val="es-ES"/>
        </w:rPr>
        <w:t>5. Doctrina de la Agencia Nacional de Contratación Pública:</w:t>
      </w:r>
    </w:p>
    <w:p w14:paraId="23BC100B" w14:textId="77777777" w:rsidR="00CA3539" w:rsidRPr="00CA3539" w:rsidRDefault="00CA3539">
      <w:pPr>
        <w:tabs>
          <w:tab w:val="left" w:pos="142"/>
          <w:tab w:val="left" w:pos="284"/>
        </w:tabs>
        <w:spacing w:after="0" w:line="276" w:lineRule="auto"/>
        <w:jc w:val="both"/>
        <w:rPr>
          <w:rFonts w:ascii="Verdana" w:eastAsia="Century Gothic" w:hAnsi="Verdana" w:cs="Century Gothic"/>
          <w:b/>
          <w:lang w:val="es-ES"/>
        </w:rPr>
      </w:pPr>
    </w:p>
    <w:p w14:paraId="04D9EE69" w14:textId="77777777" w:rsidR="0046584A" w:rsidRPr="009C52DA" w:rsidRDefault="0046584A" w:rsidP="0046584A">
      <w:pPr>
        <w:spacing w:after="0" w:line="276" w:lineRule="auto"/>
        <w:jc w:val="both"/>
        <w:rPr>
          <w:rStyle w:val="normaltextrun"/>
          <w:rFonts w:ascii="Verdana" w:hAnsi="Verdana" w:cs="Arial"/>
          <w:color w:val="EE0000"/>
          <w:shd w:val="clear" w:color="auto" w:fill="FFFFFF"/>
          <w:lang w:val="es-ES"/>
        </w:rPr>
      </w:pPr>
      <w:r w:rsidRPr="00C27509">
        <w:rPr>
          <w:rFonts w:ascii="Verdana" w:eastAsia="Calibri" w:hAnsi="Verdana" w:cs="Arial"/>
          <w:lang w:val="es-ES"/>
        </w:rPr>
        <w:t xml:space="preserve">La Agencia Nacional de Contratación Pública – Colombia Compra Eficiente se ha referido </w:t>
      </w:r>
      <w:r w:rsidRPr="00C27509">
        <w:rPr>
          <w:rFonts w:ascii="Verdana" w:hAnsi="Verdana" w:cs="Arial"/>
          <w:shd w:val="clear" w:color="auto" w:fill="FFFFFF"/>
          <w:lang w:val="es-ES"/>
        </w:rPr>
        <w:t xml:space="preserve">sobre la contratación por calamidad pública y/o urgencia manifiesta </w:t>
      </w:r>
      <w:r w:rsidRPr="00C27509">
        <w:rPr>
          <w:rFonts w:ascii="Verdana" w:hAnsi="Verdana" w:cs="Arial"/>
          <w:shd w:val="clear" w:color="auto" w:fill="FFFFFF"/>
        </w:rPr>
        <w:t xml:space="preserve">en los Conceptos C-003 del 23 de abril de 2020, C-004 25 de abril </w:t>
      </w:r>
      <w:r w:rsidRPr="00B06D52">
        <w:rPr>
          <w:rFonts w:ascii="Verdana" w:hAnsi="Verdana" w:cs="Arial"/>
          <w:shd w:val="clear" w:color="auto" w:fill="FFFFFF"/>
        </w:rPr>
        <w:t>de 2020, C-135 del 10 de abril de 2020, C-241 del 10 de abril de 2020, C-257 del 10 de abril de 2020, C-266 del 21 de mayo de 2020, C-269 del 10 de abril de 2020, C-275 del del 10 de abril de 2020, C-284 del 27 de mayo de 2020, C-300 del 25 de abril de 2020, C-301 del 25 de abril de 2020, C-333 del 19 de mayo de 2020, C-357 del 7 de julio de 2020, C-390 del 23 de junio de 2020, C-403 del 24 de junio de 2020, C-887 del 22 de diciembre de 2022</w:t>
      </w:r>
      <w:r>
        <w:rPr>
          <w:rFonts w:ascii="Verdana" w:hAnsi="Verdana" w:cs="Arial"/>
          <w:shd w:val="clear" w:color="auto" w:fill="FFFFFF"/>
        </w:rPr>
        <w:t>,</w:t>
      </w:r>
      <w:r w:rsidRPr="00B06D52">
        <w:rPr>
          <w:rFonts w:ascii="Verdana" w:hAnsi="Verdana" w:cs="Arial"/>
          <w:shd w:val="clear" w:color="auto" w:fill="FFFFFF"/>
        </w:rPr>
        <w:t xml:space="preserve"> C-131 del 25 de mayo de 2023</w:t>
      </w:r>
      <w:r>
        <w:rPr>
          <w:rFonts w:ascii="Verdana" w:hAnsi="Verdana" w:cs="Arial"/>
          <w:shd w:val="clear" w:color="auto" w:fill="FFFFFF"/>
        </w:rPr>
        <w:t xml:space="preserve"> y C-1189 del 25 de septiembre de 2025</w:t>
      </w:r>
      <w:r>
        <w:rPr>
          <w:rStyle w:val="normaltextrun"/>
          <w:rFonts w:ascii="Verdana" w:hAnsi="Verdana" w:cs="Arial"/>
          <w:shd w:val="clear" w:color="auto" w:fill="FFFFFF"/>
          <w:lang w:val="es-ES"/>
        </w:rPr>
        <w:t>, C-1352 del 29 de octubre de 2025 y C-1793 del 10 de diciembre de 2025.</w:t>
      </w:r>
    </w:p>
    <w:p w14:paraId="379BDFED" w14:textId="77777777" w:rsidR="0046584A" w:rsidRPr="008278B1" w:rsidRDefault="0046584A" w:rsidP="0046584A">
      <w:pPr>
        <w:spacing w:after="0" w:line="276" w:lineRule="auto"/>
        <w:jc w:val="both"/>
        <w:rPr>
          <w:rFonts w:ascii="Verdana" w:hAnsi="Verdana" w:cs="Arial"/>
          <w:shd w:val="clear" w:color="auto" w:fill="FFFFFF"/>
          <w:lang w:val="es-ES"/>
        </w:rPr>
      </w:pPr>
    </w:p>
    <w:p w14:paraId="71EA6042" w14:textId="77777777" w:rsidR="0046584A" w:rsidRPr="008278B1" w:rsidRDefault="0046584A" w:rsidP="00FD122F">
      <w:pPr>
        <w:spacing w:after="0" w:line="276" w:lineRule="auto"/>
        <w:jc w:val="both"/>
        <w:rPr>
          <w:rFonts w:ascii="Verdana" w:hAnsi="Verdana"/>
          <w:lang w:val="es-ES"/>
        </w:rPr>
      </w:pPr>
      <w:r w:rsidRPr="008278B1">
        <w:rPr>
          <w:rFonts w:ascii="Verdana" w:hAnsi="Verdana" w:cs="Arial"/>
          <w:shd w:val="clear" w:color="auto" w:fill="FFFFFF"/>
          <w:lang w:val="es-ES"/>
        </w:rPr>
        <w:t>Estos</w:t>
      </w:r>
      <w:r w:rsidRPr="008278B1">
        <w:rPr>
          <w:rFonts w:ascii="Verdana" w:hAnsi="Verdana"/>
          <w:lang w:val="es-ES"/>
        </w:rPr>
        <w:t xml:space="preserve"> y otros se encuentran disponibles para consulta en el Sistema de relatoría de la Agencia, al cual se puede acceder a través del siguiente enlace:</w:t>
      </w:r>
      <w:r w:rsidRPr="008278B1">
        <w:rPr>
          <w:rFonts w:ascii="Verdana" w:hAnsi="Verdana" w:cs="Arial"/>
          <w:shd w:val="clear" w:color="auto" w:fill="FFFFFF"/>
          <w:lang w:val="es-ES"/>
        </w:rPr>
        <w:t xml:space="preserve"> </w:t>
      </w:r>
      <w:hyperlink r:id="rId12" w:history="1">
        <w:r w:rsidRPr="00CA3539">
          <w:rPr>
            <w:rStyle w:val="Hipervnculo"/>
            <w:rFonts w:ascii="Verdana" w:hAnsi="Verdana" w:cs="Arial"/>
            <w:shd w:val="clear" w:color="auto" w:fill="FFFFFF"/>
            <w:lang w:val="es-ES"/>
          </w:rPr>
          <w:t>https://relatoria.colombiacompra.gov.co/busqueda/conceptos</w:t>
        </w:r>
      </w:hyperlink>
    </w:p>
    <w:p w14:paraId="477BCA06" w14:textId="77777777" w:rsidR="0046584A" w:rsidRPr="008278B1" w:rsidRDefault="0046584A" w:rsidP="00FD122F">
      <w:pPr>
        <w:spacing w:after="0" w:line="276" w:lineRule="auto"/>
        <w:jc w:val="both"/>
        <w:rPr>
          <w:rFonts w:ascii="Verdana" w:hAnsi="Verdana" w:cs="Arial"/>
          <w:shd w:val="clear" w:color="auto" w:fill="FFFFFF"/>
          <w:lang w:val="es-ES"/>
        </w:rPr>
      </w:pPr>
    </w:p>
    <w:p w14:paraId="7302205E" w14:textId="77777777" w:rsidR="0046584A" w:rsidRPr="00F84F36" w:rsidRDefault="0046584A" w:rsidP="00FD122F">
      <w:pPr>
        <w:spacing w:after="0" w:line="276" w:lineRule="auto"/>
        <w:jc w:val="both"/>
        <w:rPr>
          <w:rFonts w:ascii="Verdana" w:hAnsi="Verdana" w:cs="Arial"/>
          <w:color w:val="EE0000"/>
          <w:shd w:val="clear" w:color="auto" w:fill="FFFFFF"/>
        </w:rPr>
      </w:pPr>
      <w:bookmarkStart w:id="18" w:name="_Hlk218766424"/>
      <w:r w:rsidRPr="008278B1">
        <w:rPr>
          <w:rFonts w:ascii="Verdana" w:hAnsi="Verdana" w:cs="Arial"/>
          <w:shd w:val="clear" w:color="auto" w:fill="FFFFFF"/>
        </w:rPr>
        <w:t>También le contamos que ya se encuentra disponible la </w:t>
      </w:r>
      <w:r w:rsidRPr="008278B1">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8278B1">
        <w:rPr>
          <w:rFonts w:ascii="Verdana" w:hAnsi="Verdana" w:cs="Arial"/>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w:t>
      </w:r>
      <w:r w:rsidRPr="00CA3539">
        <w:rPr>
          <w:rFonts w:ascii="Verdana" w:hAnsi="Verdana" w:cs="Arial"/>
          <w:shd w:val="clear" w:color="auto" w:fill="FFFFFF"/>
        </w:rPr>
        <w:t>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CA3539">
          <w:rPr>
            <w:rStyle w:val="Hipervnculo"/>
            <w:rFonts w:ascii="Verdana" w:hAnsi="Verdana"/>
          </w:rPr>
          <w:t>Guía de lineamientos de transparencia y selección objetiva para el departamento de La Guajira – Objetivo sexto constitucional de la Sentencia T-302 del 2017</w:t>
        </w:r>
      </w:hyperlink>
    </w:p>
    <w:p w14:paraId="33A0AE56" w14:textId="77777777" w:rsidR="0046584A" w:rsidRPr="008278B1" w:rsidRDefault="0046584A" w:rsidP="00FD122F">
      <w:pPr>
        <w:spacing w:after="0" w:line="276" w:lineRule="auto"/>
        <w:jc w:val="both"/>
        <w:rPr>
          <w:rFonts w:ascii="Verdana" w:hAnsi="Verdana" w:cs="Arial"/>
          <w:shd w:val="clear" w:color="auto" w:fill="FFFFFF"/>
        </w:rPr>
      </w:pPr>
    </w:p>
    <w:p w14:paraId="364CDA35" w14:textId="77777777" w:rsidR="0046584A" w:rsidRPr="008278B1" w:rsidRDefault="0046584A" w:rsidP="00FD122F">
      <w:pPr>
        <w:spacing w:after="0" w:line="276" w:lineRule="auto"/>
        <w:jc w:val="both"/>
        <w:rPr>
          <w:rFonts w:ascii="Verdana" w:hAnsi="Verdana" w:cs="Arial"/>
          <w:shd w:val="clear" w:color="auto" w:fill="FFFFFF"/>
        </w:rPr>
      </w:pPr>
      <w:r w:rsidRPr="008278B1">
        <w:rPr>
          <w:rFonts w:ascii="Verdana" w:hAnsi="Verdana" w:cs="Arial"/>
          <w:shd w:val="clear" w:color="auto" w:fill="FFFFFF"/>
        </w:rPr>
        <w:t xml:space="preserve">Por último, lo invitamos a seguirnos en las redes sociales en las cuales se difunde información institucional: </w:t>
      </w:r>
    </w:p>
    <w:p w14:paraId="3D5BE93D" w14:textId="77777777" w:rsidR="0046584A" w:rsidRPr="008278B1" w:rsidRDefault="0046584A" w:rsidP="00FD122F">
      <w:pPr>
        <w:spacing w:after="0" w:line="276" w:lineRule="auto"/>
        <w:jc w:val="both"/>
        <w:rPr>
          <w:rFonts w:ascii="Verdana" w:hAnsi="Verdana" w:cs="Arial"/>
          <w:shd w:val="clear" w:color="auto" w:fill="FFFFFF"/>
        </w:rPr>
      </w:pPr>
    </w:p>
    <w:p w14:paraId="0A0F95AA" w14:textId="77777777" w:rsidR="0046584A" w:rsidRPr="008278B1" w:rsidRDefault="0046584A" w:rsidP="00FD122F">
      <w:pPr>
        <w:spacing w:after="0" w:line="276" w:lineRule="auto"/>
        <w:jc w:val="both"/>
        <w:rPr>
          <w:rFonts w:ascii="Verdana" w:hAnsi="Verdana" w:cs="Arial"/>
          <w:shd w:val="clear" w:color="auto" w:fill="FFFFFF"/>
        </w:rPr>
      </w:pPr>
      <w:r w:rsidRPr="008278B1">
        <w:rPr>
          <w:rFonts w:ascii="Verdana" w:hAnsi="Verdana" w:cs="Arial"/>
          <w:shd w:val="clear" w:color="auto" w:fill="FFFFFF"/>
        </w:rPr>
        <w:t xml:space="preserve">Twitter: </w:t>
      </w:r>
      <w:r w:rsidRPr="008278B1">
        <w:rPr>
          <w:rStyle w:val="Hipervnculo"/>
          <w:rFonts w:ascii="Verdana" w:hAnsi="Verdana"/>
          <w:lang w:val="es-ES"/>
        </w:rPr>
        <w:t>@colombiacompra</w:t>
      </w:r>
      <w:r w:rsidRPr="008278B1">
        <w:rPr>
          <w:rStyle w:val="Hipervnculo"/>
          <w:rFonts w:ascii="Verdana" w:hAnsi="Verdana"/>
          <w:color w:val="auto"/>
          <w:lang w:val="es-ES"/>
        </w:rPr>
        <w:t xml:space="preserve"> </w:t>
      </w:r>
    </w:p>
    <w:p w14:paraId="12ED5FB2" w14:textId="77777777" w:rsidR="0046584A" w:rsidRPr="008278B1" w:rsidRDefault="0046584A" w:rsidP="00FD122F">
      <w:pPr>
        <w:spacing w:after="0" w:line="276" w:lineRule="auto"/>
        <w:jc w:val="both"/>
        <w:rPr>
          <w:rFonts w:ascii="Verdana" w:hAnsi="Verdana" w:cs="Arial"/>
          <w:shd w:val="clear" w:color="auto" w:fill="FFFFFF"/>
        </w:rPr>
      </w:pPr>
      <w:r w:rsidRPr="008278B1">
        <w:rPr>
          <w:rFonts w:ascii="Verdana" w:hAnsi="Verdana" w:cs="Arial"/>
          <w:shd w:val="clear" w:color="auto" w:fill="FFFFFF"/>
        </w:rPr>
        <w:t>Facebook:</w:t>
      </w:r>
      <w:r w:rsidRPr="008278B1">
        <w:rPr>
          <w:rStyle w:val="Hipervnculo"/>
          <w:rFonts w:ascii="Verdana" w:hAnsi="Verdana"/>
          <w:lang w:val="es-ES"/>
        </w:rPr>
        <w:t xml:space="preserve"> ColombiaCompraEficiente</w:t>
      </w:r>
    </w:p>
    <w:p w14:paraId="377CE756" w14:textId="77777777" w:rsidR="0046584A" w:rsidRPr="008278B1" w:rsidRDefault="0046584A" w:rsidP="00FD122F">
      <w:pPr>
        <w:spacing w:after="0" w:line="276" w:lineRule="auto"/>
        <w:jc w:val="both"/>
        <w:rPr>
          <w:rFonts w:ascii="Verdana" w:hAnsi="Verdana" w:cs="Arial"/>
          <w:shd w:val="clear" w:color="auto" w:fill="FFFFFF"/>
        </w:rPr>
      </w:pPr>
      <w:r w:rsidRPr="008278B1">
        <w:rPr>
          <w:rFonts w:ascii="Verdana" w:hAnsi="Verdana" w:cs="Arial"/>
          <w:shd w:val="clear" w:color="auto" w:fill="FFFFFF"/>
        </w:rPr>
        <w:lastRenderedPageBreak/>
        <w:t xml:space="preserve">LinkedIn: </w:t>
      </w:r>
      <w:r w:rsidRPr="008278B1">
        <w:rPr>
          <w:rStyle w:val="Hipervnculo"/>
          <w:rFonts w:ascii="Verdana" w:hAnsi="Verdana"/>
          <w:lang w:val="es-ES"/>
        </w:rPr>
        <w:t>Agencia Nacional de Contratación Pública - Colombia Compra Eficiente</w:t>
      </w:r>
      <w:r w:rsidRPr="008278B1">
        <w:rPr>
          <w:rFonts w:ascii="Verdana" w:hAnsi="Verdana" w:cs="Arial"/>
          <w:color w:val="0000FF"/>
          <w:shd w:val="clear" w:color="auto" w:fill="FFFFFF"/>
        </w:rPr>
        <w:t xml:space="preserve"> </w:t>
      </w:r>
    </w:p>
    <w:p w14:paraId="4DC3A682" w14:textId="77777777" w:rsidR="0046584A" w:rsidRPr="008278B1" w:rsidRDefault="0046584A" w:rsidP="00FD122F">
      <w:pPr>
        <w:spacing w:after="0" w:line="276" w:lineRule="auto"/>
        <w:jc w:val="both"/>
        <w:rPr>
          <w:rFonts w:ascii="Verdana" w:hAnsi="Verdana" w:cs="Arial"/>
          <w:shd w:val="clear" w:color="auto" w:fill="FFFFFF"/>
        </w:rPr>
      </w:pPr>
      <w:r w:rsidRPr="008278B1">
        <w:rPr>
          <w:rFonts w:ascii="Verdana" w:hAnsi="Verdana" w:cs="Arial"/>
          <w:shd w:val="clear" w:color="auto" w:fill="FFFFFF"/>
        </w:rPr>
        <w:t xml:space="preserve">Instagram: </w:t>
      </w:r>
      <w:r w:rsidRPr="008278B1">
        <w:rPr>
          <w:rStyle w:val="Hipervnculo"/>
          <w:rFonts w:ascii="Verdana" w:hAnsi="Verdana"/>
          <w:lang w:val="es-ES"/>
        </w:rPr>
        <w:t>@colombiacompraeficiente_cce</w:t>
      </w:r>
    </w:p>
    <w:p w14:paraId="65D7A204" w14:textId="77777777" w:rsidR="0046584A" w:rsidRPr="008278B1" w:rsidRDefault="0046584A" w:rsidP="0046584A">
      <w:pPr>
        <w:widowControl w:val="0"/>
        <w:autoSpaceDE w:val="0"/>
        <w:autoSpaceDN w:val="0"/>
        <w:spacing w:after="0" w:line="276" w:lineRule="auto"/>
        <w:jc w:val="both"/>
        <w:rPr>
          <w:rFonts w:ascii="Verdana" w:hAnsi="Verdana" w:cs="Arial"/>
          <w:lang w:val="es-ES"/>
        </w:rPr>
      </w:pPr>
    </w:p>
    <w:p w14:paraId="1C6F56A9" w14:textId="77777777" w:rsidR="0046584A" w:rsidRPr="008278B1" w:rsidRDefault="0046584A" w:rsidP="0046584A">
      <w:pPr>
        <w:widowControl w:val="0"/>
        <w:autoSpaceDE w:val="0"/>
        <w:autoSpaceDN w:val="0"/>
        <w:spacing w:after="0" w:line="276" w:lineRule="auto"/>
        <w:jc w:val="both"/>
        <w:rPr>
          <w:rFonts w:ascii="Verdana" w:hAnsi="Verdana" w:cs="Arial"/>
          <w:lang w:val="es-ES"/>
        </w:rPr>
      </w:pPr>
      <w:r w:rsidRPr="008278B1">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65C57C0" w14:textId="77777777" w:rsidR="0046584A" w:rsidRPr="008278B1" w:rsidRDefault="0046584A" w:rsidP="0046584A">
      <w:pPr>
        <w:widowControl w:val="0"/>
        <w:autoSpaceDE w:val="0"/>
        <w:autoSpaceDN w:val="0"/>
        <w:spacing w:after="0" w:line="276" w:lineRule="auto"/>
        <w:jc w:val="both"/>
        <w:rPr>
          <w:rFonts w:ascii="Verdana" w:hAnsi="Verdana" w:cs="Arial"/>
          <w:lang w:val="es-ES"/>
        </w:rPr>
      </w:pPr>
    </w:p>
    <w:p w14:paraId="32BA7ECC" w14:textId="3E4553BC" w:rsidR="0046584A" w:rsidRPr="006D27A4" w:rsidRDefault="0046584A" w:rsidP="006D27A4">
      <w:pPr>
        <w:spacing w:after="0" w:line="276" w:lineRule="auto"/>
        <w:rPr>
          <w:rFonts w:ascii="Verdana" w:hAnsi="Verdana" w:cs="Arial"/>
          <w:lang w:val="es-ES" w:eastAsia="es-CO"/>
        </w:rPr>
      </w:pPr>
      <w:r w:rsidRPr="008278B1">
        <w:rPr>
          <w:rFonts w:ascii="Verdana" w:eastAsia="Times New Roman" w:hAnsi="Verdana" w:cs="Arial"/>
          <w:lang w:val="es-ES" w:eastAsia="es-CO"/>
        </w:rPr>
        <w:t>Atentamente,</w:t>
      </w:r>
      <w:r w:rsidRPr="008278B1">
        <w:rPr>
          <w:rFonts w:ascii="Verdana" w:hAnsi="Verdana" w:cs="Arial"/>
          <w:lang w:val="es-ES" w:eastAsia="es-CO"/>
        </w:rPr>
        <w:t xml:space="preserve"> </w:t>
      </w:r>
      <w:bookmarkEnd w:id="18"/>
    </w:p>
    <w:p w14:paraId="08EF645E" w14:textId="31338829" w:rsidR="006D27A4" w:rsidRPr="006D27A4" w:rsidRDefault="006D27A4" w:rsidP="003552DF">
      <w:pPr>
        <w:spacing w:after="0" w:line="276" w:lineRule="auto"/>
        <w:jc w:val="center"/>
        <w:rPr>
          <w:rFonts w:ascii="Verdana" w:hAnsi="Verdana"/>
          <w:noProof/>
          <w:color w:val="EE0000"/>
        </w:rPr>
      </w:pPr>
      <w:r w:rsidRPr="006D27A4">
        <w:rPr>
          <w:rFonts w:ascii="Verdana" w:hAnsi="Verdana"/>
          <w:noProof/>
          <w:color w:val="EE0000"/>
        </w:rPr>
        <w:drawing>
          <wp:inline distT="0" distB="0" distL="0" distR="0" wp14:anchorId="11CF4977" wp14:editId="6910D8A5">
            <wp:extent cx="3476847" cy="1329070"/>
            <wp:effectExtent l="0" t="0" r="9525" b="4445"/>
            <wp:docPr id="134546940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469404" name="Imagen 1" descr="Texto&#10;&#10;El contenido generado por IA puede ser incorrecto."/>
                    <pic:cNvPicPr/>
                  </pic:nvPicPr>
                  <pic:blipFill>
                    <a:blip r:embed="rId14"/>
                    <a:stretch>
                      <a:fillRect/>
                    </a:stretch>
                  </pic:blipFill>
                  <pic:spPr>
                    <a:xfrm>
                      <a:off x="0" y="0"/>
                      <a:ext cx="3479879" cy="1330229"/>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6584A" w:rsidRPr="008278B1" w14:paraId="4A096A7B" w14:textId="77777777">
        <w:trPr>
          <w:trHeight w:val="315"/>
        </w:trPr>
        <w:tc>
          <w:tcPr>
            <w:tcW w:w="893" w:type="dxa"/>
            <w:vAlign w:val="center"/>
            <w:hideMark/>
          </w:tcPr>
          <w:p w14:paraId="15D4F0A7" w14:textId="77777777" w:rsidR="0046584A" w:rsidRPr="008278B1" w:rsidRDefault="0046584A">
            <w:pPr>
              <w:contextualSpacing/>
              <w:rPr>
                <w:rFonts w:ascii="Verdana" w:hAnsi="Verdana" w:cs="Arial"/>
                <w:sz w:val="16"/>
                <w:szCs w:val="16"/>
                <w:lang w:val="es-ES" w:eastAsia="es-ES"/>
              </w:rPr>
            </w:pPr>
            <w:r w:rsidRPr="008278B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520E0DB" w14:textId="77777777" w:rsidR="0046584A" w:rsidRPr="008278B1" w:rsidRDefault="0046584A">
            <w:pPr>
              <w:rPr>
                <w:rFonts w:ascii="Verdana" w:eastAsia="Times New Roman" w:hAnsi="Verdana" w:cs="Arial"/>
                <w:sz w:val="16"/>
                <w:szCs w:val="16"/>
                <w:lang w:eastAsia="es-ES"/>
              </w:rPr>
            </w:pPr>
            <w:r w:rsidRPr="008278B1">
              <w:rPr>
                <w:rFonts w:ascii="Verdana" w:eastAsia="Times New Roman" w:hAnsi="Verdana" w:cs="Arial"/>
                <w:sz w:val="16"/>
                <w:szCs w:val="16"/>
                <w:lang w:eastAsia="es-ES"/>
              </w:rPr>
              <w:t>Camila Alejandra Naranjo Gómez</w:t>
            </w:r>
          </w:p>
          <w:p w14:paraId="795EEF25" w14:textId="0BEF56AB" w:rsidR="0046584A" w:rsidRPr="008278B1" w:rsidRDefault="0046584A">
            <w:pPr>
              <w:contextualSpacing/>
              <w:rPr>
                <w:rFonts w:ascii="Verdana" w:eastAsia="Arial" w:hAnsi="Verdana" w:cs="Arial"/>
                <w:sz w:val="16"/>
                <w:szCs w:val="16"/>
                <w:lang w:val="es-ES"/>
              </w:rPr>
            </w:pPr>
            <w:r w:rsidRPr="008278B1">
              <w:rPr>
                <w:rFonts w:ascii="Verdana" w:eastAsia="Times New Roman" w:hAnsi="Verdana" w:cs="Arial"/>
                <w:sz w:val="16"/>
                <w:szCs w:val="16"/>
                <w:lang w:eastAsia="es-ES"/>
              </w:rPr>
              <w:t>Analista T2-</w:t>
            </w:r>
            <w:r w:rsidR="00B5592D">
              <w:rPr>
                <w:rFonts w:ascii="Verdana" w:eastAsia="Times New Roman" w:hAnsi="Verdana" w:cs="Arial"/>
                <w:sz w:val="16"/>
                <w:szCs w:val="16"/>
                <w:lang w:eastAsia="es-ES"/>
              </w:rPr>
              <w:t>02</w:t>
            </w:r>
            <w:r w:rsidRPr="008278B1">
              <w:rPr>
                <w:rFonts w:ascii="Verdana" w:eastAsia="Times New Roman" w:hAnsi="Verdana" w:cs="Arial"/>
                <w:sz w:val="16"/>
                <w:szCs w:val="16"/>
                <w:lang w:eastAsia="es-ES"/>
              </w:rPr>
              <w:t xml:space="preserve"> de la Subdirección de Gestión Contractual</w:t>
            </w:r>
          </w:p>
        </w:tc>
      </w:tr>
      <w:tr w:rsidR="0046584A" w:rsidRPr="00F84F36" w14:paraId="10C032EA" w14:textId="77777777">
        <w:trPr>
          <w:trHeight w:val="330"/>
        </w:trPr>
        <w:tc>
          <w:tcPr>
            <w:tcW w:w="893" w:type="dxa"/>
            <w:vAlign w:val="center"/>
            <w:hideMark/>
          </w:tcPr>
          <w:p w14:paraId="6646DD41" w14:textId="77777777" w:rsidR="0046584A" w:rsidRPr="0025661F" w:rsidRDefault="0046584A">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7A2E805" w14:textId="77777777" w:rsidR="0046584A" w:rsidRPr="0025661F" w:rsidRDefault="0046584A">
            <w:pPr>
              <w:rPr>
                <w:rFonts w:ascii="Verdana" w:eastAsia="Times New Roman" w:hAnsi="Verdana" w:cs="Arial"/>
                <w:color w:val="000000" w:themeColor="text1"/>
                <w:sz w:val="16"/>
                <w:szCs w:val="16"/>
                <w:lang w:eastAsia="es-ES"/>
              </w:rPr>
            </w:pPr>
            <w:r w:rsidRPr="0025661F">
              <w:rPr>
                <w:rFonts w:ascii="Verdana" w:eastAsia="Times New Roman" w:hAnsi="Verdana" w:cs="Arial"/>
                <w:color w:val="000000" w:themeColor="text1"/>
                <w:sz w:val="16"/>
                <w:szCs w:val="16"/>
                <w:lang w:eastAsia="es-ES"/>
              </w:rPr>
              <w:t>Diana Lucía Saavedra Castañeda</w:t>
            </w:r>
          </w:p>
          <w:p w14:paraId="4FABE6C0" w14:textId="77777777" w:rsidR="0046584A" w:rsidRPr="0025661F" w:rsidRDefault="0046584A">
            <w:pPr>
              <w:pStyle w:val="paragraph"/>
              <w:spacing w:before="0" w:beforeAutospacing="0" w:after="0" w:afterAutospacing="0"/>
              <w:contextualSpacing/>
              <w:textAlignment w:val="baseline"/>
              <w:rPr>
                <w:rFonts w:ascii="Verdana" w:hAnsi="Verdana" w:cs="Segoe UI"/>
                <w:color w:val="000000" w:themeColor="text1"/>
                <w:sz w:val="16"/>
                <w:szCs w:val="16"/>
                <w:lang w:val="es-ES"/>
              </w:rPr>
            </w:pPr>
            <w:r w:rsidRPr="0025661F">
              <w:rPr>
                <w:rFonts w:ascii="Verdana" w:hAnsi="Verdana" w:cs="Arial"/>
                <w:color w:val="000000" w:themeColor="text1"/>
                <w:sz w:val="16"/>
                <w:szCs w:val="16"/>
                <w:lang w:eastAsia="es-ES"/>
              </w:rPr>
              <w:t>Contratista de la Subdirección de Gestión Contractual</w:t>
            </w:r>
          </w:p>
        </w:tc>
      </w:tr>
      <w:tr w:rsidR="0046584A" w:rsidRPr="00F84F36" w14:paraId="1C8D032D" w14:textId="77777777">
        <w:trPr>
          <w:trHeight w:val="300"/>
        </w:trPr>
        <w:tc>
          <w:tcPr>
            <w:tcW w:w="893" w:type="dxa"/>
            <w:vAlign w:val="center"/>
          </w:tcPr>
          <w:p w14:paraId="386DE259" w14:textId="77777777" w:rsidR="0046584A" w:rsidRPr="008278B1" w:rsidRDefault="0046584A">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A9131AB" w14:textId="77777777" w:rsidR="0046584A" w:rsidRPr="008278B1" w:rsidRDefault="0046584A">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5F2B55F2" w14:textId="77777777" w:rsidR="0046584A" w:rsidRPr="008278B1" w:rsidRDefault="0046584A">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bookmarkEnd w:id="0"/>
    </w:tbl>
    <w:p w14:paraId="0F293BF4" w14:textId="57A4ACB7" w:rsidR="00127233" w:rsidRPr="0046584A" w:rsidRDefault="00127233" w:rsidP="0046584A">
      <w:pPr>
        <w:rPr>
          <w:lang w:val="es-ES"/>
        </w:rPr>
      </w:pPr>
    </w:p>
    <w:sectPr w:rsidR="00127233" w:rsidRPr="0046584A"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EA3A79" w14:textId="77777777" w:rsidR="00C13BA8" w:rsidRDefault="00C13BA8" w:rsidP="004A1847">
      <w:pPr>
        <w:spacing w:after="0" w:line="240" w:lineRule="auto"/>
      </w:pPr>
      <w:r>
        <w:separator/>
      </w:r>
    </w:p>
  </w:endnote>
  <w:endnote w:type="continuationSeparator" w:id="0">
    <w:p w14:paraId="2846CEE8" w14:textId="77777777" w:rsidR="00C13BA8" w:rsidRDefault="00C13BA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panose1 w:val="02000503000000020004"/>
    <w:charset w:val="00"/>
    <w:family w:val="modern"/>
    <w:notTrueType/>
    <w:pitch w:val="variable"/>
    <w:sig w:usb0="A000002F" w:usb1="1000004A" w:usb2="00000000" w:usb3="00000000" w:csb0="00000193" w:csb1="00000000"/>
  </w:font>
  <w:font w:name="Geomanist">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B9DC89" w14:textId="77777777" w:rsidR="00C13BA8" w:rsidRDefault="00C13BA8" w:rsidP="004A1847">
      <w:pPr>
        <w:spacing w:after="0" w:line="240" w:lineRule="auto"/>
      </w:pPr>
      <w:r>
        <w:separator/>
      </w:r>
    </w:p>
  </w:footnote>
  <w:footnote w:type="continuationSeparator" w:id="0">
    <w:p w14:paraId="0528DBA0" w14:textId="77777777" w:rsidR="00C13BA8" w:rsidRDefault="00C13BA8" w:rsidP="004A1847">
      <w:pPr>
        <w:spacing w:after="0" w:line="240" w:lineRule="auto"/>
      </w:pPr>
      <w:r>
        <w:continuationSeparator/>
      </w:r>
    </w:p>
  </w:footnote>
  <w:footnote w:id="1">
    <w:p w14:paraId="2EB8F529" w14:textId="77777777" w:rsidR="0046584A" w:rsidRPr="00817BE8" w:rsidRDefault="0046584A" w:rsidP="0046584A">
      <w:pPr>
        <w:pStyle w:val="Textonotapie"/>
        <w:ind w:firstLine="708"/>
        <w:jc w:val="both"/>
        <w:rPr>
          <w:rFonts w:ascii="Verdana" w:hAnsi="Verdana" w:cs="Arial"/>
          <w:sz w:val="16"/>
          <w:szCs w:val="16"/>
        </w:rPr>
      </w:pPr>
      <w:r w:rsidRPr="00817BE8">
        <w:rPr>
          <w:rStyle w:val="Refdenotaalpie"/>
          <w:rFonts w:ascii="Verdana" w:hAnsi="Verdana" w:cs="Arial"/>
          <w:sz w:val="16"/>
          <w:szCs w:val="16"/>
        </w:rPr>
        <w:footnoteRef/>
      </w:r>
      <w:r w:rsidRPr="00817BE8">
        <w:rPr>
          <w:rFonts w:ascii="Verdana" w:hAnsi="Verdana" w:cs="Arial"/>
          <w:sz w:val="16"/>
          <w:szCs w:val="16"/>
        </w:rPr>
        <w:t xml:space="preserve"> El inciso primero de norma disponía que, conforme al principio de transparencia, “</w:t>
      </w:r>
      <w:r w:rsidRPr="00817BE8">
        <w:rPr>
          <w:rFonts w:ascii="Verdana" w:hAnsi="Verdana" w:cs="Arial"/>
          <w:i/>
          <w:iCs/>
          <w:sz w:val="16"/>
          <w:szCs w:val="16"/>
        </w:rPr>
        <w:t>La escogencia del contratista se efectuará siempre a través de licitación o concurso públicos</w:t>
      </w:r>
      <w:r w:rsidRPr="00817BE8">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2">
    <w:p w14:paraId="08A20236" w14:textId="77777777" w:rsidR="0046584A" w:rsidRPr="00817BE8" w:rsidRDefault="0046584A" w:rsidP="0046584A">
      <w:pPr>
        <w:pStyle w:val="Textonotapie"/>
        <w:ind w:firstLine="708"/>
        <w:jc w:val="both"/>
        <w:rPr>
          <w:rFonts w:ascii="Verdana" w:hAnsi="Verdana" w:cs="Arial"/>
          <w:sz w:val="16"/>
          <w:szCs w:val="16"/>
        </w:rPr>
      </w:pPr>
      <w:r w:rsidRPr="00817BE8">
        <w:rPr>
          <w:rStyle w:val="Refdenotaalpie"/>
          <w:rFonts w:ascii="Verdana" w:hAnsi="Verdana" w:cs="Arial"/>
          <w:sz w:val="16"/>
          <w:szCs w:val="16"/>
        </w:rPr>
        <w:footnoteRef/>
      </w:r>
      <w:r w:rsidRPr="00817BE8">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w:t>
      </w:r>
      <w:r>
        <w:rPr>
          <w:rFonts w:ascii="Verdana" w:hAnsi="Verdana" w:cs="Arial"/>
          <w:sz w:val="16"/>
          <w:szCs w:val="16"/>
        </w:rPr>
        <w:t>PACA</w:t>
      </w:r>
      <w:r w:rsidRPr="00817BE8">
        <w:rPr>
          <w:rFonts w:ascii="Verdana" w:hAnsi="Verdana" w:cs="Arial"/>
          <w:sz w:val="16"/>
          <w:szCs w:val="16"/>
        </w:rPr>
        <w:t>)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817BE8">
        <w:rPr>
          <w:rFonts w:ascii="Verdana" w:hAnsi="Verdana" w:cs="Arial"/>
          <w:i/>
          <w:iCs/>
          <w:sz w:val="16"/>
          <w:szCs w:val="16"/>
        </w:rPr>
        <w:t>Presentación de la oferta de manera dinámica</w:t>
      </w:r>
      <w:r w:rsidRPr="00817BE8">
        <w:rPr>
          <w:rFonts w:ascii="Verdana" w:hAnsi="Verdana" w:cs="Arial"/>
          <w:sz w:val="16"/>
          <w:szCs w:val="16"/>
        </w:rPr>
        <w:t xml:space="preserve">).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3">
    <w:p w14:paraId="4A3B8834" w14:textId="77777777" w:rsidR="0046584A" w:rsidRPr="00817BE8" w:rsidRDefault="0046584A" w:rsidP="0046584A">
      <w:pPr>
        <w:pStyle w:val="Textonotapie"/>
        <w:ind w:firstLine="567"/>
        <w:jc w:val="both"/>
        <w:rPr>
          <w:rFonts w:ascii="Verdana" w:hAnsi="Verdana" w:cs="Arial"/>
          <w:sz w:val="16"/>
          <w:szCs w:val="16"/>
          <w:lang w:val="es-ES"/>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hAnsi="Verdana" w:cs="Arial"/>
          <w:sz w:val="16"/>
          <w:szCs w:val="16"/>
          <w:lang w:val="es-ES"/>
        </w:rPr>
        <w:t xml:space="preserve">Congreso de la República, Gaceta 466 del 2 de agosto de 2005. Exposición de motivos del Proyecto de Ley 19 de 2005 – Senado. </w:t>
      </w:r>
    </w:p>
  </w:footnote>
  <w:footnote w:id="4">
    <w:p w14:paraId="68E50605" w14:textId="77777777" w:rsidR="0046584A" w:rsidRPr="00817BE8" w:rsidRDefault="0046584A" w:rsidP="0046584A">
      <w:pPr>
        <w:pStyle w:val="Textonotapie"/>
        <w:ind w:firstLine="567"/>
        <w:jc w:val="both"/>
        <w:rPr>
          <w:rFonts w:ascii="Verdana" w:hAnsi="Verdana" w:cs="Arial"/>
          <w:sz w:val="16"/>
          <w:szCs w:val="16"/>
          <w:lang w:val="es-ES"/>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hAnsi="Verdana" w:cs="Arial"/>
          <w:sz w:val="16"/>
          <w:szCs w:val="16"/>
          <w:lang w:val="es-ES"/>
        </w:rPr>
        <w:t xml:space="preserve">Agencia Nacional de Contratación Pública – Colombia Compra Eficiente, Guía de Competencia en las Compras Públicas. La Guía puede consultarse en el siguiente enlace: </w:t>
      </w:r>
      <w:hyperlink r:id="rId1" w:history="1">
        <w:r w:rsidRPr="00817BE8">
          <w:rPr>
            <w:rStyle w:val="Hipervnculo"/>
            <w:rFonts w:ascii="Verdana" w:hAnsi="Verdana" w:cs="Arial"/>
            <w:sz w:val="16"/>
            <w:szCs w:val="16"/>
            <w:lang w:val="es-ES"/>
          </w:rPr>
          <w:t>https://colombiacompra.gov.co/sites/cce_public/files/cce_documents/cce_guia_competencia_0.pdf</w:t>
        </w:r>
      </w:hyperlink>
      <w:r w:rsidRPr="00817BE8">
        <w:rPr>
          <w:rFonts w:ascii="Verdana" w:hAnsi="Verdana" w:cs="Arial"/>
          <w:sz w:val="16"/>
          <w:szCs w:val="16"/>
          <w:lang w:val="es-ES"/>
        </w:rPr>
        <w:t xml:space="preserve">. </w:t>
      </w:r>
    </w:p>
  </w:footnote>
  <w:footnote w:id="5">
    <w:p w14:paraId="3524EF25" w14:textId="77777777" w:rsidR="0046584A" w:rsidRPr="00817BE8" w:rsidRDefault="0046584A" w:rsidP="0046584A">
      <w:pPr>
        <w:pStyle w:val="Textonotapie"/>
        <w:ind w:firstLine="708"/>
        <w:jc w:val="both"/>
        <w:rPr>
          <w:rFonts w:ascii="Verdana" w:hAnsi="Verdana" w:cs="Arial"/>
          <w:sz w:val="16"/>
          <w:szCs w:val="16"/>
        </w:rPr>
      </w:pPr>
      <w:r w:rsidRPr="00817BE8">
        <w:rPr>
          <w:rStyle w:val="Refdenotaalpie"/>
          <w:rFonts w:ascii="Verdana" w:hAnsi="Verdana" w:cs="Arial"/>
          <w:sz w:val="16"/>
          <w:szCs w:val="16"/>
        </w:rPr>
        <w:footnoteRef/>
      </w:r>
      <w:r w:rsidRPr="00817BE8">
        <w:rPr>
          <w:rFonts w:ascii="Verdana" w:hAnsi="Verdana" w:cs="Arial"/>
          <w:sz w:val="16"/>
          <w:szCs w:val="16"/>
          <w:lang w:val="pt-BR"/>
        </w:rPr>
        <w:t xml:space="preserve"> Corte Constitucional. </w:t>
      </w:r>
      <w:r w:rsidRPr="00817BE8">
        <w:rPr>
          <w:rFonts w:ascii="Verdana" w:hAnsi="Verdana" w:cs="Arial"/>
          <w:sz w:val="16"/>
          <w:szCs w:val="16"/>
          <w:lang w:val="es-CO"/>
        </w:rPr>
        <w:t xml:space="preserve">Sentencia C-713 del 7 de octubre de 2009. </w:t>
      </w:r>
      <w:r w:rsidRPr="00817BE8">
        <w:rPr>
          <w:rFonts w:ascii="Verdana" w:hAnsi="Verdana" w:cs="Arial"/>
          <w:sz w:val="16"/>
          <w:szCs w:val="16"/>
        </w:rPr>
        <w:t>M.P. María Victoria Calle Correa.</w:t>
      </w:r>
    </w:p>
  </w:footnote>
  <w:footnote w:id="6">
    <w:p w14:paraId="64F7258C" w14:textId="77777777" w:rsidR="0046584A" w:rsidRPr="00817BE8" w:rsidRDefault="0046584A" w:rsidP="0046584A">
      <w:pPr>
        <w:pStyle w:val="Textonotapie"/>
        <w:ind w:firstLine="709"/>
        <w:jc w:val="both"/>
        <w:rPr>
          <w:rFonts w:ascii="Verdana" w:hAnsi="Verdana" w:cs="Arial"/>
          <w:sz w:val="16"/>
          <w:szCs w:val="16"/>
        </w:rPr>
      </w:pPr>
      <w:r w:rsidRPr="00817BE8">
        <w:rPr>
          <w:rStyle w:val="Refdenotaalpie"/>
          <w:rFonts w:ascii="Verdana" w:hAnsi="Verdana" w:cs="Arial"/>
          <w:sz w:val="16"/>
          <w:szCs w:val="16"/>
        </w:rPr>
        <w:footnoteRef/>
      </w:r>
      <w:r w:rsidRPr="00817BE8">
        <w:rPr>
          <w:rFonts w:ascii="Verdana" w:hAnsi="Verdana" w:cs="Arial"/>
          <w:sz w:val="16"/>
          <w:szCs w:val="16"/>
        </w:rPr>
        <w:t xml:space="preserve"> Consejo de Estado. Sección Tercera. Subsección A. Sentencia del 24 de mayo de 2018. Exp. 50.222. C.P. Marta Nubia Velásquez Rico.</w:t>
      </w:r>
    </w:p>
  </w:footnote>
  <w:footnote w:id="7">
    <w:p w14:paraId="78685428" w14:textId="77777777" w:rsidR="0046584A" w:rsidRPr="00817BE8" w:rsidRDefault="0046584A" w:rsidP="0046584A">
      <w:pPr>
        <w:pStyle w:val="Textonotapie"/>
        <w:ind w:firstLine="708"/>
        <w:jc w:val="both"/>
        <w:rPr>
          <w:rFonts w:ascii="Verdana" w:hAnsi="Verdana" w:cs="Arial"/>
          <w:iCs/>
          <w:sz w:val="16"/>
          <w:szCs w:val="16"/>
          <w:lang w:val="es-ES_tradnl"/>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hAnsi="Verdana" w:cs="Arial"/>
          <w:sz w:val="16"/>
          <w:szCs w:val="16"/>
          <w:lang w:val="es-ES_tradnl"/>
        </w:rPr>
        <w:t xml:space="preserve">En efecto, de acuerdo con el Consejo de Estado: </w:t>
      </w:r>
      <w:r w:rsidRPr="00817BE8">
        <w:rPr>
          <w:rFonts w:ascii="Verdana" w:eastAsia="Times New Roman" w:hAnsi="Verdana" w:cs="Arial"/>
          <w:sz w:val="16"/>
          <w:szCs w:val="16"/>
          <w:lang w:val="es-CO" w:eastAsia="es-MX"/>
        </w:rPr>
        <w:t>“</w:t>
      </w:r>
      <w:r w:rsidRPr="00817BE8">
        <w:rPr>
          <w:rFonts w:ascii="Verdana" w:hAnsi="Verdana" w:cs="Arial"/>
          <w:iCs/>
          <w:sz w:val="16"/>
          <w:szCs w:val="16"/>
          <w:lang w:val="es-ES_tradnl"/>
        </w:rPr>
        <w:t>[...] la administración se encuentra en la obligación de establecer, con antelación al inicio del proceso de contratación, los criterios objetivos de la futura contratación, tales como la necesidad a satisfacer y los mejores medios para tales propósitos, el presupuesto estimado de la contratación, el objeto contractual, las prestaciones específicas a cargo de las partes, las condiciones de calidad y oportunidad, así como las calidades del posible contratista. Con fundamento en tal ejercicio de planeación y estructuración de la contratación, la administración cuenta, sin duda, con criterios que le permitirían adoptar una decisión objetiva en relación con aquello que resulte más favorable para el cumplimiento de los fines ínsitos en la contratación.[…] Ante la ausencia de pluralidad de ofertas –situación que, por lo demás debería ser excepcional, así como lo debe ser acudir a la modalidad de contratación directa, pues memórese que la regla general es la licitación pública en garantía de la máxima publicidad y concurrencia en la contratación estatal–, será procedente comparar el único ofrecimiento con los criterios objetivos elaborados por la entidad. En este evento, por lo tanto, los métodos a los que se debe acudir para garantizar la selección objetiva se ven reducidos en comparación con las demás modalidades de contratación, en tanto no hay comparación de ofertas, sin que ello implique que se incumpla con tal regla, pues persiste, necesariamente una confrontación de la única oferta con los estudios previos que elaboró la entidad, lo cual ofrecerá la objetividad necesaria para evitar imparcialidad en la contratación de los bienes o servicios de que se trate</w:t>
      </w:r>
      <w:r w:rsidRPr="00817BE8">
        <w:rPr>
          <w:rFonts w:ascii="Verdana" w:eastAsia="Times New Roman" w:hAnsi="Verdana" w:cs="Arial"/>
          <w:sz w:val="16"/>
          <w:szCs w:val="16"/>
          <w:lang w:val="es-CO" w:eastAsia="es-MX"/>
        </w:rPr>
        <w:t>”</w:t>
      </w:r>
      <w:r w:rsidRPr="00817BE8">
        <w:rPr>
          <w:rFonts w:ascii="Verdana" w:hAnsi="Verdana" w:cs="Arial"/>
          <w:iCs/>
          <w:sz w:val="16"/>
          <w:szCs w:val="16"/>
          <w:lang w:val="es-ES_tradnl"/>
        </w:rPr>
        <w:t>.</w:t>
      </w:r>
      <w:r w:rsidRPr="00817BE8">
        <w:rPr>
          <w:rFonts w:ascii="Verdana" w:hAnsi="Verdana" w:cs="Arial"/>
          <w:sz w:val="16"/>
          <w:szCs w:val="16"/>
        </w:rPr>
        <w:t xml:space="preserve"> Consejo de Estado. Sección Tercera. Sentencia del 23 de julio de 2015. Exp. 36.805. C.P. Hernán Andrade Rincón.</w:t>
      </w:r>
    </w:p>
  </w:footnote>
  <w:footnote w:id="8">
    <w:p w14:paraId="55717CBD" w14:textId="77777777" w:rsidR="0046584A" w:rsidRPr="00817BE8" w:rsidRDefault="0046584A" w:rsidP="0046584A">
      <w:pPr>
        <w:pStyle w:val="Textonotapie"/>
        <w:ind w:firstLine="708"/>
        <w:jc w:val="both"/>
        <w:rPr>
          <w:rFonts w:ascii="Verdana" w:hAnsi="Verdana" w:cs="Arial"/>
          <w:sz w:val="16"/>
          <w:szCs w:val="16"/>
          <w:lang w:val="es-CO"/>
        </w:rPr>
      </w:pPr>
      <w:r w:rsidRPr="00817BE8">
        <w:rPr>
          <w:rStyle w:val="Refdenotaalpie"/>
          <w:rFonts w:ascii="Verdana" w:hAnsi="Verdana" w:cs="Arial"/>
          <w:sz w:val="16"/>
          <w:szCs w:val="16"/>
        </w:rPr>
        <w:footnoteRef/>
      </w:r>
      <w:r w:rsidRPr="00817BE8">
        <w:rPr>
          <w:rFonts w:ascii="Verdana" w:hAnsi="Verdana" w:cs="Arial"/>
          <w:sz w:val="16"/>
          <w:szCs w:val="16"/>
        </w:rPr>
        <w:t xml:space="preserve"> Consejo de Estado. Sala de consulta y servicio civil. Sentencia del 20 de febrero de 2006. Exp. 1.727. C.P. Enrique José Arboleda Perdomo.</w:t>
      </w:r>
    </w:p>
  </w:footnote>
  <w:footnote w:id="9">
    <w:p w14:paraId="7DCB4263" w14:textId="77777777" w:rsidR="0046584A" w:rsidRPr="00817BE8" w:rsidRDefault="0046584A" w:rsidP="0046584A">
      <w:pPr>
        <w:pStyle w:val="Textonotapie"/>
        <w:ind w:firstLine="709"/>
        <w:jc w:val="both"/>
        <w:rPr>
          <w:rFonts w:ascii="Verdana" w:hAnsi="Verdana" w:cs="Arial"/>
          <w:sz w:val="16"/>
          <w:szCs w:val="16"/>
        </w:rPr>
      </w:pPr>
      <w:r w:rsidRPr="00817BE8">
        <w:rPr>
          <w:rStyle w:val="Refdenotaalpie"/>
          <w:rFonts w:ascii="Verdana" w:hAnsi="Verdana" w:cs="Arial"/>
          <w:sz w:val="16"/>
          <w:szCs w:val="16"/>
        </w:rPr>
        <w:footnoteRef/>
      </w:r>
      <w:r w:rsidRPr="00817BE8">
        <w:rPr>
          <w:rFonts w:ascii="Verdana" w:hAnsi="Verdana" w:cs="Arial"/>
          <w:sz w:val="16"/>
          <w:szCs w:val="16"/>
        </w:rPr>
        <w:t xml:space="preserve"> MATALLANA CAMACHO, Ernesto. Manual de contratación de la administración pública. Segunda Edición. Bogotá: Universidad Externado de Colombia, 2009. p. 705.</w:t>
      </w:r>
    </w:p>
  </w:footnote>
  <w:footnote w:id="10">
    <w:p w14:paraId="79BEC719" w14:textId="77777777" w:rsidR="0046584A" w:rsidRPr="00817BE8" w:rsidRDefault="0046584A" w:rsidP="0046584A">
      <w:pPr>
        <w:spacing w:after="0" w:line="240" w:lineRule="auto"/>
        <w:ind w:firstLine="709"/>
        <w:jc w:val="both"/>
        <w:rPr>
          <w:rFonts w:ascii="Verdana" w:hAnsi="Verdana" w:cs="Arial"/>
          <w:sz w:val="16"/>
          <w:szCs w:val="16"/>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eastAsia="Calibri" w:hAnsi="Verdana" w:cs="Arial"/>
          <w:sz w:val="16"/>
          <w:szCs w:val="16"/>
          <w:lang w:val="es-ES_tradnl"/>
        </w:rPr>
        <w:t>De conformidad con la exposición de motivos: “Si bien […] la utilización de procedimientos reglados de selección objetiva se constituye en la regla general, entre los casos de excepción se destaca el relativo a la urgencia manifiesta que el artículo 36 regula de una manera más precisa en orden a facilitar su legítima utilización. Con tal fin se elimina el requisito de la calificación del Consejo de Ministros y se incluye un detalle enunciativo de los posibles factores configurativos de dicha situación de excepción, los cuales se vinculan esencialmente con situaciones evidentes de calamidad pública o que afecten de manera inminente la prestación del servicio, circunstancias que, por su propia naturaleza, determinan la imposibilidad de acudir a procedimientos de escogencia reglada. Se pretende de esa forma, facilitar al máximo la actuación de la administración frente a eventos excepcionales que reclaman su pronta intervención” (</w:t>
      </w:r>
      <w:r w:rsidRPr="00817BE8">
        <w:rPr>
          <w:rFonts w:ascii="Verdana" w:hAnsi="Verdana" w:cs="Arial"/>
          <w:sz w:val="16"/>
          <w:szCs w:val="16"/>
        </w:rPr>
        <w:t>CONGRESO DE LA REPÚBLICA. Exposición de motivos de la Ley 80 de 1993. Gaceta del Congreso No. 75 del 23 de septiembre de 1992).</w:t>
      </w:r>
    </w:p>
  </w:footnote>
  <w:footnote w:id="11">
    <w:p w14:paraId="26E90318" w14:textId="77777777" w:rsidR="0046584A" w:rsidRPr="00817BE8" w:rsidRDefault="0046584A" w:rsidP="0046584A">
      <w:pPr>
        <w:pStyle w:val="Textonotapie"/>
        <w:ind w:firstLine="708"/>
        <w:jc w:val="both"/>
        <w:rPr>
          <w:rFonts w:ascii="Verdana" w:hAnsi="Verdana" w:cs="Arial"/>
          <w:sz w:val="16"/>
          <w:szCs w:val="16"/>
        </w:rPr>
      </w:pPr>
      <w:r w:rsidRPr="00817BE8">
        <w:rPr>
          <w:rStyle w:val="Refdenotaalpie"/>
          <w:rFonts w:ascii="Verdana" w:hAnsi="Verdana" w:cs="Arial"/>
          <w:sz w:val="16"/>
          <w:szCs w:val="16"/>
        </w:rPr>
        <w:footnoteRef/>
      </w:r>
      <w:r w:rsidRPr="00817BE8">
        <w:rPr>
          <w:rFonts w:ascii="Verdana" w:hAnsi="Verdana" w:cs="Arial"/>
          <w:sz w:val="16"/>
          <w:szCs w:val="16"/>
        </w:rPr>
        <w:t xml:space="preserve"> DROMI, José Roberto. La licitación pública. Buenos Aires: Ciudad Argentina, 1980. p. 166-168.</w:t>
      </w:r>
    </w:p>
  </w:footnote>
  <w:footnote w:id="12">
    <w:p w14:paraId="542870AE" w14:textId="77777777" w:rsidR="0046584A" w:rsidRPr="00817BE8" w:rsidRDefault="0046584A" w:rsidP="0046584A">
      <w:pPr>
        <w:pStyle w:val="Textonotapie"/>
        <w:ind w:firstLine="708"/>
        <w:jc w:val="both"/>
        <w:rPr>
          <w:rFonts w:ascii="Verdana" w:hAnsi="Verdana" w:cs="Arial"/>
          <w:sz w:val="16"/>
          <w:szCs w:val="16"/>
        </w:rPr>
      </w:pPr>
      <w:r w:rsidRPr="00817BE8">
        <w:rPr>
          <w:rStyle w:val="Refdenotaalpie"/>
          <w:rFonts w:ascii="Verdana" w:hAnsi="Verdana" w:cs="Arial"/>
          <w:sz w:val="16"/>
          <w:szCs w:val="16"/>
        </w:rPr>
        <w:footnoteRef/>
      </w:r>
      <w:r w:rsidRPr="00817BE8">
        <w:rPr>
          <w:rFonts w:ascii="Verdana" w:hAnsi="Verdana" w:cs="Arial"/>
          <w:sz w:val="16"/>
          <w:szCs w:val="16"/>
        </w:rPr>
        <w:t xml:space="preserve"> CONSEJO DE ESTADO. Sala de Consulta y de Servicio Civil. Concepto del 28 de enero de 1998. Rad. 1.073. C.P. Javier Henao Hidrón.</w:t>
      </w:r>
    </w:p>
  </w:footnote>
  <w:footnote w:id="13">
    <w:p w14:paraId="2E77AF8F" w14:textId="77777777" w:rsidR="0046584A" w:rsidRPr="00817BE8" w:rsidRDefault="0046584A" w:rsidP="0046584A">
      <w:pPr>
        <w:pStyle w:val="Textonotapie"/>
        <w:ind w:firstLine="708"/>
        <w:jc w:val="both"/>
        <w:rPr>
          <w:rFonts w:ascii="Verdana" w:hAnsi="Verdana" w:cs="Arial"/>
          <w:sz w:val="16"/>
          <w:szCs w:val="16"/>
        </w:rPr>
      </w:pPr>
      <w:r w:rsidRPr="00817BE8">
        <w:rPr>
          <w:rStyle w:val="Refdenotaalpie"/>
          <w:rFonts w:ascii="Verdana" w:hAnsi="Verdana" w:cs="Arial"/>
          <w:sz w:val="16"/>
          <w:szCs w:val="16"/>
        </w:rPr>
        <w:footnoteRef/>
      </w:r>
      <w:r w:rsidRPr="00817BE8">
        <w:rPr>
          <w:rFonts w:ascii="Verdana" w:hAnsi="Verdana" w:cs="Arial"/>
          <w:sz w:val="16"/>
          <w:szCs w:val="16"/>
        </w:rPr>
        <w:t xml:space="preserve"> Al respecto, “[…] si los funcionarios han sido negligentes en la realización de determinadas obras, y éstas se tornan gravemente imperiosas por el transcurso del tiempo, no podrá por tal causa la Administración la posibilidad de satisfacer la necesidad pública con la verdadera urgencia que la misma requiere. Lo que corresponde es hacer responsables, administrativa y civilmente, a los funcionarios en cuestión, sin perjuicio de solucionar el problema de la urgencia que el mismo objetivamente requiera” (GORDILLO, Agustín. Tratado de derecho administrativo y obras selectas. Tomo IX. Buenos Aires: FDA, 2014. p. XVI-16).</w:t>
      </w:r>
    </w:p>
  </w:footnote>
  <w:footnote w:id="14">
    <w:p w14:paraId="4096CD74" w14:textId="77777777" w:rsidR="0046584A" w:rsidRPr="00817BE8" w:rsidRDefault="0046584A" w:rsidP="0046584A">
      <w:pPr>
        <w:spacing w:after="0" w:line="240" w:lineRule="auto"/>
        <w:ind w:firstLine="708"/>
        <w:jc w:val="both"/>
        <w:rPr>
          <w:rFonts w:ascii="Verdana" w:hAnsi="Verdana" w:cs="Arial"/>
          <w:sz w:val="16"/>
          <w:szCs w:val="16"/>
        </w:rPr>
      </w:pPr>
      <w:r w:rsidRPr="00817BE8">
        <w:rPr>
          <w:rStyle w:val="Refdenotaalpie"/>
          <w:rFonts w:ascii="Verdana" w:hAnsi="Verdana" w:cs="Arial"/>
          <w:sz w:val="16"/>
          <w:szCs w:val="16"/>
        </w:rPr>
        <w:footnoteRef/>
      </w:r>
      <w:r w:rsidRPr="00817BE8">
        <w:rPr>
          <w:rStyle w:val="Refdenotaalpie"/>
          <w:rFonts w:ascii="Verdana" w:hAnsi="Verdana" w:cs="Arial"/>
          <w:sz w:val="16"/>
          <w:szCs w:val="16"/>
        </w:rPr>
        <w:t xml:space="preserve">  </w:t>
      </w:r>
      <w:r w:rsidRPr="00817BE8">
        <w:rPr>
          <w:rFonts w:ascii="Verdana" w:hAnsi="Verdana" w:cs="Arial"/>
          <w:sz w:val="16"/>
          <w:szCs w:val="16"/>
        </w:rPr>
        <w:t>CONSEJO DE ESTADO. Sección Tercera. Subsección C. Sentencia del 7 de febrero de 2011. Rad. 34.425. C.P. Jaime Orlando Santofimio Gamboa.</w:t>
      </w:r>
    </w:p>
  </w:footnote>
  <w:footnote w:id="15">
    <w:p w14:paraId="7454A012" w14:textId="77777777" w:rsidR="0046584A" w:rsidRPr="00817BE8" w:rsidRDefault="0046584A" w:rsidP="0046584A">
      <w:pPr>
        <w:pStyle w:val="Textonotapie"/>
        <w:ind w:firstLine="708"/>
        <w:jc w:val="both"/>
        <w:rPr>
          <w:rFonts w:ascii="Verdana" w:hAnsi="Verdana" w:cs="Arial"/>
          <w:sz w:val="16"/>
          <w:szCs w:val="16"/>
        </w:rPr>
      </w:pPr>
      <w:r w:rsidRPr="00817BE8">
        <w:rPr>
          <w:rStyle w:val="Refdenotaalpie"/>
          <w:rFonts w:ascii="Verdana" w:hAnsi="Verdana" w:cs="Arial"/>
          <w:sz w:val="16"/>
          <w:szCs w:val="16"/>
        </w:rPr>
        <w:footnoteRef/>
      </w:r>
      <w:r w:rsidRPr="00817BE8">
        <w:rPr>
          <w:rFonts w:ascii="Verdana" w:hAnsi="Verdana" w:cs="Arial"/>
          <w:sz w:val="16"/>
          <w:szCs w:val="16"/>
        </w:rPr>
        <w:t xml:space="preserve"> Cfr. ASAMBLEA NACIONAL CONSTITUYENTE. Gaceta Constitucional Nº 76 de mayo 18 de 1991. pp. 12-13.</w:t>
      </w:r>
    </w:p>
  </w:footnote>
  <w:footnote w:id="16">
    <w:p w14:paraId="6D8DD6EF" w14:textId="77777777" w:rsidR="0046584A" w:rsidRPr="00817BE8" w:rsidRDefault="0046584A" w:rsidP="0046584A">
      <w:pPr>
        <w:spacing w:after="0" w:line="240" w:lineRule="auto"/>
        <w:ind w:firstLine="708"/>
        <w:jc w:val="both"/>
        <w:rPr>
          <w:rFonts w:ascii="Verdana" w:eastAsia="Calibri" w:hAnsi="Verdana" w:cs="Arial"/>
          <w:sz w:val="16"/>
          <w:szCs w:val="16"/>
          <w:lang w:val="es-ES_tradnl"/>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eastAsia="Calibri" w:hAnsi="Verdana" w:cs="Arial"/>
          <w:sz w:val="16"/>
          <w:szCs w:val="16"/>
          <w:lang w:val="es-ES_tradnl"/>
        </w:rPr>
        <w:t>En resumen, la jurisprudencia explica que la urgencia manifiesta procede: “[...] en aquellos eventos en los cuales puede suscitarse la necesidad de remediar o evitar males presentes o futuros pero inminentes, provocados bien sea en virtud de los estados de excepción, o por la paralización de los servicios públicos, o provenientes de situaciones de calamidad o hechos constitutivos de fuerza mayor o desastres, o cualquier otra circunstancia similar que tampoco dé espera en su solución, de tal manera que resulte inconveniente el trámite del proceso licitatorio de selección de contratistas reglado en el estatuto contractual, por cuanto implica el agotamiento de una serie de etapas que se toman su tiempo y hacen más o menos largo el lapso para adjudicar el respectivo contrato, circunstancia que, frente a una situación de urgencia obviamente resulta entorpecedora, porque la solución en estas condiciones, puede llegar tardíamente, cuando ya se haya producido o agravado el daño” (</w:t>
      </w:r>
      <w:r w:rsidRPr="00817BE8">
        <w:rPr>
          <w:rFonts w:ascii="Verdana" w:hAnsi="Verdana" w:cs="Arial"/>
          <w:sz w:val="16"/>
          <w:szCs w:val="16"/>
        </w:rPr>
        <w:t xml:space="preserve">CONSEJO DE ESTADO. Sección Tercera. Sentencia del 27 de abril de 2006. Rad. 5.229. C.P. Ramiro Saavedra Becerra). </w:t>
      </w:r>
    </w:p>
  </w:footnote>
  <w:footnote w:id="17">
    <w:p w14:paraId="757B8D86" w14:textId="77777777" w:rsidR="0046584A" w:rsidRPr="00817BE8" w:rsidRDefault="0046584A" w:rsidP="0046584A">
      <w:pPr>
        <w:pStyle w:val="Textonotapie"/>
        <w:ind w:firstLine="709"/>
        <w:jc w:val="both"/>
        <w:rPr>
          <w:rFonts w:ascii="Verdana" w:hAnsi="Verdana" w:cs="Arial"/>
          <w:sz w:val="16"/>
          <w:szCs w:val="16"/>
          <w:lang w:val="es-ES"/>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hAnsi="Verdana" w:cs="Arial"/>
          <w:sz w:val="16"/>
          <w:szCs w:val="16"/>
          <w:lang w:val="es-ES"/>
        </w:rPr>
        <w:t>CORTE CONSTITUCIONAL. Sentencia C-772 de 1998. M.P. Fabio Morón Díaz.</w:t>
      </w:r>
    </w:p>
  </w:footnote>
  <w:footnote w:id="18">
    <w:p w14:paraId="1FF153E1" w14:textId="77777777" w:rsidR="0046584A" w:rsidRPr="00817BE8" w:rsidRDefault="0046584A" w:rsidP="0046584A">
      <w:pPr>
        <w:spacing w:after="0" w:line="240" w:lineRule="auto"/>
        <w:ind w:firstLine="708"/>
        <w:jc w:val="both"/>
        <w:rPr>
          <w:rFonts w:ascii="Verdana" w:eastAsia="Calibri" w:hAnsi="Verdana" w:cs="Arial"/>
          <w:sz w:val="16"/>
          <w:szCs w:val="16"/>
          <w:lang w:val="es-ES_tradnl"/>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hAnsi="Verdana" w:cs="Arial"/>
          <w:sz w:val="16"/>
          <w:szCs w:val="16"/>
          <w:lang w:val="es-ES_tradnl"/>
        </w:rPr>
        <w:t>La jurisprudencia delimita su sentido y alcance de la siguiente manera –</w:t>
      </w:r>
      <w:r w:rsidRPr="00817BE8">
        <w:rPr>
          <w:rFonts w:ascii="Verdana" w:hAnsi="Verdana" w:cs="Arial"/>
          <w:sz w:val="16"/>
          <w:szCs w:val="16"/>
          <w:lang w:val="es-ES"/>
        </w:rPr>
        <w:t>CORTE SUPREMA DE JUSTICIA. Sala de Casación Civil. Sentencia 20 de noviembre de 1989. MP. Alberto Ospina Botero. Publicada en la Gaceta Judicial. Tomo CXCVI. N° 2435. p. 93</w:t>
      </w:r>
      <w:r w:rsidRPr="00817BE8">
        <w:rPr>
          <w:rFonts w:ascii="Verdana" w:hAnsi="Verdana" w:cs="Arial"/>
          <w:sz w:val="16"/>
          <w:szCs w:val="16"/>
          <w:lang w:val="es-ES_tradnl"/>
        </w:rPr>
        <w:t>–:</w:t>
      </w:r>
    </w:p>
    <w:p w14:paraId="082B9E82" w14:textId="77777777" w:rsidR="0046584A" w:rsidRPr="00817BE8" w:rsidRDefault="0046584A" w:rsidP="0046584A">
      <w:pPr>
        <w:spacing w:after="0" w:line="240" w:lineRule="auto"/>
        <w:ind w:right="49" w:firstLine="708"/>
        <w:jc w:val="both"/>
        <w:rPr>
          <w:rFonts w:ascii="Verdana" w:eastAsia="Calibri" w:hAnsi="Verdana" w:cs="Arial"/>
          <w:sz w:val="16"/>
          <w:szCs w:val="16"/>
          <w:lang w:val="es-ES_tradnl"/>
        </w:rPr>
      </w:pPr>
      <w:r w:rsidRPr="00817BE8">
        <w:rPr>
          <w:rFonts w:ascii="Verdana" w:eastAsia="Calibri" w:hAnsi="Verdana" w:cs="Arial"/>
          <w:sz w:val="16"/>
          <w:szCs w:val="16"/>
          <w:lang w:val="es-ES_tradnl"/>
        </w:rPr>
        <w:t>“6. […] la fuerza mayor o caso fortuito se configura por la concurrencia de dos factores:</w:t>
      </w:r>
    </w:p>
    <w:p w14:paraId="0C6C8472" w14:textId="77777777" w:rsidR="0046584A" w:rsidRPr="00817BE8" w:rsidRDefault="0046584A" w:rsidP="0046584A">
      <w:pPr>
        <w:spacing w:after="0" w:line="240" w:lineRule="auto"/>
        <w:ind w:right="49" w:firstLine="708"/>
        <w:jc w:val="both"/>
        <w:rPr>
          <w:rFonts w:ascii="Verdana" w:eastAsia="Calibri" w:hAnsi="Verdana" w:cs="Arial"/>
          <w:sz w:val="16"/>
          <w:szCs w:val="16"/>
          <w:lang w:val="es-ES_tradnl"/>
        </w:rPr>
      </w:pPr>
      <w:r w:rsidRPr="00817BE8">
        <w:rPr>
          <w:rFonts w:ascii="Verdana" w:eastAsia="Calibri" w:hAnsi="Verdana" w:cs="Arial"/>
          <w:sz w:val="16"/>
          <w:szCs w:val="16"/>
          <w:lang w:val="es-ES_tradnl"/>
        </w:rPr>
        <w:t>a) Que el hecho sea imprevisible, esto es, que dentro de las circunstancias normales de la vida, no sea posible contemplar por anticipado su ocurrencia. Por el contrario, si el hecho razonablemente hubiera podido preverse, por ser un acontecimiento normal o de ocurrencia frecuente, tal hecho no estructura el elemento imprevisible, y</w:t>
      </w:r>
    </w:p>
    <w:p w14:paraId="3A21CB20" w14:textId="77777777" w:rsidR="0046584A" w:rsidRPr="00817BE8" w:rsidRDefault="0046584A" w:rsidP="0046584A">
      <w:pPr>
        <w:spacing w:after="0" w:line="240" w:lineRule="auto"/>
        <w:ind w:right="49" w:firstLine="708"/>
        <w:jc w:val="both"/>
        <w:rPr>
          <w:rFonts w:ascii="Verdana" w:eastAsia="Calibri" w:hAnsi="Verdana" w:cs="Arial"/>
          <w:sz w:val="16"/>
          <w:szCs w:val="16"/>
          <w:lang w:val="es-ES_tradnl"/>
        </w:rPr>
      </w:pPr>
      <w:r w:rsidRPr="00817BE8">
        <w:rPr>
          <w:rFonts w:ascii="Verdana" w:eastAsia="Calibri" w:hAnsi="Verdana" w:cs="Arial"/>
          <w:sz w:val="16"/>
          <w:szCs w:val="16"/>
          <w:lang w:val="es-ES_tradnl"/>
        </w:rPr>
        <w:t>b) Que el hecho sea irresistible, o sea, que el agente no pueda evitar su acaecimiento ni superar sus consecuencias.</w:t>
      </w:r>
    </w:p>
    <w:p w14:paraId="3D7A6FEE" w14:textId="77777777" w:rsidR="0046584A" w:rsidRPr="00817BE8" w:rsidRDefault="0046584A" w:rsidP="0046584A">
      <w:pPr>
        <w:spacing w:after="0" w:line="240" w:lineRule="auto"/>
        <w:ind w:right="49" w:firstLine="708"/>
        <w:jc w:val="both"/>
        <w:rPr>
          <w:rFonts w:ascii="Verdana" w:eastAsia="Calibri" w:hAnsi="Verdana" w:cs="Arial"/>
          <w:sz w:val="16"/>
          <w:szCs w:val="16"/>
          <w:lang w:val="es-ES_tradnl"/>
        </w:rPr>
      </w:pPr>
      <w:r w:rsidRPr="00817BE8">
        <w:rPr>
          <w:rFonts w:ascii="Verdana" w:eastAsia="Calibri" w:hAnsi="Verdana" w:cs="Arial"/>
          <w:sz w:val="16"/>
          <w:szCs w:val="16"/>
          <w:lang w:val="es-ES_tradnl"/>
        </w:rPr>
        <w:t>En este preciso punto es indispensable anotar la diferencia existente entre la imposibilidad para resistir o superar el hecho y la dificultad para enfrentarlo. Porque un hecho no constituye caso fortuito o fuerza mayor, por la sola circunstancia de que se haga más difícil o más onerosa de lo previsto inicialmente.</w:t>
      </w:r>
    </w:p>
    <w:p w14:paraId="1D24C71E" w14:textId="77777777" w:rsidR="0046584A" w:rsidRPr="00817BE8" w:rsidRDefault="0046584A" w:rsidP="0046584A">
      <w:pPr>
        <w:spacing w:after="0" w:line="240" w:lineRule="auto"/>
        <w:ind w:right="49" w:firstLine="708"/>
        <w:jc w:val="both"/>
        <w:rPr>
          <w:rFonts w:ascii="Verdana" w:eastAsia="Calibri" w:hAnsi="Verdana" w:cs="Arial"/>
          <w:sz w:val="16"/>
          <w:szCs w:val="16"/>
          <w:lang w:val="es-ES_tradnl"/>
        </w:rPr>
      </w:pPr>
      <w:r w:rsidRPr="00817BE8">
        <w:rPr>
          <w:rFonts w:ascii="Verdana" w:eastAsia="Calibri" w:hAnsi="Verdana" w:cs="Arial"/>
          <w:sz w:val="16"/>
          <w:szCs w:val="16"/>
          <w:lang w:val="es-ES_tradnl"/>
        </w:rPr>
        <w:t>7. Según el verdadero sentido o inteligencia […] los elementos integrantes del caso fortuito o fuerza mayor, antes reseñados, deben ser concurrentes, lo cual se traduce en que si el hecho o suceso ciertamente es imprevisible pero se le puede resistir, no se da tal fenómeno, como tampoco se configura cuando a pesar de ser irresistible pudo preverse</w:t>
      </w:r>
    </w:p>
    <w:p w14:paraId="26F79295" w14:textId="77777777" w:rsidR="0046584A" w:rsidRPr="00817BE8" w:rsidRDefault="0046584A" w:rsidP="0046584A">
      <w:pPr>
        <w:spacing w:after="0" w:line="240" w:lineRule="auto"/>
        <w:ind w:right="49"/>
        <w:jc w:val="both"/>
        <w:rPr>
          <w:rFonts w:ascii="Verdana" w:eastAsia="Calibri" w:hAnsi="Verdana" w:cs="Arial"/>
          <w:sz w:val="16"/>
          <w:szCs w:val="16"/>
          <w:lang w:val="es-ES_tradnl"/>
        </w:rPr>
      </w:pPr>
      <w:r w:rsidRPr="00817BE8">
        <w:rPr>
          <w:rFonts w:ascii="Verdana" w:eastAsia="Calibri" w:hAnsi="Verdana" w:cs="Arial"/>
          <w:sz w:val="16"/>
          <w:szCs w:val="16"/>
          <w:lang w:val="es-ES_tradnl"/>
        </w:rPr>
        <w:t>[…]</w:t>
      </w:r>
    </w:p>
    <w:p w14:paraId="02BF18F4" w14:textId="77777777" w:rsidR="0046584A" w:rsidRPr="00817BE8" w:rsidRDefault="0046584A" w:rsidP="0046584A">
      <w:pPr>
        <w:pStyle w:val="Textonotapie"/>
        <w:ind w:right="49" w:firstLine="708"/>
        <w:jc w:val="both"/>
        <w:rPr>
          <w:rFonts w:ascii="Verdana" w:hAnsi="Verdana" w:cs="Arial"/>
          <w:sz w:val="16"/>
          <w:szCs w:val="16"/>
          <w:lang w:val="es-CO"/>
        </w:rPr>
      </w:pPr>
      <w:r w:rsidRPr="00817BE8">
        <w:rPr>
          <w:rFonts w:ascii="Verdana" w:eastAsia="Calibri" w:hAnsi="Verdana" w:cs="Arial"/>
          <w:sz w:val="16"/>
          <w:szCs w:val="16"/>
          <w:lang w:val="es-ES_tradnl"/>
        </w:rPr>
        <w:t>8. Si, sólo puede calificarse como caso fortuito o fuerza mayor el hecho que concurrentemente contemple los caracteres de imprevisible e irresistible, no resulta propio elaborar un listado de los acontecimientos que constituyen tal fenómeno, ni de los que no lo constituyen. Por tal virtud, ha sostenido la doctrina nacional y foránea que un acontecimiento determinado no puede calificarse fatalmente, por sí mismo y por fuerza de su naturaleza específica como constitutivo de fuerza mayor o caso fortuito, puesto que es indispensable, en cada caso o acontecimiento, analizar y ponderar todas las circunstancias que rodearon el hecho”.</w:t>
      </w:r>
    </w:p>
  </w:footnote>
  <w:footnote w:id="19">
    <w:p w14:paraId="782CEC4E" w14:textId="77777777" w:rsidR="0046584A" w:rsidRPr="00817BE8" w:rsidRDefault="0046584A" w:rsidP="0046584A">
      <w:pPr>
        <w:pStyle w:val="Textonotapie"/>
        <w:ind w:firstLine="708"/>
        <w:jc w:val="both"/>
        <w:rPr>
          <w:rFonts w:ascii="Verdana" w:hAnsi="Verdana" w:cs="Arial"/>
          <w:sz w:val="16"/>
          <w:szCs w:val="16"/>
          <w:lang w:val="es-ES"/>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hAnsi="Verdana" w:cs="Arial"/>
          <w:sz w:val="16"/>
          <w:szCs w:val="16"/>
          <w:lang w:val="es-ES"/>
        </w:rPr>
        <w:t>Artículo 56. Declaratoria de situación de desastre. Previa recomendación del Consejo Nacional, el Presidente de la República declarará mediante decreto la existencia de una situación de desastre y, en el mismo acto, la clasificará según su magnitud y efectos como de carácter nacional, regional, departamental, distrital o municipal, y pondrá en vigor las normas pertinentes propias del régimen especial para situaciones de desastre.</w:t>
      </w:r>
    </w:p>
    <w:p w14:paraId="6E7257DC" w14:textId="77777777" w:rsidR="0046584A" w:rsidRPr="00817BE8" w:rsidRDefault="0046584A" w:rsidP="0046584A">
      <w:pPr>
        <w:pStyle w:val="Textonotapie"/>
        <w:ind w:firstLine="708"/>
        <w:jc w:val="both"/>
        <w:rPr>
          <w:rFonts w:ascii="Verdana" w:hAnsi="Verdana" w:cs="Arial"/>
          <w:sz w:val="16"/>
          <w:szCs w:val="16"/>
          <w:lang w:val="es-ES"/>
        </w:rPr>
      </w:pPr>
      <w:r w:rsidRPr="00817BE8">
        <w:rPr>
          <w:rFonts w:ascii="Verdana" w:hAnsi="Verdana" w:cs="Arial"/>
          <w:sz w:val="16"/>
          <w:szCs w:val="16"/>
          <w:lang w:val="es-ES"/>
        </w:rPr>
        <w:t>1. Nacional. Existirá una situación de desastre nacional:</w:t>
      </w:r>
    </w:p>
    <w:p w14:paraId="33A17681" w14:textId="77777777" w:rsidR="0046584A" w:rsidRPr="00817BE8" w:rsidRDefault="0046584A" w:rsidP="0046584A">
      <w:pPr>
        <w:pStyle w:val="Textonotapie"/>
        <w:ind w:firstLine="708"/>
        <w:jc w:val="both"/>
        <w:rPr>
          <w:rFonts w:ascii="Verdana" w:hAnsi="Verdana" w:cs="Arial"/>
          <w:sz w:val="16"/>
          <w:szCs w:val="16"/>
          <w:lang w:val="es-ES"/>
        </w:rPr>
      </w:pPr>
      <w:r w:rsidRPr="00817BE8">
        <w:rPr>
          <w:rFonts w:ascii="Verdana" w:hAnsi="Verdana" w:cs="Arial"/>
          <w:sz w:val="16"/>
          <w:szCs w:val="16"/>
          <w:lang w:val="es-ES"/>
        </w:rPr>
        <w:t>a). Cuando la materialización del riesgo afecte de manera desfavorable y grave los bienes jurídicos protegidos de las personas, de la colectividad nacional y de las instituciones de la Administración Pública Nacional, en todo el territorio nacional o en parte considerable del mismo.</w:t>
      </w:r>
    </w:p>
    <w:p w14:paraId="544BF5C6" w14:textId="77777777" w:rsidR="0046584A" w:rsidRPr="00817BE8" w:rsidRDefault="0046584A" w:rsidP="0046584A">
      <w:pPr>
        <w:pStyle w:val="Textonotapie"/>
        <w:ind w:firstLine="708"/>
        <w:jc w:val="both"/>
        <w:rPr>
          <w:rFonts w:ascii="Verdana" w:hAnsi="Verdana" w:cs="Arial"/>
          <w:sz w:val="16"/>
          <w:szCs w:val="16"/>
          <w:lang w:val="es-ES"/>
        </w:rPr>
      </w:pPr>
      <w:r w:rsidRPr="00817BE8">
        <w:rPr>
          <w:rFonts w:ascii="Verdana" w:hAnsi="Verdana" w:cs="Arial"/>
          <w:sz w:val="16"/>
          <w:szCs w:val="16"/>
          <w:lang w:val="es-ES"/>
        </w:rPr>
        <w:t>b). Cuando se hayan producido efectos adversos en uno (1) o más departamentos y su impacto rebase la capacidad técnica y los recursos de las administraciones departamentales y municipales involucradas.</w:t>
      </w:r>
    </w:p>
    <w:p w14:paraId="01208EA4" w14:textId="77777777" w:rsidR="0046584A" w:rsidRPr="00817BE8" w:rsidRDefault="0046584A" w:rsidP="0046584A">
      <w:pPr>
        <w:pStyle w:val="Textonotapie"/>
        <w:ind w:firstLine="708"/>
        <w:jc w:val="both"/>
        <w:rPr>
          <w:rFonts w:ascii="Verdana" w:hAnsi="Verdana" w:cs="Arial"/>
          <w:sz w:val="16"/>
          <w:szCs w:val="16"/>
          <w:lang w:val="es-ES"/>
        </w:rPr>
      </w:pPr>
      <w:r w:rsidRPr="00817BE8">
        <w:rPr>
          <w:rFonts w:ascii="Verdana" w:hAnsi="Verdana" w:cs="Arial"/>
          <w:sz w:val="16"/>
          <w:szCs w:val="16"/>
          <w:lang w:val="es-ES"/>
        </w:rPr>
        <w:t>c). Cuando la emergencia tenga la capacidad de impactar de manera desfavorable y grave la economía nacional, las redes de servicios nacionales en su totalidad o en parte significativa de las mismas, el distrito capital y otros centros urbanos de importancia regional en la red de ciudades.</w:t>
      </w:r>
    </w:p>
    <w:p w14:paraId="590CD7A8" w14:textId="77777777" w:rsidR="0046584A" w:rsidRPr="00817BE8" w:rsidRDefault="0046584A" w:rsidP="0046584A">
      <w:pPr>
        <w:pStyle w:val="Textonotapie"/>
        <w:ind w:firstLine="708"/>
        <w:jc w:val="both"/>
        <w:rPr>
          <w:rFonts w:ascii="Verdana" w:hAnsi="Verdana" w:cs="Arial"/>
          <w:sz w:val="16"/>
          <w:szCs w:val="16"/>
          <w:lang w:val="es-ES"/>
        </w:rPr>
      </w:pPr>
      <w:r w:rsidRPr="00817BE8">
        <w:rPr>
          <w:rFonts w:ascii="Verdana" w:hAnsi="Verdana" w:cs="Arial"/>
          <w:sz w:val="16"/>
          <w:szCs w:val="16"/>
          <w:lang w:val="es-ES"/>
        </w:rPr>
        <w:t>2. Departamental. Existirá una situación de desastre departamental cuando la materialización del riesgo afecte de manera desfavorable y grave los bienes jurídicos protegidos de los habitantes de un (1) departamento y de la administración pública departamental. El desastre de orden departamental puede presentarse en todo el departamento o en parte sustancial de su territorio rebasando la capacidad técnica y de recursos de los municipios afectados.</w:t>
      </w:r>
    </w:p>
    <w:p w14:paraId="5CBA3D12" w14:textId="77777777" w:rsidR="0046584A" w:rsidRPr="00817BE8" w:rsidRDefault="0046584A" w:rsidP="0046584A">
      <w:pPr>
        <w:pStyle w:val="Textonotapie"/>
        <w:ind w:firstLine="708"/>
        <w:jc w:val="both"/>
        <w:rPr>
          <w:rFonts w:ascii="Verdana" w:hAnsi="Verdana" w:cs="Arial"/>
          <w:sz w:val="16"/>
          <w:szCs w:val="16"/>
          <w:lang w:val="es-ES"/>
        </w:rPr>
      </w:pPr>
      <w:r w:rsidRPr="00817BE8">
        <w:rPr>
          <w:rFonts w:ascii="Verdana" w:hAnsi="Verdana" w:cs="Arial"/>
          <w:sz w:val="16"/>
          <w:szCs w:val="16"/>
          <w:lang w:val="es-ES"/>
        </w:rPr>
        <w:t>3. Distrital o Municipal. Existirá una situación de desastre municipal o distrital cuando la materialización del riesgo afecte de manera desfavorable y grave los bienes jurídicos protegidos de los habitantes del municipio o distrito impactado y de la administración pública distrital. El desastre de orden distrital o municipal puede presentarse en todo el distrito o municipio o en parte sustancial del territorio de su jurisdicción, rebasando su capacidad técnica y de recursos […]”.</w:t>
      </w:r>
    </w:p>
  </w:footnote>
  <w:footnote w:id="20">
    <w:p w14:paraId="6FC5B633" w14:textId="77777777" w:rsidR="0046584A" w:rsidRPr="00817BE8" w:rsidRDefault="0046584A" w:rsidP="0046584A">
      <w:pPr>
        <w:pStyle w:val="Textonotapie"/>
        <w:ind w:firstLine="708"/>
        <w:jc w:val="both"/>
        <w:rPr>
          <w:rFonts w:ascii="Verdana" w:hAnsi="Verdana" w:cs="Arial"/>
          <w:sz w:val="16"/>
          <w:szCs w:val="16"/>
          <w:lang w:val="es-CO"/>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hAnsi="Verdana" w:cs="Arial"/>
          <w:sz w:val="16"/>
          <w:szCs w:val="16"/>
          <w:lang w:val="es-ES"/>
        </w:rPr>
        <w:t xml:space="preserve">Artículo 57. Declaratoria de situación de calamidad pública. </w:t>
      </w:r>
      <w:bookmarkStart w:id="14" w:name="_Hlk132729568"/>
      <w:r w:rsidRPr="00817BE8">
        <w:rPr>
          <w:rFonts w:ascii="Verdana" w:hAnsi="Verdana" w:cs="Arial"/>
          <w:sz w:val="16"/>
          <w:szCs w:val="16"/>
          <w:lang w:val="es-ES"/>
        </w:rPr>
        <w:t>Los gobernadores y alcaldes, previo concepto favorable del Consejo Departamental, Distrital o Municipal de Gestión del Riesgo, podrán declararla situación de calamidad pública en su respectiva jurisdicción. Las declaratorias de situación de calamidad pública se producirán y aplicarán, en lo pertinente, de conformidad con las reglas de la declaratoria de la situación de desastre</w:t>
      </w:r>
      <w:bookmarkEnd w:id="14"/>
      <w:r w:rsidRPr="00817BE8">
        <w:rPr>
          <w:rFonts w:ascii="Verdana" w:hAnsi="Verdana" w:cs="Arial"/>
          <w:sz w:val="16"/>
          <w:szCs w:val="16"/>
          <w:lang w:val="es-E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9pt;height:10.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3745"/>
    <w:rsid w:val="00016F78"/>
    <w:rsid w:val="00046945"/>
    <w:rsid w:val="00061B2A"/>
    <w:rsid w:val="00082362"/>
    <w:rsid w:val="00084564"/>
    <w:rsid w:val="000A683E"/>
    <w:rsid w:val="000B19B9"/>
    <w:rsid w:val="000D0334"/>
    <w:rsid w:val="000D5DA7"/>
    <w:rsid w:val="000F6486"/>
    <w:rsid w:val="00116940"/>
    <w:rsid w:val="00125105"/>
    <w:rsid w:val="00127233"/>
    <w:rsid w:val="0015699B"/>
    <w:rsid w:val="001A33BF"/>
    <w:rsid w:val="001A7853"/>
    <w:rsid w:val="001E4177"/>
    <w:rsid w:val="001F0B24"/>
    <w:rsid w:val="001F7DC6"/>
    <w:rsid w:val="0022400B"/>
    <w:rsid w:val="00224737"/>
    <w:rsid w:val="00232F8A"/>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552DF"/>
    <w:rsid w:val="00374F5E"/>
    <w:rsid w:val="00377E3E"/>
    <w:rsid w:val="003A779E"/>
    <w:rsid w:val="003D0F4D"/>
    <w:rsid w:val="003D5B0D"/>
    <w:rsid w:val="003E0499"/>
    <w:rsid w:val="003E4F80"/>
    <w:rsid w:val="003E6439"/>
    <w:rsid w:val="003F3941"/>
    <w:rsid w:val="00406575"/>
    <w:rsid w:val="00414C74"/>
    <w:rsid w:val="0042722E"/>
    <w:rsid w:val="0044528D"/>
    <w:rsid w:val="0046584A"/>
    <w:rsid w:val="00466E39"/>
    <w:rsid w:val="00497B07"/>
    <w:rsid w:val="004A1847"/>
    <w:rsid w:val="004A305D"/>
    <w:rsid w:val="004B6275"/>
    <w:rsid w:val="004F21C4"/>
    <w:rsid w:val="004F685F"/>
    <w:rsid w:val="00537DD7"/>
    <w:rsid w:val="005566E8"/>
    <w:rsid w:val="00574867"/>
    <w:rsid w:val="005847EF"/>
    <w:rsid w:val="00591460"/>
    <w:rsid w:val="005A65E0"/>
    <w:rsid w:val="005C20A4"/>
    <w:rsid w:val="005C3777"/>
    <w:rsid w:val="005C5CDC"/>
    <w:rsid w:val="005D476C"/>
    <w:rsid w:val="006200BF"/>
    <w:rsid w:val="006219F8"/>
    <w:rsid w:val="006302F7"/>
    <w:rsid w:val="00646B9F"/>
    <w:rsid w:val="00665D70"/>
    <w:rsid w:val="006900D9"/>
    <w:rsid w:val="006A6F54"/>
    <w:rsid w:val="006D212E"/>
    <w:rsid w:val="006D27A4"/>
    <w:rsid w:val="006D2D95"/>
    <w:rsid w:val="007013A8"/>
    <w:rsid w:val="00706C16"/>
    <w:rsid w:val="007340C3"/>
    <w:rsid w:val="00741702"/>
    <w:rsid w:val="0075235A"/>
    <w:rsid w:val="00756841"/>
    <w:rsid w:val="007649AB"/>
    <w:rsid w:val="00771D0C"/>
    <w:rsid w:val="007833AC"/>
    <w:rsid w:val="007974E2"/>
    <w:rsid w:val="007B268C"/>
    <w:rsid w:val="007B7171"/>
    <w:rsid w:val="007C0C0F"/>
    <w:rsid w:val="007C3DC2"/>
    <w:rsid w:val="007E5497"/>
    <w:rsid w:val="00806F5F"/>
    <w:rsid w:val="00820278"/>
    <w:rsid w:val="008258C9"/>
    <w:rsid w:val="00844AE9"/>
    <w:rsid w:val="00846F39"/>
    <w:rsid w:val="00867F95"/>
    <w:rsid w:val="008843B6"/>
    <w:rsid w:val="00891928"/>
    <w:rsid w:val="008A446D"/>
    <w:rsid w:val="008B25F1"/>
    <w:rsid w:val="008D180B"/>
    <w:rsid w:val="008F0EA7"/>
    <w:rsid w:val="00923EEF"/>
    <w:rsid w:val="00935B37"/>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0C3E"/>
    <w:rsid w:val="00A23AF9"/>
    <w:rsid w:val="00A305FC"/>
    <w:rsid w:val="00A33C78"/>
    <w:rsid w:val="00AB0ADB"/>
    <w:rsid w:val="00B00C0E"/>
    <w:rsid w:val="00B01B1A"/>
    <w:rsid w:val="00B0381D"/>
    <w:rsid w:val="00B44A47"/>
    <w:rsid w:val="00B5592D"/>
    <w:rsid w:val="00B72CD3"/>
    <w:rsid w:val="00B72FFF"/>
    <w:rsid w:val="00BC3D36"/>
    <w:rsid w:val="00BD54A6"/>
    <w:rsid w:val="00BD7F72"/>
    <w:rsid w:val="00BF72E3"/>
    <w:rsid w:val="00BF7425"/>
    <w:rsid w:val="00C04FB3"/>
    <w:rsid w:val="00C11D8B"/>
    <w:rsid w:val="00C13BA8"/>
    <w:rsid w:val="00C15139"/>
    <w:rsid w:val="00C25E67"/>
    <w:rsid w:val="00C330EB"/>
    <w:rsid w:val="00C50D69"/>
    <w:rsid w:val="00C5365C"/>
    <w:rsid w:val="00C754BE"/>
    <w:rsid w:val="00C76B1C"/>
    <w:rsid w:val="00C925AC"/>
    <w:rsid w:val="00CA3539"/>
    <w:rsid w:val="00CA4EC1"/>
    <w:rsid w:val="00CB6357"/>
    <w:rsid w:val="00CC1B26"/>
    <w:rsid w:val="00D361FD"/>
    <w:rsid w:val="00D423A2"/>
    <w:rsid w:val="00D44E26"/>
    <w:rsid w:val="00D520D8"/>
    <w:rsid w:val="00D63AC2"/>
    <w:rsid w:val="00D7383B"/>
    <w:rsid w:val="00D7788A"/>
    <w:rsid w:val="00DA231B"/>
    <w:rsid w:val="00DC1B17"/>
    <w:rsid w:val="00DC39FC"/>
    <w:rsid w:val="00DF5254"/>
    <w:rsid w:val="00E0007D"/>
    <w:rsid w:val="00E02524"/>
    <w:rsid w:val="00E16408"/>
    <w:rsid w:val="00E20894"/>
    <w:rsid w:val="00E245AB"/>
    <w:rsid w:val="00E2764C"/>
    <w:rsid w:val="00E27F2E"/>
    <w:rsid w:val="00E50AFE"/>
    <w:rsid w:val="00E75C92"/>
    <w:rsid w:val="00E771DC"/>
    <w:rsid w:val="00E8772A"/>
    <w:rsid w:val="00E90F6B"/>
    <w:rsid w:val="00E92C27"/>
    <w:rsid w:val="00EA0E3D"/>
    <w:rsid w:val="00EA62E6"/>
    <w:rsid w:val="00EC38A7"/>
    <w:rsid w:val="00EC51B4"/>
    <w:rsid w:val="00EE1AA8"/>
    <w:rsid w:val="00EF2ABB"/>
    <w:rsid w:val="00F23FEA"/>
    <w:rsid w:val="00F31EDC"/>
    <w:rsid w:val="00F462B3"/>
    <w:rsid w:val="00F5664F"/>
    <w:rsid w:val="00F666C4"/>
    <w:rsid w:val="00F727CE"/>
    <w:rsid w:val="00F76AFC"/>
    <w:rsid w:val="00FA47C0"/>
    <w:rsid w:val="00FA5664"/>
    <w:rsid w:val="00FB5DD1"/>
    <w:rsid w:val="00FC2B5D"/>
    <w:rsid w:val="00FD122F"/>
    <w:rsid w:val="00FF1449"/>
    <w:rsid w:val="00FF7963"/>
    <w:rsid w:val="071B8F93"/>
    <w:rsid w:val="09908A09"/>
    <w:rsid w:val="0FF4CCA8"/>
    <w:rsid w:val="13CFC91B"/>
    <w:rsid w:val="19A2EC2C"/>
    <w:rsid w:val="2859CA1B"/>
    <w:rsid w:val="2D58B4D5"/>
    <w:rsid w:val="32A4F9CF"/>
    <w:rsid w:val="356CEDFD"/>
    <w:rsid w:val="69614A15"/>
    <w:rsid w:val="7BB183BC"/>
    <w:rsid w:val="7E72FEF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894E7DC4-6FB2-4746-8D42-723E39C27A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46584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6584A"/>
    <w:rPr>
      <w:rFonts w:ascii="Geomanist Light" w:hAnsi="Geomanist Light"/>
      <w:lang w:val="es-ES"/>
    </w:rPr>
  </w:style>
  <w:style w:type="paragraph" w:styleId="Textoindependiente">
    <w:name w:val="Body Text"/>
    <w:basedOn w:val="Normal"/>
    <w:link w:val="TextoindependienteCar"/>
    <w:uiPriority w:val="1"/>
    <w:unhideWhenUsed/>
    <w:qFormat/>
    <w:rsid w:val="0046584A"/>
    <w:pPr>
      <w:spacing w:after="120"/>
    </w:pPr>
  </w:style>
  <w:style w:type="character" w:customStyle="1" w:styleId="TextoindependienteCar">
    <w:name w:val="Texto independiente Car"/>
    <w:basedOn w:val="Fuentedeprrafopredeter"/>
    <w:link w:val="Textoindependiente"/>
    <w:uiPriority w:val="1"/>
    <w:rsid w:val="0046584A"/>
  </w:style>
  <w:style w:type="character" w:customStyle="1" w:styleId="s15">
    <w:name w:val="s15"/>
    <w:basedOn w:val="Fuentedeprrafopredeter"/>
    <w:rsid w:val="004658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esponsabilidadlegaljr@hotmail.es"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sites/cce_public/files/cce_documents/cce_guia_competencia_0.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78EA444-1C2A-4558-A9EB-63B55598F10D}"/>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20</TotalTime>
  <Pages>22</Pages>
  <Words>6819</Words>
  <Characters>37032</Characters>
  <Application>Microsoft Office Word</Application>
  <DocSecurity>0</DocSecurity>
  <Lines>712</Lines>
  <Paragraphs>140</Paragraphs>
  <ScaleCrop>false</ScaleCrop>
  <Company/>
  <LinksUpToDate>false</LinksUpToDate>
  <CharactersWithSpaces>43711</CharactersWithSpaces>
  <SharedDoc>false</SharedDoc>
  <HLinks>
    <vt:vector size="24" baseType="variant">
      <vt:variant>
        <vt:i4>3276900</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6881360</vt:i4>
      </vt:variant>
      <vt:variant>
        <vt:i4>0</vt:i4>
      </vt:variant>
      <vt:variant>
        <vt:i4>0</vt:i4>
      </vt:variant>
      <vt:variant>
        <vt:i4>5</vt:i4>
      </vt:variant>
      <vt:variant>
        <vt:lpwstr>mailto:responsabilidadlegaljr@hotmail.es</vt:lpwstr>
      </vt:variant>
      <vt:variant>
        <vt:lpwstr/>
      </vt:variant>
      <vt:variant>
        <vt:i4>7471182</vt:i4>
      </vt:variant>
      <vt:variant>
        <vt:i4>0</vt:i4>
      </vt:variant>
      <vt:variant>
        <vt:i4>0</vt:i4>
      </vt:variant>
      <vt:variant>
        <vt:i4>5</vt:i4>
      </vt:variant>
      <vt:variant>
        <vt:lpwstr>https://colombiacompra.gov.co/sites/cce_public/files/cce_documents/cce_guia_competencia_0.pdf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7</cp:revision>
  <cp:lastPrinted>2023-01-10T21:18:00Z</cp:lastPrinted>
  <dcterms:created xsi:type="dcterms:W3CDTF">2026-01-19T21:05:00Z</dcterms:created>
  <dcterms:modified xsi:type="dcterms:W3CDTF">2026-01-19T21:42:00Z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