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0613E" w14:textId="77777777" w:rsidR="00567B38" w:rsidRPr="0034723C" w:rsidRDefault="00567B38" w:rsidP="00567B38">
      <w:pPr>
        <w:spacing w:after="0" w:line="240" w:lineRule="auto"/>
        <w:jc w:val="both"/>
        <w:rPr>
          <w:rFonts w:ascii="Verdana" w:eastAsia="Calibri" w:hAnsi="Verdana" w:cs="Arial"/>
          <w:b/>
          <w:lang w:val="es-ES_tradnl" w:eastAsia="es-ES_tradnl"/>
        </w:rPr>
      </w:pPr>
      <w:bookmarkStart w:id="0" w:name="_Hlk143780582"/>
      <w:r w:rsidRPr="0034723C">
        <w:rPr>
          <w:rFonts w:ascii="Verdana" w:eastAsia="Calibri" w:hAnsi="Verdana" w:cs="Arial"/>
          <w:b/>
          <w:lang w:val="es-ES_tradnl" w:eastAsia="es-ES_tradnl"/>
        </w:rPr>
        <w:t>CONTRATOS DE PRESTACIÓN DE SERVICIOS – Generalidades</w:t>
      </w:r>
    </w:p>
    <w:p w14:paraId="30EF3ED2" w14:textId="77777777" w:rsidR="00567B38" w:rsidRPr="0034723C" w:rsidRDefault="00567B38" w:rsidP="00567B38">
      <w:pPr>
        <w:spacing w:after="0" w:line="240" w:lineRule="auto"/>
        <w:jc w:val="both"/>
        <w:rPr>
          <w:rFonts w:ascii="Verdana" w:eastAsia="Calibri" w:hAnsi="Verdana" w:cs="Arial"/>
          <w:b/>
          <w:sz w:val="20"/>
          <w:szCs w:val="20"/>
          <w:lang w:val="es-ES_tradnl" w:eastAsia="es-ES_tradnl"/>
        </w:rPr>
      </w:pPr>
    </w:p>
    <w:p w14:paraId="6549DA13" w14:textId="77777777" w:rsidR="00567B38" w:rsidRDefault="00567B38" w:rsidP="00567B38">
      <w:pPr>
        <w:spacing w:after="0" w:line="240" w:lineRule="auto"/>
        <w:jc w:val="both"/>
        <w:rPr>
          <w:rFonts w:ascii="Verdana" w:eastAsia="Arial" w:hAnsi="Verdana" w:cs="Arial"/>
          <w:color w:val="000000"/>
          <w:sz w:val="20"/>
          <w:szCs w:val="20"/>
        </w:rPr>
      </w:pPr>
      <w:r w:rsidRPr="0034723C">
        <w:rPr>
          <w:rFonts w:ascii="Verdana" w:eastAsia="Arial" w:hAnsi="Verdana" w:cs="Arial"/>
          <w:color w:val="000000"/>
          <w:sz w:val="20"/>
          <w:szCs w:val="20"/>
        </w:rPr>
        <w:t xml:space="preserve">El contrato de prestación de servicios es un contrato estatal típico, regulado en el numeral 32.3 de la Ley 80 de 1993. Es definido como aquel que “celebren las entidades estatales para desarrollar actividades relacionadas con la administración o funcionamiento de la entidad. Estos contratos sólo se podrán celebrar con personas naturales cuando dichas actividades no puedan realizarse con personal de planta o requieran conocimientos especializados. En ningún caso estos contratos generan relación laboral ni prestaciones sociales y se celebrarán por el término estrictamente indispensable”. </w:t>
      </w:r>
    </w:p>
    <w:p w14:paraId="1208FB81" w14:textId="77777777" w:rsidR="00FD7BA7" w:rsidRPr="0034723C" w:rsidRDefault="00FD7BA7" w:rsidP="00567B38">
      <w:pPr>
        <w:spacing w:after="0" w:line="240" w:lineRule="auto"/>
        <w:jc w:val="both"/>
        <w:rPr>
          <w:rFonts w:ascii="Verdana" w:eastAsia="Arial" w:hAnsi="Verdana" w:cs="Arial"/>
          <w:color w:val="000000"/>
          <w:sz w:val="20"/>
          <w:szCs w:val="20"/>
        </w:rPr>
      </w:pPr>
    </w:p>
    <w:p w14:paraId="5D3FF84C" w14:textId="77777777" w:rsidR="00567B38" w:rsidRPr="0034723C" w:rsidRDefault="00567B38" w:rsidP="00567B38">
      <w:pPr>
        <w:spacing w:after="0" w:line="240" w:lineRule="auto"/>
        <w:jc w:val="both"/>
        <w:rPr>
          <w:rFonts w:ascii="Verdana" w:eastAsia="Calibri" w:hAnsi="Verdana" w:cs="Arial"/>
          <w:b/>
          <w:sz w:val="20"/>
          <w:szCs w:val="20"/>
          <w:lang w:val="es-ES_tradnl" w:eastAsia="es-ES_tradnl"/>
        </w:rPr>
      </w:pPr>
      <w:r w:rsidRPr="0034723C">
        <w:rPr>
          <w:rFonts w:ascii="Verdana" w:eastAsia="Arial" w:hAnsi="Verdana" w:cs="Arial"/>
          <w:color w:val="000000"/>
          <w:sz w:val="20"/>
          <w:szCs w:val="20"/>
        </w:rPr>
        <w:t>La celebración de dicho contrato debe efectuarse a través de la modalidad de contratación directa. Así lo dispone el artículo 2, numeral 4°, literal h) de la Ley 1150 de 2007.</w:t>
      </w:r>
    </w:p>
    <w:p w14:paraId="7A255CF0" w14:textId="77777777" w:rsidR="00567B38" w:rsidRPr="0034723C" w:rsidRDefault="00567B38" w:rsidP="00567B38">
      <w:pPr>
        <w:spacing w:after="0" w:line="240" w:lineRule="auto"/>
        <w:jc w:val="both"/>
        <w:rPr>
          <w:rFonts w:ascii="Verdana" w:eastAsia="Calibri" w:hAnsi="Verdana" w:cs="Arial"/>
          <w:b/>
          <w:sz w:val="20"/>
          <w:szCs w:val="20"/>
          <w:lang w:val="es-ES_tradnl" w:eastAsia="es-ES_tradnl"/>
        </w:rPr>
      </w:pPr>
    </w:p>
    <w:p w14:paraId="066B6185" w14:textId="77777777" w:rsidR="00567B38" w:rsidRPr="0034723C" w:rsidRDefault="00567B38" w:rsidP="00567B38">
      <w:pPr>
        <w:spacing w:after="0" w:line="240" w:lineRule="auto"/>
        <w:jc w:val="both"/>
        <w:rPr>
          <w:rFonts w:ascii="Verdana" w:eastAsia="Calibri" w:hAnsi="Verdana" w:cs="Arial"/>
          <w:b/>
          <w:lang w:val="es-ES_tradnl" w:eastAsia="es-ES_tradnl"/>
        </w:rPr>
      </w:pPr>
      <w:r w:rsidRPr="0034723C">
        <w:rPr>
          <w:rFonts w:ascii="Verdana" w:eastAsia="Calibri" w:hAnsi="Verdana" w:cs="Arial"/>
          <w:b/>
          <w:lang w:val="es-ES_tradnl" w:eastAsia="es-ES_tradnl"/>
        </w:rPr>
        <w:t>CONTRATOS DE PRESTACIÓN DE SERVICIOS – Autonomía del contratista</w:t>
      </w:r>
    </w:p>
    <w:p w14:paraId="6088E862" w14:textId="77777777" w:rsidR="00567B38" w:rsidRPr="0034723C" w:rsidRDefault="00567B38" w:rsidP="00567B38">
      <w:pPr>
        <w:spacing w:after="0" w:line="240" w:lineRule="auto"/>
        <w:jc w:val="both"/>
        <w:rPr>
          <w:rFonts w:ascii="Verdana" w:eastAsia="Calibri" w:hAnsi="Verdana" w:cs="Arial"/>
          <w:b/>
          <w:sz w:val="20"/>
          <w:szCs w:val="20"/>
          <w:lang w:val="es-ES_tradnl" w:eastAsia="es-ES_tradnl"/>
        </w:rPr>
      </w:pPr>
    </w:p>
    <w:p w14:paraId="7F47D2DC" w14:textId="77777777" w:rsidR="00567B38" w:rsidRDefault="00567B38" w:rsidP="00567B38">
      <w:pPr>
        <w:spacing w:after="0" w:line="240" w:lineRule="auto"/>
        <w:jc w:val="both"/>
        <w:rPr>
          <w:rFonts w:ascii="Verdana" w:hAnsi="Verdana" w:cs="Arial"/>
          <w:noProof/>
          <w:sz w:val="20"/>
          <w:szCs w:val="20"/>
          <w:lang w:val="es-ES_tradnl"/>
        </w:rPr>
      </w:pPr>
      <w:r w:rsidRPr="0034723C">
        <w:rPr>
          <w:rFonts w:ascii="Verdana" w:hAnsi="Verdana" w:cs="Arial"/>
          <w:noProof/>
          <w:sz w:val="20"/>
          <w:szCs w:val="20"/>
          <w:lang w:val="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34723C">
        <w:rPr>
          <w:rFonts w:ascii="Verdana" w:hAnsi="Verdana" w:cs="Arial"/>
          <w:i/>
          <w:noProof/>
          <w:sz w:val="20"/>
          <w:szCs w:val="20"/>
          <w:lang w:val="es-ES_tradnl"/>
        </w:rPr>
        <w:t xml:space="preserve">subordinación </w:t>
      </w:r>
      <w:r w:rsidRPr="0034723C">
        <w:rPr>
          <w:rFonts w:ascii="Verdana" w:hAnsi="Verdana" w:cs="Arial"/>
          <w:iCs/>
          <w:noProof/>
          <w:sz w:val="20"/>
          <w:szCs w:val="20"/>
          <w:lang w:val="es-ES_tradnl"/>
        </w:rPr>
        <w:t>ni</w:t>
      </w:r>
      <w:r w:rsidRPr="0034723C">
        <w:rPr>
          <w:rFonts w:ascii="Verdana" w:hAnsi="Verdana" w:cs="Arial"/>
          <w:i/>
          <w:noProof/>
          <w:sz w:val="20"/>
          <w:szCs w:val="20"/>
          <w:lang w:val="es-ES_tradnl"/>
        </w:rPr>
        <w:t xml:space="preserve"> dependencia</w:t>
      </w:r>
      <w:r w:rsidRPr="0034723C">
        <w:rPr>
          <w:rFonts w:ascii="Verdana" w:hAnsi="Verdana" w:cs="Arial"/>
          <w:iCs/>
          <w:noProof/>
          <w:sz w:val="20"/>
          <w:szCs w:val="20"/>
          <w:lang w:val="es-ES_tradnl"/>
        </w:rPr>
        <w:t>,</w:t>
      </w:r>
      <w:r w:rsidRPr="0034723C">
        <w:rPr>
          <w:rFonts w:ascii="Verdana" w:hAnsi="Verdana" w:cs="Arial"/>
          <w:noProof/>
          <w:sz w:val="20"/>
          <w:szCs w:val="20"/>
          <w:lang w:val="es-ES_tradnl"/>
        </w:rPr>
        <w:t xml:space="preserve"> que es uno de los elementos constitutivos del vínculo laboral.</w:t>
      </w:r>
    </w:p>
    <w:p w14:paraId="01714B45" w14:textId="77777777" w:rsidR="00567B38" w:rsidRPr="0034723C" w:rsidRDefault="00567B38" w:rsidP="00567B38">
      <w:pPr>
        <w:spacing w:after="0" w:line="240" w:lineRule="auto"/>
        <w:jc w:val="both"/>
        <w:rPr>
          <w:rFonts w:ascii="Verdana" w:hAnsi="Verdana" w:cs="Arial"/>
          <w:noProof/>
          <w:sz w:val="20"/>
          <w:szCs w:val="20"/>
          <w:lang w:val="es-ES_tradnl"/>
        </w:rPr>
      </w:pPr>
    </w:p>
    <w:p w14:paraId="72614797" w14:textId="77777777" w:rsidR="00567B38" w:rsidRPr="0034723C" w:rsidRDefault="00567B38" w:rsidP="00567B38">
      <w:pPr>
        <w:spacing w:after="0" w:line="240" w:lineRule="auto"/>
        <w:jc w:val="both"/>
        <w:rPr>
          <w:rFonts w:ascii="Verdana" w:eastAsia="Calibri" w:hAnsi="Verdana" w:cs="Arial"/>
          <w:b/>
          <w:sz w:val="20"/>
          <w:szCs w:val="20"/>
          <w:lang w:val="es-ES_tradnl" w:eastAsia="es-ES_tradnl"/>
        </w:rPr>
      </w:pPr>
      <w:r w:rsidRPr="0034723C">
        <w:rPr>
          <w:rFonts w:ascii="Verdana" w:hAnsi="Verdana" w:cs="Arial"/>
          <w:noProof/>
          <w:sz w:val="20"/>
          <w:szCs w:val="20"/>
          <w:lang w:val="es-ES_tradnl"/>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34723C">
        <w:rPr>
          <w:rFonts w:ascii="Verdana" w:hAnsi="Verdana" w:cs="Arial"/>
          <w:i/>
          <w:noProof/>
          <w:sz w:val="20"/>
          <w:szCs w:val="20"/>
          <w:lang w:val="es-ES_tradnl"/>
        </w:rPr>
        <w:t>no pueden</w:t>
      </w:r>
      <w:r w:rsidRPr="0034723C">
        <w:rPr>
          <w:rFonts w:ascii="Verdana" w:hAnsi="Verdana" w:cs="Arial"/>
          <w:noProof/>
          <w:sz w:val="20"/>
          <w:szCs w:val="20"/>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p>
    <w:p w14:paraId="19046E89" w14:textId="77777777" w:rsidR="00567B38" w:rsidRPr="0034723C" w:rsidRDefault="00567B38" w:rsidP="00567B38">
      <w:pPr>
        <w:spacing w:after="0" w:line="240" w:lineRule="auto"/>
        <w:jc w:val="both"/>
        <w:rPr>
          <w:rFonts w:ascii="Verdana" w:eastAsia="Calibri" w:hAnsi="Verdana" w:cs="Arial"/>
          <w:b/>
          <w:sz w:val="20"/>
          <w:szCs w:val="20"/>
          <w:lang w:val="es-ES_tradnl" w:eastAsia="es-ES_tradnl"/>
        </w:rPr>
      </w:pPr>
    </w:p>
    <w:p w14:paraId="58F131A1" w14:textId="77777777" w:rsidR="00567B38" w:rsidRPr="0034723C" w:rsidRDefault="00567B38" w:rsidP="00567B38">
      <w:pPr>
        <w:spacing w:after="0" w:line="240" w:lineRule="auto"/>
        <w:jc w:val="both"/>
        <w:rPr>
          <w:rFonts w:ascii="Verdana" w:eastAsia="Calibri" w:hAnsi="Verdana" w:cs="Arial"/>
          <w:b/>
          <w:lang w:val="es-ES_tradnl" w:eastAsia="es-ES_tradnl"/>
        </w:rPr>
      </w:pPr>
      <w:r w:rsidRPr="0034723C">
        <w:rPr>
          <w:rFonts w:ascii="Verdana" w:eastAsia="Calibri" w:hAnsi="Verdana" w:cs="Arial"/>
          <w:b/>
          <w:lang w:val="es-ES_tradnl" w:eastAsia="es-ES_tradnl"/>
        </w:rPr>
        <w:t>ESTABILIDAD OCUPACIONAL REFORZADA POR FUERO DE PATERNIDAD – Concepto</w:t>
      </w:r>
    </w:p>
    <w:p w14:paraId="3809CA66" w14:textId="77777777" w:rsidR="00567B38" w:rsidRPr="0034723C" w:rsidRDefault="00567B38" w:rsidP="00567B38">
      <w:pPr>
        <w:spacing w:after="0" w:line="240" w:lineRule="auto"/>
        <w:jc w:val="both"/>
        <w:rPr>
          <w:rFonts w:ascii="Verdana" w:eastAsia="Calibri" w:hAnsi="Verdana" w:cs="Arial"/>
          <w:b/>
          <w:sz w:val="20"/>
          <w:szCs w:val="20"/>
          <w:lang w:val="es-ES_tradnl" w:eastAsia="es-ES_tradnl"/>
        </w:rPr>
      </w:pPr>
    </w:p>
    <w:p w14:paraId="6AA68DE2" w14:textId="77777777" w:rsidR="00567B38" w:rsidRDefault="00567B38" w:rsidP="00567B38">
      <w:pPr>
        <w:spacing w:after="0" w:line="240" w:lineRule="auto"/>
        <w:jc w:val="both"/>
        <w:rPr>
          <w:rFonts w:ascii="Verdana" w:hAnsi="Verdana" w:cs="Arial"/>
          <w:sz w:val="20"/>
          <w:szCs w:val="20"/>
        </w:rPr>
      </w:pPr>
      <w:r w:rsidRPr="0034723C">
        <w:rPr>
          <w:rFonts w:ascii="Verdana" w:hAnsi="Verdana" w:cs="Arial"/>
          <w:sz w:val="20"/>
          <w:szCs w:val="20"/>
        </w:rPr>
        <w:t xml:space="preserve">Según se deprende de los textos transcritos, se prohíbe el despido unilateral y sin justa causa de un trabajador cuya cónyuge, pareja o compañera permanente cumpla los siguientes requisitos: i) encontrarse en estado de embarazo o dentro de las dieciocho (18) semanas posteriores al parto y; ii) según el texto original de la norma, no tener una relación laboral formal vigente al momento del despido del trabajador. Para poder despedir a un trabajador cuya cónyuge, pareja o compañera permanente se encuentre en estado de embarazo y no tenga un empleo formal, se necesita autorización del </w:t>
      </w:r>
      <w:r w:rsidRPr="0034723C">
        <w:rPr>
          <w:rFonts w:ascii="Verdana" w:hAnsi="Verdana" w:cs="Arial"/>
          <w:sz w:val="20"/>
          <w:szCs w:val="20"/>
        </w:rPr>
        <w:lastRenderedPageBreak/>
        <w:t xml:space="preserve">Ministerio del Trabajo </w:t>
      </w:r>
      <w:r w:rsidRPr="0034723C">
        <w:rPr>
          <w:rFonts w:ascii="Verdana" w:hAnsi="Verdana" w:cs="Times New Roman"/>
          <w:color w:val="0D0D0D" w:themeColor="text1" w:themeTint="F2"/>
          <w:sz w:val="20"/>
          <w:szCs w:val="20"/>
        </w:rPr>
        <w:t>o del alcalde municipal, en los lugares donde no existiere aquel funcionario,</w:t>
      </w:r>
      <w:r w:rsidRPr="0034723C">
        <w:rPr>
          <w:rFonts w:ascii="Verdana" w:hAnsi="Verdana" w:cs="Arial"/>
          <w:sz w:val="20"/>
          <w:szCs w:val="20"/>
        </w:rPr>
        <w:t xml:space="preserve"> que avale una justa causa de despido.</w:t>
      </w:r>
    </w:p>
    <w:p w14:paraId="129E0759" w14:textId="77777777" w:rsidR="00567B38" w:rsidRPr="0034723C" w:rsidRDefault="00567B38" w:rsidP="00567B38">
      <w:pPr>
        <w:spacing w:after="0" w:line="240" w:lineRule="auto"/>
        <w:jc w:val="both"/>
        <w:rPr>
          <w:rFonts w:ascii="Verdana" w:hAnsi="Verdana" w:cs="Arial"/>
          <w:sz w:val="20"/>
          <w:szCs w:val="20"/>
        </w:rPr>
      </w:pPr>
    </w:p>
    <w:p w14:paraId="538C988E" w14:textId="77777777" w:rsidR="00567B38" w:rsidRPr="0034723C" w:rsidRDefault="00567B38" w:rsidP="00567B38">
      <w:pPr>
        <w:spacing w:after="0" w:line="240" w:lineRule="auto"/>
        <w:jc w:val="both"/>
        <w:rPr>
          <w:rFonts w:ascii="Verdana" w:hAnsi="Verdana" w:cs="Arial"/>
          <w:sz w:val="20"/>
          <w:szCs w:val="20"/>
        </w:rPr>
      </w:pPr>
      <w:r w:rsidRPr="0034723C">
        <w:rPr>
          <w:rFonts w:ascii="Verdana" w:hAnsi="Verdana" w:cs="Arial"/>
          <w:sz w:val="20"/>
          <w:szCs w:val="20"/>
        </w:rPr>
        <w:t xml:space="preserve">La estabilidad laboral reforzada se activa si el trabajador cumple los siguientes requisitos: i) Notificar, de forma verbal o escrita, al empleador del estado de embarazo de la cónyuge, pareja o compañera permanente; ii) hacer una declaración al empleador, bajo la gravedad de juramento, indicando que su cónyuge, pareja o compañera permanente carece de un empleo – circunstancia que fue declarada inexequible por la Corte Constitucional, como se pasara a exponer más adelante – y; iii) adjuntar prueba que acredite el estado de embarazo de la cónyuge, pareja o compañera permanente. </w:t>
      </w:r>
    </w:p>
    <w:p w14:paraId="53C55467" w14:textId="77777777" w:rsidR="00567B38" w:rsidRPr="0034723C" w:rsidRDefault="00567B38" w:rsidP="00567B38">
      <w:pPr>
        <w:spacing w:after="0" w:line="240" w:lineRule="auto"/>
        <w:jc w:val="both"/>
        <w:rPr>
          <w:rFonts w:ascii="Verdana" w:eastAsia="Calibri" w:hAnsi="Verdana" w:cs="Arial"/>
          <w:b/>
          <w:sz w:val="20"/>
          <w:szCs w:val="20"/>
          <w:lang w:val="es-ES_tradnl" w:eastAsia="es-ES_tradnl"/>
        </w:rPr>
      </w:pPr>
    </w:p>
    <w:p w14:paraId="5443E4EF" w14:textId="77777777" w:rsidR="00567B38" w:rsidRPr="0034723C" w:rsidRDefault="00567B38" w:rsidP="00567B38">
      <w:pPr>
        <w:spacing w:after="0" w:line="240" w:lineRule="auto"/>
        <w:jc w:val="both"/>
        <w:rPr>
          <w:rFonts w:ascii="Verdana" w:eastAsia="Calibri" w:hAnsi="Verdana" w:cs="Arial"/>
          <w:b/>
          <w:lang w:val="es-ES_tradnl" w:eastAsia="es-ES_tradnl"/>
        </w:rPr>
      </w:pPr>
      <w:r w:rsidRPr="0034723C">
        <w:rPr>
          <w:rFonts w:ascii="Verdana" w:eastAsia="Calibri" w:hAnsi="Verdana" w:cs="Arial"/>
          <w:b/>
          <w:lang w:val="es-ES_tradnl" w:eastAsia="es-ES_tradnl"/>
        </w:rPr>
        <w:t>ESTABILIDAD OCUPACIONAL REFORZADA POR FUERO DE PATERNIDAD – Aplicación contratos de prestación de servicios</w:t>
      </w:r>
    </w:p>
    <w:p w14:paraId="4BB285C8" w14:textId="77777777" w:rsidR="00567B38" w:rsidRDefault="00567B38" w:rsidP="00567B38">
      <w:pPr>
        <w:spacing w:after="0" w:line="240" w:lineRule="auto"/>
        <w:jc w:val="both"/>
        <w:rPr>
          <w:rFonts w:ascii="Verdana" w:eastAsia="Calibri" w:hAnsi="Verdana" w:cs="Arial"/>
          <w:bCs/>
          <w:color w:val="000000"/>
          <w:sz w:val="20"/>
          <w:szCs w:val="20"/>
          <w:lang w:val="es-ES_tradnl"/>
        </w:rPr>
      </w:pPr>
    </w:p>
    <w:p w14:paraId="1AC32525" w14:textId="77777777" w:rsidR="00567B38" w:rsidRPr="0034723C" w:rsidRDefault="00567B38" w:rsidP="00567B38">
      <w:pPr>
        <w:spacing w:after="0" w:line="240" w:lineRule="auto"/>
        <w:jc w:val="both"/>
        <w:rPr>
          <w:rFonts w:ascii="Verdana" w:hAnsi="Verdana" w:cs="Arial"/>
          <w:sz w:val="20"/>
          <w:szCs w:val="20"/>
          <w:shd w:val="clear" w:color="auto" w:fill="FFFFFF"/>
        </w:rPr>
      </w:pPr>
      <w:r>
        <w:rPr>
          <w:rFonts w:ascii="Verdana" w:eastAsia="Calibri" w:hAnsi="Verdana" w:cs="Arial"/>
          <w:bCs/>
          <w:color w:val="000000"/>
          <w:sz w:val="20"/>
          <w:szCs w:val="20"/>
          <w:lang w:val="es-ES_tradnl"/>
        </w:rPr>
        <w:t xml:space="preserve">[…] </w:t>
      </w:r>
      <w:r w:rsidRPr="0034723C">
        <w:rPr>
          <w:rFonts w:ascii="Verdana" w:eastAsia="Calibri" w:hAnsi="Verdana" w:cs="Arial"/>
          <w:bCs/>
          <w:color w:val="000000"/>
          <w:sz w:val="20"/>
          <w:szCs w:val="20"/>
          <w:lang w:val="es-ES_tradnl"/>
        </w:rPr>
        <w:t xml:space="preserve">puede afirmarse que lo previsto en la Ley 2141 de 2021 no se aplica a las relaciones contractuales de las Entidades Estatales que </w:t>
      </w:r>
      <w:r w:rsidRPr="0034723C">
        <w:rPr>
          <w:rFonts w:ascii="Verdana" w:eastAsia="Calibri" w:hAnsi="Verdana" w:cs="Arial"/>
          <w:bCs/>
          <w:i/>
          <w:iCs/>
          <w:color w:val="000000"/>
          <w:sz w:val="20"/>
          <w:szCs w:val="20"/>
          <w:lang w:val="es-ES_tradnl"/>
        </w:rPr>
        <w:t>no</w:t>
      </w:r>
      <w:r w:rsidRPr="0034723C">
        <w:rPr>
          <w:rFonts w:ascii="Verdana" w:eastAsia="Calibri" w:hAnsi="Verdana" w:cs="Arial"/>
          <w:bCs/>
          <w:color w:val="000000"/>
          <w:sz w:val="20"/>
          <w:szCs w:val="2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34723C" w:rsidDel="00C72792">
        <w:rPr>
          <w:rFonts w:ascii="Verdana" w:hAnsi="Verdana" w:cs="Arial"/>
          <w:sz w:val="20"/>
          <w:szCs w:val="20"/>
          <w:shd w:val="clear" w:color="auto" w:fill="FFFFFF"/>
        </w:rPr>
        <w:t xml:space="preserve"> </w:t>
      </w:r>
    </w:p>
    <w:p w14:paraId="4B74CDF7" w14:textId="77777777" w:rsidR="00567B38" w:rsidRDefault="00567B38" w:rsidP="00567B38">
      <w:pPr>
        <w:spacing w:after="0" w:line="240" w:lineRule="auto"/>
        <w:jc w:val="both"/>
        <w:rPr>
          <w:rFonts w:ascii="Verdana" w:hAnsi="Verdana" w:cs="Arial"/>
          <w:sz w:val="20"/>
          <w:szCs w:val="20"/>
          <w:shd w:val="clear" w:color="auto" w:fill="FFFFFF"/>
        </w:rPr>
      </w:pPr>
    </w:p>
    <w:p w14:paraId="5B0E482F" w14:textId="77777777" w:rsidR="00567B38" w:rsidRPr="0034723C" w:rsidRDefault="00567B38" w:rsidP="00567B38">
      <w:pPr>
        <w:spacing w:after="0" w:line="240" w:lineRule="auto"/>
        <w:jc w:val="both"/>
        <w:rPr>
          <w:rFonts w:ascii="Verdana" w:eastAsia="Calibri" w:hAnsi="Verdana" w:cs="Arial"/>
          <w:bCs/>
          <w:color w:val="000000"/>
          <w:sz w:val="20"/>
          <w:szCs w:val="20"/>
          <w:lang w:val="es-ES_tradnl"/>
        </w:rPr>
      </w:pPr>
      <w:r w:rsidRPr="0034723C">
        <w:rPr>
          <w:rFonts w:ascii="Verdana" w:hAnsi="Verdana" w:cs="Arial"/>
          <w:sz w:val="20"/>
          <w:szCs w:val="20"/>
          <w:shd w:val="clear" w:color="auto" w:fill="FFFFFF"/>
        </w:rPr>
        <w:t>En este punto, es necesario precisar que, a la fecha no existe un precedente judicial o los fundamentos jurídicos mediante los cuales se han resuelto situaciones análogas, por lo que para esta Agencia no es posible realizar una interpretación amplia de la Ley 2141 de 2021 para el caso específico de los contratos de prestación de servicios. Al respecto, e</w:t>
      </w:r>
      <w:r w:rsidRPr="0034723C">
        <w:rPr>
          <w:rFonts w:ascii="Verdana" w:hAnsi="Verdana" w:cs="Times New Roman"/>
          <w:color w:val="000000" w:themeColor="text1"/>
          <w:sz w:val="20"/>
          <w:szCs w:val="20"/>
          <w:lang w:eastAsia="es-ES_tradnl"/>
        </w:rPr>
        <w:t>s importante precisar que, el derecho a la estabilidad laboral reforzada por fuero de paternidad, pese a que fue reconocido mediante la Sentencia C-005 de 2017 y regulado por el legislador en el año 2021, no ha tenido mayor desarrollo jurisprudencial en materia de acción de tutela. Esto significa que no existe una jurisprudencia consolidada que haya definido el contenido y alcance es este derecho, por ejemplo, en el marco de contratos de prestación de servicios.</w:t>
      </w:r>
    </w:p>
    <w:p w14:paraId="4DF4098A" w14:textId="77777777" w:rsidR="00567B38" w:rsidRPr="0034723C" w:rsidRDefault="00567B38" w:rsidP="00567B38">
      <w:pPr>
        <w:tabs>
          <w:tab w:val="left" w:pos="426"/>
        </w:tabs>
        <w:spacing w:after="0" w:line="240" w:lineRule="auto"/>
        <w:jc w:val="both"/>
        <w:rPr>
          <w:b/>
          <w:sz w:val="20"/>
          <w:szCs w:val="20"/>
          <w:lang w:val="es-ES_tradnl"/>
        </w:rPr>
      </w:pPr>
    </w:p>
    <w:p w14:paraId="1AA037FB" w14:textId="77777777" w:rsidR="00567B38" w:rsidRDefault="00567B38">
      <w:pPr>
        <w:rPr>
          <w:rFonts w:ascii="Verdana" w:hAnsi="Verdana"/>
        </w:rPr>
      </w:pPr>
      <w:r>
        <w:rPr>
          <w:rFonts w:ascii="Verdana" w:hAnsi="Verdana"/>
        </w:rPr>
        <w:br w:type="page"/>
      </w:r>
    </w:p>
    <w:p w14:paraId="24EA8394" w14:textId="6638B184" w:rsidR="00B75D98" w:rsidRDefault="00B75D98" w:rsidP="00B75D98">
      <w:pPr>
        <w:spacing w:after="0" w:line="240" w:lineRule="auto"/>
        <w:rPr>
          <w:rFonts w:ascii="Verdana" w:eastAsia="Geomanist Light" w:hAnsi="Verdana" w:cs="Arial"/>
          <w:lang w:val="es-MX"/>
        </w:rPr>
      </w:pPr>
      <w:r w:rsidRPr="00B75D98">
        <w:rPr>
          <w:rFonts w:ascii="Verdana" w:eastAsia="Geomanist Light" w:hAnsi="Verdana" w:cs="Arial"/>
          <w:lang w:val="es-MX"/>
        </w:rPr>
        <w:lastRenderedPageBreak/>
        <w:t>Bogotá D.C., </w:t>
      </w:r>
      <w:r w:rsidR="00C02BAA">
        <w:rPr>
          <w:rFonts w:ascii="Verdana" w:eastAsia="Geomanist Light" w:hAnsi="Verdana" w:cs="Arial"/>
          <w:lang w:val="es-MX"/>
        </w:rPr>
        <w:t>31 de diciembre de 2025</w:t>
      </w:r>
    </w:p>
    <w:p w14:paraId="7CEA5315" w14:textId="77777777" w:rsidR="00C02BAA" w:rsidRDefault="00C02BAA" w:rsidP="00B75D98">
      <w:pPr>
        <w:spacing w:after="0" w:line="240" w:lineRule="auto"/>
        <w:rPr>
          <w:rFonts w:ascii="Verdana" w:eastAsia="Geomanist Light" w:hAnsi="Verdana" w:cs="Arial"/>
          <w:lang w:val="es-MX"/>
        </w:rPr>
      </w:pPr>
    </w:p>
    <w:p w14:paraId="568DD055" w14:textId="780286CD" w:rsidR="00C02BAA" w:rsidRPr="00B75D98" w:rsidRDefault="00C02BAA" w:rsidP="00C02BAA">
      <w:pPr>
        <w:spacing w:after="0" w:line="240" w:lineRule="auto"/>
        <w:jc w:val="right"/>
        <w:rPr>
          <w:rFonts w:ascii="Verdana" w:eastAsia="Geomanist Light" w:hAnsi="Verdana" w:cs="Arial"/>
          <w:lang w:val="es-MX"/>
        </w:rPr>
      </w:pPr>
      <w:r w:rsidRPr="00C02BAA">
        <w:rPr>
          <w:rFonts w:ascii="Verdana" w:eastAsia="Geomanist Light" w:hAnsi="Verdana" w:cs="Arial"/>
          <w:lang w:val="es-MX"/>
        </w:rPr>
        <w:drawing>
          <wp:inline distT="0" distB="0" distL="0" distR="0" wp14:anchorId="13FA6E19" wp14:editId="7067743E">
            <wp:extent cx="3429479" cy="1047896"/>
            <wp:effectExtent l="0" t="0" r="0" b="0"/>
            <wp:docPr id="97744217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442173" name="Imagen 1" descr="Texto&#10;&#10;El contenido generado por IA puede ser incorrecto."/>
                    <pic:cNvPicPr/>
                  </pic:nvPicPr>
                  <pic:blipFill>
                    <a:blip r:embed="rId10"/>
                    <a:stretch>
                      <a:fillRect/>
                    </a:stretch>
                  </pic:blipFill>
                  <pic:spPr>
                    <a:xfrm>
                      <a:off x="0" y="0"/>
                      <a:ext cx="3429479" cy="1047896"/>
                    </a:xfrm>
                    <a:prstGeom prst="rect">
                      <a:avLst/>
                    </a:prstGeom>
                  </pic:spPr>
                </pic:pic>
              </a:graphicData>
            </a:graphic>
          </wp:inline>
        </w:drawing>
      </w:r>
    </w:p>
    <w:p w14:paraId="77043D3D" w14:textId="320FD852" w:rsidR="00E245AB" w:rsidRPr="00BF4507" w:rsidRDefault="00891928" w:rsidP="00E245AB">
      <w:pPr>
        <w:spacing w:after="0"/>
        <w:rPr>
          <w:rFonts w:ascii="Verdana" w:hAnsi="Verdana"/>
        </w:rPr>
      </w:pPr>
      <w:r w:rsidRPr="00BF4507">
        <w:rPr>
          <w:rFonts w:ascii="Verdana" w:hAnsi="Verdana"/>
        </w:rPr>
        <w:tab/>
      </w:r>
    </w:p>
    <w:p w14:paraId="78AE366E" w14:textId="2D91AA04" w:rsidR="00795CDC" w:rsidRPr="00B75D98" w:rsidRDefault="00795CDC" w:rsidP="00633328">
      <w:pPr>
        <w:spacing w:after="0" w:line="240" w:lineRule="auto"/>
        <w:jc w:val="right"/>
        <w:rPr>
          <w:rFonts w:ascii="Verdana" w:eastAsia="Calibri" w:hAnsi="Verdana" w:cs="Arial"/>
          <w:lang w:eastAsia="es-ES"/>
        </w:rPr>
      </w:pPr>
    </w:p>
    <w:p w14:paraId="4E6B221B" w14:textId="77777777" w:rsidR="00795CDC" w:rsidRPr="00BF4507" w:rsidRDefault="00795CDC" w:rsidP="00795CDC">
      <w:pPr>
        <w:spacing w:after="0" w:line="240" w:lineRule="auto"/>
        <w:jc w:val="both"/>
        <w:rPr>
          <w:rFonts w:ascii="Verdana" w:eastAsia="Calibri" w:hAnsi="Verdana" w:cs="Arial"/>
          <w:lang w:val="es-ES" w:eastAsia="es-ES"/>
        </w:rPr>
      </w:pPr>
      <w:r w:rsidRPr="00BF4507">
        <w:rPr>
          <w:rFonts w:ascii="Verdana" w:eastAsia="Calibri" w:hAnsi="Verdana" w:cs="Arial"/>
          <w:lang w:val="es-ES" w:eastAsia="es-ES"/>
        </w:rPr>
        <w:t>Señor</w:t>
      </w:r>
    </w:p>
    <w:p w14:paraId="7F08414B" w14:textId="6CC00158" w:rsidR="00795CDC" w:rsidRPr="00BF4507" w:rsidRDefault="00475496" w:rsidP="00795CDC">
      <w:pPr>
        <w:spacing w:after="0" w:line="240" w:lineRule="auto"/>
        <w:rPr>
          <w:rFonts w:ascii="Verdana" w:eastAsia="Calibri" w:hAnsi="Verdana" w:cs="Arial"/>
          <w:b/>
          <w:lang w:eastAsia="es-ES_tradnl"/>
        </w:rPr>
      </w:pPr>
      <w:r>
        <w:rPr>
          <w:rFonts w:ascii="Verdana" w:eastAsia="Calibri" w:hAnsi="Verdana" w:cs="Arial"/>
          <w:b/>
          <w:lang w:eastAsia="es-ES_tradnl"/>
        </w:rPr>
        <w:t>Darío José Murgas Ospino</w:t>
      </w:r>
    </w:p>
    <w:p w14:paraId="7ABDD221" w14:textId="77777777" w:rsidR="00795CDC" w:rsidRPr="00BF4507" w:rsidRDefault="00795CDC" w:rsidP="00795CDC">
      <w:pPr>
        <w:spacing w:after="0" w:line="240" w:lineRule="auto"/>
        <w:rPr>
          <w:rFonts w:ascii="Verdana" w:eastAsia="Calibri" w:hAnsi="Verdana" w:cs="Arial"/>
          <w:lang w:val="es-ES_tradnl" w:eastAsia="es-ES_tradnl"/>
        </w:rPr>
      </w:pPr>
      <w:r w:rsidRPr="00BF4507">
        <w:rPr>
          <w:rFonts w:ascii="Verdana" w:eastAsia="Calibri" w:hAnsi="Verdana" w:cs="Arial"/>
          <w:lang w:val="es-ES_tradnl" w:eastAsia="es-ES_tradnl"/>
        </w:rPr>
        <w:t>Ciudad</w:t>
      </w:r>
    </w:p>
    <w:p w14:paraId="5F332DCE" w14:textId="77777777" w:rsidR="00795CDC" w:rsidRPr="00BF4507" w:rsidRDefault="00795CDC" w:rsidP="00795CDC">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95CDC" w:rsidRPr="00BF4507" w14:paraId="37AAF30F" w14:textId="77777777" w:rsidTr="00677F03">
        <w:trPr>
          <w:trHeight w:val="327"/>
        </w:trPr>
        <w:tc>
          <w:tcPr>
            <w:tcW w:w="2689" w:type="dxa"/>
          </w:tcPr>
          <w:p w14:paraId="49710E61" w14:textId="77777777" w:rsidR="00795CDC" w:rsidRPr="00BF4507" w:rsidRDefault="00795CDC" w:rsidP="00677F03">
            <w:pPr>
              <w:jc w:val="both"/>
              <w:rPr>
                <w:rFonts w:ascii="Verdana" w:eastAsia="Calibri" w:hAnsi="Verdana" w:cs="Arial"/>
                <w:b/>
                <w:bCs/>
                <w:lang w:val="es-ES_tradnl" w:eastAsia="es-ES_tradnl"/>
              </w:rPr>
            </w:pPr>
          </w:p>
        </w:tc>
        <w:tc>
          <w:tcPr>
            <w:tcW w:w="6100" w:type="dxa"/>
          </w:tcPr>
          <w:p w14:paraId="11417137" w14:textId="45CCA12A" w:rsidR="00795CDC" w:rsidRPr="00BF4507" w:rsidRDefault="00795CDC" w:rsidP="00677F03">
            <w:pPr>
              <w:jc w:val="both"/>
              <w:rPr>
                <w:rFonts w:ascii="Verdana" w:eastAsia="Calibri" w:hAnsi="Verdana" w:cs="Arial"/>
                <w:b/>
                <w:bCs/>
                <w:lang w:val="es-ES" w:eastAsia="es-ES"/>
              </w:rPr>
            </w:pPr>
            <w:r w:rsidRPr="00BF4507">
              <w:rPr>
                <w:rFonts w:ascii="Verdana" w:eastAsia="Calibri" w:hAnsi="Verdana" w:cs="Arial"/>
                <w:b/>
                <w:bCs/>
                <w:lang w:val="es-ES" w:eastAsia="es-ES"/>
              </w:rPr>
              <w:t>Concepto C-</w:t>
            </w:r>
            <w:r w:rsidR="00B75D98">
              <w:rPr>
                <w:rFonts w:ascii="Verdana" w:eastAsia="Calibri" w:hAnsi="Verdana" w:cs="Arial"/>
                <w:b/>
                <w:bCs/>
                <w:lang w:val="es-ES" w:eastAsia="es-ES"/>
              </w:rPr>
              <w:t>1808</w:t>
            </w:r>
            <w:r w:rsidRPr="00BF4507">
              <w:rPr>
                <w:rFonts w:ascii="Verdana" w:eastAsia="Calibri" w:hAnsi="Verdana" w:cs="Arial"/>
                <w:b/>
                <w:bCs/>
                <w:lang w:val="es-ES" w:eastAsia="es-ES"/>
              </w:rPr>
              <w:t xml:space="preserve"> de 2025</w:t>
            </w:r>
          </w:p>
          <w:p w14:paraId="16A0F385" w14:textId="77777777" w:rsidR="00795CDC" w:rsidRPr="00BF4507" w:rsidRDefault="00795CDC" w:rsidP="00677F03">
            <w:pPr>
              <w:jc w:val="both"/>
              <w:rPr>
                <w:rFonts w:ascii="Verdana" w:eastAsia="Calibri" w:hAnsi="Verdana" w:cs="Arial"/>
                <w:b/>
                <w:bCs/>
                <w:lang w:val="es-ES" w:eastAsia="es-ES"/>
              </w:rPr>
            </w:pPr>
          </w:p>
        </w:tc>
      </w:tr>
      <w:tr w:rsidR="00795CDC" w:rsidRPr="00BF4507" w14:paraId="69794AFA" w14:textId="77777777" w:rsidTr="00677F03">
        <w:trPr>
          <w:trHeight w:val="884"/>
        </w:trPr>
        <w:tc>
          <w:tcPr>
            <w:tcW w:w="2689" w:type="dxa"/>
          </w:tcPr>
          <w:p w14:paraId="343B53B4" w14:textId="77777777" w:rsidR="00795CDC" w:rsidRPr="00BF4507" w:rsidRDefault="00795CDC" w:rsidP="00677F03">
            <w:pPr>
              <w:jc w:val="both"/>
              <w:rPr>
                <w:rFonts w:ascii="Verdana" w:eastAsia="Calibri" w:hAnsi="Verdana" w:cs="Arial"/>
                <w:lang w:val="es-ES_tradnl" w:eastAsia="es-ES_tradnl"/>
              </w:rPr>
            </w:pPr>
            <w:r w:rsidRPr="00BF4507">
              <w:rPr>
                <w:rFonts w:ascii="Verdana" w:eastAsia="Calibri" w:hAnsi="Verdana" w:cs="Arial"/>
                <w:b/>
                <w:lang w:val="es-ES_tradnl" w:eastAsia="es-ES_tradnl"/>
              </w:rPr>
              <w:t>Temas:</w:t>
            </w:r>
            <w:r w:rsidRPr="00BF4507">
              <w:rPr>
                <w:rFonts w:ascii="Verdana" w:eastAsia="Calibri" w:hAnsi="Verdana" w:cs="Arial"/>
                <w:lang w:val="es-ES_tradnl" w:eastAsia="es-ES_tradnl"/>
              </w:rPr>
              <w:t xml:space="preserve">                   </w:t>
            </w:r>
          </w:p>
        </w:tc>
        <w:tc>
          <w:tcPr>
            <w:tcW w:w="6100" w:type="dxa"/>
          </w:tcPr>
          <w:p w14:paraId="6306DE48" w14:textId="43B43D5C" w:rsidR="00795CDC" w:rsidRPr="00BF4507" w:rsidRDefault="00795CDC" w:rsidP="00677F03">
            <w:pPr>
              <w:jc w:val="both"/>
              <w:rPr>
                <w:rFonts w:ascii="Verdana" w:eastAsia="Calibri" w:hAnsi="Verdana" w:cs="Arial"/>
                <w:bCs/>
                <w:lang w:val="es-ES_tradnl" w:eastAsia="es-ES_tradnl"/>
              </w:rPr>
            </w:pPr>
            <w:r w:rsidRPr="00ED65F1">
              <w:rPr>
                <w:rFonts w:ascii="Verdana" w:eastAsia="Calibri" w:hAnsi="Verdana" w:cs="Arial"/>
                <w:bCs/>
                <w:lang w:val="es-ES_tradnl" w:eastAsia="es-ES_tradnl"/>
              </w:rPr>
              <w:t>CONTRATOS DE PRESTACIÓN DE SERVICIOS – Generalidades</w:t>
            </w:r>
            <w:r w:rsidR="000D0EA3" w:rsidRPr="00ED65F1">
              <w:rPr>
                <w:rFonts w:ascii="Verdana" w:eastAsia="Calibri" w:hAnsi="Verdana" w:cs="Arial"/>
                <w:bCs/>
                <w:lang w:val="es-ES_tradnl" w:eastAsia="es-ES_tradnl"/>
              </w:rPr>
              <w:t xml:space="preserve"> </w:t>
            </w:r>
            <w:r w:rsidRPr="00ED65F1">
              <w:rPr>
                <w:rFonts w:ascii="Verdana" w:eastAsia="Calibri" w:hAnsi="Verdana" w:cs="Arial"/>
                <w:bCs/>
                <w:lang w:val="es-ES_tradnl" w:eastAsia="es-ES_tradnl"/>
              </w:rPr>
              <w:t>/ ESTABILIDAD OCUPACIONAL REFORZADA POR FUERO DE PATERNIDAD – Concepto / ESTABILIDAD OCUPACIONAL REFORZADA POR FUERO DE PATERNIDAD – Aplicación contratos de prestación de servicios</w:t>
            </w:r>
          </w:p>
          <w:p w14:paraId="198A4B59" w14:textId="77777777" w:rsidR="00795CDC" w:rsidRPr="00BF4507" w:rsidRDefault="00795CDC" w:rsidP="00677F03">
            <w:pPr>
              <w:jc w:val="both"/>
              <w:rPr>
                <w:rFonts w:ascii="Verdana" w:eastAsia="Calibri" w:hAnsi="Verdana" w:cs="Arial"/>
                <w:lang w:val="es-ES" w:eastAsia="es-ES"/>
              </w:rPr>
            </w:pPr>
          </w:p>
        </w:tc>
      </w:tr>
      <w:tr w:rsidR="00795CDC" w:rsidRPr="00BF4507" w14:paraId="3CAF75AC" w14:textId="77777777" w:rsidTr="00677F03">
        <w:tc>
          <w:tcPr>
            <w:tcW w:w="2689" w:type="dxa"/>
          </w:tcPr>
          <w:p w14:paraId="6D3E5B1E" w14:textId="77777777" w:rsidR="00795CDC" w:rsidRPr="00BF4507" w:rsidRDefault="00795CDC" w:rsidP="00677F03">
            <w:pPr>
              <w:jc w:val="both"/>
              <w:rPr>
                <w:rFonts w:ascii="Verdana" w:eastAsia="Calibri" w:hAnsi="Verdana" w:cs="Arial"/>
                <w:b/>
                <w:lang w:val="es-ES_tradnl" w:eastAsia="es-ES_tradnl"/>
              </w:rPr>
            </w:pPr>
            <w:r w:rsidRPr="00BF4507">
              <w:rPr>
                <w:rFonts w:ascii="Verdana" w:eastAsia="Calibri" w:hAnsi="Verdana" w:cs="Arial"/>
                <w:b/>
                <w:lang w:val="es-ES_tradnl" w:eastAsia="es-ES_tradnl"/>
              </w:rPr>
              <w:t>Radicación:</w:t>
            </w:r>
            <w:r w:rsidRPr="00BF4507">
              <w:rPr>
                <w:rFonts w:ascii="Verdana" w:eastAsia="Calibri" w:hAnsi="Verdana" w:cs="Arial"/>
                <w:lang w:val="es-ES_tradnl" w:eastAsia="es-ES_tradnl"/>
              </w:rPr>
              <w:t xml:space="preserve">               </w:t>
            </w:r>
          </w:p>
        </w:tc>
        <w:tc>
          <w:tcPr>
            <w:tcW w:w="6100" w:type="dxa"/>
          </w:tcPr>
          <w:p w14:paraId="0C3A893C" w14:textId="7DAE6F70" w:rsidR="00795CDC" w:rsidRPr="00BF4507" w:rsidRDefault="00795CDC" w:rsidP="00677F03">
            <w:pPr>
              <w:jc w:val="both"/>
              <w:rPr>
                <w:rFonts w:ascii="Verdana" w:hAnsi="Verdana" w:cs="Calibri"/>
              </w:rPr>
            </w:pPr>
            <w:r w:rsidRPr="00BF4507">
              <w:rPr>
                <w:rFonts w:ascii="Verdana" w:eastAsia="Calibri" w:hAnsi="Verdana" w:cs="Arial"/>
                <w:lang w:val="es-ES_tradnl" w:eastAsia="es-ES_tradnl"/>
              </w:rPr>
              <w:t xml:space="preserve">Respuesta a consulta con radicado No. </w:t>
            </w:r>
            <w:r w:rsidR="000D0EA3" w:rsidRPr="000D0EA3">
              <w:rPr>
                <w:rFonts w:ascii="Verdana" w:eastAsia="Calibri" w:hAnsi="Verdana" w:cs="Arial"/>
                <w:lang w:val="es-ES_tradnl" w:eastAsia="es-ES_tradnl"/>
              </w:rPr>
              <w:t>1_2025_12_11_013880</w:t>
            </w:r>
          </w:p>
        </w:tc>
      </w:tr>
    </w:tbl>
    <w:p w14:paraId="32422E23" w14:textId="77777777" w:rsidR="00795CDC" w:rsidRPr="00BF4507" w:rsidRDefault="00795CDC" w:rsidP="00795CDC">
      <w:pPr>
        <w:spacing w:after="0" w:line="240" w:lineRule="auto"/>
        <w:jc w:val="both"/>
        <w:rPr>
          <w:rFonts w:ascii="Verdana" w:eastAsia="Calibri" w:hAnsi="Verdana" w:cs="Arial"/>
          <w:lang w:val="es-ES_tradnl" w:eastAsia="es-ES_tradnl"/>
        </w:rPr>
      </w:pPr>
    </w:p>
    <w:p w14:paraId="2FF0C8B6" w14:textId="77777777" w:rsidR="00795CDC" w:rsidRPr="00BF4507" w:rsidRDefault="00795CDC" w:rsidP="00795CDC">
      <w:pPr>
        <w:spacing w:after="0" w:line="240" w:lineRule="auto"/>
        <w:jc w:val="both"/>
        <w:rPr>
          <w:rFonts w:ascii="Verdana" w:eastAsia="Calibri" w:hAnsi="Verdana" w:cs="Arial"/>
          <w:lang w:val="es-ES_tradnl" w:eastAsia="es-ES_tradnl"/>
        </w:rPr>
      </w:pPr>
    </w:p>
    <w:p w14:paraId="4350B958" w14:textId="7EAF7C34" w:rsidR="00795CDC" w:rsidRPr="00BF4507" w:rsidRDefault="00795CDC" w:rsidP="00795CDC">
      <w:pPr>
        <w:spacing w:after="0" w:line="276" w:lineRule="auto"/>
        <w:jc w:val="both"/>
        <w:rPr>
          <w:rFonts w:ascii="Verdana" w:eastAsia="Calibri" w:hAnsi="Verdana" w:cs="Arial"/>
          <w:lang w:val="es-ES" w:eastAsia="es-ES"/>
        </w:rPr>
      </w:pPr>
      <w:r w:rsidRPr="00BF4507">
        <w:rPr>
          <w:rFonts w:ascii="Verdana" w:eastAsia="Calibri" w:hAnsi="Verdana" w:cs="Arial"/>
          <w:lang w:val="es-ES" w:eastAsia="es-ES"/>
        </w:rPr>
        <w:t xml:space="preserve">Estimado señor </w:t>
      </w:r>
      <w:r w:rsidR="00927235">
        <w:rPr>
          <w:rFonts w:ascii="Verdana" w:eastAsia="Calibri" w:hAnsi="Verdana" w:cs="Arial"/>
          <w:lang w:val="es-ES" w:eastAsia="es-ES"/>
        </w:rPr>
        <w:t>Murgas</w:t>
      </w:r>
      <w:r w:rsidRPr="00BF4507">
        <w:rPr>
          <w:rFonts w:ascii="Verdana" w:eastAsia="Calibri" w:hAnsi="Verdana" w:cs="Arial"/>
          <w:lang w:val="es-ES" w:eastAsia="es-ES"/>
        </w:rPr>
        <w:t xml:space="preserve">: </w:t>
      </w:r>
    </w:p>
    <w:p w14:paraId="0AE34CE6" w14:textId="77777777" w:rsidR="00795CDC" w:rsidRPr="00BF4507" w:rsidRDefault="00795CDC" w:rsidP="00795CDC">
      <w:pPr>
        <w:tabs>
          <w:tab w:val="left" w:pos="3768"/>
        </w:tabs>
        <w:spacing w:after="0" w:line="276" w:lineRule="auto"/>
        <w:jc w:val="both"/>
        <w:rPr>
          <w:rFonts w:ascii="Verdana" w:eastAsia="Calibri" w:hAnsi="Verdana" w:cs="Arial"/>
          <w:lang w:val="es-ES" w:eastAsia="es-ES"/>
        </w:rPr>
      </w:pPr>
    </w:p>
    <w:p w14:paraId="4D09C48F" w14:textId="09FE2071" w:rsidR="00795CDC" w:rsidRPr="00BF4507" w:rsidRDefault="00795CDC" w:rsidP="00795CDC">
      <w:pPr>
        <w:spacing w:after="0" w:line="276" w:lineRule="auto"/>
        <w:jc w:val="both"/>
        <w:rPr>
          <w:rFonts w:ascii="Verdana" w:eastAsia="Calibri" w:hAnsi="Verdana" w:cs="Arial"/>
          <w:lang w:val="es-ES" w:eastAsia="es-ES"/>
        </w:rPr>
      </w:pPr>
      <w:r w:rsidRPr="00BF4507">
        <w:rPr>
          <w:rFonts w:ascii="Verdana" w:eastAsia="Calibri" w:hAnsi="Verdana" w:cs="Arial"/>
          <w:lang w:val="es-ES" w:eastAsia="es-ES"/>
        </w:rPr>
        <w:t>En ejercicio de la competencia otorgada por los artículos 3, numeral 5º, y 11, numeral 8º, del Decreto Ley 4170 de 2011,</w:t>
      </w:r>
      <w:r w:rsidRPr="00BF4507">
        <w:rPr>
          <w:rFonts w:ascii="Verdana" w:eastAsia="Arial MT" w:hAnsi="Verdana" w:cs="Arial MT"/>
          <w:lang w:val="es-ES" w:eastAsia="es-ES"/>
        </w:rPr>
        <w:t xml:space="preserve"> </w:t>
      </w:r>
      <w:r w:rsidRPr="00BF4507">
        <w:rPr>
          <w:rFonts w:ascii="Verdana" w:hAnsi="Verdana" w:cs="Arial"/>
        </w:rPr>
        <w:t xml:space="preserve">así como lo establecido en el artículo 4 de la Resolución 1707 de 2018 expedida por esta Entidad, </w:t>
      </w:r>
      <w:r w:rsidRPr="00BF4507">
        <w:rPr>
          <w:rFonts w:ascii="Verdana" w:eastAsia="Calibri" w:hAnsi="Verdana" w:cs="Arial"/>
          <w:lang w:val="es-ES" w:eastAsia="es-ES"/>
        </w:rPr>
        <w:t xml:space="preserve">la Agencia Nacional de Contratación Pública – Colombia Compra Eficiente– responde su solicitud, remitida por el Departamento Administrativo de la Función Pública, el </w:t>
      </w:r>
      <w:r w:rsidR="00A57E12">
        <w:rPr>
          <w:rFonts w:ascii="Verdana" w:eastAsia="Calibri" w:hAnsi="Verdana" w:cs="Arial"/>
          <w:lang w:val="es-ES" w:eastAsia="es-ES"/>
        </w:rPr>
        <w:t>11</w:t>
      </w:r>
      <w:r w:rsidRPr="00BF4507">
        <w:rPr>
          <w:rFonts w:ascii="Verdana" w:eastAsia="Calibri" w:hAnsi="Verdana" w:cs="Arial"/>
          <w:lang w:val="es-ES" w:eastAsia="es-ES"/>
        </w:rPr>
        <w:t xml:space="preserve"> de </w:t>
      </w:r>
      <w:r w:rsidR="00A57E12">
        <w:rPr>
          <w:rFonts w:ascii="Verdana" w:eastAsia="Calibri" w:hAnsi="Verdana" w:cs="Arial"/>
          <w:lang w:val="es-ES" w:eastAsia="es-ES"/>
        </w:rPr>
        <w:t xml:space="preserve">diciembre </w:t>
      </w:r>
      <w:r w:rsidRPr="00BF4507">
        <w:rPr>
          <w:rFonts w:ascii="Verdana" w:eastAsia="Calibri" w:hAnsi="Verdana" w:cs="Arial"/>
          <w:lang w:val="es-ES" w:eastAsia="es-ES"/>
        </w:rPr>
        <w:t>de 2025,</w:t>
      </w:r>
      <w:r w:rsidR="00944E7E">
        <w:rPr>
          <w:rFonts w:ascii="Verdana" w:eastAsia="Calibri" w:hAnsi="Verdana" w:cs="Arial"/>
          <w:lang w:val="es-ES" w:eastAsia="es-ES"/>
        </w:rPr>
        <w:t xml:space="preserve"> mediante radicado No. </w:t>
      </w:r>
      <w:r w:rsidR="00944E7E" w:rsidRPr="00944E7E">
        <w:rPr>
          <w:rFonts w:ascii="Verdana" w:eastAsia="Calibri" w:hAnsi="Verdana" w:cs="Arial"/>
          <w:lang w:val="es-ES" w:eastAsia="es-ES"/>
        </w:rPr>
        <w:t>20252040593581</w:t>
      </w:r>
      <w:r w:rsidR="00944E7E">
        <w:rPr>
          <w:rFonts w:ascii="Verdana" w:eastAsia="Calibri" w:hAnsi="Verdana" w:cs="Arial"/>
          <w:lang w:val="es-ES" w:eastAsia="es-ES"/>
        </w:rPr>
        <w:t>,</w:t>
      </w:r>
      <w:r w:rsidRPr="00BF4507">
        <w:rPr>
          <w:rFonts w:ascii="Verdana" w:eastAsia="Calibri" w:hAnsi="Verdana" w:cs="Arial"/>
          <w:lang w:val="es-ES" w:eastAsia="es-ES"/>
        </w:rPr>
        <w:t xml:space="preserve"> en la cual manifiesta lo siguiente: </w:t>
      </w:r>
    </w:p>
    <w:p w14:paraId="0AC673D9" w14:textId="77777777" w:rsidR="00795CDC" w:rsidRPr="00BF4507" w:rsidRDefault="00795CDC" w:rsidP="00795CD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67BF4C8" w14:textId="2C19635A" w:rsidR="00475496" w:rsidRPr="00475496" w:rsidRDefault="00795CDC" w:rsidP="00475496">
      <w:pPr>
        <w:spacing w:after="0" w:line="240" w:lineRule="auto"/>
        <w:ind w:left="709" w:right="709"/>
        <w:jc w:val="both"/>
        <w:rPr>
          <w:rFonts w:ascii="Verdana" w:eastAsia="Century Gothic" w:hAnsi="Verdana" w:cs="Century Gothic"/>
          <w:sz w:val="20"/>
          <w:szCs w:val="20"/>
        </w:rPr>
      </w:pPr>
      <w:bookmarkStart w:id="1" w:name="_Hlk95313578"/>
      <w:r w:rsidRPr="00BF4507">
        <w:rPr>
          <w:rFonts w:ascii="Verdana" w:eastAsia="Century Gothic" w:hAnsi="Verdana" w:cs="Century Gothic"/>
          <w:sz w:val="20"/>
          <w:szCs w:val="20"/>
          <w:lang w:val="es-ES"/>
        </w:rPr>
        <w:t>“</w:t>
      </w:r>
      <w:r w:rsidR="00475496" w:rsidRPr="00475496">
        <w:rPr>
          <w:rFonts w:ascii="Verdana" w:eastAsia="Century Gothic" w:hAnsi="Verdana" w:cs="Century Gothic"/>
          <w:sz w:val="20"/>
          <w:szCs w:val="20"/>
        </w:rPr>
        <w:t>1. ¿Puede la Ley 2141 de 2021 extenderse a los padres de familia vinculados mediante</w:t>
      </w:r>
      <w:r w:rsidR="00475496">
        <w:rPr>
          <w:rFonts w:ascii="Verdana" w:eastAsia="Century Gothic" w:hAnsi="Verdana" w:cs="Century Gothic"/>
          <w:sz w:val="20"/>
          <w:szCs w:val="20"/>
        </w:rPr>
        <w:t xml:space="preserve"> </w:t>
      </w:r>
      <w:r w:rsidR="00475496" w:rsidRPr="00475496">
        <w:rPr>
          <w:rFonts w:ascii="Verdana" w:eastAsia="Century Gothic" w:hAnsi="Verdana" w:cs="Century Gothic"/>
          <w:sz w:val="20"/>
          <w:szCs w:val="20"/>
        </w:rPr>
        <w:t>contratos de prestación de servicios?</w:t>
      </w:r>
    </w:p>
    <w:p w14:paraId="78244263" w14:textId="0A06E1B2" w:rsidR="00475496" w:rsidRPr="00475496" w:rsidRDefault="00475496" w:rsidP="00475496">
      <w:pPr>
        <w:spacing w:after="0" w:line="240" w:lineRule="auto"/>
        <w:ind w:left="709" w:right="709"/>
        <w:jc w:val="both"/>
        <w:rPr>
          <w:rFonts w:ascii="Verdana" w:eastAsia="Century Gothic" w:hAnsi="Verdana" w:cs="Century Gothic"/>
          <w:sz w:val="20"/>
          <w:szCs w:val="20"/>
        </w:rPr>
      </w:pPr>
      <w:r w:rsidRPr="00475496">
        <w:rPr>
          <w:rFonts w:ascii="Verdana" w:eastAsia="Century Gothic" w:hAnsi="Verdana" w:cs="Century Gothic"/>
          <w:sz w:val="20"/>
          <w:szCs w:val="20"/>
        </w:rPr>
        <w:lastRenderedPageBreak/>
        <w:t>2. ¿Que pronunciamientos tiene la corte constitucional sobre la extensión de protección</w:t>
      </w:r>
      <w:r>
        <w:rPr>
          <w:rFonts w:ascii="Verdana" w:eastAsia="Century Gothic" w:hAnsi="Verdana" w:cs="Century Gothic"/>
          <w:sz w:val="20"/>
          <w:szCs w:val="20"/>
        </w:rPr>
        <w:t xml:space="preserve"> </w:t>
      </w:r>
      <w:r w:rsidRPr="00475496">
        <w:rPr>
          <w:rFonts w:ascii="Verdana" w:eastAsia="Century Gothic" w:hAnsi="Verdana" w:cs="Century Gothic"/>
          <w:sz w:val="20"/>
          <w:szCs w:val="20"/>
        </w:rPr>
        <w:t>de la mujer embarazada cuyo cónyuge solicita fuero de paternidad y está vinculado bajo</w:t>
      </w:r>
      <w:r>
        <w:rPr>
          <w:rFonts w:ascii="Verdana" w:eastAsia="Century Gothic" w:hAnsi="Verdana" w:cs="Century Gothic"/>
          <w:sz w:val="20"/>
          <w:szCs w:val="20"/>
        </w:rPr>
        <w:t xml:space="preserve"> </w:t>
      </w:r>
      <w:r w:rsidRPr="00475496">
        <w:rPr>
          <w:rFonts w:ascii="Verdana" w:eastAsia="Century Gothic" w:hAnsi="Verdana" w:cs="Century Gothic"/>
          <w:sz w:val="20"/>
          <w:szCs w:val="20"/>
        </w:rPr>
        <w:t>prestación de servicios?</w:t>
      </w:r>
    </w:p>
    <w:p w14:paraId="7A5713C3" w14:textId="4EFF6FC1" w:rsidR="00795CDC" w:rsidRPr="00BF4507" w:rsidRDefault="00475496" w:rsidP="00475496">
      <w:pPr>
        <w:spacing w:after="0" w:line="240" w:lineRule="auto"/>
        <w:ind w:left="709" w:right="709"/>
        <w:jc w:val="both"/>
        <w:rPr>
          <w:rStyle w:val="normaltextrun"/>
          <w:rFonts w:ascii="Verdana" w:hAnsi="Verdana" w:cs="Arial"/>
          <w:sz w:val="20"/>
          <w:szCs w:val="20"/>
          <w:shd w:val="clear" w:color="auto" w:fill="FFFFFF"/>
        </w:rPr>
      </w:pPr>
      <w:r w:rsidRPr="00475496">
        <w:rPr>
          <w:rFonts w:ascii="Verdana" w:eastAsia="Century Gothic" w:hAnsi="Verdana" w:cs="Century Gothic"/>
          <w:sz w:val="20"/>
          <w:szCs w:val="20"/>
        </w:rPr>
        <w:t>3. ¿Puede equipararse de manera igualitaria esta condición al cónyuge vinculado</w:t>
      </w:r>
      <w:r>
        <w:rPr>
          <w:rFonts w:ascii="Verdana" w:eastAsia="Century Gothic" w:hAnsi="Verdana" w:cs="Century Gothic"/>
          <w:sz w:val="20"/>
          <w:szCs w:val="20"/>
        </w:rPr>
        <w:t xml:space="preserve"> </w:t>
      </w:r>
      <w:r w:rsidRPr="00475496">
        <w:rPr>
          <w:rFonts w:ascii="Verdana" w:eastAsia="Century Gothic" w:hAnsi="Verdana" w:cs="Century Gothic"/>
          <w:sz w:val="20"/>
          <w:szCs w:val="20"/>
        </w:rPr>
        <w:t>laboralmente y al cónyuge vinculado con prestación de servicios?</w:t>
      </w:r>
      <w:r w:rsidR="00795CDC" w:rsidRPr="00BF4507">
        <w:rPr>
          <w:rFonts w:ascii="Verdana" w:eastAsia="Century Gothic" w:hAnsi="Verdana" w:cs="Century Gothic"/>
          <w:sz w:val="20"/>
          <w:szCs w:val="20"/>
          <w:lang w:val="es-ES"/>
        </w:rPr>
        <w:t>”</w:t>
      </w:r>
      <w:bookmarkEnd w:id="1"/>
      <w:r w:rsidR="00795CDC" w:rsidRPr="00BF4507">
        <w:rPr>
          <w:rFonts w:ascii="Verdana" w:eastAsia="Century Gothic" w:hAnsi="Verdana" w:cs="Century Gothic"/>
          <w:sz w:val="20"/>
          <w:szCs w:val="20"/>
          <w:lang w:val="es-ES"/>
        </w:rPr>
        <w:t xml:space="preserve"> </w:t>
      </w:r>
      <w:r w:rsidR="00795CDC" w:rsidRPr="00BF4507">
        <w:rPr>
          <w:rStyle w:val="normaltextrun"/>
          <w:rFonts w:ascii="Verdana" w:hAnsi="Verdana" w:cs="Arial"/>
          <w:sz w:val="20"/>
          <w:szCs w:val="20"/>
          <w:shd w:val="clear" w:color="auto" w:fill="FFFFFF"/>
          <w:lang w:val="es-ES"/>
        </w:rPr>
        <w:t>[SIC]</w:t>
      </w:r>
    </w:p>
    <w:p w14:paraId="799E0810" w14:textId="77777777" w:rsidR="00795CDC" w:rsidRPr="00BF4507" w:rsidRDefault="00795CDC" w:rsidP="00795CDC">
      <w:pPr>
        <w:spacing w:after="0" w:line="276" w:lineRule="auto"/>
        <w:ind w:left="709" w:right="709"/>
        <w:jc w:val="both"/>
        <w:rPr>
          <w:rFonts w:ascii="Verdana" w:eastAsia="Century Gothic" w:hAnsi="Verdana" w:cs="Century Gothic"/>
          <w:b/>
          <w:bCs/>
          <w:lang w:val="es-ES"/>
        </w:rPr>
      </w:pPr>
    </w:p>
    <w:p w14:paraId="3EA84121" w14:textId="77777777" w:rsidR="00795CDC" w:rsidRPr="00BF4507" w:rsidRDefault="00795CDC" w:rsidP="00795CDC">
      <w:pPr>
        <w:spacing w:after="120" w:line="276" w:lineRule="auto"/>
        <w:ind w:firstLine="709"/>
        <w:jc w:val="both"/>
        <w:rPr>
          <w:rFonts w:ascii="Verdana" w:eastAsia="Calibri" w:hAnsi="Verdana" w:cs="Arial"/>
          <w:color w:val="000000"/>
          <w:szCs w:val="24"/>
          <w:lang w:val="es-ES_tradnl" w:eastAsia="es-ES_tradnl"/>
        </w:rPr>
      </w:pPr>
      <w:r w:rsidRPr="00BF450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F4507">
        <w:rPr>
          <w:rFonts w:ascii="Verdana" w:eastAsia="Calibri" w:hAnsi="Verdana" w:cs="Arial"/>
          <w:color w:val="000000"/>
          <w:szCs w:val="24"/>
          <w:lang w:val="es-ES_tradnl" w:eastAsia="es-ES_tradnl"/>
        </w:rPr>
        <w:tab/>
      </w:r>
    </w:p>
    <w:p w14:paraId="57D75771" w14:textId="77777777" w:rsidR="00795CDC" w:rsidRPr="00BF4507" w:rsidRDefault="00795CDC" w:rsidP="00795CDC">
      <w:pPr>
        <w:spacing w:after="0" w:line="276" w:lineRule="auto"/>
        <w:ind w:firstLine="709"/>
        <w:jc w:val="both"/>
        <w:rPr>
          <w:rFonts w:ascii="Verdana" w:eastAsia="Calibri" w:hAnsi="Verdana" w:cs="Arial"/>
          <w:color w:val="000000"/>
          <w:lang w:val="es-ES" w:eastAsia="es-ES"/>
        </w:rPr>
      </w:pPr>
      <w:r w:rsidRPr="00BF450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 problema</w:t>
      </w:r>
      <w:r w:rsidRPr="00BF4507">
        <w:rPr>
          <w:rFonts w:ascii="Verdana" w:eastAsia="Calibri" w:hAnsi="Verdana" w:cs="Arial"/>
          <w:color w:val="7030A0"/>
          <w:lang w:val="es-ES" w:eastAsia="es-ES"/>
        </w:rPr>
        <w:t xml:space="preserve"> </w:t>
      </w:r>
      <w:r w:rsidRPr="00BF4507">
        <w:rPr>
          <w:rFonts w:ascii="Verdana" w:eastAsia="Calibri" w:hAnsi="Verdana" w:cs="Arial"/>
          <w:color w:val="000000"/>
          <w:lang w:val="es-ES" w:eastAsia="es-ES"/>
        </w:rPr>
        <w:t>jurídico</w:t>
      </w:r>
      <w:r w:rsidRPr="00BF4507">
        <w:rPr>
          <w:rFonts w:ascii="Verdana" w:eastAsia="Calibri" w:hAnsi="Verdana" w:cs="Arial"/>
          <w:color w:val="7030A0"/>
          <w:lang w:val="es-ES" w:eastAsia="es-ES"/>
        </w:rPr>
        <w:t xml:space="preserve"> </w:t>
      </w:r>
      <w:r w:rsidRPr="00BF4507">
        <w:rPr>
          <w:rFonts w:ascii="Verdana" w:eastAsia="Calibri" w:hAnsi="Verdana" w:cs="Arial"/>
          <w:color w:val="000000"/>
          <w:lang w:val="es-ES" w:eastAsia="es-ES"/>
        </w:rPr>
        <w:t xml:space="preserve">de su consulta. </w:t>
      </w:r>
    </w:p>
    <w:p w14:paraId="7B427CB0" w14:textId="77777777" w:rsidR="00795CDC" w:rsidRPr="00BF4507" w:rsidRDefault="00795CDC" w:rsidP="00795CDC">
      <w:pPr>
        <w:spacing w:after="0" w:line="276" w:lineRule="auto"/>
        <w:ind w:firstLine="709"/>
        <w:jc w:val="both"/>
        <w:rPr>
          <w:rFonts w:ascii="Verdana" w:eastAsia="Calibri" w:hAnsi="Verdana" w:cs="Arial"/>
          <w:lang w:val="es-ES" w:eastAsia="es-ES"/>
        </w:rPr>
      </w:pPr>
    </w:p>
    <w:p w14:paraId="40B668B2" w14:textId="77777777" w:rsidR="00795CDC" w:rsidRPr="00BF4507" w:rsidRDefault="00795CDC" w:rsidP="00795C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F4507">
        <w:rPr>
          <w:rFonts w:ascii="Verdana" w:eastAsia="Century Gothic" w:hAnsi="Verdana" w:cs="Century Gothic"/>
          <w:b/>
          <w:bCs/>
        </w:rPr>
        <w:t>Problema planteado:</w:t>
      </w:r>
    </w:p>
    <w:p w14:paraId="30DB38C6" w14:textId="77777777" w:rsidR="00795CDC" w:rsidRPr="00BF4507" w:rsidRDefault="00795CDC" w:rsidP="00795CDC">
      <w:pPr>
        <w:tabs>
          <w:tab w:val="left" w:pos="426"/>
        </w:tabs>
        <w:spacing w:after="0" w:line="276" w:lineRule="auto"/>
        <w:jc w:val="both"/>
        <w:rPr>
          <w:rFonts w:ascii="Verdana" w:eastAsia="Century Gothic" w:hAnsi="Verdana" w:cs="Century Gothic"/>
          <w:lang w:val="es-ES"/>
        </w:rPr>
      </w:pPr>
    </w:p>
    <w:p w14:paraId="651DE20A" w14:textId="77777777" w:rsidR="00795CDC" w:rsidRPr="00BF4507" w:rsidRDefault="00795CDC" w:rsidP="00795CDC">
      <w:pPr>
        <w:spacing w:after="0" w:line="276" w:lineRule="auto"/>
        <w:jc w:val="both"/>
        <w:rPr>
          <w:rFonts w:ascii="Verdana" w:eastAsia="Century Gothic" w:hAnsi="Verdana" w:cs="Century Gothic"/>
        </w:rPr>
      </w:pPr>
      <w:r w:rsidRPr="00BF4507">
        <w:rPr>
          <w:rFonts w:ascii="Verdana" w:eastAsia="Century Gothic" w:hAnsi="Verdana" w:cs="Century Gothic"/>
        </w:rPr>
        <w:t>De acuerdo con el contenido de su solicitud, esta Agencia resolverá el siguiente problema jurídico: ¿El fuero de estabilidad ocupacional reforzada a favor del padre consagrado en la Ley 2141 de 2021 aplica en el marco de un contrato de prestación de servicios?</w:t>
      </w:r>
    </w:p>
    <w:p w14:paraId="467578DE" w14:textId="77777777" w:rsidR="00795CDC" w:rsidRPr="00BF4507" w:rsidRDefault="00795CDC" w:rsidP="00795CDC">
      <w:pPr>
        <w:spacing w:after="0" w:line="276" w:lineRule="auto"/>
        <w:jc w:val="both"/>
        <w:rPr>
          <w:rFonts w:ascii="Verdana" w:eastAsia="Calibri" w:hAnsi="Verdana" w:cs="Arial"/>
          <w:lang w:val="es-ES"/>
        </w:rPr>
      </w:pPr>
    </w:p>
    <w:p w14:paraId="23AAB152" w14:textId="77777777" w:rsidR="00795CDC" w:rsidRPr="00BF4507" w:rsidRDefault="00795CDC" w:rsidP="00795C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F4507">
        <w:rPr>
          <w:rFonts w:ascii="Verdana" w:eastAsia="Century Gothic" w:hAnsi="Verdana" w:cs="Century Gothic"/>
          <w:b/>
          <w:bCs/>
        </w:rPr>
        <w:t>Respuesta:</w:t>
      </w:r>
    </w:p>
    <w:p w14:paraId="66615401" w14:textId="77777777" w:rsidR="00795CDC" w:rsidRPr="00BF4507" w:rsidRDefault="00795CDC" w:rsidP="00795CD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95CDC" w:rsidRPr="00BF4507" w14:paraId="7D8AFCD6" w14:textId="77777777" w:rsidTr="00677F03">
        <w:tc>
          <w:tcPr>
            <w:tcW w:w="8828" w:type="dxa"/>
          </w:tcPr>
          <w:p w14:paraId="3EE09390" w14:textId="77777777" w:rsidR="00795CDC" w:rsidRPr="00BF4507" w:rsidRDefault="00795CDC" w:rsidP="00677F03">
            <w:pPr>
              <w:snapToGrid w:val="0"/>
              <w:spacing w:before="120" w:after="120" w:line="276" w:lineRule="auto"/>
              <w:jc w:val="both"/>
              <w:rPr>
                <w:rFonts w:ascii="Verdana" w:eastAsia="Calibri" w:hAnsi="Verdana" w:cs="Arial"/>
                <w:bCs/>
                <w:color w:val="000000"/>
                <w:lang w:val="es-ES_tradnl"/>
              </w:rPr>
            </w:pPr>
            <w:r w:rsidRPr="00BF4507">
              <w:rPr>
                <w:rFonts w:ascii="Verdana" w:eastAsia="Calibri" w:hAnsi="Verdana" w:cs="Arial"/>
                <w:bCs/>
                <w:color w:val="000000"/>
                <w:lang w:val="es-ES_tradnl"/>
              </w:rPr>
              <w:t xml:space="preserve">En relación con la consulta, la Agencia Nacional de Contratación Pública – Colombia Compra Eficiente considera que la protección consagrada en los artículos 1 y 2 de la Ley 2141 de 2021, a favor del </w:t>
            </w:r>
            <w:r w:rsidRPr="00BF4507">
              <w:rPr>
                <w:rFonts w:ascii="Verdana" w:hAnsi="Verdana" w:cs="Arial"/>
              </w:rPr>
              <w:t xml:space="preserve">trabajador cuya cónyuge, </w:t>
            </w:r>
            <w:r w:rsidRPr="00BF4507">
              <w:rPr>
                <w:rFonts w:ascii="Verdana" w:hAnsi="Verdana" w:cs="Arial"/>
              </w:rPr>
              <w:lastRenderedPageBreak/>
              <w:t xml:space="preserve">pareja o compañera permanente se encuentre en estado de embarazo o dentro de las dieciocho (18) semanas posteriores al parto </w:t>
            </w:r>
            <w:r w:rsidRPr="00BF4507">
              <w:rPr>
                <w:rFonts w:ascii="Verdana" w:eastAsia="Calibri" w:hAnsi="Verdana" w:cs="Arial"/>
                <w:bCs/>
                <w:color w:val="000000"/>
                <w:lang w:val="es-ES_tradnl"/>
              </w:rPr>
              <w:t xml:space="preserve">no rige a favor de las contratistas del Estado que no ingresan en la categoría de </w:t>
            </w:r>
            <w:r w:rsidRPr="00BF4507">
              <w:rPr>
                <w:rFonts w:ascii="Verdana" w:eastAsia="Calibri" w:hAnsi="Verdana" w:cs="Arial"/>
                <w:bCs/>
                <w:i/>
                <w:iCs/>
                <w:color w:val="000000"/>
                <w:lang w:val="es-ES_tradnl"/>
              </w:rPr>
              <w:t>trabajadores</w:t>
            </w:r>
            <w:r w:rsidRPr="00BF4507">
              <w:rPr>
                <w:rFonts w:ascii="Verdana" w:eastAsia="Calibri" w:hAnsi="Verdana" w:cs="Arial"/>
                <w:bCs/>
                <w:color w:val="000000"/>
                <w:lang w:val="es-ES_tradnl"/>
              </w:rPr>
              <w:t>, en virtud de los argumentos que a continuación se exponen. P</w:t>
            </w:r>
            <w:r w:rsidRPr="00BF4507">
              <w:rPr>
                <w:rFonts w:ascii="Verdana" w:eastAsia="Calibri" w:hAnsi="Verdana" w:cs="Arial"/>
                <w:color w:val="000000" w:themeColor="text1"/>
                <w:lang w:val="es-ES"/>
              </w:rPr>
              <w:t xml:space="preserve">or un lado, como se expondrá en el presente concepto, las referidas disposiciones modificaron el artículo 238 del Código Sustantivo de Trabajo, el cual regula relaciones laborales. Por otro lado, se deduce de la lectura literal de los artículos objeto de estudio, que estos hacen referencia a los sujetos propios de la relación laboral - “empleador”, “trabajador”. </w:t>
            </w:r>
          </w:p>
          <w:p w14:paraId="4889D60D" w14:textId="77777777" w:rsidR="00795CDC" w:rsidRPr="00BF4507" w:rsidRDefault="00795CDC" w:rsidP="00677F03">
            <w:pPr>
              <w:spacing w:after="120" w:line="276" w:lineRule="auto"/>
              <w:ind w:firstLine="708"/>
              <w:jc w:val="both"/>
              <w:rPr>
                <w:rFonts w:ascii="Verdana" w:eastAsia="Calibri" w:hAnsi="Verdana" w:cs="Arial"/>
                <w:color w:val="000000" w:themeColor="text1"/>
                <w:lang w:val="es-ES"/>
              </w:rPr>
            </w:pPr>
            <w:r w:rsidRPr="00BF4507">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del fuero de paternidad a.</w:t>
            </w:r>
            <w:r w:rsidRPr="00BF4507">
              <w:rPr>
                <w:rFonts w:ascii="Verdana" w:hAnsi="Verdana" w:cs="Arial"/>
              </w:rPr>
              <w:t> </w:t>
            </w:r>
            <w:r w:rsidRPr="00BF4507">
              <w:rPr>
                <w:rFonts w:ascii="Verdana" w:eastAsia="Calibri" w:hAnsi="Verdana" w:cs="Arial"/>
                <w:bCs/>
                <w:color w:val="000000" w:themeColor="text1"/>
                <w:lang w:val="es-ES_tradnl"/>
              </w:rPr>
              <w:t xml:space="preserve"> Esto, por cuanto el artículo 32, numeral 3, de la Ley 80 de 1993 señala que “En ningún caso estos contratos generan relación laboral ni prestaciones sociales […]”. En consecuencia, si los contratos de prestación de servicios no generan relaciones laborales, </w:t>
            </w:r>
            <w:r w:rsidRPr="00BF4507">
              <w:rPr>
                <w:rFonts w:ascii="Verdana" w:eastAsia="Calibri" w:hAnsi="Verdana" w:cs="Arial"/>
                <w:bCs/>
                <w:i/>
                <w:iCs/>
                <w:color w:val="000000" w:themeColor="text1"/>
                <w:lang w:val="es-ES_tradnl"/>
              </w:rPr>
              <w:t>prima facie</w:t>
            </w:r>
            <w:r w:rsidRPr="00BF4507">
              <w:rPr>
                <w:rFonts w:ascii="Verdana" w:eastAsia="Calibri" w:hAnsi="Verdana" w:cs="Arial"/>
                <w:bCs/>
                <w:color w:val="000000" w:themeColor="text1"/>
                <w:lang w:val="es-ES_tradnl"/>
              </w:rPr>
              <w:t>, podría decirse que no se aplican a estos contratos las normas del Código Sustantivo del Trabajo, sino las del Estatuto General de Contratación de la Administración Pública y aquellas a las que remite expresamente este cuerpo normativo.</w:t>
            </w:r>
          </w:p>
          <w:p w14:paraId="6AE58949" w14:textId="77777777" w:rsidR="00795CDC" w:rsidRPr="00BF4507" w:rsidRDefault="00795CDC" w:rsidP="00677F03">
            <w:pPr>
              <w:spacing w:after="120" w:line="276" w:lineRule="auto"/>
              <w:ind w:firstLine="708"/>
              <w:jc w:val="both"/>
              <w:rPr>
                <w:rFonts w:ascii="Verdana" w:hAnsi="Verdana" w:cs="Arial"/>
                <w:shd w:val="clear" w:color="auto" w:fill="FFFFFF"/>
              </w:rPr>
            </w:pPr>
            <w:r w:rsidRPr="00BF4507">
              <w:rPr>
                <w:rFonts w:ascii="Verdana" w:eastAsia="Calibri" w:hAnsi="Verdana" w:cs="Arial"/>
                <w:bCs/>
                <w:color w:val="000000"/>
                <w:lang w:val="es-ES_tradnl"/>
              </w:rPr>
              <w:t xml:space="preserve">Habiendo efectuado la precisión anterior, puede afirmarse que lo previsto en la Ley 2141 de 2021 no se aplica a las relaciones contractuales de las Entidades Estatales que </w:t>
            </w:r>
            <w:r w:rsidRPr="00BF4507">
              <w:rPr>
                <w:rFonts w:ascii="Verdana" w:eastAsia="Calibri" w:hAnsi="Verdana" w:cs="Arial"/>
                <w:bCs/>
                <w:i/>
                <w:iCs/>
                <w:color w:val="000000"/>
                <w:lang w:val="es-ES_tradnl"/>
              </w:rPr>
              <w:t>no</w:t>
            </w:r>
            <w:r w:rsidRPr="00BF4507">
              <w:rPr>
                <w:rFonts w:ascii="Verdana" w:eastAsia="Calibri" w:hAnsi="Verdana" w:cs="Arial"/>
                <w:bCs/>
                <w:color w:val="00000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BF4507" w:rsidDel="00C72792">
              <w:rPr>
                <w:rFonts w:ascii="Verdana" w:hAnsi="Verdana" w:cs="Arial"/>
                <w:shd w:val="clear" w:color="auto" w:fill="FFFFFF"/>
              </w:rPr>
              <w:t xml:space="preserve"> </w:t>
            </w:r>
          </w:p>
          <w:p w14:paraId="02D0AA30" w14:textId="77777777" w:rsidR="00795CDC" w:rsidRPr="00BF4507" w:rsidRDefault="00795CDC" w:rsidP="00677F03">
            <w:pPr>
              <w:spacing w:after="120" w:line="276" w:lineRule="auto"/>
              <w:ind w:firstLine="709"/>
              <w:jc w:val="both"/>
              <w:rPr>
                <w:rFonts w:ascii="Verdana" w:eastAsia="Calibri" w:hAnsi="Verdana" w:cs="Arial"/>
                <w:bCs/>
                <w:color w:val="000000"/>
                <w:lang w:val="es-ES_tradnl"/>
              </w:rPr>
            </w:pPr>
            <w:r w:rsidRPr="00BF4507">
              <w:rPr>
                <w:rFonts w:ascii="Verdana" w:hAnsi="Verdana" w:cs="Arial"/>
                <w:shd w:val="clear" w:color="auto" w:fill="FFFFFF"/>
              </w:rPr>
              <w:t>En este punto, es necesario precisar que, a la fecha no existe un precedente judicial o los fundamentos jurídicos mediante los cuales se han resuelto situaciones análogas, por lo que para esta Agencia no es posible realizar una interpretación amplia de la Ley 2141 de 2021 para el caso específico de los contratos de prestación de servicios. Al respecto, e</w:t>
            </w:r>
            <w:r w:rsidRPr="00BF4507">
              <w:rPr>
                <w:rFonts w:ascii="Verdana" w:hAnsi="Verdana" w:cs="Times New Roman"/>
                <w:color w:val="000000" w:themeColor="text1"/>
                <w:lang w:eastAsia="es-ES_tradnl"/>
              </w:rPr>
              <w:t xml:space="preserve">s importante precisar que, el derecho a la estabilidad laboral reforzada por fuero de paternidad, pese a que fue reconocido mediante la Sentencia C-005 de 2017 y regulado por el legislador en el año 2021, no ha tenido mayor </w:t>
            </w:r>
            <w:r w:rsidRPr="00BF4507">
              <w:rPr>
                <w:rFonts w:ascii="Verdana" w:hAnsi="Verdana" w:cs="Times New Roman"/>
                <w:color w:val="000000" w:themeColor="text1"/>
                <w:lang w:eastAsia="es-ES_tradnl"/>
              </w:rPr>
              <w:lastRenderedPageBreak/>
              <w:t>desarrollo jurisprudencial en materia de acción de tutela. Esto significa que no existe una jurisprudencia consolidada que haya definido el contenido y alcance es este derecho, por ejemplo, en el marco de contratos de prestación de servicios.</w:t>
            </w:r>
          </w:p>
          <w:p w14:paraId="1A1D9FDF" w14:textId="5EE05A84" w:rsidR="00795CDC" w:rsidRPr="00BF4507" w:rsidRDefault="00795CDC" w:rsidP="00677F03">
            <w:pPr>
              <w:spacing w:before="120" w:line="276" w:lineRule="auto"/>
              <w:ind w:firstLine="709"/>
              <w:jc w:val="both"/>
              <w:rPr>
                <w:rFonts w:ascii="Verdana" w:eastAsia="Times New Roman" w:hAnsi="Verdana" w:cs="Arial"/>
              </w:rPr>
            </w:pPr>
            <w:r w:rsidRPr="00BF4507">
              <w:rPr>
                <w:rFonts w:ascii="Verdana" w:eastAsia="Times New Roman" w:hAnsi="Verdana" w:cs="Arial"/>
                <w:lang w:val="es-ES" w:eastAsia="es-ES"/>
              </w:rPr>
              <w:t xml:space="preserve">Sin perjuicio de lo anterior, debe advertirse que </w:t>
            </w:r>
            <w:r w:rsidRPr="00BF4507">
              <w:rPr>
                <w:rFonts w:ascii="Verdana" w:eastAsia="Times New Roman" w:hAnsi="Verdana" w:cs="Arial"/>
                <w:lang w:val="es-ES"/>
              </w:rPr>
              <w:t>la Entidad Estatal en uso de su autonomía y discrecionalidad podrá adicionar, prorrogar un contrato o suscribir un nuevo contrato con el contratista de prestación de servicios que está próximo a ser padre, siempre que se cumplan con los presupuestos legales y jurisprudenciales para que proceda la respectiva contratación</w:t>
            </w:r>
            <w:r w:rsidR="002229A2">
              <w:rPr>
                <w:rFonts w:ascii="Verdana" w:eastAsia="Times New Roman" w:hAnsi="Verdana" w:cs="Arial"/>
                <w:lang w:val="es-ES"/>
              </w:rPr>
              <w:t xml:space="preserve"> y subsistan las necesidades al interior de la Entidad Estatal</w:t>
            </w:r>
            <w:r w:rsidRPr="00BF4507">
              <w:rPr>
                <w:rFonts w:ascii="Verdana" w:eastAsia="Times New Roman" w:hAnsi="Verdana" w:cs="Arial"/>
                <w:lang w:val="es-ES"/>
              </w:rPr>
              <w:t xml:space="preserve">. </w:t>
            </w:r>
          </w:p>
        </w:tc>
      </w:tr>
    </w:tbl>
    <w:p w14:paraId="581291E1" w14:textId="77777777" w:rsidR="00795CDC" w:rsidRPr="00BF4507" w:rsidRDefault="00795CDC" w:rsidP="00795CDC">
      <w:pPr>
        <w:tabs>
          <w:tab w:val="left" w:pos="142"/>
          <w:tab w:val="left" w:pos="284"/>
        </w:tabs>
        <w:spacing w:after="0" w:line="276" w:lineRule="auto"/>
        <w:jc w:val="both"/>
        <w:rPr>
          <w:rFonts w:ascii="Verdana" w:eastAsia="Century Gothic" w:hAnsi="Verdana" w:cs="Century Gothic"/>
          <w:b/>
          <w:bCs/>
          <w:lang w:val="es-ES"/>
        </w:rPr>
      </w:pPr>
    </w:p>
    <w:p w14:paraId="5B73538E" w14:textId="77777777" w:rsidR="00795CDC" w:rsidRPr="00BF4507" w:rsidRDefault="00795CDC" w:rsidP="00795C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F4507">
        <w:rPr>
          <w:rFonts w:ascii="Verdana" w:eastAsia="Century Gothic" w:hAnsi="Verdana" w:cs="Century Gothic"/>
          <w:b/>
          <w:bCs/>
        </w:rPr>
        <w:t>Razones de la respuesta:</w:t>
      </w:r>
    </w:p>
    <w:p w14:paraId="72596139" w14:textId="77777777" w:rsidR="00795CDC" w:rsidRPr="00BF4507" w:rsidRDefault="00795CDC" w:rsidP="00795CDC">
      <w:pPr>
        <w:spacing w:after="0" w:line="276" w:lineRule="auto"/>
        <w:jc w:val="both"/>
        <w:rPr>
          <w:rFonts w:ascii="Verdana" w:eastAsia="Calibri" w:hAnsi="Verdana" w:cs="Arial"/>
          <w:lang w:val="es-ES"/>
        </w:rPr>
      </w:pPr>
    </w:p>
    <w:p w14:paraId="69F3C476" w14:textId="77777777" w:rsidR="00795CDC" w:rsidRPr="00BF4507" w:rsidRDefault="00795CDC" w:rsidP="00795CDC">
      <w:pPr>
        <w:spacing w:after="0" w:line="276" w:lineRule="auto"/>
        <w:jc w:val="both"/>
        <w:rPr>
          <w:rFonts w:ascii="Verdana" w:eastAsia="Calibri" w:hAnsi="Verdana" w:cs="Arial"/>
          <w:lang w:val="es-ES"/>
        </w:rPr>
      </w:pPr>
      <w:r w:rsidRPr="00BF4507">
        <w:rPr>
          <w:rFonts w:ascii="Verdana" w:eastAsia="Calibri" w:hAnsi="Verdana" w:cs="Arial"/>
          <w:lang w:val="es-ES"/>
        </w:rPr>
        <w:t xml:space="preserve">Lo anterior se sustenta en las siguientes consideraciones: </w:t>
      </w:r>
    </w:p>
    <w:p w14:paraId="47C4CD57" w14:textId="77777777" w:rsidR="00795CDC" w:rsidRPr="00BF4507" w:rsidRDefault="00795CDC" w:rsidP="00795CDC">
      <w:pPr>
        <w:spacing w:after="0" w:line="276" w:lineRule="auto"/>
        <w:jc w:val="both"/>
        <w:rPr>
          <w:rFonts w:ascii="Verdana" w:eastAsia="Calibri" w:hAnsi="Verdana" w:cs="Arial"/>
          <w:lang w:val="es-ES"/>
        </w:rPr>
      </w:pPr>
    </w:p>
    <w:p w14:paraId="640660B7" w14:textId="77777777" w:rsidR="00795CDC" w:rsidRPr="00BF4507" w:rsidRDefault="00795CDC" w:rsidP="00795CDC">
      <w:pPr>
        <w:spacing w:after="120" w:line="276" w:lineRule="auto"/>
        <w:jc w:val="both"/>
        <w:rPr>
          <w:rFonts w:ascii="Verdana" w:eastAsia="Arial" w:hAnsi="Verdana" w:cs="Arial"/>
          <w:color w:val="000000"/>
        </w:rPr>
      </w:pPr>
      <w:r w:rsidRPr="00BF4507">
        <w:rPr>
          <w:rFonts w:ascii="Verdana" w:eastAsia="Arial" w:hAnsi="Verdana" w:cs="Arial"/>
          <w:color w:val="000000"/>
        </w:rPr>
        <w:t xml:space="preserve">El contrato de prestación de servicios es un contrato estatal típico, regulado en el numeral 32.3 de la Ley 80 de 1993. Es definido como aquel que “celebren las entidades estatales para desarrollar actividades relacionadas con la administración o funcionamiento de la entidad. Estos contratos sólo se podrán celebrar con personas naturales cuando dichas actividades no puedan realizarse con personal de planta o requieran conocimientos especializados. En ningún caso estos contratos generan relación laboral ni prestaciones sociales y se celebrarán por el término estrictamente indispensable”. </w:t>
      </w:r>
    </w:p>
    <w:p w14:paraId="63B92BB6" w14:textId="77777777" w:rsidR="00795CDC" w:rsidRPr="00BF4507" w:rsidRDefault="00795CDC" w:rsidP="00795CDC">
      <w:pPr>
        <w:spacing w:after="0" w:line="276" w:lineRule="auto"/>
        <w:ind w:firstLine="709"/>
        <w:jc w:val="both"/>
        <w:rPr>
          <w:rFonts w:ascii="Verdana" w:eastAsia="Arial" w:hAnsi="Verdana" w:cs="Arial"/>
          <w:color w:val="000000"/>
        </w:rPr>
      </w:pPr>
      <w:r w:rsidRPr="00BF4507">
        <w:rPr>
          <w:rFonts w:ascii="Verdana" w:eastAsia="Arial" w:hAnsi="Verdana" w:cs="Arial"/>
          <w:color w:val="000000"/>
        </w:rPr>
        <w:t>La celebración de dicho contrato debe efectuarse a través de la modalidad de contratación directa. Así lo dispone el artículo 2, numeral 4°, literal h) de la Ley 1150 de 2007, el cual señala:</w:t>
      </w:r>
    </w:p>
    <w:p w14:paraId="51CEE026" w14:textId="77777777" w:rsidR="00795CDC" w:rsidRPr="00BF4507" w:rsidRDefault="00795CDC" w:rsidP="00795CDC">
      <w:pPr>
        <w:spacing w:after="0" w:line="276" w:lineRule="auto"/>
        <w:jc w:val="both"/>
        <w:rPr>
          <w:rFonts w:ascii="Verdana" w:eastAsia="Arial" w:hAnsi="Verdana" w:cs="Arial"/>
          <w:color w:val="000000"/>
        </w:rPr>
      </w:pPr>
    </w:p>
    <w:p w14:paraId="0879F563" w14:textId="77777777" w:rsidR="00795CDC" w:rsidRPr="00BF4507" w:rsidRDefault="00795CDC" w:rsidP="00795CDC">
      <w:pPr>
        <w:spacing w:after="0" w:line="240" w:lineRule="auto"/>
        <w:ind w:left="709" w:right="709"/>
        <w:contextualSpacing/>
        <w:jc w:val="both"/>
        <w:rPr>
          <w:rFonts w:ascii="Verdana" w:eastAsia="Calibri" w:hAnsi="Verdana" w:cs="Arial"/>
          <w:color w:val="000000" w:themeColor="text1"/>
          <w:sz w:val="20"/>
          <w:szCs w:val="20"/>
          <w:lang w:val="es-MX"/>
        </w:rPr>
      </w:pPr>
      <w:r w:rsidRPr="00BF4507">
        <w:rPr>
          <w:rFonts w:ascii="Verdana" w:eastAsia="Yu Gothic UI Semibold" w:hAnsi="Verdana" w:cs="Arial"/>
          <w:iCs/>
          <w:sz w:val="20"/>
          <w:szCs w:val="20"/>
          <w:lang w:eastAsia="es-MX"/>
        </w:rPr>
        <w:t>“</w:t>
      </w:r>
      <w:r w:rsidRPr="00BF4507">
        <w:rPr>
          <w:rFonts w:ascii="Verdana" w:eastAsia="Calibri" w:hAnsi="Verdana" w:cs="Arial"/>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49C799CD" w14:textId="77777777" w:rsidR="00795CDC" w:rsidRPr="00BF4507" w:rsidRDefault="00795CDC" w:rsidP="00795CDC">
      <w:pPr>
        <w:spacing w:after="0" w:line="240" w:lineRule="auto"/>
        <w:ind w:left="709" w:right="709"/>
        <w:contextualSpacing/>
        <w:jc w:val="both"/>
        <w:rPr>
          <w:rFonts w:ascii="Verdana" w:eastAsia="Calibri" w:hAnsi="Verdana" w:cs="Arial"/>
          <w:color w:val="000000" w:themeColor="text1"/>
          <w:sz w:val="20"/>
          <w:szCs w:val="20"/>
          <w:lang w:val="es-MX"/>
        </w:rPr>
      </w:pPr>
      <w:r w:rsidRPr="00BF4507">
        <w:rPr>
          <w:rFonts w:ascii="Verdana" w:eastAsia="Calibri" w:hAnsi="Verdana" w:cs="Arial"/>
          <w:color w:val="000000" w:themeColor="text1"/>
          <w:sz w:val="20"/>
          <w:szCs w:val="20"/>
          <w:lang w:val="es-MX"/>
        </w:rPr>
        <w:t>[…]</w:t>
      </w:r>
    </w:p>
    <w:p w14:paraId="09642837" w14:textId="77777777" w:rsidR="00795CDC" w:rsidRPr="00BF4507" w:rsidRDefault="00795CDC" w:rsidP="00795CDC">
      <w:pPr>
        <w:spacing w:after="0" w:line="240" w:lineRule="auto"/>
        <w:ind w:left="709" w:right="709"/>
        <w:contextualSpacing/>
        <w:jc w:val="both"/>
        <w:rPr>
          <w:rFonts w:ascii="Verdana" w:eastAsia="Calibri" w:hAnsi="Verdana" w:cs="Arial"/>
          <w:color w:val="000000" w:themeColor="text1"/>
          <w:sz w:val="20"/>
          <w:szCs w:val="20"/>
          <w:lang w:val="es-MX"/>
        </w:rPr>
      </w:pPr>
    </w:p>
    <w:p w14:paraId="6267782E" w14:textId="77777777" w:rsidR="00795CDC" w:rsidRPr="00BF4507" w:rsidRDefault="00795CDC" w:rsidP="00795CDC">
      <w:pPr>
        <w:spacing w:after="0" w:line="240" w:lineRule="auto"/>
        <w:ind w:left="709" w:right="709"/>
        <w:contextualSpacing/>
        <w:jc w:val="both"/>
        <w:rPr>
          <w:rFonts w:ascii="Verdana" w:eastAsia="Calibri" w:hAnsi="Verdana" w:cs="Arial"/>
          <w:color w:val="000000" w:themeColor="text1"/>
          <w:sz w:val="20"/>
          <w:szCs w:val="20"/>
          <w:lang w:val="es-MX"/>
        </w:rPr>
      </w:pPr>
      <w:r w:rsidRPr="00BF4507">
        <w:rPr>
          <w:rFonts w:ascii="Verdana" w:eastAsia="Calibri" w:hAnsi="Verdana" w:cs="Arial"/>
          <w:color w:val="000000" w:themeColor="text1"/>
          <w:sz w:val="20"/>
          <w:szCs w:val="20"/>
          <w:lang w:val="es-MX"/>
        </w:rPr>
        <w:t>4. Contratación directa. La modalidad de selección de contratación directa, solamente procederá en los siguientes casos:</w:t>
      </w:r>
    </w:p>
    <w:p w14:paraId="367A7160" w14:textId="77777777" w:rsidR="00795CDC" w:rsidRPr="00BF4507" w:rsidRDefault="00795CDC" w:rsidP="00795CDC">
      <w:pPr>
        <w:spacing w:after="0" w:line="240" w:lineRule="auto"/>
        <w:ind w:left="709" w:right="709"/>
        <w:contextualSpacing/>
        <w:jc w:val="both"/>
        <w:rPr>
          <w:rFonts w:ascii="Verdana" w:eastAsia="Calibri" w:hAnsi="Verdana" w:cs="Arial"/>
          <w:color w:val="000000" w:themeColor="text1"/>
          <w:sz w:val="20"/>
          <w:szCs w:val="20"/>
          <w:lang w:val="es-MX"/>
        </w:rPr>
      </w:pPr>
      <w:r w:rsidRPr="00BF4507">
        <w:rPr>
          <w:rFonts w:ascii="Verdana" w:eastAsia="Calibri" w:hAnsi="Verdana" w:cs="Arial"/>
          <w:color w:val="000000" w:themeColor="text1"/>
          <w:sz w:val="20"/>
          <w:szCs w:val="20"/>
          <w:lang w:val="es-MX"/>
        </w:rPr>
        <w:t>[…]</w:t>
      </w:r>
    </w:p>
    <w:p w14:paraId="125C4299" w14:textId="77777777" w:rsidR="00795CDC" w:rsidRPr="00BF4507" w:rsidRDefault="00795CDC" w:rsidP="00795CDC">
      <w:pPr>
        <w:spacing w:after="0" w:line="240" w:lineRule="auto"/>
        <w:ind w:left="709" w:right="709"/>
        <w:contextualSpacing/>
        <w:jc w:val="both"/>
        <w:rPr>
          <w:rFonts w:ascii="Verdana" w:eastAsia="Calibri" w:hAnsi="Verdana" w:cs="Arial"/>
          <w:color w:val="000000" w:themeColor="text1"/>
          <w:sz w:val="20"/>
          <w:szCs w:val="20"/>
          <w:lang w:val="es-MX"/>
        </w:rPr>
      </w:pPr>
    </w:p>
    <w:p w14:paraId="7873AF6F" w14:textId="77777777" w:rsidR="00795CDC" w:rsidRPr="00BF4507" w:rsidRDefault="00795CDC" w:rsidP="00795CDC">
      <w:pPr>
        <w:spacing w:after="0" w:line="240" w:lineRule="auto"/>
        <w:ind w:left="709" w:right="709"/>
        <w:contextualSpacing/>
        <w:jc w:val="both"/>
        <w:rPr>
          <w:rFonts w:ascii="Verdana" w:eastAsia="Calibri" w:hAnsi="Verdana" w:cs="Arial"/>
          <w:color w:val="000000" w:themeColor="text1"/>
          <w:sz w:val="20"/>
          <w:szCs w:val="20"/>
          <w:lang w:val="es-MX"/>
        </w:rPr>
      </w:pPr>
      <w:r w:rsidRPr="00BF4507">
        <w:rPr>
          <w:rFonts w:ascii="Verdana" w:eastAsia="Calibri" w:hAnsi="Verdana" w:cs="Arial"/>
          <w:color w:val="000000" w:themeColor="text1"/>
          <w:sz w:val="20"/>
          <w:szCs w:val="20"/>
          <w:lang w:val="es-MX"/>
        </w:rPr>
        <w:t>h) Para la prestación de servicios profesionales y de apoyo a la gestión, o para la ejecución de trabajos artísticos que sólo puedan encomendarse a determinadas personas naturales</w:t>
      </w:r>
      <w:r w:rsidRPr="00BF4507">
        <w:rPr>
          <w:rFonts w:ascii="Verdana" w:eastAsia="Yu Gothic UI Semibold" w:hAnsi="Verdana" w:cs="Arial"/>
          <w:iCs/>
          <w:sz w:val="20"/>
          <w:szCs w:val="20"/>
          <w:lang w:eastAsia="es-MX"/>
        </w:rPr>
        <w:t>”</w:t>
      </w:r>
      <w:r w:rsidRPr="00BF4507">
        <w:rPr>
          <w:rFonts w:ascii="Verdana" w:eastAsia="Calibri" w:hAnsi="Verdana" w:cs="Arial"/>
          <w:color w:val="000000" w:themeColor="text1"/>
          <w:sz w:val="20"/>
          <w:szCs w:val="20"/>
          <w:lang w:val="es-MX"/>
        </w:rPr>
        <w:t>.</w:t>
      </w:r>
    </w:p>
    <w:p w14:paraId="091E3CF3" w14:textId="77777777" w:rsidR="00795CDC" w:rsidRPr="00BF4507" w:rsidRDefault="00795CDC" w:rsidP="00795CDC">
      <w:pPr>
        <w:spacing w:after="0" w:line="276" w:lineRule="auto"/>
        <w:jc w:val="both"/>
        <w:rPr>
          <w:rFonts w:ascii="Verdana" w:eastAsia="Arial" w:hAnsi="Verdana" w:cs="Arial"/>
          <w:color w:val="000000"/>
        </w:rPr>
      </w:pPr>
    </w:p>
    <w:p w14:paraId="6814E10F" w14:textId="77777777" w:rsidR="00795CDC" w:rsidRPr="00BF4507" w:rsidRDefault="00795CDC" w:rsidP="00795CDC">
      <w:pPr>
        <w:tabs>
          <w:tab w:val="left" w:pos="0"/>
        </w:tabs>
        <w:spacing w:after="0" w:line="276" w:lineRule="auto"/>
        <w:jc w:val="both"/>
        <w:rPr>
          <w:rFonts w:ascii="Verdana" w:eastAsia="Arial" w:hAnsi="Verdana" w:cs="Arial"/>
          <w:color w:val="000000"/>
        </w:rPr>
      </w:pPr>
      <w:r w:rsidRPr="00BF4507">
        <w:rPr>
          <w:rFonts w:ascii="Verdana" w:eastAsia="Arial" w:hAnsi="Verdana" w:cs="Arial"/>
          <w:color w:val="000000"/>
        </w:rPr>
        <w:tab/>
        <w:t xml:space="preserve">En tal sentido, el artículo 2.2.1.2.1.4.9 del Decreto 1082 de 2015 reglamentó la contratación directa para los contratos de servicios profesionales y de apoyo a la gestión, o para la ejecución de trabajos artísticos que sólo pueden encomendarse a determinadas personas naturales, en los siguientes términos: </w:t>
      </w:r>
    </w:p>
    <w:p w14:paraId="040AF1CA" w14:textId="77777777" w:rsidR="00795CDC" w:rsidRPr="00BF4507" w:rsidRDefault="00795CDC" w:rsidP="00795CDC">
      <w:pPr>
        <w:spacing w:after="0" w:line="276" w:lineRule="auto"/>
        <w:ind w:left="709" w:right="709"/>
        <w:jc w:val="both"/>
        <w:rPr>
          <w:rFonts w:ascii="Verdana" w:eastAsia="Yu Gothic UI Semibold" w:hAnsi="Verdana" w:cs="Arial"/>
          <w:iCs/>
          <w:sz w:val="21"/>
          <w:szCs w:val="21"/>
          <w:lang w:eastAsia="es-MX"/>
        </w:rPr>
      </w:pPr>
    </w:p>
    <w:p w14:paraId="32EA9718" w14:textId="77777777" w:rsidR="00795CDC" w:rsidRPr="00BF4507" w:rsidRDefault="00795CDC" w:rsidP="00795CDC">
      <w:pPr>
        <w:spacing w:after="0" w:line="240" w:lineRule="auto"/>
        <w:ind w:left="709" w:right="709"/>
        <w:contextualSpacing/>
        <w:jc w:val="both"/>
        <w:rPr>
          <w:rFonts w:ascii="Verdana" w:hAnsi="Verdana" w:cs="Arial"/>
          <w:sz w:val="20"/>
          <w:szCs w:val="20"/>
          <w:lang w:val="es-MX"/>
        </w:rPr>
      </w:pPr>
      <w:r w:rsidRPr="00BF4507">
        <w:rPr>
          <w:rFonts w:ascii="Verdana" w:eastAsia="Yu Gothic UI Semibold" w:hAnsi="Verdana" w:cs="Arial"/>
          <w:iCs/>
          <w:sz w:val="20"/>
          <w:szCs w:val="20"/>
          <w:lang w:eastAsia="es-MX"/>
        </w:rPr>
        <w:t>“</w:t>
      </w:r>
      <w:r w:rsidRPr="00BF4507">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CB33CD9" w14:textId="77777777" w:rsidR="00795CDC" w:rsidRPr="00BF4507" w:rsidRDefault="00795CDC" w:rsidP="00795CDC">
      <w:pPr>
        <w:spacing w:after="0" w:line="240" w:lineRule="auto"/>
        <w:ind w:left="709" w:right="709"/>
        <w:contextualSpacing/>
        <w:jc w:val="both"/>
        <w:rPr>
          <w:rFonts w:ascii="Verdana" w:hAnsi="Verdana" w:cs="Arial"/>
          <w:sz w:val="20"/>
          <w:szCs w:val="20"/>
          <w:lang w:val="es-MX"/>
        </w:rPr>
      </w:pPr>
    </w:p>
    <w:p w14:paraId="33323576" w14:textId="77777777" w:rsidR="00795CDC" w:rsidRPr="00BF4507" w:rsidRDefault="00795CDC" w:rsidP="00795CDC">
      <w:pPr>
        <w:spacing w:after="0" w:line="240" w:lineRule="auto"/>
        <w:ind w:left="709" w:right="709"/>
        <w:contextualSpacing/>
        <w:jc w:val="both"/>
        <w:rPr>
          <w:rFonts w:ascii="Verdana" w:hAnsi="Verdana" w:cs="Arial"/>
          <w:sz w:val="20"/>
          <w:szCs w:val="20"/>
          <w:lang w:val="es-MX"/>
        </w:rPr>
      </w:pPr>
      <w:r w:rsidRPr="00BF4507">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839C79C" w14:textId="77777777" w:rsidR="00795CDC" w:rsidRPr="00BF4507" w:rsidRDefault="00795CDC" w:rsidP="00795CDC">
      <w:pPr>
        <w:spacing w:after="0" w:line="240" w:lineRule="auto"/>
        <w:ind w:left="709" w:right="709"/>
        <w:contextualSpacing/>
        <w:jc w:val="both"/>
        <w:rPr>
          <w:rFonts w:ascii="Verdana" w:hAnsi="Verdana" w:cs="Arial"/>
          <w:sz w:val="20"/>
          <w:szCs w:val="20"/>
          <w:lang w:val="es-MX"/>
        </w:rPr>
      </w:pPr>
    </w:p>
    <w:p w14:paraId="4BAB7A0C" w14:textId="77777777" w:rsidR="00795CDC" w:rsidRPr="00BF4507" w:rsidRDefault="00795CDC" w:rsidP="00795CDC">
      <w:pPr>
        <w:spacing w:after="0" w:line="240" w:lineRule="auto"/>
        <w:ind w:left="709" w:right="709"/>
        <w:contextualSpacing/>
        <w:jc w:val="both"/>
        <w:rPr>
          <w:rFonts w:ascii="Verdana" w:hAnsi="Verdana" w:cs="Arial"/>
          <w:sz w:val="20"/>
          <w:szCs w:val="20"/>
          <w:lang w:val="es-MX"/>
        </w:rPr>
      </w:pPr>
      <w:r w:rsidRPr="00BF4507">
        <w:rPr>
          <w:rFonts w:ascii="Verdana" w:hAnsi="Verdana" w:cs="Arial"/>
          <w:sz w:val="20"/>
          <w:szCs w:val="20"/>
          <w:lang w:val="es-MX"/>
        </w:rPr>
        <w:t>La Entidad Estatal, para la contratación de trabajos artísticos que solamente puedan en</w:t>
      </w:r>
      <w:r w:rsidRPr="00BF4507">
        <w:rPr>
          <w:rFonts w:ascii="Verdana" w:hAnsi="Verdana" w:cs="Arial"/>
          <w:sz w:val="20"/>
          <w:szCs w:val="20"/>
          <w:lang w:val="es-MX"/>
        </w:rPr>
        <w:softHyphen/>
        <w:t>comendarse a determinadas personas naturales, debe justificar esta situación en los estudios y documentos previos</w:t>
      </w:r>
      <w:r w:rsidRPr="00BF4507">
        <w:rPr>
          <w:rFonts w:ascii="Verdana" w:eastAsia="Yu Gothic UI Semibold" w:hAnsi="Verdana" w:cs="Arial"/>
          <w:iCs/>
          <w:sz w:val="20"/>
          <w:szCs w:val="20"/>
          <w:lang w:eastAsia="es-MX"/>
        </w:rPr>
        <w:t>”</w:t>
      </w:r>
      <w:r w:rsidRPr="00BF4507">
        <w:rPr>
          <w:rFonts w:ascii="Verdana" w:hAnsi="Verdana" w:cs="Arial"/>
          <w:sz w:val="20"/>
          <w:szCs w:val="20"/>
          <w:lang w:val="es-MX"/>
        </w:rPr>
        <w:t>.</w:t>
      </w:r>
    </w:p>
    <w:p w14:paraId="0C75F80D" w14:textId="77777777" w:rsidR="00795CDC" w:rsidRPr="00BF4507" w:rsidRDefault="00795CDC" w:rsidP="00795CDC">
      <w:pPr>
        <w:spacing w:after="0" w:line="276" w:lineRule="auto"/>
        <w:ind w:firstLine="709"/>
        <w:jc w:val="both"/>
        <w:rPr>
          <w:rFonts w:ascii="Verdana" w:eastAsia="Calibri" w:hAnsi="Verdana" w:cs="Arial"/>
          <w:color w:val="000000"/>
          <w:lang w:val="es-ES_tradnl" w:eastAsia="es-ES_tradnl"/>
        </w:rPr>
      </w:pPr>
      <w:r w:rsidRPr="00BF4507">
        <w:rPr>
          <w:rFonts w:ascii="Verdana" w:eastAsia="Arial" w:hAnsi="Verdana" w:cs="Arial"/>
          <w:color w:val="000000"/>
        </w:rPr>
        <w:tab/>
      </w:r>
    </w:p>
    <w:p w14:paraId="24B9CE76" w14:textId="77777777" w:rsidR="00795CDC" w:rsidRPr="00BF4507" w:rsidRDefault="00795CDC" w:rsidP="00795CDC">
      <w:pPr>
        <w:spacing w:after="120" w:line="276" w:lineRule="auto"/>
        <w:ind w:firstLine="709"/>
        <w:jc w:val="both"/>
        <w:rPr>
          <w:rFonts w:ascii="Verdana" w:eastAsia="Calibri" w:hAnsi="Verdana" w:cs="Arial"/>
          <w:color w:val="000000"/>
          <w:lang w:val="es-ES_tradnl" w:eastAsia="es-ES_tradnl"/>
        </w:rPr>
      </w:pPr>
      <w:r w:rsidRPr="00BF4507">
        <w:rPr>
          <w:rFonts w:ascii="Verdana" w:eastAsia="Calibri" w:hAnsi="Verdana" w:cs="Arial"/>
          <w:color w:val="000000"/>
          <w:lang w:val="es-ES_tradnl" w:eastAsia="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07324024" w14:textId="77777777" w:rsidR="00795CDC" w:rsidRPr="00BF4507" w:rsidRDefault="00795CDC" w:rsidP="00795CDC">
      <w:pPr>
        <w:tabs>
          <w:tab w:val="left" w:pos="0"/>
        </w:tabs>
        <w:spacing w:after="120" w:line="276" w:lineRule="auto"/>
        <w:jc w:val="both"/>
        <w:rPr>
          <w:rFonts w:ascii="Verdana" w:hAnsi="Verdana" w:cs="Arial"/>
          <w:noProof/>
          <w:lang w:val="es-ES_tradnl"/>
        </w:rPr>
      </w:pPr>
      <w:r w:rsidRPr="00BF4507">
        <w:rPr>
          <w:rFonts w:ascii="Verdana" w:eastAsia="Arial" w:hAnsi="Verdana" w:cs="Arial"/>
          <w:color w:val="000000"/>
          <w:lang w:val="es-ES"/>
        </w:rPr>
        <w:tab/>
        <w:t>i</w:t>
      </w:r>
      <w:r w:rsidRPr="00BF4507">
        <w:rPr>
          <w:rFonts w:ascii="Verdana" w:eastAsia="Arial" w:hAnsi="Verdana" w:cs="Arial"/>
          <w:color w:val="000000"/>
        </w:rPr>
        <w:t>) Sólo puede celebrarse para realizar “actividades relacionadas con la administración o funcionamiento de la entidad”, es decir, que hagan parte de su giro ordinario o que hacer diario</w:t>
      </w:r>
      <w:r w:rsidRPr="00BF4507">
        <w:rPr>
          <w:rFonts w:ascii="Verdana" w:hAnsi="Verdana"/>
          <w:noProof/>
          <w:vertAlign w:val="superscript"/>
          <w:lang w:val="es-ES_tradnl"/>
        </w:rPr>
        <w:footnoteReference w:id="2"/>
      </w:r>
      <w:r w:rsidRPr="00BF4507">
        <w:rPr>
          <w:rFonts w:ascii="Verdana" w:hAnsi="Verdana" w:cs="Arial"/>
          <w:noProof/>
          <w:lang w:val="es-ES_tradnl"/>
        </w:rPr>
        <w:t>.</w:t>
      </w:r>
    </w:p>
    <w:p w14:paraId="2DD34C31" w14:textId="77777777" w:rsidR="00795CDC" w:rsidRPr="00BF4507" w:rsidRDefault="00795CDC" w:rsidP="00795CDC">
      <w:pPr>
        <w:spacing w:after="120" w:line="276" w:lineRule="auto"/>
        <w:ind w:firstLine="709"/>
        <w:jc w:val="both"/>
        <w:rPr>
          <w:rFonts w:ascii="Verdana" w:eastAsia="Calibri" w:hAnsi="Verdana" w:cs="Arial"/>
          <w:color w:val="000000"/>
          <w:lang w:val="es-ES" w:eastAsia="es-ES"/>
        </w:rPr>
      </w:pPr>
      <w:r w:rsidRPr="00BF4507">
        <w:rPr>
          <w:rFonts w:ascii="Verdana" w:hAnsi="Verdana" w:cs="Arial"/>
          <w:noProof/>
          <w:lang w:val="es-ES_tradnl"/>
        </w:rPr>
        <w:t xml:space="preserve">ii) 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w:t>
      </w:r>
      <w:r w:rsidRPr="00BF4507">
        <w:rPr>
          <w:rFonts w:ascii="Verdana" w:hAnsi="Verdana" w:cs="Arial"/>
          <w:noProof/>
          <w:lang w:val="es-ES_tradnl"/>
        </w:rPr>
        <w:lastRenderedPageBreak/>
        <w:t xml:space="preserve">conocimientos especializados”. </w:t>
      </w:r>
      <w:r w:rsidRPr="00BF4507">
        <w:rPr>
          <w:rFonts w:ascii="Verdana" w:eastAsia="Calibri" w:hAnsi="Verdana" w:cs="Arial"/>
          <w:color w:val="000000"/>
          <w:lang w:val="es-ES" w:eastAsia="es-ES"/>
        </w:rPr>
        <w:t>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razón por la cual sea necesario contratar los servicios de una persona natural que posea conocimiento y experiencia en el tema.</w:t>
      </w:r>
    </w:p>
    <w:p w14:paraId="1E1EC699"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BF4507">
        <w:rPr>
          <w:rFonts w:ascii="Verdana" w:hAnsi="Verdana" w:cs="Arial"/>
          <w:i/>
          <w:noProof/>
          <w:lang w:val="es-ES_tradnl"/>
        </w:rPr>
        <w:t xml:space="preserve">subordinación </w:t>
      </w:r>
      <w:r w:rsidRPr="00BF4507">
        <w:rPr>
          <w:rFonts w:ascii="Verdana" w:hAnsi="Verdana" w:cs="Arial"/>
          <w:iCs/>
          <w:noProof/>
          <w:lang w:val="es-ES_tradnl"/>
        </w:rPr>
        <w:t>ni</w:t>
      </w:r>
      <w:r w:rsidRPr="00BF4507">
        <w:rPr>
          <w:rFonts w:ascii="Verdana" w:hAnsi="Verdana" w:cs="Arial"/>
          <w:i/>
          <w:noProof/>
          <w:lang w:val="es-ES_tradnl"/>
        </w:rPr>
        <w:t xml:space="preserve"> dependencia</w:t>
      </w:r>
      <w:r w:rsidRPr="00BF4507">
        <w:rPr>
          <w:rFonts w:ascii="Verdana" w:hAnsi="Verdana" w:cs="Arial"/>
          <w:iCs/>
          <w:noProof/>
          <w:lang w:val="es-ES_tradnl"/>
        </w:rPr>
        <w:t>,</w:t>
      </w:r>
      <w:r w:rsidRPr="00BF4507">
        <w:rPr>
          <w:rFonts w:ascii="Verdana" w:hAnsi="Verdana" w:cs="Arial"/>
          <w:noProof/>
          <w:lang w:val="es-ES_tradnl"/>
        </w:rPr>
        <w:t xml:space="preserve"> que es uno de los elementos constitutivos del vínculo laboral</w:t>
      </w:r>
      <w:r w:rsidRPr="00BF4507">
        <w:rPr>
          <w:rFonts w:ascii="Verdana" w:hAnsi="Verdana" w:cs="Arial"/>
          <w:noProof/>
          <w:vertAlign w:val="superscript"/>
          <w:lang w:val="es-ES_tradnl"/>
        </w:rPr>
        <w:footnoteReference w:id="3"/>
      </w:r>
      <w:r w:rsidRPr="00BF4507">
        <w:rPr>
          <w:rFonts w:ascii="Verdana" w:hAnsi="Verdana" w:cs="Arial"/>
          <w:noProof/>
          <w:lang w:val="es-ES_tradnl"/>
        </w:rPr>
        <w:t xml:space="preserve">. </w:t>
      </w:r>
    </w:p>
    <w:p w14:paraId="1DB5AA69"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hAnsi="Verdana" w:cs="Arial"/>
          <w:noProof/>
          <w:lang w:val="es-ES_tradnl"/>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BF4507">
        <w:rPr>
          <w:rFonts w:ascii="Verdana" w:hAnsi="Verdana" w:cs="Arial"/>
          <w:i/>
          <w:noProof/>
          <w:lang w:val="es-ES_tradnl"/>
        </w:rPr>
        <w:t>no pueden</w:t>
      </w:r>
      <w:r w:rsidRPr="00BF4507">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BF4507">
        <w:rPr>
          <w:rFonts w:ascii="Verdana" w:hAnsi="Verdana" w:cs="Arial"/>
          <w:noProof/>
          <w:vertAlign w:val="superscript"/>
          <w:lang w:val="es-ES_tradnl"/>
        </w:rPr>
        <w:footnoteReference w:id="4"/>
      </w:r>
      <w:r w:rsidRPr="00BF4507">
        <w:rPr>
          <w:rFonts w:ascii="Verdana" w:hAnsi="Verdana" w:cs="Arial"/>
          <w:noProof/>
          <w:lang w:val="es-ES_tradnl"/>
        </w:rPr>
        <w:t xml:space="preserve">. </w:t>
      </w:r>
    </w:p>
    <w:p w14:paraId="5D5734EA"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hAnsi="Verdana" w:cs="Arial"/>
          <w:noProof/>
          <w:lang w:val="es-ES_tradnl"/>
        </w:rPr>
        <w:lastRenderedPageBreak/>
        <w:t xml:space="preserve">A pesar de este mandato deontológico, es posible que en la práctica se configure una relación laboral, pues el contrato de trabajo es </w:t>
      </w:r>
      <w:r w:rsidRPr="00BF4507">
        <w:rPr>
          <w:rFonts w:ascii="Verdana" w:hAnsi="Verdana" w:cs="Arial"/>
          <w:i/>
          <w:iCs/>
          <w:noProof/>
          <w:lang w:val="es-ES_tradnl"/>
        </w:rPr>
        <w:t xml:space="preserve">de </w:t>
      </w:r>
      <w:r w:rsidRPr="00BF4507">
        <w:rPr>
          <w:rFonts w:ascii="Verdana" w:hAnsi="Verdana" w:cs="Arial"/>
          <w:i/>
          <w:noProof/>
          <w:lang w:val="es-ES_tradnl"/>
        </w:rPr>
        <w:t>realidad</w:t>
      </w:r>
      <w:r w:rsidRPr="00BF4507">
        <w:rPr>
          <w:rFonts w:ascii="Verdana" w:hAnsi="Verdana" w:cs="Arial"/>
          <w:noProof/>
          <w:lang w:val="es-ES_tradnl"/>
        </w:rPr>
        <w:t xml:space="preserve"> y para perfeccionarlo rige el principio de prevalencia de la realidad sobre las formalidades. En el sentido anterior, la Corte Constitucional declaró la exequibilidad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BF4507">
        <w:rPr>
          <w:rFonts w:ascii="Verdana" w:hAnsi="Verdana" w:cs="Arial"/>
          <w:noProof/>
          <w:vertAlign w:val="superscript"/>
          <w:lang w:val="es-ES_tradnl"/>
        </w:rPr>
        <w:footnoteReference w:id="5"/>
      </w:r>
      <w:r w:rsidRPr="00BF4507">
        <w:rPr>
          <w:rFonts w:ascii="Verdana" w:hAnsi="Verdana" w:cs="Arial"/>
          <w:noProof/>
          <w:lang w:val="es-ES_tradnl"/>
        </w:rPr>
        <w:t>.</w:t>
      </w:r>
    </w:p>
    <w:p w14:paraId="7595ECBE"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hAnsi="Verdana" w:cs="Arial"/>
          <w:noProof/>
          <w:lang w:val="es-ES_tradnl"/>
        </w:rPr>
        <w:t xml:space="preserve">iv) Deben ser temporales. La </w:t>
      </w:r>
      <w:r w:rsidRPr="00BF4507">
        <w:rPr>
          <w:rFonts w:ascii="Verdana" w:eastAsia="Arial" w:hAnsi="Verdana" w:cs="Arial"/>
          <w:color w:val="000000"/>
        </w:rPr>
        <w:t>Sentencia de Unificación Jurisprudencial de 09 de septiembre de 2021, proferida por el Consejo de Estado</w:t>
      </w:r>
      <w:r w:rsidRPr="00BF4507">
        <w:rPr>
          <w:rFonts w:ascii="Verdana" w:hAnsi="Verdana" w:cs="Arial"/>
          <w:bCs/>
          <w:vertAlign w:val="superscript"/>
          <w:lang w:val="es-ES"/>
        </w:rPr>
        <w:footnoteReference w:id="6"/>
      </w:r>
      <w:r w:rsidRPr="00BF4507">
        <w:rPr>
          <w:rFonts w:ascii="Verdana" w:hAnsi="Verdana" w:cs="Arial"/>
          <w:noProof/>
          <w:lang w:val="es-ES_tradnl"/>
        </w:rPr>
        <w:t xml:space="preserve">,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 </w:t>
      </w:r>
    </w:p>
    <w:p w14:paraId="13A818E8" w14:textId="77777777" w:rsidR="00795CDC" w:rsidRPr="00BF4507" w:rsidRDefault="00795CDC" w:rsidP="00795CDC">
      <w:pPr>
        <w:spacing w:after="0" w:line="276" w:lineRule="auto"/>
        <w:ind w:firstLine="709"/>
        <w:jc w:val="both"/>
        <w:rPr>
          <w:rFonts w:ascii="Verdana" w:hAnsi="Verdana" w:cs="Arial"/>
          <w:noProof/>
          <w:lang w:val="es-ES_tradnl"/>
        </w:rPr>
      </w:pPr>
      <w:r w:rsidRPr="00BF4507">
        <w:rPr>
          <w:rFonts w:ascii="Verdana" w:hAnsi="Verdana" w:cs="Arial"/>
          <w:lang w:val="es-MX"/>
        </w:rPr>
        <w:t xml:space="preserve">De igual manera, señaló que “no cabe su empleo para la cobertura indefinida de necesidades permanentes o recurrentes”. </w:t>
      </w:r>
      <w:r w:rsidRPr="00BF4507">
        <w:rPr>
          <w:rFonts w:ascii="Verdana" w:hAnsi="Verdana" w:cs="Arial"/>
          <w:noProof/>
          <w:lang w:val="es-ES_tradnl"/>
        </w:rPr>
        <w:t>En sentido similar se manifestó la Corte Constitucional en la sentencia C-154 de 1997, expresando que:</w:t>
      </w:r>
    </w:p>
    <w:p w14:paraId="32D034B4" w14:textId="77777777" w:rsidR="00795CDC" w:rsidRPr="00BF4507" w:rsidRDefault="00795CDC" w:rsidP="00795CDC">
      <w:pPr>
        <w:spacing w:after="0" w:line="276" w:lineRule="auto"/>
        <w:jc w:val="both"/>
        <w:rPr>
          <w:rFonts w:ascii="Verdana" w:hAnsi="Verdana" w:cs="Arial"/>
          <w:noProof/>
          <w:lang w:val="es-ES_tradnl"/>
        </w:rPr>
      </w:pPr>
    </w:p>
    <w:p w14:paraId="7882AE9C" w14:textId="77777777" w:rsidR="00795CDC" w:rsidRPr="00BF4507" w:rsidRDefault="00795CDC" w:rsidP="00795CDC">
      <w:pPr>
        <w:spacing w:after="0" w:line="240" w:lineRule="auto"/>
        <w:ind w:left="709" w:right="709"/>
        <w:contextualSpacing/>
        <w:jc w:val="both"/>
        <w:rPr>
          <w:rFonts w:ascii="Verdana" w:hAnsi="Verdana" w:cs="Arial"/>
          <w:noProof/>
          <w:sz w:val="20"/>
          <w:szCs w:val="20"/>
          <w:lang w:val="es-ES_tradnl"/>
        </w:rPr>
      </w:pPr>
      <w:r w:rsidRPr="00BF4507">
        <w:rPr>
          <w:rFonts w:ascii="Verdana" w:eastAsia="Yu Gothic UI Semibold" w:hAnsi="Verdana" w:cs="Arial"/>
          <w:iCs/>
          <w:sz w:val="20"/>
          <w:szCs w:val="20"/>
          <w:lang w:eastAsia="es-MX"/>
        </w:rPr>
        <w:t>“</w:t>
      </w:r>
      <w:r w:rsidRPr="00BF4507">
        <w:rPr>
          <w:rFonts w:ascii="Verdana" w:hAnsi="Verdana" w:cs="Arial"/>
          <w:noProof/>
          <w:sz w:val="20"/>
          <w:szCs w:val="20"/>
          <w:lang w:val="es-ES_tradnl"/>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w:t>
      </w:r>
      <w:r w:rsidRPr="00BF4507">
        <w:rPr>
          <w:rFonts w:ascii="Verdana" w:hAnsi="Verdana" w:cs="Arial"/>
          <w:noProof/>
          <w:sz w:val="20"/>
          <w:szCs w:val="20"/>
          <w:lang w:val="es-ES_tradnl"/>
        </w:rPr>
        <w:lastRenderedPageBreak/>
        <w:t>contemplado en la respectiva planta y previstos sus emolumentos en el presupuesto correspondiente”</w:t>
      </w:r>
      <w:r w:rsidRPr="00BF4507">
        <w:rPr>
          <w:rFonts w:ascii="Verdana" w:hAnsi="Verdana" w:cs="Arial"/>
          <w:noProof/>
          <w:sz w:val="20"/>
          <w:szCs w:val="20"/>
          <w:vertAlign w:val="superscript"/>
          <w:lang w:val="es-ES_tradnl"/>
        </w:rPr>
        <w:footnoteReference w:id="7"/>
      </w:r>
      <w:r w:rsidRPr="00BF4507">
        <w:rPr>
          <w:rFonts w:ascii="Verdana" w:hAnsi="Verdana" w:cs="Arial"/>
          <w:noProof/>
          <w:sz w:val="20"/>
          <w:szCs w:val="20"/>
          <w:lang w:val="es-ES_tradnl"/>
        </w:rPr>
        <w:t>.</w:t>
      </w:r>
    </w:p>
    <w:p w14:paraId="487192FA" w14:textId="77777777" w:rsidR="00795CDC" w:rsidRPr="00BF4507" w:rsidRDefault="00795CDC" w:rsidP="00795CDC">
      <w:pPr>
        <w:spacing w:after="0" w:line="276" w:lineRule="auto"/>
        <w:ind w:left="709" w:right="709"/>
        <w:jc w:val="both"/>
        <w:rPr>
          <w:rFonts w:ascii="Verdana" w:hAnsi="Verdana" w:cs="Arial"/>
          <w:noProof/>
          <w:lang w:val="es-ES_tradnl"/>
        </w:rPr>
      </w:pPr>
    </w:p>
    <w:p w14:paraId="482067D9" w14:textId="77777777" w:rsidR="00795CDC" w:rsidRPr="00BF4507" w:rsidRDefault="00795CDC" w:rsidP="00795CDC">
      <w:pPr>
        <w:spacing w:after="120" w:line="276" w:lineRule="auto"/>
        <w:ind w:firstLine="709"/>
        <w:jc w:val="both"/>
        <w:rPr>
          <w:rFonts w:ascii="Verdana" w:eastAsia="Calibri" w:hAnsi="Verdana" w:cs="Arial"/>
          <w:color w:val="000000"/>
          <w:lang w:val="es-ES_tradnl" w:eastAsia="es-ES_tradnl"/>
        </w:rPr>
      </w:pPr>
      <w:r w:rsidRPr="00BF4507">
        <w:rPr>
          <w:rFonts w:ascii="Verdana" w:hAnsi="Verdana" w:cs="Arial"/>
          <w:noProof/>
          <w:lang w:val="es-ES_tradnl"/>
        </w:rPr>
        <w:t xml:space="preserve">v) </w:t>
      </w:r>
      <w:r w:rsidRPr="00BF4507">
        <w:rPr>
          <w:rFonts w:ascii="Verdana" w:eastAsia="Calibri" w:hAnsi="Verdana" w:cs="Arial"/>
          <w:color w:val="000000"/>
          <w:lang w:val="es-ES_tradnl" w:eastAsia="es-ES_tradnl"/>
        </w:rPr>
        <w:t xml:space="preserve">Los contratos de prestación de servicios constituyen un </w:t>
      </w:r>
      <w:r w:rsidRPr="00BF4507">
        <w:rPr>
          <w:rFonts w:ascii="Verdana" w:eastAsia="Calibri" w:hAnsi="Verdana" w:cs="Arial"/>
          <w:i/>
          <w:iCs/>
          <w:color w:val="000000"/>
          <w:lang w:val="es-ES_tradnl" w:eastAsia="es-ES_tradnl"/>
        </w:rPr>
        <w:t>género</w:t>
      </w:r>
      <w:r w:rsidRPr="00BF4507">
        <w:rPr>
          <w:rFonts w:ascii="Verdana" w:eastAsia="Calibri" w:hAnsi="Verdana" w:cs="Arial"/>
          <w:color w:val="000000"/>
          <w:lang w:val="es-ES_tradnl" w:eastAsia="es-ES_tradnl"/>
        </w:rPr>
        <w:t xml:space="preserve"> que incluye, como </w:t>
      </w:r>
      <w:r w:rsidRPr="00BF4507">
        <w:rPr>
          <w:rFonts w:ascii="Verdana" w:eastAsia="Calibri" w:hAnsi="Verdana" w:cs="Arial"/>
          <w:i/>
          <w:iCs/>
          <w:color w:val="000000"/>
          <w:lang w:val="es-ES_tradnl" w:eastAsia="es-ES_tradnl"/>
        </w:rPr>
        <w:t>especies</w:t>
      </w:r>
      <w:r w:rsidRPr="00BF4507">
        <w:rPr>
          <w:rFonts w:ascii="Verdana" w:eastAsia="Calibri" w:hAnsi="Verdana" w:cs="Arial"/>
          <w:color w:val="000000"/>
          <w:lang w:val="es-ES_tradnl" w:eastAsia="es-ES_tradnl"/>
        </w:rPr>
        <w:t>, los contratos de prestación de servicios profesionales, los contratos de prestación de servicios de apoyo a la gestión y los contratos de prestación de servicios artísticos que solo pueden encomendarse a determinadas personas naturales</w:t>
      </w:r>
      <w:r w:rsidRPr="00BF4507">
        <w:rPr>
          <w:rFonts w:ascii="Verdana" w:eastAsia="Calibri" w:hAnsi="Verdana" w:cs="Arial"/>
          <w:color w:val="000000"/>
          <w:vertAlign w:val="superscript"/>
          <w:lang w:val="es-ES_tradnl" w:eastAsia="es-ES_tradnl"/>
        </w:rPr>
        <w:footnoteReference w:id="8"/>
      </w:r>
      <w:r w:rsidRPr="00BF4507">
        <w:rPr>
          <w:rFonts w:ascii="Verdana" w:eastAsia="Calibri" w:hAnsi="Verdana" w:cs="Arial"/>
          <w:color w:val="000000"/>
          <w:lang w:val="es-ES_tradnl" w:eastAsia="es-ES_tradnl"/>
        </w:rPr>
        <w:t xml:space="preserve">. La diferencia entre el contrato de prestación de servicios </w:t>
      </w:r>
      <w:r w:rsidRPr="00BF4507">
        <w:rPr>
          <w:rFonts w:ascii="Verdana" w:eastAsia="Calibri" w:hAnsi="Verdana" w:cs="Arial"/>
          <w:i/>
          <w:color w:val="000000"/>
          <w:lang w:val="es-ES_tradnl" w:eastAsia="es-ES_tradnl"/>
        </w:rPr>
        <w:t>profesionales</w:t>
      </w:r>
      <w:r w:rsidRPr="00BF4507">
        <w:rPr>
          <w:rFonts w:ascii="Verdana" w:eastAsia="Calibri" w:hAnsi="Verdana" w:cs="Arial"/>
          <w:color w:val="000000"/>
          <w:lang w:val="es-ES_tradnl" w:eastAsia="es-ES_tradnl"/>
        </w:rPr>
        <w:t xml:space="preserve"> con las otras dos especies del género en el cual se ubican radica en su contenido intelectual intangible y, al mismo tiempo, en la formación profesional que se exige para desempeñar la labor</w:t>
      </w:r>
      <w:r w:rsidRPr="00BF4507">
        <w:rPr>
          <w:rFonts w:ascii="Verdana" w:eastAsia="Calibri" w:hAnsi="Verdana" w:cs="Arial"/>
          <w:color w:val="000000"/>
          <w:vertAlign w:val="superscript"/>
          <w:lang w:val="es-ES_tradnl" w:eastAsia="es-ES_tradnl"/>
        </w:rPr>
        <w:footnoteReference w:id="9"/>
      </w:r>
      <w:r w:rsidRPr="00BF4507">
        <w:rPr>
          <w:rFonts w:ascii="Verdana" w:eastAsia="Calibri" w:hAnsi="Verdana" w:cs="Arial"/>
          <w:color w:val="000000"/>
          <w:lang w:val="es-ES_tradnl" w:eastAsia="es-ES_tradnl"/>
        </w:rPr>
        <w:t>.</w:t>
      </w:r>
    </w:p>
    <w:p w14:paraId="1E3CC04F" w14:textId="77777777" w:rsidR="00795CDC" w:rsidRPr="00BF4507" w:rsidRDefault="00795CDC" w:rsidP="00795CDC">
      <w:pPr>
        <w:spacing w:after="120" w:line="276" w:lineRule="auto"/>
        <w:ind w:firstLine="709"/>
        <w:jc w:val="both"/>
        <w:rPr>
          <w:rFonts w:ascii="Verdana" w:eastAsia="Calibri" w:hAnsi="Verdana" w:cs="Arial"/>
          <w:color w:val="000000"/>
          <w:lang w:val="es-ES" w:eastAsia="es-ES"/>
        </w:rPr>
      </w:pPr>
      <w:r w:rsidRPr="00BF4507">
        <w:rPr>
          <w:rFonts w:ascii="Verdana" w:hAnsi="Verdana" w:cs="Arial"/>
          <w:noProof/>
          <w:lang w:val="es-ES_tradnl"/>
        </w:rPr>
        <w:t xml:space="preserve">vi) Se celebran a través de la modalidad de contratación directa, independientemente de la cuantía y del tipo de servicio profesional, siempre que su objeto no sea la consultoría. Esto por cuanto, como lo indicó </w:t>
      </w:r>
      <w:r w:rsidRPr="00BF4507">
        <w:rPr>
          <w:rFonts w:ascii="Verdana" w:eastAsia="Arial" w:hAnsi="Verdana" w:cs="Arial"/>
          <w:color w:val="000000"/>
        </w:rPr>
        <w:t>Sentencia de Unificación Jurisprudencial de 09 de septiembre de 2021, proferida por el Consejo de Estado</w:t>
      </w:r>
      <w:r w:rsidRPr="00BF4507">
        <w:rPr>
          <w:rFonts w:ascii="Verdana" w:hAnsi="Verdana" w:cs="Arial"/>
          <w:bCs/>
          <w:vertAlign w:val="superscript"/>
          <w:lang w:val="es-ES"/>
        </w:rPr>
        <w:footnoteReference w:id="10"/>
      </w:r>
      <w:r w:rsidRPr="00BF4507">
        <w:rPr>
          <w:rFonts w:ascii="Verdana" w:hAnsi="Verdana" w:cs="Arial"/>
          <w:noProof/>
          <w:lang w:val="es-ES_tradnl"/>
        </w:rPr>
        <w:t>, si bien en ambos existe un componente intelectual y profesional, el objeto del contrato de consultoría es especial y debe celebrarse, por regla general, mediante un concurso de méritos</w:t>
      </w:r>
      <w:r w:rsidRPr="00BF4507">
        <w:rPr>
          <w:rFonts w:ascii="Verdana" w:hAnsi="Verdana" w:cs="Arial"/>
          <w:noProof/>
          <w:vertAlign w:val="superscript"/>
          <w:lang w:val="es-ES_tradnl"/>
        </w:rPr>
        <w:footnoteReference w:id="11"/>
      </w:r>
      <w:r w:rsidRPr="00BF4507">
        <w:rPr>
          <w:rFonts w:ascii="Verdana" w:hAnsi="Verdana" w:cs="Arial"/>
          <w:noProof/>
          <w:lang w:val="es-ES_tradnl"/>
        </w:rPr>
        <w:t xml:space="preserve">. Esto también se deriva </w:t>
      </w:r>
      <w:r w:rsidRPr="00BF4507">
        <w:rPr>
          <w:rFonts w:ascii="Verdana" w:hAnsi="Verdana" w:cs="Arial"/>
          <w:noProof/>
          <w:lang w:val="es-ES_tradnl"/>
        </w:rPr>
        <w:lastRenderedPageBreak/>
        <w:t>d</w:t>
      </w:r>
      <w:r w:rsidRPr="00BF4507">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r w:rsidRPr="00BF4507">
        <w:rPr>
          <w:rFonts w:ascii="Verdana" w:eastAsia="Calibri" w:hAnsi="Verdana" w:cs="Arial"/>
          <w:color w:val="000000"/>
          <w:lang w:val="es-ES" w:eastAsia="es-ES"/>
        </w:rPr>
        <w:t xml:space="preserve">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1BAA4D53"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hAnsi="Verdana" w:cs="Arial"/>
          <w:noProof/>
          <w:lang w:val="es-ES_tradnl"/>
        </w:rPr>
        <w:t>vii) Para su celebración no se requiere expedir un acto administrativo de justificación de la contratación directa</w:t>
      </w:r>
      <w:r w:rsidRPr="00BF4507">
        <w:rPr>
          <w:rFonts w:ascii="Verdana" w:hAnsi="Verdana" w:cs="Arial"/>
          <w:noProof/>
          <w:vertAlign w:val="superscript"/>
          <w:lang w:val="es-ES_tradnl"/>
        </w:rPr>
        <w:footnoteReference w:id="12"/>
      </w:r>
      <w:r w:rsidRPr="00BF4507">
        <w:rPr>
          <w:rFonts w:ascii="Verdana" w:hAnsi="Verdana" w:cs="Arial"/>
          <w:noProof/>
          <w:lang w:val="es-ES_tradnl"/>
        </w:rPr>
        <w:t>.</w:t>
      </w:r>
    </w:p>
    <w:p w14:paraId="6F652C96"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hAnsi="Verdana" w:cs="Arial"/>
          <w:noProof/>
          <w:lang w:val="es-ES_tradnl"/>
        </w:rPr>
        <w:t>viii)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BF4507">
        <w:rPr>
          <w:rFonts w:ascii="Verdana" w:hAnsi="Verdana" w:cs="Arial"/>
          <w:noProof/>
          <w:vertAlign w:val="superscript"/>
          <w:lang w:val="es-ES_tradnl"/>
        </w:rPr>
        <w:footnoteReference w:id="13"/>
      </w:r>
      <w:r w:rsidRPr="00BF4507">
        <w:rPr>
          <w:rFonts w:ascii="Verdana" w:hAnsi="Verdana" w:cs="Arial"/>
          <w:noProof/>
          <w:lang w:val="es-ES_tradnl"/>
        </w:rPr>
        <w:t>.</w:t>
      </w:r>
    </w:p>
    <w:p w14:paraId="176C629E"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hAnsi="Verdana" w:cs="Arial"/>
          <w:noProof/>
          <w:lang w:val="es-ES_tradnl"/>
        </w:rPr>
        <w:lastRenderedPageBreak/>
        <w:t>ix) No es obligatoria la liquidación de estos contratos, como lo establece el artículo 217 del Decreto 019 de 2012, que modificó el artículo 60 de la Ley 80 de 1993</w:t>
      </w:r>
      <w:r w:rsidRPr="00BF4507">
        <w:rPr>
          <w:rFonts w:ascii="Verdana" w:hAnsi="Verdana" w:cs="Arial"/>
          <w:noProof/>
          <w:vertAlign w:val="superscript"/>
          <w:lang w:val="es-ES_tradnl"/>
        </w:rPr>
        <w:footnoteReference w:id="14"/>
      </w:r>
      <w:r w:rsidRPr="00BF4507">
        <w:rPr>
          <w:rFonts w:ascii="Verdana" w:hAnsi="Verdana" w:cs="Arial"/>
          <w:noProof/>
          <w:lang w:val="es-ES_tradnl"/>
        </w:rPr>
        <w:t>.</w:t>
      </w:r>
    </w:p>
    <w:p w14:paraId="340FFF12"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hAnsi="Verdana" w:cs="Arial"/>
          <w:noProof/>
          <w:lang w:val="es-ES_tradnl"/>
        </w:rPr>
        <w:t>x) Para su celebración el contratista no requiere estar inscrito en el Registro Único de Proponentes –en adelante RUP–, como lo señala el artículo 6 de la Ley 1150 de 2007</w:t>
      </w:r>
      <w:r w:rsidRPr="00BF4507">
        <w:rPr>
          <w:rFonts w:ascii="Verdana" w:hAnsi="Verdana" w:cs="Arial"/>
          <w:noProof/>
          <w:vertAlign w:val="superscript"/>
          <w:lang w:val="es-ES_tradnl"/>
        </w:rPr>
        <w:footnoteReference w:id="15"/>
      </w:r>
      <w:r w:rsidRPr="00BF4507">
        <w:rPr>
          <w:rFonts w:ascii="Verdana" w:hAnsi="Verdana" w:cs="Arial"/>
          <w:noProof/>
          <w:lang w:val="es-ES_tradnl"/>
        </w:rPr>
        <w:t>.</w:t>
      </w:r>
    </w:p>
    <w:p w14:paraId="64B92DCD" w14:textId="77777777" w:rsidR="00795CDC" w:rsidRPr="00BF4507" w:rsidRDefault="00795CDC" w:rsidP="00795CDC">
      <w:pPr>
        <w:spacing w:after="120" w:line="276" w:lineRule="auto"/>
        <w:ind w:firstLine="708"/>
        <w:jc w:val="both"/>
        <w:rPr>
          <w:rFonts w:ascii="Verdana" w:hAnsi="Verdana" w:cs="Arial"/>
          <w:noProof/>
          <w:lang w:val="es-ES_tradnl"/>
        </w:rPr>
      </w:pPr>
      <w:r w:rsidRPr="00BF4507">
        <w:rPr>
          <w:rFonts w:ascii="Verdana" w:hAnsi="Verdana" w:cs="Arial"/>
          <w:noProof/>
          <w:lang w:val="es-ES_tradnl"/>
        </w:rPr>
        <w:t>xi) No es obligtoria la exigencia de garantías</w:t>
      </w:r>
      <w:r w:rsidRPr="00BF4507">
        <w:rPr>
          <w:rFonts w:ascii="Verdana" w:hAnsi="Verdana" w:cs="Arial"/>
          <w:noProof/>
          <w:vertAlign w:val="superscript"/>
          <w:lang w:val="es-ES_tradnl"/>
        </w:rPr>
        <w:footnoteReference w:id="16"/>
      </w:r>
      <w:r w:rsidRPr="00BF4507">
        <w:rPr>
          <w:rFonts w:ascii="Verdana" w:hAnsi="Verdana" w:cs="Arial"/>
          <w:noProof/>
          <w:lang w:val="es-ES_tradnl"/>
        </w:rPr>
        <w:t>.</w:t>
      </w:r>
    </w:p>
    <w:p w14:paraId="2F1F10A1"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hAnsi="Verdana" w:cs="Arial"/>
          <w:noProof/>
          <w:lang w:val="es-ES_tradnl"/>
        </w:rPr>
        <w:t>xii) Como los demás contratos estatales, se trata de un contrato solemne que debe constar por escrito y debe ser publicado en el SECOP.</w:t>
      </w:r>
    </w:p>
    <w:p w14:paraId="55CDAD54" w14:textId="77777777" w:rsidR="00795CDC" w:rsidRPr="00BF4507" w:rsidRDefault="00795CDC" w:rsidP="00795CDC">
      <w:pPr>
        <w:spacing w:after="120" w:line="276" w:lineRule="auto"/>
        <w:ind w:firstLine="709"/>
        <w:jc w:val="both"/>
        <w:rPr>
          <w:rFonts w:ascii="Verdana" w:hAnsi="Verdana" w:cs="Arial"/>
          <w:noProof/>
          <w:lang w:val="es-ES_tradnl"/>
        </w:rPr>
      </w:pPr>
      <w:r w:rsidRPr="00BF4507">
        <w:rPr>
          <w:rFonts w:ascii="Verdana" w:eastAsia="Calibri" w:hAnsi="Verdana" w:cs="Arial"/>
          <w:bCs/>
          <w:color w:val="000000" w:themeColor="text1"/>
          <w:lang w:val="es-ES_tradnl"/>
        </w:rPr>
        <w:t xml:space="preserve">Habiendo explicado los rasgos generales del contrato de prestación de servicios profesionales, de apoyo a la gestión y de actividades artísticas, regulados por el Estatuto General de Contratación de la Administración Pública, conviene hacer referencia al tema de la consulta bajo análisis, en la que se indaga sobre la </w:t>
      </w:r>
      <w:r w:rsidRPr="00BF4507">
        <w:rPr>
          <w:rFonts w:ascii="Verdana" w:hAnsi="Verdana" w:cs="Arial"/>
          <w:noProof/>
          <w:lang w:val="es-ES_tradnl"/>
        </w:rPr>
        <w:t>procedencia de la estabilidad ocupacional reforzada del contratista que está próximo a ser padre en este tipo de relaciones juridicas.</w:t>
      </w:r>
    </w:p>
    <w:p w14:paraId="4E7F5C3C" w14:textId="77777777" w:rsidR="00795CDC" w:rsidRPr="00BF4507" w:rsidRDefault="00795CDC" w:rsidP="00795CDC">
      <w:pPr>
        <w:spacing w:after="120" w:line="276" w:lineRule="auto"/>
        <w:ind w:firstLine="709"/>
        <w:jc w:val="both"/>
        <w:rPr>
          <w:rFonts w:ascii="Verdana" w:hAnsi="Verdana"/>
        </w:rPr>
      </w:pPr>
      <w:r w:rsidRPr="00BF4507">
        <w:rPr>
          <w:rFonts w:ascii="Verdana" w:hAnsi="Verdana" w:cs="Arial"/>
          <w:noProof/>
          <w:lang w:val="es-ES_tradnl"/>
        </w:rPr>
        <w:t xml:space="preserve">Al respecto, es </w:t>
      </w:r>
      <w:r w:rsidRPr="00BF4507">
        <w:rPr>
          <w:rFonts w:ascii="Verdana" w:hAnsi="Verdana" w:cs="Arial"/>
          <w:shd w:val="clear" w:color="auto" w:fill="FFFFFF"/>
        </w:rPr>
        <w:t>importante señalar que, l</w:t>
      </w:r>
      <w:r w:rsidRPr="00BF4507">
        <w:rPr>
          <w:rFonts w:ascii="Verdana" w:hAnsi="Verdana" w:cs="Times New Roman"/>
        </w:rPr>
        <w:t>a protección a la estabilidad laboral reforzada del trabajador que esté próximo a ser padre, está en proceso de adopción o dentro de las dieciocho (18) semanas posteriores al parto y la persona con la que decidió tener a su hijo no tiene un empleo formal ha sido reconocida por la jurisprudencia de la Corte Constitucional. En la sentencia C-</w:t>
      </w:r>
      <w:r w:rsidRPr="00BF4507">
        <w:rPr>
          <w:rFonts w:ascii="Verdana" w:hAnsi="Verdana" w:cs="Times New Roman"/>
        </w:rPr>
        <w:lastRenderedPageBreak/>
        <w:t xml:space="preserve">005 de 2017, esta Corporación reconoció que tanto la mujer gestante o lactante trabajadora, como la pareja trabajadora, enfrentan demandas similares, como la llegada de un nuevo miembro del grupo familiar. Así, </w:t>
      </w:r>
      <w:r w:rsidRPr="00BF4507">
        <w:rPr>
          <w:rFonts w:ascii="Verdana" w:hAnsi="Verdana"/>
        </w:rPr>
        <w:t>declaró la exequibilidad condicionada de los artículos 239.1 y 240.1 del Decreto Ley 2663 de 1950 – en adelante Código Sustantivo del Trabajo –, en atención a la omisión legislativa contenida en estas normas, en el entendido de que “la prohibición de despido y exigencia de permiso para llevarlo a cabo se extienden al (la) trabajador (a) que sea cónyuge o compañero(a) permanente de mujer embarazada o lactante, dependiente económicamente de aquel (la)</w:t>
      </w:r>
      <w:r w:rsidRPr="00BF4507">
        <w:rPr>
          <w:rFonts w:ascii="Verdana" w:hAnsi="Verdana" w:cs="Times New Roman"/>
        </w:rPr>
        <w:t>”</w:t>
      </w:r>
      <w:r w:rsidRPr="00BF4507">
        <w:rPr>
          <w:rStyle w:val="Refdenotaalpie"/>
          <w:rFonts w:ascii="Verdana" w:hAnsi="Verdana" w:cs="Times New Roman"/>
        </w:rPr>
        <w:footnoteReference w:id="17"/>
      </w:r>
      <w:r w:rsidRPr="00BF4507">
        <w:rPr>
          <w:rFonts w:ascii="Verdana" w:hAnsi="Verdana"/>
        </w:rPr>
        <w:t>.</w:t>
      </w:r>
    </w:p>
    <w:p w14:paraId="07025925" w14:textId="77777777" w:rsidR="00795CDC" w:rsidRPr="00BF4507" w:rsidRDefault="00795CDC" w:rsidP="00795CDC">
      <w:pPr>
        <w:spacing w:after="0" w:line="276" w:lineRule="auto"/>
        <w:ind w:firstLine="708"/>
        <w:jc w:val="both"/>
        <w:rPr>
          <w:rFonts w:ascii="Verdana" w:hAnsi="Verdana" w:cs="Arial"/>
          <w:noProof/>
          <w:lang w:val="es-ES_tradnl"/>
        </w:rPr>
      </w:pPr>
      <w:r w:rsidRPr="00BF4507">
        <w:rPr>
          <w:rFonts w:ascii="Verdana" w:hAnsi="Verdana" w:cs="Times New Roman"/>
          <w:color w:val="0D0D0D" w:themeColor="text1" w:themeTint="F2"/>
        </w:rPr>
        <w:t>Ese avance jurisprudencial fue el antecedente del fuero legal de paternidad. L</w:t>
      </w:r>
      <w:r w:rsidRPr="00BF4507">
        <w:rPr>
          <w:rFonts w:ascii="Verdana" w:hAnsi="Verdana" w:cs="Arial"/>
          <w:shd w:val="clear" w:color="auto" w:fill="FFFFFF"/>
        </w:rPr>
        <w:t xml:space="preserve">a </w:t>
      </w:r>
      <w:r w:rsidRPr="00BF4507">
        <w:rPr>
          <w:rFonts w:ascii="Verdana" w:hAnsi="Verdana" w:cs="Times New Roman"/>
          <w:color w:val="0D0D0D" w:themeColor="text1" w:themeTint="F2"/>
        </w:rPr>
        <w:t>Ley 2141 de 2021 modificó los artículos 239 y 240 del Código Sustantivo del Trabajo, con el fin de establecer el denominado fuero de paternidad. En el numeral 5° del artículo 239 del Código Sustantivo del Trabajo – modificado por el artículo 1 de la Ley 2141 de 2021 – quedó explícito dicho fuero al prohibirse el despido del trabajador cuando la pareja, cónyuge o compañera permanente, carezca de empleo formal.</w:t>
      </w:r>
      <w:r w:rsidRPr="00BF4507">
        <w:rPr>
          <w:rFonts w:ascii="Verdana" w:hAnsi="Verdana" w:cs="Arial"/>
          <w:shd w:val="clear" w:color="auto" w:fill="FFFFFF"/>
        </w:rPr>
        <w:t>:</w:t>
      </w:r>
    </w:p>
    <w:p w14:paraId="002290C6" w14:textId="77777777" w:rsidR="00795CDC" w:rsidRPr="00BF4507" w:rsidRDefault="00795CDC" w:rsidP="00795CDC">
      <w:pPr>
        <w:shd w:val="clear" w:color="auto" w:fill="FFFFFF"/>
        <w:spacing w:after="0" w:line="276" w:lineRule="auto"/>
        <w:jc w:val="both"/>
        <w:rPr>
          <w:rFonts w:ascii="Verdana" w:hAnsi="Verdana" w:cs="Arial"/>
          <w:shd w:val="clear" w:color="auto" w:fill="FFFFFF"/>
        </w:rPr>
      </w:pPr>
    </w:p>
    <w:p w14:paraId="4918B579" w14:textId="77777777" w:rsidR="00795CDC" w:rsidRPr="00BF4507" w:rsidRDefault="00795CDC" w:rsidP="00795CDC">
      <w:pPr>
        <w:shd w:val="clear" w:color="auto" w:fill="FFFFFF"/>
        <w:spacing w:after="0" w:line="240" w:lineRule="auto"/>
        <w:ind w:left="709" w:right="709"/>
        <w:jc w:val="both"/>
        <w:rPr>
          <w:rFonts w:ascii="Verdana" w:hAnsi="Verdana" w:cs="Arial"/>
          <w:b/>
          <w:bCs/>
          <w:sz w:val="20"/>
          <w:szCs w:val="20"/>
          <w:shd w:val="clear" w:color="auto" w:fill="FFFFFF"/>
        </w:rPr>
      </w:pPr>
      <w:r w:rsidRPr="00BF4507">
        <w:rPr>
          <w:rFonts w:ascii="Verdana" w:hAnsi="Verdana" w:cs="Arial"/>
          <w:sz w:val="20"/>
          <w:szCs w:val="20"/>
          <w:shd w:val="clear" w:color="auto" w:fill="FFFFFF"/>
        </w:rPr>
        <w:t>“</w:t>
      </w:r>
      <w:r w:rsidRPr="00BF4507">
        <w:rPr>
          <w:rFonts w:ascii="Verdana" w:hAnsi="Verdana" w:cs="Arial"/>
          <w:b/>
          <w:bCs/>
          <w:sz w:val="20"/>
          <w:szCs w:val="20"/>
          <w:shd w:val="clear" w:color="auto" w:fill="FFFFFF"/>
        </w:rPr>
        <w:t>Artículo 239. Prohibición de despido.</w:t>
      </w:r>
    </w:p>
    <w:p w14:paraId="53F6CFFA" w14:textId="77777777" w:rsidR="00795CDC" w:rsidRPr="00BF4507" w:rsidRDefault="00795CDC" w:rsidP="00795CDC">
      <w:pPr>
        <w:shd w:val="clear" w:color="auto" w:fill="FFFFFF"/>
        <w:spacing w:after="0" w:line="240" w:lineRule="auto"/>
        <w:ind w:left="709" w:right="709"/>
        <w:jc w:val="both"/>
        <w:rPr>
          <w:rFonts w:ascii="Verdana" w:hAnsi="Verdana" w:cs="Arial"/>
          <w:sz w:val="20"/>
          <w:szCs w:val="20"/>
          <w:shd w:val="clear" w:color="auto" w:fill="FFFFFF"/>
        </w:rPr>
      </w:pPr>
    </w:p>
    <w:p w14:paraId="3E959D0F" w14:textId="77777777" w:rsidR="00795CDC" w:rsidRPr="00BF4507" w:rsidRDefault="00795CDC" w:rsidP="00795CDC">
      <w:pPr>
        <w:shd w:val="clear" w:color="auto" w:fill="FFFFFF"/>
        <w:spacing w:after="0" w:line="240" w:lineRule="auto"/>
        <w:ind w:left="709" w:right="709"/>
        <w:jc w:val="both"/>
        <w:rPr>
          <w:rFonts w:ascii="Verdana" w:hAnsi="Verdana" w:cs="Arial"/>
          <w:sz w:val="20"/>
          <w:szCs w:val="20"/>
          <w:shd w:val="clear" w:color="auto" w:fill="FFFFFF"/>
        </w:rPr>
      </w:pPr>
      <w:r w:rsidRPr="00BF4507">
        <w:rPr>
          <w:rFonts w:ascii="Verdana" w:hAnsi="Verdana" w:cs="Arial"/>
          <w:sz w:val="20"/>
          <w:szCs w:val="20"/>
          <w:shd w:val="clear" w:color="auto" w:fill="FFFFFF"/>
        </w:rPr>
        <w:t>5. Se prohíbe el despido de todo trabajador cuya cónyuge, pareja o compañera permanente se encuentre en estado de embarazo o dentro de las dieciocho (18) semanas posteriores al parto y no tenga un empleo formal. Esta prohibición se activará con la notificación al empleador del estado de embarazo de la cónyuge, pareja o compañera permanente, y una declaración, que se entiende presentada bajo la gravedad del juramento, de que ella carece de un empleo. La notificación podrá hacerse verbalmente o por escrito. En ambos casos el trabajador tendrá hasta un (1) mes para adjuntar la prueba que acredite el estado de embarazo de su cónyuge o compañera permanente. Para tal efecto, serán válidos los certificados médicos o los resultados de exámenes realizados en laboratorios clínicos avalados y vigilados por las autoridades competentes”.</w:t>
      </w:r>
    </w:p>
    <w:p w14:paraId="0CB7303A" w14:textId="77777777" w:rsidR="00795CDC" w:rsidRPr="00BF4507" w:rsidRDefault="00795CDC" w:rsidP="00795CDC">
      <w:pPr>
        <w:tabs>
          <w:tab w:val="left" w:pos="0"/>
        </w:tabs>
        <w:spacing w:after="0" w:line="276" w:lineRule="auto"/>
        <w:jc w:val="both"/>
        <w:rPr>
          <w:rFonts w:ascii="Verdana" w:hAnsi="Verdana" w:cs="Arial"/>
        </w:rPr>
      </w:pPr>
    </w:p>
    <w:p w14:paraId="6AC1EA7F" w14:textId="77777777" w:rsidR="00795CDC" w:rsidRPr="00BF4507" w:rsidRDefault="00795CDC" w:rsidP="00795CDC">
      <w:pPr>
        <w:spacing w:after="0" w:line="276" w:lineRule="auto"/>
        <w:jc w:val="both"/>
        <w:rPr>
          <w:rFonts w:ascii="Verdana" w:hAnsi="Verdana" w:cs="Arial"/>
        </w:rPr>
      </w:pPr>
      <w:r w:rsidRPr="00BF4507">
        <w:rPr>
          <w:rFonts w:ascii="Verdana" w:hAnsi="Verdana" w:cs="Arial"/>
        </w:rPr>
        <w:tab/>
        <w:t xml:space="preserve">Por su parte, el artículo 240 del del Código Sustantivo del Trabajo – modificado por el artículo 2 de la Ley 2141 de 2021 – señala: </w:t>
      </w:r>
    </w:p>
    <w:p w14:paraId="2C4E0AA4" w14:textId="77777777" w:rsidR="00795CDC" w:rsidRPr="00BF4507" w:rsidRDefault="00795CDC" w:rsidP="00795CDC">
      <w:pPr>
        <w:spacing w:after="0" w:line="276" w:lineRule="auto"/>
        <w:jc w:val="both"/>
        <w:rPr>
          <w:rFonts w:ascii="Verdana" w:hAnsi="Verdana" w:cs="Arial"/>
        </w:rPr>
      </w:pPr>
    </w:p>
    <w:p w14:paraId="48FAFCC3" w14:textId="77777777" w:rsidR="00795CDC" w:rsidRPr="00BF4507" w:rsidRDefault="00795CDC" w:rsidP="00795CDC">
      <w:pPr>
        <w:spacing w:after="0" w:line="240" w:lineRule="auto"/>
        <w:ind w:left="709" w:right="709"/>
        <w:jc w:val="both"/>
        <w:rPr>
          <w:rFonts w:ascii="Verdana" w:hAnsi="Verdana" w:cs="Arial"/>
          <w:sz w:val="20"/>
          <w:szCs w:val="20"/>
        </w:rPr>
      </w:pPr>
      <w:r w:rsidRPr="00BF4507">
        <w:rPr>
          <w:rFonts w:ascii="Verdana" w:hAnsi="Verdana" w:cs="Arial"/>
          <w:sz w:val="20"/>
          <w:szCs w:val="20"/>
        </w:rPr>
        <w:t xml:space="preserve">“1. Para poder despedir a una trabajadora durante el período de embarazo o a las dieciocho (18) semanas posteriores al parto, el empleador necesita </w:t>
      </w:r>
      <w:r w:rsidRPr="00BF4507">
        <w:rPr>
          <w:rFonts w:ascii="Verdana" w:hAnsi="Verdana" w:cs="Arial"/>
          <w:sz w:val="20"/>
          <w:szCs w:val="20"/>
        </w:rPr>
        <w:lastRenderedPageBreak/>
        <w:t>la autorización del Inspector del Trabajo, o del Alcalde Municipal en los lugares en donde no existiere aquel funcionario. La misma autorización se requerirá para despedir al trabajador cuya cónyuge, pareja o compañera permanente se encuentre en estado de embarazo y no tenga un empleo formal, adjuntando prueba que así lo acredite o que se encuentre afiliada como beneficiaria en el Sistema de Seguridad Social en Salud.</w:t>
      </w:r>
      <w:r w:rsidRPr="00BF4507">
        <w:rPr>
          <w:rFonts w:ascii="Verdana" w:hAnsi="Verdana" w:cs="Arial"/>
          <w:sz w:val="20"/>
          <w:szCs w:val="20"/>
        </w:rPr>
        <w:tab/>
      </w:r>
    </w:p>
    <w:p w14:paraId="5FBF8DBE" w14:textId="77777777" w:rsidR="00795CDC" w:rsidRPr="00BF4507" w:rsidRDefault="00795CDC" w:rsidP="00795CDC">
      <w:pPr>
        <w:spacing w:after="0" w:line="276" w:lineRule="auto"/>
        <w:ind w:left="709" w:right="709"/>
        <w:jc w:val="both"/>
        <w:rPr>
          <w:rFonts w:ascii="Verdana" w:hAnsi="Verdana" w:cs="Arial"/>
        </w:rPr>
      </w:pPr>
    </w:p>
    <w:p w14:paraId="52ADA81C" w14:textId="77777777" w:rsidR="00795CDC" w:rsidRPr="00BF4507" w:rsidRDefault="00795CDC" w:rsidP="00795CDC">
      <w:pPr>
        <w:spacing w:after="120" w:line="276" w:lineRule="auto"/>
        <w:ind w:firstLine="708"/>
        <w:jc w:val="both"/>
        <w:rPr>
          <w:rFonts w:ascii="Verdana" w:hAnsi="Verdana" w:cs="Arial"/>
        </w:rPr>
      </w:pPr>
      <w:r w:rsidRPr="00BF4507">
        <w:rPr>
          <w:rFonts w:ascii="Verdana" w:hAnsi="Verdana" w:cs="Arial"/>
        </w:rPr>
        <w:t xml:space="preserve">Según se deprende de los textos transcritos, se prohíbe el despido unilateral y sin justa causa de un trabajador cuya cónyuge, pareja o compañera permanente cumpla los siguientes requisitos: i) encontrarse en estado de embarazo o dentro de las dieciocho (18) semanas posteriores al parto y; ii) según el texto original de la norma, no tener una relación laboral formal vigente al momento del despido del trabajador. Para poder despedir a un trabajador cuya cónyuge, pareja o compañera permanente se encuentre en estado de embarazo y no tenga un empleo formal, se necesita autorización del Ministerio del Trabajo </w:t>
      </w:r>
      <w:r w:rsidRPr="00BF4507">
        <w:rPr>
          <w:rFonts w:ascii="Verdana" w:hAnsi="Verdana" w:cs="Times New Roman"/>
          <w:color w:val="0D0D0D" w:themeColor="text1" w:themeTint="F2"/>
        </w:rPr>
        <w:t>o del alcalde municipal, en los lugares donde no existiere aquel funcionario,</w:t>
      </w:r>
      <w:r w:rsidRPr="00BF4507">
        <w:rPr>
          <w:rFonts w:ascii="Verdana" w:hAnsi="Verdana" w:cs="Arial"/>
        </w:rPr>
        <w:t xml:space="preserve"> que avale una justa causa de despido.</w:t>
      </w:r>
    </w:p>
    <w:p w14:paraId="6B171E33" w14:textId="77777777" w:rsidR="00795CDC" w:rsidRPr="00BF4507" w:rsidRDefault="00795CDC" w:rsidP="00795CDC">
      <w:pPr>
        <w:spacing w:after="120" w:line="276" w:lineRule="auto"/>
        <w:ind w:firstLine="708"/>
        <w:jc w:val="both"/>
        <w:rPr>
          <w:rFonts w:ascii="Verdana" w:hAnsi="Verdana" w:cs="Arial"/>
        </w:rPr>
      </w:pPr>
      <w:r w:rsidRPr="00BF4507">
        <w:rPr>
          <w:rFonts w:ascii="Verdana" w:hAnsi="Verdana" w:cs="Arial"/>
        </w:rPr>
        <w:t xml:space="preserve">La estabilidad laboral reforzada se activa si el trabajador cumple los siguientes requisitos: i) Notificar, de forma verbal o escrita, al empleador del estado de embarazo de la cónyuge, pareja o compañera permanente; ii) hacer una declaración al empleador, bajo la gravedad de juramento, indicando que su cónyuge, pareja o compañera permanente carece de un empleo – circunstancia que fue declarada inexequible por la Corte Constitucional, como se pasara a exponer más adelante – y; iii) adjuntar prueba que acredite el estado de embarazo de la cónyuge, pareja o compañera permanente. </w:t>
      </w:r>
    </w:p>
    <w:p w14:paraId="70EE772C" w14:textId="77777777" w:rsidR="00795CDC" w:rsidRPr="00BF4507" w:rsidRDefault="00795CDC" w:rsidP="00795CDC">
      <w:pPr>
        <w:spacing w:after="120" w:line="276" w:lineRule="auto"/>
        <w:ind w:firstLine="708"/>
        <w:jc w:val="both"/>
        <w:rPr>
          <w:rFonts w:ascii="Verdana" w:eastAsia="Calibri" w:hAnsi="Verdana" w:cs="Arial"/>
          <w:color w:val="000000"/>
        </w:rPr>
      </w:pPr>
      <w:r w:rsidRPr="00BF4507">
        <w:rPr>
          <w:rFonts w:ascii="Verdana" w:eastAsia="Calibri" w:hAnsi="Verdana" w:cs="Arial"/>
          <w:color w:val="000000"/>
        </w:rPr>
        <w:t xml:space="preserve">Ahora bien, la Corte Constitucional, mediante Sentencia C-517 de 2024 del 5 de diciembre de 2024, declaró inconstitucionales las disposiciones que limitaban el fuero de paternidad únicamente a los casos en los que la mujer gestante o lactante careciera de empleo formal. En su decisión, el Alto Tribunal constitucional concluyó que las expresiones "y no tenga un empleo formal" y "una declaración, que se entiende presentada bajo la gravedad del juramento, de que ella carece de un empleo" eran inconstitucionales, al generar un trato discriminatorio hacia los trabajadores que comparten la gestación y crianza con mujeres que cuentan con empleo formal. En ese sentido, señaló que el fuero paterno garantiza la igualdad en las responsabilidades familiares, rechazando la visión patriarcal que limita el rol masculino al sustento económico. En consecuencia, amplió el alcance del fuero de paternidad, reconociéndolo sin restricciones en favor de los padres o parejas de las madres gestantes que hayan </w:t>
      </w:r>
      <w:r w:rsidRPr="00BF4507">
        <w:rPr>
          <w:rFonts w:ascii="Verdana" w:eastAsia="Calibri" w:hAnsi="Verdana" w:cs="Arial"/>
          <w:color w:val="000000"/>
        </w:rPr>
        <w:lastRenderedPageBreak/>
        <w:t>notificado el estado de gestación de su pareja, sin restricciones y en los mismos términos de duración y condiciones previstos para el fuero de maternidad.</w:t>
      </w:r>
    </w:p>
    <w:p w14:paraId="075EBB83" w14:textId="77777777" w:rsidR="00795CDC" w:rsidRPr="00BF4507" w:rsidRDefault="00795CDC" w:rsidP="00795CDC">
      <w:pPr>
        <w:spacing w:after="120" w:line="276" w:lineRule="auto"/>
        <w:ind w:firstLine="708"/>
        <w:jc w:val="both"/>
        <w:rPr>
          <w:rFonts w:ascii="Verdana" w:eastAsia="Calibri" w:hAnsi="Verdana" w:cs="Arial"/>
          <w:color w:val="000000" w:themeColor="text1"/>
          <w:lang w:val="es-ES"/>
        </w:rPr>
      </w:pPr>
      <w:r w:rsidRPr="00BF4507">
        <w:rPr>
          <w:rFonts w:ascii="Verdana" w:eastAsia="Calibri" w:hAnsi="Verdana" w:cs="Arial"/>
          <w:bCs/>
          <w:color w:val="000000"/>
          <w:lang w:val="es-ES_tradnl"/>
        </w:rPr>
        <w:t xml:space="preserve">En este contexto, frente al interrogante planteado en su consulta tendiente a establecer si ¿el derecho regulado en los artículos 1 y 2 de la </w:t>
      </w:r>
      <w:r w:rsidRPr="00BF4507">
        <w:rPr>
          <w:rFonts w:ascii="Verdana" w:hAnsi="Verdana" w:cs="Arial"/>
        </w:rPr>
        <w:t xml:space="preserve">Ley 2141 de 2021, que modificaron los artículos 239 y 240 del Código Sustantivo de Trabajo, </w:t>
      </w:r>
      <w:r w:rsidRPr="00BF4507">
        <w:rPr>
          <w:rFonts w:ascii="Verdana" w:eastAsia="Calibri" w:hAnsi="Verdana" w:cs="Arial"/>
          <w:bCs/>
          <w:color w:val="000000"/>
          <w:lang w:val="es-ES_tradnl"/>
        </w:rPr>
        <w:t xml:space="preserve">también debe garantizarse a las contratistas del Estado en la modalidad prestación de servicio?, la respuesta Agencia Nacional de Contratación Pública – Colombia Compra Eficiente– es negativa. </w:t>
      </w:r>
      <w:r w:rsidRPr="00BF4507">
        <w:rPr>
          <w:rFonts w:ascii="Verdana" w:eastAsia="Calibri" w:hAnsi="Verdana" w:cs="Arial"/>
          <w:color w:val="000000" w:themeColor="text1"/>
          <w:lang w:val="es-ES"/>
        </w:rPr>
        <w:t xml:space="preserve">Esto comoquiera que, las modificaciones introducidas por los artículos 1 y 2 de la Ley 2141 de 2021 son aplicables a personas vinculadas por contrato laboral, en la medida que, por un lado, como se ha venido señalando, las referidas disposiciones modificaron el artículo 238 del Código Sustantivo de Trabajo, el cual regula relaciones laborales. Por otro lado, se deduce de la lectura literal de los artículos objeto de estudio, que estos hacen referencia a los sujetos propios de la relación laboral - “empleador”, “trabajador”. </w:t>
      </w:r>
    </w:p>
    <w:p w14:paraId="584C530D" w14:textId="77777777" w:rsidR="00795CDC" w:rsidRPr="00BF4507" w:rsidRDefault="00795CDC" w:rsidP="00795CDC">
      <w:pPr>
        <w:spacing w:after="120" w:line="276" w:lineRule="auto"/>
        <w:ind w:firstLine="708"/>
        <w:jc w:val="both"/>
        <w:rPr>
          <w:rFonts w:ascii="Verdana" w:eastAsia="Calibri" w:hAnsi="Verdana" w:cs="Arial"/>
          <w:color w:val="000000" w:themeColor="text1"/>
          <w:lang w:val="es-ES"/>
        </w:rPr>
      </w:pPr>
      <w:r w:rsidRPr="00BF4507">
        <w:rPr>
          <w:rFonts w:ascii="Verdana" w:hAnsi="Verdana"/>
        </w:rPr>
        <w:t>Como se señaló en el presente concepto, 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del fuero de paternidad a.</w:t>
      </w:r>
      <w:r w:rsidRPr="00BF4507">
        <w:rPr>
          <w:rFonts w:ascii="Verdana" w:hAnsi="Verdana" w:cs="Arial"/>
        </w:rPr>
        <w:t> </w:t>
      </w:r>
      <w:r w:rsidRPr="00BF4507">
        <w:rPr>
          <w:rFonts w:ascii="Verdana" w:eastAsia="Calibri" w:hAnsi="Verdana" w:cs="Arial"/>
          <w:bCs/>
          <w:color w:val="000000" w:themeColor="text1"/>
          <w:lang w:val="es-ES_tradnl"/>
        </w:rPr>
        <w:t xml:space="preserve"> Esto, por cuanto el artículo 32, numeral 3, de la Ley 80 de 1993 señala que “En ningún caso estos contratos generan relación laboral ni prestaciones sociales […]”. En consecuencia, si los contratos de prestación de servicios no generan relaciones laborales, </w:t>
      </w:r>
      <w:r w:rsidRPr="00BF4507">
        <w:rPr>
          <w:rFonts w:ascii="Verdana" w:eastAsia="Calibri" w:hAnsi="Verdana" w:cs="Arial"/>
          <w:bCs/>
          <w:i/>
          <w:iCs/>
          <w:color w:val="000000" w:themeColor="text1"/>
          <w:lang w:val="es-ES_tradnl"/>
        </w:rPr>
        <w:t>prima facie</w:t>
      </w:r>
      <w:r w:rsidRPr="00BF4507">
        <w:rPr>
          <w:rFonts w:ascii="Verdana" w:eastAsia="Calibri" w:hAnsi="Verdana" w:cs="Arial"/>
          <w:bCs/>
          <w:color w:val="000000" w:themeColor="text1"/>
          <w:lang w:val="es-ES_tradnl"/>
        </w:rPr>
        <w:t>, podría decirse que no se aplican a estos contratos las normas del Código Sustantivo del Trabajo, sino las del Estatuto General de Contratación de la Administración Pública y aquellas a las que remite expresamente este cuerpo normativo.</w:t>
      </w:r>
    </w:p>
    <w:p w14:paraId="031AF7FD" w14:textId="77777777" w:rsidR="00795CDC" w:rsidRPr="00BF4507" w:rsidRDefault="00795CDC" w:rsidP="00795CDC">
      <w:pPr>
        <w:spacing w:after="120" w:line="276" w:lineRule="auto"/>
        <w:ind w:firstLine="708"/>
        <w:jc w:val="both"/>
        <w:rPr>
          <w:rFonts w:ascii="Verdana" w:hAnsi="Verdana" w:cs="Arial"/>
          <w:shd w:val="clear" w:color="auto" w:fill="FFFFFF"/>
        </w:rPr>
      </w:pPr>
      <w:r w:rsidRPr="00BF4507">
        <w:rPr>
          <w:rFonts w:ascii="Verdana" w:eastAsia="Calibri" w:hAnsi="Verdana" w:cs="Arial"/>
          <w:bCs/>
          <w:color w:val="000000"/>
          <w:lang w:val="es-ES_tradnl"/>
        </w:rPr>
        <w:t xml:space="preserve">Habiendo efectuado la precisión anterior, puede afirmarse que lo previsto en la Ley 2141 de 2021 no se aplica a las relaciones contractuales de las Entidades Estatales que </w:t>
      </w:r>
      <w:r w:rsidRPr="00BF4507">
        <w:rPr>
          <w:rFonts w:ascii="Verdana" w:eastAsia="Calibri" w:hAnsi="Verdana" w:cs="Arial"/>
          <w:bCs/>
          <w:i/>
          <w:iCs/>
          <w:color w:val="000000"/>
          <w:lang w:val="es-ES_tradnl"/>
        </w:rPr>
        <w:t>no</w:t>
      </w:r>
      <w:r w:rsidRPr="00BF4507">
        <w:rPr>
          <w:rFonts w:ascii="Verdana" w:eastAsia="Calibri" w:hAnsi="Verdana" w:cs="Arial"/>
          <w:bCs/>
          <w:color w:val="00000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BF4507" w:rsidDel="00C72792">
        <w:rPr>
          <w:rFonts w:ascii="Verdana" w:hAnsi="Verdana" w:cs="Arial"/>
          <w:shd w:val="clear" w:color="auto" w:fill="FFFFFF"/>
        </w:rPr>
        <w:t xml:space="preserve"> </w:t>
      </w:r>
    </w:p>
    <w:p w14:paraId="3CA8455B" w14:textId="77777777" w:rsidR="00795CDC" w:rsidRPr="00BF4507" w:rsidRDefault="00795CDC" w:rsidP="00795CDC">
      <w:pPr>
        <w:spacing w:after="120" w:line="276" w:lineRule="auto"/>
        <w:ind w:firstLine="709"/>
        <w:jc w:val="both"/>
        <w:rPr>
          <w:rFonts w:ascii="Verdana" w:eastAsia="Calibri" w:hAnsi="Verdana" w:cs="Arial"/>
          <w:bCs/>
          <w:color w:val="000000"/>
          <w:lang w:val="es-ES_tradnl"/>
        </w:rPr>
      </w:pPr>
      <w:r w:rsidRPr="00BF4507">
        <w:rPr>
          <w:rFonts w:ascii="Verdana" w:hAnsi="Verdana" w:cs="Arial"/>
          <w:shd w:val="clear" w:color="auto" w:fill="FFFFFF"/>
        </w:rPr>
        <w:t xml:space="preserve">En este punto, es necesario precisar que, a la fecha no existe un precedente judicial o los fundamentos jurídicos mediante los cuales se han </w:t>
      </w:r>
      <w:r w:rsidRPr="00BF4507">
        <w:rPr>
          <w:rFonts w:ascii="Verdana" w:hAnsi="Verdana" w:cs="Arial"/>
          <w:shd w:val="clear" w:color="auto" w:fill="FFFFFF"/>
        </w:rPr>
        <w:lastRenderedPageBreak/>
        <w:t>resuelto situaciones análogas, por lo que para esta Agencia no es posible realizar una interpretación amplia de la Ley 2141 de 2021 para el caso específico de los contratos de prestación de servicios. Al respecto, e</w:t>
      </w:r>
      <w:r w:rsidRPr="00BF4507">
        <w:rPr>
          <w:rFonts w:ascii="Verdana" w:hAnsi="Verdana" w:cs="Times New Roman"/>
          <w:color w:val="000000" w:themeColor="text1"/>
          <w:lang w:eastAsia="es-ES_tradnl"/>
        </w:rPr>
        <w:t>s importante precisar que, el derecho a la estabilidad laboral reforzada por fuero de paternidad, pese a que fue reconocido mediante la Sentencia C-005 de 2017 y regulado por el legislador en el año 2021, no ha tenido mayor desarrollo jurisprudencial en materia de acción de tutela. Esto significa que no existe una jurisprudencia consolidada que haya definido el contenido y alcance es este derecho, por ejemplo, en el marco de contratos de prestación de servicios.</w:t>
      </w:r>
    </w:p>
    <w:p w14:paraId="1E79807D" w14:textId="77777777" w:rsidR="00795CDC" w:rsidRPr="00BF4507" w:rsidRDefault="00795CDC" w:rsidP="00795CDC">
      <w:pPr>
        <w:spacing w:before="120" w:after="0" w:line="276" w:lineRule="auto"/>
        <w:ind w:firstLine="709"/>
        <w:jc w:val="both"/>
        <w:rPr>
          <w:rFonts w:ascii="Verdana" w:eastAsia="Times New Roman" w:hAnsi="Verdana" w:cs="Arial"/>
        </w:rPr>
      </w:pPr>
      <w:r w:rsidRPr="00BF4507">
        <w:rPr>
          <w:rFonts w:ascii="Verdana" w:eastAsia="Times New Roman" w:hAnsi="Verdana" w:cs="Arial"/>
          <w:lang w:val="es-ES" w:eastAsia="es-ES"/>
        </w:rPr>
        <w:t xml:space="preserve">Sin perjuicio de lo anterior, debe advertirse que </w:t>
      </w:r>
      <w:r w:rsidRPr="00BF4507">
        <w:rPr>
          <w:rFonts w:ascii="Verdana" w:eastAsia="Times New Roman" w:hAnsi="Verdana" w:cs="Arial"/>
          <w:lang w:val="es-ES"/>
        </w:rPr>
        <w:t xml:space="preserve">la Entidad Estatal en uso de su autonomía y discrecionalidad podrá adicionar, prorrogar un contrato o suscribir un nuevo contrato con el contratista de prestación de servicios que está próximo a ser padre, siempre que se cumplan con los presupuestos legales y jurisprudenciales para que proceda la respectiva contratación. </w:t>
      </w:r>
    </w:p>
    <w:p w14:paraId="36431061" w14:textId="77777777" w:rsidR="00795CDC" w:rsidRPr="00BF4507" w:rsidRDefault="00795CDC" w:rsidP="00795CDC">
      <w:pPr>
        <w:spacing w:after="0" w:line="276" w:lineRule="auto"/>
        <w:ind w:firstLine="708"/>
        <w:jc w:val="both"/>
        <w:rPr>
          <w:rFonts w:ascii="Verdana" w:hAnsi="Verdana" w:cs="Arial"/>
        </w:rPr>
      </w:pPr>
    </w:p>
    <w:p w14:paraId="45D83254" w14:textId="77777777" w:rsidR="00795CDC" w:rsidRPr="00BF4507" w:rsidRDefault="00795CDC" w:rsidP="00795C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F4507">
        <w:rPr>
          <w:rFonts w:ascii="Verdana" w:eastAsia="Century Gothic" w:hAnsi="Verdana" w:cs="Century Gothic"/>
          <w:b/>
          <w:bCs/>
        </w:rPr>
        <w:t>Referencias normativas, jurisprudenciales y otras fuentes:</w:t>
      </w:r>
    </w:p>
    <w:p w14:paraId="120F993C" w14:textId="77777777" w:rsidR="00795CDC" w:rsidRPr="00BF4507" w:rsidRDefault="00795CDC" w:rsidP="00795CD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95CDC" w:rsidRPr="00BF4507" w14:paraId="0CADB39F" w14:textId="77777777" w:rsidTr="00677F03">
        <w:trPr>
          <w:trHeight w:val="870"/>
        </w:trPr>
        <w:tc>
          <w:tcPr>
            <w:tcW w:w="8647" w:type="dxa"/>
          </w:tcPr>
          <w:p w14:paraId="7B7648AB" w14:textId="49DAF2DA" w:rsidR="00795CDC" w:rsidRPr="00AA03F8" w:rsidRDefault="00795CDC" w:rsidP="00AA03F8">
            <w:pPr>
              <w:pStyle w:val="Prrafodelista"/>
              <w:numPr>
                <w:ilvl w:val="0"/>
                <w:numId w:val="17"/>
              </w:numPr>
              <w:spacing w:line="276" w:lineRule="auto"/>
              <w:ind w:left="360"/>
              <w:contextualSpacing w:val="0"/>
              <w:rPr>
                <w:rFonts w:ascii="Verdana" w:eastAsia="Arial" w:hAnsi="Verdana" w:cs="Arial"/>
                <w:color w:val="000000"/>
              </w:rPr>
            </w:pPr>
            <w:r w:rsidRPr="00AA03F8">
              <w:rPr>
                <w:rFonts w:ascii="Verdana" w:eastAsia="Arial" w:hAnsi="Verdana" w:cs="Arial"/>
                <w:color w:val="000000"/>
              </w:rPr>
              <w:t xml:space="preserve">Ley 80 de 1993: Artículo 32, numeral 3.  </w:t>
            </w:r>
          </w:p>
          <w:p w14:paraId="03CEB8F8" w14:textId="77777777" w:rsidR="00795CDC" w:rsidRPr="00BF4507" w:rsidRDefault="00795CDC" w:rsidP="00677F03">
            <w:pPr>
              <w:pStyle w:val="Prrafodelista"/>
              <w:spacing w:line="276" w:lineRule="auto"/>
              <w:ind w:left="360"/>
              <w:contextualSpacing w:val="0"/>
              <w:rPr>
                <w:rFonts w:ascii="Verdana" w:eastAsia="Arial" w:hAnsi="Verdana" w:cs="Arial"/>
                <w:color w:val="000000"/>
              </w:rPr>
            </w:pPr>
          </w:p>
          <w:p w14:paraId="2C9AA47D" w14:textId="77777777" w:rsidR="00795CDC" w:rsidRPr="00BF4507" w:rsidRDefault="00795CDC" w:rsidP="00795CDC">
            <w:pPr>
              <w:pStyle w:val="Prrafodelista"/>
              <w:numPr>
                <w:ilvl w:val="0"/>
                <w:numId w:val="17"/>
              </w:numPr>
              <w:spacing w:line="276" w:lineRule="auto"/>
              <w:ind w:left="360"/>
              <w:contextualSpacing w:val="0"/>
              <w:rPr>
                <w:rFonts w:ascii="Verdana" w:eastAsia="Arial" w:hAnsi="Verdana" w:cs="Arial"/>
                <w:color w:val="000000"/>
              </w:rPr>
            </w:pPr>
            <w:r w:rsidRPr="00BF4507">
              <w:rPr>
                <w:rFonts w:ascii="Verdana" w:eastAsia="Arial" w:hAnsi="Verdana" w:cs="Arial"/>
                <w:color w:val="000000"/>
              </w:rPr>
              <w:t xml:space="preserve">Ley 1150 de 2007: Artículo 2, numeral 4°, literal h). </w:t>
            </w:r>
          </w:p>
          <w:p w14:paraId="43A51133" w14:textId="77777777" w:rsidR="00795CDC" w:rsidRPr="00BF4507" w:rsidRDefault="00795CDC" w:rsidP="00677F03">
            <w:pPr>
              <w:pStyle w:val="Prrafodelista"/>
              <w:spacing w:line="276" w:lineRule="auto"/>
              <w:ind w:left="360"/>
              <w:contextualSpacing w:val="0"/>
              <w:rPr>
                <w:rFonts w:ascii="Verdana" w:hAnsi="Verdana" w:cs="Arial"/>
              </w:rPr>
            </w:pPr>
          </w:p>
          <w:p w14:paraId="2E919770" w14:textId="77777777" w:rsidR="00795CDC" w:rsidRPr="00BF4507" w:rsidRDefault="00795CDC" w:rsidP="00795CDC">
            <w:pPr>
              <w:pStyle w:val="Prrafodelista"/>
              <w:numPr>
                <w:ilvl w:val="0"/>
                <w:numId w:val="17"/>
              </w:numPr>
              <w:spacing w:line="276" w:lineRule="auto"/>
              <w:ind w:left="360"/>
              <w:contextualSpacing w:val="0"/>
              <w:rPr>
                <w:rFonts w:ascii="Verdana" w:hAnsi="Verdana" w:cs="Arial"/>
              </w:rPr>
            </w:pPr>
            <w:r w:rsidRPr="00BF4507">
              <w:rPr>
                <w:rFonts w:ascii="Verdana" w:hAnsi="Verdana" w:cs="Times New Roman"/>
                <w:color w:val="0D0D0D" w:themeColor="text1" w:themeTint="F2"/>
              </w:rPr>
              <w:t xml:space="preserve">Código Sustantivo del Trabajo: Artículo 239, numeral 5° </w:t>
            </w:r>
            <w:r w:rsidRPr="00BF4507">
              <w:rPr>
                <w:rFonts w:ascii="Verdana" w:hAnsi="Verdana" w:cs="Arial"/>
              </w:rPr>
              <w:t>–</w:t>
            </w:r>
            <w:r w:rsidRPr="00BF4507">
              <w:rPr>
                <w:rFonts w:ascii="Verdana" w:hAnsi="Verdana" w:cs="Times New Roman"/>
                <w:color w:val="0D0D0D" w:themeColor="text1" w:themeTint="F2"/>
              </w:rPr>
              <w:t xml:space="preserve"> modificado por el artículo 1 de la Ley 2141 de 2021; </w:t>
            </w:r>
            <w:r w:rsidRPr="00BF4507">
              <w:rPr>
                <w:rFonts w:ascii="Verdana" w:hAnsi="Verdana" w:cs="Arial"/>
              </w:rPr>
              <w:t xml:space="preserve">artículo 240 – modificado por el artículo 2 de la Ley 2141 de 2021. </w:t>
            </w:r>
          </w:p>
          <w:p w14:paraId="226B6939" w14:textId="77777777" w:rsidR="00795CDC" w:rsidRPr="00BF4507" w:rsidRDefault="00795CDC" w:rsidP="00677F03">
            <w:pPr>
              <w:pStyle w:val="Prrafodelista"/>
              <w:spacing w:line="276" w:lineRule="auto"/>
              <w:ind w:left="360"/>
              <w:contextualSpacing w:val="0"/>
              <w:rPr>
                <w:rFonts w:ascii="Verdana" w:eastAsia="Arial" w:hAnsi="Verdana" w:cs="Arial"/>
                <w:color w:val="000000"/>
                <w:lang w:val="es-CO"/>
              </w:rPr>
            </w:pPr>
          </w:p>
          <w:p w14:paraId="0DB078C4" w14:textId="77777777" w:rsidR="00795CDC" w:rsidRPr="00BF4507" w:rsidRDefault="00795CDC" w:rsidP="00795CDC">
            <w:pPr>
              <w:pStyle w:val="Textonotapie"/>
              <w:numPr>
                <w:ilvl w:val="0"/>
                <w:numId w:val="17"/>
              </w:numPr>
              <w:spacing w:line="276" w:lineRule="auto"/>
              <w:ind w:left="360"/>
              <w:jc w:val="both"/>
              <w:rPr>
                <w:rFonts w:ascii="Verdana" w:hAnsi="Verdana" w:cs="Arial"/>
                <w:sz w:val="22"/>
                <w:szCs w:val="22"/>
                <w:lang w:val="es-ES"/>
              </w:rPr>
            </w:pPr>
            <w:r w:rsidRPr="00BF4507">
              <w:rPr>
                <w:rFonts w:ascii="Verdana" w:hAnsi="Verdana" w:cs="Arial"/>
                <w:sz w:val="22"/>
                <w:szCs w:val="22"/>
                <w:lang w:val="pt-BR"/>
              </w:rPr>
              <w:t xml:space="preserve">Corte Constitucional. Sentencia C-154 de 1997. </w:t>
            </w:r>
            <w:r w:rsidRPr="00BF4507">
              <w:rPr>
                <w:rFonts w:ascii="Verdana" w:hAnsi="Verdana" w:cs="Arial"/>
                <w:sz w:val="22"/>
                <w:szCs w:val="22"/>
                <w:lang w:val="es-ES"/>
              </w:rPr>
              <w:t>Magistrado Ponente: Hernando Herrera Vergara.</w:t>
            </w:r>
          </w:p>
          <w:p w14:paraId="4615AE80" w14:textId="77777777" w:rsidR="00795CDC" w:rsidRPr="00BF4507" w:rsidRDefault="00795CDC" w:rsidP="00677F03">
            <w:pPr>
              <w:pStyle w:val="Prrafodelista"/>
              <w:rPr>
                <w:rFonts w:ascii="Verdana" w:hAnsi="Verdana" w:cs="Arial"/>
              </w:rPr>
            </w:pPr>
          </w:p>
          <w:p w14:paraId="48D44049" w14:textId="77777777" w:rsidR="00795CDC" w:rsidRPr="00BF4507" w:rsidRDefault="00795CDC" w:rsidP="00795CDC">
            <w:pPr>
              <w:pStyle w:val="Prrafodelista"/>
              <w:numPr>
                <w:ilvl w:val="0"/>
                <w:numId w:val="17"/>
              </w:numPr>
              <w:spacing w:line="276" w:lineRule="auto"/>
              <w:ind w:left="360"/>
              <w:contextualSpacing w:val="0"/>
              <w:rPr>
                <w:rFonts w:ascii="Verdana" w:hAnsi="Verdana" w:cs="Times New Roman"/>
              </w:rPr>
            </w:pPr>
            <w:r w:rsidRPr="00BF4507">
              <w:rPr>
                <w:rFonts w:ascii="Verdana" w:hAnsi="Verdana" w:cs="Arial"/>
                <w:lang w:val="pt-BR"/>
              </w:rPr>
              <w:t>Corte Constitucional.</w:t>
            </w:r>
            <w:r w:rsidRPr="00BF4507">
              <w:rPr>
                <w:rFonts w:ascii="Verdana" w:hAnsi="Verdana" w:cs="Times New Roman"/>
              </w:rPr>
              <w:t xml:space="preserve"> </w:t>
            </w:r>
            <w:r w:rsidRPr="00BF4507">
              <w:rPr>
                <w:rFonts w:ascii="Verdana" w:hAnsi="Verdana" w:cs="Arial"/>
                <w:lang w:val="pt-BR"/>
              </w:rPr>
              <w:t>Sentencia</w:t>
            </w:r>
            <w:r w:rsidRPr="00BF4507">
              <w:rPr>
                <w:rFonts w:ascii="Verdana" w:hAnsi="Verdana" w:cs="Times New Roman"/>
              </w:rPr>
              <w:t xml:space="preserve"> C-005 de 2017. Magistrado Ponente: Luis Ernesto Vargas Silva</w:t>
            </w:r>
          </w:p>
          <w:p w14:paraId="11B31DEB" w14:textId="77777777" w:rsidR="00795CDC" w:rsidRPr="00BF4507" w:rsidRDefault="00795CDC" w:rsidP="00677F03">
            <w:pPr>
              <w:pStyle w:val="Prrafodelista"/>
              <w:spacing w:line="276" w:lineRule="auto"/>
              <w:ind w:left="360"/>
              <w:contextualSpacing w:val="0"/>
              <w:rPr>
                <w:rFonts w:ascii="Verdana" w:hAnsi="Verdana" w:cs="Arial"/>
                <w:noProof/>
                <w:lang w:val="es-ES_tradnl"/>
              </w:rPr>
            </w:pPr>
          </w:p>
          <w:p w14:paraId="1F8F7B58" w14:textId="77777777" w:rsidR="00795CDC" w:rsidRPr="00BF4507" w:rsidRDefault="00795CDC" w:rsidP="00795CDC">
            <w:pPr>
              <w:pStyle w:val="Prrafodelista"/>
              <w:numPr>
                <w:ilvl w:val="0"/>
                <w:numId w:val="17"/>
              </w:numPr>
              <w:spacing w:line="276" w:lineRule="auto"/>
              <w:ind w:left="360"/>
              <w:contextualSpacing w:val="0"/>
              <w:rPr>
                <w:rFonts w:ascii="Verdana" w:eastAsia="Calibri" w:hAnsi="Verdana" w:cs="Arial"/>
                <w:color w:val="000000"/>
                <w:lang w:val="it-IT"/>
              </w:rPr>
            </w:pPr>
            <w:r w:rsidRPr="00BF4507">
              <w:rPr>
                <w:rFonts w:ascii="Verdana" w:hAnsi="Verdana" w:cs="Arial"/>
                <w:lang w:val="pt-BR"/>
              </w:rPr>
              <w:t xml:space="preserve">Corte Constitucional. </w:t>
            </w:r>
            <w:r w:rsidRPr="00BF4507">
              <w:rPr>
                <w:rFonts w:ascii="Verdana" w:eastAsia="Calibri" w:hAnsi="Verdana" w:cs="Arial"/>
                <w:color w:val="000000"/>
              </w:rPr>
              <w:t xml:space="preserve">Sentencia C-517 de 2024. </w:t>
            </w:r>
            <w:r w:rsidRPr="00BF4507">
              <w:rPr>
                <w:rFonts w:ascii="Verdana" w:hAnsi="Verdana" w:cs="Times New Roman"/>
                <w:lang w:val="it-IT"/>
              </w:rPr>
              <w:t xml:space="preserve">Magistrado Ponente: </w:t>
            </w:r>
            <w:r w:rsidRPr="00BF4507">
              <w:rPr>
                <w:rFonts w:ascii="Verdana" w:eastAsia="Calibri" w:hAnsi="Verdana" w:cs="Arial"/>
                <w:color w:val="000000"/>
                <w:lang w:val="it-IT"/>
              </w:rPr>
              <w:t xml:space="preserve">Diana Fajardo Rivera. </w:t>
            </w:r>
          </w:p>
          <w:p w14:paraId="5E7B9092" w14:textId="77777777" w:rsidR="00795CDC" w:rsidRPr="00BF4507" w:rsidRDefault="00795CDC" w:rsidP="00677F03">
            <w:pPr>
              <w:pStyle w:val="Textonotapie"/>
              <w:spacing w:line="276" w:lineRule="auto"/>
              <w:jc w:val="both"/>
              <w:rPr>
                <w:rFonts w:ascii="Verdana" w:hAnsi="Verdana" w:cs="Arial"/>
                <w:color w:val="000000"/>
                <w:sz w:val="22"/>
                <w:szCs w:val="22"/>
                <w:lang w:val="it-IT"/>
              </w:rPr>
            </w:pPr>
          </w:p>
          <w:p w14:paraId="45661452" w14:textId="77777777" w:rsidR="00795CDC" w:rsidRPr="00BF4507" w:rsidRDefault="00795CDC" w:rsidP="00795CDC">
            <w:pPr>
              <w:pStyle w:val="Textonotapie"/>
              <w:numPr>
                <w:ilvl w:val="0"/>
                <w:numId w:val="17"/>
              </w:numPr>
              <w:spacing w:line="276" w:lineRule="auto"/>
              <w:ind w:left="360"/>
              <w:jc w:val="both"/>
              <w:rPr>
                <w:rFonts w:ascii="Verdana" w:hAnsi="Verdana" w:cs="Arial"/>
                <w:color w:val="000000"/>
                <w:sz w:val="22"/>
                <w:szCs w:val="22"/>
                <w:lang w:val="es-ES"/>
              </w:rPr>
            </w:pPr>
            <w:r w:rsidRPr="00BF4507">
              <w:rPr>
                <w:rFonts w:ascii="Verdana" w:hAnsi="Verdana" w:cs="Arial"/>
                <w:color w:val="000000"/>
                <w:sz w:val="22"/>
                <w:szCs w:val="22"/>
                <w:lang w:val="es-ES"/>
              </w:rPr>
              <w:t>Consejo De Estado. Sección Tercera. Subsección C. Sentencia del 2 de diciembre de 2013. Exp. 41719. Consejero Ponente: Jaime Orlando Santofimio Gamboa.</w:t>
            </w:r>
          </w:p>
          <w:p w14:paraId="78265B1D" w14:textId="77777777" w:rsidR="00795CDC" w:rsidRPr="00BF4507" w:rsidRDefault="00795CDC" w:rsidP="00677F03">
            <w:pPr>
              <w:pStyle w:val="Textonotapie"/>
              <w:spacing w:line="276" w:lineRule="auto"/>
              <w:ind w:firstLine="709"/>
              <w:jc w:val="both"/>
              <w:rPr>
                <w:rFonts w:ascii="Verdana" w:hAnsi="Verdana" w:cs="Arial"/>
                <w:color w:val="000000"/>
                <w:sz w:val="22"/>
                <w:szCs w:val="22"/>
                <w:lang w:val="es-ES"/>
              </w:rPr>
            </w:pPr>
          </w:p>
          <w:p w14:paraId="728252C1" w14:textId="77777777" w:rsidR="00795CDC" w:rsidRPr="00BF4507" w:rsidRDefault="00795CDC" w:rsidP="00795CDC">
            <w:pPr>
              <w:pStyle w:val="Prrafodelista"/>
              <w:numPr>
                <w:ilvl w:val="0"/>
                <w:numId w:val="17"/>
              </w:numPr>
              <w:spacing w:line="276" w:lineRule="auto"/>
              <w:ind w:left="360"/>
              <w:contextualSpacing w:val="0"/>
              <w:rPr>
                <w:rFonts w:ascii="Verdana" w:eastAsia="Arial" w:hAnsi="Verdana" w:cs="Arial"/>
                <w:color w:val="000000"/>
              </w:rPr>
            </w:pPr>
            <w:r w:rsidRPr="00BF4507">
              <w:rPr>
                <w:rFonts w:ascii="Verdana" w:hAnsi="Verdana" w:cs="Arial"/>
                <w:color w:val="000000"/>
              </w:rPr>
              <w:t>Consejo De Estado. Sección Tercera.</w:t>
            </w:r>
            <w:r w:rsidRPr="00BF4507">
              <w:rPr>
                <w:rFonts w:ascii="Verdana" w:hAnsi="Verdana" w:cs="Arial"/>
                <w:noProof/>
                <w:lang w:val="es-ES_tradnl"/>
              </w:rPr>
              <w:t xml:space="preserve"> </w:t>
            </w:r>
            <w:r w:rsidRPr="00BF4507">
              <w:rPr>
                <w:rFonts w:ascii="Verdana" w:eastAsia="Arial" w:hAnsi="Verdana" w:cs="Arial"/>
                <w:color w:val="000000"/>
              </w:rPr>
              <w:t xml:space="preserve">Sentencia de Unificación Jurisprudencial de 09 de septiembre de 2021. </w:t>
            </w:r>
          </w:p>
        </w:tc>
      </w:tr>
    </w:tbl>
    <w:p w14:paraId="7ED097D3" w14:textId="77777777" w:rsidR="00795CDC" w:rsidRPr="00BF4507" w:rsidRDefault="00795CDC" w:rsidP="00795CDC">
      <w:pPr>
        <w:widowControl w:val="0"/>
        <w:autoSpaceDE w:val="0"/>
        <w:autoSpaceDN w:val="0"/>
        <w:spacing w:after="0" w:line="276" w:lineRule="auto"/>
        <w:jc w:val="both"/>
        <w:rPr>
          <w:rFonts w:ascii="Verdana" w:hAnsi="Verdana" w:cs="Arial"/>
        </w:rPr>
      </w:pPr>
    </w:p>
    <w:p w14:paraId="235D7B48" w14:textId="77777777" w:rsidR="00795CDC" w:rsidRPr="00BF4507" w:rsidRDefault="00795CDC" w:rsidP="00795C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F4507">
        <w:rPr>
          <w:rFonts w:ascii="Verdana" w:eastAsia="Century Gothic" w:hAnsi="Verdana" w:cs="Century Gothic"/>
          <w:b/>
          <w:bCs/>
        </w:rPr>
        <w:t>Doctrina de la Agencia Nacional de Contratación Pública:</w:t>
      </w:r>
    </w:p>
    <w:p w14:paraId="544F35EC" w14:textId="77777777" w:rsidR="00795CDC" w:rsidRPr="00BF4507" w:rsidRDefault="00795CDC" w:rsidP="00795CDC">
      <w:pPr>
        <w:spacing w:after="0" w:line="276" w:lineRule="auto"/>
        <w:jc w:val="both"/>
        <w:rPr>
          <w:rFonts w:ascii="Verdana" w:hAnsi="Verdana" w:cs="Arial"/>
        </w:rPr>
      </w:pPr>
    </w:p>
    <w:p w14:paraId="7DD4847C" w14:textId="3C2173C0" w:rsidR="00795CDC" w:rsidRPr="00BF4507" w:rsidRDefault="00795CDC" w:rsidP="00795CDC">
      <w:pPr>
        <w:spacing w:after="0" w:line="276" w:lineRule="auto"/>
        <w:jc w:val="both"/>
        <w:rPr>
          <w:rStyle w:val="normaltextrun"/>
          <w:rFonts w:ascii="Verdana" w:hAnsi="Verdana" w:cs="Arial"/>
          <w:color w:val="FF0000"/>
          <w:shd w:val="clear" w:color="auto" w:fill="FFFFFF"/>
          <w:lang w:val="es-ES"/>
        </w:rPr>
      </w:pPr>
      <w:r w:rsidRPr="00BF4507">
        <w:rPr>
          <w:rFonts w:ascii="Verdana" w:eastAsia="Calibri" w:hAnsi="Verdana" w:cs="Arial"/>
          <w:lang w:val="es-ES" w:eastAsia="es-ES_tradnl"/>
        </w:rPr>
        <w:t xml:space="preserve">La Agencia Nacional de Contratación Pública – Colombia Compra Eficiente </w:t>
      </w:r>
      <w:r w:rsidRPr="00BF4507">
        <w:rPr>
          <w:rFonts w:ascii="Verdana" w:eastAsia="Calibri" w:hAnsi="Verdana" w:cs="Arial"/>
          <w:color w:val="000000"/>
          <w:lang w:eastAsia="es-ES_tradnl"/>
        </w:rPr>
        <w:t>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w:t>
      </w:r>
      <w:r w:rsidR="00C07231">
        <w:rPr>
          <w:rFonts w:ascii="Verdana" w:eastAsia="Calibri" w:hAnsi="Verdana" w:cs="Arial"/>
          <w:color w:val="000000"/>
          <w:lang w:eastAsia="es-ES_tradnl"/>
        </w:rPr>
        <w:t>,</w:t>
      </w:r>
      <w:r w:rsidRPr="00BF4507">
        <w:rPr>
          <w:rFonts w:ascii="Verdana" w:eastAsia="Calibri" w:hAnsi="Verdana" w:cs="Arial"/>
          <w:color w:val="000000"/>
          <w:lang w:eastAsia="es-ES_tradnl"/>
        </w:rPr>
        <w:t xml:space="preserve"> C-009 del 20 de febrero de 2023</w:t>
      </w:r>
      <w:r w:rsidR="00C07231">
        <w:rPr>
          <w:rFonts w:ascii="Verdana" w:eastAsia="Calibri" w:hAnsi="Verdana" w:cs="Arial"/>
          <w:color w:val="000000"/>
          <w:lang w:eastAsia="es-ES_tradnl"/>
        </w:rPr>
        <w:t xml:space="preserve"> y C-072 del 6 de marzo de 2025</w:t>
      </w:r>
      <w:r w:rsidRPr="00BF4507">
        <w:rPr>
          <w:rFonts w:ascii="Verdana" w:eastAsia="Calibri" w:hAnsi="Verdana" w:cs="Arial"/>
          <w:color w:val="000000"/>
          <w:lang w:eastAsia="es-ES_tradnl"/>
        </w:rPr>
        <w:t xml:space="preserve">. </w:t>
      </w:r>
      <w:r w:rsidRPr="00BF4507">
        <w:rPr>
          <w:rStyle w:val="normaltextrun"/>
          <w:rFonts w:ascii="Verdana" w:hAnsi="Verdana" w:cs="Arial"/>
          <w:shd w:val="clear" w:color="auto" w:fill="FFFFFF"/>
          <w:lang w:val="es-ES"/>
        </w:rPr>
        <w:t>Es</w:t>
      </w:r>
      <w:r w:rsidRPr="00BF4507">
        <w:rPr>
          <w:rFonts w:ascii="Verdana" w:hAnsi="Verdana"/>
        </w:rPr>
        <w:t>tos y otros conceptos se encuentran disponibles para consulta en el Sistema de relatoría de la Agencia, al cual se puede acceder a través del siguiente enlace:</w:t>
      </w:r>
      <w:r w:rsidRPr="00BF4507">
        <w:rPr>
          <w:rStyle w:val="normaltextrun"/>
          <w:rFonts w:ascii="Verdana" w:hAnsi="Verdana" w:cs="Arial"/>
          <w:shd w:val="clear" w:color="auto" w:fill="FFFFFF"/>
          <w:lang w:val="es-ES"/>
        </w:rPr>
        <w:t xml:space="preserve"> </w:t>
      </w:r>
      <w:hyperlink r:id="rId11" w:history="1">
        <w:r w:rsidRPr="00BF4507">
          <w:rPr>
            <w:rStyle w:val="Hipervnculo"/>
            <w:rFonts w:ascii="Verdana" w:hAnsi="Verdana" w:cs="Arial"/>
            <w:shd w:val="clear" w:color="auto" w:fill="FFFFFF"/>
            <w:lang w:val="es-ES"/>
          </w:rPr>
          <w:t>https://relatoria.colombiacompra.gov.co/busqueda/conceptos</w:t>
        </w:r>
      </w:hyperlink>
    </w:p>
    <w:p w14:paraId="5CEB7C83" w14:textId="77777777" w:rsidR="00795CDC" w:rsidRPr="00BF4507" w:rsidRDefault="00795CDC" w:rsidP="00795CD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9361824" w14:textId="767168E4" w:rsidR="00795CDC" w:rsidRPr="00BF4507" w:rsidRDefault="003048A1" w:rsidP="00795CDC">
      <w:pPr>
        <w:spacing w:after="0" w:line="276" w:lineRule="auto"/>
        <w:jc w:val="both"/>
        <w:rPr>
          <w:rStyle w:val="normaltextrun"/>
          <w:rFonts w:ascii="Verdana" w:hAnsi="Verdana" w:cs="Arial"/>
          <w:color w:val="000000" w:themeColor="text1"/>
          <w:shd w:val="clear" w:color="auto" w:fill="FFFFFF"/>
          <w:lang w:val="es-ES"/>
        </w:rPr>
      </w:pPr>
      <w:r w:rsidRPr="003048A1">
        <w:rPr>
          <w:rFonts w:ascii="Verdana" w:hAnsi="Verdana" w:cs="Arial"/>
          <w:color w:val="000000" w:themeColor="text1"/>
          <w:shd w:val="clear" w:color="auto" w:fill="FFFFFF"/>
        </w:rPr>
        <w:t>También le contamos que ya se encuentra disponible la </w:t>
      </w:r>
      <w:r w:rsidRPr="003048A1">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3048A1">
        <w:rPr>
          <w:rFonts w:ascii="Verdana"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w:t>
      </w:r>
      <w:r w:rsidRPr="003048A1">
        <w:rPr>
          <w:rFonts w:ascii="Verdana" w:hAnsi="Verdana" w:cs="Arial"/>
          <w:color w:val="000000" w:themeColor="text1"/>
          <w:shd w:val="clear" w:color="auto" w:fill="FFFFFF"/>
        </w:rPr>
        <w:lastRenderedPageBreak/>
        <w:t>de los derechos fundamentales de los niños y de las niñas del Pueblo Wayúu.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3048A1">
          <w:rPr>
            <w:rFonts w:ascii="Verdana" w:hAnsi="Verdana" w:cs="Arial"/>
            <w:color w:val="0000FF"/>
            <w:u w:val="single"/>
            <w:shd w:val="clear" w:color="auto" w:fill="FFFFFF"/>
          </w:rPr>
          <w:t>Guía de lineamientos de transparencia y selección objetiva para el departamento de La Guajira – Objetivo sexto constitucional de la Sentencia T-302 del 2017</w:t>
        </w:r>
      </w:hyperlink>
    </w:p>
    <w:p w14:paraId="2B491AE2" w14:textId="77777777" w:rsidR="00795CDC" w:rsidRPr="00BF4507" w:rsidRDefault="00795CDC" w:rsidP="00795CDC">
      <w:pPr>
        <w:spacing w:after="0" w:line="276" w:lineRule="auto"/>
        <w:jc w:val="both"/>
        <w:rPr>
          <w:rFonts w:ascii="Verdana" w:hAnsi="Verdana"/>
        </w:rPr>
      </w:pPr>
      <w:r w:rsidRPr="00BF4507">
        <w:rPr>
          <w:rFonts w:ascii="Verdana" w:hAnsi="Verdana"/>
        </w:rPr>
        <w:t xml:space="preserve">Por último, lo invitamos a seguirnos en las redes sociales en las cuales se difunde información institucional: </w:t>
      </w:r>
    </w:p>
    <w:p w14:paraId="2E99290B" w14:textId="77777777" w:rsidR="00795CDC" w:rsidRPr="00BF4507" w:rsidRDefault="00795CDC" w:rsidP="00795CDC">
      <w:pPr>
        <w:spacing w:after="0" w:line="276" w:lineRule="auto"/>
        <w:jc w:val="both"/>
        <w:rPr>
          <w:rFonts w:ascii="Verdana" w:hAnsi="Verdana"/>
        </w:rPr>
      </w:pPr>
    </w:p>
    <w:p w14:paraId="44C855C6" w14:textId="77777777" w:rsidR="00795CDC" w:rsidRPr="00BF4507" w:rsidRDefault="00795CDC" w:rsidP="00795CDC">
      <w:pPr>
        <w:spacing w:after="0" w:line="276" w:lineRule="auto"/>
        <w:jc w:val="both"/>
        <w:rPr>
          <w:rFonts w:ascii="Verdana" w:hAnsi="Verdana"/>
        </w:rPr>
      </w:pPr>
      <w:r w:rsidRPr="00BF4507">
        <w:rPr>
          <w:rFonts w:ascii="Verdana" w:hAnsi="Verdana"/>
        </w:rPr>
        <w:t xml:space="preserve">Twitter: </w:t>
      </w:r>
      <w:r w:rsidRPr="00BF4507">
        <w:rPr>
          <w:rStyle w:val="Hipervnculo"/>
          <w:rFonts w:ascii="Verdana" w:hAnsi="Verdana"/>
          <w:color w:val="4472C4" w:themeColor="accent1"/>
        </w:rPr>
        <w:t>@colombiacompra</w:t>
      </w:r>
      <w:r w:rsidRPr="00BF4507">
        <w:rPr>
          <w:rFonts w:ascii="Verdana" w:hAnsi="Verdana"/>
          <w:color w:val="4472C4" w:themeColor="accent1"/>
        </w:rPr>
        <w:t xml:space="preserve"> </w:t>
      </w:r>
    </w:p>
    <w:p w14:paraId="548F7168" w14:textId="77777777" w:rsidR="00795CDC" w:rsidRPr="00BF4507" w:rsidRDefault="00795CDC" w:rsidP="00795CDC">
      <w:pPr>
        <w:spacing w:after="0" w:line="276" w:lineRule="auto"/>
        <w:jc w:val="both"/>
        <w:rPr>
          <w:rFonts w:ascii="Verdana" w:hAnsi="Verdana"/>
        </w:rPr>
      </w:pPr>
      <w:r w:rsidRPr="00BF4507">
        <w:rPr>
          <w:rFonts w:ascii="Verdana" w:hAnsi="Verdana"/>
        </w:rPr>
        <w:t xml:space="preserve">Facebook: </w:t>
      </w:r>
      <w:r w:rsidRPr="00BF4507">
        <w:rPr>
          <w:rStyle w:val="Hipervnculo"/>
          <w:rFonts w:ascii="Verdana" w:hAnsi="Verdana"/>
          <w:color w:val="4472C4" w:themeColor="accent1"/>
        </w:rPr>
        <w:t>ColombiaCompraEficiente</w:t>
      </w:r>
    </w:p>
    <w:p w14:paraId="1DFE92E0" w14:textId="77777777" w:rsidR="00795CDC" w:rsidRPr="00BF4507" w:rsidRDefault="00795CDC" w:rsidP="00795CDC">
      <w:pPr>
        <w:spacing w:after="0" w:line="276" w:lineRule="auto"/>
        <w:jc w:val="both"/>
        <w:rPr>
          <w:rFonts w:ascii="Verdana" w:hAnsi="Verdana"/>
        </w:rPr>
      </w:pPr>
      <w:r w:rsidRPr="00BF4507">
        <w:rPr>
          <w:rFonts w:ascii="Verdana" w:hAnsi="Verdana"/>
        </w:rPr>
        <w:t xml:space="preserve">LinkedIn: </w:t>
      </w:r>
      <w:r w:rsidRPr="00BF4507">
        <w:rPr>
          <w:rStyle w:val="Hipervnculo"/>
          <w:rFonts w:ascii="Verdana" w:hAnsi="Verdana"/>
          <w:color w:val="4472C4" w:themeColor="accent1"/>
        </w:rPr>
        <w:t>Agencia Nacional de Contratación Pública - Colombia Compra Eficiente</w:t>
      </w:r>
      <w:r w:rsidRPr="00BF4507">
        <w:rPr>
          <w:rFonts w:ascii="Verdana" w:hAnsi="Verdana"/>
          <w:color w:val="4472C4" w:themeColor="accent1"/>
        </w:rPr>
        <w:t xml:space="preserve"> </w:t>
      </w:r>
      <w:r w:rsidRPr="00BF4507">
        <w:rPr>
          <w:rFonts w:ascii="Verdana" w:hAnsi="Verdana"/>
        </w:rPr>
        <w:t xml:space="preserve">Instagram: </w:t>
      </w:r>
      <w:r w:rsidRPr="00BF4507">
        <w:rPr>
          <w:rStyle w:val="Hipervnculo"/>
          <w:rFonts w:ascii="Verdana" w:hAnsi="Verdana"/>
          <w:color w:val="4472C4" w:themeColor="accent1"/>
        </w:rPr>
        <w:t>@colombiacompraeficiente_cce</w:t>
      </w:r>
    </w:p>
    <w:p w14:paraId="4A556B06" w14:textId="77777777" w:rsidR="00795CDC" w:rsidRPr="00BF4507" w:rsidRDefault="00795CDC" w:rsidP="00795CDC">
      <w:pPr>
        <w:widowControl w:val="0"/>
        <w:autoSpaceDE w:val="0"/>
        <w:autoSpaceDN w:val="0"/>
        <w:spacing w:after="0" w:line="276" w:lineRule="auto"/>
        <w:jc w:val="both"/>
        <w:rPr>
          <w:rFonts w:ascii="Verdana" w:hAnsi="Verdana" w:cs="Arial"/>
        </w:rPr>
      </w:pPr>
    </w:p>
    <w:p w14:paraId="49F7A23E" w14:textId="77777777" w:rsidR="00795CDC" w:rsidRPr="00BF4507" w:rsidRDefault="00795CDC" w:rsidP="00795CDC">
      <w:pPr>
        <w:widowControl w:val="0"/>
        <w:autoSpaceDE w:val="0"/>
        <w:autoSpaceDN w:val="0"/>
        <w:spacing w:after="0" w:line="276" w:lineRule="auto"/>
        <w:jc w:val="both"/>
        <w:rPr>
          <w:rFonts w:ascii="Verdana" w:hAnsi="Verdana" w:cs="Arial"/>
          <w:lang w:val="es-ES_tradnl"/>
        </w:rPr>
      </w:pPr>
      <w:r w:rsidRPr="00BF4507">
        <w:rPr>
          <w:rFonts w:ascii="Verdana" w:hAnsi="Verdana" w:cs="Arial"/>
        </w:rPr>
        <w:t xml:space="preserve">Este concepto tiene el alcance previsto en el artículo 28 del Código de Procedimiento Administrativo y de lo Contencioso Administrativo </w:t>
      </w:r>
      <w:r w:rsidRPr="00BF4507">
        <w:rPr>
          <w:rFonts w:ascii="Verdana" w:hAnsi="Verdana" w:cs="Arial"/>
          <w:lang w:val="es-ES_tradnl"/>
        </w:rPr>
        <w:t>y las expresiones aquí utilizadas con mayúscula inicial deben ser entendidas con el significado que les otorga el artículo 2.2.1.1.1.3.1. del Decreto 1082 de 2015.</w:t>
      </w:r>
    </w:p>
    <w:p w14:paraId="3C17EEEE" w14:textId="77777777" w:rsidR="00795CDC" w:rsidRPr="00BF4507" w:rsidRDefault="00795CDC" w:rsidP="00795CDC">
      <w:pPr>
        <w:widowControl w:val="0"/>
        <w:autoSpaceDE w:val="0"/>
        <w:autoSpaceDN w:val="0"/>
        <w:spacing w:after="0" w:line="276" w:lineRule="auto"/>
        <w:jc w:val="both"/>
        <w:rPr>
          <w:rFonts w:ascii="Verdana" w:hAnsi="Verdana" w:cs="Arial"/>
        </w:rPr>
      </w:pPr>
    </w:p>
    <w:p w14:paraId="7D35E218" w14:textId="77777777" w:rsidR="00795CDC" w:rsidRPr="00BF4507" w:rsidRDefault="00795CDC" w:rsidP="00795CDC">
      <w:pPr>
        <w:spacing w:after="0" w:line="276" w:lineRule="auto"/>
        <w:rPr>
          <w:rFonts w:ascii="Verdana" w:hAnsi="Verdana" w:cs="Arial"/>
          <w:lang w:eastAsia="es-CO"/>
        </w:rPr>
      </w:pPr>
      <w:r w:rsidRPr="00BF4507">
        <w:rPr>
          <w:rFonts w:ascii="Verdana" w:eastAsia="Times New Roman" w:hAnsi="Verdana" w:cs="Arial"/>
          <w:lang w:eastAsia="es-CO"/>
        </w:rPr>
        <w:t>Atentamente,</w:t>
      </w:r>
      <w:r w:rsidRPr="00BF4507">
        <w:rPr>
          <w:rFonts w:ascii="Verdana" w:hAnsi="Verdana" w:cs="Arial"/>
          <w:lang w:eastAsia="es-CO"/>
        </w:rPr>
        <w:t xml:space="preserve"> </w:t>
      </w:r>
    </w:p>
    <w:p w14:paraId="172FB76B" w14:textId="2404D68E" w:rsidR="00795CDC" w:rsidRPr="00BF4507" w:rsidRDefault="002D3CE0" w:rsidP="00795CDC">
      <w:pPr>
        <w:spacing w:line="276" w:lineRule="auto"/>
        <w:jc w:val="center"/>
        <w:rPr>
          <w:rFonts w:ascii="Verdana" w:eastAsia="Times New Roman" w:hAnsi="Verdana" w:cs="Arial"/>
          <w:sz w:val="24"/>
          <w:szCs w:val="24"/>
          <w:lang w:eastAsia="es-ES"/>
        </w:rPr>
      </w:pPr>
      <w:r>
        <w:rPr>
          <w:noProof/>
        </w:rPr>
        <w:drawing>
          <wp:inline distT="0" distB="0" distL="0" distR="0" wp14:anchorId="68A7C8DF" wp14:editId="07D1F133">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W w:w="5670" w:type="dxa"/>
        <w:tblBorders>
          <w:top w:val="nil"/>
          <w:left w:val="nil"/>
          <w:bottom w:val="nil"/>
          <w:right w:val="nil"/>
          <w:insideH w:val="nil"/>
          <w:insideV w:val="nil"/>
        </w:tblBorders>
        <w:tblLayout w:type="fixed"/>
        <w:tblLook w:val="0400" w:firstRow="0" w:lastRow="0" w:firstColumn="0" w:lastColumn="0" w:noHBand="0" w:noVBand="1"/>
      </w:tblPr>
      <w:tblGrid>
        <w:gridCol w:w="993"/>
        <w:gridCol w:w="4677"/>
      </w:tblGrid>
      <w:tr w:rsidR="00795CDC" w:rsidRPr="00BF4507" w14:paraId="43C11FB6" w14:textId="77777777" w:rsidTr="00677F03">
        <w:trPr>
          <w:trHeight w:val="315"/>
        </w:trPr>
        <w:tc>
          <w:tcPr>
            <w:tcW w:w="993" w:type="dxa"/>
            <w:vAlign w:val="center"/>
          </w:tcPr>
          <w:p w14:paraId="1C9C51B9" w14:textId="77777777" w:rsidR="00795CDC" w:rsidRPr="00BF4507" w:rsidRDefault="00795CDC" w:rsidP="00677F03">
            <w:pPr>
              <w:spacing w:after="0" w:line="276" w:lineRule="auto"/>
              <w:rPr>
                <w:rFonts w:ascii="Verdana" w:hAnsi="Verdana" w:cs="Arial"/>
                <w:bCs/>
                <w:sz w:val="16"/>
                <w:szCs w:val="16"/>
                <w:lang w:eastAsia="es-CO"/>
              </w:rPr>
            </w:pPr>
            <w:r w:rsidRPr="00BF4507">
              <w:rPr>
                <w:rFonts w:ascii="Verdana" w:hAnsi="Verdana" w:cs="Arial"/>
                <w:bCs/>
                <w:sz w:val="16"/>
                <w:szCs w:val="16"/>
                <w:lang w:eastAsia="es-CO"/>
              </w:rPr>
              <w:t>Elaboró:</w:t>
            </w:r>
          </w:p>
        </w:tc>
        <w:tc>
          <w:tcPr>
            <w:tcW w:w="4677" w:type="dxa"/>
            <w:tcBorders>
              <w:top w:val="nil"/>
              <w:left w:val="nil"/>
              <w:bottom w:val="dotted" w:sz="4" w:space="0" w:color="7F7F7F"/>
              <w:right w:val="nil"/>
            </w:tcBorders>
            <w:vAlign w:val="center"/>
          </w:tcPr>
          <w:p w14:paraId="69DF8D3C" w14:textId="5FA4C81C" w:rsidR="00D40CDF" w:rsidRPr="00BF4507" w:rsidRDefault="00D40CDF" w:rsidP="00D40CDF">
            <w:pPr>
              <w:spacing w:after="0" w:line="240" w:lineRule="auto"/>
              <w:rPr>
                <w:rFonts w:ascii="Verdana" w:hAnsi="Verdana" w:cs="Arial"/>
                <w:sz w:val="16"/>
                <w:szCs w:val="16"/>
                <w:lang w:eastAsia="es-CO"/>
              </w:rPr>
            </w:pPr>
            <w:r w:rsidRPr="00D40CDF">
              <w:rPr>
                <w:rFonts w:ascii="Verdana" w:hAnsi="Verdana" w:cs="Arial"/>
                <w:sz w:val="16"/>
                <w:szCs w:val="16"/>
                <w:lang w:eastAsia="es-CO"/>
              </w:rPr>
              <w:t>Ximena Ríos López</w:t>
            </w:r>
          </w:p>
          <w:p w14:paraId="4A915044" w14:textId="643C45A7" w:rsidR="00795CDC" w:rsidRPr="00BF4507" w:rsidRDefault="00D40CDF" w:rsidP="00D40CDF">
            <w:pPr>
              <w:spacing w:after="0" w:line="240" w:lineRule="auto"/>
              <w:rPr>
                <w:rFonts w:ascii="Verdana" w:hAnsi="Verdana" w:cs="Arial"/>
                <w:sz w:val="16"/>
                <w:szCs w:val="16"/>
                <w:lang w:eastAsia="es-CO"/>
              </w:rPr>
            </w:pPr>
            <w:r w:rsidRPr="00BF4507">
              <w:rPr>
                <w:rFonts w:ascii="Verdana" w:hAnsi="Verdana" w:cs="Arial"/>
                <w:sz w:val="16"/>
                <w:szCs w:val="16"/>
                <w:lang w:eastAsia="es-CO"/>
              </w:rPr>
              <w:t>Gestor T1 -1</w:t>
            </w:r>
            <w:r>
              <w:rPr>
                <w:rFonts w:ascii="Verdana" w:hAnsi="Verdana" w:cs="Arial"/>
                <w:sz w:val="16"/>
                <w:szCs w:val="16"/>
                <w:lang w:eastAsia="es-CO"/>
              </w:rPr>
              <w:t>1</w:t>
            </w:r>
            <w:r w:rsidRPr="00BF4507">
              <w:rPr>
                <w:rFonts w:ascii="Verdana" w:hAnsi="Verdana" w:cs="Arial"/>
                <w:sz w:val="16"/>
                <w:szCs w:val="16"/>
                <w:lang w:eastAsia="es-CO"/>
              </w:rPr>
              <w:t xml:space="preserve"> Subdirección de Gestión Contractual</w:t>
            </w:r>
          </w:p>
        </w:tc>
      </w:tr>
      <w:tr w:rsidR="00795CDC" w:rsidRPr="00BF4507" w14:paraId="0AE2F3A4" w14:textId="77777777" w:rsidTr="00677F03">
        <w:trPr>
          <w:trHeight w:val="330"/>
        </w:trPr>
        <w:tc>
          <w:tcPr>
            <w:tcW w:w="993" w:type="dxa"/>
            <w:vAlign w:val="center"/>
          </w:tcPr>
          <w:p w14:paraId="62EA6F3E" w14:textId="77777777" w:rsidR="00795CDC" w:rsidRPr="00BF4507" w:rsidRDefault="00795CDC" w:rsidP="00677F03">
            <w:pPr>
              <w:spacing w:after="0" w:line="276" w:lineRule="auto"/>
              <w:rPr>
                <w:rFonts w:ascii="Verdana" w:hAnsi="Verdana" w:cs="Arial"/>
                <w:bCs/>
                <w:sz w:val="16"/>
                <w:szCs w:val="16"/>
                <w:lang w:eastAsia="es-CO"/>
              </w:rPr>
            </w:pPr>
            <w:r w:rsidRPr="00BF4507">
              <w:rPr>
                <w:rFonts w:ascii="Verdana"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tcPr>
          <w:p w14:paraId="67E2658E" w14:textId="77777777" w:rsidR="00D40CDF" w:rsidRPr="00BF4507" w:rsidRDefault="00D40CDF" w:rsidP="00D40CDF">
            <w:pPr>
              <w:spacing w:after="0" w:line="240" w:lineRule="auto"/>
              <w:rPr>
                <w:rFonts w:ascii="Verdana" w:hAnsi="Verdana" w:cs="Arial"/>
                <w:sz w:val="16"/>
                <w:szCs w:val="16"/>
                <w:lang w:eastAsia="es-CO"/>
              </w:rPr>
            </w:pPr>
            <w:r w:rsidRPr="00BF4507">
              <w:rPr>
                <w:rFonts w:ascii="Verdana" w:hAnsi="Verdana" w:cs="Arial"/>
                <w:sz w:val="16"/>
                <w:szCs w:val="16"/>
                <w:lang w:eastAsia="es-CO"/>
              </w:rPr>
              <w:t xml:space="preserve">Diana Lucia Saavedra Castañeda </w:t>
            </w:r>
          </w:p>
          <w:p w14:paraId="4DD1F64E" w14:textId="2E45558A" w:rsidR="00795CDC" w:rsidRPr="00BF4507" w:rsidRDefault="00D40CDF" w:rsidP="00D40CDF">
            <w:pPr>
              <w:spacing w:after="0" w:line="240" w:lineRule="auto"/>
              <w:rPr>
                <w:rFonts w:ascii="Verdana" w:hAnsi="Verdana" w:cs="Arial"/>
                <w:sz w:val="16"/>
                <w:szCs w:val="16"/>
                <w:lang w:eastAsia="es-CO"/>
              </w:rPr>
            </w:pPr>
            <w:r w:rsidRPr="00BF4507">
              <w:rPr>
                <w:rFonts w:ascii="Verdana" w:hAnsi="Verdana" w:cs="Arial"/>
                <w:sz w:val="16"/>
                <w:szCs w:val="16"/>
                <w:lang w:eastAsia="es-CO"/>
              </w:rPr>
              <w:t>Contratista Subdirección de Gestión Contractual</w:t>
            </w:r>
          </w:p>
        </w:tc>
      </w:tr>
      <w:tr w:rsidR="00795CDC" w:rsidRPr="008C6876" w14:paraId="193EADE5" w14:textId="77777777" w:rsidTr="00677F03">
        <w:trPr>
          <w:trHeight w:val="300"/>
        </w:trPr>
        <w:tc>
          <w:tcPr>
            <w:tcW w:w="993" w:type="dxa"/>
            <w:vAlign w:val="center"/>
          </w:tcPr>
          <w:p w14:paraId="3FA9A43C" w14:textId="77777777" w:rsidR="00795CDC" w:rsidRPr="00BF4507" w:rsidRDefault="00795CDC" w:rsidP="00677F03">
            <w:pPr>
              <w:spacing w:after="0" w:line="276" w:lineRule="auto"/>
              <w:rPr>
                <w:rFonts w:ascii="Verdana" w:hAnsi="Verdana" w:cs="Arial"/>
                <w:bCs/>
                <w:sz w:val="16"/>
                <w:szCs w:val="16"/>
                <w:lang w:eastAsia="es-CO"/>
              </w:rPr>
            </w:pPr>
            <w:r w:rsidRPr="00BF4507">
              <w:rPr>
                <w:rFonts w:ascii="Verdana"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tcPr>
          <w:p w14:paraId="6A0E5A7A" w14:textId="20A4D828" w:rsidR="00795CDC" w:rsidRPr="00BF4507" w:rsidRDefault="00795CDC" w:rsidP="00677F03">
            <w:pPr>
              <w:spacing w:after="0" w:line="240" w:lineRule="auto"/>
              <w:rPr>
                <w:rFonts w:ascii="Verdana" w:hAnsi="Verdana" w:cs="Arial"/>
                <w:sz w:val="16"/>
                <w:szCs w:val="16"/>
                <w:lang w:eastAsia="es-CO"/>
              </w:rPr>
            </w:pPr>
            <w:r w:rsidRPr="00BF4507">
              <w:rPr>
                <w:rFonts w:ascii="Verdana" w:hAnsi="Verdana" w:cs="Arial"/>
                <w:sz w:val="16"/>
                <w:szCs w:val="16"/>
                <w:lang w:eastAsia="es-CO"/>
              </w:rPr>
              <w:t>Carolina Quintero Gacharná</w:t>
            </w:r>
          </w:p>
          <w:p w14:paraId="43B1DB81" w14:textId="77777777" w:rsidR="00795CDC" w:rsidRPr="008C6876" w:rsidRDefault="00795CDC" w:rsidP="00677F03">
            <w:pPr>
              <w:spacing w:after="0" w:line="240" w:lineRule="auto"/>
              <w:rPr>
                <w:rFonts w:ascii="Verdana" w:hAnsi="Verdana" w:cs="Arial"/>
                <w:sz w:val="16"/>
                <w:szCs w:val="16"/>
                <w:lang w:eastAsia="es-CO"/>
              </w:rPr>
            </w:pPr>
            <w:r w:rsidRPr="00BF4507">
              <w:rPr>
                <w:rFonts w:ascii="Verdana" w:hAnsi="Verdana" w:cs="Arial"/>
                <w:sz w:val="16"/>
                <w:szCs w:val="16"/>
                <w:lang w:eastAsia="es-CO"/>
              </w:rPr>
              <w:t>Subdirectora de Gestión Contractual ANCP – CCE</w:t>
            </w:r>
          </w:p>
        </w:tc>
      </w:tr>
    </w:tbl>
    <w:p w14:paraId="14A1EF5A" w14:textId="77777777" w:rsidR="00795CDC" w:rsidRPr="00F535FB" w:rsidRDefault="00795CDC" w:rsidP="00795CDC">
      <w:pPr>
        <w:spacing w:line="276" w:lineRule="auto"/>
        <w:jc w:val="center"/>
        <w:rPr>
          <w:rFonts w:ascii="Verdana" w:eastAsia="Times New Roman" w:hAnsi="Verdana" w:cs="Arial"/>
          <w:sz w:val="24"/>
          <w:szCs w:val="24"/>
          <w:lang w:eastAsia="es-ES"/>
        </w:rPr>
      </w:pPr>
    </w:p>
    <w:p w14:paraId="23681C46" w14:textId="77777777" w:rsidR="00795CDC" w:rsidRPr="00F535FB" w:rsidRDefault="00795CDC" w:rsidP="00795CDC">
      <w:pPr>
        <w:rPr>
          <w:rFonts w:ascii="Verdana" w:hAnsi="Verdana"/>
        </w:rPr>
      </w:pPr>
    </w:p>
    <w:bookmarkEnd w:id="0"/>
    <w:p w14:paraId="6C117554" w14:textId="77777777" w:rsidR="00795CDC" w:rsidRPr="0044528D" w:rsidRDefault="00795CDC" w:rsidP="00E245AB">
      <w:pPr>
        <w:spacing w:after="0"/>
        <w:rPr>
          <w:rFonts w:ascii="Verdana" w:hAnsi="Verdana"/>
        </w:rPr>
      </w:pPr>
    </w:p>
    <w:sectPr w:rsidR="00795CDC"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A29C19" w14:textId="77777777" w:rsidR="00C877F6" w:rsidRDefault="00C877F6" w:rsidP="004A1847">
      <w:pPr>
        <w:spacing w:after="0" w:line="240" w:lineRule="auto"/>
      </w:pPr>
      <w:r>
        <w:separator/>
      </w:r>
    </w:p>
  </w:endnote>
  <w:endnote w:type="continuationSeparator" w:id="0">
    <w:p w14:paraId="666128C8" w14:textId="77777777" w:rsidR="00C877F6" w:rsidRDefault="00C877F6" w:rsidP="004A1847">
      <w:pPr>
        <w:spacing w:after="0" w:line="240" w:lineRule="auto"/>
      </w:pPr>
      <w:r>
        <w:continuationSeparator/>
      </w:r>
    </w:p>
  </w:endnote>
  <w:endnote w:type="continuationNotice" w:id="1">
    <w:p w14:paraId="4D4DE1E8" w14:textId="77777777" w:rsidR="00C877F6" w:rsidRDefault="00C877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4C3EA" w14:textId="77777777" w:rsidR="004A1847" w:rsidRDefault="004A1847">
    <w:pPr>
      <w:pStyle w:val="Piedepgina"/>
    </w:pPr>
  </w:p>
  <w:p w14:paraId="5C4CB5C8"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5E6A854"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7CD45CDA"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9FB1C31" w14:textId="77777777"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5D04C" w14:textId="77777777" w:rsidR="00C877F6" w:rsidRDefault="00C877F6" w:rsidP="004A1847">
      <w:pPr>
        <w:spacing w:after="0" w:line="240" w:lineRule="auto"/>
      </w:pPr>
      <w:r>
        <w:separator/>
      </w:r>
    </w:p>
  </w:footnote>
  <w:footnote w:type="continuationSeparator" w:id="0">
    <w:p w14:paraId="559B2843" w14:textId="77777777" w:rsidR="00C877F6" w:rsidRDefault="00C877F6" w:rsidP="004A1847">
      <w:pPr>
        <w:spacing w:after="0" w:line="240" w:lineRule="auto"/>
      </w:pPr>
      <w:r>
        <w:continuationSeparator/>
      </w:r>
    </w:p>
  </w:footnote>
  <w:footnote w:type="continuationNotice" w:id="1">
    <w:p w14:paraId="73C7D02E" w14:textId="77777777" w:rsidR="00C877F6" w:rsidRDefault="00C877F6">
      <w:pPr>
        <w:spacing w:after="0" w:line="240" w:lineRule="auto"/>
      </w:pPr>
    </w:p>
  </w:footnote>
  <w:footnote w:id="2">
    <w:p w14:paraId="74CF17CA" w14:textId="77777777" w:rsidR="00795CDC" w:rsidRPr="00AC1169" w:rsidRDefault="00795CDC" w:rsidP="00B70BA7">
      <w:pPr>
        <w:pStyle w:val="Textonotapie"/>
        <w:ind w:firstLine="708"/>
        <w:contextualSpacing/>
        <w:jc w:val="both"/>
        <w:rPr>
          <w:rFonts w:ascii="Verdana" w:hAnsi="Verdana" w:cs="Arial"/>
          <w:sz w:val="16"/>
          <w:szCs w:val="16"/>
        </w:rPr>
      </w:pPr>
      <w:r w:rsidRPr="00AC1169">
        <w:rPr>
          <w:rStyle w:val="Refdenotaalpie"/>
          <w:rFonts w:ascii="Verdana" w:hAnsi="Verdana" w:cs="Arial"/>
          <w:sz w:val="16"/>
          <w:szCs w:val="16"/>
        </w:rPr>
        <w:footnoteRef/>
      </w:r>
      <w:r w:rsidRPr="00AC1169">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47D09F63" w14:textId="77777777" w:rsidR="00795CDC" w:rsidRPr="00AC1169" w:rsidRDefault="00795CDC" w:rsidP="00B70BA7">
      <w:pPr>
        <w:pStyle w:val="Textonotapie"/>
        <w:ind w:firstLine="708"/>
        <w:contextualSpacing/>
        <w:jc w:val="both"/>
        <w:rPr>
          <w:rFonts w:ascii="Verdana" w:hAnsi="Verdana" w:cs="Arial"/>
          <w:sz w:val="16"/>
          <w:szCs w:val="16"/>
          <w:lang w:val="es-ES_tradnl"/>
        </w:rPr>
      </w:pPr>
    </w:p>
  </w:footnote>
  <w:footnote w:id="3">
    <w:p w14:paraId="297F6E4F" w14:textId="77777777" w:rsidR="00795CDC" w:rsidRPr="00AC1169" w:rsidRDefault="00795CDC" w:rsidP="00B70BA7">
      <w:pPr>
        <w:pStyle w:val="Textonotapie"/>
        <w:ind w:firstLine="708"/>
        <w:contextualSpacing/>
        <w:jc w:val="both"/>
        <w:rPr>
          <w:rFonts w:ascii="Verdana" w:hAnsi="Verdana" w:cs="Arial"/>
          <w:sz w:val="16"/>
          <w:szCs w:val="16"/>
          <w:lang w:val="es-ES"/>
        </w:rPr>
      </w:pPr>
      <w:r w:rsidRPr="00AC1169">
        <w:rPr>
          <w:rStyle w:val="Refdenotaalpie"/>
          <w:rFonts w:ascii="Verdana" w:hAnsi="Verdana" w:cs="Arial"/>
          <w:sz w:val="16"/>
          <w:szCs w:val="16"/>
        </w:rPr>
        <w:footnoteRef/>
      </w:r>
      <w:r w:rsidRPr="00AC1169">
        <w:rPr>
          <w:rFonts w:ascii="Verdana" w:hAnsi="Verdana" w:cs="Arial"/>
          <w:sz w:val="16"/>
          <w:szCs w:val="16"/>
        </w:rPr>
        <w:t xml:space="preserve"> </w:t>
      </w:r>
      <w:r w:rsidRPr="00AC1169">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18B7A245" w14:textId="77777777" w:rsidR="00795CDC" w:rsidRPr="00AC1169" w:rsidRDefault="00795CDC" w:rsidP="00B70BA7">
      <w:pPr>
        <w:pStyle w:val="Textonotapie"/>
        <w:ind w:firstLine="709"/>
        <w:contextualSpacing/>
        <w:jc w:val="both"/>
        <w:rPr>
          <w:rFonts w:ascii="Verdana" w:hAnsi="Verdana" w:cs="Arial"/>
          <w:sz w:val="16"/>
          <w:szCs w:val="16"/>
          <w:lang w:val="es-ES"/>
        </w:rPr>
      </w:pPr>
    </w:p>
  </w:footnote>
  <w:footnote w:id="4">
    <w:p w14:paraId="57D8F52D"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Style w:val="Refdenotaalpie"/>
          <w:rFonts w:ascii="Verdana" w:hAnsi="Verdana" w:cs="Arial"/>
          <w:sz w:val="16"/>
          <w:szCs w:val="16"/>
        </w:rPr>
        <w:footnoteRef/>
      </w:r>
      <w:r w:rsidRPr="00AC1169">
        <w:rPr>
          <w:rFonts w:ascii="Verdana" w:hAnsi="Verdana" w:cs="Arial"/>
          <w:sz w:val="16"/>
          <w:szCs w:val="16"/>
        </w:rPr>
        <w:t xml:space="preserve"> </w:t>
      </w:r>
      <w:r w:rsidRPr="00AC1169">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39429D75"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4B9F70BD"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El Gobierno nacional reglamentará el mecanismo para realizar la mensualización de que trata el presente artículo.</w:t>
      </w:r>
    </w:p>
    <w:p w14:paraId="3EB4D754" w14:textId="77777777" w:rsidR="00795CDC" w:rsidRPr="00AC1169" w:rsidRDefault="00795CDC" w:rsidP="00B70BA7">
      <w:pPr>
        <w:pStyle w:val="Textonotapie"/>
        <w:ind w:firstLine="709"/>
        <w:contextualSpacing/>
        <w:jc w:val="both"/>
        <w:rPr>
          <w:rFonts w:ascii="Verdana" w:hAnsi="Verdana" w:cs="Arial"/>
          <w:sz w:val="16"/>
          <w:szCs w:val="16"/>
          <w:lang w:val="pt-BR"/>
        </w:rPr>
      </w:pPr>
      <w:r w:rsidRPr="00AC1169">
        <w:rPr>
          <w:rFonts w:ascii="Verdana" w:hAnsi="Verdana" w:cs="Arial"/>
          <w:sz w:val="16"/>
          <w:szCs w:val="16"/>
          <w:lang w:val="pt-BR"/>
        </w:rPr>
        <w:t>[…]”.</w:t>
      </w:r>
    </w:p>
    <w:p w14:paraId="3AB59519" w14:textId="77777777" w:rsidR="00795CDC" w:rsidRPr="00AC1169" w:rsidRDefault="00795CDC" w:rsidP="00B70BA7">
      <w:pPr>
        <w:pStyle w:val="Textonotapie"/>
        <w:ind w:firstLine="709"/>
        <w:contextualSpacing/>
        <w:jc w:val="both"/>
        <w:rPr>
          <w:rFonts w:ascii="Verdana" w:hAnsi="Verdana" w:cs="Arial"/>
          <w:sz w:val="16"/>
          <w:szCs w:val="16"/>
          <w:lang w:val="pt-BR"/>
        </w:rPr>
      </w:pPr>
    </w:p>
  </w:footnote>
  <w:footnote w:id="5">
    <w:p w14:paraId="6325A2EB"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Style w:val="Refdenotaalpie"/>
          <w:rFonts w:ascii="Verdana" w:hAnsi="Verdana" w:cs="Arial"/>
          <w:sz w:val="16"/>
          <w:szCs w:val="16"/>
        </w:rPr>
        <w:footnoteRef/>
      </w:r>
      <w:r w:rsidRPr="00AC1169">
        <w:rPr>
          <w:rFonts w:ascii="Verdana" w:hAnsi="Verdana" w:cs="Arial"/>
          <w:sz w:val="16"/>
          <w:szCs w:val="16"/>
          <w:lang w:val="pt-BR"/>
        </w:rPr>
        <w:t xml:space="preserve"> Corte Constitucional. Sentencia C-154 de 1997. </w:t>
      </w:r>
      <w:r w:rsidRPr="00AC1169">
        <w:rPr>
          <w:rFonts w:ascii="Verdana" w:hAnsi="Verdana" w:cs="Arial"/>
          <w:sz w:val="16"/>
          <w:szCs w:val="16"/>
          <w:lang w:val="es-ES"/>
        </w:rPr>
        <w:t>Magistrado Ponente: Hernando Herrera Vergara.</w:t>
      </w:r>
    </w:p>
  </w:footnote>
  <w:footnote w:id="6">
    <w:p w14:paraId="1D59C6BD" w14:textId="77777777" w:rsidR="00795CDC" w:rsidRPr="00AC1169" w:rsidRDefault="00795CDC" w:rsidP="00B70BA7">
      <w:pPr>
        <w:spacing w:after="0" w:line="240" w:lineRule="auto"/>
        <w:contextualSpacing/>
        <w:rPr>
          <w:rFonts w:ascii="Verdana" w:hAnsi="Verdana"/>
          <w:sz w:val="16"/>
          <w:szCs w:val="16"/>
        </w:rPr>
      </w:pPr>
    </w:p>
  </w:footnote>
  <w:footnote w:id="7">
    <w:p w14:paraId="182A0EF7"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Style w:val="Refdenotaalpie"/>
          <w:rFonts w:ascii="Verdana" w:hAnsi="Verdana" w:cs="Arial"/>
          <w:sz w:val="16"/>
          <w:szCs w:val="16"/>
        </w:rPr>
        <w:footnoteRef/>
      </w:r>
      <w:r w:rsidRPr="00AC1169">
        <w:rPr>
          <w:rFonts w:ascii="Verdana" w:hAnsi="Verdana" w:cs="Arial"/>
          <w:sz w:val="16"/>
          <w:szCs w:val="16"/>
        </w:rPr>
        <w:t xml:space="preserve"> </w:t>
      </w:r>
      <w:r w:rsidRPr="00AC1169">
        <w:rPr>
          <w:rFonts w:ascii="Verdana" w:hAnsi="Verdana" w:cs="Arial"/>
          <w:sz w:val="16"/>
          <w:szCs w:val="16"/>
          <w:lang w:val="es-ES"/>
        </w:rPr>
        <w:t>Ibíd.</w:t>
      </w:r>
    </w:p>
    <w:p w14:paraId="208CC617" w14:textId="77777777" w:rsidR="00795CDC" w:rsidRPr="00AC1169" w:rsidRDefault="00795CDC" w:rsidP="00B70BA7">
      <w:pPr>
        <w:pStyle w:val="Textonotapie"/>
        <w:ind w:firstLine="709"/>
        <w:contextualSpacing/>
        <w:jc w:val="both"/>
        <w:rPr>
          <w:rFonts w:ascii="Verdana" w:hAnsi="Verdana" w:cs="Arial"/>
          <w:sz w:val="16"/>
          <w:szCs w:val="16"/>
          <w:lang w:val="es-ES"/>
        </w:rPr>
      </w:pPr>
    </w:p>
  </w:footnote>
  <w:footnote w:id="8">
    <w:p w14:paraId="53982836" w14:textId="77777777" w:rsidR="00795CDC" w:rsidRPr="00AC1169" w:rsidRDefault="00795CDC" w:rsidP="00B70BA7">
      <w:pPr>
        <w:pStyle w:val="Textonotapie"/>
        <w:ind w:firstLine="709"/>
        <w:contextualSpacing/>
        <w:jc w:val="both"/>
        <w:rPr>
          <w:rFonts w:ascii="Verdana" w:hAnsi="Verdana" w:cs="Arial"/>
          <w:color w:val="000000"/>
          <w:sz w:val="16"/>
          <w:szCs w:val="16"/>
          <w:lang w:val="es-ES"/>
        </w:rPr>
      </w:pPr>
      <w:r w:rsidRPr="00AC1169">
        <w:rPr>
          <w:rStyle w:val="Refdenotaalpie"/>
          <w:rFonts w:ascii="Verdana" w:hAnsi="Verdana" w:cs="Arial"/>
          <w:color w:val="000000"/>
          <w:sz w:val="16"/>
          <w:szCs w:val="16"/>
        </w:rPr>
        <w:footnoteRef/>
      </w:r>
      <w:r w:rsidRPr="00AC1169">
        <w:rPr>
          <w:rFonts w:ascii="Verdana" w:hAnsi="Verdana" w:cs="Arial"/>
          <w:color w:val="000000"/>
          <w:sz w:val="16"/>
          <w:szCs w:val="16"/>
        </w:rPr>
        <w:t xml:space="preserve"> </w:t>
      </w:r>
      <w:r w:rsidRPr="00AC1169">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F4B80E1" w14:textId="77777777" w:rsidR="00795CDC" w:rsidRPr="00AC1169" w:rsidRDefault="00795CDC" w:rsidP="00B70BA7">
      <w:pPr>
        <w:pStyle w:val="Textonotapie"/>
        <w:ind w:firstLine="709"/>
        <w:contextualSpacing/>
        <w:jc w:val="both"/>
        <w:rPr>
          <w:rFonts w:ascii="Verdana" w:hAnsi="Verdana" w:cs="Arial"/>
          <w:color w:val="000000"/>
          <w:sz w:val="16"/>
          <w:szCs w:val="16"/>
          <w:lang w:val="es-ES"/>
        </w:rPr>
      </w:pPr>
      <w:r w:rsidRPr="00AC1169">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E9BE25F" w14:textId="77777777" w:rsidR="00795CDC" w:rsidRPr="00AC1169" w:rsidRDefault="00795CDC" w:rsidP="00B70BA7">
      <w:pPr>
        <w:pStyle w:val="Textonotapie"/>
        <w:ind w:firstLine="709"/>
        <w:contextualSpacing/>
        <w:jc w:val="both"/>
        <w:rPr>
          <w:rFonts w:ascii="Verdana" w:hAnsi="Verdana" w:cs="Arial"/>
          <w:color w:val="000000"/>
          <w:sz w:val="16"/>
          <w:szCs w:val="16"/>
          <w:lang w:val="es-ES"/>
        </w:rPr>
      </w:pPr>
      <w:r w:rsidRPr="00AC1169">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1D483DEA" w14:textId="77777777" w:rsidR="00795CDC" w:rsidRPr="00AC1169" w:rsidRDefault="00795CDC" w:rsidP="00B70BA7">
      <w:pPr>
        <w:pStyle w:val="Textonotapie"/>
        <w:ind w:firstLine="709"/>
        <w:contextualSpacing/>
        <w:jc w:val="both"/>
        <w:rPr>
          <w:rFonts w:ascii="Verdana" w:hAnsi="Verdana" w:cs="Arial"/>
          <w:color w:val="000000"/>
          <w:sz w:val="16"/>
          <w:szCs w:val="16"/>
          <w:lang w:val="es-ES"/>
        </w:rPr>
      </w:pPr>
    </w:p>
  </w:footnote>
  <w:footnote w:id="9">
    <w:p w14:paraId="6C23D3BF" w14:textId="05C156FC" w:rsidR="00795CDC" w:rsidRPr="00AC1169" w:rsidRDefault="00795CDC" w:rsidP="00B70BA7">
      <w:pPr>
        <w:pStyle w:val="Textonotapie"/>
        <w:ind w:firstLine="709"/>
        <w:contextualSpacing/>
        <w:jc w:val="both"/>
        <w:rPr>
          <w:rFonts w:ascii="Verdana" w:hAnsi="Verdana" w:cs="Arial"/>
          <w:color w:val="000000"/>
          <w:sz w:val="16"/>
          <w:szCs w:val="16"/>
          <w:lang w:val="es-ES"/>
        </w:rPr>
      </w:pPr>
      <w:r w:rsidRPr="00AC1169">
        <w:rPr>
          <w:rStyle w:val="Refdenotaalpie"/>
          <w:rFonts w:ascii="Verdana" w:hAnsi="Verdana" w:cs="Arial"/>
          <w:color w:val="000000"/>
          <w:sz w:val="16"/>
          <w:szCs w:val="16"/>
        </w:rPr>
        <w:footnoteRef/>
      </w:r>
      <w:r w:rsidRPr="00AC1169">
        <w:rPr>
          <w:rFonts w:ascii="Verdana" w:hAnsi="Verdana" w:cs="Arial"/>
          <w:color w:val="000000"/>
          <w:sz w:val="16"/>
          <w:szCs w:val="16"/>
        </w:rPr>
        <w:t xml:space="preserve"> </w:t>
      </w:r>
      <w:r w:rsidRPr="00AC1169">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10">
    <w:p w14:paraId="6BB603C7" w14:textId="77777777" w:rsidR="00795CDC" w:rsidRPr="00AC1169" w:rsidRDefault="00795CDC" w:rsidP="00B70BA7">
      <w:pPr>
        <w:spacing w:after="0" w:line="240" w:lineRule="auto"/>
        <w:contextualSpacing/>
        <w:rPr>
          <w:rFonts w:ascii="Verdana" w:hAnsi="Verdana"/>
          <w:sz w:val="16"/>
          <w:szCs w:val="16"/>
        </w:rPr>
      </w:pPr>
    </w:p>
  </w:footnote>
  <w:footnote w:id="11">
    <w:p w14:paraId="40BBD20B" w14:textId="77777777" w:rsidR="00795CDC" w:rsidRPr="00AC1169" w:rsidRDefault="00795CDC" w:rsidP="00B70BA7">
      <w:pPr>
        <w:pStyle w:val="Textonotapie"/>
        <w:ind w:firstLine="709"/>
        <w:contextualSpacing/>
        <w:jc w:val="both"/>
        <w:rPr>
          <w:rFonts w:ascii="Verdana" w:hAnsi="Verdana" w:cs="Arial"/>
          <w:sz w:val="16"/>
          <w:szCs w:val="16"/>
        </w:rPr>
      </w:pPr>
      <w:r w:rsidRPr="00AC1169">
        <w:rPr>
          <w:rStyle w:val="Refdenotaalpie"/>
          <w:rFonts w:ascii="Verdana" w:hAnsi="Verdana" w:cs="Arial"/>
          <w:sz w:val="16"/>
          <w:szCs w:val="16"/>
        </w:rPr>
        <w:footnoteRef/>
      </w:r>
      <w:r w:rsidRPr="00AC1169">
        <w:rPr>
          <w:rFonts w:ascii="Verdana" w:hAnsi="Verdana" w:cs="Arial"/>
          <w:sz w:val="16"/>
          <w:szCs w:val="16"/>
        </w:rPr>
        <w:t xml:space="preserve"> </w:t>
      </w:r>
      <w:r w:rsidRPr="00AC1169">
        <w:rPr>
          <w:rFonts w:ascii="Verdana" w:hAnsi="Verdana" w:cs="Arial"/>
          <w:sz w:val="16"/>
          <w:szCs w:val="16"/>
          <w:lang w:val="es-ES"/>
        </w:rPr>
        <w:t>Consejo De Estado. Sección Tercera. Subsección C. Sentencia de Unificación del 2 de diciembre de 2013. Exp. 41.719. C.P. Jaime Orlando Santofimio Gamboa.</w:t>
      </w:r>
      <w:r w:rsidRPr="00AC1169">
        <w:rPr>
          <w:rFonts w:ascii="Verdana" w:hAnsi="Verdana" w:cs="Arial"/>
          <w:sz w:val="16"/>
          <w:szCs w:val="16"/>
        </w:rPr>
        <w:t xml:space="preserve"> </w:t>
      </w:r>
    </w:p>
    <w:p w14:paraId="0075C771"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170EC8D"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242FC766"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580161C1" w14:textId="77777777" w:rsidR="00795CDC" w:rsidRPr="00AC1169" w:rsidRDefault="00795CDC" w:rsidP="00B70BA7">
      <w:pPr>
        <w:pStyle w:val="Textonotapie"/>
        <w:ind w:firstLine="709"/>
        <w:contextualSpacing/>
        <w:jc w:val="both"/>
        <w:rPr>
          <w:rFonts w:ascii="Verdana" w:hAnsi="Verdana" w:cs="Arial"/>
          <w:sz w:val="16"/>
          <w:szCs w:val="16"/>
          <w:lang w:val="es-ES"/>
        </w:rPr>
      </w:pPr>
    </w:p>
  </w:footnote>
  <w:footnote w:id="12">
    <w:p w14:paraId="481010D0"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Style w:val="Refdenotaalpie"/>
          <w:rFonts w:ascii="Verdana" w:hAnsi="Verdana" w:cs="Arial"/>
          <w:sz w:val="16"/>
          <w:szCs w:val="16"/>
        </w:rPr>
        <w:footnoteRef/>
      </w:r>
      <w:r w:rsidRPr="00AC1169">
        <w:rPr>
          <w:rFonts w:ascii="Verdana" w:hAnsi="Verdana" w:cs="Arial"/>
          <w:sz w:val="16"/>
          <w:szCs w:val="16"/>
        </w:rPr>
        <w:t xml:space="preserve"> </w:t>
      </w:r>
      <w:r w:rsidRPr="00AC1169">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2B61E464"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1. La causal que invoca para contratar directamente.</w:t>
      </w:r>
    </w:p>
    <w:p w14:paraId="65838839"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2. El objeto del contrato.</w:t>
      </w:r>
    </w:p>
    <w:p w14:paraId="020DDFE2"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3. El presupuesto para la contratación y las condiciones que exigirá al contratista.</w:t>
      </w:r>
    </w:p>
    <w:p w14:paraId="6952872A"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4. El lugar en el cual los interesados pueden consultar los estudios y documentos previos.</w:t>
      </w:r>
    </w:p>
    <w:p w14:paraId="1E183A97"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3">
    <w:p w14:paraId="228C85A7" w14:textId="77777777" w:rsidR="00795CDC" w:rsidRPr="00AC1169" w:rsidRDefault="00795CDC" w:rsidP="00B70BA7">
      <w:pPr>
        <w:pStyle w:val="Textonotapie"/>
        <w:contextualSpacing/>
        <w:jc w:val="both"/>
        <w:rPr>
          <w:rFonts w:ascii="Verdana" w:hAnsi="Verdana" w:cs="Arial"/>
          <w:sz w:val="16"/>
          <w:szCs w:val="16"/>
        </w:rPr>
      </w:pPr>
    </w:p>
    <w:p w14:paraId="03F0267F"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Style w:val="Refdenotaalpie"/>
          <w:rFonts w:ascii="Verdana" w:hAnsi="Verdana" w:cs="Arial"/>
          <w:sz w:val="16"/>
          <w:szCs w:val="16"/>
        </w:rPr>
        <w:footnoteRef/>
      </w:r>
      <w:r w:rsidRPr="00AC1169">
        <w:rPr>
          <w:rFonts w:ascii="Verdana" w:hAnsi="Verdana" w:cs="Arial"/>
          <w:sz w:val="16"/>
          <w:szCs w:val="16"/>
        </w:rPr>
        <w:t xml:space="preserve"> </w:t>
      </w:r>
      <w:r w:rsidRPr="00AC1169">
        <w:rPr>
          <w:rFonts w:ascii="Verdana" w:hAnsi="Verdana" w:cs="Arial"/>
          <w:sz w:val="16"/>
          <w:szCs w:val="16"/>
          <w:lang w:val="es-ES"/>
        </w:rPr>
        <w:t xml:space="preserve">La norma expresa: “Art. 14. </w:t>
      </w:r>
      <w:r w:rsidRPr="00AC1169">
        <w:rPr>
          <w:rFonts w:ascii="Verdana" w:hAnsi="Verdana" w:cs="Arial"/>
          <w:sz w:val="16"/>
          <w:szCs w:val="16"/>
        </w:rPr>
        <w:t>P</w:t>
      </w:r>
      <w:r w:rsidRPr="00AC1169">
        <w:rPr>
          <w:rFonts w:ascii="Verdana" w:hAnsi="Verdana" w:cs="Arial"/>
          <w:sz w:val="16"/>
          <w:szCs w:val="16"/>
          <w:lang w:val="es-ES"/>
        </w:rPr>
        <w:t>ara el cumplimiento de los fines de la contratación, las entidades estatales al celebrar un contrato:</w:t>
      </w:r>
    </w:p>
    <w:p w14:paraId="2F018CE9"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w:t>
      </w:r>
    </w:p>
    <w:p w14:paraId="69879804"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11DFB556"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Las entidades estatales podrán pactar estas cláusulas en los contratos de suministro y de prestación de servicios.</w:t>
      </w:r>
    </w:p>
    <w:p w14:paraId="4E3C5C96"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Fonts w:ascii="Verdana" w:hAnsi="Verdana" w:cs="Arial"/>
          <w:sz w:val="16"/>
          <w:szCs w:val="16"/>
          <w:lang w:val="es-ES"/>
        </w:rPr>
        <w:t>[…]”.</w:t>
      </w:r>
    </w:p>
    <w:p w14:paraId="7CB8D71B" w14:textId="77777777" w:rsidR="00795CDC" w:rsidRPr="00AC1169" w:rsidRDefault="00795CDC" w:rsidP="00B70BA7">
      <w:pPr>
        <w:pStyle w:val="Textonotapie"/>
        <w:ind w:firstLine="709"/>
        <w:contextualSpacing/>
        <w:jc w:val="both"/>
        <w:rPr>
          <w:rFonts w:ascii="Verdana" w:hAnsi="Verdana" w:cs="Arial"/>
          <w:sz w:val="16"/>
          <w:szCs w:val="16"/>
          <w:lang w:val="es-ES"/>
        </w:rPr>
      </w:pPr>
    </w:p>
  </w:footnote>
  <w:footnote w:id="14">
    <w:p w14:paraId="5A21273C"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Style w:val="Refdenotaalpie"/>
          <w:rFonts w:ascii="Verdana" w:hAnsi="Verdana" w:cs="Arial"/>
          <w:sz w:val="16"/>
          <w:szCs w:val="16"/>
        </w:rPr>
        <w:footnoteRef/>
      </w:r>
      <w:r w:rsidRPr="00AC1169">
        <w:rPr>
          <w:rFonts w:ascii="Verdana" w:hAnsi="Verdana" w:cs="Arial"/>
          <w:sz w:val="16"/>
          <w:szCs w:val="16"/>
        </w:rPr>
        <w:t xml:space="preserve"> </w:t>
      </w:r>
      <w:r w:rsidRPr="00AC1169">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44EB0F86" w14:textId="77777777" w:rsidR="00795CDC" w:rsidRPr="00AC1169" w:rsidRDefault="00795CDC" w:rsidP="00B70BA7">
      <w:pPr>
        <w:pStyle w:val="Textonotapie"/>
        <w:ind w:firstLine="709"/>
        <w:contextualSpacing/>
        <w:jc w:val="both"/>
        <w:rPr>
          <w:rFonts w:ascii="Verdana" w:hAnsi="Verdana" w:cs="Arial"/>
          <w:sz w:val="16"/>
          <w:szCs w:val="16"/>
          <w:lang w:val="es-ES"/>
        </w:rPr>
      </w:pPr>
    </w:p>
  </w:footnote>
  <w:footnote w:id="15">
    <w:p w14:paraId="08BF62A5" w14:textId="77777777" w:rsidR="00795CDC" w:rsidRPr="00AC1169" w:rsidRDefault="00795CDC" w:rsidP="00B70BA7">
      <w:pPr>
        <w:pStyle w:val="Textonotapie"/>
        <w:ind w:firstLine="709"/>
        <w:contextualSpacing/>
        <w:jc w:val="both"/>
        <w:rPr>
          <w:rFonts w:ascii="Verdana" w:hAnsi="Verdana" w:cs="Arial"/>
          <w:sz w:val="16"/>
          <w:szCs w:val="16"/>
        </w:rPr>
      </w:pPr>
      <w:r w:rsidRPr="00AC1169">
        <w:rPr>
          <w:rStyle w:val="Refdenotaalpie"/>
          <w:rFonts w:ascii="Verdana" w:hAnsi="Verdana" w:cs="Arial"/>
          <w:sz w:val="16"/>
          <w:szCs w:val="16"/>
        </w:rPr>
        <w:footnoteRef/>
      </w:r>
      <w:r w:rsidRPr="00AC1169">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1381B0D" w14:textId="77777777" w:rsidR="00795CDC" w:rsidRPr="00AC1169" w:rsidRDefault="00795CDC" w:rsidP="00B70BA7">
      <w:pPr>
        <w:pStyle w:val="Textonotapie"/>
        <w:ind w:firstLine="709"/>
        <w:contextualSpacing/>
        <w:jc w:val="both"/>
        <w:rPr>
          <w:rFonts w:ascii="Verdana" w:hAnsi="Verdana" w:cs="Arial"/>
          <w:sz w:val="16"/>
          <w:szCs w:val="16"/>
        </w:rPr>
      </w:pPr>
      <w:r w:rsidRPr="00AC1169">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07283A9" w14:textId="77777777" w:rsidR="00795CDC" w:rsidRPr="00AC1169" w:rsidRDefault="00795CDC" w:rsidP="00B70BA7">
      <w:pPr>
        <w:pStyle w:val="Textonotapie"/>
        <w:ind w:firstLine="709"/>
        <w:contextualSpacing/>
        <w:jc w:val="both"/>
        <w:rPr>
          <w:rFonts w:ascii="Verdana" w:hAnsi="Verdana" w:cs="Arial"/>
          <w:sz w:val="16"/>
          <w:szCs w:val="16"/>
        </w:rPr>
      </w:pPr>
      <w:r w:rsidRPr="00AC1169">
        <w:rPr>
          <w:rFonts w:ascii="Verdana" w:hAnsi="Verdana" w:cs="Arial"/>
          <w:sz w:val="16"/>
          <w:szCs w:val="16"/>
        </w:rPr>
        <w:t>[…]”.</w:t>
      </w:r>
    </w:p>
    <w:p w14:paraId="5431BE3D" w14:textId="77777777" w:rsidR="00795CDC" w:rsidRPr="00AC1169" w:rsidRDefault="00795CDC" w:rsidP="00B70BA7">
      <w:pPr>
        <w:pStyle w:val="Textonotapie"/>
        <w:ind w:firstLine="709"/>
        <w:contextualSpacing/>
        <w:jc w:val="both"/>
        <w:rPr>
          <w:rFonts w:ascii="Verdana" w:hAnsi="Verdana" w:cs="Arial"/>
          <w:sz w:val="16"/>
          <w:szCs w:val="16"/>
          <w:lang w:val="es-ES"/>
        </w:rPr>
      </w:pPr>
    </w:p>
  </w:footnote>
  <w:footnote w:id="16">
    <w:p w14:paraId="135C0DD1" w14:textId="77777777" w:rsidR="00795CDC" w:rsidRPr="00AC1169" w:rsidRDefault="00795CDC" w:rsidP="00B70BA7">
      <w:pPr>
        <w:pStyle w:val="Textonotapie"/>
        <w:ind w:firstLine="709"/>
        <w:contextualSpacing/>
        <w:jc w:val="both"/>
        <w:rPr>
          <w:rFonts w:ascii="Verdana" w:hAnsi="Verdana" w:cs="Arial"/>
          <w:sz w:val="16"/>
          <w:szCs w:val="16"/>
          <w:lang w:val="es-ES"/>
        </w:rPr>
      </w:pPr>
      <w:r w:rsidRPr="00AC1169">
        <w:rPr>
          <w:rStyle w:val="Refdenotaalpie"/>
          <w:rFonts w:ascii="Verdana" w:hAnsi="Verdana" w:cs="Arial"/>
          <w:sz w:val="16"/>
          <w:szCs w:val="16"/>
        </w:rPr>
        <w:footnoteRef/>
      </w:r>
      <w:r w:rsidRPr="00AC1169">
        <w:rPr>
          <w:rFonts w:ascii="Verdana" w:hAnsi="Verdana" w:cs="Arial"/>
          <w:sz w:val="16"/>
          <w:szCs w:val="16"/>
        </w:rPr>
        <w:t xml:space="preserve"> </w:t>
      </w:r>
      <w:r w:rsidRPr="00AC1169">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4D8AD4BB" w14:textId="77777777" w:rsidR="00795CDC" w:rsidRPr="00AC1169" w:rsidRDefault="00795CDC" w:rsidP="00B70BA7">
      <w:pPr>
        <w:pStyle w:val="Textonotapie"/>
        <w:ind w:firstLine="709"/>
        <w:contextualSpacing/>
        <w:jc w:val="both"/>
        <w:rPr>
          <w:rFonts w:ascii="Verdana" w:hAnsi="Verdana" w:cs="Arial"/>
          <w:sz w:val="16"/>
          <w:szCs w:val="16"/>
          <w:lang w:val="es-ES"/>
        </w:rPr>
      </w:pPr>
    </w:p>
  </w:footnote>
  <w:footnote w:id="17">
    <w:p w14:paraId="620FE08D" w14:textId="77777777" w:rsidR="00795CDC" w:rsidRPr="00AC1169" w:rsidRDefault="00795CDC" w:rsidP="00B70BA7">
      <w:pPr>
        <w:pStyle w:val="Textonotapie"/>
        <w:ind w:left="708"/>
        <w:contextualSpacing/>
        <w:jc w:val="both"/>
        <w:rPr>
          <w:rFonts w:ascii="Verdana" w:hAnsi="Verdana" w:cs="Times New Roman"/>
          <w:sz w:val="16"/>
          <w:szCs w:val="16"/>
          <w:lang w:val="es-CO"/>
        </w:rPr>
      </w:pPr>
      <w:r w:rsidRPr="00AC1169">
        <w:rPr>
          <w:rStyle w:val="Refdenotaalpie"/>
          <w:rFonts w:ascii="Verdana" w:hAnsi="Verdana"/>
          <w:sz w:val="16"/>
          <w:szCs w:val="16"/>
        </w:rPr>
        <w:footnoteRef/>
      </w:r>
      <w:r w:rsidRPr="00AC1169">
        <w:rPr>
          <w:rFonts w:ascii="Verdana" w:hAnsi="Verdana"/>
          <w:sz w:val="16"/>
          <w:szCs w:val="16"/>
        </w:rPr>
        <w:t xml:space="preserve"> Corte Constitucional. Sentencia </w:t>
      </w:r>
      <w:r w:rsidRPr="00AC1169">
        <w:rPr>
          <w:rFonts w:ascii="Verdana" w:hAnsi="Verdana" w:cs="Times New Roman"/>
          <w:sz w:val="16"/>
          <w:szCs w:val="16"/>
        </w:rPr>
        <w:t xml:space="preserve">C-005 de 2017. Magistrado Ponente: </w:t>
      </w:r>
      <w:r w:rsidRPr="00AC1169">
        <w:rPr>
          <w:rFonts w:ascii="Verdana" w:hAnsi="Verdana" w:cs="Times New Roman"/>
          <w:sz w:val="16"/>
          <w:szCs w:val="16"/>
          <w:lang w:val="es-CO"/>
        </w:rPr>
        <w:t xml:space="preserve">Luis Ernesto Vargas Silva. </w:t>
      </w:r>
    </w:p>
    <w:p w14:paraId="16265A2A" w14:textId="77777777" w:rsidR="00795CDC" w:rsidRPr="00AC1169" w:rsidRDefault="00795CDC" w:rsidP="00B70BA7">
      <w:pPr>
        <w:pStyle w:val="Textonotapie"/>
        <w:ind w:left="708"/>
        <w:contextualSpacing/>
        <w:jc w:val="both"/>
        <w:rPr>
          <w:rFonts w:ascii="Verdana" w:hAnsi="Verdana"/>
          <w:sz w:val="16"/>
          <w:szCs w:val="16"/>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DC809" w14:textId="77777777"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0CFE5C0" w14:textId="77777777" w:rsidR="00756841" w:rsidRDefault="00756841">
    <w:pPr>
      <w:pStyle w:val="Encabezado"/>
    </w:pPr>
  </w:p>
  <w:p w14:paraId="62ADC07A" w14:textId="77777777" w:rsidR="00DC39FC" w:rsidRDefault="00DC39FC" w:rsidP="004A305D">
    <w:pPr>
      <w:spacing w:after="0"/>
      <w:rPr>
        <w:rFonts w:ascii="Verdana" w:hAnsi="Verdana"/>
        <w:b/>
        <w:bCs/>
      </w:rPr>
    </w:pPr>
  </w:p>
  <w:p w14:paraId="3EBDFE55" w14:textId="77777777" w:rsidR="004A305D" w:rsidRPr="00DC39FC" w:rsidRDefault="004A305D" w:rsidP="004A305D">
    <w:pPr>
      <w:spacing w:after="0"/>
      <w:rPr>
        <w:rFonts w:ascii="Verdana" w:hAnsi="Verdana"/>
        <w:b/>
        <w:bCs/>
      </w:rPr>
    </w:pPr>
    <w:r w:rsidRPr="00DC39FC">
      <w:rPr>
        <w:rFonts w:ascii="Verdana" w:hAnsi="Verdana"/>
        <w:b/>
        <w:bCs/>
      </w:rPr>
      <w:t>FORMATO PQRSD</w:t>
    </w:r>
  </w:p>
  <w:p w14:paraId="19D2DFF1" w14:textId="77777777" w:rsidR="004A305D" w:rsidRPr="004A305D" w:rsidRDefault="004A305D" w:rsidP="00B01B1A">
    <w:pPr>
      <w:spacing w:after="0" w:line="120" w:lineRule="auto"/>
      <w:rPr>
        <w:rFonts w:ascii="Century Gothic" w:eastAsia="Geo" w:hAnsi="Century Gothic" w:cs="Geo"/>
        <w:sz w:val="16"/>
        <w:szCs w:val="16"/>
        <w:lang w:eastAsia="es-CO"/>
      </w:rPr>
    </w:pPr>
  </w:p>
  <w:p w14:paraId="49E5EAF4" w14:textId="77777777"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620961882" o:spid="_x0000_i1025" type="#_x0000_t75" style="width:11.4pt;height:11.4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92B6D98"/>
    <w:multiLevelType w:val="hybridMultilevel"/>
    <w:tmpl w:val="6E0E94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9"/>
  </w:num>
  <w:num w:numId="16" w16cid:durableId="341274352">
    <w:abstractNumId w:val="0"/>
  </w:num>
  <w:num w:numId="17" w16cid:durableId="5104853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629"/>
    <w:rsid w:val="00016CAA"/>
    <w:rsid w:val="00016F78"/>
    <w:rsid w:val="00046945"/>
    <w:rsid w:val="00061B2A"/>
    <w:rsid w:val="00082362"/>
    <w:rsid w:val="000A683E"/>
    <w:rsid w:val="000B19B9"/>
    <w:rsid w:val="000D0334"/>
    <w:rsid w:val="000D0EA3"/>
    <w:rsid w:val="000D5956"/>
    <w:rsid w:val="000F6486"/>
    <w:rsid w:val="00125105"/>
    <w:rsid w:val="00127233"/>
    <w:rsid w:val="001511A0"/>
    <w:rsid w:val="00162501"/>
    <w:rsid w:val="001C37C9"/>
    <w:rsid w:val="001D5991"/>
    <w:rsid w:val="001E3AB0"/>
    <w:rsid w:val="001E4177"/>
    <w:rsid w:val="001F7DC6"/>
    <w:rsid w:val="002229A2"/>
    <w:rsid w:val="002421BB"/>
    <w:rsid w:val="0025796E"/>
    <w:rsid w:val="002707A2"/>
    <w:rsid w:val="002951A0"/>
    <w:rsid w:val="002962BC"/>
    <w:rsid w:val="002A093D"/>
    <w:rsid w:val="002A0DD0"/>
    <w:rsid w:val="002A49AC"/>
    <w:rsid w:val="002A64FD"/>
    <w:rsid w:val="002C7A84"/>
    <w:rsid w:val="002D3CE0"/>
    <w:rsid w:val="002E4FD9"/>
    <w:rsid w:val="003048A1"/>
    <w:rsid w:val="00322A85"/>
    <w:rsid w:val="00324168"/>
    <w:rsid w:val="003448F4"/>
    <w:rsid w:val="00355DE6"/>
    <w:rsid w:val="00374F5E"/>
    <w:rsid w:val="00377E3E"/>
    <w:rsid w:val="003A2415"/>
    <w:rsid w:val="003A779E"/>
    <w:rsid w:val="003B21C9"/>
    <w:rsid w:val="003B730D"/>
    <w:rsid w:val="003D0F4D"/>
    <w:rsid w:val="003D5B0D"/>
    <w:rsid w:val="003E0027"/>
    <w:rsid w:val="003E0499"/>
    <w:rsid w:val="003F3941"/>
    <w:rsid w:val="00406575"/>
    <w:rsid w:val="00414C74"/>
    <w:rsid w:val="004169D5"/>
    <w:rsid w:val="0042722E"/>
    <w:rsid w:val="0044528D"/>
    <w:rsid w:val="00475496"/>
    <w:rsid w:val="004A1847"/>
    <w:rsid w:val="004A305D"/>
    <w:rsid w:val="004F21C4"/>
    <w:rsid w:val="004F685F"/>
    <w:rsid w:val="0055453B"/>
    <w:rsid w:val="005566E8"/>
    <w:rsid w:val="00567B38"/>
    <w:rsid w:val="00574867"/>
    <w:rsid w:val="00591460"/>
    <w:rsid w:val="005B3816"/>
    <w:rsid w:val="005C3777"/>
    <w:rsid w:val="005C5CDC"/>
    <w:rsid w:val="005D2085"/>
    <w:rsid w:val="005D476C"/>
    <w:rsid w:val="006219F8"/>
    <w:rsid w:val="0063131C"/>
    <w:rsid w:val="00633328"/>
    <w:rsid w:val="006537B0"/>
    <w:rsid w:val="00665D70"/>
    <w:rsid w:val="00687124"/>
    <w:rsid w:val="006900D9"/>
    <w:rsid w:val="006D7C79"/>
    <w:rsid w:val="00706C16"/>
    <w:rsid w:val="00720F40"/>
    <w:rsid w:val="00756841"/>
    <w:rsid w:val="007649AB"/>
    <w:rsid w:val="00771D0C"/>
    <w:rsid w:val="007833AC"/>
    <w:rsid w:val="00792C75"/>
    <w:rsid w:val="00795CDC"/>
    <w:rsid w:val="007B268C"/>
    <w:rsid w:val="007B7171"/>
    <w:rsid w:val="007C0C0F"/>
    <w:rsid w:val="007C3DC2"/>
    <w:rsid w:val="007E5497"/>
    <w:rsid w:val="00806F5F"/>
    <w:rsid w:val="00820278"/>
    <w:rsid w:val="00867F95"/>
    <w:rsid w:val="008843B6"/>
    <w:rsid w:val="00891928"/>
    <w:rsid w:val="008A446D"/>
    <w:rsid w:val="008D180B"/>
    <w:rsid w:val="008F0EA7"/>
    <w:rsid w:val="00911193"/>
    <w:rsid w:val="00923EEF"/>
    <w:rsid w:val="00927235"/>
    <w:rsid w:val="009414DC"/>
    <w:rsid w:val="009419F9"/>
    <w:rsid w:val="00944E7E"/>
    <w:rsid w:val="0095685E"/>
    <w:rsid w:val="00961B09"/>
    <w:rsid w:val="00965334"/>
    <w:rsid w:val="0097093E"/>
    <w:rsid w:val="00986AC5"/>
    <w:rsid w:val="009A0DFA"/>
    <w:rsid w:val="009B2D26"/>
    <w:rsid w:val="009C71FA"/>
    <w:rsid w:val="009C72E7"/>
    <w:rsid w:val="009D3058"/>
    <w:rsid w:val="009E472C"/>
    <w:rsid w:val="009F3A13"/>
    <w:rsid w:val="00A122D3"/>
    <w:rsid w:val="00A17F13"/>
    <w:rsid w:val="00A20739"/>
    <w:rsid w:val="00A33C78"/>
    <w:rsid w:val="00A57E12"/>
    <w:rsid w:val="00A71CCF"/>
    <w:rsid w:val="00AA03F8"/>
    <w:rsid w:val="00AB0ADB"/>
    <w:rsid w:val="00AC1169"/>
    <w:rsid w:val="00B01B1A"/>
    <w:rsid w:val="00B0765E"/>
    <w:rsid w:val="00B17F4B"/>
    <w:rsid w:val="00B21774"/>
    <w:rsid w:val="00B25625"/>
    <w:rsid w:val="00B66319"/>
    <w:rsid w:val="00B70BA7"/>
    <w:rsid w:val="00B72CD3"/>
    <w:rsid w:val="00B72FFF"/>
    <w:rsid w:val="00B75D98"/>
    <w:rsid w:val="00B926DB"/>
    <w:rsid w:val="00BC3D36"/>
    <w:rsid w:val="00BC7371"/>
    <w:rsid w:val="00BD7F72"/>
    <w:rsid w:val="00BF4507"/>
    <w:rsid w:val="00C02BAA"/>
    <w:rsid w:val="00C04FB3"/>
    <w:rsid w:val="00C07231"/>
    <w:rsid w:val="00C330EB"/>
    <w:rsid w:val="00C41061"/>
    <w:rsid w:val="00C754BE"/>
    <w:rsid w:val="00C76B1C"/>
    <w:rsid w:val="00C877F6"/>
    <w:rsid w:val="00CB0B3A"/>
    <w:rsid w:val="00CB6357"/>
    <w:rsid w:val="00CC1B26"/>
    <w:rsid w:val="00D40CDF"/>
    <w:rsid w:val="00D423A2"/>
    <w:rsid w:val="00D520D8"/>
    <w:rsid w:val="00D53B93"/>
    <w:rsid w:val="00D63AC2"/>
    <w:rsid w:val="00D7383B"/>
    <w:rsid w:val="00D90698"/>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A1075"/>
    <w:rsid w:val="00EC38A7"/>
    <w:rsid w:val="00ED65F1"/>
    <w:rsid w:val="00ED7384"/>
    <w:rsid w:val="00EE1AA8"/>
    <w:rsid w:val="00F242C6"/>
    <w:rsid w:val="00F31EDC"/>
    <w:rsid w:val="00F43829"/>
    <w:rsid w:val="00F462B3"/>
    <w:rsid w:val="00F5664F"/>
    <w:rsid w:val="00F666C4"/>
    <w:rsid w:val="00F76AFC"/>
    <w:rsid w:val="00FA47C0"/>
    <w:rsid w:val="00FB5DD1"/>
    <w:rsid w:val="00FC2B5D"/>
    <w:rsid w:val="00FD5EE0"/>
    <w:rsid w:val="00FD7BA7"/>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Ha,List Paragraph1,Gui"/>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95CD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5CD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BE68F5E7-EE9F-43A0-9BCD-D91576D2E111}"/>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18</Pages>
  <Words>5629</Words>
  <Characters>30965</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36521</CharactersWithSpaces>
  <SharedDoc>false</SharedDoc>
  <HLinks>
    <vt:vector size="24" baseType="variant">
      <vt:variant>
        <vt:i4>2621545</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diana.saavedra%40colombiacompra.gov.co%7Ceb0fd05604104aa4d3bc08dd4c4ad35e%7C7b09041e245149d08cb179d5e3d8c1be%7C0%7C0%7C638750606444368194%7CUnknown%7CTWFpbGZsb3d8eyJFbXB0eU1hcGkiOnRydWUsIlYiOiIwLjAuMDAwMCIsIlAiOiJXaW4zMiIsIkFOIjoiTWFpbCIsIldUIjoyfQ%3D%3D%7C0%7C%7C%7C&amp;sdata=GbA7VblRFwqpXDS9nTyu0wIXc%2Bxd%2B50Y6x1f5mEXzdc%3D&amp;reserved=0</vt:lpwstr>
      </vt:variant>
      <vt:variant>
        <vt:lpwstr/>
      </vt:variant>
      <vt:variant>
        <vt:i4>3604593</vt:i4>
      </vt:variant>
      <vt:variant>
        <vt:i4>6</vt:i4>
      </vt:variant>
      <vt:variant>
        <vt:i4>0</vt:i4>
      </vt:variant>
      <vt:variant>
        <vt:i4>5</vt:i4>
      </vt:variant>
      <vt:variant>
        <vt:lpwstr>https://nam02.safelinks.protection.outlook.com/?url=https%3A%2F%2Fwww.colombiacompra.gov.co%2Fciudadanos%2Fcalendario&amp;data=05%7C02%7Cdiana.saavedra%40colombiacompra.gov.co%7Ceb0fd05604104aa4d3bc08dd4c4ad35e%7C7b09041e245149d08cb179d5e3d8c1be%7C0%7C0%7C638750606444354340%7CUnknown%7CTWFpbGZsb3d8eyJFbXB0eU1hcGkiOnRydWUsIlYiOiIwLjAuMDAwMCIsIlAiOiJXaW4zMiIsIkFOIjoiTWFpbCIsIldUIjoyfQ%3D%3D%7C0%7C%7C%7C&amp;sdata=z0f8hwc7nzc3KINp7V7LkBAHNmVeaBoGD5usEXgZm18%3D&amp;reserved=0</vt:lpwstr>
      </vt:variant>
      <vt:variant>
        <vt:lpwstr/>
      </vt:variant>
      <vt:variant>
        <vt:i4>6750326</vt:i4>
      </vt:variant>
      <vt:variant>
        <vt:i4>3</vt:i4>
      </vt:variant>
      <vt:variant>
        <vt:i4>0</vt:i4>
      </vt:variant>
      <vt:variant>
        <vt:i4>5</vt:i4>
      </vt:variant>
      <vt:variant>
        <vt:lpwstr>https://nam02.safelinks.protection.outlook.com/?url=https%3A%2F%2Fwww.colombiacompra.gov.co%2Fmanuales-guias-y-pliegos-tipo%2Fmanuales-y-guias%2Fcartilla-para-incentivar-y-fortalecer-el-acceso-las&amp;data=05%7C02%7Cdiana.saavedra%40colombiacompra.gov.co%7Ceb0fd05604104aa4d3bc08dd4c4ad35e%7C7b09041e245149d08cb179d5e3d8c1be%7C0%7C0%7C638750606444332598%7CUnknown%7CTWFpbGZsb3d8eyJFbXB0eU1hcGkiOnRydWUsIlYiOiIwLjAuMDAwMCIsIlAiOiJXaW4zMiIsIkFOIjoiTWFpbCIsIldUIjoyfQ%3D%3D%7C0%7C%7C%7C&amp;sdata=Hr%2BGHKt53PCyvi%2FpJvqUxcxt8ZOgcTVWGeF3uoCGtaI%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17</cp:revision>
  <cp:lastPrinted>2023-01-10T21:18:00Z</cp:lastPrinted>
  <dcterms:created xsi:type="dcterms:W3CDTF">2025-12-30T17:51:00Z</dcterms:created>
  <dcterms:modified xsi:type="dcterms:W3CDTF">2025-12-31T17:06:00Z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