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C6E13" w14:textId="65E8B4DE" w:rsidR="003878B5" w:rsidRDefault="00DE4314" w:rsidP="00D45947">
      <w:pPr>
        <w:spacing w:after="0" w:line="240" w:lineRule="auto"/>
        <w:jc w:val="both"/>
        <w:rPr>
          <w:rFonts w:ascii="Verdana" w:eastAsia="Times New Roman" w:hAnsi="Verdana" w:cs="Arial"/>
          <w:b/>
          <w:lang w:eastAsia="es-ES_tradnl"/>
        </w:rPr>
      </w:pPr>
      <w:bookmarkStart w:id="0" w:name="_Hlk143780582"/>
      <w:r w:rsidRPr="00DE4314">
        <w:rPr>
          <w:rFonts w:ascii="Verdana" w:eastAsia="Times New Roman" w:hAnsi="Verdana" w:cs="Arial"/>
          <w:b/>
          <w:lang w:eastAsia="es-ES_tradnl"/>
        </w:rPr>
        <w:t>CAPACIDAD RESIDUAL – Documentos requeridos – Cálculo</w:t>
      </w:r>
    </w:p>
    <w:p w14:paraId="74156E3B" w14:textId="77777777" w:rsidR="00D45947" w:rsidRDefault="00D45947" w:rsidP="00D45947">
      <w:pPr>
        <w:spacing w:after="0" w:line="240" w:lineRule="auto"/>
        <w:jc w:val="both"/>
        <w:rPr>
          <w:rFonts w:ascii="Verdana" w:eastAsia="Times New Roman" w:hAnsi="Verdana" w:cs="Arial"/>
          <w:b/>
          <w:lang w:eastAsia="es-ES_tradnl"/>
        </w:rPr>
      </w:pPr>
    </w:p>
    <w:p w14:paraId="3F990703" w14:textId="387E6920" w:rsidR="003878B5" w:rsidRPr="003878B5" w:rsidRDefault="003878B5" w:rsidP="003878B5">
      <w:pPr>
        <w:spacing w:after="120" w:line="276" w:lineRule="auto"/>
        <w:jc w:val="both"/>
        <w:rPr>
          <w:rFonts w:ascii="Verdana" w:eastAsia="Calibri" w:hAnsi="Verdana" w:cs="Times New Roman"/>
          <w:sz w:val="20"/>
          <w:szCs w:val="20"/>
        </w:rPr>
      </w:pPr>
      <w:r>
        <w:rPr>
          <w:rFonts w:ascii="Verdana" w:eastAsia="Calibri" w:hAnsi="Verdana" w:cs="Times New Roman"/>
          <w:sz w:val="20"/>
          <w:szCs w:val="20"/>
        </w:rPr>
        <w:t xml:space="preserve">(..) </w:t>
      </w:r>
      <w:r w:rsidRPr="003878B5">
        <w:rPr>
          <w:rFonts w:ascii="Verdana" w:eastAsia="Calibri" w:hAnsi="Verdana" w:cs="Times New Roman"/>
          <w:sz w:val="20"/>
          <w:szCs w:val="20"/>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6CAEDE4C" w14:textId="12C25D69" w:rsidR="003878B5" w:rsidRPr="003878B5" w:rsidRDefault="003878B5" w:rsidP="003878B5">
      <w:pPr>
        <w:spacing w:after="120" w:line="276" w:lineRule="auto"/>
        <w:jc w:val="both"/>
        <w:rPr>
          <w:rFonts w:ascii="Verdana" w:eastAsia="Calibri" w:hAnsi="Verdana" w:cs="Arial"/>
          <w:sz w:val="20"/>
          <w:szCs w:val="20"/>
        </w:rPr>
      </w:pPr>
      <w:r w:rsidRPr="003878B5">
        <w:rPr>
          <w:rFonts w:ascii="Verdana" w:eastAsia="Calibri" w:hAnsi="Verdana" w:cs="Times New Roman"/>
          <w:sz w:val="20"/>
          <w:szCs w:val="20"/>
        </w:rPr>
        <w:t xml:space="preserve">De esta manera las entidades estatales deberán establecer en los documentos del proceso la forma en la cual los proponentes deben acreditar los indicadores exigidos que no están incluidos en el RUP, así como lo dispone la Guía para determinar y verificar los requisitos habilitantes en los procesos de contratación expedida por la Agencia Nacional de Contratación Pública – Colombia Compra Eficiente. La capacidad residual de contratación es uno de aquellos requisitos no acreditables a través del RUP, de tal manera que la entidad estatal fijará las condiciones y requisitos en el pliego de condiciones o en los documentos del proceso a través del cual el proponente deberá ceñirse al cumplimiento </w:t>
      </w:r>
      <w:r w:rsidRPr="003878B5">
        <w:rPr>
          <w:rFonts w:ascii="Verdana" w:eastAsia="Calibri" w:hAnsi="Verdana" w:cs="Arial"/>
          <w:sz w:val="20"/>
          <w:szCs w:val="20"/>
        </w:rPr>
        <w:t>y allegar toda información ordenada, en los términos y la forma en que hayan sido señalados, con el fin de que la entidad pueda calcular la Capacidad Residual del proponente y verificar si cumple o no con la requerida en el Proceso de Contratación que adelanta</w:t>
      </w:r>
      <w:r>
        <w:rPr>
          <w:rFonts w:ascii="Verdana" w:eastAsia="Calibri" w:hAnsi="Verdana" w:cs="Arial"/>
          <w:sz w:val="20"/>
          <w:szCs w:val="20"/>
        </w:rPr>
        <w:t xml:space="preserve"> (…)</w:t>
      </w:r>
    </w:p>
    <w:p w14:paraId="6BB272D5" w14:textId="77777777" w:rsidR="00150111" w:rsidRDefault="00150111" w:rsidP="00697766">
      <w:pPr>
        <w:spacing w:after="0" w:line="240" w:lineRule="auto"/>
        <w:jc w:val="both"/>
        <w:rPr>
          <w:rFonts w:ascii="Verdana" w:eastAsia="Times New Roman" w:hAnsi="Verdana" w:cs="Arial"/>
          <w:b/>
          <w:lang w:eastAsia="es-ES_tradnl"/>
        </w:rPr>
      </w:pPr>
    </w:p>
    <w:p w14:paraId="7F82538C" w14:textId="43F97ABE" w:rsidR="00150111" w:rsidRDefault="00DF5080" w:rsidP="00697766">
      <w:pPr>
        <w:spacing w:after="0" w:line="240" w:lineRule="auto"/>
        <w:jc w:val="both"/>
        <w:rPr>
          <w:rFonts w:ascii="Verdana" w:eastAsia="Times New Roman" w:hAnsi="Verdana" w:cs="Arial"/>
          <w:b/>
          <w:lang w:eastAsia="es-ES_tradnl"/>
        </w:rPr>
      </w:pPr>
      <w:r w:rsidRPr="00DF5080">
        <w:rPr>
          <w:rFonts w:ascii="Verdana" w:eastAsia="Times New Roman" w:hAnsi="Verdana" w:cs="Arial"/>
          <w:b/>
          <w:lang w:eastAsia="es-ES_tradnl"/>
        </w:rPr>
        <w:t xml:space="preserve">CAPACIDAD RESIDUAL – Definición CAPACIDAD RESIDUAL – Acreditación - Pliego de condiciones  </w:t>
      </w:r>
    </w:p>
    <w:p w14:paraId="41860588" w14:textId="77777777" w:rsidR="00150111" w:rsidRPr="00925EE0" w:rsidRDefault="00150111" w:rsidP="00697766">
      <w:pPr>
        <w:spacing w:after="0" w:line="240" w:lineRule="auto"/>
        <w:jc w:val="both"/>
        <w:rPr>
          <w:rFonts w:ascii="Verdana" w:eastAsia="Times New Roman" w:hAnsi="Verdana" w:cs="Arial"/>
          <w:b/>
          <w:sz w:val="20"/>
          <w:szCs w:val="20"/>
          <w:lang w:eastAsia="es-ES_tradnl"/>
        </w:rPr>
      </w:pPr>
    </w:p>
    <w:p w14:paraId="6D76E340" w14:textId="2C7BBCC8" w:rsidR="00DF5080" w:rsidRPr="00925EE0" w:rsidRDefault="00925EE0" w:rsidP="00925EE0">
      <w:pPr>
        <w:spacing w:after="120" w:line="276" w:lineRule="auto"/>
        <w:jc w:val="both"/>
        <w:rPr>
          <w:rFonts w:ascii="Verdana" w:eastAsia="Calibri" w:hAnsi="Verdana" w:cs="Arial"/>
          <w:sz w:val="20"/>
          <w:szCs w:val="20"/>
          <w:lang w:val="es-ES"/>
        </w:rPr>
      </w:pPr>
      <w:r w:rsidRPr="00925EE0">
        <w:rPr>
          <w:rFonts w:ascii="Verdana" w:eastAsia="Calibri" w:hAnsi="Verdana" w:cs="Arial"/>
          <w:sz w:val="20"/>
          <w:szCs w:val="20"/>
          <w:lang w:val="es-ES"/>
        </w:rPr>
        <w:t xml:space="preserve">(…) </w:t>
      </w:r>
      <w:r w:rsidR="00DF5080" w:rsidRPr="00925EE0">
        <w:rPr>
          <w:rFonts w:ascii="Verdana" w:eastAsia="Calibri" w:hAnsi="Verdana" w:cs="Arial"/>
          <w:sz w:val="20"/>
          <w:szCs w:val="20"/>
          <w:lang w:val="es-ES"/>
        </w:rPr>
        <w:t xml:space="preserve">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 </w:t>
      </w:r>
    </w:p>
    <w:p w14:paraId="04F907B6" w14:textId="75A2663B" w:rsidR="00DF5080" w:rsidRPr="00925EE0" w:rsidRDefault="00DF5080" w:rsidP="00925EE0">
      <w:pPr>
        <w:spacing w:after="120" w:line="276" w:lineRule="auto"/>
        <w:jc w:val="both"/>
        <w:rPr>
          <w:rFonts w:ascii="Verdana" w:eastAsia="Calibri" w:hAnsi="Verdana" w:cs="Arial"/>
          <w:color w:val="000000" w:themeColor="text1"/>
          <w:sz w:val="20"/>
          <w:szCs w:val="20"/>
          <w:lang w:val="es-ES"/>
        </w:rPr>
      </w:pPr>
      <w:r w:rsidRPr="00925EE0">
        <w:rPr>
          <w:rFonts w:ascii="Verdana" w:eastAsia="Calibri" w:hAnsi="Verdana" w:cs="Arial"/>
          <w:sz w:val="20"/>
          <w:szCs w:val="20"/>
          <w:lang w:val="es-ES"/>
        </w:rPr>
        <w:t xml:space="preserve">De este modo, la </w:t>
      </w:r>
      <w:r w:rsidRPr="00925EE0">
        <w:rPr>
          <w:rFonts w:ascii="Verdana" w:eastAsia="Calibri" w:hAnsi="Verdana" w:cs="Arial"/>
          <w:color w:val="000000" w:themeColor="text1"/>
          <w:sz w:val="20"/>
          <w:szCs w:val="20"/>
          <w:lang w:val="es-ES"/>
        </w:rPr>
        <w:t>proporcionalidad en la configuración de causales de rechazo exige que cada motivo para excluir una oferta esté justificado por una necesidad real del proceso y guarde congruencia con la finalidad del contrato. No basta con que la entidad quiera “ordenar” o “depurar” el procedimiento; debe demostrar que la causal responde a un riesgo concreto, que es idónea para mitigarlo y que no existen medidas menos restrictivas para garantizar la selección objetiva. En otras palabras, una causal de rechazo solo es legítima cuando evita un impacto relevante en la competencia, la transparencia o la correcta ejecución contractual, y no cuando aplique como un filtro excesivo o innecesario que limita la participación.</w:t>
      </w:r>
      <w:r w:rsidR="00925EE0" w:rsidRPr="00925EE0">
        <w:rPr>
          <w:rFonts w:ascii="Verdana" w:eastAsia="Calibri" w:hAnsi="Verdana" w:cs="Arial"/>
          <w:color w:val="000000" w:themeColor="text1"/>
          <w:sz w:val="20"/>
          <w:szCs w:val="20"/>
          <w:lang w:val="es-ES"/>
        </w:rPr>
        <w:t xml:space="preserve"> (…) </w:t>
      </w:r>
    </w:p>
    <w:p w14:paraId="01C1D67D" w14:textId="27F29E7D" w:rsidR="00150111" w:rsidRPr="00DF5080" w:rsidRDefault="00B06EDB" w:rsidP="00697766">
      <w:pPr>
        <w:spacing w:after="0" w:line="240" w:lineRule="auto"/>
        <w:jc w:val="both"/>
        <w:rPr>
          <w:rFonts w:ascii="Verdana" w:eastAsia="Times New Roman" w:hAnsi="Verdana" w:cs="Arial"/>
          <w:b/>
          <w:lang w:val="es-ES" w:eastAsia="es-ES_tradnl"/>
        </w:rPr>
      </w:pPr>
      <w:r w:rsidRPr="00B06EDB">
        <w:rPr>
          <w:rFonts w:ascii="Verdana" w:eastAsia="Times New Roman" w:hAnsi="Verdana" w:cs="Arial"/>
          <w:b/>
          <w:lang w:val="es-ES" w:eastAsia="es-ES_tradnl"/>
        </w:rPr>
        <w:lastRenderedPageBreak/>
        <w:t>CAPACIDAD RESIDUAL – Contratos relevantes – Ejecución de obras civiles</w:t>
      </w:r>
    </w:p>
    <w:p w14:paraId="4550BB52" w14:textId="77777777" w:rsidR="00150111" w:rsidRDefault="00150111" w:rsidP="00697766">
      <w:pPr>
        <w:spacing w:after="0" w:line="240" w:lineRule="auto"/>
        <w:jc w:val="both"/>
        <w:rPr>
          <w:rFonts w:ascii="Verdana" w:eastAsia="Times New Roman" w:hAnsi="Verdana" w:cs="Arial"/>
          <w:b/>
          <w:lang w:eastAsia="es-ES_tradnl"/>
        </w:rPr>
      </w:pPr>
    </w:p>
    <w:p w14:paraId="3B2651EC" w14:textId="67C510C4" w:rsidR="00150111" w:rsidRPr="00564C5A" w:rsidRDefault="00D946E2" w:rsidP="00697766">
      <w:pPr>
        <w:spacing w:after="0" w:line="240" w:lineRule="auto"/>
        <w:jc w:val="both"/>
        <w:rPr>
          <w:rFonts w:ascii="Verdana" w:eastAsia="Times New Roman" w:hAnsi="Verdana" w:cs="Arial"/>
          <w:bCs/>
          <w:sz w:val="20"/>
          <w:szCs w:val="20"/>
          <w:lang w:eastAsia="es-ES_tradnl"/>
        </w:rPr>
      </w:pPr>
      <w:r>
        <w:rPr>
          <w:rFonts w:ascii="Verdana" w:eastAsia="Times New Roman" w:hAnsi="Verdana" w:cs="Arial"/>
          <w:bCs/>
          <w:sz w:val="20"/>
          <w:szCs w:val="20"/>
          <w:lang w:eastAsia="es-ES_tradnl"/>
        </w:rPr>
        <w:t xml:space="preserve">(…) </w:t>
      </w:r>
      <w:r w:rsidR="00564C5A" w:rsidRPr="00564C5A">
        <w:rPr>
          <w:rFonts w:ascii="Verdana" w:eastAsia="Times New Roman" w:hAnsi="Verdana" w:cs="Arial"/>
          <w:bCs/>
          <w:sz w:val="20"/>
          <w:szCs w:val="20"/>
          <w:lang w:eastAsia="es-ES_tradnl"/>
        </w:rPr>
        <w:t>En ese sentido, debido a que lo relevante es que el objeto del contrato contemple la ejecución de obras civiles, no es válido afirmar que, para calcular la capacidad residual deban tener en cuenta los contratos de consultoría o interventoría, erróneamente inscritos en el segmento 72. Lo relevante es el objeto del contrato, no el segmento en el que se inscribe. De este modo, la interpretación correcta es que la presencia de códigos del segmento 72 en el RUP no genera presunción de obra. La entidad debe basarse en el objeto contractual y no solo en la clasificación UNSPSC para decidir si un contrato afecta o no la capacidad residual. Este criterio asegura coherencia técnica, evita restricciones indebidas a la participación y mantiene alineado el análisis con el marco normativo vigente sobre el cálculo de la capacidad residual</w:t>
      </w:r>
      <w:r>
        <w:rPr>
          <w:rFonts w:ascii="Verdana" w:eastAsia="Times New Roman" w:hAnsi="Verdana" w:cs="Arial"/>
          <w:bCs/>
          <w:sz w:val="20"/>
          <w:szCs w:val="20"/>
          <w:lang w:eastAsia="es-ES_tradnl"/>
        </w:rPr>
        <w:t xml:space="preserve"> (…)</w:t>
      </w:r>
    </w:p>
    <w:p w14:paraId="567416A3" w14:textId="77777777" w:rsidR="00150111" w:rsidRDefault="00150111" w:rsidP="00697766">
      <w:pPr>
        <w:spacing w:after="0" w:line="240" w:lineRule="auto"/>
        <w:jc w:val="both"/>
        <w:rPr>
          <w:rFonts w:ascii="Verdana" w:eastAsia="Times New Roman" w:hAnsi="Verdana" w:cs="Arial"/>
          <w:b/>
          <w:lang w:eastAsia="es-ES_tradnl"/>
        </w:rPr>
      </w:pPr>
    </w:p>
    <w:p w14:paraId="003EF37C" w14:textId="5FF1CC7B" w:rsidR="00150111" w:rsidRDefault="009E7A0F" w:rsidP="00697766">
      <w:pPr>
        <w:spacing w:after="0" w:line="240" w:lineRule="auto"/>
        <w:jc w:val="both"/>
        <w:rPr>
          <w:rFonts w:ascii="Verdana" w:eastAsia="Times New Roman" w:hAnsi="Verdana" w:cs="Arial"/>
          <w:b/>
          <w:lang w:eastAsia="es-ES_tradnl"/>
        </w:rPr>
      </w:pPr>
      <w:r w:rsidRPr="009E7A0F">
        <w:rPr>
          <w:rFonts w:ascii="Verdana" w:eastAsia="Times New Roman" w:hAnsi="Verdana" w:cs="Arial"/>
          <w:b/>
          <w:lang w:eastAsia="es-ES_tradnl"/>
        </w:rPr>
        <w:t>CAUSALES DE RECHAZO – Pliegos de Condiciones - Discrecionalidad Administrativa -Proporcionalidad</w:t>
      </w:r>
    </w:p>
    <w:p w14:paraId="12A891DB" w14:textId="77777777" w:rsidR="00150111" w:rsidRDefault="00150111" w:rsidP="00697766">
      <w:pPr>
        <w:spacing w:after="0" w:line="240" w:lineRule="auto"/>
        <w:jc w:val="both"/>
        <w:rPr>
          <w:rFonts w:ascii="Verdana" w:eastAsia="Times New Roman" w:hAnsi="Verdana" w:cs="Arial"/>
          <w:b/>
          <w:lang w:eastAsia="es-ES_tradnl"/>
        </w:rPr>
      </w:pPr>
    </w:p>
    <w:p w14:paraId="0E554062" w14:textId="498D2AC5" w:rsidR="00D946E2" w:rsidRPr="00D946E2" w:rsidRDefault="00D946E2" w:rsidP="00D946E2">
      <w:pPr>
        <w:spacing w:after="120" w:line="276" w:lineRule="auto"/>
        <w:jc w:val="both"/>
        <w:rPr>
          <w:rFonts w:ascii="Verdana" w:eastAsia="Calibri" w:hAnsi="Verdana" w:cs="Arial"/>
          <w:sz w:val="20"/>
          <w:szCs w:val="20"/>
          <w:lang w:val="es-ES"/>
        </w:rPr>
      </w:pPr>
      <w:r w:rsidRPr="00D946E2">
        <w:rPr>
          <w:rFonts w:ascii="Verdana" w:eastAsia="Calibri" w:hAnsi="Verdana" w:cs="Arial"/>
          <w:sz w:val="20"/>
          <w:szCs w:val="20"/>
          <w:lang w:val="es-ES"/>
        </w:rPr>
        <w:t xml:space="preserve">(…) </w:t>
      </w:r>
      <w:r w:rsidRPr="00D946E2">
        <w:rPr>
          <w:rFonts w:ascii="Verdana" w:eastAsia="Calibri" w:hAnsi="Verdana" w:cs="Arial"/>
          <w:sz w:val="20"/>
          <w:szCs w:val="20"/>
          <w:lang w:val="es-ES"/>
        </w:rPr>
        <w:t xml:space="preserve">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 </w:t>
      </w:r>
    </w:p>
    <w:p w14:paraId="7793B223" w14:textId="52784228" w:rsidR="00D946E2" w:rsidRPr="00D946E2" w:rsidRDefault="00D946E2" w:rsidP="00D946E2">
      <w:pPr>
        <w:spacing w:after="120" w:line="276" w:lineRule="auto"/>
        <w:jc w:val="both"/>
        <w:rPr>
          <w:rFonts w:ascii="Verdana" w:eastAsia="Calibri" w:hAnsi="Verdana" w:cs="Arial"/>
          <w:color w:val="000000" w:themeColor="text1"/>
          <w:sz w:val="20"/>
          <w:szCs w:val="20"/>
          <w:lang w:val="es-ES"/>
        </w:rPr>
      </w:pPr>
      <w:r w:rsidRPr="00D946E2">
        <w:rPr>
          <w:rFonts w:ascii="Verdana" w:eastAsia="Calibri" w:hAnsi="Verdana" w:cs="Arial"/>
          <w:sz w:val="20"/>
          <w:szCs w:val="20"/>
          <w:lang w:val="es-ES"/>
        </w:rPr>
        <w:t xml:space="preserve">De este modo, la </w:t>
      </w:r>
      <w:r w:rsidRPr="00D946E2">
        <w:rPr>
          <w:rFonts w:ascii="Verdana" w:eastAsia="Calibri" w:hAnsi="Verdana" w:cs="Arial"/>
          <w:color w:val="000000" w:themeColor="text1"/>
          <w:sz w:val="20"/>
          <w:szCs w:val="20"/>
          <w:lang w:val="es-ES"/>
        </w:rPr>
        <w:t>proporcionalidad en la configuración de causales de rechazo exige que cada motivo para excluir una oferta esté justificado por una necesidad real del proceso y guarde congruencia con la finalidad del contrato. No basta con que la entidad quiera “ordenar” o “depurar” el procedimiento; debe demostrar que la causal responde a un riesgo concreto, que es idónea para mitigarlo y que no existen medidas menos restrictivas para garantizar la selección objetiva. En otras palabras, una causal de rechazo solo es legítima cuando evita un impacto relevante en la competencia, la transparencia o la correcta ejecución contractual, y no cuando aplique como un filtro excesivo o innecesario que limita la participación.</w:t>
      </w:r>
      <w:r w:rsidRPr="00D946E2">
        <w:rPr>
          <w:rFonts w:ascii="Verdana" w:eastAsia="Calibri" w:hAnsi="Verdana" w:cs="Arial"/>
          <w:color w:val="000000" w:themeColor="text1"/>
          <w:sz w:val="20"/>
          <w:szCs w:val="20"/>
          <w:lang w:val="es-ES"/>
        </w:rPr>
        <w:t xml:space="preserve"> (…)</w:t>
      </w:r>
    </w:p>
    <w:p w14:paraId="1509D942" w14:textId="77777777" w:rsidR="00697766" w:rsidRDefault="00697766" w:rsidP="00697766">
      <w:pPr>
        <w:spacing w:after="0" w:line="240" w:lineRule="auto"/>
        <w:jc w:val="both"/>
        <w:rPr>
          <w:rFonts w:ascii="Verdana" w:hAnsi="Verdana" w:cs="Arial"/>
          <w:bCs/>
          <w:sz w:val="20"/>
          <w:szCs w:val="20"/>
          <w:lang w:val="es-MX"/>
        </w:rPr>
      </w:pPr>
    </w:p>
    <w:p w14:paraId="4D420E4B" w14:textId="77777777" w:rsidR="001E1262" w:rsidRDefault="00697766" w:rsidP="001E1262">
      <w:pPr>
        <w:spacing w:after="0" w:line="240" w:lineRule="auto"/>
        <w:jc w:val="both"/>
        <w:rPr>
          <w:rFonts w:ascii="Verdana" w:eastAsia="Times New Roman" w:hAnsi="Verdana" w:cs="Arial"/>
          <w:b/>
          <w:lang w:eastAsia="es-ES_tradnl"/>
        </w:rPr>
      </w:pPr>
      <w:r w:rsidRPr="00C91962">
        <w:rPr>
          <w:rFonts w:ascii="Verdana" w:eastAsia="Times New Roman" w:hAnsi="Verdana" w:cs="Arial"/>
          <w:b/>
          <w:lang w:eastAsia="es-ES_tradnl"/>
        </w:rPr>
        <w:t>CLASIFICADOR DE BIENES Y SERVICIOS (UNSPSC) – Segmento 72 – Experiencia acreditada – Capacidad residual</w:t>
      </w:r>
    </w:p>
    <w:p w14:paraId="640906B3" w14:textId="77777777" w:rsidR="001E1262" w:rsidRDefault="001E1262" w:rsidP="001E1262">
      <w:pPr>
        <w:spacing w:after="0" w:line="240" w:lineRule="auto"/>
        <w:jc w:val="both"/>
        <w:rPr>
          <w:rFonts w:ascii="Verdana" w:eastAsia="Times New Roman" w:hAnsi="Verdana" w:cs="Arial"/>
          <w:b/>
          <w:lang w:eastAsia="es-ES_tradnl"/>
        </w:rPr>
      </w:pPr>
    </w:p>
    <w:p w14:paraId="3F95DFD2" w14:textId="01373909" w:rsidR="001E1262" w:rsidRPr="001A7824" w:rsidRDefault="001E1262" w:rsidP="001E1262">
      <w:pPr>
        <w:spacing w:after="0" w:line="240" w:lineRule="auto"/>
        <w:jc w:val="both"/>
        <w:rPr>
          <w:rFonts w:ascii="Verdana" w:eastAsia="Calibri" w:hAnsi="Verdana" w:cs="Arial"/>
          <w:bCs/>
          <w:sz w:val="20"/>
          <w:szCs w:val="20"/>
        </w:rPr>
      </w:pPr>
      <w:r w:rsidRPr="001A7824">
        <w:rPr>
          <w:rFonts w:ascii="Verdana" w:eastAsia="Times New Roman" w:hAnsi="Verdana" w:cs="Arial"/>
          <w:bCs/>
          <w:sz w:val="20"/>
          <w:szCs w:val="20"/>
          <w:lang w:eastAsia="es-ES_tradnl"/>
        </w:rPr>
        <w:t xml:space="preserve">(…) </w:t>
      </w:r>
      <w:r w:rsidRPr="001A7824">
        <w:rPr>
          <w:rFonts w:ascii="Verdana" w:eastAsia="Calibri" w:hAnsi="Verdana" w:cs="Arial"/>
          <w:bCs/>
          <w:sz w:val="20"/>
          <w:szCs w:val="20"/>
        </w:rPr>
        <w:t xml:space="preserve">Para los efectos de la capacidad residual −no para la experiencia general que debe acreditar el contratista según la Matriz 1−, corresponde de un lado, a la relación entre “el valor total en pesos de los contratos </w:t>
      </w:r>
      <w:r w:rsidRPr="001A7824">
        <w:rPr>
          <w:rFonts w:ascii="Verdana" w:eastAsia="Calibri" w:hAnsi="Verdana" w:cs="Arial"/>
          <w:bCs/>
          <w:i/>
          <w:iCs/>
          <w:sz w:val="20"/>
          <w:szCs w:val="20"/>
        </w:rPr>
        <w:t>relacionados con la actividad de la construcción</w:t>
      </w:r>
      <w:r w:rsidRPr="001A7824">
        <w:rPr>
          <w:rFonts w:ascii="Verdana" w:eastAsia="Calibri" w:hAnsi="Verdana" w:cs="Arial"/>
          <w:bCs/>
          <w:sz w:val="20"/>
          <w:szCs w:val="20"/>
        </w:rPr>
        <w:t xml:space="preserve"> inscritos por el proponente en el Registro Único de Proponentes “RUP” en el segmento 72 […] del Clasificador de Bienes y Servicios”, y del otro, al presupuesto oficial estimado </w:t>
      </w:r>
      <w:r w:rsidRPr="001A7824">
        <w:rPr>
          <w:rFonts w:ascii="Verdana" w:eastAsia="Calibri" w:hAnsi="Verdana" w:cs="Arial"/>
          <w:bCs/>
          <w:sz w:val="20"/>
          <w:szCs w:val="20"/>
        </w:rPr>
        <w:lastRenderedPageBreak/>
        <w:t>del Proceso de Contratación. La relación indica el número de veces que el proponente ha ejecutado contratos equivalentes a la cuantía del proceso de contratación.</w:t>
      </w:r>
    </w:p>
    <w:p w14:paraId="15969247" w14:textId="77777777" w:rsidR="001A7824" w:rsidRPr="001A7824" w:rsidRDefault="001A7824" w:rsidP="001E1262">
      <w:pPr>
        <w:spacing w:after="0" w:line="240" w:lineRule="auto"/>
        <w:jc w:val="both"/>
        <w:rPr>
          <w:rFonts w:ascii="Verdana" w:eastAsia="Times New Roman" w:hAnsi="Verdana" w:cs="Arial"/>
          <w:bCs/>
          <w:sz w:val="20"/>
          <w:szCs w:val="20"/>
          <w:lang w:eastAsia="es-ES_tradnl"/>
        </w:rPr>
      </w:pPr>
    </w:p>
    <w:p w14:paraId="4E918486" w14:textId="2EB81EC5" w:rsidR="001E1262" w:rsidRPr="001A7824" w:rsidRDefault="001E1262" w:rsidP="001E1262">
      <w:pPr>
        <w:spacing w:after="0" w:line="240" w:lineRule="auto"/>
        <w:jc w:val="both"/>
        <w:rPr>
          <w:rFonts w:ascii="Verdana" w:eastAsia="Calibri" w:hAnsi="Verdana" w:cs="Arial"/>
          <w:bCs/>
          <w:sz w:val="20"/>
          <w:szCs w:val="20"/>
          <w:highlight w:val="yellow"/>
          <w:lang w:eastAsia="es-ES_tradnl"/>
        </w:rPr>
      </w:pPr>
      <w:r w:rsidRPr="001A7824">
        <w:rPr>
          <w:rFonts w:ascii="Verdana" w:eastAsia="Calibri" w:hAnsi="Verdana" w:cs="Arial"/>
          <w:bCs/>
          <w:color w:val="000000" w:themeColor="text1"/>
          <w:sz w:val="20"/>
          <w:szCs w:val="20"/>
        </w:rPr>
        <w:t>Ahora bien, teniendo en cuenta estas precisiones es importante señalar que la presencia de códigos del segmento UNSPSC 72 en el RUP no permite, por sí sola, concluir que los contratos registrados correspondan a obras civiles, por lo que su sola aparición puede generar interpretaciones erróneas si no se revisa el objeto contractual real. La clasificación UNSPSC es un insumo administrativo, pero no define la naturaleza jurídica del contrato ni determina automáticamente su incidencia en la capacidad residual. En este sentido, para efectos de capacidad residual, la normativa colombiana establece que únicamente los contratos de obra civiles, ya sea celebrados con entidades públicas o privadas. El segmento 72 aplica para servicios de construcción, entre los que no están incluidas la interventoría y la consultoría, pues estos corresponden a un código diferente</w:t>
      </w:r>
      <w:r w:rsidR="001A7824" w:rsidRPr="001A7824">
        <w:rPr>
          <w:rFonts w:ascii="Verdana" w:eastAsia="Calibri" w:hAnsi="Verdana" w:cs="Arial"/>
          <w:bCs/>
          <w:color w:val="000000" w:themeColor="text1"/>
          <w:sz w:val="20"/>
          <w:szCs w:val="20"/>
        </w:rPr>
        <w:t xml:space="preserve"> (…)</w:t>
      </w:r>
    </w:p>
    <w:p w14:paraId="029B07AD" w14:textId="77777777" w:rsidR="00697766" w:rsidRDefault="00697766" w:rsidP="00697766">
      <w:pPr>
        <w:spacing w:after="0" w:line="240" w:lineRule="auto"/>
        <w:jc w:val="both"/>
        <w:rPr>
          <w:rFonts w:ascii="Verdana" w:eastAsia="Calibri" w:hAnsi="Verdana" w:cs="Arial"/>
          <w:color w:val="000000" w:themeColor="text1"/>
          <w:sz w:val="20"/>
          <w:szCs w:val="20"/>
        </w:rPr>
      </w:pPr>
    </w:p>
    <w:p w14:paraId="10822BDA" w14:textId="77777777" w:rsidR="00697766" w:rsidRDefault="00697766" w:rsidP="00697766">
      <w:pPr>
        <w:spacing w:after="0" w:line="240" w:lineRule="auto"/>
        <w:jc w:val="both"/>
        <w:rPr>
          <w:rFonts w:ascii="Verdana" w:eastAsia="Times New Roman" w:hAnsi="Verdana" w:cs="Arial"/>
          <w:b/>
          <w:lang w:eastAsia="es-ES_tradnl"/>
        </w:rPr>
      </w:pPr>
      <w:r w:rsidRPr="00C91962">
        <w:rPr>
          <w:rFonts w:ascii="Verdana" w:eastAsia="Times New Roman" w:hAnsi="Verdana" w:cs="Arial"/>
          <w:b/>
          <w:lang w:eastAsia="es-ES_tradnl"/>
        </w:rPr>
        <w:t>SELECCIÓN OBJETIVA – Causales de rechazo – Interpretación restrictiva – Requisitos habilitantes</w:t>
      </w:r>
    </w:p>
    <w:p w14:paraId="6CD8FFEB" w14:textId="77777777" w:rsidR="00697766" w:rsidRPr="00F50690" w:rsidRDefault="00697766" w:rsidP="00697766">
      <w:pPr>
        <w:spacing w:after="0" w:line="240" w:lineRule="auto"/>
        <w:jc w:val="both"/>
        <w:rPr>
          <w:rFonts w:ascii="Verdana" w:eastAsia="Times New Roman" w:hAnsi="Verdana" w:cs="Arial"/>
          <w:b/>
          <w:sz w:val="20"/>
          <w:szCs w:val="20"/>
          <w:lang w:eastAsia="es-ES_tradnl"/>
        </w:rPr>
      </w:pPr>
    </w:p>
    <w:p w14:paraId="5EC1AAD4" w14:textId="3E1F8724" w:rsidR="00F50690" w:rsidRPr="00F50690" w:rsidRDefault="00F50690" w:rsidP="00F50690">
      <w:pPr>
        <w:spacing w:after="120" w:line="276" w:lineRule="auto"/>
        <w:jc w:val="both"/>
        <w:rPr>
          <w:rFonts w:ascii="Verdana" w:eastAsia="Calibri" w:hAnsi="Verdana" w:cs="Arial"/>
          <w:color w:val="000000" w:themeColor="text1"/>
          <w:sz w:val="20"/>
          <w:szCs w:val="20"/>
          <w:lang w:val="es-ES"/>
        </w:rPr>
      </w:pPr>
      <w:r>
        <w:rPr>
          <w:rFonts w:ascii="Verdana" w:eastAsia="Calibri" w:hAnsi="Verdana" w:cs="Arial"/>
          <w:sz w:val="20"/>
          <w:szCs w:val="18"/>
          <w:lang w:val="es-MX"/>
        </w:rPr>
        <w:t xml:space="preserve">(…) </w:t>
      </w:r>
      <w:r w:rsidRPr="00F50690">
        <w:rPr>
          <w:rFonts w:ascii="Verdana" w:eastAsia="Calibri" w:hAnsi="Verdana" w:cs="Arial"/>
          <w:sz w:val="20"/>
          <w:szCs w:val="18"/>
          <w:lang w:val="es-MX"/>
        </w:rPr>
        <w:t>Como se consideró en los conceptos del 25 de septiembre y el 23 de diciembre de 2019 −radicados Nos. 2201913000007117 y 2201913000009538−, así como el Concepto C-1759 del 30 de diciembre de 2025,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w:t>
      </w:r>
      <w:r>
        <w:rPr>
          <w:rFonts w:ascii="Verdana" w:eastAsia="Calibri" w:hAnsi="Verdana" w:cs="Arial"/>
          <w:sz w:val="20"/>
          <w:szCs w:val="18"/>
          <w:lang w:val="es-MX"/>
        </w:rPr>
        <w:t xml:space="preserve"> (…)</w:t>
      </w:r>
    </w:p>
    <w:p w14:paraId="571B7B14" w14:textId="77777777" w:rsidR="00697766" w:rsidRDefault="00697766" w:rsidP="00697766">
      <w:pPr>
        <w:spacing w:after="0" w:line="240" w:lineRule="auto"/>
        <w:jc w:val="both"/>
        <w:rPr>
          <w:rFonts w:ascii="Verdana" w:eastAsia="Calibri" w:hAnsi="Verdana" w:cs="Arial"/>
          <w:color w:val="000000" w:themeColor="text1"/>
          <w:sz w:val="20"/>
          <w:szCs w:val="20"/>
          <w:lang w:val="es-ES"/>
        </w:rPr>
      </w:pPr>
    </w:p>
    <w:p w14:paraId="38D653FA"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3B295398"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24D34B49"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55176197"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2B0825E2"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4EA55E47"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69F0B312"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2FB7EA60"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50E1E966"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426B32C7"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6796235E"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3DE04190"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38DB931D"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6A5D8D6D"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p w14:paraId="1274D465" w14:textId="77777777" w:rsidR="004929E6" w:rsidRDefault="004929E6" w:rsidP="00697766">
      <w:pPr>
        <w:spacing w:after="0" w:line="240" w:lineRule="auto"/>
        <w:jc w:val="both"/>
        <w:rPr>
          <w:rFonts w:ascii="Verdana" w:eastAsia="Calibri" w:hAnsi="Verdana" w:cs="Arial"/>
          <w:color w:val="000000" w:themeColor="text1"/>
          <w:sz w:val="20"/>
          <w:szCs w:val="20"/>
          <w:lang w:val="es-ES"/>
        </w:rPr>
      </w:pPr>
    </w:p>
    <w:bookmarkEnd w:id="0"/>
    <w:p w14:paraId="4F9F2897" w14:textId="77777777" w:rsidR="00FD57B4" w:rsidRDefault="00FD57B4" w:rsidP="00697766">
      <w:pPr>
        <w:spacing w:after="0" w:line="240" w:lineRule="auto"/>
        <w:contextualSpacing/>
        <w:jc w:val="both"/>
        <w:rPr>
          <w:rFonts w:ascii="Verdana" w:eastAsia="Calibri" w:hAnsi="Verdana" w:cs="Arial"/>
          <w:color w:val="000000" w:themeColor="text1"/>
          <w:sz w:val="20"/>
          <w:szCs w:val="20"/>
          <w:lang w:val="es-ES"/>
        </w:rPr>
      </w:pPr>
    </w:p>
    <w:p w14:paraId="70458F67" w14:textId="4B59D076" w:rsidR="00697766" w:rsidRPr="00A869FE" w:rsidRDefault="00697766" w:rsidP="00697766">
      <w:pPr>
        <w:spacing w:after="0" w:line="240" w:lineRule="auto"/>
        <w:contextualSpacing/>
        <w:jc w:val="both"/>
        <w:rPr>
          <w:rFonts w:ascii="Verdana" w:eastAsia="Times New Roman" w:hAnsi="Verdana" w:cs="Arial"/>
          <w:lang w:eastAsia="es-ES"/>
        </w:rPr>
      </w:pPr>
      <w:r w:rsidRPr="00A869FE">
        <w:rPr>
          <w:rFonts w:ascii="Verdana" w:hAnsi="Verdana"/>
        </w:rPr>
        <w:lastRenderedPageBreak/>
        <w:t xml:space="preserve">Bogotá D.C., </w:t>
      </w:r>
      <w:r w:rsidR="007B6029">
        <w:rPr>
          <w:rFonts w:ascii="Verdana" w:hAnsi="Verdana"/>
        </w:rPr>
        <w:t>20 Enero 2026</w:t>
      </w:r>
    </w:p>
    <w:p w14:paraId="379B53C9" w14:textId="77777777" w:rsidR="00697766" w:rsidRDefault="00697766" w:rsidP="00697766">
      <w:pPr>
        <w:spacing w:after="0" w:line="240" w:lineRule="auto"/>
        <w:jc w:val="both"/>
        <w:rPr>
          <w:rFonts w:ascii="Verdana" w:hAnsi="Verdana" w:cs="Arial"/>
          <w:lang w:eastAsia="es-ES"/>
        </w:rPr>
      </w:pPr>
    </w:p>
    <w:p w14:paraId="5CEA191D" w14:textId="13719E4C" w:rsidR="00697766" w:rsidRDefault="00150111" w:rsidP="00697766">
      <w:pPr>
        <w:spacing w:after="0" w:line="240" w:lineRule="auto"/>
        <w:jc w:val="both"/>
        <w:rPr>
          <w:rFonts w:ascii="Verdana" w:hAnsi="Verdana" w:cs="Arial"/>
          <w:lang w:eastAsia="es-ES"/>
        </w:rPr>
      </w:pPr>
      <w:r w:rsidRPr="0043201C">
        <w:rPr>
          <w:rFonts w:ascii="Verdana" w:hAnsi="Verdana" w:cs="Arial"/>
          <w:lang w:eastAsia="es-ES"/>
        </w:rPr>
        <w:drawing>
          <wp:anchor distT="0" distB="0" distL="114300" distR="114300" simplePos="0" relativeHeight="251658240" behindDoc="1" locked="0" layoutInCell="1" allowOverlap="1" wp14:anchorId="3BBF4D9D" wp14:editId="08D27B37">
            <wp:simplePos x="0" y="0"/>
            <wp:positionH relativeFrom="margin">
              <wp:align>right</wp:align>
            </wp:positionH>
            <wp:positionV relativeFrom="paragraph">
              <wp:posOffset>75757</wp:posOffset>
            </wp:positionV>
            <wp:extent cx="3057525" cy="914400"/>
            <wp:effectExtent l="0" t="0" r="9525" b="0"/>
            <wp:wrapNone/>
            <wp:docPr id="137495078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95078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057525" cy="914400"/>
                    </a:xfrm>
                    <a:prstGeom prst="rect">
                      <a:avLst/>
                    </a:prstGeom>
                  </pic:spPr>
                </pic:pic>
              </a:graphicData>
            </a:graphic>
          </wp:anchor>
        </w:drawing>
      </w:r>
    </w:p>
    <w:p w14:paraId="1BD2583C" w14:textId="05BF356F" w:rsidR="00697766" w:rsidRDefault="00697766" w:rsidP="00FC01C6">
      <w:pPr>
        <w:spacing w:after="0" w:line="276" w:lineRule="auto"/>
        <w:jc w:val="both"/>
        <w:rPr>
          <w:rFonts w:ascii="Verdana" w:hAnsi="Verdana" w:cs="Arial"/>
          <w:lang w:eastAsia="es-ES"/>
        </w:rPr>
      </w:pPr>
      <w:r>
        <w:rPr>
          <w:rFonts w:ascii="Verdana" w:hAnsi="Verdana" w:cs="Arial"/>
          <w:lang w:eastAsia="es-ES"/>
        </w:rPr>
        <w:t>Señora</w:t>
      </w:r>
      <w:r w:rsidR="0043201C" w:rsidRPr="0043201C">
        <w:rPr>
          <w:noProof/>
        </w:rPr>
        <w:t xml:space="preserve"> </w:t>
      </w:r>
    </w:p>
    <w:p w14:paraId="6F8FC272" w14:textId="77777777" w:rsidR="00697766" w:rsidRDefault="00697766" w:rsidP="00FC01C6">
      <w:pPr>
        <w:spacing w:after="0" w:line="276" w:lineRule="auto"/>
        <w:jc w:val="both"/>
        <w:rPr>
          <w:rFonts w:ascii="Verdana" w:hAnsi="Verdana" w:cs="Arial"/>
          <w:b/>
          <w:bCs/>
          <w:lang w:eastAsia="es-ES"/>
        </w:rPr>
      </w:pPr>
      <w:r w:rsidRPr="000A6197">
        <w:rPr>
          <w:rFonts w:ascii="Verdana" w:hAnsi="Verdana" w:cs="Arial"/>
          <w:b/>
          <w:bCs/>
          <w:lang w:eastAsia="es-ES"/>
        </w:rPr>
        <w:t>Astrid Algarra Villegas</w:t>
      </w:r>
    </w:p>
    <w:p w14:paraId="792388A5" w14:textId="77777777" w:rsidR="00697766" w:rsidRPr="000A6197" w:rsidRDefault="00697766" w:rsidP="00FC01C6">
      <w:pPr>
        <w:spacing w:after="0" w:line="276" w:lineRule="auto"/>
        <w:jc w:val="both"/>
        <w:rPr>
          <w:rFonts w:ascii="Verdana" w:hAnsi="Verdana" w:cs="Arial"/>
          <w:lang w:eastAsia="es-ES"/>
        </w:rPr>
      </w:pPr>
      <w:hyperlink r:id="rId11" w:history="1">
        <w:r w:rsidRPr="00670FCF">
          <w:rPr>
            <w:rStyle w:val="Hipervnculo"/>
            <w:rFonts w:ascii="Verdana" w:hAnsi="Verdana" w:cs="Arial"/>
            <w:lang w:eastAsia="es-ES"/>
          </w:rPr>
          <w:t>ayalgarrav@gmail.com</w:t>
        </w:r>
      </w:hyperlink>
      <w:r>
        <w:rPr>
          <w:rFonts w:ascii="Verdana" w:hAnsi="Verdana" w:cs="Arial"/>
          <w:lang w:eastAsia="es-ES"/>
        </w:rPr>
        <w:t xml:space="preserve"> </w:t>
      </w:r>
    </w:p>
    <w:p w14:paraId="633E1E3F" w14:textId="19234047" w:rsidR="00697766" w:rsidRPr="00C56C01" w:rsidRDefault="00697766" w:rsidP="00FC01C6">
      <w:pPr>
        <w:spacing w:after="0" w:line="276" w:lineRule="auto"/>
        <w:jc w:val="both"/>
        <w:rPr>
          <w:rFonts w:ascii="Verdana" w:hAnsi="Verdana" w:cs="Arial"/>
          <w:lang w:eastAsia="es-ES"/>
        </w:rPr>
      </w:pPr>
      <w:r>
        <w:rPr>
          <w:rFonts w:ascii="Verdana" w:hAnsi="Verdana" w:cs="Arial"/>
          <w:lang w:eastAsia="es-ES"/>
        </w:rPr>
        <w:t>Bogotá D.C.</w:t>
      </w:r>
    </w:p>
    <w:p w14:paraId="611B3DE9" w14:textId="77777777" w:rsidR="00697766" w:rsidRPr="00C56C01" w:rsidRDefault="00697766" w:rsidP="00697766">
      <w:pPr>
        <w:spacing w:after="0" w:line="240" w:lineRule="auto"/>
        <w:rPr>
          <w:rFonts w:ascii="Verdana" w:hAnsi="Verdana" w:cs="Arial"/>
          <w:b/>
          <w:bCs/>
          <w:color w:val="000000"/>
          <w:lang w:eastAsia="es-ES_tradnl"/>
        </w:rPr>
      </w:pPr>
    </w:p>
    <w:p w14:paraId="6D230A7A" w14:textId="77777777" w:rsidR="00697766" w:rsidRPr="00C56C01" w:rsidRDefault="00697766" w:rsidP="00697766">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697766" w:rsidRPr="00A869FE" w14:paraId="4AF8DD70" w14:textId="77777777" w:rsidTr="000047C2">
        <w:trPr>
          <w:trHeight w:val="633"/>
        </w:trPr>
        <w:tc>
          <w:tcPr>
            <w:tcW w:w="2689" w:type="dxa"/>
          </w:tcPr>
          <w:p w14:paraId="7455EDAB" w14:textId="77777777" w:rsidR="00697766" w:rsidRPr="00C56C01" w:rsidRDefault="00697766" w:rsidP="000047C2">
            <w:pPr>
              <w:jc w:val="both"/>
              <w:rPr>
                <w:rFonts w:ascii="Verdana" w:hAnsi="Verdana" w:cs="Arial"/>
                <w:b/>
                <w:bCs/>
                <w:color w:val="7030A0"/>
                <w:lang w:eastAsia="es-ES_tradnl"/>
              </w:rPr>
            </w:pPr>
          </w:p>
        </w:tc>
        <w:tc>
          <w:tcPr>
            <w:tcW w:w="6100" w:type="dxa"/>
          </w:tcPr>
          <w:p w14:paraId="1F8BA2FF" w14:textId="77777777" w:rsidR="00697766" w:rsidRPr="00A869FE" w:rsidRDefault="00697766" w:rsidP="000047C2">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809</w:t>
            </w:r>
            <w:r w:rsidRPr="00A869FE">
              <w:rPr>
                <w:rFonts w:ascii="Verdana" w:hAnsi="Verdana" w:cs="Arial"/>
                <w:b/>
                <w:bCs/>
                <w:lang w:eastAsia="es-ES"/>
              </w:rPr>
              <w:t xml:space="preserve"> de 2025</w:t>
            </w:r>
          </w:p>
        </w:tc>
      </w:tr>
      <w:tr w:rsidR="00697766" w:rsidRPr="00A869FE" w14:paraId="76D07017" w14:textId="77777777" w:rsidTr="000047C2">
        <w:trPr>
          <w:trHeight w:val="884"/>
        </w:trPr>
        <w:tc>
          <w:tcPr>
            <w:tcW w:w="2689" w:type="dxa"/>
          </w:tcPr>
          <w:p w14:paraId="4853F27F" w14:textId="77777777" w:rsidR="00697766" w:rsidRPr="00A869FE" w:rsidRDefault="00697766" w:rsidP="000047C2">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578ABFB0" w14:textId="7E76036F" w:rsidR="00697766" w:rsidRDefault="00661EC4" w:rsidP="00B46005">
            <w:pPr>
              <w:spacing w:line="276" w:lineRule="auto"/>
              <w:jc w:val="both"/>
              <w:rPr>
                <w:rFonts w:ascii="Verdana" w:eastAsia="Calibri" w:hAnsi="Verdana" w:cs="Arial"/>
                <w:lang w:val="es-ES" w:eastAsia="es-ES"/>
              </w:rPr>
            </w:pPr>
            <w:r w:rsidRPr="00881D8A">
              <w:rPr>
                <w:rFonts w:ascii="Verdana" w:eastAsia="Calibri" w:hAnsi="Verdana" w:cs="Calibri"/>
                <w:lang w:val="es-ES"/>
              </w:rPr>
              <w:t xml:space="preserve">CAPACIDAD RESIDUAL – Definición / </w:t>
            </w:r>
            <w:r w:rsidRPr="00712BE3">
              <w:rPr>
                <w:rFonts w:ascii="Verdana" w:eastAsia="Calibri" w:hAnsi="Verdana" w:cs="Calibri"/>
                <w:bCs/>
                <w:lang w:val="es-ES_tradnl"/>
              </w:rPr>
              <w:t xml:space="preserve">CAPACIDAD RESIDUAL – Documentos requeridos – Cálculo </w:t>
            </w:r>
            <w:r>
              <w:rPr>
                <w:rFonts w:ascii="Verdana" w:eastAsia="Calibri" w:hAnsi="Verdana" w:cs="Calibri"/>
                <w:bCs/>
                <w:lang w:val="es-ES_tradnl"/>
              </w:rPr>
              <w:t xml:space="preserve">/ </w:t>
            </w:r>
            <w:r w:rsidRPr="00881D8A">
              <w:rPr>
                <w:rFonts w:ascii="Verdana" w:eastAsia="Calibri" w:hAnsi="Verdana" w:cs="Calibri"/>
                <w:lang w:val="es-ES"/>
              </w:rPr>
              <w:t xml:space="preserve">CAPACIDAD RESIDUAL – Acreditación - Pliego de condiciones / CAPACIDAD RESIDUAL – </w:t>
            </w:r>
            <w:r w:rsidR="00ED1A98">
              <w:rPr>
                <w:rFonts w:ascii="Verdana" w:eastAsia="Calibri" w:hAnsi="Verdana" w:cs="Calibri"/>
                <w:lang w:val="es-ES"/>
              </w:rPr>
              <w:t>C</w:t>
            </w:r>
            <w:r w:rsidR="00763D3E">
              <w:rPr>
                <w:rFonts w:ascii="Verdana" w:eastAsia="Calibri" w:hAnsi="Verdana" w:cs="Calibri"/>
                <w:lang w:val="es-ES"/>
              </w:rPr>
              <w:t xml:space="preserve">ontratos relevantes – Ejecución de obras civiles / </w:t>
            </w:r>
            <w:r>
              <w:rPr>
                <w:rFonts w:ascii="Verdana" w:eastAsia="Calibri" w:hAnsi="Verdana" w:cs="Calibri"/>
                <w:lang w:val="es-ES"/>
              </w:rPr>
              <w:t xml:space="preserve">CAUSALES DE RECHAZO – Pliegos de Condiciones - Discrecionalidad Administrativa -Proporcionalidad </w:t>
            </w:r>
            <w:r w:rsidR="00697766">
              <w:rPr>
                <w:rFonts w:ascii="Verdana" w:eastAsia="Calibri" w:hAnsi="Verdana" w:cs="Arial"/>
                <w:lang w:val="es-ES" w:eastAsia="es-ES"/>
              </w:rPr>
              <w:t xml:space="preserve">/ </w:t>
            </w:r>
            <w:r w:rsidR="00697766" w:rsidRPr="00C91962">
              <w:rPr>
                <w:rFonts w:ascii="Verdana" w:eastAsia="Calibri" w:hAnsi="Verdana" w:cs="Arial"/>
                <w:lang w:val="es-ES" w:eastAsia="es-ES"/>
              </w:rPr>
              <w:t>CLASIFICADOR DE BIENES Y SERVICIOS (UNSPSC) – Segmento 72 – Experiencia acreditada – Capacidad residual</w:t>
            </w:r>
            <w:r w:rsidR="00697766">
              <w:rPr>
                <w:rFonts w:ascii="Verdana" w:eastAsia="Calibri" w:hAnsi="Verdana" w:cs="Arial"/>
                <w:lang w:val="es-ES" w:eastAsia="es-ES"/>
              </w:rPr>
              <w:t xml:space="preserve"> / </w:t>
            </w:r>
            <w:r w:rsidR="00697766" w:rsidRPr="00C91962">
              <w:rPr>
                <w:rFonts w:ascii="Verdana" w:eastAsia="Calibri" w:hAnsi="Verdana" w:cs="Arial"/>
                <w:lang w:val="es-ES" w:eastAsia="es-ES"/>
              </w:rPr>
              <w:t>SELECCIÓN OBJETIVA – Causales de rechazo – Interpretación restrictiva – Requisitos habilitantes</w:t>
            </w:r>
          </w:p>
          <w:p w14:paraId="00E89CB5" w14:textId="77777777" w:rsidR="00697766" w:rsidRPr="00C91962" w:rsidRDefault="00697766" w:rsidP="00B46005">
            <w:pPr>
              <w:spacing w:line="276" w:lineRule="auto"/>
              <w:jc w:val="both"/>
              <w:rPr>
                <w:rFonts w:ascii="Verdana" w:eastAsia="Calibri" w:hAnsi="Verdana" w:cs="Arial"/>
                <w:lang w:eastAsia="es-ES"/>
              </w:rPr>
            </w:pPr>
          </w:p>
        </w:tc>
      </w:tr>
      <w:tr w:rsidR="00697766" w:rsidRPr="00A869FE" w14:paraId="2C0EAD7E" w14:textId="77777777" w:rsidTr="000047C2">
        <w:tc>
          <w:tcPr>
            <w:tcW w:w="2689" w:type="dxa"/>
          </w:tcPr>
          <w:p w14:paraId="3569263B" w14:textId="77777777" w:rsidR="00697766" w:rsidRPr="00A869FE" w:rsidRDefault="00697766" w:rsidP="000047C2">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1DEC7ED3" w14:textId="77777777" w:rsidR="00697766" w:rsidRPr="0087731B" w:rsidRDefault="00697766" w:rsidP="000047C2">
            <w:pPr>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0A6197">
              <w:rPr>
                <w:rFonts w:ascii="Verdana" w:hAnsi="Verdana" w:cs="Arial"/>
                <w:lang w:eastAsia="es-ES_tradnl"/>
              </w:rPr>
              <w:t>1_2025_12_10_013859</w:t>
            </w:r>
          </w:p>
          <w:p w14:paraId="14CA32E1" w14:textId="77777777" w:rsidR="00697766" w:rsidRPr="00A869FE" w:rsidRDefault="00697766" w:rsidP="000047C2">
            <w:pPr>
              <w:jc w:val="both"/>
              <w:rPr>
                <w:rFonts w:ascii="Verdana" w:hAnsi="Verdana" w:cs="Arial"/>
                <w:lang w:eastAsia="es-ES_tradnl"/>
              </w:rPr>
            </w:pPr>
          </w:p>
        </w:tc>
      </w:tr>
    </w:tbl>
    <w:p w14:paraId="4A2286C0" w14:textId="77777777" w:rsidR="00697766" w:rsidRPr="00A869FE" w:rsidRDefault="00697766" w:rsidP="00697766">
      <w:pPr>
        <w:spacing w:after="0" w:line="240" w:lineRule="auto"/>
        <w:jc w:val="both"/>
        <w:rPr>
          <w:rFonts w:ascii="Verdana" w:hAnsi="Verdana" w:cs="Arial"/>
          <w:color w:val="000000"/>
          <w:lang w:eastAsia="es-ES_tradnl"/>
        </w:rPr>
      </w:pPr>
    </w:p>
    <w:p w14:paraId="299854A2" w14:textId="2E19B8EE" w:rsidR="00697766" w:rsidRPr="00A869FE" w:rsidRDefault="00697766" w:rsidP="00697766">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 xml:space="preserve">a </w:t>
      </w:r>
      <w:r w:rsidR="00A27B80">
        <w:rPr>
          <w:rFonts w:ascii="Verdana" w:hAnsi="Verdana" w:cs="Arial"/>
          <w:lang w:eastAsia="es-ES"/>
        </w:rPr>
        <w:t>S</w:t>
      </w:r>
      <w:r>
        <w:rPr>
          <w:rFonts w:ascii="Verdana" w:hAnsi="Verdana" w:cs="Arial"/>
          <w:lang w:eastAsia="es-ES"/>
        </w:rPr>
        <w:t xml:space="preserve">eñora </w:t>
      </w:r>
      <w:r w:rsidRPr="000A6197">
        <w:rPr>
          <w:rFonts w:ascii="Verdana" w:hAnsi="Verdana" w:cs="Arial"/>
          <w:lang w:eastAsia="es-ES"/>
        </w:rPr>
        <w:t>Algarra</w:t>
      </w:r>
      <w:r>
        <w:rPr>
          <w:rFonts w:ascii="Verdana" w:hAnsi="Verdana" w:cs="Arial"/>
          <w:lang w:eastAsia="es-ES"/>
        </w:rPr>
        <w:t>,</w:t>
      </w:r>
    </w:p>
    <w:p w14:paraId="53F39F5F" w14:textId="77777777" w:rsidR="00697766" w:rsidRDefault="00697766" w:rsidP="00697766">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435D528" w14:textId="77777777" w:rsidR="00697766" w:rsidRDefault="00697766" w:rsidP="00697766">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radicada por usted el 10 de diciembre de 2025, en la cual manifiesta lo siguiente: </w:t>
      </w:r>
    </w:p>
    <w:p w14:paraId="603F2A9C" w14:textId="77777777" w:rsidR="00697766" w:rsidRPr="00D54CA0" w:rsidRDefault="00697766" w:rsidP="0069776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2527CA8" w14:textId="13EC67B9" w:rsidR="00697766" w:rsidRPr="00D54CA0" w:rsidRDefault="00697766" w:rsidP="00E45AE9">
      <w:pPr>
        <w:autoSpaceDE w:val="0"/>
        <w:autoSpaceDN w:val="0"/>
        <w:adjustRightInd w:val="0"/>
        <w:spacing w:after="0" w:line="240" w:lineRule="auto"/>
        <w:ind w:left="1416" w:right="709" w:hanging="707"/>
        <w:jc w:val="both"/>
        <w:rPr>
          <w:rFonts w:ascii="Verdana" w:hAnsi="Verdana"/>
          <w:i/>
          <w:iCs/>
          <w:sz w:val="20"/>
          <w:szCs w:val="20"/>
        </w:rPr>
      </w:pPr>
      <w:r w:rsidRPr="00D54CA0">
        <w:rPr>
          <w:rFonts w:ascii="Verdana" w:hAnsi="Verdana" w:cs="ArialMT"/>
          <w:i/>
          <w:iCs/>
          <w:sz w:val="20"/>
          <w:szCs w:val="20"/>
        </w:rPr>
        <w:t>“</w:t>
      </w:r>
      <w:r w:rsidR="00B46005">
        <w:rPr>
          <w:rFonts w:ascii="Verdana" w:hAnsi="Verdana" w:cs="ArialMT"/>
          <w:i/>
          <w:iCs/>
          <w:sz w:val="20"/>
          <w:szCs w:val="20"/>
        </w:rPr>
        <w:t xml:space="preserve">[…] </w:t>
      </w:r>
      <w:r w:rsidRPr="00D54CA0">
        <w:rPr>
          <w:rFonts w:ascii="Verdana" w:hAnsi="Verdana"/>
          <w:i/>
          <w:iCs/>
          <w:sz w:val="20"/>
          <w:szCs w:val="20"/>
        </w:rPr>
        <w:t xml:space="preserve">La pregunta versa sobre los códigos inscritos en el RUP, y su relación con la capacidad residual. </w:t>
      </w:r>
    </w:p>
    <w:p w14:paraId="61853F00" w14:textId="77777777" w:rsidR="00697766" w:rsidRPr="00D54CA0" w:rsidRDefault="00697766" w:rsidP="00697766">
      <w:pPr>
        <w:autoSpaceDE w:val="0"/>
        <w:autoSpaceDN w:val="0"/>
        <w:adjustRightInd w:val="0"/>
        <w:spacing w:after="0" w:line="240" w:lineRule="auto"/>
        <w:ind w:left="709" w:right="709"/>
        <w:jc w:val="both"/>
        <w:rPr>
          <w:rFonts w:ascii="Verdana" w:hAnsi="Verdana"/>
          <w:i/>
          <w:iCs/>
          <w:sz w:val="20"/>
          <w:szCs w:val="20"/>
        </w:rPr>
      </w:pPr>
    </w:p>
    <w:p w14:paraId="4FCEDA83" w14:textId="77777777" w:rsidR="00697766" w:rsidRPr="00D54CA0" w:rsidRDefault="00697766" w:rsidP="00697766">
      <w:pPr>
        <w:autoSpaceDE w:val="0"/>
        <w:autoSpaceDN w:val="0"/>
        <w:adjustRightInd w:val="0"/>
        <w:spacing w:after="0" w:line="240" w:lineRule="auto"/>
        <w:ind w:left="709" w:right="709"/>
        <w:jc w:val="both"/>
        <w:rPr>
          <w:rFonts w:ascii="Verdana" w:hAnsi="Verdana"/>
          <w:i/>
          <w:iCs/>
          <w:sz w:val="20"/>
          <w:szCs w:val="20"/>
        </w:rPr>
      </w:pPr>
      <w:r w:rsidRPr="00D54CA0">
        <w:rPr>
          <w:rFonts w:ascii="Verdana" w:hAnsi="Verdana"/>
          <w:i/>
          <w:iCs/>
          <w:sz w:val="20"/>
          <w:szCs w:val="20"/>
        </w:rPr>
        <w:lastRenderedPageBreak/>
        <w:t xml:space="preserve">Si un proponente inscribe sus contratos en el RUP, e incluye códigos relacionados con el segmento 72 “Servicios de Edificación, Construcción de Instalaciones y Mantenimiento” </w:t>
      </w:r>
      <w:r>
        <w:rPr>
          <w:rFonts w:ascii="Verdana" w:hAnsi="Verdana"/>
          <w:i/>
          <w:iCs/>
          <w:sz w:val="20"/>
          <w:szCs w:val="20"/>
        </w:rPr>
        <w:t>¿</w:t>
      </w:r>
      <w:r w:rsidRPr="00D54CA0">
        <w:rPr>
          <w:rFonts w:ascii="Verdana" w:hAnsi="Verdana"/>
          <w:i/>
          <w:iCs/>
          <w:sz w:val="20"/>
          <w:szCs w:val="20"/>
        </w:rPr>
        <w:t xml:space="preserve">para contratos cuyo objeto corresponda a interventoría o consultoría, deben ser contabilizados para efectos del cálculo de la capacidad residual? </w:t>
      </w:r>
    </w:p>
    <w:p w14:paraId="4DA1A290" w14:textId="77777777" w:rsidR="00697766" w:rsidRPr="00D54CA0" w:rsidRDefault="00697766" w:rsidP="00697766">
      <w:pPr>
        <w:autoSpaceDE w:val="0"/>
        <w:autoSpaceDN w:val="0"/>
        <w:adjustRightInd w:val="0"/>
        <w:spacing w:after="0" w:line="240" w:lineRule="auto"/>
        <w:ind w:left="709" w:right="709"/>
        <w:jc w:val="both"/>
        <w:rPr>
          <w:rFonts w:ascii="Verdana" w:hAnsi="Verdana"/>
          <w:i/>
          <w:iCs/>
          <w:sz w:val="20"/>
          <w:szCs w:val="20"/>
        </w:rPr>
      </w:pPr>
    </w:p>
    <w:p w14:paraId="4CE65962" w14:textId="77777777" w:rsidR="00697766" w:rsidRPr="00D54CA0" w:rsidRDefault="00697766" w:rsidP="00697766">
      <w:pPr>
        <w:autoSpaceDE w:val="0"/>
        <w:autoSpaceDN w:val="0"/>
        <w:adjustRightInd w:val="0"/>
        <w:spacing w:after="0" w:line="240" w:lineRule="auto"/>
        <w:ind w:left="709" w:right="709"/>
        <w:jc w:val="both"/>
        <w:rPr>
          <w:rFonts w:ascii="Verdana" w:hAnsi="Verdana" w:cs="ArialMT"/>
          <w:i/>
          <w:iCs/>
          <w:sz w:val="20"/>
          <w:szCs w:val="20"/>
        </w:rPr>
      </w:pPr>
      <w:r w:rsidRPr="00D54CA0">
        <w:rPr>
          <w:rFonts w:ascii="Verdana" w:hAnsi="Verdana"/>
          <w:i/>
          <w:iCs/>
          <w:sz w:val="20"/>
          <w:szCs w:val="20"/>
        </w:rPr>
        <w:t>¿Se considera causal de rechazo del proponente que tenga inscritos en el RUP códigos del segmento 72 en contratos de consultoría o interventoría?</w:t>
      </w:r>
      <w:r w:rsidRPr="00D54CA0">
        <w:rPr>
          <w:rFonts w:ascii="Verdana" w:hAnsi="Verdana" w:cs="ArialMT"/>
          <w:i/>
          <w:iCs/>
          <w:sz w:val="20"/>
          <w:szCs w:val="20"/>
        </w:rPr>
        <w:t>”</w:t>
      </w:r>
    </w:p>
    <w:p w14:paraId="3BFFF418" w14:textId="77777777" w:rsidR="00697766" w:rsidRPr="00D54CA0" w:rsidRDefault="00697766" w:rsidP="00697766">
      <w:pPr>
        <w:autoSpaceDE w:val="0"/>
        <w:autoSpaceDN w:val="0"/>
        <w:adjustRightInd w:val="0"/>
        <w:spacing w:after="0" w:line="276" w:lineRule="auto"/>
        <w:ind w:left="851" w:right="616"/>
        <w:jc w:val="both"/>
        <w:rPr>
          <w:rFonts w:ascii="Verdana" w:eastAsia="Century Gothic" w:hAnsi="Verdana" w:cs="Century Gothic"/>
          <w:b/>
          <w:i/>
          <w:iCs/>
          <w:sz w:val="20"/>
          <w:szCs w:val="20"/>
        </w:rPr>
      </w:pPr>
    </w:p>
    <w:p w14:paraId="65442158" w14:textId="77777777" w:rsidR="00697766" w:rsidRDefault="00697766" w:rsidP="00697766">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01C02B01" w14:textId="77777777" w:rsidR="00697766" w:rsidRDefault="00697766" w:rsidP="00697766">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443E6668" w14:textId="77777777" w:rsidR="00697766" w:rsidRDefault="00697766" w:rsidP="00697766">
      <w:pPr>
        <w:spacing w:after="0" w:line="276" w:lineRule="auto"/>
        <w:ind w:firstLine="709"/>
        <w:jc w:val="both"/>
        <w:rPr>
          <w:rFonts w:ascii="Verdana" w:eastAsia="Calibri" w:hAnsi="Verdana" w:cs="Arial"/>
          <w:color w:val="000000"/>
          <w:lang w:val="es-ES" w:eastAsia="es-ES"/>
        </w:rPr>
      </w:pPr>
    </w:p>
    <w:p w14:paraId="28EB8198"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DD77E94" w14:textId="77777777" w:rsidR="00697766" w:rsidRDefault="00697766" w:rsidP="00697766">
      <w:pPr>
        <w:tabs>
          <w:tab w:val="left" w:pos="426"/>
        </w:tabs>
        <w:spacing w:after="0" w:line="276" w:lineRule="auto"/>
        <w:jc w:val="both"/>
        <w:rPr>
          <w:rFonts w:ascii="Verdana" w:eastAsia="Century Gothic" w:hAnsi="Verdana" w:cs="Century Gothic"/>
          <w:lang w:val="es-ES"/>
        </w:rPr>
      </w:pPr>
    </w:p>
    <w:p w14:paraId="5533C530" w14:textId="77777777" w:rsidR="00A147C1" w:rsidRDefault="00A147C1" w:rsidP="00A147C1">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i) </w:t>
      </w:r>
      <w:r w:rsidRPr="00FF5178">
        <w:rPr>
          <w:rFonts w:ascii="Verdana" w:eastAsia="Calibri" w:hAnsi="Verdana" w:cs="Times New Roman"/>
          <w:iCs/>
          <w:lang w:val="es-ES"/>
        </w:rPr>
        <w:t>¿Cómo debe interpretar la entidad contratante la presencia de códigos del segmento 72 en el RUP cuando los contratos registrados corresponden a consultoría o interventoría?</w:t>
      </w:r>
      <w:r>
        <w:rPr>
          <w:rFonts w:ascii="Verdana" w:eastAsia="Calibri" w:hAnsi="Verdana" w:cs="Times New Roman"/>
          <w:iCs/>
          <w:lang w:val="es-ES"/>
        </w:rPr>
        <w:t xml:space="preserve">; ii) ¿Se constituiría una causal de rechazo en un proceso de contratación </w:t>
      </w:r>
      <w:r w:rsidRPr="0077717E">
        <w:rPr>
          <w:rFonts w:ascii="Verdana" w:eastAsia="Calibri" w:hAnsi="Verdana" w:cs="Times New Roman"/>
        </w:rPr>
        <w:t>que tenga inscritos en el RUP contratos de consultoría o interventoría</w:t>
      </w:r>
      <w:r>
        <w:rPr>
          <w:rFonts w:ascii="Verdana" w:eastAsia="Calibri" w:hAnsi="Verdana" w:cs="Times New Roman"/>
        </w:rPr>
        <w:t xml:space="preserve"> en el </w:t>
      </w:r>
      <w:r w:rsidRPr="0077717E">
        <w:rPr>
          <w:rFonts w:ascii="Verdana" w:eastAsia="Calibri" w:hAnsi="Verdana" w:cs="Times New Roman"/>
        </w:rPr>
        <w:t>segmento 72</w:t>
      </w:r>
      <w:r>
        <w:rPr>
          <w:rFonts w:ascii="Verdana" w:eastAsia="Calibri" w:hAnsi="Verdana" w:cs="Times New Roman"/>
        </w:rPr>
        <w:t>?</w:t>
      </w:r>
    </w:p>
    <w:p w14:paraId="08357EF7" w14:textId="77777777" w:rsidR="00697766" w:rsidRDefault="00697766" w:rsidP="00697766">
      <w:pPr>
        <w:spacing w:after="0" w:line="276" w:lineRule="auto"/>
        <w:jc w:val="both"/>
        <w:rPr>
          <w:rFonts w:ascii="Verdana" w:eastAsia="Calibri" w:hAnsi="Verdana" w:cs="Arial"/>
          <w:color w:val="7030A0"/>
          <w:lang w:val="es-ES"/>
        </w:rPr>
      </w:pPr>
    </w:p>
    <w:p w14:paraId="07547B43"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F096F4A" w14:textId="77777777" w:rsidR="00697766" w:rsidRDefault="00697766" w:rsidP="00697766">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97766" w14:paraId="7E6A3DC0" w14:textId="77777777" w:rsidTr="000047C2">
        <w:tc>
          <w:tcPr>
            <w:tcW w:w="8828" w:type="dxa"/>
            <w:tcBorders>
              <w:top w:val="dotted" w:sz="4" w:space="0" w:color="auto"/>
              <w:left w:val="dotted" w:sz="4" w:space="0" w:color="auto"/>
              <w:bottom w:val="dotted" w:sz="4" w:space="0" w:color="auto"/>
              <w:right w:val="dotted" w:sz="4" w:space="0" w:color="auto"/>
            </w:tcBorders>
          </w:tcPr>
          <w:p w14:paraId="4624FB29" w14:textId="0F9BB1F1" w:rsidR="0064758F" w:rsidRPr="006E2EB6" w:rsidRDefault="00697766" w:rsidP="0064758F">
            <w:pPr>
              <w:pStyle w:val="pf0"/>
              <w:jc w:val="both"/>
              <w:rPr>
                <w:rFonts w:ascii="Verdana" w:hAnsi="Verdana" w:cs="Arial"/>
                <w:sz w:val="22"/>
                <w:szCs w:val="22"/>
                <w:lang w:eastAsia="es-ES"/>
              </w:rPr>
            </w:pPr>
            <w:r>
              <w:rPr>
                <w:rFonts w:ascii="Verdana" w:hAnsi="Verdana" w:cs="Arial"/>
                <w:lang w:val="es-MX"/>
              </w:rPr>
              <w:lastRenderedPageBreak/>
              <w:t>i</w:t>
            </w:r>
            <w:r w:rsidR="0064758F" w:rsidRPr="006E2EB6">
              <w:rPr>
                <w:rFonts w:ascii="Verdana" w:hAnsi="Verdana" w:cs="Arial"/>
                <w:lang w:eastAsia="es-ES"/>
              </w:rPr>
              <w:t xml:space="preserve"> </w:t>
            </w:r>
            <w:r w:rsidR="0064758F" w:rsidRPr="006E2EB6">
              <w:rPr>
                <w:rFonts w:ascii="Verdana" w:hAnsi="Verdana" w:cs="Arial"/>
                <w:sz w:val="22"/>
                <w:szCs w:val="22"/>
                <w:lang w:eastAsia="es-ES"/>
              </w:rPr>
              <w:t xml:space="preserve">De acuerdo con los problemas jurídicos, objeto de consulta, se expresa: </w:t>
            </w:r>
          </w:p>
          <w:p w14:paraId="13C428B7" w14:textId="77777777" w:rsidR="0064758F" w:rsidRPr="00842E4E" w:rsidRDefault="0064758F" w:rsidP="0064758F">
            <w:pPr>
              <w:spacing w:after="120" w:line="276" w:lineRule="auto"/>
              <w:jc w:val="both"/>
              <w:rPr>
                <w:rFonts w:ascii="Verdana" w:eastAsia="Calibri" w:hAnsi="Verdana" w:cs="Arial"/>
                <w:bCs/>
                <w:color w:val="000000" w:themeColor="text1"/>
              </w:rPr>
            </w:pPr>
            <w:r>
              <w:rPr>
                <w:rFonts w:ascii="Verdana" w:hAnsi="Verdana" w:cs="Arial"/>
                <w:lang w:eastAsia="es-ES"/>
              </w:rPr>
              <w:t>i</w:t>
            </w:r>
            <w:r w:rsidRPr="00842E4E">
              <w:rPr>
                <w:rFonts w:ascii="Verdana" w:hAnsi="Verdana" w:cs="Arial"/>
                <w:lang w:eastAsia="es-ES"/>
              </w:rPr>
              <w:t>.</w:t>
            </w:r>
            <w:r>
              <w:rPr>
                <w:rFonts w:ascii="Verdana" w:eastAsia="Calibri" w:hAnsi="Verdana" w:cs="Arial"/>
                <w:bCs/>
                <w:color w:val="000000" w:themeColor="text1"/>
              </w:rPr>
              <w:t xml:space="preserve"> De acuerdo con el primer problema jurídico, objeto de consulta,</w:t>
            </w:r>
            <w:r w:rsidRPr="00842E4E">
              <w:rPr>
                <w:rFonts w:ascii="Verdana" w:eastAsia="Calibri" w:hAnsi="Verdana" w:cs="Arial"/>
                <w:bCs/>
                <w:color w:val="000000" w:themeColor="text1"/>
              </w:rPr>
              <w:t xml:space="preserve"> es importante señalar que la presencia de códigos del segmento UNSPSC 72 en el RUP no permite, por sí sola, concluir que los contratos registrados correspondan a obras civiles, por lo que su sola aparición puede generar interpretaciones erróneas si no se revisa el objeto contractual real. La clasificación UNSPSC es un insumo administrativo, pero no define la naturaleza jurídica del contrato ni determina automáticamente su incidencia en la capacidad residual. En este sentido, para efectos de capacidad residual, la normativa colombiana establece que únicamente los contratos de obra civiles, ya sea celebrados con entidades públicas o privadas. El segmento 72 aplica para servicios de construcción, entre los que no están incluidas la interventoría y la consultoría, </w:t>
            </w:r>
            <w:r>
              <w:rPr>
                <w:rFonts w:ascii="Verdana" w:eastAsia="Calibri" w:hAnsi="Verdana" w:cs="Arial"/>
                <w:bCs/>
                <w:color w:val="000000" w:themeColor="text1"/>
              </w:rPr>
              <w:t xml:space="preserve">pues estos </w:t>
            </w:r>
            <w:r w:rsidRPr="00842E4E">
              <w:rPr>
                <w:rFonts w:ascii="Verdana" w:eastAsia="Calibri" w:hAnsi="Verdana" w:cs="Arial"/>
                <w:bCs/>
                <w:color w:val="000000" w:themeColor="text1"/>
              </w:rPr>
              <w:t>corresponde</w:t>
            </w:r>
            <w:r>
              <w:rPr>
                <w:rFonts w:ascii="Verdana" w:eastAsia="Calibri" w:hAnsi="Verdana" w:cs="Arial"/>
                <w:bCs/>
                <w:color w:val="000000" w:themeColor="text1"/>
              </w:rPr>
              <w:t>n a</w:t>
            </w:r>
            <w:r w:rsidRPr="00842E4E">
              <w:rPr>
                <w:rFonts w:ascii="Verdana" w:eastAsia="Calibri" w:hAnsi="Verdana" w:cs="Arial"/>
                <w:bCs/>
                <w:color w:val="000000" w:themeColor="text1"/>
              </w:rPr>
              <w:t xml:space="preserve"> un código diferente. </w:t>
            </w:r>
          </w:p>
          <w:p w14:paraId="675ABFA2" w14:textId="77777777" w:rsidR="0064758F" w:rsidRPr="00842E4E" w:rsidRDefault="0064758F" w:rsidP="0064758F">
            <w:pPr>
              <w:spacing w:after="120" w:line="276" w:lineRule="auto"/>
              <w:ind w:firstLine="708"/>
              <w:jc w:val="both"/>
              <w:rPr>
                <w:rFonts w:ascii="Verdana" w:eastAsia="Calibri" w:hAnsi="Verdana" w:cs="Arial"/>
                <w:bCs/>
                <w:color w:val="000000" w:themeColor="text1"/>
              </w:rPr>
            </w:pPr>
            <w:r w:rsidRPr="00842E4E">
              <w:rPr>
                <w:rFonts w:ascii="Verdana" w:eastAsia="Calibri" w:hAnsi="Verdana" w:cs="Arial"/>
                <w:bCs/>
                <w:color w:val="000000" w:themeColor="text1"/>
              </w:rPr>
              <w:t>Esto significa que los contratos de consultoría o de interventoría, aun cuando estén clasificados en el segmento 72, no afectan la capacidad residual, porque no implican ejecución directa de obra ni comprometen la capacidad operativa del proponente en términos de maquinaria, personal de obra o cronogramas constructivos. En este aspecto, se destaca que los contratos de consultoría o interventoría deben estar ubicados en</w:t>
            </w:r>
            <w:r>
              <w:rPr>
                <w:rFonts w:ascii="Verdana" w:eastAsia="Calibri" w:hAnsi="Verdana" w:cs="Arial"/>
                <w:bCs/>
                <w:color w:val="000000" w:themeColor="text1"/>
              </w:rPr>
              <w:t xml:space="preserve"> los</w:t>
            </w:r>
            <w:r w:rsidRPr="00842E4E">
              <w:rPr>
                <w:rFonts w:ascii="Verdana" w:eastAsia="Calibri" w:hAnsi="Verdana" w:cs="Arial"/>
                <w:bCs/>
                <w:color w:val="000000" w:themeColor="text1"/>
              </w:rPr>
              <w:t xml:space="preserve"> segmento</w:t>
            </w:r>
            <w:r>
              <w:rPr>
                <w:rFonts w:ascii="Verdana" w:eastAsia="Calibri" w:hAnsi="Verdana" w:cs="Arial"/>
                <w:bCs/>
                <w:color w:val="000000" w:themeColor="text1"/>
              </w:rPr>
              <w:t>s</w:t>
            </w:r>
            <w:r w:rsidRPr="00842E4E">
              <w:rPr>
                <w:rFonts w:ascii="Verdana" w:eastAsia="Calibri" w:hAnsi="Verdana" w:cs="Arial"/>
                <w:bCs/>
                <w:color w:val="000000" w:themeColor="text1"/>
              </w:rPr>
              <w:t xml:space="preserve"> 80 y 81, y sería un error tenerlos en cuenta para efectos del cálculo de la capacidad residual. </w:t>
            </w:r>
          </w:p>
          <w:p w14:paraId="1F768AD0" w14:textId="77777777" w:rsidR="0064758F" w:rsidRPr="00842E4E" w:rsidRDefault="0064758F" w:rsidP="0064758F">
            <w:pPr>
              <w:spacing w:after="120" w:line="276" w:lineRule="auto"/>
              <w:ind w:firstLine="708"/>
              <w:jc w:val="both"/>
              <w:rPr>
                <w:rFonts w:ascii="Verdana" w:eastAsia="Calibri" w:hAnsi="Verdana" w:cs="Arial"/>
                <w:bCs/>
                <w:color w:val="000000" w:themeColor="text1"/>
              </w:rPr>
            </w:pPr>
            <w:r w:rsidRPr="00842E4E">
              <w:rPr>
                <w:rFonts w:ascii="Verdana" w:eastAsia="Calibri" w:hAnsi="Verdana" w:cs="Arial"/>
                <w:bCs/>
                <w:color w:val="000000" w:themeColor="text1"/>
              </w:rPr>
              <w:t>En ese sentido, debido a que lo relevante es que el objeto del contrato contemple la ejecución de obras civiles, no es válido afirmar que, para calcular la capacidad residual deban tener en cuenta los contratos de consultoría o interventoría, erróneamente inscritos en el segmento 72. Lo relevante es el objeto del contrato, no el segmento en el que se inscribe. De este modo, la interpretación correcta es que la presencia de códigos del segmento 72 en el RUP no genera presunción de obra. La entidad debe basarse en el objeto contractual y no</w:t>
            </w:r>
            <w:r>
              <w:rPr>
                <w:rFonts w:ascii="Verdana" w:eastAsia="Calibri" w:hAnsi="Verdana" w:cs="Arial"/>
                <w:bCs/>
                <w:color w:val="000000" w:themeColor="text1"/>
              </w:rPr>
              <w:t xml:space="preserve"> solo</w:t>
            </w:r>
            <w:r w:rsidRPr="00842E4E">
              <w:rPr>
                <w:rFonts w:ascii="Verdana" w:eastAsia="Calibri" w:hAnsi="Verdana" w:cs="Arial"/>
                <w:bCs/>
                <w:color w:val="000000" w:themeColor="text1"/>
              </w:rPr>
              <w:t xml:space="preserve"> en la clasificación UNSPSC para decidir si un contrato afecta o no la capacidad residual. Este criterio asegura coherencia técnica, evita restricciones indebidas a la participación y mantiene alineado el análisis con el marco normativo vigente</w:t>
            </w:r>
            <w:r>
              <w:rPr>
                <w:rFonts w:ascii="Verdana" w:eastAsia="Calibri" w:hAnsi="Verdana" w:cs="Arial"/>
                <w:bCs/>
                <w:color w:val="000000" w:themeColor="text1"/>
              </w:rPr>
              <w:t xml:space="preserve"> sobre el cálculo de la capacidad residual</w:t>
            </w:r>
            <w:r w:rsidRPr="00842E4E">
              <w:rPr>
                <w:rFonts w:ascii="Verdana" w:eastAsia="Calibri" w:hAnsi="Verdana" w:cs="Arial"/>
                <w:bCs/>
                <w:color w:val="000000" w:themeColor="text1"/>
              </w:rPr>
              <w:t xml:space="preserve">. </w:t>
            </w:r>
          </w:p>
          <w:p w14:paraId="2B4BEB76" w14:textId="77777777" w:rsidR="0064758F" w:rsidRPr="00842E4E" w:rsidRDefault="0064758F" w:rsidP="0064758F">
            <w:pPr>
              <w:spacing w:after="120" w:line="276" w:lineRule="auto"/>
              <w:jc w:val="both"/>
              <w:rPr>
                <w:rFonts w:ascii="Verdana" w:eastAsia="Calibri" w:hAnsi="Verdana" w:cs="Arial"/>
              </w:rPr>
            </w:pPr>
            <w:r w:rsidRPr="00842E4E">
              <w:rPr>
                <w:rFonts w:ascii="Verdana" w:eastAsia="Calibri" w:hAnsi="Verdana" w:cs="Arial"/>
                <w:bCs/>
                <w:color w:val="000000" w:themeColor="text1"/>
              </w:rPr>
              <w:t>ii.</w:t>
            </w:r>
            <w:r>
              <w:rPr>
                <w:rFonts w:ascii="Verdana" w:eastAsia="Calibri" w:hAnsi="Verdana" w:cs="Arial"/>
                <w:bCs/>
                <w:color w:val="000000" w:themeColor="text1"/>
              </w:rPr>
              <w:t xml:space="preserve"> En torno al segundo problema jurídico, se precisa que l</w:t>
            </w:r>
            <w:r w:rsidRPr="00842E4E">
              <w:rPr>
                <w:rFonts w:ascii="Verdana" w:eastAsia="Calibri" w:hAnsi="Verdana" w:cs="Times New Roman"/>
              </w:rPr>
              <w:t xml:space="preserve">a capacidad residual de contratación es uno de aquellos requisitos no acreditables a través del RUP, </w:t>
            </w:r>
            <w:r w:rsidRPr="00842E4E">
              <w:rPr>
                <w:rFonts w:ascii="Verdana" w:eastAsia="Calibri" w:hAnsi="Verdana" w:cs="Times New Roman"/>
              </w:rPr>
              <w:lastRenderedPageBreak/>
              <w:t xml:space="preserve">de tal manera que la entidad estatal fijará las condiciones y requisitos en el pliego de condiciones o en los documentos del proceso a través del cual el proponente deberá ceñirse al cumplimiento </w:t>
            </w:r>
            <w:r w:rsidRPr="00842E4E">
              <w:rPr>
                <w:rFonts w:ascii="Verdana" w:eastAsia="Calibri" w:hAnsi="Verdana" w:cs="Arial"/>
              </w:rPr>
              <w:t>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1A94D953" w14:textId="77777777" w:rsidR="0064758F" w:rsidRDefault="0064758F" w:rsidP="0064758F">
            <w:pPr>
              <w:spacing w:after="120" w:line="276" w:lineRule="auto"/>
              <w:ind w:right="51" w:firstLine="709"/>
              <w:jc w:val="both"/>
              <w:rPr>
                <w:rFonts w:ascii="Verdana" w:eastAsia="Calibri" w:hAnsi="Verdana" w:cs="Arial"/>
                <w:lang w:val="es-ES"/>
              </w:rPr>
            </w:pPr>
            <w:r w:rsidRPr="00842E4E">
              <w:rPr>
                <w:rFonts w:ascii="Verdana" w:eastAsia="Calibri" w:hAnsi="Verdana" w:cs="Arial"/>
              </w:rPr>
              <w:t>Ahora bien, es importante pasar al a</w:t>
            </w:r>
            <w:r w:rsidRPr="00842E4E">
              <w:rPr>
                <w:rFonts w:ascii="Verdana" w:eastAsia="Calibri" w:hAnsi="Verdana" w:cs="Times New Roman"/>
              </w:rPr>
              <w:t xml:space="preserve">nálisis frente al rechazo de ofertas respecto a la información solicitada para el cálculo de la capacidad residual. En este sentido, debe indicarse que </w:t>
            </w:r>
            <w:r w:rsidRPr="00842E4E">
              <w:rPr>
                <w:rFonts w:ascii="Verdana" w:eastAsia="Calibri" w:hAnsi="Verdana" w:cs="Arial"/>
              </w:rPr>
              <w:t xml:space="preserve">las causales de rechazo son las establecidas en la Ley y las fijadas por la entidad estatal en los pliegos de condiciones. Sin embargo, en ejercicio de dicha facultad, a las entidades no les es dable </w:t>
            </w:r>
            <w:r>
              <w:rPr>
                <w:rFonts w:ascii="Verdana" w:eastAsia="Calibri" w:hAnsi="Verdana" w:cs="Arial"/>
              </w:rPr>
              <w:t>fijar</w:t>
            </w:r>
            <w:r w:rsidRPr="00842E4E">
              <w:rPr>
                <w:rFonts w:ascii="Verdana" w:eastAsia="Calibri" w:hAnsi="Verdana" w:cs="Arial"/>
              </w:rPr>
              <w:t xml:space="preserve"> causales de rechazo que soslayen o afecten la selección objetiva en la contratación, por el solo hecho de que se haya presentado un registro incorrecto del RUP, en el sentido de tener en cuenta servicios de consultoría o interventoría en el segmento 72. En tal sentido, 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5B61F541" w14:textId="77777777" w:rsidR="0064758F" w:rsidRDefault="0064758F" w:rsidP="0064758F">
            <w:pPr>
              <w:spacing w:after="120" w:line="276" w:lineRule="auto"/>
              <w:ind w:right="51" w:firstLine="709"/>
              <w:jc w:val="both"/>
              <w:rPr>
                <w:rFonts w:ascii="Verdana" w:eastAsia="Calibri" w:hAnsi="Verdana" w:cs="Arial"/>
              </w:rPr>
            </w:pPr>
            <w:r w:rsidRPr="00842E4E">
              <w:rPr>
                <w:rFonts w:ascii="Verdana" w:eastAsia="Calibri" w:hAnsi="Verdana" w:cs="Arial"/>
              </w:rPr>
              <w:t xml:space="preserve">De conformidad con esta regla, el rechazo de la oferta procede cuando en ejercicio de la potestad verificadora se advierta que luego de agotar la posibilidad de subsanación o aclaración, el proponente dejó de incluir información que afecta la capacidad residual.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w:t>
            </w:r>
          </w:p>
          <w:p w14:paraId="580AAFFB" w14:textId="77777777" w:rsidR="0064758F" w:rsidRPr="00881D8A" w:rsidRDefault="0064758F" w:rsidP="0064758F">
            <w:pPr>
              <w:spacing w:after="120" w:line="276" w:lineRule="auto"/>
              <w:ind w:firstLine="709"/>
              <w:jc w:val="both"/>
              <w:rPr>
                <w:rFonts w:ascii="Verdana" w:eastAsia="Calibri" w:hAnsi="Verdana" w:cs="Arial"/>
                <w:szCs w:val="20"/>
                <w:lang w:val="es-MX"/>
              </w:rPr>
            </w:pPr>
            <w:r>
              <w:rPr>
                <w:rFonts w:ascii="Verdana" w:eastAsia="Calibri" w:hAnsi="Verdana" w:cs="Arial"/>
                <w:color w:val="000000" w:themeColor="text1"/>
                <w:lang w:val="es-ES"/>
              </w:rPr>
              <w:t xml:space="preserve">A modo de ejemplo, </w:t>
            </w:r>
            <w:r>
              <w:rPr>
                <w:rFonts w:ascii="Verdana" w:eastAsia="Calibri" w:hAnsi="Verdana" w:cs="Arial"/>
                <w:szCs w:val="20"/>
                <w:lang w:val="es-MX"/>
              </w:rPr>
              <w:t>se destaca e</w:t>
            </w:r>
            <w:r w:rsidRPr="00881D8A">
              <w:rPr>
                <w:rFonts w:ascii="Verdana" w:eastAsia="Calibri" w:hAnsi="Verdana" w:cs="Arial"/>
                <w:szCs w:val="20"/>
                <w:lang w:val="es-MX"/>
              </w:rPr>
              <w:t xml:space="preserve">l numeral 3.10 del documento base de obra de licitación para obra pública de infraestructura de transporte –versión 4 establece </w:t>
            </w:r>
            <w:r w:rsidRPr="00881D8A">
              <w:rPr>
                <w:rFonts w:ascii="Verdana" w:eastAsia="Calibri" w:hAnsi="Verdana" w:cs="Arial"/>
                <w:szCs w:val="20"/>
              </w:rPr>
              <w:t xml:space="preserve">como requisito habilitante la capacidad residual. En este documento tipo, </w:t>
            </w:r>
            <w:r w:rsidRPr="00881D8A">
              <w:rPr>
                <w:rFonts w:ascii="Verdana" w:eastAsia="Calibri" w:hAnsi="Verdana" w:cs="Arial"/>
                <w:szCs w:val="20"/>
                <w:lang w:val="es-MX"/>
              </w:rPr>
              <w:t xml:space="preserve">al menos tres causales de rechazo del numeral 1.15 se </w:t>
            </w:r>
            <w:r w:rsidRPr="00881D8A">
              <w:rPr>
                <w:rFonts w:ascii="Verdana" w:eastAsia="Calibri" w:hAnsi="Verdana" w:cs="Arial"/>
                <w:szCs w:val="20"/>
                <w:lang w:val="es-MX"/>
              </w:rPr>
              <w:lastRenderedPageBreak/>
              <w:t xml:space="preserve">relacionan con la capacidad residual como requisito habilitante, esto es, los literales E, H y X. </w:t>
            </w:r>
          </w:p>
          <w:p w14:paraId="513BCE68" w14:textId="36C1FDE2" w:rsidR="00697766" w:rsidRPr="00383475" w:rsidRDefault="0064758F" w:rsidP="000047C2">
            <w:pPr>
              <w:pStyle w:val="Textoindependiente"/>
              <w:ind w:firstLine="709"/>
              <w:jc w:val="both"/>
              <w:rPr>
                <w:rFonts w:ascii="Verdana" w:hAnsi="Verdana"/>
              </w:rPr>
            </w:pPr>
            <w:r w:rsidRPr="00881D8A">
              <w:rPr>
                <w:rFonts w:ascii="Verdana" w:eastAsia="Calibri" w:hAnsi="Verdana" w:cs="Arial"/>
                <w:szCs w:val="20"/>
                <w:lang w:val="es-MX"/>
              </w:rPr>
              <w:t>Como se consideró en los conceptos del 25 de septiembre y el 23 de diciembre de 2019 −radicados Nos. 2201913000007117 y 2201913000009538−</w:t>
            </w:r>
            <w:r>
              <w:rPr>
                <w:rFonts w:ascii="Verdana" w:eastAsia="Calibri" w:hAnsi="Verdana" w:cs="Arial"/>
                <w:szCs w:val="20"/>
                <w:lang w:val="es-MX"/>
              </w:rPr>
              <w:t>, así como el Concepto C-1759 del 30 de diciembre de 2025</w:t>
            </w:r>
            <w:r w:rsidRPr="00881D8A">
              <w:rPr>
                <w:rFonts w:ascii="Verdana" w:eastAsia="Calibri" w:hAnsi="Verdana" w:cs="Arial"/>
                <w:szCs w:val="20"/>
                <w:lang w:val="es-MX"/>
              </w:rPr>
              <w:t>,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w:t>
            </w:r>
          </w:p>
        </w:tc>
      </w:tr>
    </w:tbl>
    <w:p w14:paraId="4CCFE403" w14:textId="77777777" w:rsidR="00697766" w:rsidRDefault="00697766" w:rsidP="00697766">
      <w:pPr>
        <w:tabs>
          <w:tab w:val="left" w:pos="142"/>
          <w:tab w:val="left" w:pos="284"/>
        </w:tabs>
        <w:spacing w:after="0" w:line="276" w:lineRule="auto"/>
        <w:jc w:val="both"/>
        <w:rPr>
          <w:rFonts w:ascii="Verdana" w:eastAsia="Century Gothic" w:hAnsi="Verdana" w:cs="Century Gothic"/>
          <w:b/>
          <w:bCs/>
          <w:lang w:val="es-ES"/>
        </w:rPr>
      </w:pPr>
    </w:p>
    <w:p w14:paraId="5E6B2B44"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5067CA49" w14:textId="77777777" w:rsidR="00697766" w:rsidRDefault="00697766" w:rsidP="00697766">
      <w:pPr>
        <w:spacing w:after="0" w:line="276" w:lineRule="auto"/>
        <w:jc w:val="both"/>
        <w:rPr>
          <w:rFonts w:ascii="Verdana" w:eastAsia="Calibri" w:hAnsi="Verdana" w:cs="Arial"/>
          <w:color w:val="7030A0"/>
          <w:lang w:val="es-ES"/>
        </w:rPr>
      </w:pPr>
    </w:p>
    <w:p w14:paraId="38C832A7" w14:textId="77777777" w:rsidR="00697766" w:rsidRPr="00B96799" w:rsidRDefault="00697766" w:rsidP="00697766">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34C0C3A" w14:textId="77777777" w:rsidR="00697766" w:rsidRPr="00593A5F" w:rsidRDefault="00697766" w:rsidP="00697766">
      <w:pPr>
        <w:spacing w:after="0" w:line="276" w:lineRule="auto"/>
        <w:jc w:val="both"/>
        <w:rPr>
          <w:rFonts w:ascii="Verdana" w:eastAsia="Calibri" w:hAnsi="Verdana" w:cs="Arial"/>
          <w:color w:val="7030A0"/>
          <w:lang w:val="es-ES"/>
        </w:rPr>
      </w:pPr>
    </w:p>
    <w:p w14:paraId="6C95C6E9" w14:textId="77777777" w:rsidR="008B4354" w:rsidRDefault="008B4354" w:rsidP="008B4354">
      <w:pPr>
        <w:spacing w:after="0" w:line="276" w:lineRule="auto"/>
        <w:jc w:val="both"/>
        <w:rPr>
          <w:rFonts w:ascii="Verdana" w:eastAsia="Calibri" w:hAnsi="Verdana" w:cs="Arial"/>
        </w:rPr>
      </w:pPr>
      <w:bookmarkStart w:id="1" w:name="_Hlk78820161"/>
      <w:r>
        <w:rPr>
          <w:rFonts w:ascii="Verdana" w:eastAsia="Calibri" w:hAnsi="Verdana" w:cs="Arial"/>
          <w:lang w:val="es-ES"/>
        </w:rPr>
        <w:t xml:space="preserve">i. </w:t>
      </w:r>
      <w:r w:rsidRPr="00881D8A">
        <w:rPr>
          <w:rFonts w:ascii="Verdana" w:eastAsia="Calibri" w:hAnsi="Verdana" w:cs="Times New Roman"/>
        </w:rPr>
        <w:t xml:space="preserve">La Capacidad Residual o K de Contratación es la aptitud de un oferente para cumplir oportuna y cabalmente con el objeto de un contrato de obra, sin que sus otros compromisos contractuales afecten su habilidad de responder con el contrato objeto del Proceso de Contratación. </w:t>
      </w:r>
      <w:r>
        <w:rPr>
          <w:rFonts w:ascii="Verdana" w:eastAsia="Calibri" w:hAnsi="Verdana" w:cs="Arial"/>
        </w:rPr>
        <w:t>Al respecto, e</w:t>
      </w:r>
      <w:r w:rsidRPr="00795086">
        <w:rPr>
          <w:rFonts w:ascii="Verdana" w:eastAsia="Calibri" w:hAnsi="Verdana" w:cs="Arial"/>
        </w:rPr>
        <w:t>l artíc</w:t>
      </w:r>
      <w:r>
        <w:rPr>
          <w:rFonts w:ascii="Verdana" w:eastAsia="Calibri" w:hAnsi="Verdana" w:cs="Arial"/>
        </w:rPr>
        <w:t>ulo 6 de la Ley 1150 de 2007 reguló</w:t>
      </w:r>
      <w:r w:rsidRPr="00795086">
        <w:rPr>
          <w:rFonts w:ascii="Verdana" w:eastAsia="Calibri" w:hAnsi="Verdana" w:cs="Arial"/>
        </w:rPr>
        <w:t xml:space="preserve"> la capacidad residual del proponente o K de contratación como condición para participar en los Procesos de Cont</w:t>
      </w:r>
      <w:r>
        <w:rPr>
          <w:rFonts w:ascii="Verdana" w:eastAsia="Calibri" w:hAnsi="Verdana" w:cs="Arial"/>
        </w:rPr>
        <w:t xml:space="preserve">ratación de obra pública y demás que señala el reglamento. En torno a esta condición o requisito habilitante, </w:t>
      </w:r>
      <w:r w:rsidRPr="00795086">
        <w:rPr>
          <w:rFonts w:ascii="Verdana" w:eastAsia="Calibri" w:hAnsi="Verdana" w:cs="Arial"/>
        </w:rPr>
        <w:t xml:space="preserve">el parágrafo 1 </w:t>
      </w:r>
      <w:r w:rsidRPr="00795086">
        <w:rPr>
          <w:rFonts w:ascii="Verdana" w:eastAsia="Calibri" w:hAnsi="Verdana" w:cs="Arial"/>
          <w:i/>
          <w:iCs/>
        </w:rPr>
        <w:t>ibidem</w:t>
      </w:r>
      <w:r w:rsidRPr="00795086">
        <w:rPr>
          <w:rFonts w:ascii="Verdana" w:eastAsia="Calibri" w:hAnsi="Verdana" w:cs="Arial"/>
        </w:rPr>
        <w:t>, determinó que esta debe ser igual o superior a la establecida en</w:t>
      </w:r>
      <w:r>
        <w:rPr>
          <w:rFonts w:ascii="Verdana" w:eastAsia="Calibri" w:hAnsi="Verdana" w:cs="Arial"/>
        </w:rPr>
        <w:t xml:space="preserve"> los pliegos de condiciones. Al respecto prescribió:</w:t>
      </w:r>
    </w:p>
    <w:p w14:paraId="48FCD1F4" w14:textId="77777777" w:rsidR="008B4354" w:rsidRPr="00795086" w:rsidRDefault="008B4354" w:rsidP="008B4354">
      <w:pPr>
        <w:spacing w:after="0" w:line="276" w:lineRule="auto"/>
        <w:jc w:val="both"/>
        <w:rPr>
          <w:rFonts w:ascii="Verdana" w:eastAsia="Calibri" w:hAnsi="Verdana" w:cs="Arial"/>
        </w:rPr>
      </w:pPr>
    </w:p>
    <w:p w14:paraId="260F5A7B" w14:textId="77777777" w:rsidR="008B4354" w:rsidRPr="000146E8" w:rsidRDefault="008B4354" w:rsidP="008B4354">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360ED62F" w14:textId="77777777" w:rsidR="008B4354" w:rsidRPr="000146E8" w:rsidRDefault="008B4354" w:rsidP="008B4354">
      <w:pPr>
        <w:spacing w:after="0" w:line="240" w:lineRule="auto"/>
        <w:ind w:left="709" w:right="709"/>
        <w:contextualSpacing/>
        <w:jc w:val="both"/>
        <w:rPr>
          <w:rFonts w:ascii="Verdana" w:eastAsia="Calibri" w:hAnsi="Verdana" w:cs="Arial"/>
          <w:color w:val="000000"/>
          <w:sz w:val="20"/>
          <w:szCs w:val="20"/>
          <w:lang w:val="es-MX" w:eastAsia="en-GB"/>
        </w:rPr>
      </w:pPr>
    </w:p>
    <w:p w14:paraId="723B9712" w14:textId="77777777" w:rsidR="008B4354" w:rsidRPr="000146E8" w:rsidRDefault="008B4354" w:rsidP="008B4354">
      <w:pPr>
        <w:spacing w:after="0" w:line="240" w:lineRule="auto"/>
        <w:ind w:left="709" w:right="709"/>
        <w:contextualSpacing/>
        <w:jc w:val="both"/>
        <w:rPr>
          <w:rFonts w:ascii="Verdana" w:eastAsia="Calibri" w:hAnsi="Verdana" w:cs="Arial"/>
          <w:color w:val="000000"/>
          <w:sz w:val="20"/>
          <w:szCs w:val="20"/>
          <w:lang w:val="es-MX" w:eastAsia="en-GB"/>
        </w:rPr>
      </w:pPr>
      <w:r w:rsidRPr="000146E8">
        <w:rPr>
          <w:rFonts w:ascii="Verdana" w:eastAsia="Calibri" w:hAnsi="Verdana" w:cs="Arial"/>
          <w:color w:val="000000"/>
          <w:sz w:val="20"/>
          <w:szCs w:val="20"/>
          <w:lang w:val="es-MX" w:eastAsia="en-GB"/>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731F911C" w14:textId="77777777" w:rsidR="008B4354" w:rsidRPr="00896002" w:rsidRDefault="008B4354" w:rsidP="008B4354">
      <w:pPr>
        <w:spacing w:after="0" w:line="276" w:lineRule="auto"/>
        <w:ind w:right="709"/>
        <w:jc w:val="both"/>
        <w:rPr>
          <w:rFonts w:ascii="Verdana" w:eastAsia="Calibri" w:hAnsi="Verdana" w:cs="Arial"/>
          <w:color w:val="000000"/>
          <w:lang w:val="es-MX" w:eastAsia="en-GB"/>
        </w:rPr>
      </w:pPr>
    </w:p>
    <w:p w14:paraId="1D0EDDE1" w14:textId="77777777" w:rsidR="008B4354" w:rsidRPr="008E047A" w:rsidRDefault="008B4354" w:rsidP="008B4354">
      <w:pPr>
        <w:spacing w:after="120" w:line="276" w:lineRule="auto"/>
        <w:ind w:firstLine="709"/>
        <w:jc w:val="both"/>
        <w:rPr>
          <w:rFonts w:ascii="Verdana" w:eastAsia="Calibri" w:hAnsi="Verdana" w:cs="Arial"/>
          <w:color w:val="000000"/>
          <w:lang w:eastAsia="en-GB"/>
        </w:rPr>
      </w:pPr>
      <w:r w:rsidRPr="00896002">
        <w:rPr>
          <w:rFonts w:ascii="Verdana" w:eastAsia="Calibri" w:hAnsi="Verdana" w:cs="Arial"/>
          <w:color w:val="000000"/>
          <w:lang w:val="es-MX" w:eastAsia="en-GB"/>
        </w:rPr>
        <w:t xml:space="preserve">De acuerdo con </w:t>
      </w:r>
      <w:r w:rsidRPr="00896002">
        <w:rPr>
          <w:rFonts w:ascii="Verdana" w:eastAsia="Calibri" w:hAnsi="Verdana" w:cs="Arial"/>
          <w:color w:val="000000"/>
          <w:lang w:eastAsia="en-GB"/>
        </w:rPr>
        <w:t>el artículo 72 de la Ley 1682 de 2013, la “capacidad residual de contratación cuando se realicen contratos de obra pública se obtendrá de sustraer de la capacidad de contratación, el saldo del valor de los contratos en ejecución”. La “capacidad de contrataci</w:t>
      </w:r>
      <w:r>
        <w:rPr>
          <w:rFonts w:ascii="Verdana" w:eastAsia="Calibri" w:hAnsi="Verdana" w:cs="Arial"/>
          <w:color w:val="000000"/>
          <w:lang w:eastAsia="en-GB"/>
        </w:rPr>
        <w:t>ón”, según se infier</w:t>
      </w:r>
      <w:r w:rsidRPr="00896002">
        <w:rPr>
          <w:rFonts w:ascii="Verdana" w:eastAsia="Calibri" w:hAnsi="Verdana" w:cs="Arial"/>
          <w:color w:val="000000"/>
          <w:lang w:eastAsia="en-GB"/>
        </w:rPr>
        <w:t>e de la misma disposición, “[…] se deberá calcular mediante la evaluación de los siguientes factores: Experiencia (E), Capacidad Financiera (CF), Capacidad Técnica (CT), y Capacidad de Organización (CO)”.</w:t>
      </w:r>
    </w:p>
    <w:p w14:paraId="5E62BA35" w14:textId="77777777" w:rsidR="008B4354" w:rsidRPr="00881D8A" w:rsidRDefault="008B4354" w:rsidP="008B4354">
      <w:pPr>
        <w:widowControl w:val="0"/>
        <w:autoSpaceDE w:val="0"/>
        <w:autoSpaceDN w:val="0"/>
        <w:spacing w:after="120" w:line="276" w:lineRule="auto"/>
        <w:ind w:firstLine="709"/>
        <w:jc w:val="both"/>
        <w:rPr>
          <w:rFonts w:ascii="Verdana" w:eastAsia="Arial" w:hAnsi="Verdana" w:cs="Arial"/>
        </w:rPr>
      </w:pPr>
      <w:r w:rsidRPr="00881D8A">
        <w:rPr>
          <w:rFonts w:ascii="Verdana" w:eastAsia="Arial" w:hAnsi="Verdana" w:cs="Arial"/>
        </w:rPr>
        <w:t xml:space="preserve">El artículo 2.2.1.1.1.3.1 del Decreto 1082 de 2015 define la capacidad residual como: “Aptitud de un oferente para cumplir oportuna y cabalmente con el objeto de un contrato de obra, sin que sus otros compromisos contractuales afecten su habilidad de cumplir con el contrato que está en proceso de selección”. Por su parte, el artículo 2.2.1.1.1.6.4. del Decreto 1082 de 2015 señala la información que debe entregar el proponente interesado en un proceso de contratación para acreditar su Capacidad Residual, de la siguiente forma: </w:t>
      </w:r>
    </w:p>
    <w:p w14:paraId="0C8E694F" w14:textId="77777777" w:rsidR="008B4354" w:rsidRPr="00881D8A" w:rsidRDefault="008B4354" w:rsidP="008B4354">
      <w:pPr>
        <w:widowControl w:val="0"/>
        <w:autoSpaceDE w:val="0"/>
        <w:autoSpaceDN w:val="0"/>
        <w:spacing w:after="0" w:line="276" w:lineRule="auto"/>
        <w:ind w:firstLine="709"/>
        <w:contextualSpacing/>
        <w:jc w:val="both"/>
        <w:rPr>
          <w:rFonts w:ascii="Verdana" w:eastAsia="Arial" w:hAnsi="Verdana" w:cs="Arial"/>
          <w:lang w:val="es-ES"/>
        </w:rPr>
      </w:pPr>
    </w:p>
    <w:p w14:paraId="4E6ABE4F"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“El interesado en celebrar contratos de obra pública con Entidades Estatales debe acreditar su Capacidad Residual o K de Contratación con los siguientes documentos:  </w:t>
      </w:r>
    </w:p>
    <w:p w14:paraId="7013C8E5"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420EDE1F"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1. La lista de los contratos de obras civiles en ejecución suscritos con Entidades Estatales y con entidades privadas, así como el valor y plazo de tales contratos, incluyendo contratos de concesión y los contratos de obra suscritos con concesionarios.  </w:t>
      </w:r>
    </w:p>
    <w:p w14:paraId="4F6C1883"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00F53DD9"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r w:rsidRPr="00881D8A">
        <w:rPr>
          <w:rFonts w:ascii="Verdana" w:eastAsia="Calibri" w:hAnsi="Verdana" w:cs="Arial"/>
          <w:color w:val="000000"/>
          <w:sz w:val="20"/>
          <w:szCs w:val="20"/>
          <w:lang w:val="es-ES"/>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 […]”.</w:t>
      </w:r>
    </w:p>
    <w:p w14:paraId="5B5262A8" w14:textId="77777777" w:rsidR="008B4354" w:rsidRPr="00881D8A" w:rsidRDefault="008B4354" w:rsidP="008B4354">
      <w:pPr>
        <w:widowControl w:val="0"/>
        <w:autoSpaceDE w:val="0"/>
        <w:autoSpaceDN w:val="0"/>
        <w:spacing w:after="120" w:line="240" w:lineRule="auto"/>
        <w:ind w:left="709" w:right="709"/>
        <w:contextualSpacing/>
        <w:jc w:val="both"/>
        <w:rPr>
          <w:rFonts w:ascii="Verdana" w:eastAsia="Calibri" w:hAnsi="Verdana" w:cs="Arial"/>
          <w:color w:val="000000"/>
          <w:sz w:val="20"/>
          <w:szCs w:val="20"/>
          <w:lang w:val="es-ES"/>
        </w:rPr>
      </w:pPr>
    </w:p>
    <w:p w14:paraId="029FA30C" w14:textId="77777777" w:rsidR="008B4354" w:rsidRDefault="008B4354" w:rsidP="008B4354">
      <w:pPr>
        <w:spacing w:after="0"/>
        <w:ind w:left="708" w:right="758"/>
        <w:jc w:val="both"/>
        <w:rPr>
          <w:rFonts w:ascii="Verdana" w:eastAsia="Calibri" w:hAnsi="Verdana" w:cs="Arial"/>
          <w:color w:val="000000"/>
          <w:sz w:val="20"/>
          <w:szCs w:val="20"/>
        </w:rPr>
      </w:pPr>
      <w:r w:rsidRPr="00881D8A">
        <w:rPr>
          <w:rFonts w:ascii="Verdana" w:eastAsia="Calibri" w:hAnsi="Verdana" w:cs="Arial"/>
          <w:color w:val="000000"/>
          <w:sz w:val="20"/>
          <w:szCs w:val="20"/>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413EC466" w14:textId="77777777" w:rsidR="008B4354" w:rsidRDefault="008B4354" w:rsidP="008B4354">
      <w:pPr>
        <w:spacing w:after="0"/>
        <w:ind w:left="708" w:right="758"/>
        <w:jc w:val="both"/>
        <w:rPr>
          <w:rFonts w:ascii="Verdana" w:eastAsia="Calibri" w:hAnsi="Verdana" w:cs="Arial"/>
          <w:color w:val="000000"/>
          <w:sz w:val="20"/>
          <w:szCs w:val="20"/>
        </w:rPr>
      </w:pPr>
    </w:p>
    <w:p w14:paraId="20014A03"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Entidad Estatal debe calcular la Capacidad Residual del Proceso de Contratación de acuerdo con la siguiente fórmula:</w:t>
      </w:r>
    </w:p>
    <w:p w14:paraId="6C810E1C" w14:textId="77777777" w:rsidR="008B4354" w:rsidRPr="008E047A" w:rsidRDefault="008B4354" w:rsidP="008B4354">
      <w:pPr>
        <w:shd w:val="clear" w:color="auto" w:fill="FFFFFF"/>
        <w:spacing w:after="0" w:line="240" w:lineRule="auto"/>
        <w:ind w:left="709" w:right="709"/>
        <w:jc w:val="center"/>
        <w:rPr>
          <w:rFonts w:ascii="Verdana" w:eastAsia="Times New Roman" w:hAnsi="Verdana" w:cs="Times New Roman"/>
          <w:color w:val="333333"/>
          <w:sz w:val="20"/>
          <w:szCs w:val="20"/>
          <w:lang w:eastAsia="es-CO"/>
        </w:rPr>
      </w:pPr>
      <w:r w:rsidRPr="008E047A">
        <w:rPr>
          <w:rFonts w:ascii="Verdana" w:eastAsia="Times New Roman" w:hAnsi="Verdana" w:cs="Times New Roman"/>
          <w:i/>
          <w:iCs/>
          <w:color w:val="333333"/>
          <w:sz w:val="20"/>
          <w:szCs w:val="20"/>
          <w:lang w:eastAsia="es-CO"/>
        </w:rPr>
        <w:t>Capacidad Residual del Proceso de Contratación = Presupuesto oficial estimado - Anticipo</w:t>
      </w:r>
    </w:p>
    <w:p w14:paraId="2E072AC7"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Si el plazo estimado del contrato es superior a doce (12) meses, la Capacidad Residual del Proceso de Contratación equivale a la proporción lineal de doce (12) meses del presupuesto oficial estimado menos el anticipo cuando haya lugar.</w:t>
      </w:r>
    </w:p>
    <w:p w14:paraId="6400EFA1"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Entidad Estatal debe calcular la Capacidad Residual del proponente de acuerdo con la siguiente fórmula:</w:t>
      </w:r>
    </w:p>
    <w:p w14:paraId="12F5DD71"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A cada uno de los factores se le asigna el siguiente puntaje máximo:</w:t>
      </w:r>
    </w:p>
    <w:tbl>
      <w:tblPr>
        <w:tblW w:w="3455" w:type="pct"/>
        <w:tblInd w:w="1126" w:type="dxa"/>
        <w:tblBorders>
          <w:top w:val="single" w:sz="6" w:space="0" w:color="C6C6C6"/>
          <w:left w:val="single" w:sz="6" w:space="0" w:color="C6C6C6"/>
          <w:bottom w:val="single" w:sz="6" w:space="0" w:color="C6C6C6"/>
          <w:right w:val="single" w:sz="6" w:space="0" w:color="C6C6C6"/>
        </w:tblBorders>
        <w:shd w:val="clear" w:color="auto" w:fill="FFFFFF"/>
        <w:tblCellMar>
          <w:left w:w="0" w:type="dxa"/>
          <w:right w:w="0" w:type="dxa"/>
        </w:tblCellMar>
        <w:tblLook w:val="04A0" w:firstRow="1" w:lastRow="0" w:firstColumn="1" w:lastColumn="0" w:noHBand="0" w:noVBand="1"/>
      </w:tblPr>
      <w:tblGrid>
        <w:gridCol w:w="2722"/>
        <w:gridCol w:w="3374"/>
      </w:tblGrid>
      <w:tr w:rsidR="008B4354" w:rsidRPr="008E047A" w14:paraId="2EB739D6"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7D3CE561"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b/>
                <w:bCs/>
                <w:color w:val="333333"/>
                <w:sz w:val="20"/>
                <w:szCs w:val="20"/>
                <w:lang w:eastAsia="es-CO"/>
              </w:rPr>
              <w:t>FACTOR</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2438B652"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b/>
                <w:bCs/>
                <w:color w:val="333333"/>
                <w:sz w:val="20"/>
                <w:szCs w:val="20"/>
                <w:lang w:eastAsia="es-CO"/>
              </w:rPr>
              <w:t>PUNTAJE MÁXIMO</w:t>
            </w:r>
          </w:p>
        </w:tc>
      </w:tr>
      <w:tr w:rsidR="008B4354" w:rsidRPr="008E047A" w14:paraId="37B9B6A8"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46329C9C"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Experiencia (E)</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1EAEECA8"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120</w:t>
            </w:r>
          </w:p>
        </w:tc>
      </w:tr>
      <w:tr w:rsidR="008B4354" w:rsidRPr="008E047A" w14:paraId="054230E9"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6AA12BC3"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Capacidad financiera (CF)</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4418C4C9"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40</w:t>
            </w:r>
          </w:p>
        </w:tc>
      </w:tr>
      <w:tr w:rsidR="008B4354" w:rsidRPr="008E047A" w14:paraId="1EF0E6D9"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575AFE9C"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Capacidad técnica (CT)</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58E687B4"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40</w:t>
            </w:r>
          </w:p>
        </w:tc>
      </w:tr>
      <w:tr w:rsidR="008B4354" w:rsidRPr="008E047A" w14:paraId="0868B213" w14:textId="77777777" w:rsidTr="00620CBD">
        <w:tc>
          <w:tcPr>
            <w:tcW w:w="1596"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1AD4E03C"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Total</w:t>
            </w:r>
          </w:p>
        </w:tc>
        <w:tc>
          <w:tcPr>
            <w:tcW w:w="4500" w:type="dxa"/>
            <w:tcBorders>
              <w:top w:val="single" w:sz="6" w:space="0" w:color="C6C6C6"/>
              <w:left w:val="single" w:sz="6" w:space="0" w:color="C6C6C6"/>
              <w:bottom w:val="single" w:sz="6" w:space="0" w:color="C6C6C6"/>
              <w:right w:val="single" w:sz="6" w:space="0" w:color="C6C6C6"/>
            </w:tcBorders>
            <w:shd w:val="clear" w:color="auto" w:fill="FFFFFF"/>
            <w:tcMar>
              <w:top w:w="105" w:type="dxa"/>
              <w:left w:w="75" w:type="dxa"/>
              <w:bottom w:w="90" w:type="dxa"/>
              <w:right w:w="75" w:type="dxa"/>
            </w:tcMar>
            <w:hideMark/>
          </w:tcPr>
          <w:p w14:paraId="73AB299F" w14:textId="77777777" w:rsidR="008B4354" w:rsidRPr="008E047A" w:rsidRDefault="008B4354" w:rsidP="00620CBD">
            <w:pPr>
              <w:spacing w:after="0" w:line="240" w:lineRule="auto"/>
              <w:ind w:left="709" w:right="709"/>
              <w:jc w:val="center"/>
              <w:rPr>
                <w:rFonts w:ascii="Verdana" w:eastAsia="Times New Roman" w:hAnsi="Verdana" w:cs="Segoe UI"/>
                <w:color w:val="333333"/>
                <w:sz w:val="20"/>
                <w:szCs w:val="20"/>
                <w:lang w:eastAsia="es-CO"/>
              </w:rPr>
            </w:pPr>
            <w:r w:rsidRPr="008E047A">
              <w:rPr>
                <w:rFonts w:ascii="Verdana" w:eastAsia="Times New Roman" w:hAnsi="Verdana" w:cs="Segoe UI"/>
                <w:color w:val="333333"/>
                <w:sz w:val="20"/>
                <w:szCs w:val="20"/>
                <w:lang w:eastAsia="es-CO"/>
              </w:rPr>
              <w:t>200</w:t>
            </w:r>
          </w:p>
        </w:tc>
      </w:tr>
    </w:tbl>
    <w:p w14:paraId="33843960"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p>
    <w:p w14:paraId="7299F3BC"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Capacidad de Organización no tiene asignación de puntaje en la fórmula porque su unidad de medida es en pesos colombianos y constituye un factor multiplicador de los demás factores.</w:t>
      </w:r>
    </w:p>
    <w:p w14:paraId="172867AA"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El proponente debe acreditar una Capacidad Residual superior o igual a la Capacidad Residual establecida en los Documentos del Proceso para el Proceso de Contratación.</w:t>
      </w:r>
    </w:p>
    <w:p w14:paraId="041D9BAF"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Por consiguiente, la Capacidad Residual del proponente es suficiente si:</w:t>
      </w:r>
    </w:p>
    <w:p w14:paraId="7EEA4184" w14:textId="77777777" w:rsidR="008B4354" w:rsidRPr="008E047A" w:rsidRDefault="008B4354" w:rsidP="008B4354">
      <w:pPr>
        <w:shd w:val="clear" w:color="auto" w:fill="FFFFFF"/>
        <w:spacing w:after="0" w:line="240" w:lineRule="auto"/>
        <w:ind w:left="709" w:right="709"/>
        <w:jc w:val="center"/>
        <w:rPr>
          <w:rFonts w:ascii="Verdana" w:eastAsia="Times New Roman" w:hAnsi="Verdana" w:cs="Times New Roman"/>
          <w:color w:val="333333"/>
          <w:sz w:val="20"/>
          <w:szCs w:val="20"/>
          <w:lang w:eastAsia="es-CO"/>
        </w:rPr>
      </w:pPr>
      <w:r w:rsidRPr="008E047A">
        <w:rPr>
          <w:rFonts w:ascii="Verdana" w:eastAsia="Times New Roman" w:hAnsi="Verdana" w:cs="Times New Roman"/>
          <w:i/>
          <w:iCs/>
          <w:color w:val="333333"/>
          <w:sz w:val="20"/>
          <w:szCs w:val="20"/>
          <w:lang w:eastAsia="es-CO"/>
        </w:rPr>
        <w:t>Capacidad Residual del proponente ≥ Capacidad Residual del Proceso de Contratación</w:t>
      </w:r>
    </w:p>
    <w:p w14:paraId="7BE066F3" w14:textId="77777777" w:rsidR="008B4354" w:rsidRPr="008E047A" w:rsidRDefault="008B4354" w:rsidP="008B4354">
      <w:pPr>
        <w:shd w:val="clear" w:color="auto" w:fill="FFFFFF"/>
        <w:spacing w:after="0" w:line="240" w:lineRule="auto"/>
        <w:ind w:left="709" w:right="709"/>
        <w:jc w:val="both"/>
        <w:rPr>
          <w:rFonts w:ascii="Verdana" w:eastAsia="Times New Roman" w:hAnsi="Verdana" w:cs="Times New Roman"/>
          <w:color w:val="333333"/>
          <w:sz w:val="20"/>
          <w:szCs w:val="20"/>
          <w:lang w:eastAsia="es-CO"/>
        </w:rPr>
      </w:pPr>
      <w:r w:rsidRPr="008E047A">
        <w:rPr>
          <w:rFonts w:ascii="Verdana" w:eastAsia="Times New Roman" w:hAnsi="Verdana" w:cs="Times New Roman"/>
          <w:color w:val="333333"/>
          <w:sz w:val="20"/>
          <w:szCs w:val="20"/>
          <w:lang w:eastAsia="es-CO"/>
        </w:rPr>
        <w:t>La Entidad Estatal debe calcular la Capacidad Residual del proponente de acuerdo con la metodología que defina Colombia Compra Eficiente, teniendo en cuenta los factores de: Experiencia (E), Capacidad Financiera (CF), Capacidad Técnica (CT), Capacidad de Organización (CO), y los saldos de los contratos en ejecución (SCE).</w:t>
      </w:r>
    </w:p>
    <w:p w14:paraId="6ADA7E2C" w14:textId="77777777" w:rsidR="008B4354" w:rsidRPr="00881D8A" w:rsidRDefault="008B4354" w:rsidP="008B4354">
      <w:pPr>
        <w:spacing w:after="0"/>
        <w:ind w:right="758"/>
        <w:jc w:val="both"/>
        <w:rPr>
          <w:rFonts w:ascii="Verdana" w:eastAsia="Calibri" w:hAnsi="Verdana" w:cs="Arial"/>
          <w:color w:val="000000"/>
          <w:sz w:val="20"/>
          <w:szCs w:val="20"/>
        </w:rPr>
      </w:pPr>
    </w:p>
    <w:p w14:paraId="5B274E9A" w14:textId="77777777" w:rsidR="008B4354" w:rsidRDefault="008B4354" w:rsidP="008B4354">
      <w:pPr>
        <w:spacing w:after="120" w:line="276" w:lineRule="auto"/>
        <w:ind w:firstLine="709"/>
        <w:jc w:val="both"/>
        <w:rPr>
          <w:rFonts w:ascii="Verdana" w:eastAsia="Arial" w:hAnsi="Verdana" w:cs="Arial"/>
        </w:rPr>
      </w:pPr>
      <w:r w:rsidRPr="00881D8A">
        <w:rPr>
          <w:rFonts w:ascii="Verdana" w:eastAsia="Calibri" w:hAnsi="Verdana" w:cs="Times New Roman"/>
        </w:rPr>
        <w:t xml:space="preserve">De acuerdo con lo anterior, el proponente que participe en un proceso de selección de una obra pública deberá acreditar la capacidad residual de </w:t>
      </w:r>
      <w:r w:rsidRPr="00881D8A">
        <w:rPr>
          <w:rFonts w:ascii="Verdana" w:eastAsia="Calibri" w:hAnsi="Verdana" w:cs="Times New Roman"/>
        </w:rPr>
        <w:lastRenderedPageBreak/>
        <w:t xml:space="preserve">contratación allegando para el efecto los documentos indicados en el </w:t>
      </w:r>
      <w:r w:rsidRPr="00881D8A">
        <w:rPr>
          <w:rFonts w:ascii="Verdana" w:eastAsia="Arial" w:hAnsi="Verdana" w:cs="Arial"/>
        </w:rPr>
        <w:t xml:space="preserve">2.2.1.1.1.6.4. del Decreto 1082 de 2015 antes descritos. </w:t>
      </w:r>
    </w:p>
    <w:p w14:paraId="0DFF4416" w14:textId="77777777" w:rsidR="008B4354" w:rsidRDefault="008B4354" w:rsidP="008B4354">
      <w:pPr>
        <w:spacing w:after="120" w:line="276" w:lineRule="auto"/>
        <w:ind w:firstLine="709"/>
        <w:jc w:val="both"/>
        <w:rPr>
          <w:rFonts w:ascii="Verdana" w:eastAsia="Calibri" w:hAnsi="Verdana" w:cs="Arial"/>
        </w:rPr>
      </w:pPr>
      <w:r w:rsidRPr="00180BA4">
        <w:rPr>
          <w:rFonts w:ascii="Verdana" w:eastAsia="Calibri" w:hAnsi="Verdana" w:cs="Arial"/>
        </w:rPr>
        <w:t>De conformidad con lo anterior, esta Agencia expidió la “Guía para Determinar y Verificar la Capacidad Residual del Proponente en los Procesos de Contratación de Obra Pública”. En este documento se establece, entre otras cuestiones, que a la entidad contratante le corresponde, primero, establecer la capacidad residual del proceso de contratación “CRPC” y, segundo, determinar si los proponentes cumplen con la capacidad residual del proceso de contratación, claro está, teniendo en cuenta la siguiente información aportada por el proponente: i) La lista de los Contratos en Ejecución, así como el valor y plazo de tales contratos. ii) La lista de los Contratos en Ejecución, suscritos por sociedades, consorcios o uniones temporales, en los cuales el proponente tenga participación, así como el valor y plazo de tales contratos. iii) El estado de resultados auditado que contiene el mejor ingreso operacional de los últimos cinco (5) años y el balance general auditado del último año, suscrito por el interesado o su repre</w:t>
      </w:r>
      <w:r>
        <w:rPr>
          <w:rFonts w:ascii="Verdana" w:eastAsia="Calibri" w:hAnsi="Verdana" w:cs="Arial"/>
        </w:rPr>
        <w:t xml:space="preserve">sentante </w:t>
      </w:r>
      <w:r w:rsidRPr="00180BA4">
        <w:rPr>
          <w:rFonts w:ascii="Verdana" w:eastAsia="Calibri" w:hAnsi="Verdana" w:cs="Arial"/>
        </w:rPr>
        <w:t>legal y el revisor fiscal si está obligado a tenerlo, o el auditor o contador si no está obligado a tener revisor fiscal. Si se trata de proponentes obligados a tener RUP, las Entidades Estatales solo deben solicitar como documento adicional el estado de resultados que contiene el mejor ingreso operacional de los últimos cinco (5) años puesto que la información de la liquidez se encuentra en el RUP.</w:t>
      </w:r>
    </w:p>
    <w:p w14:paraId="14E3C72D" w14:textId="77777777" w:rsidR="008B4354" w:rsidRDefault="008B4354" w:rsidP="008B4354">
      <w:pPr>
        <w:spacing w:after="120" w:line="276" w:lineRule="auto"/>
        <w:ind w:firstLine="709"/>
        <w:jc w:val="both"/>
        <w:rPr>
          <w:rFonts w:ascii="Verdana" w:eastAsia="Calibri" w:hAnsi="Verdana" w:cs="Arial"/>
        </w:rPr>
      </w:pPr>
      <w:r w:rsidRPr="00180BA4">
        <w:rPr>
          <w:rFonts w:ascii="Verdana" w:eastAsia="Calibri" w:hAnsi="Verdana" w:cs="Arial"/>
        </w:rPr>
        <w:t>Ahora bien, para lo primero, esto es, para establecer la capacidad residual del proceso de contratac</w:t>
      </w:r>
      <w:r>
        <w:rPr>
          <w:rFonts w:ascii="Verdana" w:eastAsia="Calibri" w:hAnsi="Verdana" w:cs="Arial"/>
        </w:rPr>
        <w:t xml:space="preserve">ión “CRPC”, </w:t>
      </w:r>
      <w:r w:rsidRPr="00180BA4">
        <w:rPr>
          <w:rFonts w:ascii="Verdana" w:eastAsia="Calibri" w:hAnsi="Verdana" w:cs="Arial"/>
        </w:rPr>
        <w:t>debe determinar</w:t>
      </w:r>
      <w:r>
        <w:rPr>
          <w:rFonts w:ascii="Verdana" w:eastAsia="Calibri" w:hAnsi="Verdana" w:cs="Arial"/>
        </w:rPr>
        <w:t>se</w:t>
      </w:r>
      <w:r w:rsidRPr="00180BA4">
        <w:rPr>
          <w:rFonts w:ascii="Verdana" w:eastAsia="Calibri" w:hAnsi="Verdana" w:cs="Arial"/>
        </w:rPr>
        <w:t xml:space="preserve"> si el plazo del contrato es superior a doce meses. Si no lo es, la CRPC equivale al presupuesto oficial estimado del Proceso de Contratación menos el anticipo o pago anticipado cuando haya lugar. Si lo es, equivale a la proporción lineal de 12 meses del presupuesto oficial estimado menos el anticipo o pago anticipado.</w:t>
      </w:r>
    </w:p>
    <w:p w14:paraId="015CD242" w14:textId="77777777" w:rsidR="008B4354" w:rsidRPr="00180BA4" w:rsidRDefault="008B4354" w:rsidP="008B4354">
      <w:pPr>
        <w:spacing w:after="120" w:line="276" w:lineRule="auto"/>
        <w:ind w:firstLine="709"/>
        <w:jc w:val="both"/>
        <w:rPr>
          <w:rFonts w:ascii="Verdana" w:eastAsia="Calibri" w:hAnsi="Verdana" w:cs="Arial"/>
        </w:rPr>
      </w:pPr>
      <w:r w:rsidRPr="00180BA4">
        <w:rPr>
          <w:rFonts w:ascii="Verdana" w:eastAsia="Calibri" w:hAnsi="Verdana" w:cs="Arial"/>
        </w:rPr>
        <w:t>Para lo segundo, es decir, para verificar que cada proponente cumple con la CRPC, la entidad pública debe verificar que la capacidad residual del proponente “CRP” sea igual o superior a la capacidad referida en el párrafo precedente. De todas formas, previamente debe establecer la CRP, con fundamento en los siguientes factores: i) experiencia “E”; ii) capacidad financiera “CF”; iii) capacidad técnica “CT”, iv) capacidad de organización “CO”; y v) los saldos de los contratos en ejecución “SCE”, según la siguiente fórmula:</w:t>
      </w:r>
    </w:p>
    <w:p w14:paraId="60FAD756" w14:textId="77777777" w:rsidR="008B4354" w:rsidRPr="000F60AB" w:rsidRDefault="008B4354" w:rsidP="008B4354">
      <w:pPr>
        <w:pStyle w:val="Prrafodelista"/>
        <w:rPr>
          <w:rFonts w:ascii="Verdana" w:eastAsia="Calibri" w:hAnsi="Verdana" w:cs="Arial"/>
        </w:rPr>
      </w:pPr>
    </w:p>
    <w:p w14:paraId="1223E247" w14:textId="77777777" w:rsidR="008B4354" w:rsidRPr="000F60AB" w:rsidRDefault="008B4354" w:rsidP="008B4354">
      <w:pPr>
        <w:pStyle w:val="Prrafodelista"/>
        <w:rPr>
          <w:rFonts w:ascii="Verdana" w:eastAsia="Calibri" w:hAnsi="Verdana" w:cs="Arial"/>
        </w:rPr>
      </w:pPr>
      <w:r w:rsidRPr="000F60AB">
        <w:rPr>
          <w:rFonts w:ascii="Verdana" w:hAnsi="Verdana"/>
          <w:noProof/>
          <w:sz w:val="20"/>
          <w:lang w:val="en-US"/>
        </w:rPr>
        <w:lastRenderedPageBreak/>
        <w:drawing>
          <wp:inline distT="0" distB="0" distL="0" distR="0" wp14:anchorId="53D4EE24" wp14:editId="2AC0C149">
            <wp:extent cx="4641315" cy="674846"/>
            <wp:effectExtent l="0" t="0" r="0" b="0"/>
            <wp:docPr id="2" name="image3.png" descr="Ico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descr="Icono&#10;&#10;Descripción generada automáticamente con confianza media"/>
                    <pic:cNvPicPr/>
                  </pic:nvPicPr>
                  <pic:blipFill>
                    <a:blip r:embed="rId12" cstate="print"/>
                    <a:stretch>
                      <a:fillRect/>
                    </a:stretch>
                  </pic:blipFill>
                  <pic:spPr>
                    <a:xfrm>
                      <a:off x="0" y="0"/>
                      <a:ext cx="4641315" cy="674846"/>
                    </a:xfrm>
                    <a:prstGeom prst="rect">
                      <a:avLst/>
                    </a:prstGeom>
                  </pic:spPr>
                </pic:pic>
              </a:graphicData>
            </a:graphic>
          </wp:inline>
        </w:drawing>
      </w:r>
    </w:p>
    <w:p w14:paraId="05AC692E" w14:textId="77777777" w:rsidR="008B4354" w:rsidRPr="000F60AB" w:rsidRDefault="008B4354" w:rsidP="008B4354">
      <w:pPr>
        <w:pStyle w:val="Prrafodelista"/>
        <w:rPr>
          <w:rFonts w:ascii="Verdana" w:eastAsia="Calibri" w:hAnsi="Verdana" w:cs="Arial"/>
        </w:rPr>
      </w:pPr>
    </w:p>
    <w:p w14:paraId="424BC3B5" w14:textId="77777777" w:rsidR="008B4354" w:rsidRDefault="008B4354" w:rsidP="008B4354">
      <w:pPr>
        <w:spacing w:after="120" w:line="276" w:lineRule="auto"/>
        <w:ind w:firstLine="709"/>
        <w:jc w:val="both"/>
        <w:rPr>
          <w:rFonts w:ascii="Verdana" w:eastAsia="Calibri" w:hAnsi="Verdana" w:cs="Arial"/>
        </w:rPr>
      </w:pPr>
      <w:r w:rsidRPr="00180BA4">
        <w:rPr>
          <w:rFonts w:ascii="Verdana" w:eastAsia="Calibri" w:hAnsi="Verdana" w:cs="Arial"/>
        </w:rPr>
        <w:t>A cada uno de estos factores se les debe asignar el siguiente puntaje máximo: i) “E” 120; ii) “CF” 40; y iii) “CT” 40. La “CO” no tiene asignación de puntaje en la fórmula, por un lado, porque su unidad de medida es en pesos colombianos “COP” y, por el otro, debido a que el mismo constituye un factor multiplicador de los demás factores en la fórmula. A continuación, se explicará, en términos generales, cómo calcular cada factor</w:t>
      </w:r>
      <w:r>
        <w:rPr>
          <w:rFonts w:ascii="Verdana" w:eastAsia="Calibri" w:hAnsi="Verdana" w:cs="Arial"/>
        </w:rPr>
        <w:t>:</w:t>
      </w:r>
    </w:p>
    <w:p w14:paraId="6F9FC0DB" w14:textId="77777777" w:rsidR="008B4354" w:rsidRDefault="008B4354" w:rsidP="008B4354">
      <w:pPr>
        <w:spacing w:after="120" w:line="276" w:lineRule="auto"/>
        <w:ind w:firstLine="709"/>
        <w:jc w:val="both"/>
        <w:rPr>
          <w:rFonts w:ascii="Verdana" w:eastAsia="Calibri" w:hAnsi="Verdana" w:cs="Arial"/>
        </w:rPr>
      </w:pPr>
      <w:r>
        <w:rPr>
          <w:rFonts w:ascii="Verdana" w:eastAsia="Calibri" w:hAnsi="Verdana" w:cs="Arial"/>
        </w:rPr>
        <w:t xml:space="preserve">i) </w:t>
      </w:r>
      <w:r w:rsidRPr="008C45F5">
        <w:rPr>
          <w:rFonts w:ascii="Verdana" w:eastAsia="Calibri" w:hAnsi="Verdana" w:cs="Arial"/>
          <w:i/>
          <w:iCs/>
        </w:rPr>
        <w:t xml:space="preserve">Capacidad financiera. </w:t>
      </w:r>
      <w:r w:rsidRPr="008C45F5">
        <w:rPr>
          <w:rFonts w:ascii="Verdana" w:eastAsia="Calibri" w:hAnsi="Verdana" w:cs="Arial"/>
        </w:rPr>
        <w:t>Se mide por el “índice de liquidez” y este, a su vez, corresponde al resultado de dividir el “activo corriente” sobre el “pasivo corriente”. El resultado puede ser calificado entre 20 y cuarenta puntos, según se explica en la Guía.</w:t>
      </w:r>
    </w:p>
    <w:p w14:paraId="5EB6840C" w14:textId="77777777" w:rsidR="008B4354" w:rsidRDefault="008B4354" w:rsidP="008B4354">
      <w:pPr>
        <w:spacing w:after="120" w:line="276" w:lineRule="auto"/>
        <w:ind w:firstLine="709"/>
        <w:jc w:val="both"/>
        <w:rPr>
          <w:rFonts w:ascii="Verdana" w:eastAsia="Calibri" w:hAnsi="Verdana" w:cs="Arial"/>
        </w:rPr>
      </w:pPr>
      <w:r w:rsidRPr="008C45F5">
        <w:rPr>
          <w:rFonts w:ascii="Verdana" w:eastAsia="Calibri" w:hAnsi="Verdana" w:cs="Arial"/>
        </w:rPr>
        <w:t>ii)</w:t>
      </w:r>
      <w:r>
        <w:rPr>
          <w:rFonts w:ascii="Verdana" w:eastAsia="Calibri" w:hAnsi="Verdana" w:cs="Arial"/>
          <w:i/>
          <w:iCs/>
        </w:rPr>
        <w:t xml:space="preserve"> </w:t>
      </w:r>
      <w:r w:rsidRPr="008C45F5">
        <w:rPr>
          <w:rFonts w:ascii="Verdana" w:eastAsia="Calibri" w:hAnsi="Verdana" w:cs="Arial"/>
          <w:i/>
          <w:iCs/>
        </w:rPr>
        <w:t>Capacidad técnica.</w:t>
      </w:r>
      <w:r w:rsidRPr="008C45F5">
        <w:rPr>
          <w:rFonts w:ascii="Verdana" w:eastAsia="Calibri" w:hAnsi="Verdana" w:cs="Arial"/>
        </w:rPr>
        <w:t xml:space="preserve"> Se determina teniendo en cuenta el número de socios y profesionales de la arquitectura, ingeniería y geología vinculados mediante una relación laboral o contractual. El puntaje a asignar, según la Guía, oscila entre 20 y 40 puntos. Para tales fines, se aclara que el proponente debe diligenciar el Anexo 2 de la “Guía para Determinar y Verificar la Capacidad Residual del Proponente en los Procesos de Contratación de Obra Pública”</w:t>
      </w:r>
      <w:r>
        <w:rPr>
          <w:rFonts w:ascii="Verdana" w:eastAsia="Calibri" w:hAnsi="Verdana" w:cs="Arial"/>
        </w:rPr>
        <w:t>.</w:t>
      </w:r>
    </w:p>
    <w:p w14:paraId="1AF4AF2E" w14:textId="77777777" w:rsidR="008B4354" w:rsidRPr="008C45F5" w:rsidRDefault="008B4354" w:rsidP="008B4354">
      <w:pPr>
        <w:spacing w:after="120" w:line="276" w:lineRule="auto"/>
        <w:ind w:firstLine="709"/>
        <w:jc w:val="both"/>
        <w:rPr>
          <w:rFonts w:ascii="Verdana" w:eastAsia="Calibri" w:hAnsi="Verdana" w:cs="Arial"/>
        </w:rPr>
      </w:pPr>
      <w:r>
        <w:rPr>
          <w:rFonts w:ascii="Verdana" w:eastAsia="Calibri" w:hAnsi="Verdana" w:cs="Arial"/>
        </w:rPr>
        <w:t xml:space="preserve">iii) </w:t>
      </w:r>
      <w:r w:rsidRPr="008C45F5">
        <w:rPr>
          <w:rFonts w:ascii="Verdana" w:eastAsia="Calibri" w:hAnsi="Verdana" w:cs="Arial"/>
          <w:i/>
          <w:iCs/>
        </w:rPr>
        <w:t>Capacidad de organización.</w:t>
      </w:r>
      <w:r w:rsidRPr="008C45F5">
        <w:rPr>
          <w:rFonts w:ascii="Verdana" w:eastAsia="Calibri" w:hAnsi="Verdana" w:cs="Arial"/>
        </w:rPr>
        <w:t xml:space="preserve"> Corresponde a los ingresos operacionales, según el siguiente cuadro:</w:t>
      </w:r>
    </w:p>
    <w:p w14:paraId="37F143FD" w14:textId="77777777" w:rsidR="008B4354" w:rsidRPr="000F60AB" w:rsidRDefault="008B4354" w:rsidP="008B4354">
      <w:pPr>
        <w:pStyle w:val="Prrafodelista"/>
        <w:spacing w:after="120" w:line="276" w:lineRule="auto"/>
        <w:ind w:left="1440"/>
        <w:jc w:val="both"/>
        <w:rPr>
          <w:rFonts w:ascii="Verdana" w:eastAsia="Calibri" w:hAnsi="Verdana" w:cs="Arial"/>
          <w:color w:val="7030A0"/>
        </w:rPr>
      </w:pPr>
    </w:p>
    <w:tbl>
      <w:tblPr>
        <w:tblStyle w:val="Tablaconcuadrcula"/>
        <w:tblW w:w="7522" w:type="dxa"/>
        <w:tblInd w:w="1317" w:type="dxa"/>
        <w:tblLook w:val="04A0" w:firstRow="1" w:lastRow="0" w:firstColumn="1" w:lastColumn="0" w:noHBand="0" w:noVBand="1"/>
      </w:tblPr>
      <w:tblGrid>
        <w:gridCol w:w="2481"/>
        <w:gridCol w:w="5041"/>
      </w:tblGrid>
      <w:tr w:rsidR="008B4354" w:rsidRPr="000F60AB" w14:paraId="73DC46A7" w14:textId="77777777" w:rsidTr="00620CBD">
        <w:tc>
          <w:tcPr>
            <w:tcW w:w="2481" w:type="dxa"/>
            <w:shd w:val="clear" w:color="auto" w:fill="4472C4" w:themeFill="accent1"/>
            <w:vAlign w:val="center"/>
          </w:tcPr>
          <w:p w14:paraId="3DCA174E" w14:textId="77777777" w:rsidR="008B4354" w:rsidRPr="00DE6FBD" w:rsidRDefault="008B4354" w:rsidP="00620CBD">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Años de información financiera</w:t>
            </w:r>
          </w:p>
        </w:tc>
        <w:tc>
          <w:tcPr>
            <w:tcW w:w="5041" w:type="dxa"/>
            <w:shd w:val="clear" w:color="auto" w:fill="4472C4" w:themeFill="accent1"/>
            <w:vAlign w:val="center"/>
          </w:tcPr>
          <w:p w14:paraId="0CECCF60" w14:textId="77777777" w:rsidR="008B4354" w:rsidRPr="00DE6FBD" w:rsidRDefault="008B4354" w:rsidP="00620CBD">
            <w:pPr>
              <w:pStyle w:val="Prrafodelista"/>
              <w:spacing w:line="276" w:lineRule="auto"/>
              <w:ind w:left="0"/>
              <w:jc w:val="center"/>
              <w:rPr>
                <w:rFonts w:ascii="Verdana" w:eastAsia="Calibri" w:hAnsi="Verdana" w:cs="Arial"/>
                <w:color w:val="FFFFFF" w:themeColor="background1"/>
                <w:sz w:val="20"/>
                <w:szCs w:val="20"/>
              </w:rPr>
            </w:pPr>
            <w:r w:rsidRPr="00DE6FBD">
              <w:rPr>
                <w:rFonts w:ascii="Verdana" w:eastAsia="Calibri" w:hAnsi="Verdana" w:cs="Arial"/>
                <w:color w:val="FFFFFF" w:themeColor="background1"/>
                <w:sz w:val="20"/>
                <w:szCs w:val="20"/>
              </w:rPr>
              <w:t>Capacidad de Organización (CO)</w:t>
            </w:r>
          </w:p>
        </w:tc>
      </w:tr>
      <w:tr w:rsidR="008B4354" w:rsidRPr="000F60AB" w14:paraId="694172CC" w14:textId="77777777" w:rsidTr="00620CBD">
        <w:tc>
          <w:tcPr>
            <w:tcW w:w="2481" w:type="dxa"/>
            <w:vAlign w:val="center"/>
          </w:tcPr>
          <w:p w14:paraId="648F5805"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Cinco (5) años o más</w:t>
            </w:r>
          </w:p>
        </w:tc>
        <w:tc>
          <w:tcPr>
            <w:tcW w:w="5041" w:type="dxa"/>
            <w:vAlign w:val="center"/>
          </w:tcPr>
          <w:p w14:paraId="6A30B29F"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rPr>
              <w:t>Mayor ingreso operacional de los últimos cinco (5) años.</w:t>
            </w:r>
          </w:p>
        </w:tc>
      </w:tr>
      <w:tr w:rsidR="008B4354" w:rsidRPr="000F60AB" w14:paraId="0A07FB37" w14:textId="77777777" w:rsidTr="00620CBD">
        <w:tc>
          <w:tcPr>
            <w:tcW w:w="2481" w:type="dxa"/>
            <w:vAlign w:val="center"/>
          </w:tcPr>
          <w:p w14:paraId="0EDDF1AD"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Entre uno (1) y cinco (5) años</w:t>
            </w:r>
          </w:p>
        </w:tc>
        <w:tc>
          <w:tcPr>
            <w:tcW w:w="5041" w:type="dxa"/>
            <w:vAlign w:val="center"/>
          </w:tcPr>
          <w:p w14:paraId="738D2D19"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Mayor ingreso operacional de los años de vida del oferente</w:t>
            </w:r>
          </w:p>
        </w:tc>
      </w:tr>
      <w:tr w:rsidR="008B4354" w:rsidRPr="000F60AB" w14:paraId="3A169865" w14:textId="77777777" w:rsidTr="00620CBD">
        <w:tc>
          <w:tcPr>
            <w:tcW w:w="2481" w:type="dxa"/>
            <w:vAlign w:val="center"/>
          </w:tcPr>
          <w:p w14:paraId="6F3D2C71"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Menos de un (1) año</w:t>
            </w:r>
          </w:p>
        </w:tc>
        <w:tc>
          <w:tcPr>
            <w:tcW w:w="5041" w:type="dxa"/>
            <w:vAlign w:val="center"/>
          </w:tcPr>
          <w:p w14:paraId="18DEE57D" w14:textId="77777777" w:rsidR="008B4354" w:rsidRPr="00DE6FBD" w:rsidRDefault="008B4354" w:rsidP="00620CBD">
            <w:pPr>
              <w:pStyle w:val="Prrafodelista"/>
              <w:spacing w:line="276" w:lineRule="auto"/>
              <w:ind w:left="0"/>
              <w:rPr>
                <w:rFonts w:ascii="Verdana" w:eastAsia="Calibri" w:hAnsi="Verdana" w:cs="Arial"/>
                <w:sz w:val="20"/>
                <w:szCs w:val="20"/>
              </w:rPr>
            </w:pPr>
            <w:r w:rsidRPr="00DE6FBD">
              <w:rPr>
                <w:rFonts w:ascii="Verdana" w:eastAsia="Calibri" w:hAnsi="Verdana" w:cs="Arial"/>
                <w:sz w:val="20"/>
                <w:szCs w:val="20"/>
                <w:lang w:val="es-CO"/>
              </w:rPr>
              <w:t>USD 125.000 (Liquidados a la tasa de cambio determinada por el Ministerio de Comercio, Industria y Turismo cada 2 años para efectos del umbral del beneficio de las Mipyme.)</w:t>
            </w:r>
          </w:p>
        </w:tc>
      </w:tr>
    </w:tbl>
    <w:p w14:paraId="0FE12613" w14:textId="77777777" w:rsidR="008B4354" w:rsidRDefault="008B4354" w:rsidP="008B4354">
      <w:pPr>
        <w:spacing w:after="0" w:line="276" w:lineRule="auto"/>
        <w:jc w:val="both"/>
        <w:rPr>
          <w:rFonts w:ascii="Verdana" w:eastAsia="Calibri" w:hAnsi="Verdana" w:cs="Arial"/>
          <w:i/>
          <w:iCs/>
        </w:rPr>
      </w:pPr>
    </w:p>
    <w:p w14:paraId="4B7E500A" w14:textId="77777777" w:rsidR="008B4354" w:rsidRDefault="008B4354" w:rsidP="008B4354">
      <w:pPr>
        <w:spacing w:after="120" w:line="276" w:lineRule="auto"/>
        <w:ind w:firstLine="709"/>
        <w:jc w:val="both"/>
        <w:rPr>
          <w:rFonts w:ascii="Verdana" w:eastAsia="Calibri" w:hAnsi="Verdana" w:cs="Arial"/>
        </w:rPr>
      </w:pPr>
      <w:r>
        <w:rPr>
          <w:rFonts w:ascii="Verdana" w:eastAsia="Calibri" w:hAnsi="Verdana" w:cs="Arial"/>
          <w:i/>
          <w:iCs/>
        </w:rPr>
        <w:lastRenderedPageBreak/>
        <w:t xml:space="preserve">iv) </w:t>
      </w:r>
      <w:r w:rsidRPr="008C45F5">
        <w:rPr>
          <w:rFonts w:ascii="Verdana" w:eastAsia="Calibri" w:hAnsi="Verdana" w:cs="Arial"/>
          <w:i/>
          <w:iCs/>
        </w:rPr>
        <w:t xml:space="preserve">Saldos de los contratos en ejecución. </w:t>
      </w:r>
      <w:r w:rsidRPr="008C45F5">
        <w:rPr>
          <w:rFonts w:ascii="Verdana" w:eastAsia="Calibri" w:hAnsi="Verdana" w:cs="Arial"/>
        </w:rPr>
        <w:t>Debe hacerse linealmente y calculando una “ejecución diaria equivalente al valor del contrato dividido por el plazo del contrato expresado en días”. El resultado obtenido se debe multiplicar por el número de días pendientes para cumplir el plazo del contrato. Si el número de días por ejecutar un contrato es superior a 360 días, solo se tendrá en cuenta la proporción lineal de 12 meses.</w:t>
      </w:r>
    </w:p>
    <w:p w14:paraId="47D15EC2" w14:textId="77777777" w:rsidR="008B4354" w:rsidRDefault="008B4354" w:rsidP="008B4354">
      <w:pPr>
        <w:spacing w:after="120" w:line="276" w:lineRule="auto"/>
        <w:ind w:firstLine="709"/>
        <w:jc w:val="both"/>
        <w:rPr>
          <w:rFonts w:ascii="Verdana" w:eastAsia="Calibri" w:hAnsi="Verdana" w:cs="Arial"/>
        </w:rPr>
      </w:pPr>
      <w:r>
        <w:rPr>
          <w:rFonts w:ascii="Verdana" w:eastAsia="Calibri" w:hAnsi="Verdana" w:cs="Arial"/>
        </w:rPr>
        <w:t xml:space="preserve">v) </w:t>
      </w:r>
      <w:r w:rsidRPr="008C45F5">
        <w:rPr>
          <w:rFonts w:ascii="Verdana" w:eastAsia="Calibri" w:hAnsi="Verdana" w:cs="Arial"/>
          <w:i/>
          <w:iCs/>
        </w:rPr>
        <w:t>Experiencia.</w:t>
      </w:r>
      <w:r w:rsidRPr="008C45F5">
        <w:rPr>
          <w:rFonts w:ascii="Verdana" w:eastAsia="Calibri" w:hAnsi="Verdana" w:cs="Arial"/>
        </w:rPr>
        <w:t xml:space="preserve"> Para los efectos de la capacidad residual −no para la experiencia general que debe acreditar el contratista según la Matriz 1−, corresponde de un lado, a la relación entre “el valor total en pesos de los contratos </w:t>
      </w:r>
      <w:r w:rsidRPr="00DA3ABB">
        <w:rPr>
          <w:rFonts w:ascii="Verdana" w:eastAsia="Calibri" w:hAnsi="Verdana" w:cs="Arial"/>
          <w:i/>
          <w:iCs/>
        </w:rPr>
        <w:t>relacionados con la actividad de la construcción</w:t>
      </w:r>
      <w:r w:rsidRPr="008C45F5">
        <w:rPr>
          <w:rFonts w:ascii="Verdana" w:eastAsia="Calibri" w:hAnsi="Verdana" w:cs="Arial"/>
        </w:rPr>
        <w:t xml:space="preserve"> inscritos por el proponente en el Registro Único de Proponentes “RUP” en el segmento 72 […] del Clasificador de Bienes y Servicios”, y del otro, al presupuesto oficial estimado del Proceso de Contratación. La relación indica el número de veces que el proponente ha ejecutado contratos equivalentes a la cuantía del proceso de contratación.</w:t>
      </w:r>
    </w:p>
    <w:p w14:paraId="462D0B1F" w14:textId="77777777" w:rsidR="008B4354" w:rsidRPr="00842E4E" w:rsidRDefault="008B4354" w:rsidP="008B4354">
      <w:pPr>
        <w:spacing w:after="12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t xml:space="preserve">Ahora bien, teniendo en cuenta estas precisiones </w:t>
      </w:r>
      <w:r w:rsidRPr="00842E4E">
        <w:rPr>
          <w:rFonts w:ascii="Verdana" w:eastAsia="Calibri" w:hAnsi="Verdana" w:cs="Arial"/>
          <w:bCs/>
          <w:color w:val="000000" w:themeColor="text1"/>
        </w:rPr>
        <w:t xml:space="preserve">es importante señalar que la presencia de códigos del segmento UNSPSC 72 en el RUP no permite, por sí sola, concluir que los contratos registrados correspondan a obras civiles, por lo que su sola aparición puede generar interpretaciones erróneas si no se revisa el objeto contractual real. La clasificación UNSPSC es un insumo administrativo, pero no define la naturaleza jurídica del contrato ni determina automáticamente su incidencia en la capacidad residual. En este sentido, para efectos de capacidad residual, la normativa colombiana establece que únicamente los contratos de obra civiles, ya sea celebrados con entidades públicas o privadas. El segmento 72 aplica para servicios de construcción, entre los que no están incluidas la interventoría y la consultoría, </w:t>
      </w:r>
      <w:r>
        <w:rPr>
          <w:rFonts w:ascii="Verdana" w:eastAsia="Calibri" w:hAnsi="Verdana" w:cs="Arial"/>
          <w:bCs/>
          <w:color w:val="000000" w:themeColor="text1"/>
        </w:rPr>
        <w:t xml:space="preserve">pues estos </w:t>
      </w:r>
      <w:r w:rsidRPr="00842E4E">
        <w:rPr>
          <w:rFonts w:ascii="Verdana" w:eastAsia="Calibri" w:hAnsi="Verdana" w:cs="Arial"/>
          <w:bCs/>
          <w:color w:val="000000" w:themeColor="text1"/>
        </w:rPr>
        <w:t>corresponde</w:t>
      </w:r>
      <w:r>
        <w:rPr>
          <w:rFonts w:ascii="Verdana" w:eastAsia="Calibri" w:hAnsi="Verdana" w:cs="Arial"/>
          <w:bCs/>
          <w:color w:val="000000" w:themeColor="text1"/>
        </w:rPr>
        <w:t>n a</w:t>
      </w:r>
      <w:r w:rsidRPr="00842E4E">
        <w:rPr>
          <w:rFonts w:ascii="Verdana" w:eastAsia="Calibri" w:hAnsi="Verdana" w:cs="Arial"/>
          <w:bCs/>
          <w:color w:val="000000" w:themeColor="text1"/>
        </w:rPr>
        <w:t xml:space="preserve"> un código diferente. </w:t>
      </w:r>
    </w:p>
    <w:p w14:paraId="49108B83" w14:textId="77777777" w:rsidR="008B4354" w:rsidRPr="00842E4E" w:rsidRDefault="008B4354" w:rsidP="008B4354">
      <w:pPr>
        <w:spacing w:after="120" w:line="276" w:lineRule="auto"/>
        <w:ind w:firstLine="708"/>
        <w:jc w:val="both"/>
        <w:rPr>
          <w:rFonts w:ascii="Verdana" w:eastAsia="Calibri" w:hAnsi="Verdana" w:cs="Arial"/>
          <w:bCs/>
          <w:color w:val="000000" w:themeColor="text1"/>
        </w:rPr>
      </w:pPr>
      <w:r w:rsidRPr="00842E4E">
        <w:rPr>
          <w:rFonts w:ascii="Verdana" w:eastAsia="Calibri" w:hAnsi="Verdana" w:cs="Arial"/>
          <w:bCs/>
          <w:color w:val="000000" w:themeColor="text1"/>
        </w:rPr>
        <w:t>Esto significa que los contratos de consultoría o de interventoría, aun cuando estén clasificados en el segmento 72, no afectan la capacidad residual, porque no implican ejecución directa de obra ni comprometen la capacidad operativa del proponente en términos de maquinaria, personal de obra o cronogramas constructivos. En este aspecto, se destaca que los contratos de consultoría o interventoría deben estar ubicados en</w:t>
      </w:r>
      <w:r>
        <w:rPr>
          <w:rFonts w:ascii="Verdana" w:eastAsia="Calibri" w:hAnsi="Verdana" w:cs="Arial"/>
          <w:bCs/>
          <w:color w:val="000000" w:themeColor="text1"/>
        </w:rPr>
        <w:t xml:space="preserve"> los</w:t>
      </w:r>
      <w:r w:rsidRPr="00842E4E">
        <w:rPr>
          <w:rFonts w:ascii="Verdana" w:eastAsia="Calibri" w:hAnsi="Verdana" w:cs="Arial"/>
          <w:bCs/>
          <w:color w:val="000000" w:themeColor="text1"/>
        </w:rPr>
        <w:t xml:space="preserve"> segmento</w:t>
      </w:r>
      <w:r>
        <w:rPr>
          <w:rFonts w:ascii="Verdana" w:eastAsia="Calibri" w:hAnsi="Verdana" w:cs="Arial"/>
          <w:bCs/>
          <w:color w:val="000000" w:themeColor="text1"/>
        </w:rPr>
        <w:t>s</w:t>
      </w:r>
      <w:r w:rsidRPr="00842E4E">
        <w:rPr>
          <w:rFonts w:ascii="Verdana" w:eastAsia="Calibri" w:hAnsi="Verdana" w:cs="Arial"/>
          <w:bCs/>
          <w:color w:val="000000" w:themeColor="text1"/>
        </w:rPr>
        <w:t xml:space="preserve"> 80 y 81, y sería un error tenerlos en cuenta para efectos del cálculo de la capacidad residual. </w:t>
      </w:r>
    </w:p>
    <w:p w14:paraId="1AC505F8" w14:textId="77777777" w:rsidR="008B4354" w:rsidRDefault="008B4354" w:rsidP="00FC01C6">
      <w:pPr>
        <w:spacing w:after="0" w:line="276" w:lineRule="auto"/>
        <w:ind w:firstLine="708"/>
        <w:jc w:val="both"/>
        <w:rPr>
          <w:rFonts w:ascii="Verdana" w:eastAsia="Calibri" w:hAnsi="Verdana" w:cs="Arial"/>
          <w:bCs/>
          <w:color w:val="000000" w:themeColor="text1"/>
        </w:rPr>
      </w:pPr>
      <w:r w:rsidRPr="00842E4E">
        <w:rPr>
          <w:rFonts w:ascii="Verdana" w:eastAsia="Calibri" w:hAnsi="Verdana" w:cs="Arial"/>
          <w:bCs/>
          <w:color w:val="000000" w:themeColor="text1"/>
        </w:rPr>
        <w:lastRenderedPageBreak/>
        <w:t>En ese sentido, debido a que lo relevante es que el objeto del contrato contemple la ejecución de obras civiles, no es válido afirmar que, para calcular la capacidad residual deban tener en cuenta los contratos de consultoría o interventoría, erróneamente inscritos en el segmento 72. Lo relevante es el objeto del contrato, no el segmento en el que se inscribe. De este modo, la interpretación correcta es que la presencia de códigos del segmento 72 en el RUP no genera presunción de obra. La entidad debe basarse en el objeto contractual y no</w:t>
      </w:r>
      <w:r>
        <w:rPr>
          <w:rFonts w:ascii="Verdana" w:eastAsia="Calibri" w:hAnsi="Verdana" w:cs="Arial"/>
          <w:bCs/>
          <w:color w:val="000000" w:themeColor="text1"/>
        </w:rPr>
        <w:t xml:space="preserve"> solo</w:t>
      </w:r>
      <w:r w:rsidRPr="00842E4E">
        <w:rPr>
          <w:rFonts w:ascii="Verdana" w:eastAsia="Calibri" w:hAnsi="Verdana" w:cs="Arial"/>
          <w:bCs/>
          <w:color w:val="000000" w:themeColor="text1"/>
        </w:rPr>
        <w:t xml:space="preserve"> en la clasificación UNSPSC para decidir si un contrato afecta o no la capacidad residual. Este criterio asegura coherencia técnica, evita restricciones indebidas a la participación y mantiene alineado el análisis con el marco normativo vigente</w:t>
      </w:r>
      <w:r>
        <w:rPr>
          <w:rFonts w:ascii="Verdana" w:eastAsia="Calibri" w:hAnsi="Verdana" w:cs="Arial"/>
          <w:bCs/>
          <w:color w:val="000000" w:themeColor="text1"/>
        </w:rPr>
        <w:t xml:space="preserve"> sobre el cálculo de la capacidad residual</w:t>
      </w:r>
      <w:r w:rsidRPr="00842E4E">
        <w:rPr>
          <w:rFonts w:ascii="Verdana" w:eastAsia="Calibri" w:hAnsi="Verdana" w:cs="Arial"/>
          <w:bCs/>
          <w:color w:val="000000" w:themeColor="text1"/>
        </w:rPr>
        <w:t xml:space="preserve">. </w:t>
      </w:r>
    </w:p>
    <w:p w14:paraId="1382CBB8" w14:textId="77777777" w:rsidR="008B4354" w:rsidRPr="00842E4E" w:rsidRDefault="008B4354" w:rsidP="00FC01C6">
      <w:pPr>
        <w:spacing w:after="0" w:line="276" w:lineRule="auto"/>
        <w:ind w:firstLine="708"/>
        <w:jc w:val="both"/>
        <w:rPr>
          <w:rFonts w:ascii="Verdana" w:eastAsia="Calibri" w:hAnsi="Verdana" w:cs="Arial"/>
          <w:bCs/>
          <w:color w:val="000000" w:themeColor="text1"/>
        </w:rPr>
      </w:pPr>
    </w:p>
    <w:p w14:paraId="1BCE1668" w14:textId="77777777" w:rsidR="008B4354" w:rsidRPr="00881D8A" w:rsidRDefault="008B4354" w:rsidP="008B4354">
      <w:pPr>
        <w:spacing w:after="120" w:line="276" w:lineRule="auto"/>
        <w:jc w:val="both"/>
        <w:rPr>
          <w:rFonts w:ascii="Verdana" w:eastAsia="Calibri" w:hAnsi="Verdana" w:cs="Times New Roman"/>
        </w:rPr>
      </w:pPr>
      <w:r>
        <w:rPr>
          <w:rFonts w:ascii="Verdana" w:eastAsia="Calibri" w:hAnsi="Verdana" w:cs="Times New Roman"/>
        </w:rPr>
        <w:t>ii. L</w:t>
      </w:r>
      <w:r w:rsidRPr="00881D8A">
        <w:rPr>
          <w:rFonts w:ascii="Verdana" w:eastAsia="Calibri" w:hAnsi="Verdana" w:cs="Times New Roman"/>
        </w:rPr>
        <w:t xml:space="preserve">a Capacidad Residual es un requisito habilitante que está sujeto a la posibilidad de solicitarle aclaración, con el fin de esclarecer dudas sobre aspectos de la información presentada por el proponente y, de igual forma, está sujeta a la posibilidad de subsanar la ausencia de requisitos, siempre que se cumpla con los límites temporales y materiales, es decir, que lo omitido no sea un factor que afecte la asignación de puntaje, que sea la prueba de una circunstancia o hecho que ocurrió con anterioridad al cierre del proceso y que no existe disposición legal o en el pliego de condiciones que prohíba su subsanación. </w:t>
      </w:r>
    </w:p>
    <w:p w14:paraId="4C3E4EF9" w14:textId="77777777" w:rsidR="008B4354" w:rsidRPr="00881D8A" w:rsidRDefault="008B4354" w:rsidP="008B4354">
      <w:pPr>
        <w:spacing w:after="120" w:line="276" w:lineRule="auto"/>
        <w:ind w:firstLine="709"/>
        <w:jc w:val="both"/>
        <w:rPr>
          <w:rFonts w:ascii="Verdana" w:eastAsia="Calibri" w:hAnsi="Verdana" w:cs="Times New Roman"/>
        </w:rPr>
      </w:pPr>
      <w:r w:rsidRPr="00881D8A">
        <w:rPr>
          <w:rFonts w:ascii="Verdana" w:eastAsia="Calibri" w:hAnsi="Verdana" w:cs="Times New Roman"/>
        </w:rPr>
        <w:t xml:space="preserve">Es importante indicar que, la Capacidad Residual de contratación únicamente es exigido para los contratos de obra pública; por lo tanto, en los Documentos del Proceso de obra pública, la Entidad Estatal debe establecer un requisito adicional a los requisitos habilitantes como lo es la Capacidad Residual o K de Contratación, la cual deben cumplir los interesados en participar en un Proceso de Contratación.   </w:t>
      </w:r>
    </w:p>
    <w:p w14:paraId="0D689355" w14:textId="77777777" w:rsidR="008B4354" w:rsidRPr="008E047A" w:rsidRDefault="008B4354" w:rsidP="008B4354">
      <w:pPr>
        <w:spacing w:after="120" w:line="276" w:lineRule="auto"/>
        <w:ind w:firstLine="709"/>
        <w:jc w:val="both"/>
        <w:rPr>
          <w:rFonts w:ascii="Verdana" w:eastAsia="Calibri" w:hAnsi="Verdana" w:cs="Arial"/>
        </w:rPr>
      </w:pPr>
      <w:r w:rsidRPr="00881D8A">
        <w:rPr>
          <w:rFonts w:ascii="Verdana" w:eastAsia="Calibri" w:hAnsi="Verdana" w:cs="Times New Roman"/>
        </w:rPr>
        <w:t>De esta manera las entidades estatales deberán establecer en los documentos del proceso la forma en la cual los proponentes deben acreditar los indicadores exigidos que no están incluidos en el RUP, así como lo dispone la Guía para determinar y verificar los requisitos habilitantes en los procesos de contratación expedida por la Agencia Nacional de Contratación Pública – Colombia Compra Eficiente</w:t>
      </w:r>
      <w:r w:rsidRPr="00881D8A">
        <w:rPr>
          <w:rFonts w:ascii="Verdana" w:eastAsia="Calibri" w:hAnsi="Verdana" w:cs="Times New Roman"/>
          <w:vertAlign w:val="superscript"/>
        </w:rPr>
        <w:footnoteReference w:id="1"/>
      </w:r>
      <w:r w:rsidRPr="00881D8A">
        <w:rPr>
          <w:rFonts w:ascii="Verdana" w:eastAsia="Calibri" w:hAnsi="Verdana" w:cs="Times New Roman"/>
        </w:rPr>
        <w:t xml:space="preserve">. La capacidad residual de contratación es uno de </w:t>
      </w:r>
      <w:r w:rsidRPr="00881D8A">
        <w:rPr>
          <w:rFonts w:ascii="Verdana" w:eastAsia="Calibri" w:hAnsi="Verdana" w:cs="Times New Roman"/>
        </w:rPr>
        <w:lastRenderedPageBreak/>
        <w:t xml:space="preserve">aquellos requisitos no acreditables a través del RUP, de tal manera que la entidad estatal fijará las condiciones y requisitos en el pliego de condiciones o en los documentos del proceso a través del cual el proponente deberá ceñirse al cumplimiento </w:t>
      </w:r>
      <w:r w:rsidRPr="00881D8A">
        <w:rPr>
          <w:rFonts w:ascii="Verdana" w:eastAsia="Calibri" w:hAnsi="Verdana" w:cs="Arial"/>
        </w:rPr>
        <w:t>y allegar toda información ordenada, en los términos y la forma en que hayan sido señalados, con el fin de que la entidad pueda calcular la Capacidad Residual del proponente y verificar si cumple o no con la requerida en el Proceso de Contratación que adelanta.</w:t>
      </w:r>
    </w:p>
    <w:p w14:paraId="7FE8D46E" w14:textId="77777777" w:rsidR="008B4354" w:rsidRPr="00881D8A" w:rsidRDefault="008B4354" w:rsidP="008B4354">
      <w:pPr>
        <w:spacing w:after="0" w:line="276" w:lineRule="auto"/>
        <w:ind w:right="51" w:firstLine="709"/>
        <w:jc w:val="both"/>
        <w:rPr>
          <w:rFonts w:ascii="Verdana" w:eastAsia="Calibri" w:hAnsi="Verdana" w:cs="Arial"/>
        </w:rPr>
      </w:pPr>
      <w:r w:rsidRPr="00881D8A">
        <w:rPr>
          <w:rFonts w:ascii="Verdana" w:eastAsia="Calibri" w:hAnsi="Verdana" w:cs="Arial"/>
        </w:rPr>
        <w:t>Ahora bien, es importante pasar al a</w:t>
      </w:r>
      <w:r w:rsidRPr="00881D8A">
        <w:rPr>
          <w:rFonts w:ascii="Verdana" w:eastAsia="Calibri" w:hAnsi="Verdana" w:cs="Times New Roman"/>
        </w:rPr>
        <w:t xml:space="preserve">nálisis frente al rechazo de ofertas respecto a la información solicitada para el cálculo de la capacidad residual. En este sentido, debe indicarse que </w:t>
      </w:r>
      <w:r w:rsidRPr="00881D8A">
        <w:rPr>
          <w:rFonts w:ascii="Verdana" w:eastAsia="Calibri" w:hAnsi="Verdana" w:cs="Ari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w:t>
      </w:r>
      <w:r>
        <w:rPr>
          <w:rFonts w:ascii="Verdana" w:eastAsia="Calibri" w:hAnsi="Verdana" w:cs="Arial"/>
        </w:rPr>
        <w:t>, por el solo hecho de que se haya presentado un registro incorrecto del RUP, en el sentido de tener en cuenta servicios de consultoría o interventoría en el segmento 72</w:t>
      </w:r>
      <w:r w:rsidRPr="00881D8A">
        <w:rPr>
          <w:rFonts w:ascii="Verdana" w:eastAsia="Calibri" w:hAnsi="Verdana" w:cs="Arial"/>
        </w:rPr>
        <w:t>. Sobre el particular, el Consejo de Estado</w:t>
      </w:r>
      <w:r w:rsidRPr="00881D8A">
        <w:rPr>
          <w:rFonts w:ascii="Verdana" w:eastAsia="Calibri" w:hAnsi="Verdana" w:cs="Arial"/>
          <w:vertAlign w:val="superscript"/>
        </w:rPr>
        <w:footnoteReference w:id="2"/>
      </w:r>
      <w:r w:rsidRPr="00881D8A">
        <w:rPr>
          <w:rFonts w:ascii="Verdana" w:eastAsia="Calibri" w:hAnsi="Verdana" w:cs="Arial"/>
        </w:rPr>
        <w:t xml:space="preserve"> señala:</w:t>
      </w:r>
    </w:p>
    <w:p w14:paraId="222A74C7" w14:textId="77777777" w:rsidR="008B4354" w:rsidRPr="00881D8A" w:rsidRDefault="008B4354" w:rsidP="008B4354">
      <w:pPr>
        <w:spacing w:after="0" w:line="276" w:lineRule="auto"/>
        <w:ind w:right="51" w:firstLine="709"/>
        <w:jc w:val="both"/>
        <w:rPr>
          <w:rFonts w:ascii="Verdana" w:eastAsia="Calibri" w:hAnsi="Verdana" w:cs="Arial"/>
        </w:rPr>
      </w:pPr>
    </w:p>
    <w:p w14:paraId="51CEB0A9" w14:textId="77777777" w:rsidR="008B4354" w:rsidRPr="00881D8A" w:rsidRDefault="008B4354" w:rsidP="008B4354">
      <w:pPr>
        <w:spacing w:after="0" w:line="240" w:lineRule="auto"/>
        <w:ind w:left="709" w:right="709"/>
        <w:contextualSpacing/>
        <w:jc w:val="both"/>
        <w:rPr>
          <w:rFonts w:ascii="Verdana" w:eastAsia="Calibri" w:hAnsi="Verdana" w:cs="Arial"/>
          <w:sz w:val="20"/>
          <w:szCs w:val="20"/>
          <w:lang w:val="es-ES"/>
        </w:rPr>
      </w:pPr>
      <w:r w:rsidRPr="00881D8A">
        <w:rPr>
          <w:rFonts w:ascii="Verdana" w:eastAsia="Calibri" w:hAnsi="Verdana" w:cs="Arial"/>
          <w:sz w:val="20"/>
          <w:szCs w:val="20"/>
          <w:lang w:val="es-ES"/>
        </w:rPr>
        <w:t>“Quiere con esto destacar la Sala que las causales de rechazo de las propuestas pueden ser legales y por lo mismo generan el efecto del descarte o exclusión de la oferta ope legis,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015C3058" w14:textId="77777777" w:rsidR="008B4354" w:rsidRPr="00881D8A" w:rsidRDefault="008B4354" w:rsidP="008B4354">
      <w:pPr>
        <w:spacing w:after="0" w:line="276" w:lineRule="auto"/>
        <w:jc w:val="both"/>
        <w:rPr>
          <w:rFonts w:ascii="Verdana" w:eastAsia="Calibri" w:hAnsi="Verdana" w:cs="Arial"/>
          <w:lang w:val="es-ES"/>
        </w:rPr>
      </w:pPr>
    </w:p>
    <w:p w14:paraId="48B7577E" w14:textId="77777777" w:rsidR="008B4354" w:rsidRPr="00881D8A" w:rsidRDefault="008B4354" w:rsidP="008B4354">
      <w:pPr>
        <w:spacing w:after="0" w:line="276" w:lineRule="auto"/>
        <w:ind w:firstLine="708"/>
        <w:jc w:val="both"/>
        <w:rPr>
          <w:rFonts w:ascii="Verdana" w:eastAsia="Calibri" w:hAnsi="Verdana" w:cs="Arial"/>
        </w:rPr>
      </w:pPr>
      <w:r w:rsidRPr="00881D8A">
        <w:rPr>
          <w:rFonts w:ascii="Verdana" w:eastAsia="Calibri" w:hAnsi="Verdana" w:cs="Arial"/>
        </w:rPr>
        <w:t xml:space="preserve">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w:t>
      </w:r>
      <w:r w:rsidRPr="00881D8A">
        <w:rPr>
          <w:rFonts w:ascii="Verdana" w:eastAsia="Calibri" w:hAnsi="Verdana" w:cs="Arial"/>
        </w:rPr>
        <w:lastRenderedPageBreak/>
        <w:t>mediante la cual se pretenda ampliar su alcance. Al respecto, el Consejo de Estado</w:t>
      </w:r>
      <w:r w:rsidRPr="00881D8A">
        <w:rPr>
          <w:rFonts w:ascii="Verdana" w:eastAsia="Calibri" w:hAnsi="Verdana" w:cs="Arial"/>
          <w:vertAlign w:val="superscript"/>
        </w:rPr>
        <w:footnoteReference w:id="3"/>
      </w:r>
      <w:r w:rsidRPr="00881D8A">
        <w:rPr>
          <w:rFonts w:ascii="Verdana" w:eastAsia="Calibri" w:hAnsi="Verdana" w:cs="Arial"/>
        </w:rPr>
        <w:t xml:space="preserve"> sostuvo: </w:t>
      </w:r>
    </w:p>
    <w:p w14:paraId="3CA4471B" w14:textId="77777777" w:rsidR="008B4354" w:rsidRPr="00881D8A" w:rsidRDefault="008B4354" w:rsidP="008B4354">
      <w:pPr>
        <w:spacing w:after="0" w:line="276" w:lineRule="auto"/>
        <w:jc w:val="both"/>
        <w:rPr>
          <w:rFonts w:ascii="Verdana" w:eastAsia="Calibri" w:hAnsi="Verdana" w:cs="Arial"/>
          <w:lang w:val="es-ES"/>
        </w:rPr>
      </w:pPr>
    </w:p>
    <w:p w14:paraId="05489CF2" w14:textId="77777777" w:rsidR="008B4354" w:rsidRPr="00881D8A" w:rsidRDefault="008B4354" w:rsidP="008B4354">
      <w:pPr>
        <w:spacing w:after="0" w:line="240" w:lineRule="auto"/>
        <w:ind w:left="709" w:right="709"/>
        <w:jc w:val="both"/>
        <w:rPr>
          <w:rFonts w:ascii="Verdana" w:eastAsia="Calibri" w:hAnsi="Verdana" w:cs="Arial"/>
          <w:sz w:val="20"/>
          <w:szCs w:val="20"/>
          <w:lang w:val="es-ES"/>
        </w:rPr>
      </w:pPr>
      <w:r w:rsidRPr="00881D8A">
        <w:rPr>
          <w:rFonts w:ascii="Verdana" w:eastAsia="Calibri" w:hAnsi="Verdana" w:cs="Arial"/>
          <w:sz w:val="20"/>
          <w:szCs w:val="20"/>
          <w:lang w:val="es-ES"/>
        </w:rPr>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4DB9A3FD" w14:textId="77777777" w:rsidR="008B4354" w:rsidRPr="00881D8A" w:rsidRDefault="008B4354" w:rsidP="008B4354">
      <w:pPr>
        <w:spacing w:after="0" w:line="276" w:lineRule="auto"/>
        <w:ind w:left="720"/>
        <w:contextualSpacing/>
        <w:jc w:val="both"/>
        <w:rPr>
          <w:rFonts w:ascii="Verdana" w:eastAsia="Calibri" w:hAnsi="Verdana" w:cs="Arial"/>
          <w:lang w:val="es-ES"/>
        </w:rPr>
      </w:pPr>
    </w:p>
    <w:p w14:paraId="65D503F7" w14:textId="77777777" w:rsidR="008B4354" w:rsidRPr="00881D8A" w:rsidRDefault="008B4354" w:rsidP="008B4354">
      <w:pPr>
        <w:spacing w:after="120" w:line="276" w:lineRule="auto"/>
        <w:ind w:firstLine="709"/>
        <w:jc w:val="both"/>
        <w:rPr>
          <w:rFonts w:ascii="Verdana" w:eastAsia="Calibri" w:hAnsi="Verdana" w:cs="Arial"/>
        </w:rPr>
      </w:pPr>
      <w:r w:rsidRPr="00881D8A">
        <w:rPr>
          <w:rFonts w:ascii="Verdana" w:eastAsia="Calibri" w:hAnsi="Verdana" w:cs="Arial"/>
        </w:rPr>
        <w:t xml:space="preserve">Las causales de rechazo de ofertas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w:t>
      </w:r>
    </w:p>
    <w:p w14:paraId="3805F984" w14:textId="77777777" w:rsidR="008B4354" w:rsidRDefault="008B4354" w:rsidP="008B4354">
      <w:pPr>
        <w:spacing w:after="120" w:line="276" w:lineRule="auto"/>
        <w:ind w:firstLine="709"/>
        <w:jc w:val="both"/>
        <w:rPr>
          <w:rFonts w:ascii="Verdana" w:eastAsia="Calibri" w:hAnsi="Verdana" w:cs="Arial"/>
        </w:rPr>
      </w:pPr>
      <w:r w:rsidRPr="00881D8A">
        <w:rPr>
          <w:rFonts w:ascii="Verdana" w:eastAsia="Calibri" w:hAnsi="Verdana" w:cs="Arial"/>
        </w:rPr>
        <w:t xml:space="preserve">De conformidad con esta regla, el rechazo de la oferta procede cuando en ejercicio de la potestad verificadora se advierta que luego de agotar la posibilidad de subsanación o aclaración, el proponente dejó de incluir información que afecta la capacidad residual. 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w:t>
      </w:r>
    </w:p>
    <w:p w14:paraId="58420E2D" w14:textId="77777777" w:rsidR="008B4354" w:rsidRPr="00881D8A" w:rsidRDefault="008B4354" w:rsidP="008B4354">
      <w:pPr>
        <w:spacing w:after="0" w:line="276" w:lineRule="auto"/>
        <w:ind w:firstLine="709"/>
        <w:jc w:val="both"/>
        <w:rPr>
          <w:rFonts w:ascii="Verdana" w:eastAsia="Calibri" w:hAnsi="Verdana" w:cs="Arial"/>
        </w:rPr>
      </w:pPr>
      <w:r w:rsidRPr="00881D8A">
        <w:rPr>
          <w:rFonts w:ascii="Verdana" w:eastAsia="Calibri" w:hAnsi="Verdana" w:cs="Arial"/>
        </w:rPr>
        <w:t xml:space="preserve">De acuerdo con lo anterior, las entidades públicas como directoras de sus procesos de contratación son autónomas en estipular en sus pliegos de condiciones o documentos equivalentes, las causales de rechazo que considere </w:t>
      </w:r>
      <w:r w:rsidRPr="00881D8A">
        <w:rPr>
          <w:rFonts w:ascii="Verdana" w:eastAsia="Calibri" w:hAnsi="Verdana" w:cs="Arial"/>
        </w:rPr>
        <w:lastRenderedPageBreak/>
        <w:t xml:space="preserve">pertinentes, siempre que no contradigan la Ley ni los principios que rigen en materia de contratación, en los casos en que los requisitos habilitantes, entre ellos el referido a la capacidad residual de contratación, no reúnan las exigencias descritas en los citados pliegos de condiciones o documentos equivalentes. Sobre el particular, debe tenerse en cuenta que el parágrafo 1 del artículo 5 de la Ley 1150 de 2007 </w:t>
      </w:r>
      <w:r>
        <w:rPr>
          <w:rFonts w:ascii="Verdana" w:eastAsia="Calibri" w:hAnsi="Verdana" w:cs="Arial"/>
        </w:rPr>
        <w:t>dispone</w:t>
      </w:r>
      <w:r w:rsidRPr="00881D8A">
        <w:rPr>
          <w:rFonts w:ascii="Verdana" w:eastAsia="Calibri" w:hAnsi="Verdana" w:cs="Arial"/>
        </w:rPr>
        <w:t xml:space="preserve">:  </w:t>
      </w:r>
    </w:p>
    <w:p w14:paraId="7926AA4A" w14:textId="77777777" w:rsidR="008B4354" w:rsidRPr="00881D8A" w:rsidRDefault="008B4354" w:rsidP="008B4354">
      <w:pPr>
        <w:spacing w:after="0" w:line="276" w:lineRule="auto"/>
        <w:ind w:firstLine="709"/>
        <w:jc w:val="both"/>
        <w:rPr>
          <w:rFonts w:ascii="Verdana" w:eastAsia="Calibri" w:hAnsi="Verdana" w:cs="Arial"/>
        </w:rPr>
      </w:pPr>
    </w:p>
    <w:p w14:paraId="5B5FBFD5" w14:textId="77777777" w:rsidR="008B4354" w:rsidRPr="00881D8A" w:rsidRDefault="008B4354" w:rsidP="008B4354">
      <w:pPr>
        <w:spacing w:after="0" w:line="240" w:lineRule="auto"/>
        <w:ind w:left="709" w:right="709"/>
        <w:contextualSpacing/>
        <w:jc w:val="both"/>
        <w:rPr>
          <w:rFonts w:ascii="Verdana" w:eastAsia="Times New Roman" w:hAnsi="Verdana" w:cs="Arial"/>
          <w:spacing w:val="2"/>
          <w:sz w:val="21"/>
          <w:szCs w:val="21"/>
          <w:lang w:eastAsia="es-CO"/>
        </w:rPr>
      </w:pPr>
      <w:r w:rsidRPr="00881D8A">
        <w:rPr>
          <w:rFonts w:ascii="Verdana" w:eastAsia="Calibri" w:hAnsi="Verdana" w:cs="Arial"/>
          <w:bCs/>
          <w:sz w:val="21"/>
          <w:szCs w:val="21"/>
        </w:rPr>
        <w:t>“</w:t>
      </w:r>
      <w:r w:rsidRPr="00881D8A">
        <w:rPr>
          <w:rFonts w:ascii="Verdana" w:eastAsia="Times New Roman" w:hAnsi="Verdana" w:cs="Arial"/>
          <w:spacing w:val="2"/>
          <w:sz w:val="20"/>
          <w:szCs w:val="20"/>
          <w:lang w:eastAsia="es-CO"/>
        </w:rPr>
        <w:t>PARÁGRAFO 1o.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deberán ser solicitados hasta el momento previo a su realización</w:t>
      </w:r>
      <w:r w:rsidRPr="00881D8A">
        <w:rPr>
          <w:rFonts w:ascii="Verdana" w:eastAsia="Calibri" w:hAnsi="Verdana" w:cs="Arial"/>
          <w:bCs/>
          <w:sz w:val="20"/>
          <w:szCs w:val="20"/>
        </w:rPr>
        <w:t>”</w:t>
      </w:r>
      <w:r w:rsidRPr="00881D8A">
        <w:rPr>
          <w:rFonts w:ascii="Verdana" w:eastAsia="Times New Roman" w:hAnsi="Verdana" w:cs="Arial"/>
          <w:spacing w:val="2"/>
          <w:sz w:val="20"/>
          <w:szCs w:val="20"/>
          <w:lang w:eastAsia="es-CO"/>
        </w:rPr>
        <w:t>.</w:t>
      </w:r>
    </w:p>
    <w:p w14:paraId="034F3E67" w14:textId="77777777" w:rsidR="008B4354" w:rsidRPr="00881D8A" w:rsidRDefault="008B4354" w:rsidP="008B4354">
      <w:pPr>
        <w:spacing w:after="0" w:line="276" w:lineRule="auto"/>
        <w:contextualSpacing/>
        <w:jc w:val="both"/>
        <w:rPr>
          <w:rFonts w:ascii="Verdana" w:eastAsia="Times New Roman" w:hAnsi="Verdana" w:cs="Arial"/>
          <w:spacing w:val="2"/>
          <w:lang w:eastAsia="es-CO"/>
        </w:rPr>
      </w:pPr>
    </w:p>
    <w:p w14:paraId="121997BD" w14:textId="77777777" w:rsidR="008B4354" w:rsidRDefault="008B4354" w:rsidP="008B4354">
      <w:pPr>
        <w:spacing w:after="120" w:line="276" w:lineRule="auto"/>
        <w:ind w:firstLine="709"/>
        <w:jc w:val="both"/>
        <w:rPr>
          <w:rFonts w:ascii="Verdana" w:eastAsia="Calibri" w:hAnsi="Verdana" w:cs="Arial"/>
          <w:lang w:val="es-ES"/>
        </w:rPr>
      </w:pPr>
      <w:r w:rsidRPr="00881D8A">
        <w:rPr>
          <w:rFonts w:ascii="Verdana" w:eastAsia="Calibri" w:hAnsi="Verdana" w:cs="Arial"/>
          <w:lang w:val="es-ES"/>
        </w:rPr>
        <w:t>Por lo tanto, si bien la administración cuenta con un espacio significativo de discrecionalidad al momento de elaborar los pliegos de condiciones, ella se encuentra delimitada por los fines y principios de la contratación estatal. En este entendimiento, la administración no puede establecer en los pliegos de condiciones causales de rechazo que no tengan un fundamento legal o constitucional, y que carezcan de razonabilidad y proporcionalidad en relación con el objeto a contratar.</w:t>
      </w:r>
      <w:r>
        <w:rPr>
          <w:rFonts w:ascii="Verdana" w:eastAsia="Calibri" w:hAnsi="Verdana" w:cs="Arial"/>
          <w:lang w:val="es-ES"/>
        </w:rPr>
        <w:t xml:space="preserve"> </w:t>
      </w:r>
    </w:p>
    <w:p w14:paraId="7ADEE87A" w14:textId="77777777" w:rsidR="008B4354" w:rsidRDefault="008B4354" w:rsidP="008B4354">
      <w:pPr>
        <w:spacing w:after="120" w:line="276" w:lineRule="auto"/>
        <w:ind w:firstLine="709"/>
        <w:jc w:val="both"/>
        <w:rPr>
          <w:rFonts w:ascii="Verdana" w:eastAsia="Calibri" w:hAnsi="Verdana" w:cs="Arial"/>
          <w:color w:val="000000" w:themeColor="text1"/>
          <w:lang w:val="es-ES"/>
        </w:rPr>
      </w:pPr>
      <w:r>
        <w:rPr>
          <w:rFonts w:ascii="Verdana" w:eastAsia="Calibri" w:hAnsi="Verdana" w:cs="Arial"/>
          <w:lang w:val="es-ES"/>
        </w:rPr>
        <w:t>De este modo,</w:t>
      </w:r>
      <w:bookmarkEnd w:id="1"/>
      <w:r>
        <w:rPr>
          <w:rFonts w:ascii="Verdana" w:eastAsia="Calibri" w:hAnsi="Verdana" w:cs="Arial"/>
          <w:lang w:val="es-ES"/>
        </w:rPr>
        <w:t xml:space="preserve"> la </w:t>
      </w:r>
      <w:r w:rsidRPr="00D97F05">
        <w:rPr>
          <w:rFonts w:ascii="Verdana" w:eastAsia="Calibri" w:hAnsi="Verdana" w:cs="Arial"/>
          <w:color w:val="000000" w:themeColor="text1"/>
          <w:lang w:val="es-ES"/>
        </w:rPr>
        <w:t xml:space="preserve">proporcionalidad en la configuración de causales de rechazo exige que cada motivo para excluir una oferta esté justificado por una necesidad real del proceso y guarde </w:t>
      </w:r>
      <w:r>
        <w:rPr>
          <w:rFonts w:ascii="Verdana" w:eastAsia="Calibri" w:hAnsi="Verdana" w:cs="Arial"/>
          <w:color w:val="000000" w:themeColor="text1"/>
          <w:lang w:val="es-ES"/>
        </w:rPr>
        <w:t xml:space="preserve">congruencia </w:t>
      </w:r>
      <w:r w:rsidRPr="00D97F05">
        <w:rPr>
          <w:rFonts w:ascii="Verdana" w:eastAsia="Calibri" w:hAnsi="Verdana" w:cs="Arial"/>
          <w:color w:val="000000" w:themeColor="text1"/>
          <w:lang w:val="es-ES"/>
        </w:rPr>
        <w:t xml:space="preserve">con la finalidad del contrato. No basta con que la entidad quiera “ordenar” o “depurar” el procedimiento; debe demostrar que la causal responde a un riesgo concreto, que es idónea para mitigarlo y que no existen medidas menos restrictivas para garantizar la selección objetiva. En otras palabras, una causal de rechazo solo es legítima cuando evita un impacto relevante en la competencia, la transparencia o la correcta ejecución contractual, y no cuando </w:t>
      </w:r>
      <w:r>
        <w:rPr>
          <w:rFonts w:ascii="Verdana" w:eastAsia="Calibri" w:hAnsi="Verdana" w:cs="Arial"/>
          <w:color w:val="000000" w:themeColor="text1"/>
          <w:lang w:val="es-ES"/>
        </w:rPr>
        <w:t xml:space="preserve">aplique </w:t>
      </w:r>
      <w:r w:rsidRPr="00D97F05">
        <w:rPr>
          <w:rFonts w:ascii="Verdana" w:eastAsia="Calibri" w:hAnsi="Verdana" w:cs="Arial"/>
          <w:color w:val="000000" w:themeColor="text1"/>
          <w:lang w:val="es-ES"/>
        </w:rPr>
        <w:t>como un filtro excesivo o innecesario que limita la participación.</w:t>
      </w:r>
    </w:p>
    <w:p w14:paraId="548997B7" w14:textId="77777777" w:rsidR="008B4354" w:rsidRPr="00881D8A" w:rsidRDefault="008B4354" w:rsidP="008B4354">
      <w:pPr>
        <w:spacing w:after="120" w:line="276" w:lineRule="auto"/>
        <w:ind w:firstLine="709"/>
        <w:jc w:val="both"/>
        <w:rPr>
          <w:rFonts w:ascii="Verdana" w:eastAsia="Calibri" w:hAnsi="Verdana" w:cs="Times New Roman"/>
        </w:rPr>
      </w:pPr>
      <w:r>
        <w:rPr>
          <w:rFonts w:ascii="Verdana" w:eastAsia="Calibri" w:hAnsi="Verdana" w:cs="Arial"/>
          <w:color w:val="000000" w:themeColor="text1"/>
          <w:lang w:val="es-ES"/>
        </w:rPr>
        <w:t xml:space="preserve">A modo de ejemplo, </w:t>
      </w:r>
      <w:r>
        <w:rPr>
          <w:rFonts w:ascii="Verdana" w:eastAsia="Calibri" w:hAnsi="Verdana" w:cs="Arial"/>
          <w:szCs w:val="20"/>
          <w:lang w:val="es-MX"/>
        </w:rPr>
        <w:t>se destaca e</w:t>
      </w:r>
      <w:r w:rsidRPr="00881D8A">
        <w:rPr>
          <w:rFonts w:ascii="Verdana" w:eastAsia="Calibri" w:hAnsi="Verdana" w:cs="Arial"/>
          <w:szCs w:val="20"/>
          <w:lang w:val="es-MX"/>
        </w:rPr>
        <w:t xml:space="preserve">l numeral 3.10 del documento base de obra de licitación para obra pública de infraestructura de transporte –versión 4 establece </w:t>
      </w:r>
      <w:r w:rsidRPr="00881D8A">
        <w:rPr>
          <w:rFonts w:ascii="Verdana" w:eastAsia="Calibri" w:hAnsi="Verdana" w:cs="Arial"/>
          <w:szCs w:val="20"/>
        </w:rPr>
        <w:t xml:space="preserve">como requisito habilitante la capacidad residual. En este documento </w:t>
      </w:r>
      <w:r w:rsidRPr="00881D8A">
        <w:rPr>
          <w:rFonts w:ascii="Verdana" w:eastAsia="Calibri" w:hAnsi="Verdana" w:cs="Arial"/>
          <w:szCs w:val="20"/>
        </w:rPr>
        <w:lastRenderedPageBreak/>
        <w:t xml:space="preserve">tipo, </w:t>
      </w:r>
      <w:r w:rsidRPr="00881D8A">
        <w:rPr>
          <w:rFonts w:ascii="Verdana" w:eastAsia="Calibri" w:hAnsi="Verdana" w:cs="Arial"/>
          <w:szCs w:val="20"/>
          <w:lang w:val="es-MX"/>
        </w:rPr>
        <w:t>al menos tres causales de rechazo del numeral 1.15 se relacionan con la capacidad residual como requisito habilitante, esto es, los literales E, H y X. Estas causales disponen lo siguiente:</w:t>
      </w:r>
    </w:p>
    <w:p w14:paraId="3D8E2A03" w14:textId="77777777" w:rsidR="008B4354" w:rsidRPr="00881D8A" w:rsidRDefault="008B4354" w:rsidP="008B4354">
      <w:pPr>
        <w:spacing w:after="0"/>
        <w:ind w:left="709" w:right="709"/>
        <w:jc w:val="both"/>
        <w:rPr>
          <w:rFonts w:ascii="Verdana" w:eastAsia="Calibri" w:hAnsi="Verdana" w:cs="Arial"/>
          <w:b/>
          <w:bCs/>
          <w:sz w:val="21"/>
          <w:szCs w:val="21"/>
        </w:rPr>
      </w:pPr>
    </w:p>
    <w:p w14:paraId="11EE8976" w14:textId="77777777" w:rsidR="008B4354" w:rsidRPr="0043201C" w:rsidRDefault="008B4354" w:rsidP="008B4354">
      <w:pPr>
        <w:ind w:right="709" w:firstLine="708"/>
        <w:rPr>
          <w:rFonts w:ascii="Verdana" w:eastAsia="Aptos" w:hAnsi="Verdana" w:cs="Times New Roman"/>
          <w:b/>
          <w:bCs/>
          <w:sz w:val="20"/>
          <w:szCs w:val="20"/>
        </w:rPr>
      </w:pPr>
      <w:bookmarkStart w:id="2" w:name="_Toc176242637"/>
      <w:r w:rsidRPr="00A17904">
        <w:rPr>
          <w:rFonts w:ascii="Verdana" w:eastAsia="Aptos" w:hAnsi="Verdana" w:cs="Times New Roman"/>
          <w:b/>
          <w:bCs/>
          <w:sz w:val="20"/>
          <w:szCs w:val="20"/>
        </w:rPr>
        <w:t xml:space="preserve">“1.15 CAUSALES </w:t>
      </w:r>
      <w:r w:rsidRPr="0043201C">
        <w:rPr>
          <w:rFonts w:ascii="Verdana" w:eastAsia="Aptos" w:hAnsi="Verdana" w:cs="Times New Roman"/>
          <w:b/>
          <w:bCs/>
          <w:sz w:val="20"/>
          <w:szCs w:val="20"/>
        </w:rPr>
        <w:t>DE RECHAZO</w:t>
      </w:r>
      <w:bookmarkEnd w:id="2"/>
    </w:p>
    <w:p w14:paraId="071C3B94" w14:textId="77777777" w:rsidR="008B4354" w:rsidRPr="0043201C" w:rsidRDefault="008B4354" w:rsidP="008B4354">
      <w:pPr>
        <w:spacing w:after="120" w:line="240" w:lineRule="auto"/>
        <w:ind w:left="709" w:right="709"/>
        <w:rPr>
          <w:rFonts w:ascii="Verdana" w:eastAsia="Aptos" w:hAnsi="Verdana" w:cs="Times New Roman"/>
          <w:sz w:val="20"/>
          <w:szCs w:val="20"/>
          <w:lang w:val="es-MX"/>
        </w:rPr>
      </w:pPr>
      <w:r w:rsidRPr="0043201C">
        <w:rPr>
          <w:rFonts w:ascii="Verdana" w:eastAsia="Aptos" w:hAnsi="Verdana" w:cs="Times New Roman"/>
          <w:sz w:val="20"/>
          <w:szCs w:val="20"/>
          <w:lang w:val="es-MX"/>
        </w:rPr>
        <w:t>Son causales de rechazo de las propuestas las siguientes [Las entidades no podrán incluir causales de rechazo distintas a las señaladas en la presente sección]:</w:t>
      </w:r>
    </w:p>
    <w:p w14:paraId="612649B9" w14:textId="77777777" w:rsidR="008B4354" w:rsidRPr="00A17904" w:rsidRDefault="008B4354" w:rsidP="008B4354">
      <w:pPr>
        <w:spacing w:after="120" w:line="240" w:lineRule="auto"/>
        <w:ind w:left="709" w:right="709"/>
        <w:rPr>
          <w:rFonts w:ascii="Verdana" w:eastAsia="Aptos" w:hAnsi="Verdana" w:cs="Times New Roman"/>
          <w:sz w:val="20"/>
          <w:szCs w:val="20"/>
          <w:lang w:val="es-MX"/>
        </w:rPr>
      </w:pPr>
      <w:r w:rsidRPr="0043201C">
        <w:rPr>
          <w:rFonts w:ascii="Verdana" w:eastAsia="Aptos" w:hAnsi="Verdana" w:cs="Times New Roman"/>
          <w:sz w:val="20"/>
          <w:szCs w:val="20"/>
          <w:lang w:val="es-MX"/>
        </w:rPr>
        <w:t>(…)</w:t>
      </w:r>
    </w:p>
    <w:p w14:paraId="14E71773" w14:textId="77777777" w:rsidR="008B4354" w:rsidRPr="00A17904" w:rsidRDefault="008B4354" w:rsidP="008B4354">
      <w:pPr>
        <w:numPr>
          <w:ilvl w:val="0"/>
          <w:numId w:val="18"/>
        </w:numPr>
        <w:spacing w:after="120" w:line="240" w:lineRule="auto"/>
        <w:ind w:right="709"/>
        <w:contextualSpacing/>
        <w:jc w:val="both"/>
        <w:rPr>
          <w:rFonts w:ascii="Verdana" w:eastAsia="Arial" w:hAnsi="Verdana" w:cs="Arial"/>
          <w:sz w:val="20"/>
          <w:szCs w:val="20"/>
          <w:lang w:val="es-MX"/>
        </w:rPr>
      </w:pPr>
      <w:r w:rsidRPr="00A17904">
        <w:rPr>
          <w:rFonts w:ascii="Verdana" w:eastAsia="Arial" w:hAnsi="Verdana" w:cs="Arial"/>
          <w:sz w:val="20"/>
          <w:szCs w:val="20"/>
          <w:lang w:val="es-MX"/>
        </w:rPr>
        <w:t>Que al Proponente se le haya requerido con el propósito de subsanar o aclarar o aportar un documento de la propuesta y no lo efectúe dentro del plazo indicado o no lo realice correctamente o de acuerdo con lo solicitado, siempre que la subsanación, aclaración o aporte requerido sea necesario para cumplir con un requisito habilitante en los términos establecidos en la sección 1.6 del Documento Base.</w:t>
      </w:r>
    </w:p>
    <w:p w14:paraId="007B5712" w14:textId="77777777" w:rsidR="008B4354" w:rsidRPr="00A17904" w:rsidRDefault="008B4354" w:rsidP="008B4354">
      <w:pPr>
        <w:spacing w:after="120" w:line="240" w:lineRule="auto"/>
        <w:ind w:left="709" w:right="709" w:firstLine="283"/>
        <w:jc w:val="both"/>
        <w:rPr>
          <w:rFonts w:ascii="Verdana" w:eastAsia="Arial" w:hAnsi="Verdana" w:cs="Arial"/>
          <w:sz w:val="20"/>
          <w:szCs w:val="20"/>
          <w:lang w:val="es-MX"/>
        </w:rPr>
      </w:pPr>
      <w:r w:rsidRPr="00A17904">
        <w:rPr>
          <w:rFonts w:ascii="Verdana" w:eastAsia="Arial" w:hAnsi="Verdana" w:cs="Arial"/>
          <w:sz w:val="20"/>
          <w:szCs w:val="20"/>
          <w:lang w:val="es-MX"/>
        </w:rPr>
        <w:t>(…)</w:t>
      </w:r>
    </w:p>
    <w:p w14:paraId="16C7FB2C" w14:textId="77777777" w:rsidR="008B4354" w:rsidRPr="00A17904" w:rsidRDefault="008B4354" w:rsidP="008B4354">
      <w:pPr>
        <w:numPr>
          <w:ilvl w:val="0"/>
          <w:numId w:val="19"/>
        </w:numPr>
        <w:spacing w:after="120" w:line="240" w:lineRule="auto"/>
        <w:ind w:right="709"/>
        <w:contextualSpacing/>
        <w:jc w:val="both"/>
        <w:rPr>
          <w:rFonts w:ascii="Verdana" w:eastAsia="Arial" w:hAnsi="Verdana" w:cs="Arial"/>
          <w:sz w:val="20"/>
          <w:szCs w:val="20"/>
          <w:lang w:val="es-MX"/>
        </w:rPr>
      </w:pPr>
      <w:r w:rsidRPr="00A17904">
        <w:rPr>
          <w:rFonts w:ascii="Verdana" w:eastAsia="Arial" w:hAnsi="Verdana" w:cs="Arial"/>
          <w:sz w:val="20"/>
          <w:szCs w:val="20"/>
          <w:lang w:val="es-MX"/>
        </w:rPr>
        <w:t>Que el proponente aporte información inexacta sobre la cual pueda existir una posible falsedad en los términos de la sección 1.11 del Documento Base.</w:t>
      </w:r>
    </w:p>
    <w:p w14:paraId="10FB9237" w14:textId="77777777" w:rsidR="008B4354" w:rsidRPr="00A17904" w:rsidRDefault="008B4354" w:rsidP="008B4354">
      <w:pPr>
        <w:spacing w:after="120" w:line="240" w:lineRule="auto"/>
        <w:ind w:left="1040" w:right="709"/>
        <w:jc w:val="both"/>
        <w:rPr>
          <w:rFonts w:ascii="Verdana" w:eastAsia="Arial" w:hAnsi="Verdana" w:cs="Arial"/>
          <w:sz w:val="20"/>
          <w:szCs w:val="20"/>
          <w:lang w:val="es-MX"/>
        </w:rPr>
      </w:pPr>
      <w:r w:rsidRPr="00A17904">
        <w:rPr>
          <w:rFonts w:ascii="Verdana" w:eastAsia="Arial" w:hAnsi="Verdana" w:cs="Arial"/>
          <w:sz w:val="20"/>
          <w:szCs w:val="20"/>
          <w:lang w:val="es-MX"/>
        </w:rPr>
        <w:t>(…)</w:t>
      </w:r>
    </w:p>
    <w:p w14:paraId="1E25150C" w14:textId="77777777" w:rsidR="008B4354" w:rsidRPr="00A17904" w:rsidRDefault="008B4354" w:rsidP="008B4354">
      <w:pPr>
        <w:numPr>
          <w:ilvl w:val="0"/>
          <w:numId w:val="20"/>
        </w:numPr>
        <w:spacing w:after="120" w:line="240" w:lineRule="auto"/>
        <w:ind w:right="709"/>
        <w:contextualSpacing/>
        <w:jc w:val="both"/>
        <w:rPr>
          <w:rFonts w:ascii="Verdana" w:eastAsia="Arial" w:hAnsi="Verdana" w:cs="Arial"/>
          <w:sz w:val="20"/>
          <w:szCs w:val="20"/>
          <w:lang w:val="es-MX"/>
        </w:rPr>
      </w:pPr>
      <w:r w:rsidRPr="00A17904">
        <w:rPr>
          <w:rFonts w:ascii="Verdana" w:eastAsia="Arial" w:hAnsi="Verdana" w:cs="Arial"/>
          <w:sz w:val="20"/>
          <w:szCs w:val="20"/>
          <w:lang w:val="es-MX"/>
        </w:rPr>
        <w:t>No informar todos los contratos que el proponente tenga en ejecución antes del cierre, necesarios para acreditar su capacidad residual conforme a la sección 3.11.</w:t>
      </w:r>
    </w:p>
    <w:p w14:paraId="0FA52D04" w14:textId="77777777" w:rsidR="008B4354" w:rsidRPr="00A17904" w:rsidRDefault="008B4354" w:rsidP="008B4354">
      <w:pPr>
        <w:spacing w:line="240" w:lineRule="auto"/>
        <w:ind w:left="1069"/>
        <w:contextualSpacing/>
        <w:jc w:val="both"/>
        <w:rPr>
          <w:rFonts w:ascii="Verdana" w:eastAsia="Calibri" w:hAnsi="Verdana" w:cs="Times New Roman"/>
          <w:sz w:val="20"/>
          <w:szCs w:val="20"/>
          <w:lang w:val="es-ES"/>
        </w:rPr>
      </w:pPr>
      <w:r w:rsidRPr="00A17904">
        <w:rPr>
          <w:rFonts w:ascii="Verdana" w:eastAsia="Calibri" w:hAnsi="Verdana" w:cs="Times New Roman"/>
          <w:sz w:val="20"/>
          <w:szCs w:val="20"/>
          <w:lang w:val="es-ES"/>
        </w:rPr>
        <w:t xml:space="preserve">(…)”. </w:t>
      </w:r>
    </w:p>
    <w:p w14:paraId="4EBC9E66" w14:textId="77777777" w:rsidR="008B4354" w:rsidRPr="00881D8A" w:rsidRDefault="008B4354" w:rsidP="008B4354">
      <w:pPr>
        <w:spacing w:after="0"/>
        <w:ind w:left="709" w:right="709"/>
        <w:jc w:val="both"/>
        <w:rPr>
          <w:rFonts w:ascii="Verdana" w:eastAsia="Calibri" w:hAnsi="Verdana" w:cs="Arial"/>
          <w:szCs w:val="20"/>
          <w:lang w:val="es-MX"/>
        </w:rPr>
      </w:pPr>
    </w:p>
    <w:p w14:paraId="35158A22" w14:textId="77777777" w:rsidR="008B4354" w:rsidRPr="00D97F05" w:rsidRDefault="008B4354" w:rsidP="008B4354">
      <w:pPr>
        <w:spacing w:after="120" w:line="276" w:lineRule="auto"/>
        <w:ind w:firstLine="709"/>
        <w:jc w:val="both"/>
        <w:rPr>
          <w:rFonts w:ascii="Verdana" w:eastAsia="Calibri" w:hAnsi="Verdana" w:cs="Arial"/>
          <w:color w:val="000000" w:themeColor="text1"/>
          <w:lang w:val="es-ES"/>
        </w:rPr>
      </w:pPr>
      <w:r w:rsidRPr="00881D8A">
        <w:rPr>
          <w:rFonts w:ascii="Verdana" w:eastAsia="Calibri" w:hAnsi="Verdana" w:cs="Arial"/>
          <w:szCs w:val="20"/>
          <w:lang w:val="es-MX"/>
        </w:rPr>
        <w:t>Como se consideró en los conceptos del 25 de septiembre y el 23 de diciembre de 2019 −radicados Nos. 2201913000007117 y 2201913000009538−</w:t>
      </w:r>
      <w:r>
        <w:rPr>
          <w:rFonts w:ascii="Verdana" w:eastAsia="Calibri" w:hAnsi="Verdana" w:cs="Arial"/>
          <w:szCs w:val="20"/>
          <w:lang w:val="es-MX"/>
        </w:rPr>
        <w:t>, así como el Concepto C-1759 del 30 de diciembre de 2025</w:t>
      </w:r>
      <w:r w:rsidRPr="00881D8A">
        <w:rPr>
          <w:rFonts w:ascii="Verdana" w:eastAsia="Calibri" w:hAnsi="Verdana" w:cs="Arial"/>
          <w:szCs w:val="20"/>
          <w:lang w:val="es-MX"/>
        </w:rPr>
        <w:t>,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w:t>
      </w:r>
    </w:p>
    <w:p w14:paraId="1660F8B2" w14:textId="77777777" w:rsidR="008B4354" w:rsidRDefault="008B4354" w:rsidP="008B4354">
      <w:pPr>
        <w:spacing w:after="120" w:line="276" w:lineRule="auto"/>
        <w:jc w:val="both"/>
        <w:rPr>
          <w:rFonts w:ascii="Verdana" w:eastAsia="Calibri" w:hAnsi="Verdana" w:cs="Arial"/>
          <w:color w:val="000000" w:themeColor="text1"/>
          <w:lang w:val="es-ES"/>
        </w:rPr>
      </w:pPr>
    </w:p>
    <w:p w14:paraId="21317CF0" w14:textId="77777777" w:rsidR="008B4354" w:rsidRPr="00B16AC6" w:rsidRDefault="008B4354" w:rsidP="008B4354">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lastRenderedPageBreak/>
        <w:t xml:space="preserve">iii. Al </w:t>
      </w:r>
      <w:r w:rsidRPr="00B17041">
        <w:rPr>
          <w:rFonts w:ascii="Verdana" w:hAnsi="Verdana" w:cs="Arial"/>
          <w:lang w:val="es-ES_tradnl" w:eastAsia="es-ES"/>
        </w:rPr>
        <w:t>margen de la explicación p</w:t>
      </w:r>
      <w:r>
        <w:rPr>
          <w:rFonts w:ascii="Verdana" w:hAnsi="Verdana" w:cs="Arial"/>
          <w:lang w:val="es-ES_tradnl" w:eastAsia="es-ES"/>
        </w:rPr>
        <w:t>roc</w:t>
      </w:r>
      <w:r w:rsidRPr="00B17041">
        <w:rPr>
          <w:rFonts w:ascii="Verdana" w:hAnsi="Verdana" w:cs="Arial"/>
          <w:lang w:val="es-ES_tradnl" w:eastAsia="es-ES"/>
        </w:rPr>
        <w:t>edente debe advertirse que el análisis requerido para resolver pr</w:t>
      </w:r>
      <w:r>
        <w:rPr>
          <w:rFonts w:ascii="Verdana" w:hAnsi="Verdana" w:cs="Arial"/>
          <w:lang w:val="es-ES_tradnl" w:eastAsia="es-ES"/>
        </w:rPr>
        <w:t>oblemas específicos para procesos de contratación de obra pública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292C67A" w14:textId="77777777" w:rsidR="008B4354" w:rsidRPr="00B17041" w:rsidRDefault="008B4354" w:rsidP="008B4354">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0FB375E6" w14:textId="77777777" w:rsidR="00697766" w:rsidRPr="007542AA" w:rsidRDefault="00697766" w:rsidP="00697766">
      <w:pPr>
        <w:spacing w:after="0" w:line="276" w:lineRule="auto"/>
        <w:ind w:firstLine="708"/>
        <w:jc w:val="both"/>
        <w:rPr>
          <w:rFonts w:ascii="Verdana" w:hAnsi="Verdana" w:cs="Arial"/>
          <w:iCs/>
        </w:rPr>
      </w:pPr>
    </w:p>
    <w:p w14:paraId="72BEA6EF"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17170960" w14:textId="77777777" w:rsidR="00697766" w:rsidRDefault="00697766" w:rsidP="00697766">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97766" w:rsidRPr="00B80E68" w14:paraId="0DF9994D" w14:textId="77777777" w:rsidTr="000047C2">
        <w:trPr>
          <w:trHeight w:val="870"/>
        </w:trPr>
        <w:tc>
          <w:tcPr>
            <w:tcW w:w="8647" w:type="dxa"/>
            <w:tcBorders>
              <w:top w:val="dotted" w:sz="4" w:space="0" w:color="auto"/>
              <w:left w:val="dotted" w:sz="4" w:space="0" w:color="auto"/>
              <w:bottom w:val="dotted" w:sz="4" w:space="0" w:color="auto"/>
              <w:right w:val="dotted" w:sz="4" w:space="0" w:color="auto"/>
            </w:tcBorders>
            <w:hideMark/>
          </w:tcPr>
          <w:p w14:paraId="368845C1" w14:textId="77777777" w:rsidR="00363D30" w:rsidRDefault="00363D30" w:rsidP="00363D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1150 de 2007, artículo 6. </w:t>
            </w:r>
          </w:p>
          <w:p w14:paraId="24E8DF45" w14:textId="77777777" w:rsidR="00363D30" w:rsidRPr="00EF647F" w:rsidRDefault="00363D30" w:rsidP="00363D30">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Ley 1682 de 2013, artículo 72. </w:t>
            </w:r>
          </w:p>
          <w:p w14:paraId="14CA31F6" w14:textId="77777777" w:rsidR="00363D30" w:rsidRPr="00EF647F" w:rsidRDefault="00363D30" w:rsidP="00363D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F647F">
              <w:rPr>
                <w:rFonts w:ascii="Verdana" w:eastAsia="Arial MT" w:hAnsi="Verdana" w:cs="Arial"/>
                <w:lang w:val="es-ES" w:eastAsia="es-ES" w:bidi="es-ES"/>
              </w:rPr>
              <w:t xml:space="preserve">Decreto 1082 de 2015, articulo 2.2.1.1.1.3.1., 2.2.1.1.1.6.4. </w:t>
            </w:r>
          </w:p>
          <w:p w14:paraId="2BEB6051" w14:textId="77777777" w:rsidR="00363D30" w:rsidRPr="00E3590A" w:rsidRDefault="00363D30" w:rsidP="00363D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590A">
              <w:rPr>
                <w:rFonts w:ascii="Verdana" w:eastAsia="Arial MT" w:hAnsi="Verdana" w:cs="Arial"/>
                <w:lang w:val="es-ES" w:eastAsia="es-ES" w:bidi="es-ES"/>
              </w:rPr>
              <w:t>Consejo de Estado. Sección Tercera</w:t>
            </w:r>
            <w:r>
              <w:rPr>
                <w:rFonts w:ascii="Verdana" w:eastAsia="Arial MT" w:hAnsi="Verdana" w:cs="Arial"/>
                <w:lang w:val="es-ES" w:eastAsia="es-ES" w:bidi="es-ES"/>
              </w:rPr>
              <w:t>, Subsección B.</w:t>
            </w:r>
            <w:r w:rsidRPr="00E3590A">
              <w:rPr>
                <w:rFonts w:ascii="Verdana" w:eastAsia="Arial MT" w:hAnsi="Verdana" w:cs="Arial"/>
                <w:lang w:val="es-ES" w:eastAsia="es-ES" w:bidi="es-ES"/>
              </w:rPr>
              <w:t xml:space="preserve"> Sentencia del 27 de abril de 2011. Exp. 18.293. C.P. Ruth Stella Correa Palacio.</w:t>
            </w:r>
          </w:p>
          <w:p w14:paraId="7FDAD4DF" w14:textId="77777777" w:rsidR="00363D30" w:rsidRPr="00EF647F" w:rsidRDefault="00363D30" w:rsidP="00363D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3590A">
              <w:rPr>
                <w:rFonts w:ascii="Verdana" w:eastAsia="Arial MT" w:hAnsi="Verdana" w:cs="Arial"/>
                <w:lang w:val="es-ES" w:eastAsia="es-ES" w:bidi="es-ES"/>
              </w:rPr>
              <w:t>Consejo de Estado. Sección Tercera</w:t>
            </w:r>
            <w:r>
              <w:rPr>
                <w:rFonts w:ascii="Verdana" w:eastAsia="Arial MT" w:hAnsi="Verdana" w:cs="Arial"/>
                <w:lang w:val="es-ES" w:eastAsia="es-ES" w:bidi="es-ES"/>
              </w:rPr>
              <w:t>, Subsección A.</w:t>
            </w:r>
            <w:r w:rsidRPr="00E3590A">
              <w:rPr>
                <w:rFonts w:ascii="Verdana" w:eastAsia="Arial MT" w:hAnsi="Verdana" w:cs="Arial"/>
                <w:lang w:val="es-ES" w:eastAsia="es-ES" w:bidi="es-ES"/>
              </w:rPr>
              <w:t xml:space="preserve"> Sentencia del 21 de noviembre de 2013 Exp. 25397. C.P. Carlos Alberto Zambrano Barrera.</w:t>
            </w:r>
            <w:r w:rsidRPr="00EF647F">
              <w:rPr>
                <w:rFonts w:ascii="Verdana" w:eastAsia="Arial MT" w:hAnsi="Verdana" w:cs="Arial"/>
                <w:lang w:val="es-ES" w:eastAsia="es-ES" w:bidi="es-ES"/>
              </w:rPr>
              <w:t xml:space="preserve"> </w:t>
            </w:r>
          </w:p>
          <w:p w14:paraId="092559DD" w14:textId="77777777" w:rsidR="00363D30" w:rsidRDefault="00363D30" w:rsidP="00363D30">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F647F">
              <w:rPr>
                <w:rFonts w:ascii="Verdana" w:eastAsia="Arial MT" w:hAnsi="Verdana" w:cs="Arial"/>
                <w:lang w:val="es-ES" w:eastAsia="es-ES" w:bidi="es-ES"/>
              </w:rPr>
              <w:t xml:space="preserve">Agencia Nacional de Contratación Pública –Colombia Compra Eficiente. Guía para Determinar y Verificar la Capacidad Residual del Proponente en los Procesos de Contratación de Obra Pública. </w:t>
            </w:r>
            <w:r w:rsidRPr="00EF647F">
              <w:rPr>
                <w:rFonts w:ascii="Verdana" w:eastAsia="Arial MT" w:hAnsi="Verdana" w:cs="Arial"/>
                <w:lang w:val="es-ES" w:eastAsia="es-ES" w:bidi="es-ES"/>
              </w:rPr>
              <w:lastRenderedPageBreak/>
              <w:t xml:space="preserve">Disponible en línea: </w:t>
            </w:r>
            <w:hyperlink r:id="rId13" w:history="1">
              <w:r w:rsidRPr="00C47168">
                <w:rPr>
                  <w:rStyle w:val="Hipervnculo"/>
                  <w:rFonts w:ascii="Verdana" w:eastAsia="Arial MT" w:hAnsi="Verdana" w:cs="Arial"/>
                  <w:lang w:val="es-ES" w:eastAsia="es-ES" w:bidi="es-ES"/>
                </w:rPr>
                <w:t>https://www.colombiacompra.gov.co/archivos/manual/guia-para-determinar-y-verificar-la-capacidad-residual-del-proponente-en-los-procesos-de-contratacion-de-obra-publica</w:t>
              </w:r>
            </w:hyperlink>
            <w:r>
              <w:rPr>
                <w:rFonts w:ascii="Verdana" w:eastAsia="Arial MT" w:hAnsi="Verdana" w:cs="Arial"/>
                <w:lang w:val="es-ES" w:eastAsia="es-ES" w:bidi="es-ES"/>
              </w:rPr>
              <w:t>.</w:t>
            </w:r>
            <w:r w:rsidRPr="00EF647F">
              <w:rPr>
                <w:rFonts w:ascii="Verdana" w:eastAsia="Arial MT" w:hAnsi="Verdana" w:cs="Arial"/>
                <w:lang w:val="es-ES" w:eastAsia="es-ES" w:bidi="es-ES"/>
              </w:rPr>
              <w:t xml:space="preserve"> 2023. </w:t>
            </w:r>
            <w:r>
              <w:rPr>
                <w:rFonts w:ascii="Verdana" w:eastAsia="Arial MT" w:hAnsi="Verdana" w:cs="Arial"/>
                <w:lang w:val="es-ES" w:eastAsia="es-ES" w:bidi="es-ES"/>
              </w:rPr>
              <w:t xml:space="preserve"> </w:t>
            </w:r>
          </w:p>
          <w:p w14:paraId="2D721E1A" w14:textId="0706529D" w:rsidR="00697766" w:rsidRPr="00EB3177" w:rsidRDefault="00363D30" w:rsidP="00697766">
            <w:pPr>
              <w:numPr>
                <w:ilvl w:val="0"/>
                <w:numId w:val="17"/>
              </w:numPr>
              <w:contextualSpacing/>
              <w:jc w:val="both"/>
              <w:rPr>
                <w:rFonts w:ascii="Verdana" w:eastAsia="Arial MT" w:hAnsi="Verdana" w:cs="Arial"/>
                <w:lang w:eastAsia="es-ES" w:bidi="es-ES"/>
              </w:rPr>
            </w:pPr>
            <w:r w:rsidRPr="00FB3E90">
              <w:rPr>
                <w:rFonts w:ascii="Verdana" w:eastAsia="Arial MT" w:hAnsi="Verdana" w:cs="Arial"/>
                <w:lang w:val="es-ES" w:eastAsia="es-ES" w:bidi="es-ES"/>
              </w:rPr>
              <w:t xml:space="preserve">Agencia Nacional de Contratación Pública -Colombia Compra Eficiente. Manual para determinar y verificar Los Requisitos Habilitantes en los Procesos de Contratación  </w:t>
            </w:r>
            <w:hyperlink r:id="rId14" w:history="1">
              <w:r w:rsidRPr="00AE16E3">
                <w:rPr>
                  <w:rStyle w:val="Hipervnculo"/>
                  <w:rFonts w:ascii="Verdana" w:eastAsia="Arial MT" w:hAnsi="Verdana" w:cs="Arial"/>
                  <w:lang w:val="es-ES" w:eastAsia="es-ES" w:bidi="es-ES"/>
                </w:rPr>
                <w:t>https://www.colombiacompra.gov.co/archivos/manual/manual-para-determinar-y-verificar-los-requisitos-habilitantes-en-los-procesos-de-contratacion</w:t>
              </w:r>
            </w:hyperlink>
            <w:r w:rsidRPr="00FB3E90">
              <w:rPr>
                <w:rFonts w:ascii="Verdana" w:eastAsia="Arial MT" w:hAnsi="Verdana" w:cs="Arial"/>
                <w:lang w:val="es-ES" w:eastAsia="es-ES" w:bidi="es-ES"/>
              </w:rPr>
              <w:t>.</w:t>
            </w:r>
            <w:r>
              <w:rPr>
                <w:rFonts w:ascii="Verdana" w:eastAsia="Arial MT" w:hAnsi="Verdana" w:cs="Arial"/>
                <w:lang w:val="es-ES" w:eastAsia="es-ES" w:bidi="es-ES"/>
              </w:rPr>
              <w:t xml:space="preserve"> 2023.</w:t>
            </w:r>
          </w:p>
        </w:tc>
      </w:tr>
    </w:tbl>
    <w:p w14:paraId="3B7AC7E2" w14:textId="77777777" w:rsidR="00697766" w:rsidRPr="00B80E68" w:rsidRDefault="00697766" w:rsidP="00697766">
      <w:pPr>
        <w:widowControl w:val="0"/>
        <w:autoSpaceDE w:val="0"/>
        <w:autoSpaceDN w:val="0"/>
        <w:spacing w:after="0" w:line="276" w:lineRule="auto"/>
        <w:jc w:val="both"/>
        <w:rPr>
          <w:rFonts w:ascii="Verdana" w:hAnsi="Verdana" w:cs="Arial"/>
        </w:rPr>
      </w:pPr>
    </w:p>
    <w:p w14:paraId="705309AE" w14:textId="77777777" w:rsidR="00697766" w:rsidRDefault="00697766" w:rsidP="0069776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3CA75D95" w14:textId="77777777" w:rsidR="00697766" w:rsidRDefault="00697766" w:rsidP="00697766">
      <w:pPr>
        <w:widowControl w:val="0"/>
        <w:autoSpaceDE w:val="0"/>
        <w:autoSpaceDN w:val="0"/>
        <w:spacing w:after="0" w:line="276" w:lineRule="auto"/>
        <w:jc w:val="both"/>
        <w:rPr>
          <w:rFonts w:ascii="Verdana" w:hAnsi="Verdana" w:cs="Arial"/>
        </w:rPr>
      </w:pPr>
    </w:p>
    <w:p w14:paraId="05867085" w14:textId="6B330888" w:rsidR="006B05E9" w:rsidRPr="00C303C5" w:rsidRDefault="006B05E9" w:rsidP="006B05E9">
      <w:pPr>
        <w:widowControl w:val="0"/>
        <w:autoSpaceDE w:val="0"/>
        <w:autoSpaceDN w:val="0"/>
        <w:spacing w:after="0" w:line="276" w:lineRule="auto"/>
        <w:jc w:val="both"/>
        <w:rPr>
          <w:rFonts w:ascii="Verdana" w:hAnsi="Verdana" w:cs="Arial"/>
          <w:shd w:val="clear" w:color="auto" w:fill="FFFFFF"/>
          <w:lang w:val="es-ES"/>
        </w:rPr>
      </w:pPr>
      <w:r w:rsidRPr="00B57A1B">
        <w:rPr>
          <w:rFonts w:ascii="Verdana" w:hAnsi="Verdana" w:cs="Arial"/>
          <w:shd w:val="clear" w:color="auto" w:fill="FFFFFF"/>
        </w:rPr>
        <w:t>Esta Subdirección se ha pronunciado</w:t>
      </w:r>
      <w:r>
        <w:rPr>
          <w:rFonts w:ascii="Verdana" w:hAnsi="Verdana" w:cs="Arial"/>
          <w:shd w:val="clear" w:color="auto" w:fill="FFFFFF"/>
        </w:rPr>
        <w:t xml:space="preserve"> sobre la capacidad residual en los conceptos </w:t>
      </w:r>
      <w:r w:rsidRPr="00EF647F">
        <w:rPr>
          <w:rFonts w:ascii="Verdana" w:hAnsi="Verdana" w:cs="Arial"/>
          <w:shd w:val="clear" w:color="auto" w:fill="FFFFFF"/>
          <w:lang w:val="es-ES"/>
        </w:rPr>
        <w:t>C-438 de 2025, C-486 de 2025, C-619 de 2025, C-1228 de 2025</w:t>
      </w:r>
      <w:r>
        <w:rPr>
          <w:rFonts w:ascii="Verdana" w:hAnsi="Verdana" w:cs="Arial"/>
          <w:shd w:val="clear" w:color="auto" w:fill="FFFFFF"/>
          <w:lang w:val="es-ES"/>
        </w:rPr>
        <w:t>, C-1349 del 28 de octubre de 2025, C-1409 del 13 de noviembre de 2025, C-1795 del 30 de diciembre de 2025, entre otros</w:t>
      </w:r>
      <w:r>
        <w:rPr>
          <w:rFonts w:ascii="Verdana" w:hAnsi="Verdana" w:cs="Arial"/>
          <w:shd w:val="clear" w:color="auto" w:fill="FFFFFF"/>
        </w:rPr>
        <w:t xml:space="preserve">. </w:t>
      </w:r>
      <w:r w:rsidRPr="00C303C5">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1975C5C" w14:textId="77777777" w:rsidR="006B05E9" w:rsidRPr="00185EE9" w:rsidRDefault="006B05E9" w:rsidP="006B05E9">
      <w:pPr>
        <w:spacing w:after="0" w:line="256" w:lineRule="auto"/>
        <w:jc w:val="both"/>
        <w:rPr>
          <w:rFonts w:ascii="Verdana" w:eastAsia="Calibri" w:hAnsi="Verdana" w:cs="Times New Roman"/>
        </w:rPr>
      </w:pPr>
      <w:hyperlink r:id="rId15" w:history="1">
        <w:r w:rsidRPr="00C303C5">
          <w:rPr>
            <w:rStyle w:val="Hipervnculo"/>
            <w:rFonts w:ascii="Verdana" w:eastAsia="Calibri" w:hAnsi="Verdana" w:cs="Times New Roman"/>
            <w:lang w:val="es-ES"/>
          </w:rPr>
          <w:t>https://relatoria.colombiacompra.gov.co/busqueda/conceptos</w:t>
        </w:r>
      </w:hyperlink>
      <w:r w:rsidRPr="00C303C5">
        <w:rPr>
          <w:rFonts w:ascii="Verdana" w:eastAsia="Calibri" w:hAnsi="Verdana" w:cs="Times New Roman"/>
        </w:rPr>
        <w:t>.</w:t>
      </w:r>
      <w:r w:rsidRPr="00185EE9">
        <w:rPr>
          <w:rFonts w:ascii="Verdana" w:eastAsia="Calibri" w:hAnsi="Verdana" w:cs="Times New Roman"/>
        </w:rPr>
        <w:t xml:space="preserve"> </w:t>
      </w:r>
    </w:p>
    <w:p w14:paraId="4DA362B9" w14:textId="77777777" w:rsidR="0022017D" w:rsidRDefault="0022017D" w:rsidP="00697766">
      <w:pPr>
        <w:spacing w:after="0"/>
        <w:jc w:val="both"/>
        <w:rPr>
          <w:rFonts w:ascii="Verdana" w:hAnsi="Verdana" w:cs="Arial"/>
          <w:bCs/>
          <w:shd w:val="clear" w:color="auto" w:fill="FFFFFF"/>
          <w:lang w:val="es-ES"/>
        </w:rPr>
      </w:pPr>
    </w:p>
    <w:p w14:paraId="7D7463CF" w14:textId="77777777" w:rsidR="00697766" w:rsidRPr="00F84F36" w:rsidRDefault="00697766" w:rsidP="00697766">
      <w:pPr>
        <w:spacing w:after="0"/>
        <w:jc w:val="both"/>
        <w:rPr>
          <w:rFonts w:ascii="Verdana" w:hAnsi="Verdana" w:cs="Arial"/>
          <w:color w:val="EE0000"/>
          <w:shd w:val="clear" w:color="auto" w:fill="FFFFFF"/>
        </w:rPr>
      </w:pPr>
      <w:r w:rsidRPr="008278B1">
        <w:rPr>
          <w:rFonts w:ascii="Verdana" w:hAnsi="Verdana" w:cs="Arial"/>
          <w:shd w:val="clear" w:color="auto" w:fill="FFFFFF"/>
        </w:rPr>
        <w:t>También le contamos que ya se encuentra disponible la </w:t>
      </w:r>
      <w:r w:rsidRPr="008278B1">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8278B1">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8278B1">
          <w:rPr>
            <w:rStyle w:val="Hipervnculo"/>
            <w:rFonts w:ascii="Verdana" w:hAnsi="Verdana"/>
          </w:rPr>
          <w:t>Guía de lineamientos de transparencia y selección objetiva para el departamento de La Guajira – Objetivo sexto constitucional de la Sentencia T-302 del 2017</w:t>
        </w:r>
      </w:hyperlink>
    </w:p>
    <w:p w14:paraId="7525EF70" w14:textId="77777777" w:rsidR="00697766" w:rsidRPr="008278B1" w:rsidRDefault="00697766" w:rsidP="00697766">
      <w:pPr>
        <w:spacing w:after="0"/>
        <w:jc w:val="both"/>
        <w:rPr>
          <w:rFonts w:ascii="Verdana" w:hAnsi="Verdana" w:cs="Arial"/>
          <w:shd w:val="clear" w:color="auto" w:fill="FFFFFF"/>
        </w:rPr>
      </w:pPr>
    </w:p>
    <w:p w14:paraId="4B5F839D"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t xml:space="preserve">Por último, lo invitamos a seguirnos en las redes sociales en las cuales se difunde información institucional: </w:t>
      </w:r>
    </w:p>
    <w:p w14:paraId="2A48F57A" w14:textId="77777777" w:rsidR="00697766" w:rsidRPr="008278B1" w:rsidRDefault="00697766" w:rsidP="00697766">
      <w:pPr>
        <w:spacing w:after="0"/>
        <w:jc w:val="both"/>
        <w:rPr>
          <w:rFonts w:ascii="Verdana" w:hAnsi="Verdana" w:cs="Arial"/>
          <w:shd w:val="clear" w:color="auto" w:fill="FFFFFF"/>
        </w:rPr>
      </w:pPr>
    </w:p>
    <w:p w14:paraId="4BFE222F"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lastRenderedPageBreak/>
        <w:t xml:space="preserve">Twitter: </w:t>
      </w:r>
      <w:r w:rsidRPr="008278B1">
        <w:rPr>
          <w:rStyle w:val="Hipervnculo"/>
          <w:rFonts w:ascii="Verdana" w:hAnsi="Verdana"/>
          <w:lang w:val="es-ES"/>
        </w:rPr>
        <w:t>@colombiacompra</w:t>
      </w:r>
      <w:r w:rsidRPr="008278B1">
        <w:rPr>
          <w:rStyle w:val="Hipervnculo"/>
          <w:rFonts w:ascii="Verdana" w:hAnsi="Verdana"/>
          <w:color w:val="auto"/>
          <w:lang w:val="es-ES"/>
        </w:rPr>
        <w:t xml:space="preserve"> </w:t>
      </w:r>
    </w:p>
    <w:p w14:paraId="6F724F3F"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t>Facebook:</w:t>
      </w:r>
      <w:r w:rsidRPr="008278B1">
        <w:rPr>
          <w:rStyle w:val="Hipervnculo"/>
          <w:rFonts w:ascii="Verdana" w:hAnsi="Verdana"/>
          <w:lang w:val="es-ES"/>
        </w:rPr>
        <w:t xml:space="preserve"> ColombiaCompraEficiente</w:t>
      </w:r>
    </w:p>
    <w:p w14:paraId="0F570C7D"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t xml:space="preserve">LinkedIn: </w:t>
      </w:r>
      <w:r w:rsidRPr="008278B1">
        <w:rPr>
          <w:rStyle w:val="Hipervnculo"/>
          <w:rFonts w:ascii="Verdana" w:hAnsi="Verdana"/>
          <w:lang w:val="es-ES"/>
        </w:rPr>
        <w:t>Agencia Nacional de Contratación Pública - Colombia Compra Eficiente</w:t>
      </w:r>
      <w:r w:rsidRPr="008278B1">
        <w:rPr>
          <w:rFonts w:ascii="Verdana" w:hAnsi="Verdana" w:cs="Arial"/>
          <w:color w:val="0000FF"/>
          <w:shd w:val="clear" w:color="auto" w:fill="FFFFFF"/>
        </w:rPr>
        <w:t xml:space="preserve"> </w:t>
      </w:r>
    </w:p>
    <w:p w14:paraId="1986E0C5" w14:textId="77777777" w:rsidR="00697766" w:rsidRPr="008278B1" w:rsidRDefault="00697766" w:rsidP="00697766">
      <w:pPr>
        <w:spacing w:after="0"/>
        <w:jc w:val="both"/>
        <w:rPr>
          <w:rFonts w:ascii="Verdana" w:hAnsi="Verdana" w:cs="Arial"/>
          <w:shd w:val="clear" w:color="auto" w:fill="FFFFFF"/>
        </w:rPr>
      </w:pPr>
      <w:r w:rsidRPr="008278B1">
        <w:rPr>
          <w:rFonts w:ascii="Verdana" w:hAnsi="Verdana" w:cs="Arial"/>
          <w:shd w:val="clear" w:color="auto" w:fill="FFFFFF"/>
        </w:rPr>
        <w:t xml:space="preserve">Instagram: </w:t>
      </w:r>
      <w:r w:rsidRPr="008278B1">
        <w:rPr>
          <w:rStyle w:val="Hipervnculo"/>
          <w:rFonts w:ascii="Verdana" w:hAnsi="Verdana"/>
          <w:lang w:val="es-ES"/>
        </w:rPr>
        <w:t>@colombiacompraeficiente_cce</w:t>
      </w:r>
    </w:p>
    <w:p w14:paraId="6669925F" w14:textId="77777777" w:rsidR="00697766" w:rsidRPr="008278B1" w:rsidRDefault="00697766" w:rsidP="00697766">
      <w:pPr>
        <w:widowControl w:val="0"/>
        <w:autoSpaceDE w:val="0"/>
        <w:autoSpaceDN w:val="0"/>
        <w:spacing w:after="0" w:line="276" w:lineRule="auto"/>
        <w:jc w:val="both"/>
        <w:rPr>
          <w:rFonts w:ascii="Verdana" w:hAnsi="Verdana" w:cs="Arial"/>
          <w:lang w:val="es-ES"/>
        </w:rPr>
      </w:pPr>
    </w:p>
    <w:p w14:paraId="7B21382D" w14:textId="77777777" w:rsidR="00697766" w:rsidRPr="008278B1" w:rsidRDefault="00697766" w:rsidP="00697766">
      <w:pPr>
        <w:widowControl w:val="0"/>
        <w:autoSpaceDE w:val="0"/>
        <w:autoSpaceDN w:val="0"/>
        <w:spacing w:after="0" w:line="276" w:lineRule="auto"/>
        <w:jc w:val="both"/>
        <w:rPr>
          <w:rFonts w:ascii="Verdana" w:hAnsi="Verdana" w:cs="Arial"/>
          <w:lang w:val="es-ES"/>
        </w:rPr>
      </w:pPr>
      <w:r w:rsidRPr="008278B1">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475053E" w14:textId="77777777" w:rsidR="00697766" w:rsidRPr="008278B1" w:rsidRDefault="00697766" w:rsidP="00697766">
      <w:pPr>
        <w:widowControl w:val="0"/>
        <w:autoSpaceDE w:val="0"/>
        <w:autoSpaceDN w:val="0"/>
        <w:spacing w:after="0" w:line="276" w:lineRule="auto"/>
        <w:jc w:val="both"/>
        <w:rPr>
          <w:rFonts w:ascii="Verdana" w:hAnsi="Verdana" w:cs="Arial"/>
          <w:lang w:val="es-ES"/>
        </w:rPr>
      </w:pPr>
    </w:p>
    <w:p w14:paraId="5856EEC5" w14:textId="77777777" w:rsidR="00697766" w:rsidRDefault="00697766" w:rsidP="00697766">
      <w:pPr>
        <w:spacing w:after="0" w:line="276" w:lineRule="auto"/>
        <w:rPr>
          <w:rFonts w:ascii="Verdana" w:hAnsi="Verdana" w:cs="Arial"/>
          <w:lang w:val="es-ES" w:eastAsia="es-CO"/>
        </w:rPr>
      </w:pPr>
      <w:r w:rsidRPr="008278B1">
        <w:rPr>
          <w:rFonts w:ascii="Verdana" w:eastAsia="Times New Roman" w:hAnsi="Verdana" w:cs="Arial"/>
          <w:lang w:val="es-ES" w:eastAsia="es-CO"/>
        </w:rPr>
        <w:t>Atentamente,</w:t>
      </w:r>
      <w:r w:rsidRPr="008278B1">
        <w:rPr>
          <w:rFonts w:ascii="Verdana" w:hAnsi="Verdana" w:cs="Arial"/>
          <w:lang w:val="es-ES" w:eastAsia="es-CO"/>
        </w:rPr>
        <w:t xml:space="preserve"> </w:t>
      </w:r>
    </w:p>
    <w:p w14:paraId="34E59CEA" w14:textId="77777777" w:rsidR="003B4708" w:rsidRDefault="003B4708" w:rsidP="00697766">
      <w:pPr>
        <w:spacing w:after="0" w:line="276" w:lineRule="auto"/>
        <w:rPr>
          <w:rFonts w:ascii="Verdana" w:hAnsi="Verdana" w:cs="Arial"/>
          <w:lang w:val="es-ES" w:eastAsia="es-CO"/>
        </w:rPr>
      </w:pPr>
    </w:p>
    <w:p w14:paraId="1A12CDD7" w14:textId="1A62250C" w:rsidR="00697766" w:rsidRPr="008278B1" w:rsidRDefault="002C23F8" w:rsidP="002C23F8">
      <w:pPr>
        <w:spacing w:after="0" w:line="276" w:lineRule="auto"/>
        <w:jc w:val="center"/>
        <w:rPr>
          <w:rFonts w:ascii="Verdana" w:hAnsi="Verdana" w:cs="Arial"/>
          <w:lang w:val="es-ES" w:eastAsia="es-CO"/>
        </w:rPr>
      </w:pPr>
      <w:r w:rsidRPr="002C23F8">
        <w:rPr>
          <w:rFonts w:ascii="Verdana" w:hAnsi="Verdana" w:cs="Arial"/>
          <w:lang w:val="es-ES" w:eastAsia="es-CO"/>
        </w:rPr>
        <w:drawing>
          <wp:inline distT="0" distB="0" distL="0" distR="0" wp14:anchorId="42340EF5" wp14:editId="445A0B1B">
            <wp:extent cx="2829320" cy="1152686"/>
            <wp:effectExtent l="0" t="0" r="9525" b="9525"/>
            <wp:docPr id="1481329140"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329140" name="Imagen 1" descr="Texto&#10;&#10;El contenido generado por IA puede ser incorrecto."/>
                    <pic:cNvPicPr/>
                  </pic:nvPicPr>
                  <pic:blipFill>
                    <a:blip r:embed="rId17"/>
                    <a:stretch>
                      <a:fillRect/>
                    </a:stretch>
                  </pic:blipFill>
                  <pic:spPr>
                    <a:xfrm>
                      <a:off x="0" y="0"/>
                      <a:ext cx="2829320" cy="1152686"/>
                    </a:xfrm>
                    <a:prstGeom prst="rect">
                      <a:avLst/>
                    </a:prstGeom>
                  </pic:spPr>
                </pic:pic>
              </a:graphicData>
            </a:graphic>
          </wp:inline>
        </w:drawing>
      </w:r>
    </w:p>
    <w:p w14:paraId="0F73E960" w14:textId="77777777" w:rsidR="00697766" w:rsidRPr="00A869FE" w:rsidRDefault="00697766" w:rsidP="002C23F8">
      <w:pPr>
        <w:spacing w:after="0" w:line="240" w:lineRule="auto"/>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97766" w:rsidRPr="00A869FE" w14:paraId="6CCCD296" w14:textId="77777777" w:rsidTr="000047C2">
        <w:trPr>
          <w:trHeight w:val="315"/>
        </w:trPr>
        <w:tc>
          <w:tcPr>
            <w:tcW w:w="893" w:type="dxa"/>
            <w:vAlign w:val="center"/>
            <w:hideMark/>
          </w:tcPr>
          <w:p w14:paraId="6CCCB4D4" w14:textId="77777777" w:rsidR="00697766" w:rsidRPr="00A869FE" w:rsidRDefault="00697766" w:rsidP="000047C2">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442289F" w14:textId="77777777" w:rsidR="00697766" w:rsidRPr="00A869FE" w:rsidRDefault="00697766" w:rsidP="000047C2">
            <w:pPr>
              <w:spacing w:line="256" w:lineRule="auto"/>
              <w:rPr>
                <w:rFonts w:ascii="Verdana" w:eastAsia="Calibri" w:hAnsi="Verdana" w:cs="Times New Roman"/>
                <w:sz w:val="16"/>
                <w:szCs w:val="16"/>
              </w:rPr>
            </w:pPr>
            <w:r>
              <w:rPr>
                <w:rFonts w:ascii="Verdana" w:eastAsia="Calibri" w:hAnsi="Verdana" w:cs="Times New Roman"/>
                <w:sz w:val="16"/>
                <w:szCs w:val="16"/>
              </w:rPr>
              <w:t>Camila Alejandra Naranjo Gómez</w:t>
            </w:r>
          </w:p>
          <w:p w14:paraId="791D1C1F" w14:textId="77777777" w:rsidR="00697766" w:rsidRPr="00A869FE" w:rsidRDefault="00697766" w:rsidP="000047C2">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697766" w:rsidRPr="00A869FE" w14:paraId="467DDAAE" w14:textId="77777777" w:rsidTr="000047C2">
        <w:trPr>
          <w:trHeight w:val="330"/>
        </w:trPr>
        <w:tc>
          <w:tcPr>
            <w:tcW w:w="893" w:type="dxa"/>
            <w:vAlign w:val="center"/>
            <w:hideMark/>
          </w:tcPr>
          <w:p w14:paraId="08B7B21E" w14:textId="77777777" w:rsidR="00697766" w:rsidRPr="00A869FE" w:rsidRDefault="00697766" w:rsidP="000047C2">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A38D27D" w14:textId="77777777" w:rsidR="00697766" w:rsidRPr="00EB7A79" w:rsidRDefault="00697766" w:rsidP="000047C2">
            <w:pPr>
              <w:rPr>
                <w:rFonts w:ascii="Verdana" w:eastAsia="Times New Roman" w:hAnsi="Verdana" w:cs="Arial"/>
                <w:sz w:val="16"/>
                <w:szCs w:val="16"/>
                <w:lang w:eastAsia="es-ES"/>
              </w:rPr>
            </w:pPr>
            <w:r w:rsidRPr="00EB7A79">
              <w:rPr>
                <w:rFonts w:ascii="Verdana" w:eastAsia="Times New Roman" w:hAnsi="Verdana" w:cs="Arial"/>
                <w:sz w:val="16"/>
                <w:szCs w:val="16"/>
                <w:lang w:eastAsia="es-ES"/>
              </w:rPr>
              <w:t>Alejandro Sarmiento Cantillo</w:t>
            </w:r>
          </w:p>
          <w:p w14:paraId="40EFB19E" w14:textId="77777777" w:rsidR="00697766" w:rsidRPr="00A869FE" w:rsidRDefault="00697766" w:rsidP="000047C2">
            <w:pPr>
              <w:pStyle w:val="paragraph"/>
              <w:spacing w:before="0" w:beforeAutospacing="0" w:after="0" w:afterAutospacing="0"/>
              <w:contextualSpacing/>
              <w:textAlignment w:val="baseline"/>
              <w:rPr>
                <w:rFonts w:ascii="Verdana" w:hAnsi="Verdana" w:cs="Segoe UI"/>
                <w:sz w:val="16"/>
                <w:szCs w:val="16"/>
              </w:rPr>
            </w:pPr>
            <w:r w:rsidRPr="00EB7A79">
              <w:rPr>
                <w:rFonts w:ascii="Verdana" w:hAnsi="Verdana" w:cs="Arial"/>
                <w:sz w:val="16"/>
                <w:szCs w:val="16"/>
                <w:lang w:eastAsia="es-ES"/>
              </w:rPr>
              <w:t>Gestor T1 ‒ 15 de la Subdirección de Gestión Contractual</w:t>
            </w:r>
          </w:p>
        </w:tc>
      </w:tr>
      <w:tr w:rsidR="00697766" w:rsidRPr="00A869FE" w14:paraId="659B793B" w14:textId="77777777" w:rsidTr="000047C2">
        <w:trPr>
          <w:trHeight w:val="300"/>
        </w:trPr>
        <w:tc>
          <w:tcPr>
            <w:tcW w:w="893" w:type="dxa"/>
            <w:vAlign w:val="center"/>
          </w:tcPr>
          <w:p w14:paraId="653B2EB5" w14:textId="77777777" w:rsidR="00697766" w:rsidRPr="00A869FE" w:rsidRDefault="00697766" w:rsidP="000047C2">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A7BCC5E" w14:textId="77777777" w:rsidR="00697766" w:rsidRPr="00A869FE" w:rsidRDefault="00697766" w:rsidP="000047C2">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6A5BFA3A" w14:textId="77777777" w:rsidR="00697766" w:rsidRPr="00A869FE" w:rsidRDefault="00697766" w:rsidP="000047C2">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0F293BF4" w14:textId="0C264A14" w:rsidR="00127233" w:rsidRPr="00697766" w:rsidRDefault="00127233" w:rsidP="00697766"/>
    <w:sectPr w:rsidR="00127233" w:rsidRPr="00697766"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F1BA0" w14:textId="77777777" w:rsidR="0064714F" w:rsidRDefault="0064714F" w:rsidP="004A1847">
      <w:pPr>
        <w:spacing w:after="0" w:line="240" w:lineRule="auto"/>
      </w:pPr>
      <w:r>
        <w:separator/>
      </w:r>
    </w:p>
  </w:endnote>
  <w:endnote w:type="continuationSeparator" w:id="0">
    <w:p w14:paraId="624E9BB0" w14:textId="77777777" w:rsidR="0064714F" w:rsidRDefault="0064714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EAAC0" w14:textId="77777777" w:rsidR="0064714F" w:rsidRDefault="0064714F" w:rsidP="004A1847">
      <w:pPr>
        <w:spacing w:after="0" w:line="240" w:lineRule="auto"/>
      </w:pPr>
      <w:r>
        <w:separator/>
      </w:r>
    </w:p>
  </w:footnote>
  <w:footnote w:type="continuationSeparator" w:id="0">
    <w:p w14:paraId="72A1AF86" w14:textId="77777777" w:rsidR="0064714F" w:rsidRDefault="0064714F" w:rsidP="004A1847">
      <w:pPr>
        <w:spacing w:after="0" w:line="240" w:lineRule="auto"/>
      </w:pPr>
      <w:r>
        <w:continuationSeparator/>
      </w:r>
    </w:p>
  </w:footnote>
  <w:footnote w:id="1">
    <w:p w14:paraId="3FC3CEB5" w14:textId="77777777" w:rsidR="008B4354" w:rsidRPr="00FC01C6" w:rsidRDefault="008B4354" w:rsidP="008B4354">
      <w:pPr>
        <w:pStyle w:val="Textonotapie"/>
        <w:ind w:firstLine="709"/>
        <w:rPr>
          <w:rFonts w:ascii="Verdana" w:hAnsi="Verdana"/>
          <w:sz w:val="16"/>
          <w:szCs w:val="16"/>
        </w:rPr>
      </w:pPr>
      <w:r w:rsidRPr="00FC01C6">
        <w:rPr>
          <w:rStyle w:val="Refdenotaalpie"/>
          <w:rFonts w:ascii="Verdana" w:hAnsi="Verdana"/>
          <w:sz w:val="16"/>
          <w:szCs w:val="16"/>
        </w:rPr>
        <w:footnoteRef/>
      </w:r>
      <w:r w:rsidRPr="00FC01C6">
        <w:rPr>
          <w:rFonts w:ascii="Verdana" w:hAnsi="Verdana"/>
          <w:sz w:val="16"/>
          <w:szCs w:val="16"/>
        </w:rPr>
        <w:t xml:space="preserve"> Agencia Nacional de Contratación Pública -Colombia Compra Eficiente. Manual para determinar y verificar Los Requisitos Habilitantes en los Procesos de Contratación  </w:t>
      </w:r>
      <w:hyperlink r:id="rId1" w:history="1">
        <w:r w:rsidRPr="00FC01C6">
          <w:rPr>
            <w:rStyle w:val="Hipervnculo"/>
            <w:rFonts w:ascii="Verdana" w:hAnsi="Verdana"/>
            <w:sz w:val="16"/>
            <w:szCs w:val="16"/>
          </w:rPr>
          <w:t>https://www.colombiacompra.gov.co/archivos/manual/manual-para-determinar-y-verificar-los-requisitos-habilitantes-en-los-procesos-de-contratacion</w:t>
        </w:r>
      </w:hyperlink>
      <w:r w:rsidRPr="00FC01C6">
        <w:rPr>
          <w:rFonts w:ascii="Verdana" w:hAnsi="Verdana"/>
          <w:sz w:val="16"/>
          <w:szCs w:val="16"/>
        </w:rPr>
        <w:t xml:space="preserve">. 2023. p. 36. </w:t>
      </w:r>
    </w:p>
    <w:p w14:paraId="55DDD0A4" w14:textId="77777777" w:rsidR="008B4354" w:rsidRPr="00FC01C6" w:rsidRDefault="008B4354" w:rsidP="008B4354">
      <w:pPr>
        <w:pStyle w:val="Textonotapie"/>
        <w:ind w:firstLine="709"/>
        <w:rPr>
          <w:rFonts w:ascii="Verdana" w:hAnsi="Verdana"/>
          <w:sz w:val="16"/>
          <w:szCs w:val="16"/>
          <w:lang w:val="es-ES"/>
        </w:rPr>
      </w:pPr>
    </w:p>
  </w:footnote>
  <w:footnote w:id="2">
    <w:p w14:paraId="399A0A15" w14:textId="77777777" w:rsidR="008B4354" w:rsidRPr="00FC01C6" w:rsidRDefault="008B4354" w:rsidP="008B4354">
      <w:pPr>
        <w:pStyle w:val="Textonotapie"/>
        <w:ind w:firstLine="708"/>
        <w:jc w:val="both"/>
        <w:rPr>
          <w:rFonts w:ascii="Verdana" w:hAnsi="Verdana"/>
          <w:sz w:val="16"/>
          <w:szCs w:val="16"/>
          <w:lang w:val="es-CO"/>
        </w:rPr>
      </w:pPr>
      <w:r w:rsidRPr="00FC01C6">
        <w:rPr>
          <w:rStyle w:val="Refdenotaalpie"/>
          <w:rFonts w:ascii="Verdana" w:hAnsi="Verdana"/>
          <w:sz w:val="16"/>
          <w:szCs w:val="16"/>
        </w:rPr>
        <w:footnoteRef/>
      </w:r>
      <w:r w:rsidRPr="00FC01C6">
        <w:rPr>
          <w:rFonts w:ascii="Verdana" w:hAnsi="Verdana"/>
          <w:sz w:val="16"/>
          <w:szCs w:val="16"/>
        </w:rPr>
        <w:t xml:space="preserve"> Consejo de Estado. Sección Tercera, Subsección B. Sentencia del 27 de abril de 2011. Exp. 18.293. C.P. Ruth Stella Correa Palacio.</w:t>
      </w:r>
    </w:p>
  </w:footnote>
  <w:footnote w:id="3">
    <w:p w14:paraId="36256C69" w14:textId="77777777" w:rsidR="008B4354" w:rsidRPr="00FC01C6" w:rsidRDefault="008B4354" w:rsidP="008B4354">
      <w:pPr>
        <w:pStyle w:val="Textonotapie"/>
        <w:ind w:firstLine="708"/>
        <w:jc w:val="both"/>
        <w:rPr>
          <w:rFonts w:ascii="Verdana" w:hAnsi="Verdana"/>
          <w:sz w:val="16"/>
          <w:szCs w:val="16"/>
        </w:rPr>
      </w:pPr>
      <w:r w:rsidRPr="00FC01C6">
        <w:rPr>
          <w:rStyle w:val="Refdenotaalpie"/>
          <w:rFonts w:ascii="Verdana" w:hAnsi="Verdana"/>
          <w:sz w:val="16"/>
          <w:szCs w:val="16"/>
        </w:rPr>
        <w:footnoteRef/>
      </w:r>
      <w:r w:rsidRPr="00FC01C6">
        <w:rPr>
          <w:rFonts w:ascii="Verdana" w:hAnsi="Verdana"/>
          <w:sz w:val="16"/>
          <w:szCs w:val="16"/>
        </w:rPr>
        <w:t xml:space="preserve"> Consejo de Estado. Sección Tercera, Subsección A. Sentencia del 21 de noviembre de 2013 Exp. 25397. C.P. Carlos Alberto Zambrano Barrera.</w:t>
      </w:r>
    </w:p>
    <w:p w14:paraId="54BCB8F5" w14:textId="77777777" w:rsidR="008B4354" w:rsidRPr="00FC01C6" w:rsidRDefault="008B4354" w:rsidP="008B4354">
      <w:pPr>
        <w:pStyle w:val="Textonotapie"/>
        <w:ind w:firstLine="708"/>
        <w:jc w:val="both"/>
        <w:rPr>
          <w:rFonts w:ascii="Verdana" w:hAnsi="Verdana"/>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11.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8613BFD"/>
    <w:multiLevelType w:val="hybridMultilevel"/>
    <w:tmpl w:val="47562414"/>
    <w:lvl w:ilvl="0" w:tplc="240A0015">
      <w:start w:val="8"/>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075157B"/>
    <w:multiLevelType w:val="hybridMultilevel"/>
    <w:tmpl w:val="141E3880"/>
    <w:lvl w:ilvl="0" w:tplc="B73E7620">
      <w:start w:val="24"/>
      <w:numFmt w:val="upperLetter"/>
      <w:lvlText w:val="%1."/>
      <w:lvlJc w:val="left"/>
      <w:pPr>
        <w:ind w:left="1070" w:hanging="36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FC6F58"/>
    <w:multiLevelType w:val="hybridMultilevel"/>
    <w:tmpl w:val="AD226C04"/>
    <w:lvl w:ilvl="0" w:tplc="44AE12E2">
      <w:start w:val="5"/>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79089576">
    <w:abstractNumId w:val="10"/>
  </w:num>
  <w:num w:numId="18" w16cid:durableId="1548419692">
    <w:abstractNumId w:val="17"/>
  </w:num>
  <w:num w:numId="19" w16cid:durableId="1443304022">
    <w:abstractNumId w:val="4"/>
  </w:num>
  <w:num w:numId="20" w16cid:durableId="5010510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4057"/>
    <w:rsid w:val="000F6486"/>
    <w:rsid w:val="00116940"/>
    <w:rsid w:val="00125105"/>
    <w:rsid w:val="00127233"/>
    <w:rsid w:val="00150111"/>
    <w:rsid w:val="0015699B"/>
    <w:rsid w:val="001A33BF"/>
    <w:rsid w:val="001A7824"/>
    <w:rsid w:val="001E1262"/>
    <w:rsid w:val="001E4177"/>
    <w:rsid w:val="001F0B24"/>
    <w:rsid w:val="001F680F"/>
    <w:rsid w:val="001F7DC6"/>
    <w:rsid w:val="0021137F"/>
    <w:rsid w:val="0022017D"/>
    <w:rsid w:val="0022400B"/>
    <w:rsid w:val="002421BB"/>
    <w:rsid w:val="00244269"/>
    <w:rsid w:val="0025796E"/>
    <w:rsid w:val="00270196"/>
    <w:rsid w:val="002707A2"/>
    <w:rsid w:val="002725F0"/>
    <w:rsid w:val="002951A0"/>
    <w:rsid w:val="002962BC"/>
    <w:rsid w:val="002A093D"/>
    <w:rsid w:val="002A0DD0"/>
    <w:rsid w:val="002A49AC"/>
    <w:rsid w:val="002A64FD"/>
    <w:rsid w:val="002C03A2"/>
    <w:rsid w:val="002C23F8"/>
    <w:rsid w:val="002C7A84"/>
    <w:rsid w:val="002D29B9"/>
    <w:rsid w:val="002E2BF8"/>
    <w:rsid w:val="002E4FD9"/>
    <w:rsid w:val="002F29AE"/>
    <w:rsid w:val="0030657A"/>
    <w:rsid w:val="00322A85"/>
    <w:rsid w:val="00324168"/>
    <w:rsid w:val="00330834"/>
    <w:rsid w:val="003448F4"/>
    <w:rsid w:val="00363D30"/>
    <w:rsid w:val="00365927"/>
    <w:rsid w:val="00374F5E"/>
    <w:rsid w:val="00377E3E"/>
    <w:rsid w:val="00386570"/>
    <w:rsid w:val="003878B5"/>
    <w:rsid w:val="003A779E"/>
    <w:rsid w:val="003B4708"/>
    <w:rsid w:val="003D0F4D"/>
    <w:rsid w:val="003D5B0D"/>
    <w:rsid w:val="003D7AEC"/>
    <w:rsid w:val="003E0499"/>
    <w:rsid w:val="003E4F80"/>
    <w:rsid w:val="003E6439"/>
    <w:rsid w:val="003F3941"/>
    <w:rsid w:val="00406575"/>
    <w:rsid w:val="00414C74"/>
    <w:rsid w:val="0042722E"/>
    <w:rsid w:val="0043201C"/>
    <w:rsid w:val="0044528D"/>
    <w:rsid w:val="00461FF9"/>
    <w:rsid w:val="00466E39"/>
    <w:rsid w:val="0046741E"/>
    <w:rsid w:val="004929E6"/>
    <w:rsid w:val="004A1847"/>
    <w:rsid w:val="004A305D"/>
    <w:rsid w:val="004F21C4"/>
    <w:rsid w:val="004F685F"/>
    <w:rsid w:val="005566E8"/>
    <w:rsid w:val="00564C5A"/>
    <w:rsid w:val="00574867"/>
    <w:rsid w:val="00586DAE"/>
    <w:rsid w:val="00591460"/>
    <w:rsid w:val="005A65E0"/>
    <w:rsid w:val="005C3777"/>
    <w:rsid w:val="005C5CDC"/>
    <w:rsid w:val="005D476C"/>
    <w:rsid w:val="0061253C"/>
    <w:rsid w:val="006200BF"/>
    <w:rsid w:val="006219F8"/>
    <w:rsid w:val="006302F7"/>
    <w:rsid w:val="00646B9F"/>
    <w:rsid w:val="0064714F"/>
    <w:rsid w:val="0064758F"/>
    <w:rsid w:val="00661EC4"/>
    <w:rsid w:val="00665D70"/>
    <w:rsid w:val="006822B2"/>
    <w:rsid w:val="006900D9"/>
    <w:rsid w:val="00694EA9"/>
    <w:rsid w:val="00697766"/>
    <w:rsid w:val="006B05E9"/>
    <w:rsid w:val="00702EF4"/>
    <w:rsid w:val="00706C16"/>
    <w:rsid w:val="00711525"/>
    <w:rsid w:val="007340C3"/>
    <w:rsid w:val="0075235A"/>
    <w:rsid w:val="00756841"/>
    <w:rsid w:val="00763D3E"/>
    <w:rsid w:val="007649AB"/>
    <w:rsid w:val="00771D0C"/>
    <w:rsid w:val="0077468F"/>
    <w:rsid w:val="007833AC"/>
    <w:rsid w:val="007B268C"/>
    <w:rsid w:val="007B6029"/>
    <w:rsid w:val="007B7171"/>
    <w:rsid w:val="007C0C0F"/>
    <w:rsid w:val="007C3DC2"/>
    <w:rsid w:val="007E5497"/>
    <w:rsid w:val="00806F5F"/>
    <w:rsid w:val="00820278"/>
    <w:rsid w:val="008258C9"/>
    <w:rsid w:val="008302D2"/>
    <w:rsid w:val="00844AE9"/>
    <w:rsid w:val="00867F95"/>
    <w:rsid w:val="008843B6"/>
    <w:rsid w:val="00891928"/>
    <w:rsid w:val="00895125"/>
    <w:rsid w:val="008A446D"/>
    <w:rsid w:val="008B25F1"/>
    <w:rsid w:val="008B4354"/>
    <w:rsid w:val="008D180B"/>
    <w:rsid w:val="008F0EA7"/>
    <w:rsid w:val="008F5FB8"/>
    <w:rsid w:val="00923EEF"/>
    <w:rsid w:val="00925EE0"/>
    <w:rsid w:val="009368BF"/>
    <w:rsid w:val="009419F9"/>
    <w:rsid w:val="0095685E"/>
    <w:rsid w:val="00961B09"/>
    <w:rsid w:val="00965334"/>
    <w:rsid w:val="0097093E"/>
    <w:rsid w:val="0098051C"/>
    <w:rsid w:val="00981DC4"/>
    <w:rsid w:val="009A0DFA"/>
    <w:rsid w:val="009A1C6F"/>
    <w:rsid w:val="009B2D26"/>
    <w:rsid w:val="009C71FA"/>
    <w:rsid w:val="009C72E7"/>
    <w:rsid w:val="009C7F7E"/>
    <w:rsid w:val="009D3058"/>
    <w:rsid w:val="009E4DC8"/>
    <w:rsid w:val="009E7A0F"/>
    <w:rsid w:val="009F3A13"/>
    <w:rsid w:val="00A122D3"/>
    <w:rsid w:val="00A14468"/>
    <w:rsid w:val="00A147C1"/>
    <w:rsid w:val="00A15EAF"/>
    <w:rsid w:val="00A17F13"/>
    <w:rsid w:val="00A20739"/>
    <w:rsid w:val="00A23718"/>
    <w:rsid w:val="00A23AF9"/>
    <w:rsid w:val="00A27B80"/>
    <w:rsid w:val="00A33C78"/>
    <w:rsid w:val="00AB0ADB"/>
    <w:rsid w:val="00AB0D7F"/>
    <w:rsid w:val="00AF2F13"/>
    <w:rsid w:val="00B00C0E"/>
    <w:rsid w:val="00B01B1A"/>
    <w:rsid w:val="00B0381D"/>
    <w:rsid w:val="00B06EDB"/>
    <w:rsid w:val="00B44A47"/>
    <w:rsid w:val="00B46005"/>
    <w:rsid w:val="00B72CD3"/>
    <w:rsid w:val="00B72FFF"/>
    <w:rsid w:val="00BC3D36"/>
    <w:rsid w:val="00BD54A6"/>
    <w:rsid w:val="00BD7F72"/>
    <w:rsid w:val="00BF7425"/>
    <w:rsid w:val="00C04FB3"/>
    <w:rsid w:val="00C11D8B"/>
    <w:rsid w:val="00C15139"/>
    <w:rsid w:val="00C25191"/>
    <w:rsid w:val="00C30AAF"/>
    <w:rsid w:val="00C330EB"/>
    <w:rsid w:val="00C50D69"/>
    <w:rsid w:val="00C5365C"/>
    <w:rsid w:val="00C64141"/>
    <w:rsid w:val="00C754BE"/>
    <w:rsid w:val="00C7596E"/>
    <w:rsid w:val="00C76B1C"/>
    <w:rsid w:val="00C925AC"/>
    <w:rsid w:val="00CB5E7E"/>
    <w:rsid w:val="00CB6357"/>
    <w:rsid w:val="00CC1B26"/>
    <w:rsid w:val="00CD30F1"/>
    <w:rsid w:val="00D361FD"/>
    <w:rsid w:val="00D423A2"/>
    <w:rsid w:val="00D44E26"/>
    <w:rsid w:val="00D45947"/>
    <w:rsid w:val="00D520D8"/>
    <w:rsid w:val="00D63AC2"/>
    <w:rsid w:val="00D7383B"/>
    <w:rsid w:val="00D7788A"/>
    <w:rsid w:val="00D946E2"/>
    <w:rsid w:val="00DA231B"/>
    <w:rsid w:val="00DA7AB3"/>
    <w:rsid w:val="00DC39FC"/>
    <w:rsid w:val="00DC5A47"/>
    <w:rsid w:val="00DE4314"/>
    <w:rsid w:val="00DF5080"/>
    <w:rsid w:val="00DF5254"/>
    <w:rsid w:val="00E02524"/>
    <w:rsid w:val="00E102B7"/>
    <w:rsid w:val="00E16408"/>
    <w:rsid w:val="00E20894"/>
    <w:rsid w:val="00E245AB"/>
    <w:rsid w:val="00E2764C"/>
    <w:rsid w:val="00E27F2E"/>
    <w:rsid w:val="00E45AE9"/>
    <w:rsid w:val="00E50AFE"/>
    <w:rsid w:val="00E75C92"/>
    <w:rsid w:val="00E771DC"/>
    <w:rsid w:val="00E8772A"/>
    <w:rsid w:val="00E90F6B"/>
    <w:rsid w:val="00E92C27"/>
    <w:rsid w:val="00EA0E3D"/>
    <w:rsid w:val="00EB0917"/>
    <w:rsid w:val="00EC38A7"/>
    <w:rsid w:val="00ED1A98"/>
    <w:rsid w:val="00EE1AA8"/>
    <w:rsid w:val="00EE28A2"/>
    <w:rsid w:val="00F149B6"/>
    <w:rsid w:val="00F23FEA"/>
    <w:rsid w:val="00F31EDC"/>
    <w:rsid w:val="00F462B3"/>
    <w:rsid w:val="00F50690"/>
    <w:rsid w:val="00F5664F"/>
    <w:rsid w:val="00F666C4"/>
    <w:rsid w:val="00F707D2"/>
    <w:rsid w:val="00F76AFC"/>
    <w:rsid w:val="00FA47C0"/>
    <w:rsid w:val="00FB3F10"/>
    <w:rsid w:val="00FB5DD1"/>
    <w:rsid w:val="00FC01C6"/>
    <w:rsid w:val="00FC2B5D"/>
    <w:rsid w:val="00FD57B4"/>
    <w:rsid w:val="00FE0A59"/>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7468F"/>
    <w:rPr>
      <w:rFonts w:ascii="Geomanist Light" w:hAnsi="Geomanist Light"/>
      <w:lang w:val="es-ES"/>
    </w:rPr>
  </w:style>
  <w:style w:type="paragraph" w:customStyle="1" w:styleId="Appelnotedebasde">
    <w:name w:val="Appel note de bas de..."/>
    <w:basedOn w:val="Normal"/>
    <w:link w:val="Refdenotaalpie"/>
    <w:uiPriority w:val="99"/>
    <w:rsid w:val="0077468F"/>
    <w:pPr>
      <w:spacing w:line="240" w:lineRule="exact"/>
    </w:pPr>
    <w:rPr>
      <w:vertAlign w:val="superscript"/>
    </w:rPr>
  </w:style>
  <w:style w:type="paragraph" w:styleId="Textoindependiente">
    <w:name w:val="Body Text"/>
    <w:basedOn w:val="Normal"/>
    <w:link w:val="TextoindependienteCar"/>
    <w:uiPriority w:val="99"/>
    <w:unhideWhenUsed/>
    <w:rsid w:val="0077468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77468F"/>
    <w:rPr>
      <w:rFonts w:eastAsiaTheme="minorEastAsia"/>
      <w:lang w:eastAsia="es-CO"/>
    </w:rPr>
  </w:style>
  <w:style w:type="table" w:customStyle="1" w:styleId="Tablaconcuadrcula1">
    <w:name w:val="Tabla con cuadrícula1"/>
    <w:basedOn w:val="Tablanormal"/>
    <w:next w:val="Tablaconcuadrcula"/>
    <w:uiPriority w:val="39"/>
    <w:qFormat/>
    <w:rsid w:val="0077468F"/>
    <w:pPr>
      <w:spacing w:after="0" w:line="240" w:lineRule="auto"/>
    </w:pPr>
    <w:tblPr/>
  </w:style>
  <w:style w:type="character" w:customStyle="1" w:styleId="NormalWebCar">
    <w:name w:val="Normal (Web) Car"/>
    <w:link w:val="NormalWeb"/>
    <w:uiPriority w:val="99"/>
    <w:rsid w:val="0077468F"/>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895125"/>
    <w:rPr>
      <w:sz w:val="16"/>
      <w:szCs w:val="16"/>
    </w:rPr>
  </w:style>
  <w:style w:type="paragraph" w:styleId="Textocomentario">
    <w:name w:val="annotation text"/>
    <w:basedOn w:val="Normal"/>
    <w:link w:val="TextocomentarioCar"/>
    <w:uiPriority w:val="99"/>
    <w:unhideWhenUsed/>
    <w:rsid w:val="00895125"/>
    <w:pPr>
      <w:spacing w:line="240" w:lineRule="auto"/>
    </w:pPr>
    <w:rPr>
      <w:sz w:val="20"/>
      <w:szCs w:val="20"/>
    </w:rPr>
  </w:style>
  <w:style w:type="character" w:customStyle="1" w:styleId="TextocomentarioCar">
    <w:name w:val="Texto comentario Car"/>
    <w:basedOn w:val="Fuentedeprrafopredeter"/>
    <w:link w:val="Textocomentario"/>
    <w:uiPriority w:val="99"/>
    <w:rsid w:val="00895125"/>
    <w:rPr>
      <w:sz w:val="20"/>
      <w:szCs w:val="20"/>
    </w:rPr>
  </w:style>
  <w:style w:type="paragraph" w:styleId="Asuntodelcomentario">
    <w:name w:val="annotation subject"/>
    <w:basedOn w:val="Textocomentario"/>
    <w:next w:val="Textocomentario"/>
    <w:link w:val="AsuntodelcomentarioCar"/>
    <w:uiPriority w:val="99"/>
    <w:semiHidden/>
    <w:unhideWhenUsed/>
    <w:rsid w:val="00895125"/>
    <w:rPr>
      <w:b/>
      <w:bCs/>
    </w:rPr>
  </w:style>
  <w:style w:type="character" w:customStyle="1" w:styleId="AsuntodelcomentarioCar">
    <w:name w:val="Asunto del comentario Car"/>
    <w:basedOn w:val="TextocomentarioCar"/>
    <w:link w:val="Asuntodelcomentario"/>
    <w:uiPriority w:val="99"/>
    <w:semiHidden/>
    <w:rsid w:val="00895125"/>
    <w:rPr>
      <w:b/>
      <w:bCs/>
      <w:sz w:val="20"/>
      <w:szCs w:val="20"/>
    </w:rPr>
  </w:style>
  <w:style w:type="paragraph" w:customStyle="1" w:styleId="pf0">
    <w:name w:val="pf0"/>
    <w:basedOn w:val="Normal"/>
    <w:rsid w:val="00895125"/>
    <w:pPr>
      <w:spacing w:before="100" w:beforeAutospacing="1" w:after="100" w:afterAutospacing="1" w:line="240" w:lineRule="auto"/>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archivos/manual/guia-para-determinar-y-verificar-la-capacidad-residual-del-proponente-en-los-procesos-de-contratacion-de-obra-publica"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yalgarrav@g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manual-para-determinar-y-verificar-los-requisitos-habilitantes-en-los-procesos-de-contratacion"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1C49B30-1E82-4E30-B395-3B211EB94029}"/>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66</TotalTime>
  <Pages>21</Pages>
  <Words>7216</Words>
  <Characters>39474</Characters>
  <Application>Microsoft Office Word</Application>
  <DocSecurity>0</DocSecurity>
  <Lines>805</Lines>
  <Paragraphs>181</Paragraphs>
  <ScaleCrop>false</ScaleCrop>
  <Company/>
  <LinksUpToDate>false</LinksUpToDate>
  <CharactersWithSpaces>46509</CharactersWithSpaces>
  <SharedDoc>false</SharedDoc>
  <HLinks>
    <vt:vector size="36" baseType="variant">
      <vt:variant>
        <vt:i4>3276900</vt:i4>
      </vt:variant>
      <vt:variant>
        <vt:i4>12</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9</vt:i4>
      </vt:variant>
      <vt:variant>
        <vt:i4>0</vt:i4>
      </vt:variant>
      <vt:variant>
        <vt:i4>5</vt:i4>
      </vt:variant>
      <vt:variant>
        <vt:lpwstr>https://relatoria.colombiacompra.gov.co/busqueda/conceptos</vt:lpwstr>
      </vt:variant>
      <vt:variant>
        <vt:lpwstr/>
      </vt:variant>
      <vt:variant>
        <vt:i4>65617</vt:i4>
      </vt:variant>
      <vt:variant>
        <vt:i4>6</vt:i4>
      </vt:variant>
      <vt:variant>
        <vt:i4>0</vt:i4>
      </vt:variant>
      <vt:variant>
        <vt:i4>5</vt:i4>
      </vt:variant>
      <vt:variant>
        <vt:lpwstr>https://www.colombiacompra.gov.co/archivos/manual/manual-para-determinar-y-verificar-los-requisitos-habilitantes-en-los-procesos-de-contratacion</vt:lpwstr>
      </vt:variant>
      <vt:variant>
        <vt:lpwstr/>
      </vt:variant>
      <vt:variant>
        <vt:i4>6684780</vt:i4>
      </vt:variant>
      <vt:variant>
        <vt:i4>3</vt:i4>
      </vt:variant>
      <vt:variant>
        <vt:i4>0</vt:i4>
      </vt:variant>
      <vt:variant>
        <vt:i4>5</vt:i4>
      </vt:variant>
      <vt:variant>
        <vt:lpwstr>https://www.colombiacompra.gov.co/archivos/manual/guia-para-determinar-y-verificar-la-capacidad-residual-del-proponente-en-los-procesos-de-contratacion-de-obra-publica</vt:lpwstr>
      </vt:variant>
      <vt:variant>
        <vt:lpwstr/>
      </vt:variant>
      <vt:variant>
        <vt:i4>1245235</vt:i4>
      </vt:variant>
      <vt:variant>
        <vt:i4>0</vt:i4>
      </vt:variant>
      <vt:variant>
        <vt:i4>0</vt:i4>
      </vt:variant>
      <vt:variant>
        <vt:i4>5</vt:i4>
      </vt:variant>
      <vt:variant>
        <vt:lpwstr>mailto:ayalgarrav@gmail.com</vt:lpwstr>
      </vt:variant>
      <vt:variant>
        <vt:lpwstr/>
      </vt:variant>
      <vt:variant>
        <vt:i4>65617</vt:i4>
      </vt:variant>
      <vt:variant>
        <vt:i4>0</vt:i4>
      </vt:variant>
      <vt:variant>
        <vt:i4>0</vt:i4>
      </vt:variant>
      <vt:variant>
        <vt:i4>5</vt:i4>
      </vt:variant>
      <vt:variant>
        <vt:lpwstr>https://www.colombiacompra.gov.co/archivos/manual/manual-para-determinar-y-verificar-los-requisitos-habilitantes-en-los-procesos-de-contratacion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Camila Alejandra Naranjo Gómez</cp:lastModifiedBy>
  <cp:revision>21</cp:revision>
  <cp:lastPrinted>2023-01-10T21:18:00Z</cp:lastPrinted>
  <dcterms:created xsi:type="dcterms:W3CDTF">2026-01-21T20:37:00Z</dcterms:created>
  <dcterms:modified xsi:type="dcterms:W3CDTF">2026-01-21T22:52:00Z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