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2FDA8" w14:textId="025737E6" w:rsidR="008D5774" w:rsidRDefault="009C44A9" w:rsidP="008D5774">
      <w:pPr>
        <w:spacing w:after="0"/>
        <w:contextualSpacing/>
        <w:jc w:val="both"/>
        <w:rPr>
          <w:rFonts w:ascii="Verdana" w:eastAsia="Calibri" w:hAnsi="Verdana" w:cs="Arial"/>
          <w:b/>
          <w:bCs/>
          <w:lang w:val="es-ES" w:eastAsia="es-ES"/>
        </w:rPr>
      </w:pPr>
      <w:r w:rsidRPr="009C44A9">
        <w:rPr>
          <w:rFonts w:ascii="Verdana" w:eastAsia="Calibri" w:hAnsi="Verdana" w:cs="Arial"/>
          <w:b/>
          <w:bCs/>
          <w:lang w:val="es-ES" w:eastAsia="es-ES"/>
        </w:rPr>
        <w:t>LEY DE GARANTÍAS– Requisitos de perfeccionamiento y ejecución</w:t>
      </w:r>
    </w:p>
    <w:p w14:paraId="40513F71" w14:textId="77777777" w:rsidR="009C44A9" w:rsidRPr="00782836" w:rsidRDefault="009C44A9" w:rsidP="008D5774">
      <w:pPr>
        <w:spacing w:after="0"/>
        <w:contextualSpacing/>
        <w:jc w:val="both"/>
        <w:rPr>
          <w:rFonts w:ascii="Verdana" w:eastAsia="Calibri" w:hAnsi="Verdana" w:cs="Arial"/>
          <w:b/>
          <w:bCs/>
          <w:lang w:val="es-ES" w:eastAsia="es-ES"/>
        </w:rPr>
      </w:pPr>
    </w:p>
    <w:p w14:paraId="6D2ABB9C" w14:textId="11FDF38F" w:rsidR="008D5774" w:rsidRDefault="00816FE1" w:rsidP="008D5774">
      <w:pPr>
        <w:spacing w:after="0" w:line="240" w:lineRule="auto"/>
        <w:jc w:val="both"/>
        <w:rPr>
          <w:rFonts w:ascii="Verdana" w:eastAsia="Times New Roman" w:hAnsi="Verdana" w:cs="Arial"/>
          <w:sz w:val="20"/>
          <w:szCs w:val="20"/>
          <w:lang w:val="es-ES" w:eastAsia="es-CO"/>
        </w:rPr>
      </w:pPr>
      <w:r w:rsidRPr="00816FE1">
        <w:rPr>
          <w:rFonts w:ascii="Verdana" w:eastAsia="Times New Roman" w:hAnsi="Verdana" w:cs="Arial"/>
          <w:sz w:val="20"/>
          <w:szCs w:val="20"/>
          <w:lang w:val="es-ES" w:eastAsia="es-CO"/>
        </w:rPr>
        <w:t>La Ley 996 de 2005 también conocida como Ley de Garantías Electorales establece dos restricciones en particular la contratación estatal. Por un lado, 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desastres naturales o eventos de fuerza mayor, y los que deban celebrar las entidades sanitarias y hospitalarias. De otra parte,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7CC31C08" w14:textId="77777777" w:rsidR="00816FE1" w:rsidRPr="009233BB" w:rsidRDefault="00816FE1" w:rsidP="008D5774">
      <w:pPr>
        <w:spacing w:after="0" w:line="240" w:lineRule="auto"/>
        <w:jc w:val="both"/>
        <w:rPr>
          <w:rFonts w:ascii="Calibri" w:eastAsia="Calibri" w:hAnsi="Calibri" w:cs="Times New Roman"/>
          <w:color w:val="ED7D31" w:themeColor="accent2"/>
          <w:lang w:val="es-ES"/>
        </w:rPr>
      </w:pPr>
    </w:p>
    <w:p w14:paraId="1B6C4922" w14:textId="77777777" w:rsidR="008D5774" w:rsidRPr="00782836" w:rsidRDefault="008D5774" w:rsidP="008D5774">
      <w:pPr>
        <w:contextualSpacing/>
        <w:jc w:val="both"/>
        <w:rPr>
          <w:rFonts w:ascii="Verdana" w:eastAsia="Calibri" w:hAnsi="Verdana" w:cs="Arial"/>
          <w:b/>
          <w:bCs/>
          <w:lang w:val="es-ES" w:eastAsia="es-ES"/>
        </w:rPr>
      </w:pPr>
      <w:r w:rsidRPr="00782836">
        <w:rPr>
          <w:rFonts w:ascii="Verdana" w:eastAsia="Calibri" w:hAnsi="Verdana" w:cs="Arial"/>
          <w:b/>
          <w:bCs/>
          <w:lang w:val="es-ES" w:eastAsia="es-ES"/>
        </w:rPr>
        <w:t>LEY DE GARANTÍAS ELECTORALES ‒ Restricciones ‒ Contratación ‒ Tipos de elección</w:t>
      </w:r>
    </w:p>
    <w:p w14:paraId="243E61C3" w14:textId="77777777" w:rsidR="008D5774" w:rsidRPr="00782836" w:rsidRDefault="008D5774" w:rsidP="008D5774">
      <w:pPr>
        <w:spacing w:after="0" w:line="240" w:lineRule="auto"/>
        <w:jc w:val="both"/>
        <w:rPr>
          <w:rFonts w:ascii="Verdana" w:eastAsia="Calibri" w:hAnsi="Verdana" w:cs="Arial"/>
          <w:b/>
          <w:bCs/>
          <w:lang w:val="es-ES" w:eastAsia="es-ES"/>
        </w:rPr>
      </w:pPr>
    </w:p>
    <w:p w14:paraId="08394977" w14:textId="77777777" w:rsidR="008D5774" w:rsidRPr="00782836" w:rsidRDefault="008D5774" w:rsidP="008D5774">
      <w:pPr>
        <w:spacing w:after="0" w:line="240" w:lineRule="auto"/>
        <w:jc w:val="both"/>
        <w:rPr>
          <w:rFonts w:ascii="Verdana" w:eastAsia="Arial" w:hAnsi="Verdana" w:cs="Arial"/>
          <w:sz w:val="20"/>
          <w:szCs w:val="20"/>
          <w:lang w:val="es-ES" w:eastAsia="es-ES" w:bidi="es-ES"/>
        </w:rPr>
      </w:pPr>
      <w:r w:rsidRPr="00782836">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782836">
        <w:rPr>
          <w:rFonts w:ascii="Verdana" w:eastAsia="Arial" w:hAnsi="Verdana" w:cs="Arial"/>
          <w:i/>
          <w:sz w:val="20"/>
          <w:szCs w:val="20"/>
          <w:lang w:val="es-ES" w:eastAsia="es-ES" w:bidi="es-ES"/>
        </w:rPr>
        <w:t>En primer lugar</w:t>
      </w:r>
      <w:r w:rsidRPr="00782836">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82836">
        <w:rPr>
          <w:rFonts w:ascii="Verdana" w:eastAsia="Arial" w:hAnsi="Verdana" w:cs="Arial"/>
          <w:i/>
          <w:sz w:val="20"/>
          <w:szCs w:val="20"/>
          <w:lang w:val="es-ES" w:eastAsia="es-ES" w:bidi="es-ES"/>
        </w:rPr>
        <w:t>En segundo lugar</w:t>
      </w:r>
      <w:r w:rsidRPr="00782836">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8C4029F" w14:textId="77777777" w:rsidR="008D5774" w:rsidRPr="009233BB" w:rsidRDefault="008D5774" w:rsidP="008D5774">
      <w:pPr>
        <w:spacing w:after="0" w:line="240" w:lineRule="auto"/>
        <w:jc w:val="both"/>
        <w:rPr>
          <w:rFonts w:ascii="Verdana" w:eastAsia="Geomanist Light" w:hAnsi="Verdana" w:cs="Arial"/>
          <w:b/>
          <w:bCs/>
          <w:color w:val="ED7D31" w:themeColor="accent2"/>
          <w:lang w:val="es-ES"/>
        </w:rPr>
      </w:pPr>
    </w:p>
    <w:p w14:paraId="32A53D91" w14:textId="77777777" w:rsidR="008D5774" w:rsidRPr="003D4410" w:rsidRDefault="008D5774" w:rsidP="008D5774">
      <w:pPr>
        <w:spacing w:after="0" w:line="240" w:lineRule="auto"/>
        <w:jc w:val="both"/>
        <w:rPr>
          <w:rFonts w:ascii="Verdana" w:eastAsia="Calibri" w:hAnsi="Verdana" w:cs="Arial"/>
          <w:b/>
          <w:bCs/>
          <w:lang w:val="es-ES" w:eastAsia="es-ES"/>
        </w:rPr>
      </w:pPr>
      <w:r w:rsidRPr="003D4410">
        <w:rPr>
          <w:rFonts w:ascii="Verdana" w:eastAsia="Calibri" w:hAnsi="Verdana" w:cs="Arial"/>
          <w:b/>
          <w:bCs/>
          <w:lang w:val="es-ES" w:eastAsia="es-ES"/>
        </w:rPr>
        <w:t xml:space="preserve">LEY DE GARANTÍAS ELECTORALES ‒ Artículo 33 </w:t>
      </w:r>
    </w:p>
    <w:p w14:paraId="0837B92C" w14:textId="77777777" w:rsidR="008D5774" w:rsidRPr="003D4410" w:rsidRDefault="008D5774" w:rsidP="008D5774">
      <w:pPr>
        <w:spacing w:after="0" w:line="240" w:lineRule="auto"/>
        <w:jc w:val="both"/>
        <w:rPr>
          <w:rFonts w:ascii="Verdana" w:eastAsia="Calibri" w:hAnsi="Verdana" w:cs="Arial"/>
          <w:b/>
          <w:bCs/>
          <w:lang w:val="es-ES" w:eastAsia="es-ES"/>
        </w:rPr>
      </w:pPr>
    </w:p>
    <w:p w14:paraId="5CC78A20" w14:textId="77777777" w:rsidR="008D5774" w:rsidRPr="003D4410" w:rsidRDefault="008D5774" w:rsidP="008D5774">
      <w:pPr>
        <w:spacing w:after="0" w:line="240" w:lineRule="auto"/>
        <w:jc w:val="both"/>
        <w:rPr>
          <w:rFonts w:ascii="Verdana" w:eastAsia="Calibri" w:hAnsi="Verdana" w:cs="Arial"/>
          <w:sz w:val="20"/>
          <w:szCs w:val="20"/>
          <w:lang w:val="es-ES"/>
        </w:rPr>
      </w:pPr>
      <w:r w:rsidRPr="003D4410">
        <w:rPr>
          <w:rFonts w:ascii="Verdana" w:eastAsia="Calibri" w:hAnsi="Verdana" w:cs="Arial"/>
          <w:sz w:val="20"/>
          <w:szCs w:val="20"/>
          <w:lang w:val="es-ES"/>
        </w:rPr>
        <w:t xml:space="preserve">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w:t>
      </w:r>
      <w:r w:rsidRPr="003D4410">
        <w:rPr>
          <w:rFonts w:ascii="Verdana" w:eastAsia="Calibri" w:hAnsi="Verdana" w:cs="Arial"/>
          <w:sz w:val="20"/>
          <w:szCs w:val="20"/>
          <w:lang w:val="es-ES"/>
        </w:rPr>
        <w:lastRenderedPageBreak/>
        <w:t>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E0ACFDA" w14:textId="77777777" w:rsidR="008D5774" w:rsidRPr="003D4410" w:rsidRDefault="008D5774" w:rsidP="008D5774">
      <w:pPr>
        <w:spacing w:after="0" w:line="240" w:lineRule="auto"/>
        <w:jc w:val="both"/>
        <w:rPr>
          <w:rFonts w:ascii="Verdana" w:eastAsia="Calibri" w:hAnsi="Verdana" w:cs="Arial"/>
          <w:sz w:val="20"/>
          <w:szCs w:val="20"/>
          <w:lang w:val="es-ES"/>
        </w:rPr>
      </w:pPr>
    </w:p>
    <w:p w14:paraId="2FD4E36B" w14:textId="77777777" w:rsidR="008D5774" w:rsidRPr="003D4410" w:rsidRDefault="008D5774" w:rsidP="008D5774">
      <w:pPr>
        <w:contextualSpacing/>
        <w:jc w:val="both"/>
        <w:rPr>
          <w:rFonts w:ascii="Verdana" w:eastAsia="Calibri" w:hAnsi="Verdana" w:cs="Arial"/>
          <w:b/>
          <w:bCs/>
          <w:lang w:val="es-ES" w:eastAsia="es-ES"/>
        </w:rPr>
      </w:pPr>
      <w:r w:rsidRPr="003D4410">
        <w:rPr>
          <w:rFonts w:ascii="Verdana" w:eastAsia="Calibri" w:hAnsi="Verdana" w:cs="Arial"/>
          <w:b/>
          <w:bCs/>
          <w:lang w:val="es-ES" w:eastAsia="es-ES"/>
        </w:rPr>
        <w:t>LEY DE GARANTÍAS ELECTORALES ‒ Artículo 38 ‒ Parágrafo</w:t>
      </w:r>
    </w:p>
    <w:p w14:paraId="15255837" w14:textId="77777777" w:rsidR="008D5774" w:rsidRPr="003D4410" w:rsidRDefault="008D5774" w:rsidP="008D5774">
      <w:pPr>
        <w:spacing w:line="240" w:lineRule="auto"/>
        <w:contextualSpacing/>
        <w:jc w:val="both"/>
        <w:rPr>
          <w:rFonts w:ascii="Verdana" w:eastAsia="Calibri" w:hAnsi="Verdana" w:cs="Arial"/>
          <w:b/>
          <w:bCs/>
          <w:sz w:val="20"/>
          <w:szCs w:val="20"/>
          <w:lang w:val="es-ES" w:eastAsia="es-ES"/>
        </w:rPr>
      </w:pPr>
    </w:p>
    <w:p w14:paraId="54B5EF60" w14:textId="77777777" w:rsidR="008D5774" w:rsidRDefault="008D5774" w:rsidP="008D5774">
      <w:pPr>
        <w:spacing w:after="0" w:line="240" w:lineRule="auto"/>
        <w:contextualSpacing/>
        <w:jc w:val="both"/>
        <w:rPr>
          <w:rFonts w:ascii="Verdana" w:eastAsia="Times New Roman" w:hAnsi="Verdana" w:cs="Arial"/>
          <w:sz w:val="20"/>
          <w:szCs w:val="20"/>
          <w:lang w:val="es-ES"/>
        </w:rPr>
      </w:pPr>
      <w:r w:rsidRPr="003D4410">
        <w:rPr>
          <w:rFonts w:ascii="Verdana" w:eastAsia="Times New Roman" w:hAnsi="Verdana" w:cs="Arial"/>
          <w:sz w:val="20"/>
          <w:szCs w:val="20"/>
          <w:lang w:val="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4FDA3C7" w14:textId="77777777" w:rsidR="00B6113F" w:rsidRDefault="00B6113F" w:rsidP="008D5774">
      <w:pPr>
        <w:spacing w:after="0" w:line="240" w:lineRule="auto"/>
        <w:contextualSpacing/>
        <w:jc w:val="both"/>
        <w:rPr>
          <w:rFonts w:ascii="Verdana" w:eastAsia="Times New Roman" w:hAnsi="Verdana" w:cs="Arial"/>
          <w:sz w:val="20"/>
          <w:szCs w:val="20"/>
          <w:lang w:val="es-ES"/>
        </w:rPr>
      </w:pPr>
    </w:p>
    <w:p w14:paraId="375FEEFE" w14:textId="1D5F5AA5" w:rsidR="00B6113F" w:rsidRPr="00B6113F" w:rsidRDefault="00B6113F" w:rsidP="008D5774">
      <w:pPr>
        <w:spacing w:after="0" w:line="240" w:lineRule="auto"/>
        <w:contextualSpacing/>
        <w:jc w:val="both"/>
        <w:rPr>
          <w:rFonts w:ascii="Verdana" w:eastAsia="Calibri" w:hAnsi="Verdana" w:cs="Arial"/>
          <w:b/>
          <w:bCs/>
          <w:lang w:val="es-ES" w:eastAsia="es-ES"/>
        </w:rPr>
      </w:pPr>
      <w:r w:rsidRPr="00B6113F">
        <w:rPr>
          <w:rFonts w:ascii="Verdana" w:eastAsia="Calibri" w:hAnsi="Verdana" w:cs="Arial"/>
          <w:b/>
          <w:bCs/>
          <w:lang w:val="es-ES" w:eastAsia="es-ES"/>
        </w:rPr>
        <w:t>LEY DE GARANTÍAS ELECTORALES ─ Prohibición ‒ Contratación directa ‒ Alcance</w:t>
      </w:r>
    </w:p>
    <w:p w14:paraId="62AD14F5" w14:textId="77777777" w:rsidR="008D5774" w:rsidRPr="009233BB" w:rsidRDefault="008D5774" w:rsidP="008D5774">
      <w:pPr>
        <w:spacing w:after="0" w:line="240" w:lineRule="auto"/>
        <w:jc w:val="both"/>
        <w:rPr>
          <w:rFonts w:ascii="Verdana" w:eastAsia="Arial" w:hAnsi="Verdana" w:cs="Arial"/>
          <w:color w:val="ED7D31" w:themeColor="accent2"/>
          <w:sz w:val="18"/>
          <w:szCs w:val="18"/>
          <w:lang w:val="es-ES" w:eastAsia="es-ES" w:bidi="es-ES"/>
        </w:rPr>
      </w:pPr>
    </w:p>
    <w:p w14:paraId="61C16719" w14:textId="5A6D9C7B" w:rsidR="00F32723" w:rsidRDefault="005E492A" w:rsidP="005E492A">
      <w:pPr>
        <w:spacing w:line="240" w:lineRule="auto"/>
        <w:contextualSpacing/>
        <w:jc w:val="both"/>
        <w:rPr>
          <w:rFonts w:ascii="Verdana" w:eastAsia="Calibri" w:hAnsi="Verdana" w:cs="Arial"/>
          <w:sz w:val="20"/>
          <w:szCs w:val="20"/>
          <w:lang w:val="es-ES" w:eastAsia="es-ES"/>
        </w:rPr>
      </w:pPr>
      <w:r w:rsidRPr="005E492A">
        <w:rPr>
          <w:rFonts w:ascii="Verdana" w:eastAsia="Calibri" w:hAnsi="Verdana" w:cs="Arial"/>
          <w:sz w:val="20"/>
          <w:szCs w:val="20"/>
          <w:lang w:val="es-ES" w:eastAsia="es-ES"/>
        </w:rPr>
        <w:t xml:space="preserve">El ordenamiento jurídico dispone que la modalidad aplicable para la celebración de convenios interadministrativos es la contratación directa, conforme expresamente lo dispone el artículo 2.2.1.2.1.4.4. del Decreto 1082 de 2015. Esto resulta particularmente relevante para el particular, ya que, si bien los convenios interadministrativos a título gratuito no se encuentran cobijados por la restricción del parágrafo del artículo 38 de la Ley 996 de 2005, por el hecho de no contemplar la ejecución de recursos públicos, si pueden estar cobijados por la prohibición a la contratación directa establecida por el artículo 33 de la Ley 996 de 2005.  </w:t>
      </w:r>
    </w:p>
    <w:p w14:paraId="70BAB812" w14:textId="77777777" w:rsidR="005E492A" w:rsidRPr="005E492A" w:rsidRDefault="005E492A" w:rsidP="005E492A">
      <w:pPr>
        <w:spacing w:line="240" w:lineRule="auto"/>
        <w:contextualSpacing/>
        <w:jc w:val="both"/>
        <w:rPr>
          <w:rFonts w:ascii="Verdana" w:eastAsia="Calibri" w:hAnsi="Verdana" w:cs="Arial"/>
          <w:sz w:val="20"/>
          <w:szCs w:val="20"/>
          <w:lang w:val="es-ES" w:eastAsia="es-ES"/>
        </w:rPr>
      </w:pPr>
    </w:p>
    <w:p w14:paraId="56075549" w14:textId="78450724" w:rsidR="005E492A" w:rsidRDefault="00F32723" w:rsidP="005E492A">
      <w:pPr>
        <w:spacing w:after="0" w:line="240" w:lineRule="auto"/>
        <w:contextualSpacing/>
        <w:jc w:val="both"/>
        <w:rPr>
          <w:rFonts w:ascii="Verdana" w:eastAsia="Calibri" w:hAnsi="Verdana" w:cs="Arial"/>
          <w:b/>
          <w:bCs/>
          <w:lang w:val="es-ES" w:eastAsia="es-ES"/>
        </w:rPr>
      </w:pPr>
      <w:r w:rsidRPr="005E492A">
        <w:rPr>
          <w:rFonts w:ascii="Verdana" w:eastAsia="Calibri" w:hAnsi="Verdana" w:cs="Arial"/>
          <w:b/>
          <w:bCs/>
          <w:lang w:val="es-ES" w:eastAsia="es-ES"/>
        </w:rPr>
        <w:t xml:space="preserve">LEY DE GARANTÍAS ELECTORALES ─ Excepciones – Convenios a título gratuito  </w:t>
      </w:r>
    </w:p>
    <w:p w14:paraId="16836698" w14:textId="77777777" w:rsidR="005E492A" w:rsidRPr="005E492A" w:rsidRDefault="005E492A" w:rsidP="005E492A">
      <w:pPr>
        <w:spacing w:after="0" w:line="240" w:lineRule="auto"/>
        <w:contextualSpacing/>
        <w:jc w:val="both"/>
        <w:rPr>
          <w:rFonts w:ascii="Verdana" w:eastAsia="Calibri" w:hAnsi="Verdana" w:cs="Arial"/>
          <w:b/>
          <w:bCs/>
          <w:lang w:val="es-ES" w:eastAsia="es-ES"/>
        </w:rPr>
      </w:pPr>
    </w:p>
    <w:p w14:paraId="407630E0" w14:textId="01070F7C" w:rsidR="008D5774" w:rsidRPr="00F32723" w:rsidRDefault="00F32723" w:rsidP="00F32723">
      <w:pPr>
        <w:spacing w:after="0" w:line="240" w:lineRule="auto"/>
        <w:contextualSpacing/>
        <w:jc w:val="both"/>
        <w:rPr>
          <w:rFonts w:ascii="Verdana" w:eastAsia="Times New Roman" w:hAnsi="Verdana" w:cs="Arial"/>
          <w:sz w:val="20"/>
          <w:szCs w:val="20"/>
          <w:lang w:val="es-ES"/>
        </w:rPr>
      </w:pPr>
      <w:r w:rsidRPr="00F32723">
        <w:rPr>
          <w:rFonts w:ascii="Verdana" w:eastAsia="Times New Roman" w:hAnsi="Verdana" w:cs="Arial"/>
          <w:sz w:val="20"/>
          <w:szCs w:val="20"/>
          <w:lang w:val="es-ES"/>
        </w:rPr>
        <w:t xml:space="preserve">En atención a esto, si bien, en principio, resulta viable celebrar de manera directa un convenio interadministrativo a título gratuito en vigencia de la restricción del artículo 38, esto no resulta válido cuando esté en vigencia la prohibición del artículo 33, ya que esta aplica de manera de manera general a la contratación directa y no contempla excepciones para convenio a título gratuito. En ese orden, una vez entrada en vigor la restricción del artículo 33 de la Ley 996 de 2005, solo resulta jurídicamente viable celebrar convenios interadministrativos a título gratuito, si respecto de estos se configura alguna de las excepciones establecidas en dicha disposición.   </w:t>
      </w:r>
    </w:p>
    <w:p w14:paraId="113DCBEF" w14:textId="77777777" w:rsidR="008D5774" w:rsidRPr="003D4410" w:rsidRDefault="008D5774" w:rsidP="008D5774">
      <w:pPr>
        <w:spacing w:after="0" w:line="240" w:lineRule="auto"/>
        <w:contextualSpacing/>
        <w:jc w:val="both"/>
        <w:rPr>
          <w:rFonts w:ascii="Verdana" w:eastAsia="Calibri" w:hAnsi="Verdana" w:cs="Arial"/>
          <w:b/>
          <w:bCs/>
          <w:sz w:val="20"/>
          <w:szCs w:val="20"/>
          <w:lang w:eastAsia="es-ES"/>
        </w:rPr>
      </w:pPr>
    </w:p>
    <w:p w14:paraId="0AC5390A" w14:textId="77777777" w:rsidR="008D5774" w:rsidRPr="003D4410" w:rsidRDefault="008D5774" w:rsidP="008D5774">
      <w:pPr>
        <w:spacing w:after="0" w:line="240" w:lineRule="auto"/>
        <w:contextualSpacing/>
        <w:jc w:val="both"/>
        <w:rPr>
          <w:rFonts w:ascii="Verdana" w:eastAsia="Calibri" w:hAnsi="Verdana" w:cs="Arial"/>
          <w:b/>
          <w:bCs/>
          <w:sz w:val="20"/>
          <w:szCs w:val="20"/>
          <w:lang w:val="es-ES" w:eastAsia="es-ES"/>
        </w:rPr>
      </w:pPr>
    </w:p>
    <w:p w14:paraId="4B29E45D" w14:textId="77777777" w:rsidR="008D5774" w:rsidRPr="009233BB"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212A9250" w14:textId="77777777" w:rsidR="008D5774" w:rsidRPr="009233BB"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793BC852" w14:textId="77777777" w:rsidR="008D5774" w:rsidRPr="009233BB"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0F5981A1" w14:textId="77777777" w:rsidR="00737577" w:rsidRDefault="00737577" w:rsidP="008D5774">
      <w:pPr>
        <w:spacing w:after="0"/>
        <w:rPr>
          <w:rFonts w:ascii="Verdana" w:hAnsi="Verdana"/>
        </w:rPr>
      </w:pPr>
    </w:p>
    <w:p w14:paraId="31F6A3C1" w14:textId="0ED072BA" w:rsidR="008D5774" w:rsidRPr="002734D6" w:rsidRDefault="008D5774" w:rsidP="008D5774">
      <w:pPr>
        <w:spacing w:after="0"/>
        <w:rPr>
          <w:rFonts w:ascii="Verdana" w:hAnsi="Verdana"/>
        </w:rPr>
      </w:pPr>
      <w:r w:rsidRPr="002734D6">
        <w:rPr>
          <w:rFonts w:ascii="Verdana" w:hAnsi="Verdana"/>
        </w:rPr>
        <w:lastRenderedPageBreak/>
        <w:t xml:space="preserve">Bogotá D.C., </w:t>
      </w:r>
      <w:r w:rsidR="003974B1">
        <w:rPr>
          <w:rFonts w:ascii="Verdana" w:hAnsi="Verdana"/>
        </w:rPr>
        <w:t>09 Enero 2026</w:t>
      </w:r>
    </w:p>
    <w:p w14:paraId="5DF4E0A1" w14:textId="77777777" w:rsidR="008D5774" w:rsidRPr="002047EB" w:rsidRDefault="008D5774" w:rsidP="008D5774">
      <w:pPr>
        <w:spacing w:after="0"/>
        <w:rPr>
          <w:rFonts w:ascii="Verdana" w:hAnsi="Verdana"/>
          <w:lang w:val="es-ES"/>
        </w:rPr>
      </w:pPr>
    </w:p>
    <w:p w14:paraId="165A5F33" w14:textId="6D278AA8" w:rsidR="008D5774" w:rsidRPr="002047EB" w:rsidRDefault="002809EE" w:rsidP="008D5774">
      <w:pPr>
        <w:spacing w:after="0" w:line="240" w:lineRule="auto"/>
        <w:rPr>
          <w:rFonts w:ascii="Verdana" w:hAnsi="Verdana"/>
          <w:lang w:val="es-ES"/>
        </w:rPr>
      </w:pPr>
      <w:bookmarkStart w:id="0" w:name="_Hlk143780582"/>
      <w:r w:rsidRPr="004E7B1E">
        <w:rPr>
          <w:rFonts w:ascii="Verdana" w:eastAsia="Calibri" w:hAnsi="Verdana" w:cs="Arial"/>
          <w:lang w:val="es-ES" w:eastAsia="es-ES"/>
        </w:rPr>
        <w:drawing>
          <wp:anchor distT="0" distB="0" distL="114300" distR="114300" simplePos="0" relativeHeight="251660288" behindDoc="1" locked="0" layoutInCell="1" allowOverlap="1" wp14:anchorId="0DDA60B0" wp14:editId="20FF39F5">
            <wp:simplePos x="0" y="0"/>
            <wp:positionH relativeFrom="margin">
              <wp:align>right</wp:align>
            </wp:positionH>
            <wp:positionV relativeFrom="paragraph">
              <wp:posOffset>10160</wp:posOffset>
            </wp:positionV>
            <wp:extent cx="2857500" cy="857885"/>
            <wp:effectExtent l="0" t="0" r="0" b="0"/>
            <wp:wrapNone/>
            <wp:docPr id="15864026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4026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57500" cy="857885"/>
                    </a:xfrm>
                    <a:prstGeom prst="rect">
                      <a:avLst/>
                    </a:prstGeom>
                  </pic:spPr>
                </pic:pic>
              </a:graphicData>
            </a:graphic>
          </wp:anchor>
        </w:drawing>
      </w:r>
      <w:r w:rsidR="008D5774" w:rsidRPr="002047EB">
        <w:rPr>
          <w:rFonts w:ascii="Verdana" w:eastAsia="Calibri" w:hAnsi="Verdana" w:cs="Arial"/>
          <w:lang w:val="es-ES" w:eastAsia="es-ES"/>
        </w:rPr>
        <w:t>Señora</w:t>
      </w:r>
    </w:p>
    <w:p w14:paraId="2402F1C9" w14:textId="77777777" w:rsidR="008D5774" w:rsidRDefault="008D5774" w:rsidP="008D5774">
      <w:pPr>
        <w:spacing w:after="0"/>
        <w:rPr>
          <w:rFonts w:ascii="Verdana" w:eastAsia="Calibri" w:hAnsi="Verdana" w:cs="Arial"/>
          <w:b/>
          <w:bCs/>
          <w:lang w:val="es-ES" w:eastAsia="es-ES"/>
        </w:rPr>
      </w:pPr>
      <w:r w:rsidRPr="002047EB">
        <w:rPr>
          <w:rFonts w:ascii="Verdana" w:eastAsia="Calibri" w:hAnsi="Verdana" w:cs="Arial"/>
          <w:b/>
          <w:bCs/>
          <w:lang w:val="es-ES" w:eastAsia="es-ES"/>
        </w:rPr>
        <w:t>Tatiana Alejandra Poveda</w:t>
      </w:r>
    </w:p>
    <w:p w14:paraId="20025FB9" w14:textId="77777777" w:rsidR="008D5774" w:rsidRPr="007C4AAD" w:rsidRDefault="008D5774" w:rsidP="008D5774">
      <w:pPr>
        <w:spacing w:after="0"/>
        <w:rPr>
          <w:rFonts w:ascii="Verdana" w:eastAsia="Calibri" w:hAnsi="Verdana" w:cs="Arial"/>
          <w:lang w:val="es-ES" w:eastAsia="es-ES"/>
        </w:rPr>
      </w:pPr>
      <w:r>
        <w:rPr>
          <w:rFonts w:ascii="Verdana" w:eastAsia="Calibri" w:hAnsi="Verdana" w:cs="Arial"/>
          <w:lang w:val="es-ES" w:eastAsia="es-ES"/>
        </w:rPr>
        <w:t>Artesanías de Colombia S.A - BIC</w:t>
      </w:r>
    </w:p>
    <w:p w14:paraId="161EFC6C" w14:textId="77777777" w:rsidR="008D5774" w:rsidRPr="009233BB" w:rsidRDefault="008D5774" w:rsidP="008D5774">
      <w:pPr>
        <w:spacing w:after="0"/>
        <w:rPr>
          <w:rStyle w:val="Hipervnculo"/>
          <w:rFonts w:ascii="Verdana" w:hAnsi="Verdana"/>
          <w:color w:val="ED7D31" w:themeColor="accent2"/>
        </w:rPr>
      </w:pPr>
      <w:hyperlink r:id="rId12" w:history="1">
        <w:r w:rsidRPr="00380F2B">
          <w:rPr>
            <w:rStyle w:val="Hipervnculo"/>
            <w:rFonts w:ascii="Verdana" w:hAnsi="Verdana"/>
          </w:rPr>
          <w:t>tapoveda@gmail.com</w:t>
        </w:r>
      </w:hyperlink>
      <w:r>
        <w:rPr>
          <w:rStyle w:val="Hipervnculo"/>
          <w:rFonts w:ascii="Verdana" w:hAnsi="Verdana"/>
          <w:color w:val="ED7D31" w:themeColor="accent2"/>
        </w:rPr>
        <w:t xml:space="preserve"> </w:t>
      </w:r>
    </w:p>
    <w:p w14:paraId="3DC68843" w14:textId="77777777" w:rsidR="008D5774" w:rsidRPr="00E00F10" w:rsidRDefault="008D5774" w:rsidP="008D5774">
      <w:pPr>
        <w:spacing w:after="0"/>
        <w:rPr>
          <w:rFonts w:ascii="Verdana" w:eastAsia="Calibri" w:hAnsi="Verdana" w:cs="Arial"/>
          <w:lang w:val="es-ES" w:eastAsia="es-ES"/>
        </w:rPr>
      </w:pPr>
      <w:r w:rsidRPr="00E00F10">
        <w:rPr>
          <w:rFonts w:ascii="Verdana" w:eastAsia="Calibri" w:hAnsi="Verdana" w:cs="Arial"/>
          <w:lang w:val="es-ES" w:eastAsia="es-ES"/>
        </w:rPr>
        <w:t>Bogotá D.C</w:t>
      </w:r>
    </w:p>
    <w:p w14:paraId="046641B1" w14:textId="77777777" w:rsidR="008D5774" w:rsidRPr="009233BB" w:rsidRDefault="008D5774" w:rsidP="008D5774">
      <w:pPr>
        <w:spacing w:after="0"/>
        <w:rPr>
          <w:rFonts w:ascii="Verdana" w:eastAsia="Calibri" w:hAnsi="Verdana" w:cs="Arial"/>
          <w:color w:val="ED7D31" w:themeColor="accent2"/>
          <w:lang w:val="es-ES" w:eastAsia="es-ES"/>
        </w:rPr>
      </w:pPr>
    </w:p>
    <w:p w14:paraId="61F2E47D" w14:textId="77777777" w:rsidR="008D5774" w:rsidRPr="009233BB" w:rsidRDefault="008D5774" w:rsidP="008D5774">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D5774" w:rsidRPr="009233BB" w14:paraId="6D59ACC3" w14:textId="77777777" w:rsidTr="006F3F7E">
        <w:trPr>
          <w:trHeight w:val="300"/>
        </w:trPr>
        <w:tc>
          <w:tcPr>
            <w:tcW w:w="2410" w:type="dxa"/>
          </w:tcPr>
          <w:p w14:paraId="3E346A4C" w14:textId="77777777" w:rsidR="008D5774" w:rsidRPr="009233BB" w:rsidRDefault="008D5774" w:rsidP="006F3F7E">
            <w:pPr>
              <w:ind w:left="-142"/>
              <w:jc w:val="both"/>
              <w:rPr>
                <w:rFonts w:ascii="Verdana" w:eastAsia="Calibri" w:hAnsi="Verdana" w:cs="Arial"/>
                <w:b/>
                <w:bCs/>
                <w:color w:val="ED7D31" w:themeColor="accent2"/>
                <w:lang w:val="es-ES" w:eastAsia="es-ES_tradnl"/>
              </w:rPr>
            </w:pPr>
          </w:p>
        </w:tc>
        <w:tc>
          <w:tcPr>
            <w:tcW w:w="6100" w:type="dxa"/>
          </w:tcPr>
          <w:p w14:paraId="7BDECC1C" w14:textId="77777777" w:rsidR="008D5774" w:rsidRPr="002734D6" w:rsidRDefault="008D5774" w:rsidP="006F3F7E">
            <w:pPr>
              <w:ind w:left="3"/>
              <w:jc w:val="both"/>
              <w:rPr>
                <w:rFonts w:ascii="Verdana" w:eastAsia="Calibri" w:hAnsi="Verdana" w:cs="Arial"/>
                <w:b/>
                <w:bCs/>
                <w:lang w:val="es-ES" w:eastAsia="es-ES"/>
              </w:rPr>
            </w:pPr>
            <w:r w:rsidRPr="002734D6">
              <w:rPr>
                <w:rFonts w:ascii="Verdana" w:eastAsia="Calibri" w:hAnsi="Verdana" w:cs="Arial"/>
                <w:b/>
                <w:bCs/>
                <w:lang w:val="es-ES" w:eastAsia="es-ES"/>
              </w:rPr>
              <w:t>Concepto C-1810 de 2025</w:t>
            </w:r>
          </w:p>
          <w:p w14:paraId="2D493A98" w14:textId="77777777" w:rsidR="008D5774" w:rsidRPr="002734D6" w:rsidRDefault="008D5774" w:rsidP="006F3F7E">
            <w:pPr>
              <w:ind w:left="3"/>
              <w:jc w:val="both"/>
              <w:rPr>
                <w:rFonts w:ascii="Verdana" w:eastAsia="Calibri" w:hAnsi="Verdana" w:cs="Arial"/>
                <w:b/>
                <w:bCs/>
                <w:lang w:val="es-ES" w:eastAsia="es-ES"/>
              </w:rPr>
            </w:pPr>
          </w:p>
        </w:tc>
      </w:tr>
      <w:tr w:rsidR="008D5774" w:rsidRPr="009233BB" w14:paraId="7EC0AFBA" w14:textId="77777777" w:rsidTr="006F3F7E">
        <w:trPr>
          <w:trHeight w:val="300"/>
        </w:trPr>
        <w:tc>
          <w:tcPr>
            <w:tcW w:w="2410" w:type="dxa"/>
          </w:tcPr>
          <w:p w14:paraId="2445A2FD" w14:textId="77777777" w:rsidR="008D5774" w:rsidRPr="009233BB" w:rsidRDefault="008D5774" w:rsidP="006F3F7E">
            <w:pPr>
              <w:ind w:left="424" w:firstLine="142"/>
              <w:jc w:val="both"/>
              <w:rPr>
                <w:rFonts w:ascii="Verdana" w:eastAsia="Calibri" w:hAnsi="Verdana" w:cs="Arial"/>
                <w:color w:val="ED7D31" w:themeColor="accent2"/>
                <w:lang w:val="es-ES" w:eastAsia="es-ES_tradnl"/>
              </w:rPr>
            </w:pPr>
            <w:r w:rsidRPr="004F60F5">
              <w:rPr>
                <w:rFonts w:ascii="Verdana" w:eastAsia="Calibri" w:hAnsi="Verdana" w:cs="Arial"/>
                <w:b/>
                <w:lang w:val="es-ES" w:eastAsia="es-ES_tradnl"/>
              </w:rPr>
              <w:t>Temas:</w:t>
            </w:r>
            <w:r w:rsidRPr="004F60F5">
              <w:rPr>
                <w:rFonts w:ascii="Verdana" w:eastAsia="Calibri" w:hAnsi="Verdana" w:cs="Arial"/>
                <w:lang w:val="es-ES" w:eastAsia="es-ES_tradnl"/>
              </w:rPr>
              <w:t xml:space="preserve">                  </w:t>
            </w:r>
          </w:p>
        </w:tc>
        <w:tc>
          <w:tcPr>
            <w:tcW w:w="6100" w:type="dxa"/>
          </w:tcPr>
          <w:p w14:paraId="1E8A77FD" w14:textId="492E1E2B" w:rsidR="008D5774" w:rsidRPr="003D4410" w:rsidRDefault="008D5774" w:rsidP="00BD4742">
            <w:pPr>
              <w:spacing w:line="276" w:lineRule="auto"/>
              <w:jc w:val="both"/>
              <w:rPr>
                <w:rFonts w:ascii="Verdana" w:eastAsia="Calibri" w:hAnsi="Verdana" w:cs="Arial"/>
                <w:lang w:val="es-ES" w:eastAsia="es-ES"/>
              </w:rPr>
            </w:pPr>
            <w:r w:rsidRPr="003D4410">
              <w:rPr>
                <w:rFonts w:ascii="Verdana" w:eastAsia="Calibri" w:hAnsi="Verdana" w:cs="Arial"/>
                <w:lang w:val="es-ES" w:eastAsia="es-ES"/>
              </w:rPr>
              <w:t xml:space="preserve">LEY DE GARANTÍAS– Requisitos de perfeccionamiento y ejecución / LEY DE GARANTÍAS ELECTORALES ‒ Restricciones ‒ Contratación ‒ Tipos de elección / LEY DE GARANTÍAS ELECTORALES ‒ Artículo 33 / LEY DE GARANTÍAS ELECTORALES ‒ Artículo 38 ‒ Parágrafo/ </w:t>
            </w:r>
            <w:r w:rsidRPr="003D4410">
              <w:rPr>
                <w:rFonts w:ascii="Verdana" w:eastAsia="Calibri" w:hAnsi="Verdana" w:cs="Arial"/>
                <w:lang w:val="es-MX"/>
              </w:rPr>
              <w:t xml:space="preserve">LEY DE GARANTÍAS ELECTORALES ─ Prohibición ‒ Contratación directa ‒ Alcance </w:t>
            </w:r>
            <w:r w:rsidR="0091370F">
              <w:rPr>
                <w:rFonts w:ascii="Verdana" w:eastAsia="Calibri" w:hAnsi="Verdana" w:cs="Arial"/>
                <w:lang w:val="es-MX"/>
              </w:rPr>
              <w:t xml:space="preserve">/ </w:t>
            </w:r>
            <w:r w:rsidR="0091370F" w:rsidRPr="003D4410">
              <w:rPr>
                <w:rFonts w:ascii="Verdana" w:eastAsia="Calibri" w:hAnsi="Verdana" w:cs="Arial"/>
                <w:lang w:val="es-MX"/>
              </w:rPr>
              <w:t xml:space="preserve">LEY DE GARANTÍAS ELECTORALES ─ </w:t>
            </w:r>
            <w:r w:rsidR="0091370F">
              <w:rPr>
                <w:rFonts w:ascii="Verdana" w:eastAsia="Calibri" w:hAnsi="Verdana" w:cs="Arial"/>
                <w:lang w:val="es-MX"/>
              </w:rPr>
              <w:t xml:space="preserve">Excepciones – Convenios a título gratuito </w:t>
            </w:r>
          </w:p>
          <w:p w14:paraId="4129E19A" w14:textId="77777777" w:rsidR="008D5774" w:rsidRPr="009233BB" w:rsidRDefault="008D5774" w:rsidP="004F5ED9">
            <w:pPr>
              <w:spacing w:line="276" w:lineRule="auto"/>
              <w:jc w:val="both"/>
              <w:rPr>
                <w:rFonts w:ascii="Verdana" w:hAnsi="Verdana"/>
                <w:color w:val="ED7D31" w:themeColor="accent2"/>
              </w:rPr>
            </w:pPr>
          </w:p>
        </w:tc>
      </w:tr>
      <w:tr w:rsidR="008D5774" w:rsidRPr="009233BB" w14:paraId="5EB546E8" w14:textId="77777777" w:rsidTr="006F3F7E">
        <w:tc>
          <w:tcPr>
            <w:tcW w:w="2410" w:type="dxa"/>
          </w:tcPr>
          <w:p w14:paraId="41226A28" w14:textId="77777777" w:rsidR="008D5774" w:rsidRPr="004F60F5" w:rsidRDefault="008D5774" w:rsidP="006F3F7E">
            <w:pPr>
              <w:ind w:left="561"/>
              <w:jc w:val="both"/>
              <w:rPr>
                <w:rFonts w:ascii="Verdana" w:eastAsia="Calibri" w:hAnsi="Verdana" w:cs="Arial"/>
                <w:b/>
                <w:lang w:val="es-ES" w:eastAsia="es-ES_tradnl"/>
              </w:rPr>
            </w:pPr>
            <w:r w:rsidRPr="004F60F5">
              <w:rPr>
                <w:rFonts w:ascii="Verdana" w:eastAsia="Calibri" w:hAnsi="Verdana" w:cs="Arial"/>
                <w:b/>
                <w:lang w:val="es-ES" w:eastAsia="es-ES_tradnl"/>
              </w:rPr>
              <w:t>Radicación:</w:t>
            </w:r>
            <w:r w:rsidRPr="004F60F5">
              <w:rPr>
                <w:rFonts w:ascii="Verdana" w:eastAsia="Calibri" w:hAnsi="Verdana" w:cs="Arial"/>
                <w:lang w:val="es-ES" w:eastAsia="es-ES_tradnl"/>
              </w:rPr>
              <w:t xml:space="preserve">              </w:t>
            </w:r>
          </w:p>
        </w:tc>
        <w:tc>
          <w:tcPr>
            <w:tcW w:w="6100" w:type="dxa"/>
          </w:tcPr>
          <w:p w14:paraId="604F5679" w14:textId="77777777" w:rsidR="008D5774" w:rsidRPr="004F60F5" w:rsidRDefault="008D5774" w:rsidP="006F3F7E">
            <w:pPr>
              <w:ind w:left="3"/>
              <w:jc w:val="both"/>
              <w:rPr>
                <w:rFonts w:ascii="Verdana" w:hAnsi="Verdana"/>
                <w:lang w:val="es-ES"/>
              </w:rPr>
            </w:pPr>
            <w:r w:rsidRPr="004F60F5">
              <w:rPr>
                <w:rFonts w:ascii="Verdana" w:eastAsia="Calibri" w:hAnsi="Verdana" w:cs="Arial"/>
                <w:lang w:val="es-ES" w:eastAsia="es-ES"/>
              </w:rPr>
              <w:t>Respuesta a consulta con radicado No. 1_2025_12_10_013861</w:t>
            </w:r>
          </w:p>
        </w:tc>
      </w:tr>
    </w:tbl>
    <w:p w14:paraId="6B6E2226" w14:textId="77777777" w:rsidR="008D5774" w:rsidRPr="009233BB" w:rsidRDefault="008D5774" w:rsidP="008D5774">
      <w:pPr>
        <w:spacing w:after="0" w:line="276" w:lineRule="auto"/>
        <w:jc w:val="both"/>
        <w:rPr>
          <w:rFonts w:ascii="Verdana" w:eastAsia="Calibri" w:hAnsi="Verdana" w:cs="Arial"/>
          <w:color w:val="ED7D31" w:themeColor="accent2"/>
          <w:lang w:val="es-ES" w:eastAsia="es-ES"/>
        </w:rPr>
      </w:pPr>
    </w:p>
    <w:p w14:paraId="7B20ECE9" w14:textId="77777777" w:rsidR="008D5774" w:rsidRPr="009233BB" w:rsidRDefault="008D5774" w:rsidP="008D5774">
      <w:pPr>
        <w:spacing w:after="0" w:line="276" w:lineRule="auto"/>
        <w:jc w:val="both"/>
        <w:rPr>
          <w:rFonts w:ascii="Verdana" w:eastAsia="Calibri" w:hAnsi="Verdana" w:cs="Arial"/>
          <w:color w:val="ED7D31" w:themeColor="accent2"/>
          <w:lang w:val="es-ES" w:eastAsia="es-ES"/>
        </w:rPr>
      </w:pPr>
    </w:p>
    <w:p w14:paraId="392D9012" w14:textId="77777777" w:rsidR="008D5774" w:rsidRPr="00320805" w:rsidRDefault="008D5774" w:rsidP="008D5774">
      <w:pPr>
        <w:spacing w:after="0" w:line="276" w:lineRule="auto"/>
        <w:jc w:val="both"/>
        <w:rPr>
          <w:rFonts w:ascii="Verdana" w:eastAsia="Calibri" w:hAnsi="Verdana" w:cs="Arial"/>
          <w:lang w:val="es-ES" w:eastAsia="es-ES"/>
        </w:rPr>
      </w:pPr>
      <w:r w:rsidRPr="00320805">
        <w:rPr>
          <w:rFonts w:ascii="Verdana" w:eastAsia="Calibri" w:hAnsi="Verdana" w:cs="Arial"/>
          <w:lang w:val="es-ES" w:eastAsia="es-ES"/>
        </w:rPr>
        <w:t>Estimada Señora Poveda,</w:t>
      </w:r>
    </w:p>
    <w:p w14:paraId="23FCCBE5" w14:textId="77777777" w:rsidR="008D5774" w:rsidRPr="00320805" w:rsidRDefault="008D5774" w:rsidP="008D5774">
      <w:pPr>
        <w:tabs>
          <w:tab w:val="left" w:pos="3768"/>
        </w:tabs>
        <w:spacing w:after="0" w:line="276" w:lineRule="auto"/>
        <w:jc w:val="both"/>
        <w:rPr>
          <w:rFonts w:ascii="Verdana" w:eastAsia="Calibri" w:hAnsi="Verdana" w:cs="Arial"/>
          <w:lang w:val="es-ES" w:eastAsia="es-ES"/>
        </w:rPr>
      </w:pPr>
      <w:r w:rsidRPr="00320805">
        <w:rPr>
          <w:rFonts w:ascii="Verdana" w:eastAsia="Calibri" w:hAnsi="Verdana" w:cs="Arial"/>
          <w:lang w:val="es-ES" w:eastAsia="es-ES"/>
        </w:rPr>
        <w:tab/>
      </w:r>
    </w:p>
    <w:p w14:paraId="3426E35D" w14:textId="77777777" w:rsidR="008D5774" w:rsidRPr="00320805" w:rsidRDefault="008D5774" w:rsidP="008D5774">
      <w:pPr>
        <w:spacing w:after="0" w:line="276" w:lineRule="auto"/>
        <w:jc w:val="both"/>
        <w:rPr>
          <w:rFonts w:ascii="Verdana" w:eastAsia="Calibri" w:hAnsi="Verdana" w:cs="Arial"/>
          <w:lang w:val="es-ES" w:eastAsia="es-ES"/>
        </w:rPr>
      </w:pPr>
      <w:r w:rsidRPr="00320805">
        <w:rPr>
          <w:rFonts w:ascii="Verdana" w:eastAsia="Calibri" w:hAnsi="Verdana" w:cs="Arial"/>
          <w:lang w:val="es-ES" w:eastAsia="es-ES"/>
        </w:rPr>
        <w:t>En ejercicio de la competencia otorgada por los artículos 3, numeral 5º, y 11, numeral 8º, del Decreto Ley 4170 de 2011,</w:t>
      </w:r>
      <w:r w:rsidRPr="00320805">
        <w:rPr>
          <w:rFonts w:ascii="Verdana" w:eastAsia="Arial MT" w:hAnsi="Verdana" w:cs="Arial MT"/>
          <w:lang w:val="es-ES" w:eastAsia="es-ES"/>
        </w:rPr>
        <w:t xml:space="preserve"> </w:t>
      </w:r>
      <w:r w:rsidRPr="00320805">
        <w:rPr>
          <w:rFonts w:ascii="Verdana" w:hAnsi="Verdana" w:cs="Arial"/>
          <w:lang w:val="es-ES"/>
        </w:rPr>
        <w:t xml:space="preserve">así como lo establecido en el artículo 4 de la Resolución 1707 de 2018 expedida por esta Entidad, </w:t>
      </w:r>
      <w:r w:rsidRPr="00320805">
        <w:rPr>
          <w:rFonts w:ascii="Verdana" w:eastAsia="Calibri" w:hAnsi="Verdana" w:cs="Arial"/>
          <w:lang w:val="es-ES" w:eastAsia="es-ES"/>
        </w:rPr>
        <w:t xml:space="preserve">la Agencia Nacional de Contratación Pública – Colombia Compra Eficiente– responde su solicitud de consulta de fecha 10 de diciembre de 2025, en la cual manifiesta lo siguiente: </w:t>
      </w:r>
    </w:p>
    <w:p w14:paraId="52ED3216" w14:textId="77777777" w:rsidR="008D5774" w:rsidRPr="000654B4" w:rsidRDefault="008D5774" w:rsidP="008D5774">
      <w:pPr>
        <w:tabs>
          <w:tab w:val="left" w:pos="142"/>
          <w:tab w:val="left" w:pos="284"/>
        </w:tabs>
        <w:spacing w:after="0" w:line="276" w:lineRule="auto"/>
        <w:contextualSpacing/>
        <w:jc w:val="both"/>
        <w:rPr>
          <w:rFonts w:ascii="Verdana" w:eastAsia="Century Gothic" w:hAnsi="Verdana" w:cs="Century Gothic"/>
          <w:b/>
          <w:bCs/>
          <w:lang w:val="es-ES"/>
        </w:rPr>
      </w:pPr>
    </w:p>
    <w:p w14:paraId="70A764E2"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r w:rsidRPr="000654B4">
        <w:rPr>
          <w:rFonts w:ascii="Verdana" w:eastAsia="Century Gothic" w:hAnsi="Verdana" w:cs="Century Gothic"/>
          <w:i/>
          <w:iCs/>
          <w:sz w:val="20"/>
          <w:szCs w:val="20"/>
          <w:lang w:val="es-ES"/>
        </w:rPr>
        <w:t>“Respetados Señores:</w:t>
      </w:r>
    </w:p>
    <w:p w14:paraId="60D62BB5"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p>
    <w:p w14:paraId="1357B777" w14:textId="77777777" w:rsidR="008D577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r w:rsidRPr="000654B4">
        <w:rPr>
          <w:rFonts w:ascii="Verdana" w:eastAsia="Century Gothic" w:hAnsi="Verdana" w:cs="Century Gothic"/>
          <w:i/>
          <w:iCs/>
          <w:sz w:val="20"/>
          <w:szCs w:val="20"/>
          <w:lang w:val="es-ES"/>
        </w:rPr>
        <w:t xml:space="preserve">Teniendo en cuenta que, ARTESANÍAS DE COLOMBIA S.A. B.I.C., es una Sociedad de Economía Mixta con Régimen de Empresa Industrial y Comercial del Estado, constituida mediante escritura pública número 1.998 de 1964, otorgada en la Notaría Novena del Círculo de Bogotá, </w:t>
      </w:r>
      <w:r w:rsidRPr="000654B4">
        <w:rPr>
          <w:rFonts w:ascii="Verdana" w:eastAsia="Century Gothic" w:hAnsi="Verdana" w:cs="Century Gothic"/>
          <w:i/>
          <w:iCs/>
          <w:sz w:val="20"/>
          <w:szCs w:val="20"/>
          <w:lang w:val="es-ES"/>
        </w:rPr>
        <w:lastRenderedPageBreak/>
        <w:t>vinculada al Ministerio de Comercio, Industria y Turismo. Como entidad rectora del sector artesanal del País tiene la misión de contribuir al mejoramiento integral del sector artesanal y a la preservación, rescate y valoración del patrimonio cultural del país.</w:t>
      </w:r>
    </w:p>
    <w:p w14:paraId="4118442F" w14:textId="77777777" w:rsidR="00EA5D59" w:rsidRPr="000654B4" w:rsidRDefault="00EA5D59" w:rsidP="00BD4175">
      <w:pPr>
        <w:spacing w:before="120" w:after="120" w:line="240" w:lineRule="auto"/>
        <w:ind w:left="709" w:right="709"/>
        <w:contextualSpacing/>
        <w:jc w:val="both"/>
        <w:rPr>
          <w:rFonts w:ascii="Verdana" w:eastAsia="Century Gothic" w:hAnsi="Verdana" w:cs="Century Gothic"/>
          <w:i/>
          <w:iCs/>
          <w:sz w:val="20"/>
          <w:szCs w:val="20"/>
          <w:lang w:val="es-ES"/>
        </w:rPr>
      </w:pPr>
    </w:p>
    <w:p w14:paraId="27261B9C"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r w:rsidRPr="000654B4">
        <w:rPr>
          <w:rFonts w:ascii="Verdana" w:eastAsia="Century Gothic" w:hAnsi="Verdana" w:cs="Century Gothic"/>
          <w:i/>
          <w:iCs/>
          <w:sz w:val="20"/>
          <w:szCs w:val="20"/>
          <w:lang w:val="es-ES"/>
        </w:rPr>
        <w:t xml:space="preserve">El artículo 14 de la Ley 1150 de 2007, reformado por el artículo 93 de la Ley 1474 de 2011, exceptúa del Estatuto General de Contratación Estatal a: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w:t>
      </w:r>
    </w:p>
    <w:p w14:paraId="7BFDFF2B"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r w:rsidRPr="000654B4">
        <w:rPr>
          <w:rFonts w:ascii="Verdana" w:eastAsia="Century Gothic" w:hAnsi="Verdana" w:cs="Century Gothic"/>
          <w:i/>
          <w:iCs/>
          <w:sz w:val="20"/>
          <w:szCs w:val="20"/>
          <w:lang w:val="es-ES"/>
        </w:rPr>
        <w:t xml:space="preserve">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w:t>
      </w:r>
    </w:p>
    <w:p w14:paraId="5A330A1B"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r w:rsidRPr="000654B4">
        <w:rPr>
          <w:rFonts w:ascii="Verdana" w:eastAsia="Century Gothic" w:hAnsi="Verdana" w:cs="Century Gothic"/>
          <w:i/>
          <w:iCs/>
          <w:sz w:val="20"/>
          <w:szCs w:val="20"/>
          <w:lang w:val="es-ES"/>
        </w:rPr>
        <w:t>tecnología, que se regirán por la Ley 29 de 1990 y las disposiciones normativas existentes…”. (Negrilla por fuera del texto)</w:t>
      </w:r>
    </w:p>
    <w:p w14:paraId="7317A6D1"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p>
    <w:p w14:paraId="6D67872D"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r w:rsidRPr="000654B4">
        <w:rPr>
          <w:rFonts w:ascii="Verdana" w:eastAsia="Century Gothic" w:hAnsi="Verdana" w:cs="Century Gothic"/>
          <w:i/>
          <w:iCs/>
          <w:sz w:val="20"/>
          <w:szCs w:val="20"/>
          <w:lang w:val="es-ES"/>
        </w:rPr>
        <w:t>Pero al tener un capital superior al 90% de capital estatal nos aplica la ley de garantías.</w:t>
      </w:r>
    </w:p>
    <w:p w14:paraId="37B9AEE0"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p>
    <w:p w14:paraId="6976A602"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r w:rsidRPr="000654B4">
        <w:rPr>
          <w:rFonts w:ascii="Verdana" w:eastAsia="Century Gothic" w:hAnsi="Verdana" w:cs="Century Gothic"/>
          <w:i/>
          <w:iCs/>
          <w:sz w:val="20"/>
          <w:szCs w:val="20"/>
          <w:lang w:val="es-ES"/>
        </w:rPr>
        <w:t>Que en este momento deseamos firmar con un ente territorial un convenio donde no hay ejecución de recursos, y la restricción prevista en el parágrafo del artículo 38 de la Ley 996 de 2005 solo se extiende a los convenios interadministrativos en los que se contemple la ejecución de recursos públicos. Esto significa que la prohibición no resulta aplicable a convenios interadministrativos a título gratuito, los cuales pueden celebrarse válidamente durante la vigencia de la mencionada restricción, siendo el aporte del ente territorial un (1) espacio que se encuentra ubicado en el municipio de Pamplonita, con área de 6.486,07 m2 cuyos linderos y demás especificaciones obran en escritura nro.334 de fecha 20-05-2020 en notaria primera de pamplona (artículo 8 parágrafo 1 de la ley 1579 de 2012) con matrícula inmobiliaria No. 272-56560 (anexo) y el nuestro entregar unos bienes muebles artesanales para el uso de la comunidad que fueron comprados con recursos internacionales, es decir Aplicación a contratos o convenios financiados con fondos de los organismos de cooperación, asistencia o ayudas internacionales.</w:t>
      </w:r>
    </w:p>
    <w:p w14:paraId="07CB8461" w14:textId="77777777" w:rsidR="008D5774" w:rsidRPr="000654B4" w:rsidRDefault="008D5774" w:rsidP="00BD4175">
      <w:pPr>
        <w:spacing w:before="120" w:after="120" w:line="240" w:lineRule="auto"/>
        <w:ind w:left="709" w:right="709"/>
        <w:contextualSpacing/>
        <w:jc w:val="both"/>
        <w:rPr>
          <w:rFonts w:ascii="Verdana" w:eastAsia="Century Gothic" w:hAnsi="Verdana" w:cs="Century Gothic"/>
          <w:i/>
          <w:iCs/>
          <w:sz w:val="20"/>
          <w:szCs w:val="20"/>
          <w:lang w:val="es-ES"/>
        </w:rPr>
      </w:pPr>
    </w:p>
    <w:p w14:paraId="5ADA66A6" w14:textId="031B2EF5" w:rsidR="008D5774" w:rsidRPr="00341D29" w:rsidRDefault="008D5774" w:rsidP="00BD4175">
      <w:pPr>
        <w:spacing w:before="120" w:after="120" w:line="240" w:lineRule="auto"/>
        <w:ind w:left="709" w:right="709"/>
        <w:contextualSpacing/>
        <w:jc w:val="both"/>
        <w:rPr>
          <w:rFonts w:ascii="Verdana" w:eastAsia="Century Gothic" w:hAnsi="Verdana" w:cs="Century Gothic"/>
          <w:i/>
          <w:iCs/>
          <w:color w:val="ED7D31" w:themeColor="accent2"/>
          <w:sz w:val="20"/>
          <w:szCs w:val="20"/>
          <w:lang w:val="es-ES"/>
        </w:rPr>
      </w:pPr>
      <w:r w:rsidRPr="000654B4">
        <w:rPr>
          <w:rFonts w:ascii="Verdana" w:eastAsia="Century Gothic" w:hAnsi="Verdana" w:cs="Century Gothic"/>
          <w:i/>
          <w:iCs/>
          <w:sz w:val="20"/>
          <w:szCs w:val="20"/>
          <w:lang w:val="es-ES"/>
        </w:rPr>
        <w:t>De acuerdo con lo anterior, amablemente les solicitamos indicar si la entidad puede firmar un convenio interadministrativo con las características antes señaladas en la Ley de garantías.”</w:t>
      </w:r>
      <w:r w:rsidRPr="008250C5">
        <w:rPr>
          <w:rFonts w:ascii="Verdana" w:eastAsia="Century Gothic" w:hAnsi="Verdana" w:cs="Century Gothic"/>
          <w:i/>
          <w:iCs/>
          <w:color w:val="ED7D31" w:themeColor="accent2"/>
          <w:sz w:val="20"/>
          <w:szCs w:val="20"/>
          <w:lang w:val="es-ES"/>
        </w:rPr>
        <w:cr/>
      </w:r>
    </w:p>
    <w:p w14:paraId="07A0E538" w14:textId="77777777" w:rsidR="008D5774" w:rsidRPr="00B10CED" w:rsidRDefault="008D5774" w:rsidP="008D5774">
      <w:pPr>
        <w:spacing w:after="120" w:line="276" w:lineRule="auto"/>
        <w:ind w:firstLine="708"/>
        <w:jc w:val="both"/>
        <w:rPr>
          <w:rFonts w:ascii="Verdana" w:eastAsia="Calibri" w:hAnsi="Verdana" w:cs="Arial"/>
          <w:lang w:val="es-ES" w:eastAsia="es-ES"/>
        </w:rPr>
      </w:pPr>
      <w:r w:rsidRPr="00B10CED">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10CED">
        <w:rPr>
          <w:rFonts w:ascii="Verdana" w:hAnsi="Verdana"/>
          <w:lang w:val="es-ES"/>
        </w:rPr>
        <w:tab/>
      </w:r>
    </w:p>
    <w:p w14:paraId="428652EF" w14:textId="77777777" w:rsidR="008D5774" w:rsidRPr="00B10CED" w:rsidRDefault="008D5774" w:rsidP="008D5774">
      <w:pPr>
        <w:spacing w:after="0" w:line="276" w:lineRule="auto"/>
        <w:ind w:firstLine="709"/>
        <w:jc w:val="both"/>
        <w:rPr>
          <w:rFonts w:ascii="Verdana" w:eastAsia="Calibri" w:hAnsi="Verdana" w:cs="Arial"/>
          <w:lang w:val="es-ES" w:eastAsia="es-ES"/>
        </w:rPr>
      </w:pPr>
      <w:r w:rsidRPr="00B10CED">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Pr="00B10CED" w:rsidRDefault="008D5774" w:rsidP="008D5774">
      <w:pPr>
        <w:spacing w:after="0" w:line="276" w:lineRule="auto"/>
        <w:ind w:firstLine="709"/>
        <w:jc w:val="both"/>
        <w:rPr>
          <w:rFonts w:ascii="Verdana" w:eastAsia="Calibri" w:hAnsi="Verdana" w:cs="Arial"/>
          <w:lang w:val="es-ES" w:eastAsia="es-ES"/>
        </w:rPr>
      </w:pPr>
    </w:p>
    <w:p w14:paraId="4AD69AFF" w14:textId="77777777" w:rsidR="008D5774" w:rsidRPr="00B10CED"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B10CED">
        <w:rPr>
          <w:rFonts w:ascii="Verdana" w:eastAsia="Century Gothic" w:hAnsi="Verdana" w:cs="Century Gothic"/>
          <w:b/>
          <w:lang w:val="es-ES"/>
        </w:rPr>
        <w:t>1. Problema planteado:</w:t>
      </w:r>
    </w:p>
    <w:p w14:paraId="26050314" w14:textId="77777777" w:rsidR="008D5774" w:rsidRPr="009233BB"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953D2F6" w14:textId="77777777" w:rsidR="008D5774" w:rsidRPr="005148BF" w:rsidRDefault="008D5774" w:rsidP="008D5774">
      <w:pPr>
        <w:spacing w:after="0" w:line="276" w:lineRule="auto"/>
        <w:jc w:val="both"/>
        <w:rPr>
          <w:rFonts w:ascii="Verdana" w:eastAsia="Century Gothic" w:hAnsi="Verdana" w:cs="Century Gothic"/>
          <w:color w:val="ED7D31" w:themeColor="accent2"/>
        </w:rPr>
      </w:pPr>
      <w:r w:rsidRPr="00B10CED">
        <w:rPr>
          <w:rFonts w:ascii="Verdana" w:eastAsia="Century Gothic" w:hAnsi="Verdana" w:cs="Century Gothic"/>
          <w:lang w:val="es-ES"/>
        </w:rPr>
        <w:t>De acuerdo con el contenido de su solicitud, esta Agencia resolverá el siguiente problema jurídico:</w:t>
      </w:r>
      <w:r>
        <w:rPr>
          <w:rFonts w:ascii="Verdana" w:eastAsia="Century Gothic" w:hAnsi="Verdana" w:cs="Century Gothic"/>
          <w:lang w:val="es-ES"/>
        </w:rPr>
        <w:t xml:space="preserve"> </w:t>
      </w:r>
      <w:r w:rsidRPr="005148BF">
        <w:rPr>
          <w:rFonts w:ascii="Verdana" w:eastAsia="Century Gothic" w:hAnsi="Verdana" w:cs="Century Gothic"/>
        </w:rPr>
        <w:t>¿Es jurídicamente viable la suscripción de convenios interadministrativos durante la vigencia de la Ley de Garantías Electorales cuando estos no implican ejecución de recursos públicos?</w:t>
      </w:r>
    </w:p>
    <w:p w14:paraId="0FD0DFCB" w14:textId="77777777" w:rsidR="008D5774" w:rsidRPr="009233BB" w:rsidRDefault="008D5774" w:rsidP="008D5774">
      <w:pPr>
        <w:spacing w:after="0" w:line="276" w:lineRule="auto"/>
        <w:jc w:val="both"/>
        <w:rPr>
          <w:rFonts w:ascii="Verdana" w:eastAsia="Century Gothic" w:hAnsi="Verdana" w:cs="Century Gothic"/>
          <w:color w:val="ED7D31" w:themeColor="accent2"/>
        </w:rPr>
      </w:pPr>
    </w:p>
    <w:p w14:paraId="5B26199B" w14:textId="77777777" w:rsidR="008D5774" w:rsidRPr="00B10CED" w:rsidRDefault="008D5774" w:rsidP="008D5774">
      <w:pPr>
        <w:tabs>
          <w:tab w:val="left" w:pos="142"/>
          <w:tab w:val="left" w:pos="284"/>
        </w:tabs>
        <w:spacing w:after="0" w:line="276" w:lineRule="auto"/>
        <w:jc w:val="both"/>
        <w:rPr>
          <w:rFonts w:ascii="Verdana" w:eastAsia="Century Gothic" w:hAnsi="Verdana" w:cs="Century Gothic"/>
          <w:b/>
          <w:lang w:val="es-ES"/>
        </w:rPr>
      </w:pPr>
      <w:r w:rsidRPr="00B10CED">
        <w:rPr>
          <w:rFonts w:ascii="Verdana" w:eastAsia="Century Gothic" w:hAnsi="Verdana" w:cs="Century Gothic"/>
          <w:b/>
          <w:lang w:val="es-ES"/>
        </w:rPr>
        <w:t>2. Respuesta:</w:t>
      </w:r>
    </w:p>
    <w:p w14:paraId="5FB12540" w14:textId="77777777" w:rsidR="008D5774" w:rsidRPr="009233BB" w:rsidRDefault="008D5774" w:rsidP="008D5774">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D5774" w:rsidRPr="009233BB" w14:paraId="4901E756" w14:textId="77777777" w:rsidTr="006F3F7E">
        <w:tc>
          <w:tcPr>
            <w:tcW w:w="8828" w:type="dxa"/>
          </w:tcPr>
          <w:p w14:paraId="239A6ECD" w14:textId="6977030F" w:rsidR="008D5774" w:rsidRDefault="00703453" w:rsidP="00BD4175">
            <w:pPr>
              <w:spacing w:before="120" w:after="120" w:line="276" w:lineRule="auto"/>
              <w:jc w:val="both"/>
              <w:rPr>
                <w:rFonts w:ascii="Verdana" w:eastAsia="Arial" w:hAnsi="Verdana" w:cs="Arial"/>
                <w:lang w:eastAsia="es-ES" w:bidi="es-ES"/>
              </w:rPr>
            </w:pPr>
            <w:r>
              <w:rPr>
                <w:rFonts w:ascii="Verdana" w:eastAsia="Calibri" w:hAnsi="Verdana" w:cs="Arial"/>
              </w:rPr>
              <w:t>L</w:t>
            </w:r>
            <w:r w:rsidR="008D5774" w:rsidRPr="00E7122C">
              <w:rPr>
                <w:rFonts w:ascii="Verdana" w:eastAsia="Calibri" w:hAnsi="Verdana" w:cs="Arial"/>
              </w:rPr>
              <w:t>a Ley 996 de 2005</w:t>
            </w:r>
            <w:r>
              <w:rPr>
                <w:rFonts w:ascii="Verdana" w:eastAsia="Calibri" w:hAnsi="Verdana" w:cs="Arial"/>
              </w:rPr>
              <w:t xml:space="preserve"> también conocida como </w:t>
            </w:r>
            <w:r w:rsidRPr="005148BF">
              <w:rPr>
                <w:rFonts w:ascii="Verdana" w:eastAsia="Century Gothic" w:hAnsi="Verdana" w:cs="Century Gothic"/>
              </w:rPr>
              <w:t>Ley de Garantías Electorales</w:t>
            </w:r>
            <w:r w:rsidR="008D5774" w:rsidRPr="00E7122C">
              <w:rPr>
                <w:rFonts w:ascii="Verdana" w:eastAsia="Calibri" w:hAnsi="Verdana" w:cs="Arial"/>
              </w:rPr>
              <w:t xml:space="preserve"> establece </w:t>
            </w:r>
            <w:r w:rsidR="00536F7E">
              <w:rPr>
                <w:rFonts w:ascii="Verdana" w:eastAsia="Calibri" w:hAnsi="Verdana" w:cs="Arial"/>
              </w:rPr>
              <w:t xml:space="preserve">dos </w:t>
            </w:r>
            <w:r w:rsidR="008D5774" w:rsidRPr="00E7122C">
              <w:rPr>
                <w:rFonts w:ascii="Verdana" w:eastAsia="Calibri" w:hAnsi="Verdana" w:cs="Arial"/>
              </w:rPr>
              <w:t xml:space="preserve">restricciones </w:t>
            </w:r>
            <w:r w:rsidR="00536F7E">
              <w:rPr>
                <w:rFonts w:ascii="Verdana" w:eastAsia="Calibri" w:hAnsi="Verdana" w:cs="Arial"/>
              </w:rPr>
              <w:t>en particular</w:t>
            </w:r>
            <w:r w:rsidR="008D5774" w:rsidRPr="00E7122C">
              <w:rPr>
                <w:rFonts w:ascii="Verdana" w:eastAsia="Calibri" w:hAnsi="Verdana" w:cs="Arial"/>
              </w:rPr>
              <w:t xml:space="preserve"> la </w:t>
            </w:r>
            <w:r w:rsidR="008D5774" w:rsidRPr="00215BCE">
              <w:rPr>
                <w:rFonts w:ascii="Verdana" w:eastAsia="Calibri" w:hAnsi="Verdana" w:cs="Arial"/>
              </w:rPr>
              <w:t>contratación estatal.</w:t>
            </w:r>
            <w:r w:rsidR="00536F7E">
              <w:rPr>
                <w:rFonts w:ascii="Verdana" w:eastAsia="Calibri" w:hAnsi="Verdana" w:cs="Arial"/>
              </w:rPr>
              <w:t xml:space="preserve"> </w:t>
            </w:r>
            <w:r w:rsidR="00536F7E">
              <w:rPr>
                <w:rFonts w:ascii="Verdana" w:eastAsia="Calibri" w:hAnsi="Verdana" w:cs="Arial"/>
                <w:lang w:val="es-ES"/>
              </w:rPr>
              <w:t>Por un lado</w:t>
            </w:r>
            <w:r w:rsidR="008D5774" w:rsidRPr="00215BCE">
              <w:rPr>
                <w:rFonts w:ascii="Verdana" w:eastAsia="Calibri" w:hAnsi="Verdana" w:cs="Arial"/>
                <w:lang w:val="es-ES"/>
              </w:rPr>
              <w:t xml:space="preserve">, </w:t>
            </w:r>
            <w:r w:rsidR="008D5774" w:rsidRPr="00215BCE">
              <w:rPr>
                <w:rFonts w:ascii="Verdana" w:eastAsia="Calibri" w:hAnsi="Verdana" w:cs="Arial"/>
              </w:rPr>
              <w:t xml:space="preserve">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w:t>
            </w:r>
            <w:r w:rsidR="008D5774" w:rsidRPr="00215BCE">
              <w:rPr>
                <w:rFonts w:ascii="Verdana" w:eastAsia="Calibri" w:hAnsi="Verdana" w:cs="Arial"/>
              </w:rPr>
              <w:lastRenderedPageBreak/>
              <w:t>cuando estas hayan sido afectadas por atentados, acciones terroristas, desastres naturales o eventos de fuerza mayor, y los que deban celebrar las entidades sanitarias y hospitalarias.</w:t>
            </w:r>
            <w:r w:rsidR="00536F7E">
              <w:rPr>
                <w:rFonts w:ascii="Verdana" w:eastAsia="Calibri" w:hAnsi="Verdana" w:cs="Arial"/>
                <w:lang w:val="es-ES"/>
              </w:rPr>
              <w:t xml:space="preserve"> De otra parte</w:t>
            </w:r>
            <w:r w:rsidR="008D5774" w:rsidRPr="00215BCE">
              <w:rPr>
                <w:rFonts w:ascii="Verdana" w:eastAsia="Arial" w:hAnsi="Verdana" w:cs="Arial"/>
                <w:lang w:eastAsia="es-ES" w:bidi="es-ES"/>
              </w:rPr>
              <w:t>,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26FA97F4" w14:textId="7EB4B975" w:rsidR="005C6779" w:rsidRDefault="005C6779" w:rsidP="00486F02">
            <w:pPr>
              <w:spacing w:before="120" w:after="12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De esta manera, </w:t>
            </w:r>
            <w:r w:rsidR="00454707">
              <w:rPr>
                <w:rFonts w:ascii="Verdana" w:eastAsia="Arial" w:hAnsi="Verdana" w:cs="Arial"/>
                <w:lang w:eastAsia="es-ES" w:bidi="es-ES"/>
              </w:rPr>
              <w:t xml:space="preserve">es importante tener en cuenta </w:t>
            </w:r>
            <w:r w:rsidR="00233946">
              <w:rPr>
                <w:rFonts w:ascii="Verdana" w:eastAsia="Arial" w:hAnsi="Verdana" w:cs="Arial"/>
                <w:lang w:eastAsia="es-ES" w:bidi="es-ES"/>
              </w:rPr>
              <w:t>que,</w:t>
            </w:r>
            <w:r w:rsidR="00124C21">
              <w:rPr>
                <w:rFonts w:ascii="Verdana" w:eastAsia="Arial" w:hAnsi="Verdana" w:cs="Arial"/>
                <w:lang w:eastAsia="es-ES" w:bidi="es-ES"/>
              </w:rPr>
              <w:t xml:space="preserve"> </w:t>
            </w:r>
            <w:r w:rsidR="00B5706D">
              <w:rPr>
                <w:rFonts w:ascii="Verdana" w:eastAsia="Arial" w:hAnsi="Verdana" w:cs="Arial"/>
                <w:lang w:eastAsia="es-ES" w:bidi="es-ES"/>
              </w:rPr>
              <w:t>el</w:t>
            </w:r>
            <w:r w:rsidR="00124C21">
              <w:rPr>
                <w:rFonts w:ascii="Verdana" w:eastAsia="Arial" w:hAnsi="Verdana" w:cs="Arial"/>
                <w:lang w:eastAsia="es-ES" w:bidi="es-ES"/>
              </w:rPr>
              <w:t xml:space="preserve"> ámbito temporal de</w:t>
            </w:r>
            <w:r w:rsidR="00454707">
              <w:rPr>
                <w:rFonts w:ascii="Verdana" w:eastAsia="Arial" w:hAnsi="Verdana" w:cs="Arial"/>
                <w:lang w:eastAsia="es-ES" w:bidi="es-ES"/>
              </w:rPr>
              <w:t xml:space="preserve"> </w:t>
            </w:r>
            <w:r w:rsidR="009D377E">
              <w:rPr>
                <w:rFonts w:ascii="Verdana" w:eastAsia="Arial" w:hAnsi="Verdana" w:cs="Arial"/>
                <w:lang w:eastAsia="es-ES" w:bidi="es-ES"/>
              </w:rPr>
              <w:t xml:space="preserve">las restricciones establecidas </w:t>
            </w:r>
            <w:r w:rsidR="00094252">
              <w:rPr>
                <w:rFonts w:ascii="Verdana" w:eastAsia="Arial" w:hAnsi="Verdana" w:cs="Arial"/>
                <w:lang w:eastAsia="es-ES" w:bidi="es-ES"/>
              </w:rPr>
              <w:t>en la</w:t>
            </w:r>
            <w:r w:rsidR="009D377E">
              <w:rPr>
                <w:rFonts w:ascii="Verdana" w:eastAsia="Arial" w:hAnsi="Verdana" w:cs="Arial"/>
                <w:lang w:eastAsia="es-ES" w:bidi="es-ES"/>
              </w:rPr>
              <w:t xml:space="preserve"> la Ley de Garantías Electorales en materia de </w:t>
            </w:r>
            <w:r w:rsidR="00094252">
              <w:rPr>
                <w:rFonts w:ascii="Verdana" w:eastAsia="Arial" w:hAnsi="Verdana" w:cs="Arial"/>
                <w:lang w:eastAsia="es-ES" w:bidi="es-ES"/>
              </w:rPr>
              <w:t xml:space="preserve">contratación </w:t>
            </w:r>
            <w:r w:rsidR="000D2F32">
              <w:rPr>
                <w:rFonts w:ascii="Verdana" w:eastAsia="Arial" w:hAnsi="Verdana" w:cs="Arial"/>
                <w:lang w:eastAsia="es-ES" w:bidi="es-ES"/>
              </w:rPr>
              <w:t>estatal</w:t>
            </w:r>
            <w:r w:rsidR="009D377E">
              <w:rPr>
                <w:rFonts w:ascii="Verdana" w:eastAsia="Arial" w:hAnsi="Verdana" w:cs="Arial"/>
                <w:lang w:eastAsia="es-ES" w:bidi="es-ES"/>
              </w:rPr>
              <w:t xml:space="preserve"> </w:t>
            </w:r>
            <w:r w:rsidR="00094252">
              <w:rPr>
                <w:rFonts w:ascii="Verdana" w:eastAsia="Arial" w:hAnsi="Verdana" w:cs="Arial"/>
                <w:lang w:eastAsia="es-ES" w:bidi="es-ES"/>
              </w:rPr>
              <w:t xml:space="preserve">siempre </w:t>
            </w:r>
            <w:r w:rsidR="00B5706D">
              <w:rPr>
                <w:rFonts w:ascii="Verdana" w:eastAsia="Arial" w:hAnsi="Verdana" w:cs="Arial"/>
                <w:lang w:eastAsia="es-ES" w:bidi="es-ES"/>
              </w:rPr>
              <w:t xml:space="preserve">es el mismo en </w:t>
            </w:r>
            <w:r w:rsidR="00812D27">
              <w:rPr>
                <w:rFonts w:ascii="Verdana" w:eastAsia="Arial" w:hAnsi="Verdana" w:cs="Arial"/>
                <w:lang w:eastAsia="es-ES" w:bidi="es-ES"/>
              </w:rPr>
              <w:t>periodos preelectorales de las</w:t>
            </w:r>
            <w:r w:rsidR="00124C21">
              <w:rPr>
                <w:rFonts w:ascii="Verdana" w:eastAsia="Arial" w:hAnsi="Verdana" w:cs="Arial"/>
                <w:lang w:eastAsia="es-ES" w:bidi="es-ES"/>
              </w:rPr>
              <w:t xml:space="preserve"> </w:t>
            </w:r>
            <w:r w:rsidR="00BC7C68">
              <w:rPr>
                <w:rFonts w:ascii="Verdana" w:eastAsia="Arial" w:hAnsi="Verdana" w:cs="Arial"/>
                <w:lang w:eastAsia="es-ES" w:bidi="es-ES"/>
              </w:rPr>
              <w:t>elecciones presidenciales,</w:t>
            </w:r>
            <w:r w:rsidR="0015042F">
              <w:rPr>
                <w:rFonts w:ascii="Verdana" w:eastAsia="Arial" w:hAnsi="Verdana" w:cs="Arial"/>
                <w:lang w:eastAsia="es-ES" w:bidi="es-ES"/>
              </w:rPr>
              <w:t xml:space="preserve"> </w:t>
            </w:r>
            <w:r w:rsidR="00D9033C">
              <w:rPr>
                <w:rFonts w:ascii="Verdana" w:eastAsia="Arial" w:hAnsi="Verdana" w:cs="Arial"/>
                <w:lang w:eastAsia="es-ES" w:bidi="es-ES"/>
              </w:rPr>
              <w:t xml:space="preserve">ya que </w:t>
            </w:r>
            <w:r w:rsidR="0015042F">
              <w:rPr>
                <w:rFonts w:ascii="Verdana" w:eastAsia="Arial" w:hAnsi="Verdana" w:cs="Arial"/>
                <w:lang w:eastAsia="es-ES" w:bidi="es-ES"/>
              </w:rPr>
              <w:t>rigen ambas restricciones</w:t>
            </w:r>
            <w:r w:rsidR="00EF41C4">
              <w:rPr>
                <w:rFonts w:ascii="Verdana" w:eastAsia="Arial" w:hAnsi="Verdana" w:cs="Arial"/>
                <w:lang w:eastAsia="es-ES" w:bidi="es-ES"/>
              </w:rPr>
              <w:t xml:space="preserve"> </w:t>
            </w:r>
            <w:r w:rsidR="002667E1">
              <w:rPr>
                <w:rFonts w:ascii="Verdana" w:eastAsia="Arial" w:hAnsi="Verdana" w:cs="Arial"/>
                <w:lang w:eastAsia="es-ES" w:bidi="es-ES"/>
              </w:rPr>
              <w:t>durante los 4 meses previos a los comicios</w:t>
            </w:r>
            <w:r w:rsidR="00182010">
              <w:rPr>
                <w:rFonts w:ascii="Verdana" w:eastAsia="Arial" w:hAnsi="Verdana" w:cs="Arial"/>
                <w:lang w:eastAsia="es-ES" w:bidi="es-ES"/>
              </w:rPr>
              <w:t xml:space="preserve">. Sin embargo, </w:t>
            </w:r>
            <w:r w:rsidR="00B024CD">
              <w:rPr>
                <w:rFonts w:ascii="Verdana" w:eastAsia="Arial" w:hAnsi="Verdana" w:cs="Arial"/>
                <w:lang w:eastAsia="es-ES" w:bidi="es-ES"/>
              </w:rPr>
              <w:t xml:space="preserve">tratándose de </w:t>
            </w:r>
            <w:r w:rsidR="003116AA">
              <w:rPr>
                <w:rFonts w:ascii="Verdana" w:eastAsia="Arial" w:hAnsi="Verdana" w:cs="Arial"/>
                <w:lang w:eastAsia="es-ES" w:bidi="es-ES"/>
              </w:rPr>
              <w:t xml:space="preserve">como </w:t>
            </w:r>
            <w:r w:rsidR="00B024CD">
              <w:rPr>
                <w:rFonts w:ascii="Verdana" w:eastAsia="Arial" w:hAnsi="Verdana" w:cs="Arial"/>
                <w:lang w:eastAsia="es-ES" w:bidi="es-ES"/>
              </w:rPr>
              <w:t xml:space="preserve">elecciones </w:t>
            </w:r>
            <w:r w:rsidR="003116AA">
              <w:rPr>
                <w:rFonts w:ascii="Verdana" w:eastAsia="Arial" w:hAnsi="Verdana" w:cs="Arial"/>
                <w:lang w:eastAsia="es-ES" w:bidi="es-ES"/>
              </w:rPr>
              <w:t>parlamentarias</w:t>
            </w:r>
            <w:r w:rsidR="00B024CD">
              <w:rPr>
                <w:rFonts w:ascii="Verdana" w:eastAsia="Arial" w:hAnsi="Verdana" w:cs="Arial"/>
                <w:lang w:eastAsia="es-ES" w:bidi="es-ES"/>
              </w:rPr>
              <w:t xml:space="preserve"> o mandatarios locales</w:t>
            </w:r>
            <w:r w:rsidR="00B5706D">
              <w:rPr>
                <w:rFonts w:ascii="Verdana" w:eastAsia="Arial" w:hAnsi="Verdana" w:cs="Arial"/>
                <w:lang w:eastAsia="es-ES" w:bidi="es-ES"/>
              </w:rPr>
              <w:t>, rige la</w:t>
            </w:r>
            <w:r w:rsidR="00B024CD">
              <w:rPr>
                <w:rFonts w:ascii="Verdana" w:eastAsia="Arial" w:hAnsi="Verdana" w:cs="Arial"/>
                <w:lang w:eastAsia="es-ES" w:bidi="es-ES"/>
              </w:rPr>
              <w:t xml:space="preserve"> restricción </w:t>
            </w:r>
            <w:r w:rsidR="00B5706D">
              <w:rPr>
                <w:rFonts w:ascii="Verdana" w:eastAsia="Arial" w:hAnsi="Verdana" w:cs="Arial"/>
                <w:lang w:eastAsia="es-ES" w:bidi="es-ES"/>
              </w:rPr>
              <w:t>del parágrafo del artículo 38.</w:t>
            </w:r>
            <w:r w:rsidR="003116AA">
              <w:rPr>
                <w:rFonts w:ascii="Verdana" w:eastAsia="Arial" w:hAnsi="Verdana" w:cs="Arial"/>
                <w:lang w:eastAsia="es-ES" w:bidi="es-ES"/>
              </w:rPr>
              <w:t xml:space="preserve"> </w:t>
            </w:r>
            <w:r w:rsidR="000D2F32">
              <w:rPr>
                <w:rFonts w:ascii="Verdana" w:eastAsia="Arial" w:hAnsi="Verdana" w:cs="Arial"/>
                <w:lang w:eastAsia="es-ES" w:bidi="es-ES"/>
              </w:rPr>
              <w:t>En atención a esto</w:t>
            </w:r>
            <w:r w:rsidR="00373B36">
              <w:rPr>
                <w:rFonts w:ascii="Verdana" w:eastAsia="Arial" w:hAnsi="Verdana" w:cs="Arial"/>
                <w:lang w:eastAsia="es-ES" w:bidi="es-ES"/>
              </w:rPr>
              <w:t>,</w:t>
            </w:r>
            <w:r w:rsidR="002E043C">
              <w:rPr>
                <w:rFonts w:ascii="Verdana" w:eastAsia="Arial" w:hAnsi="Verdana" w:cs="Arial"/>
                <w:lang w:eastAsia="es-ES" w:bidi="es-ES"/>
              </w:rPr>
              <w:t xml:space="preserve"> </w:t>
            </w:r>
            <w:r w:rsidR="00486F02">
              <w:rPr>
                <w:rFonts w:ascii="Verdana" w:eastAsia="Arial" w:hAnsi="Verdana" w:cs="Arial"/>
                <w:lang w:eastAsia="es-ES" w:bidi="es-ES"/>
              </w:rPr>
              <w:t xml:space="preserve">cuando </w:t>
            </w:r>
            <w:r w:rsidR="002E043C">
              <w:rPr>
                <w:rFonts w:ascii="Verdana" w:eastAsia="Arial" w:hAnsi="Verdana" w:cs="Arial"/>
                <w:lang w:eastAsia="es-ES" w:bidi="es-ES"/>
              </w:rPr>
              <w:t xml:space="preserve">el calendario electoral </w:t>
            </w:r>
            <w:r w:rsidR="00486F02">
              <w:rPr>
                <w:rFonts w:ascii="Verdana" w:eastAsia="Arial" w:hAnsi="Verdana" w:cs="Arial"/>
                <w:lang w:eastAsia="es-ES" w:bidi="es-ES"/>
              </w:rPr>
              <w:t xml:space="preserve">contempla elecciones parlamentarias, seguidas de elecciones </w:t>
            </w:r>
            <w:r w:rsidR="00053563">
              <w:rPr>
                <w:rFonts w:ascii="Verdana" w:eastAsia="Arial" w:hAnsi="Verdana" w:cs="Arial"/>
                <w:lang w:eastAsia="es-ES" w:bidi="es-ES"/>
              </w:rPr>
              <w:t>presidenciales, como en el 2026, las restricciones entran a regir en momentos distintos.</w:t>
            </w:r>
            <w:r w:rsidR="00AF7544">
              <w:rPr>
                <w:rFonts w:ascii="Verdana" w:eastAsia="Arial" w:hAnsi="Verdana" w:cs="Arial"/>
                <w:lang w:eastAsia="es-ES" w:bidi="es-ES"/>
              </w:rPr>
              <w:t xml:space="preserve"> Es por esto </w:t>
            </w:r>
            <w:r w:rsidR="00816452">
              <w:rPr>
                <w:rFonts w:ascii="Verdana" w:eastAsia="Arial" w:hAnsi="Verdana" w:cs="Arial"/>
                <w:lang w:eastAsia="es-ES" w:bidi="es-ES"/>
              </w:rPr>
              <w:t>por lo que</w:t>
            </w:r>
            <w:r w:rsidR="00AF7544">
              <w:rPr>
                <w:rFonts w:ascii="Verdana" w:eastAsia="Arial" w:hAnsi="Verdana" w:cs="Arial"/>
                <w:lang w:eastAsia="es-ES" w:bidi="es-ES"/>
              </w:rPr>
              <w:t xml:space="preserve">, en </w:t>
            </w:r>
            <w:r w:rsidR="00053563">
              <w:rPr>
                <w:rFonts w:ascii="Verdana" w:eastAsia="Arial" w:hAnsi="Verdana" w:cs="Arial"/>
                <w:lang w:eastAsia="es-ES" w:bidi="es-ES"/>
              </w:rPr>
              <w:t xml:space="preserve">el escenario </w:t>
            </w:r>
            <w:r w:rsidR="00AF7544">
              <w:rPr>
                <w:rFonts w:ascii="Verdana" w:eastAsia="Arial" w:hAnsi="Verdana" w:cs="Arial"/>
                <w:lang w:eastAsia="es-ES" w:bidi="es-ES"/>
              </w:rPr>
              <w:t xml:space="preserve">actual y reciente, </w:t>
            </w:r>
            <w:r w:rsidR="00373B36">
              <w:rPr>
                <w:rFonts w:ascii="Verdana" w:eastAsia="Arial" w:hAnsi="Verdana" w:cs="Arial"/>
                <w:lang w:eastAsia="es-ES" w:bidi="es-ES"/>
              </w:rPr>
              <w:t xml:space="preserve">mientras </w:t>
            </w:r>
            <w:r w:rsidR="002E043C">
              <w:rPr>
                <w:rFonts w:ascii="Verdana" w:eastAsia="Arial" w:hAnsi="Verdana" w:cs="Arial"/>
                <w:lang w:eastAsia="es-ES" w:bidi="es-ES"/>
              </w:rPr>
              <w:t xml:space="preserve">que la </w:t>
            </w:r>
            <w:r w:rsidR="00373B36">
              <w:rPr>
                <w:rFonts w:ascii="Verdana" w:eastAsia="Arial" w:hAnsi="Verdana" w:cs="Arial"/>
                <w:lang w:eastAsia="es-ES" w:bidi="es-ES"/>
              </w:rPr>
              <w:t xml:space="preserve">restricción </w:t>
            </w:r>
            <w:r w:rsidR="002E043C">
              <w:rPr>
                <w:rFonts w:ascii="Verdana" w:eastAsia="Arial" w:hAnsi="Verdana" w:cs="Arial"/>
                <w:lang w:eastAsia="es-ES" w:bidi="es-ES"/>
              </w:rPr>
              <w:t>del artículo</w:t>
            </w:r>
            <w:r w:rsidR="00AA080B">
              <w:rPr>
                <w:rFonts w:ascii="Verdana" w:eastAsia="Arial" w:hAnsi="Verdana" w:cs="Arial"/>
                <w:lang w:eastAsia="es-ES" w:bidi="es-ES"/>
              </w:rPr>
              <w:t xml:space="preserve"> 38</w:t>
            </w:r>
            <w:r w:rsidR="002E043C">
              <w:rPr>
                <w:rFonts w:ascii="Verdana" w:eastAsia="Arial" w:hAnsi="Verdana" w:cs="Arial"/>
                <w:lang w:eastAsia="es-ES" w:bidi="es-ES"/>
              </w:rPr>
              <w:t xml:space="preserve"> </w:t>
            </w:r>
            <w:r w:rsidR="00AA080B">
              <w:rPr>
                <w:rFonts w:ascii="Verdana" w:eastAsia="Arial" w:hAnsi="Verdana" w:cs="Arial"/>
                <w:lang w:eastAsia="es-ES" w:bidi="es-ES"/>
              </w:rPr>
              <w:t xml:space="preserve">comenzó a regir desde el pasado 8 de noviembre de 2025, </w:t>
            </w:r>
            <w:r w:rsidR="00917748">
              <w:rPr>
                <w:rFonts w:ascii="Verdana" w:eastAsia="Arial" w:hAnsi="Verdana" w:cs="Arial"/>
                <w:lang w:eastAsia="es-ES" w:bidi="es-ES"/>
              </w:rPr>
              <w:t xml:space="preserve">la del artículo 33 solo entra regir a partir del </w:t>
            </w:r>
            <w:r w:rsidR="00925CA2">
              <w:rPr>
                <w:rFonts w:ascii="Verdana" w:eastAsia="Arial" w:hAnsi="Verdana" w:cs="Arial"/>
                <w:lang w:eastAsia="es-ES" w:bidi="es-ES"/>
              </w:rPr>
              <w:t xml:space="preserve">31 de enero de 2026, extendiéndose ambas hasta </w:t>
            </w:r>
            <w:r w:rsidR="00690862">
              <w:rPr>
                <w:rFonts w:ascii="Verdana" w:eastAsia="Arial" w:hAnsi="Verdana" w:cs="Arial"/>
                <w:lang w:eastAsia="es-ES" w:bidi="es-ES"/>
              </w:rPr>
              <w:t xml:space="preserve">el 31 de mayo de 2026 o hasta el </w:t>
            </w:r>
            <w:r w:rsidR="00D9033C">
              <w:rPr>
                <w:rFonts w:ascii="Verdana" w:eastAsia="Arial" w:hAnsi="Verdana" w:cs="Arial"/>
                <w:lang w:eastAsia="es-ES" w:bidi="es-ES"/>
              </w:rPr>
              <w:t xml:space="preserve">21 de junio de 2026, en caso de requerirse segunda vuelta en la contienda presidencial. </w:t>
            </w:r>
            <w:r w:rsidR="00917748">
              <w:rPr>
                <w:rFonts w:ascii="Verdana" w:eastAsia="Arial" w:hAnsi="Verdana" w:cs="Arial"/>
                <w:lang w:eastAsia="es-ES" w:bidi="es-ES"/>
              </w:rPr>
              <w:t xml:space="preserve"> </w:t>
            </w:r>
            <w:r w:rsidR="00AA080B">
              <w:rPr>
                <w:rFonts w:ascii="Verdana" w:eastAsia="Arial" w:hAnsi="Verdana" w:cs="Arial"/>
                <w:lang w:eastAsia="es-ES" w:bidi="es-ES"/>
              </w:rPr>
              <w:t xml:space="preserve"> </w:t>
            </w:r>
            <w:r w:rsidR="000D2F32">
              <w:rPr>
                <w:rFonts w:ascii="Verdana" w:eastAsia="Arial" w:hAnsi="Verdana" w:cs="Arial"/>
                <w:lang w:eastAsia="es-ES" w:bidi="es-ES"/>
              </w:rPr>
              <w:t xml:space="preserve"> </w:t>
            </w:r>
            <w:r w:rsidR="00373B36">
              <w:rPr>
                <w:rFonts w:ascii="Verdana" w:eastAsia="Arial" w:hAnsi="Verdana" w:cs="Arial"/>
                <w:lang w:eastAsia="es-ES" w:bidi="es-ES"/>
              </w:rPr>
              <w:t xml:space="preserve"> </w:t>
            </w:r>
          </w:p>
          <w:p w14:paraId="76997188" w14:textId="6A85561F" w:rsidR="008D5774" w:rsidRDefault="008D5774" w:rsidP="006F3F7E">
            <w:pPr>
              <w:spacing w:before="120" w:after="120" w:line="276" w:lineRule="auto"/>
              <w:ind w:firstLine="708"/>
              <w:jc w:val="both"/>
              <w:rPr>
                <w:rFonts w:ascii="Verdana" w:eastAsia="Times New Roman" w:hAnsi="Verdana" w:cs="Arial"/>
                <w:lang w:eastAsia="es-CO"/>
              </w:rPr>
            </w:pPr>
            <w:r w:rsidRPr="00215BCE">
              <w:rPr>
                <w:rFonts w:ascii="Verdana" w:eastAsia="Arial" w:hAnsi="Verdana" w:cs="Arial"/>
                <w:lang w:eastAsia="es-ES" w:bidi="es-ES"/>
              </w:rPr>
              <w:t xml:space="preserve">Precisado lo anterior, </w:t>
            </w:r>
            <w:r w:rsidRPr="00215BCE">
              <w:rPr>
                <w:rFonts w:ascii="Verdana" w:eastAsia="Times New Roman" w:hAnsi="Verdana" w:cs="Arial"/>
                <w:bCs/>
                <w:lang w:val="es-ES" w:eastAsia="es-CO"/>
              </w:rPr>
              <w:t>p</w:t>
            </w:r>
            <w:r w:rsidRPr="00215BCE">
              <w:rPr>
                <w:rFonts w:ascii="Verdana" w:eastAsia="Times New Roman" w:hAnsi="Verdana" w:cs="Arial"/>
                <w:bCs/>
                <w:lang w:eastAsia="es-CO"/>
              </w:rPr>
              <w:t>ara responder al problema jurídico planteado, es importante tener en cuenta</w:t>
            </w:r>
            <w:r w:rsidR="0053070B">
              <w:rPr>
                <w:rFonts w:ascii="Verdana" w:eastAsia="Times New Roman" w:hAnsi="Verdana" w:cs="Arial"/>
                <w:bCs/>
                <w:lang w:eastAsia="es-CO"/>
              </w:rPr>
              <w:t xml:space="preserve"> que, conforme explica </w:t>
            </w:r>
            <w:r w:rsidRPr="00215BCE">
              <w:rPr>
                <w:rFonts w:ascii="Verdana" w:eastAsia="Times New Roman" w:hAnsi="Verdana" w:cs="Arial"/>
                <w:bCs/>
                <w:lang w:eastAsia="es-CO"/>
              </w:rPr>
              <w:t>la</w:t>
            </w:r>
            <w:r w:rsidRPr="00215BCE">
              <w:rPr>
                <w:rFonts w:ascii="Verdana" w:hAnsi="Verdana" w:cs="Arial"/>
                <w:lang w:val="es-ES_tradnl"/>
              </w:rPr>
              <w:t xml:space="preserve"> Circular Externa No. 006 de 2025</w:t>
            </w:r>
            <w:r w:rsidR="0053070B">
              <w:rPr>
                <w:rFonts w:ascii="Verdana" w:hAnsi="Verdana" w:cs="Arial"/>
                <w:lang w:val="es-ES_tradnl"/>
              </w:rPr>
              <w:t>,</w:t>
            </w:r>
            <w:r w:rsidRPr="00215BCE">
              <w:rPr>
                <w:rFonts w:ascii="Verdana" w:hAnsi="Verdana" w:cs="Arial"/>
                <w:lang w:val="es-ES_tradnl"/>
              </w:rPr>
              <w:t xml:space="preserve"> expedida por la ANCP-CCE, en sus literales ii) y iv) del numeral 2, el parágrafo del artículo 38 de la Ley 996 de 2005 cobija expresamente a los </w:t>
            </w:r>
            <w:r w:rsidRPr="00215BCE">
              <w:rPr>
                <w:rFonts w:ascii="Verdana" w:hAnsi="Verdana" w:cs="Arial"/>
                <w:i/>
                <w:iCs/>
                <w:lang w:val="es-ES_tradnl"/>
              </w:rPr>
              <w:t xml:space="preserve">convenios interadministrativos </w:t>
            </w:r>
            <w:r w:rsidRPr="00215BCE">
              <w:rPr>
                <w:rFonts w:ascii="Verdana" w:hAnsi="Verdana" w:cs="Arial"/>
                <w:lang w:val="es-ES_tradnl"/>
              </w:rPr>
              <w:t xml:space="preserve">en los que se contemple la ejecución de recursos públicos. </w:t>
            </w:r>
            <w:r w:rsidRPr="00215BCE">
              <w:rPr>
                <w:rFonts w:ascii="Verdana" w:eastAsia="Times New Roman" w:hAnsi="Verdana" w:cs="Arial"/>
                <w:lang w:eastAsia="es-CO"/>
              </w:rPr>
              <w:t xml:space="preserve">Esto significa que la prohibición no resulta aplicable a </w:t>
            </w:r>
            <w:r w:rsidRPr="00215BCE">
              <w:rPr>
                <w:rFonts w:ascii="Verdana" w:eastAsia="Times New Roman" w:hAnsi="Verdana" w:cs="Arial"/>
                <w:i/>
                <w:iCs/>
                <w:lang w:eastAsia="es-CO"/>
              </w:rPr>
              <w:t>convenios interadministrativos a título gratuito,</w:t>
            </w:r>
            <w:r w:rsidRPr="00215BCE">
              <w:rPr>
                <w:rFonts w:ascii="Verdana" w:eastAsia="Times New Roman" w:hAnsi="Verdana" w:cs="Arial"/>
                <w:lang w:eastAsia="es-CO"/>
              </w:rPr>
              <w:t xml:space="preserve"> los cuales pueden celebrarse válidamente durante la vigencia de la mencionada restricción. </w:t>
            </w:r>
          </w:p>
          <w:p w14:paraId="2550F585" w14:textId="4CE2FB27" w:rsidR="00451BBD" w:rsidRDefault="007C435B" w:rsidP="006F3F7E">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lastRenderedPageBreak/>
              <w:t xml:space="preserve">Sin perjuicio de lo anterior, es importante acotar que, la modalidad </w:t>
            </w:r>
            <w:r w:rsidR="00445E6C">
              <w:rPr>
                <w:rFonts w:ascii="Verdana" w:eastAsia="Times New Roman" w:hAnsi="Verdana" w:cs="Arial"/>
                <w:lang w:eastAsia="es-CO"/>
              </w:rPr>
              <w:t xml:space="preserve">aplicable para la celebración de convenios interadministrativos es la contratación directa. En ese sentido, si bien los convenios interadministrativos que no contemplen la ejecución de recursos públicos </w:t>
            </w:r>
            <w:r w:rsidR="008917C7">
              <w:rPr>
                <w:rFonts w:ascii="Verdana" w:eastAsia="Times New Roman" w:hAnsi="Verdana" w:cs="Arial"/>
                <w:lang w:eastAsia="es-CO"/>
              </w:rPr>
              <w:t>no se encuentra</w:t>
            </w:r>
            <w:r w:rsidR="00C93DAC">
              <w:rPr>
                <w:rFonts w:ascii="Verdana" w:eastAsia="Times New Roman" w:hAnsi="Verdana" w:cs="Arial"/>
                <w:lang w:eastAsia="es-CO"/>
              </w:rPr>
              <w:t>n</w:t>
            </w:r>
            <w:r w:rsidR="008917C7">
              <w:rPr>
                <w:rFonts w:ascii="Verdana" w:eastAsia="Times New Roman" w:hAnsi="Verdana" w:cs="Arial"/>
                <w:lang w:eastAsia="es-CO"/>
              </w:rPr>
              <w:t xml:space="preserve"> cobijados por la </w:t>
            </w:r>
            <w:r w:rsidR="006D6B3F">
              <w:rPr>
                <w:rFonts w:ascii="Verdana" w:eastAsia="Times New Roman" w:hAnsi="Verdana" w:cs="Arial"/>
                <w:lang w:eastAsia="es-CO"/>
              </w:rPr>
              <w:t xml:space="preserve">restricción del </w:t>
            </w:r>
            <w:r w:rsidR="004B1246">
              <w:rPr>
                <w:rFonts w:ascii="Verdana" w:eastAsia="Times New Roman" w:hAnsi="Verdana" w:cs="Arial"/>
                <w:lang w:eastAsia="es-CO"/>
              </w:rPr>
              <w:t>parágrafo del artículo 38 de la Ley 996 de 2005,</w:t>
            </w:r>
            <w:r w:rsidR="00C93DAC">
              <w:rPr>
                <w:rFonts w:ascii="Verdana" w:eastAsia="Times New Roman" w:hAnsi="Verdana" w:cs="Arial"/>
                <w:lang w:eastAsia="es-CO"/>
              </w:rPr>
              <w:t xml:space="preserve"> s</w:t>
            </w:r>
            <w:r w:rsidR="00451BB4">
              <w:rPr>
                <w:rFonts w:ascii="Verdana" w:eastAsia="Times New Roman" w:hAnsi="Verdana" w:cs="Arial"/>
                <w:lang w:eastAsia="es-CO"/>
              </w:rPr>
              <w:t xml:space="preserve">i </w:t>
            </w:r>
            <w:r w:rsidR="00F5119A">
              <w:rPr>
                <w:rFonts w:ascii="Verdana" w:eastAsia="Times New Roman" w:hAnsi="Verdana" w:cs="Arial"/>
                <w:lang w:eastAsia="es-CO"/>
              </w:rPr>
              <w:t xml:space="preserve">pueden estar cobijados por la prohibición a la contratación directa establecida </w:t>
            </w:r>
            <w:r w:rsidR="00BE228B">
              <w:rPr>
                <w:rFonts w:ascii="Verdana" w:eastAsia="Times New Roman" w:hAnsi="Verdana" w:cs="Arial"/>
                <w:lang w:eastAsia="es-CO"/>
              </w:rPr>
              <w:t>por el artículo 33 de la Ley 996 de 2005</w:t>
            </w:r>
            <w:r w:rsidR="00645740">
              <w:rPr>
                <w:rFonts w:ascii="Verdana" w:eastAsia="Times New Roman" w:hAnsi="Verdana" w:cs="Arial"/>
                <w:lang w:eastAsia="es-CO"/>
              </w:rPr>
              <w:t>.</w:t>
            </w:r>
            <w:r w:rsidR="00451BBD">
              <w:rPr>
                <w:rFonts w:ascii="Verdana" w:eastAsia="Times New Roman" w:hAnsi="Verdana" w:cs="Arial"/>
                <w:lang w:eastAsia="es-CO"/>
              </w:rPr>
              <w:t xml:space="preserve"> </w:t>
            </w:r>
            <w:r w:rsidR="00F41C3E">
              <w:rPr>
                <w:rFonts w:ascii="Verdana" w:eastAsia="Times New Roman" w:hAnsi="Verdana" w:cs="Arial"/>
                <w:lang w:eastAsia="es-CO"/>
              </w:rPr>
              <w:t>De esta manera</w:t>
            </w:r>
            <w:r w:rsidR="00451BBD">
              <w:rPr>
                <w:rFonts w:ascii="Verdana" w:eastAsia="Times New Roman" w:hAnsi="Verdana" w:cs="Arial"/>
                <w:lang w:eastAsia="es-CO"/>
              </w:rPr>
              <w:t xml:space="preserve">, </w:t>
            </w:r>
            <w:r w:rsidR="00FE26DE">
              <w:rPr>
                <w:rFonts w:ascii="Verdana" w:eastAsia="Times New Roman" w:hAnsi="Verdana" w:cs="Arial"/>
                <w:lang w:eastAsia="es-CO"/>
              </w:rPr>
              <w:t>es posible afirmar que, en principio,</w:t>
            </w:r>
            <w:r w:rsidR="00F41C3E">
              <w:rPr>
                <w:rFonts w:ascii="Verdana" w:eastAsia="Times New Roman" w:hAnsi="Verdana" w:cs="Arial"/>
                <w:lang w:eastAsia="es-CO"/>
              </w:rPr>
              <w:t xml:space="preserve"> resulta</w:t>
            </w:r>
            <w:r w:rsidR="00451BBD">
              <w:rPr>
                <w:rFonts w:ascii="Verdana" w:eastAsia="Times New Roman" w:hAnsi="Verdana" w:cs="Arial"/>
                <w:lang w:eastAsia="es-CO"/>
              </w:rPr>
              <w:t xml:space="preserve"> v</w:t>
            </w:r>
            <w:r w:rsidR="00F41C3E">
              <w:rPr>
                <w:rFonts w:ascii="Verdana" w:eastAsia="Times New Roman" w:hAnsi="Verdana" w:cs="Arial"/>
                <w:lang w:eastAsia="es-CO"/>
              </w:rPr>
              <w:t>iable</w:t>
            </w:r>
            <w:r w:rsidR="00451BBD">
              <w:rPr>
                <w:rFonts w:ascii="Verdana" w:eastAsia="Times New Roman" w:hAnsi="Verdana" w:cs="Arial"/>
                <w:lang w:eastAsia="es-CO"/>
              </w:rPr>
              <w:t xml:space="preserve"> celebrar de manera directa un </w:t>
            </w:r>
            <w:r w:rsidR="00451BBD" w:rsidRPr="00BD4175">
              <w:rPr>
                <w:rFonts w:ascii="Verdana" w:eastAsia="Times New Roman" w:hAnsi="Verdana" w:cs="Arial"/>
                <w:i/>
                <w:iCs/>
                <w:lang w:eastAsia="es-CO"/>
              </w:rPr>
              <w:t xml:space="preserve">convenio </w:t>
            </w:r>
            <w:r w:rsidR="00EA16FC" w:rsidRPr="00BD4175">
              <w:rPr>
                <w:rFonts w:ascii="Verdana" w:eastAsia="Times New Roman" w:hAnsi="Verdana" w:cs="Arial"/>
                <w:i/>
                <w:iCs/>
                <w:lang w:eastAsia="es-CO"/>
              </w:rPr>
              <w:t>interadministrativo</w:t>
            </w:r>
            <w:r w:rsidR="00451BBD" w:rsidRPr="00BD4175">
              <w:rPr>
                <w:rFonts w:ascii="Verdana" w:eastAsia="Times New Roman" w:hAnsi="Verdana" w:cs="Arial"/>
                <w:i/>
                <w:iCs/>
                <w:lang w:eastAsia="es-CO"/>
              </w:rPr>
              <w:t xml:space="preserve"> a titulo gratui</w:t>
            </w:r>
            <w:r w:rsidR="00EA16FC" w:rsidRPr="00BD4175">
              <w:rPr>
                <w:rFonts w:ascii="Verdana" w:eastAsia="Times New Roman" w:hAnsi="Verdana" w:cs="Arial"/>
                <w:i/>
                <w:iCs/>
                <w:lang w:eastAsia="es-CO"/>
              </w:rPr>
              <w:t>to</w:t>
            </w:r>
            <w:r w:rsidR="00F41C3E" w:rsidRPr="00BD4175">
              <w:rPr>
                <w:rFonts w:ascii="Verdana" w:eastAsia="Times New Roman" w:hAnsi="Verdana" w:cs="Arial"/>
                <w:i/>
                <w:iCs/>
                <w:lang w:eastAsia="es-CO"/>
              </w:rPr>
              <w:t xml:space="preserve"> </w:t>
            </w:r>
            <w:r w:rsidR="00F41C3E">
              <w:rPr>
                <w:rFonts w:ascii="Verdana" w:eastAsia="Times New Roman" w:hAnsi="Verdana" w:cs="Arial"/>
                <w:lang w:eastAsia="es-CO"/>
              </w:rPr>
              <w:t>en vigencia de la restricción del artículo 38,</w:t>
            </w:r>
            <w:r w:rsidR="00203EC3">
              <w:rPr>
                <w:rFonts w:ascii="Verdana" w:eastAsia="Times New Roman" w:hAnsi="Verdana" w:cs="Arial"/>
                <w:lang w:eastAsia="es-CO"/>
              </w:rPr>
              <w:t xml:space="preserve"> más no en vigencia de la restricción del artículo 33, salvo que</w:t>
            </w:r>
            <w:r w:rsidR="001068E1">
              <w:rPr>
                <w:rFonts w:ascii="Verdana" w:eastAsia="Times New Roman" w:hAnsi="Verdana" w:cs="Arial"/>
                <w:lang w:eastAsia="es-CO"/>
              </w:rPr>
              <w:t xml:space="preserve"> se configure alguna de las excepciones establecidas por este último artículo. </w:t>
            </w:r>
          </w:p>
          <w:p w14:paraId="77A55E0C" w14:textId="2A99DB2B" w:rsidR="008D5774" w:rsidRPr="00215BCE" w:rsidRDefault="00BE228B" w:rsidP="00BD4175">
            <w:pPr>
              <w:spacing w:before="120" w:after="120" w:line="276" w:lineRule="auto"/>
              <w:ind w:firstLine="708"/>
              <w:jc w:val="both"/>
              <w:rPr>
                <w:rFonts w:ascii="Verdana" w:eastAsia="Calibri" w:hAnsi="Verdana" w:cs="Times New Roman"/>
                <w:lang w:val="es-ES"/>
              </w:rPr>
            </w:pPr>
            <w:r>
              <w:rPr>
                <w:rFonts w:ascii="Verdana" w:eastAsia="Times New Roman" w:hAnsi="Verdana" w:cs="Arial"/>
                <w:lang w:eastAsia="es-CO"/>
              </w:rPr>
              <w:t xml:space="preserve"> </w:t>
            </w:r>
            <w:r w:rsidR="004B1246">
              <w:rPr>
                <w:rFonts w:ascii="Verdana" w:eastAsia="Times New Roman" w:hAnsi="Verdana" w:cs="Arial"/>
                <w:lang w:eastAsia="es-CO"/>
              </w:rPr>
              <w:t xml:space="preserve"> </w:t>
            </w:r>
            <w:r w:rsidR="008D5774" w:rsidRPr="00215BCE">
              <w:rPr>
                <w:rFonts w:ascii="Verdana" w:eastAsia="Calibri" w:hAnsi="Verdana" w:cs="Arial"/>
                <w:bCs/>
              </w:rPr>
              <w:t>Finalmente</w:t>
            </w:r>
            <w:r w:rsidR="008D5774" w:rsidRPr="00215BCE">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8D5774" w:rsidRPr="00215BCE">
              <w:rPr>
                <w:rFonts w:ascii="Verdana" w:hAnsi="Verdana"/>
              </w:rPr>
              <w:t xml:space="preserve"> </w:t>
            </w:r>
          </w:p>
          <w:p w14:paraId="1E15E514" w14:textId="77777777" w:rsidR="008D5774" w:rsidRPr="009233BB" w:rsidRDefault="008D5774" w:rsidP="009D40B6">
            <w:pPr>
              <w:spacing w:before="120" w:after="120" w:line="276" w:lineRule="auto"/>
              <w:ind w:firstLine="709"/>
              <w:jc w:val="both"/>
              <w:rPr>
                <w:rFonts w:ascii="Verdana" w:eastAsia="Calibri" w:hAnsi="Verdana" w:cs="Arial"/>
                <w:color w:val="ED7D31" w:themeColor="accent2"/>
              </w:rPr>
            </w:pPr>
            <w:r w:rsidRPr="005B26C9">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6914BB7C" w14:textId="77777777" w:rsidR="008D5774" w:rsidRPr="009233BB" w:rsidRDefault="008D5774" w:rsidP="008D5774">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B697DCE" w14:textId="77777777" w:rsidR="008D5774" w:rsidRPr="00B10CED" w:rsidRDefault="008D5774" w:rsidP="008D5774">
      <w:pPr>
        <w:tabs>
          <w:tab w:val="left" w:pos="142"/>
          <w:tab w:val="left" w:pos="284"/>
        </w:tabs>
        <w:spacing w:after="0" w:line="276" w:lineRule="auto"/>
        <w:jc w:val="both"/>
        <w:rPr>
          <w:rFonts w:ascii="Verdana" w:eastAsia="Century Gothic" w:hAnsi="Verdana" w:cs="Century Gothic"/>
          <w:b/>
          <w:lang w:val="es-ES"/>
        </w:rPr>
      </w:pPr>
      <w:r w:rsidRPr="00B10CED">
        <w:rPr>
          <w:rFonts w:ascii="Verdana" w:eastAsia="Century Gothic" w:hAnsi="Verdana" w:cs="Century Gothic"/>
          <w:b/>
          <w:lang w:val="es-ES"/>
        </w:rPr>
        <w:t>3. Razones de la respuesta:</w:t>
      </w:r>
    </w:p>
    <w:p w14:paraId="790C280A" w14:textId="77777777" w:rsidR="008D5774" w:rsidRDefault="008D5774" w:rsidP="008D5774">
      <w:pPr>
        <w:tabs>
          <w:tab w:val="left" w:pos="142"/>
          <w:tab w:val="left" w:pos="284"/>
        </w:tabs>
        <w:spacing w:after="0" w:line="276" w:lineRule="auto"/>
        <w:jc w:val="both"/>
        <w:rPr>
          <w:rFonts w:ascii="Verdana" w:eastAsia="Century Gothic" w:hAnsi="Verdana" w:cs="Century Gothic"/>
          <w:b/>
          <w:color w:val="ED7D31" w:themeColor="accent2"/>
          <w:lang w:val="es-ES"/>
        </w:rPr>
      </w:pPr>
    </w:p>
    <w:p w14:paraId="62691086" w14:textId="77777777" w:rsidR="008D5774" w:rsidRDefault="008D5774" w:rsidP="008D5774">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26EE0FA2" w14:textId="77777777" w:rsidR="00C03F30" w:rsidRDefault="00C03F30" w:rsidP="008D5774">
      <w:pPr>
        <w:spacing w:after="0" w:line="276" w:lineRule="auto"/>
        <w:jc w:val="both"/>
        <w:rPr>
          <w:rFonts w:ascii="Verdana" w:eastAsia="Calibri" w:hAnsi="Verdana" w:cs="Arial"/>
          <w:lang w:val="es-ES"/>
        </w:rPr>
      </w:pPr>
    </w:p>
    <w:p w14:paraId="73ABDF7C" w14:textId="77777777" w:rsidR="008D5774" w:rsidRPr="005416E7" w:rsidRDefault="008D5774" w:rsidP="008D5774">
      <w:pPr>
        <w:tabs>
          <w:tab w:val="left" w:pos="426"/>
        </w:tabs>
        <w:spacing w:after="120" w:line="276" w:lineRule="auto"/>
        <w:jc w:val="both"/>
        <w:rPr>
          <w:rFonts w:ascii="Verdana" w:eastAsia="Verdana" w:hAnsi="Verdana" w:cs="Verdana"/>
          <w:color w:val="ED7D31" w:themeColor="accent2"/>
          <w:lang w:val="es-ES"/>
        </w:rPr>
      </w:pPr>
      <w:bookmarkStart w:id="1" w:name="_Hlk102983874"/>
      <w:bookmarkStart w:id="2" w:name="_Hlk102388095"/>
      <w:r w:rsidRPr="005416E7">
        <w:rPr>
          <w:rFonts w:ascii="Verdana" w:eastAsia="Calibri" w:hAnsi="Verdana" w:cs="Arial"/>
          <w:lang w:val="es-ES"/>
        </w:rPr>
        <w:t>i)</w:t>
      </w:r>
      <w:r w:rsidRPr="005416E7">
        <w:rPr>
          <w:rFonts w:ascii="Verdana" w:eastAsia="Verdana" w:hAnsi="Verdana" w:cs="Verdana"/>
          <w:lang w:val="es-ES"/>
        </w:rPr>
        <w:t xml:space="preserve"> </w:t>
      </w:r>
      <w:r w:rsidRPr="005416E7">
        <w:rPr>
          <w:rFonts w:ascii="Verdana" w:eastAsia="Calibri" w:hAnsi="Verdana" w:cs="Arial"/>
          <w:lang w:val="es-ES"/>
        </w:rPr>
        <w:t>El ordenamiento jurídico colombiano contempla medidas para evitar la obtención de beneficios personales en asuntos propios de la administración pública</w:t>
      </w:r>
      <w:r w:rsidRPr="005416E7">
        <w:rPr>
          <w:rFonts w:ascii="Verdana" w:eastAsia="Calibri" w:hAnsi="Verdana" w:cs="Arial"/>
          <w:i/>
          <w:lang w:val="es-ES"/>
        </w:rPr>
        <w:t xml:space="preserve">. </w:t>
      </w:r>
      <w:r w:rsidRPr="005416E7">
        <w:rPr>
          <w:rFonts w:ascii="Verdana" w:eastAsia="Calibri" w:hAnsi="Verdana" w:cs="Arial"/>
          <w:lang w:val="es-ES"/>
        </w:rPr>
        <w:t xml:space="preserve">Por ejemplo, el artículo 127 de la Constitución Política establece una </w:t>
      </w:r>
      <w:r w:rsidRPr="005416E7">
        <w:rPr>
          <w:rFonts w:ascii="Verdana" w:eastAsia="Calibri" w:hAnsi="Verdana" w:cs="Arial"/>
          <w:lang w:val="es-ES"/>
        </w:rPr>
        <w:lastRenderedPageBreak/>
        <w:t>prohibición contractual a los servidores públicos y, en cuanto a aspectos políticos, señala restricciones a ciertos empleados del Estado, incluso en época no electoral</w:t>
      </w:r>
      <w:r w:rsidRPr="005416E7">
        <w:rPr>
          <w:rFonts w:ascii="Verdana" w:hAnsi="Verdana"/>
          <w:vertAlign w:val="superscript"/>
          <w:lang w:val="es-ES"/>
        </w:rPr>
        <w:footnoteReference w:id="1"/>
      </w:r>
      <w:r w:rsidRPr="005416E7">
        <w:rPr>
          <w:rFonts w:ascii="Verdana" w:eastAsia="Calibri" w:hAnsi="Verdana" w:cs="Arial"/>
          <w:lang w:val="es-ES"/>
        </w:rPr>
        <w:t>.</w:t>
      </w:r>
    </w:p>
    <w:p w14:paraId="23A98D16" w14:textId="77777777" w:rsidR="008D5774" w:rsidRPr="005416E7" w:rsidRDefault="008D5774" w:rsidP="008D5774">
      <w:pPr>
        <w:tabs>
          <w:tab w:val="left" w:pos="426"/>
        </w:tabs>
        <w:spacing w:after="12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416E7">
        <w:rPr>
          <w:rFonts w:ascii="Verdana" w:eastAsia="Times New Roman" w:hAnsi="Verdana" w:cs="Arial"/>
          <w:vertAlign w:val="superscript"/>
          <w:lang w:val="es-ES" w:eastAsia="es-CO"/>
        </w:rPr>
        <w:footnoteReference w:id="2"/>
      </w:r>
      <w:r w:rsidRPr="005416E7">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416E7">
        <w:rPr>
          <w:rFonts w:ascii="Verdana" w:eastAsia="Calibri" w:hAnsi="Verdana" w:cs="Arial"/>
          <w:lang w:val="es-ES"/>
        </w:rPr>
        <w:t xml:space="preserve"> </w:t>
      </w:r>
    </w:p>
    <w:p w14:paraId="3A965458" w14:textId="77777777" w:rsidR="008D5774" w:rsidRPr="005416E7" w:rsidRDefault="008D5774" w:rsidP="008D5774">
      <w:pPr>
        <w:tabs>
          <w:tab w:val="left" w:pos="426"/>
        </w:tabs>
        <w:spacing w:after="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42E7528" w14:textId="77777777" w:rsidR="008D5774" w:rsidRPr="005416E7" w:rsidRDefault="008D5774" w:rsidP="008D5774">
      <w:pPr>
        <w:spacing w:after="0" w:line="276" w:lineRule="auto"/>
        <w:ind w:right="709"/>
        <w:jc w:val="both"/>
        <w:rPr>
          <w:rFonts w:ascii="Verdana" w:eastAsia="Times New Roman" w:hAnsi="Verdana" w:cs="Arial"/>
          <w:lang w:val="es-ES" w:eastAsia="es-CO"/>
        </w:rPr>
      </w:pPr>
    </w:p>
    <w:p w14:paraId="75515A6B" w14:textId="77777777" w:rsidR="008D5774" w:rsidRPr="005416E7" w:rsidRDefault="008D5774" w:rsidP="008D5774">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 </w:t>
      </w:r>
    </w:p>
    <w:p w14:paraId="4D06A15F" w14:textId="77777777" w:rsidR="008D5774" w:rsidRPr="005416E7" w:rsidRDefault="008D5774" w:rsidP="008D5774">
      <w:pPr>
        <w:spacing w:after="0" w:line="240" w:lineRule="auto"/>
        <w:ind w:left="709" w:right="709"/>
        <w:contextualSpacing/>
        <w:jc w:val="both"/>
        <w:rPr>
          <w:rFonts w:ascii="Verdana" w:eastAsia="Times New Roman" w:hAnsi="Verdana" w:cs="Arial"/>
          <w:sz w:val="20"/>
          <w:szCs w:val="20"/>
          <w:lang w:val="es-ES" w:eastAsia="es-CO"/>
        </w:rPr>
      </w:pPr>
    </w:p>
    <w:p w14:paraId="1269A5F0" w14:textId="77777777" w:rsidR="008D5774" w:rsidRPr="005416E7" w:rsidRDefault="008D5774" w:rsidP="008D5774">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416E7">
        <w:rPr>
          <w:rFonts w:ascii="Verdana" w:eastAsia="Calibri" w:hAnsi="Verdana" w:cs="Arial"/>
          <w:sz w:val="20"/>
          <w:szCs w:val="20"/>
          <w:vertAlign w:val="superscript"/>
          <w:lang w:val="es-ES"/>
        </w:rPr>
        <w:footnoteReference w:id="3"/>
      </w:r>
    </w:p>
    <w:p w14:paraId="7A0F954B" w14:textId="77777777" w:rsidR="008D5774" w:rsidRPr="005416E7" w:rsidRDefault="008D5774" w:rsidP="008D5774">
      <w:pPr>
        <w:spacing w:after="0" w:line="276" w:lineRule="auto"/>
        <w:ind w:firstLine="709"/>
        <w:jc w:val="both"/>
        <w:rPr>
          <w:rFonts w:ascii="Verdana" w:eastAsia="Times New Roman" w:hAnsi="Verdana" w:cs="Arial"/>
          <w:color w:val="4472C4" w:themeColor="accent1"/>
          <w:lang w:val="es-ES" w:eastAsia="es-CO"/>
        </w:rPr>
      </w:pPr>
    </w:p>
    <w:p w14:paraId="42DF456C" w14:textId="77777777" w:rsidR="008D5774" w:rsidRPr="005416E7" w:rsidRDefault="008D5774" w:rsidP="008D5774">
      <w:pPr>
        <w:spacing w:after="0" w:line="276" w:lineRule="auto"/>
        <w:ind w:firstLine="709"/>
        <w:jc w:val="both"/>
        <w:rPr>
          <w:rFonts w:ascii="Verdana" w:eastAsia="Times New Roman" w:hAnsi="Verdana" w:cs="Arial"/>
          <w:lang w:val="es-ES" w:eastAsia="es-CO"/>
        </w:rPr>
      </w:pPr>
      <w:r w:rsidRPr="005416E7">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0A771EB9" w14:textId="77777777" w:rsidR="008D5774" w:rsidRPr="005416E7" w:rsidRDefault="008D5774" w:rsidP="008D5774">
      <w:pPr>
        <w:spacing w:after="0" w:line="276" w:lineRule="auto"/>
        <w:ind w:firstLine="709"/>
        <w:jc w:val="both"/>
        <w:rPr>
          <w:rFonts w:ascii="Verdana" w:eastAsia="Times New Roman" w:hAnsi="Verdana" w:cs="Arial"/>
          <w:color w:val="4472C4" w:themeColor="accent1"/>
          <w:lang w:val="es-ES" w:eastAsia="es-CO"/>
        </w:rPr>
      </w:pPr>
    </w:p>
    <w:p w14:paraId="16E2548F" w14:textId="77777777" w:rsidR="008D5774" w:rsidRPr="005416E7" w:rsidRDefault="008D5774" w:rsidP="008D5774">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color w:val="4472C4" w:themeColor="accent1"/>
          <w:sz w:val="20"/>
          <w:szCs w:val="20"/>
          <w:lang w:val="es-ES" w:eastAsia="es-CO"/>
        </w:rPr>
        <w:t>“</w:t>
      </w:r>
      <w:r w:rsidRPr="005416E7">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52326FF" w14:textId="77777777" w:rsidR="00341D29" w:rsidRDefault="00341D29" w:rsidP="008D5774">
      <w:pPr>
        <w:spacing w:after="0" w:line="240" w:lineRule="auto"/>
        <w:ind w:left="709" w:right="709"/>
        <w:jc w:val="both"/>
        <w:rPr>
          <w:rFonts w:ascii="Verdana" w:eastAsia="Times New Roman" w:hAnsi="Verdana" w:cs="Arial"/>
          <w:sz w:val="20"/>
          <w:szCs w:val="20"/>
          <w:lang w:val="es-ES" w:eastAsia="es-CO"/>
        </w:rPr>
      </w:pPr>
    </w:p>
    <w:p w14:paraId="4504028B" w14:textId="425DD78D" w:rsidR="008D5774" w:rsidRPr="005416E7" w:rsidRDefault="008D5774" w:rsidP="008D5774">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La jurisprudencia de la Corte Constitucional</w:t>
      </w:r>
      <w:r w:rsidRPr="005416E7">
        <w:rPr>
          <w:rFonts w:ascii="Verdana" w:eastAsia="Times New Roman" w:hAnsi="Verdana" w:cs="Arial"/>
          <w:sz w:val="20"/>
          <w:szCs w:val="20"/>
          <w:vertAlign w:val="superscript"/>
          <w:lang w:val="es-ES" w:eastAsia="es-CO"/>
        </w:rPr>
        <w:footnoteReference w:id="4"/>
      </w:r>
      <w:r w:rsidRPr="005416E7">
        <w:rPr>
          <w:rFonts w:ascii="Verdana" w:eastAsia="Times New Roman" w:hAnsi="Verdana" w:cs="Arial"/>
          <w:sz w:val="20"/>
          <w:szCs w:val="20"/>
          <w:lang w:val="es-ES" w:eastAsia="es-CO"/>
        </w:rPr>
        <w:t> y del Consejo de Estado</w:t>
      </w:r>
      <w:r w:rsidRPr="005416E7">
        <w:rPr>
          <w:rFonts w:ascii="Verdana" w:eastAsia="Times New Roman" w:hAnsi="Verdana" w:cs="Arial"/>
          <w:sz w:val="20"/>
          <w:szCs w:val="20"/>
          <w:vertAlign w:val="superscript"/>
          <w:lang w:val="es-ES" w:eastAsia="es-CO"/>
        </w:rPr>
        <w:footnoteReference w:id="5"/>
      </w:r>
      <w:r w:rsidRPr="005416E7">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416E7">
        <w:rPr>
          <w:rFonts w:ascii="Verdana" w:eastAsia="Times New Roman" w:hAnsi="Verdana" w:cs="Arial"/>
          <w:sz w:val="20"/>
          <w:szCs w:val="20"/>
          <w:vertAlign w:val="superscript"/>
          <w:lang w:val="es-ES" w:eastAsia="es-CO"/>
        </w:rPr>
        <w:footnoteReference w:id="6"/>
      </w:r>
      <w:r w:rsidRPr="005416E7">
        <w:rPr>
          <w:rFonts w:ascii="Verdana" w:eastAsia="Times New Roman" w:hAnsi="Verdana" w:cs="Arial"/>
          <w:sz w:val="20"/>
          <w:szCs w:val="20"/>
          <w:lang w:val="es-ES" w:eastAsia="es-CO"/>
        </w:rPr>
        <w:t>.</w:t>
      </w:r>
    </w:p>
    <w:p w14:paraId="45E26616" w14:textId="77777777" w:rsidR="008D5774" w:rsidRPr="005416E7" w:rsidRDefault="008D5774" w:rsidP="008D5774">
      <w:pPr>
        <w:spacing w:after="0" w:line="276" w:lineRule="auto"/>
        <w:jc w:val="both"/>
        <w:rPr>
          <w:rFonts w:ascii="Verdana" w:eastAsia="Calibri" w:hAnsi="Verdana" w:cs="Arial"/>
          <w:bCs/>
          <w:lang w:val="es-ES"/>
        </w:rPr>
      </w:pPr>
    </w:p>
    <w:p w14:paraId="197340CC" w14:textId="77777777" w:rsidR="008D5774" w:rsidRPr="005416E7" w:rsidRDefault="008D5774" w:rsidP="008D5774">
      <w:pPr>
        <w:spacing w:after="0" w:line="276" w:lineRule="auto"/>
        <w:ind w:firstLine="709"/>
        <w:jc w:val="both"/>
        <w:rPr>
          <w:rFonts w:ascii="Verdana" w:eastAsia="Arial" w:hAnsi="Verdana" w:cs="Arial"/>
          <w:lang w:val="es-ES" w:eastAsia="es-ES" w:bidi="es-ES"/>
        </w:rPr>
      </w:pPr>
      <w:r w:rsidRPr="005416E7">
        <w:rPr>
          <w:rFonts w:ascii="Verdana" w:eastAsia="Times New Roman" w:hAnsi="Verdana" w:cs="Arial"/>
          <w:lang w:val="es-ES" w:eastAsia="es-CO"/>
        </w:rPr>
        <w:lastRenderedPageBreak/>
        <w:t>De</w:t>
      </w:r>
      <w:r w:rsidRPr="005416E7">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5898DAD" w14:textId="77777777" w:rsidR="008D5774" w:rsidRPr="005416E7" w:rsidRDefault="008D5774" w:rsidP="008D5774">
      <w:pPr>
        <w:spacing w:after="0" w:line="276" w:lineRule="auto"/>
        <w:ind w:firstLine="709"/>
        <w:jc w:val="both"/>
        <w:rPr>
          <w:rFonts w:ascii="Verdana" w:eastAsia="Arial" w:hAnsi="Verdana" w:cs="Arial"/>
          <w:color w:val="4472C4" w:themeColor="accent1"/>
          <w:lang w:val="es-ES" w:eastAsia="es-ES" w:bidi="es-ES"/>
        </w:rPr>
      </w:pPr>
    </w:p>
    <w:p w14:paraId="390D0F33" w14:textId="77777777" w:rsidR="008D5774" w:rsidRPr="005416E7" w:rsidRDefault="008D5774" w:rsidP="008D5774">
      <w:pPr>
        <w:spacing w:after="120" w:line="276" w:lineRule="auto"/>
        <w:jc w:val="both"/>
        <w:rPr>
          <w:rFonts w:ascii="Verdana" w:eastAsia="Arial" w:hAnsi="Verdana" w:cs="Arial"/>
          <w:lang w:val="es-ES" w:eastAsia="es-ES" w:bidi="es-ES"/>
        </w:rPr>
      </w:pPr>
      <w:r w:rsidRPr="005416E7">
        <w:rPr>
          <w:rFonts w:ascii="Verdana" w:eastAsia="Arial" w:hAnsi="Verdana" w:cs="Arial"/>
          <w:lang w:val="es-ES" w:eastAsia="es-ES" w:bidi="es-ES"/>
        </w:rPr>
        <w:t>ii)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50CD9FD" w14:textId="77777777" w:rsidR="008D5774" w:rsidRPr="005416E7" w:rsidRDefault="008D5774" w:rsidP="008D5774">
      <w:pPr>
        <w:spacing w:after="120" w:line="276" w:lineRule="auto"/>
        <w:ind w:firstLine="708"/>
        <w:jc w:val="both"/>
        <w:rPr>
          <w:rFonts w:ascii="Verdana" w:eastAsia="Calibri" w:hAnsi="Verdana" w:cs="Arial"/>
          <w:lang w:val="es-ES"/>
        </w:rPr>
      </w:pPr>
      <w:r w:rsidRPr="005416E7">
        <w:rPr>
          <w:rFonts w:ascii="Verdana" w:eastAsia="Calibri" w:hAnsi="Verdana" w:cs="Arial"/>
          <w:lang w:val="es-ES"/>
        </w:rPr>
        <w:t xml:space="preserve">Por un lado, el </w:t>
      </w:r>
      <w:r w:rsidRPr="005416E7">
        <w:rPr>
          <w:rFonts w:ascii="Verdana" w:eastAsia="Calibri" w:hAnsi="Verdana" w:cs="Arial"/>
          <w:i/>
          <w:iCs/>
          <w:lang w:val="es-ES"/>
        </w:rPr>
        <w:t xml:space="preserve">artículo 33 </w:t>
      </w:r>
      <w:r w:rsidRPr="005416E7">
        <w:rPr>
          <w:rFonts w:ascii="Verdana" w:eastAsia="Calibri" w:hAnsi="Verdana" w:cs="Arial"/>
          <w:lang w:val="es-ES"/>
        </w:rPr>
        <w:t xml:space="preserve">de la Ley 996 de 2005 prohíbe “(…) la contratación directa por parte de </w:t>
      </w:r>
      <w:r w:rsidRPr="005416E7">
        <w:rPr>
          <w:rFonts w:ascii="Verdana" w:eastAsia="Calibri" w:hAnsi="Verdana" w:cs="Arial"/>
          <w:i/>
          <w:iCs/>
          <w:lang w:val="es-ES"/>
        </w:rPr>
        <w:t>todos los entes del Estado</w:t>
      </w:r>
      <w:r w:rsidRPr="005416E7">
        <w:rPr>
          <w:rFonts w:ascii="Verdana" w:eastAsia="Calibri" w:hAnsi="Verdana" w:cs="Arial"/>
          <w:lang w:val="es-ES"/>
        </w:rPr>
        <w:t xml:space="preserve">” durante los cuatro (4) meses anteriores a las </w:t>
      </w:r>
      <w:r w:rsidRPr="005416E7">
        <w:rPr>
          <w:rFonts w:ascii="Verdana" w:eastAsia="Calibri" w:hAnsi="Verdana" w:cs="Arial"/>
          <w:i/>
          <w:iCs/>
          <w:lang w:val="es-ES"/>
        </w:rPr>
        <w:t>elecciones presidenciales</w:t>
      </w:r>
      <w:r w:rsidRPr="005416E7">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416E7">
        <w:rPr>
          <w:rFonts w:ascii="Verdana" w:eastAsia="Calibri" w:hAnsi="Verdana" w:cs="Arial"/>
          <w:vertAlign w:val="superscript"/>
          <w:lang w:val="es-ES"/>
        </w:rPr>
        <w:footnoteReference w:id="7"/>
      </w:r>
      <w:r w:rsidRPr="005416E7">
        <w:rPr>
          <w:rFonts w:ascii="Verdana" w:eastAsia="Calibri" w:hAnsi="Verdana" w:cs="Arial"/>
          <w:lang w:val="es-ES"/>
        </w:rPr>
        <w:t>.</w:t>
      </w:r>
    </w:p>
    <w:p w14:paraId="19139D2C" w14:textId="77777777" w:rsidR="008D5774" w:rsidRPr="005416E7" w:rsidRDefault="008D5774" w:rsidP="008D5774">
      <w:pPr>
        <w:widowControl w:val="0"/>
        <w:autoSpaceDE w:val="0"/>
        <w:autoSpaceDN w:val="0"/>
        <w:spacing w:after="120" w:line="276" w:lineRule="auto"/>
        <w:ind w:right="113" w:firstLine="709"/>
        <w:jc w:val="both"/>
        <w:rPr>
          <w:rFonts w:ascii="Verdana" w:eastAsia="Arial" w:hAnsi="Verdana" w:cs="Arial"/>
          <w:lang w:val="es-ES" w:eastAsia="es-ES" w:bidi="es-ES"/>
        </w:rPr>
      </w:pPr>
      <w:r w:rsidRPr="005416E7">
        <w:rPr>
          <w:rFonts w:ascii="Verdana" w:eastAsia="Calibri" w:hAnsi="Verdana" w:cs="Arial"/>
          <w:lang w:val="es-ES"/>
        </w:rPr>
        <w:t xml:space="preserve">Por otro lado, </w:t>
      </w:r>
      <w:r w:rsidRPr="005416E7">
        <w:rPr>
          <w:rFonts w:ascii="Verdana" w:eastAsia="Calibri" w:hAnsi="Verdana" w:cs="Arial"/>
          <w:i/>
          <w:iCs/>
          <w:lang w:val="es-ES"/>
        </w:rPr>
        <w:t xml:space="preserve">el parágrafo del artículo 38 </w:t>
      </w:r>
      <w:r w:rsidRPr="005416E7">
        <w:rPr>
          <w:rFonts w:ascii="Verdana" w:eastAsia="Calibri" w:hAnsi="Verdana" w:cs="Arial"/>
          <w:lang w:val="es-ES"/>
        </w:rPr>
        <w:t xml:space="preserve">de la Ley 996 de 2005 prevé una restricción, aplicable respecto de </w:t>
      </w:r>
      <w:r w:rsidRPr="005416E7">
        <w:rPr>
          <w:rFonts w:ascii="Verdana" w:eastAsia="Calibri" w:hAnsi="Verdana" w:cs="Arial"/>
          <w:i/>
          <w:iCs/>
          <w:lang w:val="es-ES"/>
        </w:rPr>
        <w:t>cualquier tipo de contienda electoral</w:t>
      </w:r>
      <w:r w:rsidRPr="005416E7">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5416E7">
        <w:rPr>
          <w:rFonts w:ascii="Verdana" w:eastAsia="Calibri" w:hAnsi="Verdana" w:cs="Arial"/>
          <w:lang w:val="es-ES"/>
        </w:rPr>
        <w:lastRenderedPageBreak/>
        <w:t>proselitista”</w:t>
      </w:r>
      <w:r w:rsidRPr="005416E7">
        <w:rPr>
          <w:rFonts w:ascii="Verdana" w:eastAsia="Calibri" w:hAnsi="Verdana" w:cs="Arial"/>
          <w:vertAlign w:val="superscript"/>
          <w:lang w:val="es-ES"/>
        </w:rPr>
        <w:footnoteReference w:id="8"/>
      </w:r>
      <w:r w:rsidRPr="005416E7">
        <w:rPr>
          <w:rFonts w:ascii="Verdana" w:eastAsia="Calibri" w:hAnsi="Verdana" w:cs="Arial"/>
          <w:lang w:val="es-ES"/>
        </w:rPr>
        <w:t>.</w:t>
      </w:r>
      <w:r w:rsidRPr="005416E7">
        <w:rPr>
          <w:rFonts w:ascii="Verdana" w:eastAsia="Arial" w:hAnsi="Verdana" w:cs="Arial"/>
          <w:lang w:val="es-ES" w:eastAsia="es-ES" w:bidi="es-ES"/>
        </w:rPr>
        <w:t xml:space="preserve"> </w:t>
      </w:r>
    </w:p>
    <w:p w14:paraId="208167CB" w14:textId="77777777" w:rsidR="008D5774" w:rsidRPr="005416E7" w:rsidRDefault="008D5774" w:rsidP="008D577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5416E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1F77A32D" w14:textId="77777777" w:rsidR="008D5774" w:rsidRPr="005416E7" w:rsidRDefault="008D5774" w:rsidP="008D5774">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BBBB350" w14:textId="77777777" w:rsidR="008D5774" w:rsidRPr="005416E7" w:rsidRDefault="008D5774" w:rsidP="008D577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5416E7">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5416E7">
        <w:rPr>
          <w:rFonts w:ascii="Verdana" w:eastAsia="Arial" w:hAnsi="Verdana" w:cs="Arial"/>
          <w:sz w:val="20"/>
          <w:szCs w:val="20"/>
          <w:vertAlign w:val="superscript"/>
          <w:lang w:val="es-ES" w:eastAsia="es-ES" w:bidi="es-ES"/>
        </w:rPr>
        <w:footnoteReference w:id="9"/>
      </w:r>
    </w:p>
    <w:p w14:paraId="7ADAE637" w14:textId="77777777" w:rsidR="008D5774" w:rsidRPr="005416E7" w:rsidRDefault="008D5774" w:rsidP="008D577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3ABECA3C" w14:textId="77777777" w:rsidR="008D5774" w:rsidRDefault="008D5774" w:rsidP="00BD4175">
      <w:pPr>
        <w:spacing w:after="120" w:line="276" w:lineRule="auto"/>
        <w:ind w:firstLine="709"/>
        <w:jc w:val="both"/>
        <w:rPr>
          <w:rFonts w:ascii="Verdana" w:eastAsia="Arial" w:hAnsi="Verdana" w:cs="Arial"/>
          <w:lang w:val="es-ES" w:eastAsia="es-ES" w:bidi="es-ES"/>
        </w:rPr>
      </w:pPr>
      <w:r w:rsidRPr="005416E7">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27E0E27B" w14:textId="6718309A" w:rsidR="0015488B" w:rsidRDefault="0015488B" w:rsidP="008D5774">
      <w:pPr>
        <w:spacing w:after="0" w:line="276" w:lineRule="auto"/>
        <w:ind w:firstLine="709"/>
        <w:jc w:val="both"/>
        <w:rPr>
          <w:rFonts w:ascii="Verdana" w:eastAsia="Arial" w:hAnsi="Verdana" w:cs="Arial"/>
          <w:lang w:val="es-ES" w:eastAsia="es-ES" w:bidi="es-ES"/>
        </w:rPr>
      </w:pPr>
      <w:r>
        <w:rPr>
          <w:rFonts w:ascii="Verdana" w:eastAsia="Arial" w:hAnsi="Verdana" w:cs="Arial"/>
          <w:lang w:eastAsia="es-ES" w:bidi="es-ES"/>
        </w:rPr>
        <w:t xml:space="preserve">De esta manera, el ámbito temporal de las restricciones establecidas en la Ley de Garantías Electorales en materia de contratación estatal siempre es el mismo en periodos preelectorales de las elecciones presidenciales, ya que rigen </w:t>
      </w:r>
      <w:r>
        <w:rPr>
          <w:rFonts w:ascii="Verdana" w:eastAsia="Arial" w:hAnsi="Verdana" w:cs="Arial"/>
          <w:lang w:eastAsia="es-ES" w:bidi="es-ES"/>
        </w:rPr>
        <w:lastRenderedPageBreak/>
        <w:t xml:space="preserve">ambas restricciones durante los 4 meses previos a los comicios. Sin embargo, tratándose de como elecciones parlamentarias o mandatarios locales, rige la restricción del parágrafo del artículo 38. En atención a esto, cuando el calendario electoral contempla elecciones parlamentarias, seguidas de elecciones presidenciales, como en el 2026, las restricciones entran a regir en momentos distintos. Es por esto por lo que, en el escenario actual y reciente, mientras que la restricción del artículo 38 comenzó a regir desde el pasado 8 de noviembre de 2025, la del artículo 33 solo entra regir a partir del 31 de enero de 2026, extendiéndose ambas hasta el 31 de mayo de 2026 o hasta el 21 de junio de 2026, en caso de requerirse segunda vuelta en la contienda presidencial.    </w:t>
      </w:r>
    </w:p>
    <w:p w14:paraId="44613C2F" w14:textId="77777777" w:rsidR="008D5774" w:rsidRPr="005416E7" w:rsidRDefault="008D5774" w:rsidP="008D5774">
      <w:pPr>
        <w:spacing w:after="0" w:line="276" w:lineRule="auto"/>
        <w:ind w:firstLine="709"/>
        <w:jc w:val="both"/>
        <w:rPr>
          <w:rFonts w:ascii="Verdana" w:eastAsia="Arial" w:hAnsi="Verdana" w:cs="Arial"/>
          <w:lang w:val="es-ES" w:eastAsia="es-ES" w:bidi="es-ES"/>
        </w:rPr>
      </w:pPr>
    </w:p>
    <w:p w14:paraId="614EAF7D" w14:textId="77777777" w:rsidR="008D5774" w:rsidRPr="005416E7" w:rsidRDefault="008D5774" w:rsidP="008D5774">
      <w:pPr>
        <w:spacing w:after="0" w:line="276" w:lineRule="auto"/>
        <w:jc w:val="both"/>
        <w:rPr>
          <w:rFonts w:ascii="Verdana" w:eastAsia="Times New Roman" w:hAnsi="Verdana" w:cs="Arial"/>
          <w:lang w:val="es-MX" w:eastAsia="x-none"/>
        </w:rPr>
      </w:pPr>
      <w:r w:rsidRPr="005416E7">
        <w:rPr>
          <w:rFonts w:ascii="Verdana" w:eastAsia="Calibri" w:hAnsi="Verdana" w:cs="Arial"/>
          <w:lang w:val="es-ES"/>
        </w:rPr>
        <w:t>iii) Para responder el problema jurídico planteado anteriormente,</w:t>
      </w:r>
      <w:r w:rsidRPr="005416E7">
        <w:rPr>
          <w:rFonts w:ascii="Verdana" w:eastAsia="Calibri" w:hAnsi="Verdana" w:cs="Arial"/>
          <w:lang w:val="es-ES" w:eastAsia="es-ES" w:bidi="es-ES"/>
        </w:rPr>
        <w:t xml:space="preserve"> es necesario hacer énfasis en el alcance que tiene la prohibición establecida en el parágrafo del artículo 38 de la Ley 996 de 2005. La mencionada norma dispone que “Los Gobernadores, Alcaldes, Municipales y/o Distritales, Secretarios, Gerentes y directores de Entidades Descentralizadas del Orden Municipal Departamental o Distrital, dentro de los (4) meses anteriores a las elecciones, no podrán celebrar </w:t>
      </w:r>
      <w:r w:rsidRPr="005416E7">
        <w:rPr>
          <w:rFonts w:ascii="Verdana" w:eastAsia="Calibri" w:hAnsi="Verdana" w:cs="Arial"/>
          <w:i/>
          <w:iCs/>
          <w:lang w:val="es-ES" w:eastAsia="es-ES" w:bidi="es-ES"/>
        </w:rPr>
        <w:t xml:space="preserve">convenios interadministrativos </w:t>
      </w:r>
      <w:r w:rsidRPr="005416E7">
        <w:rPr>
          <w:rFonts w:ascii="Verdana" w:eastAsia="Calibri" w:hAnsi="Verdana" w:cs="Arial"/>
          <w:lang w:val="es-ES" w:eastAsia="es-ES" w:bidi="es-ES"/>
        </w:rPr>
        <w:t xml:space="preserve">para la ejecución de recursos públicos”. </w:t>
      </w:r>
      <w:r w:rsidRPr="005416E7">
        <w:rPr>
          <w:rFonts w:ascii="Verdana" w:eastAsia="Times New Roman" w:hAnsi="Verdana" w:cs="Arial"/>
          <w:lang w:val="es-MX" w:eastAsia="x-none"/>
        </w:rPr>
        <w:t>(Énfasis fuera del texto original)</w:t>
      </w:r>
    </w:p>
    <w:p w14:paraId="22AF3524" w14:textId="77777777" w:rsidR="008D5774" w:rsidRDefault="008D5774" w:rsidP="008D5774">
      <w:pPr>
        <w:spacing w:after="0" w:line="276" w:lineRule="auto"/>
        <w:ind w:left="709" w:right="709"/>
        <w:jc w:val="both"/>
        <w:rPr>
          <w:rFonts w:ascii="Verdana" w:eastAsia="Times New Roman" w:hAnsi="Verdana" w:cs="Arial"/>
          <w:sz w:val="20"/>
          <w:szCs w:val="20"/>
          <w:lang w:val="es-ES" w:eastAsia="es-ES"/>
        </w:rPr>
      </w:pPr>
    </w:p>
    <w:p w14:paraId="36965AAE" w14:textId="77777777" w:rsidR="008D5774" w:rsidRPr="005416E7" w:rsidRDefault="008D5774" w:rsidP="008D5774">
      <w:pPr>
        <w:spacing w:after="0" w:line="240" w:lineRule="auto"/>
        <w:ind w:left="709" w:right="709"/>
        <w:jc w:val="both"/>
        <w:rPr>
          <w:rFonts w:ascii="Verdana" w:hAnsi="Verdana" w:cs="Arial"/>
          <w:sz w:val="20"/>
          <w:szCs w:val="20"/>
          <w:lang w:eastAsia="es-ES"/>
        </w:rPr>
      </w:pPr>
      <w:r w:rsidRPr="005416E7">
        <w:rPr>
          <w:rFonts w:ascii="Verdana" w:eastAsia="Times New Roman" w:hAnsi="Verdana" w:cs="Arial"/>
          <w:sz w:val="20"/>
          <w:szCs w:val="20"/>
          <w:lang w:val="es-ES" w:eastAsia="es-ES"/>
        </w:rPr>
        <w:t xml:space="preserve">Para tales efectos, debe precisarse que </w:t>
      </w:r>
      <w:r w:rsidRPr="005416E7">
        <w:rPr>
          <w:rFonts w:ascii="Verdana" w:eastAsia="Times New Roman" w:hAnsi="Verdana" w:cs="Arial"/>
          <w:color w:val="000000" w:themeColor="text1"/>
          <w:sz w:val="20"/>
          <w:szCs w:val="20"/>
          <w:lang w:val="es-ES" w:eastAsia="es-CO"/>
        </w:rPr>
        <w:t xml:space="preserve">los convenios interadministrativos están determinados por un criterio orgánico, pues es necesario que los extremos de la relación contractual sean entidades públicas, </w:t>
      </w:r>
      <w:r w:rsidRPr="005416E7">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5416E7">
        <w:rPr>
          <w:rFonts w:ascii="Verdana" w:hAnsi="Verdana" w:cs="Arial"/>
          <w:sz w:val="20"/>
          <w:szCs w:val="20"/>
          <w:vertAlign w:val="superscript"/>
          <w:lang w:eastAsia="es-ES"/>
        </w:rPr>
        <w:footnoteReference w:id="10"/>
      </w:r>
      <w:r w:rsidRPr="005416E7">
        <w:rPr>
          <w:rFonts w:ascii="Verdana" w:hAnsi="Verdana" w:cs="Arial"/>
          <w:sz w:val="20"/>
          <w:szCs w:val="20"/>
          <w:lang w:eastAsia="es-ES"/>
        </w:rPr>
        <w:t>.</w:t>
      </w:r>
    </w:p>
    <w:p w14:paraId="41218C51" w14:textId="77777777" w:rsidR="008D5774" w:rsidRDefault="008D5774" w:rsidP="008D5774">
      <w:pPr>
        <w:spacing w:after="0" w:line="276" w:lineRule="auto"/>
        <w:ind w:firstLine="709"/>
        <w:jc w:val="both"/>
        <w:rPr>
          <w:rFonts w:ascii="Verdana" w:hAnsi="Verdana" w:cs="Arial"/>
          <w:color w:val="000000" w:themeColor="text1"/>
          <w:lang w:val="es-ES_tradnl"/>
        </w:rPr>
      </w:pPr>
    </w:p>
    <w:p w14:paraId="3F10E7BA" w14:textId="77777777" w:rsidR="008D5774" w:rsidRPr="005416E7" w:rsidRDefault="008D5774" w:rsidP="008D5774">
      <w:pPr>
        <w:spacing w:after="120" w:line="276" w:lineRule="auto"/>
        <w:ind w:firstLine="709"/>
        <w:jc w:val="both"/>
        <w:rPr>
          <w:rFonts w:ascii="Verdana" w:hAnsi="Verdana" w:cs="Arial"/>
          <w:color w:val="000000" w:themeColor="text1"/>
          <w:lang w:val="es-ES_tradnl"/>
        </w:rPr>
      </w:pPr>
      <w:r w:rsidRPr="005416E7">
        <w:rPr>
          <w:rFonts w:ascii="Verdana" w:hAnsi="Verdana" w:cs="Arial"/>
          <w:color w:val="000000" w:themeColor="text1"/>
          <w:lang w:val="es-ES_tradnl"/>
        </w:rPr>
        <w:t>Si bien los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convenio interadministrativo.</w:t>
      </w:r>
    </w:p>
    <w:p w14:paraId="06969E6B" w14:textId="77777777" w:rsidR="008D5774" w:rsidRPr="005416E7" w:rsidRDefault="008D5774" w:rsidP="008D5774">
      <w:pPr>
        <w:spacing w:before="120" w:after="0" w:line="276" w:lineRule="auto"/>
        <w:ind w:firstLine="708"/>
        <w:jc w:val="both"/>
        <w:rPr>
          <w:rFonts w:ascii="Verdana" w:hAnsi="Verdana" w:cs="Arial"/>
          <w:lang w:val="es-ES_tradnl"/>
        </w:rPr>
      </w:pPr>
      <w:r w:rsidRPr="005416E7">
        <w:rPr>
          <w:rFonts w:ascii="Verdana" w:hAnsi="Verdana" w:cs="Arial"/>
          <w:lang w:val="es-ES"/>
        </w:rPr>
        <w:lastRenderedPageBreak/>
        <w:t>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5416E7">
        <w:rPr>
          <w:rFonts w:ascii="Verdana" w:hAnsi="Verdana" w:cs="Arial"/>
          <w:vertAlign w:val="superscript"/>
          <w:lang w:val="es-ES"/>
        </w:rPr>
        <w:footnoteReference w:id="11"/>
      </w:r>
      <w:r w:rsidRPr="005416E7">
        <w:rPr>
          <w:rFonts w:ascii="Verdana" w:hAnsi="Verdana" w:cs="Arial"/>
          <w:lang w:val="es-ES"/>
        </w:rPr>
        <w:t xml:space="preserve">. </w:t>
      </w:r>
    </w:p>
    <w:p w14:paraId="5B482C29" w14:textId="77777777" w:rsidR="008D5774" w:rsidRPr="005416E7" w:rsidRDefault="008D5774" w:rsidP="008D5774">
      <w:pPr>
        <w:spacing w:before="120" w:after="0" w:line="276" w:lineRule="auto"/>
        <w:ind w:firstLine="708"/>
        <w:jc w:val="both"/>
        <w:rPr>
          <w:rFonts w:ascii="Verdana" w:hAnsi="Verdana" w:cs="Arial"/>
          <w:lang w:val="es-ES"/>
        </w:rPr>
      </w:pPr>
      <w:r w:rsidRPr="005416E7">
        <w:rPr>
          <w:rFonts w:ascii="Verdana" w:hAnsi="Verdana" w:cs="Arial"/>
          <w:lang w:val="es-ES"/>
        </w:rPr>
        <w:t>De igual manera, es necesario tener en cuenta que para que un convenio interadministrativo exista debe cumplir con los siguientes elementos: acuerdo sobre el objeto y la contraprestación y que conste por escrito</w:t>
      </w:r>
      <w:r w:rsidRPr="005416E7">
        <w:rPr>
          <w:rFonts w:ascii="Verdana" w:hAnsi="Verdana" w:cs="Arial"/>
          <w:vertAlign w:val="superscript"/>
          <w:lang w:val="es-ES"/>
        </w:rPr>
        <w:footnoteReference w:id="12"/>
      </w:r>
      <w:r w:rsidRPr="005416E7">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AD3110F" w14:textId="77777777" w:rsidR="008D5774" w:rsidRPr="005416E7" w:rsidRDefault="008D5774" w:rsidP="008D5774">
      <w:pPr>
        <w:spacing w:before="120" w:after="0" w:line="276" w:lineRule="auto"/>
        <w:ind w:firstLine="708"/>
        <w:jc w:val="both"/>
        <w:rPr>
          <w:rFonts w:ascii="Verdana" w:eastAsia="Times New Roman" w:hAnsi="Verdana" w:cs="Arial"/>
          <w:lang w:val="es-MX" w:eastAsia="es-CO"/>
        </w:rPr>
      </w:pPr>
      <w:r w:rsidRPr="005416E7">
        <w:rPr>
          <w:rFonts w:ascii="Verdana" w:eastAsia="Arial" w:hAnsi="Verdana" w:cs="Arial"/>
          <w:lang w:val="es-MX" w:eastAsia="es-ES" w:bidi="es-ES"/>
        </w:rPr>
        <w:t>De esta manera, se</w:t>
      </w:r>
      <w:r w:rsidRPr="005416E7">
        <w:rPr>
          <w:rFonts w:ascii="Verdana" w:eastAsia="Times New Roman" w:hAnsi="Verdana" w:cs="Arial"/>
          <w:lang w:eastAsia="es-CO"/>
        </w:rPr>
        <w:t xml:space="preserve"> observa entonces que </w:t>
      </w:r>
      <w:r w:rsidRPr="005416E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5416E7">
        <w:rPr>
          <w:rFonts w:ascii="Verdana" w:eastAsia="Times New Roman" w:hAnsi="Verdana" w:cs="Arial"/>
          <w:i/>
          <w:iCs/>
          <w:lang w:val="es-MX" w:eastAsia="es-CO"/>
        </w:rPr>
        <w:t>convenios interadministrativos</w:t>
      </w:r>
      <w:r w:rsidRPr="005416E7">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5416E7">
        <w:rPr>
          <w:rFonts w:ascii="Verdana" w:eastAsia="Times New Roman" w:hAnsi="Verdana" w:cs="Arial"/>
          <w:i/>
          <w:lang w:val="es-MX" w:eastAsia="es-CO"/>
        </w:rPr>
        <w:t>ibidem</w:t>
      </w:r>
      <w:r w:rsidRPr="005416E7">
        <w:rPr>
          <w:rFonts w:ascii="Verdana" w:eastAsia="Times New Roman" w:hAnsi="Verdana" w:cs="Arial"/>
          <w:lang w:val="es-MX" w:eastAsia="es-CO"/>
        </w:rPr>
        <w:t xml:space="preserve">, no podrá celebrar tales </w:t>
      </w:r>
      <w:r w:rsidRPr="005416E7">
        <w:rPr>
          <w:rFonts w:ascii="Verdana" w:eastAsia="Times New Roman" w:hAnsi="Verdana" w:cs="Arial"/>
          <w:i/>
          <w:iCs/>
          <w:lang w:val="es-MX" w:eastAsia="es-CO"/>
        </w:rPr>
        <w:t>convenios</w:t>
      </w:r>
      <w:r w:rsidRPr="005416E7">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0E42696F" w14:textId="77777777" w:rsidR="008D5774" w:rsidRPr="005416E7" w:rsidRDefault="008D5774" w:rsidP="008D5774">
      <w:pPr>
        <w:spacing w:before="120" w:after="0" w:line="276" w:lineRule="auto"/>
        <w:ind w:firstLine="708"/>
        <w:jc w:val="both"/>
        <w:rPr>
          <w:rFonts w:ascii="Verdana" w:eastAsia="Times New Roman" w:hAnsi="Verdana" w:cs="Arial"/>
          <w:i/>
          <w:iCs/>
          <w:lang w:eastAsia="es-CO"/>
        </w:rPr>
      </w:pPr>
      <w:r w:rsidRPr="005416E7">
        <w:rPr>
          <w:rFonts w:ascii="Verdana" w:hAnsi="Verdana" w:cs="Arial"/>
          <w:lang w:val="es-ES_tradnl"/>
        </w:rPr>
        <w:t xml:space="preserve">Ahora bien, con respecto al alcance de la prohibición en mención, la Circular Externa No. 006 de 2025 expedida por la ANCP-CCE, en sus literales ii) y iv) del numeral 2, indica que el parágrafo del artículo 38 de la Ley 996 de 2005 cobija expresamente a los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en los que se contemple la ejecución de recursos públicos. Además, precisa que el parágrafo referido no estableció ningún supuesto que exceptúe la aplicación de dicha </w:t>
      </w:r>
      <w:r w:rsidRPr="005416E7">
        <w:rPr>
          <w:rFonts w:ascii="Verdana" w:hAnsi="Verdana" w:cs="Arial"/>
          <w:lang w:val="es-ES_tradnl"/>
        </w:rPr>
        <w:lastRenderedPageBreak/>
        <w:t xml:space="preserve">prohibición, por lo que, la restricción referida a la celebración de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aplicará a los sujetos allí celebrados </w:t>
      </w:r>
      <w:r w:rsidRPr="005416E7">
        <w:rPr>
          <w:rFonts w:ascii="Verdana" w:eastAsia="Times New Roman" w:hAnsi="Verdana" w:cs="Arial"/>
          <w:i/>
          <w:iCs/>
          <w:lang w:eastAsia="es-CO"/>
        </w:rPr>
        <w:t>“aunque se configure alguno de los supuestos de excepción que señaló el inciso final del artículo 33”.</w:t>
      </w:r>
    </w:p>
    <w:p w14:paraId="24D379E7" w14:textId="77777777" w:rsidR="008D5774" w:rsidRPr="005416E7" w:rsidRDefault="008D5774" w:rsidP="008D5774">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5416E7">
        <w:rPr>
          <w:rFonts w:ascii="Verdana" w:eastAsia="Times New Roman" w:hAnsi="Verdana" w:cs="Arial"/>
          <w:i/>
          <w:iCs/>
          <w:lang w:eastAsia="es-CO"/>
        </w:rPr>
        <w:t>convenios interadministrativos</w:t>
      </w:r>
      <w:r w:rsidRPr="005416E7">
        <w:rPr>
          <w:rFonts w:ascii="Verdana" w:eastAsia="Times New Roman" w:hAnsi="Verdana" w:cs="Arial"/>
          <w:lang w:eastAsia="es-CO"/>
        </w:rPr>
        <w:t xml:space="preserve"> en los que se contemple la </w:t>
      </w:r>
      <w:r w:rsidRPr="005416E7">
        <w:rPr>
          <w:rFonts w:ascii="Verdana" w:eastAsia="Times New Roman" w:hAnsi="Verdana" w:cs="Arial"/>
          <w:i/>
          <w:iCs/>
          <w:lang w:eastAsia="es-CO"/>
        </w:rPr>
        <w:t>ejecución de recursos públicos</w:t>
      </w:r>
      <w:r w:rsidRPr="005416E7">
        <w:rPr>
          <w:rFonts w:ascii="Verdana" w:eastAsia="Times New Roman" w:hAnsi="Verdana" w:cs="Arial"/>
          <w:lang w:eastAsia="es-CO"/>
        </w:rPr>
        <w:t xml:space="preserve">. Esto significa que la prohibición no resulta aplicable a </w:t>
      </w:r>
      <w:r w:rsidRPr="005416E7">
        <w:rPr>
          <w:rFonts w:ascii="Verdana" w:eastAsia="Times New Roman" w:hAnsi="Verdana" w:cs="Arial"/>
          <w:i/>
          <w:iCs/>
          <w:lang w:eastAsia="es-CO"/>
        </w:rPr>
        <w:t>convenios interadministrativos a título gratuito,</w:t>
      </w:r>
      <w:r w:rsidRPr="005416E7">
        <w:rPr>
          <w:rFonts w:ascii="Verdana" w:eastAsia="Times New Roman" w:hAnsi="Verdana" w:cs="Arial"/>
          <w:lang w:eastAsia="es-CO"/>
        </w:rPr>
        <w:t xml:space="preserve"> los cuales pueden celebrarse válidamente durante la vigencia de la mencionada restricción. </w:t>
      </w:r>
    </w:p>
    <w:p w14:paraId="5FF85DB2" w14:textId="77777777" w:rsidR="008D5774" w:rsidRPr="005416E7" w:rsidRDefault="008D5774" w:rsidP="008D5774">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Por lo tanto, conforme a lo dispuesto en la Circular referida, si se suscriben </w:t>
      </w:r>
      <w:r w:rsidRPr="005416E7">
        <w:rPr>
          <w:rFonts w:ascii="Verdana" w:eastAsia="Times New Roman" w:hAnsi="Verdana" w:cs="Arial"/>
          <w:i/>
          <w:iCs/>
          <w:lang w:eastAsia="es-CO"/>
        </w:rPr>
        <w:t>convenios interadministrativos para la ejecución de recursos públicos</w:t>
      </w:r>
      <w:r w:rsidRPr="005416E7">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5416E7">
        <w:rPr>
          <w:rFonts w:ascii="Verdana" w:eastAsia="Times New Roman" w:hAnsi="Verdana" w:cs="Arial"/>
          <w:i/>
          <w:iCs/>
          <w:lang w:eastAsia="es-CO"/>
        </w:rPr>
        <w:t>ibidem</w:t>
      </w:r>
      <w:r w:rsidRPr="005416E7">
        <w:rPr>
          <w:rFonts w:ascii="Verdana" w:eastAsia="Times New Roman" w:hAnsi="Verdana" w:cs="Arial"/>
          <w:lang w:eastAsia="es-CO"/>
        </w:rPr>
        <w:t>, independientemente de que se configure alguno de los supuestos de excepción que señaló el inciso final del artículo 33, es decir, que se trate de:</w:t>
      </w:r>
      <w:r w:rsidRPr="005416E7">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416E7">
        <w:rPr>
          <w:rFonts w:ascii="Verdana" w:hAnsi="Verdana" w:cs="Arial"/>
          <w:bCs/>
          <w:lang w:val="es-MX" w:eastAsia="es-CO"/>
        </w:rPr>
        <w:t xml:space="preserve"> </w:t>
      </w:r>
      <w:r w:rsidRPr="005416E7">
        <w:rPr>
          <w:rFonts w:ascii="Verdana" w:eastAsia="Times New Roman" w:hAnsi="Verdana" w:cs="Arial"/>
          <w:lang w:eastAsia="es-CO"/>
        </w:rPr>
        <w:t xml:space="preserve">  </w:t>
      </w:r>
    </w:p>
    <w:p w14:paraId="562F5A24" w14:textId="77777777" w:rsidR="008D5774" w:rsidRPr="005416E7" w:rsidRDefault="008D5774" w:rsidP="008D5774">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En este punto, teniendo en cuenta lo señalado en el contenido de su petición, vale la pena destacar que, </w:t>
      </w:r>
      <w:r w:rsidRPr="005416E7">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5416E7">
        <w:rPr>
          <w:rFonts w:ascii="Verdana" w:hAnsi="Verdana" w:cs="Arial"/>
        </w:rPr>
        <w:t>numeral 16.2 de la Circular Externa Única de 2022 expedida por la Agencia Nacional de Contratación Pública -Colombia Compra Eficiente-, concretamente, respecto de los siguientes apartes normativos</w:t>
      </w:r>
      <w:r w:rsidRPr="005416E7">
        <w:rPr>
          <w:rFonts w:ascii="Verdana" w:hAnsi="Verdana" w:cs="Arial"/>
          <w:vertAlign w:val="superscript"/>
        </w:rPr>
        <w:footnoteReference w:id="13"/>
      </w:r>
      <w:r w:rsidRPr="005416E7">
        <w:rPr>
          <w:rFonts w:ascii="Verdana" w:hAnsi="Verdana" w:cs="Arial"/>
        </w:rPr>
        <w:t xml:space="preserve">: </w:t>
      </w:r>
    </w:p>
    <w:p w14:paraId="29F1AEF7" w14:textId="77777777" w:rsidR="0015488B" w:rsidRDefault="0015488B" w:rsidP="008D5774">
      <w:pPr>
        <w:spacing w:after="0" w:line="240" w:lineRule="auto"/>
        <w:ind w:left="709" w:right="709"/>
        <w:jc w:val="both"/>
        <w:rPr>
          <w:rFonts w:ascii="Verdana" w:hAnsi="Verdana" w:cs="Arial"/>
          <w:sz w:val="20"/>
          <w:szCs w:val="20"/>
          <w:lang w:val="es-MX"/>
        </w:rPr>
      </w:pPr>
    </w:p>
    <w:p w14:paraId="6FF9F2A1" w14:textId="3FE0B820" w:rsidR="008D5774" w:rsidRPr="005416E7" w:rsidRDefault="0015488B" w:rsidP="008D5774">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008D5774" w:rsidRPr="005416E7">
        <w:rPr>
          <w:rFonts w:ascii="Verdana" w:hAnsi="Verdana" w:cs="Arial"/>
          <w:sz w:val="20"/>
          <w:szCs w:val="20"/>
          <w:lang w:val="es-MX"/>
        </w:rPr>
        <w:t>i)</w:t>
      </w:r>
      <w:r w:rsidR="008D5774" w:rsidRPr="005416E7">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w:t>
      </w:r>
      <w:r w:rsidR="008D5774" w:rsidRPr="005416E7">
        <w:rPr>
          <w:rFonts w:ascii="Verdana" w:hAnsi="Verdana" w:cs="Arial"/>
          <w:sz w:val="20"/>
          <w:szCs w:val="20"/>
        </w:rPr>
        <w:lastRenderedPageBreak/>
        <w:t xml:space="preserve">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2DE0DFC" w14:textId="77777777" w:rsidR="008D5774" w:rsidRPr="005416E7" w:rsidRDefault="008D5774" w:rsidP="008D5774">
      <w:pPr>
        <w:spacing w:after="0" w:line="240" w:lineRule="auto"/>
        <w:ind w:left="709" w:right="709"/>
        <w:jc w:val="both"/>
        <w:rPr>
          <w:rFonts w:ascii="Verdana" w:hAnsi="Verdana" w:cs="Arial"/>
          <w:sz w:val="20"/>
          <w:szCs w:val="20"/>
        </w:rPr>
      </w:pPr>
    </w:p>
    <w:p w14:paraId="7BCB745B" w14:textId="77777777" w:rsidR="008D5774" w:rsidRPr="005416E7" w:rsidRDefault="008D5774" w:rsidP="008D5774">
      <w:pPr>
        <w:spacing w:after="0" w:line="240" w:lineRule="auto"/>
        <w:ind w:left="709" w:right="709"/>
        <w:jc w:val="both"/>
        <w:rPr>
          <w:rFonts w:ascii="Verdana" w:hAnsi="Verdana" w:cs="Arial"/>
          <w:sz w:val="20"/>
          <w:szCs w:val="20"/>
        </w:rPr>
      </w:pPr>
      <w:r w:rsidRPr="005416E7">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73BB1E8" w14:textId="77777777" w:rsidR="008D5774" w:rsidRPr="005416E7" w:rsidRDefault="008D5774" w:rsidP="008D5774">
      <w:pPr>
        <w:spacing w:after="0" w:line="276" w:lineRule="auto"/>
        <w:ind w:left="709" w:right="709"/>
        <w:jc w:val="both"/>
        <w:rPr>
          <w:rFonts w:ascii="Verdana" w:hAnsi="Verdana" w:cs="Arial"/>
        </w:rPr>
      </w:pPr>
    </w:p>
    <w:p w14:paraId="5824EC05" w14:textId="77777777" w:rsidR="008D5774" w:rsidRPr="005416E7" w:rsidRDefault="008D5774" w:rsidP="008D5774">
      <w:pPr>
        <w:spacing w:after="120" w:line="276" w:lineRule="auto"/>
        <w:ind w:firstLine="709"/>
        <w:jc w:val="both"/>
        <w:rPr>
          <w:rFonts w:ascii="Verdana" w:eastAsia="Arial" w:hAnsi="Verdana" w:cs="Arial"/>
          <w:i/>
          <w:iCs/>
          <w:lang w:eastAsia="es-ES" w:bidi="es-ES"/>
        </w:rPr>
      </w:pPr>
      <w:r w:rsidRPr="005416E7">
        <w:rPr>
          <w:rFonts w:ascii="Verdana" w:eastAsia="Arial" w:hAnsi="Verdana" w:cs="Arial"/>
          <w:lang w:val="es-MX" w:eastAsia="es-ES" w:bidi="es-ES"/>
        </w:rPr>
        <w:t xml:space="preserve">De conformidad con los argumentos de dicha providencia, se parte de la distinción entre los conceptos </w:t>
      </w:r>
      <w:r w:rsidRPr="005416E7">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5416E7">
        <w:rPr>
          <w:rFonts w:ascii="Verdana" w:hAnsi="Verdana"/>
          <w:sz w:val="24"/>
          <w:szCs w:val="24"/>
          <w:lang w:eastAsia="es-CO"/>
        </w:rPr>
        <w:t xml:space="preserve"> </w:t>
      </w:r>
      <w:r w:rsidRPr="005416E7">
        <w:rPr>
          <w:rFonts w:ascii="Verdana" w:eastAsia="Arial" w:hAnsi="Verdana" w:cs="Arial"/>
          <w:lang w:eastAsia="es-ES" w:bidi="es-ES"/>
        </w:rPr>
        <w:t xml:space="preserve">En este sentido, en relación con el parágrafo del artículo 38 de la Ley 996 de 2005 concluyó que </w:t>
      </w:r>
      <w:r w:rsidRPr="005416E7">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5416E7">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5416E7">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B7F5462" w14:textId="77777777" w:rsidR="008D5774" w:rsidRPr="005416E7" w:rsidRDefault="008D5774" w:rsidP="008D5774">
      <w:pPr>
        <w:spacing w:after="120" w:line="276" w:lineRule="auto"/>
        <w:ind w:firstLine="709"/>
        <w:jc w:val="both"/>
        <w:rPr>
          <w:rFonts w:ascii="Verdana" w:eastAsia="Arial" w:hAnsi="Verdana" w:cs="Arial"/>
          <w:lang w:eastAsia="es-ES" w:bidi="es-ES"/>
        </w:rPr>
      </w:pPr>
      <w:r w:rsidRPr="005416E7">
        <w:rPr>
          <w:rFonts w:ascii="Verdana" w:eastAsia="Arial" w:hAnsi="Verdana" w:cs="Arial"/>
          <w:lang w:eastAsia="es-ES" w:bidi="es-ES"/>
        </w:rPr>
        <w:t>De igual manera, mediante auto del 6 de noviembre de 2025, el Consejo de Estado, Subsección A de la Sección Tercera, decretó</w:t>
      </w:r>
      <w:r w:rsidRPr="005416E7">
        <w:rPr>
          <w:rFonts w:ascii="Verdana" w:eastAsia="Arial" w:hAnsi="Verdana" w:cs="Arial"/>
          <w:b/>
          <w:bCs/>
          <w:lang w:eastAsia="es-ES" w:bidi="es-ES"/>
        </w:rPr>
        <w:t xml:space="preserve"> </w:t>
      </w:r>
      <w:r w:rsidRPr="005416E7">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5416E7">
        <w:rPr>
          <w:rFonts w:ascii="Verdana" w:eastAsia="Arial" w:hAnsi="Verdana" w:cs="Arial"/>
          <w:vertAlign w:val="superscript"/>
          <w:lang w:eastAsia="es-ES" w:bidi="es-ES"/>
        </w:rPr>
        <w:footnoteReference w:id="14"/>
      </w:r>
      <w:r w:rsidRPr="005416E7">
        <w:rPr>
          <w:rFonts w:ascii="Verdana" w:eastAsia="Arial" w:hAnsi="Verdana" w:cs="Arial"/>
          <w:lang w:eastAsia="es-ES" w:bidi="es-ES"/>
        </w:rPr>
        <w:t xml:space="preserve">. Para tales </w:t>
      </w:r>
      <w:r w:rsidRPr="005416E7">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7ED501E6" w14:textId="77777777" w:rsidR="008D5774" w:rsidRPr="005416E7" w:rsidRDefault="008D5774" w:rsidP="008D5774">
      <w:pPr>
        <w:spacing w:after="120" w:line="276" w:lineRule="auto"/>
        <w:ind w:firstLine="709"/>
        <w:jc w:val="both"/>
        <w:rPr>
          <w:rFonts w:ascii="Verdana" w:eastAsia="Times New Roman" w:hAnsi="Verdana" w:cs="Times New Roman"/>
          <w:lang w:eastAsia="es-ES"/>
        </w:rPr>
      </w:pPr>
      <w:r w:rsidRPr="005416E7">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5416E7">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BFBD470" w14:textId="60F906A5" w:rsidR="008D5774" w:rsidRPr="005416E7" w:rsidRDefault="008D5774" w:rsidP="008D5774">
      <w:pPr>
        <w:spacing w:after="120" w:line="276" w:lineRule="auto"/>
        <w:ind w:firstLine="709"/>
        <w:jc w:val="both"/>
        <w:rPr>
          <w:rFonts w:ascii="Verdana" w:eastAsia="Times New Roman" w:hAnsi="Verdana" w:cs="Times New Roman"/>
          <w:lang w:eastAsia="es-ES"/>
        </w:rPr>
      </w:pPr>
      <w:r w:rsidRPr="005416E7">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5416E7">
        <w:rPr>
          <w:rStyle w:val="Refdenotaalpie"/>
          <w:rFonts w:ascii="Verdana" w:eastAsia="Times New Roman" w:hAnsi="Verdana" w:cs="Times New Roman"/>
          <w:lang w:eastAsia="es-ES"/>
        </w:rPr>
        <w:footnoteReference w:id="15"/>
      </w:r>
      <w:r w:rsidRPr="005416E7">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w:t>
      </w:r>
      <w:r w:rsidRPr="005416E7">
        <w:rPr>
          <w:rFonts w:ascii="Verdana" w:eastAsia="Times New Roman" w:hAnsi="Verdana" w:cs="Times New Roman"/>
          <w:lang w:eastAsia="es-ES"/>
        </w:rPr>
        <w:lastRenderedPageBreak/>
        <w:t xml:space="preserve">implican obligaciones patrimoniales y contraprestación, los convenios se basan en cooperación sin ánimo económico. Por ello, la restricción legal no podía aplicarse extensivamente a los contratos. </w:t>
      </w:r>
      <w:r w:rsidR="00395FD0">
        <w:rPr>
          <w:rFonts w:ascii="Verdana" w:eastAsia="Times New Roman" w:hAnsi="Verdana" w:cs="Times New Roman"/>
          <w:lang w:eastAsia="es-ES"/>
        </w:rPr>
        <w:t xml:space="preserve"> </w:t>
      </w:r>
      <w:r w:rsidRPr="005416E7">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7118795" w14:textId="04A4EFAA" w:rsidR="008D5774" w:rsidRDefault="00395FD0" w:rsidP="008D5774">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w:t>
      </w:r>
      <w:r w:rsidR="008D5774" w:rsidRPr="005416E7">
        <w:rPr>
          <w:rFonts w:ascii="Verdana" w:eastAsia="Times New Roman" w:hAnsi="Verdana" w:cs="Arial"/>
          <w:lang w:eastAsia="es-CO"/>
        </w:rPr>
        <w:t xml:space="preserve">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008D5774" w:rsidRPr="005416E7">
        <w:rPr>
          <w:rFonts w:ascii="Verdana" w:eastAsia="Times New Roman" w:hAnsi="Verdana" w:cs="Arial"/>
          <w:i/>
          <w:iCs/>
          <w:lang w:eastAsia="es-CO"/>
        </w:rPr>
        <w:t>contratos interadministrativos</w:t>
      </w:r>
      <w:r w:rsidR="008D5774" w:rsidRPr="005416E7">
        <w:rPr>
          <w:rFonts w:ascii="Verdana" w:eastAsia="Times New Roman" w:hAnsi="Verdana" w:cs="Arial"/>
          <w:lang w:eastAsia="es-CO"/>
        </w:rPr>
        <w:t>, esta prohibición solo aplicaría a los convenios interadministrativos que impliquen la ejecución de recursos públicos</w:t>
      </w:r>
      <w:r w:rsidR="008D5774" w:rsidRPr="005416E7">
        <w:rPr>
          <w:rStyle w:val="Refdenotaalpie"/>
          <w:rFonts w:ascii="Verdana" w:eastAsia="Times New Roman" w:hAnsi="Verdana" w:cs="Arial"/>
          <w:lang w:eastAsia="es-CO"/>
        </w:rPr>
        <w:footnoteReference w:id="16"/>
      </w:r>
      <w:r w:rsidR="008D5774" w:rsidRPr="005416E7">
        <w:rPr>
          <w:rFonts w:ascii="Verdana" w:eastAsia="Times New Roman" w:hAnsi="Verdana" w:cs="Arial"/>
          <w:lang w:eastAsia="es-CO"/>
        </w:rPr>
        <w:t>.</w:t>
      </w:r>
    </w:p>
    <w:p w14:paraId="04020BAE" w14:textId="77777777" w:rsidR="005259F2" w:rsidRDefault="009F05FF" w:rsidP="00C831EC">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Con todo,</w:t>
      </w:r>
      <w:r w:rsidR="00395FD0">
        <w:rPr>
          <w:rFonts w:ascii="Verdana" w:eastAsia="Times New Roman" w:hAnsi="Verdana" w:cs="Arial"/>
          <w:lang w:eastAsia="es-CO"/>
        </w:rPr>
        <w:t xml:space="preserve"> en aras de responder de </w:t>
      </w:r>
      <w:r w:rsidR="00C00F79">
        <w:rPr>
          <w:rFonts w:ascii="Verdana" w:eastAsia="Times New Roman" w:hAnsi="Verdana" w:cs="Arial"/>
          <w:lang w:eastAsia="es-CO"/>
        </w:rPr>
        <w:t>manera precisa al objeto de la consulta,</w:t>
      </w:r>
      <w:r>
        <w:rPr>
          <w:rFonts w:ascii="Verdana" w:eastAsia="Times New Roman" w:hAnsi="Verdana" w:cs="Arial"/>
          <w:lang w:eastAsia="es-CO"/>
        </w:rPr>
        <w:t xml:space="preserve"> </w:t>
      </w:r>
      <w:r w:rsidR="00A300AA">
        <w:rPr>
          <w:rFonts w:ascii="Verdana" w:eastAsia="Times New Roman" w:hAnsi="Verdana" w:cs="Arial"/>
          <w:lang w:eastAsia="es-CO"/>
        </w:rPr>
        <w:t>es necesario tener en cuenta</w:t>
      </w:r>
      <w:r>
        <w:rPr>
          <w:rFonts w:ascii="Verdana" w:eastAsia="Times New Roman" w:hAnsi="Verdana" w:cs="Arial"/>
          <w:lang w:eastAsia="es-CO"/>
        </w:rPr>
        <w:t xml:space="preserve"> que</w:t>
      </w:r>
      <w:r w:rsidR="00A300AA">
        <w:rPr>
          <w:rFonts w:ascii="Verdana" w:eastAsia="Times New Roman" w:hAnsi="Verdana" w:cs="Arial"/>
          <w:lang w:eastAsia="es-CO"/>
        </w:rPr>
        <w:t>,</w:t>
      </w:r>
      <w:r>
        <w:rPr>
          <w:rFonts w:ascii="Verdana" w:eastAsia="Times New Roman" w:hAnsi="Verdana" w:cs="Arial"/>
          <w:lang w:eastAsia="es-CO"/>
        </w:rPr>
        <w:t xml:space="preserve"> </w:t>
      </w:r>
      <w:r w:rsidR="0090530F">
        <w:rPr>
          <w:rFonts w:ascii="Verdana" w:eastAsia="Times New Roman" w:hAnsi="Verdana" w:cs="Arial"/>
          <w:lang w:eastAsia="es-CO"/>
        </w:rPr>
        <w:t xml:space="preserve">el ordenamiento jurídico dispone que la modalidad aplicable </w:t>
      </w:r>
      <w:r w:rsidR="00DF1C4B">
        <w:rPr>
          <w:rFonts w:ascii="Verdana" w:eastAsia="Times New Roman" w:hAnsi="Verdana" w:cs="Arial"/>
          <w:lang w:eastAsia="es-CO"/>
        </w:rPr>
        <w:t xml:space="preserve">para la celebración de </w:t>
      </w:r>
      <w:r w:rsidR="0015650E">
        <w:rPr>
          <w:rFonts w:ascii="Verdana" w:eastAsia="Times New Roman" w:hAnsi="Verdana" w:cs="Arial"/>
          <w:lang w:eastAsia="es-CO"/>
        </w:rPr>
        <w:t>convenios interadministrativos</w:t>
      </w:r>
      <w:r w:rsidR="00DF1C4B">
        <w:rPr>
          <w:rFonts w:ascii="Verdana" w:eastAsia="Times New Roman" w:hAnsi="Verdana" w:cs="Arial"/>
          <w:lang w:eastAsia="es-CO"/>
        </w:rPr>
        <w:t xml:space="preserve"> es la contratación directa, conforme expresamente lo dispone el artículo</w:t>
      </w:r>
      <w:r w:rsidR="00C53B15">
        <w:rPr>
          <w:rFonts w:ascii="Verdana" w:eastAsia="Times New Roman" w:hAnsi="Verdana" w:cs="Arial"/>
          <w:lang w:eastAsia="es-CO"/>
        </w:rPr>
        <w:t xml:space="preserve"> </w:t>
      </w:r>
      <w:r w:rsidR="00C53B15" w:rsidRPr="00C53B15">
        <w:rPr>
          <w:rFonts w:ascii="Verdana" w:eastAsia="Times New Roman" w:hAnsi="Verdana" w:cs="Arial"/>
          <w:lang w:eastAsia="es-CO"/>
        </w:rPr>
        <w:t>2.2.1.2.1.4.4.</w:t>
      </w:r>
      <w:r w:rsidR="00C53B15">
        <w:rPr>
          <w:rFonts w:ascii="Verdana" w:eastAsia="Times New Roman" w:hAnsi="Verdana" w:cs="Arial"/>
          <w:lang w:eastAsia="es-CO"/>
        </w:rPr>
        <w:t xml:space="preserve"> del Decreto 1082 de 2015</w:t>
      </w:r>
      <w:r w:rsidR="00C53B15">
        <w:rPr>
          <w:rStyle w:val="Refdenotaalpie"/>
          <w:rFonts w:ascii="Verdana" w:eastAsia="Times New Roman" w:hAnsi="Verdana" w:cs="Arial"/>
          <w:lang w:eastAsia="es-CO"/>
        </w:rPr>
        <w:footnoteReference w:id="17"/>
      </w:r>
      <w:r w:rsidR="00C00F79">
        <w:rPr>
          <w:rFonts w:ascii="Verdana" w:eastAsia="Times New Roman" w:hAnsi="Verdana" w:cs="Arial"/>
          <w:lang w:eastAsia="es-CO"/>
        </w:rPr>
        <w:t>. Esto resulta particularmente relevante</w:t>
      </w:r>
      <w:r w:rsidR="00C831EC">
        <w:rPr>
          <w:rFonts w:ascii="Verdana" w:eastAsia="Times New Roman" w:hAnsi="Verdana" w:cs="Arial"/>
          <w:lang w:eastAsia="es-CO"/>
        </w:rPr>
        <w:t xml:space="preserve"> para el particular, ya que, </w:t>
      </w:r>
      <w:r>
        <w:rPr>
          <w:rFonts w:ascii="Verdana" w:eastAsia="Times New Roman" w:hAnsi="Verdana" w:cs="Arial"/>
          <w:lang w:eastAsia="es-CO"/>
        </w:rPr>
        <w:t>si bien</w:t>
      </w:r>
      <w:r w:rsidR="00C831EC">
        <w:rPr>
          <w:rFonts w:ascii="Verdana" w:eastAsia="Times New Roman" w:hAnsi="Verdana" w:cs="Arial"/>
          <w:lang w:eastAsia="es-CO"/>
        </w:rPr>
        <w:t xml:space="preserve"> </w:t>
      </w:r>
      <w:r>
        <w:rPr>
          <w:rFonts w:ascii="Verdana" w:eastAsia="Times New Roman" w:hAnsi="Verdana" w:cs="Arial"/>
          <w:lang w:eastAsia="es-CO"/>
        </w:rPr>
        <w:t xml:space="preserve">los </w:t>
      </w:r>
      <w:r w:rsidRPr="00BD4175">
        <w:rPr>
          <w:rFonts w:ascii="Verdana" w:eastAsia="Times New Roman" w:hAnsi="Verdana" w:cs="Arial"/>
          <w:i/>
          <w:iCs/>
          <w:lang w:eastAsia="es-CO"/>
        </w:rPr>
        <w:t>convenios interadministrativos</w:t>
      </w:r>
      <w:r w:rsidR="005259F2" w:rsidRPr="00BD4175">
        <w:rPr>
          <w:rFonts w:ascii="Verdana" w:eastAsia="Times New Roman" w:hAnsi="Verdana" w:cs="Arial"/>
          <w:i/>
          <w:iCs/>
          <w:lang w:eastAsia="es-CO"/>
        </w:rPr>
        <w:t xml:space="preserve"> a </w:t>
      </w:r>
      <w:r w:rsidR="005259F2" w:rsidRPr="005259F2">
        <w:rPr>
          <w:rFonts w:ascii="Verdana" w:eastAsia="Times New Roman" w:hAnsi="Verdana" w:cs="Arial"/>
          <w:i/>
          <w:iCs/>
          <w:lang w:eastAsia="es-CO"/>
        </w:rPr>
        <w:t>título</w:t>
      </w:r>
      <w:r w:rsidR="005259F2" w:rsidRPr="00BD4175">
        <w:rPr>
          <w:rFonts w:ascii="Verdana" w:eastAsia="Times New Roman" w:hAnsi="Verdana" w:cs="Arial"/>
          <w:i/>
          <w:iCs/>
          <w:lang w:eastAsia="es-CO"/>
        </w:rPr>
        <w:t xml:space="preserve"> gratuito</w:t>
      </w:r>
      <w:r>
        <w:rPr>
          <w:rFonts w:ascii="Verdana" w:eastAsia="Times New Roman" w:hAnsi="Verdana" w:cs="Arial"/>
          <w:lang w:eastAsia="es-CO"/>
        </w:rPr>
        <w:t xml:space="preserve"> no se encuentran cobijados por la restricción del parágrafo del artículo 38 de la Ley 996 de 2005,</w:t>
      </w:r>
      <w:r w:rsidR="005259F2">
        <w:rPr>
          <w:rFonts w:ascii="Verdana" w:eastAsia="Times New Roman" w:hAnsi="Verdana" w:cs="Arial"/>
          <w:lang w:eastAsia="es-CO"/>
        </w:rPr>
        <w:t xml:space="preserve"> por el hecho de no contemplar la ejecución de recursos públicos, </w:t>
      </w:r>
      <w:r>
        <w:rPr>
          <w:rFonts w:ascii="Verdana" w:eastAsia="Times New Roman" w:hAnsi="Verdana" w:cs="Arial"/>
          <w:lang w:eastAsia="es-CO"/>
        </w:rPr>
        <w:t xml:space="preserve">si pueden estar cobijados por la prohibición a la contratación directa establecida por el artículo 33 de la Ley 996 de 2005. </w:t>
      </w:r>
    </w:p>
    <w:p w14:paraId="770CE953" w14:textId="0198CDC8" w:rsidR="009252BB" w:rsidRDefault="009252BB" w:rsidP="00C831EC">
      <w:pPr>
        <w:spacing w:before="120" w:after="120" w:line="276" w:lineRule="auto"/>
        <w:ind w:firstLine="708"/>
        <w:jc w:val="both"/>
        <w:rPr>
          <w:rFonts w:ascii="Verdana" w:eastAsia="Times New Roman" w:hAnsi="Verdana" w:cs="Arial"/>
          <w:lang w:eastAsia="es-CO"/>
        </w:rPr>
      </w:pPr>
      <w:r>
        <w:rPr>
          <w:rFonts w:ascii="Verdana" w:eastAsia="Times New Roman" w:hAnsi="Verdana" w:cs="Arial"/>
          <w:lang w:eastAsia="es-CO"/>
        </w:rPr>
        <w:t>En atención a esto</w:t>
      </w:r>
      <w:r w:rsidR="009F05FF">
        <w:rPr>
          <w:rFonts w:ascii="Verdana" w:eastAsia="Times New Roman" w:hAnsi="Verdana" w:cs="Arial"/>
          <w:lang w:eastAsia="es-CO"/>
        </w:rPr>
        <w:t xml:space="preserve">, </w:t>
      </w:r>
      <w:r>
        <w:rPr>
          <w:rFonts w:ascii="Verdana" w:eastAsia="Times New Roman" w:hAnsi="Verdana" w:cs="Arial"/>
          <w:lang w:eastAsia="es-CO"/>
        </w:rPr>
        <w:t>si bien,</w:t>
      </w:r>
      <w:r w:rsidR="009F05FF">
        <w:rPr>
          <w:rFonts w:ascii="Verdana" w:eastAsia="Times New Roman" w:hAnsi="Verdana" w:cs="Arial"/>
          <w:lang w:eastAsia="es-CO"/>
        </w:rPr>
        <w:t xml:space="preserve"> en principio, resulta viable celebrar de manera directa un </w:t>
      </w:r>
      <w:r w:rsidR="009F05FF" w:rsidRPr="00D76834">
        <w:rPr>
          <w:rFonts w:ascii="Verdana" w:eastAsia="Times New Roman" w:hAnsi="Verdana" w:cs="Arial"/>
          <w:i/>
          <w:iCs/>
          <w:lang w:eastAsia="es-CO"/>
        </w:rPr>
        <w:t xml:space="preserve">convenio interadministrativo a </w:t>
      </w:r>
      <w:r w:rsidRPr="00D76834">
        <w:rPr>
          <w:rFonts w:ascii="Verdana" w:eastAsia="Times New Roman" w:hAnsi="Verdana" w:cs="Arial"/>
          <w:i/>
          <w:iCs/>
          <w:lang w:eastAsia="es-CO"/>
        </w:rPr>
        <w:t>título</w:t>
      </w:r>
      <w:r w:rsidR="009F05FF" w:rsidRPr="00D76834">
        <w:rPr>
          <w:rFonts w:ascii="Verdana" w:eastAsia="Times New Roman" w:hAnsi="Verdana" w:cs="Arial"/>
          <w:i/>
          <w:iCs/>
          <w:lang w:eastAsia="es-CO"/>
        </w:rPr>
        <w:t xml:space="preserve"> gratuito </w:t>
      </w:r>
      <w:r w:rsidR="009F05FF">
        <w:rPr>
          <w:rFonts w:ascii="Verdana" w:eastAsia="Times New Roman" w:hAnsi="Verdana" w:cs="Arial"/>
          <w:lang w:eastAsia="es-CO"/>
        </w:rPr>
        <w:t xml:space="preserve">en vigencia de la restricción del artículo 38, </w:t>
      </w:r>
      <w:r w:rsidR="0064564D">
        <w:rPr>
          <w:rFonts w:ascii="Verdana" w:eastAsia="Times New Roman" w:hAnsi="Verdana" w:cs="Arial"/>
          <w:lang w:eastAsia="es-CO"/>
        </w:rPr>
        <w:t xml:space="preserve">esto no resulta válido </w:t>
      </w:r>
      <w:r w:rsidR="00E00882">
        <w:rPr>
          <w:rFonts w:ascii="Verdana" w:eastAsia="Times New Roman" w:hAnsi="Verdana" w:cs="Arial"/>
          <w:lang w:eastAsia="es-CO"/>
        </w:rPr>
        <w:t>cuando est</w:t>
      </w:r>
      <w:r w:rsidR="00A21CA3">
        <w:rPr>
          <w:rFonts w:ascii="Verdana" w:eastAsia="Times New Roman" w:hAnsi="Verdana" w:cs="Arial"/>
          <w:lang w:eastAsia="es-CO"/>
        </w:rPr>
        <w:t>é</w:t>
      </w:r>
      <w:r w:rsidR="00E00882">
        <w:rPr>
          <w:rFonts w:ascii="Verdana" w:eastAsia="Times New Roman" w:hAnsi="Verdana" w:cs="Arial"/>
          <w:lang w:eastAsia="es-CO"/>
        </w:rPr>
        <w:t xml:space="preserve"> en vigencia la </w:t>
      </w:r>
      <w:r w:rsidR="00A21CA3">
        <w:rPr>
          <w:rFonts w:ascii="Verdana" w:eastAsia="Times New Roman" w:hAnsi="Verdana" w:cs="Arial"/>
          <w:lang w:eastAsia="es-CO"/>
        </w:rPr>
        <w:t>prohibición</w:t>
      </w:r>
      <w:r w:rsidR="00E00882">
        <w:rPr>
          <w:rFonts w:ascii="Verdana" w:eastAsia="Times New Roman" w:hAnsi="Verdana" w:cs="Arial"/>
          <w:lang w:eastAsia="es-CO"/>
        </w:rPr>
        <w:t xml:space="preserve"> del artículo 33, ya que esta</w:t>
      </w:r>
      <w:r w:rsidR="00A21CA3">
        <w:rPr>
          <w:rFonts w:ascii="Verdana" w:eastAsia="Times New Roman" w:hAnsi="Verdana" w:cs="Arial"/>
          <w:lang w:eastAsia="es-CO"/>
        </w:rPr>
        <w:t xml:space="preserve"> aplica de manera </w:t>
      </w:r>
      <w:r w:rsidR="000B6F89">
        <w:rPr>
          <w:rFonts w:ascii="Verdana" w:eastAsia="Times New Roman" w:hAnsi="Verdana" w:cs="Arial"/>
          <w:lang w:eastAsia="es-CO"/>
        </w:rPr>
        <w:t xml:space="preserve">de manera general a </w:t>
      </w:r>
      <w:r w:rsidR="000B6F89">
        <w:rPr>
          <w:rFonts w:ascii="Verdana" w:eastAsia="Times New Roman" w:hAnsi="Verdana" w:cs="Arial"/>
          <w:lang w:eastAsia="es-CO"/>
        </w:rPr>
        <w:lastRenderedPageBreak/>
        <w:t xml:space="preserve">la contratación directa y no </w:t>
      </w:r>
      <w:r w:rsidR="007F778E">
        <w:rPr>
          <w:rFonts w:ascii="Verdana" w:eastAsia="Times New Roman" w:hAnsi="Verdana" w:cs="Arial"/>
          <w:lang w:eastAsia="es-CO"/>
        </w:rPr>
        <w:t xml:space="preserve">contempla excepciones para convenio a titulo gratuito. </w:t>
      </w:r>
      <w:r w:rsidR="00AF5B25">
        <w:rPr>
          <w:rFonts w:ascii="Verdana" w:eastAsia="Times New Roman" w:hAnsi="Verdana" w:cs="Arial"/>
          <w:lang w:eastAsia="es-CO"/>
        </w:rPr>
        <w:t xml:space="preserve">En ese orden, una vez entrada en vigor la restricción del artículo 33 de la Ley 996 de 2005, solo resulta </w:t>
      </w:r>
      <w:r w:rsidR="00FB7920">
        <w:rPr>
          <w:rFonts w:ascii="Verdana" w:eastAsia="Times New Roman" w:hAnsi="Verdana" w:cs="Arial"/>
          <w:lang w:eastAsia="es-CO"/>
        </w:rPr>
        <w:t>jurídicamente</w:t>
      </w:r>
      <w:r w:rsidR="00AF5B25">
        <w:rPr>
          <w:rFonts w:ascii="Verdana" w:eastAsia="Times New Roman" w:hAnsi="Verdana" w:cs="Arial"/>
          <w:lang w:eastAsia="es-CO"/>
        </w:rPr>
        <w:t xml:space="preserve"> viable celebrar </w:t>
      </w:r>
      <w:r w:rsidR="00AF5B25" w:rsidRPr="00BD4175">
        <w:rPr>
          <w:rFonts w:ascii="Verdana" w:eastAsia="Times New Roman" w:hAnsi="Verdana" w:cs="Arial"/>
          <w:i/>
          <w:iCs/>
          <w:lang w:eastAsia="es-CO"/>
        </w:rPr>
        <w:t xml:space="preserve">convenios </w:t>
      </w:r>
      <w:r w:rsidR="00FB7920" w:rsidRPr="00BD4175">
        <w:rPr>
          <w:rFonts w:ascii="Verdana" w:eastAsia="Times New Roman" w:hAnsi="Verdana" w:cs="Arial"/>
          <w:i/>
          <w:iCs/>
          <w:lang w:eastAsia="es-CO"/>
        </w:rPr>
        <w:t>interadministrativos a título gratuito</w:t>
      </w:r>
      <w:r w:rsidR="00FB7920">
        <w:rPr>
          <w:rFonts w:ascii="Verdana" w:eastAsia="Times New Roman" w:hAnsi="Verdana" w:cs="Arial"/>
          <w:lang w:eastAsia="es-CO"/>
        </w:rPr>
        <w:t xml:space="preserve">, si respecto de estos se configura alguna de las excepciones establecidas en dicha disposición. </w:t>
      </w:r>
      <w:r w:rsidR="00A21CA3">
        <w:rPr>
          <w:rFonts w:ascii="Verdana" w:eastAsia="Times New Roman" w:hAnsi="Verdana" w:cs="Arial"/>
          <w:lang w:eastAsia="es-CO"/>
        </w:rPr>
        <w:t xml:space="preserve"> </w:t>
      </w:r>
    </w:p>
    <w:p w14:paraId="668B3020" w14:textId="77777777" w:rsidR="008D5774" w:rsidRDefault="008D5774" w:rsidP="008D5774">
      <w:pPr>
        <w:spacing w:after="0" w:line="276" w:lineRule="auto"/>
        <w:ind w:firstLine="709"/>
        <w:jc w:val="both"/>
        <w:rPr>
          <w:rFonts w:ascii="Verdana" w:eastAsia="Times New Roman" w:hAnsi="Verdana" w:cs="Times New Roman"/>
          <w:lang w:eastAsia="es-ES"/>
        </w:rPr>
      </w:pPr>
      <w:r w:rsidRPr="005416E7">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5416E7">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04C22308" w14:textId="77777777" w:rsidR="008D5774" w:rsidRPr="00F72EC9" w:rsidRDefault="008D5774" w:rsidP="008D5774">
      <w:pPr>
        <w:spacing w:after="0" w:line="276" w:lineRule="auto"/>
        <w:ind w:firstLine="709"/>
        <w:jc w:val="both"/>
        <w:rPr>
          <w:rFonts w:ascii="Verdana" w:eastAsia="Times New Roman" w:hAnsi="Verdana" w:cs="Times New Roman"/>
          <w:lang w:eastAsia="es-ES"/>
        </w:rPr>
      </w:pPr>
    </w:p>
    <w:p w14:paraId="05C42ABB" w14:textId="7C3232AB" w:rsidR="00341D29" w:rsidRPr="00B8716D" w:rsidRDefault="008D5774" w:rsidP="008D5774">
      <w:pPr>
        <w:spacing w:after="120" w:line="276" w:lineRule="auto"/>
        <w:jc w:val="both"/>
        <w:rPr>
          <w:rFonts w:ascii="Verdana" w:eastAsia="Century Gothic" w:hAnsi="Verdana" w:cs="Century Gothic"/>
          <w:b/>
          <w:lang w:val="es-ES"/>
        </w:rPr>
      </w:pPr>
      <w:r w:rsidRPr="00B8716D">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D5774" w:rsidRPr="009233BB" w14:paraId="1C6609D5" w14:textId="77777777" w:rsidTr="006F3F7E">
        <w:trPr>
          <w:trHeight w:val="870"/>
        </w:trPr>
        <w:tc>
          <w:tcPr>
            <w:tcW w:w="8647" w:type="dxa"/>
          </w:tcPr>
          <w:p w14:paraId="2AA22085"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Constitución Política de Colombia. Artículo 127.</w:t>
            </w:r>
          </w:p>
          <w:p w14:paraId="28C653A0"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bCs/>
                <w:lang w:val="es-ES" w:eastAsia="es-ES" w:bidi="es-ES"/>
              </w:rPr>
              <w:t>Ley 996 de 2005. Artículos 33 y 38.</w:t>
            </w:r>
          </w:p>
          <w:p w14:paraId="5B82FBA3"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val="es-ES" w:eastAsia="es-MX"/>
              </w:rPr>
              <w:t xml:space="preserve">Ley 1150 de 2007. </w:t>
            </w:r>
            <w:r w:rsidRPr="00F72EC9">
              <w:rPr>
                <w:rFonts w:ascii="Verdana" w:eastAsia="Arial MT" w:hAnsi="Verdana" w:cs="Arial"/>
                <w:lang w:val="es-ES" w:eastAsia="es-ES" w:bidi="es-ES"/>
              </w:rPr>
              <w:t xml:space="preserve">Artículo 2, numeral 4. </w:t>
            </w:r>
          </w:p>
          <w:p w14:paraId="4AFC863D"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eastAsia="es-ES"/>
              </w:rPr>
              <w:t>Ley 1437 de 2011. Artículo 28.</w:t>
            </w:r>
          </w:p>
          <w:p w14:paraId="54B6ACD3" w14:textId="77777777" w:rsidR="008D5774" w:rsidRPr="00F72EC9"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Corte Constitucional. Sentencia C- 1153 de 2005. M.P. Marco Gerardo Monroy Cabra.</w:t>
            </w:r>
          </w:p>
          <w:p w14:paraId="7F10EC3F" w14:textId="77777777" w:rsidR="008D5774"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Consejo de Estado. Sala de lo Contencioso Administrativo. Sección Primera. Sentencia del 3 de marzo de 2005, Exp. 2004-00823-01(PI).</w:t>
            </w:r>
          </w:p>
          <w:p w14:paraId="474425AC" w14:textId="77777777" w:rsidR="008D5774" w:rsidRPr="009D57B7" w:rsidRDefault="008D5774" w:rsidP="006F3F7E">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9D57B7">
              <w:rPr>
                <w:rFonts w:ascii="Verdana" w:eastAsia="Arial MT" w:hAnsi="Verdana" w:cs="Arial"/>
                <w:lang w:val="es-ES" w:eastAsia="es-ES" w:bidi="es-ES"/>
              </w:rPr>
              <w:t>Consejo de Estado, Sala de Consulta y Servicio Civil, Concepto de fecha 24 de julio de 2013, Rad. 2166, C. P. Álvaro Namén Vargas.</w:t>
            </w:r>
          </w:p>
        </w:tc>
      </w:tr>
    </w:tbl>
    <w:p w14:paraId="1193FBC3" w14:textId="77777777" w:rsidR="008D5774" w:rsidRPr="009233BB"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752E10F9" w14:textId="77777777" w:rsidR="008D5774" w:rsidRPr="00B8716D" w:rsidRDefault="008D5774" w:rsidP="008D5774">
      <w:pPr>
        <w:tabs>
          <w:tab w:val="left" w:pos="142"/>
          <w:tab w:val="left" w:pos="284"/>
        </w:tabs>
        <w:spacing w:after="0" w:line="276" w:lineRule="auto"/>
        <w:jc w:val="both"/>
        <w:rPr>
          <w:rFonts w:ascii="Verdana" w:eastAsia="Century Gothic" w:hAnsi="Verdana" w:cs="Century Gothic"/>
          <w:b/>
          <w:lang w:val="es-ES"/>
        </w:rPr>
      </w:pPr>
      <w:r w:rsidRPr="00B8716D">
        <w:rPr>
          <w:rFonts w:ascii="Verdana" w:eastAsia="Century Gothic" w:hAnsi="Verdana" w:cs="Century Gothic"/>
          <w:b/>
          <w:lang w:val="es-ES"/>
        </w:rPr>
        <w:t>5. Doctrina de la Agencia Nacional de Contratación Pública:</w:t>
      </w:r>
    </w:p>
    <w:p w14:paraId="034E15F3" w14:textId="77777777" w:rsidR="008D5774" w:rsidRPr="009233BB"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6FE230E8" w14:textId="74552475" w:rsidR="008D5774" w:rsidRPr="009233BB" w:rsidRDefault="008D5774" w:rsidP="008D5774">
      <w:pPr>
        <w:spacing w:after="0" w:line="276" w:lineRule="auto"/>
        <w:jc w:val="both"/>
        <w:rPr>
          <w:rFonts w:ascii="Verdana" w:hAnsi="Verdana"/>
          <w:color w:val="ED7D31" w:themeColor="accent2"/>
          <w:lang w:val="es-ES"/>
        </w:rPr>
      </w:pPr>
      <w:r w:rsidRPr="00351A60">
        <w:rPr>
          <w:rFonts w:ascii="Verdana" w:eastAsia="Calibri" w:hAnsi="Verdana" w:cs="Arial"/>
          <w:lang w:val="es-ES"/>
        </w:rPr>
        <w:t xml:space="preserve">La Agencia Nacional de Contratación Pública – Colombia Compra Eficiente se ha referido </w:t>
      </w:r>
      <w:r w:rsidRPr="00351A60">
        <w:rPr>
          <w:rFonts w:ascii="Verdana" w:hAnsi="Verdana" w:cs="Arial"/>
          <w:shd w:val="clear" w:color="auto" w:fill="FFFFFF"/>
          <w:lang w:val="es-ES"/>
        </w:rPr>
        <w:t xml:space="preserve">sobre la Ley de Garantías Electorales en los conceptos con radicado </w:t>
      </w:r>
      <w:r>
        <w:rPr>
          <w:rFonts w:ascii="Verdana" w:eastAsia="Calibri" w:hAnsi="Verdana" w:cs="Arial"/>
          <w:lang w:val="es-ES_tradnl" w:eastAsia="es-ES_tradnl"/>
        </w:rPr>
        <w:lastRenderedPageBreak/>
        <w:t xml:space="preserve">número </w:t>
      </w:r>
      <w:r w:rsidRPr="009375B1">
        <w:rPr>
          <w:rFonts w:ascii="Verdana" w:eastAsia="Calibri" w:hAnsi="Verdana" w:cs="Arial"/>
          <w:lang w:val="es-ES_tradnl" w:eastAsia="es-ES_tradnl"/>
        </w:rPr>
        <w:t>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C-068 del 9 de marzo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C-40 del 22 de marzo de 2023</w:t>
      </w:r>
      <w:r>
        <w:rPr>
          <w:rFonts w:ascii="Verdana" w:eastAsia="Calibri" w:hAnsi="Verdana" w:cs="Arial"/>
          <w:lang w:val="es-ES_tradnl" w:eastAsia="es-ES_tradnl"/>
        </w:rPr>
        <w:t>, C-317 del 25 de abril de 2025</w:t>
      </w:r>
      <w:r>
        <w:rPr>
          <w:rFonts w:ascii="Verdana" w:eastAsia="Calibri" w:hAnsi="Verdana" w:cs="Arial"/>
          <w:lang w:val="es-ES_tradnl" w:eastAsia="es-ES"/>
        </w:rPr>
        <w:t>, C-1675 del 23 de diciembre de 2025, C-1739 del 23 de diciembre de 2025 y C-1775 del 31 de diciembre de 2025, entre otros.</w:t>
      </w:r>
      <w:r w:rsidR="0015488B">
        <w:rPr>
          <w:rFonts w:ascii="Verdana" w:hAnsi="Verdana" w:cs="Arial"/>
          <w:shd w:val="clear" w:color="auto" w:fill="FFFFFF"/>
          <w:lang w:val="es-ES"/>
        </w:rPr>
        <w:t xml:space="preserve"> </w:t>
      </w:r>
      <w:r w:rsidRPr="00B8716D">
        <w:rPr>
          <w:rFonts w:ascii="Verdana" w:hAnsi="Verdana" w:cs="Arial"/>
          <w:shd w:val="clear" w:color="auto" w:fill="FFFFFF"/>
          <w:lang w:val="es-ES"/>
        </w:rPr>
        <w:t>Estos</w:t>
      </w:r>
      <w:r w:rsidRPr="00B8716D">
        <w:rPr>
          <w:rFonts w:ascii="Verdana" w:hAnsi="Verdana"/>
          <w:lang w:val="es-ES"/>
        </w:rPr>
        <w:t xml:space="preserve"> y otros se encuentran disponibles para consulta en el Sistema de relatoría de la Agencia, al cual se puede acceder a través del siguiente enlace:</w:t>
      </w:r>
      <w:r w:rsidRPr="00B8716D">
        <w:rPr>
          <w:rFonts w:ascii="Verdana" w:hAnsi="Verdana" w:cs="Arial"/>
          <w:shd w:val="clear" w:color="auto" w:fill="FFFFFF"/>
          <w:lang w:val="es-ES"/>
        </w:rPr>
        <w:t xml:space="preserve"> </w:t>
      </w:r>
      <w:hyperlink r:id="rId13" w:history="1">
        <w:r w:rsidRPr="00B8716D">
          <w:rPr>
            <w:rStyle w:val="Hipervnculo"/>
            <w:rFonts w:ascii="Verdana" w:hAnsi="Verdana" w:cs="Arial"/>
            <w:shd w:val="clear" w:color="auto" w:fill="FFFFFF"/>
            <w:lang w:val="es-ES"/>
          </w:rPr>
          <w:t>https://relatoria.colombiacompra.gov.co/busqueda/conceptos</w:t>
        </w:r>
      </w:hyperlink>
    </w:p>
    <w:p w14:paraId="537B2233" w14:textId="77777777" w:rsidR="008D5774" w:rsidRPr="009233BB" w:rsidRDefault="008D5774" w:rsidP="008D5774">
      <w:pPr>
        <w:spacing w:after="0"/>
        <w:jc w:val="both"/>
        <w:rPr>
          <w:rFonts w:ascii="Verdana" w:hAnsi="Verdana" w:cs="Arial"/>
          <w:color w:val="ED7D31" w:themeColor="accent2"/>
          <w:shd w:val="clear" w:color="auto" w:fill="FFFFFF"/>
          <w:lang w:val="es-ES"/>
        </w:rPr>
      </w:pPr>
    </w:p>
    <w:p w14:paraId="35DBEA5A" w14:textId="77777777" w:rsidR="008D5774" w:rsidRPr="009233BB" w:rsidRDefault="008D5774" w:rsidP="008D5774">
      <w:pPr>
        <w:spacing w:after="0"/>
        <w:jc w:val="both"/>
        <w:rPr>
          <w:rFonts w:ascii="Verdana" w:hAnsi="Verdana" w:cs="Arial"/>
          <w:color w:val="ED7D31" w:themeColor="accent2"/>
          <w:shd w:val="clear" w:color="auto" w:fill="FFFFFF"/>
        </w:rPr>
      </w:pPr>
      <w:r w:rsidRPr="00B8716D">
        <w:rPr>
          <w:rFonts w:ascii="Verdana" w:hAnsi="Verdana" w:cs="Arial"/>
          <w:shd w:val="clear" w:color="auto" w:fill="FFFFFF"/>
        </w:rPr>
        <w:t>También le contamos que ya se encuentra disponible la </w:t>
      </w:r>
      <w:r w:rsidRPr="00B8716D">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B8716D">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B8716D">
          <w:rPr>
            <w:rStyle w:val="Hipervnculo"/>
            <w:rFonts w:ascii="Verdana" w:hAnsi="Verdana"/>
          </w:rPr>
          <w:t>Guía de lineamientos de transparencia y selección objetiva para el departamento de La Guajira – Objetivo sexto constitucional de la Sentencia T-302 del 2017</w:t>
        </w:r>
      </w:hyperlink>
    </w:p>
    <w:p w14:paraId="50BA40C8" w14:textId="77777777" w:rsidR="008D5774" w:rsidRPr="009233BB" w:rsidRDefault="008D5774" w:rsidP="008D5774">
      <w:pPr>
        <w:spacing w:after="0"/>
        <w:jc w:val="both"/>
        <w:rPr>
          <w:rFonts w:ascii="Verdana" w:hAnsi="Verdana" w:cs="Arial"/>
          <w:color w:val="ED7D31" w:themeColor="accent2"/>
          <w:shd w:val="clear" w:color="auto" w:fill="FFFFFF"/>
        </w:rPr>
      </w:pPr>
    </w:p>
    <w:p w14:paraId="14541A71"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Por último, lo invitamos a seguirnos en las redes sociales en las cuales se difunde información institucional: </w:t>
      </w:r>
    </w:p>
    <w:p w14:paraId="79871619" w14:textId="77777777" w:rsidR="008D5774" w:rsidRPr="00C35C95" w:rsidRDefault="008D5774" w:rsidP="008D5774">
      <w:pPr>
        <w:spacing w:after="0"/>
        <w:jc w:val="both"/>
        <w:rPr>
          <w:rFonts w:ascii="Verdana" w:hAnsi="Verdana" w:cs="Arial"/>
          <w:shd w:val="clear" w:color="auto" w:fill="FFFFFF"/>
        </w:rPr>
      </w:pPr>
    </w:p>
    <w:p w14:paraId="4E67AE00"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Twitter: </w:t>
      </w:r>
      <w:r w:rsidRPr="00C35C95">
        <w:rPr>
          <w:rStyle w:val="Hipervnculo"/>
          <w:rFonts w:ascii="Verdana" w:hAnsi="Verdana"/>
          <w:lang w:val="es-ES"/>
        </w:rPr>
        <w:t>@colombiacompra</w:t>
      </w:r>
      <w:r w:rsidRPr="00C35C95">
        <w:rPr>
          <w:rStyle w:val="Hipervnculo"/>
          <w:rFonts w:ascii="Verdana" w:hAnsi="Verdana"/>
          <w:color w:val="auto"/>
          <w:lang w:val="es-ES"/>
        </w:rPr>
        <w:t xml:space="preserve"> </w:t>
      </w:r>
    </w:p>
    <w:p w14:paraId="7A8B05A5"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Facebook:</w:t>
      </w:r>
      <w:r w:rsidRPr="00C35C95">
        <w:rPr>
          <w:rStyle w:val="Hipervnculo"/>
          <w:rFonts w:ascii="Verdana" w:hAnsi="Verdana"/>
          <w:lang w:val="es-ES"/>
        </w:rPr>
        <w:t xml:space="preserve"> ColombiaCompraEficiente</w:t>
      </w:r>
    </w:p>
    <w:p w14:paraId="42648E5E"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LinkedIn: </w:t>
      </w:r>
      <w:r w:rsidRPr="00B8716D">
        <w:rPr>
          <w:rStyle w:val="Hipervnculo"/>
          <w:rFonts w:ascii="Verdana" w:hAnsi="Verdana"/>
          <w:lang w:val="es-ES"/>
        </w:rPr>
        <w:t>Agencia Nacional de Contratación Pública - Colombia Compra Eficiente</w:t>
      </w:r>
      <w:r w:rsidRPr="00B8716D">
        <w:rPr>
          <w:rFonts w:ascii="Verdana" w:hAnsi="Verdana" w:cs="Arial"/>
          <w:color w:val="0000FF"/>
          <w:shd w:val="clear" w:color="auto" w:fill="FFFFFF"/>
        </w:rPr>
        <w:t xml:space="preserve"> </w:t>
      </w:r>
    </w:p>
    <w:p w14:paraId="26B676B4" w14:textId="77777777" w:rsidR="008D5774" w:rsidRPr="00C35C95" w:rsidRDefault="008D5774" w:rsidP="008D5774">
      <w:pPr>
        <w:spacing w:after="0"/>
        <w:jc w:val="both"/>
        <w:rPr>
          <w:rFonts w:ascii="Verdana" w:hAnsi="Verdana" w:cs="Arial"/>
          <w:shd w:val="clear" w:color="auto" w:fill="FFFFFF"/>
        </w:rPr>
      </w:pPr>
      <w:r w:rsidRPr="00C35C95">
        <w:rPr>
          <w:rFonts w:ascii="Verdana" w:hAnsi="Verdana" w:cs="Arial"/>
          <w:shd w:val="clear" w:color="auto" w:fill="FFFFFF"/>
        </w:rPr>
        <w:t xml:space="preserve">Instagram: </w:t>
      </w:r>
      <w:r w:rsidRPr="00B8716D">
        <w:rPr>
          <w:rStyle w:val="Hipervnculo"/>
          <w:rFonts w:ascii="Verdana" w:hAnsi="Verdana"/>
          <w:lang w:val="es-ES"/>
        </w:rPr>
        <w:t>@colombiacompraeficiente_cce</w:t>
      </w:r>
    </w:p>
    <w:p w14:paraId="40F4A6F7" w14:textId="77777777" w:rsidR="008D5774" w:rsidRPr="009233BB" w:rsidRDefault="008D5774" w:rsidP="008D5774">
      <w:pPr>
        <w:widowControl w:val="0"/>
        <w:autoSpaceDE w:val="0"/>
        <w:autoSpaceDN w:val="0"/>
        <w:spacing w:after="0" w:line="276" w:lineRule="auto"/>
        <w:jc w:val="both"/>
        <w:rPr>
          <w:rFonts w:ascii="Verdana" w:hAnsi="Verdana" w:cs="Arial"/>
          <w:color w:val="ED7D31" w:themeColor="accent2"/>
          <w:lang w:val="es-ES"/>
        </w:rPr>
      </w:pPr>
    </w:p>
    <w:p w14:paraId="04B627D4" w14:textId="77777777" w:rsidR="008D5774" w:rsidRPr="00C35C95" w:rsidRDefault="008D5774" w:rsidP="008D5774">
      <w:pPr>
        <w:widowControl w:val="0"/>
        <w:autoSpaceDE w:val="0"/>
        <w:autoSpaceDN w:val="0"/>
        <w:spacing w:after="0" w:line="276" w:lineRule="auto"/>
        <w:jc w:val="both"/>
        <w:rPr>
          <w:rFonts w:ascii="Verdana" w:hAnsi="Verdana" w:cs="Arial"/>
          <w:lang w:val="es-ES"/>
        </w:rPr>
      </w:pPr>
      <w:r w:rsidRPr="00C35C95">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B22982D" w14:textId="77777777" w:rsidR="008D5774" w:rsidRPr="00C35C95" w:rsidRDefault="008D5774" w:rsidP="008D5774">
      <w:pPr>
        <w:widowControl w:val="0"/>
        <w:autoSpaceDE w:val="0"/>
        <w:autoSpaceDN w:val="0"/>
        <w:spacing w:after="0" w:line="276" w:lineRule="auto"/>
        <w:jc w:val="both"/>
        <w:rPr>
          <w:rFonts w:ascii="Verdana" w:hAnsi="Verdana" w:cs="Arial"/>
          <w:lang w:val="es-ES"/>
        </w:rPr>
      </w:pPr>
    </w:p>
    <w:p w14:paraId="5934DDF9" w14:textId="77777777" w:rsidR="008D5774" w:rsidRDefault="008D5774" w:rsidP="008D5774">
      <w:pPr>
        <w:spacing w:after="0" w:line="276" w:lineRule="auto"/>
        <w:rPr>
          <w:rFonts w:ascii="Verdana" w:hAnsi="Verdana" w:cs="Arial"/>
          <w:lang w:val="es-ES" w:eastAsia="es-CO"/>
        </w:rPr>
      </w:pPr>
      <w:r w:rsidRPr="00C35C95">
        <w:rPr>
          <w:rFonts w:ascii="Verdana" w:eastAsia="Times New Roman" w:hAnsi="Verdana" w:cs="Arial"/>
          <w:lang w:val="es-ES" w:eastAsia="es-CO"/>
        </w:rPr>
        <w:lastRenderedPageBreak/>
        <w:t>Atentamente,</w:t>
      </w:r>
      <w:r w:rsidRPr="00C35C95">
        <w:rPr>
          <w:rFonts w:ascii="Verdana" w:hAnsi="Verdana" w:cs="Arial"/>
          <w:lang w:val="es-ES" w:eastAsia="es-CO"/>
        </w:rPr>
        <w:t xml:space="preserve"> </w:t>
      </w:r>
    </w:p>
    <w:p w14:paraId="5C347B50" w14:textId="77777777" w:rsidR="008D5774" w:rsidRPr="009233BB" w:rsidRDefault="008D5774" w:rsidP="00336915">
      <w:pPr>
        <w:spacing w:after="0" w:line="276" w:lineRule="auto"/>
        <w:rPr>
          <w:rFonts w:ascii="Verdana" w:hAnsi="Verdana"/>
          <w:noProof/>
          <w:color w:val="ED7D31" w:themeColor="accent2"/>
        </w:rPr>
      </w:pPr>
    </w:p>
    <w:p w14:paraId="4B623D48" w14:textId="26D6EE49" w:rsidR="008D5774" w:rsidRPr="00080209" w:rsidRDefault="00080209" w:rsidP="00080209">
      <w:pPr>
        <w:spacing w:after="0" w:line="276" w:lineRule="auto"/>
        <w:jc w:val="center"/>
        <w:rPr>
          <w:rFonts w:ascii="Verdana" w:hAnsi="Verdana"/>
          <w:noProof/>
          <w:color w:val="ED7D31" w:themeColor="accent2"/>
        </w:rPr>
      </w:pPr>
      <w:r w:rsidRPr="00080209">
        <w:rPr>
          <w:rFonts w:ascii="Verdana" w:hAnsi="Verdana"/>
          <w:noProof/>
          <w:color w:val="ED7D31" w:themeColor="accent2"/>
        </w:rPr>
        <w:drawing>
          <wp:inline distT="0" distB="0" distL="0" distR="0" wp14:anchorId="4DB2A1E2" wp14:editId="6E4252C2">
            <wp:extent cx="3115110" cy="1219370"/>
            <wp:effectExtent l="0" t="0" r="9525" b="0"/>
            <wp:docPr id="177159708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597081" name="Imagen 1" descr="Texto&#10;&#10;El contenido generado por IA puede ser incorrecto."/>
                    <pic:cNvPicPr/>
                  </pic:nvPicPr>
                  <pic:blipFill>
                    <a:blip r:embed="rId15"/>
                    <a:stretch>
                      <a:fillRect/>
                    </a:stretch>
                  </pic:blipFill>
                  <pic:spPr>
                    <a:xfrm>
                      <a:off x="0" y="0"/>
                      <a:ext cx="3115110" cy="1219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D5774" w:rsidRPr="00F92962" w14:paraId="7C436130" w14:textId="77777777" w:rsidTr="006F3F7E">
        <w:trPr>
          <w:trHeight w:val="315"/>
        </w:trPr>
        <w:tc>
          <w:tcPr>
            <w:tcW w:w="893" w:type="dxa"/>
            <w:vAlign w:val="center"/>
            <w:hideMark/>
          </w:tcPr>
          <w:p w14:paraId="12D5DD7C" w14:textId="77777777" w:rsidR="008D5774" w:rsidRPr="00F92962" w:rsidRDefault="008D5774" w:rsidP="006F3F7E">
            <w:pPr>
              <w:contextualSpacing/>
              <w:rPr>
                <w:rFonts w:ascii="Verdana" w:hAnsi="Verdana" w:cs="Arial"/>
                <w:sz w:val="16"/>
                <w:szCs w:val="16"/>
                <w:lang w:val="es-ES" w:eastAsia="es-ES"/>
              </w:rPr>
            </w:pPr>
            <w:r w:rsidRPr="00F9296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9E87DC" w14:textId="77777777" w:rsidR="008D5774" w:rsidRPr="00F92962" w:rsidRDefault="008D5774" w:rsidP="006F3F7E">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Camila Alejandra Naranjo Gómez</w:t>
            </w:r>
          </w:p>
          <w:p w14:paraId="29CEC409" w14:textId="77777777" w:rsidR="008D5774" w:rsidRPr="00F92962" w:rsidRDefault="008D5774" w:rsidP="006F3F7E">
            <w:pPr>
              <w:contextualSpacing/>
              <w:rPr>
                <w:rFonts w:ascii="Verdana" w:eastAsia="Arial" w:hAnsi="Verdana" w:cs="Arial"/>
                <w:sz w:val="16"/>
                <w:szCs w:val="16"/>
                <w:lang w:val="es-ES"/>
              </w:rPr>
            </w:pPr>
            <w:r w:rsidRPr="00F92962">
              <w:rPr>
                <w:rFonts w:ascii="Verdana" w:eastAsia="Times New Roman" w:hAnsi="Verdana" w:cs="Arial"/>
                <w:sz w:val="16"/>
                <w:szCs w:val="16"/>
                <w:lang w:eastAsia="es-ES"/>
              </w:rPr>
              <w:t>Analista T2-1 de la Subdirección de Gestión Contractual</w:t>
            </w:r>
          </w:p>
        </w:tc>
      </w:tr>
      <w:tr w:rsidR="008D5774" w:rsidRPr="00F92962" w14:paraId="25FBB44D" w14:textId="77777777" w:rsidTr="006F3F7E">
        <w:trPr>
          <w:trHeight w:val="330"/>
        </w:trPr>
        <w:tc>
          <w:tcPr>
            <w:tcW w:w="893" w:type="dxa"/>
            <w:vAlign w:val="center"/>
            <w:hideMark/>
          </w:tcPr>
          <w:p w14:paraId="3FF45910" w14:textId="77777777" w:rsidR="008D5774" w:rsidRPr="00F92962" w:rsidRDefault="008D5774" w:rsidP="006F3F7E">
            <w:pPr>
              <w:contextualSpacing/>
              <w:rPr>
                <w:rFonts w:ascii="Verdana" w:hAnsi="Verdana" w:cs="Arial"/>
                <w:sz w:val="16"/>
                <w:szCs w:val="16"/>
                <w:lang w:val="es-ES" w:eastAsia="es-ES"/>
              </w:rPr>
            </w:pPr>
            <w:r w:rsidRPr="00F9296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098093" w14:textId="77777777" w:rsidR="008D5774" w:rsidRPr="00F92962" w:rsidRDefault="008D5774" w:rsidP="006F3F7E">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Alejandro Sarmiento Cantillo</w:t>
            </w:r>
          </w:p>
          <w:p w14:paraId="33963F00" w14:textId="77777777" w:rsidR="008D5774" w:rsidRPr="00F92962" w:rsidRDefault="008D5774" w:rsidP="006F3F7E">
            <w:pPr>
              <w:pStyle w:val="paragraph"/>
              <w:spacing w:before="0" w:beforeAutospacing="0" w:after="0" w:afterAutospacing="0"/>
              <w:contextualSpacing/>
              <w:textAlignment w:val="baseline"/>
              <w:rPr>
                <w:rFonts w:ascii="Verdana" w:hAnsi="Verdana" w:cs="Segoe UI"/>
                <w:sz w:val="16"/>
                <w:szCs w:val="16"/>
                <w:lang w:val="es-ES"/>
              </w:rPr>
            </w:pPr>
            <w:r w:rsidRPr="00F92962">
              <w:rPr>
                <w:rFonts w:ascii="Verdana" w:hAnsi="Verdana" w:cs="Arial"/>
                <w:sz w:val="16"/>
                <w:szCs w:val="16"/>
                <w:lang w:eastAsia="es-ES"/>
              </w:rPr>
              <w:t>Gestor T1 ‒ 15 de la Subdirección de Gestión Contractual</w:t>
            </w:r>
          </w:p>
        </w:tc>
      </w:tr>
      <w:tr w:rsidR="008D5774" w:rsidRPr="00F92962" w14:paraId="26941350" w14:textId="77777777" w:rsidTr="006F3F7E">
        <w:trPr>
          <w:trHeight w:val="300"/>
        </w:trPr>
        <w:tc>
          <w:tcPr>
            <w:tcW w:w="893" w:type="dxa"/>
            <w:vAlign w:val="center"/>
          </w:tcPr>
          <w:p w14:paraId="4440A485" w14:textId="77777777" w:rsidR="008D5774" w:rsidRPr="00F92962" w:rsidRDefault="008D5774" w:rsidP="006F3F7E">
            <w:pPr>
              <w:contextualSpacing/>
              <w:rPr>
                <w:rFonts w:ascii="Verdana" w:hAnsi="Verdana" w:cs="Arial"/>
                <w:sz w:val="16"/>
                <w:szCs w:val="16"/>
                <w:lang w:val="es-ES" w:eastAsia="es-ES"/>
              </w:rPr>
            </w:pPr>
            <w:r w:rsidRPr="00F9296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EF46525" w14:textId="77777777" w:rsidR="008D5774" w:rsidRPr="00F92962" w:rsidRDefault="008D5774" w:rsidP="006F3F7E">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Carolina Quintero Gacharná</w:t>
            </w:r>
          </w:p>
          <w:p w14:paraId="00D92CB0" w14:textId="77777777" w:rsidR="008D5774" w:rsidRPr="00F92962" w:rsidRDefault="008D5774" w:rsidP="006F3F7E">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Subdirectora de Gestión Contractual ANCP – CCE</w:t>
            </w:r>
          </w:p>
        </w:tc>
      </w:tr>
    </w:tbl>
    <w:p w14:paraId="19B5A075" w14:textId="77777777" w:rsidR="008D5774" w:rsidRPr="00F92962" w:rsidRDefault="008D5774" w:rsidP="008D5774">
      <w:pPr>
        <w:spacing w:after="120" w:line="276" w:lineRule="auto"/>
        <w:jc w:val="both"/>
        <w:rPr>
          <w:rFonts w:ascii="Verdana" w:eastAsia="Century Gothic" w:hAnsi="Verdana" w:cs="Century Gothic"/>
          <w:b/>
        </w:rPr>
      </w:pPr>
    </w:p>
    <w:p w14:paraId="67D976EA" w14:textId="77777777" w:rsidR="008D5774" w:rsidRPr="009233BB" w:rsidRDefault="008D5774" w:rsidP="008D5774">
      <w:pPr>
        <w:spacing w:after="120" w:line="276" w:lineRule="auto"/>
        <w:jc w:val="both"/>
        <w:rPr>
          <w:rFonts w:ascii="Verdana" w:eastAsia="Century Gothic" w:hAnsi="Verdana" w:cs="Century Gothic"/>
          <w:b/>
          <w:color w:val="ED7D31" w:themeColor="accent2"/>
          <w:lang w:val="es-ES"/>
        </w:rPr>
      </w:pPr>
    </w:p>
    <w:p w14:paraId="1CB3DF5E" w14:textId="77777777" w:rsidR="008D5774" w:rsidRPr="009233BB" w:rsidRDefault="008D5774" w:rsidP="008D5774">
      <w:pPr>
        <w:spacing w:after="120" w:line="276" w:lineRule="auto"/>
        <w:jc w:val="both"/>
        <w:rPr>
          <w:rFonts w:ascii="Verdana" w:eastAsia="Century Gothic" w:hAnsi="Verdana" w:cs="Century Gothic"/>
          <w:b/>
          <w:color w:val="ED7D31" w:themeColor="accent2"/>
          <w:lang w:val="es-ES"/>
        </w:rPr>
      </w:pPr>
    </w:p>
    <w:bookmarkEnd w:id="0"/>
    <w:p w14:paraId="0F293BF4" w14:textId="0C63D1A6" w:rsidR="00127233" w:rsidRPr="008D5774" w:rsidRDefault="00127233" w:rsidP="008D5774">
      <w:pPr>
        <w:rPr>
          <w:lang w:val="es-ES"/>
        </w:rPr>
      </w:pPr>
    </w:p>
    <w:sectPr w:rsidR="00127233" w:rsidRPr="008D577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06E34" w14:textId="77777777" w:rsidR="000E7C7B" w:rsidRDefault="000E7C7B" w:rsidP="004A1847">
      <w:pPr>
        <w:spacing w:after="0" w:line="240" w:lineRule="auto"/>
      </w:pPr>
      <w:r>
        <w:separator/>
      </w:r>
    </w:p>
  </w:endnote>
  <w:endnote w:type="continuationSeparator" w:id="0">
    <w:p w14:paraId="764E74A7" w14:textId="77777777" w:rsidR="000E7C7B" w:rsidRDefault="000E7C7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C9837" w14:textId="77777777" w:rsidR="000E7C7B" w:rsidRDefault="000E7C7B" w:rsidP="004A1847">
      <w:pPr>
        <w:spacing w:after="0" w:line="240" w:lineRule="auto"/>
      </w:pPr>
      <w:r>
        <w:separator/>
      </w:r>
    </w:p>
  </w:footnote>
  <w:footnote w:type="continuationSeparator" w:id="0">
    <w:p w14:paraId="10351C1E" w14:textId="77777777" w:rsidR="000E7C7B" w:rsidRDefault="000E7C7B" w:rsidP="004A1847">
      <w:pPr>
        <w:spacing w:after="0" w:line="240" w:lineRule="auto"/>
      </w:pPr>
      <w:r>
        <w:continuationSeparator/>
      </w:r>
    </w:p>
  </w:footnote>
  <w:footnote w:id="1">
    <w:p w14:paraId="0C835FAE" w14:textId="77777777" w:rsidR="008D5774" w:rsidRPr="00C53B15" w:rsidRDefault="008D5774" w:rsidP="008D5774">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6FA4245" w14:textId="77777777" w:rsidR="008D5774" w:rsidRPr="00C53B15" w:rsidRDefault="008D5774" w:rsidP="008D5774">
      <w:pPr>
        <w:pStyle w:val="Textonotapie"/>
        <w:ind w:firstLine="709"/>
        <w:contextualSpacing/>
        <w:jc w:val="both"/>
        <w:rPr>
          <w:rFonts w:ascii="Verdana" w:hAnsi="Verdana" w:cs="Arial"/>
          <w:sz w:val="16"/>
          <w:szCs w:val="16"/>
        </w:rPr>
      </w:pPr>
      <w:r w:rsidRPr="00C53B1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9CD2369" w14:textId="77777777" w:rsidR="008D5774" w:rsidRPr="00C53B15" w:rsidRDefault="008D5774" w:rsidP="008D5774">
      <w:pPr>
        <w:pStyle w:val="Textonotapie"/>
        <w:ind w:firstLine="709"/>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Gaceta del Congreso de la República No. 71 del 2005.</w:t>
      </w:r>
    </w:p>
  </w:footnote>
  <w:footnote w:id="3">
    <w:p w14:paraId="7DD464E2" w14:textId="77777777" w:rsidR="008D5774" w:rsidRPr="00C53B15" w:rsidRDefault="008D5774" w:rsidP="008D5774">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 C- 1153 de 2005, M.P. Marco Gerardo Monroy Cabra.</w:t>
      </w:r>
    </w:p>
  </w:footnote>
  <w:footnote w:id="4">
    <w:p w14:paraId="582F27F6" w14:textId="77777777" w:rsidR="008D5774" w:rsidRPr="00C53B15" w:rsidRDefault="008D5774" w:rsidP="008D5774">
      <w:pPr>
        <w:pStyle w:val="Textonotapie"/>
        <w:ind w:firstLine="709"/>
        <w:contextualSpacing/>
        <w:jc w:val="both"/>
        <w:rPr>
          <w:rFonts w:ascii="Verdana" w:hAnsi="Verdana" w:cs="Arial"/>
          <w:sz w:val="16"/>
          <w:szCs w:val="16"/>
          <w:lang w:val="pt-BR"/>
        </w:rPr>
      </w:pPr>
      <w:r w:rsidRPr="00C53B15">
        <w:rPr>
          <w:rStyle w:val="Refdenotaalpie"/>
          <w:rFonts w:ascii="Verdana" w:hAnsi="Verdana" w:cs="Arial"/>
          <w:sz w:val="16"/>
          <w:szCs w:val="16"/>
        </w:rPr>
        <w:footnoteRef/>
      </w:r>
      <w:r w:rsidRPr="00C53B15">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241CFDEF" w14:textId="77777777" w:rsidR="008D5774" w:rsidRPr="00C53B15" w:rsidRDefault="008D5774" w:rsidP="008D5774">
      <w:pPr>
        <w:pStyle w:val="Textonotapie"/>
        <w:ind w:firstLine="709"/>
        <w:contextualSpacing/>
        <w:jc w:val="both"/>
        <w:rPr>
          <w:rFonts w:ascii="Verdana" w:hAnsi="Verdana" w:cs="Arial"/>
          <w:sz w:val="16"/>
          <w:szCs w:val="16"/>
          <w:lang w:val="es-CO"/>
        </w:rPr>
      </w:pPr>
      <w:r w:rsidRPr="00C53B15">
        <w:rPr>
          <w:rStyle w:val="Refdenotaalpie"/>
          <w:rFonts w:ascii="Verdana" w:hAnsi="Verdana" w:cs="Arial"/>
          <w:sz w:val="16"/>
          <w:szCs w:val="16"/>
        </w:rPr>
        <w:footnoteRef/>
      </w:r>
      <w:r w:rsidRPr="00C53B1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7466D14" w14:textId="77777777" w:rsidR="008D5774" w:rsidRPr="00C53B15" w:rsidRDefault="008D5774" w:rsidP="008D5774">
      <w:pPr>
        <w:pStyle w:val="Textonotapie"/>
        <w:ind w:firstLine="708"/>
        <w:contextualSpacing/>
        <w:jc w:val="both"/>
        <w:rPr>
          <w:rFonts w:ascii="Verdana"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de fecha 24 de julio de 2013, Rad. 2166, C. P. Álvaro Namén Vargas.  </w:t>
      </w:r>
    </w:p>
  </w:footnote>
  <w:footnote w:id="7">
    <w:p w14:paraId="33D35509" w14:textId="77777777" w:rsidR="008D5774" w:rsidRPr="00C53B15" w:rsidRDefault="008D5774" w:rsidP="008D5774">
      <w:pPr>
        <w:spacing w:after="0" w:line="240" w:lineRule="auto"/>
        <w:ind w:firstLine="709"/>
        <w:contextualSpacing/>
        <w:jc w:val="both"/>
        <w:rPr>
          <w:rFonts w:ascii="Verdana" w:eastAsia="Times New Roman" w:hAnsi="Verdana" w:cs="Arial"/>
          <w:sz w:val="16"/>
          <w:szCs w:val="16"/>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D71F9A9" w14:textId="77777777" w:rsidR="008D5774" w:rsidRPr="00C53B15" w:rsidRDefault="008D5774" w:rsidP="008D5774">
      <w:pPr>
        <w:spacing w:after="0" w:line="240" w:lineRule="auto"/>
        <w:ind w:firstLine="709"/>
        <w:contextualSpacing/>
        <w:jc w:val="both"/>
        <w:rPr>
          <w:rFonts w:ascii="Verdana" w:eastAsia="Times New Roman" w:hAnsi="Verdana" w:cs="Arial"/>
          <w:sz w:val="16"/>
          <w:szCs w:val="16"/>
        </w:rPr>
      </w:pPr>
      <w:r w:rsidRPr="00C53B1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3B15">
        <w:rPr>
          <w:rFonts w:ascii="Verdana" w:eastAsia="Calibri" w:hAnsi="Verdana" w:cs="Arial"/>
          <w:color w:val="000000"/>
          <w:sz w:val="16"/>
          <w:szCs w:val="16"/>
        </w:rPr>
        <w:t>”</w:t>
      </w:r>
      <w:r w:rsidRPr="00C53B15">
        <w:rPr>
          <w:rFonts w:ascii="Verdana" w:eastAsia="Times New Roman" w:hAnsi="Verdana" w:cs="Arial"/>
          <w:sz w:val="16"/>
          <w:szCs w:val="16"/>
        </w:rPr>
        <w:t>.</w:t>
      </w:r>
    </w:p>
  </w:footnote>
  <w:footnote w:id="8">
    <w:p w14:paraId="2883957F" w14:textId="77777777" w:rsidR="008D5774" w:rsidRPr="00C53B15" w:rsidRDefault="008D5774" w:rsidP="008D5774">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Refdenotaalpie"/>
          <w:rFonts w:ascii="Verdana" w:hAnsi="Verdana" w:cs="Arial"/>
          <w:sz w:val="16"/>
          <w:szCs w:val="16"/>
        </w:rPr>
        <w:footnoteRef/>
      </w:r>
      <w:r w:rsidRPr="00C53B15">
        <w:rPr>
          <w:rFonts w:ascii="Verdana" w:hAnsi="Verdana" w:cs="Arial"/>
          <w:sz w:val="16"/>
          <w:szCs w:val="16"/>
        </w:rPr>
        <w:t xml:space="preserve"> </w:t>
      </w:r>
      <w:r w:rsidRPr="00C53B15">
        <w:rPr>
          <w:rFonts w:ascii="Verdana" w:eastAsia="Calibri" w:hAnsi="Verdana" w:cs="Arial"/>
          <w:color w:val="000000"/>
          <w:sz w:val="16"/>
          <w:szCs w:val="16"/>
        </w:rPr>
        <w:t>“</w:t>
      </w:r>
      <w:r w:rsidRPr="00C53B15">
        <w:rPr>
          <w:rFonts w:ascii="Verdana" w:hAnsi="Verdana" w:cs="Arial"/>
          <w:sz w:val="16"/>
          <w:szCs w:val="16"/>
          <w:lang w:val="es-MX"/>
        </w:rPr>
        <w:t>Artículo 38. Prohibiciones para los servidores públicos. A los empleados del Estado les está prohibido: (…)</w:t>
      </w:r>
    </w:p>
    <w:p w14:paraId="5B0AFF74" w14:textId="77777777" w:rsidR="008D5774" w:rsidRPr="00C53B15" w:rsidRDefault="008D5774" w:rsidP="008D5774">
      <w:pPr>
        <w:pStyle w:val="NormalWeb"/>
        <w:spacing w:before="0" w:beforeAutospacing="0" w:after="0" w:afterAutospacing="0"/>
        <w:ind w:firstLine="709"/>
        <w:contextualSpacing/>
        <w:jc w:val="both"/>
        <w:rPr>
          <w:rFonts w:ascii="Verdana" w:hAnsi="Verdana" w:cs="Arial"/>
          <w:sz w:val="16"/>
          <w:szCs w:val="16"/>
          <w:lang w:val="es-MX"/>
        </w:rPr>
      </w:pPr>
      <w:r w:rsidRPr="00C53B15">
        <w:rPr>
          <w:rStyle w:val="baj"/>
          <w:rFonts w:ascii="Verdana" w:hAnsi="Verdana" w:cs="Arial"/>
          <w:sz w:val="16"/>
          <w:szCs w:val="16"/>
          <w:lang w:val="es-MX"/>
        </w:rPr>
        <w:t>Parágrafo.</w:t>
      </w:r>
      <w:r w:rsidRPr="00C53B1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3B15">
        <w:rPr>
          <w:rFonts w:ascii="Verdana" w:eastAsia="Calibri" w:hAnsi="Verdana" w:cs="Arial"/>
          <w:color w:val="000000"/>
          <w:sz w:val="16"/>
          <w:szCs w:val="16"/>
        </w:rPr>
        <w:t>”</w:t>
      </w:r>
      <w:r w:rsidRPr="00C53B15">
        <w:rPr>
          <w:rFonts w:ascii="Verdana" w:hAnsi="Verdana" w:cs="Arial"/>
          <w:sz w:val="16"/>
          <w:szCs w:val="16"/>
          <w:lang w:val="es-MX"/>
        </w:rPr>
        <w:t>.</w:t>
      </w:r>
    </w:p>
    <w:p w14:paraId="4FF6E892" w14:textId="77777777" w:rsidR="008D5774" w:rsidRPr="00C53B15" w:rsidRDefault="008D5774" w:rsidP="008D5774">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4E45044D" w14:textId="77777777" w:rsidR="008D5774" w:rsidRPr="00C53B15" w:rsidRDefault="008D5774" w:rsidP="008D5774">
      <w:pPr>
        <w:spacing w:after="0" w:line="240" w:lineRule="auto"/>
        <w:ind w:left="100" w:right="244" w:firstLine="709"/>
        <w:contextualSpacing/>
        <w:jc w:val="both"/>
        <w:rPr>
          <w:rFonts w:ascii="Verdana" w:hAnsi="Verdana" w:cs="Arial"/>
          <w:sz w:val="16"/>
          <w:szCs w:val="16"/>
          <w:lang w:val="es-ES"/>
        </w:rPr>
      </w:pPr>
      <w:r w:rsidRPr="00C53B15">
        <w:rPr>
          <w:rStyle w:val="Refdenotaalpie"/>
          <w:rFonts w:ascii="Verdana" w:hAnsi="Verdana" w:cs="Arial"/>
          <w:sz w:val="16"/>
          <w:szCs w:val="16"/>
        </w:rPr>
        <w:footnoteRef/>
      </w:r>
      <w:r w:rsidRPr="00C53B1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48C2E0F4" w14:textId="77777777" w:rsidR="008D5774" w:rsidRPr="00C53B15" w:rsidRDefault="008D5774" w:rsidP="008D5774">
      <w:pPr>
        <w:pStyle w:val="Textonotapie"/>
        <w:ind w:firstLine="709"/>
        <w:contextualSpacing/>
        <w:jc w:val="both"/>
        <w:rPr>
          <w:rFonts w:ascii="Verdana" w:hAnsi="Verdana" w:cs="Arial"/>
          <w:sz w:val="16"/>
          <w:szCs w:val="16"/>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hAnsi="Verdana" w:cs="Arial"/>
          <w:sz w:val="16"/>
          <w:szCs w:val="16"/>
        </w:rPr>
        <w:t>Consejo de Estado -Sección Tercera-. Sentencia del 21 de febrero de 2025. Radicación Número: 68.280. CP: José Roberto Sáchica Méndez.</w:t>
      </w:r>
    </w:p>
  </w:footnote>
  <w:footnote w:id="11">
    <w:p w14:paraId="773CC874" w14:textId="77777777" w:rsidR="008D5774" w:rsidRPr="00C53B15" w:rsidRDefault="008D5774" w:rsidP="008D5774">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sz w:val="16"/>
          <w:szCs w:val="16"/>
          <w:vertAlign w:val="superscript"/>
        </w:rPr>
        <w:t xml:space="preserve"> </w:t>
      </w:r>
      <w:r w:rsidRPr="00C53B1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2">
    <w:p w14:paraId="71E305D8" w14:textId="77777777" w:rsidR="008D5774" w:rsidRPr="00C53B15" w:rsidRDefault="008D5774" w:rsidP="008D5774">
      <w:pPr>
        <w:pStyle w:val="Textonotapie"/>
        <w:ind w:firstLine="709"/>
        <w:contextualSpacing/>
        <w:jc w:val="both"/>
        <w:rPr>
          <w:rFonts w:ascii="Verdana" w:hAnsi="Verdana" w:cs="Arial"/>
          <w:sz w:val="16"/>
          <w:szCs w:val="16"/>
        </w:rPr>
      </w:pPr>
      <w:r w:rsidRPr="00C53B15">
        <w:rPr>
          <w:rFonts w:ascii="Verdana" w:hAnsi="Verdana"/>
          <w:sz w:val="16"/>
          <w:szCs w:val="16"/>
          <w:vertAlign w:val="superscript"/>
        </w:rPr>
        <w:footnoteRef/>
      </w:r>
      <w:r w:rsidRPr="00C53B15">
        <w:rPr>
          <w:rFonts w:ascii="Verdana" w:hAnsi="Verdana" w:cs="Arial"/>
          <w:sz w:val="16"/>
          <w:szCs w:val="16"/>
          <w:vertAlign w:val="superscript"/>
        </w:rPr>
        <w:t xml:space="preserve"> </w:t>
      </w:r>
      <w:r w:rsidRPr="00C53B15">
        <w:rPr>
          <w:rFonts w:ascii="Verdana" w:hAnsi="Verdana" w:cs="Arial"/>
          <w:sz w:val="16"/>
          <w:szCs w:val="16"/>
        </w:rPr>
        <w:t>Ley 80 de 1993: “Artículo 41. Del perfeccionamiento del contrato. Los contratos del Estado se perfeccionan cuando se logre acuerdo sobre el objeto y la contraprestación y éste se eleve a escrito (…)”.</w:t>
      </w:r>
    </w:p>
  </w:footnote>
  <w:footnote w:id="13">
    <w:p w14:paraId="2D642B7A" w14:textId="77777777" w:rsidR="008D5774" w:rsidRPr="00C53B15" w:rsidRDefault="008D5774" w:rsidP="008D5774">
      <w:pPr>
        <w:pStyle w:val="Textonotapie"/>
        <w:ind w:left="851" w:hanging="142"/>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lang w:val="es-CO"/>
        </w:rPr>
        <w:t xml:space="preserve"> Consejo de Estado, Sección Tercera. Auto del 4 de octubre de 2024. Exp. 70.313. C.P: Fredy Ibarra Martínez.</w:t>
      </w:r>
    </w:p>
  </w:footnote>
  <w:footnote w:id="14">
    <w:p w14:paraId="76E4B278" w14:textId="77777777" w:rsidR="008D5774" w:rsidRPr="00C53B15" w:rsidRDefault="008D5774" w:rsidP="008D5774">
      <w:pPr>
        <w:pStyle w:val="Textonotapie"/>
        <w:ind w:firstLine="709"/>
        <w:contextualSpacing/>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rPr>
        <w:t xml:space="preserve"> La parte resolutiva del auto dispone lo siguiente; “</w:t>
      </w:r>
      <w:r w:rsidRPr="00C53B15">
        <w:rPr>
          <w:rFonts w:ascii="Verdana" w:hAnsi="Verdana"/>
          <w:bCs/>
          <w:sz w:val="16"/>
          <w:szCs w:val="16"/>
          <w:lang w:val="es-CO"/>
        </w:rPr>
        <w:t>PRIMERO: DECRETAR la suspensión provisional de los apartes cuestionados del inciso segundo del numeral 16.2 de la Circular Externa</w:t>
      </w:r>
      <w:r w:rsidRPr="00C53B15">
        <w:rPr>
          <w:rFonts w:ascii="Verdana" w:hAnsi="Verdana"/>
          <w:sz w:val="16"/>
          <w:szCs w:val="16"/>
          <w:lang w:val="es-CO"/>
        </w:rPr>
        <w:t xml:space="preserve"> única, versión 3 del 27 de diciembre de 2023, expedida por la Agencia Nacional de Contratación Pública – Colombia Compra Eficiente, según el cual </w:t>
      </w:r>
      <w:r w:rsidRPr="00C53B1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53B15">
        <w:rPr>
          <w:rFonts w:ascii="Verdana" w:hAnsi="Verdana"/>
          <w:sz w:val="16"/>
          <w:szCs w:val="16"/>
          <w:lang w:val="es-CO"/>
        </w:rPr>
        <w:t xml:space="preserve">, por las razones expuestas en precedencia. </w:t>
      </w:r>
    </w:p>
    <w:p w14:paraId="3E9FACEA" w14:textId="77777777" w:rsidR="008D5774" w:rsidRPr="00C53B15" w:rsidRDefault="008D5774" w:rsidP="008D5774">
      <w:pPr>
        <w:pStyle w:val="Textonotapie"/>
        <w:ind w:firstLine="709"/>
        <w:contextualSpacing/>
        <w:jc w:val="both"/>
        <w:rPr>
          <w:rFonts w:ascii="Verdana" w:hAnsi="Verdana"/>
          <w:sz w:val="16"/>
          <w:szCs w:val="16"/>
          <w:lang w:val="es-CO"/>
        </w:rPr>
      </w:pPr>
      <w:r w:rsidRPr="00C53B15">
        <w:rPr>
          <w:rFonts w:ascii="Verdana" w:hAnsi="Verdana"/>
          <w:bCs/>
          <w:sz w:val="16"/>
          <w:szCs w:val="16"/>
          <w:lang w:val="es-CO"/>
        </w:rPr>
        <w:t>SEGUNDO: DECRETAR</w:t>
      </w:r>
      <w:r w:rsidRPr="00C53B15">
        <w:rPr>
          <w:rFonts w:ascii="Verdana" w:hAnsi="Verdana"/>
          <w:b/>
          <w:sz w:val="16"/>
          <w:szCs w:val="16"/>
          <w:lang w:val="es-CO"/>
        </w:rPr>
        <w:t xml:space="preserve"> </w:t>
      </w:r>
      <w:r w:rsidRPr="00C53B15">
        <w:rPr>
          <w:rFonts w:ascii="Verdana" w:hAnsi="Verdana"/>
          <w:sz w:val="16"/>
          <w:szCs w:val="16"/>
          <w:lang w:val="es-CO"/>
        </w:rPr>
        <w:t>la suspensión provisional de la expresión “</w:t>
      </w:r>
      <w:r w:rsidRPr="00C53B15">
        <w:rPr>
          <w:rFonts w:ascii="Verdana" w:hAnsi="Verdana"/>
          <w:i/>
          <w:sz w:val="16"/>
          <w:szCs w:val="16"/>
          <w:lang w:val="es-CO"/>
        </w:rPr>
        <w:t>contratos</w:t>
      </w:r>
      <w:r w:rsidRPr="00C53B15">
        <w:rPr>
          <w:rFonts w:ascii="Verdana" w:hAnsi="Verdana"/>
          <w:sz w:val="16"/>
          <w:szCs w:val="16"/>
          <w:lang w:val="es-CO"/>
        </w:rPr>
        <w:t xml:space="preserve">” y del párrafo </w:t>
      </w:r>
      <w:r w:rsidRPr="00C53B1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53B1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15">
    <w:p w14:paraId="0EB968A6" w14:textId="77777777" w:rsidR="008D5774" w:rsidRPr="00C53B15" w:rsidRDefault="008D5774" w:rsidP="008D5774">
      <w:pPr>
        <w:spacing w:after="0" w:line="240" w:lineRule="auto"/>
        <w:ind w:firstLine="709"/>
        <w:contextualSpacing/>
        <w:jc w:val="both"/>
        <w:rPr>
          <w:rFonts w:ascii="Verdana" w:eastAsia="Times New Roman" w:hAnsi="Verdana" w:cs="Times New Roman"/>
          <w:sz w:val="16"/>
          <w:szCs w:val="16"/>
          <w:lang w:eastAsia="es-ES"/>
        </w:rPr>
      </w:pPr>
      <w:r w:rsidRPr="00C53B15">
        <w:rPr>
          <w:rStyle w:val="Refdenotaalpie"/>
          <w:rFonts w:ascii="Verdana" w:hAnsi="Verdana"/>
          <w:sz w:val="16"/>
          <w:szCs w:val="16"/>
        </w:rPr>
        <w:footnoteRef/>
      </w:r>
      <w:r w:rsidRPr="00C53B15">
        <w:rPr>
          <w:rFonts w:ascii="Verdana" w:hAnsi="Verdana"/>
          <w:sz w:val="16"/>
          <w:szCs w:val="16"/>
        </w:rPr>
        <w:t xml:space="preserve"> </w:t>
      </w:r>
      <w:r w:rsidRPr="00C53B1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53B15">
        <w:rPr>
          <w:rFonts w:ascii="Verdana" w:hAnsi="Verdana"/>
          <w:sz w:val="16"/>
          <w:szCs w:val="16"/>
        </w:rPr>
        <w:t xml:space="preserve">La parte de la providencia señala: </w:t>
      </w:r>
      <w:r w:rsidRPr="00C53B15">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6">
    <w:p w14:paraId="79F06166" w14:textId="77777777" w:rsidR="008D5774" w:rsidRPr="00C53B15" w:rsidRDefault="008D5774" w:rsidP="008D5774">
      <w:pPr>
        <w:pStyle w:val="Textonotapie"/>
        <w:ind w:firstLine="709"/>
        <w:jc w:val="both"/>
        <w:rPr>
          <w:rFonts w:ascii="Verdana" w:hAnsi="Verdana"/>
          <w:sz w:val="16"/>
          <w:szCs w:val="16"/>
          <w:lang w:val="es-CO"/>
        </w:rPr>
      </w:pPr>
      <w:r w:rsidRPr="00C53B15">
        <w:rPr>
          <w:rStyle w:val="Refdenotaalpie"/>
          <w:rFonts w:ascii="Verdana" w:hAnsi="Verdana"/>
          <w:sz w:val="16"/>
          <w:szCs w:val="16"/>
        </w:rPr>
        <w:footnoteRef/>
      </w:r>
      <w:r w:rsidRPr="00C53B1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7">
    <w:p w14:paraId="20BBA9FE" w14:textId="494718BF" w:rsidR="00C53B15" w:rsidRPr="00BD4175" w:rsidRDefault="00C53B15" w:rsidP="00BD4175">
      <w:pPr>
        <w:pStyle w:val="Textonotapie"/>
        <w:ind w:firstLine="708"/>
        <w:jc w:val="both"/>
        <w:rPr>
          <w:rFonts w:ascii="Verdana" w:hAnsi="Verdana"/>
          <w:sz w:val="16"/>
          <w:szCs w:val="16"/>
        </w:rPr>
      </w:pPr>
      <w:r w:rsidRPr="00BD4175">
        <w:rPr>
          <w:rStyle w:val="Refdenotaalpie"/>
          <w:rFonts w:ascii="Verdana" w:hAnsi="Verdana"/>
          <w:sz w:val="16"/>
          <w:szCs w:val="16"/>
        </w:rPr>
        <w:footnoteRef/>
      </w:r>
      <w:r w:rsidRPr="00BD4175">
        <w:rPr>
          <w:rFonts w:ascii="Verdana" w:hAnsi="Verdana"/>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794DF3EF" w14:textId="6FA434F8" w:rsidR="00C53B15" w:rsidRPr="00BD4175" w:rsidRDefault="00C53B15" w:rsidP="00BD4175">
      <w:pPr>
        <w:pStyle w:val="Textonotapie"/>
        <w:ind w:firstLine="708"/>
        <w:jc w:val="both"/>
        <w:rPr>
          <w:rFonts w:ascii="Verdana" w:hAnsi="Verdana"/>
          <w:sz w:val="16"/>
          <w:szCs w:val="16"/>
        </w:rPr>
      </w:pPr>
      <w:r w:rsidRPr="00BD4175">
        <w:rPr>
          <w:rFonts w:ascii="Verdana" w:hAnsi="Verdana"/>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r>
        <w:rPr>
          <w:rFonts w:ascii="Verdana" w:hAnsi="Verdana"/>
          <w:sz w:val="16"/>
          <w:szCs w:val="16"/>
        </w:rPr>
        <w:t>”</w:t>
      </w:r>
      <w:r w:rsidRPr="00BD4175">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563"/>
    <w:rsid w:val="00061B2A"/>
    <w:rsid w:val="00080209"/>
    <w:rsid w:val="00082362"/>
    <w:rsid w:val="00094252"/>
    <w:rsid w:val="000A683E"/>
    <w:rsid w:val="000A7D46"/>
    <w:rsid w:val="000B19B9"/>
    <w:rsid w:val="000B6F89"/>
    <w:rsid w:val="000D0334"/>
    <w:rsid w:val="000D2F32"/>
    <w:rsid w:val="000D5DA7"/>
    <w:rsid w:val="000E7C7B"/>
    <w:rsid w:val="000F6486"/>
    <w:rsid w:val="001068E1"/>
    <w:rsid w:val="00116940"/>
    <w:rsid w:val="001228DC"/>
    <w:rsid w:val="00124C21"/>
    <w:rsid w:val="00125105"/>
    <w:rsid w:val="00127233"/>
    <w:rsid w:val="0015042F"/>
    <w:rsid w:val="00152F52"/>
    <w:rsid w:val="0015488B"/>
    <w:rsid w:val="0015650E"/>
    <w:rsid w:val="0015699B"/>
    <w:rsid w:val="0017343D"/>
    <w:rsid w:val="00182010"/>
    <w:rsid w:val="001A33BF"/>
    <w:rsid w:val="001E4177"/>
    <w:rsid w:val="001F0B24"/>
    <w:rsid w:val="001F7DC6"/>
    <w:rsid w:val="00203EC3"/>
    <w:rsid w:val="0022400B"/>
    <w:rsid w:val="00224979"/>
    <w:rsid w:val="00233946"/>
    <w:rsid w:val="002421BB"/>
    <w:rsid w:val="002506B7"/>
    <w:rsid w:val="0025796E"/>
    <w:rsid w:val="002667E1"/>
    <w:rsid w:val="002707A2"/>
    <w:rsid w:val="002809EE"/>
    <w:rsid w:val="002951A0"/>
    <w:rsid w:val="002962BC"/>
    <w:rsid w:val="002A093D"/>
    <w:rsid w:val="002A0DD0"/>
    <w:rsid w:val="002A49AC"/>
    <w:rsid w:val="002A64FD"/>
    <w:rsid w:val="002B0A25"/>
    <w:rsid w:val="002C7A84"/>
    <w:rsid w:val="002E043C"/>
    <w:rsid w:val="002E2BF8"/>
    <w:rsid w:val="002E4FD9"/>
    <w:rsid w:val="002F04E0"/>
    <w:rsid w:val="0030657A"/>
    <w:rsid w:val="003116AA"/>
    <w:rsid w:val="00322A85"/>
    <w:rsid w:val="00324168"/>
    <w:rsid w:val="00330834"/>
    <w:rsid w:val="00336915"/>
    <w:rsid w:val="00341D29"/>
    <w:rsid w:val="003448F4"/>
    <w:rsid w:val="00373B36"/>
    <w:rsid w:val="00374F5E"/>
    <w:rsid w:val="00377E3E"/>
    <w:rsid w:val="00395FD0"/>
    <w:rsid w:val="003974B1"/>
    <w:rsid w:val="003A779E"/>
    <w:rsid w:val="003B4D9D"/>
    <w:rsid w:val="003D0F4D"/>
    <w:rsid w:val="003D15AD"/>
    <w:rsid w:val="003D5B0D"/>
    <w:rsid w:val="003E0499"/>
    <w:rsid w:val="003E4F80"/>
    <w:rsid w:val="003E6439"/>
    <w:rsid w:val="003F3941"/>
    <w:rsid w:val="00406575"/>
    <w:rsid w:val="00414C74"/>
    <w:rsid w:val="0042722E"/>
    <w:rsid w:val="004317A8"/>
    <w:rsid w:val="0043275B"/>
    <w:rsid w:val="0044528D"/>
    <w:rsid w:val="00445E6C"/>
    <w:rsid w:val="00451BB4"/>
    <w:rsid w:val="00451BBD"/>
    <w:rsid w:val="00454707"/>
    <w:rsid w:val="004654BF"/>
    <w:rsid w:val="00466E39"/>
    <w:rsid w:val="00486F02"/>
    <w:rsid w:val="004A1847"/>
    <w:rsid w:val="004A305D"/>
    <w:rsid w:val="004B1246"/>
    <w:rsid w:val="004E7B1E"/>
    <w:rsid w:val="004F21C4"/>
    <w:rsid w:val="004F5ED9"/>
    <w:rsid w:val="004F685F"/>
    <w:rsid w:val="005259F2"/>
    <w:rsid w:val="0053070B"/>
    <w:rsid w:val="00536F7E"/>
    <w:rsid w:val="005566E8"/>
    <w:rsid w:val="00574867"/>
    <w:rsid w:val="00591460"/>
    <w:rsid w:val="005A65E0"/>
    <w:rsid w:val="005C3777"/>
    <w:rsid w:val="005C5CDC"/>
    <w:rsid w:val="005C6779"/>
    <w:rsid w:val="005D476C"/>
    <w:rsid w:val="005E492A"/>
    <w:rsid w:val="006200BF"/>
    <w:rsid w:val="006219F8"/>
    <w:rsid w:val="00624038"/>
    <w:rsid w:val="006302F7"/>
    <w:rsid w:val="0064564D"/>
    <w:rsid w:val="00645740"/>
    <w:rsid w:val="00646B9F"/>
    <w:rsid w:val="006552C5"/>
    <w:rsid w:val="00665D70"/>
    <w:rsid w:val="006900D9"/>
    <w:rsid w:val="00690862"/>
    <w:rsid w:val="006C00A6"/>
    <w:rsid w:val="006D6B3F"/>
    <w:rsid w:val="0070142E"/>
    <w:rsid w:val="00703453"/>
    <w:rsid w:val="00706C16"/>
    <w:rsid w:val="00723433"/>
    <w:rsid w:val="007340C3"/>
    <w:rsid w:val="00737577"/>
    <w:rsid w:val="0075235A"/>
    <w:rsid w:val="00756841"/>
    <w:rsid w:val="007649AB"/>
    <w:rsid w:val="00771D0C"/>
    <w:rsid w:val="007833AC"/>
    <w:rsid w:val="007B268C"/>
    <w:rsid w:val="007B7171"/>
    <w:rsid w:val="007C0C0F"/>
    <w:rsid w:val="007C3DC2"/>
    <w:rsid w:val="007C435B"/>
    <w:rsid w:val="007D3DBF"/>
    <w:rsid w:val="007E5497"/>
    <w:rsid w:val="007F778E"/>
    <w:rsid w:val="00806F5F"/>
    <w:rsid w:val="00812D27"/>
    <w:rsid w:val="00816452"/>
    <w:rsid w:val="00816FE1"/>
    <w:rsid w:val="00820278"/>
    <w:rsid w:val="008258C9"/>
    <w:rsid w:val="00835946"/>
    <w:rsid w:val="00844AE9"/>
    <w:rsid w:val="00867F95"/>
    <w:rsid w:val="008843B6"/>
    <w:rsid w:val="008917C7"/>
    <w:rsid w:val="00891928"/>
    <w:rsid w:val="008A446D"/>
    <w:rsid w:val="008B25F1"/>
    <w:rsid w:val="008D180B"/>
    <w:rsid w:val="008D55CB"/>
    <w:rsid w:val="008D5774"/>
    <w:rsid w:val="008F0EA7"/>
    <w:rsid w:val="008F1293"/>
    <w:rsid w:val="0090530F"/>
    <w:rsid w:val="0091370F"/>
    <w:rsid w:val="00917748"/>
    <w:rsid w:val="00923EEF"/>
    <w:rsid w:val="009252BB"/>
    <w:rsid w:val="00925CA2"/>
    <w:rsid w:val="009419F9"/>
    <w:rsid w:val="0095685E"/>
    <w:rsid w:val="00961B09"/>
    <w:rsid w:val="00965334"/>
    <w:rsid w:val="0097093E"/>
    <w:rsid w:val="00982ACA"/>
    <w:rsid w:val="009A0DFA"/>
    <w:rsid w:val="009A1C6F"/>
    <w:rsid w:val="009B2D26"/>
    <w:rsid w:val="009C44A9"/>
    <w:rsid w:val="009C71FA"/>
    <w:rsid w:val="009C72E7"/>
    <w:rsid w:val="009C7F7E"/>
    <w:rsid w:val="009D3058"/>
    <w:rsid w:val="009D377E"/>
    <w:rsid w:val="009D40B6"/>
    <w:rsid w:val="009F05FF"/>
    <w:rsid w:val="009F3A13"/>
    <w:rsid w:val="00A122D3"/>
    <w:rsid w:val="00A14468"/>
    <w:rsid w:val="00A17F13"/>
    <w:rsid w:val="00A20739"/>
    <w:rsid w:val="00A21CA3"/>
    <w:rsid w:val="00A23AF9"/>
    <w:rsid w:val="00A300AA"/>
    <w:rsid w:val="00A31841"/>
    <w:rsid w:val="00A33C78"/>
    <w:rsid w:val="00AA080B"/>
    <w:rsid w:val="00AB0ADB"/>
    <w:rsid w:val="00AF5B25"/>
    <w:rsid w:val="00AF7544"/>
    <w:rsid w:val="00B00C0E"/>
    <w:rsid w:val="00B01B1A"/>
    <w:rsid w:val="00B024CD"/>
    <w:rsid w:val="00B0381D"/>
    <w:rsid w:val="00B162DD"/>
    <w:rsid w:val="00B44A47"/>
    <w:rsid w:val="00B5706D"/>
    <w:rsid w:val="00B6113F"/>
    <w:rsid w:val="00B72CD3"/>
    <w:rsid w:val="00B72FFF"/>
    <w:rsid w:val="00BC3D36"/>
    <w:rsid w:val="00BC7C68"/>
    <w:rsid w:val="00BD4175"/>
    <w:rsid w:val="00BD4742"/>
    <w:rsid w:val="00BD54A6"/>
    <w:rsid w:val="00BD7F72"/>
    <w:rsid w:val="00BE228B"/>
    <w:rsid w:val="00BF7425"/>
    <w:rsid w:val="00C00F79"/>
    <w:rsid w:val="00C01610"/>
    <w:rsid w:val="00C03F30"/>
    <w:rsid w:val="00C04FB3"/>
    <w:rsid w:val="00C11D8B"/>
    <w:rsid w:val="00C15139"/>
    <w:rsid w:val="00C17086"/>
    <w:rsid w:val="00C330EB"/>
    <w:rsid w:val="00C47291"/>
    <w:rsid w:val="00C50D69"/>
    <w:rsid w:val="00C5365C"/>
    <w:rsid w:val="00C53B15"/>
    <w:rsid w:val="00C754BE"/>
    <w:rsid w:val="00C76B1C"/>
    <w:rsid w:val="00C76B5F"/>
    <w:rsid w:val="00C831EC"/>
    <w:rsid w:val="00C925AC"/>
    <w:rsid w:val="00C93DAC"/>
    <w:rsid w:val="00CB6357"/>
    <w:rsid w:val="00CC1B26"/>
    <w:rsid w:val="00D31DC0"/>
    <w:rsid w:val="00D361FD"/>
    <w:rsid w:val="00D423A2"/>
    <w:rsid w:val="00D44E26"/>
    <w:rsid w:val="00D520D8"/>
    <w:rsid w:val="00D63AC2"/>
    <w:rsid w:val="00D7383B"/>
    <w:rsid w:val="00D7788A"/>
    <w:rsid w:val="00D9033C"/>
    <w:rsid w:val="00DA231B"/>
    <w:rsid w:val="00DA71B3"/>
    <w:rsid w:val="00DC051E"/>
    <w:rsid w:val="00DC39FC"/>
    <w:rsid w:val="00DD24B2"/>
    <w:rsid w:val="00DF1C4B"/>
    <w:rsid w:val="00DF5254"/>
    <w:rsid w:val="00E00882"/>
    <w:rsid w:val="00E02524"/>
    <w:rsid w:val="00E16408"/>
    <w:rsid w:val="00E20894"/>
    <w:rsid w:val="00E245AB"/>
    <w:rsid w:val="00E2764C"/>
    <w:rsid w:val="00E27F2E"/>
    <w:rsid w:val="00E50AFE"/>
    <w:rsid w:val="00E75C92"/>
    <w:rsid w:val="00E771DC"/>
    <w:rsid w:val="00E8772A"/>
    <w:rsid w:val="00E90F6B"/>
    <w:rsid w:val="00E92C27"/>
    <w:rsid w:val="00EA02F5"/>
    <w:rsid w:val="00EA0E3D"/>
    <w:rsid w:val="00EA16FC"/>
    <w:rsid w:val="00EA5D59"/>
    <w:rsid w:val="00EC38A7"/>
    <w:rsid w:val="00EE1AA8"/>
    <w:rsid w:val="00EF41C4"/>
    <w:rsid w:val="00F23FEA"/>
    <w:rsid w:val="00F31EDC"/>
    <w:rsid w:val="00F32723"/>
    <w:rsid w:val="00F41C3E"/>
    <w:rsid w:val="00F462B3"/>
    <w:rsid w:val="00F5119A"/>
    <w:rsid w:val="00F5664F"/>
    <w:rsid w:val="00F666C4"/>
    <w:rsid w:val="00F76AFC"/>
    <w:rsid w:val="00FA47C0"/>
    <w:rsid w:val="00FB5DD1"/>
    <w:rsid w:val="00FB7920"/>
    <w:rsid w:val="00FC2B5D"/>
    <w:rsid w:val="00FE26DE"/>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apoveda@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openxmlformats.org/package/2006/metadata/core-properties"/>
    <ds:schemaRef ds:uri="http://purl.org/dc/elements/1.1/"/>
    <ds:schemaRef ds:uri="http://purl.org/dc/terms/"/>
    <ds:schemaRef ds:uri="http://schemas.microsoft.com/office/2006/documentManagement/types"/>
    <ds:schemaRef ds:uri="http://purl.org/dc/dcmitype/"/>
    <ds:schemaRef ds:uri="http://schemas.microsoft.com/office/infopath/2007/PartnerControls"/>
    <ds:schemaRef ds:uri="66e0e8f4-a3db-4751-88b2-15c075da91b6"/>
    <ds:schemaRef ds:uri="http://www.w3.org/XML/1998/namespace"/>
  </ds:schemaRefs>
</ds:datastoreItem>
</file>

<file path=customXml/itemProps2.xml><?xml version="1.0" encoding="utf-8"?>
<ds:datastoreItem xmlns:ds="http://schemas.openxmlformats.org/officeDocument/2006/customXml" ds:itemID="{6A22996F-44F3-4690-BC6F-8169801408A6}"/>
</file>

<file path=customXml/itemProps3.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20</Pages>
  <Words>6605</Words>
  <Characters>36332</Characters>
  <Application>Microsoft Office Word</Application>
  <DocSecurity>0</DocSecurity>
  <Lines>698</Lines>
  <Paragraphs>131</Paragraphs>
  <ScaleCrop>false</ScaleCrop>
  <Company/>
  <LinksUpToDate>false</LinksUpToDate>
  <CharactersWithSpaces>42806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2026-01-09T16:21:00Z</dcterms:created>
  <dcterms:modified xsi:type="dcterms:W3CDTF">2026-01-09T19:11:00Z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