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ECA3D" w14:textId="77777777" w:rsidR="003E157B" w:rsidRPr="00642EA6" w:rsidRDefault="003E157B" w:rsidP="003E157B">
      <w:pPr>
        <w:spacing w:after="0" w:line="240" w:lineRule="auto"/>
        <w:jc w:val="both"/>
        <w:rPr>
          <w:rFonts w:ascii="Verdana" w:eastAsia="Aptos" w:hAnsi="Verdana" w:cs="Times New Roman"/>
          <w:b/>
          <w:bCs/>
          <w:kern w:val="2"/>
          <w14:ligatures w14:val="standardContextual"/>
        </w:rPr>
      </w:pPr>
      <w:r w:rsidRPr="00642EA6">
        <w:rPr>
          <w:rFonts w:ascii="Verdana" w:eastAsia="Aptos" w:hAnsi="Verdana" w:cs="Times New Roman"/>
          <w:b/>
          <w:bCs/>
          <w:kern w:val="2"/>
          <w14:ligatures w14:val="standardContextual"/>
        </w:rPr>
        <w:t>ENTIDADES CON RÉGIMEN ESPECIAL DE CONTRATACIÓN – Deber de publicidad – SECOP II – Actividad contractual – Recursos públicos</w:t>
      </w:r>
    </w:p>
    <w:p w14:paraId="25817522" w14:textId="77777777" w:rsidR="003E157B" w:rsidRPr="00642EA6" w:rsidRDefault="003E157B" w:rsidP="003E157B">
      <w:pPr>
        <w:spacing w:after="0" w:line="278" w:lineRule="auto"/>
        <w:jc w:val="both"/>
        <w:rPr>
          <w:rFonts w:ascii="Verdana" w:eastAsia="Aptos" w:hAnsi="Verdana" w:cs="Times New Roman"/>
          <w:b/>
          <w:bCs/>
          <w:kern w:val="2"/>
          <w14:ligatures w14:val="standardContextual"/>
        </w:rPr>
      </w:pPr>
    </w:p>
    <w:p w14:paraId="72774D33" w14:textId="77777777" w:rsidR="003E157B" w:rsidRPr="00642EA6" w:rsidRDefault="003E157B" w:rsidP="003E157B">
      <w:pPr>
        <w:spacing w:after="0" w:line="240" w:lineRule="auto"/>
        <w:jc w:val="both"/>
        <w:rPr>
          <w:rFonts w:ascii="Verdana" w:eastAsia="Aptos" w:hAnsi="Verdana" w:cs="Times New Roman"/>
          <w:kern w:val="2"/>
          <w:sz w:val="20"/>
          <w:szCs w:val="20"/>
          <w14:ligatures w14:val="standardContextual"/>
        </w:rPr>
      </w:pPr>
      <w:r w:rsidRPr="00642EA6">
        <w:rPr>
          <w:rFonts w:ascii="Verdana" w:eastAsia="Aptos" w:hAnsi="Verdana" w:cs="Times New Roman"/>
          <w:kern w:val="2"/>
          <w:sz w:val="20"/>
          <w:szCs w:val="20"/>
          <w14:ligatures w14:val="standardContextual"/>
        </w:rPr>
        <w:t>[…] las Entidades Estatales, conforme al artículo 2.2.1.1.1.7.1 del Decreto 1082 de 2015, tienen la obligación de publicar en el SECOP “[…] los Documentos del Proceso y los actos administrativos del Proceso de Contratación, dentro de los tres (3) días siguientes a su expedición […]”. Sin embargo, en lo referente a las Entidades exceptuadas del EGCAP, es decir aquellas que se rigen por disposiciones especiales y el derecho privado, debe señalarse que en virtud de lo dispuesto en el artículo 53 de la Ley 2195 de 2022, mediante el cual se adiciona el artículo 13 a la Ley 1150 de 2007, asigna a dichas entidades la obligación de publicar los documentos relacionados con su actividad contractual en el SECOP II o la plataforma transaccional que haga sus veces.</w:t>
      </w:r>
    </w:p>
    <w:p w14:paraId="65D9920A" w14:textId="77777777" w:rsidR="003E157B" w:rsidRPr="00642EA6" w:rsidRDefault="003E157B" w:rsidP="003E157B">
      <w:pPr>
        <w:spacing w:after="0" w:line="278" w:lineRule="auto"/>
        <w:jc w:val="both"/>
        <w:rPr>
          <w:rFonts w:ascii="Verdana" w:eastAsia="Aptos" w:hAnsi="Verdana" w:cs="Times New Roman"/>
          <w:kern w:val="2"/>
          <w:sz w:val="20"/>
          <w:szCs w:val="20"/>
          <w14:ligatures w14:val="standardContextual"/>
        </w:rPr>
      </w:pPr>
      <w:r w:rsidRPr="00642EA6">
        <w:rPr>
          <w:rFonts w:ascii="Verdana" w:eastAsia="Aptos" w:hAnsi="Verdana" w:cs="Times New Roman"/>
          <w:kern w:val="2"/>
          <w:sz w:val="20"/>
          <w:szCs w:val="20"/>
          <w14:ligatures w14:val="standardContextual"/>
        </w:rPr>
        <w:t>[…]</w:t>
      </w:r>
    </w:p>
    <w:p w14:paraId="66C474DA" w14:textId="77777777" w:rsidR="003E157B" w:rsidRPr="00642EA6" w:rsidRDefault="003E157B" w:rsidP="003E157B">
      <w:pPr>
        <w:spacing w:after="0" w:line="240" w:lineRule="auto"/>
        <w:jc w:val="both"/>
        <w:rPr>
          <w:rFonts w:ascii="Verdana" w:eastAsia="Aptos" w:hAnsi="Verdana" w:cs="Times New Roman"/>
          <w:kern w:val="2"/>
          <w:sz w:val="20"/>
          <w:szCs w:val="20"/>
          <w14:ligatures w14:val="standardContextual"/>
        </w:rPr>
      </w:pPr>
      <w:r w:rsidRPr="00642EA6">
        <w:rPr>
          <w:rFonts w:ascii="Verdana" w:eastAsia="Aptos" w:hAnsi="Verdana" w:cs="Times New Roman"/>
          <w:kern w:val="2"/>
          <w:sz w:val="20"/>
          <w:szCs w:val="20"/>
          <w14:ligatures w14:val="standardContextual"/>
        </w:rPr>
        <w:t>[…]debe entenderse que la contratación a la que se refiere el artículo 53 de la Ley 2195 de 2024, es aquella realizada con recursos públicos, cuya información es la que debe publicarse en el SECOP II, acorde con la interpretación sistemática que permite armonizar la referida norma con todo el contexto normativo que establece que en dicha plataforma se debe publicar sólo la información relativa a la actividad contractual con dineros públicos. Así las cosas, la Agencia Nacional de Contratación Pública – Colombia Compra Eficiente considera que la modificación introducida por el artículo 53 de la Ley 2195 de 2022 no afecta la interpretación adoptada hasta el momento, en el sentido de que la publicación de la información oficial de la contratación en el SECOP II debe realizarse si los negocios jurídicos adelantados fueron financiados con recursos públicos.</w:t>
      </w:r>
    </w:p>
    <w:p w14:paraId="19C3CCA1" w14:textId="77777777" w:rsidR="003E157B" w:rsidRPr="00501236" w:rsidRDefault="003E157B" w:rsidP="003E157B">
      <w:pPr>
        <w:spacing w:after="0" w:line="240" w:lineRule="auto"/>
        <w:jc w:val="both"/>
        <w:rPr>
          <w:rFonts w:ascii="Verdana" w:eastAsia="Calibri" w:hAnsi="Verdana" w:cs="Arial"/>
          <w:sz w:val="20"/>
          <w:szCs w:val="20"/>
        </w:rPr>
      </w:pPr>
    </w:p>
    <w:p w14:paraId="74FD8CE1" w14:textId="77777777" w:rsidR="00616168" w:rsidRDefault="00616168" w:rsidP="00616168">
      <w:pPr>
        <w:spacing w:after="0" w:line="240" w:lineRule="auto"/>
        <w:jc w:val="both"/>
        <w:rPr>
          <w:rFonts w:ascii="Verdana" w:eastAsia="Calibri" w:hAnsi="Verdana" w:cs="Arial"/>
          <w:lang w:val="es-ES" w:eastAsia="es-ES"/>
        </w:rPr>
      </w:pPr>
    </w:p>
    <w:p w14:paraId="37758E60" w14:textId="77777777" w:rsidR="00E31648" w:rsidRDefault="00E31648" w:rsidP="00E6227E">
      <w:pPr>
        <w:spacing w:after="0" w:line="240" w:lineRule="auto"/>
        <w:rPr>
          <w:lang w:val="es-ES"/>
        </w:rPr>
      </w:pPr>
    </w:p>
    <w:p w14:paraId="4254937A" w14:textId="77777777" w:rsidR="00E31648" w:rsidRDefault="00E31648" w:rsidP="00E6227E">
      <w:pPr>
        <w:spacing w:after="0" w:line="240" w:lineRule="auto"/>
        <w:rPr>
          <w:lang w:val="es-ES"/>
        </w:rPr>
      </w:pPr>
    </w:p>
    <w:p w14:paraId="46375D3F" w14:textId="77777777" w:rsidR="00E31648" w:rsidRDefault="00E31648" w:rsidP="00E6227E">
      <w:pPr>
        <w:spacing w:after="0" w:line="240" w:lineRule="auto"/>
        <w:rPr>
          <w:lang w:val="es-ES"/>
        </w:rPr>
      </w:pPr>
    </w:p>
    <w:p w14:paraId="63DA0C5D" w14:textId="77777777" w:rsidR="003E157B" w:rsidRDefault="003E157B" w:rsidP="00E6227E">
      <w:pPr>
        <w:spacing w:after="0" w:line="240" w:lineRule="auto"/>
        <w:rPr>
          <w:lang w:val="es-ES"/>
        </w:rPr>
      </w:pPr>
    </w:p>
    <w:p w14:paraId="46239600" w14:textId="77777777" w:rsidR="003E157B" w:rsidRDefault="003E157B" w:rsidP="00E6227E">
      <w:pPr>
        <w:spacing w:after="0" w:line="240" w:lineRule="auto"/>
        <w:rPr>
          <w:lang w:val="es-ES"/>
        </w:rPr>
      </w:pPr>
    </w:p>
    <w:p w14:paraId="175DF48F" w14:textId="77777777" w:rsidR="003E157B" w:rsidRDefault="003E157B" w:rsidP="00E6227E">
      <w:pPr>
        <w:spacing w:after="0" w:line="240" w:lineRule="auto"/>
        <w:rPr>
          <w:lang w:val="es-ES"/>
        </w:rPr>
      </w:pPr>
    </w:p>
    <w:p w14:paraId="49DBB210" w14:textId="77777777" w:rsidR="003E157B" w:rsidRDefault="003E157B" w:rsidP="00E6227E">
      <w:pPr>
        <w:spacing w:after="0" w:line="240" w:lineRule="auto"/>
        <w:rPr>
          <w:lang w:val="es-ES"/>
        </w:rPr>
      </w:pPr>
    </w:p>
    <w:p w14:paraId="2FFB4877" w14:textId="77777777" w:rsidR="003E157B" w:rsidRDefault="003E157B" w:rsidP="00E6227E">
      <w:pPr>
        <w:spacing w:after="0" w:line="240" w:lineRule="auto"/>
        <w:rPr>
          <w:lang w:val="es-ES"/>
        </w:rPr>
      </w:pPr>
    </w:p>
    <w:p w14:paraId="6730526C" w14:textId="77777777" w:rsidR="003E157B" w:rsidRDefault="003E157B" w:rsidP="00E6227E">
      <w:pPr>
        <w:spacing w:after="0" w:line="240" w:lineRule="auto"/>
        <w:rPr>
          <w:lang w:val="es-ES"/>
        </w:rPr>
      </w:pPr>
    </w:p>
    <w:p w14:paraId="26746EA8" w14:textId="77777777" w:rsidR="003E157B" w:rsidRDefault="003E157B" w:rsidP="00E6227E">
      <w:pPr>
        <w:spacing w:after="0" w:line="240" w:lineRule="auto"/>
        <w:rPr>
          <w:lang w:val="es-ES"/>
        </w:rPr>
      </w:pPr>
    </w:p>
    <w:p w14:paraId="556BC9B8" w14:textId="77777777" w:rsidR="003E157B" w:rsidRDefault="003E157B" w:rsidP="00E6227E">
      <w:pPr>
        <w:spacing w:after="0" w:line="240" w:lineRule="auto"/>
        <w:rPr>
          <w:lang w:val="es-ES"/>
        </w:rPr>
      </w:pPr>
    </w:p>
    <w:p w14:paraId="1403E256" w14:textId="77777777" w:rsidR="003E157B" w:rsidRDefault="003E157B" w:rsidP="00E6227E">
      <w:pPr>
        <w:spacing w:after="0" w:line="240" w:lineRule="auto"/>
        <w:rPr>
          <w:lang w:val="es-ES"/>
        </w:rPr>
      </w:pPr>
    </w:p>
    <w:p w14:paraId="74BABC33" w14:textId="77777777" w:rsidR="003E157B" w:rsidRDefault="003E157B" w:rsidP="00E6227E">
      <w:pPr>
        <w:spacing w:after="0" w:line="240" w:lineRule="auto"/>
        <w:rPr>
          <w:lang w:val="es-ES"/>
        </w:rPr>
      </w:pPr>
    </w:p>
    <w:p w14:paraId="483F1521" w14:textId="77777777" w:rsidR="003E157B" w:rsidRDefault="003E157B" w:rsidP="00E6227E">
      <w:pPr>
        <w:spacing w:after="0" w:line="240" w:lineRule="auto"/>
        <w:rPr>
          <w:lang w:val="es-ES"/>
        </w:rPr>
      </w:pPr>
    </w:p>
    <w:p w14:paraId="0DC4DC0F" w14:textId="77777777" w:rsidR="003E157B" w:rsidRDefault="003E157B" w:rsidP="00E6227E">
      <w:pPr>
        <w:spacing w:after="0" w:line="240" w:lineRule="auto"/>
        <w:rPr>
          <w:lang w:val="es-ES"/>
        </w:rPr>
      </w:pPr>
    </w:p>
    <w:p w14:paraId="729DCF39" w14:textId="77777777" w:rsidR="003E157B" w:rsidRDefault="003E157B" w:rsidP="00E6227E">
      <w:pPr>
        <w:spacing w:after="0" w:line="240" w:lineRule="auto"/>
        <w:rPr>
          <w:lang w:val="es-ES"/>
        </w:rPr>
      </w:pPr>
    </w:p>
    <w:p w14:paraId="2794DEC4" w14:textId="77777777" w:rsidR="00E31648" w:rsidRDefault="00E31648" w:rsidP="00E6227E">
      <w:pPr>
        <w:spacing w:after="0" w:line="240" w:lineRule="auto"/>
        <w:rPr>
          <w:lang w:val="es-ES"/>
        </w:rPr>
      </w:pPr>
    </w:p>
    <w:p w14:paraId="5AA3A62D" w14:textId="77777777" w:rsidR="00E31648" w:rsidRDefault="00E31648" w:rsidP="00E6227E">
      <w:pPr>
        <w:spacing w:after="0" w:line="240" w:lineRule="auto"/>
        <w:rPr>
          <w:lang w:val="es-ES"/>
        </w:rPr>
      </w:pPr>
    </w:p>
    <w:p w14:paraId="32F54CC5" w14:textId="77777777" w:rsidR="00E31648" w:rsidRDefault="00E31648" w:rsidP="00E6227E">
      <w:pPr>
        <w:spacing w:after="0" w:line="240" w:lineRule="auto"/>
        <w:rPr>
          <w:lang w:val="es-ES"/>
        </w:rPr>
      </w:pPr>
    </w:p>
    <w:p w14:paraId="122D4385" w14:textId="77777777" w:rsidR="00E31648" w:rsidRDefault="00E31648" w:rsidP="00E6227E">
      <w:pPr>
        <w:spacing w:after="0" w:line="240" w:lineRule="auto"/>
        <w:rPr>
          <w:lang w:val="es-ES"/>
        </w:rPr>
      </w:pPr>
    </w:p>
    <w:p w14:paraId="49508F0D" w14:textId="1993BD73" w:rsidR="005B261C" w:rsidRPr="00E31648" w:rsidRDefault="00C562D4" w:rsidP="00E6227E">
      <w:pPr>
        <w:spacing w:after="0" w:line="240" w:lineRule="auto"/>
      </w:pPr>
      <w:r w:rsidRPr="00C562D4">
        <w:rPr>
          <w:rFonts w:ascii="Verdana" w:eastAsia="Calibri" w:hAnsi="Verdana" w:cs="Arial"/>
          <w:color w:val="000000" w:themeColor="text1"/>
        </w:rPr>
        <w:t xml:space="preserve">Bogotá D.C., </w:t>
      </w:r>
      <w:r w:rsidR="00096CB6">
        <w:rPr>
          <w:rFonts w:ascii="Verdana" w:eastAsia="Calibri" w:hAnsi="Verdana" w:cs="Arial"/>
          <w:color w:val="000000" w:themeColor="text1"/>
        </w:rPr>
        <w:t>3</w:t>
      </w:r>
      <w:r w:rsidR="001E4D2C">
        <w:rPr>
          <w:rFonts w:ascii="Verdana" w:eastAsia="Calibri" w:hAnsi="Verdana" w:cs="Arial"/>
          <w:color w:val="000000" w:themeColor="text1"/>
        </w:rPr>
        <w:t>1</w:t>
      </w:r>
      <w:r w:rsidRPr="00C562D4">
        <w:rPr>
          <w:rFonts w:ascii="Verdana" w:eastAsia="Calibri" w:hAnsi="Verdana" w:cs="Arial"/>
          <w:color w:val="000000" w:themeColor="text1"/>
        </w:rPr>
        <w:t xml:space="preserve"> de </w:t>
      </w:r>
      <w:r w:rsidR="00096CB6">
        <w:rPr>
          <w:rFonts w:ascii="Verdana" w:eastAsia="Calibri" w:hAnsi="Verdana" w:cs="Arial"/>
          <w:color w:val="000000" w:themeColor="text1"/>
        </w:rPr>
        <w:t>diciembre</w:t>
      </w:r>
      <w:r w:rsidRPr="00C562D4">
        <w:rPr>
          <w:rFonts w:ascii="Verdana" w:eastAsia="Calibri" w:hAnsi="Verdana" w:cs="Arial"/>
          <w:color w:val="000000" w:themeColor="text1"/>
        </w:rPr>
        <w:t xml:space="preserve"> de 2025</w:t>
      </w:r>
    </w:p>
    <w:p w14:paraId="328CC329" w14:textId="63903BC0" w:rsidR="005B261C" w:rsidRDefault="00B532AE" w:rsidP="00B532AE">
      <w:pPr>
        <w:spacing w:after="0" w:line="240" w:lineRule="auto"/>
        <w:ind w:left="5103"/>
        <w:jc w:val="both"/>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2F512D50" wp14:editId="58441381">
            <wp:extent cx="3048000" cy="9779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3048000" cy="977900"/>
                    </a:xfrm>
                    <a:prstGeom prst="rect">
                      <a:avLst/>
                    </a:prstGeom>
                  </pic:spPr>
                </pic:pic>
              </a:graphicData>
            </a:graphic>
          </wp:inline>
        </w:drawing>
      </w:r>
    </w:p>
    <w:p w14:paraId="5D27C2C6" w14:textId="574DD757" w:rsidR="005B261C" w:rsidRPr="00115E3D" w:rsidRDefault="005B261C" w:rsidP="005B261C">
      <w:pPr>
        <w:spacing w:after="0" w:line="240" w:lineRule="auto"/>
        <w:jc w:val="both"/>
        <w:rPr>
          <w:rFonts w:ascii="Verdana" w:eastAsia="Calibri" w:hAnsi="Verdana" w:cs="Arial"/>
          <w:color w:val="000000" w:themeColor="text1"/>
          <w:lang w:val="es-ES"/>
        </w:rPr>
      </w:pPr>
    </w:p>
    <w:p w14:paraId="59681FB0" w14:textId="77777777" w:rsidR="005B261C" w:rsidRPr="00115E3D" w:rsidRDefault="005B261C" w:rsidP="005B261C">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709C71AA" w14:textId="77777777" w:rsidR="007E403E" w:rsidRDefault="007E403E" w:rsidP="005B261C">
      <w:pPr>
        <w:spacing w:after="0" w:line="240" w:lineRule="auto"/>
        <w:rPr>
          <w:rFonts w:ascii="Verdana" w:eastAsia="Calibri" w:hAnsi="Verdana" w:cs="Arial"/>
          <w:b/>
          <w:bCs/>
          <w:color w:val="000000" w:themeColor="text1"/>
          <w:lang w:eastAsia="es-ES"/>
        </w:rPr>
      </w:pPr>
      <w:r w:rsidRPr="007E403E">
        <w:rPr>
          <w:rFonts w:ascii="Verdana" w:eastAsia="Calibri" w:hAnsi="Verdana" w:cs="Arial"/>
          <w:b/>
          <w:bCs/>
          <w:color w:val="000000" w:themeColor="text1"/>
          <w:lang w:eastAsia="es-ES"/>
        </w:rPr>
        <w:t>MAIRA ALEJANDRA LÓPEZ CAÑAVERAL</w:t>
      </w:r>
    </w:p>
    <w:p w14:paraId="402A1141" w14:textId="03023132" w:rsidR="007E403E" w:rsidRDefault="00000000" w:rsidP="005B261C">
      <w:pPr>
        <w:spacing w:after="0" w:line="240" w:lineRule="auto"/>
        <w:rPr>
          <w:rFonts w:ascii="Verdana" w:hAnsi="Verdana"/>
        </w:rPr>
      </w:pPr>
      <w:hyperlink r:id="rId12" w:history="1">
        <w:r w:rsidR="007E403E" w:rsidRPr="00703C22">
          <w:rPr>
            <w:rStyle w:val="Hipervnculo"/>
            <w:rFonts w:ascii="Verdana" w:hAnsi="Verdana"/>
          </w:rPr>
          <w:t>mairalejandralc@gmail.com</w:t>
        </w:r>
      </w:hyperlink>
    </w:p>
    <w:p w14:paraId="5D6398D3" w14:textId="280099E5" w:rsidR="005B261C" w:rsidRPr="00CB7ABE" w:rsidRDefault="007E403E" w:rsidP="005B261C">
      <w:pPr>
        <w:spacing w:after="0" w:line="240" w:lineRule="auto"/>
        <w:rPr>
          <w:rFonts w:ascii="Verdana" w:eastAsia="Calibri" w:hAnsi="Verdana" w:cs="Arial"/>
          <w:b/>
          <w:bCs/>
          <w:color w:val="000000" w:themeColor="text1"/>
          <w:lang w:eastAsia="es-ES"/>
        </w:rPr>
      </w:pPr>
      <w:r>
        <w:rPr>
          <w:rFonts w:ascii="Verdana" w:eastAsia="Calibri" w:hAnsi="Verdana" w:cs="Arial"/>
          <w:color w:val="000000" w:themeColor="text1"/>
          <w:lang w:eastAsia="es-ES"/>
        </w:rPr>
        <w:t>Itagüí (Antioquia)</w:t>
      </w:r>
    </w:p>
    <w:p w14:paraId="50EAC4DF" w14:textId="77777777" w:rsidR="005B261C" w:rsidRPr="00CB7ABE" w:rsidRDefault="005B261C" w:rsidP="005B261C">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5B261C" w:rsidRPr="00115E3D" w14:paraId="4695EBEF" w14:textId="77777777" w:rsidTr="00136DDB">
        <w:trPr>
          <w:trHeight w:val="615"/>
        </w:trPr>
        <w:tc>
          <w:tcPr>
            <w:tcW w:w="2270" w:type="dxa"/>
          </w:tcPr>
          <w:p w14:paraId="7138A810" w14:textId="77777777" w:rsidR="005B261C" w:rsidRPr="00CB7ABE" w:rsidRDefault="005B261C" w:rsidP="006F1A38">
            <w:pPr>
              <w:jc w:val="both"/>
              <w:rPr>
                <w:rFonts w:ascii="Verdana" w:eastAsia="Calibri" w:hAnsi="Verdana" w:cs="Arial"/>
                <w:b/>
                <w:bCs/>
                <w:color w:val="000000" w:themeColor="text1"/>
                <w:lang w:eastAsia="es-ES_tradnl"/>
              </w:rPr>
            </w:pPr>
          </w:p>
        </w:tc>
        <w:tc>
          <w:tcPr>
            <w:tcW w:w="6547" w:type="dxa"/>
          </w:tcPr>
          <w:p w14:paraId="25945537" w14:textId="2F86885E" w:rsidR="005B261C" w:rsidRPr="00115E3D" w:rsidRDefault="005B261C" w:rsidP="006F1A38">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sidR="00096CB6">
              <w:rPr>
                <w:rFonts w:ascii="Verdana" w:eastAsia="Calibri" w:hAnsi="Verdana" w:cs="Arial"/>
                <w:b/>
                <w:bCs/>
                <w:color w:val="000000" w:themeColor="text1"/>
                <w:lang w:val="es-ES" w:eastAsia="es-ES"/>
              </w:rPr>
              <w:t>1</w:t>
            </w:r>
            <w:r w:rsidR="007E403E">
              <w:rPr>
                <w:rFonts w:ascii="Verdana" w:eastAsia="Calibri" w:hAnsi="Verdana" w:cs="Arial"/>
                <w:b/>
                <w:bCs/>
                <w:color w:val="000000" w:themeColor="text1"/>
                <w:lang w:val="es-ES" w:eastAsia="es-ES"/>
              </w:rPr>
              <w:t xml:space="preserve">811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5</w:t>
            </w:r>
          </w:p>
        </w:tc>
      </w:tr>
      <w:tr w:rsidR="005B261C" w:rsidRPr="007E403E" w14:paraId="5710482D" w14:textId="77777777" w:rsidTr="00B14DA5">
        <w:trPr>
          <w:trHeight w:val="1071"/>
        </w:trPr>
        <w:tc>
          <w:tcPr>
            <w:tcW w:w="2270" w:type="dxa"/>
          </w:tcPr>
          <w:p w14:paraId="0088F836" w14:textId="77777777" w:rsidR="005B261C" w:rsidRPr="00115E3D" w:rsidRDefault="005B261C" w:rsidP="006F1A38">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547" w:type="dxa"/>
          </w:tcPr>
          <w:p w14:paraId="174F44D4" w14:textId="6A3DD13F" w:rsidR="00DE2467" w:rsidRPr="007E403E" w:rsidRDefault="003E157B" w:rsidP="006F1A38">
            <w:pPr>
              <w:spacing w:line="276" w:lineRule="auto"/>
              <w:jc w:val="both"/>
              <w:rPr>
                <w:rFonts w:ascii="Verdana" w:eastAsia="Calibri" w:hAnsi="Verdana" w:cs="Arial"/>
                <w:color w:val="000000" w:themeColor="text1"/>
                <w:highlight w:val="yellow"/>
                <w:lang w:val="es-ES" w:eastAsia="es-ES"/>
              </w:rPr>
            </w:pPr>
            <w:r w:rsidRPr="00501236">
              <w:rPr>
                <w:rFonts w:ascii="Verdana" w:eastAsia="Calibri" w:hAnsi="Verdana" w:cs="Arial"/>
                <w:lang w:val="es-ES" w:eastAsia="es-ES"/>
              </w:rPr>
              <w:t>ENTIDADES CON RÉGIMEN ESPECIAL DE CONTRATACIÓN – Deber de publicidad – SECOP II – Actividad contractual – Recursos públicos</w:t>
            </w:r>
            <w:r w:rsidRPr="007E403E">
              <w:rPr>
                <w:rFonts w:ascii="Verdana" w:eastAsia="Calibri" w:hAnsi="Verdana" w:cs="Arial"/>
                <w:color w:val="000000" w:themeColor="text1"/>
                <w:highlight w:val="yellow"/>
                <w:lang w:val="es-ES" w:eastAsia="es-ES"/>
              </w:rPr>
              <w:t xml:space="preserve"> </w:t>
            </w:r>
          </w:p>
        </w:tc>
      </w:tr>
      <w:tr w:rsidR="005B261C" w:rsidRPr="00115E3D" w14:paraId="2F32F98A" w14:textId="77777777" w:rsidTr="00B14DA5">
        <w:trPr>
          <w:trHeight w:val="653"/>
        </w:trPr>
        <w:tc>
          <w:tcPr>
            <w:tcW w:w="2270" w:type="dxa"/>
          </w:tcPr>
          <w:p w14:paraId="26ADCFA9" w14:textId="43D11C53" w:rsidR="005B261C" w:rsidRPr="00CB7ABE" w:rsidRDefault="005B261C" w:rsidP="006F1A38">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2BEDD0C" w14:textId="33398D95" w:rsidR="005B261C" w:rsidRPr="00CB7ABE" w:rsidRDefault="005B261C" w:rsidP="00DA4396">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sidR="00DA4396">
              <w:rPr>
                <w:rFonts w:ascii="Verdana" w:eastAsia="Calibri" w:hAnsi="Verdana" w:cs="Arial"/>
                <w:color w:val="000000" w:themeColor="text1"/>
                <w:lang w:val="es-ES_tradnl" w:eastAsia="es-ES_tradnl"/>
              </w:rPr>
              <w:t xml:space="preserve"> </w:t>
            </w:r>
            <w:proofErr w:type="spellStart"/>
            <w:r w:rsidR="00B14DA5">
              <w:rPr>
                <w:rFonts w:ascii="Verdana" w:eastAsia="Calibri" w:hAnsi="Verdana" w:cs="Arial"/>
                <w:color w:val="000000" w:themeColor="text1"/>
                <w:lang w:val="es-ES_tradnl" w:eastAsia="es-ES_tradnl"/>
              </w:rPr>
              <w:t>Nº</w:t>
            </w:r>
            <w:proofErr w:type="spellEnd"/>
            <w:r w:rsidR="00DA4396">
              <w:rPr>
                <w:rFonts w:ascii="Verdana" w:eastAsia="Calibri" w:hAnsi="Verdana" w:cs="Arial"/>
                <w:color w:val="000000" w:themeColor="text1"/>
                <w:lang w:val="es-ES_tradnl" w:eastAsia="es-ES_tradnl"/>
              </w:rPr>
              <w:t xml:space="preserve"> </w:t>
            </w:r>
            <w:r w:rsidR="007E403E" w:rsidRPr="007E403E">
              <w:rPr>
                <w:rFonts w:ascii="Verdana" w:hAnsi="Verdana"/>
                <w:color w:val="000000"/>
              </w:rPr>
              <w:t>1_2025_12_10_013874</w:t>
            </w:r>
          </w:p>
        </w:tc>
      </w:tr>
    </w:tbl>
    <w:p w14:paraId="676D17D4" w14:textId="77777777" w:rsidR="005B261C" w:rsidRPr="00115E3D" w:rsidRDefault="005B261C" w:rsidP="005B261C">
      <w:pPr>
        <w:spacing w:after="0" w:line="240" w:lineRule="auto"/>
        <w:jc w:val="both"/>
        <w:rPr>
          <w:rFonts w:ascii="Verdana" w:eastAsia="Calibri" w:hAnsi="Verdana" w:cs="Arial"/>
          <w:color w:val="000000" w:themeColor="text1"/>
          <w:lang w:val="es-ES_tradnl" w:eastAsia="es-ES_tradnl"/>
        </w:rPr>
      </w:pPr>
    </w:p>
    <w:p w14:paraId="5F37FB94" w14:textId="3091B0E3"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sidR="001E4D2C">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sidR="001E4D2C">
        <w:rPr>
          <w:rFonts w:ascii="Verdana" w:eastAsia="Calibri" w:hAnsi="Verdana" w:cs="Arial"/>
          <w:color w:val="000000" w:themeColor="text1"/>
          <w:lang w:val="es-ES" w:eastAsia="es-ES"/>
        </w:rPr>
        <w:t>a</w:t>
      </w:r>
      <w:r>
        <w:rPr>
          <w:rFonts w:ascii="Verdana" w:eastAsia="Calibri" w:hAnsi="Verdana" w:cs="Arial"/>
          <w:color w:val="000000" w:themeColor="text1"/>
          <w:lang w:val="es-ES" w:eastAsia="es-ES"/>
        </w:rPr>
        <w:t xml:space="preserve"> </w:t>
      </w:r>
      <w:r w:rsidR="007E403E" w:rsidRPr="007E403E">
        <w:rPr>
          <w:rFonts w:ascii="Verdana" w:eastAsia="Calibri" w:hAnsi="Verdana" w:cs="Arial"/>
          <w:color w:val="000000" w:themeColor="text1"/>
          <w:lang w:val="es-ES" w:eastAsia="es-ES"/>
        </w:rPr>
        <w:t>López</w:t>
      </w:r>
      <w:r w:rsidR="001E4D2C">
        <w:rPr>
          <w:rFonts w:ascii="Verdana" w:eastAsia="Calibri" w:hAnsi="Verdana" w:cs="Arial"/>
          <w:color w:val="000000" w:themeColor="text1"/>
          <w:lang w:val="es-ES" w:eastAsia="es-ES"/>
        </w:rPr>
        <w:t>;</w:t>
      </w:r>
    </w:p>
    <w:p w14:paraId="01BB3543" w14:textId="77777777" w:rsidR="005B261C" w:rsidRPr="00115E3D" w:rsidRDefault="005B261C" w:rsidP="005B261C">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5F6EC50" w14:textId="5FD25B63"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w:t>
      </w:r>
      <w:r w:rsidR="00096CB6">
        <w:rPr>
          <w:rFonts w:ascii="Verdana" w:eastAsia="Calibri" w:hAnsi="Verdana" w:cs="Arial"/>
          <w:color w:val="000000" w:themeColor="text1"/>
          <w:lang w:val="es-ES" w:eastAsia="es-ES"/>
        </w:rPr>
        <w:t xml:space="preserve">radicada en esta entidad el </w:t>
      </w:r>
      <w:r w:rsidR="001E4D2C">
        <w:rPr>
          <w:rFonts w:ascii="Verdana" w:eastAsia="Calibri" w:hAnsi="Verdana" w:cs="Arial"/>
          <w:color w:val="000000" w:themeColor="text1"/>
          <w:lang w:val="es-ES" w:eastAsia="es-ES"/>
        </w:rPr>
        <w:t>04</w:t>
      </w:r>
      <w:r w:rsidR="00096CB6">
        <w:rPr>
          <w:rFonts w:ascii="Verdana" w:eastAsia="Calibri" w:hAnsi="Verdana" w:cs="Arial"/>
          <w:color w:val="000000" w:themeColor="text1"/>
          <w:lang w:val="es-ES" w:eastAsia="es-ES"/>
        </w:rPr>
        <w:t xml:space="preserve"> de </w:t>
      </w:r>
      <w:r w:rsidR="001E4D2C">
        <w:rPr>
          <w:rFonts w:ascii="Verdana" w:eastAsia="Calibri" w:hAnsi="Verdana" w:cs="Arial"/>
          <w:color w:val="000000" w:themeColor="text1"/>
          <w:lang w:val="es-ES" w:eastAsia="es-ES"/>
        </w:rPr>
        <w:t>diciembre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3200577B" w14:textId="77777777" w:rsidR="0099297C" w:rsidRDefault="0099297C" w:rsidP="00096CB6">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bookmarkEnd w:id="0"/>
    <w:p w14:paraId="2BE1D7F9" w14:textId="78A3FFB6" w:rsidR="005B261C" w:rsidRDefault="001E4D2C" w:rsidP="001E4D2C">
      <w:pPr>
        <w:spacing w:after="0" w:line="240" w:lineRule="auto"/>
        <w:ind w:left="709" w:right="709"/>
        <w:jc w:val="both"/>
        <w:rPr>
          <w:rFonts w:ascii="Verdana" w:eastAsia="Century Gothic" w:hAnsi="Verdana" w:cs="Century Gothic"/>
          <w:i/>
          <w:iCs/>
          <w:color w:val="000000" w:themeColor="text1"/>
          <w:sz w:val="20"/>
          <w:szCs w:val="20"/>
          <w:lang w:val="es-ES"/>
        </w:rPr>
      </w:pPr>
      <w:r>
        <w:rPr>
          <w:rFonts w:ascii="Verdana" w:eastAsia="Century Gothic" w:hAnsi="Verdana" w:cs="Century Gothic"/>
          <w:i/>
          <w:iCs/>
          <w:color w:val="000000" w:themeColor="text1"/>
          <w:sz w:val="20"/>
          <w:szCs w:val="20"/>
          <w:lang w:val="es-ES"/>
        </w:rPr>
        <w:t>“</w:t>
      </w:r>
    </w:p>
    <w:p w14:paraId="358C201E" w14:textId="77777777" w:rsidR="007E403E" w:rsidRDefault="007E403E" w:rsidP="007E403E">
      <w:pPr>
        <w:spacing w:after="0" w:line="240" w:lineRule="auto"/>
        <w:ind w:left="709" w:right="709"/>
        <w:jc w:val="both"/>
        <w:rPr>
          <w:rFonts w:ascii="Verdana" w:eastAsia="Century Gothic" w:hAnsi="Verdana" w:cs="Century Gothic"/>
          <w:i/>
          <w:iCs/>
          <w:color w:val="000000" w:themeColor="text1"/>
          <w:sz w:val="20"/>
          <w:szCs w:val="20"/>
        </w:rPr>
      </w:pPr>
      <w:r w:rsidRPr="007E403E">
        <w:rPr>
          <w:rFonts w:ascii="Verdana" w:eastAsia="Century Gothic" w:hAnsi="Verdana" w:cs="Century Gothic"/>
          <w:i/>
          <w:iCs/>
          <w:color w:val="000000" w:themeColor="text1"/>
          <w:sz w:val="20"/>
          <w:szCs w:val="20"/>
        </w:rPr>
        <w:t>Respetados señores de CCE: En atención a las facultades de orientación normativa</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y técnica en materia de contratación estatal atribuidas a esa Agencia Nacional de</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Contratación Pública, y considerando la importancia de garantizar la correcta</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implementación de los lineamientos establecidos en la Ley 2195 de 2022, me</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permito elevar la siguiente consulta jurídica, con el fin de obtener un criterio</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institucional que oriente las decisiones operativas y procedimentales de la ESU en</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la adopción del SECOP II, para determinar si ¿Es jurídicamente viable que una</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entidad pública de régimen especial firme el contrato inicial mediante contrato</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 xml:space="preserve">electrónico en el SECOP </w:t>
      </w:r>
      <w:r w:rsidRPr="007E403E">
        <w:rPr>
          <w:rFonts w:ascii="Verdana" w:eastAsia="Century Gothic" w:hAnsi="Verdana" w:cs="Century Gothic"/>
          <w:i/>
          <w:iCs/>
          <w:color w:val="000000" w:themeColor="text1"/>
          <w:sz w:val="20"/>
          <w:szCs w:val="20"/>
        </w:rPr>
        <w:lastRenderedPageBreak/>
        <w:t>II, y suscriba las modificaciones contractuales por fuera de</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la plataforma — con firma manuscrita o digital externa — siempre que estas</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modificaciones se publiquen en el módulo de ejecución para dar cumplimiento al</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principio de publicidad establecido en el artículo 53 de la Ley 2195 de 2022? Se</w:t>
      </w:r>
      <w:r>
        <w:rPr>
          <w:rFonts w:ascii="Verdana" w:eastAsia="Century Gothic" w:hAnsi="Verdana" w:cs="Century Gothic"/>
          <w:i/>
          <w:iCs/>
          <w:color w:val="000000" w:themeColor="text1"/>
          <w:sz w:val="20"/>
          <w:szCs w:val="20"/>
        </w:rPr>
        <w:t xml:space="preserve"> </w:t>
      </w:r>
      <w:r w:rsidRPr="007E403E">
        <w:rPr>
          <w:rFonts w:ascii="Verdana" w:eastAsia="Century Gothic" w:hAnsi="Verdana" w:cs="Century Gothic"/>
          <w:i/>
          <w:iCs/>
          <w:color w:val="000000" w:themeColor="text1"/>
          <w:sz w:val="20"/>
          <w:szCs w:val="20"/>
        </w:rPr>
        <w:t>adjunta Comunicado, Mil gracias!</w:t>
      </w:r>
      <w:r>
        <w:rPr>
          <w:rFonts w:ascii="Verdana" w:eastAsia="Century Gothic" w:hAnsi="Verdana" w:cs="Century Gothic"/>
          <w:i/>
          <w:iCs/>
          <w:color w:val="000000" w:themeColor="text1"/>
          <w:sz w:val="20"/>
          <w:szCs w:val="20"/>
        </w:rPr>
        <w:t>"</w:t>
      </w:r>
    </w:p>
    <w:p w14:paraId="059A9D4E" w14:textId="12B49A32" w:rsidR="005B261C" w:rsidRDefault="005B261C" w:rsidP="00131F6C">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40807FA" w14:textId="77777777" w:rsidR="007E403E" w:rsidRPr="00115E3D" w:rsidRDefault="007E403E" w:rsidP="007E403E">
      <w:pPr>
        <w:spacing w:after="0" w:line="240" w:lineRule="auto"/>
        <w:ind w:right="49"/>
        <w:jc w:val="both"/>
        <w:rPr>
          <w:rFonts w:ascii="Verdana" w:eastAsia="Calibri" w:hAnsi="Verdana" w:cs="Arial"/>
          <w:color w:val="000000" w:themeColor="text1"/>
          <w:szCs w:val="24"/>
          <w:lang w:val="es-ES_tradnl" w:eastAsia="es-ES_tradnl"/>
        </w:rPr>
      </w:pPr>
    </w:p>
    <w:p w14:paraId="17917103" w14:textId="610BBADD"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009E7E8C">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41A931FE" w14:textId="77777777"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p>
    <w:p w14:paraId="12EFB61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1286705" w14:textId="77777777" w:rsidR="005B261C" w:rsidRPr="00115E3D" w:rsidRDefault="005B261C" w:rsidP="005B261C">
      <w:pPr>
        <w:tabs>
          <w:tab w:val="left" w:pos="426"/>
        </w:tabs>
        <w:spacing w:after="0" w:line="276" w:lineRule="auto"/>
        <w:jc w:val="both"/>
        <w:rPr>
          <w:rFonts w:ascii="Verdana" w:eastAsia="Century Gothic" w:hAnsi="Verdana" w:cs="Century Gothic"/>
          <w:color w:val="000000" w:themeColor="text1"/>
          <w:lang w:val="es-ES"/>
        </w:rPr>
      </w:pPr>
    </w:p>
    <w:p w14:paraId="16661856" w14:textId="06471066" w:rsidR="00131F6C" w:rsidRDefault="005B261C" w:rsidP="0029110A">
      <w:pPr>
        <w:spacing w:after="0" w:line="276" w:lineRule="auto"/>
        <w:jc w:val="both"/>
        <w:rPr>
          <w:rFonts w:ascii="Verdana" w:eastAsia="Century Gothic" w:hAnsi="Verdana" w:cs="Century Gothic"/>
          <w:i/>
          <w:iCs/>
        </w:rPr>
      </w:pPr>
      <w:r w:rsidRPr="00115E3D">
        <w:rPr>
          <w:rFonts w:ascii="Verdana" w:eastAsia="Century Gothic" w:hAnsi="Verdana" w:cs="Century Gothic"/>
          <w:color w:val="000000" w:themeColor="text1"/>
        </w:rPr>
        <w:t xml:space="preserve">De acuerdo con el contenido de su solicitud, esta Agencia resolverá el </w:t>
      </w:r>
      <w:r w:rsidR="009E7E8C" w:rsidRPr="00115E3D">
        <w:rPr>
          <w:rFonts w:ascii="Verdana" w:eastAsia="Century Gothic" w:hAnsi="Verdana" w:cs="Century Gothic"/>
          <w:color w:val="000000" w:themeColor="text1"/>
        </w:rPr>
        <w:t>siguiente problema</w:t>
      </w:r>
      <w:r w:rsidRPr="00115E3D">
        <w:rPr>
          <w:rFonts w:ascii="Verdana" w:eastAsia="Century Gothic" w:hAnsi="Verdana" w:cs="Century Gothic"/>
          <w:color w:val="000000" w:themeColor="text1"/>
        </w:rPr>
        <w:t xml:space="preserve"> jurídico:</w:t>
      </w:r>
      <w:r w:rsidR="00946693" w:rsidRPr="00946693">
        <w:t xml:space="preserve"> </w:t>
      </w:r>
      <w:r w:rsidR="00946693" w:rsidRPr="00946693">
        <w:rPr>
          <w:rFonts w:ascii="Verdana" w:eastAsia="Century Gothic" w:hAnsi="Verdana" w:cs="Century Gothic"/>
          <w:color w:val="000000" w:themeColor="text1"/>
        </w:rPr>
        <w:t xml:space="preserve">¿Puede una entidad pública con régimen especial celebrar el contrato en el SECOP II y suscribir sus modificaciones por fuera de la plataforma, siempre que estas se publiquen </w:t>
      </w:r>
      <w:r w:rsidR="00946693">
        <w:rPr>
          <w:rFonts w:ascii="Verdana" w:eastAsia="Century Gothic" w:hAnsi="Verdana" w:cs="Century Gothic"/>
          <w:color w:val="000000" w:themeColor="text1"/>
        </w:rPr>
        <w:t>posteriormente en la misma</w:t>
      </w:r>
      <w:r w:rsidR="00946693" w:rsidRPr="00946693">
        <w:rPr>
          <w:rFonts w:ascii="Verdana" w:eastAsia="Century Gothic" w:hAnsi="Verdana" w:cs="Century Gothic"/>
          <w:color w:val="000000" w:themeColor="text1"/>
        </w:rPr>
        <w:t>?</w:t>
      </w:r>
    </w:p>
    <w:p w14:paraId="08390F5A" w14:textId="77777777" w:rsidR="00606398" w:rsidRDefault="00606398" w:rsidP="0029110A">
      <w:pPr>
        <w:spacing w:after="0" w:line="276" w:lineRule="auto"/>
        <w:jc w:val="both"/>
        <w:rPr>
          <w:rFonts w:ascii="Verdana" w:eastAsia="Century Gothic" w:hAnsi="Verdana" w:cs="Century Gothic"/>
          <w:color w:val="000000" w:themeColor="text1"/>
        </w:rPr>
      </w:pPr>
    </w:p>
    <w:p w14:paraId="5609B135"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CE01E29"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261C" w:rsidRPr="00115E3D" w14:paraId="704DD47E" w14:textId="77777777" w:rsidTr="006D0D53">
        <w:trPr>
          <w:trHeight w:val="774"/>
        </w:trPr>
        <w:tc>
          <w:tcPr>
            <w:tcW w:w="8828" w:type="dxa"/>
          </w:tcPr>
          <w:p w14:paraId="2FB265A7" w14:textId="66B72E9C" w:rsidR="00946693" w:rsidRPr="00946693" w:rsidRDefault="009E7E8C" w:rsidP="00946693">
            <w:pPr>
              <w:spacing w:line="276" w:lineRule="auto"/>
              <w:jc w:val="both"/>
              <w:rPr>
                <w:rFonts w:ascii="Verdana" w:eastAsia="Calibri" w:hAnsi="Verdana" w:cs="Arial"/>
              </w:rPr>
            </w:pPr>
            <w:r>
              <w:rPr>
                <w:rFonts w:ascii="Verdana" w:eastAsia="Calibri" w:hAnsi="Verdana" w:cs="Arial"/>
              </w:rPr>
              <w:t xml:space="preserve"> </w:t>
            </w:r>
            <w:r w:rsidR="00956B73">
              <w:rPr>
                <w:rFonts w:ascii="Verdana" w:eastAsia="Calibri" w:hAnsi="Verdana" w:cs="Arial"/>
              </w:rPr>
              <w:t xml:space="preserve">      </w:t>
            </w:r>
            <w:r w:rsidR="006D0D53">
              <w:rPr>
                <w:rFonts w:ascii="Verdana" w:eastAsia="Calibri" w:hAnsi="Verdana" w:cs="Arial"/>
              </w:rPr>
              <w:t xml:space="preserve">   </w:t>
            </w:r>
            <w:r w:rsidR="00946693" w:rsidRPr="00946693">
              <w:rPr>
                <w:rFonts w:ascii="Verdana" w:eastAsia="Calibri" w:hAnsi="Verdana" w:cs="Arial"/>
              </w:rPr>
              <w:t xml:space="preserve">De conformidad con el artículo 13 de la Ley 1150 de 2007, modificado por el artículo 53 de la Ley 2195 de 2022, las entidades de régimen especial se encuentran obligadas a realizar la publicación de la actividad contractual que se financie con recursos públicos a través del SECOP II. Este mandato </w:t>
            </w:r>
            <w:r w:rsidR="00946693" w:rsidRPr="00946693">
              <w:rPr>
                <w:rFonts w:ascii="Verdana" w:eastAsia="Calibri" w:hAnsi="Verdana" w:cs="Arial"/>
              </w:rPr>
              <w:lastRenderedPageBreak/>
              <w:t xml:space="preserve">legal busca garantizar la transparencia y el acceso a la información pública, obligando a estas entidades a cargar todos los documentos de su gestión, desde la etapa precontractual hasta la </w:t>
            </w:r>
            <w:proofErr w:type="spellStart"/>
            <w:r w:rsidR="00946693" w:rsidRPr="00946693">
              <w:rPr>
                <w:rFonts w:ascii="Verdana" w:eastAsia="Calibri" w:hAnsi="Verdana" w:cs="Arial"/>
              </w:rPr>
              <w:t>postcontractual</w:t>
            </w:r>
            <w:proofErr w:type="spellEnd"/>
            <w:r w:rsidR="00946693" w:rsidRPr="00946693">
              <w:rPr>
                <w:rFonts w:ascii="Verdana" w:eastAsia="Calibri" w:hAnsi="Verdana" w:cs="Arial"/>
              </w:rPr>
              <w:t>, sin que sea válido el uso exclusivo de portales propios.</w:t>
            </w:r>
          </w:p>
          <w:p w14:paraId="16B71D14" w14:textId="0B212139" w:rsidR="00946693" w:rsidRPr="00946693" w:rsidRDefault="00946693" w:rsidP="00946693">
            <w:pPr>
              <w:spacing w:line="276" w:lineRule="auto"/>
              <w:jc w:val="both"/>
              <w:rPr>
                <w:rFonts w:ascii="Verdana" w:eastAsia="Calibri" w:hAnsi="Verdana" w:cs="Arial"/>
              </w:rPr>
            </w:pPr>
            <w:r>
              <w:rPr>
                <w:rFonts w:ascii="Verdana" w:eastAsia="Calibri" w:hAnsi="Verdana" w:cs="Arial"/>
              </w:rPr>
              <w:t xml:space="preserve">            Ahora bien, en atención al problema jurídico planteado </w:t>
            </w:r>
            <w:r w:rsidRPr="00946693">
              <w:rPr>
                <w:rFonts w:ascii="Verdana" w:eastAsia="Calibri" w:hAnsi="Verdana" w:cs="Arial"/>
              </w:rPr>
              <w:t>y en concordancia con la Circular Externa de Colombia Compra Eficiente del 23 de agosto de 2024</w:t>
            </w:r>
            <w:r>
              <w:rPr>
                <w:rStyle w:val="Refdenotaalpie"/>
                <w:rFonts w:ascii="Verdana" w:eastAsia="Calibri" w:hAnsi="Verdana" w:cs="Arial"/>
              </w:rPr>
              <w:footnoteReference w:id="2"/>
            </w:r>
            <w:r w:rsidR="00B30302">
              <w:rPr>
                <w:rFonts w:ascii="Verdana" w:eastAsia="Calibri" w:hAnsi="Verdana" w:cs="Arial"/>
              </w:rPr>
              <w:t xml:space="preserve"> y el concepto C-402 del 07 de mayo de 2025 expedido por esta Subdirección Contractual</w:t>
            </w:r>
            <w:r w:rsidRPr="00946693">
              <w:rPr>
                <w:rFonts w:ascii="Verdana" w:eastAsia="Calibri" w:hAnsi="Verdana" w:cs="Arial"/>
              </w:rPr>
              <w:t>, es jurídicamente viable que una entidad de régimen especial suscriba modificaciones o adendas fuera de la plataforma (mediante firma manuscrita o digital externa), siempre que estas se publiquen en el SECOP II dentro de los tres (3) días siguientes a su expedición. Esta posibilidad de "firma externa" es una de las opciones de cumplimiento validadas por el ente rector, permitiendo que la validez del acuerdo se sustente en la autonomía de la voluntad</w:t>
            </w:r>
            <w:r w:rsidR="00420D97">
              <w:rPr>
                <w:rFonts w:ascii="Verdana" w:eastAsia="Calibri" w:hAnsi="Verdana" w:cs="Arial"/>
              </w:rPr>
              <w:t>.</w:t>
            </w:r>
          </w:p>
          <w:p w14:paraId="09E343B0" w14:textId="77777777" w:rsidR="00946693" w:rsidRPr="00946693" w:rsidRDefault="00946693" w:rsidP="00946693">
            <w:pPr>
              <w:spacing w:line="276" w:lineRule="auto"/>
              <w:jc w:val="both"/>
              <w:rPr>
                <w:rFonts w:ascii="Verdana" w:eastAsia="Calibri" w:hAnsi="Verdana" w:cs="Arial"/>
              </w:rPr>
            </w:pPr>
          </w:p>
          <w:p w14:paraId="31AC2A83" w14:textId="4292BBA7" w:rsidR="006D0D53" w:rsidRDefault="006D0D53" w:rsidP="00946693">
            <w:pPr>
              <w:spacing w:line="276" w:lineRule="auto"/>
              <w:jc w:val="both"/>
              <w:rPr>
                <w:rFonts w:ascii="Verdana" w:eastAsia="Calibri" w:hAnsi="Verdana" w:cs="Arial"/>
              </w:rPr>
            </w:pPr>
            <w:r>
              <w:rPr>
                <w:rFonts w:ascii="Verdana" w:eastAsia="Calibri" w:hAnsi="Verdana" w:cs="Arial"/>
              </w:rPr>
              <w:t xml:space="preserve">             Así las cosas</w:t>
            </w:r>
            <w:r w:rsidR="00946693" w:rsidRPr="00946693">
              <w:rPr>
                <w:rFonts w:ascii="Verdana" w:eastAsia="Calibri" w:hAnsi="Verdana" w:cs="Arial"/>
              </w:rPr>
              <w:t>, la entidad puede perfeccionar el contrato inicial de forma electrónica y realizar sus modificaciones de forma externa, siempre que no se rompa el deber de publicidad. Al cargar el documento escaneado en el módulo de ejecución dentro del término legal, se satisface la exigencia de la Ley 2195 de 2022, manteniendo la integridad del expediente electrónico y cumpliendo con el principio de juridicidad que rige la contratación pública en Colombia.</w:t>
            </w:r>
          </w:p>
          <w:p w14:paraId="4134385F" w14:textId="77777777" w:rsidR="006D0D53" w:rsidRDefault="006D0D53" w:rsidP="00946693">
            <w:pPr>
              <w:spacing w:line="276" w:lineRule="auto"/>
              <w:jc w:val="both"/>
              <w:rPr>
                <w:rFonts w:ascii="Verdana" w:eastAsia="Calibri" w:hAnsi="Verdana" w:cs="Arial"/>
              </w:rPr>
            </w:pPr>
          </w:p>
          <w:p w14:paraId="7DB60515" w14:textId="21DF641E" w:rsidR="006D0D53" w:rsidRDefault="006D0D53" w:rsidP="00946693">
            <w:pPr>
              <w:spacing w:line="276" w:lineRule="auto"/>
              <w:jc w:val="both"/>
              <w:rPr>
                <w:rFonts w:ascii="Verdana" w:eastAsia="Calibri" w:hAnsi="Verdana" w:cs="Arial"/>
              </w:rPr>
            </w:pPr>
            <w:r>
              <w:rPr>
                <w:rFonts w:ascii="Verdana" w:eastAsia="Calibri" w:hAnsi="Verdana" w:cs="Arial"/>
              </w:rPr>
              <w:t xml:space="preserve">         De igual manera</w:t>
            </w:r>
            <w:r w:rsidRPr="006D0D53">
              <w:rPr>
                <w:rFonts w:ascii="Verdana" w:eastAsia="Calibri" w:hAnsi="Verdana" w:cs="Arial"/>
              </w:rPr>
              <w:t xml:space="preserve"> se recomienda la consulta detallada de la Circular Externa No. 002 de 2024, expedida por la Agencia Nacional de Contratación Pública – Colombia Compra Eficiente. Este documento técnico es el instrumento vigente que imparte las directrices definitivas sobre los términos, condiciones y opciones de cumplimiento para la publicación de la información en el SECOP II, permitiendo a las entidades de régimen especial armonizar sus procedimientos internos con las exigencias de transparencia y los plazos legales de reporte.</w:t>
            </w:r>
          </w:p>
          <w:p w14:paraId="51FF6FB7" w14:textId="5D8425D4" w:rsidR="00517B15" w:rsidRPr="000E7DFD" w:rsidRDefault="00985FAD" w:rsidP="00946693">
            <w:pPr>
              <w:spacing w:line="276" w:lineRule="auto"/>
              <w:jc w:val="both"/>
              <w:rPr>
                <w:rFonts w:ascii="Verdana" w:eastAsia="Calibri" w:hAnsi="Verdana" w:cs="Arial"/>
              </w:rPr>
            </w:pPr>
            <w:r>
              <w:rPr>
                <w:rFonts w:ascii="Verdana" w:eastAsia="Calibri" w:hAnsi="Verdana" w:cs="Arial"/>
              </w:rPr>
              <w:t xml:space="preserve"> </w:t>
            </w:r>
          </w:p>
          <w:p w14:paraId="6B3A7047" w14:textId="508AB234" w:rsidR="0029110A" w:rsidRDefault="0099297C" w:rsidP="0029110A">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w:t>
            </w:r>
            <w:r w:rsidRPr="00DB4737">
              <w:rPr>
                <w:rFonts w:ascii="Verdana" w:eastAsia="Calibri" w:hAnsi="Verdana" w:cs="Times New Roman"/>
                <w:lang w:val="es-ES"/>
              </w:rPr>
              <w:lastRenderedPageBreak/>
              <w:t>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013525A" w14:textId="77777777" w:rsidR="008340AE" w:rsidRDefault="008340AE" w:rsidP="0029110A">
            <w:pPr>
              <w:spacing w:line="276" w:lineRule="auto"/>
              <w:contextualSpacing/>
              <w:jc w:val="both"/>
              <w:rPr>
                <w:rFonts w:ascii="Verdana" w:eastAsia="Calibri" w:hAnsi="Verdana" w:cs="Times New Roman"/>
                <w:lang w:val="es-ES"/>
              </w:rPr>
            </w:pPr>
          </w:p>
          <w:p w14:paraId="79C0B0DC" w14:textId="0C0A3ADE" w:rsidR="00E626B5" w:rsidRPr="0029110A" w:rsidRDefault="008340AE" w:rsidP="00956B73">
            <w:pPr>
              <w:spacing w:line="276" w:lineRule="auto"/>
              <w:contextualSpacing/>
              <w:jc w:val="both"/>
              <w:rPr>
                <w:rFonts w:ascii="Verdana" w:eastAsia="Calibri" w:hAnsi="Verdana" w:cs="Times New Roman"/>
                <w:lang w:val="es-ES"/>
              </w:rPr>
            </w:pPr>
            <w:r>
              <w:rPr>
                <w:rFonts w:ascii="Verdana" w:eastAsia="Calibri" w:hAnsi="Verdana" w:cs="Times New Roman"/>
                <w:lang w:val="es-ES"/>
              </w:rPr>
              <w:t xml:space="preserve">            </w:t>
            </w:r>
            <w:proofErr w:type="spellStart"/>
            <w:r w:rsidR="0099297C">
              <w:rPr>
                <w:rFonts w:ascii="Verdana" w:eastAsia="Calibri" w:hAnsi="Verdana" w:cs="Times New Roman"/>
                <w:lang w:val="es-ES"/>
              </w:rPr>
              <w:t>Asi</w:t>
            </w:r>
            <w:proofErr w:type="spellEnd"/>
            <w:r w:rsidR="0099297C">
              <w:rPr>
                <w:rFonts w:ascii="Verdana" w:eastAsia="Calibri" w:hAnsi="Verdana" w:cs="Times New Roman"/>
                <w:lang w:val="es-ES"/>
              </w:rPr>
              <w:t xml:space="preserve"> las cosas</w:t>
            </w:r>
            <w:r w:rsidR="0099297C"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sidR="006D0D53">
              <w:rPr>
                <w:rFonts w:ascii="Verdana" w:eastAsia="Calibri" w:hAnsi="Verdana" w:cs="Times New Roman"/>
                <w:lang w:val="es-ES"/>
              </w:rPr>
              <w:t>s</w:t>
            </w:r>
            <w:r w:rsidR="0099297C" w:rsidRPr="00DB4737">
              <w:rPr>
                <w:rFonts w:ascii="Verdana" w:eastAsia="Calibri" w:hAnsi="Verdana" w:cs="Times New Roman"/>
                <w:lang w:val="es-ES"/>
              </w:rPr>
              <w:t>.</w:t>
            </w:r>
          </w:p>
        </w:tc>
      </w:tr>
    </w:tbl>
    <w:p w14:paraId="74DDC741"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B31EE96"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6FF07D32" w14:textId="77777777" w:rsidR="00956B73" w:rsidRDefault="00956B73" w:rsidP="00956B73">
      <w:pPr>
        <w:spacing w:after="0" w:line="276" w:lineRule="auto"/>
        <w:jc w:val="both"/>
        <w:rPr>
          <w:rFonts w:ascii="Verdana" w:eastAsia="Calibri" w:hAnsi="Verdana" w:cs="Arial"/>
          <w:lang w:val="es-ES"/>
        </w:rPr>
      </w:pPr>
    </w:p>
    <w:p w14:paraId="3B2D34EE" w14:textId="41716AB2" w:rsidR="00D92AFD" w:rsidRPr="00642EA6" w:rsidRDefault="00956B73" w:rsidP="00D92AFD">
      <w:pPr>
        <w:spacing w:after="0" w:line="276" w:lineRule="auto"/>
        <w:jc w:val="both"/>
        <w:rPr>
          <w:rFonts w:ascii="Verdana" w:eastAsia="Calibri" w:hAnsi="Verdana" w:cs="Arial"/>
          <w:shd w:val="clear" w:color="auto" w:fill="FFFFFF"/>
        </w:rPr>
      </w:pPr>
      <w:r>
        <w:rPr>
          <w:rFonts w:ascii="Verdana" w:hAnsi="Verdana" w:cs="Arial"/>
          <w:bCs/>
          <w:lang w:eastAsia="es-CO"/>
        </w:rPr>
        <w:tab/>
      </w:r>
      <w:r w:rsidR="00D92AFD">
        <w:rPr>
          <w:rFonts w:ascii="Verdana" w:eastAsia="Aptos" w:hAnsi="Verdana" w:cs="Arial"/>
          <w:bCs/>
        </w:rPr>
        <w:t>E</w:t>
      </w:r>
      <w:r w:rsidR="00D92AFD" w:rsidRPr="00642EA6">
        <w:rPr>
          <w:rFonts w:ascii="Verdana" w:eastAsia="Aptos" w:hAnsi="Verdana" w:cs="Arial"/>
          <w:bCs/>
        </w:rPr>
        <w:t xml:space="preserve">s preciso indicar que </w:t>
      </w:r>
      <w:r w:rsidR="00D92AFD" w:rsidRPr="00642EA6">
        <w:rPr>
          <w:rFonts w:ascii="Verdana" w:eastAsia="Calibri" w:hAnsi="Verdana" w:cs="Arial"/>
          <w:shd w:val="clear" w:color="auto" w:fill="FFFFFF"/>
        </w:rPr>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w:t>
      </w:r>
      <w:r w:rsidR="00D92AFD" w:rsidRPr="00642EA6">
        <w:rPr>
          <w:rFonts w:ascii="Verdana" w:eastAsia="Calibri" w:hAnsi="Verdana" w:cs="Arial"/>
          <w:i/>
          <w:iCs/>
          <w:u w:val="single"/>
          <w:shd w:val="clear" w:color="auto" w:fill="FFFFFF"/>
        </w:rPr>
        <w:t>realizada con dineros públicos</w:t>
      </w:r>
      <w:r w:rsidR="00D92AFD" w:rsidRPr="00642EA6">
        <w:rPr>
          <w:rFonts w:ascii="Verdana" w:eastAsia="Calibri" w:hAnsi="Verdana" w:cs="Arial"/>
          <w:shd w:val="clear" w:color="auto" w:fill="FFFFFF"/>
        </w:rPr>
        <w:t>, para lo cual establecerá los patrones a que haya lugar y se encargará de su difusión a través de canales electrónicos</w:t>
      </w:r>
      <w:r w:rsidR="00D92AFD">
        <w:rPr>
          <w:rFonts w:ascii="Verdana" w:eastAsia="Calibri" w:hAnsi="Verdana" w:cs="Arial"/>
          <w:shd w:val="clear" w:color="auto" w:fill="FFFFFF"/>
        </w:rPr>
        <w:t>”</w:t>
      </w:r>
      <w:r w:rsidR="00D92AFD" w:rsidRPr="00642EA6">
        <w:rPr>
          <w:rFonts w:ascii="Aptos" w:eastAsia="Aptos" w:hAnsi="Aptos" w:cs="Times New Roman"/>
          <w:color w:val="000000"/>
          <w:vertAlign w:val="superscript"/>
          <w:lang w:val="es-ES_tradnl"/>
        </w:rPr>
        <w:footnoteReference w:id="3"/>
      </w:r>
      <w:r w:rsidR="00D92AFD" w:rsidRPr="00642EA6">
        <w:rPr>
          <w:rFonts w:ascii="Verdana" w:eastAsia="Calibri" w:hAnsi="Verdana" w:cs="Arial"/>
          <w:color w:val="000000"/>
          <w:lang w:val="es-ES_tradnl"/>
        </w:rPr>
        <w:t>. [Énfasis fuera de texto]</w:t>
      </w:r>
    </w:p>
    <w:p w14:paraId="5054690C" w14:textId="77777777" w:rsidR="00D92AFD" w:rsidRPr="00642EA6" w:rsidRDefault="00D92AFD" w:rsidP="00D92AFD">
      <w:pPr>
        <w:spacing w:before="120" w:after="120" w:line="276" w:lineRule="auto"/>
        <w:ind w:firstLine="709"/>
        <w:jc w:val="both"/>
        <w:rPr>
          <w:rFonts w:ascii="Verdana" w:eastAsia="Calibri" w:hAnsi="Verdana" w:cs="Arial"/>
          <w:color w:val="000000"/>
          <w:lang w:val="es-ES_tradnl"/>
        </w:rPr>
      </w:pPr>
      <w:r w:rsidRPr="00642EA6">
        <w:rPr>
          <w:rFonts w:ascii="Verdana" w:eastAsia="Calibri" w:hAnsi="Verdana" w:cs="Arial"/>
          <w:shd w:val="clear" w:color="auto" w:fill="FFFFFF"/>
        </w:rPr>
        <w:lastRenderedPageBreak/>
        <w:t>En ese sentido, la Ley 1712 de 2014 –ley estatutaria que regula la transparencia y el derecho de acceso a la información y a los documentos públicos–; identifica como principios que orientan el derecho de acceso a la información pública, el</w:t>
      </w:r>
      <w:r w:rsidRPr="00642EA6">
        <w:rPr>
          <w:rFonts w:ascii="Verdana" w:eastAsia="Calibri" w:hAnsi="Verdana" w:cs="Arial"/>
          <w:color w:val="000000"/>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642EA6">
        <w:rPr>
          <w:rFonts w:ascii="Aptos" w:eastAsia="Aptos" w:hAnsi="Aptos" w:cs="Times New Roman"/>
          <w:color w:val="000000"/>
          <w:vertAlign w:val="superscript"/>
          <w:lang w:val="es-ES_tradnl"/>
        </w:rPr>
        <w:footnoteReference w:id="4"/>
      </w:r>
      <w:r w:rsidRPr="00642EA6">
        <w:rPr>
          <w:rFonts w:ascii="Verdana" w:eastAsia="Calibri" w:hAnsi="Verdana" w:cs="Arial"/>
          <w:color w:val="000000"/>
          <w:lang w:val="es-ES_tradnl"/>
        </w:rPr>
        <w:t>. 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w:t>
      </w:r>
      <w:r w:rsidRPr="00642EA6">
        <w:rPr>
          <w:rFonts w:ascii="Aptos" w:eastAsia="Aptos" w:hAnsi="Aptos" w:cs="Times New Roman"/>
          <w:color w:val="000000"/>
          <w:vertAlign w:val="superscript"/>
          <w:lang w:val="es-ES_tradnl"/>
        </w:rPr>
        <w:footnoteReference w:id="5"/>
      </w:r>
      <w:r w:rsidRPr="00642EA6">
        <w:rPr>
          <w:rFonts w:ascii="Verdana" w:eastAsia="Calibri" w:hAnsi="Verdana" w:cs="Arial"/>
          <w:color w:val="000000"/>
          <w:lang w:val="es-ES_tradnl"/>
        </w:rPr>
        <w:t>, deben publicar la información relativa a su contratación. Esta obligación fue desarrollada por el Decreto Único Reglamentario 1082 de 2015</w:t>
      </w:r>
      <w:r w:rsidRPr="00642EA6">
        <w:rPr>
          <w:rFonts w:ascii="Aptos" w:eastAsia="Aptos" w:hAnsi="Aptos" w:cs="Times New Roman"/>
          <w:color w:val="000000"/>
          <w:vertAlign w:val="superscript"/>
          <w:lang w:val="es-ES_tradnl"/>
        </w:rPr>
        <w:footnoteReference w:id="6"/>
      </w:r>
      <w:r w:rsidRPr="00642EA6">
        <w:rPr>
          <w:rFonts w:ascii="Verdana" w:eastAsia="Calibri" w:hAnsi="Verdana" w:cs="Arial"/>
          <w:color w:val="000000"/>
          <w:lang w:val="es-ES_tradnl"/>
        </w:rPr>
        <w:t>, el cual dispuso que la publicación de la información contractual de los sujetos obligados, que contratan con cargo a recursos públicos, debe hacerse en el SECOP.</w:t>
      </w:r>
    </w:p>
    <w:p w14:paraId="514EE25A" w14:textId="77777777" w:rsidR="00D92AFD" w:rsidRPr="00642EA6" w:rsidRDefault="00D92AFD" w:rsidP="00D92AFD">
      <w:pPr>
        <w:spacing w:before="120" w:after="0" w:line="276" w:lineRule="auto"/>
        <w:ind w:firstLine="708"/>
        <w:contextualSpacing/>
        <w:jc w:val="both"/>
        <w:rPr>
          <w:rFonts w:ascii="Verdana" w:eastAsia="Times New Roman" w:hAnsi="Verdana" w:cs="Arial"/>
          <w:color w:val="000000"/>
          <w:szCs w:val="24"/>
          <w:lang w:val="es-ES_tradnl" w:eastAsia="es-ES_tradnl"/>
        </w:rPr>
      </w:pPr>
      <w:r w:rsidRPr="00642EA6">
        <w:rPr>
          <w:rFonts w:ascii="Verdana" w:eastAsia="Times New Roman" w:hAnsi="Verdana" w:cs="Arial"/>
          <w:color w:val="000000"/>
          <w:szCs w:val="24"/>
          <w:lang w:val="es-ES_tradnl" w:eastAsia="es-ES_tradnl"/>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r w:rsidRPr="00642EA6">
        <w:rPr>
          <w:rFonts w:ascii="Verdana" w:eastAsia="Calibri" w:hAnsi="Verdana" w:cs="Arial"/>
          <w:color w:val="000000"/>
          <w:szCs w:val="24"/>
          <w:lang w:val="es-ES_tradnl" w:eastAsia="es-ES_tradnl"/>
        </w:rPr>
        <w:t xml:space="preserve">El derecho de acceso a la información pública o de interés público permite a toda persona, sin necesidad de acreditar calidad, interés o condición </w:t>
      </w:r>
      <w:r w:rsidRPr="00642EA6">
        <w:rPr>
          <w:rFonts w:ascii="Verdana" w:eastAsia="Calibri" w:hAnsi="Verdana" w:cs="Arial"/>
          <w:color w:val="000000"/>
          <w:szCs w:val="24"/>
          <w:lang w:val="es-ES_tradnl" w:eastAsia="es-ES_tradnl"/>
        </w:rPr>
        <w:lastRenderedPageBreak/>
        <w:t>particular, conocer la existencia de información pública, acceder a la misma y difundirla o publicarla, según su interés</w:t>
      </w:r>
      <w:r w:rsidRPr="00642EA6">
        <w:rPr>
          <w:rFonts w:ascii="Aptos" w:eastAsia="Calibri" w:hAnsi="Aptos" w:cs="Times New Roman"/>
          <w:vertAlign w:val="superscript"/>
          <w:lang w:val="es-ES_tradnl" w:eastAsia="es-ES_tradnl"/>
        </w:rPr>
        <w:footnoteReference w:id="7"/>
      </w:r>
      <w:r w:rsidRPr="00642EA6">
        <w:rPr>
          <w:rFonts w:ascii="Verdana" w:eastAsia="Calibri" w:hAnsi="Verdana" w:cs="Arial"/>
          <w:color w:val="000000"/>
          <w:szCs w:val="24"/>
          <w:lang w:val="es-ES_tradnl" w:eastAsia="es-ES_tradnl"/>
        </w:rPr>
        <w:t>.</w:t>
      </w:r>
    </w:p>
    <w:p w14:paraId="5A4E6D3C" w14:textId="77777777" w:rsidR="00D92AFD" w:rsidRPr="00642EA6" w:rsidRDefault="00D92AFD" w:rsidP="00D92AFD">
      <w:pPr>
        <w:tabs>
          <w:tab w:val="left" w:pos="709"/>
        </w:tabs>
        <w:spacing w:before="120" w:after="120" w:line="276" w:lineRule="auto"/>
        <w:jc w:val="both"/>
        <w:rPr>
          <w:rFonts w:ascii="Verdana" w:eastAsia="Calibri" w:hAnsi="Verdana" w:cs="Arial"/>
          <w:shd w:val="clear" w:color="auto" w:fill="FFFFFF"/>
        </w:rPr>
      </w:pPr>
      <w:r>
        <w:rPr>
          <w:rFonts w:ascii="Verdana" w:eastAsia="Calibri" w:hAnsi="Verdana" w:cs="Arial"/>
          <w:shd w:val="clear" w:color="auto" w:fill="FFFFFF"/>
        </w:rPr>
        <w:tab/>
      </w:r>
      <w:r w:rsidRPr="00642EA6">
        <w:rPr>
          <w:rFonts w:ascii="Verdana" w:eastAsia="Calibri" w:hAnsi="Verdana" w:cs="Arial"/>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 Sin embargo, en lo referente a las Entidades exceptuadas del EGCAP, es decir aquellas que se rigen por disposiciones especiales y el derecho privado, debe señalarse que en virtud de lo dispuesto en el artículo 53 de la Ley 2195 de 2022</w:t>
      </w:r>
      <w:r w:rsidRPr="00642EA6">
        <w:rPr>
          <w:rFonts w:ascii="Aptos" w:eastAsia="Aptos" w:hAnsi="Aptos" w:cs="Times New Roman"/>
          <w:shd w:val="clear" w:color="auto" w:fill="FFFFFF"/>
          <w:vertAlign w:val="superscript"/>
        </w:rPr>
        <w:footnoteReference w:id="8"/>
      </w:r>
      <w:r w:rsidRPr="00642EA6">
        <w:rPr>
          <w:rFonts w:ascii="Verdana" w:eastAsia="Calibri" w:hAnsi="Verdana" w:cs="Arial"/>
          <w:shd w:val="clear" w:color="auto" w:fill="FFFFFF"/>
        </w:rPr>
        <w:t>, mediante el cual se adiciona el artículo 13 a la Ley 1150 de 2007, asigna a dichas entidades la obligación de publicar los documentos relacionados con su actividad contractual en el SECOP II o la plataforma transaccional que haga sus veces.</w:t>
      </w:r>
    </w:p>
    <w:p w14:paraId="0DC18F23" w14:textId="77777777" w:rsidR="00D92AFD" w:rsidRPr="00642EA6" w:rsidRDefault="00D92AFD" w:rsidP="00D92AFD">
      <w:pPr>
        <w:spacing w:after="120" w:line="276" w:lineRule="auto"/>
        <w:ind w:firstLine="709"/>
        <w:jc w:val="both"/>
        <w:rPr>
          <w:rFonts w:ascii="Verdana" w:eastAsia="Calibri" w:hAnsi="Verdana" w:cs="Arial"/>
          <w:bCs/>
          <w:lang w:val="es-MX"/>
        </w:rPr>
      </w:pPr>
      <w:r w:rsidRPr="00642EA6">
        <w:rPr>
          <w:rFonts w:ascii="Verdana" w:eastAsia="Calibri" w:hAnsi="Verdana" w:cs="Arial"/>
          <w:bCs/>
          <w:lang w:val="es-MX"/>
        </w:rPr>
        <w:t>En ese orden, y atendiendo al objeto de la consulta, debe analizarse el alcance de esta obligación para determinar si esta aplica a toda la actividad contractual desarrollada por este tipo de entidades. De esta forma, se tiene que e</w:t>
      </w:r>
      <w:r w:rsidRPr="00642EA6">
        <w:rPr>
          <w:rFonts w:ascii="Verdana" w:eastAsia="Calibri" w:hAnsi="Verdana" w:cs="Arial"/>
          <w:lang w:val="es-ES_tradnl" w:eastAsia="es-ES_tradnl"/>
        </w:rPr>
        <w:t xml:space="preserve">l artículo 53 de la Ley 2195 de 2022 dispone que las entidades con regímenes especiales “deberán publicar los documentos relacionados con su actividad contractual en el Sistema Electrónico para la Contratación Pública (SECOP II) o la plataforma transaccional que haga sus veces”. Como puede observarse, la disposición objeto de estudio no señala de forma expresa si el deber de las entidades exceptuadas de publicar todos los documentos relacionados con su actividad contractual aplica para todos los contratos que se celebren o si, por el </w:t>
      </w:r>
      <w:r w:rsidRPr="00642EA6">
        <w:rPr>
          <w:rFonts w:ascii="Verdana" w:eastAsia="Calibri" w:hAnsi="Verdana" w:cs="Arial"/>
          <w:lang w:val="es-ES_tradnl" w:eastAsia="es-ES_tradnl"/>
        </w:rPr>
        <w:lastRenderedPageBreak/>
        <w:t>contrario, esta obligación sólo se impone respecto de aquellos contratos cuya fuente de financiación proviene de recursos públicos.</w:t>
      </w:r>
    </w:p>
    <w:p w14:paraId="559CDA40" w14:textId="77777777" w:rsidR="00D92AFD" w:rsidRPr="00642EA6" w:rsidRDefault="00D92AFD" w:rsidP="00D92AFD">
      <w:pPr>
        <w:tabs>
          <w:tab w:val="left" w:pos="0"/>
        </w:tabs>
        <w:spacing w:before="120" w:after="120" w:line="276" w:lineRule="auto"/>
        <w:jc w:val="both"/>
        <w:rPr>
          <w:rFonts w:ascii="Verdana" w:eastAsia="Calibri" w:hAnsi="Verdana" w:cs="Arial"/>
          <w:lang w:val="es-ES_tradnl" w:eastAsia="es-ES_tradnl"/>
        </w:rPr>
      </w:pPr>
      <w:r>
        <w:rPr>
          <w:rFonts w:ascii="Verdana" w:eastAsia="Calibri" w:hAnsi="Verdana" w:cs="Arial"/>
          <w:lang w:val="es-ES_tradnl" w:eastAsia="es-ES_tradnl"/>
        </w:rPr>
        <w:tab/>
      </w:r>
      <w:r w:rsidRPr="00642EA6">
        <w:rPr>
          <w:rFonts w:ascii="Verdana" w:eastAsia="Calibri" w:hAnsi="Verdana" w:cs="Arial"/>
          <w:lang w:val="es-ES_tradnl" w:eastAsia="es-ES_tradnl"/>
        </w:rPr>
        <w:t xml:space="preserve">De la lectura del artículo antes citado se pueden extraer al menos dos (2) posturas contrapuestas relacionadas con la interpretación que se realice de la norma. En primer lugar, una interpretación </w:t>
      </w:r>
      <w:r w:rsidRPr="00642EA6">
        <w:rPr>
          <w:rFonts w:ascii="Verdana" w:eastAsia="Calibri" w:hAnsi="Verdana" w:cs="Arial"/>
          <w:i/>
          <w:iCs/>
          <w:lang w:val="es-ES_tradnl" w:eastAsia="es-ES_tradnl"/>
        </w:rPr>
        <w:t xml:space="preserve">exegética </w:t>
      </w:r>
      <w:r w:rsidRPr="00642EA6">
        <w:rPr>
          <w:rFonts w:ascii="Verdana" w:eastAsia="Calibri" w:hAnsi="Verdana" w:cs="Arial"/>
          <w:lang w:val="es-ES_tradnl" w:eastAsia="es-ES_tradnl"/>
        </w:rPr>
        <w:t xml:space="preserve">de la disposición plantearía que, dado que el artículo 53 no señala que la obligación de publicar en el SECOP II recae solamente sobre la contratación que se realice con dineros públicos, se entiende que esta aplica para toda la actividad contractual que ejecute la entidad, indistintamente del origen de los recursos. En segundo lugar, una interpretación </w:t>
      </w:r>
      <w:r w:rsidRPr="00642EA6">
        <w:rPr>
          <w:rFonts w:ascii="Verdana" w:eastAsia="Calibri" w:hAnsi="Verdana" w:cs="Arial"/>
          <w:i/>
          <w:iCs/>
          <w:lang w:val="es-ES_tradnl" w:eastAsia="es-ES_tradnl"/>
        </w:rPr>
        <w:t xml:space="preserve">sistemática </w:t>
      </w:r>
      <w:r w:rsidRPr="00642EA6">
        <w:rPr>
          <w:rFonts w:ascii="Verdana" w:eastAsia="Calibri" w:hAnsi="Verdana" w:cs="Arial"/>
          <w:lang w:val="es-ES_tradnl" w:eastAsia="es-ES_tradnl"/>
        </w:rPr>
        <w:t xml:space="preserve">de la norma concluiría que el artículo 53, al modificar una disposición de la Ley 1150 de 2007, debe armonizarse con todo el cuerpo normativo consagrado en dicha ley y, dado que este se refiere a la contratación que se realiza con </w:t>
      </w:r>
      <w:r w:rsidRPr="00642EA6">
        <w:rPr>
          <w:rFonts w:ascii="Verdana" w:eastAsia="Calibri" w:hAnsi="Verdana" w:cs="Arial"/>
          <w:i/>
          <w:iCs/>
          <w:lang w:val="es-ES_tradnl" w:eastAsia="es-ES_tradnl"/>
        </w:rPr>
        <w:t xml:space="preserve">dineros públicos, </w:t>
      </w:r>
      <w:r w:rsidRPr="00642EA6">
        <w:rPr>
          <w:rFonts w:ascii="Verdana" w:eastAsia="Calibri" w:hAnsi="Verdana" w:cs="Arial"/>
          <w:lang w:val="es-ES_tradnl" w:eastAsia="es-ES_tradnl"/>
        </w:rPr>
        <w:t>esto también debe extenderse a la obligación de publicar los documentos en el SECOP II en cabeza de las entidades con regímenes exceptuados. En otras palabras, el deber consagrado en el artículo 53 de la Ley 2195 de 2022 debe armonizarse con el conjunto de normas que delimitan el deber de publicar en el SECOP II sólo la información relacionada con al activad contractual efectuada con recursos públicos.</w:t>
      </w:r>
    </w:p>
    <w:p w14:paraId="7D6DAD5A" w14:textId="77777777" w:rsidR="00D92AFD" w:rsidRPr="00642EA6" w:rsidRDefault="00D92AFD" w:rsidP="00D92AFD">
      <w:pPr>
        <w:spacing w:before="120" w:after="120" w:line="276" w:lineRule="auto"/>
        <w:ind w:firstLine="709"/>
        <w:jc w:val="both"/>
        <w:rPr>
          <w:rFonts w:ascii="Verdana" w:eastAsia="Calibri" w:hAnsi="Verdana" w:cs="Arial"/>
          <w:lang w:val="es-ES" w:eastAsia="es-ES"/>
        </w:rPr>
      </w:pPr>
      <w:r w:rsidRPr="4E3C208C">
        <w:rPr>
          <w:rFonts w:ascii="Verdana" w:eastAsia="Calibri" w:hAnsi="Verdana" w:cs="Arial"/>
          <w:lang w:val="es-ES" w:eastAsia="es-ES"/>
        </w:rPr>
        <w:t xml:space="preserve">Esta Agencia considera que, la obligación de publicar en el SECOP II todos los documentos relacionados con la actividad contractual de las entidades con regímenes especiales contenida en el artículo 53 de la Ley 2195 de 2022 debe interpretarse de forma sistemática con los preceptos que existen sobre la materia, como, entre otros, los siguientes enunciados normativos: i) los artículos 74 y 209 de la Constitución, </w:t>
      </w:r>
      <w:proofErr w:type="spellStart"/>
      <w:r w:rsidRPr="4E3C208C">
        <w:rPr>
          <w:rFonts w:ascii="Verdana" w:eastAsia="Calibri" w:hAnsi="Verdana" w:cs="Arial"/>
          <w:lang w:val="es-ES" w:eastAsia="es-ES"/>
        </w:rPr>
        <w:t>ii</w:t>
      </w:r>
      <w:proofErr w:type="spellEnd"/>
      <w:r w:rsidRPr="4E3C208C">
        <w:rPr>
          <w:rFonts w:ascii="Verdana" w:eastAsia="Calibri" w:hAnsi="Verdana" w:cs="Arial"/>
          <w:lang w:val="es-ES" w:eastAsia="es-ES"/>
        </w:rPr>
        <w:t xml:space="preserve">) el artículo 3, literal c) de la Ley 1150 de 2007, </w:t>
      </w:r>
      <w:proofErr w:type="spellStart"/>
      <w:r w:rsidRPr="4E3C208C">
        <w:rPr>
          <w:rFonts w:ascii="Verdana" w:eastAsia="Calibri" w:hAnsi="Verdana" w:cs="Arial"/>
          <w:lang w:val="es-ES" w:eastAsia="es-ES"/>
        </w:rPr>
        <w:t>iii</w:t>
      </w:r>
      <w:proofErr w:type="spellEnd"/>
      <w:r w:rsidRPr="4E3C208C">
        <w:rPr>
          <w:rFonts w:ascii="Verdana" w:eastAsia="Calibri" w:hAnsi="Verdana" w:cs="Arial"/>
          <w:lang w:val="es-ES" w:eastAsia="es-ES"/>
        </w:rPr>
        <w:t xml:space="preserve">) los artículos 3, 9, literal e) y 11, literal g), de la Ley 1712 de 2014, y </w:t>
      </w:r>
      <w:proofErr w:type="spellStart"/>
      <w:r w:rsidRPr="4E3C208C">
        <w:rPr>
          <w:rFonts w:ascii="Verdana" w:eastAsia="Calibri" w:hAnsi="Verdana" w:cs="Arial"/>
          <w:lang w:val="es-ES" w:eastAsia="es-ES"/>
        </w:rPr>
        <w:t>iv</w:t>
      </w:r>
      <w:proofErr w:type="spellEnd"/>
      <w:r w:rsidRPr="4E3C208C">
        <w:rPr>
          <w:rFonts w:ascii="Verdana" w:eastAsia="Calibri" w:hAnsi="Verdana" w:cs="Arial"/>
          <w:lang w:val="es-ES" w:eastAsia="es-ES"/>
        </w:rPr>
        <w:t>) los artículos 7 al 10 del Decreto 103 de 2015 –compilado en los artículos 2.1.1.1.1. al 2.1.1.6.1. del Decreto 1081 de 2015–.</w:t>
      </w:r>
    </w:p>
    <w:p w14:paraId="73A0494F" w14:textId="77777777" w:rsidR="00D92AFD" w:rsidRPr="00642EA6" w:rsidRDefault="00D92AFD" w:rsidP="00D92AFD">
      <w:pPr>
        <w:spacing w:before="120" w:after="120" w:line="276" w:lineRule="auto"/>
        <w:ind w:firstLine="709"/>
        <w:jc w:val="both"/>
        <w:rPr>
          <w:rFonts w:ascii="Verdana" w:eastAsia="Calibri" w:hAnsi="Verdana" w:cs="Arial"/>
          <w:shd w:val="clear" w:color="auto" w:fill="FFFFFF"/>
          <w:lang w:val="es-ES"/>
        </w:rPr>
      </w:pPr>
      <w:r w:rsidRPr="00642EA6">
        <w:rPr>
          <w:rFonts w:ascii="Verdana" w:eastAsia="Calibri" w:hAnsi="Verdana" w:cs="Arial"/>
          <w:noProof/>
          <w:lang w:val="es-ES_tradnl"/>
        </w:rPr>
        <w:t xml:space="preserve">Así las cosas, dado que el artículo 53 de la Ley 2195 de 2022 complementó las disposiciones ya establecidas en la Ley 1150 de 2007, la lectura que se haga de dicho artículo debe efectuarse de forma </w:t>
      </w:r>
      <w:r w:rsidRPr="00642EA6">
        <w:rPr>
          <w:rFonts w:ascii="Verdana" w:eastAsia="Calibri" w:hAnsi="Verdana" w:cs="Arial"/>
          <w:i/>
          <w:iCs/>
          <w:noProof/>
          <w:lang w:val="es-ES_tradnl"/>
        </w:rPr>
        <w:t xml:space="preserve">sistemática. </w:t>
      </w:r>
      <w:r w:rsidRPr="00642EA6">
        <w:rPr>
          <w:rFonts w:ascii="Verdana" w:eastAsia="Calibri" w:hAnsi="Verdana" w:cs="Arial"/>
          <w:noProof/>
          <w:lang w:val="es-ES_tradnl"/>
        </w:rPr>
        <w:t xml:space="preserve">En ese sentido, debe señalarse que la </w:t>
      </w:r>
      <w:r w:rsidRPr="00642EA6">
        <w:rPr>
          <w:rFonts w:ascii="Verdana" w:eastAsia="Calibri" w:hAnsi="Verdana" w:cs="Arial"/>
          <w:lang w:val="es-ES_tradnl" w:eastAsia="es-CO"/>
        </w:rPr>
        <w:t xml:space="preserve">contratación con cargo a recursos públicos es un concepto al que alude expresamente la Ley 1150 de 2007, incluso desde el mismo título, pues este indica que dicha ley es </w:t>
      </w:r>
      <w:r w:rsidRPr="00642EA6">
        <w:rPr>
          <w:rFonts w:ascii="Verdana" w:eastAsia="Calibri" w:hAnsi="Verdana" w:cs="Arial"/>
          <w:lang w:val="es-ES_tradnl"/>
        </w:rPr>
        <w:t>“</w:t>
      </w:r>
      <w:r w:rsidRPr="00642EA6">
        <w:rPr>
          <w:rFonts w:ascii="Verdana" w:eastAsia="Calibri" w:hAnsi="Verdana" w:cs="Arial"/>
        </w:rPr>
        <w:t>Por medio de la cual se introducen medidas para la eficiencia y la transparencia en la Ley </w:t>
      </w:r>
      <w:hyperlink r:id="rId13" w:anchor="1" w:history="1">
        <w:r w:rsidRPr="00642EA6">
          <w:rPr>
            <w:rFonts w:ascii="Verdana" w:eastAsia="Calibri" w:hAnsi="Verdana" w:cs="Arial"/>
          </w:rPr>
          <w:t>80</w:t>
        </w:r>
      </w:hyperlink>
      <w:r w:rsidRPr="00642EA6">
        <w:rPr>
          <w:rFonts w:ascii="Verdana" w:eastAsia="Calibri" w:hAnsi="Verdana" w:cs="Arial"/>
        </w:rPr>
        <w:t> de 1993 y se dictan otras disposiciones generales sobre la contratación con Recursos Públicos</w:t>
      </w:r>
      <w:r w:rsidRPr="00642EA6">
        <w:rPr>
          <w:rFonts w:ascii="Verdana" w:eastAsia="Calibri" w:hAnsi="Verdana" w:cs="Arial"/>
          <w:lang w:val="es-ES_tradnl"/>
        </w:rPr>
        <w:t>”</w:t>
      </w:r>
      <w:r w:rsidRPr="00642EA6">
        <w:rPr>
          <w:rFonts w:ascii="Verdana" w:eastAsia="Calibri" w:hAnsi="Verdana" w:cs="Arial"/>
        </w:rPr>
        <w:t>.</w:t>
      </w:r>
      <w:r w:rsidRPr="00642EA6">
        <w:rPr>
          <w:rFonts w:ascii="Verdana" w:eastAsia="Calibri" w:hAnsi="Verdana" w:cs="Arial"/>
          <w:lang w:val="es-ES_tradnl" w:eastAsia="es-CO"/>
        </w:rPr>
        <w:t xml:space="preserve"> Asimismo, la terminología contratación con cargo recursos públicos</w:t>
      </w:r>
      <w:r w:rsidRPr="00642EA6">
        <w:rPr>
          <w:rFonts w:ascii="Verdana" w:eastAsia="Calibri" w:hAnsi="Verdana" w:cs="Arial"/>
          <w:i/>
          <w:iCs/>
          <w:lang w:val="es-ES_tradnl" w:eastAsia="es-CO"/>
        </w:rPr>
        <w:t xml:space="preserve"> </w:t>
      </w:r>
      <w:r w:rsidRPr="00642EA6">
        <w:rPr>
          <w:rFonts w:ascii="Verdana" w:eastAsia="Calibri" w:hAnsi="Verdana" w:cs="Arial"/>
          <w:lang w:val="es-ES_tradnl" w:eastAsia="es-CO"/>
        </w:rPr>
        <w:t xml:space="preserve">se encuentra en el </w:t>
      </w:r>
      <w:r w:rsidRPr="00642EA6">
        <w:rPr>
          <w:rFonts w:ascii="Verdana" w:eastAsia="Calibri" w:hAnsi="Verdana" w:cs="Arial"/>
          <w:lang w:val="es-ES_tradnl" w:eastAsia="es-CO"/>
        </w:rPr>
        <w:lastRenderedPageBreak/>
        <w:t>artículo primero, al definir el ámbito de aplicación de sus disposiciones</w:t>
      </w:r>
      <w:r w:rsidRPr="00642EA6">
        <w:rPr>
          <w:rFonts w:ascii="Aptos" w:eastAsia="Aptos" w:hAnsi="Aptos" w:cs="Times New Roman"/>
          <w:vertAlign w:val="superscript"/>
          <w:lang w:val="es-ES_tradnl" w:eastAsia="es-CO"/>
        </w:rPr>
        <w:footnoteReference w:id="9"/>
      </w:r>
      <w:r w:rsidRPr="00642EA6">
        <w:rPr>
          <w:rFonts w:ascii="Verdana" w:eastAsia="Calibri" w:hAnsi="Verdana" w:cs="Arial"/>
          <w:lang w:val="es-ES_tradnl" w:eastAsia="es-CO"/>
        </w:rPr>
        <w:t xml:space="preserve"> y en el literal c) del artículo 3 –del que surge el deber de publicar en el SECOP–, que expresamente </w:t>
      </w:r>
      <w:r w:rsidRPr="00642EA6">
        <w:rPr>
          <w:rFonts w:ascii="Verdana" w:eastAsia="Calibri" w:hAnsi="Verdana" w:cs="Arial"/>
          <w:shd w:val="clear" w:color="auto" w:fill="FFFFFF"/>
          <w:lang w:val="es-ES"/>
        </w:rPr>
        <w:t xml:space="preserve">establece que ese aparte del artículo se aplica a la “contratación realizada con dineros públicos”. </w:t>
      </w:r>
      <w:r w:rsidRPr="00642EA6">
        <w:rPr>
          <w:rFonts w:ascii="Verdana" w:eastAsia="Calibri" w:hAnsi="Verdana" w:cs="Arial"/>
          <w:shd w:val="clear" w:color="auto" w:fill="FFFFFF"/>
        </w:rPr>
        <w:t>Esta interpretación concuerda con el ámbito al que se encuentran destinadas las disposiciones del Título II de dicha norma, titulado “DISPOSICIONES GENERALES PARA LA CONTRATACION CON RECURSOS PUBLICOS”, en el cual se ubica el artículo 13 que fue modificado por el artículo 53 de la Ley 2195 de 2022.</w:t>
      </w:r>
    </w:p>
    <w:p w14:paraId="67294007" w14:textId="77777777" w:rsidR="00D92AFD" w:rsidRPr="00642EA6" w:rsidRDefault="00D92AFD" w:rsidP="00D92AFD">
      <w:pPr>
        <w:spacing w:after="0" w:line="276" w:lineRule="auto"/>
        <w:ind w:firstLine="708"/>
        <w:contextualSpacing/>
        <w:jc w:val="both"/>
        <w:rPr>
          <w:rFonts w:ascii="Verdana" w:eastAsia="Calibri" w:hAnsi="Verdana" w:cs="Arial"/>
        </w:rPr>
      </w:pPr>
      <w:r w:rsidRPr="00642EA6">
        <w:rPr>
          <w:rFonts w:ascii="Verdana" w:eastAsia="Calibri" w:hAnsi="Verdana" w:cs="Arial"/>
          <w:lang w:val="es-ES_tradnl" w:eastAsia="es-CO"/>
        </w:rPr>
        <w:t xml:space="preserve">Por otro lado, </w:t>
      </w:r>
      <w:r w:rsidRPr="00642EA6">
        <w:rPr>
          <w:rFonts w:ascii="Verdana" w:eastAsia="Calibri" w:hAnsi="Verdana" w:cs="Arial"/>
        </w:rPr>
        <w:t xml:space="preserve">el Decreto 103 de 2015, mediante el cual se reglamentó la Ley 1712 de 2014, y que fue compilado </w:t>
      </w:r>
      <w:r w:rsidRPr="00642EA6">
        <w:rPr>
          <w:rFonts w:ascii="Verdana" w:eastAsia="Calibri" w:hAnsi="Verdana" w:cs="Arial"/>
          <w:shd w:val="clear" w:color="auto" w:fill="FFFFFF"/>
        </w:rPr>
        <w:t xml:space="preserve">en los artículos 2.1.1.1.1. al 2.1.1.6.1. del Decreto 1081 de 2015–.  </w:t>
      </w:r>
      <w:r w:rsidRPr="00642EA6">
        <w:rPr>
          <w:rFonts w:ascii="Verdana" w:eastAsia="Calibri" w:hAnsi="Verdana" w:cs="Arial"/>
        </w:rPr>
        <w:t>señala:</w:t>
      </w:r>
    </w:p>
    <w:p w14:paraId="348A2EC6" w14:textId="77777777" w:rsidR="00D92AFD" w:rsidRPr="00642EA6" w:rsidRDefault="00D92AFD" w:rsidP="00D92AFD">
      <w:pPr>
        <w:spacing w:after="0" w:line="276" w:lineRule="auto"/>
        <w:ind w:firstLine="784"/>
        <w:contextualSpacing/>
        <w:jc w:val="both"/>
        <w:rPr>
          <w:rFonts w:ascii="Verdana" w:eastAsia="Calibri" w:hAnsi="Verdana" w:cs="Arial"/>
        </w:rPr>
      </w:pPr>
    </w:p>
    <w:p w14:paraId="343140CA" w14:textId="77777777" w:rsidR="00D92AFD" w:rsidRPr="00642EA6" w:rsidRDefault="00D92AFD" w:rsidP="00D92AFD">
      <w:pPr>
        <w:spacing w:after="0" w:line="240" w:lineRule="auto"/>
        <w:ind w:left="709" w:right="709"/>
        <w:jc w:val="both"/>
        <w:rPr>
          <w:rFonts w:ascii="Verdana" w:eastAsia="Times New Roman" w:hAnsi="Verdana" w:cs="Arial"/>
          <w:sz w:val="21"/>
          <w:szCs w:val="21"/>
          <w:lang w:eastAsia="es-CO"/>
        </w:rPr>
      </w:pPr>
      <w:r w:rsidRPr="00642EA6">
        <w:rPr>
          <w:rFonts w:ascii="Verdana" w:eastAsia="Times New Roman" w:hAnsi="Verdana" w:cs="Arial"/>
          <w:sz w:val="21"/>
          <w:szCs w:val="21"/>
          <w:lang w:eastAsia="es-CO"/>
        </w:rPr>
        <w:t>“Artículo 7°.</w:t>
      </w:r>
      <w:r w:rsidRPr="00642EA6">
        <w:rPr>
          <w:rFonts w:ascii="Verdana" w:eastAsia="Times New Roman" w:hAnsi="Verdana" w:cs="Arial"/>
          <w:i/>
          <w:iCs/>
          <w:sz w:val="21"/>
          <w:szCs w:val="21"/>
          <w:lang w:eastAsia="es-CO"/>
        </w:rPr>
        <w:t xml:space="preserve"> Publicación de la información contractual. </w:t>
      </w:r>
      <w:r w:rsidRPr="00642EA6">
        <w:rPr>
          <w:rFonts w:ascii="Verdana" w:eastAsia="Times New Roman" w:hAnsi="Verdana" w:cs="Arial"/>
          <w:sz w:val="21"/>
          <w:szCs w:val="21"/>
          <w:lang w:eastAsia="es-CO"/>
        </w:rPr>
        <w:t xml:space="preserve">De conformidad con el literal (c) del artículo 3° de la Ley 1150 de 2007, el sistema de información del Estado en el cual los sujetos obligados que contratan </w:t>
      </w:r>
      <w:r w:rsidRPr="00642EA6">
        <w:rPr>
          <w:rFonts w:ascii="Verdana" w:eastAsia="Times New Roman" w:hAnsi="Verdana" w:cs="Arial"/>
          <w:i/>
          <w:iCs/>
          <w:sz w:val="21"/>
          <w:szCs w:val="21"/>
          <w:lang w:eastAsia="es-CO"/>
        </w:rPr>
        <w:t>con cargo a recursos públicos</w:t>
      </w:r>
      <w:r w:rsidRPr="00642EA6">
        <w:rPr>
          <w:rFonts w:ascii="Verdana" w:eastAsia="Times New Roman" w:hAnsi="Verdana" w:cs="Arial"/>
          <w:sz w:val="21"/>
          <w:szCs w:val="21"/>
          <w:lang w:eastAsia="es-CO"/>
        </w:rPr>
        <w:t xml:space="preserve"> deben cumplir la obligación de publicar la información de su gestión contractual es el Sistema Electrónico para la Contratación Pública (</w:t>
      </w:r>
      <w:proofErr w:type="spellStart"/>
      <w:r w:rsidRPr="00642EA6">
        <w:rPr>
          <w:rFonts w:ascii="Verdana" w:eastAsia="Times New Roman" w:hAnsi="Verdana" w:cs="Arial"/>
          <w:sz w:val="21"/>
          <w:szCs w:val="21"/>
          <w:lang w:eastAsia="es-CO"/>
        </w:rPr>
        <w:t>Secop</w:t>
      </w:r>
      <w:proofErr w:type="spellEnd"/>
      <w:r w:rsidRPr="00642EA6">
        <w:rPr>
          <w:rFonts w:ascii="Verdana" w:eastAsia="Times New Roman" w:hAnsi="Verdana" w:cs="Arial"/>
          <w:sz w:val="21"/>
          <w:szCs w:val="21"/>
          <w:lang w:eastAsia="es-CO"/>
        </w:rPr>
        <w:t>). </w:t>
      </w:r>
    </w:p>
    <w:p w14:paraId="608F5D92" w14:textId="77777777" w:rsidR="00D92AFD" w:rsidRPr="00642EA6" w:rsidRDefault="00D92AFD" w:rsidP="00D92AFD">
      <w:pPr>
        <w:spacing w:before="120" w:after="0" w:line="240" w:lineRule="auto"/>
        <w:ind w:left="709" w:right="709"/>
        <w:jc w:val="both"/>
        <w:rPr>
          <w:rFonts w:ascii="Verdana" w:eastAsia="Times New Roman" w:hAnsi="Verdana" w:cs="Arial"/>
          <w:sz w:val="21"/>
          <w:szCs w:val="21"/>
          <w:lang w:eastAsia="es-CO"/>
        </w:rPr>
      </w:pPr>
      <w:r w:rsidRPr="00642EA6">
        <w:rPr>
          <w:rFonts w:ascii="Verdana" w:eastAsia="Times New Roman" w:hAnsi="Verdana" w:cs="Arial"/>
          <w:sz w:val="21"/>
          <w:szCs w:val="21"/>
          <w:lang w:eastAsia="es-CO"/>
        </w:rPr>
        <w:t xml:space="preserve">Los sujetos obligados que contratan </w:t>
      </w:r>
      <w:r w:rsidRPr="00642EA6">
        <w:rPr>
          <w:rFonts w:ascii="Verdana" w:eastAsia="Times New Roman" w:hAnsi="Verdana" w:cs="Arial"/>
          <w:i/>
          <w:iCs/>
          <w:sz w:val="21"/>
          <w:szCs w:val="21"/>
          <w:lang w:eastAsia="es-CO"/>
        </w:rPr>
        <w:t>con cargo a recursos públicos</w:t>
      </w:r>
      <w:r w:rsidRPr="00642EA6">
        <w:rPr>
          <w:rFonts w:ascii="Verdana" w:eastAsia="Times New Roman" w:hAnsi="Verdana" w:cs="Arial"/>
          <w:sz w:val="21"/>
          <w:szCs w:val="21"/>
          <w:lang w:eastAsia="es-CO"/>
        </w:rPr>
        <w:t xml:space="preserve"> deben publicar la información de su gestión contractual en el plazo previsto en el artículo 19 del Decreto 1510 de 2013, o el que lo modifique, sustituya o adicione. </w:t>
      </w:r>
    </w:p>
    <w:p w14:paraId="7705A239" w14:textId="77777777" w:rsidR="00D92AFD" w:rsidRPr="00642EA6" w:rsidRDefault="00D92AFD" w:rsidP="00D92AFD">
      <w:pPr>
        <w:spacing w:before="120" w:after="0" w:line="240" w:lineRule="auto"/>
        <w:ind w:left="709" w:right="709"/>
        <w:jc w:val="both"/>
        <w:rPr>
          <w:rFonts w:ascii="Verdana" w:eastAsia="Times New Roman" w:hAnsi="Verdana" w:cs="Arial"/>
          <w:sz w:val="21"/>
          <w:szCs w:val="21"/>
          <w:lang w:eastAsia="es-CO"/>
        </w:rPr>
      </w:pPr>
      <w:r w:rsidRPr="00642EA6">
        <w:rPr>
          <w:rFonts w:ascii="Verdana" w:eastAsia="Times New Roman" w:hAnsi="Verdana" w:cs="Arial"/>
          <w:sz w:val="21"/>
          <w:szCs w:val="21"/>
          <w:lang w:eastAsia="es-CO"/>
        </w:rPr>
        <w:t>Los sujetos obligados que contratan con recursos públicos y recursos privados, deben publicar la información de su gestión contractual con cargo a recursos públicos en el Sistema Electrónico para la Contratación Pública (</w:t>
      </w:r>
      <w:proofErr w:type="spellStart"/>
      <w:r w:rsidRPr="00642EA6">
        <w:rPr>
          <w:rFonts w:ascii="Verdana" w:eastAsia="Times New Roman" w:hAnsi="Verdana" w:cs="Arial"/>
          <w:sz w:val="21"/>
          <w:szCs w:val="21"/>
          <w:lang w:eastAsia="es-CO"/>
        </w:rPr>
        <w:t>Secop</w:t>
      </w:r>
      <w:proofErr w:type="spellEnd"/>
      <w:r w:rsidRPr="00642EA6">
        <w:rPr>
          <w:rFonts w:ascii="Verdana" w:eastAsia="Times New Roman" w:hAnsi="Verdana" w:cs="Arial"/>
          <w:sz w:val="21"/>
          <w:szCs w:val="21"/>
          <w:lang w:eastAsia="es-CO"/>
        </w:rPr>
        <w:t>)”. [Énfasis fuera del texto original]</w:t>
      </w:r>
    </w:p>
    <w:p w14:paraId="2E2D4C09" w14:textId="77777777" w:rsidR="00D92AFD" w:rsidRPr="00642EA6" w:rsidRDefault="00D92AFD" w:rsidP="00D92AFD">
      <w:pPr>
        <w:spacing w:after="0" w:line="276" w:lineRule="auto"/>
        <w:ind w:left="709" w:right="709" w:firstLine="150"/>
        <w:contextualSpacing/>
        <w:jc w:val="both"/>
        <w:rPr>
          <w:rFonts w:ascii="Verdana" w:eastAsia="Times New Roman" w:hAnsi="Verdana" w:cs="Arial"/>
          <w:lang w:eastAsia="es-CO"/>
        </w:rPr>
      </w:pPr>
    </w:p>
    <w:p w14:paraId="1ACABB55" w14:textId="77777777" w:rsidR="00D92AFD" w:rsidRPr="00642EA6" w:rsidRDefault="00D92AFD" w:rsidP="00D92AFD">
      <w:pPr>
        <w:spacing w:before="120" w:after="120" w:line="276" w:lineRule="auto"/>
        <w:ind w:firstLine="709"/>
        <w:jc w:val="both"/>
        <w:rPr>
          <w:rFonts w:ascii="Verdana" w:eastAsia="Calibri" w:hAnsi="Verdana" w:cs="Arial"/>
          <w:lang w:val="es-ES_tradnl" w:eastAsia="es-ES_tradnl"/>
        </w:rPr>
      </w:pPr>
      <w:bookmarkStart w:id="1" w:name="_Hlk110869205"/>
      <w:r w:rsidRPr="00642EA6">
        <w:rPr>
          <w:rFonts w:ascii="Verdana" w:eastAsia="Calibri" w:hAnsi="Verdana" w:cs="Arial"/>
          <w:lang w:val="es-ES_tradnl" w:eastAsia="es-ES_tradnl"/>
        </w:rPr>
        <w:t xml:space="preserve">De las normas antes citadas es posible establecer que la obligación de publicar la actividad contractual siempre ha estado encaminada a que se publique aquella información relacionada con la ejecución de dineros públicos. Por tal razón, puede concluirse, a la luz de las disposiciones que regulan la materia, que el artículo 53 de la Ley 2195 de 2022 –al ampliar la obligación de las entidades con regímenes especiales de publicar su actividad contractual en </w:t>
      </w:r>
      <w:r w:rsidRPr="00642EA6">
        <w:rPr>
          <w:rFonts w:ascii="Verdana" w:eastAsia="Calibri" w:hAnsi="Verdana" w:cs="Arial"/>
          <w:lang w:val="es-ES_tradnl" w:eastAsia="es-ES_tradnl"/>
        </w:rPr>
        <w:lastRenderedPageBreak/>
        <w:t xml:space="preserve">el SECOP II– se refiere a aquella actividad contractual cuya fuente de financiación </w:t>
      </w:r>
      <w:r w:rsidRPr="00E325A0">
        <w:rPr>
          <w:rFonts w:ascii="Verdana" w:eastAsia="Calibri" w:hAnsi="Verdana" w:cs="Arial"/>
          <w:shd w:val="clear" w:color="auto" w:fill="FFFFFF"/>
        </w:rPr>
        <w:t>provenga</w:t>
      </w:r>
      <w:r w:rsidRPr="00642EA6">
        <w:rPr>
          <w:rFonts w:ascii="Verdana" w:eastAsia="Calibri" w:hAnsi="Verdana" w:cs="Arial"/>
          <w:lang w:val="es-ES_tradnl" w:eastAsia="es-ES_tradnl"/>
        </w:rPr>
        <w:t xml:space="preserve"> de recursos públicos. </w:t>
      </w:r>
    </w:p>
    <w:bookmarkEnd w:id="1"/>
    <w:p w14:paraId="6E8158FC" w14:textId="77777777" w:rsidR="00D92AFD" w:rsidRPr="00642EA6" w:rsidRDefault="00D92AFD" w:rsidP="00D92AFD">
      <w:pPr>
        <w:spacing w:after="120" w:line="276" w:lineRule="auto"/>
        <w:ind w:firstLine="708"/>
        <w:contextualSpacing/>
        <w:jc w:val="both"/>
        <w:rPr>
          <w:rFonts w:ascii="Verdana" w:eastAsia="Calibri" w:hAnsi="Verdana" w:cs="Arial"/>
          <w:lang w:val="es-ES"/>
        </w:rPr>
      </w:pPr>
      <w:r w:rsidRPr="00642EA6">
        <w:rPr>
          <w:rFonts w:ascii="Verdana" w:eastAsia="Calibri" w:hAnsi="Verdana" w:cs="Arial"/>
          <w:shd w:val="clear" w:color="auto" w:fill="FFFFFF"/>
          <w:lang w:val="es-ES"/>
        </w:rPr>
        <w:t xml:space="preserve">En consonancia con la interpretación antes expuesta, </w:t>
      </w:r>
      <w:r w:rsidRPr="00642EA6">
        <w:rPr>
          <w:rFonts w:ascii="Verdana" w:eastAsia="Calibri" w:hAnsi="Verdana" w:cs="Arial"/>
          <w:lang w:val="es-ES"/>
        </w:rPr>
        <w:t>la Circular 002 del 23 de agosto de 2024</w:t>
      </w:r>
      <w:r w:rsidRPr="00642EA6">
        <w:rPr>
          <w:rFonts w:ascii="Aptos" w:eastAsia="Aptos" w:hAnsi="Aptos" w:cs="Times New Roman"/>
          <w:vertAlign w:val="superscript"/>
          <w:lang w:val="es-ES"/>
        </w:rPr>
        <w:footnoteReference w:id="10"/>
      </w:r>
      <w:r w:rsidRPr="00642EA6">
        <w:rPr>
          <w:rFonts w:ascii="Verdana" w:eastAsia="Calibri" w:hAnsi="Verdana" w:cs="Arial"/>
          <w:lang w:val="es-ES"/>
        </w:rPr>
        <w:t>, expedida por la Agencia Nacional de Contratación Pública – Colombia Compra Eficiente, a través de la cual se dictan lineamientos para la aplicación del artículo 53 de la Ley 2195 de 2022, en el literal d) –denominado “Procedencia de los recursos como punto de partida para la publicación en el SECOP II”–, señala:</w:t>
      </w:r>
    </w:p>
    <w:p w14:paraId="733FA2B8" w14:textId="77777777" w:rsidR="00D92AFD" w:rsidRPr="00784503" w:rsidRDefault="00D92AFD" w:rsidP="00D92AFD">
      <w:pPr>
        <w:spacing w:after="0" w:line="276" w:lineRule="auto"/>
        <w:ind w:left="709" w:right="709"/>
        <w:jc w:val="both"/>
        <w:rPr>
          <w:rFonts w:ascii="Verdana" w:eastAsia="Calibri" w:hAnsi="Verdana" w:cs="Arial"/>
          <w:sz w:val="20"/>
          <w:szCs w:val="20"/>
          <w:lang w:val="es-ES_tradnl" w:eastAsia="es-ES_tradnl"/>
        </w:rPr>
      </w:pPr>
    </w:p>
    <w:p w14:paraId="6B5271B0" w14:textId="77777777" w:rsidR="00D92AFD" w:rsidRPr="00784503" w:rsidRDefault="00D92AFD" w:rsidP="00D92AFD">
      <w:pPr>
        <w:spacing w:after="0" w:line="240" w:lineRule="auto"/>
        <w:ind w:left="709" w:right="709"/>
        <w:jc w:val="both"/>
        <w:rPr>
          <w:rFonts w:ascii="Verdana" w:eastAsia="Calibri" w:hAnsi="Verdana" w:cs="Arial"/>
          <w:sz w:val="20"/>
          <w:szCs w:val="20"/>
          <w:lang w:val="es-ES" w:eastAsia="es-ES"/>
        </w:rPr>
      </w:pPr>
      <w:r w:rsidRPr="00784503">
        <w:rPr>
          <w:rFonts w:ascii="Verdana" w:eastAsia="Calibri" w:hAnsi="Verdana" w:cs="Arial"/>
          <w:sz w:val="20"/>
          <w:szCs w:val="20"/>
          <w:lang w:val="es-ES" w:eastAsia="es-ES"/>
        </w:rPr>
        <w:t xml:space="preserve">“La obligación de publicar la actividad contractual siempre ha estado encaminada a que se publique aquella información relacionada con la ejecución de los dineros públicos. Por tal razón, puede concluirse, a la luz de las disposiciones que regulan la materia, que </w:t>
      </w:r>
      <w:proofErr w:type="spellStart"/>
      <w:r w:rsidRPr="00784503">
        <w:rPr>
          <w:rFonts w:ascii="Verdana" w:eastAsia="Calibri" w:hAnsi="Verdana" w:cs="Arial"/>
          <w:sz w:val="20"/>
          <w:szCs w:val="20"/>
          <w:lang w:val="es-ES" w:eastAsia="es-ES"/>
        </w:rPr>
        <w:t>e</w:t>
      </w:r>
      <w:proofErr w:type="spellEnd"/>
      <w:r w:rsidRPr="00784503">
        <w:rPr>
          <w:rFonts w:ascii="Verdana" w:eastAsia="Calibri" w:hAnsi="Verdana" w:cs="Arial"/>
          <w:sz w:val="20"/>
          <w:szCs w:val="20"/>
          <w:lang w:val="es-ES" w:eastAsia="es-ES"/>
        </w:rPr>
        <w:t xml:space="preserve"> el artículo 53 -al ampliar la obligación de las entidades con regímenes especiales de publicar su actividad contractual en el SECOP II- se refiere a aquella actividad contractual cuya fuente de financiación provenga de recursos públicos […]”</w:t>
      </w:r>
    </w:p>
    <w:p w14:paraId="54E06F16" w14:textId="77777777" w:rsidR="00D92AFD" w:rsidRPr="00642EA6" w:rsidRDefault="00D92AFD" w:rsidP="00D92AFD">
      <w:pPr>
        <w:spacing w:after="0" w:line="276" w:lineRule="auto"/>
        <w:ind w:firstLine="709"/>
        <w:contextualSpacing/>
        <w:jc w:val="both"/>
        <w:rPr>
          <w:rFonts w:ascii="Verdana" w:eastAsia="Calibri" w:hAnsi="Verdana" w:cs="Arial"/>
          <w:lang w:val="es-ES_tradnl" w:eastAsia="es-ES_tradnl"/>
        </w:rPr>
      </w:pPr>
    </w:p>
    <w:p w14:paraId="41128C76" w14:textId="77777777" w:rsidR="00D92AFD" w:rsidRPr="00642EA6" w:rsidRDefault="00D92AFD" w:rsidP="00D92AFD">
      <w:pPr>
        <w:spacing w:after="120" w:line="276" w:lineRule="auto"/>
        <w:ind w:firstLine="709"/>
        <w:jc w:val="both"/>
        <w:rPr>
          <w:rFonts w:ascii="Verdana" w:eastAsia="Calibri" w:hAnsi="Verdana" w:cs="Arial"/>
          <w:shd w:val="clear" w:color="auto" w:fill="FFFFFF"/>
        </w:rPr>
      </w:pPr>
      <w:r w:rsidRPr="00642EA6">
        <w:rPr>
          <w:rFonts w:ascii="Verdana" w:eastAsia="Calibri" w:hAnsi="Verdana" w:cs="Arial"/>
          <w:lang w:val="es-ES"/>
        </w:rPr>
        <w:t xml:space="preserve">De conformidad con lo anterior, debe entenderse que la contratación a la que se refiere el artículo 53 de la Ley 2195 de 2024, es aquella realizada con recursos públicos, cuya información es la que debe publicarse en el SECOP II, acorde con la interpretación sistemática que permite armonizar la referida norma con todo el contexto normativo que establece que en dicha plataforma se debe publicar sólo la información relativa a la actividad contractual </w:t>
      </w:r>
      <w:r>
        <w:rPr>
          <w:rFonts w:ascii="Verdana" w:eastAsia="Calibri" w:hAnsi="Verdana" w:cs="Arial"/>
          <w:lang w:val="es-ES"/>
        </w:rPr>
        <w:t>financiada</w:t>
      </w:r>
      <w:r w:rsidRPr="00642EA6">
        <w:rPr>
          <w:rFonts w:ascii="Verdana" w:eastAsia="Calibri" w:hAnsi="Verdana" w:cs="Arial"/>
          <w:lang w:val="es-ES"/>
        </w:rPr>
        <w:t xml:space="preserve"> dineros públicos. </w:t>
      </w:r>
      <w:r>
        <w:rPr>
          <w:rFonts w:ascii="Verdana" w:eastAsia="Calibri" w:hAnsi="Verdana" w:cs="Arial"/>
          <w:shd w:val="clear" w:color="auto" w:fill="FFFFFF"/>
        </w:rPr>
        <w:t>En consideración a esto, resulta claro que la obligatoriedad de publicar la actividad contractual establecida en el artículo 13 de la Ley 1150 de 2007, adicionado por el artículo 53 de la Ley 2195 de 2022, se refiere a la contratación financiada con recursos públicos, deviniendo en potestativa la publicación de la contratación</w:t>
      </w:r>
      <w:r w:rsidRPr="00642EA6">
        <w:rPr>
          <w:rFonts w:ascii="Verdana" w:eastAsia="Calibri" w:hAnsi="Verdana" w:cs="Arial"/>
          <w:shd w:val="clear" w:color="auto" w:fill="FFFFFF"/>
        </w:rPr>
        <w:t xml:space="preserve"> </w:t>
      </w:r>
      <w:r>
        <w:rPr>
          <w:rFonts w:ascii="Verdana" w:eastAsia="Calibri" w:hAnsi="Verdana" w:cs="Arial"/>
          <w:shd w:val="clear" w:color="auto" w:fill="FFFFFF"/>
          <w:lang w:val="es-ES"/>
        </w:rPr>
        <w:t xml:space="preserve">desarrollada con otro tipo de recursos. </w:t>
      </w:r>
    </w:p>
    <w:p w14:paraId="33D38649" w14:textId="77777777" w:rsidR="00984D71" w:rsidRDefault="00D92AFD" w:rsidP="00984D71">
      <w:pPr>
        <w:tabs>
          <w:tab w:val="left" w:pos="709"/>
        </w:tabs>
        <w:spacing w:before="120" w:after="120" w:line="276" w:lineRule="auto"/>
        <w:contextualSpacing/>
        <w:jc w:val="both"/>
        <w:rPr>
          <w:rFonts w:ascii="Verdana" w:eastAsia="Aptos" w:hAnsi="Verdana" w:cs="Arial"/>
          <w:shd w:val="clear" w:color="auto" w:fill="FFFFFF"/>
        </w:rPr>
      </w:pPr>
      <w:r>
        <w:rPr>
          <w:rFonts w:ascii="Verdana" w:eastAsia="Aptos" w:hAnsi="Verdana" w:cs="Arial"/>
          <w:shd w:val="clear" w:color="auto" w:fill="FFFFFF"/>
        </w:rPr>
        <w:tab/>
        <w:t>En todo caso</w:t>
      </w:r>
      <w:r w:rsidRPr="00642EA6">
        <w:rPr>
          <w:rFonts w:ascii="Verdana" w:eastAsia="Aptos" w:hAnsi="Verdana" w:cs="Arial"/>
          <w:shd w:val="clear" w:color="auto" w:fill="FFFFFF"/>
        </w:rPr>
        <w:t xml:space="preserve">, corresponde a </w:t>
      </w:r>
      <w:r>
        <w:rPr>
          <w:rFonts w:ascii="Verdana" w:eastAsia="Aptos" w:hAnsi="Verdana" w:cs="Arial"/>
          <w:shd w:val="clear" w:color="auto" w:fill="FFFFFF"/>
        </w:rPr>
        <w:t xml:space="preserve">cada </w:t>
      </w:r>
      <w:r w:rsidRPr="00642EA6">
        <w:rPr>
          <w:rFonts w:ascii="Verdana" w:eastAsia="Aptos" w:hAnsi="Verdana" w:cs="Arial"/>
          <w:shd w:val="clear" w:color="auto" w:fill="FFFFFF"/>
        </w:rPr>
        <w:t xml:space="preserve">entidad de régimen especial de contratación dar cumplimiento al deber </w:t>
      </w:r>
      <w:r>
        <w:rPr>
          <w:rFonts w:ascii="Verdana" w:eastAsia="Aptos" w:hAnsi="Verdana" w:cs="Arial"/>
          <w:shd w:val="clear" w:color="auto" w:fill="FFFFFF"/>
        </w:rPr>
        <w:t xml:space="preserve">de publicación </w:t>
      </w:r>
      <w:r w:rsidRPr="00642EA6">
        <w:rPr>
          <w:rFonts w:ascii="Verdana" w:eastAsia="Aptos" w:hAnsi="Verdana" w:cs="Arial"/>
          <w:shd w:val="clear" w:color="auto" w:fill="FFFFFF"/>
        </w:rPr>
        <w:t>que les asiste</w:t>
      </w:r>
      <w:r>
        <w:rPr>
          <w:rFonts w:ascii="Verdana" w:eastAsia="Aptos" w:hAnsi="Verdana" w:cs="Arial"/>
          <w:shd w:val="clear" w:color="auto" w:fill="FFFFFF"/>
        </w:rPr>
        <w:t xml:space="preserve"> en relación con su actividad contractual</w:t>
      </w:r>
      <w:r w:rsidRPr="00642EA6">
        <w:rPr>
          <w:rFonts w:ascii="Verdana" w:eastAsia="Aptos" w:hAnsi="Verdana" w:cs="Arial"/>
          <w:shd w:val="clear" w:color="auto" w:fill="FFFFFF"/>
        </w:rPr>
        <w:t xml:space="preserve"> </w:t>
      </w:r>
      <w:r>
        <w:rPr>
          <w:rFonts w:ascii="Verdana" w:eastAsia="Aptos" w:hAnsi="Verdana" w:cs="Arial"/>
          <w:shd w:val="clear" w:color="auto" w:fill="FFFFFF"/>
        </w:rPr>
        <w:t xml:space="preserve">en cumplimiento del </w:t>
      </w:r>
      <w:r w:rsidRPr="00642EA6">
        <w:rPr>
          <w:rFonts w:ascii="Verdana" w:eastAsia="Aptos" w:hAnsi="Verdana" w:cs="Arial"/>
          <w:shd w:val="clear" w:color="auto" w:fill="FFFFFF"/>
        </w:rPr>
        <w:t xml:space="preserve">artículo 53 de la Ley 2195 de 2022. </w:t>
      </w:r>
    </w:p>
    <w:p w14:paraId="4CAC7666" w14:textId="77777777" w:rsidR="00984D71" w:rsidRDefault="00984D71" w:rsidP="00984D71">
      <w:pPr>
        <w:tabs>
          <w:tab w:val="left" w:pos="709"/>
        </w:tabs>
        <w:spacing w:before="120" w:after="120" w:line="276" w:lineRule="auto"/>
        <w:contextualSpacing/>
        <w:jc w:val="both"/>
        <w:rPr>
          <w:rFonts w:ascii="Verdana" w:eastAsia="Aptos" w:hAnsi="Verdana" w:cs="Arial"/>
          <w:shd w:val="clear" w:color="auto" w:fill="FFFFFF"/>
        </w:rPr>
      </w:pPr>
    </w:p>
    <w:p w14:paraId="1A6592AF" w14:textId="77777777" w:rsidR="00984D71" w:rsidRDefault="00984D71" w:rsidP="00984D71">
      <w:pPr>
        <w:tabs>
          <w:tab w:val="left" w:pos="709"/>
        </w:tabs>
        <w:spacing w:before="120" w:after="120" w:line="276" w:lineRule="auto"/>
        <w:contextualSpacing/>
        <w:jc w:val="both"/>
        <w:rPr>
          <w:rFonts w:ascii="Verdana" w:eastAsia="Aptos" w:hAnsi="Verdana" w:cs="Arial"/>
          <w:shd w:val="clear" w:color="auto" w:fill="FFFFFF"/>
        </w:rPr>
      </w:pPr>
      <w:r>
        <w:rPr>
          <w:rFonts w:ascii="Verdana" w:eastAsia="Aptos" w:hAnsi="Verdana" w:cs="Arial"/>
          <w:shd w:val="clear" w:color="auto" w:fill="FFFFFF"/>
        </w:rPr>
        <w:lastRenderedPageBreak/>
        <w:t xml:space="preserve">        </w:t>
      </w:r>
      <w:r>
        <w:rPr>
          <w:rFonts w:ascii="Verdana" w:eastAsia="Calibri" w:hAnsi="Verdana" w:cs="Arial"/>
        </w:rPr>
        <w:t>De igual manera</w:t>
      </w:r>
      <w:r w:rsidRPr="006D0D53">
        <w:rPr>
          <w:rFonts w:ascii="Verdana" w:eastAsia="Calibri" w:hAnsi="Verdana" w:cs="Arial"/>
        </w:rPr>
        <w:t xml:space="preserve"> se recomienda la consulta detallada de la Circular Externa No. 002 de 2024, expedida por la Agencia Nacional de Contratación Pública – Colombia Compra Eficiente. Este documento técnico es el instrumento vigente que imparte las directrices definitivas sobre los términos, condiciones y opciones de cumplimiento para la publicación de la información en el SECOP II, permitiendo a las entidades de régimen especial armonizar sus procedimientos internos con las exigencias de transparencia y los plazos legales de reporte.</w:t>
      </w:r>
    </w:p>
    <w:p w14:paraId="675A17D2" w14:textId="77777777" w:rsidR="00984D71" w:rsidRDefault="00984D71" w:rsidP="00984D71">
      <w:pPr>
        <w:tabs>
          <w:tab w:val="left" w:pos="709"/>
        </w:tabs>
        <w:spacing w:before="120" w:after="120" w:line="276" w:lineRule="auto"/>
        <w:contextualSpacing/>
        <w:jc w:val="both"/>
        <w:rPr>
          <w:rFonts w:ascii="Verdana" w:eastAsia="Aptos" w:hAnsi="Verdana" w:cs="Arial"/>
          <w:shd w:val="clear" w:color="auto" w:fill="FFFFFF"/>
        </w:rPr>
      </w:pPr>
    </w:p>
    <w:p w14:paraId="1524EBE8" w14:textId="0650B1A1" w:rsidR="00956B73" w:rsidRDefault="00984D71" w:rsidP="00984D71">
      <w:pPr>
        <w:tabs>
          <w:tab w:val="left" w:pos="709"/>
        </w:tabs>
        <w:spacing w:before="120" w:after="120" w:line="276" w:lineRule="auto"/>
        <w:contextualSpacing/>
        <w:jc w:val="both"/>
      </w:pPr>
      <w:r>
        <w:rPr>
          <w:rFonts w:ascii="Verdana" w:eastAsia="Aptos" w:hAnsi="Verdana" w:cs="Arial"/>
          <w:shd w:val="clear" w:color="auto" w:fill="FFFFFF"/>
        </w:rPr>
        <w:tab/>
      </w:r>
      <w:r w:rsidR="0099297C">
        <w:rPr>
          <w:rFonts w:ascii="Verdana" w:eastAsia="Calibri" w:hAnsi="Verdana" w:cs="Arial"/>
          <w:bCs/>
          <w:color w:val="000000" w:themeColor="text1"/>
        </w:rPr>
        <w:t>Finalmente</w:t>
      </w:r>
      <w:r w:rsidR="0099297C">
        <w:rPr>
          <w:rFonts w:ascii="Verdana" w:eastAsia="Calibri" w:hAnsi="Verdana" w:cs="Times New Roman"/>
          <w:lang w:val="es-ES"/>
        </w:rPr>
        <w:t>,</w:t>
      </w:r>
      <w:r w:rsidR="0099297C" w:rsidRPr="00DB4737">
        <w:rPr>
          <w:rFonts w:ascii="Verdana" w:eastAsia="Calibri" w:hAnsi="Verdana" w:cs="Times New Roman"/>
          <w:lang w:val="es-ES"/>
        </w:rPr>
        <w:t xml:space="preserve"> debe advertirse que el análisis en torno </w:t>
      </w:r>
      <w:r w:rsidR="0099297C">
        <w:rPr>
          <w:rFonts w:ascii="Verdana" w:eastAsia="Calibri" w:hAnsi="Verdana" w:cs="Times New Roman"/>
          <w:lang w:val="es-ES"/>
        </w:rPr>
        <w:t>a un proceso de contratación especifico debe</w:t>
      </w:r>
      <w:r w:rsidR="0099297C" w:rsidRPr="0012388D">
        <w:rPr>
          <w:rFonts w:ascii="Verdana" w:eastAsia="Calibri" w:hAnsi="Verdana" w:cs="Times New Roman"/>
          <w:lang w:val="es-ES"/>
        </w:rPr>
        <w:t xml:space="preserve"> ser realizado por quienes tengan interés en ello.</w:t>
      </w:r>
      <w:r w:rsidR="0099297C"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99297C">
        <w:t xml:space="preserve"> </w:t>
      </w:r>
    </w:p>
    <w:p w14:paraId="041DAA3A" w14:textId="77777777" w:rsidR="00984D71" w:rsidRPr="00984D71" w:rsidRDefault="00984D71" w:rsidP="00984D71">
      <w:pPr>
        <w:tabs>
          <w:tab w:val="left" w:pos="709"/>
        </w:tabs>
        <w:spacing w:before="120" w:after="120" w:line="276" w:lineRule="auto"/>
        <w:contextualSpacing/>
        <w:jc w:val="both"/>
        <w:rPr>
          <w:rFonts w:ascii="Verdana" w:eastAsia="Aptos" w:hAnsi="Verdana" w:cs="Arial"/>
          <w:shd w:val="clear" w:color="auto" w:fill="FFFFFF"/>
        </w:rPr>
      </w:pPr>
    </w:p>
    <w:p w14:paraId="6F049E82" w14:textId="447ADA47" w:rsidR="0099297C" w:rsidRPr="00956B73" w:rsidRDefault="00956B73" w:rsidP="0099297C">
      <w:pPr>
        <w:tabs>
          <w:tab w:val="left" w:pos="426"/>
        </w:tabs>
        <w:spacing w:after="120" w:line="276" w:lineRule="auto"/>
        <w:jc w:val="both"/>
        <w:rPr>
          <w:rFonts w:ascii="Verdana" w:hAnsi="Verdana" w:cs="Arial"/>
          <w:bCs/>
          <w:lang w:eastAsia="es-CO"/>
        </w:rPr>
      </w:pPr>
      <w:r>
        <w:rPr>
          <w:rFonts w:ascii="Verdana" w:hAnsi="Verdana" w:cs="Arial"/>
          <w:bCs/>
          <w:lang w:eastAsia="es-CO"/>
        </w:rPr>
        <w:tab/>
      </w:r>
      <w:proofErr w:type="spellStart"/>
      <w:r w:rsidR="0099297C">
        <w:rPr>
          <w:rFonts w:ascii="Verdana" w:eastAsia="Calibri" w:hAnsi="Verdana" w:cs="Times New Roman"/>
          <w:lang w:val="es-ES"/>
        </w:rPr>
        <w:t>Asi</w:t>
      </w:r>
      <w:proofErr w:type="spellEnd"/>
      <w:r w:rsidR="0099297C">
        <w:rPr>
          <w:rFonts w:ascii="Verdana" w:eastAsia="Calibri" w:hAnsi="Verdana" w:cs="Times New Roman"/>
          <w:lang w:val="es-ES"/>
        </w:rPr>
        <w:t xml:space="preserve"> las cosas</w:t>
      </w:r>
      <w:r w:rsidR="0099297C"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7A3FD9A" w14:textId="77777777" w:rsidR="00AB5151" w:rsidRPr="005A6C33" w:rsidRDefault="00AB5151" w:rsidP="005B261C">
      <w:pPr>
        <w:widowControl w:val="0"/>
        <w:autoSpaceDE w:val="0"/>
        <w:autoSpaceDN w:val="0"/>
        <w:spacing w:after="0" w:line="276" w:lineRule="auto"/>
        <w:jc w:val="both"/>
        <w:rPr>
          <w:rFonts w:ascii="Verdana" w:hAnsi="Verdana" w:cs="Arial"/>
          <w:color w:val="000000" w:themeColor="text1"/>
        </w:rPr>
      </w:pPr>
    </w:p>
    <w:p w14:paraId="1338AC9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0040ED14"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261C" w:rsidRPr="00115E3D" w14:paraId="0BF4D7F6" w14:textId="77777777" w:rsidTr="008D7291">
        <w:trPr>
          <w:trHeight w:val="335"/>
        </w:trPr>
        <w:tc>
          <w:tcPr>
            <w:tcW w:w="8647" w:type="dxa"/>
          </w:tcPr>
          <w:p w14:paraId="475B8213" w14:textId="77777777" w:rsidR="00984D71" w:rsidRPr="00642EA6" w:rsidRDefault="00984D71" w:rsidP="00984D71">
            <w:pPr>
              <w:widowControl w:val="0"/>
              <w:numPr>
                <w:ilvl w:val="0"/>
                <w:numId w:val="18"/>
              </w:numPr>
              <w:autoSpaceDE w:val="0"/>
              <w:autoSpaceDN w:val="0"/>
              <w:spacing w:after="120" w:line="276" w:lineRule="auto"/>
              <w:contextualSpacing/>
              <w:jc w:val="both"/>
              <w:rPr>
                <w:rFonts w:ascii="Verdana" w:eastAsia="Calibri" w:hAnsi="Verdana" w:cs="Arial"/>
                <w:lang w:val="es-ES"/>
              </w:rPr>
            </w:pPr>
            <w:r w:rsidRPr="00642EA6">
              <w:rPr>
                <w:rFonts w:ascii="Verdana" w:eastAsia="Calibri" w:hAnsi="Verdana" w:cs="Arial"/>
                <w:lang w:val="es-ES"/>
              </w:rPr>
              <w:t>Ley 1150 de 2007. Artículo 13, literal c); Artículo 14</w:t>
            </w:r>
          </w:p>
          <w:p w14:paraId="1C99FC8E" w14:textId="77777777" w:rsidR="00984D71" w:rsidRPr="00642EA6" w:rsidRDefault="00984D71" w:rsidP="00984D71">
            <w:pPr>
              <w:widowControl w:val="0"/>
              <w:numPr>
                <w:ilvl w:val="0"/>
                <w:numId w:val="18"/>
              </w:numPr>
              <w:autoSpaceDE w:val="0"/>
              <w:autoSpaceDN w:val="0"/>
              <w:spacing w:after="120" w:line="276" w:lineRule="auto"/>
              <w:contextualSpacing/>
              <w:jc w:val="both"/>
              <w:rPr>
                <w:rFonts w:ascii="Verdana" w:eastAsia="Calibri" w:hAnsi="Verdana" w:cs="Arial"/>
                <w:lang w:val="es-ES"/>
              </w:rPr>
            </w:pPr>
            <w:r w:rsidRPr="00642EA6">
              <w:rPr>
                <w:rFonts w:ascii="Verdana" w:eastAsia="Calibri" w:hAnsi="Verdana" w:cs="Arial"/>
                <w:lang w:val="es-ES"/>
              </w:rPr>
              <w:t>Ley 1712 de 2014. Artículo 2; Artículo 9; Artículo 11, literal g)</w:t>
            </w:r>
          </w:p>
          <w:p w14:paraId="5A7A8B68" w14:textId="77777777" w:rsidR="00984D71" w:rsidRPr="00642EA6" w:rsidRDefault="00984D71" w:rsidP="00984D71">
            <w:pPr>
              <w:widowControl w:val="0"/>
              <w:numPr>
                <w:ilvl w:val="0"/>
                <w:numId w:val="18"/>
              </w:numPr>
              <w:autoSpaceDE w:val="0"/>
              <w:autoSpaceDN w:val="0"/>
              <w:spacing w:after="120" w:line="276" w:lineRule="auto"/>
              <w:contextualSpacing/>
              <w:jc w:val="both"/>
              <w:rPr>
                <w:rFonts w:ascii="Verdana" w:eastAsia="Calibri" w:hAnsi="Verdana" w:cs="Arial"/>
                <w:lang w:val="es-ES"/>
              </w:rPr>
            </w:pPr>
            <w:r w:rsidRPr="00642EA6">
              <w:rPr>
                <w:rFonts w:ascii="Verdana" w:eastAsia="Calibri" w:hAnsi="Verdana" w:cs="Arial"/>
                <w:lang w:val="es-ES"/>
              </w:rPr>
              <w:t>Ley 2195 de 2022. Artículo 53</w:t>
            </w:r>
          </w:p>
          <w:p w14:paraId="2A42FAFC" w14:textId="77777777" w:rsidR="00984D71" w:rsidRPr="00642EA6" w:rsidRDefault="00984D71" w:rsidP="00984D71">
            <w:pPr>
              <w:widowControl w:val="0"/>
              <w:numPr>
                <w:ilvl w:val="0"/>
                <w:numId w:val="18"/>
              </w:numPr>
              <w:autoSpaceDE w:val="0"/>
              <w:autoSpaceDN w:val="0"/>
              <w:spacing w:after="120" w:line="276" w:lineRule="auto"/>
              <w:contextualSpacing/>
              <w:jc w:val="both"/>
              <w:rPr>
                <w:rFonts w:ascii="Verdana" w:eastAsia="Calibri" w:hAnsi="Verdana" w:cs="Arial"/>
                <w:lang w:val="es-ES"/>
              </w:rPr>
            </w:pPr>
            <w:r w:rsidRPr="00642EA6">
              <w:rPr>
                <w:rFonts w:ascii="Verdana" w:eastAsia="Calibri" w:hAnsi="Verdana" w:cs="Arial"/>
                <w:lang w:val="es-ES"/>
              </w:rPr>
              <w:t xml:space="preserve">Decreto 1082 de 2015. Artículo </w:t>
            </w:r>
            <w:r w:rsidRPr="00642EA6">
              <w:rPr>
                <w:rFonts w:ascii="Verdana" w:eastAsia="Aptos" w:hAnsi="Verdana" w:cs="Arial"/>
                <w:color w:val="000000"/>
                <w:shd w:val="clear" w:color="auto" w:fill="FFFFFF"/>
              </w:rPr>
              <w:t>2.2.1.1.1.7.1</w:t>
            </w:r>
          </w:p>
          <w:p w14:paraId="66A36618" w14:textId="77777777" w:rsidR="00984D71" w:rsidRPr="00642EA6" w:rsidRDefault="00984D71" w:rsidP="00984D71">
            <w:pPr>
              <w:widowControl w:val="0"/>
              <w:numPr>
                <w:ilvl w:val="0"/>
                <w:numId w:val="18"/>
              </w:numPr>
              <w:autoSpaceDE w:val="0"/>
              <w:autoSpaceDN w:val="0"/>
              <w:spacing w:line="276" w:lineRule="auto"/>
              <w:contextualSpacing/>
              <w:jc w:val="both"/>
              <w:rPr>
                <w:rFonts w:ascii="Verdana" w:eastAsia="Aptos" w:hAnsi="Verdana" w:cs="Arial"/>
              </w:rPr>
            </w:pPr>
            <w:r w:rsidRPr="00642EA6">
              <w:rPr>
                <w:rFonts w:ascii="Verdana" w:eastAsia="Calibri" w:hAnsi="Verdana" w:cs="Arial"/>
                <w:lang w:val="es-ES"/>
              </w:rPr>
              <w:t xml:space="preserve">Circular Externa Única, disponible </w:t>
            </w:r>
            <w:hyperlink r:id="rId14" w:history="1">
              <w:r w:rsidRPr="00642EA6">
                <w:rPr>
                  <w:rFonts w:ascii="Verdana" w:eastAsia="Calibri" w:hAnsi="Verdana" w:cs="Arial"/>
                  <w:color w:val="467886"/>
                  <w:u w:val="single"/>
                  <w:lang w:val="es-ES"/>
                </w:rPr>
                <w:t>aquí</w:t>
              </w:r>
            </w:hyperlink>
          </w:p>
          <w:p w14:paraId="58929F44" w14:textId="25908AAD" w:rsidR="005B261C" w:rsidRPr="00D81159" w:rsidRDefault="00984D71" w:rsidP="00984D71">
            <w:pPr>
              <w:pStyle w:val="Prrafodelista"/>
              <w:widowControl w:val="0"/>
              <w:autoSpaceDE w:val="0"/>
              <w:autoSpaceDN w:val="0"/>
              <w:contextualSpacing w:val="0"/>
              <w:jc w:val="both"/>
              <w:rPr>
                <w:rFonts w:ascii="Verdana" w:hAnsi="Verdana" w:cs="Arial"/>
              </w:rPr>
            </w:pPr>
            <w:r w:rsidRPr="00642EA6">
              <w:rPr>
                <w:rFonts w:ascii="Verdana" w:eastAsia="Calibri" w:hAnsi="Verdana" w:cs="Arial"/>
              </w:rPr>
              <w:t xml:space="preserve">Circular Externa No. 002 del 23 de agosto de 2024, disponible </w:t>
            </w:r>
            <w:hyperlink r:id="rId15" w:history="1">
              <w:r w:rsidRPr="00642EA6">
                <w:rPr>
                  <w:rFonts w:ascii="Verdana" w:eastAsia="Calibri" w:hAnsi="Verdana" w:cs="Arial"/>
                  <w:color w:val="467886"/>
                  <w:u w:val="single"/>
                </w:rPr>
                <w:t>aquí</w:t>
              </w:r>
            </w:hyperlink>
          </w:p>
        </w:tc>
      </w:tr>
    </w:tbl>
    <w:p w14:paraId="4B0DAD3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66BA0CD0"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0A8A638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7A17FA77" w14:textId="41D3A2DE" w:rsidR="005B261C" w:rsidRPr="00AB5151" w:rsidRDefault="000D6575" w:rsidP="005B261C">
      <w:pPr>
        <w:widowControl w:val="0"/>
        <w:autoSpaceDE w:val="0"/>
        <w:autoSpaceDN w:val="0"/>
        <w:spacing w:after="0" w:line="276" w:lineRule="auto"/>
        <w:jc w:val="both"/>
        <w:rPr>
          <w:rStyle w:val="normaltextrun"/>
          <w:rFonts w:ascii="Verdana" w:hAnsi="Verdana" w:cs="Arial"/>
          <w:shd w:val="clear" w:color="auto" w:fill="FFFFFF"/>
          <w:lang w:val="es-ES"/>
        </w:rPr>
      </w:pPr>
      <w:r>
        <w:rPr>
          <w:rFonts w:ascii="Verdana" w:eastAsia="Calibri" w:hAnsi="Verdana" w:cs="Arial"/>
          <w:lang w:eastAsia="es-MX"/>
        </w:rPr>
        <w:lastRenderedPageBreak/>
        <w:t>S</w:t>
      </w:r>
      <w:r w:rsidRPr="00642EA6">
        <w:rPr>
          <w:rFonts w:ascii="Verdana" w:eastAsia="Calibri" w:hAnsi="Verdana" w:cs="Arial"/>
          <w:lang w:val="es-ES_tradnl" w:eastAsia="es-MX"/>
        </w:rPr>
        <w:t>obre la interpretación del artículo 53 de la Ley 2195 de 2022</w:t>
      </w:r>
      <w:r>
        <w:rPr>
          <w:rStyle w:val="normaltextrun"/>
          <w:rFonts w:ascii="Verdana" w:hAnsi="Verdana" w:cs="Arial"/>
          <w:shd w:val="clear" w:color="auto" w:fill="FFFFFF"/>
          <w:lang w:val="es-ES"/>
        </w:rPr>
        <w:t xml:space="preserve"> </w:t>
      </w:r>
      <w:r w:rsidRPr="007C1C94">
        <w:rPr>
          <w:rStyle w:val="normaltextrun"/>
          <w:rFonts w:ascii="Verdana" w:hAnsi="Verdana" w:cs="Arial"/>
          <w:shd w:val="clear" w:color="auto" w:fill="FFFFFF"/>
          <w:lang w:val="es-ES"/>
        </w:rPr>
        <w:t>se pronunció esta Subdirección en los conceptos</w:t>
      </w:r>
      <w:r w:rsidRPr="007C1C94">
        <w:rPr>
          <w:rStyle w:val="normaltextrun"/>
          <w:rFonts w:ascii="Verdana" w:hAnsi="Verdana" w:cs="Calibri"/>
          <w:shd w:val="clear" w:color="auto" w:fill="FFFFFF"/>
        </w:rPr>
        <w:t xml:space="preserve"> </w:t>
      </w:r>
      <w:r w:rsidRPr="00642EA6">
        <w:rPr>
          <w:rFonts w:ascii="Verdana" w:eastAsia="Calibri" w:hAnsi="Verdana" w:cs="Arial"/>
          <w:lang w:val="es-ES_tradnl" w:eastAsia="es-MX"/>
        </w:rPr>
        <w:t>C-049 del 7 de marzo de 2022, C-120 del 22 de marzo de 2022, C-124 del 22 de marzo de 2022, C-132 del 28 de marzo de 2022, C-337 del 25 de mayo de 2022, C-348 del 13 de junio de 2022, C-480 del 18 de julio de 2022, C- 544 del 29 de agosto de 2022, C-555 del 6 de septiembre de 2022, C- 821 de 29 de noviembre de 2022</w:t>
      </w:r>
      <w:r>
        <w:rPr>
          <w:rFonts w:ascii="Verdana" w:eastAsia="Calibri" w:hAnsi="Verdana" w:cs="Arial"/>
          <w:lang w:val="es-ES_tradnl" w:eastAsia="es-MX"/>
        </w:rPr>
        <w:t>,</w:t>
      </w:r>
      <w:r w:rsidRPr="00642EA6">
        <w:rPr>
          <w:rFonts w:ascii="Verdana" w:eastAsia="Calibri" w:hAnsi="Verdana" w:cs="Arial"/>
          <w:lang w:val="es-ES_tradnl" w:eastAsia="es-MX"/>
        </w:rPr>
        <w:t xml:space="preserve"> C-071 del 28 de marzo de 2023</w:t>
      </w:r>
      <w:r w:rsidRPr="00642EA6">
        <w:rPr>
          <w:rFonts w:ascii="Verdana" w:eastAsia="Aptos" w:hAnsi="Verdana" w:cs="Arial"/>
          <w:shd w:val="clear" w:color="auto" w:fill="FFFFFF"/>
          <w:lang w:val="es-ES"/>
        </w:rPr>
        <w:t>,</w:t>
      </w:r>
      <w:r>
        <w:rPr>
          <w:rFonts w:ascii="Verdana" w:eastAsia="Aptos" w:hAnsi="Verdana" w:cs="Arial"/>
          <w:shd w:val="clear" w:color="auto" w:fill="FFFFFF"/>
          <w:lang w:val="es-ES"/>
        </w:rPr>
        <w:t xml:space="preserve"> </w:t>
      </w:r>
      <w:r>
        <w:rPr>
          <w:rFonts w:ascii="Verdana" w:eastAsia="Aptos" w:hAnsi="Verdana" w:cs="Arial"/>
          <w:shd w:val="clear" w:color="auto" w:fill="FFFFFF"/>
          <w:lang w:val="es-ES"/>
        </w:rPr>
        <w:br/>
        <w:t>C-540 del 7 de octubre de 2024, C-710 del 20 de noviembre de 2024, C-058 del 24 de febrero de 2025</w:t>
      </w:r>
      <w:r w:rsidR="00B30302">
        <w:rPr>
          <w:rFonts w:ascii="Verdana" w:eastAsia="Aptos" w:hAnsi="Verdana" w:cs="Arial"/>
          <w:shd w:val="clear" w:color="auto" w:fill="FFFFFF"/>
          <w:lang w:val="es-ES"/>
        </w:rPr>
        <w:t xml:space="preserve"> y </w:t>
      </w:r>
      <w:r w:rsidR="00B30302">
        <w:rPr>
          <w:rFonts w:ascii="Verdana" w:eastAsia="Calibri" w:hAnsi="Verdana" w:cs="Arial"/>
        </w:rPr>
        <w:t>C-402 del 07 de mayo de 2025,</w:t>
      </w:r>
      <w:r w:rsidRPr="00642EA6">
        <w:rPr>
          <w:rFonts w:ascii="Verdana" w:eastAsia="Aptos" w:hAnsi="Verdana" w:cs="Arial"/>
          <w:shd w:val="clear" w:color="auto" w:fill="FFFFFF"/>
          <w:lang w:val="es-ES"/>
        </w:rPr>
        <w:t xml:space="preserve"> entre otros</w:t>
      </w:r>
      <w:r w:rsidR="00985FAD">
        <w:rPr>
          <w:rFonts w:ascii="Verdana" w:eastAsia="Calibri" w:hAnsi="Verdana" w:cs="Arial"/>
          <w:shd w:val="clear" w:color="auto" w:fill="FFFFFF"/>
          <w:lang w:val="es-ES"/>
        </w:rPr>
        <w:t xml:space="preserve">. </w:t>
      </w:r>
      <w:r w:rsidR="005B261C" w:rsidRPr="00AB5151">
        <w:rPr>
          <w:rStyle w:val="normaltextrun"/>
          <w:rFonts w:ascii="Verdana" w:hAnsi="Verdana" w:cs="Arial"/>
          <w:shd w:val="clear" w:color="auto" w:fill="FFFFFF"/>
          <w:lang w:val="es-ES"/>
        </w:rPr>
        <w:t>Es</w:t>
      </w:r>
      <w:r w:rsidR="005B261C" w:rsidRPr="00AB5151">
        <w:rPr>
          <w:rFonts w:ascii="Verdana" w:hAnsi="Verdana"/>
        </w:rPr>
        <w:t>tos y otros conceptos se encuentran disponibles para consulta en el Sistema de relatoría de la Agencia, al cual se puede acceder a través del siguiente enlace:</w:t>
      </w:r>
      <w:r w:rsidR="005B261C" w:rsidRPr="00AB5151">
        <w:rPr>
          <w:rStyle w:val="normaltextrun"/>
          <w:rFonts w:ascii="Verdana" w:hAnsi="Verdana" w:cs="Arial"/>
          <w:shd w:val="clear" w:color="auto" w:fill="FFFFFF"/>
          <w:lang w:val="es-ES"/>
        </w:rPr>
        <w:t xml:space="preserve"> </w:t>
      </w:r>
      <w:hyperlink r:id="rId16" w:history="1">
        <w:r w:rsidR="005B261C" w:rsidRPr="00AB5151">
          <w:rPr>
            <w:rStyle w:val="Hipervnculo"/>
            <w:rFonts w:ascii="Verdana" w:hAnsi="Verdana" w:cs="Arial"/>
            <w:shd w:val="clear" w:color="auto" w:fill="FFFFFF"/>
            <w:lang w:val="es-ES"/>
          </w:rPr>
          <w:t>https://relatoria.colombiacompra.gov.co/busqueda/conceptos</w:t>
        </w:r>
      </w:hyperlink>
      <w:r w:rsidR="005B261C" w:rsidRPr="00AB5151">
        <w:rPr>
          <w:rStyle w:val="normaltextrun"/>
          <w:rFonts w:ascii="Verdana" w:hAnsi="Verdana" w:cs="Arial"/>
          <w:shd w:val="clear" w:color="auto" w:fill="FFFFFF"/>
          <w:lang w:val="es-ES"/>
        </w:rPr>
        <w:t xml:space="preserve">. </w:t>
      </w:r>
    </w:p>
    <w:p w14:paraId="1F37605E" w14:textId="77777777" w:rsidR="005B261C" w:rsidRPr="00115E3D" w:rsidRDefault="005B261C" w:rsidP="005B261C">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2A78B2FE" w14:textId="77777777" w:rsidR="005B261C" w:rsidRPr="00115E3D" w:rsidRDefault="005B261C" w:rsidP="005B261C">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737780A1" w14:textId="77777777" w:rsidR="005B261C" w:rsidRPr="00115E3D" w:rsidRDefault="005B261C" w:rsidP="005B261C">
      <w:pPr>
        <w:spacing w:after="0" w:line="240" w:lineRule="auto"/>
        <w:jc w:val="both"/>
        <w:rPr>
          <w:rFonts w:ascii="Verdana" w:hAnsi="Verdana"/>
          <w:color w:val="000000" w:themeColor="text1"/>
        </w:rPr>
      </w:pPr>
    </w:p>
    <w:p w14:paraId="4A8E8FD5"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5A30B538"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19A51331"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6CDDFD37"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1B480C96"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61795A8"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41D52C97" w14:textId="77777777" w:rsidR="005B261C" w:rsidRPr="00115E3D" w:rsidRDefault="005B261C" w:rsidP="005B261C">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57C3358D" w14:textId="46E25768" w:rsidR="00AB5151" w:rsidRDefault="00B532AE" w:rsidP="005B261C">
      <w:pPr>
        <w:spacing w:line="276" w:lineRule="auto"/>
        <w:jc w:val="center"/>
        <w:rPr>
          <w:noProof/>
          <w:color w:val="000000" w:themeColor="text1"/>
          <w:lang w:val="es-ES_tradnl" w:eastAsia="es-CO"/>
        </w:rPr>
      </w:pPr>
      <w:r>
        <w:rPr>
          <w:noProof/>
        </w:rPr>
        <w:drawing>
          <wp:inline distT="0" distB="0" distL="0" distR="0" wp14:anchorId="74401050" wp14:editId="58BEBD9B">
            <wp:extent cx="3964305" cy="1701807"/>
            <wp:effectExtent l="0" t="0" r="0" b="0"/>
            <wp:docPr id="2011480760"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480760" name="Imagen 2" descr="Texto&#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91192" cy="1713349"/>
                    </a:xfrm>
                    <a:prstGeom prst="rect">
                      <a:avLst/>
                    </a:prstGeom>
                    <a:noFill/>
                    <a:ln>
                      <a:noFill/>
                    </a:ln>
                  </pic:spPr>
                </pic:pic>
              </a:graphicData>
            </a:graphic>
          </wp:inline>
        </w:drawing>
      </w:r>
    </w:p>
    <w:p w14:paraId="34E04CC3" w14:textId="77777777" w:rsidR="00AB5151" w:rsidRDefault="00AB5151" w:rsidP="005B261C">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261C" w:rsidRPr="00115E3D" w14:paraId="62B6198F" w14:textId="77777777" w:rsidTr="006F1A38">
        <w:trPr>
          <w:trHeight w:val="315"/>
        </w:trPr>
        <w:tc>
          <w:tcPr>
            <w:tcW w:w="893" w:type="dxa"/>
            <w:vAlign w:val="center"/>
            <w:hideMark/>
          </w:tcPr>
          <w:p w14:paraId="22558D1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1F7BB" w14:textId="474BC748" w:rsidR="005B261C" w:rsidRPr="00115E3D" w:rsidRDefault="00AB5151" w:rsidP="006F1A3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w:t>
            </w:r>
            <w:r w:rsidR="005B261C">
              <w:rPr>
                <w:rFonts w:ascii="Verdana" w:eastAsia="Arial" w:hAnsi="Verdana" w:cs="Arial"/>
                <w:color w:val="000000" w:themeColor="text1"/>
                <w:sz w:val="16"/>
                <w:szCs w:val="16"/>
              </w:rPr>
              <w:t xml:space="preserve"> </w:t>
            </w:r>
          </w:p>
          <w:p w14:paraId="17599502" w14:textId="11540CED" w:rsidR="005B261C" w:rsidRPr="00115E3D" w:rsidRDefault="00AB5151" w:rsidP="006F1A38">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005B261C" w:rsidRPr="00115E3D">
              <w:rPr>
                <w:rStyle w:val="normaltextrun"/>
                <w:rFonts w:ascii="Verdana" w:eastAsia="Arial" w:hAnsi="Verdana" w:cs="Arial"/>
                <w:color w:val="000000" w:themeColor="text1"/>
                <w:sz w:val="16"/>
                <w:szCs w:val="16"/>
              </w:rPr>
              <w:t>de la Subdirección de Gestión Contractual</w:t>
            </w:r>
          </w:p>
        </w:tc>
      </w:tr>
      <w:tr w:rsidR="005B261C" w:rsidRPr="00115E3D" w14:paraId="7ACE6661" w14:textId="77777777" w:rsidTr="006F1A38">
        <w:trPr>
          <w:trHeight w:val="330"/>
        </w:trPr>
        <w:tc>
          <w:tcPr>
            <w:tcW w:w="893" w:type="dxa"/>
            <w:vAlign w:val="center"/>
            <w:hideMark/>
          </w:tcPr>
          <w:p w14:paraId="7EFF66C0"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15D1DB" w14:textId="5D690DC0" w:rsidR="005B261C" w:rsidRPr="00B37171" w:rsidRDefault="008A746E"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Carlos González</w:t>
            </w:r>
          </w:p>
          <w:p w14:paraId="0B208D03" w14:textId="77777777" w:rsidR="005B261C" w:rsidRPr="00115E3D" w:rsidRDefault="005B261C"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5B261C" w:rsidRPr="00115E3D" w14:paraId="0756A38D" w14:textId="77777777" w:rsidTr="006F1A38">
        <w:trPr>
          <w:trHeight w:val="300"/>
        </w:trPr>
        <w:tc>
          <w:tcPr>
            <w:tcW w:w="893" w:type="dxa"/>
            <w:vAlign w:val="center"/>
          </w:tcPr>
          <w:p w14:paraId="5B3AA39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A246D8"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3384C3C1"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14D47E36" w14:textId="77777777" w:rsidR="005B261C" w:rsidRDefault="005B261C" w:rsidP="005B261C"/>
    <w:p w14:paraId="3900974D" w14:textId="6B82F99B" w:rsidR="003D5B0D" w:rsidRPr="005B261C" w:rsidRDefault="003D5B0D" w:rsidP="005B261C"/>
    <w:sectPr w:rsidR="003D5B0D" w:rsidRPr="005B261C"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F0FD3" w14:textId="77777777" w:rsidR="003061D8" w:rsidRDefault="003061D8" w:rsidP="004A1847">
      <w:pPr>
        <w:spacing w:after="0" w:line="240" w:lineRule="auto"/>
      </w:pPr>
      <w:r>
        <w:separator/>
      </w:r>
    </w:p>
  </w:endnote>
  <w:endnote w:type="continuationSeparator" w:id="0">
    <w:p w14:paraId="38B16774" w14:textId="77777777" w:rsidR="003061D8" w:rsidRDefault="003061D8" w:rsidP="004A1847">
      <w:pPr>
        <w:spacing w:after="0" w:line="240" w:lineRule="auto"/>
      </w:pPr>
      <w:r>
        <w:continuationSeparator/>
      </w:r>
    </w:p>
  </w:endnote>
  <w:endnote w:type="continuationNotice" w:id="1">
    <w:p w14:paraId="4672E64C" w14:textId="77777777" w:rsidR="003061D8" w:rsidRDefault="003061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89EE8" w14:textId="77777777" w:rsidR="003061D8" w:rsidRDefault="003061D8" w:rsidP="004A1847">
      <w:pPr>
        <w:spacing w:after="0" w:line="240" w:lineRule="auto"/>
      </w:pPr>
      <w:r>
        <w:separator/>
      </w:r>
    </w:p>
  </w:footnote>
  <w:footnote w:type="continuationSeparator" w:id="0">
    <w:p w14:paraId="6594B60E" w14:textId="77777777" w:rsidR="003061D8" w:rsidRDefault="003061D8" w:rsidP="004A1847">
      <w:pPr>
        <w:spacing w:after="0" w:line="240" w:lineRule="auto"/>
      </w:pPr>
      <w:r>
        <w:continuationSeparator/>
      </w:r>
    </w:p>
  </w:footnote>
  <w:footnote w:type="continuationNotice" w:id="1">
    <w:p w14:paraId="7EF896C4" w14:textId="77777777" w:rsidR="003061D8" w:rsidRDefault="003061D8">
      <w:pPr>
        <w:spacing w:after="0" w:line="240" w:lineRule="auto"/>
      </w:pPr>
    </w:p>
  </w:footnote>
  <w:footnote w:id="2">
    <w:p w14:paraId="323A45F7" w14:textId="330A966B" w:rsidR="00946693" w:rsidRPr="00946693" w:rsidRDefault="00946693">
      <w:pPr>
        <w:pStyle w:val="Textonotapie"/>
        <w:rPr>
          <w:lang w:val="es-ES"/>
        </w:rPr>
      </w:pPr>
      <w:r>
        <w:rPr>
          <w:rStyle w:val="Refdenotaalpie"/>
        </w:rPr>
        <w:footnoteRef/>
      </w:r>
      <w:r>
        <w:t xml:space="preserve"> </w:t>
      </w:r>
      <w:hyperlink r:id="rId1" w:history="1">
        <w:r w:rsidRPr="00703C22">
          <w:rPr>
            <w:rStyle w:val="Hipervnculo"/>
          </w:rPr>
          <w:t>https://operaciones.colombiacompra.gov.co/sites/cce_public/files/cce_circulares/doc-20240823-wa0021.pdf</w:t>
        </w:r>
      </w:hyperlink>
      <w:r>
        <w:t xml:space="preserve">   </w:t>
      </w:r>
    </w:p>
  </w:footnote>
  <w:footnote w:id="3">
    <w:p w14:paraId="7D9914F5" w14:textId="77777777" w:rsidR="00D92AFD" w:rsidRDefault="00D92AFD" w:rsidP="00D92AFD">
      <w:pPr>
        <w:pStyle w:val="Textonotapie"/>
        <w:ind w:firstLine="709"/>
        <w:jc w:val="both"/>
        <w:rPr>
          <w:rFonts w:ascii="Verdana" w:hAnsi="Verdana" w:cs="Arial"/>
          <w:color w:val="000000"/>
          <w:sz w:val="16"/>
          <w:szCs w:val="16"/>
        </w:rPr>
      </w:pPr>
    </w:p>
    <w:p w14:paraId="74C5F223" w14:textId="77777777" w:rsidR="00D92AFD" w:rsidRPr="005C10BE" w:rsidRDefault="00D92AFD" w:rsidP="00D92AFD">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w:t>
      </w:r>
      <w:r w:rsidRPr="005C10BE">
        <w:rPr>
          <w:rFonts w:ascii="Verdana" w:hAnsi="Verdana" w:cs="Arial"/>
          <w:color w:val="000000"/>
          <w:sz w:val="16"/>
          <w:szCs w:val="16"/>
        </w:rPr>
        <w:t>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68E721B9" w14:textId="77777777" w:rsidR="00D92AFD" w:rsidRPr="005C10BE" w:rsidRDefault="00D92AFD" w:rsidP="00D92AFD">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Lo anterior, sin perjuicio de las publicaciones previstas en el numeral 3 del artículo 30 de la Ley 80 de 1993.</w:t>
      </w:r>
    </w:p>
    <w:p w14:paraId="06059D89" w14:textId="77777777" w:rsidR="00D92AFD" w:rsidRPr="005C10BE" w:rsidRDefault="00D92AFD" w:rsidP="00D92AFD">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 xml:space="preserve">Con el fin de materializar los objetivos a que se refiere el inciso anterior, el Gobierno Nacional desarrollará el Sistema Electrónico para la Contratación Pública, Secop, el cual: </w:t>
      </w:r>
    </w:p>
    <w:p w14:paraId="207956C1" w14:textId="77777777" w:rsidR="00D92AFD" w:rsidRPr="005C10BE" w:rsidRDefault="00D92AFD" w:rsidP="00D92AFD">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w:t>
      </w:r>
    </w:p>
    <w:p w14:paraId="6A01F69D" w14:textId="77777777" w:rsidR="00D92AFD" w:rsidRPr="005C10BE" w:rsidRDefault="00D92AFD" w:rsidP="00D92AFD">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685ED055" w14:textId="77777777" w:rsidR="00D92AFD" w:rsidRPr="005C10BE" w:rsidRDefault="00D92AFD" w:rsidP="00D92AFD">
      <w:pPr>
        <w:pStyle w:val="Textonotapie"/>
        <w:ind w:firstLine="709"/>
        <w:jc w:val="both"/>
        <w:rPr>
          <w:rFonts w:ascii="Verdana" w:hAnsi="Verdana" w:cs="Arial"/>
          <w:color w:val="000000"/>
          <w:sz w:val="16"/>
          <w:szCs w:val="16"/>
          <w:lang w:val="es-CO"/>
        </w:rPr>
      </w:pPr>
    </w:p>
  </w:footnote>
  <w:footnote w:id="4">
    <w:p w14:paraId="186B2AEB" w14:textId="77777777" w:rsidR="00D92AFD" w:rsidRPr="005C10BE" w:rsidRDefault="00D92AFD" w:rsidP="00D92AFD">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w:t>
      </w:r>
      <w:r w:rsidRPr="005C10BE">
        <w:rPr>
          <w:rFonts w:ascii="Verdana" w:hAnsi="Verdana" w:cs="Arial"/>
          <w:color w:val="000000"/>
          <w:sz w:val="16"/>
          <w:szCs w:val="16"/>
        </w:rPr>
        <w:t>Ley 1712 de 2014: “Artículo 2. Toda información en posesión, bajo control o custodia de un sujeto obligado es pública y no podrá ser reservada o limitada sino por disposición constitucional o legal, de conformidad con la presente ley”.</w:t>
      </w:r>
    </w:p>
    <w:p w14:paraId="625A2B46" w14:textId="77777777" w:rsidR="00D92AFD" w:rsidRPr="005C10BE" w:rsidRDefault="00D92AFD" w:rsidP="00D92AFD">
      <w:pPr>
        <w:pStyle w:val="Textonotapie"/>
        <w:ind w:firstLine="709"/>
        <w:jc w:val="both"/>
        <w:rPr>
          <w:rFonts w:ascii="Verdana" w:hAnsi="Verdana" w:cs="Arial"/>
          <w:color w:val="000000"/>
          <w:sz w:val="16"/>
          <w:szCs w:val="16"/>
          <w:lang w:val="es-CO"/>
        </w:rPr>
      </w:pPr>
    </w:p>
  </w:footnote>
  <w:footnote w:id="5">
    <w:p w14:paraId="383AF538" w14:textId="77777777" w:rsidR="00D92AFD" w:rsidRPr="005C10BE" w:rsidRDefault="00D92AFD" w:rsidP="00D92AFD">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w:t>
      </w:r>
      <w:r w:rsidRPr="005C10BE">
        <w:rPr>
          <w:rFonts w:ascii="Verdana" w:hAnsi="Verdana" w:cs="Arial"/>
          <w:color w:val="000000"/>
          <w:sz w:val="16"/>
          <w:szCs w:val="16"/>
        </w:rPr>
        <w:t xml:space="preserve">Ley 1712 de 2014: “Artículo 5. Ámbito de aplicación. Las disposiciones de esta ley serán aplicables a las siguientes personas en calidad de sujetos obligados: </w:t>
      </w:r>
    </w:p>
    <w:p w14:paraId="48DE488C" w14:textId="77777777" w:rsidR="00D92AFD" w:rsidRPr="005C10BE" w:rsidRDefault="00D92AFD" w:rsidP="00D92AFD">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12920F95" w14:textId="77777777" w:rsidR="00D92AFD" w:rsidRPr="005C10BE" w:rsidRDefault="00D92AFD" w:rsidP="00D92AFD">
      <w:pPr>
        <w:pStyle w:val="Textonotapie"/>
        <w:ind w:firstLine="709"/>
        <w:jc w:val="both"/>
        <w:rPr>
          <w:rFonts w:ascii="Verdana" w:hAnsi="Verdana" w:cs="Arial"/>
          <w:color w:val="000000"/>
          <w:sz w:val="16"/>
          <w:szCs w:val="16"/>
          <w:lang w:val="es-CO"/>
        </w:rPr>
      </w:pPr>
    </w:p>
  </w:footnote>
  <w:footnote w:id="6">
    <w:p w14:paraId="086C901D" w14:textId="77777777" w:rsidR="00D92AFD" w:rsidRPr="005C10BE" w:rsidRDefault="00D92AFD" w:rsidP="00D92AFD">
      <w:pPr>
        <w:pStyle w:val="Textonotapie"/>
        <w:ind w:firstLine="709"/>
        <w:jc w:val="both"/>
        <w:rPr>
          <w:rFonts w:ascii="Verdana" w:hAnsi="Verdana" w:cs="Arial"/>
          <w:color w:val="000000"/>
          <w:sz w:val="16"/>
          <w:szCs w:val="16"/>
        </w:rPr>
      </w:pPr>
      <w:r w:rsidRPr="005C10BE">
        <w:rPr>
          <w:rFonts w:ascii="Verdana" w:eastAsia="Times New Roman" w:hAnsi="Verdana" w:cs="Arial"/>
          <w:color w:val="000000"/>
          <w:sz w:val="16"/>
          <w:szCs w:val="16"/>
          <w:vertAlign w:val="superscript"/>
          <w:lang w:val="es-ES" w:eastAsia="es-ES"/>
        </w:rPr>
        <w:footnoteRef/>
      </w:r>
      <w:r w:rsidRPr="005C10BE">
        <w:rPr>
          <w:rFonts w:ascii="Verdana" w:eastAsia="Times New Roman" w:hAnsi="Verdana" w:cs="Arial"/>
          <w:color w:val="000000"/>
          <w:sz w:val="16"/>
          <w:szCs w:val="16"/>
          <w:vertAlign w:val="superscript"/>
          <w:lang w:val="es-ES" w:eastAsia="es-ES"/>
        </w:rPr>
        <w:t xml:space="preserve"> </w:t>
      </w:r>
      <w:r w:rsidRPr="005C10BE">
        <w:rPr>
          <w:rFonts w:ascii="Verdana" w:eastAsia="Times New Roman" w:hAnsi="Verdana" w:cs="Arial"/>
          <w:color w:val="000000"/>
          <w:sz w:val="16"/>
          <w:szCs w:val="16"/>
          <w:lang w:val="es-ES" w:eastAsia="es-ES"/>
        </w:rPr>
        <w:t>“</w:t>
      </w:r>
      <w:r w:rsidRPr="005C10BE">
        <w:rPr>
          <w:rFonts w:ascii="Verdana" w:hAnsi="Verdana" w:cs="Arial"/>
          <w:color w:val="000000"/>
          <w:sz w:val="16"/>
          <w:szCs w:val="16"/>
        </w:rPr>
        <w:t xml:space="preserve">Artículo 2.1.1.2.1.7. </w:t>
      </w:r>
      <w:r w:rsidRPr="005C10BE">
        <w:rPr>
          <w:rFonts w:ascii="Verdana" w:hAnsi="Verdana" w:cs="Arial"/>
          <w:color w:val="000000"/>
          <w:sz w:val="16"/>
          <w:szCs w:val="16"/>
        </w:rPr>
        <w:t xml:space="preserve">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7E158DD" w14:textId="77777777" w:rsidR="00D92AFD" w:rsidRPr="005C10BE" w:rsidRDefault="00D92AFD" w:rsidP="00D92AFD">
      <w:pPr>
        <w:pStyle w:val="Textonotapie"/>
        <w:ind w:firstLine="709"/>
        <w:jc w:val="both"/>
        <w:rPr>
          <w:rFonts w:ascii="Verdana" w:eastAsia="Times New Roman" w:hAnsi="Verdana" w:cs="Arial"/>
          <w:color w:val="000000"/>
          <w:sz w:val="16"/>
          <w:szCs w:val="16"/>
          <w:lang w:val="es-ES" w:eastAsia="es-ES"/>
        </w:rPr>
      </w:pPr>
      <w:r w:rsidRPr="005C10BE">
        <w:rPr>
          <w:rFonts w:ascii="Verdana" w:hAnsi="Verdana" w:cs="Arial"/>
          <w:color w:val="000000"/>
          <w:sz w:val="16"/>
          <w:szCs w:val="16"/>
        </w:rPr>
        <w:t>[…].</w:t>
      </w:r>
    </w:p>
    <w:p w14:paraId="2B1AF632" w14:textId="77777777" w:rsidR="00D92AFD" w:rsidRPr="005C10BE" w:rsidRDefault="00D92AFD" w:rsidP="00D92AFD">
      <w:pPr>
        <w:pStyle w:val="Textonotapie"/>
        <w:ind w:firstLine="709"/>
        <w:jc w:val="both"/>
        <w:rPr>
          <w:rFonts w:ascii="Verdana" w:eastAsia="Times New Roman" w:hAnsi="Verdana" w:cs="Arial"/>
          <w:color w:val="000000"/>
          <w:sz w:val="16"/>
          <w:szCs w:val="16"/>
          <w:lang w:val="es-ES" w:eastAsia="es-ES"/>
        </w:rPr>
      </w:pPr>
      <w:r w:rsidRPr="005C10BE">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4463A2D2" w14:textId="77777777" w:rsidR="00D92AFD" w:rsidRPr="005C10BE" w:rsidRDefault="00D92AFD" w:rsidP="00D92AFD">
      <w:pPr>
        <w:pStyle w:val="Textonotapie"/>
        <w:ind w:firstLine="709"/>
        <w:jc w:val="both"/>
        <w:rPr>
          <w:rFonts w:ascii="Verdana" w:eastAsia="Times New Roman" w:hAnsi="Verdana" w:cs="Arial"/>
          <w:color w:val="000000"/>
          <w:sz w:val="16"/>
          <w:szCs w:val="16"/>
          <w:lang w:val="es-ES" w:eastAsia="es-ES"/>
        </w:rPr>
      </w:pPr>
    </w:p>
  </w:footnote>
  <w:footnote w:id="7">
    <w:p w14:paraId="3D6A3725" w14:textId="77777777" w:rsidR="00D92AFD" w:rsidRPr="005C10BE" w:rsidRDefault="00D92AFD" w:rsidP="00D92AFD">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w:t>
      </w:r>
      <w:r w:rsidRPr="005C10BE">
        <w:rPr>
          <w:rFonts w:ascii="Verdana" w:hAnsi="Verdana" w:cs="Arial"/>
          <w:color w:val="000000"/>
          <w:sz w:val="16"/>
          <w:szCs w:val="16"/>
        </w:rPr>
        <w:t>C</w:t>
      </w:r>
      <w:proofErr w:type="spellStart"/>
      <w:r w:rsidRPr="005C10BE">
        <w:rPr>
          <w:rFonts w:ascii="Verdana" w:eastAsia="Times New Roman" w:hAnsi="Verdana" w:cs="Arial"/>
          <w:color w:val="000000"/>
          <w:sz w:val="16"/>
          <w:szCs w:val="16"/>
          <w:lang w:val="es-ES" w:eastAsia="es-ES"/>
        </w:rPr>
        <w:t>orte</w:t>
      </w:r>
      <w:proofErr w:type="spellEnd"/>
      <w:r w:rsidRPr="005C10BE">
        <w:rPr>
          <w:rFonts w:ascii="Verdana" w:eastAsia="Times New Roman" w:hAnsi="Verdana" w:cs="Arial"/>
          <w:color w:val="000000"/>
          <w:sz w:val="16"/>
          <w:szCs w:val="16"/>
          <w:lang w:val="es-ES" w:eastAsia="es-ES"/>
        </w:rPr>
        <w:t xml:space="preserve"> Constitucional. Sentencia C‒274 de 9 de mayo de 2013. M.P. Mar</w:t>
      </w:r>
      <w:r w:rsidRPr="005C10BE">
        <w:rPr>
          <w:rFonts w:ascii="Verdana" w:eastAsia="Times New Roman" w:hAnsi="Verdana" w:cs="Century Gothic"/>
          <w:color w:val="000000"/>
          <w:sz w:val="16"/>
          <w:szCs w:val="16"/>
          <w:lang w:val="es-ES" w:eastAsia="es-ES"/>
        </w:rPr>
        <w:t>í</w:t>
      </w:r>
      <w:r w:rsidRPr="005C10BE">
        <w:rPr>
          <w:rFonts w:ascii="Verdana" w:eastAsia="Times New Roman" w:hAnsi="Verdana" w:cs="Arial"/>
          <w:color w:val="000000"/>
          <w:sz w:val="16"/>
          <w:szCs w:val="16"/>
          <w:lang w:val="es-ES" w:eastAsia="es-ES"/>
        </w:rPr>
        <w:t xml:space="preserve">a Victoria Calle Correa. </w:t>
      </w:r>
    </w:p>
    <w:p w14:paraId="2ED24CA7" w14:textId="77777777" w:rsidR="00D92AFD" w:rsidRPr="005C10BE" w:rsidRDefault="00D92AFD" w:rsidP="00D92AFD">
      <w:pPr>
        <w:pStyle w:val="Textonotapie"/>
        <w:ind w:firstLine="709"/>
        <w:jc w:val="both"/>
        <w:rPr>
          <w:rFonts w:ascii="Verdana" w:hAnsi="Verdana" w:cs="Arial"/>
          <w:color w:val="000000"/>
          <w:sz w:val="16"/>
          <w:szCs w:val="16"/>
          <w:lang w:val="es-CO"/>
        </w:rPr>
      </w:pPr>
    </w:p>
  </w:footnote>
  <w:footnote w:id="8">
    <w:p w14:paraId="54D35DB6" w14:textId="77777777" w:rsidR="00D92AFD" w:rsidRPr="005C10BE" w:rsidRDefault="00D92AFD" w:rsidP="00D92AFD">
      <w:pPr>
        <w:pStyle w:val="Textonotapie"/>
        <w:ind w:firstLine="708"/>
        <w:jc w:val="both"/>
        <w:rPr>
          <w:rFonts w:ascii="Verdana" w:hAnsi="Verdana"/>
          <w:sz w:val="16"/>
          <w:szCs w:val="16"/>
        </w:rPr>
      </w:pPr>
      <w:r w:rsidRPr="005C10BE">
        <w:rPr>
          <w:rStyle w:val="Refdenotaalpie"/>
          <w:rFonts w:ascii="Verdana" w:hAnsi="Verdana"/>
          <w:sz w:val="16"/>
          <w:szCs w:val="16"/>
        </w:rPr>
        <w:footnoteRef/>
      </w:r>
      <w:r w:rsidRPr="005C10BE">
        <w:rPr>
          <w:rFonts w:ascii="Verdana" w:hAnsi="Verdana"/>
          <w:sz w:val="16"/>
          <w:szCs w:val="16"/>
        </w:rPr>
        <w:t xml:space="preserve"> </w:t>
      </w:r>
      <w:r w:rsidRPr="005C10BE">
        <w:rPr>
          <w:rFonts w:ascii="Verdana" w:hAnsi="Verdana"/>
          <w:sz w:val="16"/>
          <w:szCs w:val="16"/>
        </w:rPr>
        <w:t>Adiciónese los siguientes incisos al artículo 13 de la Ley 1150 de 2007, el cual quedará así:</w:t>
      </w:r>
    </w:p>
    <w:p w14:paraId="4BBEEE0D" w14:textId="77777777" w:rsidR="00D92AFD" w:rsidRPr="005C10BE" w:rsidRDefault="00D92AFD" w:rsidP="00D92AFD">
      <w:pPr>
        <w:pStyle w:val="Textonotapie"/>
        <w:ind w:firstLine="708"/>
        <w:jc w:val="both"/>
        <w:rPr>
          <w:rFonts w:ascii="Verdana" w:hAnsi="Verdana"/>
          <w:sz w:val="16"/>
          <w:szCs w:val="16"/>
        </w:rPr>
      </w:pPr>
    </w:p>
    <w:p w14:paraId="76BF47E1" w14:textId="77777777" w:rsidR="00D92AFD" w:rsidRPr="005C10BE" w:rsidRDefault="00D92AFD" w:rsidP="00D92AFD">
      <w:pPr>
        <w:pStyle w:val="Textonotapie"/>
        <w:ind w:firstLine="708"/>
        <w:jc w:val="both"/>
        <w:rPr>
          <w:rFonts w:ascii="Verdana" w:hAnsi="Verdana"/>
          <w:sz w:val="16"/>
          <w:szCs w:val="16"/>
        </w:rPr>
      </w:pPr>
      <w:r w:rsidRPr="005C10BE">
        <w:rPr>
          <w:rFonts w:ascii="Verdana" w:hAnsi="Verdana"/>
          <w:sz w:val="16"/>
          <w:szCs w:val="16"/>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33576CE" w14:textId="77777777" w:rsidR="00D92AFD" w:rsidRPr="005C10BE" w:rsidRDefault="00D92AFD" w:rsidP="00D92AFD">
      <w:pPr>
        <w:pStyle w:val="Textonotapie"/>
        <w:ind w:firstLine="708"/>
        <w:jc w:val="both"/>
        <w:rPr>
          <w:rFonts w:ascii="Verdana" w:hAnsi="Verdana"/>
          <w:sz w:val="16"/>
          <w:szCs w:val="16"/>
        </w:rPr>
      </w:pPr>
    </w:p>
    <w:p w14:paraId="551B7E3F" w14:textId="77777777" w:rsidR="00D92AFD" w:rsidRPr="005C10BE" w:rsidRDefault="00D92AFD" w:rsidP="00D92AFD">
      <w:pPr>
        <w:pStyle w:val="Textonotapie"/>
        <w:ind w:firstLine="708"/>
        <w:jc w:val="both"/>
        <w:rPr>
          <w:rFonts w:ascii="Verdana" w:hAnsi="Verdana"/>
          <w:sz w:val="16"/>
          <w:szCs w:val="16"/>
        </w:rPr>
      </w:pPr>
      <w:r w:rsidRPr="005C10BE">
        <w:rPr>
          <w:rFonts w:ascii="Verdana" w:hAnsi="Verdana"/>
          <w:sz w:val="16"/>
          <w:szCs w:val="16"/>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1AC726AF" w14:textId="77777777" w:rsidR="00D92AFD" w:rsidRPr="005C10BE" w:rsidRDefault="00D92AFD" w:rsidP="00D92AFD">
      <w:pPr>
        <w:pStyle w:val="Textonotapie"/>
        <w:ind w:firstLine="708"/>
        <w:jc w:val="both"/>
        <w:rPr>
          <w:rFonts w:ascii="Verdana" w:hAnsi="Verdana"/>
          <w:sz w:val="16"/>
          <w:szCs w:val="16"/>
        </w:rPr>
      </w:pPr>
    </w:p>
    <w:p w14:paraId="6523BB59" w14:textId="77777777" w:rsidR="00D92AFD" w:rsidRPr="005C10BE" w:rsidRDefault="00D92AFD" w:rsidP="00D92AFD">
      <w:pPr>
        <w:pStyle w:val="Textonotapie"/>
        <w:ind w:firstLine="708"/>
        <w:jc w:val="both"/>
        <w:rPr>
          <w:rFonts w:ascii="Verdana" w:hAnsi="Verdana"/>
          <w:sz w:val="16"/>
          <w:szCs w:val="16"/>
          <w:lang w:val="es-CO"/>
        </w:rPr>
      </w:pPr>
      <w:r w:rsidRPr="005C10BE">
        <w:rPr>
          <w:rFonts w:ascii="Verdana" w:hAnsi="Verdana"/>
          <w:sz w:val="16"/>
          <w:szCs w:val="16"/>
        </w:rPr>
        <w:t>A partir de la entrada en vigencia de la presente Ley, se establecerá un periodo de transición de seis (6) meses, para que las entidades den cumplimiento efectivo a lo aquí establecido.</w:t>
      </w:r>
    </w:p>
  </w:footnote>
  <w:footnote w:id="9">
    <w:p w14:paraId="26D732E1" w14:textId="77777777" w:rsidR="00D92AFD" w:rsidRPr="005C10BE" w:rsidRDefault="00D92AFD" w:rsidP="00D92AFD">
      <w:pPr>
        <w:pStyle w:val="Textonotapie"/>
        <w:ind w:firstLine="708"/>
        <w:contextualSpacing/>
        <w:jc w:val="both"/>
        <w:rPr>
          <w:rFonts w:ascii="Verdana" w:hAnsi="Verdana" w:cs="Arial"/>
          <w:sz w:val="16"/>
          <w:szCs w:val="16"/>
        </w:rPr>
      </w:pPr>
    </w:p>
    <w:p w14:paraId="28C7AAA5" w14:textId="77777777" w:rsidR="00D92AFD" w:rsidRPr="005C10BE" w:rsidRDefault="00D92AFD" w:rsidP="00D92AFD">
      <w:pPr>
        <w:pStyle w:val="Textonotapie"/>
        <w:ind w:firstLine="708"/>
        <w:contextualSpacing/>
        <w:jc w:val="both"/>
        <w:rPr>
          <w:rFonts w:ascii="Verdana" w:hAnsi="Verdana" w:cs="Arial"/>
          <w:sz w:val="16"/>
          <w:szCs w:val="16"/>
          <w:lang w:val="es-CO"/>
        </w:rPr>
      </w:pPr>
      <w:r w:rsidRPr="005C10BE">
        <w:rPr>
          <w:rStyle w:val="Refdenotaalpie"/>
          <w:rFonts w:ascii="Verdana" w:hAnsi="Verdana" w:cs="Arial"/>
          <w:sz w:val="16"/>
          <w:szCs w:val="16"/>
        </w:rPr>
        <w:footnoteRef/>
      </w:r>
      <w:r w:rsidRPr="005C10BE">
        <w:rPr>
          <w:rFonts w:ascii="Verdana" w:hAnsi="Verdana" w:cs="Arial"/>
          <w:sz w:val="16"/>
          <w:szCs w:val="16"/>
        </w:rPr>
        <w:t xml:space="preserve"> </w:t>
      </w:r>
      <w:r w:rsidRPr="005C10BE">
        <w:rPr>
          <w:rFonts w:ascii="Verdana" w:hAnsi="Verdana" w:cs="Arial"/>
          <w:sz w:val="16"/>
          <w:szCs w:val="16"/>
        </w:rPr>
        <w:t>Ley 1150 de 2007. “Artículo 1. Objeto. La presente ley tiene por objeto introducir modificaciones en la Ley 80 de 1993, así como dictar otras disposiciones generales aplicables a toda contratación con recursos públicos”.</w:t>
      </w:r>
    </w:p>
  </w:footnote>
  <w:footnote w:id="10">
    <w:p w14:paraId="0EEA4BAB" w14:textId="77777777" w:rsidR="00D92AFD" w:rsidRPr="005C10BE" w:rsidRDefault="00D92AFD" w:rsidP="00D92AFD">
      <w:pPr>
        <w:autoSpaceDE w:val="0"/>
        <w:autoSpaceDN w:val="0"/>
        <w:adjustRightInd w:val="0"/>
        <w:spacing w:after="0" w:line="240" w:lineRule="auto"/>
        <w:ind w:firstLine="708"/>
        <w:contextualSpacing/>
        <w:jc w:val="both"/>
        <w:rPr>
          <w:rFonts w:ascii="Verdana" w:eastAsia="Calibri" w:hAnsi="Verdana" w:cs="Arial"/>
          <w:sz w:val="16"/>
          <w:szCs w:val="16"/>
          <w:lang w:val="es-ES" w:eastAsia="es-ES_tradnl"/>
        </w:rPr>
      </w:pPr>
      <w:r w:rsidRPr="005C10BE">
        <w:rPr>
          <w:rStyle w:val="Refdenotaalpie"/>
          <w:rFonts w:ascii="Verdana" w:hAnsi="Verdana" w:cs="Arial"/>
          <w:sz w:val="16"/>
          <w:szCs w:val="16"/>
        </w:rPr>
        <w:footnoteRef/>
      </w:r>
      <w:r w:rsidRPr="005C10BE">
        <w:rPr>
          <w:rFonts w:ascii="Verdana" w:hAnsi="Verdana" w:cs="Arial"/>
          <w:sz w:val="16"/>
          <w:szCs w:val="16"/>
        </w:rPr>
        <w:t xml:space="preserve"> </w:t>
      </w:r>
      <w:r w:rsidRPr="005C10BE">
        <w:rPr>
          <w:rFonts w:ascii="Verdana" w:hAnsi="Verdana" w:cs="Arial"/>
          <w:sz w:val="16"/>
          <w:szCs w:val="16"/>
        </w:rPr>
        <w:t xml:space="preserve">Disponible en el siguiente enlace: </w:t>
      </w:r>
      <w:hyperlink r:id="rId2" w:history="1">
        <w:r w:rsidRPr="005C10BE">
          <w:rPr>
            <w:rStyle w:val="Hipervnculo"/>
            <w:rFonts w:ascii="Verdana" w:hAnsi="Verdana" w:cs="Arial"/>
            <w:sz w:val="16"/>
            <w:szCs w:val="16"/>
          </w:rPr>
          <w:t>https://www.colombiacompra.gov.co/sites/cce_public/files/cce_circulares/doc-20240823-wa0021.pdf</w:t>
        </w:r>
      </w:hyperlink>
      <w:r w:rsidRPr="005C10BE">
        <w:rPr>
          <w:rFonts w:ascii="Verdana" w:hAnsi="Verdana" w:cs="Arial"/>
          <w:sz w:val="16"/>
          <w:szCs w:val="16"/>
        </w:rPr>
        <w:t xml:space="preserve"> </w:t>
      </w:r>
    </w:p>
    <w:p w14:paraId="4D659CC9" w14:textId="77777777" w:rsidR="00D92AFD" w:rsidRPr="005C10BE" w:rsidRDefault="00D92AFD" w:rsidP="00D92AFD">
      <w:pPr>
        <w:autoSpaceDE w:val="0"/>
        <w:autoSpaceDN w:val="0"/>
        <w:adjustRightInd w:val="0"/>
        <w:spacing w:after="0" w:line="240" w:lineRule="auto"/>
        <w:ind w:firstLine="708"/>
        <w:contextualSpacing/>
        <w:jc w:val="both"/>
        <w:rPr>
          <w:rFonts w:ascii="Verdana" w:eastAsia="Times New Roman" w:hAnsi="Verdana" w:cs="Arial"/>
          <w:sz w:val="16"/>
          <w:szCs w:val="16"/>
          <w:lang w:eastAsia="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1.45pt;height:11.4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8928FE"/>
    <w:multiLevelType w:val="hybridMultilevel"/>
    <w:tmpl w:val="86F852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1"/>
  </w:num>
  <w:num w:numId="16" w16cid:durableId="341274352">
    <w:abstractNumId w:val="0"/>
  </w:num>
  <w:num w:numId="17" w16cid:durableId="1017849859">
    <w:abstractNumId w:val="17"/>
  </w:num>
  <w:num w:numId="18" w16cid:durableId="140847646">
    <w:abstractNumId w:val="10"/>
  </w:num>
  <w:num w:numId="19" w16cid:durableId="671685389">
    <w:abstractNumId w:val="4"/>
  </w:num>
  <w:num w:numId="20" w16cid:durableId="11881069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E67"/>
    <w:rsid w:val="00046945"/>
    <w:rsid w:val="00061B2A"/>
    <w:rsid w:val="000715F9"/>
    <w:rsid w:val="00071D04"/>
    <w:rsid w:val="00082362"/>
    <w:rsid w:val="00096CB6"/>
    <w:rsid w:val="000A683E"/>
    <w:rsid w:val="000B19B9"/>
    <w:rsid w:val="000C5BB0"/>
    <w:rsid w:val="000D0334"/>
    <w:rsid w:val="000D6575"/>
    <w:rsid w:val="000F6486"/>
    <w:rsid w:val="00125105"/>
    <w:rsid w:val="00127233"/>
    <w:rsid w:val="00131F6C"/>
    <w:rsid w:val="00136DDB"/>
    <w:rsid w:val="001511A0"/>
    <w:rsid w:val="00184FD0"/>
    <w:rsid w:val="001C2B2F"/>
    <w:rsid w:val="001E4177"/>
    <w:rsid w:val="001E4D2C"/>
    <w:rsid w:val="001F3C2F"/>
    <w:rsid w:val="001F7DC6"/>
    <w:rsid w:val="002153FB"/>
    <w:rsid w:val="00236655"/>
    <w:rsid w:val="002421BB"/>
    <w:rsid w:val="00243EB3"/>
    <w:rsid w:val="0025796E"/>
    <w:rsid w:val="00261865"/>
    <w:rsid w:val="002707A2"/>
    <w:rsid w:val="0028627B"/>
    <w:rsid w:val="0029110A"/>
    <w:rsid w:val="002951A0"/>
    <w:rsid w:val="002962BC"/>
    <w:rsid w:val="002A093D"/>
    <w:rsid w:val="002A0DD0"/>
    <w:rsid w:val="002A49AC"/>
    <w:rsid w:val="002A5959"/>
    <w:rsid w:val="002A64FD"/>
    <w:rsid w:val="002C7A84"/>
    <w:rsid w:val="002D7BA3"/>
    <w:rsid w:val="002E4FD9"/>
    <w:rsid w:val="003061D8"/>
    <w:rsid w:val="00322A85"/>
    <w:rsid w:val="00324168"/>
    <w:rsid w:val="003448F4"/>
    <w:rsid w:val="0037185D"/>
    <w:rsid w:val="00374F5E"/>
    <w:rsid w:val="00377E3E"/>
    <w:rsid w:val="00392243"/>
    <w:rsid w:val="003A779E"/>
    <w:rsid w:val="003D0F4D"/>
    <w:rsid w:val="003D5B0D"/>
    <w:rsid w:val="003E0499"/>
    <w:rsid w:val="003E157B"/>
    <w:rsid w:val="003F1356"/>
    <w:rsid w:val="003F3941"/>
    <w:rsid w:val="003F4477"/>
    <w:rsid w:val="00406575"/>
    <w:rsid w:val="0041325A"/>
    <w:rsid w:val="00414C74"/>
    <w:rsid w:val="00420D97"/>
    <w:rsid w:val="0042722E"/>
    <w:rsid w:val="0044528D"/>
    <w:rsid w:val="004A153D"/>
    <w:rsid w:val="004A1847"/>
    <w:rsid w:val="004A305D"/>
    <w:rsid w:val="004B2C42"/>
    <w:rsid w:val="004B4626"/>
    <w:rsid w:val="004B557B"/>
    <w:rsid w:val="004E6EAC"/>
    <w:rsid w:val="004F21C4"/>
    <w:rsid w:val="004F685F"/>
    <w:rsid w:val="00517B15"/>
    <w:rsid w:val="0055236C"/>
    <w:rsid w:val="005566E8"/>
    <w:rsid w:val="00574867"/>
    <w:rsid w:val="00591460"/>
    <w:rsid w:val="00593890"/>
    <w:rsid w:val="005A76EA"/>
    <w:rsid w:val="005B261C"/>
    <w:rsid w:val="005B3816"/>
    <w:rsid w:val="005C3777"/>
    <w:rsid w:val="005C5CDC"/>
    <w:rsid w:val="005D476C"/>
    <w:rsid w:val="005F4E30"/>
    <w:rsid w:val="0060028A"/>
    <w:rsid w:val="00606398"/>
    <w:rsid w:val="00616168"/>
    <w:rsid w:val="006219F8"/>
    <w:rsid w:val="00632FA8"/>
    <w:rsid w:val="00665D70"/>
    <w:rsid w:val="006900D9"/>
    <w:rsid w:val="00692C49"/>
    <w:rsid w:val="006B3F5C"/>
    <w:rsid w:val="006C1950"/>
    <w:rsid w:val="006D0D53"/>
    <w:rsid w:val="00706C16"/>
    <w:rsid w:val="0071184A"/>
    <w:rsid w:val="00713684"/>
    <w:rsid w:val="0071623C"/>
    <w:rsid w:val="007223C5"/>
    <w:rsid w:val="00731199"/>
    <w:rsid w:val="00746725"/>
    <w:rsid w:val="00756841"/>
    <w:rsid w:val="007649AB"/>
    <w:rsid w:val="00771D0C"/>
    <w:rsid w:val="00781AF3"/>
    <w:rsid w:val="007833AC"/>
    <w:rsid w:val="007B268C"/>
    <w:rsid w:val="007B7171"/>
    <w:rsid w:val="007C0C0F"/>
    <w:rsid w:val="007C3DC2"/>
    <w:rsid w:val="007E403E"/>
    <w:rsid w:val="007E5497"/>
    <w:rsid w:val="00806F5F"/>
    <w:rsid w:val="00820278"/>
    <w:rsid w:val="008340AE"/>
    <w:rsid w:val="0084038E"/>
    <w:rsid w:val="0084385E"/>
    <w:rsid w:val="00867F95"/>
    <w:rsid w:val="00870C64"/>
    <w:rsid w:val="008772F9"/>
    <w:rsid w:val="008843B6"/>
    <w:rsid w:val="00891928"/>
    <w:rsid w:val="008A446D"/>
    <w:rsid w:val="008A746E"/>
    <w:rsid w:val="008C0E3B"/>
    <w:rsid w:val="008D180B"/>
    <w:rsid w:val="008D7291"/>
    <w:rsid w:val="008F0EA7"/>
    <w:rsid w:val="008F33B0"/>
    <w:rsid w:val="00923EEF"/>
    <w:rsid w:val="009413B7"/>
    <w:rsid w:val="009419F9"/>
    <w:rsid w:val="00946693"/>
    <w:rsid w:val="0095685E"/>
    <w:rsid w:val="00956B73"/>
    <w:rsid w:val="00961B09"/>
    <w:rsid w:val="00965334"/>
    <w:rsid w:val="0097093E"/>
    <w:rsid w:val="009826BF"/>
    <w:rsid w:val="00984D71"/>
    <w:rsid w:val="00985FAD"/>
    <w:rsid w:val="00986AC5"/>
    <w:rsid w:val="0099297C"/>
    <w:rsid w:val="009A0DFA"/>
    <w:rsid w:val="009B2D26"/>
    <w:rsid w:val="009C71FA"/>
    <w:rsid w:val="009C72E7"/>
    <w:rsid w:val="009D3058"/>
    <w:rsid w:val="009E3429"/>
    <w:rsid w:val="009E51D5"/>
    <w:rsid w:val="009E7E8C"/>
    <w:rsid w:val="009F3A13"/>
    <w:rsid w:val="00A122D3"/>
    <w:rsid w:val="00A17F13"/>
    <w:rsid w:val="00A20739"/>
    <w:rsid w:val="00A33C78"/>
    <w:rsid w:val="00A7517A"/>
    <w:rsid w:val="00AB0ADB"/>
    <w:rsid w:val="00AB493F"/>
    <w:rsid w:val="00AB5151"/>
    <w:rsid w:val="00AB6153"/>
    <w:rsid w:val="00AB717F"/>
    <w:rsid w:val="00AD374D"/>
    <w:rsid w:val="00AD4293"/>
    <w:rsid w:val="00AF71F4"/>
    <w:rsid w:val="00B0078D"/>
    <w:rsid w:val="00B01B1A"/>
    <w:rsid w:val="00B04D1C"/>
    <w:rsid w:val="00B07844"/>
    <w:rsid w:val="00B108F3"/>
    <w:rsid w:val="00B14DA5"/>
    <w:rsid w:val="00B2184C"/>
    <w:rsid w:val="00B30302"/>
    <w:rsid w:val="00B532AE"/>
    <w:rsid w:val="00B66319"/>
    <w:rsid w:val="00B70819"/>
    <w:rsid w:val="00B72CD3"/>
    <w:rsid w:val="00B72FFF"/>
    <w:rsid w:val="00B80F4F"/>
    <w:rsid w:val="00BC3D36"/>
    <w:rsid w:val="00BD7F72"/>
    <w:rsid w:val="00BF508A"/>
    <w:rsid w:val="00C04FB3"/>
    <w:rsid w:val="00C142DA"/>
    <w:rsid w:val="00C14446"/>
    <w:rsid w:val="00C32DF4"/>
    <w:rsid w:val="00C330EB"/>
    <w:rsid w:val="00C41061"/>
    <w:rsid w:val="00C562D4"/>
    <w:rsid w:val="00C754BE"/>
    <w:rsid w:val="00C76123"/>
    <w:rsid w:val="00C76B1C"/>
    <w:rsid w:val="00CB6357"/>
    <w:rsid w:val="00CC1B26"/>
    <w:rsid w:val="00D211A0"/>
    <w:rsid w:val="00D423A2"/>
    <w:rsid w:val="00D520D8"/>
    <w:rsid w:val="00D63AC2"/>
    <w:rsid w:val="00D7383B"/>
    <w:rsid w:val="00D85FC2"/>
    <w:rsid w:val="00D92AFD"/>
    <w:rsid w:val="00D9402A"/>
    <w:rsid w:val="00D968D1"/>
    <w:rsid w:val="00DA231B"/>
    <w:rsid w:val="00DA4396"/>
    <w:rsid w:val="00DC2265"/>
    <w:rsid w:val="00DC39FC"/>
    <w:rsid w:val="00DE2467"/>
    <w:rsid w:val="00DF5254"/>
    <w:rsid w:val="00E103CF"/>
    <w:rsid w:val="00E16408"/>
    <w:rsid w:val="00E20894"/>
    <w:rsid w:val="00E245AB"/>
    <w:rsid w:val="00E2764C"/>
    <w:rsid w:val="00E27F2E"/>
    <w:rsid w:val="00E31648"/>
    <w:rsid w:val="00E50AFE"/>
    <w:rsid w:val="00E51404"/>
    <w:rsid w:val="00E6227E"/>
    <w:rsid w:val="00E626B5"/>
    <w:rsid w:val="00E7385A"/>
    <w:rsid w:val="00E75C92"/>
    <w:rsid w:val="00E771DC"/>
    <w:rsid w:val="00E8772A"/>
    <w:rsid w:val="00E90F6B"/>
    <w:rsid w:val="00E92C27"/>
    <w:rsid w:val="00EA0E3D"/>
    <w:rsid w:val="00EA6460"/>
    <w:rsid w:val="00EC38A7"/>
    <w:rsid w:val="00ED3D0B"/>
    <w:rsid w:val="00ED7384"/>
    <w:rsid w:val="00EE1AA8"/>
    <w:rsid w:val="00EF48BA"/>
    <w:rsid w:val="00F04DA2"/>
    <w:rsid w:val="00F136D9"/>
    <w:rsid w:val="00F16374"/>
    <w:rsid w:val="00F31EDC"/>
    <w:rsid w:val="00F32244"/>
    <w:rsid w:val="00F462B3"/>
    <w:rsid w:val="00F5664F"/>
    <w:rsid w:val="00F65B8A"/>
    <w:rsid w:val="00F666C4"/>
    <w:rsid w:val="00F76AFC"/>
    <w:rsid w:val="00F83081"/>
    <w:rsid w:val="00F943E6"/>
    <w:rsid w:val="00FA47C0"/>
    <w:rsid w:val="00FB2223"/>
    <w:rsid w:val="00FB5DD1"/>
    <w:rsid w:val="00FC056B"/>
    <w:rsid w:val="00FC2B5D"/>
    <w:rsid w:val="00FE001E"/>
    <w:rsid w:val="00FF1449"/>
    <w:rsid w:val="3D38C6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B261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261C"/>
    <w:rPr>
      <w:rFonts w:ascii="Geomanist Light" w:hAnsi="Geomanist Light"/>
      <w:lang w:val="es-ES"/>
    </w:rPr>
  </w:style>
  <w:style w:type="character" w:customStyle="1" w:styleId="baj">
    <w:name w:val="b_aj"/>
    <w:basedOn w:val="Fuentedeprrafopredeter"/>
    <w:rsid w:val="005B261C"/>
  </w:style>
  <w:style w:type="character" w:styleId="Refdecomentario">
    <w:name w:val="annotation reference"/>
    <w:basedOn w:val="Fuentedeprrafopredeter"/>
    <w:uiPriority w:val="99"/>
    <w:semiHidden/>
    <w:unhideWhenUsed/>
    <w:rsid w:val="0060028A"/>
    <w:rPr>
      <w:sz w:val="16"/>
      <w:szCs w:val="16"/>
    </w:rPr>
  </w:style>
  <w:style w:type="paragraph" w:styleId="Textocomentario">
    <w:name w:val="annotation text"/>
    <w:basedOn w:val="Normal"/>
    <w:link w:val="TextocomentarioCar"/>
    <w:uiPriority w:val="99"/>
    <w:unhideWhenUsed/>
    <w:rsid w:val="0060028A"/>
    <w:pPr>
      <w:spacing w:line="240" w:lineRule="auto"/>
    </w:pPr>
    <w:rPr>
      <w:sz w:val="20"/>
      <w:szCs w:val="20"/>
    </w:rPr>
  </w:style>
  <w:style w:type="character" w:customStyle="1" w:styleId="TextocomentarioCar">
    <w:name w:val="Texto comentario Car"/>
    <w:basedOn w:val="Fuentedeprrafopredeter"/>
    <w:link w:val="Textocomentario"/>
    <w:uiPriority w:val="99"/>
    <w:rsid w:val="0060028A"/>
    <w:rPr>
      <w:sz w:val="20"/>
      <w:szCs w:val="20"/>
    </w:rPr>
  </w:style>
  <w:style w:type="paragraph" w:styleId="Asuntodelcomentario">
    <w:name w:val="annotation subject"/>
    <w:basedOn w:val="Textocomentario"/>
    <w:next w:val="Textocomentario"/>
    <w:link w:val="AsuntodelcomentarioCar"/>
    <w:uiPriority w:val="99"/>
    <w:semiHidden/>
    <w:unhideWhenUsed/>
    <w:rsid w:val="0060028A"/>
    <w:rPr>
      <w:b/>
      <w:bCs/>
    </w:rPr>
  </w:style>
  <w:style w:type="character" w:customStyle="1" w:styleId="AsuntodelcomentarioCar">
    <w:name w:val="Asunto del comentario Car"/>
    <w:basedOn w:val="TextocomentarioCar"/>
    <w:link w:val="Asuntodelcomentario"/>
    <w:uiPriority w:val="99"/>
    <w:semiHidden/>
    <w:rsid w:val="0060028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9330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723710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080_1993.htm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mairalejandralc@gmail.com"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chrome-extension://efaidnbmnnnibpcajpcglclefindmkaj/https:/colombiacompra.gov.co/sites/cce_public/files/cce_circulares/doc-20240823-wa0021.pdf"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chrome-extension://efaidnbmnnnibpcajpcglclefindmkaj/https:/www.colombiacompra.gov.co/sites/cce_public/files/cce_circulares/circular_externa_unica_version_3_vf49.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circulares/doc-20240823-wa0021.pdf" TargetMode="External"/><Relationship Id="rId1" Type="http://schemas.openxmlformats.org/officeDocument/2006/relationships/hyperlink" Target="https://operaciones.colombiacompra.gov.co/sites/cce_public/files/cce_circulares/doc-20240823-wa0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7AC9E9E-64A4-4638-BD23-E9BB0BD2A01E}">
  <ds:schemaRefs>
    <ds:schemaRef ds:uri="http://schemas.openxmlformats.org/officeDocument/2006/bibliography"/>
  </ds:schemaRefs>
</ds:datastoreItem>
</file>

<file path=customXml/itemProps4.xml><?xml version="1.0" encoding="utf-8"?>
<ds:datastoreItem xmlns:ds="http://schemas.openxmlformats.org/officeDocument/2006/customXml" ds:itemID="{DD8298D2-A975-4E34-A4F2-55CFDB373DED}"/>
</file>

<file path=docProps/app.xml><?xml version="1.0" encoding="utf-8"?>
<Properties xmlns="http://schemas.openxmlformats.org/officeDocument/2006/extended-properties" xmlns:vt="http://schemas.openxmlformats.org/officeDocument/2006/docPropsVTypes">
  <Template>Normal.dotm</Template>
  <TotalTime>1</TotalTime>
  <Pages>13</Pages>
  <Words>3611</Words>
  <Characters>20477</Characters>
  <Application>Microsoft Office Word</Application>
  <DocSecurity>0</DocSecurity>
  <Lines>1023</Lines>
  <Paragraphs>394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Rojas</cp:lastModifiedBy>
  <cp:revision>2</cp:revision>
  <cp:lastPrinted>2023-01-10T21:18:00Z</cp:lastPrinted>
  <dcterms:created xsi:type="dcterms:W3CDTF">2026-01-08T02:36:00Z</dcterms:created>
  <dcterms:modified xsi:type="dcterms:W3CDTF">2026-01-08T02:36:00Z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